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EC80E4" w14:textId="37415F57" w:rsidR="008467D5" w:rsidRPr="00CB6B09" w:rsidRDefault="00EE5352" w:rsidP="00013360">
      <w:pPr>
        <w:tabs>
          <w:tab w:val="left" w:pos="-1440"/>
          <w:tab w:val="left" w:pos="-720"/>
          <w:tab w:val="left" w:pos="1"/>
          <w:tab w:val="right" w:pos="9360"/>
        </w:tabs>
        <w:jc w:val="both"/>
        <w:rPr>
          <w:rFonts w:ascii="Arial" w:hAnsi="Arial"/>
          <w:sz w:val="24"/>
        </w:rPr>
      </w:pPr>
      <w:r w:rsidRPr="00EE5352">
        <w:rPr>
          <w:rFonts w:ascii="Arial" w:hAnsi="Arial"/>
          <w:b/>
          <w:noProof/>
          <w:sz w:val="24"/>
          <w:lang w:eastAsia="en-GB"/>
        </w:rPr>
        <w:drawing>
          <wp:inline distT="0" distB="0" distL="0" distR="0" wp14:anchorId="61F369AA" wp14:editId="52298F86">
            <wp:extent cx="2613804" cy="551245"/>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582D49FF" w14:textId="77777777" w:rsidR="00856D9F" w:rsidRPr="00CB6B09" w:rsidRDefault="00856D9F" w:rsidP="008467D5">
      <w:pPr>
        <w:pBdr>
          <w:bottom w:val="single" w:sz="18" w:space="1" w:color="auto"/>
        </w:pBdr>
        <w:tabs>
          <w:tab w:val="left" w:pos="-1440"/>
          <w:tab w:val="left" w:pos="-720"/>
          <w:tab w:val="left" w:pos="1"/>
        </w:tabs>
        <w:jc w:val="both"/>
        <w:rPr>
          <w:rFonts w:ascii="Arial" w:hAnsi="Arial"/>
          <w:b/>
          <w:sz w:val="24"/>
        </w:rPr>
      </w:pPr>
    </w:p>
    <w:p w14:paraId="5C7CA86E" w14:textId="606EFFDF" w:rsidR="00D75295" w:rsidRPr="00CB6B09" w:rsidRDefault="00EE5352" w:rsidP="00486BB1">
      <w:pPr>
        <w:pStyle w:val="ProductNumber"/>
        <w:outlineLvl w:val="0"/>
      </w:pPr>
      <w:r>
        <w:t>9B17M</w:t>
      </w:r>
      <w:r w:rsidR="000E5519">
        <w:t>103</w:t>
      </w:r>
    </w:p>
    <w:p w14:paraId="35567A46" w14:textId="77777777" w:rsidR="00D75295" w:rsidRPr="00CB6B09" w:rsidRDefault="00D75295" w:rsidP="00D75295">
      <w:pPr>
        <w:jc w:val="right"/>
        <w:rPr>
          <w:rFonts w:ascii="Arial" w:hAnsi="Arial"/>
          <w:b/>
          <w:sz w:val="28"/>
          <w:szCs w:val="28"/>
        </w:rPr>
      </w:pPr>
    </w:p>
    <w:p w14:paraId="519DA200" w14:textId="77777777" w:rsidR="00866F6D" w:rsidRPr="00CB6B09" w:rsidRDefault="00866F6D" w:rsidP="00D75295">
      <w:pPr>
        <w:jc w:val="right"/>
        <w:rPr>
          <w:rFonts w:ascii="Arial" w:hAnsi="Arial"/>
          <w:b/>
          <w:sz w:val="28"/>
          <w:szCs w:val="28"/>
        </w:rPr>
      </w:pPr>
    </w:p>
    <w:p w14:paraId="18798552" w14:textId="7177D06C" w:rsidR="005D4A2E" w:rsidRPr="00520E0D" w:rsidRDefault="005D4A2E" w:rsidP="005D4A2E">
      <w:pPr>
        <w:pStyle w:val="CaseTitle"/>
        <w:spacing w:after="0" w:line="240" w:lineRule="auto"/>
        <w:outlineLvl w:val="0"/>
      </w:pPr>
      <w:r>
        <w:t xml:space="preserve">success tastes bitter: </w:t>
      </w:r>
      <w:r w:rsidRPr="00520E0D">
        <w:t xml:space="preserve">POLMOS LUBLIN </w:t>
      </w:r>
      <w:r>
        <w:t xml:space="preserve">(A) </w:t>
      </w:r>
    </w:p>
    <w:p w14:paraId="2B6345A8" w14:textId="77777777" w:rsidR="004402F5" w:rsidRPr="00CB6B09" w:rsidRDefault="004402F5" w:rsidP="00013360">
      <w:pPr>
        <w:pStyle w:val="CaseTitle"/>
        <w:spacing w:after="0" w:line="240" w:lineRule="auto"/>
        <w:rPr>
          <w:sz w:val="20"/>
          <w:szCs w:val="20"/>
        </w:rPr>
      </w:pPr>
    </w:p>
    <w:p w14:paraId="1A740E48" w14:textId="77777777" w:rsidR="004402F5" w:rsidRPr="00CB6B09" w:rsidRDefault="004402F5" w:rsidP="00013360">
      <w:pPr>
        <w:pStyle w:val="CaseTitle"/>
        <w:spacing w:after="0" w:line="240" w:lineRule="auto"/>
        <w:rPr>
          <w:sz w:val="20"/>
          <w:szCs w:val="20"/>
        </w:rPr>
      </w:pPr>
    </w:p>
    <w:p w14:paraId="7154A83C" w14:textId="77777777" w:rsidR="004402F5" w:rsidRPr="00CB6B09" w:rsidRDefault="004402F5" w:rsidP="00013360">
      <w:pPr>
        <w:pStyle w:val="CaseTitle"/>
        <w:spacing w:after="0" w:line="240" w:lineRule="auto"/>
        <w:rPr>
          <w:sz w:val="20"/>
          <w:szCs w:val="20"/>
        </w:rPr>
      </w:pPr>
    </w:p>
    <w:p w14:paraId="57C6FBF5" w14:textId="77777777" w:rsidR="004402F5" w:rsidRPr="00CB6B09" w:rsidRDefault="004402F5" w:rsidP="00104567">
      <w:pPr>
        <w:pStyle w:val="StyleCopyrightStatementAfter0ptBottomSinglesolidline1"/>
      </w:pPr>
      <w:r w:rsidRPr="003852A5">
        <w:t>Krzysztof Obloj</w:t>
      </w:r>
      <w:r>
        <w:t xml:space="preserve"> and</w:t>
      </w:r>
      <w:r w:rsidRPr="003852A5">
        <w:t xml:space="preserve"> Tomasz Obloj</w:t>
      </w:r>
      <w:r w:rsidRPr="00CB6B09">
        <w:t xml:space="preserve"> wrote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07BCD115" w14:textId="77777777" w:rsidR="004402F5" w:rsidRPr="00CB6B09" w:rsidRDefault="004402F5" w:rsidP="00104567">
      <w:pPr>
        <w:pStyle w:val="StyleCopyrightStatementAfter0ptBottomSinglesolidline1"/>
      </w:pPr>
    </w:p>
    <w:p w14:paraId="0796C186" w14:textId="77777777" w:rsidR="00EE5352" w:rsidRDefault="00EE5352" w:rsidP="007311BA">
      <w:pPr>
        <w:jc w:val="both"/>
        <w:rPr>
          <w:rFonts w:ascii="Arial" w:hAnsi="Arial" w:cs="Arial"/>
          <w:i/>
          <w:iCs/>
          <w:sz w:val="16"/>
          <w:szCs w:val="16"/>
          <w:lang w:val="en-CA"/>
        </w:rPr>
      </w:pPr>
      <w:r>
        <w:rPr>
          <w:rFonts w:ascii="Arial" w:hAnsi="Arial" w:cs="Arial"/>
          <w:i/>
          <w:iCs/>
          <w:sz w:val="16"/>
          <w:szCs w:val="16"/>
          <w:lang w:val="en-CA"/>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9" w:history="1">
        <w:r w:rsidRPr="00452769">
          <w:rPr>
            <w:rFonts w:ascii="Arial" w:hAnsi="Arial" w:cs="Arial"/>
            <w:i/>
            <w:iCs/>
            <w:sz w:val="16"/>
            <w:szCs w:val="16"/>
            <w:lang w:val="en-CA"/>
          </w:rPr>
          <w:t>cases@ivey.ca</w:t>
        </w:r>
      </w:hyperlink>
      <w:r>
        <w:rPr>
          <w:rFonts w:ascii="Arial" w:hAnsi="Arial" w:cs="Arial"/>
          <w:i/>
          <w:iCs/>
          <w:sz w:val="16"/>
          <w:szCs w:val="16"/>
          <w:lang w:val="en-CA"/>
        </w:rPr>
        <w:t xml:space="preserve">; </w:t>
      </w:r>
      <w:hyperlink r:id="rId10" w:history="1">
        <w:r w:rsidRPr="00452769">
          <w:rPr>
            <w:rFonts w:ascii="Arial" w:hAnsi="Arial" w:cs="Arial"/>
            <w:i/>
            <w:iCs/>
            <w:sz w:val="16"/>
            <w:szCs w:val="16"/>
            <w:lang w:val="en-CA"/>
          </w:rPr>
          <w:t>www.iveycases.com</w:t>
        </w:r>
      </w:hyperlink>
      <w:r>
        <w:rPr>
          <w:rFonts w:ascii="Arial" w:hAnsi="Arial" w:cs="Arial"/>
          <w:i/>
          <w:iCs/>
          <w:sz w:val="16"/>
          <w:szCs w:val="16"/>
          <w:lang w:val="en-CA"/>
        </w:rPr>
        <w:t>.</w:t>
      </w:r>
    </w:p>
    <w:p w14:paraId="3D8AF005" w14:textId="77777777" w:rsidR="00EE5352" w:rsidRDefault="00EE5352" w:rsidP="007311BA">
      <w:pPr>
        <w:pStyle w:val="StyleCopyrightStatementAfter0ptBottomSinglesolidline1"/>
        <w:pBdr>
          <w:top w:val="none" w:sz="0" w:space="0" w:color="auto"/>
        </w:pBdr>
      </w:pPr>
    </w:p>
    <w:p w14:paraId="2C4A3825" w14:textId="645E891C" w:rsidR="004402F5" w:rsidRPr="00CB6B09" w:rsidRDefault="00EE5352" w:rsidP="00EE5352">
      <w:pPr>
        <w:pStyle w:val="StyleStyleCopyrightStatementAfter0ptBottomSinglesolid"/>
      </w:pPr>
      <w:r>
        <w:t>Copyright © 2017, Richard Ivey School of Business Foundation</w:t>
      </w:r>
      <w:r w:rsidR="004402F5" w:rsidRPr="00CB6B09">
        <w:tab/>
        <w:t>Version: 201</w:t>
      </w:r>
      <w:r w:rsidR="004402F5">
        <w:t>7</w:t>
      </w:r>
      <w:r w:rsidR="004402F5" w:rsidRPr="00CB6B09">
        <w:t>-</w:t>
      </w:r>
      <w:r>
        <w:t>0</w:t>
      </w:r>
      <w:r w:rsidR="003661A0">
        <w:t>7</w:t>
      </w:r>
      <w:r>
        <w:t>-</w:t>
      </w:r>
      <w:r w:rsidR="003661A0">
        <w:t>07</w:t>
      </w:r>
    </w:p>
    <w:p w14:paraId="3658A5AE" w14:textId="77777777" w:rsidR="004402F5" w:rsidRPr="00CB6B09" w:rsidRDefault="004402F5" w:rsidP="00104567">
      <w:pPr>
        <w:pStyle w:val="StyleCopyrightStatementAfter0ptBottomSinglesolidline1"/>
        <w:rPr>
          <w:rFonts w:ascii="Times New Roman" w:hAnsi="Times New Roman"/>
          <w:sz w:val="20"/>
        </w:rPr>
      </w:pPr>
    </w:p>
    <w:p w14:paraId="01D8CD92" w14:textId="77777777" w:rsidR="004402F5" w:rsidRDefault="004402F5" w:rsidP="00343501">
      <w:pPr>
        <w:pStyle w:val="BodyTextMain"/>
      </w:pPr>
    </w:p>
    <w:p w14:paraId="755306D8" w14:textId="4C3965A9" w:rsidR="00133DAE" w:rsidRDefault="004402F5" w:rsidP="008957A8">
      <w:pPr>
        <w:pStyle w:val="BodyTextMain"/>
        <w:rPr>
          <w:rFonts w:eastAsia="Calibri"/>
        </w:rPr>
      </w:pPr>
      <w:r>
        <w:rPr>
          <w:rFonts w:eastAsia="Calibri"/>
        </w:rPr>
        <w:t xml:space="preserve">The first quarter of 2005 was looking just fine from the perspective of the executive board of </w:t>
      </w:r>
      <w:proofErr w:type="spellStart"/>
      <w:r>
        <w:rPr>
          <w:rFonts w:eastAsia="Calibri"/>
        </w:rPr>
        <w:t>Polmos</w:t>
      </w:r>
      <w:proofErr w:type="spellEnd"/>
      <w:r>
        <w:rPr>
          <w:rFonts w:eastAsia="Calibri"/>
        </w:rPr>
        <w:t xml:space="preserve"> Lublin, a mid-size </w:t>
      </w:r>
      <w:r w:rsidR="00D53D49">
        <w:rPr>
          <w:rFonts w:eastAsia="Calibri"/>
        </w:rPr>
        <w:t xml:space="preserve">company </w:t>
      </w:r>
      <w:r>
        <w:rPr>
          <w:rFonts w:eastAsia="Calibri"/>
        </w:rPr>
        <w:t xml:space="preserve">in </w:t>
      </w:r>
      <w:r w:rsidR="00D53D49">
        <w:rPr>
          <w:rFonts w:eastAsia="Calibri"/>
        </w:rPr>
        <w:t xml:space="preserve">Poland’s </w:t>
      </w:r>
      <w:r>
        <w:rPr>
          <w:rFonts w:eastAsia="Calibri"/>
        </w:rPr>
        <w:t>liquor market.</w:t>
      </w:r>
      <w:r w:rsidR="00B55DDA">
        <w:rPr>
          <w:rStyle w:val="FootnoteReference"/>
          <w:rFonts w:eastAsia="Calibri"/>
        </w:rPr>
        <w:footnoteReference w:id="1"/>
      </w:r>
      <w:r>
        <w:rPr>
          <w:rFonts w:eastAsia="Calibri"/>
        </w:rPr>
        <w:t xml:space="preserve"> The company had benefited from the Polish transformation</w:t>
      </w:r>
      <w:r w:rsidR="0021510E">
        <w:rPr>
          <w:rFonts w:eastAsia="Calibri"/>
        </w:rPr>
        <w:t xml:space="preserve"> after the fall of communism</w:t>
      </w:r>
      <w:r w:rsidR="00D53D49">
        <w:rPr>
          <w:rFonts w:eastAsia="Calibri"/>
        </w:rPr>
        <w:t>,</w:t>
      </w:r>
      <w:r>
        <w:rPr>
          <w:rFonts w:eastAsia="Calibri"/>
        </w:rPr>
        <w:t xml:space="preserve"> and </w:t>
      </w:r>
      <w:r w:rsidR="00D53D49">
        <w:rPr>
          <w:rFonts w:eastAsia="Calibri"/>
        </w:rPr>
        <w:t xml:space="preserve">with </w:t>
      </w:r>
      <w:r>
        <w:rPr>
          <w:rFonts w:eastAsia="Calibri"/>
        </w:rPr>
        <w:t>several strategic moves had achieve</w:t>
      </w:r>
      <w:r w:rsidR="00D53D49">
        <w:rPr>
          <w:rFonts w:eastAsia="Calibri"/>
        </w:rPr>
        <w:t>d</w:t>
      </w:r>
      <w:r>
        <w:rPr>
          <w:rFonts w:eastAsia="Calibri"/>
        </w:rPr>
        <w:t xml:space="preserve"> a dominant position in the </w:t>
      </w:r>
      <w:r w:rsidR="0003268D">
        <w:rPr>
          <w:rFonts w:eastAsia="Calibri"/>
        </w:rPr>
        <w:t>flavoured (</w:t>
      </w:r>
      <w:r>
        <w:rPr>
          <w:rFonts w:eastAsia="Calibri"/>
        </w:rPr>
        <w:t>colo</w:t>
      </w:r>
      <w:r w:rsidR="00D53D49">
        <w:rPr>
          <w:rFonts w:eastAsia="Calibri"/>
        </w:rPr>
        <w:t>u</w:t>
      </w:r>
      <w:r>
        <w:rPr>
          <w:rFonts w:eastAsia="Calibri"/>
        </w:rPr>
        <w:t>red) vodka segment</w:t>
      </w:r>
      <w:r w:rsidR="008D33F5">
        <w:rPr>
          <w:rFonts w:eastAsia="Calibri"/>
        </w:rPr>
        <w:t xml:space="preserve"> with </w:t>
      </w:r>
      <w:r w:rsidR="00945838">
        <w:rPr>
          <w:rFonts w:eastAsia="Calibri"/>
        </w:rPr>
        <w:t>the</w:t>
      </w:r>
      <w:r w:rsidR="008D33F5">
        <w:rPr>
          <w:rFonts w:eastAsia="Calibri"/>
        </w:rPr>
        <w:t xml:space="preserve"> brand </w:t>
      </w:r>
      <w:r w:rsidR="008D33F5" w:rsidRPr="00EE5352">
        <w:rPr>
          <w:rFonts w:eastAsia="Calibri"/>
          <w:i/>
        </w:rPr>
        <w:t>Bitter</w:t>
      </w:r>
      <w:r w:rsidR="00E428D6" w:rsidRPr="00EE5352">
        <w:rPr>
          <w:rFonts w:eastAsia="Calibri"/>
        </w:rPr>
        <w:t>.</w:t>
      </w:r>
      <w:r w:rsidR="008D33F5" w:rsidRPr="00EE5352">
        <w:rPr>
          <w:rStyle w:val="FootnoteReference"/>
          <w:rFonts w:eastAsia="Calibri"/>
        </w:rPr>
        <w:footnoteReference w:id="2"/>
      </w:r>
      <w:r>
        <w:rPr>
          <w:rFonts w:eastAsia="Calibri"/>
        </w:rPr>
        <w:t xml:space="preserve"> It was still</w:t>
      </w:r>
      <w:r w:rsidR="00D53D49">
        <w:rPr>
          <w:rFonts w:eastAsia="Calibri"/>
        </w:rPr>
        <w:t>,</w:t>
      </w:r>
      <w:r>
        <w:rPr>
          <w:rFonts w:eastAsia="Calibri"/>
        </w:rPr>
        <w:t xml:space="preserve"> however</w:t>
      </w:r>
      <w:r w:rsidR="00D53D49">
        <w:rPr>
          <w:rFonts w:eastAsia="Calibri"/>
        </w:rPr>
        <w:t>,</w:t>
      </w:r>
      <w:r>
        <w:rPr>
          <w:rFonts w:eastAsia="Calibri"/>
        </w:rPr>
        <w:t xml:space="preserve"> only a marginal </w:t>
      </w:r>
      <w:r w:rsidR="00D53D49">
        <w:rPr>
          <w:rFonts w:eastAsia="Calibri"/>
        </w:rPr>
        <w:t xml:space="preserve">participant </w:t>
      </w:r>
      <w:r>
        <w:rPr>
          <w:rFonts w:eastAsia="Calibri"/>
        </w:rPr>
        <w:t xml:space="preserve">in the </w:t>
      </w:r>
      <w:r w:rsidR="00D53D49">
        <w:rPr>
          <w:rFonts w:eastAsia="Calibri"/>
        </w:rPr>
        <w:t xml:space="preserve">country’s </w:t>
      </w:r>
      <w:r>
        <w:rPr>
          <w:rFonts w:eastAsia="Calibri"/>
        </w:rPr>
        <w:t xml:space="preserve">much larger pure vodka segment. </w:t>
      </w:r>
      <w:r w:rsidR="00B77F56">
        <w:rPr>
          <w:rFonts w:eastAsia="Calibri"/>
        </w:rPr>
        <w:t>Nonetheless, s</w:t>
      </w:r>
      <w:r>
        <w:rPr>
          <w:rFonts w:eastAsia="Calibri"/>
        </w:rPr>
        <w:t xml:space="preserve">ales were steady and margins growing. The public offering, completed </w:t>
      </w:r>
      <w:r w:rsidR="00845F47">
        <w:rPr>
          <w:rFonts w:eastAsia="Calibri"/>
        </w:rPr>
        <w:t>at the end of the previous financial year (</w:t>
      </w:r>
      <w:r>
        <w:rPr>
          <w:rFonts w:eastAsia="Calibri"/>
        </w:rPr>
        <w:t>in February</w:t>
      </w:r>
      <w:r w:rsidR="00D53D49">
        <w:rPr>
          <w:rFonts w:eastAsia="Calibri"/>
        </w:rPr>
        <w:t xml:space="preserve"> 2005</w:t>
      </w:r>
      <w:r w:rsidR="00845F47">
        <w:rPr>
          <w:rFonts w:eastAsia="Calibri"/>
        </w:rPr>
        <w:t>)</w:t>
      </w:r>
      <w:r>
        <w:rPr>
          <w:rFonts w:eastAsia="Calibri"/>
        </w:rPr>
        <w:t xml:space="preserve">, </w:t>
      </w:r>
      <w:r w:rsidR="00B77F56">
        <w:rPr>
          <w:rFonts w:eastAsia="Calibri"/>
        </w:rPr>
        <w:t xml:space="preserve">had been </w:t>
      </w:r>
      <w:r>
        <w:rPr>
          <w:rFonts w:eastAsia="Calibri"/>
        </w:rPr>
        <w:t>successful</w:t>
      </w:r>
      <w:r w:rsidR="00B55DDA">
        <w:rPr>
          <w:rFonts w:eastAsia="Calibri"/>
        </w:rPr>
        <w:t>, and</w:t>
      </w:r>
      <w:r>
        <w:rPr>
          <w:rFonts w:eastAsia="Calibri"/>
        </w:rPr>
        <w:t xml:space="preserve"> </w:t>
      </w:r>
      <w:proofErr w:type="spellStart"/>
      <w:r>
        <w:rPr>
          <w:rFonts w:eastAsia="Calibri"/>
        </w:rPr>
        <w:t>Polmos</w:t>
      </w:r>
      <w:proofErr w:type="spellEnd"/>
      <w:r>
        <w:rPr>
          <w:rFonts w:eastAsia="Calibri"/>
        </w:rPr>
        <w:t xml:space="preserve"> Lublin </w:t>
      </w:r>
      <w:r w:rsidR="00B77F56">
        <w:rPr>
          <w:rFonts w:eastAsia="Calibri"/>
        </w:rPr>
        <w:t xml:space="preserve">now </w:t>
      </w:r>
      <w:r>
        <w:rPr>
          <w:rFonts w:eastAsia="Calibri"/>
        </w:rPr>
        <w:t>had funds for future development and growth.</w:t>
      </w:r>
    </w:p>
    <w:p w14:paraId="0D3A7E24" w14:textId="77777777" w:rsidR="00133DAE" w:rsidRDefault="00133DAE" w:rsidP="008957A8">
      <w:pPr>
        <w:pStyle w:val="BodyTextMain"/>
        <w:rPr>
          <w:rFonts w:eastAsia="Calibri"/>
        </w:rPr>
      </w:pPr>
    </w:p>
    <w:p w14:paraId="1805E440" w14:textId="50FDEBF2" w:rsidR="004402F5" w:rsidRDefault="004402F5" w:rsidP="008957A8">
      <w:pPr>
        <w:pStyle w:val="BodyTextMain"/>
        <w:rPr>
          <w:rFonts w:eastAsia="Calibri"/>
        </w:rPr>
      </w:pPr>
      <w:r>
        <w:rPr>
          <w:rFonts w:eastAsia="Calibri"/>
        </w:rPr>
        <w:t xml:space="preserve">As the board </w:t>
      </w:r>
      <w:r w:rsidR="00133DAE">
        <w:rPr>
          <w:rFonts w:eastAsia="Calibri"/>
        </w:rPr>
        <w:t>continued their analysis</w:t>
      </w:r>
      <w:r>
        <w:rPr>
          <w:rFonts w:eastAsia="Calibri"/>
        </w:rPr>
        <w:t xml:space="preserve">, </w:t>
      </w:r>
      <w:r w:rsidR="00133DAE">
        <w:rPr>
          <w:rFonts w:eastAsia="Calibri"/>
        </w:rPr>
        <w:t xml:space="preserve">they identified </w:t>
      </w:r>
      <w:r>
        <w:rPr>
          <w:rFonts w:eastAsia="Calibri"/>
        </w:rPr>
        <w:t xml:space="preserve">several strategic options that the company could pursue to achieve growth in the near future. </w:t>
      </w:r>
      <w:r w:rsidR="00133DAE">
        <w:rPr>
          <w:rFonts w:eastAsia="Calibri"/>
        </w:rPr>
        <w:t>Their four core choices were a</w:t>
      </w:r>
      <w:r>
        <w:rPr>
          <w:rFonts w:eastAsia="Calibri"/>
        </w:rPr>
        <w:t>cquisitions, internationalization, diversification</w:t>
      </w:r>
      <w:r w:rsidR="00133DAE">
        <w:rPr>
          <w:rFonts w:eastAsia="Calibri"/>
        </w:rPr>
        <w:t>,</w:t>
      </w:r>
      <w:r>
        <w:rPr>
          <w:rFonts w:eastAsia="Calibri"/>
        </w:rPr>
        <w:t xml:space="preserve"> </w:t>
      </w:r>
      <w:r w:rsidR="00945838">
        <w:rPr>
          <w:rFonts w:eastAsia="Calibri"/>
        </w:rPr>
        <w:t>and</w:t>
      </w:r>
      <w:r>
        <w:rPr>
          <w:rFonts w:eastAsia="Calibri"/>
        </w:rPr>
        <w:t xml:space="preserve"> focused continuation of </w:t>
      </w:r>
      <w:r w:rsidR="00133DAE">
        <w:rPr>
          <w:rFonts w:eastAsia="Calibri"/>
        </w:rPr>
        <w:t xml:space="preserve">their </w:t>
      </w:r>
      <w:r>
        <w:rPr>
          <w:rFonts w:eastAsia="Calibri"/>
        </w:rPr>
        <w:t xml:space="preserve">current strategy. It was time to decide what to do next. </w:t>
      </w:r>
    </w:p>
    <w:p w14:paraId="3512356E" w14:textId="77777777" w:rsidR="004402F5" w:rsidRDefault="004402F5" w:rsidP="008957A8">
      <w:pPr>
        <w:pStyle w:val="BodyTextMain"/>
        <w:rPr>
          <w:rFonts w:eastAsia="Calibri"/>
        </w:rPr>
      </w:pPr>
    </w:p>
    <w:p w14:paraId="1698900F" w14:textId="77777777" w:rsidR="004402F5" w:rsidRDefault="004402F5" w:rsidP="008957A8">
      <w:pPr>
        <w:pStyle w:val="BodyTextMain"/>
        <w:rPr>
          <w:rFonts w:eastAsia="Calibri"/>
        </w:rPr>
      </w:pPr>
    </w:p>
    <w:p w14:paraId="75DB53C8" w14:textId="77777777" w:rsidR="004402F5" w:rsidRDefault="004402F5" w:rsidP="00486BB1">
      <w:pPr>
        <w:pStyle w:val="Casehead1"/>
        <w:outlineLvl w:val="0"/>
        <w:rPr>
          <w:rFonts w:eastAsia="Calibri"/>
        </w:rPr>
      </w:pPr>
      <w:r>
        <w:rPr>
          <w:rFonts w:eastAsia="Calibri"/>
        </w:rPr>
        <w:t>Polish transformation: from planned to market economy</w:t>
      </w:r>
    </w:p>
    <w:p w14:paraId="7A2A12AB" w14:textId="77777777" w:rsidR="004402F5" w:rsidRDefault="004402F5" w:rsidP="008957A8">
      <w:pPr>
        <w:pStyle w:val="BodyTextMain"/>
        <w:rPr>
          <w:rFonts w:eastAsia="Calibri"/>
        </w:rPr>
      </w:pPr>
    </w:p>
    <w:p w14:paraId="3B1B236E" w14:textId="58841906" w:rsidR="004402F5" w:rsidRDefault="004402F5" w:rsidP="008957A8">
      <w:pPr>
        <w:pStyle w:val="BodyTextMain"/>
        <w:rPr>
          <w:rFonts w:eastAsia="Calibri"/>
        </w:rPr>
      </w:pPr>
      <w:r>
        <w:rPr>
          <w:rFonts w:eastAsia="Calibri"/>
        </w:rPr>
        <w:t xml:space="preserve">Following the </w:t>
      </w:r>
      <w:r w:rsidR="00845F47">
        <w:rPr>
          <w:rFonts w:eastAsia="Calibri"/>
        </w:rPr>
        <w:t xml:space="preserve">electoral </w:t>
      </w:r>
      <w:r>
        <w:rPr>
          <w:rFonts w:eastAsia="Calibri"/>
        </w:rPr>
        <w:t>victory</w:t>
      </w:r>
      <w:r w:rsidR="00845F47">
        <w:rPr>
          <w:rFonts w:eastAsia="Calibri"/>
        </w:rPr>
        <w:t xml:space="preserve"> of the</w:t>
      </w:r>
      <w:r w:rsidR="00845F47" w:rsidRPr="00845F47">
        <w:rPr>
          <w:rFonts w:ascii="Helvetica" w:hAnsi="Helvetica"/>
          <w:b/>
          <w:bCs/>
          <w:color w:val="222222"/>
          <w:sz w:val="21"/>
          <w:szCs w:val="21"/>
          <w:shd w:val="clear" w:color="auto" w:fill="FFFFFF"/>
          <w:lang w:val="en-US"/>
        </w:rPr>
        <w:t xml:space="preserve"> </w:t>
      </w:r>
      <w:r w:rsidR="00845F47" w:rsidRPr="00845F47">
        <w:rPr>
          <w:rFonts w:eastAsia="Calibri"/>
        </w:rPr>
        <w:t>Independent Self-G</w:t>
      </w:r>
      <w:r w:rsidR="00845F47" w:rsidRPr="00F93124">
        <w:rPr>
          <w:rFonts w:eastAsia="Calibri"/>
        </w:rPr>
        <w:t xml:space="preserve">overning Labour Union </w:t>
      </w:r>
      <w:r w:rsidR="00845F47">
        <w:rPr>
          <w:rFonts w:eastAsia="Calibri"/>
        </w:rPr>
        <w:t xml:space="preserve">(Solidarity) </w:t>
      </w:r>
      <w:r>
        <w:rPr>
          <w:rFonts w:eastAsia="Calibri"/>
        </w:rPr>
        <w:t>in Poland and the fall of the Berlin Wall in 1989</w:t>
      </w:r>
      <w:r w:rsidR="00133DAE">
        <w:rPr>
          <w:rFonts w:eastAsia="Calibri"/>
        </w:rPr>
        <w:t>,</w:t>
      </w:r>
      <w:r>
        <w:rPr>
          <w:rFonts w:eastAsia="Calibri"/>
        </w:rPr>
        <w:t xml:space="preserve"> </w:t>
      </w:r>
      <w:r w:rsidR="00133DAE">
        <w:rPr>
          <w:rFonts w:eastAsia="Calibri"/>
        </w:rPr>
        <w:t xml:space="preserve">Central and Eastern European countries </w:t>
      </w:r>
      <w:r w:rsidR="00FE4966">
        <w:rPr>
          <w:rFonts w:eastAsia="Calibri"/>
        </w:rPr>
        <w:t>underwent significant change</w:t>
      </w:r>
      <w:r>
        <w:rPr>
          <w:rFonts w:eastAsia="Calibri"/>
        </w:rPr>
        <w:t xml:space="preserve">. </w:t>
      </w:r>
      <w:r w:rsidR="00FE4966">
        <w:rPr>
          <w:rFonts w:eastAsia="Calibri"/>
        </w:rPr>
        <w:t xml:space="preserve">Poland’s </w:t>
      </w:r>
      <w:r>
        <w:rPr>
          <w:rFonts w:eastAsia="Calibri"/>
        </w:rPr>
        <w:t xml:space="preserve">political and economic transformation from </w:t>
      </w:r>
      <w:r w:rsidR="00FE4966">
        <w:rPr>
          <w:rFonts w:eastAsia="Calibri"/>
        </w:rPr>
        <w:t xml:space="preserve">a </w:t>
      </w:r>
      <w:r>
        <w:rPr>
          <w:rFonts w:eastAsia="Calibri"/>
        </w:rPr>
        <w:t xml:space="preserve">planned to </w:t>
      </w:r>
      <w:r w:rsidR="00FE4966">
        <w:rPr>
          <w:rFonts w:eastAsia="Calibri"/>
        </w:rPr>
        <w:t xml:space="preserve">a </w:t>
      </w:r>
      <w:r>
        <w:rPr>
          <w:rFonts w:eastAsia="Calibri"/>
        </w:rPr>
        <w:t xml:space="preserve">market economy was radical and widely seen as “shock therapy.” </w:t>
      </w:r>
      <w:r w:rsidR="00FE4966">
        <w:rPr>
          <w:rFonts w:eastAsia="Calibri"/>
        </w:rPr>
        <w:t>T</w:t>
      </w:r>
      <w:r>
        <w:rPr>
          <w:rFonts w:eastAsia="Calibri"/>
        </w:rPr>
        <w:t xml:space="preserve">he process was based on major institutional changes: (a) </w:t>
      </w:r>
      <w:r w:rsidR="000A56B3">
        <w:rPr>
          <w:rFonts w:eastAsia="Calibri"/>
        </w:rPr>
        <w:t>A</w:t>
      </w:r>
      <w:r>
        <w:rPr>
          <w:rFonts w:eastAsia="Calibri"/>
        </w:rPr>
        <w:t>n austerity program was introduced to fight raging inflation of almost 900</w:t>
      </w:r>
      <w:r w:rsidR="00D97EFF">
        <w:rPr>
          <w:rFonts w:eastAsia="Calibri"/>
        </w:rPr>
        <w:t xml:space="preserve"> per cent</w:t>
      </w:r>
      <w:r w:rsidR="00945838">
        <w:rPr>
          <w:rFonts w:eastAsia="Calibri"/>
        </w:rPr>
        <w:t>,</w:t>
      </w:r>
      <w:r>
        <w:rPr>
          <w:rFonts w:eastAsia="Calibri"/>
        </w:rPr>
        <w:t xml:space="preserve"> and interest rates were raised tenfold to 120</w:t>
      </w:r>
      <w:r w:rsidR="00D97EFF">
        <w:rPr>
          <w:rFonts w:eastAsia="Calibri"/>
        </w:rPr>
        <w:t xml:space="preserve"> per cent</w:t>
      </w:r>
      <w:r w:rsidR="000A56B3">
        <w:rPr>
          <w:rFonts w:eastAsia="Calibri"/>
        </w:rPr>
        <w:t>;</w:t>
      </w:r>
      <w:r>
        <w:rPr>
          <w:rFonts w:eastAsia="Calibri"/>
        </w:rPr>
        <w:t xml:space="preserve"> (b) </w:t>
      </w:r>
      <w:r w:rsidR="000A56B3">
        <w:rPr>
          <w:rFonts w:eastAsia="Calibri"/>
        </w:rPr>
        <w:t>T</w:t>
      </w:r>
      <w:r>
        <w:rPr>
          <w:rFonts w:eastAsia="Calibri"/>
        </w:rPr>
        <w:t>he currency was made internally converti</w:t>
      </w:r>
      <w:bookmarkStart w:id="0" w:name="_GoBack"/>
      <w:bookmarkEnd w:id="0"/>
      <w:r>
        <w:rPr>
          <w:rFonts w:eastAsia="Calibri"/>
        </w:rPr>
        <w:t>ble to Western currencies</w:t>
      </w:r>
      <w:r w:rsidR="000A56B3">
        <w:rPr>
          <w:rFonts w:eastAsia="Calibri"/>
        </w:rPr>
        <w:t>;</w:t>
      </w:r>
      <w:r>
        <w:rPr>
          <w:rFonts w:eastAsia="Calibri"/>
        </w:rPr>
        <w:t xml:space="preserve"> (c) </w:t>
      </w:r>
      <w:r w:rsidR="000A56B3">
        <w:rPr>
          <w:rFonts w:eastAsia="Calibri"/>
        </w:rPr>
        <w:t>A</w:t>
      </w:r>
      <w:r>
        <w:rPr>
          <w:rFonts w:eastAsia="Calibri"/>
        </w:rPr>
        <w:t xml:space="preserve"> privatization program of state-owned firms was started, a stock</w:t>
      </w:r>
      <w:r w:rsidR="000A56B3">
        <w:rPr>
          <w:rFonts w:eastAsia="Calibri"/>
        </w:rPr>
        <w:t xml:space="preserve"> </w:t>
      </w:r>
      <w:r>
        <w:rPr>
          <w:rFonts w:eastAsia="Calibri"/>
        </w:rPr>
        <w:t xml:space="preserve">exchange established, and subsidies for state-owned </w:t>
      </w:r>
      <w:r>
        <w:rPr>
          <w:rFonts w:eastAsia="Calibri"/>
        </w:rPr>
        <w:lastRenderedPageBreak/>
        <w:t>enterprises abandoned</w:t>
      </w:r>
      <w:r w:rsidR="000A56B3">
        <w:rPr>
          <w:rFonts w:eastAsia="Calibri"/>
        </w:rPr>
        <w:t>;</w:t>
      </w:r>
      <w:r>
        <w:rPr>
          <w:rFonts w:eastAsia="Calibri"/>
        </w:rPr>
        <w:t xml:space="preserve"> (d) </w:t>
      </w:r>
      <w:r w:rsidR="000A56B3">
        <w:rPr>
          <w:rFonts w:eastAsia="Calibri"/>
        </w:rPr>
        <w:t>P</w:t>
      </w:r>
      <w:r>
        <w:rPr>
          <w:rFonts w:eastAsia="Calibri"/>
        </w:rPr>
        <w:t>rice controls and custom duties were lifted</w:t>
      </w:r>
      <w:r w:rsidR="000A56B3">
        <w:rPr>
          <w:rFonts w:eastAsia="Calibri"/>
        </w:rPr>
        <w:t>;</w:t>
      </w:r>
      <w:r>
        <w:rPr>
          <w:rFonts w:eastAsia="Calibri"/>
        </w:rPr>
        <w:t xml:space="preserve"> (e) </w:t>
      </w:r>
      <w:r w:rsidR="000A56B3">
        <w:rPr>
          <w:rFonts w:eastAsia="Calibri"/>
        </w:rPr>
        <w:t>A</w:t>
      </w:r>
      <w:r>
        <w:rPr>
          <w:rFonts w:eastAsia="Calibri"/>
        </w:rPr>
        <w:t xml:space="preserve"> new commercial code was introduced</w:t>
      </w:r>
      <w:r w:rsidR="000A56B3">
        <w:rPr>
          <w:rFonts w:eastAsia="Calibri"/>
        </w:rPr>
        <w:t>;</w:t>
      </w:r>
      <w:r>
        <w:rPr>
          <w:rFonts w:eastAsia="Calibri"/>
        </w:rPr>
        <w:t xml:space="preserve"> and (f) </w:t>
      </w:r>
      <w:r w:rsidR="000A56B3">
        <w:rPr>
          <w:rFonts w:eastAsia="Calibri"/>
        </w:rPr>
        <w:t>N</w:t>
      </w:r>
      <w:r>
        <w:rPr>
          <w:rFonts w:eastAsia="Calibri"/>
        </w:rPr>
        <w:t xml:space="preserve">ew trade agreements were signed with Western European countries. </w:t>
      </w:r>
    </w:p>
    <w:p w14:paraId="1B2B0FCD" w14:textId="77777777" w:rsidR="004402F5" w:rsidRDefault="004402F5" w:rsidP="008957A8">
      <w:pPr>
        <w:pStyle w:val="BodyTextMain"/>
        <w:rPr>
          <w:rFonts w:eastAsia="Calibri"/>
        </w:rPr>
      </w:pPr>
    </w:p>
    <w:p w14:paraId="5E09E0F8" w14:textId="38517DCE" w:rsidR="004402F5" w:rsidRDefault="004645BF" w:rsidP="008957A8">
      <w:pPr>
        <w:pStyle w:val="BodyTextMain"/>
        <w:rPr>
          <w:rFonts w:eastAsia="Calibri"/>
        </w:rPr>
      </w:pPr>
      <w:r>
        <w:rPr>
          <w:rFonts w:eastAsia="Calibri"/>
        </w:rPr>
        <w:t>During the first year of transformation</w:t>
      </w:r>
      <w:r w:rsidR="004402F5">
        <w:rPr>
          <w:rFonts w:eastAsia="Calibri"/>
        </w:rPr>
        <w:t xml:space="preserve">, </w:t>
      </w:r>
      <w:r>
        <w:rPr>
          <w:rFonts w:eastAsia="Calibri"/>
        </w:rPr>
        <w:t>following the radical change of commercial law, a</w:t>
      </w:r>
      <w:r w:rsidR="004402F5">
        <w:rPr>
          <w:rFonts w:eastAsia="Calibri"/>
        </w:rPr>
        <w:t xml:space="preserve">lmost 1 million new ventures were established </w:t>
      </w:r>
      <w:r>
        <w:rPr>
          <w:rFonts w:eastAsia="Calibri"/>
        </w:rPr>
        <w:t>in a country with a population of roughly 39 million</w:t>
      </w:r>
      <w:r w:rsidR="004402F5">
        <w:rPr>
          <w:rFonts w:eastAsia="Calibri"/>
        </w:rPr>
        <w:t xml:space="preserve">. In parallel, </w:t>
      </w:r>
      <w:r w:rsidR="00BE22D5">
        <w:rPr>
          <w:rFonts w:eastAsia="Calibri"/>
        </w:rPr>
        <w:t xml:space="preserve">existing enterprises came under pressure </w:t>
      </w:r>
      <w:r w:rsidR="004402F5">
        <w:rPr>
          <w:rFonts w:eastAsia="Calibri"/>
        </w:rPr>
        <w:t xml:space="preserve">as a result of dramatically increased competition and the lack of state protection, </w:t>
      </w:r>
      <w:r w:rsidR="00836C59">
        <w:rPr>
          <w:rFonts w:eastAsia="Calibri"/>
        </w:rPr>
        <w:t xml:space="preserve">the </w:t>
      </w:r>
      <w:r w:rsidR="004402F5">
        <w:rPr>
          <w:rFonts w:eastAsia="Calibri"/>
        </w:rPr>
        <w:t>liberalization</w:t>
      </w:r>
      <w:r w:rsidR="008B20F2" w:rsidRPr="008B20F2">
        <w:rPr>
          <w:rFonts w:eastAsia="Calibri"/>
        </w:rPr>
        <w:t xml:space="preserve"> </w:t>
      </w:r>
      <w:r w:rsidR="008B20F2">
        <w:rPr>
          <w:rFonts w:eastAsia="Calibri"/>
        </w:rPr>
        <w:t>of imports</w:t>
      </w:r>
      <w:r w:rsidR="004402F5">
        <w:rPr>
          <w:rFonts w:eastAsia="Calibri"/>
        </w:rPr>
        <w:t>, restricted access to capital</w:t>
      </w:r>
      <w:r w:rsidR="00BE22D5">
        <w:rPr>
          <w:rFonts w:eastAsia="Calibri"/>
        </w:rPr>
        <w:t>,</w:t>
      </w:r>
      <w:r w:rsidR="004402F5">
        <w:rPr>
          <w:rFonts w:eastAsia="Calibri"/>
        </w:rPr>
        <w:t xml:space="preserve"> and </w:t>
      </w:r>
      <w:r w:rsidR="00836C59">
        <w:rPr>
          <w:rFonts w:eastAsia="Calibri"/>
        </w:rPr>
        <w:t>a</w:t>
      </w:r>
      <w:r w:rsidR="00BE22D5">
        <w:rPr>
          <w:rFonts w:eastAsia="Calibri"/>
        </w:rPr>
        <w:t xml:space="preserve"> </w:t>
      </w:r>
      <w:r w:rsidR="004402F5">
        <w:rPr>
          <w:rFonts w:eastAsia="Calibri"/>
        </w:rPr>
        <w:t xml:space="preserve">surge of entrepreneurship. Managers of both state-owned (about 12,000 state-owned firms in 1988) and private companies faced the </w:t>
      </w:r>
      <w:r>
        <w:rPr>
          <w:rFonts w:eastAsia="Calibri"/>
        </w:rPr>
        <w:t>“</w:t>
      </w:r>
      <w:r w:rsidR="004402F5">
        <w:rPr>
          <w:rFonts w:eastAsia="Calibri"/>
        </w:rPr>
        <w:t>adapt or die</w:t>
      </w:r>
      <w:r>
        <w:rPr>
          <w:rFonts w:eastAsia="Calibri"/>
        </w:rPr>
        <w:t xml:space="preserve">” </w:t>
      </w:r>
      <w:r w:rsidR="004402F5">
        <w:rPr>
          <w:rFonts w:eastAsia="Calibri"/>
        </w:rPr>
        <w:t xml:space="preserve">dictum. Many </w:t>
      </w:r>
      <w:r>
        <w:rPr>
          <w:rFonts w:eastAsia="Calibri"/>
        </w:rPr>
        <w:t>companies</w:t>
      </w:r>
      <w:r w:rsidR="004402F5">
        <w:rPr>
          <w:rFonts w:eastAsia="Calibri"/>
        </w:rPr>
        <w:t xml:space="preserve"> were successful and</w:t>
      </w:r>
      <w:r>
        <w:rPr>
          <w:rFonts w:eastAsia="Calibri"/>
        </w:rPr>
        <w:t>,</w:t>
      </w:r>
      <w:r w:rsidR="004402F5">
        <w:rPr>
          <w:rFonts w:eastAsia="Calibri"/>
        </w:rPr>
        <w:t xml:space="preserve"> in general, the Polish case </w:t>
      </w:r>
      <w:r>
        <w:rPr>
          <w:rFonts w:eastAsia="Calibri"/>
        </w:rPr>
        <w:t>was</w:t>
      </w:r>
      <w:r w:rsidR="004402F5">
        <w:rPr>
          <w:rFonts w:eastAsia="Calibri"/>
        </w:rPr>
        <w:t xml:space="preserve"> praised as a fast and holistic, if radical, transformation from </w:t>
      </w:r>
      <w:r w:rsidR="00836C59">
        <w:rPr>
          <w:rFonts w:eastAsia="Calibri"/>
        </w:rPr>
        <w:t xml:space="preserve">a </w:t>
      </w:r>
      <w:r w:rsidR="004402F5">
        <w:rPr>
          <w:rFonts w:eastAsia="Calibri"/>
        </w:rPr>
        <w:t xml:space="preserve">communist to </w:t>
      </w:r>
      <w:r w:rsidR="00836C59">
        <w:rPr>
          <w:rFonts w:eastAsia="Calibri"/>
        </w:rPr>
        <w:t xml:space="preserve">a </w:t>
      </w:r>
      <w:r w:rsidR="004402F5">
        <w:rPr>
          <w:rFonts w:eastAsia="Calibri"/>
        </w:rPr>
        <w:t xml:space="preserve">market economy. </w:t>
      </w:r>
    </w:p>
    <w:p w14:paraId="3C087E75" w14:textId="77777777" w:rsidR="004402F5" w:rsidRDefault="004402F5" w:rsidP="008957A8">
      <w:pPr>
        <w:pStyle w:val="BodyTextMain"/>
        <w:rPr>
          <w:rFonts w:eastAsia="Calibri"/>
        </w:rPr>
      </w:pPr>
    </w:p>
    <w:p w14:paraId="2CE82BB7" w14:textId="69F823F5" w:rsidR="004402F5" w:rsidRDefault="004645BF" w:rsidP="008957A8">
      <w:pPr>
        <w:pStyle w:val="BodyTextMain"/>
        <w:rPr>
          <w:rFonts w:eastAsia="Calibri"/>
        </w:rPr>
      </w:pPr>
      <w:r>
        <w:t>Privatization of state-owned firms was o</w:t>
      </w:r>
      <w:r w:rsidR="004402F5">
        <w:rPr>
          <w:rFonts w:eastAsia="Calibri"/>
        </w:rPr>
        <w:t>ne of the key elements of the transformation</w:t>
      </w:r>
      <w:r>
        <w:rPr>
          <w:rFonts w:eastAsia="Calibri"/>
        </w:rPr>
        <w:t>.</w:t>
      </w:r>
      <w:r w:rsidR="004402F5">
        <w:rPr>
          <w:rFonts w:eastAsia="Calibri"/>
        </w:rPr>
        <w:t xml:space="preserve"> </w:t>
      </w:r>
      <w:r w:rsidR="004402F5">
        <w:t xml:space="preserve">This process occurred in waves because the government dealt with industries on a case-by-case basis, trying to manage social and political concerns </w:t>
      </w:r>
      <w:r w:rsidR="00655EEF">
        <w:t>while also</w:t>
      </w:r>
      <w:r w:rsidR="004402F5">
        <w:t xml:space="preserve"> maximiz</w:t>
      </w:r>
      <w:r w:rsidR="00655EEF">
        <w:t>ing</w:t>
      </w:r>
      <w:r w:rsidR="004402F5">
        <w:t xml:space="preserve"> budget revenues. </w:t>
      </w:r>
    </w:p>
    <w:p w14:paraId="61E1E3D2" w14:textId="77777777" w:rsidR="004402F5" w:rsidRDefault="004402F5" w:rsidP="008957A8">
      <w:pPr>
        <w:pStyle w:val="BodyTextMain"/>
        <w:rPr>
          <w:rFonts w:eastAsia="Calibri"/>
        </w:rPr>
      </w:pPr>
    </w:p>
    <w:p w14:paraId="31EDCF0C" w14:textId="77777777" w:rsidR="0069269A" w:rsidRDefault="0069269A" w:rsidP="008957A8">
      <w:pPr>
        <w:pStyle w:val="BodyTextMain"/>
        <w:rPr>
          <w:rFonts w:eastAsia="Calibri"/>
        </w:rPr>
      </w:pPr>
    </w:p>
    <w:p w14:paraId="0B2CDE72" w14:textId="77777777" w:rsidR="004402F5" w:rsidRDefault="004402F5" w:rsidP="00486BB1">
      <w:pPr>
        <w:pStyle w:val="Casehead1"/>
        <w:outlineLvl w:val="0"/>
        <w:rPr>
          <w:rFonts w:eastAsia="Calibri"/>
        </w:rPr>
      </w:pPr>
      <w:r>
        <w:rPr>
          <w:rFonts w:eastAsia="Calibri"/>
        </w:rPr>
        <w:t>Polish alcoholic beverages industry and market</w:t>
      </w:r>
    </w:p>
    <w:p w14:paraId="535E8225" w14:textId="77777777" w:rsidR="004402F5" w:rsidRDefault="004402F5" w:rsidP="008957A8">
      <w:pPr>
        <w:pStyle w:val="BodyTextMain"/>
        <w:rPr>
          <w:rFonts w:eastAsia="Calibri"/>
        </w:rPr>
      </w:pPr>
    </w:p>
    <w:p w14:paraId="6BB3B143" w14:textId="6169ECCC" w:rsidR="004402F5" w:rsidRDefault="00CF64D7" w:rsidP="008957A8">
      <w:pPr>
        <w:pStyle w:val="BodyTextMain"/>
        <w:rPr>
          <w:rFonts w:eastAsia="Calibri"/>
        </w:rPr>
      </w:pPr>
      <w:r>
        <w:t>Poland targeted t</w:t>
      </w:r>
      <w:r w:rsidR="004402F5">
        <w:t>he liquor industry for privatization</w:t>
      </w:r>
      <w:r w:rsidR="00655EEF" w:rsidRPr="00655EEF">
        <w:t xml:space="preserve"> </w:t>
      </w:r>
      <w:r w:rsidR="00655EEF">
        <w:t>at the beginning of 2000</w:t>
      </w:r>
      <w:r w:rsidR="004402F5">
        <w:t>. The revenue expect</w:t>
      </w:r>
      <w:r>
        <w:t>ed</w:t>
      </w:r>
      <w:r w:rsidR="004402F5">
        <w:t xml:space="preserve"> from privatization </w:t>
      </w:r>
      <w:r w:rsidR="00D152D6">
        <w:t xml:space="preserve">was </w:t>
      </w:r>
      <w:r w:rsidR="004402F5">
        <w:t>high</w:t>
      </w:r>
      <w:r w:rsidR="008B20F2">
        <w:t>;</w:t>
      </w:r>
      <w:r w:rsidR="004402F5">
        <w:t xml:space="preserve"> the alcoholic beverages market had huge potential in terms of size and expected growth. </w:t>
      </w:r>
      <w:r w:rsidR="00D152D6">
        <w:t>In 2000</w:t>
      </w:r>
      <w:r w:rsidR="004402F5">
        <w:t>, the three largest alcoholic beverages markets were the U</w:t>
      </w:r>
      <w:r>
        <w:t xml:space="preserve">nited </w:t>
      </w:r>
      <w:r w:rsidR="004402F5">
        <w:t>S</w:t>
      </w:r>
      <w:r>
        <w:t>tates</w:t>
      </w:r>
      <w:r w:rsidR="004402F5">
        <w:t xml:space="preserve"> (</w:t>
      </w:r>
      <w:r>
        <w:t>approximately US$</w:t>
      </w:r>
      <w:r w:rsidR="004402F5">
        <w:t>80 b</w:t>
      </w:r>
      <w:r>
        <w:t>illio</w:t>
      </w:r>
      <w:r w:rsidR="004402F5">
        <w:t>n),</w:t>
      </w:r>
      <w:r>
        <w:rPr>
          <w:rStyle w:val="FootnoteReference"/>
        </w:rPr>
        <w:footnoteReference w:id="3"/>
      </w:r>
      <w:r w:rsidR="004402F5">
        <w:t xml:space="preserve"> Japan (app</w:t>
      </w:r>
      <w:r>
        <w:t>roximately $</w:t>
      </w:r>
      <w:r w:rsidR="004402F5">
        <w:t>60 b</w:t>
      </w:r>
      <w:r>
        <w:t>illio</w:t>
      </w:r>
      <w:r w:rsidR="004402F5">
        <w:t>n)</w:t>
      </w:r>
      <w:r>
        <w:t>,</w:t>
      </w:r>
      <w:r w:rsidR="004402F5">
        <w:t xml:space="preserve"> and Germany (app</w:t>
      </w:r>
      <w:r>
        <w:t>roximately</w:t>
      </w:r>
      <w:r w:rsidR="004402F5">
        <w:t xml:space="preserve"> </w:t>
      </w:r>
      <w:r>
        <w:t>$</w:t>
      </w:r>
      <w:r w:rsidR="004402F5">
        <w:t>28 b</w:t>
      </w:r>
      <w:r>
        <w:t>illio</w:t>
      </w:r>
      <w:r w:rsidR="004402F5">
        <w:t xml:space="preserve">n), followed by France, </w:t>
      </w:r>
      <w:r w:rsidR="00C669E6">
        <w:t xml:space="preserve">the </w:t>
      </w:r>
      <w:r w:rsidR="004402F5">
        <w:t>U</w:t>
      </w:r>
      <w:r w:rsidR="00C669E6">
        <w:t xml:space="preserve">nited </w:t>
      </w:r>
      <w:r w:rsidR="004402F5">
        <w:t>K</w:t>
      </w:r>
      <w:r w:rsidR="00C669E6">
        <w:t>ingdom,</w:t>
      </w:r>
      <w:r w:rsidR="004402F5">
        <w:t xml:space="preserve"> and Russia. Poland, with </w:t>
      </w:r>
      <w:r w:rsidR="00C669E6">
        <w:t>a market</w:t>
      </w:r>
      <w:r w:rsidR="004402F5">
        <w:t xml:space="preserve"> of </w:t>
      </w:r>
      <w:r w:rsidR="00C669E6">
        <w:t>$</w:t>
      </w:r>
      <w:r w:rsidR="004402F5">
        <w:t>7.5 b</w:t>
      </w:r>
      <w:r w:rsidR="00C669E6">
        <w:t>illio</w:t>
      </w:r>
      <w:r w:rsidR="004402F5">
        <w:t xml:space="preserve">n, was the </w:t>
      </w:r>
      <w:r w:rsidR="00C669E6">
        <w:t xml:space="preserve">seventh </w:t>
      </w:r>
      <w:r w:rsidR="004402F5">
        <w:t>largest market in the world</w:t>
      </w:r>
      <w:r w:rsidR="00C669E6">
        <w:t xml:space="preserve">. Poland </w:t>
      </w:r>
      <w:r w:rsidR="004402F5">
        <w:t xml:space="preserve">was </w:t>
      </w:r>
      <w:r w:rsidR="00C669E6">
        <w:t xml:space="preserve">also </w:t>
      </w:r>
      <w:r w:rsidR="004402F5">
        <w:t xml:space="preserve">recognized as </w:t>
      </w:r>
      <w:r w:rsidR="00794762">
        <w:t xml:space="preserve">the </w:t>
      </w:r>
      <w:r w:rsidR="004402F5">
        <w:t>producer of the best vodkas in the world.</w:t>
      </w:r>
      <w:r w:rsidR="004402F5">
        <w:rPr>
          <w:rStyle w:val="FootnoteReference"/>
        </w:rPr>
        <w:footnoteReference w:id="4"/>
      </w:r>
      <w:r w:rsidR="004402F5">
        <w:t xml:space="preserve"> Pablo Picasso was a </w:t>
      </w:r>
      <w:r w:rsidR="00BD2430">
        <w:t>true</w:t>
      </w:r>
      <w:r w:rsidR="004402F5">
        <w:t xml:space="preserve"> fan of Polish vodka and once (</w:t>
      </w:r>
      <w:r w:rsidR="00BD2430">
        <w:t>apparently</w:t>
      </w:r>
      <w:r w:rsidR="004402F5">
        <w:t>) declared his devotion by stating</w:t>
      </w:r>
      <w:r w:rsidR="00BD2430">
        <w:t>,</w:t>
      </w:r>
      <w:r w:rsidR="004402F5">
        <w:t xml:space="preserve"> “</w:t>
      </w:r>
      <w:r w:rsidR="00BD2430">
        <w:t>T</w:t>
      </w:r>
      <w:r w:rsidR="004402F5">
        <w:t xml:space="preserve">he three most astonishing things in the past half-century were the </w:t>
      </w:r>
      <w:r w:rsidR="00C669E6">
        <w:t>B</w:t>
      </w:r>
      <w:r w:rsidR="004402F5">
        <w:t xml:space="preserve">lues, </w:t>
      </w:r>
      <w:r w:rsidR="00C669E6">
        <w:t>C</w:t>
      </w:r>
      <w:r w:rsidR="004402F5">
        <w:t>ubism, and Polish vodka</w:t>
      </w:r>
      <w:r w:rsidR="00C669E6">
        <w:t>.</w:t>
      </w:r>
      <w:r w:rsidR="004402F5">
        <w:t>”</w:t>
      </w:r>
    </w:p>
    <w:p w14:paraId="67A43FCA" w14:textId="77777777" w:rsidR="004402F5" w:rsidRDefault="004402F5" w:rsidP="008957A8">
      <w:pPr>
        <w:pStyle w:val="BodyTextMain"/>
        <w:rPr>
          <w:rFonts w:eastAsia="Calibri"/>
        </w:rPr>
      </w:pPr>
    </w:p>
    <w:p w14:paraId="7B8DB302" w14:textId="6C0B0592" w:rsidR="006F20B9" w:rsidRPr="006F20B9" w:rsidRDefault="004402F5" w:rsidP="006F20B9">
      <w:pPr>
        <w:pStyle w:val="BodyTextMain"/>
        <w:rPr>
          <w:rFonts w:eastAsia="Calibri"/>
          <w:lang w:val="en-US"/>
        </w:rPr>
      </w:pPr>
      <w:r>
        <w:rPr>
          <w:rFonts w:eastAsia="Calibri"/>
        </w:rPr>
        <w:t>Until 1989</w:t>
      </w:r>
      <w:r w:rsidR="00BE2624">
        <w:rPr>
          <w:rFonts w:eastAsia="Calibri"/>
        </w:rPr>
        <w:t>,</w:t>
      </w:r>
      <w:r>
        <w:rPr>
          <w:rFonts w:eastAsia="Calibri"/>
        </w:rPr>
        <w:t xml:space="preserve"> all </w:t>
      </w:r>
      <w:r w:rsidR="00BD2430">
        <w:rPr>
          <w:rFonts w:eastAsia="Calibri"/>
        </w:rPr>
        <w:t xml:space="preserve">25 </w:t>
      </w:r>
      <w:r>
        <w:rPr>
          <w:rFonts w:eastAsia="Calibri"/>
        </w:rPr>
        <w:t xml:space="preserve">producers of alcoholic beverages in </w:t>
      </w:r>
      <w:r w:rsidR="00BE2624">
        <w:rPr>
          <w:rFonts w:eastAsia="Calibri"/>
        </w:rPr>
        <w:t>Poland</w:t>
      </w:r>
      <w:r w:rsidR="00BD2430">
        <w:rPr>
          <w:rFonts w:eastAsia="Calibri"/>
        </w:rPr>
        <w:t>—each with the generic name “</w:t>
      </w:r>
      <w:proofErr w:type="spellStart"/>
      <w:r w:rsidR="00BD2430">
        <w:rPr>
          <w:rFonts w:eastAsia="Calibri"/>
        </w:rPr>
        <w:t>Polmos</w:t>
      </w:r>
      <w:proofErr w:type="spellEnd"/>
      <w:r w:rsidR="00BD2430">
        <w:rPr>
          <w:rFonts w:eastAsia="Calibri"/>
        </w:rPr>
        <w:t>”—</w:t>
      </w:r>
      <w:r>
        <w:rPr>
          <w:rFonts w:eastAsia="Calibri"/>
        </w:rPr>
        <w:t>were state-owned</w:t>
      </w:r>
      <w:r w:rsidR="00487835">
        <w:rPr>
          <w:rFonts w:eastAsia="Calibri"/>
        </w:rPr>
        <w:t>;</w:t>
      </w:r>
      <w:r w:rsidR="00BE2624">
        <w:rPr>
          <w:rFonts w:eastAsia="Calibri"/>
        </w:rPr>
        <w:t xml:space="preserve"> </w:t>
      </w:r>
      <w:r>
        <w:rPr>
          <w:rFonts w:eastAsia="Calibri"/>
        </w:rPr>
        <w:t xml:space="preserve">production was a state monopoly. </w:t>
      </w:r>
      <w:r w:rsidR="006F20B9" w:rsidRPr="006F20B9">
        <w:rPr>
          <w:rFonts w:eastAsia="Calibri"/>
          <w:lang w:val="en-US"/>
        </w:rPr>
        <w:t xml:space="preserve">In 1989, ownership of over 200 popular brands was consolidated in one state-owned enterprise, which then licensed these brands to the state-owned producers at no cost. As a result, products were decoupled from brands. Also, the </w:t>
      </w:r>
      <w:r w:rsidR="00AF36A2">
        <w:rPr>
          <w:rFonts w:eastAsia="Calibri"/>
          <w:lang w:val="en-US"/>
        </w:rPr>
        <w:t xml:space="preserve">state </w:t>
      </w:r>
      <w:r w:rsidR="006F20B9" w:rsidRPr="006F20B9">
        <w:rPr>
          <w:rFonts w:eastAsia="Calibri"/>
          <w:lang w:val="en-US"/>
        </w:rPr>
        <w:t xml:space="preserve">monopoly </w:t>
      </w:r>
      <w:r w:rsidR="00AF36A2">
        <w:rPr>
          <w:rFonts w:eastAsia="Calibri"/>
          <w:lang w:val="en-US"/>
        </w:rPr>
        <w:t xml:space="preserve">of vodka production </w:t>
      </w:r>
      <w:r w:rsidR="006F20B9" w:rsidRPr="006F20B9">
        <w:rPr>
          <w:rFonts w:eastAsia="Calibri"/>
          <w:lang w:val="en-US"/>
        </w:rPr>
        <w:t xml:space="preserve">was terminated and firms </w:t>
      </w:r>
      <w:r w:rsidR="00AF36A2">
        <w:rPr>
          <w:rFonts w:eastAsia="Calibri"/>
          <w:lang w:val="en-US"/>
        </w:rPr>
        <w:t xml:space="preserve">could apply for </w:t>
      </w:r>
      <w:r w:rsidR="00306B95">
        <w:rPr>
          <w:rFonts w:eastAsia="Calibri"/>
          <w:lang w:val="en-US"/>
        </w:rPr>
        <w:t xml:space="preserve">a </w:t>
      </w:r>
      <w:r w:rsidR="00AF36A2">
        <w:rPr>
          <w:rFonts w:eastAsia="Calibri"/>
          <w:lang w:val="en-US"/>
        </w:rPr>
        <w:t xml:space="preserve">special license and </w:t>
      </w:r>
      <w:r w:rsidR="006F20B9" w:rsidRPr="006F20B9">
        <w:rPr>
          <w:rFonts w:eastAsia="Calibri"/>
          <w:lang w:val="en-US"/>
        </w:rPr>
        <w:t xml:space="preserve">enter the </w:t>
      </w:r>
      <w:r w:rsidR="00AF36A2">
        <w:rPr>
          <w:rFonts w:eastAsia="Calibri"/>
          <w:lang w:val="en-US"/>
        </w:rPr>
        <w:t xml:space="preserve">alcoholic beverages </w:t>
      </w:r>
      <w:r w:rsidR="006F20B9" w:rsidRPr="006F20B9">
        <w:rPr>
          <w:rFonts w:eastAsia="Calibri"/>
          <w:lang w:val="en-US"/>
        </w:rPr>
        <w:t xml:space="preserve">market. </w:t>
      </w:r>
    </w:p>
    <w:p w14:paraId="0508886A" w14:textId="77777777" w:rsidR="00BE2624" w:rsidRDefault="00BE2624" w:rsidP="008957A8">
      <w:pPr>
        <w:pStyle w:val="BodyTextMain"/>
        <w:rPr>
          <w:rFonts w:eastAsia="Calibri"/>
        </w:rPr>
      </w:pPr>
    </w:p>
    <w:p w14:paraId="62966873" w14:textId="7DE19E15" w:rsidR="00F34E94" w:rsidRDefault="004402F5" w:rsidP="008957A8">
      <w:pPr>
        <w:pStyle w:val="BodyTextMain"/>
        <w:rPr>
          <w:rFonts w:eastAsia="Calibri"/>
        </w:rPr>
      </w:pPr>
      <w:r>
        <w:rPr>
          <w:rFonts w:eastAsia="Calibri"/>
        </w:rPr>
        <w:t xml:space="preserve">Various </w:t>
      </w:r>
      <w:proofErr w:type="spellStart"/>
      <w:r>
        <w:rPr>
          <w:rFonts w:eastAsia="Calibri"/>
        </w:rPr>
        <w:t>Polmos</w:t>
      </w:r>
      <w:proofErr w:type="spellEnd"/>
      <w:r>
        <w:rPr>
          <w:rFonts w:eastAsia="Calibri"/>
        </w:rPr>
        <w:t xml:space="preserve"> enterprises produced vodkas of varying quality</w:t>
      </w:r>
      <w:r w:rsidR="00BE2624">
        <w:rPr>
          <w:rFonts w:eastAsia="Calibri"/>
        </w:rPr>
        <w:t>,</w:t>
      </w:r>
      <w:r>
        <w:rPr>
          <w:rFonts w:eastAsia="Calibri"/>
        </w:rPr>
        <w:t xml:space="preserve"> </w:t>
      </w:r>
      <w:r w:rsidR="00BE2624">
        <w:rPr>
          <w:rFonts w:eastAsia="Calibri"/>
        </w:rPr>
        <w:t xml:space="preserve">but </w:t>
      </w:r>
      <w:r>
        <w:rPr>
          <w:rFonts w:eastAsia="Calibri"/>
        </w:rPr>
        <w:t>used the same brands. This led to intense competition, consumer confusion</w:t>
      </w:r>
      <w:r w:rsidR="00BE2624">
        <w:rPr>
          <w:rFonts w:eastAsia="Calibri"/>
        </w:rPr>
        <w:t>,</w:t>
      </w:r>
      <w:r>
        <w:rPr>
          <w:rFonts w:eastAsia="Calibri"/>
        </w:rPr>
        <w:t xml:space="preserve"> and subsequent depreciation of </w:t>
      </w:r>
      <w:r w:rsidR="00BE2624">
        <w:rPr>
          <w:rFonts w:eastAsia="Calibri"/>
        </w:rPr>
        <w:t xml:space="preserve">brand </w:t>
      </w:r>
      <w:r>
        <w:rPr>
          <w:rFonts w:eastAsia="Calibri"/>
        </w:rPr>
        <w:t>value</w:t>
      </w:r>
      <w:r w:rsidR="00BE2624">
        <w:rPr>
          <w:rFonts w:eastAsia="Calibri"/>
        </w:rPr>
        <w:t>s</w:t>
      </w:r>
      <w:r>
        <w:rPr>
          <w:rFonts w:eastAsia="Calibri"/>
        </w:rPr>
        <w:t xml:space="preserve">. In parallel, the industry saw a wave of new </w:t>
      </w:r>
      <w:r w:rsidR="00BE2624">
        <w:rPr>
          <w:rFonts w:eastAsia="Calibri"/>
        </w:rPr>
        <w:t xml:space="preserve">producers </w:t>
      </w:r>
      <w:r>
        <w:rPr>
          <w:rFonts w:eastAsia="Calibri"/>
        </w:rPr>
        <w:t xml:space="preserve">who focused on the development of completely new (and hence proprietary) brands. </w:t>
      </w:r>
      <w:r w:rsidR="00330034">
        <w:rPr>
          <w:rFonts w:eastAsia="Calibri"/>
        </w:rPr>
        <w:t>However, m</w:t>
      </w:r>
      <w:r>
        <w:rPr>
          <w:rFonts w:eastAsia="Calibri"/>
        </w:rPr>
        <w:t xml:space="preserve">ost of these new brands were unsuccessful, for </w:t>
      </w:r>
      <w:r w:rsidR="00B80F6F">
        <w:rPr>
          <w:rFonts w:eastAsia="Calibri"/>
        </w:rPr>
        <w:t xml:space="preserve">primarily </w:t>
      </w:r>
      <w:r>
        <w:rPr>
          <w:rFonts w:eastAsia="Calibri"/>
        </w:rPr>
        <w:t>two reasons</w:t>
      </w:r>
      <w:r w:rsidR="00330034">
        <w:rPr>
          <w:rFonts w:eastAsia="Calibri"/>
        </w:rPr>
        <w:t>:</w:t>
      </w:r>
      <w:r>
        <w:rPr>
          <w:rFonts w:eastAsia="Calibri"/>
        </w:rPr>
        <w:t xml:space="preserve"> First, there were still many strong incumbent brands and customers were used to them, even if quality was an issue. Second, reaching customers was difficult </w:t>
      </w:r>
      <w:r w:rsidR="00330034">
        <w:rPr>
          <w:rFonts w:eastAsia="Calibri"/>
        </w:rPr>
        <w:t xml:space="preserve">because </w:t>
      </w:r>
      <w:r>
        <w:rPr>
          <w:rFonts w:eastAsia="Calibri"/>
        </w:rPr>
        <w:t xml:space="preserve">direct marketing of liquor was </w:t>
      </w:r>
      <w:r w:rsidR="00330034">
        <w:rPr>
          <w:rFonts w:eastAsia="Calibri"/>
        </w:rPr>
        <w:t xml:space="preserve">not </w:t>
      </w:r>
      <w:r>
        <w:rPr>
          <w:rFonts w:eastAsia="Calibri"/>
        </w:rPr>
        <w:t>allowed. Therefore</w:t>
      </w:r>
      <w:r w:rsidR="0003008B">
        <w:rPr>
          <w:rFonts w:eastAsia="Calibri"/>
        </w:rPr>
        <w:t>,</w:t>
      </w:r>
      <w:r>
        <w:rPr>
          <w:rFonts w:eastAsia="Calibri"/>
        </w:rPr>
        <w:t xml:space="preserve"> the only two ways to </w:t>
      </w:r>
      <w:r w:rsidR="00190ECE">
        <w:rPr>
          <w:rFonts w:eastAsia="Calibri"/>
        </w:rPr>
        <w:t xml:space="preserve">successfully </w:t>
      </w:r>
      <w:r>
        <w:rPr>
          <w:rFonts w:eastAsia="Calibri"/>
        </w:rPr>
        <w:t xml:space="preserve">enter the market were with strong international brands like Absolut, </w:t>
      </w:r>
      <w:proofErr w:type="spellStart"/>
      <w:r>
        <w:rPr>
          <w:rFonts w:eastAsia="Calibri"/>
        </w:rPr>
        <w:t>Bols</w:t>
      </w:r>
      <w:proofErr w:type="spellEnd"/>
      <w:r>
        <w:rPr>
          <w:rFonts w:eastAsia="Calibri"/>
        </w:rPr>
        <w:t>, Smirnoff</w:t>
      </w:r>
      <w:r w:rsidR="002F19F0">
        <w:rPr>
          <w:rFonts w:eastAsia="Calibri"/>
        </w:rPr>
        <w:t>,</w:t>
      </w:r>
      <w:r>
        <w:rPr>
          <w:rFonts w:eastAsia="Calibri"/>
        </w:rPr>
        <w:t xml:space="preserve"> or Finland (</w:t>
      </w:r>
      <w:r w:rsidR="00DA67FE">
        <w:rPr>
          <w:rFonts w:eastAsia="Calibri"/>
        </w:rPr>
        <w:t xml:space="preserve">all four of </w:t>
      </w:r>
      <w:r>
        <w:rPr>
          <w:rFonts w:eastAsia="Calibri"/>
        </w:rPr>
        <w:t xml:space="preserve">which </w:t>
      </w:r>
      <w:r w:rsidR="00B80F6F">
        <w:rPr>
          <w:rFonts w:eastAsia="Calibri"/>
        </w:rPr>
        <w:t xml:space="preserve">had </w:t>
      </w:r>
      <w:r>
        <w:rPr>
          <w:rFonts w:eastAsia="Calibri"/>
        </w:rPr>
        <w:t xml:space="preserve">gained a strong foothold in the premium segment of the </w:t>
      </w:r>
      <w:r w:rsidR="00DA67FE">
        <w:rPr>
          <w:rFonts w:eastAsia="Calibri"/>
        </w:rPr>
        <w:t xml:space="preserve">Polish </w:t>
      </w:r>
      <w:r>
        <w:rPr>
          <w:rFonts w:eastAsia="Calibri"/>
        </w:rPr>
        <w:t xml:space="preserve">market), or through imaginative marketing strategies. </w:t>
      </w:r>
    </w:p>
    <w:p w14:paraId="7BFACF6C" w14:textId="77777777" w:rsidR="00F34E94" w:rsidRDefault="00F34E94" w:rsidP="008957A8">
      <w:pPr>
        <w:pStyle w:val="BodyTextMain"/>
        <w:rPr>
          <w:rFonts w:eastAsia="Calibri"/>
        </w:rPr>
      </w:pPr>
    </w:p>
    <w:p w14:paraId="33660CD2" w14:textId="07713184" w:rsidR="004402F5" w:rsidRDefault="004402F5" w:rsidP="008957A8">
      <w:pPr>
        <w:pStyle w:val="BodyTextMain"/>
        <w:rPr>
          <w:rFonts w:eastAsia="Calibri"/>
        </w:rPr>
      </w:pPr>
      <w:r>
        <w:rPr>
          <w:rFonts w:eastAsia="Calibri"/>
        </w:rPr>
        <w:t xml:space="preserve">Two noteworthy entries </w:t>
      </w:r>
      <w:r w:rsidR="002F19F0">
        <w:rPr>
          <w:rFonts w:eastAsia="Calibri"/>
        </w:rPr>
        <w:t xml:space="preserve">using </w:t>
      </w:r>
      <w:r w:rsidR="00F34E94">
        <w:rPr>
          <w:rFonts w:eastAsia="Calibri"/>
        </w:rPr>
        <w:t>imaginative marketing strategies</w:t>
      </w:r>
      <w:r w:rsidR="002F19F0">
        <w:rPr>
          <w:rFonts w:eastAsia="Calibri"/>
        </w:rPr>
        <w:t xml:space="preserve"> </w:t>
      </w:r>
      <w:r>
        <w:rPr>
          <w:rFonts w:eastAsia="Calibri"/>
        </w:rPr>
        <w:t xml:space="preserve">were pure vodkas branded as </w:t>
      </w:r>
      <w:r>
        <w:rPr>
          <w:rFonts w:eastAsia="Calibri"/>
          <w:i/>
        </w:rPr>
        <w:t>Sobieski</w:t>
      </w:r>
      <w:r>
        <w:rPr>
          <w:rFonts w:eastAsia="Calibri"/>
        </w:rPr>
        <w:t xml:space="preserve"> and </w:t>
      </w:r>
      <w:proofErr w:type="spellStart"/>
      <w:r>
        <w:rPr>
          <w:rFonts w:eastAsia="Calibri"/>
          <w:i/>
        </w:rPr>
        <w:t>Absolwent</w:t>
      </w:r>
      <w:proofErr w:type="spellEnd"/>
      <w:r>
        <w:rPr>
          <w:rFonts w:eastAsia="Calibri"/>
          <w:i/>
        </w:rPr>
        <w:t xml:space="preserve"> </w:t>
      </w:r>
      <w:r w:rsidR="00FB4C21">
        <w:rPr>
          <w:rFonts w:eastAsia="Calibri"/>
        </w:rPr>
        <w:t>(</w:t>
      </w:r>
      <w:r w:rsidRPr="00F93124">
        <w:rPr>
          <w:rFonts w:eastAsia="Calibri"/>
        </w:rPr>
        <w:t>Graduate</w:t>
      </w:r>
      <w:r w:rsidR="00FB4C21">
        <w:rPr>
          <w:rFonts w:eastAsia="Calibri"/>
        </w:rPr>
        <w:t>)</w:t>
      </w:r>
      <w:r w:rsidR="002F19F0">
        <w:rPr>
          <w:rFonts w:eastAsia="Calibri"/>
        </w:rPr>
        <w:t>.</w:t>
      </w:r>
      <w:r w:rsidRPr="001E29A2">
        <w:rPr>
          <w:rFonts w:eastAsia="Calibri"/>
        </w:rPr>
        <w:t xml:space="preserve"> </w:t>
      </w:r>
      <w:r>
        <w:rPr>
          <w:rFonts w:eastAsia="Calibri"/>
        </w:rPr>
        <w:t>Belvedere Distribution Company introduced the first brand</w:t>
      </w:r>
      <w:r w:rsidR="00D070F6">
        <w:rPr>
          <w:rFonts w:eastAsia="Calibri"/>
        </w:rPr>
        <w:t xml:space="preserve">, </w:t>
      </w:r>
      <w:r w:rsidR="005170EC">
        <w:rPr>
          <w:rFonts w:eastAsia="Calibri"/>
        </w:rPr>
        <w:t>Sobieski</w:t>
      </w:r>
      <w:r>
        <w:rPr>
          <w:rFonts w:eastAsia="Calibri"/>
        </w:rPr>
        <w:t xml:space="preserve">. </w:t>
      </w:r>
      <w:r w:rsidR="005170EC">
        <w:rPr>
          <w:rFonts w:eastAsia="Calibri"/>
        </w:rPr>
        <w:t xml:space="preserve">The company </w:t>
      </w:r>
      <w:r>
        <w:rPr>
          <w:rFonts w:eastAsia="Calibri"/>
        </w:rPr>
        <w:lastRenderedPageBreak/>
        <w:t xml:space="preserve">leveraged </w:t>
      </w:r>
      <w:r w:rsidR="0078333D">
        <w:rPr>
          <w:rFonts w:eastAsia="Calibri"/>
        </w:rPr>
        <w:t xml:space="preserve">the </w:t>
      </w:r>
      <w:r>
        <w:rPr>
          <w:rFonts w:eastAsia="Calibri"/>
        </w:rPr>
        <w:t xml:space="preserve">historic connotation of a Polish king, Jan </w:t>
      </w:r>
      <w:r w:rsidR="008E28AF">
        <w:rPr>
          <w:rFonts w:eastAsia="Calibri"/>
        </w:rPr>
        <w:t xml:space="preserve">III </w:t>
      </w:r>
      <w:r>
        <w:rPr>
          <w:rFonts w:eastAsia="Calibri"/>
        </w:rPr>
        <w:t xml:space="preserve">Sobieski, who </w:t>
      </w:r>
      <w:r w:rsidR="006F20B9">
        <w:rPr>
          <w:rFonts w:eastAsia="Calibri"/>
        </w:rPr>
        <w:t xml:space="preserve">commanded </w:t>
      </w:r>
      <w:r>
        <w:rPr>
          <w:rFonts w:eastAsia="Calibri"/>
        </w:rPr>
        <w:t xml:space="preserve">the famous </w:t>
      </w:r>
      <w:r w:rsidR="00D070F6">
        <w:rPr>
          <w:rFonts w:eastAsia="Calibri"/>
        </w:rPr>
        <w:t>B</w:t>
      </w:r>
      <w:r>
        <w:rPr>
          <w:rFonts w:eastAsia="Calibri"/>
        </w:rPr>
        <w:t>attle of Vienna</w:t>
      </w:r>
      <w:r w:rsidR="006F20B9">
        <w:rPr>
          <w:rFonts w:eastAsia="Calibri"/>
        </w:rPr>
        <w:t xml:space="preserve"> when Holy League</w:t>
      </w:r>
      <w:r>
        <w:rPr>
          <w:rFonts w:eastAsia="Calibri"/>
        </w:rPr>
        <w:t xml:space="preserve"> </w:t>
      </w:r>
      <w:r w:rsidR="0023685F">
        <w:rPr>
          <w:rFonts w:eastAsia="Calibri"/>
        </w:rPr>
        <w:t xml:space="preserve">troops </w:t>
      </w:r>
      <w:r w:rsidR="0078333D">
        <w:rPr>
          <w:rFonts w:eastAsia="Calibri"/>
        </w:rPr>
        <w:t>defeated</w:t>
      </w:r>
      <w:r w:rsidR="0023685F">
        <w:rPr>
          <w:rFonts w:eastAsia="Calibri"/>
        </w:rPr>
        <w:t xml:space="preserve"> </w:t>
      </w:r>
      <w:r w:rsidR="006F20B9">
        <w:rPr>
          <w:rFonts w:eastAsia="Calibri"/>
        </w:rPr>
        <w:t>the invading Ottoman Empire force</w:t>
      </w:r>
      <w:r w:rsidR="0023685F">
        <w:rPr>
          <w:rFonts w:eastAsia="Calibri"/>
        </w:rPr>
        <w:t>s</w:t>
      </w:r>
      <w:r w:rsidR="0078333D">
        <w:rPr>
          <w:rFonts w:eastAsia="Calibri"/>
        </w:rPr>
        <w:t>,</w:t>
      </w:r>
      <w:r w:rsidR="0023685F">
        <w:rPr>
          <w:rFonts w:eastAsia="Calibri"/>
        </w:rPr>
        <w:t xml:space="preserve"> thus</w:t>
      </w:r>
      <w:r w:rsidR="006F20B9">
        <w:rPr>
          <w:rFonts w:eastAsia="Calibri"/>
        </w:rPr>
        <w:t xml:space="preserve"> </w:t>
      </w:r>
      <w:r>
        <w:rPr>
          <w:rFonts w:eastAsia="Calibri"/>
        </w:rPr>
        <w:t xml:space="preserve">ending the Ottomans’ efforts to conquer Europe. The second successful entry, </w:t>
      </w:r>
      <w:proofErr w:type="spellStart"/>
      <w:r w:rsidR="00D070F6">
        <w:rPr>
          <w:rFonts w:eastAsia="Calibri"/>
        </w:rPr>
        <w:t>Absolwent</w:t>
      </w:r>
      <w:proofErr w:type="spellEnd"/>
      <w:r>
        <w:rPr>
          <w:rFonts w:eastAsia="Calibri"/>
        </w:rPr>
        <w:t>, was from the biggest state-owned producer</w:t>
      </w:r>
      <w:r w:rsidR="00AE531C">
        <w:rPr>
          <w:rFonts w:eastAsia="Calibri"/>
        </w:rPr>
        <w:t>,</w:t>
      </w:r>
      <w:r>
        <w:rPr>
          <w:rFonts w:eastAsia="Calibri"/>
        </w:rPr>
        <w:t xml:space="preserve"> </w:t>
      </w:r>
      <w:proofErr w:type="spellStart"/>
      <w:r>
        <w:rPr>
          <w:rFonts w:eastAsia="Calibri"/>
        </w:rPr>
        <w:t>Polmos</w:t>
      </w:r>
      <w:proofErr w:type="spellEnd"/>
      <w:r>
        <w:rPr>
          <w:rFonts w:eastAsia="Calibri"/>
        </w:rPr>
        <w:t xml:space="preserve"> Bia</w:t>
      </w:r>
      <w:r w:rsidR="00A853E5">
        <w:rPr>
          <w:rFonts w:eastAsia="Calibri"/>
        </w:rPr>
        <w:t>l</w:t>
      </w:r>
      <w:r>
        <w:rPr>
          <w:rFonts w:eastAsia="Calibri"/>
        </w:rPr>
        <w:t>ystok, and targeted young people graduating from high school and college. Thanks to a good combination of brand, design, price</w:t>
      </w:r>
      <w:r w:rsidR="00AE531C">
        <w:rPr>
          <w:rFonts w:eastAsia="Calibri"/>
        </w:rPr>
        <w:t>,</w:t>
      </w:r>
      <w:r>
        <w:rPr>
          <w:rFonts w:eastAsia="Calibri"/>
        </w:rPr>
        <w:t xml:space="preserve"> and superb distribution</w:t>
      </w:r>
      <w:r w:rsidR="00AE531C">
        <w:rPr>
          <w:rFonts w:eastAsia="Calibri"/>
        </w:rPr>
        <w:t xml:space="preserve">, </w:t>
      </w:r>
      <w:proofErr w:type="spellStart"/>
      <w:r w:rsidR="00F34E94">
        <w:rPr>
          <w:rFonts w:eastAsia="Calibri"/>
        </w:rPr>
        <w:t>Absolwent</w:t>
      </w:r>
      <w:proofErr w:type="spellEnd"/>
      <w:r>
        <w:rPr>
          <w:rFonts w:eastAsia="Calibri"/>
        </w:rPr>
        <w:t xml:space="preserve"> quickly became widely popular and </w:t>
      </w:r>
      <w:r w:rsidR="0078333D">
        <w:rPr>
          <w:rFonts w:eastAsia="Calibri"/>
        </w:rPr>
        <w:t>the</w:t>
      </w:r>
      <w:r>
        <w:rPr>
          <w:rFonts w:eastAsia="Calibri"/>
        </w:rPr>
        <w:t xml:space="preserve"> vodka of choice at major events such as weddings </w:t>
      </w:r>
      <w:r w:rsidR="0078333D">
        <w:rPr>
          <w:rFonts w:eastAsia="Calibri"/>
        </w:rPr>
        <w:t>and</w:t>
      </w:r>
      <w:r>
        <w:rPr>
          <w:rFonts w:eastAsia="Calibri"/>
        </w:rPr>
        <w:t xml:space="preserve"> graduations.</w:t>
      </w:r>
    </w:p>
    <w:p w14:paraId="6D06A49C" w14:textId="77777777" w:rsidR="004402F5" w:rsidRDefault="004402F5" w:rsidP="008957A8">
      <w:pPr>
        <w:pStyle w:val="BodyTextMain"/>
        <w:rPr>
          <w:rFonts w:eastAsia="Calibri"/>
        </w:rPr>
      </w:pPr>
    </w:p>
    <w:p w14:paraId="2B322A48" w14:textId="1C8543F0" w:rsidR="007B75F7" w:rsidRDefault="007B75F7" w:rsidP="007B75F7">
      <w:pPr>
        <w:pStyle w:val="BodyTextMain"/>
        <w:rPr>
          <w:rFonts w:eastAsia="Calibri"/>
        </w:rPr>
      </w:pPr>
      <w:r>
        <w:rPr>
          <w:rFonts w:eastAsia="Calibri"/>
        </w:rPr>
        <w:t xml:space="preserve">There were three major segments in the market. The pure vodka segment was by far the largest, the </w:t>
      </w:r>
      <w:r w:rsidR="0003268D">
        <w:rPr>
          <w:rFonts w:eastAsia="Calibri"/>
        </w:rPr>
        <w:t>flavour</w:t>
      </w:r>
      <w:r w:rsidRPr="00255BD3">
        <w:rPr>
          <w:rFonts w:eastAsia="Calibri"/>
        </w:rPr>
        <w:t>ed</w:t>
      </w:r>
      <w:r>
        <w:rPr>
          <w:rFonts w:eastAsia="Calibri"/>
        </w:rPr>
        <w:t xml:space="preserve"> vodka segment was sma</w:t>
      </w:r>
      <w:r w:rsidR="00F34E94">
        <w:rPr>
          <w:rFonts w:eastAsia="Calibri"/>
        </w:rPr>
        <w:t>ller, and the third, very small</w:t>
      </w:r>
      <w:r>
        <w:rPr>
          <w:rFonts w:eastAsia="Calibri"/>
        </w:rPr>
        <w:t xml:space="preserve"> segment (just a few per cent of the total market) consisted of specialized alcoholic beverages </w:t>
      </w:r>
      <w:r w:rsidR="0078333D">
        <w:rPr>
          <w:rFonts w:eastAsia="Calibri"/>
        </w:rPr>
        <w:t>such as</w:t>
      </w:r>
      <w:r>
        <w:rPr>
          <w:rFonts w:eastAsia="Calibri"/>
        </w:rPr>
        <w:t xml:space="preserve"> gin, brandy, and whisky. The market was further divided into four main segments with price as the main criterion: economy, mainstream, premium, and top premium. In 2002, the largest segment was mainstream (approximately 61 per cent of sales value), followed by premium (25 per cent of value). The economy segment was relatively small (approximately 11 per cent of value) and the top premium segment was of marginal importance because it consisted mostly of expensive imported products.</w:t>
      </w:r>
      <w:r>
        <w:rPr>
          <w:rStyle w:val="FootnoteReference"/>
          <w:rFonts w:eastAsia="Calibri"/>
        </w:rPr>
        <w:footnoteReference w:id="5"/>
      </w:r>
      <w:r>
        <w:rPr>
          <w:rFonts w:eastAsia="Calibri"/>
        </w:rPr>
        <w:t xml:space="preserve"> </w:t>
      </w:r>
    </w:p>
    <w:p w14:paraId="3E8CC34E" w14:textId="77777777" w:rsidR="007B75F7" w:rsidRDefault="007B75F7" w:rsidP="007B75F7">
      <w:pPr>
        <w:pStyle w:val="BodyTextMain"/>
        <w:rPr>
          <w:rFonts w:eastAsia="Calibri"/>
        </w:rPr>
      </w:pPr>
    </w:p>
    <w:p w14:paraId="32E5EA16" w14:textId="269D1A4B" w:rsidR="004402F5" w:rsidRDefault="004402F5" w:rsidP="008957A8">
      <w:pPr>
        <w:pStyle w:val="BodyTextMain"/>
        <w:rPr>
          <w:rFonts w:eastAsia="Calibri"/>
        </w:rPr>
      </w:pPr>
      <w:r>
        <w:rPr>
          <w:rFonts w:eastAsia="Calibri"/>
        </w:rPr>
        <w:t xml:space="preserve">There were four types of </w:t>
      </w:r>
      <w:r w:rsidR="00142D0A">
        <w:rPr>
          <w:rFonts w:eastAsia="Calibri"/>
        </w:rPr>
        <w:t xml:space="preserve">participants </w:t>
      </w:r>
      <w:r>
        <w:rPr>
          <w:rFonts w:eastAsia="Calibri"/>
        </w:rPr>
        <w:t xml:space="preserve">in the vertical supply chain of the liquor market. First, there were </w:t>
      </w:r>
      <w:r w:rsidR="00142D0A">
        <w:rPr>
          <w:rFonts w:eastAsia="Calibri"/>
        </w:rPr>
        <w:t xml:space="preserve">the </w:t>
      </w:r>
      <w:r>
        <w:rPr>
          <w:rFonts w:eastAsia="Calibri"/>
        </w:rPr>
        <w:t xml:space="preserve">suppliers, </w:t>
      </w:r>
      <w:r w:rsidR="00142D0A">
        <w:rPr>
          <w:rFonts w:eastAsia="Calibri"/>
        </w:rPr>
        <w:t xml:space="preserve">providing liquors </w:t>
      </w:r>
      <w:r>
        <w:rPr>
          <w:rFonts w:eastAsia="Calibri"/>
        </w:rPr>
        <w:t>usually manufactured from rye or potatoes.</w:t>
      </w:r>
      <w:r w:rsidR="00486BB1">
        <w:rPr>
          <w:rFonts w:eastAsia="Calibri"/>
        </w:rPr>
        <w:t xml:space="preserve"> </w:t>
      </w:r>
      <w:r>
        <w:rPr>
          <w:rFonts w:eastAsia="Calibri"/>
        </w:rPr>
        <w:t>Operating under strict state control, this market was very fragmented</w:t>
      </w:r>
      <w:r w:rsidR="0078333D">
        <w:rPr>
          <w:rFonts w:eastAsia="Calibri"/>
        </w:rPr>
        <w:t>,</w:t>
      </w:r>
      <w:r>
        <w:rPr>
          <w:rFonts w:eastAsia="Calibri"/>
        </w:rPr>
        <w:t xml:space="preserve"> with hundreds of local and small producers. Most of them did not have any bargaining power </w:t>
      </w:r>
      <w:r w:rsidR="00142D0A">
        <w:rPr>
          <w:rFonts w:eastAsia="Calibri"/>
        </w:rPr>
        <w:t xml:space="preserve">because </w:t>
      </w:r>
      <w:r>
        <w:rPr>
          <w:rFonts w:eastAsia="Calibri"/>
        </w:rPr>
        <w:t xml:space="preserve">their product was considered a commodity and </w:t>
      </w:r>
      <w:r w:rsidR="00142D0A">
        <w:rPr>
          <w:rFonts w:eastAsia="Calibri"/>
        </w:rPr>
        <w:t xml:space="preserve">so was </w:t>
      </w:r>
      <w:r>
        <w:rPr>
          <w:rFonts w:eastAsia="Calibri"/>
        </w:rPr>
        <w:t xml:space="preserve">often mixed across producers upon delivery. </w:t>
      </w:r>
    </w:p>
    <w:p w14:paraId="395219BF" w14:textId="77777777" w:rsidR="00083DE2" w:rsidRDefault="00083DE2" w:rsidP="008957A8">
      <w:pPr>
        <w:pStyle w:val="BodyTextMain"/>
        <w:rPr>
          <w:rFonts w:eastAsia="Calibri"/>
        </w:rPr>
      </w:pPr>
    </w:p>
    <w:p w14:paraId="1DB2805E" w14:textId="74067154" w:rsidR="004402F5" w:rsidRDefault="004402F5" w:rsidP="008957A8">
      <w:pPr>
        <w:pStyle w:val="BodyTextMain"/>
        <w:rPr>
          <w:rFonts w:eastAsia="Calibri"/>
        </w:rPr>
      </w:pPr>
      <w:r>
        <w:rPr>
          <w:rFonts w:eastAsia="Calibri"/>
        </w:rPr>
        <w:t>Second, there were about 25 producers of branded liquors</w:t>
      </w:r>
      <w:r w:rsidR="00142D0A">
        <w:rPr>
          <w:rFonts w:eastAsia="Calibri"/>
        </w:rPr>
        <w:t>.</w:t>
      </w:r>
      <w:r>
        <w:rPr>
          <w:rFonts w:eastAsia="Calibri"/>
        </w:rPr>
        <w:t xml:space="preserve"> </w:t>
      </w:r>
      <w:r w:rsidR="00142D0A">
        <w:rPr>
          <w:rFonts w:eastAsia="Calibri"/>
        </w:rPr>
        <w:t>F</w:t>
      </w:r>
      <w:r>
        <w:rPr>
          <w:rFonts w:eastAsia="Calibri"/>
        </w:rPr>
        <w:t xml:space="preserve">ive </w:t>
      </w:r>
      <w:r w:rsidR="00142D0A">
        <w:rPr>
          <w:rFonts w:eastAsia="Calibri"/>
        </w:rPr>
        <w:t>of the</w:t>
      </w:r>
      <w:r w:rsidR="0078333D">
        <w:rPr>
          <w:rFonts w:eastAsia="Calibri"/>
        </w:rPr>
        <w:t>se</w:t>
      </w:r>
      <w:r w:rsidR="00142D0A">
        <w:rPr>
          <w:rFonts w:eastAsia="Calibri"/>
        </w:rPr>
        <w:t xml:space="preserve"> producers </w:t>
      </w:r>
      <w:r>
        <w:rPr>
          <w:rFonts w:eastAsia="Calibri"/>
        </w:rPr>
        <w:t xml:space="preserve">were clearly dominant: Sobieski Company, </w:t>
      </w:r>
      <w:proofErr w:type="spellStart"/>
      <w:r>
        <w:rPr>
          <w:rFonts w:eastAsia="Calibri"/>
        </w:rPr>
        <w:t>Polmos</w:t>
      </w:r>
      <w:proofErr w:type="spellEnd"/>
      <w:r>
        <w:rPr>
          <w:rFonts w:eastAsia="Calibri"/>
        </w:rPr>
        <w:t xml:space="preserve"> Bialystok, Unicom </w:t>
      </w:r>
      <w:proofErr w:type="spellStart"/>
      <w:r>
        <w:rPr>
          <w:rFonts w:eastAsia="Calibri"/>
        </w:rPr>
        <w:t>Bols</w:t>
      </w:r>
      <w:proofErr w:type="spellEnd"/>
      <w:r>
        <w:rPr>
          <w:rFonts w:eastAsia="Calibri"/>
        </w:rPr>
        <w:t xml:space="preserve">, </w:t>
      </w:r>
      <w:proofErr w:type="spellStart"/>
      <w:r>
        <w:rPr>
          <w:rFonts w:eastAsia="Calibri"/>
        </w:rPr>
        <w:t>Wyborowa</w:t>
      </w:r>
      <w:proofErr w:type="spellEnd"/>
      <w:r>
        <w:rPr>
          <w:rFonts w:eastAsia="Calibri"/>
        </w:rPr>
        <w:t xml:space="preserve">, and </w:t>
      </w:r>
      <w:proofErr w:type="spellStart"/>
      <w:r>
        <w:rPr>
          <w:rFonts w:eastAsia="Calibri"/>
        </w:rPr>
        <w:t>Polmos</w:t>
      </w:r>
      <w:proofErr w:type="spellEnd"/>
      <w:r>
        <w:rPr>
          <w:rFonts w:eastAsia="Calibri"/>
        </w:rPr>
        <w:t xml:space="preserve"> </w:t>
      </w:r>
      <w:proofErr w:type="spellStart"/>
      <w:r>
        <w:rPr>
          <w:rFonts w:eastAsia="Calibri"/>
        </w:rPr>
        <w:t>Zielona</w:t>
      </w:r>
      <w:proofErr w:type="spellEnd"/>
      <w:r>
        <w:rPr>
          <w:rFonts w:eastAsia="Calibri"/>
        </w:rPr>
        <w:t xml:space="preserve"> Gora (see Exhibit</w:t>
      </w:r>
      <w:r w:rsidR="00142D0A">
        <w:rPr>
          <w:rFonts w:eastAsia="Calibri"/>
        </w:rPr>
        <w:t> </w:t>
      </w:r>
      <w:r>
        <w:rPr>
          <w:rFonts w:eastAsia="Calibri"/>
        </w:rPr>
        <w:t xml:space="preserve">1). </w:t>
      </w:r>
    </w:p>
    <w:p w14:paraId="63F350AA" w14:textId="77777777" w:rsidR="00083DE2" w:rsidRDefault="00083DE2" w:rsidP="008957A8">
      <w:pPr>
        <w:pStyle w:val="BodyTextMain"/>
        <w:rPr>
          <w:rFonts w:eastAsiaTheme="minorHAnsi"/>
        </w:rPr>
      </w:pPr>
    </w:p>
    <w:p w14:paraId="07524723" w14:textId="3C56DEC5" w:rsidR="00191264" w:rsidRDefault="004402F5" w:rsidP="008957A8">
      <w:pPr>
        <w:pStyle w:val="BodyTextMain"/>
        <w:rPr>
          <w:rFonts w:eastAsia="Calibri"/>
        </w:rPr>
      </w:pPr>
      <w:r>
        <w:rPr>
          <w:rFonts w:eastAsia="Calibri"/>
        </w:rPr>
        <w:t xml:space="preserve">The third </w:t>
      </w:r>
      <w:r w:rsidR="00255BD3">
        <w:rPr>
          <w:rFonts w:eastAsia="Calibri"/>
        </w:rPr>
        <w:t xml:space="preserve">group </w:t>
      </w:r>
      <w:r>
        <w:rPr>
          <w:rFonts w:eastAsia="Calibri"/>
        </w:rPr>
        <w:t>in the market was distribut</w:t>
      </w:r>
      <w:r w:rsidR="00255BD3">
        <w:rPr>
          <w:rFonts w:eastAsia="Calibri"/>
        </w:rPr>
        <w:t>ors</w:t>
      </w:r>
      <w:r>
        <w:rPr>
          <w:rFonts w:eastAsia="Calibri"/>
        </w:rPr>
        <w:t xml:space="preserve">. </w:t>
      </w:r>
      <w:r w:rsidR="00255BD3">
        <w:rPr>
          <w:rFonts w:eastAsia="Calibri"/>
        </w:rPr>
        <w:t>D</w:t>
      </w:r>
      <w:r>
        <w:rPr>
          <w:rFonts w:eastAsia="Calibri"/>
        </w:rPr>
        <w:t>istribution of alcoholic beverages was based upon state licen</w:t>
      </w:r>
      <w:r w:rsidR="00D070F6">
        <w:rPr>
          <w:rFonts w:eastAsia="Calibri"/>
        </w:rPr>
        <w:t>c</w:t>
      </w:r>
      <w:r>
        <w:rPr>
          <w:rFonts w:eastAsia="Calibri"/>
        </w:rPr>
        <w:t xml:space="preserve">es and </w:t>
      </w:r>
      <w:r w:rsidR="00255BD3">
        <w:rPr>
          <w:rFonts w:eastAsia="Calibri"/>
        </w:rPr>
        <w:t xml:space="preserve">carried out </w:t>
      </w:r>
      <w:r>
        <w:rPr>
          <w:rFonts w:eastAsia="Calibri"/>
        </w:rPr>
        <w:t>by 600</w:t>
      </w:r>
      <w:r w:rsidR="00255BD3">
        <w:rPr>
          <w:rFonts w:eastAsia="Calibri"/>
        </w:rPr>
        <w:t>,</w:t>
      </w:r>
      <w:r>
        <w:rPr>
          <w:rFonts w:eastAsia="Calibri"/>
        </w:rPr>
        <w:t xml:space="preserve"> mostly private</w:t>
      </w:r>
      <w:r w:rsidR="00255BD3">
        <w:rPr>
          <w:rFonts w:eastAsia="Calibri"/>
        </w:rPr>
        <w:t>,</w:t>
      </w:r>
      <w:r>
        <w:rPr>
          <w:rFonts w:eastAsia="Calibri"/>
        </w:rPr>
        <w:t xml:space="preserve"> firms. Many of them were small and served local or regional markets. The </w:t>
      </w:r>
      <w:r w:rsidR="00255BD3">
        <w:rPr>
          <w:rFonts w:eastAsia="Calibri"/>
        </w:rPr>
        <w:t xml:space="preserve">10 </w:t>
      </w:r>
      <w:r>
        <w:rPr>
          <w:rFonts w:eastAsia="Calibri"/>
        </w:rPr>
        <w:t>largest distributors operating across the whole country controlled 47</w:t>
      </w:r>
      <w:r w:rsidR="00D97EFF">
        <w:rPr>
          <w:rFonts w:eastAsia="Calibri"/>
        </w:rPr>
        <w:t xml:space="preserve"> per cent</w:t>
      </w:r>
      <w:r>
        <w:rPr>
          <w:rFonts w:eastAsia="Calibri"/>
        </w:rPr>
        <w:t xml:space="preserve"> of the market</w:t>
      </w:r>
      <w:r w:rsidR="00191264">
        <w:rPr>
          <w:rFonts w:eastAsia="Calibri"/>
        </w:rPr>
        <w:t>.</w:t>
      </w:r>
      <w:r>
        <w:rPr>
          <w:rFonts w:eastAsia="Calibri"/>
        </w:rPr>
        <w:t xml:space="preserve"> </w:t>
      </w:r>
      <w:r w:rsidR="00191264">
        <w:rPr>
          <w:rFonts w:eastAsia="Calibri"/>
        </w:rPr>
        <w:t>Two foreign investors</w:t>
      </w:r>
      <w:r w:rsidR="00191264" w:rsidDel="00255BD3">
        <w:rPr>
          <w:rFonts w:eastAsia="Calibri"/>
        </w:rPr>
        <w:t xml:space="preserve"> </w:t>
      </w:r>
      <w:r w:rsidR="00191264">
        <w:rPr>
          <w:rFonts w:eastAsia="Calibri"/>
        </w:rPr>
        <w:t xml:space="preserve">led </w:t>
      </w:r>
      <w:r>
        <w:rPr>
          <w:rFonts w:eastAsia="Calibri"/>
        </w:rPr>
        <w:t>a visible tendency toward consolidation in the market. The former U</w:t>
      </w:r>
      <w:r w:rsidR="00191264">
        <w:rPr>
          <w:rFonts w:eastAsia="Calibri"/>
        </w:rPr>
        <w:t>.</w:t>
      </w:r>
      <w:r>
        <w:rPr>
          <w:rFonts w:eastAsia="Calibri"/>
        </w:rPr>
        <w:t>S</w:t>
      </w:r>
      <w:r w:rsidR="00191264">
        <w:rPr>
          <w:rFonts w:eastAsia="Calibri"/>
        </w:rPr>
        <w:t>.</w:t>
      </w:r>
      <w:r>
        <w:rPr>
          <w:rFonts w:eastAsia="Calibri"/>
        </w:rPr>
        <w:t xml:space="preserve"> golfer, William V. Carey, set up large distribution operations (</w:t>
      </w:r>
      <w:r w:rsidR="00471442">
        <w:rPr>
          <w:rFonts w:eastAsia="Calibri"/>
        </w:rPr>
        <w:t>Central European Distribution Corporation</w:t>
      </w:r>
      <w:r w:rsidR="00A70E00">
        <w:rPr>
          <w:rFonts w:eastAsia="Calibri"/>
        </w:rPr>
        <w:t xml:space="preserve">, commonly known as </w:t>
      </w:r>
      <w:r>
        <w:rPr>
          <w:rFonts w:eastAsia="Calibri"/>
        </w:rPr>
        <w:t xml:space="preserve">CEDC </w:t>
      </w:r>
      <w:r w:rsidR="00A70E00">
        <w:rPr>
          <w:rFonts w:eastAsia="Calibri"/>
        </w:rPr>
        <w:t>International</w:t>
      </w:r>
      <w:r>
        <w:rPr>
          <w:rFonts w:eastAsia="Calibri"/>
        </w:rPr>
        <w:t>), and a French company, Belvedere S</w:t>
      </w:r>
      <w:r w:rsidR="00A70E00">
        <w:rPr>
          <w:rFonts w:eastAsia="Calibri"/>
        </w:rPr>
        <w:t>.</w:t>
      </w:r>
      <w:r>
        <w:rPr>
          <w:rFonts w:eastAsia="Calibri"/>
        </w:rPr>
        <w:t>A</w:t>
      </w:r>
      <w:r w:rsidR="00A70E00">
        <w:rPr>
          <w:rFonts w:eastAsia="Calibri"/>
        </w:rPr>
        <w:t>.</w:t>
      </w:r>
      <w:r>
        <w:rPr>
          <w:rFonts w:eastAsia="Calibri"/>
        </w:rPr>
        <w:t>, established Belvedere Distribution</w:t>
      </w:r>
      <w:r w:rsidR="003661A0">
        <w:rPr>
          <w:rFonts w:eastAsia="Calibri"/>
        </w:rPr>
        <w:t xml:space="preserve"> Company</w:t>
      </w:r>
      <w:r>
        <w:rPr>
          <w:rFonts w:eastAsia="Calibri"/>
        </w:rPr>
        <w:t xml:space="preserve">. Both of these companies focused initially on the development of countrywide distribution and consolidation of small local </w:t>
      </w:r>
      <w:r w:rsidR="00191264">
        <w:rPr>
          <w:rFonts w:eastAsia="Calibri"/>
        </w:rPr>
        <w:t>distributors</w:t>
      </w:r>
      <w:r>
        <w:rPr>
          <w:rFonts w:eastAsia="Calibri"/>
        </w:rPr>
        <w:t xml:space="preserve">. </w:t>
      </w:r>
      <w:r w:rsidR="00191264">
        <w:rPr>
          <w:rFonts w:eastAsia="Calibri"/>
        </w:rPr>
        <w:t>CEDC</w:t>
      </w:r>
      <w:r w:rsidR="004C16A7">
        <w:rPr>
          <w:rFonts w:eastAsia="Calibri"/>
        </w:rPr>
        <w:t xml:space="preserve"> International</w:t>
      </w:r>
      <w:r w:rsidR="00191264">
        <w:rPr>
          <w:rFonts w:eastAsia="Calibri"/>
        </w:rPr>
        <w:t xml:space="preserve"> and Belvedere</w:t>
      </w:r>
      <w:r w:rsidR="004C16A7">
        <w:rPr>
          <w:rFonts w:eastAsia="Calibri"/>
        </w:rPr>
        <w:t xml:space="preserve"> Distribution</w:t>
      </w:r>
      <w:r w:rsidR="00191264">
        <w:rPr>
          <w:rFonts w:eastAsia="Calibri"/>
        </w:rPr>
        <w:t xml:space="preserve"> </w:t>
      </w:r>
      <w:r>
        <w:rPr>
          <w:rFonts w:eastAsia="Calibri"/>
        </w:rPr>
        <w:t>directly or indirectly controlled about 30</w:t>
      </w:r>
      <w:r w:rsidR="00D97EFF">
        <w:rPr>
          <w:rFonts w:eastAsia="Calibri"/>
        </w:rPr>
        <w:t xml:space="preserve"> per cent</w:t>
      </w:r>
      <w:r>
        <w:rPr>
          <w:rFonts w:eastAsia="Calibri"/>
        </w:rPr>
        <w:t xml:space="preserve"> of distribution</w:t>
      </w:r>
      <w:r w:rsidR="00191264">
        <w:rPr>
          <w:rFonts w:eastAsia="Calibri"/>
        </w:rPr>
        <w:t>,</w:t>
      </w:r>
      <w:r>
        <w:rPr>
          <w:rFonts w:eastAsia="Calibri"/>
        </w:rPr>
        <w:t xml:space="preserve"> and aimed </w:t>
      </w:r>
      <w:r w:rsidR="00191264">
        <w:rPr>
          <w:rFonts w:eastAsia="Calibri"/>
        </w:rPr>
        <w:t xml:space="preserve">to </w:t>
      </w:r>
      <w:r>
        <w:rPr>
          <w:rFonts w:eastAsia="Calibri"/>
        </w:rPr>
        <w:t>increas</w:t>
      </w:r>
      <w:r w:rsidR="00191264">
        <w:rPr>
          <w:rFonts w:eastAsia="Calibri"/>
        </w:rPr>
        <w:t>e</w:t>
      </w:r>
      <w:r>
        <w:rPr>
          <w:rFonts w:eastAsia="Calibri"/>
        </w:rPr>
        <w:t xml:space="preserve"> their hold </w:t>
      </w:r>
      <w:r w:rsidR="00191264">
        <w:rPr>
          <w:rFonts w:eastAsia="Calibri"/>
        </w:rPr>
        <w:t>further</w:t>
      </w:r>
      <w:r>
        <w:rPr>
          <w:rFonts w:eastAsia="Calibri"/>
        </w:rPr>
        <w:t xml:space="preserve">. </w:t>
      </w:r>
    </w:p>
    <w:p w14:paraId="0FF1A4D7" w14:textId="77777777" w:rsidR="00191264" w:rsidRDefault="00191264" w:rsidP="008957A8">
      <w:pPr>
        <w:pStyle w:val="BodyTextMain"/>
        <w:rPr>
          <w:rFonts w:eastAsia="Calibri"/>
        </w:rPr>
      </w:pPr>
    </w:p>
    <w:p w14:paraId="40581EC9" w14:textId="23D4AFFB" w:rsidR="004402F5" w:rsidRDefault="004402F5" w:rsidP="008957A8">
      <w:pPr>
        <w:pStyle w:val="BodyTextMain"/>
        <w:rPr>
          <w:rFonts w:eastAsia="Calibri"/>
        </w:rPr>
      </w:pPr>
      <w:r>
        <w:rPr>
          <w:rFonts w:eastAsia="Calibri"/>
        </w:rPr>
        <w:t xml:space="preserve">There were two additional important distribution vehicles. Large beer companies used their own proprietary distribution systems to reach shops and </w:t>
      </w:r>
      <w:proofErr w:type="spellStart"/>
      <w:r w:rsidRPr="00F93124">
        <w:rPr>
          <w:rFonts w:eastAsia="Calibri"/>
          <w:i/>
        </w:rPr>
        <w:t>horecas</w:t>
      </w:r>
      <w:proofErr w:type="spellEnd"/>
      <w:r w:rsidR="002F443E">
        <w:rPr>
          <w:rFonts w:eastAsia="Calibri"/>
        </w:rPr>
        <w:t>,</w:t>
      </w:r>
      <w:r w:rsidR="002F443E">
        <w:rPr>
          <w:rStyle w:val="FootnoteReference"/>
          <w:rFonts w:eastAsia="Calibri"/>
        </w:rPr>
        <w:footnoteReference w:id="6"/>
      </w:r>
      <w:r>
        <w:rPr>
          <w:rFonts w:eastAsia="Calibri"/>
        </w:rPr>
        <w:t xml:space="preserve"> and used small distributors only to fill the </w:t>
      </w:r>
      <w:r w:rsidR="00191264">
        <w:rPr>
          <w:rFonts w:eastAsia="Calibri"/>
        </w:rPr>
        <w:t>gaps</w:t>
      </w:r>
      <w:r>
        <w:rPr>
          <w:rFonts w:eastAsia="Calibri"/>
        </w:rPr>
        <w:t xml:space="preserve">. </w:t>
      </w:r>
      <w:r w:rsidR="00191264">
        <w:rPr>
          <w:rFonts w:eastAsia="Calibri"/>
        </w:rPr>
        <w:t>S</w:t>
      </w:r>
      <w:r>
        <w:rPr>
          <w:rFonts w:eastAsia="Calibri"/>
        </w:rPr>
        <w:t xml:space="preserve">everal large producers of sparkling wine used existing alcoholic beverages distributors, but also tried to develop their own separate sales force to deliver </w:t>
      </w:r>
      <w:r w:rsidR="00191264">
        <w:rPr>
          <w:rFonts w:eastAsia="Calibri"/>
        </w:rPr>
        <w:t xml:space="preserve">product </w:t>
      </w:r>
      <w:r>
        <w:rPr>
          <w:rFonts w:eastAsia="Calibri"/>
        </w:rPr>
        <w:t xml:space="preserve">to modern retail channels and large stores. The prime example was </w:t>
      </w:r>
      <w:proofErr w:type="spellStart"/>
      <w:r w:rsidR="007B75F7">
        <w:rPr>
          <w:rFonts w:eastAsia="Calibri"/>
        </w:rPr>
        <w:t>Ambra</w:t>
      </w:r>
      <w:proofErr w:type="spellEnd"/>
      <w:r w:rsidR="007B75F7">
        <w:rPr>
          <w:rFonts w:eastAsia="Calibri"/>
        </w:rPr>
        <w:t xml:space="preserve"> </w:t>
      </w:r>
      <w:r>
        <w:rPr>
          <w:rFonts w:eastAsia="Calibri"/>
        </w:rPr>
        <w:t>S</w:t>
      </w:r>
      <w:r w:rsidR="007B75F7">
        <w:rPr>
          <w:rFonts w:eastAsia="Calibri"/>
        </w:rPr>
        <w:t>.</w:t>
      </w:r>
      <w:r>
        <w:rPr>
          <w:rFonts w:eastAsia="Calibri"/>
        </w:rPr>
        <w:t>A</w:t>
      </w:r>
      <w:r w:rsidR="007B75F7">
        <w:rPr>
          <w:rFonts w:eastAsia="Calibri"/>
        </w:rPr>
        <w:t>.</w:t>
      </w:r>
      <w:r w:rsidR="00337ADC">
        <w:rPr>
          <w:rFonts w:eastAsia="Calibri"/>
        </w:rPr>
        <w:t xml:space="preserve"> (</w:t>
      </w:r>
      <w:proofErr w:type="spellStart"/>
      <w:r w:rsidR="00337ADC">
        <w:rPr>
          <w:rFonts w:eastAsia="Calibri"/>
        </w:rPr>
        <w:t>Ambra</w:t>
      </w:r>
      <w:proofErr w:type="spellEnd"/>
      <w:r w:rsidR="00337ADC">
        <w:rPr>
          <w:rFonts w:eastAsia="Calibri"/>
        </w:rPr>
        <w:t>)</w:t>
      </w:r>
      <w:r>
        <w:rPr>
          <w:rFonts w:eastAsia="Calibri"/>
        </w:rPr>
        <w:t>, a private company that controlled about 60</w:t>
      </w:r>
      <w:r w:rsidR="00D97EFF">
        <w:rPr>
          <w:rFonts w:eastAsia="Calibri"/>
        </w:rPr>
        <w:t xml:space="preserve"> per cent</w:t>
      </w:r>
      <w:r>
        <w:rPr>
          <w:rFonts w:eastAsia="Calibri"/>
        </w:rPr>
        <w:t xml:space="preserve"> of the sparkling wine market and had two national brands (</w:t>
      </w:r>
      <w:proofErr w:type="spellStart"/>
      <w:r>
        <w:rPr>
          <w:rFonts w:eastAsia="Calibri"/>
        </w:rPr>
        <w:t>Cin-Cin</w:t>
      </w:r>
      <w:proofErr w:type="spellEnd"/>
      <w:r>
        <w:rPr>
          <w:rFonts w:eastAsia="Calibri"/>
        </w:rPr>
        <w:t xml:space="preserve"> and </w:t>
      </w:r>
      <w:proofErr w:type="spellStart"/>
      <w:r>
        <w:rPr>
          <w:rFonts w:eastAsia="Calibri"/>
        </w:rPr>
        <w:t>Dorato</w:t>
      </w:r>
      <w:proofErr w:type="spellEnd"/>
      <w:r>
        <w:rPr>
          <w:rFonts w:eastAsia="Calibri"/>
        </w:rPr>
        <w:t xml:space="preserve">) and several regional brands. </w:t>
      </w:r>
      <w:proofErr w:type="spellStart"/>
      <w:r w:rsidR="00191264">
        <w:rPr>
          <w:rFonts w:eastAsia="Calibri"/>
        </w:rPr>
        <w:t>Ambra</w:t>
      </w:r>
      <w:proofErr w:type="spellEnd"/>
      <w:r w:rsidR="00191264">
        <w:rPr>
          <w:rFonts w:eastAsia="Calibri"/>
        </w:rPr>
        <w:t xml:space="preserve"> </w:t>
      </w:r>
      <w:r>
        <w:rPr>
          <w:rFonts w:eastAsia="Calibri"/>
        </w:rPr>
        <w:t>also was a</w:t>
      </w:r>
      <w:r w:rsidR="00191264">
        <w:rPr>
          <w:rFonts w:eastAsia="Calibri"/>
        </w:rPr>
        <w:t>n</w:t>
      </w:r>
      <w:r>
        <w:rPr>
          <w:rFonts w:eastAsia="Calibri"/>
        </w:rPr>
        <w:t xml:space="preserve"> important wine importer and, over time, </w:t>
      </w:r>
      <w:r w:rsidR="00975E0E">
        <w:rPr>
          <w:rFonts w:eastAsia="Calibri"/>
        </w:rPr>
        <w:t xml:space="preserve">had </w:t>
      </w:r>
      <w:r>
        <w:rPr>
          <w:rFonts w:eastAsia="Calibri"/>
        </w:rPr>
        <w:t xml:space="preserve">developed a large sales force to distribute its products all over Poland. </w:t>
      </w:r>
    </w:p>
    <w:p w14:paraId="4FFAEF13" w14:textId="56BD1C74" w:rsidR="004402F5" w:rsidRDefault="007B75F7" w:rsidP="008957A8">
      <w:pPr>
        <w:pStyle w:val="BodyTextMain"/>
        <w:rPr>
          <w:rFonts w:eastAsia="Calibri"/>
        </w:rPr>
      </w:pPr>
      <w:r>
        <w:rPr>
          <w:rFonts w:eastAsia="Calibri"/>
        </w:rPr>
        <w:t>The fourth group of participants in the supply chain consisted of the retailers. S</w:t>
      </w:r>
      <w:r w:rsidR="004402F5">
        <w:rPr>
          <w:rFonts w:eastAsia="Calibri"/>
        </w:rPr>
        <w:t>ales of alcoholic beverages were dominated by many thousands of small and medium-size local shops that had to apply for a licen</w:t>
      </w:r>
      <w:r w:rsidR="0021146B">
        <w:rPr>
          <w:rFonts w:eastAsia="Calibri"/>
        </w:rPr>
        <w:t>c</w:t>
      </w:r>
      <w:r w:rsidR="004402F5">
        <w:rPr>
          <w:rFonts w:eastAsia="Calibri"/>
        </w:rPr>
        <w:t xml:space="preserve">e to </w:t>
      </w:r>
      <w:r w:rsidR="004402F5">
        <w:rPr>
          <w:rFonts w:eastAsia="Calibri"/>
        </w:rPr>
        <w:lastRenderedPageBreak/>
        <w:t>sell liquors, wine</w:t>
      </w:r>
      <w:r>
        <w:rPr>
          <w:rFonts w:eastAsia="Calibri"/>
        </w:rPr>
        <w:t>,</w:t>
      </w:r>
      <w:r w:rsidR="004402F5">
        <w:rPr>
          <w:rFonts w:eastAsia="Calibri"/>
        </w:rPr>
        <w:t xml:space="preserve"> or beer. They controlled almost 80</w:t>
      </w:r>
      <w:r w:rsidR="00D97EFF">
        <w:rPr>
          <w:rFonts w:eastAsia="Calibri"/>
        </w:rPr>
        <w:t xml:space="preserve"> per cent</w:t>
      </w:r>
      <w:r w:rsidR="004402F5">
        <w:rPr>
          <w:rFonts w:eastAsia="Calibri"/>
        </w:rPr>
        <w:t xml:space="preserve"> of the market in terms of volume and value. Large stores, supermarkets</w:t>
      </w:r>
      <w:r w:rsidR="0021146B">
        <w:rPr>
          <w:rFonts w:eastAsia="Calibri"/>
        </w:rPr>
        <w:t>,</w:t>
      </w:r>
      <w:r w:rsidR="004402F5">
        <w:rPr>
          <w:rFonts w:eastAsia="Calibri"/>
        </w:rPr>
        <w:t xml:space="preserve"> and hypermarkets sold the rest. The general trend </w:t>
      </w:r>
      <w:r w:rsidR="004402F5" w:rsidRPr="0021146B">
        <w:rPr>
          <w:rFonts w:eastAsia="Calibri"/>
        </w:rPr>
        <w:t>favo</w:t>
      </w:r>
      <w:r w:rsidR="0021146B">
        <w:rPr>
          <w:rFonts w:eastAsia="Calibri"/>
        </w:rPr>
        <w:t>u</w:t>
      </w:r>
      <w:r w:rsidR="004402F5" w:rsidRPr="0021146B">
        <w:rPr>
          <w:rFonts w:eastAsia="Calibri"/>
        </w:rPr>
        <w:t>red</w:t>
      </w:r>
      <w:r w:rsidR="004402F5">
        <w:rPr>
          <w:rFonts w:eastAsia="Calibri"/>
        </w:rPr>
        <w:t xml:space="preserve"> a growing number of supermarkets and hypermarkets as modern retail systems, but </w:t>
      </w:r>
      <w:r w:rsidR="0021146B">
        <w:rPr>
          <w:rFonts w:eastAsia="Calibri"/>
        </w:rPr>
        <w:t xml:space="preserve">because </w:t>
      </w:r>
      <w:r w:rsidR="004402F5">
        <w:rPr>
          <w:rFonts w:eastAsia="Calibri"/>
        </w:rPr>
        <w:t xml:space="preserve">vodka and beer </w:t>
      </w:r>
      <w:r w:rsidR="0021146B">
        <w:rPr>
          <w:rFonts w:eastAsia="Calibri"/>
        </w:rPr>
        <w:t xml:space="preserve">were </w:t>
      </w:r>
      <w:r w:rsidR="004402F5">
        <w:rPr>
          <w:rFonts w:eastAsia="Calibri"/>
        </w:rPr>
        <w:t xml:space="preserve">impulse and convenience purchases, they were still </w:t>
      </w:r>
      <w:r w:rsidR="0021146B">
        <w:rPr>
          <w:rFonts w:eastAsia="Calibri"/>
        </w:rPr>
        <w:t xml:space="preserve">primarily </w:t>
      </w:r>
      <w:r w:rsidR="004402F5">
        <w:rPr>
          <w:rFonts w:eastAsia="Calibri"/>
        </w:rPr>
        <w:t>bought in local stores. Modern retail systems were gaining only 1</w:t>
      </w:r>
      <w:r w:rsidR="0021146B">
        <w:rPr>
          <w:rFonts w:eastAsia="Calibri"/>
        </w:rPr>
        <w:t>–</w:t>
      </w:r>
      <w:r w:rsidR="004402F5">
        <w:rPr>
          <w:rFonts w:eastAsia="Calibri"/>
        </w:rPr>
        <w:t>2</w:t>
      </w:r>
      <w:r w:rsidR="00D97EFF">
        <w:rPr>
          <w:rFonts w:eastAsia="Calibri"/>
        </w:rPr>
        <w:t xml:space="preserve"> per cent</w:t>
      </w:r>
      <w:r w:rsidR="004402F5">
        <w:rPr>
          <w:rFonts w:eastAsia="Calibri"/>
        </w:rPr>
        <w:t xml:space="preserve"> of the market per year in these categories. </w:t>
      </w:r>
      <w:r w:rsidR="0021146B">
        <w:rPr>
          <w:rFonts w:eastAsia="Calibri"/>
        </w:rPr>
        <w:t>H</w:t>
      </w:r>
      <w:r w:rsidR="004402F5">
        <w:rPr>
          <w:rFonts w:eastAsia="Calibri"/>
        </w:rPr>
        <w:t xml:space="preserve">ypermarkets </w:t>
      </w:r>
      <w:r w:rsidR="008F617A">
        <w:rPr>
          <w:rFonts w:eastAsia="Calibri"/>
        </w:rPr>
        <w:t>such as</w:t>
      </w:r>
      <w:r w:rsidR="004402F5">
        <w:rPr>
          <w:rFonts w:eastAsia="Calibri"/>
        </w:rPr>
        <w:t xml:space="preserve"> </w:t>
      </w:r>
      <w:proofErr w:type="spellStart"/>
      <w:r w:rsidR="004402F5">
        <w:rPr>
          <w:rFonts w:eastAsia="Calibri"/>
        </w:rPr>
        <w:t>Auchan</w:t>
      </w:r>
      <w:proofErr w:type="spellEnd"/>
      <w:r w:rsidR="004402F5">
        <w:rPr>
          <w:rFonts w:eastAsia="Calibri"/>
        </w:rPr>
        <w:t xml:space="preserve">, </w:t>
      </w:r>
      <w:proofErr w:type="spellStart"/>
      <w:r w:rsidR="006C6E83">
        <w:rPr>
          <w:rFonts w:eastAsia="Calibri"/>
        </w:rPr>
        <w:t>E.</w:t>
      </w:r>
      <w:r w:rsidR="004402F5">
        <w:rPr>
          <w:rFonts w:eastAsia="Calibri"/>
        </w:rPr>
        <w:t>Leclerc</w:t>
      </w:r>
      <w:proofErr w:type="spellEnd"/>
      <w:r w:rsidR="0021146B">
        <w:rPr>
          <w:rFonts w:eastAsia="Calibri"/>
        </w:rPr>
        <w:t>,</w:t>
      </w:r>
      <w:r w:rsidR="004402F5">
        <w:rPr>
          <w:rFonts w:eastAsia="Calibri"/>
        </w:rPr>
        <w:t xml:space="preserve"> </w:t>
      </w:r>
      <w:r w:rsidR="0021146B">
        <w:rPr>
          <w:rFonts w:eastAsia="Calibri"/>
        </w:rPr>
        <w:t xml:space="preserve">and </w:t>
      </w:r>
      <w:r w:rsidR="004402F5">
        <w:rPr>
          <w:rFonts w:eastAsia="Calibri"/>
        </w:rPr>
        <w:t xml:space="preserve">Carrefour were buying products directly from producers, </w:t>
      </w:r>
      <w:r w:rsidR="0021146B">
        <w:rPr>
          <w:rFonts w:eastAsia="Calibri"/>
        </w:rPr>
        <w:t xml:space="preserve">but </w:t>
      </w:r>
      <w:r w:rsidR="004402F5">
        <w:rPr>
          <w:rFonts w:eastAsia="Calibri"/>
        </w:rPr>
        <w:t xml:space="preserve">small and medium-size shops relied on </w:t>
      </w:r>
      <w:r w:rsidR="004402F5" w:rsidRPr="0021146B">
        <w:rPr>
          <w:rFonts w:eastAsia="Calibri"/>
        </w:rPr>
        <w:t>cooperation</w:t>
      </w:r>
      <w:r w:rsidR="004402F5">
        <w:rPr>
          <w:rFonts w:eastAsia="Calibri"/>
        </w:rPr>
        <w:t xml:space="preserve"> </w:t>
      </w:r>
      <w:r w:rsidR="0021146B">
        <w:rPr>
          <w:rFonts w:eastAsia="Calibri"/>
        </w:rPr>
        <w:t xml:space="preserve">from </w:t>
      </w:r>
      <w:r w:rsidR="004402F5">
        <w:rPr>
          <w:rFonts w:eastAsia="Calibri"/>
        </w:rPr>
        <w:t xml:space="preserve">two to four distributors that competed on price, conditions of payments, and additional services </w:t>
      </w:r>
      <w:r w:rsidR="0021146B">
        <w:rPr>
          <w:rFonts w:eastAsia="Calibri"/>
        </w:rPr>
        <w:t xml:space="preserve">such as </w:t>
      </w:r>
      <w:r w:rsidR="004402F5">
        <w:rPr>
          <w:rFonts w:eastAsia="Calibri"/>
        </w:rPr>
        <w:t>mer</w:t>
      </w:r>
      <w:r w:rsidR="00083DE2">
        <w:rPr>
          <w:rFonts w:eastAsia="Calibri"/>
        </w:rPr>
        <w:t>chandising</w:t>
      </w:r>
      <w:r w:rsidR="0021146B">
        <w:rPr>
          <w:rFonts w:eastAsia="Calibri"/>
        </w:rPr>
        <w:t xml:space="preserve"> and</w:t>
      </w:r>
      <w:r w:rsidR="00083DE2">
        <w:rPr>
          <w:rFonts w:eastAsia="Calibri"/>
        </w:rPr>
        <w:t xml:space="preserve"> promotions. </w:t>
      </w:r>
    </w:p>
    <w:p w14:paraId="68B29B2B" w14:textId="77777777" w:rsidR="00083DE2" w:rsidRDefault="00083DE2" w:rsidP="008957A8">
      <w:pPr>
        <w:pStyle w:val="BodyTextMain"/>
        <w:rPr>
          <w:rFonts w:eastAsia="Calibri"/>
        </w:rPr>
      </w:pPr>
    </w:p>
    <w:p w14:paraId="402602B7" w14:textId="2FF971B9" w:rsidR="00156499" w:rsidRDefault="004402F5" w:rsidP="0021146B">
      <w:pPr>
        <w:pStyle w:val="BodyTextMain"/>
        <w:rPr>
          <w:rFonts w:eastAsia="Calibri"/>
        </w:rPr>
      </w:pPr>
      <w:r>
        <w:rPr>
          <w:rFonts w:eastAsia="Calibri"/>
        </w:rPr>
        <w:t xml:space="preserve">This </w:t>
      </w:r>
      <w:r w:rsidR="0021146B">
        <w:rPr>
          <w:rFonts w:eastAsia="Calibri"/>
        </w:rPr>
        <w:t xml:space="preserve">market </w:t>
      </w:r>
      <w:r>
        <w:rPr>
          <w:rFonts w:eastAsia="Calibri"/>
        </w:rPr>
        <w:t xml:space="preserve">architecture posed a particular financial challenge for producers of the final product. Big, modern retail chains were placing large orders directly </w:t>
      </w:r>
      <w:r w:rsidR="0021146B">
        <w:rPr>
          <w:rFonts w:eastAsia="Calibri"/>
        </w:rPr>
        <w:t xml:space="preserve">with the producers </w:t>
      </w:r>
      <w:r>
        <w:rPr>
          <w:rFonts w:eastAsia="Calibri"/>
        </w:rPr>
        <w:t xml:space="preserve">and had substantive bargaining power </w:t>
      </w:r>
      <w:r w:rsidR="0021146B">
        <w:rPr>
          <w:rFonts w:eastAsia="Calibri"/>
        </w:rPr>
        <w:t>for</w:t>
      </w:r>
      <w:r>
        <w:rPr>
          <w:rFonts w:eastAsia="Calibri"/>
        </w:rPr>
        <w:t xml:space="preserve"> prices and payment terms. Smaller </w:t>
      </w:r>
      <w:r w:rsidR="0021146B">
        <w:rPr>
          <w:rFonts w:eastAsia="Calibri"/>
        </w:rPr>
        <w:t xml:space="preserve">retailers </w:t>
      </w:r>
      <w:r>
        <w:rPr>
          <w:rFonts w:eastAsia="Calibri"/>
        </w:rPr>
        <w:t xml:space="preserve">did not have </w:t>
      </w:r>
      <w:r w:rsidR="00156499">
        <w:rPr>
          <w:rFonts w:eastAsia="Calibri"/>
        </w:rPr>
        <w:t>the same</w:t>
      </w:r>
      <w:r>
        <w:rPr>
          <w:rFonts w:eastAsia="Calibri"/>
        </w:rPr>
        <w:t xml:space="preserve"> bargaining power</w:t>
      </w:r>
      <w:r w:rsidR="008F617A">
        <w:rPr>
          <w:rFonts w:eastAsia="Calibri"/>
        </w:rPr>
        <w:t>,</w:t>
      </w:r>
      <w:r>
        <w:rPr>
          <w:rFonts w:eastAsia="Calibri"/>
        </w:rPr>
        <w:t xml:space="preserve"> but together </w:t>
      </w:r>
      <w:r w:rsidR="0021146B">
        <w:rPr>
          <w:rFonts w:eastAsia="Calibri"/>
        </w:rPr>
        <w:t xml:space="preserve">they </w:t>
      </w:r>
      <w:r>
        <w:rPr>
          <w:rFonts w:eastAsia="Calibri"/>
        </w:rPr>
        <w:t xml:space="preserve">held </w:t>
      </w:r>
      <w:r w:rsidR="0021146B">
        <w:rPr>
          <w:rFonts w:eastAsia="Calibri"/>
        </w:rPr>
        <w:t xml:space="preserve">the </w:t>
      </w:r>
      <w:r>
        <w:rPr>
          <w:rFonts w:eastAsia="Calibri"/>
        </w:rPr>
        <w:t xml:space="preserve">dominant market share. </w:t>
      </w:r>
    </w:p>
    <w:p w14:paraId="5D61E79E" w14:textId="77777777" w:rsidR="00156499" w:rsidRDefault="00156499" w:rsidP="0021146B">
      <w:pPr>
        <w:pStyle w:val="BodyTextMain"/>
        <w:rPr>
          <w:rFonts w:eastAsia="Calibri"/>
        </w:rPr>
      </w:pPr>
    </w:p>
    <w:p w14:paraId="26F7B6B6" w14:textId="0F8C890C" w:rsidR="004402F5" w:rsidRDefault="004402F5" w:rsidP="0021146B">
      <w:pPr>
        <w:pStyle w:val="BodyTextMain"/>
        <w:rPr>
          <w:rFonts w:eastAsia="Calibri"/>
        </w:rPr>
      </w:pPr>
      <w:r>
        <w:rPr>
          <w:rFonts w:eastAsia="Calibri"/>
        </w:rPr>
        <w:t>The fragmented and long retail and distribution system was under</w:t>
      </w:r>
      <w:r w:rsidR="00156499">
        <w:rPr>
          <w:rFonts w:eastAsia="Calibri"/>
        </w:rPr>
        <w:t>-</w:t>
      </w:r>
      <w:r>
        <w:rPr>
          <w:rFonts w:eastAsia="Calibri"/>
        </w:rPr>
        <w:t xml:space="preserve">capitalized and partially financed itself with </w:t>
      </w:r>
      <w:r w:rsidR="00C73369">
        <w:rPr>
          <w:rFonts w:eastAsia="Calibri"/>
        </w:rPr>
        <w:t xml:space="preserve">accounts </w:t>
      </w:r>
      <w:r>
        <w:rPr>
          <w:rFonts w:eastAsia="Calibri"/>
        </w:rPr>
        <w:t>receivables</w:t>
      </w:r>
      <w:r w:rsidR="00156499">
        <w:rPr>
          <w:rFonts w:eastAsia="Calibri"/>
        </w:rPr>
        <w:t>,</w:t>
      </w:r>
      <w:r>
        <w:rPr>
          <w:rFonts w:eastAsia="Calibri"/>
        </w:rPr>
        <w:t xml:space="preserve"> which did not allow for quick collection of payments. </w:t>
      </w:r>
      <w:r w:rsidR="0078121A">
        <w:rPr>
          <w:rFonts w:eastAsia="Calibri"/>
        </w:rPr>
        <w:t xml:space="preserve">In other words, each actor in the supply chain postponed the payments as long as legally possible and sometimes even longer. </w:t>
      </w:r>
      <w:r>
        <w:rPr>
          <w:rFonts w:eastAsia="Calibri"/>
        </w:rPr>
        <w:t>Hence</w:t>
      </w:r>
      <w:r w:rsidR="00156499">
        <w:rPr>
          <w:rFonts w:eastAsia="Calibri"/>
        </w:rPr>
        <w:t>,</w:t>
      </w:r>
      <w:r>
        <w:rPr>
          <w:rFonts w:eastAsia="Calibri"/>
        </w:rPr>
        <w:t xml:space="preserve"> the market norm </w:t>
      </w:r>
      <w:r w:rsidR="0078121A">
        <w:rPr>
          <w:rFonts w:eastAsia="Calibri"/>
        </w:rPr>
        <w:t xml:space="preserve">was </w:t>
      </w:r>
      <w:r>
        <w:rPr>
          <w:rFonts w:eastAsia="Calibri"/>
        </w:rPr>
        <w:t>60</w:t>
      </w:r>
      <w:r w:rsidR="00156499">
        <w:rPr>
          <w:rFonts w:eastAsia="Calibri"/>
        </w:rPr>
        <w:t>–</w:t>
      </w:r>
      <w:r>
        <w:rPr>
          <w:rFonts w:eastAsia="Calibri"/>
        </w:rPr>
        <w:t xml:space="preserve">70 days for </w:t>
      </w:r>
      <w:r w:rsidR="00156499">
        <w:rPr>
          <w:rFonts w:eastAsia="Calibri"/>
        </w:rPr>
        <w:t xml:space="preserve">collection from </w:t>
      </w:r>
      <w:r>
        <w:rPr>
          <w:rFonts w:eastAsia="Calibri"/>
        </w:rPr>
        <w:t>the traditional retail channel</w:t>
      </w:r>
      <w:r w:rsidR="00156499">
        <w:rPr>
          <w:rFonts w:eastAsia="Calibri"/>
        </w:rPr>
        <w:t>,</w:t>
      </w:r>
      <w:r>
        <w:rPr>
          <w:rFonts w:eastAsia="Calibri"/>
        </w:rPr>
        <w:t xml:space="preserve"> and 70</w:t>
      </w:r>
      <w:r w:rsidR="00156499">
        <w:rPr>
          <w:rFonts w:eastAsia="Calibri"/>
        </w:rPr>
        <w:t>–</w:t>
      </w:r>
      <w:r>
        <w:rPr>
          <w:rFonts w:eastAsia="Calibri"/>
        </w:rPr>
        <w:t xml:space="preserve">90 </w:t>
      </w:r>
      <w:r w:rsidR="00156499">
        <w:rPr>
          <w:rFonts w:eastAsia="Calibri"/>
        </w:rPr>
        <w:t xml:space="preserve">days from </w:t>
      </w:r>
      <w:r>
        <w:rPr>
          <w:rFonts w:eastAsia="Calibri"/>
        </w:rPr>
        <w:t>the modern retail channel. At the same time, producers had to pay the value-added and excise taxes</w:t>
      </w:r>
      <w:r w:rsidR="00156499">
        <w:rPr>
          <w:rFonts w:eastAsia="Calibri"/>
        </w:rPr>
        <w:t>—which in the case of vodka,</w:t>
      </w:r>
      <w:r>
        <w:rPr>
          <w:rFonts w:eastAsia="Calibri"/>
        </w:rPr>
        <w:t xml:space="preserve"> could reach up to 60</w:t>
      </w:r>
      <w:r w:rsidR="00D97EFF">
        <w:rPr>
          <w:rFonts w:eastAsia="Calibri"/>
        </w:rPr>
        <w:t xml:space="preserve"> per cent</w:t>
      </w:r>
      <w:r>
        <w:rPr>
          <w:rFonts w:eastAsia="Calibri"/>
        </w:rPr>
        <w:t xml:space="preserve"> of the cost of goods sold</w:t>
      </w:r>
      <w:r w:rsidR="00156499">
        <w:rPr>
          <w:rFonts w:eastAsia="Calibri"/>
        </w:rPr>
        <w:t>—</w:t>
      </w:r>
      <w:r>
        <w:rPr>
          <w:rFonts w:eastAsia="Calibri"/>
        </w:rPr>
        <w:t xml:space="preserve">within 25 days of the </w:t>
      </w:r>
      <w:r>
        <w:rPr>
          <w:rFonts w:eastAsia="Calibri"/>
          <w:i/>
        </w:rPr>
        <w:t>production</w:t>
      </w:r>
      <w:r>
        <w:rPr>
          <w:rFonts w:eastAsia="Calibri"/>
        </w:rPr>
        <w:t xml:space="preserve"> date. Without a developed financial market for receivables and </w:t>
      </w:r>
      <w:r w:rsidR="001473D3">
        <w:rPr>
          <w:rFonts w:eastAsia="Calibri"/>
        </w:rPr>
        <w:t xml:space="preserve">with </w:t>
      </w:r>
      <w:r>
        <w:rPr>
          <w:rFonts w:eastAsia="Calibri"/>
        </w:rPr>
        <w:t xml:space="preserve">no factoring services, producers had to finance this gap themselves, which proved to be a daunting task for smaller </w:t>
      </w:r>
      <w:r w:rsidR="00156499">
        <w:rPr>
          <w:rFonts w:eastAsia="Calibri"/>
        </w:rPr>
        <w:t>participants</w:t>
      </w:r>
      <w:r>
        <w:rPr>
          <w:rFonts w:eastAsia="Calibri"/>
        </w:rPr>
        <w:t xml:space="preserve">. </w:t>
      </w:r>
      <w:r w:rsidR="00156499">
        <w:rPr>
          <w:rFonts w:eastAsia="Calibri"/>
        </w:rPr>
        <w:t>As a result</w:t>
      </w:r>
      <w:r>
        <w:rPr>
          <w:rFonts w:eastAsia="Calibri"/>
        </w:rPr>
        <w:t>, both smaller distributors and producers were constantly cash short.</w:t>
      </w:r>
      <w:r w:rsidR="00486BB1">
        <w:rPr>
          <w:rFonts w:eastAsia="Calibri"/>
        </w:rPr>
        <w:t xml:space="preserve">  </w:t>
      </w:r>
    </w:p>
    <w:p w14:paraId="082921C9" w14:textId="77777777" w:rsidR="00083DE2" w:rsidRDefault="00083DE2" w:rsidP="008957A8">
      <w:pPr>
        <w:pStyle w:val="BodyTextMain"/>
        <w:rPr>
          <w:rFonts w:eastAsia="Calibri"/>
        </w:rPr>
      </w:pPr>
    </w:p>
    <w:p w14:paraId="2D01E24E" w14:textId="77777777" w:rsidR="00083DE2" w:rsidRDefault="00083DE2" w:rsidP="008957A8">
      <w:pPr>
        <w:pStyle w:val="BodyTextMain"/>
        <w:rPr>
          <w:rFonts w:eastAsia="Calibri"/>
        </w:rPr>
      </w:pPr>
    </w:p>
    <w:p w14:paraId="3C538C59" w14:textId="5A6B0176" w:rsidR="004402F5" w:rsidRDefault="004402F5" w:rsidP="00486BB1">
      <w:pPr>
        <w:pStyle w:val="Casehead1"/>
        <w:outlineLvl w:val="0"/>
        <w:rPr>
          <w:rFonts w:eastAsiaTheme="minorHAnsi"/>
        </w:rPr>
      </w:pPr>
      <w:r>
        <w:t>Polmos Lublin S</w:t>
      </w:r>
      <w:r w:rsidR="00156499">
        <w:t>.</w:t>
      </w:r>
      <w:r>
        <w:t>A</w:t>
      </w:r>
      <w:r w:rsidR="00156499">
        <w:t>.</w:t>
      </w:r>
    </w:p>
    <w:p w14:paraId="6C3C0D25" w14:textId="77777777" w:rsidR="00083DE2" w:rsidRDefault="00083DE2" w:rsidP="008957A8">
      <w:pPr>
        <w:pStyle w:val="BodyTextMain"/>
      </w:pPr>
    </w:p>
    <w:p w14:paraId="2C1073DC" w14:textId="06558D97" w:rsidR="003C4EDB" w:rsidRDefault="004402F5" w:rsidP="009E6B9A">
      <w:pPr>
        <w:pStyle w:val="BodyTextMain"/>
      </w:pPr>
      <w:r>
        <w:t xml:space="preserve">One of the state-owned </w:t>
      </w:r>
      <w:r w:rsidR="00255B01">
        <w:t xml:space="preserve">vodka </w:t>
      </w:r>
      <w:r>
        <w:t>producers that the Polish government privatize</w:t>
      </w:r>
      <w:r w:rsidR="00F30FF0">
        <w:t>d</w:t>
      </w:r>
      <w:r>
        <w:t xml:space="preserve"> was </w:t>
      </w:r>
      <w:proofErr w:type="spellStart"/>
      <w:r>
        <w:t>Polmos</w:t>
      </w:r>
      <w:proofErr w:type="spellEnd"/>
      <w:r>
        <w:t xml:space="preserve"> Lublin. The company was situated in the city of Lublin in the southeast of Poland, one of the poorest regions in the country.</w:t>
      </w:r>
      <w:r w:rsidR="00486BB1">
        <w:t xml:space="preserve"> </w:t>
      </w:r>
      <w:r>
        <w:t xml:space="preserve">With a turnover of </w:t>
      </w:r>
      <w:proofErr w:type="spellStart"/>
      <w:r w:rsidR="00874DA2">
        <w:rPr>
          <w:lang w:val="en-US"/>
        </w:rPr>
        <w:t>zł</w:t>
      </w:r>
      <w:proofErr w:type="spellEnd"/>
      <w:r>
        <w:t>172</w:t>
      </w:r>
      <w:r w:rsidR="00874DA2">
        <w:t xml:space="preserve"> million</w:t>
      </w:r>
      <w:r>
        <w:t xml:space="preserve"> (about €43</w:t>
      </w:r>
      <w:r w:rsidR="00874DA2">
        <w:t xml:space="preserve"> million</w:t>
      </w:r>
      <w:r>
        <w:t>),</w:t>
      </w:r>
      <w:r w:rsidR="00874DA2">
        <w:rPr>
          <w:rStyle w:val="FootnoteReference"/>
        </w:rPr>
        <w:footnoteReference w:id="7"/>
      </w:r>
      <w:r>
        <w:t xml:space="preserve"> the company was the </w:t>
      </w:r>
      <w:r w:rsidR="00186266">
        <w:t xml:space="preserve">sixth </w:t>
      </w:r>
      <w:r>
        <w:t xml:space="preserve">largest </w:t>
      </w:r>
      <w:r w:rsidR="00186266">
        <w:t>vodka producer</w:t>
      </w:r>
      <w:r w:rsidR="00A667E2">
        <w:t xml:space="preserve"> and</w:t>
      </w:r>
      <w:r w:rsidR="00186266">
        <w:t xml:space="preserve"> </w:t>
      </w:r>
      <w:r w:rsidR="00A667E2">
        <w:t>held about 4 per cent of the total</w:t>
      </w:r>
      <w:r>
        <w:t xml:space="preserve"> </w:t>
      </w:r>
      <w:r w:rsidR="003702E0">
        <w:t>Polish</w:t>
      </w:r>
      <w:r w:rsidR="00A667E2">
        <w:t xml:space="preserve"> vodka</w:t>
      </w:r>
      <w:r w:rsidR="003702E0">
        <w:t xml:space="preserve"> </w:t>
      </w:r>
      <w:r>
        <w:t>market</w:t>
      </w:r>
      <w:r w:rsidR="003958C2">
        <w:t xml:space="preserve"> in 2001</w:t>
      </w:r>
      <w:r>
        <w:t xml:space="preserve">. </w:t>
      </w:r>
      <w:r w:rsidR="003C4EDB">
        <w:t>It held a marginal share of the pure vodka market (about 2 per cent) but was a leader in the flavour</w:t>
      </w:r>
      <w:r w:rsidR="003C4EDB" w:rsidRPr="006261C2">
        <w:t>ed</w:t>
      </w:r>
      <w:r w:rsidR="003C4EDB">
        <w:t xml:space="preserve"> vodka segment with a 14 per cent market share. </w:t>
      </w:r>
    </w:p>
    <w:p w14:paraId="516CF09C" w14:textId="77777777" w:rsidR="003C4EDB" w:rsidRDefault="003C4EDB" w:rsidP="009E6B9A">
      <w:pPr>
        <w:pStyle w:val="BodyTextMain"/>
      </w:pPr>
    </w:p>
    <w:p w14:paraId="34CD0618" w14:textId="3D49F80A" w:rsidR="008C54F6" w:rsidRDefault="004402F5" w:rsidP="008957A8">
      <w:pPr>
        <w:pStyle w:val="BodyTextMain"/>
      </w:pPr>
      <w:r>
        <w:t xml:space="preserve">Sales were largely dependent on one major brand: </w:t>
      </w:r>
      <w:r w:rsidR="00B8177F">
        <w:t>Bitter</w:t>
      </w:r>
      <w:r w:rsidR="008D33F5">
        <w:t xml:space="preserve"> (</w:t>
      </w:r>
      <w:proofErr w:type="spellStart"/>
      <w:r w:rsidR="008D33F5" w:rsidRPr="00F93124">
        <w:t>Żołądkowa</w:t>
      </w:r>
      <w:proofErr w:type="spellEnd"/>
      <w:r w:rsidR="008D33F5" w:rsidRPr="00F93124" w:rsidDel="00703063">
        <w:t xml:space="preserve"> </w:t>
      </w:r>
      <w:proofErr w:type="spellStart"/>
      <w:r w:rsidR="008D33F5" w:rsidRPr="008C54F6">
        <w:t>Gorzka</w:t>
      </w:r>
      <w:proofErr w:type="spellEnd"/>
      <w:r w:rsidR="008D33F5">
        <w:t>)</w:t>
      </w:r>
      <w:r>
        <w:t xml:space="preserve">, a </w:t>
      </w:r>
      <w:r w:rsidR="00B8177F">
        <w:t>bitter</w:t>
      </w:r>
      <w:r>
        <w:t>sweet, orange</w:t>
      </w:r>
      <w:r w:rsidR="00703063">
        <w:t>-</w:t>
      </w:r>
      <w:r>
        <w:t xml:space="preserve">tasting, liqueur-type vodka. </w:t>
      </w:r>
      <w:r w:rsidR="00DA0D99">
        <w:t>It was very popular in Poland, especially among women who drank it as a sweet, orange liqueur in the evenings, and among alcoholics who drank it as hangover medicine, usually in the mornings</w:t>
      </w:r>
      <w:r w:rsidR="009E6B9A">
        <w:t>.</w:t>
      </w:r>
      <w:r w:rsidR="00DA0D99">
        <w:t xml:space="preserve"> (</w:t>
      </w:r>
      <w:r w:rsidR="009E6B9A">
        <w:t>I</w:t>
      </w:r>
      <w:r w:rsidR="00DA0D99">
        <w:t>t did</w:t>
      </w:r>
      <w:r w:rsidR="001473D3">
        <w:t xml:space="preserve"> not</w:t>
      </w:r>
      <w:r w:rsidR="00DA0D99">
        <w:t xml:space="preserve"> work</w:t>
      </w:r>
      <w:r w:rsidR="001473D3">
        <w:t xml:space="preserve"> as such</w:t>
      </w:r>
      <w:r w:rsidR="009E6B9A">
        <w:t>.</w:t>
      </w:r>
      <w:r w:rsidR="00DA0D99">
        <w:t xml:space="preserve">) The company product portfolio was heavily skewed toward the </w:t>
      </w:r>
      <w:r w:rsidR="00383DE2">
        <w:t xml:space="preserve">Bitter </w:t>
      </w:r>
      <w:r w:rsidR="00DA0D99">
        <w:t xml:space="preserve">brand, which constituted slightly </w:t>
      </w:r>
      <w:r w:rsidR="00255B01">
        <w:t xml:space="preserve">more than </w:t>
      </w:r>
      <w:r w:rsidR="00DA0D99">
        <w:t>70</w:t>
      </w:r>
      <w:r w:rsidR="00D97EFF">
        <w:t xml:space="preserve"> per cent</w:t>
      </w:r>
      <w:r w:rsidR="00DA0D99">
        <w:t xml:space="preserve"> of sales. While </w:t>
      </w:r>
      <w:proofErr w:type="spellStart"/>
      <w:r w:rsidR="00255B01">
        <w:t>Polmos</w:t>
      </w:r>
      <w:proofErr w:type="spellEnd"/>
      <w:r w:rsidR="00255B01">
        <w:t xml:space="preserve"> Lublin </w:t>
      </w:r>
      <w:r w:rsidR="00DA0D99">
        <w:t xml:space="preserve">carried multiple other brands of </w:t>
      </w:r>
      <w:r w:rsidR="0003268D">
        <w:t>flavour</w:t>
      </w:r>
      <w:r w:rsidR="00DA0D99" w:rsidRPr="00255B01">
        <w:t>ed</w:t>
      </w:r>
      <w:r w:rsidR="00DA0D99">
        <w:t xml:space="preserve"> vodka, no single one accounted for more than 3</w:t>
      </w:r>
      <w:r w:rsidR="00D97EFF">
        <w:t xml:space="preserve"> per cent</w:t>
      </w:r>
      <w:r w:rsidR="00DA0D99">
        <w:t xml:space="preserve"> of sales. </w:t>
      </w:r>
    </w:p>
    <w:p w14:paraId="2AAF1F4F" w14:textId="77777777" w:rsidR="008C54F6" w:rsidRDefault="008C54F6" w:rsidP="008957A8">
      <w:pPr>
        <w:pStyle w:val="BodyTextMain"/>
      </w:pPr>
    </w:p>
    <w:p w14:paraId="2002CAF8" w14:textId="12FC1817" w:rsidR="00DA0D99" w:rsidRDefault="00DA0D99" w:rsidP="008957A8">
      <w:pPr>
        <w:pStyle w:val="BodyTextMain"/>
      </w:pPr>
      <w:r>
        <w:t xml:space="preserve">The company also produced five pure vodkas in the premium </w:t>
      </w:r>
      <w:r w:rsidR="00BB03FB">
        <w:t xml:space="preserve">and top premium </w:t>
      </w:r>
      <w:r>
        <w:t>segment</w:t>
      </w:r>
      <w:r w:rsidR="00BB03FB">
        <w:t>s</w:t>
      </w:r>
      <w:r>
        <w:t xml:space="preserve"> </w:t>
      </w:r>
      <w:r w:rsidRPr="008C54F6">
        <w:t>(Commander Vodka, Captain Vodka</w:t>
      </w:r>
      <w:r w:rsidR="00BB03FB" w:rsidRPr="00F93124">
        <w:t>,</w:t>
      </w:r>
      <w:r w:rsidRPr="00F93124">
        <w:t xml:space="preserve"> and Boss), mainstream </w:t>
      </w:r>
      <w:r w:rsidR="00BB03FB" w:rsidRPr="008C54F6">
        <w:t xml:space="preserve">segment </w:t>
      </w:r>
      <w:r w:rsidRPr="008C54F6">
        <w:t>(Ideal)</w:t>
      </w:r>
      <w:r w:rsidR="00BB03FB" w:rsidRPr="008C54F6">
        <w:t>,</w:t>
      </w:r>
      <w:r w:rsidRPr="008C54F6">
        <w:t xml:space="preserve"> and economy segment (Bison)</w:t>
      </w:r>
      <w:r w:rsidR="00BB03FB" w:rsidRPr="008C54F6">
        <w:t>,</w:t>
      </w:r>
      <w:r>
        <w:t xml:space="preserve"> </w:t>
      </w:r>
      <w:r w:rsidR="001473D3">
        <w:t>which</w:t>
      </w:r>
      <w:r w:rsidR="00BB03FB">
        <w:t xml:space="preserve"> together</w:t>
      </w:r>
      <w:r>
        <w:t xml:space="preserve"> were responsible for 23</w:t>
      </w:r>
      <w:r w:rsidR="00D97EFF">
        <w:t xml:space="preserve"> per cent</w:t>
      </w:r>
      <w:r>
        <w:t xml:space="preserve"> of sales. </w:t>
      </w:r>
      <w:r w:rsidRPr="00F93124">
        <w:t>Boss</w:t>
      </w:r>
      <w:r>
        <w:t xml:space="preserve"> was a </w:t>
      </w:r>
      <w:r w:rsidR="00BB03FB">
        <w:t xml:space="preserve">new and </w:t>
      </w:r>
      <w:r>
        <w:t>relatively successful product, but sales stagnated at 1.5</w:t>
      </w:r>
      <w:r w:rsidR="00D97EFF">
        <w:t xml:space="preserve"> per cent</w:t>
      </w:r>
      <w:r>
        <w:t xml:space="preserve"> of the pure vodka market. It </w:t>
      </w:r>
      <w:r w:rsidR="00CE0B49">
        <w:t xml:space="preserve">had been </w:t>
      </w:r>
      <w:r>
        <w:t xml:space="preserve">introduced in 1998 with strong merchandising support and a smart marketing strategy, imitating a popular premium vodka, </w:t>
      </w:r>
      <w:proofErr w:type="spellStart"/>
      <w:r w:rsidRPr="00F93124">
        <w:t>Bols</w:t>
      </w:r>
      <w:proofErr w:type="spellEnd"/>
      <w:r>
        <w:t xml:space="preserve"> (</w:t>
      </w:r>
      <w:r w:rsidR="00CE0B49">
        <w:t xml:space="preserve">also </w:t>
      </w:r>
      <w:r>
        <w:t>produced in Poland</w:t>
      </w:r>
      <w:r w:rsidR="00CE0B49">
        <w:t>, but</w:t>
      </w:r>
      <w:r>
        <w:t xml:space="preserve"> </w:t>
      </w:r>
      <w:r w:rsidR="00BB03FB">
        <w:t>under</w:t>
      </w:r>
      <w:r>
        <w:t xml:space="preserve"> Dutch license). </w:t>
      </w:r>
      <w:r w:rsidR="001473D3">
        <w:t>The b</w:t>
      </w:r>
      <w:r>
        <w:t xml:space="preserve">ottles </w:t>
      </w:r>
      <w:r w:rsidR="00BB03FB">
        <w:t xml:space="preserve">for both brands </w:t>
      </w:r>
      <w:r>
        <w:t>were similar, as was the pronunciation of the brand</w:t>
      </w:r>
      <w:r w:rsidR="00BB03FB">
        <w:t xml:space="preserve"> name</w:t>
      </w:r>
      <w:r>
        <w:t xml:space="preserve">s, </w:t>
      </w:r>
      <w:r w:rsidR="00BB03FB">
        <w:t xml:space="preserve">but </w:t>
      </w:r>
      <w:r w:rsidRPr="00F93124">
        <w:t>Boss</w:t>
      </w:r>
      <w:r>
        <w:t xml:space="preserve"> had a lower price than </w:t>
      </w:r>
      <w:proofErr w:type="spellStart"/>
      <w:r w:rsidRPr="00F93124">
        <w:t>Bols</w:t>
      </w:r>
      <w:proofErr w:type="spellEnd"/>
      <w:r w:rsidR="00605584">
        <w:t xml:space="preserve"> (see Exhibit </w:t>
      </w:r>
      <w:r w:rsidR="00647DF5">
        <w:t>2</w:t>
      </w:r>
      <w:r w:rsidR="00605584">
        <w:t>)</w:t>
      </w:r>
      <w:r>
        <w:t xml:space="preserve">. </w:t>
      </w:r>
      <w:r w:rsidR="00CE0B49">
        <w:t>As part of the</w:t>
      </w:r>
      <w:r>
        <w:t xml:space="preserve"> </w:t>
      </w:r>
      <w:r>
        <w:lastRenderedPageBreak/>
        <w:t>market</w:t>
      </w:r>
      <w:r w:rsidR="00CE0B49">
        <w:t>ing plan for</w:t>
      </w:r>
      <w:r>
        <w:t xml:space="preserve"> </w:t>
      </w:r>
      <w:r w:rsidR="00CE0B49">
        <w:t>Boss</w:t>
      </w:r>
      <w:r>
        <w:t xml:space="preserve">, </w:t>
      </w:r>
      <w:proofErr w:type="spellStart"/>
      <w:r>
        <w:t>Polmos</w:t>
      </w:r>
      <w:proofErr w:type="spellEnd"/>
      <w:r>
        <w:t xml:space="preserve"> Lublin </w:t>
      </w:r>
      <w:r w:rsidR="00CE0B49">
        <w:t>had given</w:t>
      </w:r>
      <w:r>
        <w:t xml:space="preserve"> a license to Lublin Tobacco Producers, which introduced </w:t>
      </w:r>
      <w:r w:rsidRPr="00F93124">
        <w:t>Boss</w:t>
      </w:r>
      <w:r>
        <w:t xml:space="preserve"> cigarettes. Producers of the original </w:t>
      </w:r>
      <w:proofErr w:type="spellStart"/>
      <w:r w:rsidRPr="00F93124">
        <w:t>Bols</w:t>
      </w:r>
      <w:proofErr w:type="spellEnd"/>
      <w:r>
        <w:t xml:space="preserve"> vodka and the </w:t>
      </w:r>
      <w:r w:rsidR="00B1030C">
        <w:t xml:space="preserve">brand’s </w:t>
      </w:r>
      <w:r>
        <w:t xml:space="preserve">owner sued </w:t>
      </w:r>
      <w:proofErr w:type="spellStart"/>
      <w:r>
        <w:t>Polmos</w:t>
      </w:r>
      <w:proofErr w:type="spellEnd"/>
      <w:r>
        <w:t xml:space="preserve"> Lublin for imitatin</w:t>
      </w:r>
      <w:r w:rsidR="00B1030C">
        <w:t>g</w:t>
      </w:r>
      <w:r>
        <w:t xml:space="preserve"> </w:t>
      </w:r>
      <w:proofErr w:type="spellStart"/>
      <w:r w:rsidR="00B1030C">
        <w:t>Bols</w:t>
      </w:r>
      <w:proofErr w:type="spellEnd"/>
      <w:r w:rsidR="001473D3">
        <w:t>’</w:t>
      </w:r>
      <w:r>
        <w:t xml:space="preserve"> packaging, brand</w:t>
      </w:r>
      <w:r w:rsidR="00B1030C">
        <w:t>,</w:t>
      </w:r>
      <w:r>
        <w:t xml:space="preserve"> and product. The company eventually settled the conflict and abandoned production of </w:t>
      </w:r>
      <w:r w:rsidRPr="00F93124">
        <w:t>Boss</w:t>
      </w:r>
      <w:r>
        <w:t xml:space="preserve"> vodka for an undisclosed sum.</w:t>
      </w:r>
    </w:p>
    <w:p w14:paraId="26314C4F" w14:textId="77777777" w:rsidR="00083DE2" w:rsidRDefault="00083DE2" w:rsidP="008957A8">
      <w:pPr>
        <w:pStyle w:val="BodyTextMain"/>
      </w:pPr>
    </w:p>
    <w:p w14:paraId="4C493FBA" w14:textId="459BEA1E" w:rsidR="00DA0D99" w:rsidRDefault="00B1030C" w:rsidP="008957A8">
      <w:pPr>
        <w:pStyle w:val="BodyTextMain"/>
      </w:pPr>
      <w:r>
        <w:t>When it was</w:t>
      </w:r>
      <w:r w:rsidR="00DA0D99">
        <w:t xml:space="preserve"> privatiz</w:t>
      </w:r>
      <w:r>
        <w:t>ed</w:t>
      </w:r>
      <w:r w:rsidR="00DA0D99">
        <w:t xml:space="preserve">, </w:t>
      </w:r>
      <w:proofErr w:type="spellStart"/>
      <w:r>
        <w:t>Polmos</w:t>
      </w:r>
      <w:proofErr w:type="spellEnd"/>
      <w:r>
        <w:t xml:space="preserve"> Lublin</w:t>
      </w:r>
      <w:r w:rsidR="00DA0D99">
        <w:t xml:space="preserve"> employed 200 people. Production buildings and stores were located on a relatively large lot close to </w:t>
      </w:r>
      <w:r>
        <w:t xml:space="preserve">Lublin’s </w:t>
      </w:r>
      <w:r w:rsidR="00DA0D99">
        <w:t xml:space="preserve">city </w:t>
      </w:r>
      <w:r>
        <w:t>centre</w:t>
      </w:r>
      <w:r w:rsidR="00DA0D99">
        <w:t xml:space="preserve">. </w:t>
      </w:r>
      <w:r>
        <w:t xml:space="preserve">The company </w:t>
      </w:r>
      <w:r w:rsidR="00DA0D99">
        <w:t>had several industrial installations spread across different buildings, warehouses for supplies and finished goods, and its own railway system</w:t>
      </w:r>
      <w:r>
        <w:t xml:space="preserve"> that</w:t>
      </w:r>
      <w:r w:rsidR="00DA0D99">
        <w:t xml:space="preserve"> includ</w:t>
      </w:r>
      <w:r>
        <w:t>ed</w:t>
      </w:r>
      <w:r w:rsidR="00DA0D99">
        <w:t xml:space="preserve"> small cars and diesel locomotives. The railway was </w:t>
      </w:r>
      <w:r>
        <w:t xml:space="preserve">rarely </w:t>
      </w:r>
      <w:r w:rsidR="00DA0D99">
        <w:t>used</w:t>
      </w:r>
      <w:r>
        <w:t xml:space="preserve"> </w:t>
      </w:r>
      <w:r w:rsidR="00DA0D99">
        <w:t xml:space="preserve">because </w:t>
      </w:r>
      <w:r>
        <w:t xml:space="preserve">liquor </w:t>
      </w:r>
      <w:r w:rsidR="00DA0D99">
        <w:t xml:space="preserve">was </w:t>
      </w:r>
      <w:r w:rsidR="00C07359">
        <w:t xml:space="preserve">increasingly </w:t>
      </w:r>
      <w:r w:rsidR="00DA0D99">
        <w:t xml:space="preserve">transported by trucks and less by cargo trains. The </w:t>
      </w:r>
      <w:r w:rsidR="00C07359">
        <w:t xml:space="preserve">company’s </w:t>
      </w:r>
      <w:r w:rsidR="00DA0D99">
        <w:t xml:space="preserve">assets also included a yeast production facility that occupied one large production building and employed about 25 people. </w:t>
      </w:r>
      <w:r w:rsidR="00C07359">
        <w:t xml:space="preserve">(Yeast was also sold to bakeries in the Lublin region.) </w:t>
      </w:r>
      <w:r w:rsidR="00DA0D99">
        <w:t>The company sold its products directly through its store to supermarkets (e.g.</w:t>
      </w:r>
      <w:r w:rsidR="00C07359">
        <w:t>,</w:t>
      </w:r>
      <w:r w:rsidR="00DA0D99">
        <w:t xml:space="preserve"> Macro Cash &amp; Carry, Leclerc)</w:t>
      </w:r>
      <w:r w:rsidR="001473D3">
        <w:t>,</w:t>
      </w:r>
      <w:r w:rsidR="00DA0D99">
        <w:t xml:space="preserve"> but</w:t>
      </w:r>
      <w:r w:rsidR="00C07359">
        <w:t xml:space="preserve"> otherwise</w:t>
      </w:r>
      <w:r w:rsidR="00DA0D99">
        <w:t xml:space="preserve"> mostly relied on regional distributors. </w:t>
      </w:r>
    </w:p>
    <w:p w14:paraId="311E91EC" w14:textId="77777777" w:rsidR="00083DE2" w:rsidRDefault="00083DE2" w:rsidP="008957A8">
      <w:pPr>
        <w:pStyle w:val="BodyTextMain"/>
      </w:pPr>
    </w:p>
    <w:p w14:paraId="7CD0CBEB" w14:textId="4594A1E0" w:rsidR="00DA0D99" w:rsidRDefault="00DA0D99" w:rsidP="008957A8">
      <w:pPr>
        <w:pStyle w:val="BodyTextMain"/>
      </w:pPr>
      <w:r>
        <w:t xml:space="preserve">The state agency preparing </w:t>
      </w:r>
      <w:r w:rsidR="00997298">
        <w:t xml:space="preserve">the </w:t>
      </w:r>
      <w:proofErr w:type="spellStart"/>
      <w:r>
        <w:t>Polmos</w:t>
      </w:r>
      <w:proofErr w:type="spellEnd"/>
      <w:r>
        <w:t xml:space="preserve"> firms for privatization decided to depart from the existing free-for-all brand usage policy. In order to increase </w:t>
      </w:r>
      <w:r w:rsidR="00997298">
        <w:t xml:space="preserve">the </w:t>
      </w:r>
      <w:r>
        <w:t xml:space="preserve">firms’ value, </w:t>
      </w:r>
      <w:r w:rsidR="00997298">
        <w:t xml:space="preserve">the agency </w:t>
      </w:r>
      <w:r>
        <w:t xml:space="preserve">allocated each popular brand to two or three </w:t>
      </w:r>
      <w:proofErr w:type="spellStart"/>
      <w:r>
        <w:t>Polmos</w:t>
      </w:r>
      <w:proofErr w:type="spellEnd"/>
      <w:r>
        <w:t xml:space="preserve"> companies </w:t>
      </w:r>
      <w:r w:rsidR="00997298">
        <w:t xml:space="preserve">through </w:t>
      </w:r>
      <w:r>
        <w:t xml:space="preserve">a bidding system. </w:t>
      </w:r>
      <w:proofErr w:type="spellStart"/>
      <w:r>
        <w:t>Polmos</w:t>
      </w:r>
      <w:proofErr w:type="spellEnd"/>
      <w:r>
        <w:t xml:space="preserve"> Lublin bid for </w:t>
      </w:r>
      <w:r w:rsidR="00383DE2">
        <w:t>Bitter</w:t>
      </w:r>
      <w:r>
        <w:t xml:space="preserve"> and </w:t>
      </w:r>
      <w:r w:rsidR="00997298">
        <w:t xml:space="preserve">was awarded </w:t>
      </w:r>
      <w:r>
        <w:t>58</w:t>
      </w:r>
      <w:r w:rsidR="00D97EFF">
        <w:t xml:space="preserve"> per cent</w:t>
      </w:r>
      <w:r>
        <w:t xml:space="preserve"> ownership. </w:t>
      </w:r>
      <w:proofErr w:type="spellStart"/>
      <w:r>
        <w:t>Polmos</w:t>
      </w:r>
      <w:proofErr w:type="spellEnd"/>
      <w:r>
        <w:t xml:space="preserve"> </w:t>
      </w:r>
      <w:proofErr w:type="spellStart"/>
      <w:r>
        <w:t>Starogard</w:t>
      </w:r>
      <w:proofErr w:type="spellEnd"/>
      <w:r>
        <w:t xml:space="preserve"> (acquired by Belvedere Group) was allocated the remaining 42</w:t>
      </w:r>
      <w:r w:rsidR="00D97EFF">
        <w:t xml:space="preserve"> per cent</w:t>
      </w:r>
      <w:r>
        <w:t xml:space="preserve"> of the brand. However, while </w:t>
      </w:r>
      <w:r w:rsidR="00383DE2">
        <w:t>Bitter</w:t>
      </w:r>
      <w:r w:rsidR="00A64422">
        <w:t xml:space="preserve"> </w:t>
      </w:r>
      <w:r>
        <w:t xml:space="preserve">was a crucial brand for </w:t>
      </w:r>
      <w:proofErr w:type="spellStart"/>
      <w:r>
        <w:t>Polmos</w:t>
      </w:r>
      <w:proofErr w:type="spellEnd"/>
      <w:r>
        <w:t xml:space="preserve"> Lublin</w:t>
      </w:r>
      <w:r w:rsidR="00A64422">
        <w:t>,</w:t>
      </w:r>
      <w:r>
        <w:t xml:space="preserve"> it </w:t>
      </w:r>
      <w:r w:rsidR="00A64422">
        <w:t xml:space="preserve">was </w:t>
      </w:r>
      <w:r>
        <w:t>less significan</w:t>
      </w:r>
      <w:r w:rsidR="00A64422">
        <w:t>t</w:t>
      </w:r>
      <w:r>
        <w:t xml:space="preserve"> for Belvedere</w:t>
      </w:r>
      <w:r w:rsidR="00FA0FDA">
        <w:t xml:space="preserve"> Group</w:t>
      </w:r>
      <w:r>
        <w:t xml:space="preserve">, which focused on the pure vodka segment with </w:t>
      </w:r>
      <w:r w:rsidR="00A64422">
        <w:t xml:space="preserve">its </w:t>
      </w:r>
      <w:r>
        <w:t>popular brand</w:t>
      </w:r>
      <w:r w:rsidR="00A161F1">
        <w:t>,</w:t>
      </w:r>
      <w:r>
        <w:t xml:space="preserve"> </w:t>
      </w:r>
      <w:r w:rsidRPr="00F93124">
        <w:t>Sobieski</w:t>
      </w:r>
      <w:r>
        <w:t>.</w:t>
      </w:r>
    </w:p>
    <w:p w14:paraId="712BF79F" w14:textId="77777777" w:rsidR="00083DE2" w:rsidRDefault="00083DE2" w:rsidP="008957A8">
      <w:pPr>
        <w:pStyle w:val="BodyTextMain"/>
      </w:pPr>
    </w:p>
    <w:p w14:paraId="71229D8C" w14:textId="5B7C644C" w:rsidR="00A378A0" w:rsidRDefault="00DA0D99" w:rsidP="008957A8">
      <w:pPr>
        <w:pStyle w:val="BodyTextMain"/>
      </w:pPr>
      <w:r>
        <w:t>In 2001</w:t>
      </w:r>
      <w:r w:rsidR="00A64422">
        <w:t>,</w:t>
      </w:r>
      <w:r>
        <w:t xml:space="preserve"> the 3</w:t>
      </w:r>
      <w:r w:rsidR="00A64422">
        <w:t xml:space="preserve"> million</w:t>
      </w:r>
      <w:r>
        <w:t xml:space="preserve"> shares that constituted 95</w:t>
      </w:r>
      <w:r w:rsidR="00D97EFF">
        <w:t xml:space="preserve"> per cent</w:t>
      </w:r>
      <w:r>
        <w:t xml:space="preserve"> of </w:t>
      </w:r>
      <w:proofErr w:type="spellStart"/>
      <w:r w:rsidR="00A64422">
        <w:t>Polmos</w:t>
      </w:r>
      <w:proofErr w:type="spellEnd"/>
      <w:r w:rsidR="00A64422">
        <w:t xml:space="preserve"> Lublin’s </w:t>
      </w:r>
      <w:r>
        <w:t xml:space="preserve">equity were sold for </w:t>
      </w:r>
      <w:proofErr w:type="spellStart"/>
      <w:r w:rsidR="00A64422" w:rsidRPr="00A64422">
        <w:rPr>
          <w:lang w:val="en-US"/>
        </w:rPr>
        <w:t>zł</w:t>
      </w:r>
      <w:proofErr w:type="spellEnd"/>
      <w:r>
        <w:t>27</w:t>
      </w:r>
      <w:r w:rsidR="00A64422">
        <w:t> million</w:t>
      </w:r>
      <w:r>
        <w:t xml:space="preserve"> (about €7.2</w:t>
      </w:r>
      <w:r w:rsidR="00A64422">
        <w:t xml:space="preserve"> million</w:t>
      </w:r>
      <w:r>
        <w:t>)</w:t>
      </w:r>
      <w:r w:rsidR="00A64422">
        <w:t>, to be</w:t>
      </w:r>
      <w:r>
        <w:t xml:space="preserve"> paid in three </w:t>
      </w:r>
      <w:r w:rsidR="00A64422">
        <w:t>instalments. The buyer was</w:t>
      </w:r>
      <w:r>
        <w:t xml:space="preserve"> a private investor, </w:t>
      </w:r>
      <w:proofErr w:type="spellStart"/>
      <w:r>
        <w:t>Janusz</w:t>
      </w:r>
      <w:proofErr w:type="spellEnd"/>
      <w:r>
        <w:t xml:space="preserve"> </w:t>
      </w:r>
      <w:proofErr w:type="spellStart"/>
      <w:r>
        <w:t>Palikot</w:t>
      </w:r>
      <w:proofErr w:type="spellEnd"/>
      <w:r>
        <w:t xml:space="preserve">, an entrepreneur and specialist in the alcoholic beverages market, </w:t>
      </w:r>
      <w:r w:rsidR="00A64422">
        <w:t xml:space="preserve">and </w:t>
      </w:r>
      <w:r w:rsidR="00FA0FDA">
        <w:t>the</w:t>
      </w:r>
      <w:r>
        <w:t xml:space="preserve"> former </w:t>
      </w:r>
      <w:r w:rsidR="00A64422">
        <w:t>chief executive officer</w:t>
      </w:r>
      <w:r>
        <w:t xml:space="preserve"> and co-owner of </w:t>
      </w:r>
      <w:proofErr w:type="spellStart"/>
      <w:r w:rsidR="00A64422">
        <w:t>Ambra</w:t>
      </w:r>
      <w:proofErr w:type="spellEnd"/>
      <w:r>
        <w:t xml:space="preserve">, the largest sparkling wine producer in Poland. The government kept the </w:t>
      </w:r>
      <w:r w:rsidR="00A64422">
        <w:t xml:space="preserve">remaining </w:t>
      </w:r>
      <w:r>
        <w:t>5</w:t>
      </w:r>
      <w:r w:rsidR="00D97EFF">
        <w:t xml:space="preserve"> per cent</w:t>
      </w:r>
      <w:r>
        <w:t xml:space="preserve"> stake and one seat on the supervisory board. The new investor became </w:t>
      </w:r>
      <w:r w:rsidR="00A64422">
        <w:t>chief executive officer</w:t>
      </w:r>
      <w:r>
        <w:t xml:space="preserve"> and</w:t>
      </w:r>
      <w:r w:rsidR="00A64422">
        <w:t>,</w:t>
      </w:r>
      <w:r>
        <w:t xml:space="preserve"> with the help of </w:t>
      </w:r>
      <w:r w:rsidR="00AB3F71">
        <w:t xml:space="preserve">a </w:t>
      </w:r>
      <w:r>
        <w:t xml:space="preserve">new supervisory </w:t>
      </w:r>
      <w:r w:rsidR="00B150FD">
        <w:t xml:space="preserve">and executive </w:t>
      </w:r>
      <w:r>
        <w:t>board</w:t>
      </w:r>
      <w:r w:rsidR="00AB3F71">
        <w:t>,</w:t>
      </w:r>
      <w:r>
        <w:t xml:space="preserve"> immediately prepared </w:t>
      </w:r>
      <w:r w:rsidR="00AB3F71">
        <w:t xml:space="preserve">a </w:t>
      </w:r>
      <w:r>
        <w:t xml:space="preserve">restructuring plan. </w:t>
      </w:r>
      <w:r w:rsidR="00A378A0">
        <w:t>It was a difficult time, as o</w:t>
      </w:r>
      <w:r>
        <w:t>ne of the managers recollected</w:t>
      </w:r>
      <w:r w:rsidR="00A378A0">
        <w:t>:</w:t>
      </w:r>
    </w:p>
    <w:p w14:paraId="071BA76D" w14:textId="77777777" w:rsidR="00A378A0" w:rsidRDefault="00A378A0" w:rsidP="008957A8">
      <w:pPr>
        <w:pStyle w:val="BodyTextMain"/>
      </w:pPr>
    </w:p>
    <w:p w14:paraId="3EC77557" w14:textId="242D0320" w:rsidR="00DA0D99" w:rsidRPr="00F93124" w:rsidRDefault="00DA0D99" w:rsidP="00F93124">
      <w:pPr>
        <w:pStyle w:val="BodyTextMain"/>
        <w:ind w:left="720"/>
        <w:rPr>
          <w:lang w:val="en-US"/>
        </w:rPr>
      </w:pPr>
      <w:r>
        <w:t xml:space="preserve">It was a weak company, the investor was leveraged to the hilt and did not have any money for development, and the duty to pay excise and value-added taxes before we collected any money from distributors </w:t>
      </w:r>
      <w:r w:rsidR="00AB3F71">
        <w:t xml:space="preserve">was </w:t>
      </w:r>
      <w:r>
        <w:t>killing us.</w:t>
      </w:r>
    </w:p>
    <w:p w14:paraId="04ED57B6" w14:textId="77777777" w:rsidR="00083DE2" w:rsidRDefault="00083DE2" w:rsidP="008957A8">
      <w:pPr>
        <w:pStyle w:val="BodyTextMain"/>
      </w:pPr>
    </w:p>
    <w:p w14:paraId="204A9113" w14:textId="55DCD364" w:rsidR="00DA0D99" w:rsidRPr="00F93124" w:rsidRDefault="00A378A0" w:rsidP="007B2B13">
      <w:pPr>
        <w:pStyle w:val="BodyTextMain"/>
        <w:rPr>
          <w:lang w:val="en-US"/>
        </w:rPr>
      </w:pPr>
      <w:r>
        <w:t>After intense and difficult negotiations with the trade unions, t</w:t>
      </w:r>
      <w:r w:rsidR="00DA0D99">
        <w:t xml:space="preserve">he </w:t>
      </w:r>
      <w:r>
        <w:t xml:space="preserve">company </w:t>
      </w:r>
      <w:r w:rsidR="00DA0D99">
        <w:t xml:space="preserve">scaled down </w:t>
      </w:r>
      <w:r>
        <w:t xml:space="preserve">its workforce </w:t>
      </w:r>
      <w:r w:rsidR="00DA0D99">
        <w:t xml:space="preserve">to 150 people. </w:t>
      </w:r>
      <w:r>
        <w:t xml:space="preserve">A portion </w:t>
      </w:r>
      <w:r w:rsidR="00DA0D99">
        <w:t xml:space="preserve">of the land and installations </w:t>
      </w:r>
      <w:r>
        <w:t xml:space="preserve">was </w:t>
      </w:r>
      <w:r w:rsidR="00DA0D99">
        <w:t xml:space="preserve">sold. </w:t>
      </w:r>
      <w:r>
        <w:t>T</w:t>
      </w:r>
      <w:r w:rsidR="00DA0D99">
        <w:t>he yeast production facility</w:t>
      </w:r>
      <w:r>
        <w:t>, which</w:t>
      </w:r>
      <w:r w:rsidR="00DA0D99">
        <w:t xml:space="preserve"> </w:t>
      </w:r>
      <w:r>
        <w:t>had been</w:t>
      </w:r>
      <w:r w:rsidR="00DA0D99">
        <w:t xml:space="preserve"> losing money</w:t>
      </w:r>
      <w:r>
        <w:t>,</w:t>
      </w:r>
      <w:r w:rsidR="00DA0D99">
        <w:t xml:space="preserve"> was sold for </w:t>
      </w:r>
      <w:proofErr w:type="spellStart"/>
      <w:r w:rsidRPr="00A378A0">
        <w:rPr>
          <w:lang w:val="en-US"/>
        </w:rPr>
        <w:t>zł</w:t>
      </w:r>
      <w:proofErr w:type="spellEnd"/>
      <w:r w:rsidR="00DA0D99">
        <w:t>3.5</w:t>
      </w:r>
      <w:r>
        <w:t xml:space="preserve"> million despite a</w:t>
      </w:r>
      <w:r w:rsidR="00DA0D99">
        <w:t xml:space="preserve"> book value </w:t>
      </w:r>
      <w:r>
        <w:t xml:space="preserve">of </w:t>
      </w:r>
      <w:proofErr w:type="spellStart"/>
      <w:r>
        <w:rPr>
          <w:lang w:val="en-US"/>
        </w:rPr>
        <w:t>zł</w:t>
      </w:r>
      <w:proofErr w:type="spellEnd"/>
      <w:r w:rsidR="00DA0D99">
        <w:t>6.5</w:t>
      </w:r>
      <w:r>
        <w:t xml:space="preserve"> million. The</w:t>
      </w:r>
      <w:r w:rsidR="00DA0D99">
        <w:t xml:space="preserve"> deal triggered a legal investigation </w:t>
      </w:r>
      <w:r>
        <w:t xml:space="preserve">into </w:t>
      </w:r>
      <w:r w:rsidR="00FA0FDA">
        <w:t xml:space="preserve">company </w:t>
      </w:r>
      <w:r w:rsidR="00DA0D99">
        <w:t>manage</w:t>
      </w:r>
      <w:r>
        <w:t>ment</w:t>
      </w:r>
      <w:r w:rsidR="00DA0D99">
        <w:t xml:space="preserve"> at the </w:t>
      </w:r>
      <w:r>
        <w:t>s</w:t>
      </w:r>
      <w:r w:rsidR="00DA0D99">
        <w:t>tate</w:t>
      </w:r>
      <w:r w:rsidR="001031DB">
        <w:t>’s</w:t>
      </w:r>
      <w:r w:rsidR="00DA0D99">
        <w:t xml:space="preserve"> initiative</w:t>
      </w:r>
      <w:r>
        <w:t>; t</w:t>
      </w:r>
      <w:r w:rsidR="00DA0D99">
        <w:t xml:space="preserve">he officials just could not understand how a company could sell assets </w:t>
      </w:r>
      <w:r>
        <w:t xml:space="preserve">for less than </w:t>
      </w:r>
      <w:r w:rsidR="00DA0D99">
        <w:t>book value. It took some time for everybody to understand the concept</w:t>
      </w:r>
      <w:r>
        <w:t>s</w:t>
      </w:r>
      <w:r w:rsidR="00DA0D99">
        <w:t xml:space="preserve"> of “sunk costs” and “loss</w:t>
      </w:r>
      <w:r>
        <w:t>-</w:t>
      </w:r>
      <w:r w:rsidR="00DA0D99">
        <w:t>creating assets.” The internal railroad system was abandoned and locomotives sold. Installations were moved as close as possible to each other to save on media and transportation</w:t>
      </w:r>
      <w:r w:rsidR="00FA0FDA">
        <w:t xml:space="preserve"> costs</w:t>
      </w:r>
      <w:r w:rsidR="00DA0D99">
        <w:t xml:space="preserve">. </w:t>
      </w:r>
    </w:p>
    <w:p w14:paraId="67AC42F8" w14:textId="77777777" w:rsidR="00083DE2" w:rsidRDefault="00083DE2" w:rsidP="008957A8">
      <w:pPr>
        <w:pStyle w:val="BodyTextMain"/>
      </w:pPr>
    </w:p>
    <w:p w14:paraId="5691FF5B" w14:textId="13A69226" w:rsidR="00DA0D99" w:rsidRDefault="00DA0D99" w:rsidP="008957A8">
      <w:pPr>
        <w:pStyle w:val="BodyTextMain"/>
      </w:pPr>
      <w:r>
        <w:t xml:space="preserve">Another major challenge was the </w:t>
      </w:r>
      <w:r w:rsidR="007B2B13">
        <w:t xml:space="preserve">company’s </w:t>
      </w:r>
      <w:r>
        <w:t xml:space="preserve">distribution system. The existing inefficient system of cooperation with hundreds of distributors was radically </w:t>
      </w:r>
      <w:r w:rsidR="007B2B13">
        <w:t xml:space="preserve">changed </w:t>
      </w:r>
      <w:r>
        <w:t xml:space="preserve">in 2002. </w:t>
      </w:r>
      <w:proofErr w:type="spellStart"/>
      <w:r>
        <w:t>Polmos</w:t>
      </w:r>
      <w:proofErr w:type="spellEnd"/>
      <w:r>
        <w:t xml:space="preserve"> Lublin signed an agreement with </w:t>
      </w:r>
      <w:proofErr w:type="spellStart"/>
      <w:r w:rsidR="007B2B13">
        <w:t>Ambra</w:t>
      </w:r>
      <w:proofErr w:type="spellEnd"/>
      <w:r w:rsidR="007B2B13">
        <w:t xml:space="preserve"> </w:t>
      </w:r>
      <w:r>
        <w:t>and outsourced all of its distribution. In this way</w:t>
      </w:r>
      <w:r w:rsidR="007B2B13">
        <w:t>,</w:t>
      </w:r>
      <w:r>
        <w:t xml:space="preserve"> </w:t>
      </w:r>
      <w:r w:rsidR="007B2B13">
        <w:t>the company shed</w:t>
      </w:r>
      <w:r>
        <w:t xml:space="preserve"> </w:t>
      </w:r>
      <w:r w:rsidR="007B2B13">
        <w:t xml:space="preserve">its </w:t>
      </w:r>
      <w:r>
        <w:t xml:space="preserve">problem </w:t>
      </w:r>
      <w:r w:rsidR="007B2B13">
        <w:t xml:space="preserve">with </w:t>
      </w:r>
      <w:r>
        <w:t>collectin</w:t>
      </w:r>
      <w:r w:rsidR="007B2B13">
        <w:t>g</w:t>
      </w:r>
      <w:r>
        <w:t xml:space="preserve"> receivables and </w:t>
      </w:r>
      <w:r w:rsidR="007B2B13">
        <w:t xml:space="preserve">gained </w:t>
      </w:r>
      <w:r>
        <w:t xml:space="preserve">a larger </w:t>
      </w:r>
      <w:r w:rsidR="007B2B13">
        <w:t xml:space="preserve">reach </w:t>
      </w:r>
      <w:r>
        <w:t xml:space="preserve">of retailers. </w:t>
      </w:r>
      <w:proofErr w:type="spellStart"/>
      <w:r w:rsidR="007B2B13">
        <w:t>Ambra</w:t>
      </w:r>
      <w:proofErr w:type="spellEnd"/>
      <w:r w:rsidR="007B2B13">
        <w:t xml:space="preserve"> benefitted by adding</w:t>
      </w:r>
      <w:r>
        <w:t xml:space="preserve"> liquors </w:t>
      </w:r>
      <w:r w:rsidR="007B2B13">
        <w:t xml:space="preserve">to </w:t>
      </w:r>
      <w:r>
        <w:t>its portfolio</w:t>
      </w:r>
      <w:r w:rsidR="002F443E">
        <w:t>, thus</w:t>
      </w:r>
      <w:r>
        <w:t xml:space="preserve"> offer</w:t>
      </w:r>
      <w:r w:rsidR="002F443E">
        <w:t>ing</w:t>
      </w:r>
      <w:r>
        <w:t xml:space="preserve"> distributors and retailers a wider range of products</w:t>
      </w:r>
      <w:r w:rsidR="002F443E">
        <w:t>. This, in turn,</w:t>
      </w:r>
      <w:r>
        <w:t xml:space="preserve"> led to new contracts, especially with large hypermarkets, </w:t>
      </w:r>
      <w:proofErr w:type="spellStart"/>
      <w:r>
        <w:t>horeca</w:t>
      </w:r>
      <w:r w:rsidR="004E2653">
        <w:t>s</w:t>
      </w:r>
      <w:proofErr w:type="spellEnd"/>
      <w:r w:rsidR="002F443E">
        <w:t>,</w:t>
      </w:r>
      <w:r>
        <w:t xml:space="preserve"> and gas stations. </w:t>
      </w:r>
      <w:r w:rsidR="004E2653">
        <w:t>T</w:t>
      </w:r>
      <w:r>
        <w:t xml:space="preserve">he alliance benefited both partners </w:t>
      </w:r>
      <w:r w:rsidR="004E2653">
        <w:t xml:space="preserve">for some time, </w:t>
      </w:r>
      <w:r>
        <w:t xml:space="preserve">but </w:t>
      </w:r>
      <w:r w:rsidR="004E2653">
        <w:t xml:space="preserve">when </w:t>
      </w:r>
      <w:r>
        <w:t xml:space="preserve">the distribution system </w:t>
      </w:r>
      <w:r w:rsidR="004E2653">
        <w:t xml:space="preserve">was consolidated, </w:t>
      </w:r>
      <w:r>
        <w:t xml:space="preserve">the transaction costs of distribution fell </w:t>
      </w:r>
      <w:r>
        <w:lastRenderedPageBreak/>
        <w:t xml:space="preserve">and the time for cash collection </w:t>
      </w:r>
      <w:r w:rsidR="004E2653">
        <w:t xml:space="preserve">was </w:t>
      </w:r>
      <w:r>
        <w:t xml:space="preserve">shortened. In order to avoid total dependence upon </w:t>
      </w:r>
      <w:proofErr w:type="spellStart"/>
      <w:r>
        <w:t>A</w:t>
      </w:r>
      <w:r w:rsidR="004E2653">
        <w:t>mbra</w:t>
      </w:r>
      <w:proofErr w:type="spellEnd"/>
      <w:r>
        <w:t xml:space="preserve"> and to take advantage of the </w:t>
      </w:r>
      <w:r w:rsidR="004E2653">
        <w:t xml:space="preserve">marketplace </w:t>
      </w:r>
      <w:r>
        <w:t xml:space="preserve">changes, </w:t>
      </w:r>
      <w:proofErr w:type="spellStart"/>
      <w:r>
        <w:t>Polmos</w:t>
      </w:r>
      <w:proofErr w:type="spellEnd"/>
      <w:r>
        <w:t xml:space="preserve"> Lublin terminated the agreement in 2004 and </w:t>
      </w:r>
      <w:proofErr w:type="spellStart"/>
      <w:r>
        <w:t>A</w:t>
      </w:r>
      <w:r w:rsidR="004E2653">
        <w:t>mbra</w:t>
      </w:r>
      <w:proofErr w:type="spellEnd"/>
      <w:r>
        <w:t xml:space="preserve"> became a major </w:t>
      </w:r>
      <w:r w:rsidR="004E2653">
        <w:t xml:space="preserve">distributor, </w:t>
      </w:r>
      <w:r>
        <w:t xml:space="preserve">but </w:t>
      </w:r>
      <w:r w:rsidR="004E2653">
        <w:t xml:space="preserve">not the sole </w:t>
      </w:r>
      <w:r>
        <w:t>distributor.</w:t>
      </w:r>
    </w:p>
    <w:p w14:paraId="39FE290A" w14:textId="77777777" w:rsidR="00083DE2" w:rsidRDefault="00083DE2" w:rsidP="008957A8">
      <w:pPr>
        <w:pStyle w:val="BodyTextMain"/>
      </w:pPr>
    </w:p>
    <w:p w14:paraId="66793C72" w14:textId="1BB9F095" w:rsidR="00DA0D99" w:rsidRDefault="00DA0D99" w:rsidP="002456A5">
      <w:pPr>
        <w:pStyle w:val="BodyTextMain"/>
      </w:pPr>
      <w:proofErr w:type="spellStart"/>
      <w:r>
        <w:t>Palikot</w:t>
      </w:r>
      <w:proofErr w:type="spellEnd"/>
      <w:r>
        <w:t xml:space="preserve"> also decided to gain full control over the firm’s core brand, </w:t>
      </w:r>
      <w:r w:rsidR="00383DE2">
        <w:t>Bitter</w:t>
      </w:r>
      <w:r>
        <w:t xml:space="preserve">. </w:t>
      </w:r>
      <w:r w:rsidR="00E3630F">
        <w:t xml:space="preserve">In 2002, </w:t>
      </w:r>
      <w:proofErr w:type="spellStart"/>
      <w:r>
        <w:t>Polmos</w:t>
      </w:r>
      <w:proofErr w:type="spellEnd"/>
      <w:r>
        <w:t xml:space="preserve"> Lublin paid Belvedere Group almost €9</w:t>
      </w:r>
      <w:r w:rsidR="004E2653">
        <w:t xml:space="preserve"> million</w:t>
      </w:r>
      <w:r>
        <w:t xml:space="preserve"> </w:t>
      </w:r>
      <w:r w:rsidR="00E3630F">
        <w:t xml:space="preserve">to acquire </w:t>
      </w:r>
      <w:r>
        <w:t>the remaining 42</w:t>
      </w:r>
      <w:r w:rsidR="00D97EFF">
        <w:t xml:space="preserve"> per cent</w:t>
      </w:r>
      <w:r>
        <w:t xml:space="preserve"> of the brand (some analysts considered this an excessive price), </w:t>
      </w:r>
      <w:r w:rsidR="00E3630F">
        <w:t xml:space="preserve">giving </w:t>
      </w:r>
      <w:proofErr w:type="spellStart"/>
      <w:r w:rsidR="00E3630F">
        <w:t>Polmos</w:t>
      </w:r>
      <w:proofErr w:type="spellEnd"/>
      <w:r w:rsidR="00E3630F">
        <w:t xml:space="preserve"> Lublin </w:t>
      </w:r>
      <w:r>
        <w:t xml:space="preserve">full production and quality control. </w:t>
      </w:r>
    </w:p>
    <w:p w14:paraId="5410DD1F" w14:textId="77777777" w:rsidR="00083DE2" w:rsidRDefault="00083DE2" w:rsidP="008957A8">
      <w:pPr>
        <w:pStyle w:val="BodyTextMain"/>
      </w:pPr>
    </w:p>
    <w:p w14:paraId="25FFC3D5" w14:textId="3CA3D5AF" w:rsidR="00DA0D99" w:rsidRDefault="00DA0D99" w:rsidP="002456A5">
      <w:pPr>
        <w:pStyle w:val="BodyTextMain"/>
      </w:pPr>
      <w:r>
        <w:t xml:space="preserve">Subsequently, </w:t>
      </w:r>
      <w:proofErr w:type="spellStart"/>
      <w:r>
        <w:t>Palikot</w:t>
      </w:r>
      <w:proofErr w:type="spellEnd"/>
      <w:r>
        <w:t xml:space="preserve"> turned his attention to market research in order to evaluate where, what, and how customers would drink in the coming years, and </w:t>
      </w:r>
      <w:r w:rsidR="00E3630F">
        <w:t xml:space="preserve">to determine </w:t>
      </w:r>
      <w:r>
        <w:t>what new customer segments and distribution channels could be leveraged for growth.</w:t>
      </w:r>
      <w:r w:rsidR="00486BB1">
        <w:t xml:space="preserve"> </w:t>
      </w:r>
      <w:r>
        <w:t>Based on this analysis</w:t>
      </w:r>
      <w:r w:rsidR="00E3630F">
        <w:t>,</w:t>
      </w:r>
      <w:r>
        <w:t xml:space="preserve"> </w:t>
      </w:r>
      <w:r w:rsidR="00B150FD">
        <w:t>the executive board</w:t>
      </w:r>
      <w:r>
        <w:t xml:space="preserve"> decided to implement the following changes:</w:t>
      </w:r>
    </w:p>
    <w:p w14:paraId="6008867D" w14:textId="77777777" w:rsidR="00083DE2" w:rsidRDefault="00083DE2" w:rsidP="008957A8">
      <w:pPr>
        <w:pStyle w:val="BodyTextMain"/>
      </w:pPr>
    </w:p>
    <w:p w14:paraId="421C4785" w14:textId="050E6406" w:rsidR="00DA0D99" w:rsidRDefault="00DA0D99" w:rsidP="00083DE2">
      <w:pPr>
        <w:pStyle w:val="BodyTextMain"/>
        <w:numPr>
          <w:ilvl w:val="0"/>
          <w:numId w:val="29"/>
        </w:numPr>
      </w:pPr>
      <w:r>
        <w:t>Rejuvenate the main brand</w:t>
      </w:r>
      <w:r w:rsidR="00E3630F">
        <w:t>,</w:t>
      </w:r>
      <w:r>
        <w:t xml:space="preserve"> </w:t>
      </w:r>
      <w:proofErr w:type="gramStart"/>
      <w:r w:rsidR="00383DE2">
        <w:t>Bitter</w:t>
      </w:r>
      <w:proofErr w:type="gramEnd"/>
      <w:r w:rsidR="00E3630F">
        <w:t>,</w:t>
      </w:r>
      <w:r>
        <w:t xml:space="preserve"> by reshaping the design of the bottle and labels</w:t>
      </w:r>
      <w:r w:rsidR="00E3630F">
        <w:t>, and by</w:t>
      </w:r>
      <w:r>
        <w:t xml:space="preserve"> introduc</w:t>
      </w:r>
      <w:r w:rsidR="00E3630F">
        <w:t>ing</w:t>
      </w:r>
      <w:r>
        <w:t xml:space="preserve"> frequent (</w:t>
      </w:r>
      <w:r w:rsidR="00E3630F">
        <w:t>bi</w:t>
      </w:r>
      <w:r w:rsidR="001C4EDD">
        <w:t>-</w:t>
      </w:r>
      <w:r w:rsidR="00E3630F">
        <w:t>monthly</w:t>
      </w:r>
      <w:r>
        <w:t>)</w:t>
      </w:r>
      <w:r w:rsidR="008A26EE">
        <w:t>,</w:t>
      </w:r>
      <w:r>
        <w:t xml:space="preserve"> systematic</w:t>
      </w:r>
      <w:r w:rsidR="001C4EDD">
        <w:t>—</w:t>
      </w:r>
      <w:r>
        <w:t>even if marginal</w:t>
      </w:r>
      <w:r w:rsidR="001C4EDD">
        <w:t>—</w:t>
      </w:r>
      <w:r>
        <w:t>innovations that create</w:t>
      </w:r>
      <w:r w:rsidR="00E3630F">
        <w:t>d</w:t>
      </w:r>
      <w:r>
        <w:t xml:space="preserve"> value for customers (</w:t>
      </w:r>
      <w:r w:rsidR="001607B5">
        <w:t>e.g., packaging</w:t>
      </w:r>
      <w:r>
        <w:t xml:space="preserve"> a glass, metal canteen, </w:t>
      </w:r>
      <w:r w:rsidR="001607B5">
        <w:t xml:space="preserve">or </w:t>
      </w:r>
      <w:r>
        <w:t>lighter</w:t>
      </w:r>
      <w:r w:rsidR="001607B5">
        <w:t xml:space="preserve"> with the bottle of vodka</w:t>
      </w:r>
      <w:r w:rsidR="008A26EE">
        <w:t>)</w:t>
      </w:r>
      <w:r w:rsidR="001607B5">
        <w:t>.</w:t>
      </w:r>
    </w:p>
    <w:p w14:paraId="61BB804B" w14:textId="347EB01F" w:rsidR="00684CA9" w:rsidRDefault="00684CA9" w:rsidP="00684CA9">
      <w:pPr>
        <w:pStyle w:val="BodyTextMain"/>
        <w:numPr>
          <w:ilvl w:val="0"/>
          <w:numId w:val="29"/>
        </w:numPr>
      </w:pPr>
      <w:r>
        <w:t xml:space="preserve">Extend </w:t>
      </w:r>
      <w:r w:rsidR="00383DE2">
        <w:t>Bitter</w:t>
      </w:r>
      <w:r w:rsidRPr="001607B5">
        <w:t>’s</w:t>
      </w:r>
      <w:r>
        <w:t xml:space="preserve"> customer reach by introducing the liquor to pubs and clubs, positioning </w:t>
      </w:r>
      <w:r w:rsidR="00383DE2">
        <w:t>Bitter</w:t>
      </w:r>
      <w:r>
        <w:t xml:space="preserve"> as a “cool” drink for the young generation in that segment.</w:t>
      </w:r>
    </w:p>
    <w:p w14:paraId="51F0988D" w14:textId="141FFE4B" w:rsidR="00DA0D99" w:rsidRDefault="001607B5" w:rsidP="00083DE2">
      <w:pPr>
        <w:pStyle w:val="BodyTextMain"/>
        <w:numPr>
          <w:ilvl w:val="0"/>
          <w:numId w:val="29"/>
        </w:numPr>
      </w:pPr>
      <w:r>
        <w:t xml:space="preserve">Distribute </w:t>
      </w:r>
      <w:r w:rsidR="00383DE2">
        <w:t>Bitter</w:t>
      </w:r>
      <w:r w:rsidR="00DA0D99">
        <w:t xml:space="preserve"> in bottles of several sizes, especially </w:t>
      </w:r>
      <w:r>
        <w:t xml:space="preserve">in </w:t>
      </w:r>
      <w:r w:rsidR="00DA0D99">
        <w:t>the very small 100</w:t>
      </w:r>
      <w:r w:rsidR="001C4EDD">
        <w:t>-</w:t>
      </w:r>
      <w:r w:rsidR="00DA0D99">
        <w:t>m</w:t>
      </w:r>
      <w:r>
        <w:t>illi</w:t>
      </w:r>
      <w:r w:rsidR="00DA0D99">
        <w:t>l</w:t>
      </w:r>
      <w:r>
        <w:t>itre</w:t>
      </w:r>
      <w:r w:rsidR="00DA0D99">
        <w:t xml:space="preserve"> bottles</w:t>
      </w:r>
      <w:r>
        <w:t xml:space="preserve"> that were</w:t>
      </w:r>
      <w:r w:rsidR="00DA0D99">
        <w:t xml:space="preserve"> very popular in the rapidly growing economy segment and in the new distribution channel of gas stations</w:t>
      </w:r>
      <w:r>
        <w:t>.</w:t>
      </w:r>
    </w:p>
    <w:p w14:paraId="5F026768" w14:textId="4A1DACE5" w:rsidR="00DA0D99" w:rsidRDefault="00F945EC" w:rsidP="00AC5D99">
      <w:pPr>
        <w:pStyle w:val="BodyTextMain"/>
        <w:numPr>
          <w:ilvl w:val="0"/>
          <w:numId w:val="29"/>
        </w:numPr>
      </w:pPr>
      <w:r>
        <w:t>G</w:t>
      </w:r>
      <w:r w:rsidR="00DA0D99">
        <w:t>row in the economy segment of pure vodkas</w:t>
      </w:r>
      <w:r>
        <w:t xml:space="preserve"> by</w:t>
      </w:r>
      <w:r w:rsidR="00DA0D99">
        <w:t xml:space="preserve"> introduc</w:t>
      </w:r>
      <w:r>
        <w:t>ing</w:t>
      </w:r>
      <w:r w:rsidR="00DA0D99">
        <w:t xml:space="preserve"> a new brand, </w:t>
      </w:r>
      <w:r w:rsidR="00DA0D99" w:rsidRPr="00F93124">
        <w:t>1906</w:t>
      </w:r>
      <w:r w:rsidR="00DA0D99">
        <w:t xml:space="preserve"> (</w:t>
      </w:r>
      <w:r>
        <w:t xml:space="preserve">named after </w:t>
      </w:r>
      <w:r w:rsidR="00DA0D99">
        <w:t xml:space="preserve">the year </w:t>
      </w:r>
      <w:proofErr w:type="spellStart"/>
      <w:r w:rsidR="00DA0D99">
        <w:t>Polmos</w:t>
      </w:r>
      <w:proofErr w:type="spellEnd"/>
      <w:r w:rsidR="00DA0D99">
        <w:t xml:space="preserve"> was established), and growing </w:t>
      </w:r>
      <w:r>
        <w:t xml:space="preserve">the existing </w:t>
      </w:r>
      <w:r w:rsidR="00DA0D99">
        <w:t>brand</w:t>
      </w:r>
      <w:r>
        <w:t xml:space="preserve"> </w:t>
      </w:r>
      <w:r w:rsidR="00DA0D99" w:rsidRPr="00F93124">
        <w:t>Bison</w:t>
      </w:r>
      <w:r w:rsidR="00DA0D99">
        <w:t xml:space="preserve">. </w:t>
      </w:r>
      <w:r w:rsidR="00AC5D99">
        <w:t>It was consistent with the market trends</w:t>
      </w:r>
      <w:r w:rsidR="001C4EDD">
        <w:t>,</w:t>
      </w:r>
      <w:r w:rsidR="00AC5D99">
        <w:t xml:space="preserve"> as </w:t>
      </w:r>
      <w:r w:rsidR="00AC5D99" w:rsidRPr="00AC5D99">
        <w:t>in 2004</w:t>
      </w:r>
      <w:r w:rsidR="0078121A">
        <w:t>,</w:t>
      </w:r>
      <w:r w:rsidR="00AC5D99" w:rsidRPr="00AC5D99">
        <w:t xml:space="preserve"> the total economy segment </w:t>
      </w:r>
      <w:r w:rsidR="00EF5D64">
        <w:t xml:space="preserve">increased to </w:t>
      </w:r>
      <w:r w:rsidR="00AC5D99" w:rsidRPr="00AC5D99">
        <w:t>29</w:t>
      </w:r>
      <w:r w:rsidR="001C4EDD">
        <w:t xml:space="preserve"> per cent</w:t>
      </w:r>
      <w:r w:rsidR="00AC5D99" w:rsidRPr="00AC5D99">
        <w:t xml:space="preserve"> </w:t>
      </w:r>
      <w:r w:rsidR="00DA67FE">
        <w:t>(of</w:t>
      </w:r>
      <w:r w:rsidR="00AC5D99" w:rsidRPr="00AC5D99">
        <w:t xml:space="preserve"> </w:t>
      </w:r>
      <w:r w:rsidR="0078121A">
        <w:t xml:space="preserve">the </w:t>
      </w:r>
      <w:r w:rsidR="00EF5D64">
        <w:t>total vodka market</w:t>
      </w:r>
      <w:r w:rsidR="00AC5D99" w:rsidRPr="00AC5D99">
        <w:t xml:space="preserve"> value</w:t>
      </w:r>
      <w:r w:rsidR="00DA67FE">
        <w:t>)</w:t>
      </w:r>
      <w:r w:rsidR="00AC5D99" w:rsidRPr="00AC5D99">
        <w:t xml:space="preserve"> while the mainstream segment </w:t>
      </w:r>
      <w:r w:rsidR="00AC5D99">
        <w:t xml:space="preserve">of pure vodkas </w:t>
      </w:r>
      <w:r w:rsidR="00AC5D99" w:rsidRPr="00AC5D99">
        <w:t>shrank to 46</w:t>
      </w:r>
      <w:r w:rsidR="001C4EDD">
        <w:t xml:space="preserve"> per cent</w:t>
      </w:r>
      <w:r w:rsidR="00AC5D99" w:rsidRPr="00AC5D99">
        <w:t>.</w:t>
      </w:r>
    </w:p>
    <w:p w14:paraId="7A45E9FA" w14:textId="77777777" w:rsidR="00083DE2" w:rsidRDefault="00083DE2" w:rsidP="008957A8">
      <w:pPr>
        <w:pStyle w:val="BodyTextMain"/>
      </w:pPr>
    </w:p>
    <w:p w14:paraId="395CA0FB" w14:textId="6A561E81" w:rsidR="00C90634" w:rsidRDefault="00DA0D99" w:rsidP="002456A5">
      <w:pPr>
        <w:pStyle w:val="BodyTextMain"/>
      </w:pPr>
      <w:r>
        <w:t xml:space="preserve">The results were encouraging. Without marketing and promotion (forbidden by law), but with </w:t>
      </w:r>
      <w:r w:rsidR="002456A5">
        <w:t>skilful</w:t>
      </w:r>
      <w:r>
        <w:t xml:space="preserve"> merchandising and cooperation with distributors, </w:t>
      </w:r>
      <w:proofErr w:type="spellStart"/>
      <w:r w:rsidR="002456A5">
        <w:t>Polmos</w:t>
      </w:r>
      <w:proofErr w:type="spellEnd"/>
      <w:r w:rsidR="002456A5">
        <w:t xml:space="preserve"> Lublin </w:t>
      </w:r>
      <w:r>
        <w:t xml:space="preserve">almost doubled </w:t>
      </w:r>
      <w:r w:rsidR="002456A5">
        <w:t xml:space="preserve">its revenues </w:t>
      </w:r>
      <w:r>
        <w:t>between 2001</w:t>
      </w:r>
      <w:r w:rsidR="002456A5">
        <w:t xml:space="preserve"> and </w:t>
      </w:r>
      <w:r>
        <w:t>2004</w:t>
      </w:r>
      <w:r w:rsidR="00494338">
        <w:t xml:space="preserve"> (</w:t>
      </w:r>
      <w:r w:rsidR="00235A01">
        <w:t xml:space="preserve">see </w:t>
      </w:r>
      <w:r w:rsidR="00494338">
        <w:t xml:space="preserve">Exhibit </w:t>
      </w:r>
      <w:r w:rsidR="00FE3DF5">
        <w:t>3</w:t>
      </w:r>
      <w:r w:rsidR="00494338">
        <w:t>)</w:t>
      </w:r>
      <w:r>
        <w:t xml:space="preserve">, </w:t>
      </w:r>
      <w:r w:rsidR="00235A01">
        <w:t>with</w:t>
      </w:r>
      <w:r w:rsidR="002456A5">
        <w:t xml:space="preserve"> growth </w:t>
      </w:r>
      <w:r>
        <w:t xml:space="preserve">driven mostly by sales of </w:t>
      </w:r>
      <w:r w:rsidR="00383DE2">
        <w:t>Bitter</w:t>
      </w:r>
      <w:r>
        <w:t xml:space="preserve">. Its share in the </w:t>
      </w:r>
      <w:r w:rsidR="00C90634">
        <w:t xml:space="preserve">company’s </w:t>
      </w:r>
      <w:r>
        <w:t>revenues grew from 61</w:t>
      </w:r>
      <w:r w:rsidR="00D97EFF">
        <w:t xml:space="preserve"> per cent</w:t>
      </w:r>
      <w:r>
        <w:t xml:space="preserve"> in 2001 to 94</w:t>
      </w:r>
      <w:r w:rsidR="00D97EFF">
        <w:t xml:space="preserve"> per cent</w:t>
      </w:r>
      <w:r>
        <w:t xml:space="preserve"> in 2004. </w:t>
      </w:r>
      <w:r w:rsidR="00383DE2">
        <w:t>Bitter</w:t>
      </w:r>
      <w:r>
        <w:t xml:space="preserve"> grabbed 43</w:t>
      </w:r>
      <w:r w:rsidR="00D97EFF">
        <w:t xml:space="preserve"> per cent</w:t>
      </w:r>
      <w:r>
        <w:t xml:space="preserve"> </w:t>
      </w:r>
      <w:r w:rsidR="002456A5">
        <w:t xml:space="preserve">of the </w:t>
      </w:r>
      <w:r w:rsidR="0003268D">
        <w:t>flavour</w:t>
      </w:r>
      <w:r>
        <w:t>ed vodkas</w:t>
      </w:r>
      <w:r w:rsidR="002456A5" w:rsidRPr="002456A5">
        <w:t xml:space="preserve"> </w:t>
      </w:r>
      <w:r w:rsidR="002456A5">
        <w:t>market</w:t>
      </w:r>
      <w:r>
        <w:t xml:space="preserve">, </w:t>
      </w:r>
      <w:r w:rsidR="002456A5">
        <w:t xml:space="preserve">followed by </w:t>
      </w:r>
      <w:proofErr w:type="spellStart"/>
      <w:r w:rsidR="002456A5">
        <w:t>Żubrówka</w:t>
      </w:r>
      <w:proofErr w:type="spellEnd"/>
      <w:r w:rsidR="002456A5">
        <w:t xml:space="preserve"> (</w:t>
      </w:r>
      <w:r w:rsidR="00AC15E3" w:rsidRPr="00385B37">
        <w:t>Bison Grass Vodka</w:t>
      </w:r>
      <w:r w:rsidR="00AC15E3">
        <w:t xml:space="preserve">, </w:t>
      </w:r>
      <w:r>
        <w:t xml:space="preserve">owned by </w:t>
      </w:r>
      <w:proofErr w:type="spellStart"/>
      <w:r>
        <w:t>Polmos</w:t>
      </w:r>
      <w:proofErr w:type="spellEnd"/>
      <w:r>
        <w:t xml:space="preserve"> </w:t>
      </w:r>
      <w:proofErr w:type="spellStart"/>
      <w:r>
        <w:t>Białystok</w:t>
      </w:r>
      <w:proofErr w:type="spellEnd"/>
      <w:r>
        <w:t>) holding 25</w:t>
      </w:r>
      <w:r w:rsidR="00D97EFF">
        <w:t xml:space="preserve"> per cent</w:t>
      </w:r>
      <w:r w:rsidR="0051593E">
        <w:t xml:space="preserve"> of the market</w:t>
      </w:r>
      <w:r>
        <w:t xml:space="preserve">, </w:t>
      </w:r>
      <w:r w:rsidR="0051593E">
        <w:t xml:space="preserve">then </w:t>
      </w:r>
      <w:r>
        <w:t>Sobieski</w:t>
      </w:r>
      <w:r w:rsidR="00C90634">
        <w:t xml:space="preserve">’s </w:t>
      </w:r>
      <w:proofErr w:type="spellStart"/>
      <w:r w:rsidR="00AC15E3">
        <w:t>Krupnik</w:t>
      </w:r>
      <w:proofErr w:type="spellEnd"/>
      <w:r w:rsidR="00AC15E3">
        <w:t xml:space="preserve"> </w:t>
      </w:r>
      <w:r w:rsidR="00FB4C21">
        <w:t>(</w:t>
      </w:r>
      <w:r w:rsidR="00C90634">
        <w:t>Honey Vodka</w:t>
      </w:r>
      <w:r w:rsidR="00FB4C21">
        <w:t>)</w:t>
      </w:r>
      <w:r w:rsidR="00C90634">
        <w:t xml:space="preserve"> at</w:t>
      </w:r>
      <w:r>
        <w:t xml:space="preserve"> 3.8</w:t>
      </w:r>
      <w:r w:rsidR="00D97EFF">
        <w:t xml:space="preserve"> per cent</w:t>
      </w:r>
      <w:r>
        <w:t>.</w:t>
      </w:r>
      <w:r w:rsidR="00486BB1">
        <w:t xml:space="preserve"> </w:t>
      </w:r>
    </w:p>
    <w:p w14:paraId="47972F5A" w14:textId="77777777" w:rsidR="00C90634" w:rsidRDefault="00C90634" w:rsidP="002456A5">
      <w:pPr>
        <w:pStyle w:val="BodyTextMain"/>
      </w:pPr>
    </w:p>
    <w:p w14:paraId="672E1CEB" w14:textId="04DD33E0" w:rsidR="00DA0D99" w:rsidRDefault="00DA0D99" w:rsidP="00C90634">
      <w:pPr>
        <w:pStyle w:val="BodyTextMain"/>
      </w:pPr>
      <w:r>
        <w:t xml:space="preserve">Successful but careful repositioning allowed </w:t>
      </w:r>
      <w:proofErr w:type="spellStart"/>
      <w:r w:rsidR="00C90634">
        <w:t>Polmos</w:t>
      </w:r>
      <w:proofErr w:type="spellEnd"/>
      <w:r w:rsidR="00C90634">
        <w:t xml:space="preserve"> Lublin</w:t>
      </w:r>
      <w:r>
        <w:t xml:space="preserve"> to keep its traditional customers </w:t>
      </w:r>
      <w:r w:rsidR="00C90634">
        <w:t xml:space="preserve">while </w:t>
      </w:r>
      <w:r w:rsidR="00383DE2">
        <w:t>Bitter</w:t>
      </w:r>
      <w:r>
        <w:t xml:space="preserve"> became the </w:t>
      </w:r>
      <w:r w:rsidRPr="00C90634">
        <w:t>favo</w:t>
      </w:r>
      <w:r w:rsidR="00C90634">
        <w:t>u</w:t>
      </w:r>
      <w:r w:rsidRPr="00C90634">
        <w:t>rite</w:t>
      </w:r>
      <w:r>
        <w:t xml:space="preserve"> drink of the young generation, especially to </w:t>
      </w:r>
      <w:r w:rsidR="00C90634">
        <w:t xml:space="preserve">begin </w:t>
      </w:r>
      <w:r>
        <w:t xml:space="preserve">and finish </w:t>
      </w:r>
      <w:r w:rsidR="00235A01">
        <w:t xml:space="preserve">nights of </w:t>
      </w:r>
      <w:r>
        <w:t>clubbing and pubbing. The gas stations</w:t>
      </w:r>
      <w:r w:rsidR="00684CA9">
        <w:t>—a</w:t>
      </w:r>
      <w:r>
        <w:t xml:space="preserve"> new distribution channel</w:t>
      </w:r>
      <w:r w:rsidR="00684CA9">
        <w:t xml:space="preserve">—generated </w:t>
      </w:r>
      <w:r>
        <w:t>huge revenue and margin</w:t>
      </w:r>
      <w:r w:rsidR="00684CA9">
        <w:t>s</w:t>
      </w:r>
      <w:r>
        <w:t xml:space="preserve">. As sales grew, </w:t>
      </w:r>
      <w:proofErr w:type="gramStart"/>
      <w:r w:rsidR="00383DE2">
        <w:t>Bitter</w:t>
      </w:r>
      <w:proofErr w:type="gramEnd"/>
      <w:r>
        <w:t xml:space="preserve"> became a favo</w:t>
      </w:r>
      <w:r w:rsidR="00684CA9">
        <w:t>u</w:t>
      </w:r>
      <w:r>
        <w:t xml:space="preserve">rite among distributors, </w:t>
      </w:r>
      <w:r w:rsidR="00684CA9">
        <w:t xml:space="preserve">who </w:t>
      </w:r>
      <w:r>
        <w:t>pushed it hard in the retail channels</w:t>
      </w:r>
      <w:r w:rsidR="00B8177F">
        <w:t xml:space="preserve"> (see Exhibit </w:t>
      </w:r>
      <w:r w:rsidR="00FE3DF5">
        <w:t>4</w:t>
      </w:r>
      <w:r w:rsidR="00B8177F">
        <w:t>)</w:t>
      </w:r>
      <w:r>
        <w:t xml:space="preserve">. </w:t>
      </w:r>
      <w:r w:rsidR="003A52FA">
        <w:t>Overall, t</w:t>
      </w:r>
      <w:r>
        <w:t xml:space="preserve">he company became the fifth largest producer of vodka in Poland. </w:t>
      </w:r>
    </w:p>
    <w:p w14:paraId="6F18625F" w14:textId="77777777" w:rsidR="00083DE2" w:rsidRDefault="00083DE2" w:rsidP="008957A8">
      <w:pPr>
        <w:pStyle w:val="BodyTextMain"/>
      </w:pPr>
    </w:p>
    <w:p w14:paraId="1B80A794" w14:textId="03099778" w:rsidR="002801A5" w:rsidRDefault="00DA0D99" w:rsidP="008957A8">
      <w:pPr>
        <w:pStyle w:val="BodyTextMain"/>
      </w:pPr>
      <w:r>
        <w:t>In spite of all these successes</w:t>
      </w:r>
      <w:r w:rsidR="003A52FA">
        <w:t>,</w:t>
      </w:r>
      <w:r>
        <w:t xml:space="preserve"> </w:t>
      </w:r>
      <w:r w:rsidR="003A52FA">
        <w:t xml:space="preserve">the company still </w:t>
      </w:r>
      <w:r>
        <w:t xml:space="preserve">faced some problems. </w:t>
      </w:r>
      <w:r w:rsidR="00235A01">
        <w:t>Its e</w:t>
      </w:r>
      <w:r>
        <w:t>quipment and machinery were old</w:t>
      </w:r>
      <w:r w:rsidR="003A52FA">
        <w:t>,</w:t>
      </w:r>
      <w:r>
        <w:t xml:space="preserve"> and </w:t>
      </w:r>
      <w:r w:rsidR="003A52FA">
        <w:t xml:space="preserve">although </w:t>
      </w:r>
      <w:r>
        <w:t xml:space="preserve">the company </w:t>
      </w:r>
      <w:r w:rsidR="003A52FA">
        <w:t xml:space="preserve">ran </w:t>
      </w:r>
      <w:r>
        <w:t>three shifts</w:t>
      </w:r>
      <w:r w:rsidR="003A52FA">
        <w:t xml:space="preserve"> daily</w:t>
      </w:r>
      <w:r>
        <w:t xml:space="preserve">, </w:t>
      </w:r>
      <w:r w:rsidR="003A52FA">
        <w:t>it struggle</w:t>
      </w:r>
      <w:r w:rsidR="00235A01">
        <w:t>d</w:t>
      </w:r>
      <w:r w:rsidR="003A52FA">
        <w:t xml:space="preserve"> to meet</w:t>
      </w:r>
      <w:r>
        <w:t xml:space="preserve"> the growing demand. Also, the company depended heavily on sales of one core product. Due to the extraordinary success of </w:t>
      </w:r>
      <w:proofErr w:type="gramStart"/>
      <w:r w:rsidR="00383DE2">
        <w:t>Bitter</w:t>
      </w:r>
      <w:proofErr w:type="gramEnd"/>
      <w:r>
        <w:t xml:space="preserve">, sales of pure vodkas in the growing economy segment became irrelevant and the company’s market share in </w:t>
      </w:r>
      <w:r w:rsidR="00E54F6C">
        <w:t xml:space="preserve">that </w:t>
      </w:r>
      <w:r>
        <w:t xml:space="preserve">segment dropped to </w:t>
      </w:r>
      <w:r w:rsidR="00235A01">
        <w:t xml:space="preserve">almost </w:t>
      </w:r>
      <w:r>
        <w:t xml:space="preserve">zero. </w:t>
      </w:r>
    </w:p>
    <w:p w14:paraId="54304D42" w14:textId="77777777" w:rsidR="002801A5" w:rsidRDefault="002801A5" w:rsidP="008957A8">
      <w:pPr>
        <w:pStyle w:val="BodyTextMain"/>
      </w:pPr>
    </w:p>
    <w:p w14:paraId="1582D225" w14:textId="19743BAE" w:rsidR="00DA0D99" w:rsidRDefault="00DA0D99" w:rsidP="008957A8">
      <w:pPr>
        <w:pStyle w:val="BodyTextMain"/>
      </w:pPr>
      <w:r>
        <w:t>In 2004</w:t>
      </w:r>
      <w:r w:rsidR="007018CC">
        <w:t>,</w:t>
      </w:r>
      <w:r>
        <w:t xml:space="preserve"> the </w:t>
      </w:r>
      <w:r w:rsidR="007018CC">
        <w:t>company’s s</w:t>
      </w:r>
      <w:r>
        <w:t xml:space="preserve">upervisory </w:t>
      </w:r>
      <w:r w:rsidR="007018CC">
        <w:t>b</w:t>
      </w:r>
      <w:r>
        <w:t xml:space="preserve">oard decided to search for new growth drivers. It installed a new </w:t>
      </w:r>
      <w:r w:rsidR="00B150FD">
        <w:t>executive board</w:t>
      </w:r>
      <w:r>
        <w:t xml:space="preserve"> with a </w:t>
      </w:r>
      <w:r w:rsidR="002801A5">
        <w:t xml:space="preserve">chief executive officer who had </w:t>
      </w:r>
      <w:r>
        <w:t>extensive experience in managing large multinational companies, a new marketing vice</w:t>
      </w:r>
      <w:r w:rsidR="002801A5">
        <w:t>-</w:t>
      </w:r>
      <w:r>
        <w:t>president</w:t>
      </w:r>
      <w:r w:rsidR="002801A5">
        <w:t>,</w:t>
      </w:r>
      <w:r>
        <w:t xml:space="preserve"> and a manager responsible for international </w:t>
      </w:r>
      <w:r>
        <w:lastRenderedPageBreak/>
        <w:t>operations. The</w:t>
      </w:r>
      <w:r w:rsidR="002801A5">
        <w:t xml:space="preserve"> team’s</w:t>
      </w:r>
      <w:r>
        <w:t xml:space="preserve"> mandate was to develop a strategic plan for the </w:t>
      </w:r>
      <w:r w:rsidR="002801A5">
        <w:t xml:space="preserve">company’s </w:t>
      </w:r>
      <w:r>
        <w:t>future and growth</w:t>
      </w:r>
      <w:r w:rsidR="002801A5">
        <w:t>,</w:t>
      </w:r>
      <w:r>
        <w:t xml:space="preserve"> and to prepare a successful public offering. </w:t>
      </w:r>
    </w:p>
    <w:p w14:paraId="56C4A431" w14:textId="77777777" w:rsidR="00DA0D99" w:rsidRDefault="00DA0D99" w:rsidP="008957A8">
      <w:pPr>
        <w:pStyle w:val="BodyTextMain"/>
      </w:pPr>
    </w:p>
    <w:p w14:paraId="50DBC1F8" w14:textId="77777777" w:rsidR="00083DE2" w:rsidRDefault="00083DE2" w:rsidP="008957A8">
      <w:pPr>
        <w:pStyle w:val="BodyTextMain"/>
      </w:pPr>
    </w:p>
    <w:p w14:paraId="19AD1C97" w14:textId="77777777" w:rsidR="00DA0D99" w:rsidRDefault="00DA0D99" w:rsidP="00486BB1">
      <w:pPr>
        <w:pStyle w:val="Casehead1"/>
        <w:outlineLvl w:val="0"/>
      </w:pPr>
      <w:r>
        <w:t>The new growth strategy</w:t>
      </w:r>
    </w:p>
    <w:p w14:paraId="212E8A00" w14:textId="77777777" w:rsidR="00083DE2" w:rsidRDefault="00083DE2" w:rsidP="008957A8">
      <w:pPr>
        <w:pStyle w:val="BodyTextMain"/>
      </w:pPr>
    </w:p>
    <w:p w14:paraId="1170DDDF" w14:textId="25C108BB" w:rsidR="00DA0D99" w:rsidRPr="00083DE2" w:rsidRDefault="00DA0D99" w:rsidP="008957A8">
      <w:pPr>
        <w:pStyle w:val="BodyTextMain"/>
        <w:rPr>
          <w:spacing w:val="-2"/>
          <w:kern w:val="22"/>
        </w:rPr>
      </w:pPr>
      <w:r w:rsidRPr="00083DE2">
        <w:rPr>
          <w:spacing w:val="-2"/>
          <w:kern w:val="22"/>
        </w:rPr>
        <w:t>In the process of prepar</w:t>
      </w:r>
      <w:r w:rsidR="002801A5">
        <w:rPr>
          <w:spacing w:val="-2"/>
          <w:kern w:val="22"/>
        </w:rPr>
        <w:t>ing</w:t>
      </w:r>
      <w:r w:rsidRPr="00083DE2">
        <w:rPr>
          <w:spacing w:val="-2"/>
          <w:kern w:val="22"/>
        </w:rPr>
        <w:t xml:space="preserve"> a new strategic plan</w:t>
      </w:r>
      <w:r w:rsidR="002801A5">
        <w:rPr>
          <w:spacing w:val="-2"/>
          <w:kern w:val="22"/>
        </w:rPr>
        <w:t>,</w:t>
      </w:r>
      <w:r w:rsidRPr="00083DE2">
        <w:rPr>
          <w:spacing w:val="-2"/>
          <w:kern w:val="22"/>
        </w:rPr>
        <w:t xml:space="preserve"> the company performed an in-depth analysis of the strengths and weaknesses of the current business model. The search for a frame of reference was difficult. The company did not have one direct competitor. Two major competitors were much larger </w:t>
      </w:r>
      <w:r w:rsidR="002801A5">
        <w:rPr>
          <w:spacing w:val="-2"/>
          <w:kern w:val="22"/>
        </w:rPr>
        <w:t xml:space="preserve">than </w:t>
      </w:r>
      <w:proofErr w:type="spellStart"/>
      <w:r w:rsidR="002801A5">
        <w:rPr>
          <w:spacing w:val="-2"/>
          <w:kern w:val="22"/>
        </w:rPr>
        <w:t>Polmos</w:t>
      </w:r>
      <w:proofErr w:type="spellEnd"/>
      <w:r w:rsidR="002801A5">
        <w:rPr>
          <w:spacing w:val="-2"/>
          <w:kern w:val="22"/>
        </w:rPr>
        <w:t xml:space="preserve"> Lublin,</w:t>
      </w:r>
      <w:r w:rsidRPr="00083DE2">
        <w:rPr>
          <w:spacing w:val="-2"/>
          <w:kern w:val="22"/>
        </w:rPr>
        <w:t xml:space="preserve"> together h</w:t>
      </w:r>
      <w:r w:rsidR="002801A5">
        <w:rPr>
          <w:spacing w:val="-2"/>
          <w:kern w:val="22"/>
        </w:rPr>
        <w:t>o</w:t>
      </w:r>
      <w:r w:rsidRPr="00083DE2">
        <w:rPr>
          <w:spacing w:val="-2"/>
          <w:kern w:val="22"/>
        </w:rPr>
        <w:t>ld</w:t>
      </w:r>
      <w:r w:rsidR="002801A5">
        <w:rPr>
          <w:spacing w:val="-2"/>
          <w:kern w:val="22"/>
        </w:rPr>
        <w:t>ing</w:t>
      </w:r>
      <w:r w:rsidRPr="00083DE2">
        <w:rPr>
          <w:spacing w:val="-2"/>
          <w:kern w:val="22"/>
        </w:rPr>
        <w:t xml:space="preserve"> about 52</w:t>
      </w:r>
      <w:r w:rsidR="00D97EFF">
        <w:rPr>
          <w:spacing w:val="-2"/>
          <w:kern w:val="22"/>
        </w:rPr>
        <w:t xml:space="preserve"> per cent</w:t>
      </w:r>
      <w:r w:rsidRPr="00083DE2">
        <w:rPr>
          <w:spacing w:val="-2"/>
          <w:kern w:val="22"/>
        </w:rPr>
        <w:t xml:space="preserve"> of the market</w:t>
      </w:r>
      <w:r w:rsidR="002B00AC">
        <w:rPr>
          <w:spacing w:val="-2"/>
          <w:kern w:val="22"/>
        </w:rPr>
        <w:t>; however,</w:t>
      </w:r>
      <w:r w:rsidRPr="00083DE2">
        <w:rPr>
          <w:spacing w:val="-2"/>
          <w:kern w:val="22"/>
        </w:rPr>
        <w:t xml:space="preserve"> </w:t>
      </w:r>
      <w:r w:rsidR="002B00AC">
        <w:rPr>
          <w:spacing w:val="-2"/>
          <w:kern w:val="22"/>
        </w:rPr>
        <w:t>they</w:t>
      </w:r>
      <w:r w:rsidR="002B00AC" w:rsidRPr="00083DE2">
        <w:rPr>
          <w:spacing w:val="-2"/>
          <w:kern w:val="22"/>
        </w:rPr>
        <w:t xml:space="preserve"> </w:t>
      </w:r>
      <w:r w:rsidRPr="00083DE2">
        <w:rPr>
          <w:spacing w:val="-2"/>
          <w:kern w:val="22"/>
        </w:rPr>
        <w:t xml:space="preserve">produced mainly pure vodkas and owned part of the distribution system. Small </w:t>
      </w:r>
      <w:r w:rsidR="002B00AC">
        <w:rPr>
          <w:spacing w:val="-2"/>
          <w:kern w:val="22"/>
        </w:rPr>
        <w:t>competitors</w:t>
      </w:r>
      <w:r w:rsidR="002B00AC" w:rsidRPr="00083DE2">
        <w:rPr>
          <w:spacing w:val="-2"/>
          <w:kern w:val="22"/>
        </w:rPr>
        <w:t xml:space="preserve"> </w:t>
      </w:r>
      <w:r w:rsidRPr="00083DE2">
        <w:rPr>
          <w:spacing w:val="-2"/>
          <w:kern w:val="22"/>
        </w:rPr>
        <w:t xml:space="preserve">were fragmented and in </w:t>
      </w:r>
      <w:r w:rsidR="002B00AC">
        <w:rPr>
          <w:spacing w:val="-2"/>
          <w:kern w:val="22"/>
        </w:rPr>
        <w:t>poor</w:t>
      </w:r>
      <w:r w:rsidR="002B00AC" w:rsidRPr="00083DE2">
        <w:rPr>
          <w:spacing w:val="-2"/>
          <w:kern w:val="22"/>
        </w:rPr>
        <w:t xml:space="preserve"> </w:t>
      </w:r>
      <w:r w:rsidRPr="00083DE2">
        <w:rPr>
          <w:spacing w:val="-2"/>
          <w:kern w:val="22"/>
        </w:rPr>
        <w:t>financial shape. Finally, the board used “ideal</w:t>
      </w:r>
      <w:r w:rsidR="002B00AC">
        <w:rPr>
          <w:spacing w:val="-2"/>
          <w:kern w:val="22"/>
        </w:rPr>
        <w:t>”</w:t>
      </w:r>
      <w:r w:rsidRPr="00083DE2">
        <w:rPr>
          <w:spacing w:val="-2"/>
          <w:kern w:val="22"/>
        </w:rPr>
        <w:t xml:space="preserve"> competitors</w:t>
      </w:r>
      <w:r w:rsidR="002B00AC" w:rsidRPr="002B00AC">
        <w:rPr>
          <w:spacing w:val="-2"/>
          <w:kern w:val="22"/>
        </w:rPr>
        <w:t xml:space="preserve"> </w:t>
      </w:r>
      <w:r w:rsidR="002B00AC" w:rsidRPr="00083DE2">
        <w:rPr>
          <w:spacing w:val="-2"/>
          <w:kern w:val="22"/>
        </w:rPr>
        <w:t>as a frame of reference</w:t>
      </w:r>
      <w:r w:rsidRPr="00083DE2">
        <w:rPr>
          <w:spacing w:val="-2"/>
          <w:kern w:val="22"/>
        </w:rPr>
        <w:t xml:space="preserve">, merging </w:t>
      </w:r>
      <w:r w:rsidR="002B00AC">
        <w:rPr>
          <w:spacing w:val="-2"/>
          <w:kern w:val="22"/>
        </w:rPr>
        <w:t xml:space="preserve">the </w:t>
      </w:r>
      <w:r w:rsidRPr="00083DE2">
        <w:rPr>
          <w:spacing w:val="-2"/>
          <w:kern w:val="22"/>
        </w:rPr>
        <w:t xml:space="preserve">main competitors into one ideal type. </w:t>
      </w:r>
      <w:r w:rsidR="00DE107B">
        <w:rPr>
          <w:spacing w:val="-2"/>
          <w:kern w:val="22"/>
        </w:rPr>
        <w:t xml:space="preserve">In that context, </w:t>
      </w:r>
      <w:r w:rsidRPr="00083DE2">
        <w:rPr>
          <w:spacing w:val="-2"/>
          <w:kern w:val="22"/>
        </w:rPr>
        <w:t xml:space="preserve">evaluations of strengths and weaknesses </w:t>
      </w:r>
      <w:r w:rsidR="00DE107B">
        <w:rPr>
          <w:spacing w:val="-2"/>
          <w:kern w:val="22"/>
        </w:rPr>
        <w:t>revealed that</w:t>
      </w:r>
      <w:r w:rsidRPr="00083DE2">
        <w:rPr>
          <w:spacing w:val="-2"/>
          <w:kern w:val="22"/>
        </w:rPr>
        <w:t xml:space="preserve"> brand was considered a crucial strength, </w:t>
      </w:r>
      <w:r w:rsidR="00DE107B">
        <w:rPr>
          <w:spacing w:val="-2"/>
          <w:kern w:val="22"/>
        </w:rPr>
        <w:t>while the company’s</w:t>
      </w:r>
      <w:r w:rsidR="00DE107B" w:rsidRPr="00083DE2">
        <w:rPr>
          <w:spacing w:val="-2"/>
          <w:kern w:val="22"/>
        </w:rPr>
        <w:t xml:space="preserve"> </w:t>
      </w:r>
      <w:r w:rsidRPr="00083DE2">
        <w:rPr>
          <w:spacing w:val="-2"/>
          <w:kern w:val="22"/>
        </w:rPr>
        <w:t xml:space="preserve">scope of offerings and capacity </w:t>
      </w:r>
      <w:r w:rsidR="00DE107B">
        <w:rPr>
          <w:spacing w:val="-2"/>
          <w:kern w:val="22"/>
        </w:rPr>
        <w:t xml:space="preserve">were </w:t>
      </w:r>
      <w:r w:rsidRPr="00083DE2">
        <w:rPr>
          <w:spacing w:val="-2"/>
          <w:kern w:val="22"/>
        </w:rPr>
        <w:t xml:space="preserve">major weaknesses (see Exhibit </w:t>
      </w:r>
      <w:r w:rsidR="00FE3DF5">
        <w:rPr>
          <w:spacing w:val="-2"/>
          <w:kern w:val="22"/>
        </w:rPr>
        <w:t>5</w:t>
      </w:r>
      <w:r w:rsidRPr="00083DE2">
        <w:rPr>
          <w:spacing w:val="-2"/>
          <w:kern w:val="22"/>
        </w:rPr>
        <w:t>).</w:t>
      </w:r>
    </w:p>
    <w:p w14:paraId="31FC6C82" w14:textId="77777777" w:rsidR="00083DE2" w:rsidRDefault="00083DE2" w:rsidP="008957A8">
      <w:pPr>
        <w:pStyle w:val="BodyTextMain"/>
      </w:pPr>
    </w:p>
    <w:p w14:paraId="3BDB8F6B" w14:textId="0EFBD5B4" w:rsidR="00DA0D99" w:rsidRDefault="00DA0D99" w:rsidP="008957A8">
      <w:pPr>
        <w:pStyle w:val="BodyTextMain"/>
      </w:pPr>
      <w:r>
        <w:t xml:space="preserve">Based on this analysis and in-depth discussions, the new </w:t>
      </w:r>
      <w:r w:rsidR="00B150FD">
        <w:t>executive board</w:t>
      </w:r>
      <w:r>
        <w:t xml:space="preserve"> considered four ways forward: </w:t>
      </w:r>
    </w:p>
    <w:p w14:paraId="7119CDB1" w14:textId="77777777" w:rsidR="00083DE2" w:rsidRDefault="00083DE2" w:rsidP="008957A8">
      <w:pPr>
        <w:pStyle w:val="BodyTextMain"/>
      </w:pPr>
    </w:p>
    <w:p w14:paraId="1BBB36D7" w14:textId="7DA586AD" w:rsidR="00585B2A" w:rsidRPr="000E5519" w:rsidRDefault="00DA0D99" w:rsidP="00F93124">
      <w:pPr>
        <w:pStyle w:val="BodyTextMain"/>
        <w:numPr>
          <w:ilvl w:val="0"/>
          <w:numId w:val="30"/>
        </w:numPr>
        <w:rPr>
          <w:spacing w:val="-4"/>
          <w:kern w:val="22"/>
        </w:rPr>
      </w:pPr>
      <w:r w:rsidRPr="000E5519">
        <w:rPr>
          <w:spacing w:val="-4"/>
          <w:kern w:val="22"/>
        </w:rPr>
        <w:t>Continue with the existing strategy</w:t>
      </w:r>
      <w:r w:rsidR="00DE107B" w:rsidRPr="000E5519">
        <w:rPr>
          <w:spacing w:val="-4"/>
          <w:kern w:val="22"/>
        </w:rPr>
        <w:t>, f</w:t>
      </w:r>
      <w:r w:rsidRPr="000E5519">
        <w:rPr>
          <w:spacing w:val="-4"/>
          <w:kern w:val="22"/>
        </w:rPr>
        <w:t xml:space="preserve">ocusing on gaining additional market share in the </w:t>
      </w:r>
      <w:r w:rsidR="0003268D" w:rsidRPr="000E5519">
        <w:rPr>
          <w:spacing w:val="-4"/>
          <w:kern w:val="22"/>
        </w:rPr>
        <w:t>flavour</w:t>
      </w:r>
      <w:r w:rsidRPr="000E5519">
        <w:rPr>
          <w:spacing w:val="-4"/>
          <w:kern w:val="22"/>
        </w:rPr>
        <w:t>ed vodka segment and develop</w:t>
      </w:r>
      <w:r w:rsidR="00DE107B" w:rsidRPr="000E5519">
        <w:rPr>
          <w:spacing w:val="-4"/>
          <w:kern w:val="22"/>
        </w:rPr>
        <w:t>ing</w:t>
      </w:r>
      <w:r w:rsidRPr="000E5519">
        <w:rPr>
          <w:spacing w:val="-4"/>
          <w:kern w:val="22"/>
        </w:rPr>
        <w:t xml:space="preserve"> a stronger position </w:t>
      </w:r>
      <w:r w:rsidR="00DE107B" w:rsidRPr="000E5519">
        <w:rPr>
          <w:spacing w:val="-4"/>
          <w:kern w:val="22"/>
        </w:rPr>
        <w:t xml:space="preserve">for </w:t>
      </w:r>
      <w:r w:rsidRPr="000E5519">
        <w:rPr>
          <w:spacing w:val="-4"/>
          <w:kern w:val="22"/>
        </w:rPr>
        <w:t xml:space="preserve">the company’s pure vodka brands. </w:t>
      </w:r>
      <w:r w:rsidR="00DE107B" w:rsidRPr="000E5519">
        <w:rPr>
          <w:spacing w:val="-4"/>
          <w:kern w:val="22"/>
        </w:rPr>
        <w:t xml:space="preserve">This </w:t>
      </w:r>
      <w:r w:rsidRPr="000E5519">
        <w:rPr>
          <w:spacing w:val="-4"/>
          <w:kern w:val="22"/>
        </w:rPr>
        <w:t>a</w:t>
      </w:r>
      <w:r w:rsidR="00DE107B" w:rsidRPr="000E5519">
        <w:rPr>
          <w:spacing w:val="-4"/>
          <w:kern w:val="22"/>
        </w:rPr>
        <w:t>pproach</w:t>
      </w:r>
      <w:r w:rsidRPr="000E5519">
        <w:rPr>
          <w:spacing w:val="-4"/>
          <w:kern w:val="22"/>
        </w:rPr>
        <w:t xml:space="preserve"> </w:t>
      </w:r>
      <w:r w:rsidR="00DE107B" w:rsidRPr="000E5519">
        <w:rPr>
          <w:spacing w:val="-4"/>
          <w:kern w:val="22"/>
        </w:rPr>
        <w:t xml:space="preserve">would </w:t>
      </w:r>
      <w:r w:rsidRPr="000E5519">
        <w:rPr>
          <w:spacing w:val="-4"/>
          <w:kern w:val="22"/>
        </w:rPr>
        <w:t xml:space="preserve">limit investment expenses, </w:t>
      </w:r>
      <w:r w:rsidR="00DE107B" w:rsidRPr="000E5519">
        <w:rPr>
          <w:spacing w:val="-4"/>
          <w:kern w:val="22"/>
        </w:rPr>
        <w:t>wa</w:t>
      </w:r>
      <w:r w:rsidRPr="000E5519">
        <w:rPr>
          <w:spacing w:val="-4"/>
          <w:kern w:val="22"/>
        </w:rPr>
        <w:t>s low-risk, and</w:t>
      </w:r>
      <w:r w:rsidR="00DE107B" w:rsidRPr="000E5519">
        <w:rPr>
          <w:spacing w:val="-4"/>
          <w:kern w:val="22"/>
        </w:rPr>
        <w:t>,</w:t>
      </w:r>
      <w:r w:rsidRPr="000E5519">
        <w:rPr>
          <w:spacing w:val="-4"/>
          <w:kern w:val="22"/>
        </w:rPr>
        <w:t xml:space="preserve"> from the owner’s perspective</w:t>
      </w:r>
      <w:r w:rsidR="00DE107B" w:rsidRPr="000E5519">
        <w:rPr>
          <w:spacing w:val="-4"/>
          <w:kern w:val="22"/>
        </w:rPr>
        <w:t>,</w:t>
      </w:r>
      <w:r w:rsidRPr="000E5519">
        <w:rPr>
          <w:spacing w:val="-4"/>
          <w:kern w:val="22"/>
        </w:rPr>
        <w:t xml:space="preserve"> could be very profitable. </w:t>
      </w:r>
      <w:r w:rsidR="00DE107B" w:rsidRPr="000E5519">
        <w:rPr>
          <w:spacing w:val="-4"/>
          <w:kern w:val="22"/>
        </w:rPr>
        <w:t>B</w:t>
      </w:r>
      <w:r w:rsidRPr="000E5519">
        <w:rPr>
          <w:spacing w:val="-4"/>
          <w:kern w:val="22"/>
        </w:rPr>
        <w:t xml:space="preserve">oth financial investors and international alcoholic beverages producers </w:t>
      </w:r>
      <w:r w:rsidR="00DE107B" w:rsidRPr="000E5519">
        <w:rPr>
          <w:spacing w:val="-4"/>
          <w:kern w:val="22"/>
        </w:rPr>
        <w:t xml:space="preserve">had already indicated their </w:t>
      </w:r>
      <w:r w:rsidRPr="000E5519">
        <w:rPr>
          <w:spacing w:val="-4"/>
          <w:kern w:val="22"/>
        </w:rPr>
        <w:t xml:space="preserve">interest in acquiring a mid-size </w:t>
      </w:r>
      <w:r w:rsidR="00E06596" w:rsidRPr="000E5519">
        <w:rPr>
          <w:spacing w:val="-4"/>
          <w:kern w:val="22"/>
        </w:rPr>
        <w:t xml:space="preserve">producer </w:t>
      </w:r>
      <w:r w:rsidRPr="000E5519">
        <w:rPr>
          <w:spacing w:val="-4"/>
          <w:kern w:val="22"/>
        </w:rPr>
        <w:t xml:space="preserve">with a very good brand and </w:t>
      </w:r>
      <w:r w:rsidR="00E06596" w:rsidRPr="000E5519">
        <w:rPr>
          <w:spacing w:val="-4"/>
          <w:kern w:val="22"/>
        </w:rPr>
        <w:t xml:space="preserve">a </w:t>
      </w:r>
      <w:r w:rsidRPr="000E5519">
        <w:rPr>
          <w:spacing w:val="-4"/>
          <w:kern w:val="22"/>
        </w:rPr>
        <w:t xml:space="preserve">leading position in </w:t>
      </w:r>
      <w:r w:rsidR="00E06596" w:rsidRPr="000E5519">
        <w:rPr>
          <w:spacing w:val="-4"/>
          <w:kern w:val="22"/>
        </w:rPr>
        <w:t xml:space="preserve">the </w:t>
      </w:r>
      <w:r w:rsidR="0003268D" w:rsidRPr="000E5519">
        <w:rPr>
          <w:spacing w:val="-4"/>
          <w:kern w:val="22"/>
        </w:rPr>
        <w:t>flavour</w:t>
      </w:r>
      <w:r w:rsidRPr="000E5519">
        <w:rPr>
          <w:spacing w:val="-4"/>
          <w:kern w:val="22"/>
        </w:rPr>
        <w:t>ed vodka market.</w:t>
      </w:r>
    </w:p>
    <w:p w14:paraId="14F1B2DD" w14:textId="2CE9DD3F" w:rsidR="00585B2A" w:rsidRDefault="00DA0D99" w:rsidP="00F93124">
      <w:pPr>
        <w:pStyle w:val="BodyTextMain"/>
        <w:numPr>
          <w:ilvl w:val="0"/>
          <w:numId w:val="30"/>
        </w:numPr>
      </w:pPr>
      <w:r>
        <w:t xml:space="preserve">Growth through acquisition. The largest and relatively successful </w:t>
      </w:r>
      <w:r w:rsidR="0039237E">
        <w:t>state-owned enterprise</w:t>
      </w:r>
      <w:r>
        <w:t xml:space="preserve">, </w:t>
      </w:r>
      <w:proofErr w:type="spellStart"/>
      <w:r>
        <w:t>Polmos</w:t>
      </w:r>
      <w:proofErr w:type="spellEnd"/>
      <w:r>
        <w:t xml:space="preserve"> Bia</w:t>
      </w:r>
      <w:r w:rsidR="0039237E">
        <w:t>l</w:t>
      </w:r>
      <w:r>
        <w:t xml:space="preserve">ystok, was being prepared by the </w:t>
      </w:r>
      <w:r w:rsidR="0039237E">
        <w:t>s</w:t>
      </w:r>
      <w:r>
        <w:t>tate for privatization. It was an attractive acquisition target as the owner of the largest pure vodka brand</w:t>
      </w:r>
      <w:r w:rsidR="0039237E">
        <w:t>,</w:t>
      </w:r>
      <w:r>
        <w:t xml:space="preserve"> </w:t>
      </w:r>
      <w:proofErr w:type="spellStart"/>
      <w:r w:rsidR="0039237E">
        <w:t>Absolwent</w:t>
      </w:r>
      <w:proofErr w:type="spellEnd"/>
      <w:r w:rsidR="0039237E">
        <w:t xml:space="preserve">, </w:t>
      </w:r>
      <w:r>
        <w:t>and the internationally recognized flavo</w:t>
      </w:r>
      <w:r w:rsidR="0039237E">
        <w:t>u</w:t>
      </w:r>
      <w:r>
        <w:t xml:space="preserve">red </w:t>
      </w:r>
      <w:proofErr w:type="spellStart"/>
      <w:r w:rsidR="007E1AD3">
        <w:t>Żubrówka</w:t>
      </w:r>
      <w:proofErr w:type="spellEnd"/>
      <w:r>
        <w:t xml:space="preserve">. The estimated value of the deal was at least </w:t>
      </w:r>
      <w:r w:rsidR="0039237E">
        <w:t>€</w:t>
      </w:r>
      <w:r>
        <w:t>150</w:t>
      </w:r>
      <w:r w:rsidR="0039237E">
        <w:t xml:space="preserve"> million</w:t>
      </w:r>
      <w:r>
        <w:t>.</w:t>
      </w:r>
      <w:r w:rsidR="004C20DE">
        <w:rPr>
          <w:rStyle w:val="FootnoteReference"/>
        </w:rPr>
        <w:footnoteReference w:id="8"/>
      </w:r>
      <w:r>
        <w:t xml:space="preserve"> The acquisition route seemed particularly promising, </w:t>
      </w:r>
      <w:r w:rsidR="0039237E">
        <w:t xml:space="preserve">because </w:t>
      </w:r>
      <w:r>
        <w:t xml:space="preserve">it would solve immediately the problems of scope and capacity, catapulting </w:t>
      </w:r>
      <w:proofErr w:type="spellStart"/>
      <w:r>
        <w:t>Polmos</w:t>
      </w:r>
      <w:proofErr w:type="spellEnd"/>
      <w:r>
        <w:t xml:space="preserve"> Lublin to the position of a leading producer in Poland. However, all the major </w:t>
      </w:r>
      <w:r w:rsidR="0039237E">
        <w:t xml:space="preserve">companies </w:t>
      </w:r>
      <w:r>
        <w:t xml:space="preserve">wanted to participate in the bidding for </w:t>
      </w:r>
      <w:proofErr w:type="spellStart"/>
      <w:r>
        <w:t>Polmos</w:t>
      </w:r>
      <w:proofErr w:type="spellEnd"/>
      <w:r>
        <w:t xml:space="preserve"> Bia</w:t>
      </w:r>
      <w:r w:rsidR="0039237E">
        <w:t>l</w:t>
      </w:r>
      <w:r>
        <w:t>ystok</w:t>
      </w:r>
      <w:r w:rsidR="0039237E">
        <w:t>; as a result,</w:t>
      </w:r>
      <w:r>
        <w:t xml:space="preserve"> its price could reach </w:t>
      </w:r>
      <w:r w:rsidR="0039237E">
        <w:t>€</w:t>
      </w:r>
      <w:r>
        <w:t>200</w:t>
      </w:r>
      <w:r w:rsidR="0039237E">
        <w:t xml:space="preserve"> million</w:t>
      </w:r>
      <w:r>
        <w:t xml:space="preserve"> or more. Financing such an acquisition with debt could be a daunting and risky </w:t>
      </w:r>
      <w:r w:rsidR="0039237E">
        <w:t>endeavour</w:t>
      </w:r>
      <w:r>
        <w:t xml:space="preserve"> even for cash-rich investors.</w:t>
      </w:r>
    </w:p>
    <w:p w14:paraId="74F6C7D8" w14:textId="327F877B" w:rsidR="00585B2A" w:rsidRDefault="00DA0D99" w:rsidP="00F93124">
      <w:pPr>
        <w:pStyle w:val="BodyTextMain"/>
        <w:numPr>
          <w:ilvl w:val="0"/>
          <w:numId w:val="30"/>
        </w:numPr>
      </w:pPr>
      <w:r>
        <w:t>Growth through internationalization. Almost every market worldwide ha</w:t>
      </w:r>
      <w:r w:rsidR="0039237E">
        <w:t>d</w:t>
      </w:r>
      <w:r>
        <w:t xml:space="preserve"> large </w:t>
      </w:r>
      <w:r w:rsidR="0039237E">
        <w:t xml:space="preserve">segments in flavoured </w:t>
      </w:r>
      <w:r>
        <w:t>vodka</w:t>
      </w:r>
      <w:r w:rsidR="0039237E">
        <w:t>s</w:t>
      </w:r>
      <w:r>
        <w:t xml:space="preserve"> and liquor</w:t>
      </w:r>
      <w:r w:rsidR="0039237E">
        <w:t xml:space="preserve">s. </w:t>
      </w:r>
      <w:proofErr w:type="spellStart"/>
      <w:r>
        <w:t>Polmos</w:t>
      </w:r>
      <w:proofErr w:type="spellEnd"/>
      <w:r>
        <w:t xml:space="preserve"> Lublin could leverage its experience </w:t>
      </w:r>
      <w:r w:rsidR="009659C1">
        <w:t xml:space="preserve">by </w:t>
      </w:r>
      <w:r>
        <w:t>entering new market segments and distribution channels in foreign markets. There were potential risks and problems</w:t>
      </w:r>
      <w:r w:rsidR="009659C1">
        <w:t>;</w:t>
      </w:r>
      <w:r>
        <w:t xml:space="preserve"> internationalization could be very expensive and could be hampered by regulation</w:t>
      </w:r>
      <w:r w:rsidR="009659C1">
        <w:t>s</w:t>
      </w:r>
      <w:r>
        <w:t xml:space="preserve"> and strong </w:t>
      </w:r>
      <w:r w:rsidR="009659C1">
        <w:t xml:space="preserve">competition from </w:t>
      </w:r>
      <w:r>
        <w:t xml:space="preserve">local </w:t>
      </w:r>
      <w:r w:rsidR="009659C1">
        <w:t>companies</w:t>
      </w:r>
      <w:r>
        <w:t xml:space="preserve">. Also, while Poland was world famous for pure vodkas, it did not have </w:t>
      </w:r>
      <w:r w:rsidR="009659C1">
        <w:t xml:space="preserve">a </w:t>
      </w:r>
      <w:r>
        <w:t xml:space="preserve">very strong national reputation </w:t>
      </w:r>
      <w:r w:rsidR="009659C1">
        <w:t xml:space="preserve">for flavoured </w:t>
      </w:r>
      <w:r>
        <w:t xml:space="preserve">vodkas and other alcoholic beverages. </w:t>
      </w:r>
    </w:p>
    <w:p w14:paraId="263467B2" w14:textId="7978A514" w:rsidR="00DA0D99" w:rsidRDefault="00DA0D99" w:rsidP="00083DE2">
      <w:pPr>
        <w:pStyle w:val="BodyTextMain"/>
        <w:numPr>
          <w:ilvl w:val="0"/>
          <w:numId w:val="30"/>
        </w:numPr>
      </w:pPr>
      <w:r>
        <w:t xml:space="preserve">Growth across market segments. </w:t>
      </w:r>
      <w:proofErr w:type="spellStart"/>
      <w:r>
        <w:t>Polmos</w:t>
      </w:r>
      <w:proofErr w:type="spellEnd"/>
      <w:r>
        <w:t xml:space="preserve"> Lublin’s sales were almost exclusively generated with </w:t>
      </w:r>
      <w:r w:rsidR="00383DE2">
        <w:t>Bitter</w:t>
      </w:r>
      <w:r>
        <w:t xml:space="preserve">. </w:t>
      </w:r>
      <w:r w:rsidR="009659C1">
        <w:t xml:space="preserve">With </w:t>
      </w:r>
      <w:r w:rsidR="00383DE2">
        <w:t>Bitter</w:t>
      </w:r>
      <w:r w:rsidR="009659C1">
        <w:t xml:space="preserve">’s </w:t>
      </w:r>
      <w:r>
        <w:t>reputation among customers, retailers</w:t>
      </w:r>
      <w:r w:rsidR="009659C1">
        <w:t>,</w:t>
      </w:r>
      <w:r>
        <w:t xml:space="preserve"> and distributors, </w:t>
      </w:r>
      <w:proofErr w:type="spellStart"/>
      <w:r w:rsidR="009659C1">
        <w:t>Polmos</w:t>
      </w:r>
      <w:proofErr w:type="spellEnd"/>
      <w:r w:rsidR="009659C1">
        <w:t xml:space="preserve"> Lublin </w:t>
      </w:r>
      <w:r>
        <w:t xml:space="preserve">could introduce other brands in the same segment </w:t>
      </w:r>
      <w:r w:rsidR="009659C1">
        <w:t xml:space="preserve">(flavoured vodkas) </w:t>
      </w:r>
      <w:r>
        <w:t>as well as target all segments of the large</w:t>
      </w:r>
      <w:r w:rsidR="009659C1">
        <w:t>r</w:t>
      </w:r>
      <w:r>
        <w:t xml:space="preserve"> pure vodka market. </w:t>
      </w:r>
      <w:r w:rsidR="009659C1">
        <w:t xml:space="preserve">The company </w:t>
      </w:r>
      <w:r>
        <w:t xml:space="preserve">already had </w:t>
      </w:r>
      <w:r w:rsidR="009659C1">
        <w:t xml:space="preserve">good prior </w:t>
      </w:r>
      <w:r>
        <w:t xml:space="preserve">experience in </w:t>
      </w:r>
      <w:r w:rsidR="009659C1">
        <w:t xml:space="preserve">the </w:t>
      </w:r>
      <w:r>
        <w:t xml:space="preserve">pure vodka segment with its </w:t>
      </w:r>
      <w:r w:rsidRPr="00F93124">
        <w:t>1906 and Bison</w:t>
      </w:r>
      <w:r>
        <w:t xml:space="preserve"> brands.</w:t>
      </w:r>
    </w:p>
    <w:p w14:paraId="437ACFB6" w14:textId="77777777" w:rsidR="00083DE2" w:rsidRDefault="00083DE2" w:rsidP="00083DE2">
      <w:pPr>
        <w:pStyle w:val="BodyTextMain"/>
      </w:pPr>
    </w:p>
    <w:p w14:paraId="0A22F49A" w14:textId="617D54F2" w:rsidR="00083DE2" w:rsidRPr="000E5519" w:rsidRDefault="00DA0D99" w:rsidP="00343501">
      <w:pPr>
        <w:pStyle w:val="BodyTextMain"/>
      </w:pPr>
      <w:r>
        <w:t>In the meantime</w:t>
      </w:r>
      <w:r w:rsidR="009659C1">
        <w:t>,</w:t>
      </w:r>
      <w:r>
        <w:t xml:space="preserve"> the company completed a public offering. In February 2005</w:t>
      </w:r>
      <w:r w:rsidR="009659C1">
        <w:t>,</w:t>
      </w:r>
      <w:r>
        <w:t xml:space="preserve"> </w:t>
      </w:r>
      <w:proofErr w:type="spellStart"/>
      <w:r w:rsidR="009659C1">
        <w:t>Polmos</w:t>
      </w:r>
      <w:proofErr w:type="spellEnd"/>
      <w:r w:rsidR="009659C1">
        <w:t xml:space="preserve"> Lublin </w:t>
      </w:r>
      <w:r>
        <w:t xml:space="preserve">sold 2,500,000 shares on the Warsaw Stock Exchange at the price of </w:t>
      </w:r>
      <w:proofErr w:type="spellStart"/>
      <w:r w:rsidR="009659C1" w:rsidRPr="009659C1">
        <w:rPr>
          <w:lang w:val="en-US"/>
        </w:rPr>
        <w:t>zł</w:t>
      </w:r>
      <w:proofErr w:type="spellEnd"/>
      <w:r>
        <w:t>50 per share (€11). The initial investor</w:t>
      </w:r>
      <w:r w:rsidR="007E1AD3">
        <w:t xml:space="preserve"> (</w:t>
      </w:r>
      <w:proofErr w:type="spellStart"/>
      <w:r w:rsidR="007E1AD3">
        <w:t>Palikot</w:t>
      </w:r>
      <w:proofErr w:type="spellEnd"/>
      <w:r w:rsidR="007E1AD3">
        <w:t>)</w:t>
      </w:r>
      <w:r>
        <w:t xml:space="preserve"> retained effective control of the company and the right to nominate three out of six supervisory board members, including president. After the deduction of capital gains</w:t>
      </w:r>
      <w:r w:rsidR="007E1AD3">
        <w:t xml:space="preserve"> taxes</w:t>
      </w:r>
      <w:r>
        <w:t xml:space="preserve">, </w:t>
      </w:r>
      <w:r w:rsidR="007E1AD3">
        <w:t xml:space="preserve">the company had </w:t>
      </w:r>
      <w:proofErr w:type="spellStart"/>
      <w:r w:rsidR="007E1AD3" w:rsidRPr="00360056">
        <w:rPr>
          <w:lang w:val="en-US"/>
        </w:rPr>
        <w:t>zł</w:t>
      </w:r>
      <w:proofErr w:type="spellEnd"/>
      <w:r>
        <w:t>75</w:t>
      </w:r>
      <w:r w:rsidR="007E1AD3">
        <w:t xml:space="preserve"> million </w:t>
      </w:r>
      <w:r>
        <w:t xml:space="preserve">in additional capital available to implement its strategic options. </w:t>
      </w:r>
      <w:r w:rsidR="00083DE2" w:rsidRPr="002137B3">
        <w:rPr>
          <w:lang w:val="en-US"/>
        </w:rPr>
        <w:br w:type="page"/>
      </w:r>
    </w:p>
    <w:p w14:paraId="7A0E669F" w14:textId="2EE49FD7" w:rsidR="00083DE2" w:rsidRPr="003C3C7F" w:rsidRDefault="00083DE2" w:rsidP="00486BB1">
      <w:pPr>
        <w:pStyle w:val="ExhibitHeading"/>
        <w:outlineLvl w:val="0"/>
      </w:pPr>
      <w:r w:rsidRPr="003C3C7F">
        <w:lastRenderedPageBreak/>
        <w:t xml:space="preserve">Exhibit 1. </w:t>
      </w:r>
      <w:r w:rsidR="009333EF">
        <w:t>Leading Companies</w:t>
      </w:r>
      <w:r w:rsidRPr="003C3C7F">
        <w:t xml:space="preserve"> and brands in Poland</w:t>
      </w:r>
      <w:r w:rsidR="002842ED">
        <w:t>’s Liquor Segment,</w:t>
      </w:r>
      <w:r w:rsidRPr="003C3C7F">
        <w:t xml:space="preserve"> 2004</w:t>
      </w:r>
    </w:p>
    <w:p w14:paraId="1583E830" w14:textId="77777777" w:rsidR="00083DE2" w:rsidRDefault="00083DE2" w:rsidP="00343501">
      <w:pPr>
        <w:pStyle w:val="ExhibitText"/>
      </w:pPr>
    </w:p>
    <w:tbl>
      <w:tblPr>
        <w:tblStyle w:val="PlainTable21"/>
        <w:tblW w:w="5000" w:type="pct"/>
        <w:jc w:val="center"/>
        <w:tblCellMar>
          <w:top w:w="115" w:type="dxa"/>
          <w:left w:w="115" w:type="dxa"/>
          <w:bottom w:w="115" w:type="dxa"/>
          <w:right w:w="115" w:type="dxa"/>
        </w:tblCellMar>
        <w:tblLook w:val="04A0" w:firstRow="1" w:lastRow="0" w:firstColumn="1" w:lastColumn="0" w:noHBand="0" w:noVBand="1"/>
      </w:tblPr>
      <w:tblGrid>
        <w:gridCol w:w="2613"/>
        <w:gridCol w:w="3141"/>
        <w:gridCol w:w="3606"/>
      </w:tblGrid>
      <w:tr w:rsidR="00083DE2" w:rsidRPr="00343501" w14:paraId="5008A9D9" w14:textId="77777777" w:rsidTr="00343501">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76" w:type="dxa"/>
            <w:tcBorders>
              <w:top w:val="single" w:sz="4" w:space="0" w:color="auto"/>
              <w:bottom w:val="single" w:sz="12" w:space="0" w:color="auto"/>
            </w:tcBorders>
            <w:vAlign w:val="center"/>
            <w:hideMark/>
          </w:tcPr>
          <w:p w14:paraId="006F27D3" w14:textId="13D4C8E2" w:rsidR="00083DE2" w:rsidRPr="00343501" w:rsidRDefault="00083DE2" w:rsidP="00343501">
            <w:pPr>
              <w:pStyle w:val="ExhibitText"/>
              <w:jc w:val="center"/>
            </w:pPr>
          </w:p>
        </w:tc>
        <w:tc>
          <w:tcPr>
            <w:tcW w:w="3096" w:type="dxa"/>
            <w:tcBorders>
              <w:top w:val="single" w:sz="4" w:space="0" w:color="auto"/>
              <w:bottom w:val="single" w:sz="12" w:space="0" w:color="auto"/>
            </w:tcBorders>
            <w:vAlign w:val="center"/>
            <w:hideMark/>
          </w:tcPr>
          <w:p w14:paraId="43576779" w14:textId="77777777" w:rsidR="00083DE2" w:rsidRPr="00343501" w:rsidRDefault="00083DE2" w:rsidP="00343501">
            <w:pPr>
              <w:pStyle w:val="ExhibitText"/>
              <w:jc w:val="center"/>
              <w:cnfStyle w:val="100000000000" w:firstRow="1" w:lastRow="0" w:firstColumn="0" w:lastColumn="0" w:oddVBand="0" w:evenVBand="0" w:oddHBand="0" w:evenHBand="0" w:firstRowFirstColumn="0" w:firstRowLastColumn="0" w:lastRowFirstColumn="0" w:lastRowLastColumn="0"/>
            </w:pPr>
            <w:r w:rsidRPr="00343501">
              <w:t>Short description</w:t>
            </w:r>
          </w:p>
        </w:tc>
        <w:tc>
          <w:tcPr>
            <w:tcW w:w="3555" w:type="dxa"/>
            <w:tcBorders>
              <w:top w:val="single" w:sz="4" w:space="0" w:color="auto"/>
              <w:bottom w:val="single" w:sz="12" w:space="0" w:color="auto"/>
            </w:tcBorders>
            <w:vAlign w:val="center"/>
            <w:hideMark/>
          </w:tcPr>
          <w:p w14:paraId="0B29720A" w14:textId="77777777" w:rsidR="00083DE2" w:rsidRPr="00343501" w:rsidRDefault="00083DE2" w:rsidP="00343501">
            <w:pPr>
              <w:pStyle w:val="ExhibitText"/>
              <w:jc w:val="center"/>
              <w:cnfStyle w:val="100000000000" w:firstRow="1" w:lastRow="0" w:firstColumn="0" w:lastColumn="0" w:oddVBand="0" w:evenVBand="0" w:oddHBand="0" w:evenHBand="0" w:firstRowFirstColumn="0" w:firstRowLastColumn="0" w:lastRowFirstColumn="0" w:lastRowLastColumn="0"/>
            </w:pPr>
            <w:r w:rsidRPr="00343501">
              <w:t>Main brands</w:t>
            </w:r>
          </w:p>
        </w:tc>
      </w:tr>
      <w:tr w:rsidR="00083DE2" w:rsidRPr="003C3C7F" w14:paraId="2FECCFEA" w14:textId="77777777" w:rsidTr="003435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76" w:type="dxa"/>
            <w:tcBorders>
              <w:top w:val="single" w:sz="12" w:space="0" w:color="auto"/>
            </w:tcBorders>
            <w:hideMark/>
          </w:tcPr>
          <w:p w14:paraId="7768B6DB" w14:textId="77777777" w:rsidR="00083DE2" w:rsidRPr="00DB0ACD" w:rsidRDefault="00083DE2" w:rsidP="00343501">
            <w:pPr>
              <w:pStyle w:val="ExhibitText"/>
              <w:jc w:val="left"/>
              <w:rPr>
                <w:b w:val="0"/>
              </w:rPr>
            </w:pPr>
            <w:r w:rsidRPr="00DB0ACD">
              <w:rPr>
                <w:b w:val="0"/>
              </w:rPr>
              <w:t>Sobieski Company</w:t>
            </w:r>
          </w:p>
        </w:tc>
        <w:tc>
          <w:tcPr>
            <w:tcW w:w="3096" w:type="dxa"/>
            <w:tcBorders>
              <w:top w:val="single" w:sz="12" w:space="0" w:color="auto"/>
            </w:tcBorders>
            <w:hideMark/>
          </w:tcPr>
          <w:p w14:paraId="073BE546" w14:textId="0ACBA476" w:rsidR="00083DE2" w:rsidRPr="003C3C7F" w:rsidRDefault="00083DE2" w:rsidP="005455B9">
            <w:pPr>
              <w:pStyle w:val="ExhibitText"/>
              <w:jc w:val="left"/>
              <w:cnfStyle w:val="000000100000" w:firstRow="0" w:lastRow="0" w:firstColumn="0" w:lastColumn="0" w:oddVBand="0" w:evenVBand="0" w:oddHBand="1" w:evenHBand="0" w:firstRowFirstColumn="0" w:firstRowLastColumn="0" w:lastRowFirstColumn="0" w:lastRowLastColumn="0"/>
            </w:pPr>
            <w:r w:rsidRPr="003C3C7F">
              <w:t>Initially</w:t>
            </w:r>
            <w:r w:rsidR="002842ED">
              <w:t>, a</w:t>
            </w:r>
            <w:r w:rsidRPr="003C3C7F">
              <w:t xml:space="preserve"> company </w:t>
            </w:r>
            <w:r w:rsidR="00E07180">
              <w:t xml:space="preserve">distributing wines and liquor, </w:t>
            </w:r>
            <w:r w:rsidRPr="003C3C7F">
              <w:t>owned by the French company Belvedere</w:t>
            </w:r>
            <w:r w:rsidR="00273643">
              <w:t xml:space="preserve"> Distribution Company</w:t>
            </w:r>
            <w:r w:rsidRPr="003C3C7F">
              <w:t>.</w:t>
            </w:r>
            <w:r w:rsidR="00E07180">
              <w:t xml:space="preserve"> </w:t>
            </w:r>
            <w:r w:rsidR="00273643">
              <w:t>In 2001, it acquired</w:t>
            </w:r>
            <w:r w:rsidR="002842ED" w:rsidRPr="003C3C7F">
              <w:t xml:space="preserve"> </w:t>
            </w:r>
            <w:r w:rsidRPr="003C3C7F">
              <w:t>mid</w:t>
            </w:r>
            <w:r w:rsidR="00E07180">
              <w:t>-</w:t>
            </w:r>
            <w:r w:rsidRPr="003C3C7F">
              <w:t xml:space="preserve">size </w:t>
            </w:r>
            <w:proofErr w:type="spellStart"/>
            <w:r w:rsidRPr="003C3C7F">
              <w:t>Polmos</w:t>
            </w:r>
            <w:proofErr w:type="spellEnd"/>
            <w:r w:rsidRPr="003C3C7F">
              <w:t xml:space="preserve"> </w:t>
            </w:r>
            <w:proofErr w:type="spellStart"/>
            <w:r w:rsidRPr="003C3C7F">
              <w:t>Starogard</w:t>
            </w:r>
            <w:proofErr w:type="spellEnd"/>
            <w:r w:rsidR="00273643">
              <w:t xml:space="preserve">, thus extending its value chain by adding production to distribution. After </w:t>
            </w:r>
            <w:r w:rsidRPr="003C3C7F">
              <w:t>develop</w:t>
            </w:r>
            <w:r w:rsidR="00E07180">
              <w:t>ing</w:t>
            </w:r>
            <w:r w:rsidRPr="003C3C7F">
              <w:t xml:space="preserve"> new brands</w:t>
            </w:r>
            <w:r w:rsidR="00E07180">
              <w:t xml:space="preserve">, </w:t>
            </w:r>
            <w:r w:rsidRPr="003C3C7F">
              <w:t xml:space="preserve">became </w:t>
            </w:r>
            <w:r w:rsidR="00E07180">
              <w:t xml:space="preserve">the </w:t>
            </w:r>
            <w:r w:rsidRPr="003C3C7F">
              <w:t>market leader in Poland</w:t>
            </w:r>
            <w:r w:rsidR="00E07180">
              <w:t>’s liquor segment</w:t>
            </w:r>
            <w:r w:rsidR="00DB0ACD">
              <w:t xml:space="preserve"> </w:t>
            </w:r>
            <w:r w:rsidRPr="003C3C7F">
              <w:t>with 31</w:t>
            </w:r>
            <w:r w:rsidR="00D97EFF">
              <w:t xml:space="preserve"> per cent</w:t>
            </w:r>
            <w:r w:rsidRPr="003C3C7F">
              <w:t xml:space="preserve"> market share</w:t>
            </w:r>
            <w:r w:rsidR="00E07180">
              <w:t>.</w:t>
            </w:r>
          </w:p>
        </w:tc>
        <w:tc>
          <w:tcPr>
            <w:tcW w:w="3555" w:type="dxa"/>
            <w:tcBorders>
              <w:top w:val="single" w:sz="12" w:space="0" w:color="auto"/>
            </w:tcBorders>
          </w:tcPr>
          <w:p w14:paraId="23BCEF93" w14:textId="58B0CF09" w:rsidR="00E07180" w:rsidRDefault="00083DE2" w:rsidP="00F93124">
            <w:pPr>
              <w:pStyle w:val="ExhibitText"/>
              <w:numPr>
                <w:ilvl w:val="0"/>
                <w:numId w:val="35"/>
              </w:numPr>
              <w:jc w:val="left"/>
              <w:cnfStyle w:val="000000100000" w:firstRow="0" w:lastRow="0" w:firstColumn="0" w:lastColumn="0" w:oddVBand="0" w:evenVBand="0" w:oddHBand="1" w:evenHBand="0" w:firstRowFirstColumn="0" w:firstRowLastColumn="0" w:lastRowFirstColumn="0" w:lastRowLastColumn="0"/>
            </w:pPr>
            <w:r w:rsidRPr="00F93124">
              <w:rPr>
                <w:iCs/>
              </w:rPr>
              <w:t>Sobieski</w:t>
            </w:r>
            <w:r w:rsidRPr="003C3C7F">
              <w:t xml:space="preserve"> (mainstream brand)</w:t>
            </w:r>
          </w:p>
          <w:p w14:paraId="3234255B" w14:textId="29BB79C5" w:rsidR="00E07180" w:rsidRDefault="00083DE2" w:rsidP="00F93124">
            <w:pPr>
              <w:pStyle w:val="ExhibitText"/>
              <w:numPr>
                <w:ilvl w:val="0"/>
                <w:numId w:val="35"/>
              </w:numPr>
              <w:jc w:val="left"/>
              <w:cnfStyle w:val="000000100000" w:firstRow="0" w:lastRow="0" w:firstColumn="0" w:lastColumn="0" w:oddVBand="0" w:evenVBand="0" w:oddHBand="1" w:evenHBand="0" w:firstRowFirstColumn="0" w:firstRowLastColumn="0" w:lastRowFirstColumn="0" w:lastRowLastColumn="0"/>
            </w:pPr>
            <w:proofErr w:type="spellStart"/>
            <w:r w:rsidRPr="003C3C7F">
              <w:t>Starogardzka</w:t>
            </w:r>
            <w:proofErr w:type="spellEnd"/>
            <w:r w:rsidRPr="003C3C7F">
              <w:t xml:space="preserve"> </w:t>
            </w:r>
            <w:r w:rsidR="00FB4C21">
              <w:t>(</w:t>
            </w:r>
            <w:r w:rsidR="00E07180">
              <w:t>Old Castle</w:t>
            </w:r>
            <w:r w:rsidR="00FB4C21">
              <w:t>)</w:t>
            </w:r>
            <w:r w:rsidR="00E07180">
              <w:t xml:space="preserve"> and</w:t>
            </w:r>
          </w:p>
          <w:p w14:paraId="488DD78D" w14:textId="612D6917" w:rsidR="00E07180" w:rsidRDefault="00083DE2" w:rsidP="00F93124">
            <w:pPr>
              <w:pStyle w:val="ExhibitText"/>
              <w:numPr>
                <w:ilvl w:val="0"/>
                <w:numId w:val="35"/>
              </w:numPr>
              <w:jc w:val="left"/>
              <w:cnfStyle w:val="000000100000" w:firstRow="0" w:lastRow="0" w:firstColumn="0" w:lastColumn="0" w:oddVBand="0" w:evenVBand="0" w:oddHBand="1" w:evenHBand="0" w:firstRowFirstColumn="0" w:firstRowLastColumn="0" w:lastRowFirstColumn="0" w:lastRowLastColumn="0"/>
            </w:pPr>
            <w:proofErr w:type="spellStart"/>
            <w:r w:rsidRPr="003C3C7F">
              <w:t>Krakowska</w:t>
            </w:r>
            <w:proofErr w:type="spellEnd"/>
            <w:r w:rsidR="00E07180">
              <w:t xml:space="preserve"> </w:t>
            </w:r>
            <w:r w:rsidR="00FB4C21">
              <w:t>(</w:t>
            </w:r>
            <w:r w:rsidR="00E07180">
              <w:t>Cracow Vodka</w:t>
            </w:r>
            <w:r w:rsidR="00FB4C21">
              <w:t>)</w:t>
            </w:r>
            <w:r w:rsidR="00E07180">
              <w:t>,</w:t>
            </w:r>
            <w:r w:rsidRPr="003C3C7F">
              <w:t xml:space="preserve"> both having strong positions in an economy segment</w:t>
            </w:r>
          </w:p>
          <w:p w14:paraId="26E4BB29" w14:textId="2A434CAE" w:rsidR="00083DE2" w:rsidRPr="003C3C7F" w:rsidRDefault="00083DE2" w:rsidP="00F93124">
            <w:pPr>
              <w:pStyle w:val="ExhibitText"/>
              <w:numPr>
                <w:ilvl w:val="0"/>
                <w:numId w:val="35"/>
              </w:numPr>
              <w:jc w:val="left"/>
              <w:cnfStyle w:val="000000100000" w:firstRow="0" w:lastRow="0" w:firstColumn="0" w:lastColumn="0" w:oddVBand="0" w:evenVBand="0" w:oddHBand="1" w:evenHBand="0" w:firstRowFirstColumn="0" w:firstRowLastColumn="0" w:lastRowFirstColumn="0" w:lastRowLastColumn="0"/>
            </w:pPr>
            <w:proofErr w:type="spellStart"/>
            <w:r w:rsidRPr="003C3C7F">
              <w:t>Krupnik</w:t>
            </w:r>
            <w:proofErr w:type="spellEnd"/>
            <w:r w:rsidRPr="003C3C7F">
              <w:t xml:space="preserve"> </w:t>
            </w:r>
            <w:r w:rsidR="00FB4C21">
              <w:t>(</w:t>
            </w:r>
            <w:r w:rsidR="00E07180">
              <w:t>Honey Vodka</w:t>
            </w:r>
            <w:r w:rsidR="00FB4C21">
              <w:t>)</w:t>
            </w:r>
            <w:r w:rsidRPr="003C3C7F">
              <w:t>, a traditional, honey-</w:t>
            </w:r>
            <w:r w:rsidR="00E07180">
              <w:t>flavoured</w:t>
            </w:r>
            <w:r w:rsidR="00E07180" w:rsidRPr="003C3C7F">
              <w:t xml:space="preserve"> </w:t>
            </w:r>
            <w:r w:rsidRPr="003C3C7F">
              <w:t>vodka</w:t>
            </w:r>
          </w:p>
        </w:tc>
      </w:tr>
      <w:tr w:rsidR="00083DE2" w:rsidRPr="003C3C7F" w14:paraId="7BDA3478" w14:textId="77777777" w:rsidTr="00343501">
        <w:trPr>
          <w:trHeight w:val="288"/>
          <w:jc w:val="center"/>
        </w:trPr>
        <w:tc>
          <w:tcPr>
            <w:cnfStyle w:val="001000000000" w:firstRow="0" w:lastRow="0" w:firstColumn="1" w:lastColumn="0" w:oddVBand="0" w:evenVBand="0" w:oddHBand="0" w:evenHBand="0" w:firstRowFirstColumn="0" w:firstRowLastColumn="0" w:lastRowFirstColumn="0" w:lastRowLastColumn="0"/>
            <w:tcW w:w="2576" w:type="dxa"/>
            <w:hideMark/>
          </w:tcPr>
          <w:p w14:paraId="2AF10A71" w14:textId="1589E416" w:rsidR="00083DE2" w:rsidRPr="00DB0ACD" w:rsidRDefault="00083DE2" w:rsidP="00343501">
            <w:pPr>
              <w:pStyle w:val="ExhibitText"/>
              <w:jc w:val="left"/>
              <w:rPr>
                <w:b w:val="0"/>
              </w:rPr>
            </w:pPr>
            <w:proofErr w:type="spellStart"/>
            <w:r w:rsidRPr="00DB0ACD">
              <w:rPr>
                <w:b w:val="0"/>
              </w:rPr>
              <w:t>Polmos</w:t>
            </w:r>
            <w:proofErr w:type="spellEnd"/>
            <w:r w:rsidRPr="00DB0ACD">
              <w:rPr>
                <w:b w:val="0"/>
              </w:rPr>
              <w:t xml:space="preserve"> Bialystok</w:t>
            </w:r>
          </w:p>
        </w:tc>
        <w:tc>
          <w:tcPr>
            <w:tcW w:w="3096" w:type="dxa"/>
            <w:hideMark/>
          </w:tcPr>
          <w:p w14:paraId="7C2A60FF" w14:textId="4170F764" w:rsidR="00083DE2" w:rsidRPr="003C3C7F" w:rsidRDefault="009E50CA" w:rsidP="005455B9">
            <w:pPr>
              <w:pStyle w:val="ExhibitText"/>
              <w:jc w:val="left"/>
              <w:cnfStyle w:val="000000000000" w:firstRow="0" w:lastRow="0" w:firstColumn="0" w:lastColumn="0" w:oddVBand="0" w:evenVBand="0" w:oddHBand="0" w:evenHBand="0" w:firstRowFirstColumn="0" w:firstRowLastColumn="0" w:lastRowFirstColumn="0" w:lastRowLastColumn="0"/>
            </w:pPr>
            <w:r>
              <w:t>L</w:t>
            </w:r>
            <w:r w:rsidR="00083DE2" w:rsidRPr="003C3C7F">
              <w:t>arge</w:t>
            </w:r>
            <w:r w:rsidR="00FE6FCD">
              <w:t>,</w:t>
            </w:r>
            <w:r w:rsidR="00083DE2" w:rsidRPr="003C3C7F">
              <w:t xml:space="preserve"> state-owned</w:t>
            </w:r>
            <w:r w:rsidR="005455B9">
              <w:t>,</w:t>
            </w:r>
            <w:r w:rsidR="00083DE2" w:rsidRPr="003C3C7F">
              <w:t xml:space="preserve"> and well-managed company</w:t>
            </w:r>
            <w:r w:rsidR="00F46DF2">
              <w:t xml:space="preserve"> that</w:t>
            </w:r>
            <w:r w:rsidR="00083DE2" w:rsidRPr="003C3C7F">
              <w:t xml:space="preserve"> controll</w:t>
            </w:r>
            <w:r w:rsidR="00F46DF2">
              <w:t>ed</w:t>
            </w:r>
            <w:r w:rsidR="00083DE2" w:rsidRPr="003C3C7F">
              <w:t xml:space="preserve"> two powerful brands in the pure and </w:t>
            </w:r>
            <w:r w:rsidR="00F46DF2">
              <w:t>flavoured</w:t>
            </w:r>
            <w:r w:rsidR="00F46DF2" w:rsidRPr="003C3C7F">
              <w:t xml:space="preserve"> </w:t>
            </w:r>
            <w:r w:rsidR="00083DE2" w:rsidRPr="003C3C7F">
              <w:t>vodka segments</w:t>
            </w:r>
            <w:r w:rsidR="00F46DF2">
              <w:t>. Also had</w:t>
            </w:r>
            <w:r w:rsidR="00083DE2" w:rsidRPr="003C3C7F">
              <w:t xml:space="preserve"> a good portfolio of other brands</w:t>
            </w:r>
            <w:r w:rsidR="00F46DF2">
              <w:t>.</w:t>
            </w:r>
            <w:r w:rsidR="00083DE2" w:rsidRPr="003C3C7F">
              <w:t xml:space="preserve"> </w:t>
            </w:r>
            <w:r w:rsidR="00F46DF2">
              <w:t>T</w:t>
            </w:r>
            <w:r w:rsidR="00083DE2" w:rsidRPr="003C3C7F">
              <w:t>otal market share 21</w:t>
            </w:r>
            <w:r w:rsidR="00D97EFF">
              <w:t xml:space="preserve"> per cent</w:t>
            </w:r>
            <w:r w:rsidR="00083DE2" w:rsidRPr="003C3C7F">
              <w:t>.</w:t>
            </w:r>
          </w:p>
        </w:tc>
        <w:tc>
          <w:tcPr>
            <w:tcW w:w="3555" w:type="dxa"/>
            <w:hideMark/>
          </w:tcPr>
          <w:p w14:paraId="7602EC72" w14:textId="25CF9DD5" w:rsidR="00F46DF2" w:rsidRPr="00F46DF2" w:rsidRDefault="00083DE2" w:rsidP="00F93124">
            <w:pPr>
              <w:pStyle w:val="ExhibitText"/>
              <w:numPr>
                <w:ilvl w:val="0"/>
                <w:numId w:val="36"/>
              </w:numPr>
              <w:jc w:val="left"/>
              <w:cnfStyle w:val="000000000000" w:firstRow="0" w:lastRow="0" w:firstColumn="0" w:lastColumn="0" w:oddVBand="0" w:evenVBand="0" w:oddHBand="0" w:evenHBand="0" w:firstRowFirstColumn="0" w:firstRowLastColumn="0" w:lastRowFirstColumn="0" w:lastRowLastColumn="0"/>
            </w:pPr>
            <w:proofErr w:type="spellStart"/>
            <w:r w:rsidRPr="00F93124">
              <w:rPr>
                <w:iCs/>
              </w:rPr>
              <w:t>Absolwent</w:t>
            </w:r>
            <w:proofErr w:type="spellEnd"/>
            <w:r w:rsidRPr="00F93124">
              <w:rPr>
                <w:iCs/>
              </w:rPr>
              <w:t xml:space="preserve"> </w:t>
            </w:r>
            <w:r w:rsidR="00FB4C21">
              <w:rPr>
                <w:iCs/>
              </w:rPr>
              <w:t>(</w:t>
            </w:r>
            <w:r w:rsidR="00F46DF2" w:rsidRPr="00F46DF2">
              <w:rPr>
                <w:iCs/>
              </w:rPr>
              <w:t>Graduate</w:t>
            </w:r>
            <w:r w:rsidR="00FB4C21">
              <w:rPr>
                <w:iCs/>
              </w:rPr>
              <w:t>)</w:t>
            </w:r>
            <w:r w:rsidRPr="00F93124">
              <w:rPr>
                <w:iCs/>
              </w:rPr>
              <w:t xml:space="preserve">, </w:t>
            </w:r>
            <w:r w:rsidR="00F46DF2">
              <w:rPr>
                <w:iCs/>
              </w:rPr>
              <w:t xml:space="preserve">mainstream brand </w:t>
            </w:r>
            <w:r w:rsidRPr="00F46DF2">
              <w:t xml:space="preserve">pure vodka with leading market share in Poland </w:t>
            </w:r>
          </w:p>
          <w:p w14:paraId="00D80F93" w14:textId="568D196D" w:rsidR="00083DE2" w:rsidRPr="003C3C7F" w:rsidRDefault="00F46DF2" w:rsidP="00F93124">
            <w:pPr>
              <w:pStyle w:val="ExhibitText"/>
              <w:numPr>
                <w:ilvl w:val="0"/>
                <w:numId w:val="36"/>
              </w:numPr>
              <w:jc w:val="left"/>
              <w:cnfStyle w:val="000000000000" w:firstRow="0" w:lastRow="0" w:firstColumn="0" w:lastColumn="0" w:oddVBand="0" w:evenVBand="0" w:oddHBand="0" w:evenHBand="0" w:firstRowFirstColumn="0" w:firstRowLastColumn="0" w:lastRowFirstColumn="0" w:lastRowLastColumn="0"/>
            </w:pPr>
            <w:proofErr w:type="spellStart"/>
            <w:r>
              <w:rPr>
                <w:iCs/>
              </w:rPr>
              <w:t>Ż</w:t>
            </w:r>
            <w:r w:rsidRPr="00A07607">
              <w:rPr>
                <w:iCs/>
              </w:rPr>
              <w:t>ubrówka</w:t>
            </w:r>
            <w:proofErr w:type="spellEnd"/>
            <w:r w:rsidRPr="00A07607">
              <w:rPr>
                <w:iCs/>
              </w:rPr>
              <w:t xml:space="preserve"> </w:t>
            </w:r>
            <w:r w:rsidR="00FB4C21">
              <w:rPr>
                <w:iCs/>
              </w:rPr>
              <w:t>(</w:t>
            </w:r>
            <w:r w:rsidR="00083DE2" w:rsidRPr="00F93124">
              <w:rPr>
                <w:iCs/>
              </w:rPr>
              <w:t xml:space="preserve">Bison </w:t>
            </w:r>
            <w:r>
              <w:rPr>
                <w:iCs/>
              </w:rPr>
              <w:t xml:space="preserve">Grass </w:t>
            </w:r>
            <w:r w:rsidR="00083DE2" w:rsidRPr="00F93124">
              <w:rPr>
                <w:iCs/>
              </w:rPr>
              <w:t>Vodka</w:t>
            </w:r>
            <w:r w:rsidR="00FB4C21">
              <w:rPr>
                <w:iCs/>
              </w:rPr>
              <w:t>)</w:t>
            </w:r>
            <w:r w:rsidR="00083DE2" w:rsidRPr="00F46DF2">
              <w:t xml:space="preserve">, lightly </w:t>
            </w:r>
            <w:r w:rsidR="0003268D">
              <w:t>flavour</w:t>
            </w:r>
            <w:r w:rsidR="00083DE2" w:rsidRPr="00F46DF2">
              <w:t xml:space="preserve">ed, </w:t>
            </w:r>
            <w:r>
              <w:t xml:space="preserve">well-known </w:t>
            </w:r>
            <w:r w:rsidR="00083DE2" w:rsidRPr="00F46DF2">
              <w:t>premium vodka with unique taste</w:t>
            </w:r>
            <w:r>
              <w:t>;</w:t>
            </w:r>
            <w:r w:rsidR="00083DE2" w:rsidRPr="00F46DF2">
              <w:t xml:space="preserve"> exported from Poland for decades</w:t>
            </w:r>
            <w:r>
              <w:t xml:space="preserve">; known for </w:t>
            </w:r>
            <w:r w:rsidR="00083DE2" w:rsidRPr="00F46DF2">
              <w:t xml:space="preserve">a long blade of grass, a </w:t>
            </w:r>
            <w:r w:rsidR="004C207E" w:rsidRPr="00F46DF2">
              <w:t>favourite</w:t>
            </w:r>
            <w:r w:rsidR="00083DE2" w:rsidRPr="00F46DF2">
              <w:t xml:space="preserve"> food of</w:t>
            </w:r>
            <w:r w:rsidR="00486BB1" w:rsidRPr="00F46DF2">
              <w:t xml:space="preserve"> </w:t>
            </w:r>
            <w:r w:rsidR="004C207E">
              <w:t>the</w:t>
            </w:r>
            <w:r w:rsidR="004C207E" w:rsidRPr="00F46DF2">
              <w:t xml:space="preserve"> </w:t>
            </w:r>
            <w:r w:rsidR="00083DE2" w:rsidRPr="00F46DF2">
              <w:t>Polish bison</w:t>
            </w:r>
            <w:r w:rsidR="004C207E">
              <w:t>, placed in each bottle</w:t>
            </w:r>
          </w:p>
        </w:tc>
      </w:tr>
      <w:tr w:rsidR="00083DE2" w:rsidRPr="003C3C7F" w14:paraId="6831E5E4" w14:textId="77777777" w:rsidTr="003435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76" w:type="dxa"/>
            <w:hideMark/>
          </w:tcPr>
          <w:p w14:paraId="7D1BD707" w14:textId="77777777" w:rsidR="00083DE2" w:rsidRPr="00DB0ACD" w:rsidRDefault="00083DE2" w:rsidP="00343501">
            <w:pPr>
              <w:pStyle w:val="ExhibitText"/>
              <w:jc w:val="left"/>
              <w:rPr>
                <w:b w:val="0"/>
              </w:rPr>
            </w:pPr>
            <w:proofErr w:type="spellStart"/>
            <w:r w:rsidRPr="00DB0ACD">
              <w:rPr>
                <w:b w:val="0"/>
              </w:rPr>
              <w:t>Wyborowa</w:t>
            </w:r>
            <w:proofErr w:type="spellEnd"/>
          </w:p>
        </w:tc>
        <w:tc>
          <w:tcPr>
            <w:tcW w:w="3096" w:type="dxa"/>
            <w:hideMark/>
          </w:tcPr>
          <w:p w14:paraId="30152174" w14:textId="11C9C489" w:rsidR="00083DE2" w:rsidRPr="003C3C7F" w:rsidRDefault="00083DE2" w:rsidP="004C207E">
            <w:pPr>
              <w:pStyle w:val="ExhibitText"/>
              <w:jc w:val="left"/>
              <w:cnfStyle w:val="000000100000" w:firstRow="0" w:lastRow="0" w:firstColumn="0" w:lastColumn="0" w:oddVBand="0" w:evenVBand="0" w:oddHBand="1" w:evenHBand="0" w:firstRowFirstColumn="0" w:firstRowLastColumn="0" w:lastRowFirstColumn="0" w:lastRowLastColumn="0"/>
            </w:pPr>
            <w:proofErr w:type="spellStart"/>
            <w:r w:rsidRPr="003C3C7F">
              <w:t>Polmos</w:t>
            </w:r>
            <w:proofErr w:type="spellEnd"/>
            <w:r w:rsidRPr="003C3C7F">
              <w:t xml:space="preserve"> </w:t>
            </w:r>
            <w:r w:rsidR="004C207E">
              <w:t xml:space="preserve">company </w:t>
            </w:r>
            <w:r w:rsidRPr="003C3C7F">
              <w:t>located in the city of Poznan</w:t>
            </w:r>
            <w:r w:rsidR="004C207E">
              <w:t>,</w:t>
            </w:r>
            <w:r w:rsidRPr="003C3C7F">
              <w:t xml:space="preserve"> acquired by Pernod Ricard in 2001 and renamed </w:t>
            </w:r>
            <w:proofErr w:type="spellStart"/>
            <w:r w:rsidRPr="003C3C7F">
              <w:t>Wyborowa</w:t>
            </w:r>
            <w:proofErr w:type="spellEnd"/>
            <w:r w:rsidRPr="003C3C7F">
              <w:t>; market share 11.5</w:t>
            </w:r>
            <w:r w:rsidR="00D97EFF">
              <w:t xml:space="preserve"> per cent</w:t>
            </w:r>
            <w:r w:rsidRPr="003C3C7F">
              <w:t>.</w:t>
            </w:r>
          </w:p>
        </w:tc>
        <w:tc>
          <w:tcPr>
            <w:tcW w:w="3555" w:type="dxa"/>
            <w:hideMark/>
          </w:tcPr>
          <w:p w14:paraId="68B5A795" w14:textId="49CAE4D6" w:rsidR="004C207E" w:rsidRDefault="00083DE2" w:rsidP="00F93124">
            <w:pPr>
              <w:pStyle w:val="ExhibitText"/>
              <w:numPr>
                <w:ilvl w:val="0"/>
                <w:numId w:val="37"/>
              </w:numPr>
              <w:jc w:val="left"/>
              <w:cnfStyle w:val="000000100000" w:firstRow="0" w:lastRow="0" w:firstColumn="0" w:lastColumn="0" w:oddVBand="0" w:evenVBand="0" w:oddHBand="1" w:evenHBand="0" w:firstRowFirstColumn="0" w:firstRowLastColumn="0" w:lastRowFirstColumn="0" w:lastRowLastColumn="0"/>
            </w:pPr>
            <w:proofErr w:type="spellStart"/>
            <w:r w:rsidRPr="00F93124">
              <w:rPr>
                <w:iCs/>
              </w:rPr>
              <w:t>Wyborowa</w:t>
            </w:r>
            <w:proofErr w:type="spellEnd"/>
            <w:r w:rsidRPr="003C3C7F">
              <w:t xml:space="preserve">, probably the most famous Polish brand of vodka, present </w:t>
            </w:r>
            <w:r w:rsidR="004C207E">
              <w:t>in</w:t>
            </w:r>
            <w:r w:rsidR="004C207E" w:rsidRPr="003C3C7F">
              <w:t xml:space="preserve"> </w:t>
            </w:r>
            <w:r w:rsidRPr="003C3C7F">
              <w:t xml:space="preserve">international markets since the beginning of </w:t>
            </w:r>
            <w:r w:rsidR="004C207E">
              <w:t>the twentieth</w:t>
            </w:r>
            <w:r w:rsidR="004C207E" w:rsidRPr="003C3C7F">
              <w:t xml:space="preserve"> </w:t>
            </w:r>
            <w:r w:rsidRPr="003C3C7F">
              <w:t>century</w:t>
            </w:r>
            <w:r w:rsidR="004C207E">
              <w:t>;</w:t>
            </w:r>
            <w:r w:rsidRPr="003C3C7F">
              <w:t xml:space="preserve"> </w:t>
            </w:r>
            <w:r w:rsidR="004C207E">
              <w:t>l</w:t>
            </w:r>
            <w:r w:rsidRPr="003C3C7F">
              <w:t>ost its reputation and market share in Poland</w:t>
            </w:r>
            <w:r w:rsidR="004C207E">
              <w:t xml:space="preserve"> as a result of</w:t>
            </w:r>
            <w:r w:rsidR="004C207E" w:rsidRPr="003C3C7F">
              <w:t xml:space="preserve"> intense competition </w:t>
            </w:r>
          </w:p>
          <w:p w14:paraId="79B77335" w14:textId="5B425F18" w:rsidR="004C207E" w:rsidRPr="00F93124" w:rsidRDefault="00083DE2" w:rsidP="00F93124">
            <w:pPr>
              <w:pStyle w:val="ExhibitText"/>
              <w:numPr>
                <w:ilvl w:val="0"/>
                <w:numId w:val="37"/>
              </w:numPr>
              <w:jc w:val="left"/>
              <w:cnfStyle w:val="000000100000" w:firstRow="0" w:lastRow="0" w:firstColumn="0" w:lastColumn="0" w:oddVBand="0" w:evenVBand="0" w:oddHBand="1" w:evenHBand="0" w:firstRowFirstColumn="0" w:firstRowLastColumn="0" w:lastRowFirstColumn="0" w:lastRowLastColumn="0"/>
              <w:rPr>
                <w:iCs/>
              </w:rPr>
            </w:pPr>
            <w:proofErr w:type="spellStart"/>
            <w:r w:rsidRPr="00F93124">
              <w:rPr>
                <w:iCs/>
              </w:rPr>
              <w:t>Lodowa</w:t>
            </w:r>
            <w:proofErr w:type="spellEnd"/>
            <w:r w:rsidRPr="004C207E">
              <w:t xml:space="preserve"> </w:t>
            </w:r>
            <w:r w:rsidR="00FB4C21">
              <w:t>(</w:t>
            </w:r>
            <w:r w:rsidR="004C207E" w:rsidRPr="00F93124">
              <w:rPr>
                <w:iCs/>
              </w:rPr>
              <w:t>Iced Vodka</w:t>
            </w:r>
            <w:r w:rsidR="00FB4C21">
              <w:rPr>
                <w:iCs/>
              </w:rPr>
              <w:t>)</w:t>
            </w:r>
            <w:r w:rsidR="004C207E" w:rsidRPr="00F93124">
              <w:rPr>
                <w:iCs/>
              </w:rPr>
              <w:t xml:space="preserve"> </w:t>
            </w:r>
          </w:p>
          <w:p w14:paraId="35B126FF" w14:textId="1AE6217B" w:rsidR="00083DE2" w:rsidRPr="003C3C7F" w:rsidRDefault="00083DE2" w:rsidP="00F93124">
            <w:pPr>
              <w:pStyle w:val="ExhibitText"/>
              <w:numPr>
                <w:ilvl w:val="0"/>
                <w:numId w:val="37"/>
              </w:numPr>
              <w:jc w:val="left"/>
              <w:cnfStyle w:val="000000100000" w:firstRow="0" w:lastRow="0" w:firstColumn="0" w:lastColumn="0" w:oddVBand="0" w:evenVBand="0" w:oddHBand="1" w:evenHBand="0" w:firstRowFirstColumn="0" w:firstRowLastColumn="0" w:lastRowFirstColumn="0" w:lastRowLastColumn="0"/>
              <w:rPr>
                <w:i/>
                <w:iCs/>
              </w:rPr>
            </w:pPr>
            <w:r w:rsidRPr="00F93124">
              <w:rPr>
                <w:iCs/>
              </w:rPr>
              <w:t>Premium</w:t>
            </w:r>
          </w:p>
        </w:tc>
      </w:tr>
      <w:tr w:rsidR="00083DE2" w:rsidRPr="003C3C7F" w14:paraId="2363438F" w14:textId="77777777" w:rsidTr="00343501">
        <w:trPr>
          <w:trHeight w:val="288"/>
          <w:jc w:val="center"/>
        </w:trPr>
        <w:tc>
          <w:tcPr>
            <w:cnfStyle w:val="001000000000" w:firstRow="0" w:lastRow="0" w:firstColumn="1" w:lastColumn="0" w:oddVBand="0" w:evenVBand="0" w:oddHBand="0" w:evenHBand="0" w:firstRowFirstColumn="0" w:firstRowLastColumn="0" w:lastRowFirstColumn="0" w:lastRowLastColumn="0"/>
            <w:tcW w:w="2576" w:type="dxa"/>
            <w:tcBorders>
              <w:bottom w:val="single" w:sz="4" w:space="0" w:color="7F7F7F" w:themeColor="text1" w:themeTint="80"/>
            </w:tcBorders>
            <w:hideMark/>
          </w:tcPr>
          <w:p w14:paraId="5D4D5330" w14:textId="77777777" w:rsidR="00083DE2" w:rsidRPr="00DB0ACD" w:rsidRDefault="00083DE2" w:rsidP="00343501">
            <w:pPr>
              <w:pStyle w:val="ExhibitText"/>
              <w:jc w:val="left"/>
              <w:rPr>
                <w:b w:val="0"/>
              </w:rPr>
            </w:pPr>
            <w:r w:rsidRPr="00DB0ACD">
              <w:rPr>
                <w:b w:val="0"/>
              </w:rPr>
              <w:t xml:space="preserve">Unicom </w:t>
            </w:r>
            <w:proofErr w:type="spellStart"/>
            <w:r w:rsidRPr="00DB0ACD">
              <w:rPr>
                <w:b w:val="0"/>
              </w:rPr>
              <w:t>Bols</w:t>
            </w:r>
            <w:proofErr w:type="spellEnd"/>
            <w:r w:rsidRPr="00DB0ACD">
              <w:rPr>
                <w:b w:val="0"/>
              </w:rPr>
              <w:t xml:space="preserve"> </w:t>
            </w:r>
          </w:p>
        </w:tc>
        <w:tc>
          <w:tcPr>
            <w:tcW w:w="3096" w:type="dxa"/>
            <w:tcBorders>
              <w:bottom w:val="single" w:sz="4" w:space="0" w:color="7F7F7F" w:themeColor="text1" w:themeTint="80"/>
            </w:tcBorders>
            <w:hideMark/>
          </w:tcPr>
          <w:p w14:paraId="7A7D3FD6" w14:textId="77777777" w:rsidR="00083DE2" w:rsidRPr="003C3C7F" w:rsidRDefault="00083DE2" w:rsidP="00343501">
            <w:pPr>
              <w:pStyle w:val="ExhibitText"/>
              <w:jc w:val="left"/>
              <w:cnfStyle w:val="000000000000" w:firstRow="0" w:lastRow="0" w:firstColumn="0" w:lastColumn="0" w:oddVBand="0" w:evenVBand="0" w:oddHBand="0" w:evenHBand="0" w:firstRowFirstColumn="0" w:firstRowLastColumn="0" w:lastRowFirstColumn="0" w:lastRowLastColumn="0"/>
            </w:pPr>
            <w:r w:rsidRPr="003C3C7F">
              <w:t xml:space="preserve">Producer and importer of popular mainstream and premium brands controlled by Dutch group Royal </w:t>
            </w:r>
            <w:proofErr w:type="spellStart"/>
            <w:r w:rsidRPr="003C3C7F">
              <w:t>Bols</w:t>
            </w:r>
            <w:proofErr w:type="spellEnd"/>
            <w:r w:rsidRPr="003C3C7F">
              <w:t xml:space="preserve"> </w:t>
            </w:r>
            <w:proofErr w:type="spellStart"/>
            <w:r w:rsidRPr="003C3C7F">
              <w:t>Destilere</w:t>
            </w:r>
            <w:proofErr w:type="spellEnd"/>
            <w:r w:rsidRPr="003C3C7F">
              <w:t>; market share 11.5</w:t>
            </w:r>
            <w:r w:rsidR="00D97EFF">
              <w:t xml:space="preserve"> per cent</w:t>
            </w:r>
            <w:r w:rsidRPr="003C3C7F">
              <w:t>.</w:t>
            </w:r>
          </w:p>
        </w:tc>
        <w:tc>
          <w:tcPr>
            <w:tcW w:w="3555" w:type="dxa"/>
            <w:tcBorders>
              <w:bottom w:val="single" w:sz="4" w:space="0" w:color="7F7F7F" w:themeColor="text1" w:themeTint="80"/>
            </w:tcBorders>
          </w:tcPr>
          <w:p w14:paraId="3206E80F" w14:textId="099F1D97" w:rsidR="00083DE2" w:rsidRPr="003C3C7F" w:rsidRDefault="00083DE2" w:rsidP="00F93124">
            <w:pPr>
              <w:pStyle w:val="ExhibitText"/>
              <w:numPr>
                <w:ilvl w:val="0"/>
                <w:numId w:val="38"/>
              </w:numPr>
              <w:jc w:val="left"/>
              <w:cnfStyle w:val="000000000000" w:firstRow="0" w:lastRow="0" w:firstColumn="0" w:lastColumn="0" w:oddVBand="0" w:evenVBand="0" w:oddHBand="0" w:evenHBand="0" w:firstRowFirstColumn="0" w:firstRowLastColumn="0" w:lastRowFirstColumn="0" w:lastRowLastColumn="0"/>
            </w:pPr>
            <w:proofErr w:type="spellStart"/>
            <w:r w:rsidRPr="00F93124">
              <w:rPr>
                <w:iCs/>
              </w:rPr>
              <w:t>Bols</w:t>
            </w:r>
            <w:proofErr w:type="spellEnd"/>
            <w:r w:rsidRPr="003C3C7F">
              <w:t xml:space="preserve"> pure vodka, well recognized international brand, produced in Poland under licen</w:t>
            </w:r>
            <w:r w:rsidR="004C207E">
              <w:t>ce</w:t>
            </w:r>
          </w:p>
          <w:p w14:paraId="4E014FE8" w14:textId="77777777" w:rsidR="00083DE2" w:rsidRPr="003C3C7F" w:rsidRDefault="00083DE2" w:rsidP="00343501">
            <w:pPr>
              <w:pStyle w:val="ExhibitText"/>
              <w:jc w:val="left"/>
              <w:cnfStyle w:val="000000000000" w:firstRow="0" w:lastRow="0" w:firstColumn="0" w:lastColumn="0" w:oddVBand="0" w:evenVBand="0" w:oddHBand="0" w:evenHBand="0" w:firstRowFirstColumn="0" w:firstRowLastColumn="0" w:lastRowFirstColumn="0" w:lastRowLastColumn="0"/>
            </w:pPr>
          </w:p>
        </w:tc>
      </w:tr>
      <w:tr w:rsidR="00083DE2" w:rsidRPr="003C3C7F" w14:paraId="61A584A3" w14:textId="77777777" w:rsidTr="003435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76" w:type="dxa"/>
            <w:tcBorders>
              <w:bottom w:val="single" w:sz="4" w:space="0" w:color="auto"/>
            </w:tcBorders>
          </w:tcPr>
          <w:p w14:paraId="32239B58" w14:textId="77777777" w:rsidR="00083DE2" w:rsidRPr="00DB0ACD" w:rsidRDefault="00083DE2" w:rsidP="00343501">
            <w:pPr>
              <w:pStyle w:val="ExhibitText"/>
              <w:jc w:val="left"/>
              <w:rPr>
                <w:b w:val="0"/>
              </w:rPr>
            </w:pPr>
            <w:proofErr w:type="spellStart"/>
            <w:r w:rsidRPr="00DB0ACD">
              <w:rPr>
                <w:b w:val="0"/>
              </w:rPr>
              <w:t>Polmos</w:t>
            </w:r>
            <w:proofErr w:type="spellEnd"/>
            <w:r w:rsidRPr="00DB0ACD">
              <w:rPr>
                <w:b w:val="0"/>
              </w:rPr>
              <w:t xml:space="preserve"> </w:t>
            </w:r>
            <w:proofErr w:type="spellStart"/>
            <w:r w:rsidRPr="00DB0ACD">
              <w:rPr>
                <w:b w:val="0"/>
              </w:rPr>
              <w:t>Zielona</w:t>
            </w:r>
            <w:proofErr w:type="spellEnd"/>
            <w:r w:rsidRPr="00DB0ACD">
              <w:rPr>
                <w:b w:val="0"/>
              </w:rPr>
              <w:t xml:space="preserve"> Gora </w:t>
            </w:r>
          </w:p>
          <w:p w14:paraId="1B0B4302" w14:textId="77777777" w:rsidR="00083DE2" w:rsidRPr="00DB0ACD" w:rsidRDefault="00083DE2" w:rsidP="00343501">
            <w:pPr>
              <w:pStyle w:val="ExhibitText"/>
              <w:jc w:val="left"/>
              <w:rPr>
                <w:b w:val="0"/>
              </w:rPr>
            </w:pPr>
          </w:p>
        </w:tc>
        <w:tc>
          <w:tcPr>
            <w:tcW w:w="3096" w:type="dxa"/>
            <w:tcBorders>
              <w:bottom w:val="single" w:sz="4" w:space="0" w:color="auto"/>
            </w:tcBorders>
            <w:hideMark/>
          </w:tcPr>
          <w:p w14:paraId="1A165482" w14:textId="383EDC48" w:rsidR="00083DE2" w:rsidRPr="003C3C7F" w:rsidRDefault="00083DE2" w:rsidP="00452901">
            <w:pPr>
              <w:pStyle w:val="ExhibitText"/>
              <w:jc w:val="left"/>
              <w:cnfStyle w:val="000000100000" w:firstRow="0" w:lastRow="0" w:firstColumn="0" w:lastColumn="0" w:oddVBand="0" w:evenVBand="0" w:oddHBand="1" w:evenHBand="0" w:firstRowFirstColumn="0" w:firstRowLastColumn="0" w:lastRowFirstColumn="0" w:lastRowLastColumn="0"/>
            </w:pPr>
            <w:r w:rsidRPr="003C3C7F">
              <w:t>Owned by Vin</w:t>
            </w:r>
            <w:r w:rsidR="00D77A6F">
              <w:t xml:space="preserve"> </w:t>
            </w:r>
            <w:r w:rsidRPr="003C3C7F">
              <w:t>&amp;</w:t>
            </w:r>
            <w:r w:rsidR="00D77A6F">
              <w:t xml:space="preserve"> </w:t>
            </w:r>
            <w:r w:rsidRPr="003C3C7F">
              <w:t>Sprit, a Swedish company</w:t>
            </w:r>
            <w:r w:rsidR="00452901">
              <w:t xml:space="preserve"> (later </w:t>
            </w:r>
            <w:r w:rsidR="00D77A6F">
              <w:t>acquired by Pernod Ricard</w:t>
            </w:r>
            <w:r w:rsidR="00452901">
              <w:t xml:space="preserve"> in 2008)</w:t>
            </w:r>
            <w:r w:rsidR="004C207E">
              <w:t>;</w:t>
            </w:r>
            <w:r w:rsidRPr="003C3C7F">
              <w:t xml:space="preserve"> market share 7.2</w:t>
            </w:r>
            <w:r w:rsidR="00D97EFF">
              <w:t xml:space="preserve"> per cent</w:t>
            </w:r>
            <w:r w:rsidRPr="003C3C7F">
              <w:t>.</w:t>
            </w:r>
          </w:p>
        </w:tc>
        <w:tc>
          <w:tcPr>
            <w:tcW w:w="3555" w:type="dxa"/>
            <w:tcBorders>
              <w:bottom w:val="single" w:sz="4" w:space="0" w:color="auto"/>
            </w:tcBorders>
            <w:hideMark/>
          </w:tcPr>
          <w:p w14:paraId="65DB1842" w14:textId="2C294B25" w:rsidR="00452901" w:rsidRPr="00452901" w:rsidRDefault="00083DE2" w:rsidP="00F93124">
            <w:pPr>
              <w:pStyle w:val="ExhibitText"/>
              <w:numPr>
                <w:ilvl w:val="0"/>
                <w:numId w:val="38"/>
              </w:numPr>
              <w:jc w:val="left"/>
              <w:cnfStyle w:val="000000100000" w:firstRow="0" w:lastRow="0" w:firstColumn="0" w:lastColumn="0" w:oddVBand="0" w:evenVBand="0" w:oddHBand="1" w:evenHBand="0" w:firstRowFirstColumn="0" w:firstRowLastColumn="0" w:lastRowFirstColumn="0" w:lastRowLastColumn="0"/>
            </w:pPr>
            <w:r w:rsidRPr="00F93124">
              <w:rPr>
                <w:iCs/>
              </w:rPr>
              <w:t>Absolut</w:t>
            </w:r>
            <w:r w:rsidR="00452901" w:rsidRPr="00F93124">
              <w:rPr>
                <w:iCs/>
              </w:rPr>
              <w:t>, f</w:t>
            </w:r>
            <w:r w:rsidR="00452901" w:rsidRPr="00452901">
              <w:t xml:space="preserve">amous Swedish </w:t>
            </w:r>
            <w:r w:rsidRPr="00452901">
              <w:t>premium brand</w:t>
            </w:r>
          </w:p>
          <w:p w14:paraId="65B4BC37" w14:textId="0A0A1B75" w:rsidR="00083DE2" w:rsidRPr="003C3C7F" w:rsidRDefault="00083DE2" w:rsidP="00F93124">
            <w:pPr>
              <w:pStyle w:val="ExhibitText"/>
              <w:numPr>
                <w:ilvl w:val="0"/>
                <w:numId w:val="38"/>
              </w:numPr>
              <w:jc w:val="left"/>
              <w:cnfStyle w:val="000000100000" w:firstRow="0" w:lastRow="0" w:firstColumn="0" w:lastColumn="0" w:oddVBand="0" w:evenVBand="0" w:oddHBand="1" w:evenHBand="0" w:firstRowFirstColumn="0" w:firstRowLastColumn="0" w:lastRowFirstColumn="0" w:lastRowLastColumn="0"/>
            </w:pPr>
            <w:proofErr w:type="spellStart"/>
            <w:r w:rsidRPr="00F93124">
              <w:rPr>
                <w:iCs/>
              </w:rPr>
              <w:t>Luksusowa</w:t>
            </w:r>
            <w:proofErr w:type="spellEnd"/>
            <w:r w:rsidRPr="00F93124">
              <w:rPr>
                <w:iCs/>
              </w:rPr>
              <w:t xml:space="preserve"> </w:t>
            </w:r>
            <w:r w:rsidR="00FB4C21">
              <w:rPr>
                <w:iCs/>
              </w:rPr>
              <w:t>(</w:t>
            </w:r>
            <w:r w:rsidR="00452901" w:rsidRPr="00F93124">
              <w:rPr>
                <w:iCs/>
              </w:rPr>
              <w:t>Luxury Vodka</w:t>
            </w:r>
            <w:r w:rsidR="00FB4C21">
              <w:rPr>
                <w:iCs/>
              </w:rPr>
              <w:t>)</w:t>
            </w:r>
            <w:r w:rsidRPr="00F93124">
              <w:rPr>
                <w:iCs/>
              </w:rPr>
              <w:t xml:space="preserve">, </w:t>
            </w:r>
            <w:r w:rsidRPr="00452901">
              <w:t>traditional Polish premium brand</w:t>
            </w:r>
          </w:p>
        </w:tc>
      </w:tr>
    </w:tbl>
    <w:p w14:paraId="25DE4851" w14:textId="77777777" w:rsidR="00083DE2" w:rsidRDefault="00083DE2" w:rsidP="00343501">
      <w:pPr>
        <w:pStyle w:val="ExhibitText"/>
        <w:rPr>
          <w:rFonts w:eastAsiaTheme="minorHAnsi"/>
        </w:rPr>
      </w:pPr>
    </w:p>
    <w:p w14:paraId="370B7784" w14:textId="232CE39E" w:rsidR="00A1377A" w:rsidRDefault="003C3C7F" w:rsidP="00F93124">
      <w:pPr>
        <w:pStyle w:val="Footnote"/>
        <w:outlineLvl w:val="0"/>
        <w:rPr>
          <w:sz w:val="22"/>
          <w:szCs w:val="22"/>
        </w:rPr>
      </w:pPr>
      <w:r w:rsidRPr="003C3C7F">
        <w:t xml:space="preserve">Source: </w:t>
      </w:r>
      <w:proofErr w:type="spellStart"/>
      <w:r w:rsidR="00452901">
        <w:t>Polmos</w:t>
      </w:r>
      <w:proofErr w:type="spellEnd"/>
      <w:r w:rsidR="00452901">
        <w:t xml:space="preserve"> Lublin, </w:t>
      </w:r>
      <w:r w:rsidR="005F5924">
        <w:t>P</w:t>
      </w:r>
      <w:r w:rsidRPr="003C3C7F">
        <w:t>rospectus</w:t>
      </w:r>
      <w:r w:rsidR="005F5924">
        <w:t>: Initial Public Offering</w:t>
      </w:r>
      <w:r w:rsidRPr="003C3C7F">
        <w:t>, 2004.</w:t>
      </w:r>
      <w:r w:rsidR="00A1377A">
        <w:br w:type="page"/>
      </w:r>
    </w:p>
    <w:p w14:paraId="7A5BEC2E" w14:textId="6C03E408" w:rsidR="00647DF5" w:rsidRPr="00905110" w:rsidRDefault="00647DF5" w:rsidP="00647DF5">
      <w:pPr>
        <w:pStyle w:val="ExhibitHeading"/>
      </w:pPr>
      <w:r>
        <w:lastRenderedPageBreak/>
        <w:t>Exhibit 2:</w:t>
      </w:r>
      <w:r w:rsidRPr="00905110">
        <w:t xml:space="preserve"> 1906 </w:t>
      </w:r>
      <w:r>
        <w:t>and Ż</w:t>
      </w:r>
      <w:r w:rsidRPr="00905110">
        <w:t>ołądkowa Gorzka</w:t>
      </w:r>
      <w:r w:rsidR="00383DE2">
        <w:t xml:space="preserve"> (BITTER)</w:t>
      </w:r>
      <w:r w:rsidRPr="00905110">
        <w:t xml:space="preserve"> vodka brands </w:t>
      </w:r>
    </w:p>
    <w:p w14:paraId="33809F44" w14:textId="77777777" w:rsidR="00647DF5" w:rsidRDefault="00647DF5" w:rsidP="00647DF5">
      <w:pPr>
        <w:pStyle w:val="ExhibitText"/>
      </w:pPr>
      <w:r>
        <w:t xml:space="preserve"> </w:t>
      </w:r>
    </w:p>
    <w:p w14:paraId="686AC599" w14:textId="77777777" w:rsidR="00647DF5" w:rsidRDefault="00647DF5" w:rsidP="00647DF5">
      <w:pPr>
        <w:pStyle w:val="ExhibitText"/>
        <w:jc w:val="center"/>
      </w:pPr>
      <w:r>
        <w:rPr>
          <w:noProof/>
          <w:lang w:eastAsia="en-GB"/>
        </w:rPr>
        <w:drawing>
          <wp:inline distT="0" distB="0" distL="0" distR="0" wp14:anchorId="60CFA1D2" wp14:editId="187FDD11">
            <wp:extent cx="2579649" cy="3435442"/>
            <wp:effectExtent l="0" t="0" r="0" b="0"/>
            <wp:docPr id="3" name="Picture 3" descr="Macintosh HD:Users:kobloj:Desktop:IMG_25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kobloj:Desktop:IMG_2581.jpg"/>
                    <pic:cNvPicPr>
                      <a:picLocks noChangeAspect="1" noChangeArrowheads="1"/>
                    </pic:cNvPicPr>
                  </pic:nvPicPr>
                  <pic:blipFill>
                    <a:blip r:embed="rId11" cstate="print">
                      <a:grayscl/>
                      <a:extLst>
                        <a:ext uri="{28A0092B-C50C-407E-A947-70E740481C1C}">
                          <a14:useLocalDpi xmlns:a14="http://schemas.microsoft.com/office/drawing/2010/main" val="0"/>
                        </a:ext>
                      </a:extLst>
                    </a:blip>
                    <a:srcRect/>
                    <a:stretch>
                      <a:fillRect/>
                    </a:stretch>
                  </pic:blipFill>
                  <pic:spPr bwMode="auto">
                    <a:xfrm>
                      <a:off x="0" y="0"/>
                      <a:ext cx="2580600" cy="3436709"/>
                    </a:xfrm>
                    <a:prstGeom prst="rect">
                      <a:avLst/>
                    </a:prstGeom>
                    <a:noFill/>
                    <a:ln>
                      <a:noFill/>
                    </a:ln>
                  </pic:spPr>
                </pic:pic>
              </a:graphicData>
            </a:graphic>
          </wp:inline>
        </w:drawing>
      </w:r>
    </w:p>
    <w:p w14:paraId="632B6CE0" w14:textId="77777777" w:rsidR="00647DF5" w:rsidRDefault="00647DF5" w:rsidP="003661A0">
      <w:pPr>
        <w:pStyle w:val="Footnote"/>
      </w:pPr>
    </w:p>
    <w:p w14:paraId="13FCB59A" w14:textId="77777777" w:rsidR="00647DF5" w:rsidRDefault="00647DF5" w:rsidP="00647DF5">
      <w:pPr>
        <w:pStyle w:val="Footnote"/>
        <w:outlineLvl w:val="0"/>
      </w:pPr>
      <w:r>
        <w:t>Source: Case authors’ photograph.</w:t>
      </w:r>
    </w:p>
    <w:p w14:paraId="7C509E9A" w14:textId="77777777" w:rsidR="00647DF5" w:rsidRDefault="00647DF5" w:rsidP="003661A0">
      <w:pPr>
        <w:pStyle w:val="Footnote"/>
      </w:pPr>
    </w:p>
    <w:p w14:paraId="6BB41AAD" w14:textId="77777777" w:rsidR="00D22CD9" w:rsidRDefault="00D22CD9" w:rsidP="003661A0">
      <w:pPr>
        <w:pStyle w:val="Footnote"/>
      </w:pPr>
    </w:p>
    <w:p w14:paraId="77705E69" w14:textId="7D083369" w:rsidR="00D22CD9" w:rsidRPr="00F93124" w:rsidRDefault="00083DE2" w:rsidP="00220F2B">
      <w:pPr>
        <w:pStyle w:val="ExhibitHeading"/>
        <w:outlineLvl w:val="0"/>
        <w:rPr>
          <w:lang w:val="en-US"/>
        </w:rPr>
      </w:pPr>
      <w:r w:rsidRPr="00D22CD9">
        <w:t xml:space="preserve">Exhibit </w:t>
      </w:r>
      <w:r w:rsidR="00FE3DF5">
        <w:t>3</w:t>
      </w:r>
      <w:r w:rsidR="00905110">
        <w:t>:</w:t>
      </w:r>
      <w:r w:rsidRPr="00D22CD9">
        <w:t xml:space="preserve"> Financial data </w:t>
      </w:r>
      <w:r w:rsidR="00444B93">
        <w:t xml:space="preserve">for Polmos Lublin </w:t>
      </w:r>
      <w:r w:rsidR="00220F2B">
        <w:t>(</w:t>
      </w:r>
      <w:r w:rsidRPr="00D22CD9">
        <w:t xml:space="preserve">in </w:t>
      </w:r>
      <w:r w:rsidR="00220F2B" w:rsidRPr="00220F2B">
        <w:rPr>
          <w:lang w:val="en-US"/>
        </w:rPr>
        <w:t>zł</w:t>
      </w:r>
      <w:r w:rsidRPr="00D22CD9">
        <w:t>‘000</w:t>
      </w:r>
      <w:r w:rsidR="00220F2B">
        <w:t>)</w:t>
      </w:r>
    </w:p>
    <w:p w14:paraId="159C92E5" w14:textId="77777777" w:rsidR="00083DE2" w:rsidRDefault="00083DE2">
      <w:pPr>
        <w:pStyle w:val="ExhibitText"/>
      </w:pP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9"/>
        <w:gridCol w:w="1432"/>
        <w:gridCol w:w="1433"/>
        <w:gridCol w:w="1433"/>
        <w:gridCol w:w="1433"/>
      </w:tblGrid>
      <w:tr w:rsidR="00D22CD9" w:rsidRPr="005E6100" w14:paraId="3391F9A4" w14:textId="77777777" w:rsidTr="005E6100">
        <w:trPr>
          <w:trHeight w:val="288"/>
          <w:jc w:val="center"/>
        </w:trPr>
        <w:tc>
          <w:tcPr>
            <w:tcW w:w="3626" w:type="dxa"/>
            <w:tcBorders>
              <w:top w:val="single" w:sz="4" w:space="0" w:color="auto"/>
              <w:bottom w:val="single" w:sz="12" w:space="0" w:color="auto"/>
            </w:tcBorders>
            <w:vAlign w:val="center"/>
            <w:hideMark/>
          </w:tcPr>
          <w:p w14:paraId="32BC13D7" w14:textId="3EA92BF8" w:rsidR="00083DE2" w:rsidRPr="005E6100" w:rsidRDefault="00083DE2" w:rsidP="005E6100">
            <w:pPr>
              <w:pStyle w:val="ExhibitText"/>
              <w:jc w:val="left"/>
              <w:rPr>
                <w:b/>
              </w:rPr>
            </w:pPr>
          </w:p>
        </w:tc>
        <w:tc>
          <w:tcPr>
            <w:tcW w:w="1431" w:type="dxa"/>
            <w:tcBorders>
              <w:top w:val="single" w:sz="4" w:space="0" w:color="auto"/>
              <w:bottom w:val="single" w:sz="12" w:space="0" w:color="auto"/>
            </w:tcBorders>
            <w:vAlign w:val="center"/>
            <w:hideMark/>
          </w:tcPr>
          <w:p w14:paraId="7451DEDE" w14:textId="77777777" w:rsidR="00083DE2" w:rsidRPr="005E6100" w:rsidRDefault="00083DE2" w:rsidP="005E6100">
            <w:pPr>
              <w:pStyle w:val="ExhibitText"/>
              <w:jc w:val="right"/>
              <w:rPr>
                <w:b/>
              </w:rPr>
            </w:pPr>
            <w:r w:rsidRPr="005E6100">
              <w:rPr>
                <w:b/>
              </w:rPr>
              <w:t>2001</w:t>
            </w:r>
          </w:p>
        </w:tc>
        <w:tc>
          <w:tcPr>
            <w:tcW w:w="1431" w:type="dxa"/>
            <w:tcBorders>
              <w:top w:val="single" w:sz="4" w:space="0" w:color="auto"/>
              <w:bottom w:val="single" w:sz="12" w:space="0" w:color="auto"/>
            </w:tcBorders>
            <w:vAlign w:val="center"/>
            <w:hideMark/>
          </w:tcPr>
          <w:p w14:paraId="03DFDA98" w14:textId="77777777" w:rsidR="00083DE2" w:rsidRPr="005E6100" w:rsidRDefault="00083DE2" w:rsidP="005E6100">
            <w:pPr>
              <w:pStyle w:val="ExhibitText"/>
              <w:jc w:val="right"/>
              <w:rPr>
                <w:b/>
              </w:rPr>
            </w:pPr>
            <w:r w:rsidRPr="005E6100">
              <w:rPr>
                <w:b/>
              </w:rPr>
              <w:t>2002</w:t>
            </w:r>
          </w:p>
        </w:tc>
        <w:tc>
          <w:tcPr>
            <w:tcW w:w="1431" w:type="dxa"/>
            <w:tcBorders>
              <w:top w:val="single" w:sz="4" w:space="0" w:color="auto"/>
              <w:bottom w:val="single" w:sz="12" w:space="0" w:color="auto"/>
            </w:tcBorders>
            <w:vAlign w:val="center"/>
            <w:hideMark/>
          </w:tcPr>
          <w:p w14:paraId="3DD1BB15" w14:textId="77777777" w:rsidR="00083DE2" w:rsidRPr="005E6100" w:rsidRDefault="00083DE2" w:rsidP="005E6100">
            <w:pPr>
              <w:pStyle w:val="ExhibitText"/>
              <w:jc w:val="right"/>
              <w:rPr>
                <w:b/>
              </w:rPr>
            </w:pPr>
            <w:r w:rsidRPr="005E6100">
              <w:rPr>
                <w:b/>
              </w:rPr>
              <w:t>2003</w:t>
            </w:r>
          </w:p>
        </w:tc>
        <w:tc>
          <w:tcPr>
            <w:tcW w:w="1431" w:type="dxa"/>
            <w:tcBorders>
              <w:top w:val="single" w:sz="4" w:space="0" w:color="auto"/>
              <w:bottom w:val="single" w:sz="12" w:space="0" w:color="auto"/>
            </w:tcBorders>
            <w:vAlign w:val="center"/>
            <w:hideMark/>
          </w:tcPr>
          <w:p w14:paraId="3202E182" w14:textId="77777777" w:rsidR="00083DE2" w:rsidRPr="005E6100" w:rsidRDefault="00083DE2" w:rsidP="005E6100">
            <w:pPr>
              <w:pStyle w:val="ExhibitText"/>
              <w:jc w:val="right"/>
              <w:rPr>
                <w:b/>
              </w:rPr>
            </w:pPr>
            <w:r w:rsidRPr="005E6100">
              <w:rPr>
                <w:b/>
              </w:rPr>
              <w:t>2004</w:t>
            </w:r>
          </w:p>
        </w:tc>
      </w:tr>
      <w:tr w:rsidR="00D22CD9" w:rsidRPr="00D22CD9" w14:paraId="46D9C49D" w14:textId="77777777" w:rsidTr="005E6100">
        <w:trPr>
          <w:trHeight w:val="288"/>
          <w:jc w:val="center"/>
        </w:trPr>
        <w:tc>
          <w:tcPr>
            <w:tcW w:w="3626" w:type="dxa"/>
            <w:tcBorders>
              <w:top w:val="single" w:sz="12" w:space="0" w:color="auto"/>
            </w:tcBorders>
            <w:vAlign w:val="center"/>
            <w:hideMark/>
          </w:tcPr>
          <w:p w14:paraId="0222D203" w14:textId="77777777" w:rsidR="00083DE2" w:rsidRPr="00D22CD9" w:rsidRDefault="00083DE2" w:rsidP="005E6100">
            <w:pPr>
              <w:pStyle w:val="ExhibitText"/>
              <w:jc w:val="left"/>
            </w:pPr>
            <w:r w:rsidRPr="00D22CD9">
              <w:t>Revenues</w:t>
            </w:r>
          </w:p>
        </w:tc>
        <w:tc>
          <w:tcPr>
            <w:tcW w:w="1431" w:type="dxa"/>
            <w:tcBorders>
              <w:top w:val="single" w:sz="12" w:space="0" w:color="auto"/>
            </w:tcBorders>
            <w:vAlign w:val="center"/>
            <w:hideMark/>
          </w:tcPr>
          <w:p w14:paraId="0CDF70DE" w14:textId="0897AFCD" w:rsidR="00083DE2" w:rsidRPr="00D22CD9" w:rsidRDefault="00083DE2" w:rsidP="005E6100">
            <w:pPr>
              <w:pStyle w:val="ExhibitText"/>
              <w:jc w:val="right"/>
            </w:pPr>
            <w:r w:rsidRPr="00D22CD9">
              <w:t>172</w:t>
            </w:r>
            <w:r w:rsidR="0003268D">
              <w:t>,</w:t>
            </w:r>
            <w:r w:rsidRPr="00D22CD9">
              <w:t>460</w:t>
            </w:r>
          </w:p>
        </w:tc>
        <w:tc>
          <w:tcPr>
            <w:tcW w:w="1431" w:type="dxa"/>
            <w:tcBorders>
              <w:top w:val="single" w:sz="12" w:space="0" w:color="auto"/>
            </w:tcBorders>
            <w:vAlign w:val="center"/>
            <w:hideMark/>
          </w:tcPr>
          <w:p w14:paraId="72F9BBD4" w14:textId="3E400BFD" w:rsidR="00083DE2" w:rsidRPr="00D22CD9" w:rsidRDefault="00083DE2" w:rsidP="005E6100">
            <w:pPr>
              <w:pStyle w:val="ExhibitText"/>
              <w:jc w:val="right"/>
            </w:pPr>
            <w:r w:rsidRPr="00D22CD9">
              <w:t>231</w:t>
            </w:r>
            <w:r w:rsidR="0003268D">
              <w:t>,</w:t>
            </w:r>
            <w:r w:rsidRPr="00D22CD9">
              <w:t>642</w:t>
            </w:r>
          </w:p>
        </w:tc>
        <w:tc>
          <w:tcPr>
            <w:tcW w:w="1431" w:type="dxa"/>
            <w:tcBorders>
              <w:top w:val="single" w:sz="12" w:space="0" w:color="auto"/>
            </w:tcBorders>
            <w:vAlign w:val="center"/>
            <w:hideMark/>
          </w:tcPr>
          <w:p w14:paraId="71A7BA46" w14:textId="3A18AB72" w:rsidR="00083DE2" w:rsidRPr="00D22CD9" w:rsidRDefault="00083DE2" w:rsidP="005E6100">
            <w:pPr>
              <w:pStyle w:val="ExhibitText"/>
              <w:jc w:val="right"/>
            </w:pPr>
            <w:r w:rsidRPr="00D22CD9">
              <w:t>304</w:t>
            </w:r>
            <w:r w:rsidR="0003268D">
              <w:t>,</w:t>
            </w:r>
            <w:r w:rsidRPr="00D22CD9">
              <w:t>775</w:t>
            </w:r>
          </w:p>
        </w:tc>
        <w:tc>
          <w:tcPr>
            <w:tcW w:w="1431" w:type="dxa"/>
            <w:tcBorders>
              <w:top w:val="single" w:sz="12" w:space="0" w:color="auto"/>
            </w:tcBorders>
            <w:vAlign w:val="center"/>
            <w:hideMark/>
          </w:tcPr>
          <w:p w14:paraId="4AA213AE" w14:textId="5F7619A4" w:rsidR="00083DE2" w:rsidRPr="00D22CD9" w:rsidRDefault="00083DE2" w:rsidP="005E6100">
            <w:pPr>
              <w:pStyle w:val="ExhibitText"/>
              <w:jc w:val="right"/>
            </w:pPr>
            <w:r w:rsidRPr="00D22CD9">
              <w:t>337</w:t>
            </w:r>
            <w:r w:rsidR="0003268D">
              <w:t>,</w:t>
            </w:r>
            <w:r w:rsidRPr="00D22CD9">
              <w:t>728</w:t>
            </w:r>
          </w:p>
        </w:tc>
      </w:tr>
      <w:tr w:rsidR="00D22CD9" w:rsidRPr="00D22CD9" w14:paraId="12E425FF" w14:textId="77777777" w:rsidTr="005E6100">
        <w:trPr>
          <w:trHeight w:val="288"/>
          <w:jc w:val="center"/>
        </w:trPr>
        <w:tc>
          <w:tcPr>
            <w:tcW w:w="3626" w:type="dxa"/>
            <w:vAlign w:val="center"/>
            <w:hideMark/>
          </w:tcPr>
          <w:p w14:paraId="2B58A30A" w14:textId="77777777" w:rsidR="00083DE2" w:rsidRPr="00D22CD9" w:rsidRDefault="00083DE2" w:rsidP="005E6100">
            <w:pPr>
              <w:pStyle w:val="ExhibitText"/>
              <w:jc w:val="left"/>
            </w:pPr>
            <w:r w:rsidRPr="00D22CD9">
              <w:t>Operating income</w:t>
            </w:r>
          </w:p>
        </w:tc>
        <w:tc>
          <w:tcPr>
            <w:tcW w:w="1431" w:type="dxa"/>
            <w:vAlign w:val="center"/>
            <w:hideMark/>
          </w:tcPr>
          <w:p w14:paraId="02736E9C" w14:textId="50C291A0" w:rsidR="00083DE2" w:rsidRPr="00D22CD9" w:rsidRDefault="00083DE2" w:rsidP="005E6100">
            <w:pPr>
              <w:pStyle w:val="ExhibitText"/>
              <w:jc w:val="right"/>
            </w:pPr>
            <w:r w:rsidRPr="00D22CD9">
              <w:t>2</w:t>
            </w:r>
            <w:r w:rsidR="0003268D">
              <w:t>,</w:t>
            </w:r>
            <w:r w:rsidRPr="00D22CD9">
              <w:t>744</w:t>
            </w:r>
          </w:p>
        </w:tc>
        <w:tc>
          <w:tcPr>
            <w:tcW w:w="1431" w:type="dxa"/>
            <w:vAlign w:val="center"/>
            <w:hideMark/>
          </w:tcPr>
          <w:p w14:paraId="2166FE16" w14:textId="53599A4A" w:rsidR="00083DE2" w:rsidRPr="00D22CD9" w:rsidRDefault="00083DE2" w:rsidP="005E6100">
            <w:pPr>
              <w:pStyle w:val="ExhibitText"/>
              <w:jc w:val="right"/>
            </w:pPr>
            <w:r w:rsidRPr="00D22CD9">
              <w:t>9</w:t>
            </w:r>
            <w:r w:rsidR="0003268D">
              <w:t>,</w:t>
            </w:r>
            <w:r w:rsidRPr="00D22CD9">
              <w:t>342</w:t>
            </w:r>
          </w:p>
        </w:tc>
        <w:tc>
          <w:tcPr>
            <w:tcW w:w="1431" w:type="dxa"/>
            <w:vAlign w:val="center"/>
            <w:hideMark/>
          </w:tcPr>
          <w:p w14:paraId="072E5A4E" w14:textId="2F80E9B1" w:rsidR="00083DE2" w:rsidRPr="00D22CD9" w:rsidRDefault="00083DE2" w:rsidP="005E6100">
            <w:pPr>
              <w:pStyle w:val="ExhibitText"/>
              <w:jc w:val="right"/>
            </w:pPr>
            <w:r w:rsidRPr="00D22CD9">
              <w:t>10</w:t>
            </w:r>
            <w:r w:rsidR="0003268D">
              <w:t>,</w:t>
            </w:r>
            <w:r w:rsidRPr="00D22CD9">
              <w:t>854</w:t>
            </w:r>
          </w:p>
        </w:tc>
        <w:tc>
          <w:tcPr>
            <w:tcW w:w="1431" w:type="dxa"/>
            <w:vAlign w:val="center"/>
            <w:hideMark/>
          </w:tcPr>
          <w:p w14:paraId="184B1152" w14:textId="7F91F8D9" w:rsidR="00083DE2" w:rsidRPr="00D22CD9" w:rsidRDefault="00083DE2" w:rsidP="005E6100">
            <w:pPr>
              <w:pStyle w:val="ExhibitText"/>
              <w:jc w:val="right"/>
            </w:pPr>
            <w:r w:rsidRPr="00D22CD9">
              <w:t>26</w:t>
            </w:r>
            <w:r w:rsidR="0003268D">
              <w:t>,</w:t>
            </w:r>
            <w:r w:rsidRPr="00D22CD9">
              <w:t>309</w:t>
            </w:r>
          </w:p>
        </w:tc>
      </w:tr>
      <w:tr w:rsidR="00D22CD9" w:rsidRPr="00D22CD9" w14:paraId="126E09FA" w14:textId="77777777" w:rsidTr="005E6100">
        <w:trPr>
          <w:trHeight w:val="288"/>
          <w:jc w:val="center"/>
        </w:trPr>
        <w:tc>
          <w:tcPr>
            <w:tcW w:w="3626" w:type="dxa"/>
            <w:vAlign w:val="center"/>
            <w:hideMark/>
          </w:tcPr>
          <w:p w14:paraId="55926BBF" w14:textId="1E049CF6" w:rsidR="00083DE2" w:rsidRPr="00D22CD9" w:rsidRDefault="00083DE2" w:rsidP="005E6100">
            <w:pPr>
              <w:pStyle w:val="ExhibitText"/>
              <w:jc w:val="left"/>
            </w:pPr>
            <w:r w:rsidRPr="00D22CD9">
              <w:t>Net income after interest</w:t>
            </w:r>
          </w:p>
        </w:tc>
        <w:tc>
          <w:tcPr>
            <w:tcW w:w="1431" w:type="dxa"/>
            <w:vAlign w:val="center"/>
            <w:hideMark/>
          </w:tcPr>
          <w:p w14:paraId="6D3C5C7F" w14:textId="32065439" w:rsidR="00083DE2" w:rsidRPr="00D22CD9" w:rsidRDefault="00083DE2" w:rsidP="005E6100">
            <w:pPr>
              <w:pStyle w:val="ExhibitText"/>
              <w:jc w:val="right"/>
            </w:pPr>
            <w:r w:rsidRPr="00D22CD9">
              <w:t>(1</w:t>
            </w:r>
            <w:r w:rsidR="0003268D">
              <w:t>,</w:t>
            </w:r>
            <w:r w:rsidRPr="00D22CD9">
              <w:t>103)</w:t>
            </w:r>
          </w:p>
        </w:tc>
        <w:tc>
          <w:tcPr>
            <w:tcW w:w="1431" w:type="dxa"/>
            <w:vAlign w:val="center"/>
            <w:hideMark/>
          </w:tcPr>
          <w:p w14:paraId="3FB5535F" w14:textId="1412F872" w:rsidR="00083DE2" w:rsidRPr="00D22CD9" w:rsidRDefault="00083DE2" w:rsidP="005E6100">
            <w:pPr>
              <w:pStyle w:val="ExhibitText"/>
              <w:jc w:val="right"/>
            </w:pPr>
            <w:r w:rsidRPr="00D22CD9">
              <w:t>8</w:t>
            </w:r>
            <w:r w:rsidR="0003268D">
              <w:t>,</w:t>
            </w:r>
            <w:r w:rsidRPr="00D22CD9">
              <w:t>719</w:t>
            </w:r>
          </w:p>
        </w:tc>
        <w:tc>
          <w:tcPr>
            <w:tcW w:w="1431" w:type="dxa"/>
            <w:vAlign w:val="center"/>
            <w:hideMark/>
          </w:tcPr>
          <w:p w14:paraId="2A4C3842" w14:textId="37D9D3CB" w:rsidR="00083DE2" w:rsidRPr="00D22CD9" w:rsidRDefault="00083DE2" w:rsidP="005E6100">
            <w:pPr>
              <w:pStyle w:val="ExhibitText"/>
              <w:jc w:val="right"/>
            </w:pPr>
            <w:r w:rsidRPr="00D22CD9">
              <w:t>8</w:t>
            </w:r>
            <w:r w:rsidR="0003268D">
              <w:t>,</w:t>
            </w:r>
            <w:r w:rsidRPr="00D22CD9">
              <w:t>727</w:t>
            </w:r>
          </w:p>
        </w:tc>
        <w:tc>
          <w:tcPr>
            <w:tcW w:w="1431" w:type="dxa"/>
            <w:vAlign w:val="center"/>
            <w:hideMark/>
          </w:tcPr>
          <w:p w14:paraId="49170029" w14:textId="3A9ED85B" w:rsidR="00083DE2" w:rsidRPr="00D22CD9" w:rsidRDefault="00083DE2" w:rsidP="005E6100">
            <w:pPr>
              <w:pStyle w:val="ExhibitText"/>
              <w:jc w:val="right"/>
            </w:pPr>
            <w:r w:rsidRPr="00D22CD9">
              <w:t>23</w:t>
            </w:r>
            <w:r w:rsidR="0003268D">
              <w:t>,</w:t>
            </w:r>
            <w:r w:rsidRPr="00D22CD9">
              <w:t>434</w:t>
            </w:r>
          </w:p>
        </w:tc>
      </w:tr>
      <w:tr w:rsidR="00D22CD9" w:rsidRPr="00D22CD9" w14:paraId="1D5E3FC7" w14:textId="77777777" w:rsidTr="005E6100">
        <w:trPr>
          <w:trHeight w:val="288"/>
          <w:jc w:val="center"/>
        </w:trPr>
        <w:tc>
          <w:tcPr>
            <w:tcW w:w="3626" w:type="dxa"/>
            <w:vAlign w:val="center"/>
            <w:hideMark/>
          </w:tcPr>
          <w:p w14:paraId="22817092" w14:textId="7ADEEB14" w:rsidR="00083DE2" w:rsidRPr="00D22CD9" w:rsidRDefault="00083DE2" w:rsidP="005E6100">
            <w:pPr>
              <w:pStyle w:val="ExhibitText"/>
              <w:jc w:val="left"/>
            </w:pPr>
            <w:r w:rsidRPr="00D22CD9">
              <w:t>Net income after interest and taxes</w:t>
            </w:r>
          </w:p>
        </w:tc>
        <w:tc>
          <w:tcPr>
            <w:tcW w:w="1431" w:type="dxa"/>
            <w:vAlign w:val="center"/>
            <w:hideMark/>
          </w:tcPr>
          <w:p w14:paraId="5AC86615" w14:textId="54ED5E2B" w:rsidR="00083DE2" w:rsidRPr="00D22CD9" w:rsidRDefault="00083DE2" w:rsidP="005E6100">
            <w:pPr>
              <w:pStyle w:val="ExhibitText"/>
              <w:jc w:val="right"/>
            </w:pPr>
            <w:r w:rsidRPr="00D22CD9">
              <w:t>(1</w:t>
            </w:r>
            <w:r w:rsidR="0003268D">
              <w:t>,</w:t>
            </w:r>
            <w:r w:rsidRPr="00D22CD9">
              <w:t>128)</w:t>
            </w:r>
          </w:p>
        </w:tc>
        <w:tc>
          <w:tcPr>
            <w:tcW w:w="1431" w:type="dxa"/>
            <w:vAlign w:val="center"/>
            <w:hideMark/>
          </w:tcPr>
          <w:p w14:paraId="550113B0" w14:textId="36D1EB15" w:rsidR="00083DE2" w:rsidRPr="00D22CD9" w:rsidRDefault="00083DE2" w:rsidP="005E6100">
            <w:pPr>
              <w:pStyle w:val="ExhibitText"/>
              <w:jc w:val="right"/>
            </w:pPr>
            <w:r w:rsidRPr="00D22CD9">
              <w:t>4</w:t>
            </w:r>
            <w:r w:rsidR="0003268D">
              <w:t>,</w:t>
            </w:r>
            <w:r w:rsidRPr="00D22CD9">
              <w:t>795</w:t>
            </w:r>
          </w:p>
        </w:tc>
        <w:tc>
          <w:tcPr>
            <w:tcW w:w="1431" w:type="dxa"/>
            <w:vAlign w:val="center"/>
            <w:hideMark/>
          </w:tcPr>
          <w:p w14:paraId="255D1B89" w14:textId="314273DC" w:rsidR="00083DE2" w:rsidRPr="00D22CD9" w:rsidRDefault="00083DE2" w:rsidP="005E6100">
            <w:pPr>
              <w:pStyle w:val="ExhibitText"/>
              <w:jc w:val="right"/>
            </w:pPr>
            <w:r w:rsidRPr="00D22CD9">
              <w:t>6</w:t>
            </w:r>
            <w:r w:rsidR="0003268D">
              <w:t>,</w:t>
            </w:r>
            <w:r w:rsidRPr="00D22CD9">
              <w:t>416</w:t>
            </w:r>
          </w:p>
        </w:tc>
        <w:tc>
          <w:tcPr>
            <w:tcW w:w="1431" w:type="dxa"/>
            <w:vAlign w:val="center"/>
            <w:hideMark/>
          </w:tcPr>
          <w:p w14:paraId="7FF60D04" w14:textId="5D638966" w:rsidR="00083DE2" w:rsidRPr="00D22CD9" w:rsidRDefault="00083DE2" w:rsidP="005E6100">
            <w:pPr>
              <w:pStyle w:val="ExhibitText"/>
              <w:jc w:val="right"/>
            </w:pPr>
            <w:r w:rsidRPr="00D22CD9">
              <w:t>17</w:t>
            </w:r>
            <w:r w:rsidR="0003268D">
              <w:t>,</w:t>
            </w:r>
            <w:r w:rsidRPr="00D22CD9">
              <w:t>705</w:t>
            </w:r>
          </w:p>
        </w:tc>
      </w:tr>
      <w:tr w:rsidR="00D22CD9" w:rsidRPr="00D22CD9" w14:paraId="0CB92087" w14:textId="77777777" w:rsidTr="005E6100">
        <w:trPr>
          <w:trHeight w:val="288"/>
          <w:jc w:val="center"/>
        </w:trPr>
        <w:tc>
          <w:tcPr>
            <w:tcW w:w="3626" w:type="dxa"/>
            <w:vAlign w:val="center"/>
            <w:hideMark/>
          </w:tcPr>
          <w:p w14:paraId="43C1695E" w14:textId="1DDEBF9D" w:rsidR="00083DE2" w:rsidRPr="00D22CD9" w:rsidRDefault="00083DE2" w:rsidP="005E6100">
            <w:pPr>
              <w:pStyle w:val="ExhibitText"/>
              <w:jc w:val="left"/>
            </w:pPr>
            <w:r w:rsidRPr="00F93124">
              <w:t xml:space="preserve">Amortization </w:t>
            </w:r>
          </w:p>
        </w:tc>
        <w:tc>
          <w:tcPr>
            <w:tcW w:w="1431" w:type="dxa"/>
            <w:vAlign w:val="center"/>
            <w:hideMark/>
          </w:tcPr>
          <w:p w14:paraId="6DF41E33" w14:textId="4E9AFD06" w:rsidR="00083DE2" w:rsidRPr="00D22CD9" w:rsidRDefault="00083DE2" w:rsidP="005E6100">
            <w:pPr>
              <w:pStyle w:val="ExhibitText"/>
              <w:jc w:val="right"/>
            </w:pPr>
            <w:r w:rsidRPr="00D22CD9">
              <w:t>1</w:t>
            </w:r>
            <w:r w:rsidR="0003268D">
              <w:t>,</w:t>
            </w:r>
            <w:r w:rsidRPr="00D22CD9">
              <w:t>652</w:t>
            </w:r>
          </w:p>
        </w:tc>
        <w:tc>
          <w:tcPr>
            <w:tcW w:w="1431" w:type="dxa"/>
            <w:vAlign w:val="center"/>
            <w:hideMark/>
          </w:tcPr>
          <w:p w14:paraId="49378FAD" w14:textId="2AE9A965" w:rsidR="00083DE2" w:rsidRPr="00D22CD9" w:rsidRDefault="00083DE2" w:rsidP="005E6100">
            <w:pPr>
              <w:pStyle w:val="ExhibitText"/>
              <w:jc w:val="right"/>
            </w:pPr>
            <w:r w:rsidRPr="00D22CD9">
              <w:t>1</w:t>
            </w:r>
            <w:r w:rsidR="0003268D">
              <w:t>,</w:t>
            </w:r>
            <w:r w:rsidRPr="00D22CD9">
              <w:t>486</w:t>
            </w:r>
          </w:p>
        </w:tc>
        <w:tc>
          <w:tcPr>
            <w:tcW w:w="1431" w:type="dxa"/>
            <w:vAlign w:val="center"/>
            <w:hideMark/>
          </w:tcPr>
          <w:p w14:paraId="738FB124" w14:textId="611455D7" w:rsidR="00083DE2" w:rsidRPr="00D22CD9" w:rsidRDefault="00083DE2" w:rsidP="005E6100">
            <w:pPr>
              <w:pStyle w:val="ExhibitText"/>
              <w:jc w:val="right"/>
            </w:pPr>
            <w:r w:rsidRPr="00D22CD9">
              <w:t>1</w:t>
            </w:r>
            <w:r w:rsidR="0003268D">
              <w:t>,</w:t>
            </w:r>
            <w:r w:rsidRPr="00D22CD9">
              <w:t>994</w:t>
            </w:r>
          </w:p>
        </w:tc>
        <w:tc>
          <w:tcPr>
            <w:tcW w:w="1431" w:type="dxa"/>
            <w:vAlign w:val="center"/>
            <w:hideMark/>
          </w:tcPr>
          <w:p w14:paraId="6A8BB55A" w14:textId="642E0440" w:rsidR="00083DE2" w:rsidRPr="00D22CD9" w:rsidRDefault="00083DE2" w:rsidP="005E6100">
            <w:pPr>
              <w:pStyle w:val="ExhibitText"/>
              <w:jc w:val="right"/>
            </w:pPr>
            <w:r w:rsidRPr="00D22CD9">
              <w:t>2</w:t>
            </w:r>
            <w:r w:rsidR="0003268D">
              <w:t>,</w:t>
            </w:r>
            <w:r w:rsidRPr="00D22CD9">
              <w:t>971</w:t>
            </w:r>
          </w:p>
        </w:tc>
      </w:tr>
      <w:tr w:rsidR="00D22CD9" w:rsidRPr="00D22CD9" w14:paraId="64ECB728" w14:textId="77777777" w:rsidTr="005E6100">
        <w:trPr>
          <w:trHeight w:val="288"/>
          <w:jc w:val="center"/>
        </w:trPr>
        <w:tc>
          <w:tcPr>
            <w:tcW w:w="3626" w:type="dxa"/>
            <w:vAlign w:val="center"/>
            <w:hideMark/>
          </w:tcPr>
          <w:p w14:paraId="3521A4EC" w14:textId="241166C9" w:rsidR="00083DE2" w:rsidRPr="00D22CD9" w:rsidRDefault="00083DE2" w:rsidP="005E6100">
            <w:pPr>
              <w:pStyle w:val="ExhibitText"/>
              <w:jc w:val="left"/>
            </w:pPr>
            <w:r w:rsidRPr="00F93124">
              <w:t>EBIDTA</w:t>
            </w:r>
          </w:p>
        </w:tc>
        <w:tc>
          <w:tcPr>
            <w:tcW w:w="1431" w:type="dxa"/>
            <w:vAlign w:val="center"/>
            <w:hideMark/>
          </w:tcPr>
          <w:p w14:paraId="66C0CF51" w14:textId="546601B6" w:rsidR="00083DE2" w:rsidRPr="00D22CD9" w:rsidRDefault="00083DE2" w:rsidP="005E6100">
            <w:pPr>
              <w:pStyle w:val="ExhibitText"/>
              <w:jc w:val="right"/>
            </w:pPr>
            <w:r w:rsidRPr="00D22CD9">
              <w:t>4</w:t>
            </w:r>
            <w:r w:rsidR="0003268D">
              <w:t>,</w:t>
            </w:r>
            <w:r w:rsidRPr="00D22CD9">
              <w:t>396</w:t>
            </w:r>
          </w:p>
        </w:tc>
        <w:tc>
          <w:tcPr>
            <w:tcW w:w="1431" w:type="dxa"/>
            <w:vAlign w:val="center"/>
            <w:hideMark/>
          </w:tcPr>
          <w:p w14:paraId="0DDE519C" w14:textId="685C839F" w:rsidR="00083DE2" w:rsidRPr="00D22CD9" w:rsidRDefault="00083DE2" w:rsidP="005E6100">
            <w:pPr>
              <w:pStyle w:val="ExhibitText"/>
              <w:jc w:val="right"/>
            </w:pPr>
            <w:r w:rsidRPr="00D22CD9">
              <w:t>12</w:t>
            </w:r>
            <w:r w:rsidR="0003268D">
              <w:t>,</w:t>
            </w:r>
            <w:r w:rsidRPr="00D22CD9">
              <w:t>828</w:t>
            </w:r>
          </w:p>
        </w:tc>
        <w:tc>
          <w:tcPr>
            <w:tcW w:w="1431" w:type="dxa"/>
            <w:vAlign w:val="center"/>
            <w:hideMark/>
          </w:tcPr>
          <w:p w14:paraId="24ED98D4" w14:textId="4032692B" w:rsidR="00083DE2" w:rsidRPr="00D22CD9" w:rsidRDefault="00083DE2" w:rsidP="005E6100">
            <w:pPr>
              <w:pStyle w:val="ExhibitText"/>
              <w:jc w:val="right"/>
            </w:pPr>
            <w:r w:rsidRPr="00D22CD9">
              <w:t>12</w:t>
            </w:r>
            <w:r w:rsidR="0003268D">
              <w:t>,</w:t>
            </w:r>
            <w:r w:rsidRPr="00D22CD9">
              <w:t>848</w:t>
            </w:r>
          </w:p>
        </w:tc>
        <w:tc>
          <w:tcPr>
            <w:tcW w:w="1431" w:type="dxa"/>
            <w:vAlign w:val="center"/>
            <w:hideMark/>
          </w:tcPr>
          <w:p w14:paraId="4A0CB79C" w14:textId="68F95A81" w:rsidR="00083DE2" w:rsidRPr="00D22CD9" w:rsidRDefault="00083DE2" w:rsidP="005E6100">
            <w:pPr>
              <w:pStyle w:val="ExhibitText"/>
              <w:jc w:val="right"/>
            </w:pPr>
            <w:r w:rsidRPr="00D22CD9">
              <w:t>29</w:t>
            </w:r>
            <w:r w:rsidR="0003268D">
              <w:t>,</w:t>
            </w:r>
            <w:r w:rsidRPr="00D22CD9">
              <w:t>280</w:t>
            </w:r>
          </w:p>
        </w:tc>
      </w:tr>
      <w:tr w:rsidR="00D22CD9" w:rsidRPr="00D22CD9" w14:paraId="1F42B570" w14:textId="77777777" w:rsidTr="005E6100">
        <w:trPr>
          <w:trHeight w:val="288"/>
          <w:jc w:val="center"/>
        </w:trPr>
        <w:tc>
          <w:tcPr>
            <w:tcW w:w="3626" w:type="dxa"/>
            <w:vAlign w:val="center"/>
            <w:hideMark/>
          </w:tcPr>
          <w:p w14:paraId="683B716A" w14:textId="307A2F15" w:rsidR="00083DE2" w:rsidRPr="00D22CD9" w:rsidRDefault="00083DE2" w:rsidP="005E6100">
            <w:pPr>
              <w:pStyle w:val="ExhibitText"/>
              <w:jc w:val="left"/>
            </w:pPr>
            <w:r w:rsidRPr="00F93124">
              <w:t>Assets (including intangible assets)</w:t>
            </w:r>
          </w:p>
        </w:tc>
        <w:tc>
          <w:tcPr>
            <w:tcW w:w="1431" w:type="dxa"/>
            <w:vAlign w:val="center"/>
            <w:hideMark/>
          </w:tcPr>
          <w:p w14:paraId="4B7AE153" w14:textId="0F42CB65" w:rsidR="00083DE2" w:rsidRPr="00D22CD9" w:rsidRDefault="00083DE2" w:rsidP="005E6100">
            <w:pPr>
              <w:pStyle w:val="ExhibitText"/>
              <w:jc w:val="right"/>
            </w:pPr>
            <w:r w:rsidRPr="00D22CD9">
              <w:t>54</w:t>
            </w:r>
            <w:r w:rsidR="0003268D">
              <w:t>,</w:t>
            </w:r>
            <w:r w:rsidRPr="00D22CD9">
              <w:t>809</w:t>
            </w:r>
          </w:p>
        </w:tc>
        <w:tc>
          <w:tcPr>
            <w:tcW w:w="1431" w:type="dxa"/>
            <w:vAlign w:val="center"/>
            <w:hideMark/>
          </w:tcPr>
          <w:p w14:paraId="4423039F" w14:textId="4111F66F" w:rsidR="00083DE2" w:rsidRPr="00D22CD9" w:rsidRDefault="00083DE2" w:rsidP="005E6100">
            <w:pPr>
              <w:pStyle w:val="ExhibitText"/>
              <w:jc w:val="right"/>
            </w:pPr>
            <w:r w:rsidRPr="00D22CD9">
              <w:t>106</w:t>
            </w:r>
            <w:r w:rsidR="0003268D">
              <w:t>,</w:t>
            </w:r>
            <w:r w:rsidRPr="00D22CD9">
              <w:t>280</w:t>
            </w:r>
          </w:p>
        </w:tc>
        <w:tc>
          <w:tcPr>
            <w:tcW w:w="1431" w:type="dxa"/>
            <w:vAlign w:val="center"/>
            <w:hideMark/>
          </w:tcPr>
          <w:p w14:paraId="0E4EB5C5" w14:textId="6927C58E" w:rsidR="00083DE2" w:rsidRPr="00D22CD9" w:rsidRDefault="00083DE2" w:rsidP="005E6100">
            <w:pPr>
              <w:pStyle w:val="ExhibitText"/>
              <w:jc w:val="right"/>
            </w:pPr>
            <w:r w:rsidRPr="00D22CD9">
              <w:t>95</w:t>
            </w:r>
            <w:r w:rsidR="0003268D">
              <w:t>,</w:t>
            </w:r>
            <w:r w:rsidRPr="00D22CD9">
              <w:t>306</w:t>
            </w:r>
          </w:p>
        </w:tc>
        <w:tc>
          <w:tcPr>
            <w:tcW w:w="1431" w:type="dxa"/>
            <w:vAlign w:val="center"/>
            <w:hideMark/>
          </w:tcPr>
          <w:p w14:paraId="7C9FF338" w14:textId="35D2D27F" w:rsidR="00083DE2" w:rsidRPr="00D22CD9" w:rsidRDefault="00083DE2" w:rsidP="005E6100">
            <w:pPr>
              <w:pStyle w:val="ExhibitText"/>
              <w:jc w:val="right"/>
            </w:pPr>
            <w:r w:rsidRPr="00D22CD9">
              <w:t>175</w:t>
            </w:r>
            <w:r w:rsidR="0003268D">
              <w:t>,</w:t>
            </w:r>
            <w:r w:rsidRPr="00D22CD9">
              <w:t>995</w:t>
            </w:r>
          </w:p>
        </w:tc>
      </w:tr>
      <w:tr w:rsidR="00D22CD9" w:rsidRPr="00D22CD9" w14:paraId="538CE036" w14:textId="77777777" w:rsidTr="005E6100">
        <w:trPr>
          <w:trHeight w:val="288"/>
          <w:jc w:val="center"/>
        </w:trPr>
        <w:tc>
          <w:tcPr>
            <w:tcW w:w="3626" w:type="dxa"/>
            <w:tcBorders>
              <w:bottom w:val="single" w:sz="4" w:space="0" w:color="auto"/>
            </w:tcBorders>
            <w:vAlign w:val="center"/>
            <w:hideMark/>
          </w:tcPr>
          <w:p w14:paraId="5D375A89" w14:textId="77777777" w:rsidR="00083DE2" w:rsidRPr="00D22CD9" w:rsidRDefault="00083DE2" w:rsidP="005E6100">
            <w:pPr>
              <w:pStyle w:val="ExhibitText"/>
              <w:jc w:val="left"/>
            </w:pPr>
            <w:r w:rsidRPr="00D22CD9">
              <w:t>Equity</w:t>
            </w:r>
          </w:p>
        </w:tc>
        <w:tc>
          <w:tcPr>
            <w:tcW w:w="1431" w:type="dxa"/>
            <w:tcBorders>
              <w:bottom w:val="single" w:sz="4" w:space="0" w:color="auto"/>
            </w:tcBorders>
            <w:vAlign w:val="center"/>
            <w:hideMark/>
          </w:tcPr>
          <w:p w14:paraId="2F99133C" w14:textId="73E219EA" w:rsidR="00083DE2" w:rsidRPr="00D22CD9" w:rsidRDefault="00083DE2" w:rsidP="005E6100">
            <w:pPr>
              <w:pStyle w:val="ExhibitText"/>
              <w:jc w:val="right"/>
            </w:pPr>
            <w:r w:rsidRPr="00D22CD9">
              <w:t>22</w:t>
            </w:r>
            <w:r w:rsidR="0003268D">
              <w:t>,</w:t>
            </w:r>
            <w:r w:rsidRPr="00D22CD9">
              <w:t>790</w:t>
            </w:r>
          </w:p>
        </w:tc>
        <w:tc>
          <w:tcPr>
            <w:tcW w:w="1431" w:type="dxa"/>
            <w:tcBorders>
              <w:bottom w:val="single" w:sz="4" w:space="0" w:color="auto"/>
            </w:tcBorders>
            <w:vAlign w:val="center"/>
            <w:hideMark/>
          </w:tcPr>
          <w:p w14:paraId="1E83B9FE" w14:textId="440926A9" w:rsidR="00083DE2" w:rsidRPr="00D22CD9" w:rsidRDefault="00083DE2" w:rsidP="005E6100">
            <w:pPr>
              <w:pStyle w:val="ExhibitText"/>
              <w:jc w:val="right"/>
            </w:pPr>
            <w:r w:rsidRPr="00D22CD9">
              <w:t>28</w:t>
            </w:r>
            <w:r w:rsidR="0003268D">
              <w:t>,</w:t>
            </w:r>
            <w:r w:rsidRPr="00D22CD9">
              <w:t>585</w:t>
            </w:r>
          </w:p>
        </w:tc>
        <w:tc>
          <w:tcPr>
            <w:tcW w:w="1431" w:type="dxa"/>
            <w:tcBorders>
              <w:bottom w:val="single" w:sz="4" w:space="0" w:color="auto"/>
            </w:tcBorders>
            <w:vAlign w:val="center"/>
            <w:hideMark/>
          </w:tcPr>
          <w:p w14:paraId="3E830CE8" w14:textId="2E1CF697" w:rsidR="00083DE2" w:rsidRPr="00D22CD9" w:rsidRDefault="00083DE2" w:rsidP="005E6100">
            <w:pPr>
              <w:pStyle w:val="ExhibitText"/>
              <w:jc w:val="right"/>
            </w:pPr>
            <w:r w:rsidRPr="00D22CD9">
              <w:t>37</w:t>
            </w:r>
            <w:r w:rsidR="0003268D">
              <w:t>,</w:t>
            </w:r>
            <w:r w:rsidRPr="00D22CD9">
              <w:t>002</w:t>
            </w:r>
          </w:p>
        </w:tc>
        <w:tc>
          <w:tcPr>
            <w:tcW w:w="1431" w:type="dxa"/>
            <w:tcBorders>
              <w:bottom w:val="single" w:sz="4" w:space="0" w:color="auto"/>
            </w:tcBorders>
            <w:vAlign w:val="center"/>
            <w:hideMark/>
          </w:tcPr>
          <w:p w14:paraId="4492ECA2" w14:textId="282CC67D" w:rsidR="00083DE2" w:rsidRPr="00D22CD9" w:rsidRDefault="00083DE2" w:rsidP="005E6100">
            <w:pPr>
              <w:pStyle w:val="ExhibitText"/>
              <w:jc w:val="right"/>
            </w:pPr>
            <w:r w:rsidRPr="00D22CD9">
              <w:t>66</w:t>
            </w:r>
            <w:r w:rsidR="0003268D">
              <w:t>,</w:t>
            </w:r>
            <w:r w:rsidRPr="00D22CD9">
              <w:t>149</w:t>
            </w:r>
          </w:p>
        </w:tc>
      </w:tr>
    </w:tbl>
    <w:p w14:paraId="5E825DE5" w14:textId="77777777" w:rsidR="00D22CD9" w:rsidRDefault="00D22CD9" w:rsidP="00083DE2">
      <w:pPr>
        <w:rPr>
          <w:rFonts w:ascii="Arial" w:hAnsi="Arial" w:cs="Arial"/>
          <w:sz w:val="17"/>
          <w:szCs w:val="17"/>
        </w:rPr>
      </w:pPr>
    </w:p>
    <w:p w14:paraId="44B77903" w14:textId="338ECABE" w:rsidR="00220F2B" w:rsidRDefault="00220F2B" w:rsidP="00F93124">
      <w:pPr>
        <w:pStyle w:val="Footnote"/>
      </w:pPr>
      <w:r>
        <w:t xml:space="preserve">Note: </w:t>
      </w:r>
      <w:proofErr w:type="spellStart"/>
      <w:proofErr w:type="gramStart"/>
      <w:r w:rsidRPr="00220F2B">
        <w:rPr>
          <w:lang w:val="en-US"/>
        </w:rPr>
        <w:t>zł</w:t>
      </w:r>
      <w:proofErr w:type="spellEnd"/>
      <w:proofErr w:type="gramEnd"/>
      <w:r w:rsidRPr="00220F2B">
        <w:rPr>
          <w:lang w:val="en-US"/>
        </w:rPr>
        <w:t xml:space="preserve"> = PLN = Polish </w:t>
      </w:r>
      <w:r w:rsidR="00A5792F">
        <w:rPr>
          <w:lang w:val="en-US"/>
        </w:rPr>
        <w:t>z</w:t>
      </w:r>
      <w:r w:rsidRPr="00220F2B">
        <w:rPr>
          <w:lang w:val="en-US"/>
        </w:rPr>
        <w:t>loty; € = euro; €1 = zł</w:t>
      </w:r>
      <w:r>
        <w:rPr>
          <w:lang w:val="en-US"/>
        </w:rPr>
        <w:t>3.6</w:t>
      </w:r>
      <w:r w:rsidR="0069694A">
        <w:rPr>
          <w:lang w:val="en-US"/>
        </w:rPr>
        <w:t>7</w:t>
      </w:r>
      <w:r>
        <w:rPr>
          <w:lang w:val="en-US"/>
        </w:rPr>
        <w:t xml:space="preserve"> in 2001, </w:t>
      </w:r>
      <w:r w:rsidR="0069694A" w:rsidRPr="0069694A">
        <w:rPr>
          <w:lang w:val="en-US"/>
        </w:rPr>
        <w:t>zł</w:t>
      </w:r>
      <w:r w:rsidR="0069694A">
        <w:rPr>
          <w:lang w:val="en-US"/>
        </w:rPr>
        <w:t xml:space="preserve">3.83 in 2002, </w:t>
      </w:r>
      <w:proofErr w:type="spellStart"/>
      <w:r w:rsidRPr="00220F2B">
        <w:rPr>
          <w:lang w:val="en-US"/>
        </w:rPr>
        <w:t>zł</w:t>
      </w:r>
      <w:proofErr w:type="spellEnd"/>
      <w:r>
        <w:t>4.</w:t>
      </w:r>
      <w:r w:rsidR="0069694A">
        <w:t>39</w:t>
      </w:r>
      <w:r>
        <w:t xml:space="preserve"> i</w:t>
      </w:r>
      <w:r w:rsidRPr="00220F2B">
        <w:t>n 2003</w:t>
      </w:r>
      <w:r>
        <w:t xml:space="preserve">, </w:t>
      </w:r>
      <w:r w:rsidR="0003268D">
        <w:t xml:space="preserve">and </w:t>
      </w:r>
      <w:proofErr w:type="spellStart"/>
      <w:r w:rsidRPr="00220F2B">
        <w:rPr>
          <w:lang w:val="en-US"/>
        </w:rPr>
        <w:t>zł</w:t>
      </w:r>
      <w:proofErr w:type="spellEnd"/>
      <w:r>
        <w:t>4.</w:t>
      </w:r>
      <w:r w:rsidR="0069694A">
        <w:t>50</w:t>
      </w:r>
      <w:r>
        <w:t xml:space="preserve"> i</w:t>
      </w:r>
      <w:r w:rsidRPr="00220F2B">
        <w:t>n 2004</w:t>
      </w:r>
      <w:r w:rsidR="0003268D">
        <w:t xml:space="preserve">; EBIDTA = </w:t>
      </w:r>
      <w:r w:rsidR="0003268D" w:rsidRPr="0003268D">
        <w:rPr>
          <w:lang w:val="en-US"/>
        </w:rPr>
        <w:t>earnings before interest, taxes, depreciation</w:t>
      </w:r>
      <w:r w:rsidR="0003268D">
        <w:rPr>
          <w:lang w:val="en-US"/>
        </w:rPr>
        <w:t>,</w:t>
      </w:r>
      <w:r w:rsidR="0003268D" w:rsidRPr="0003268D">
        <w:rPr>
          <w:lang w:val="en-US"/>
        </w:rPr>
        <w:t xml:space="preserve"> and amortization</w:t>
      </w:r>
      <w:r w:rsidR="0003268D">
        <w:rPr>
          <w:lang w:val="en-US"/>
        </w:rPr>
        <w:t>.</w:t>
      </w:r>
    </w:p>
    <w:p w14:paraId="4A58F1B5" w14:textId="315AAF60" w:rsidR="00083DE2" w:rsidRDefault="00D22CD9" w:rsidP="00F93124">
      <w:pPr>
        <w:pStyle w:val="Footnote"/>
        <w:rPr>
          <w:rFonts w:eastAsiaTheme="minorHAnsi"/>
          <w:i/>
        </w:rPr>
      </w:pPr>
      <w:r w:rsidRPr="00D22CD9">
        <w:t xml:space="preserve">Source: </w:t>
      </w:r>
      <w:proofErr w:type="spellStart"/>
      <w:r w:rsidR="005F5924">
        <w:t>Polmos</w:t>
      </w:r>
      <w:proofErr w:type="spellEnd"/>
      <w:r w:rsidR="005F5924">
        <w:t xml:space="preserve"> Lublin, P</w:t>
      </w:r>
      <w:r w:rsidR="005F5924" w:rsidRPr="003C3C7F">
        <w:t>rospectus</w:t>
      </w:r>
      <w:r w:rsidR="005F5924">
        <w:t>: Initial Public Offering</w:t>
      </w:r>
      <w:r w:rsidR="005F5924" w:rsidRPr="003C3C7F">
        <w:t>, 2004</w:t>
      </w:r>
      <w:r>
        <w:t>.</w:t>
      </w:r>
    </w:p>
    <w:p w14:paraId="13A1EA71" w14:textId="77777777" w:rsidR="00647DF5" w:rsidRDefault="00647DF5" w:rsidP="00F93124">
      <w:pPr>
        <w:pStyle w:val="ExhibitText"/>
      </w:pPr>
    </w:p>
    <w:p w14:paraId="37D627A6" w14:textId="77777777" w:rsidR="00FE3DF5" w:rsidRDefault="00FE3DF5" w:rsidP="00F93124">
      <w:pPr>
        <w:pStyle w:val="ExhibitText"/>
      </w:pPr>
    </w:p>
    <w:p w14:paraId="386B7470" w14:textId="77777777" w:rsidR="00FE3DF5" w:rsidRDefault="00FE3DF5" w:rsidP="00F93124">
      <w:pPr>
        <w:pStyle w:val="ExhibitText"/>
      </w:pPr>
    </w:p>
    <w:p w14:paraId="0D5EB97E" w14:textId="77777777" w:rsidR="00FE3DF5" w:rsidRDefault="00FE3DF5" w:rsidP="00F93124">
      <w:pPr>
        <w:pStyle w:val="ExhibitText"/>
      </w:pPr>
    </w:p>
    <w:p w14:paraId="05FED139" w14:textId="77777777" w:rsidR="00FE3DF5" w:rsidRDefault="00FE3DF5" w:rsidP="00F93124">
      <w:pPr>
        <w:pStyle w:val="ExhibitText"/>
      </w:pPr>
    </w:p>
    <w:p w14:paraId="1BAD1EE6" w14:textId="77777777" w:rsidR="00FE3DF5" w:rsidRDefault="00FE3DF5" w:rsidP="00F93124">
      <w:pPr>
        <w:pStyle w:val="ExhibitText"/>
      </w:pPr>
    </w:p>
    <w:p w14:paraId="5B8710F4" w14:textId="77777777" w:rsidR="00FE3DF5" w:rsidRDefault="00FE3DF5" w:rsidP="00F93124">
      <w:pPr>
        <w:pStyle w:val="ExhibitText"/>
      </w:pPr>
    </w:p>
    <w:p w14:paraId="67A251B5" w14:textId="77777777" w:rsidR="00FE3DF5" w:rsidRDefault="00FE3DF5" w:rsidP="00F93124">
      <w:pPr>
        <w:pStyle w:val="ExhibitText"/>
      </w:pPr>
    </w:p>
    <w:p w14:paraId="3FC654A8" w14:textId="77777777" w:rsidR="00FE3DF5" w:rsidRDefault="00FE3DF5" w:rsidP="00FE3DF5">
      <w:pPr>
        <w:pStyle w:val="ExhibitHeading"/>
        <w:outlineLvl w:val="0"/>
      </w:pPr>
    </w:p>
    <w:p w14:paraId="6E0B9A78" w14:textId="7B633655" w:rsidR="00FE3DF5" w:rsidRPr="001107F5" w:rsidRDefault="00FE3DF5" w:rsidP="00FE3DF5">
      <w:pPr>
        <w:pStyle w:val="ExhibitHeading"/>
        <w:outlineLvl w:val="0"/>
      </w:pPr>
      <w:r w:rsidRPr="001107F5">
        <w:lastRenderedPageBreak/>
        <w:t xml:space="preserve">Exhibit </w:t>
      </w:r>
      <w:r>
        <w:t>4</w:t>
      </w:r>
      <w:r w:rsidRPr="001107F5">
        <w:t>: Typical small alcoholic beverage</w:t>
      </w:r>
      <w:r>
        <w:t>s</w:t>
      </w:r>
      <w:r w:rsidRPr="001107F5">
        <w:t xml:space="preserve"> retail store in Poland </w:t>
      </w:r>
    </w:p>
    <w:p w14:paraId="4E31F0DE" w14:textId="77777777" w:rsidR="00FE3DF5" w:rsidRDefault="00FE3DF5" w:rsidP="00FE3DF5">
      <w:pPr>
        <w:pStyle w:val="ExhibitText"/>
      </w:pPr>
    </w:p>
    <w:p w14:paraId="6CF2577A" w14:textId="77777777" w:rsidR="00FE3DF5" w:rsidRDefault="00FE3DF5" w:rsidP="00FE3DF5">
      <w:pPr>
        <w:pStyle w:val="ExhibitText"/>
        <w:jc w:val="center"/>
      </w:pPr>
      <w:r>
        <w:rPr>
          <w:noProof/>
          <w:lang w:eastAsia="en-GB"/>
        </w:rPr>
        <w:drawing>
          <wp:inline distT="0" distB="0" distL="0" distR="0" wp14:anchorId="5D0CC41D" wp14:editId="4DCC75F5">
            <wp:extent cx="3813810" cy="2854960"/>
            <wp:effectExtent l="0" t="0" r="0" b="2540"/>
            <wp:docPr id="4" name="Picture 4" descr="Macintosh HD:Users:kobloj:Desktop:IMG_258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kobloj:Desktop:IMG_2585.jpg"/>
                    <pic:cNvPicPr>
                      <a:picLocks noChangeAspect="1" noChangeArrowheads="1"/>
                    </pic:cNvPicPr>
                  </pic:nvPicPr>
                  <pic:blipFill>
                    <a:blip r:embed="rId12" cstate="print">
                      <a:grayscl/>
                      <a:extLst>
                        <a:ext uri="{28A0092B-C50C-407E-A947-70E740481C1C}">
                          <a14:useLocalDpi xmlns:a14="http://schemas.microsoft.com/office/drawing/2010/main" val="0"/>
                        </a:ext>
                      </a:extLst>
                    </a:blip>
                    <a:srcRect/>
                    <a:stretch>
                      <a:fillRect/>
                    </a:stretch>
                  </pic:blipFill>
                  <pic:spPr bwMode="auto">
                    <a:xfrm>
                      <a:off x="0" y="0"/>
                      <a:ext cx="3813810" cy="2854960"/>
                    </a:xfrm>
                    <a:prstGeom prst="rect">
                      <a:avLst/>
                    </a:prstGeom>
                    <a:noFill/>
                    <a:ln>
                      <a:noFill/>
                    </a:ln>
                  </pic:spPr>
                </pic:pic>
              </a:graphicData>
            </a:graphic>
          </wp:inline>
        </w:drawing>
      </w:r>
    </w:p>
    <w:p w14:paraId="2812D391" w14:textId="77777777" w:rsidR="00FE3DF5" w:rsidRPr="001107F5" w:rsidRDefault="00FE3DF5" w:rsidP="003661A0">
      <w:pPr>
        <w:pStyle w:val="Footnote"/>
      </w:pPr>
    </w:p>
    <w:p w14:paraId="754B190B" w14:textId="77777777" w:rsidR="00FE3DF5" w:rsidRDefault="00FE3DF5" w:rsidP="00FE3DF5">
      <w:pPr>
        <w:pStyle w:val="Footnote"/>
      </w:pPr>
      <w:r>
        <w:t xml:space="preserve">Source: Case authors’ photograph. </w:t>
      </w:r>
    </w:p>
    <w:p w14:paraId="45ABA0EE" w14:textId="77777777" w:rsidR="00647DF5" w:rsidRDefault="00647DF5" w:rsidP="003661A0">
      <w:pPr>
        <w:pStyle w:val="Footnote"/>
      </w:pPr>
    </w:p>
    <w:p w14:paraId="2DBBD782" w14:textId="77777777" w:rsidR="00FE3DF5" w:rsidRDefault="00FE3DF5" w:rsidP="003661A0">
      <w:pPr>
        <w:pStyle w:val="Footnote"/>
      </w:pPr>
    </w:p>
    <w:p w14:paraId="65020D91" w14:textId="77777777" w:rsidR="00FE3DF5" w:rsidRDefault="00FE3DF5" w:rsidP="00FE3DF5">
      <w:pPr>
        <w:pStyle w:val="ExhibitHeading"/>
        <w:outlineLvl w:val="0"/>
        <w:rPr>
          <w:sz w:val="22"/>
        </w:rPr>
      </w:pPr>
      <w:r>
        <w:t>Exhibit 5: Analysis of Polmos Lublin’s strengths and weaknesses</w:t>
      </w:r>
    </w:p>
    <w:p w14:paraId="1ACF5C5A" w14:textId="77777777" w:rsidR="00FE3DF5" w:rsidRDefault="00FE3DF5" w:rsidP="00FE3DF5">
      <w:pPr>
        <w:pStyle w:val="ExhibitHeading"/>
      </w:pPr>
      <w:r>
        <w:t xml:space="preserve">(as performed by the in-company task force, 2004) </w:t>
      </w:r>
    </w:p>
    <w:p w14:paraId="2016B905" w14:textId="77777777" w:rsidR="00FE3DF5" w:rsidRDefault="00FE3DF5" w:rsidP="00FE3DF5">
      <w:pPr>
        <w:pStyle w:val="ExhibitText"/>
      </w:pPr>
    </w:p>
    <w:tbl>
      <w:tblPr>
        <w:tblStyle w:val="TableGridLight1"/>
        <w:tblW w:w="4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7"/>
        <w:gridCol w:w="1263"/>
        <w:gridCol w:w="1264"/>
        <w:gridCol w:w="1264"/>
      </w:tblGrid>
      <w:tr w:rsidR="00FE3DF5" w14:paraId="5EA94686" w14:textId="77777777" w:rsidTr="007311BA">
        <w:trPr>
          <w:trHeight w:val="288"/>
          <w:jc w:val="center"/>
        </w:trPr>
        <w:tc>
          <w:tcPr>
            <w:tcW w:w="3692" w:type="dxa"/>
            <w:tcBorders>
              <w:top w:val="single" w:sz="4" w:space="0" w:color="auto"/>
            </w:tcBorders>
            <w:vAlign w:val="center"/>
          </w:tcPr>
          <w:p w14:paraId="22C4C3DE" w14:textId="77777777" w:rsidR="00FE3DF5" w:rsidRDefault="00FE3DF5" w:rsidP="007311BA">
            <w:pPr>
              <w:pStyle w:val="ExhibitText"/>
              <w:jc w:val="left"/>
            </w:pPr>
          </w:p>
        </w:tc>
        <w:tc>
          <w:tcPr>
            <w:tcW w:w="3788" w:type="dxa"/>
            <w:gridSpan w:val="3"/>
            <w:tcBorders>
              <w:top w:val="single" w:sz="4" w:space="0" w:color="auto"/>
            </w:tcBorders>
            <w:vAlign w:val="center"/>
          </w:tcPr>
          <w:p w14:paraId="719AE753" w14:textId="77777777" w:rsidR="00FE3DF5" w:rsidRPr="005E6100" w:rsidRDefault="00FE3DF5" w:rsidP="007311BA">
            <w:pPr>
              <w:pStyle w:val="ExhibitText"/>
              <w:jc w:val="center"/>
            </w:pPr>
            <w:r w:rsidRPr="005E6100">
              <w:rPr>
                <w:b/>
              </w:rPr>
              <w:t>STRENGTH LEVEL</w:t>
            </w:r>
          </w:p>
        </w:tc>
      </w:tr>
      <w:tr w:rsidR="00FE3DF5" w14:paraId="79AA8BA0" w14:textId="77777777" w:rsidTr="007311BA">
        <w:trPr>
          <w:trHeight w:val="288"/>
          <w:jc w:val="center"/>
        </w:trPr>
        <w:tc>
          <w:tcPr>
            <w:tcW w:w="3692" w:type="dxa"/>
            <w:tcBorders>
              <w:bottom w:val="single" w:sz="12" w:space="0" w:color="auto"/>
            </w:tcBorders>
            <w:vAlign w:val="center"/>
          </w:tcPr>
          <w:p w14:paraId="1F0367C3" w14:textId="77777777" w:rsidR="00FE3DF5" w:rsidRDefault="00FE3DF5" w:rsidP="007311BA">
            <w:pPr>
              <w:pStyle w:val="ExhibitText"/>
              <w:jc w:val="left"/>
            </w:pPr>
          </w:p>
        </w:tc>
        <w:tc>
          <w:tcPr>
            <w:tcW w:w="1262" w:type="dxa"/>
            <w:tcBorders>
              <w:bottom w:val="single" w:sz="12" w:space="0" w:color="auto"/>
            </w:tcBorders>
            <w:vAlign w:val="center"/>
          </w:tcPr>
          <w:p w14:paraId="60B05896" w14:textId="77777777" w:rsidR="00FE3DF5" w:rsidRDefault="00FE3DF5" w:rsidP="007311BA">
            <w:pPr>
              <w:pStyle w:val="ExhibitText"/>
              <w:jc w:val="center"/>
            </w:pPr>
            <w:r w:rsidRPr="0038034C">
              <w:t>LOW</w:t>
            </w:r>
          </w:p>
        </w:tc>
        <w:tc>
          <w:tcPr>
            <w:tcW w:w="1263" w:type="dxa"/>
            <w:tcBorders>
              <w:bottom w:val="single" w:sz="12" w:space="0" w:color="auto"/>
            </w:tcBorders>
            <w:vAlign w:val="center"/>
          </w:tcPr>
          <w:p w14:paraId="68436DE6" w14:textId="77777777" w:rsidR="00FE3DF5" w:rsidRDefault="00FE3DF5" w:rsidP="007311BA">
            <w:pPr>
              <w:pStyle w:val="ExhibitText"/>
              <w:jc w:val="center"/>
            </w:pPr>
            <w:r w:rsidRPr="0038034C">
              <w:t>MEDIUM</w:t>
            </w:r>
          </w:p>
        </w:tc>
        <w:tc>
          <w:tcPr>
            <w:tcW w:w="1263" w:type="dxa"/>
            <w:tcBorders>
              <w:bottom w:val="single" w:sz="12" w:space="0" w:color="auto"/>
            </w:tcBorders>
            <w:vAlign w:val="center"/>
          </w:tcPr>
          <w:p w14:paraId="7DDBF09C" w14:textId="77777777" w:rsidR="00FE3DF5" w:rsidRDefault="00FE3DF5" w:rsidP="007311BA">
            <w:pPr>
              <w:pStyle w:val="ExhibitText"/>
              <w:jc w:val="center"/>
            </w:pPr>
            <w:r w:rsidRPr="0038034C">
              <w:t>HIGH</w:t>
            </w:r>
          </w:p>
        </w:tc>
      </w:tr>
      <w:tr w:rsidR="00FE3DF5" w14:paraId="58DF7080" w14:textId="77777777" w:rsidTr="007311BA">
        <w:trPr>
          <w:trHeight w:val="288"/>
          <w:jc w:val="center"/>
        </w:trPr>
        <w:tc>
          <w:tcPr>
            <w:tcW w:w="3692" w:type="dxa"/>
            <w:tcBorders>
              <w:top w:val="single" w:sz="12" w:space="0" w:color="auto"/>
            </w:tcBorders>
            <w:vAlign w:val="center"/>
          </w:tcPr>
          <w:p w14:paraId="1EBB7C2D" w14:textId="77777777" w:rsidR="00FE3DF5" w:rsidRDefault="00FE3DF5" w:rsidP="007311BA">
            <w:pPr>
              <w:pStyle w:val="ExhibitText"/>
              <w:jc w:val="left"/>
            </w:pPr>
            <w:r w:rsidRPr="0038034C">
              <w:t>Brand recognition</w:t>
            </w:r>
          </w:p>
        </w:tc>
        <w:tc>
          <w:tcPr>
            <w:tcW w:w="1262" w:type="dxa"/>
            <w:tcBorders>
              <w:top w:val="single" w:sz="12" w:space="0" w:color="auto"/>
            </w:tcBorders>
            <w:vAlign w:val="center"/>
          </w:tcPr>
          <w:p w14:paraId="1997985A" w14:textId="77777777" w:rsidR="00FE3DF5" w:rsidRDefault="00FE3DF5" w:rsidP="007311BA">
            <w:pPr>
              <w:pStyle w:val="ExhibitText"/>
              <w:jc w:val="center"/>
            </w:pPr>
          </w:p>
        </w:tc>
        <w:tc>
          <w:tcPr>
            <w:tcW w:w="1263" w:type="dxa"/>
            <w:tcBorders>
              <w:top w:val="single" w:sz="12" w:space="0" w:color="auto"/>
            </w:tcBorders>
            <w:vAlign w:val="center"/>
          </w:tcPr>
          <w:p w14:paraId="67BC6B8A" w14:textId="77777777" w:rsidR="00FE3DF5" w:rsidRDefault="00FE3DF5" w:rsidP="007311BA">
            <w:pPr>
              <w:pStyle w:val="ExhibitText"/>
              <w:jc w:val="center"/>
            </w:pPr>
          </w:p>
        </w:tc>
        <w:tc>
          <w:tcPr>
            <w:tcW w:w="1263" w:type="dxa"/>
            <w:tcBorders>
              <w:top w:val="single" w:sz="12" w:space="0" w:color="auto"/>
            </w:tcBorders>
            <w:vAlign w:val="center"/>
          </w:tcPr>
          <w:p w14:paraId="42768BD6" w14:textId="77777777" w:rsidR="00FE3DF5" w:rsidRDefault="00FE3DF5" w:rsidP="007311BA">
            <w:pPr>
              <w:pStyle w:val="ExhibitText"/>
              <w:jc w:val="center"/>
            </w:pPr>
            <w:r w:rsidRPr="0038034C">
              <w:t>X</w:t>
            </w:r>
          </w:p>
        </w:tc>
      </w:tr>
      <w:tr w:rsidR="00FE3DF5" w14:paraId="544BB2B4" w14:textId="77777777" w:rsidTr="007311BA">
        <w:trPr>
          <w:trHeight w:val="288"/>
          <w:jc w:val="center"/>
        </w:trPr>
        <w:tc>
          <w:tcPr>
            <w:tcW w:w="3692" w:type="dxa"/>
            <w:vAlign w:val="center"/>
          </w:tcPr>
          <w:p w14:paraId="0EEBBD96" w14:textId="77777777" w:rsidR="00FE3DF5" w:rsidRDefault="00FE3DF5" w:rsidP="007311BA">
            <w:pPr>
              <w:pStyle w:val="ExhibitText"/>
              <w:jc w:val="left"/>
            </w:pPr>
            <w:r w:rsidRPr="0038034C">
              <w:t>Merchandising and distribution support</w:t>
            </w:r>
          </w:p>
        </w:tc>
        <w:tc>
          <w:tcPr>
            <w:tcW w:w="1262" w:type="dxa"/>
            <w:vAlign w:val="center"/>
          </w:tcPr>
          <w:p w14:paraId="04D4EA3A" w14:textId="77777777" w:rsidR="00FE3DF5" w:rsidRDefault="00FE3DF5" w:rsidP="007311BA">
            <w:pPr>
              <w:pStyle w:val="ExhibitText"/>
              <w:jc w:val="center"/>
            </w:pPr>
          </w:p>
        </w:tc>
        <w:tc>
          <w:tcPr>
            <w:tcW w:w="1263" w:type="dxa"/>
            <w:vAlign w:val="center"/>
          </w:tcPr>
          <w:p w14:paraId="772A7887" w14:textId="77777777" w:rsidR="00FE3DF5" w:rsidRDefault="00FE3DF5" w:rsidP="007311BA">
            <w:pPr>
              <w:pStyle w:val="ExhibitText"/>
              <w:jc w:val="center"/>
            </w:pPr>
            <w:r w:rsidRPr="0038034C">
              <w:t>X</w:t>
            </w:r>
          </w:p>
        </w:tc>
        <w:tc>
          <w:tcPr>
            <w:tcW w:w="1263" w:type="dxa"/>
            <w:vAlign w:val="center"/>
          </w:tcPr>
          <w:p w14:paraId="335EBB7E" w14:textId="77777777" w:rsidR="00FE3DF5" w:rsidRDefault="00FE3DF5" w:rsidP="007311BA">
            <w:pPr>
              <w:pStyle w:val="ExhibitText"/>
              <w:jc w:val="center"/>
            </w:pPr>
          </w:p>
        </w:tc>
      </w:tr>
      <w:tr w:rsidR="00FE3DF5" w14:paraId="45D4D823" w14:textId="77777777" w:rsidTr="007311BA">
        <w:trPr>
          <w:trHeight w:val="288"/>
          <w:jc w:val="center"/>
        </w:trPr>
        <w:tc>
          <w:tcPr>
            <w:tcW w:w="3692" w:type="dxa"/>
            <w:vAlign w:val="center"/>
          </w:tcPr>
          <w:p w14:paraId="77138CBD" w14:textId="77777777" w:rsidR="00FE3DF5" w:rsidRDefault="00FE3DF5" w:rsidP="007311BA">
            <w:pPr>
              <w:pStyle w:val="ExhibitText"/>
              <w:jc w:val="left"/>
            </w:pPr>
            <w:r>
              <w:t>Scope of offering</w:t>
            </w:r>
          </w:p>
        </w:tc>
        <w:tc>
          <w:tcPr>
            <w:tcW w:w="1262" w:type="dxa"/>
            <w:vAlign w:val="center"/>
          </w:tcPr>
          <w:p w14:paraId="440B1756" w14:textId="77777777" w:rsidR="00FE3DF5" w:rsidRDefault="00FE3DF5" w:rsidP="007311BA">
            <w:pPr>
              <w:pStyle w:val="ExhibitText"/>
              <w:jc w:val="center"/>
            </w:pPr>
            <w:r w:rsidRPr="0038034C">
              <w:t>X</w:t>
            </w:r>
          </w:p>
        </w:tc>
        <w:tc>
          <w:tcPr>
            <w:tcW w:w="1263" w:type="dxa"/>
            <w:vAlign w:val="center"/>
          </w:tcPr>
          <w:p w14:paraId="788B0EA3" w14:textId="77777777" w:rsidR="00FE3DF5" w:rsidRDefault="00FE3DF5" w:rsidP="007311BA">
            <w:pPr>
              <w:pStyle w:val="ExhibitText"/>
              <w:jc w:val="center"/>
            </w:pPr>
          </w:p>
        </w:tc>
        <w:tc>
          <w:tcPr>
            <w:tcW w:w="1263" w:type="dxa"/>
            <w:vAlign w:val="center"/>
          </w:tcPr>
          <w:p w14:paraId="09BD7F99" w14:textId="77777777" w:rsidR="00FE3DF5" w:rsidRDefault="00FE3DF5" w:rsidP="007311BA">
            <w:pPr>
              <w:pStyle w:val="ExhibitText"/>
              <w:jc w:val="center"/>
            </w:pPr>
          </w:p>
        </w:tc>
      </w:tr>
      <w:tr w:rsidR="00FE3DF5" w14:paraId="1F9085D2" w14:textId="77777777" w:rsidTr="007311BA">
        <w:trPr>
          <w:trHeight w:val="288"/>
          <w:jc w:val="center"/>
        </w:trPr>
        <w:tc>
          <w:tcPr>
            <w:tcW w:w="3692" w:type="dxa"/>
            <w:vAlign w:val="center"/>
          </w:tcPr>
          <w:p w14:paraId="1174A277" w14:textId="77777777" w:rsidR="00FE3DF5" w:rsidRDefault="00FE3DF5" w:rsidP="007311BA">
            <w:pPr>
              <w:pStyle w:val="ExhibitText"/>
              <w:jc w:val="left"/>
            </w:pPr>
            <w:r w:rsidRPr="0038034C">
              <w:t>Numerical distribution</w:t>
            </w:r>
          </w:p>
        </w:tc>
        <w:tc>
          <w:tcPr>
            <w:tcW w:w="1262" w:type="dxa"/>
            <w:vAlign w:val="center"/>
          </w:tcPr>
          <w:p w14:paraId="42896A59" w14:textId="77777777" w:rsidR="00FE3DF5" w:rsidRDefault="00FE3DF5" w:rsidP="007311BA">
            <w:pPr>
              <w:pStyle w:val="ExhibitText"/>
              <w:jc w:val="center"/>
            </w:pPr>
          </w:p>
        </w:tc>
        <w:tc>
          <w:tcPr>
            <w:tcW w:w="1263" w:type="dxa"/>
            <w:vAlign w:val="center"/>
          </w:tcPr>
          <w:p w14:paraId="2CC1BE3C" w14:textId="77777777" w:rsidR="00FE3DF5" w:rsidRDefault="00FE3DF5" w:rsidP="007311BA">
            <w:pPr>
              <w:pStyle w:val="ExhibitText"/>
              <w:jc w:val="center"/>
            </w:pPr>
            <w:r w:rsidRPr="0038034C">
              <w:t>X</w:t>
            </w:r>
          </w:p>
        </w:tc>
        <w:tc>
          <w:tcPr>
            <w:tcW w:w="1263" w:type="dxa"/>
            <w:vAlign w:val="center"/>
          </w:tcPr>
          <w:p w14:paraId="1FABDED6" w14:textId="77777777" w:rsidR="00FE3DF5" w:rsidRDefault="00FE3DF5" w:rsidP="007311BA">
            <w:pPr>
              <w:pStyle w:val="ExhibitText"/>
              <w:jc w:val="center"/>
            </w:pPr>
          </w:p>
        </w:tc>
      </w:tr>
      <w:tr w:rsidR="00FE3DF5" w14:paraId="22AB1FA3" w14:textId="77777777" w:rsidTr="007311BA">
        <w:trPr>
          <w:trHeight w:val="288"/>
          <w:jc w:val="center"/>
        </w:trPr>
        <w:tc>
          <w:tcPr>
            <w:tcW w:w="3692" w:type="dxa"/>
            <w:vAlign w:val="center"/>
          </w:tcPr>
          <w:p w14:paraId="066A871C" w14:textId="77777777" w:rsidR="00FE3DF5" w:rsidRDefault="00FE3DF5" w:rsidP="007311BA">
            <w:pPr>
              <w:pStyle w:val="ExhibitText"/>
              <w:jc w:val="left"/>
            </w:pPr>
            <w:r w:rsidRPr="0038034C">
              <w:t>Weighted distribution</w:t>
            </w:r>
          </w:p>
        </w:tc>
        <w:tc>
          <w:tcPr>
            <w:tcW w:w="1262" w:type="dxa"/>
            <w:vAlign w:val="center"/>
          </w:tcPr>
          <w:p w14:paraId="3FCDEB07" w14:textId="77777777" w:rsidR="00FE3DF5" w:rsidRDefault="00FE3DF5" w:rsidP="007311BA">
            <w:pPr>
              <w:pStyle w:val="ExhibitText"/>
              <w:jc w:val="center"/>
            </w:pPr>
          </w:p>
        </w:tc>
        <w:tc>
          <w:tcPr>
            <w:tcW w:w="1263" w:type="dxa"/>
            <w:vAlign w:val="center"/>
          </w:tcPr>
          <w:p w14:paraId="59BE4BAD" w14:textId="77777777" w:rsidR="00FE3DF5" w:rsidRDefault="00FE3DF5" w:rsidP="007311BA">
            <w:pPr>
              <w:pStyle w:val="ExhibitText"/>
              <w:jc w:val="center"/>
            </w:pPr>
            <w:r w:rsidRPr="0038034C">
              <w:t>X</w:t>
            </w:r>
          </w:p>
        </w:tc>
        <w:tc>
          <w:tcPr>
            <w:tcW w:w="1263" w:type="dxa"/>
            <w:vAlign w:val="center"/>
          </w:tcPr>
          <w:p w14:paraId="746A0768" w14:textId="77777777" w:rsidR="00FE3DF5" w:rsidRDefault="00FE3DF5" w:rsidP="007311BA">
            <w:pPr>
              <w:pStyle w:val="ExhibitText"/>
              <w:jc w:val="center"/>
            </w:pPr>
          </w:p>
        </w:tc>
      </w:tr>
      <w:tr w:rsidR="00FE3DF5" w14:paraId="78BAB15A" w14:textId="77777777" w:rsidTr="007311BA">
        <w:trPr>
          <w:trHeight w:val="288"/>
          <w:jc w:val="center"/>
        </w:trPr>
        <w:tc>
          <w:tcPr>
            <w:tcW w:w="3692" w:type="dxa"/>
            <w:vAlign w:val="center"/>
          </w:tcPr>
          <w:p w14:paraId="19E977A0" w14:textId="77777777" w:rsidR="00FE3DF5" w:rsidRDefault="00FE3DF5" w:rsidP="007311BA">
            <w:pPr>
              <w:pStyle w:val="ExhibitText"/>
              <w:jc w:val="left"/>
            </w:pPr>
            <w:r w:rsidRPr="0038034C">
              <w:t>Quality of product</w:t>
            </w:r>
          </w:p>
        </w:tc>
        <w:tc>
          <w:tcPr>
            <w:tcW w:w="1262" w:type="dxa"/>
            <w:vAlign w:val="center"/>
          </w:tcPr>
          <w:p w14:paraId="2C9EEC93" w14:textId="77777777" w:rsidR="00FE3DF5" w:rsidRDefault="00FE3DF5" w:rsidP="007311BA">
            <w:pPr>
              <w:pStyle w:val="ExhibitText"/>
              <w:jc w:val="center"/>
            </w:pPr>
          </w:p>
        </w:tc>
        <w:tc>
          <w:tcPr>
            <w:tcW w:w="1263" w:type="dxa"/>
            <w:vAlign w:val="center"/>
          </w:tcPr>
          <w:p w14:paraId="67E686C3" w14:textId="77777777" w:rsidR="00FE3DF5" w:rsidRDefault="00FE3DF5" w:rsidP="007311BA">
            <w:pPr>
              <w:pStyle w:val="ExhibitText"/>
              <w:jc w:val="center"/>
            </w:pPr>
            <w:r w:rsidRPr="0038034C">
              <w:t>X</w:t>
            </w:r>
          </w:p>
        </w:tc>
        <w:tc>
          <w:tcPr>
            <w:tcW w:w="1263" w:type="dxa"/>
            <w:vAlign w:val="center"/>
          </w:tcPr>
          <w:p w14:paraId="11CCCBFF" w14:textId="77777777" w:rsidR="00FE3DF5" w:rsidRDefault="00FE3DF5" w:rsidP="007311BA">
            <w:pPr>
              <w:pStyle w:val="ExhibitText"/>
              <w:jc w:val="center"/>
            </w:pPr>
          </w:p>
        </w:tc>
      </w:tr>
      <w:tr w:rsidR="00FE3DF5" w14:paraId="21029090" w14:textId="77777777" w:rsidTr="007311BA">
        <w:trPr>
          <w:trHeight w:val="288"/>
          <w:jc w:val="center"/>
        </w:trPr>
        <w:tc>
          <w:tcPr>
            <w:tcW w:w="3692" w:type="dxa"/>
            <w:vAlign w:val="center"/>
          </w:tcPr>
          <w:p w14:paraId="2D32C0FC" w14:textId="77777777" w:rsidR="00FE3DF5" w:rsidRPr="0038034C" w:rsidRDefault="00FE3DF5" w:rsidP="007311BA">
            <w:pPr>
              <w:pStyle w:val="ExhibitText"/>
              <w:jc w:val="left"/>
            </w:pPr>
            <w:r w:rsidRPr="0038034C">
              <w:t>Production scale</w:t>
            </w:r>
          </w:p>
        </w:tc>
        <w:tc>
          <w:tcPr>
            <w:tcW w:w="1262" w:type="dxa"/>
            <w:vAlign w:val="center"/>
          </w:tcPr>
          <w:p w14:paraId="0F223D9F" w14:textId="77777777" w:rsidR="00FE3DF5" w:rsidRDefault="00FE3DF5" w:rsidP="007311BA">
            <w:pPr>
              <w:pStyle w:val="ExhibitText"/>
              <w:jc w:val="center"/>
            </w:pPr>
            <w:r w:rsidRPr="0038034C">
              <w:t>X</w:t>
            </w:r>
          </w:p>
        </w:tc>
        <w:tc>
          <w:tcPr>
            <w:tcW w:w="1263" w:type="dxa"/>
            <w:vAlign w:val="center"/>
          </w:tcPr>
          <w:p w14:paraId="2FA2A779" w14:textId="77777777" w:rsidR="00FE3DF5" w:rsidRDefault="00FE3DF5" w:rsidP="007311BA">
            <w:pPr>
              <w:pStyle w:val="ExhibitText"/>
              <w:jc w:val="center"/>
            </w:pPr>
          </w:p>
        </w:tc>
        <w:tc>
          <w:tcPr>
            <w:tcW w:w="1263" w:type="dxa"/>
            <w:vAlign w:val="center"/>
          </w:tcPr>
          <w:p w14:paraId="0DFF94F7" w14:textId="77777777" w:rsidR="00FE3DF5" w:rsidRDefault="00FE3DF5" w:rsidP="007311BA">
            <w:pPr>
              <w:pStyle w:val="ExhibitText"/>
              <w:jc w:val="center"/>
            </w:pPr>
          </w:p>
        </w:tc>
      </w:tr>
      <w:tr w:rsidR="00FE3DF5" w14:paraId="688E4130" w14:textId="77777777" w:rsidTr="007311BA">
        <w:trPr>
          <w:trHeight w:val="288"/>
          <w:jc w:val="center"/>
        </w:trPr>
        <w:tc>
          <w:tcPr>
            <w:tcW w:w="3692" w:type="dxa"/>
            <w:vAlign w:val="center"/>
          </w:tcPr>
          <w:p w14:paraId="7A70AD11" w14:textId="77777777" w:rsidR="00FE3DF5" w:rsidRPr="0038034C" w:rsidRDefault="00FE3DF5" w:rsidP="007311BA">
            <w:pPr>
              <w:pStyle w:val="ExhibitText"/>
              <w:jc w:val="left"/>
            </w:pPr>
            <w:r w:rsidRPr="0038034C">
              <w:t>Machinery and installations</w:t>
            </w:r>
          </w:p>
        </w:tc>
        <w:tc>
          <w:tcPr>
            <w:tcW w:w="1262" w:type="dxa"/>
            <w:vAlign w:val="center"/>
          </w:tcPr>
          <w:p w14:paraId="4FAC4D53" w14:textId="77777777" w:rsidR="00FE3DF5" w:rsidRDefault="00FE3DF5" w:rsidP="007311BA">
            <w:pPr>
              <w:pStyle w:val="ExhibitText"/>
              <w:jc w:val="center"/>
            </w:pPr>
            <w:r w:rsidRPr="0038034C">
              <w:t>X</w:t>
            </w:r>
          </w:p>
        </w:tc>
        <w:tc>
          <w:tcPr>
            <w:tcW w:w="1263" w:type="dxa"/>
            <w:vAlign w:val="center"/>
          </w:tcPr>
          <w:p w14:paraId="201F5593" w14:textId="77777777" w:rsidR="00FE3DF5" w:rsidRDefault="00FE3DF5" w:rsidP="007311BA">
            <w:pPr>
              <w:pStyle w:val="ExhibitText"/>
              <w:jc w:val="center"/>
            </w:pPr>
          </w:p>
        </w:tc>
        <w:tc>
          <w:tcPr>
            <w:tcW w:w="1263" w:type="dxa"/>
            <w:vAlign w:val="center"/>
          </w:tcPr>
          <w:p w14:paraId="6D22BBDF" w14:textId="77777777" w:rsidR="00FE3DF5" w:rsidRDefault="00FE3DF5" w:rsidP="007311BA">
            <w:pPr>
              <w:pStyle w:val="ExhibitText"/>
              <w:jc w:val="center"/>
            </w:pPr>
          </w:p>
        </w:tc>
      </w:tr>
      <w:tr w:rsidR="00FE3DF5" w14:paraId="0CFD6A8B" w14:textId="77777777" w:rsidTr="007311BA">
        <w:trPr>
          <w:trHeight w:val="288"/>
          <w:jc w:val="center"/>
        </w:trPr>
        <w:tc>
          <w:tcPr>
            <w:tcW w:w="3692" w:type="dxa"/>
            <w:vAlign w:val="center"/>
          </w:tcPr>
          <w:p w14:paraId="3467ACEC" w14:textId="77777777" w:rsidR="00FE3DF5" w:rsidRPr="0038034C" w:rsidRDefault="00FE3DF5" w:rsidP="007311BA">
            <w:pPr>
              <w:pStyle w:val="ExhibitText"/>
              <w:jc w:val="left"/>
            </w:pPr>
            <w:r w:rsidRPr="0038034C">
              <w:t>Capacity utilization</w:t>
            </w:r>
          </w:p>
        </w:tc>
        <w:tc>
          <w:tcPr>
            <w:tcW w:w="1262" w:type="dxa"/>
            <w:vAlign w:val="center"/>
          </w:tcPr>
          <w:p w14:paraId="0861B573" w14:textId="77777777" w:rsidR="00FE3DF5" w:rsidRDefault="00FE3DF5" w:rsidP="007311BA">
            <w:pPr>
              <w:pStyle w:val="ExhibitText"/>
              <w:jc w:val="center"/>
            </w:pPr>
          </w:p>
        </w:tc>
        <w:tc>
          <w:tcPr>
            <w:tcW w:w="1263" w:type="dxa"/>
            <w:vAlign w:val="center"/>
          </w:tcPr>
          <w:p w14:paraId="277ABCD8" w14:textId="77777777" w:rsidR="00FE3DF5" w:rsidRDefault="00FE3DF5" w:rsidP="007311BA">
            <w:pPr>
              <w:pStyle w:val="ExhibitText"/>
              <w:jc w:val="center"/>
            </w:pPr>
          </w:p>
        </w:tc>
        <w:tc>
          <w:tcPr>
            <w:tcW w:w="1263" w:type="dxa"/>
            <w:vAlign w:val="center"/>
          </w:tcPr>
          <w:p w14:paraId="2AAB698F" w14:textId="77777777" w:rsidR="00FE3DF5" w:rsidRDefault="00FE3DF5" w:rsidP="007311BA">
            <w:pPr>
              <w:pStyle w:val="ExhibitText"/>
              <w:jc w:val="center"/>
            </w:pPr>
            <w:r w:rsidRPr="0038034C">
              <w:t>X</w:t>
            </w:r>
          </w:p>
        </w:tc>
      </w:tr>
      <w:tr w:rsidR="00FE3DF5" w14:paraId="2D7496B6" w14:textId="77777777" w:rsidTr="007311BA">
        <w:trPr>
          <w:trHeight w:val="288"/>
          <w:jc w:val="center"/>
        </w:trPr>
        <w:tc>
          <w:tcPr>
            <w:tcW w:w="3692" w:type="dxa"/>
            <w:vAlign w:val="center"/>
          </w:tcPr>
          <w:p w14:paraId="70ED16EF" w14:textId="77777777" w:rsidR="00FE3DF5" w:rsidRPr="0038034C" w:rsidRDefault="00FE3DF5" w:rsidP="007311BA">
            <w:pPr>
              <w:pStyle w:val="ExhibitText"/>
              <w:jc w:val="left"/>
            </w:pPr>
            <w:r w:rsidRPr="0038034C">
              <w:t>Technology</w:t>
            </w:r>
          </w:p>
        </w:tc>
        <w:tc>
          <w:tcPr>
            <w:tcW w:w="1262" w:type="dxa"/>
            <w:vAlign w:val="center"/>
          </w:tcPr>
          <w:p w14:paraId="5295B0C1" w14:textId="77777777" w:rsidR="00FE3DF5" w:rsidRDefault="00FE3DF5" w:rsidP="007311BA">
            <w:pPr>
              <w:pStyle w:val="ExhibitText"/>
              <w:jc w:val="center"/>
            </w:pPr>
          </w:p>
        </w:tc>
        <w:tc>
          <w:tcPr>
            <w:tcW w:w="1263" w:type="dxa"/>
            <w:vAlign w:val="center"/>
          </w:tcPr>
          <w:p w14:paraId="53AAC589" w14:textId="77777777" w:rsidR="00FE3DF5" w:rsidRDefault="00FE3DF5" w:rsidP="007311BA">
            <w:pPr>
              <w:pStyle w:val="ExhibitText"/>
              <w:jc w:val="center"/>
            </w:pPr>
            <w:r w:rsidRPr="0038034C">
              <w:t>X</w:t>
            </w:r>
          </w:p>
        </w:tc>
        <w:tc>
          <w:tcPr>
            <w:tcW w:w="1263" w:type="dxa"/>
            <w:vAlign w:val="center"/>
          </w:tcPr>
          <w:p w14:paraId="59690869" w14:textId="77777777" w:rsidR="00FE3DF5" w:rsidRDefault="00FE3DF5" w:rsidP="007311BA">
            <w:pPr>
              <w:pStyle w:val="ExhibitText"/>
              <w:jc w:val="center"/>
            </w:pPr>
          </w:p>
        </w:tc>
      </w:tr>
      <w:tr w:rsidR="00FE3DF5" w14:paraId="5E1A5051" w14:textId="77777777" w:rsidTr="007311BA">
        <w:trPr>
          <w:trHeight w:val="288"/>
          <w:jc w:val="center"/>
        </w:trPr>
        <w:tc>
          <w:tcPr>
            <w:tcW w:w="3692" w:type="dxa"/>
            <w:tcBorders>
              <w:bottom w:val="single" w:sz="4" w:space="0" w:color="auto"/>
            </w:tcBorders>
            <w:vAlign w:val="center"/>
          </w:tcPr>
          <w:p w14:paraId="6CC6938A" w14:textId="77777777" w:rsidR="00FE3DF5" w:rsidRPr="0038034C" w:rsidRDefault="00FE3DF5" w:rsidP="007311BA">
            <w:pPr>
              <w:pStyle w:val="ExhibitText"/>
              <w:jc w:val="left"/>
            </w:pPr>
            <w:r w:rsidRPr="0038034C">
              <w:t>Relations with vendors</w:t>
            </w:r>
          </w:p>
        </w:tc>
        <w:tc>
          <w:tcPr>
            <w:tcW w:w="1262" w:type="dxa"/>
            <w:tcBorders>
              <w:bottom w:val="single" w:sz="4" w:space="0" w:color="auto"/>
            </w:tcBorders>
            <w:vAlign w:val="center"/>
          </w:tcPr>
          <w:p w14:paraId="191703A8" w14:textId="77777777" w:rsidR="00FE3DF5" w:rsidRDefault="00FE3DF5" w:rsidP="007311BA">
            <w:pPr>
              <w:pStyle w:val="ExhibitText"/>
              <w:jc w:val="center"/>
            </w:pPr>
          </w:p>
        </w:tc>
        <w:tc>
          <w:tcPr>
            <w:tcW w:w="1263" w:type="dxa"/>
            <w:tcBorders>
              <w:bottom w:val="single" w:sz="4" w:space="0" w:color="auto"/>
            </w:tcBorders>
            <w:vAlign w:val="center"/>
          </w:tcPr>
          <w:p w14:paraId="22F3F483" w14:textId="77777777" w:rsidR="00FE3DF5" w:rsidRDefault="00FE3DF5" w:rsidP="007311BA">
            <w:pPr>
              <w:pStyle w:val="ExhibitText"/>
              <w:jc w:val="center"/>
            </w:pPr>
            <w:r w:rsidRPr="0038034C">
              <w:t>X</w:t>
            </w:r>
          </w:p>
        </w:tc>
        <w:tc>
          <w:tcPr>
            <w:tcW w:w="1263" w:type="dxa"/>
            <w:tcBorders>
              <w:bottom w:val="single" w:sz="4" w:space="0" w:color="auto"/>
            </w:tcBorders>
            <w:vAlign w:val="center"/>
          </w:tcPr>
          <w:p w14:paraId="03F80D13" w14:textId="77777777" w:rsidR="00FE3DF5" w:rsidRDefault="00FE3DF5" w:rsidP="007311BA">
            <w:pPr>
              <w:pStyle w:val="ExhibitText"/>
              <w:jc w:val="center"/>
            </w:pPr>
          </w:p>
        </w:tc>
      </w:tr>
    </w:tbl>
    <w:p w14:paraId="32881908" w14:textId="77777777" w:rsidR="00FE3DF5" w:rsidRPr="00D22CD9" w:rsidRDefault="00FE3DF5" w:rsidP="003661A0">
      <w:pPr>
        <w:pStyle w:val="Footnote"/>
      </w:pPr>
    </w:p>
    <w:p w14:paraId="2A350713" w14:textId="77777777" w:rsidR="00FE3DF5" w:rsidRPr="00D22CD9" w:rsidRDefault="00FE3DF5" w:rsidP="00FE3DF5">
      <w:pPr>
        <w:pStyle w:val="Footnote"/>
      </w:pPr>
      <w:r w:rsidRPr="00D22CD9">
        <w:t xml:space="preserve">Note: </w:t>
      </w:r>
      <w:r w:rsidRPr="00D22CD9">
        <w:rPr>
          <w:i/>
        </w:rPr>
        <w:t>Numerical distribution</w:t>
      </w:r>
      <w:r w:rsidRPr="00D22CD9">
        <w:t xml:space="preserve"> indicates the percentage of all retail outlets that </w:t>
      </w:r>
      <w:r>
        <w:t>sold</w:t>
      </w:r>
      <w:r w:rsidRPr="00D22CD9">
        <w:t xml:space="preserve"> spirits in which the company’s products </w:t>
      </w:r>
      <w:r>
        <w:t>were</w:t>
      </w:r>
      <w:r w:rsidRPr="00D22CD9">
        <w:t xml:space="preserve"> present. </w:t>
      </w:r>
      <w:proofErr w:type="spellStart"/>
      <w:r w:rsidRPr="00D22CD9">
        <w:t>Polmos</w:t>
      </w:r>
      <w:proofErr w:type="spellEnd"/>
      <w:r w:rsidRPr="00D22CD9">
        <w:t xml:space="preserve"> Lublin used </w:t>
      </w:r>
      <w:r w:rsidRPr="00D22CD9">
        <w:rPr>
          <w:i/>
        </w:rPr>
        <w:t>weighted distribution</w:t>
      </w:r>
      <w:r w:rsidRPr="00D22CD9">
        <w:t xml:space="preserve"> as a measure of the distribution reach, weighted by the importance of the particular retail system</w:t>
      </w:r>
      <w:r>
        <w:t xml:space="preserve"> or </w:t>
      </w:r>
      <w:r w:rsidRPr="00D22CD9">
        <w:t>outlet in the total sales of spirits.</w:t>
      </w:r>
      <w:r>
        <w:t xml:space="preserve"> </w:t>
      </w:r>
    </w:p>
    <w:p w14:paraId="4F5D1C19" w14:textId="4B055F7C" w:rsidR="00FE3DF5" w:rsidRPr="00D22CD9" w:rsidRDefault="00FE3DF5" w:rsidP="00FE3DF5">
      <w:pPr>
        <w:pStyle w:val="Footnote"/>
      </w:pPr>
      <w:r w:rsidRPr="00D22CD9">
        <w:t xml:space="preserve">Source: </w:t>
      </w:r>
      <w:r w:rsidR="005455B9">
        <w:t>Company documents</w:t>
      </w:r>
      <w:r>
        <w:t>.</w:t>
      </w:r>
    </w:p>
    <w:p w14:paraId="26E99855" w14:textId="094D73E1" w:rsidR="001107F5" w:rsidRDefault="001107F5" w:rsidP="003661A0">
      <w:pPr>
        <w:pStyle w:val="ExhibitHeading"/>
        <w:outlineLvl w:val="0"/>
      </w:pPr>
      <w:r>
        <w:t xml:space="preserve"> </w:t>
      </w:r>
    </w:p>
    <w:sectPr w:rsidR="001107F5" w:rsidSect="00EB5410">
      <w:headerReference w:type="default" r:id="rId13"/>
      <w:endnotePr>
        <w:numFmt w:val="decimal"/>
      </w:endnotePr>
      <w:pgSz w:w="12240" w:h="15840"/>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6B98A8" w14:textId="77777777" w:rsidR="006A23C0" w:rsidRDefault="006A23C0" w:rsidP="00D75295">
      <w:r>
        <w:separator/>
      </w:r>
    </w:p>
  </w:endnote>
  <w:endnote w:type="continuationSeparator" w:id="0">
    <w:p w14:paraId="3B04DDA4" w14:textId="77777777" w:rsidR="006A23C0" w:rsidRDefault="006A23C0"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2C206A" w14:textId="77777777" w:rsidR="006A23C0" w:rsidRDefault="006A23C0" w:rsidP="00D75295">
      <w:r>
        <w:separator/>
      </w:r>
    </w:p>
  </w:footnote>
  <w:footnote w:type="continuationSeparator" w:id="0">
    <w:p w14:paraId="58022521" w14:textId="77777777" w:rsidR="006A23C0" w:rsidRDefault="006A23C0" w:rsidP="00D75295">
      <w:r>
        <w:continuationSeparator/>
      </w:r>
    </w:p>
  </w:footnote>
  <w:footnote w:id="1">
    <w:p w14:paraId="24298E6C" w14:textId="31A1196F" w:rsidR="007311BA" w:rsidRPr="00FC65EF" w:rsidRDefault="007311BA" w:rsidP="00F93124">
      <w:pPr>
        <w:pStyle w:val="Footnote"/>
        <w:rPr>
          <w:spacing w:val="-2"/>
          <w:kern w:val="17"/>
        </w:rPr>
      </w:pPr>
      <w:r w:rsidRPr="00FC65EF">
        <w:rPr>
          <w:rStyle w:val="FootnoteReference"/>
          <w:spacing w:val="-2"/>
          <w:kern w:val="17"/>
        </w:rPr>
        <w:footnoteRef/>
      </w:r>
      <w:r w:rsidRPr="00FC65EF">
        <w:rPr>
          <w:spacing w:val="-2"/>
          <w:kern w:val="17"/>
        </w:rPr>
        <w:t xml:space="preserve"> Companies in Poland typically had a dual structure of governance: a supervisory board, chosen by the company’s stockholders to govern the company and hire and supervise the executive directors, and an executive or management board, composed of the hired executive directors (including the company director or chief executive officer), responsible for delivering the strategic plan and managing operational issues. Alcoholic beverages—beer, wine, cider, and liquor—were made by fermenting grain, fruit, or vegetables. </w:t>
      </w:r>
      <w:r w:rsidRPr="00FC65EF">
        <w:rPr>
          <w:i/>
          <w:spacing w:val="-2"/>
          <w:kern w:val="17"/>
        </w:rPr>
        <w:t>Liquor</w:t>
      </w:r>
      <w:r w:rsidRPr="00FC65EF">
        <w:rPr>
          <w:spacing w:val="-2"/>
          <w:kern w:val="17"/>
        </w:rPr>
        <w:t xml:space="preserve">, also referred to as </w:t>
      </w:r>
      <w:r w:rsidRPr="00FC65EF">
        <w:rPr>
          <w:i/>
          <w:spacing w:val="-2"/>
          <w:kern w:val="17"/>
        </w:rPr>
        <w:t>spirits</w:t>
      </w:r>
      <w:r w:rsidRPr="00FC65EF">
        <w:rPr>
          <w:spacing w:val="-2"/>
          <w:kern w:val="17"/>
        </w:rPr>
        <w:t>, was an alcoholic beverage that had been distilled—a process following fermentation to remove diluting components such as water to increase the proportion of alcohol in the beverage.</w:t>
      </w:r>
    </w:p>
  </w:footnote>
  <w:footnote w:id="2">
    <w:p w14:paraId="5F314624" w14:textId="7CC4BCE5" w:rsidR="007311BA" w:rsidRPr="00EE5352" w:rsidRDefault="007311BA">
      <w:pPr>
        <w:pStyle w:val="FootnoteText"/>
        <w:rPr>
          <w:lang w:val="en-US"/>
        </w:rPr>
      </w:pPr>
      <w:r>
        <w:rPr>
          <w:rStyle w:val="FootnoteReference"/>
        </w:rPr>
        <w:footnoteRef/>
      </w:r>
      <w:r>
        <w:t xml:space="preserve"> </w:t>
      </w:r>
      <w:r w:rsidRPr="00EE5352">
        <w:rPr>
          <w:rStyle w:val="FootnoteChar"/>
        </w:rPr>
        <w:t>The direct translation from the Polish version of the brand (</w:t>
      </w:r>
      <w:proofErr w:type="spellStart"/>
      <w:r w:rsidRPr="00EE5352">
        <w:rPr>
          <w:rStyle w:val="FootnoteChar"/>
        </w:rPr>
        <w:t>Żołądkowa</w:t>
      </w:r>
      <w:proofErr w:type="spellEnd"/>
      <w:r w:rsidRPr="00EE5352">
        <w:rPr>
          <w:rStyle w:val="FootnoteChar"/>
        </w:rPr>
        <w:t xml:space="preserve"> </w:t>
      </w:r>
      <w:proofErr w:type="spellStart"/>
      <w:r w:rsidRPr="00EE5352">
        <w:rPr>
          <w:rStyle w:val="FootnoteChar"/>
        </w:rPr>
        <w:t>Gorzka</w:t>
      </w:r>
      <w:proofErr w:type="spellEnd"/>
      <w:r w:rsidRPr="00EE5352">
        <w:rPr>
          <w:rStyle w:val="FootnoteChar"/>
        </w:rPr>
        <w:t xml:space="preserve">) would be Stomach </w:t>
      </w:r>
      <w:proofErr w:type="gramStart"/>
      <w:r w:rsidRPr="00EE5352">
        <w:rPr>
          <w:rStyle w:val="FootnoteChar"/>
        </w:rPr>
        <w:t>Bitter</w:t>
      </w:r>
      <w:proofErr w:type="gramEnd"/>
      <w:r w:rsidRPr="00EE5352">
        <w:rPr>
          <w:rStyle w:val="FootnoteChar"/>
        </w:rPr>
        <w:t>— a name without much literal sense in English or Polish. Throughout the case we use Bitter to denote this brand.</w:t>
      </w:r>
    </w:p>
  </w:footnote>
  <w:footnote w:id="3">
    <w:p w14:paraId="69499B1A" w14:textId="77777777" w:rsidR="007311BA" w:rsidRDefault="007311BA" w:rsidP="00F93124">
      <w:pPr>
        <w:pStyle w:val="Footnote"/>
      </w:pPr>
      <w:r>
        <w:rPr>
          <w:rStyle w:val="FootnoteReference"/>
        </w:rPr>
        <w:footnoteRef/>
      </w:r>
      <w:r>
        <w:t xml:space="preserve"> </w:t>
      </w:r>
      <w:r w:rsidRPr="00457211">
        <w:t xml:space="preserve">All </w:t>
      </w:r>
      <w:r>
        <w:t>dollar</w:t>
      </w:r>
      <w:r w:rsidDel="00933797">
        <w:t xml:space="preserve"> amounts</w:t>
      </w:r>
      <w:r w:rsidRPr="00457211" w:rsidDel="00933797">
        <w:t xml:space="preserve"> </w:t>
      </w:r>
      <w:r w:rsidRPr="00457211">
        <w:t>are in US</w:t>
      </w:r>
      <w:r>
        <w:t xml:space="preserve">$ </w:t>
      </w:r>
      <w:r w:rsidRPr="00457211">
        <w:t>unless ot</w:t>
      </w:r>
      <w:r>
        <w:t xml:space="preserve">herwise </w:t>
      </w:r>
      <w:r w:rsidDel="00933797">
        <w:t>specified</w:t>
      </w:r>
      <w:r>
        <w:t>.</w:t>
      </w:r>
    </w:p>
  </w:footnote>
  <w:footnote w:id="4">
    <w:p w14:paraId="47D0146E" w14:textId="1D86BE4F" w:rsidR="007311BA" w:rsidRPr="00501B52" w:rsidRDefault="007311BA" w:rsidP="00F93124">
      <w:pPr>
        <w:pStyle w:val="Footnote"/>
      </w:pPr>
      <w:r w:rsidRPr="00501B52">
        <w:rPr>
          <w:rStyle w:val="FootnoteReference"/>
        </w:rPr>
        <w:footnoteRef/>
      </w:r>
      <w:r w:rsidRPr="00501B52">
        <w:t xml:space="preserve"> At the time discussed in the case, beer was the largest </w:t>
      </w:r>
      <w:r>
        <w:t xml:space="preserve">component of the </w:t>
      </w:r>
      <w:r w:rsidRPr="00501B52">
        <w:t>alcoholic beverages market in terms of value (app</w:t>
      </w:r>
      <w:r>
        <w:t>roximately</w:t>
      </w:r>
      <w:r w:rsidRPr="00501B52">
        <w:t xml:space="preserve"> 50</w:t>
      </w:r>
      <w:r>
        <w:t xml:space="preserve"> per cent</w:t>
      </w:r>
      <w:r w:rsidRPr="00501B52">
        <w:t xml:space="preserve">), then </w:t>
      </w:r>
      <w:r>
        <w:t>liquors</w:t>
      </w:r>
      <w:r w:rsidRPr="00501B52">
        <w:t xml:space="preserve"> (app</w:t>
      </w:r>
      <w:r>
        <w:t xml:space="preserve">roximately </w:t>
      </w:r>
      <w:r w:rsidRPr="00501B52">
        <w:t>42</w:t>
      </w:r>
      <w:r>
        <w:t xml:space="preserve"> per cent</w:t>
      </w:r>
      <w:r w:rsidRPr="00501B52">
        <w:t>)</w:t>
      </w:r>
      <w:r>
        <w:t xml:space="preserve">, </w:t>
      </w:r>
      <w:r w:rsidRPr="00501B52">
        <w:t xml:space="preserve">and </w:t>
      </w:r>
      <w:r>
        <w:t xml:space="preserve">finally </w:t>
      </w:r>
      <w:r w:rsidRPr="00501B52">
        <w:t>wines (app</w:t>
      </w:r>
      <w:r>
        <w:t xml:space="preserve">roximately </w:t>
      </w:r>
      <w:r w:rsidRPr="00501B52">
        <w:t>8</w:t>
      </w:r>
      <w:r>
        <w:t xml:space="preserve"> per cent</w:t>
      </w:r>
      <w:r w:rsidRPr="00501B52">
        <w:t>)</w:t>
      </w:r>
      <w:r>
        <w:t xml:space="preserve">. There were different producers </w:t>
      </w:r>
      <w:r w:rsidRPr="00501B52">
        <w:t xml:space="preserve">in each segment and some overlap in distribution of </w:t>
      </w:r>
      <w:r>
        <w:t>liquors</w:t>
      </w:r>
      <w:r w:rsidRPr="00501B52">
        <w:t xml:space="preserve"> and wines. </w:t>
      </w:r>
      <w:proofErr w:type="spellStart"/>
      <w:r>
        <w:t>Polmos</w:t>
      </w:r>
      <w:proofErr w:type="spellEnd"/>
      <w:r>
        <w:t xml:space="preserve"> Lublin </w:t>
      </w:r>
      <w:r w:rsidRPr="00501B52">
        <w:t>operated almost solely in the</w:t>
      </w:r>
      <w:r>
        <w:t xml:space="preserve"> liquor segment of the market.</w:t>
      </w:r>
    </w:p>
  </w:footnote>
  <w:footnote w:id="5">
    <w:p w14:paraId="1B29E1B7" w14:textId="60F24326" w:rsidR="007311BA" w:rsidRPr="00EE5352" w:rsidRDefault="007311BA" w:rsidP="007B75F7">
      <w:pPr>
        <w:pStyle w:val="Footnote"/>
        <w:rPr>
          <w:lang w:val="en-US"/>
        </w:rPr>
      </w:pPr>
      <w:r>
        <w:rPr>
          <w:rStyle w:val="FootnoteReference"/>
        </w:rPr>
        <w:footnoteRef/>
      </w:r>
      <w:r w:rsidRPr="00EE5352">
        <w:rPr>
          <w:lang w:val="en-US"/>
        </w:rPr>
        <w:t xml:space="preserve"> </w:t>
      </w:r>
      <w:proofErr w:type="spellStart"/>
      <w:r w:rsidRPr="00EE5352">
        <w:rPr>
          <w:lang w:val="en-US"/>
        </w:rPr>
        <w:t>Polmos</w:t>
      </w:r>
      <w:proofErr w:type="spellEnd"/>
      <w:r w:rsidRPr="00EE5352">
        <w:rPr>
          <w:lang w:val="en-US"/>
        </w:rPr>
        <w:t xml:space="preserve"> Lublin </w:t>
      </w:r>
      <w:r>
        <w:rPr>
          <w:lang w:val="en-US"/>
        </w:rPr>
        <w:t>P</w:t>
      </w:r>
      <w:r w:rsidRPr="00EE5352">
        <w:rPr>
          <w:lang w:val="en-US"/>
        </w:rPr>
        <w:t>rospectus, War</w:t>
      </w:r>
      <w:r>
        <w:rPr>
          <w:lang w:val="en-US"/>
        </w:rPr>
        <w:t>saw</w:t>
      </w:r>
      <w:r w:rsidRPr="00EE5352">
        <w:rPr>
          <w:lang w:val="en-US"/>
        </w:rPr>
        <w:t xml:space="preserve"> 2004, ch.5</w:t>
      </w:r>
      <w:r>
        <w:rPr>
          <w:lang w:val="en-US"/>
        </w:rPr>
        <w:t>. The prospectus was approved by</w:t>
      </w:r>
      <w:r w:rsidRPr="00EF5D64">
        <w:t xml:space="preserve"> </w:t>
      </w:r>
      <w:r w:rsidRPr="00EF5D64">
        <w:rPr>
          <w:lang w:val="en-US"/>
        </w:rPr>
        <w:t>PFSA (Polish Financial Supervision Authority)</w:t>
      </w:r>
      <w:r>
        <w:rPr>
          <w:lang w:val="en-US"/>
        </w:rPr>
        <w:t xml:space="preserve"> before the initial public offering.</w:t>
      </w:r>
    </w:p>
  </w:footnote>
  <w:footnote w:id="6">
    <w:p w14:paraId="642E8478" w14:textId="2848602D" w:rsidR="007311BA" w:rsidRDefault="007311BA" w:rsidP="00F93124">
      <w:pPr>
        <w:pStyle w:val="Footnote"/>
      </w:pPr>
      <w:r>
        <w:rPr>
          <w:rStyle w:val="FootnoteReference"/>
        </w:rPr>
        <w:footnoteRef/>
      </w:r>
      <w:r>
        <w:t xml:space="preserve"> </w:t>
      </w:r>
      <w:proofErr w:type="spellStart"/>
      <w:r>
        <w:t>HoReCa</w:t>
      </w:r>
      <w:proofErr w:type="spellEnd"/>
      <w:r>
        <w:t xml:space="preserve"> referred to the International Union of National Associations of Hotel, Restaurant, and Café Keepers; </w:t>
      </w:r>
      <w:proofErr w:type="spellStart"/>
      <w:r w:rsidRPr="00F93124">
        <w:rPr>
          <w:i/>
        </w:rPr>
        <w:t>horecas</w:t>
      </w:r>
      <w:proofErr w:type="spellEnd"/>
      <w:r>
        <w:t xml:space="preserve"> were establishments that prepared and served food and beverages.</w:t>
      </w:r>
    </w:p>
  </w:footnote>
  <w:footnote w:id="7">
    <w:p w14:paraId="158049A3" w14:textId="5C97AB08" w:rsidR="007311BA" w:rsidRPr="002137B3" w:rsidRDefault="007311BA" w:rsidP="00F93124">
      <w:pPr>
        <w:pStyle w:val="Footnote"/>
        <w:rPr>
          <w:lang w:val="pl-PL"/>
        </w:rPr>
      </w:pPr>
      <w:r>
        <w:rPr>
          <w:rStyle w:val="FootnoteReference"/>
        </w:rPr>
        <w:footnoteRef/>
      </w:r>
      <w:r w:rsidRPr="002137B3">
        <w:rPr>
          <w:lang w:val="pl-PL"/>
        </w:rPr>
        <w:t xml:space="preserve"> </w:t>
      </w:r>
      <w:r w:rsidRPr="002137B3">
        <w:rPr>
          <w:lang w:val="pl-PL"/>
        </w:rPr>
        <w:t xml:space="preserve">zł = PLN = Polish </w:t>
      </w:r>
      <w:r>
        <w:rPr>
          <w:lang w:val="pl-PL"/>
        </w:rPr>
        <w:t>z</w:t>
      </w:r>
      <w:r w:rsidRPr="002137B3">
        <w:rPr>
          <w:lang w:val="pl-PL"/>
        </w:rPr>
        <w:t xml:space="preserve">loty; € = euro; </w:t>
      </w:r>
      <w:r>
        <w:rPr>
          <w:lang w:val="pl-PL"/>
        </w:rPr>
        <w:t>US$</w:t>
      </w:r>
      <w:r w:rsidRPr="002137B3">
        <w:rPr>
          <w:lang w:val="pl-PL"/>
        </w:rPr>
        <w:t>1 = zł</w:t>
      </w:r>
      <w:r>
        <w:rPr>
          <w:lang w:val="pl-PL"/>
        </w:rPr>
        <w:t>3.7617</w:t>
      </w:r>
      <w:r w:rsidRPr="002137B3">
        <w:rPr>
          <w:lang w:val="pl-PL"/>
        </w:rPr>
        <w:t xml:space="preserve"> on June 30, 2015.</w:t>
      </w:r>
    </w:p>
  </w:footnote>
  <w:footnote w:id="8">
    <w:p w14:paraId="5F0CD253" w14:textId="7C0C20B9" w:rsidR="007311BA" w:rsidRPr="003661A0" w:rsidRDefault="007311BA" w:rsidP="003661A0">
      <w:pPr>
        <w:pStyle w:val="Footnote"/>
        <w:rPr>
          <w:lang w:val="en-CA"/>
        </w:rPr>
      </w:pPr>
      <w:r>
        <w:rPr>
          <w:rStyle w:val="FootnoteReference"/>
        </w:rPr>
        <w:footnoteRef/>
      </w:r>
      <w:r>
        <w:t xml:space="preserve"> US$1 = </w:t>
      </w:r>
      <w:r w:rsidRPr="002137B3">
        <w:rPr>
          <w:lang w:val="pl-PL"/>
        </w:rPr>
        <w:t>€</w:t>
      </w:r>
      <w:r>
        <w:rPr>
          <w:lang w:val="pl-PL"/>
        </w:rPr>
        <w:t>0.8984 on June 30, 2015.</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9A534D" w14:textId="57AEA12C" w:rsidR="007311BA" w:rsidRDefault="007311BA"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FC65EF">
      <w:rPr>
        <w:rFonts w:ascii="Arial" w:hAnsi="Arial"/>
        <w:b/>
        <w:noProof/>
      </w:rPr>
      <w:t>2</w:t>
    </w:r>
    <w:r>
      <w:rPr>
        <w:rFonts w:ascii="Arial" w:hAnsi="Arial"/>
        <w:b/>
      </w:rPr>
      <w:fldChar w:fldCharType="end"/>
    </w:r>
    <w:r>
      <w:rPr>
        <w:rFonts w:ascii="Arial" w:hAnsi="Arial"/>
        <w:b/>
      </w:rPr>
      <w:tab/>
      <w:t>9B17M</w:t>
    </w:r>
    <w:r w:rsidR="000E5519">
      <w:rPr>
        <w:rFonts w:ascii="Arial" w:hAnsi="Arial"/>
        <w:b/>
      </w:rPr>
      <w:t>103</w:t>
    </w:r>
  </w:p>
  <w:p w14:paraId="217A7576" w14:textId="77777777" w:rsidR="007311BA" w:rsidRPr="00C92CC4" w:rsidRDefault="007311BA">
    <w:pPr>
      <w:pStyle w:val="Header"/>
      <w:rPr>
        <w:sz w:val="18"/>
        <w:szCs w:val="18"/>
      </w:rPr>
    </w:pPr>
  </w:p>
  <w:p w14:paraId="71F8E417" w14:textId="77777777" w:rsidR="007311BA" w:rsidRPr="00C92CC4" w:rsidRDefault="007311BA">
    <w:pPr>
      <w:pStyle w:val="Header"/>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5728F8D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188D8C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091E340C"/>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3224D98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4B042D1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8E5CD83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97818E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C090DD5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1DBAAD6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65A00B4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F736580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8A854F3"/>
    <w:multiLevelType w:val="multilevel"/>
    <w:tmpl w:val="FBE05C4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D360E77"/>
    <w:multiLevelType w:val="hybridMultilevel"/>
    <w:tmpl w:val="C9BCA6AC"/>
    <w:lvl w:ilvl="0" w:tplc="17BE2BEA">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E5D439B"/>
    <w:multiLevelType w:val="hybridMultilevel"/>
    <w:tmpl w:val="96E448CA"/>
    <w:lvl w:ilvl="0" w:tplc="17BE2BEA">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2365A16"/>
    <w:multiLevelType w:val="hybridMultilevel"/>
    <w:tmpl w:val="F190A33C"/>
    <w:lvl w:ilvl="0" w:tplc="64C451FE">
      <w:start w:val="1"/>
      <w:numFmt w:val="bullet"/>
      <w:lvlText w:val="•"/>
      <w:lvlJc w:val="left"/>
      <w:pPr>
        <w:tabs>
          <w:tab w:val="num" w:pos="720"/>
        </w:tabs>
        <w:ind w:left="720" w:hanging="360"/>
      </w:pPr>
      <w:rPr>
        <w:rFonts w:ascii="Arial" w:hAnsi="Arial" w:cs="Times New Roman" w:hint="default"/>
      </w:rPr>
    </w:lvl>
    <w:lvl w:ilvl="1" w:tplc="D24AF36E">
      <w:start w:val="1"/>
      <w:numFmt w:val="bullet"/>
      <w:lvlText w:val="•"/>
      <w:lvlJc w:val="left"/>
      <w:pPr>
        <w:tabs>
          <w:tab w:val="num" w:pos="1440"/>
        </w:tabs>
        <w:ind w:left="1440" w:hanging="360"/>
      </w:pPr>
      <w:rPr>
        <w:rFonts w:ascii="Arial" w:hAnsi="Arial" w:cs="Times New Roman" w:hint="default"/>
      </w:rPr>
    </w:lvl>
    <w:lvl w:ilvl="2" w:tplc="6DA6E23C">
      <w:start w:val="1"/>
      <w:numFmt w:val="bullet"/>
      <w:lvlText w:val="•"/>
      <w:lvlJc w:val="left"/>
      <w:pPr>
        <w:tabs>
          <w:tab w:val="num" w:pos="2160"/>
        </w:tabs>
        <w:ind w:left="2160" w:hanging="360"/>
      </w:pPr>
      <w:rPr>
        <w:rFonts w:ascii="Arial" w:hAnsi="Arial" w:cs="Times New Roman" w:hint="default"/>
      </w:rPr>
    </w:lvl>
    <w:lvl w:ilvl="3" w:tplc="9622FF42">
      <w:start w:val="1"/>
      <w:numFmt w:val="bullet"/>
      <w:lvlText w:val="•"/>
      <w:lvlJc w:val="left"/>
      <w:pPr>
        <w:tabs>
          <w:tab w:val="num" w:pos="2880"/>
        </w:tabs>
        <w:ind w:left="2880" w:hanging="360"/>
      </w:pPr>
      <w:rPr>
        <w:rFonts w:ascii="Arial" w:hAnsi="Arial" w:cs="Times New Roman" w:hint="default"/>
      </w:rPr>
    </w:lvl>
    <w:lvl w:ilvl="4" w:tplc="3364E3E8">
      <w:start w:val="2200"/>
      <w:numFmt w:val="bullet"/>
      <w:lvlText w:val="»"/>
      <w:lvlJc w:val="left"/>
      <w:pPr>
        <w:tabs>
          <w:tab w:val="num" w:pos="3600"/>
        </w:tabs>
        <w:ind w:left="3600" w:hanging="360"/>
      </w:pPr>
      <w:rPr>
        <w:rFonts w:ascii="Arial" w:hAnsi="Arial" w:cs="Times New Roman" w:hint="default"/>
      </w:rPr>
    </w:lvl>
    <w:lvl w:ilvl="5" w:tplc="E8FEE952">
      <w:start w:val="1"/>
      <w:numFmt w:val="bullet"/>
      <w:lvlText w:val="•"/>
      <w:lvlJc w:val="left"/>
      <w:pPr>
        <w:tabs>
          <w:tab w:val="num" w:pos="4320"/>
        </w:tabs>
        <w:ind w:left="4320" w:hanging="360"/>
      </w:pPr>
      <w:rPr>
        <w:rFonts w:ascii="Arial" w:hAnsi="Arial" w:cs="Times New Roman" w:hint="default"/>
      </w:rPr>
    </w:lvl>
    <w:lvl w:ilvl="6" w:tplc="A7948A82">
      <w:start w:val="1"/>
      <w:numFmt w:val="bullet"/>
      <w:lvlText w:val="•"/>
      <w:lvlJc w:val="left"/>
      <w:pPr>
        <w:tabs>
          <w:tab w:val="num" w:pos="5040"/>
        </w:tabs>
        <w:ind w:left="5040" w:hanging="360"/>
      </w:pPr>
      <w:rPr>
        <w:rFonts w:ascii="Arial" w:hAnsi="Arial" w:cs="Times New Roman" w:hint="default"/>
      </w:rPr>
    </w:lvl>
    <w:lvl w:ilvl="7" w:tplc="2A2E7460">
      <w:start w:val="1"/>
      <w:numFmt w:val="bullet"/>
      <w:lvlText w:val="•"/>
      <w:lvlJc w:val="left"/>
      <w:pPr>
        <w:tabs>
          <w:tab w:val="num" w:pos="5760"/>
        </w:tabs>
        <w:ind w:left="5760" w:hanging="360"/>
      </w:pPr>
      <w:rPr>
        <w:rFonts w:ascii="Arial" w:hAnsi="Arial" w:cs="Times New Roman" w:hint="default"/>
      </w:rPr>
    </w:lvl>
    <w:lvl w:ilvl="8" w:tplc="0EE6D08C">
      <w:start w:val="1"/>
      <w:numFmt w:val="bullet"/>
      <w:lvlText w:val="•"/>
      <w:lvlJc w:val="left"/>
      <w:pPr>
        <w:tabs>
          <w:tab w:val="num" w:pos="6480"/>
        </w:tabs>
        <w:ind w:left="6480" w:hanging="360"/>
      </w:pPr>
      <w:rPr>
        <w:rFonts w:ascii="Arial" w:hAnsi="Arial" w:cs="Times New Roman" w:hint="default"/>
      </w:rPr>
    </w:lvl>
  </w:abstractNum>
  <w:abstractNum w:abstractNumId="18"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A8F0DD6"/>
    <w:multiLevelType w:val="hybridMultilevel"/>
    <w:tmpl w:val="DE5AB93E"/>
    <w:lvl w:ilvl="0" w:tplc="08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2907894"/>
    <w:multiLevelType w:val="hybridMultilevel"/>
    <w:tmpl w:val="1FC07D88"/>
    <w:lvl w:ilvl="0" w:tplc="17BE2BEA">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6743041"/>
    <w:multiLevelType w:val="hybridMultilevel"/>
    <w:tmpl w:val="C95C7A54"/>
    <w:lvl w:ilvl="0" w:tplc="17BE2BEA">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5"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27"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9" w15:restartNumberingAfterBreak="0">
    <w:nsid w:val="5AB358C0"/>
    <w:multiLevelType w:val="hybridMultilevel"/>
    <w:tmpl w:val="FBE05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C12757E"/>
    <w:multiLevelType w:val="hybridMultilevel"/>
    <w:tmpl w:val="8D0435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32"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33"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4" w15:restartNumberingAfterBreak="0">
    <w:nsid w:val="7A8A4F6D"/>
    <w:multiLevelType w:val="hybridMultilevel"/>
    <w:tmpl w:val="42FAF540"/>
    <w:lvl w:ilvl="0" w:tplc="0D1C298C">
      <w:start w:val="141"/>
      <w:numFmt w:val="bullet"/>
      <w:lvlText w:val="-"/>
      <w:lvlJc w:val="left"/>
      <w:pPr>
        <w:ind w:left="360" w:hanging="360"/>
      </w:pPr>
      <w:rPr>
        <w:rFonts w:ascii="Calibri" w:eastAsiaTheme="minorHAnsi" w:hAnsi="Calibri" w:cstheme="minorBidi"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start w:val="1"/>
      <w:numFmt w:val="bullet"/>
      <w:lvlText w:val="o"/>
      <w:lvlJc w:val="left"/>
      <w:pPr>
        <w:ind w:left="3600" w:hanging="360"/>
      </w:pPr>
      <w:rPr>
        <w:rFonts w:ascii="Courier New" w:hAnsi="Courier New" w:cs="Courier New" w:hint="default"/>
      </w:rPr>
    </w:lvl>
    <w:lvl w:ilvl="5" w:tplc="04150005">
      <w:start w:val="1"/>
      <w:numFmt w:val="bullet"/>
      <w:lvlText w:val=""/>
      <w:lvlJc w:val="left"/>
      <w:pPr>
        <w:ind w:left="4320" w:hanging="360"/>
      </w:pPr>
      <w:rPr>
        <w:rFonts w:ascii="Wingdings" w:hAnsi="Wingdings" w:hint="default"/>
      </w:rPr>
    </w:lvl>
    <w:lvl w:ilvl="6" w:tplc="04150001">
      <w:start w:val="1"/>
      <w:numFmt w:val="bullet"/>
      <w:lvlText w:val=""/>
      <w:lvlJc w:val="left"/>
      <w:pPr>
        <w:ind w:left="5040" w:hanging="360"/>
      </w:pPr>
      <w:rPr>
        <w:rFonts w:ascii="Symbol" w:hAnsi="Symbol" w:hint="default"/>
      </w:rPr>
    </w:lvl>
    <w:lvl w:ilvl="7" w:tplc="04150003">
      <w:start w:val="1"/>
      <w:numFmt w:val="bullet"/>
      <w:lvlText w:val="o"/>
      <w:lvlJc w:val="left"/>
      <w:pPr>
        <w:ind w:left="5760" w:hanging="360"/>
      </w:pPr>
      <w:rPr>
        <w:rFonts w:ascii="Courier New" w:hAnsi="Courier New" w:cs="Courier New" w:hint="default"/>
      </w:rPr>
    </w:lvl>
    <w:lvl w:ilvl="8" w:tplc="04150005">
      <w:start w:val="1"/>
      <w:numFmt w:val="bullet"/>
      <w:lvlText w:val=""/>
      <w:lvlJc w:val="left"/>
      <w:pPr>
        <w:ind w:left="6480" w:hanging="360"/>
      </w:pPr>
      <w:rPr>
        <w:rFonts w:ascii="Wingdings" w:hAnsi="Wingdings" w:hint="default"/>
      </w:rPr>
    </w:lvl>
  </w:abstractNum>
  <w:abstractNum w:abstractNumId="35"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8"/>
  </w:num>
  <w:num w:numId="12">
    <w:abstractNumId w:val="26"/>
  </w:num>
  <w:num w:numId="13">
    <w:abstractNumId w:val="16"/>
  </w:num>
  <w:num w:numId="14">
    <w:abstractNumId w:val="27"/>
  </w:num>
  <w:num w:numId="15">
    <w:abstractNumId w:val="28"/>
  </w:num>
  <w:num w:numId="16">
    <w:abstractNumId w:val="31"/>
  </w:num>
  <w:num w:numId="17">
    <w:abstractNumId w:val="21"/>
  </w:num>
  <w:num w:numId="18">
    <w:abstractNumId w:val="32"/>
  </w:num>
  <w:num w:numId="19">
    <w:abstractNumId w:val="15"/>
  </w:num>
  <w:num w:numId="20">
    <w:abstractNumId w:val="12"/>
  </w:num>
  <w:num w:numId="21">
    <w:abstractNumId w:val="33"/>
  </w:num>
  <w:num w:numId="22">
    <w:abstractNumId w:val="25"/>
  </w:num>
  <w:num w:numId="23">
    <w:abstractNumId w:val="35"/>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35"/>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35"/>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20"/>
  </w:num>
  <w:num w:numId="27">
    <w:abstractNumId w:val="24"/>
  </w:num>
  <w:num w:numId="28">
    <w:abstractNumId w:val="34"/>
  </w:num>
  <w:num w:numId="29">
    <w:abstractNumId w:val="30"/>
  </w:num>
  <w:num w:numId="30">
    <w:abstractNumId w:val="19"/>
  </w:num>
  <w:num w:numId="31">
    <w:abstractNumId w:val="17"/>
  </w:num>
  <w:num w:numId="32">
    <w:abstractNumId w:val="0"/>
  </w:num>
  <w:num w:numId="33">
    <w:abstractNumId w:val="29"/>
  </w:num>
  <w:num w:numId="34">
    <w:abstractNumId w:val="11"/>
  </w:num>
  <w:num w:numId="35">
    <w:abstractNumId w:val="22"/>
  </w:num>
  <w:num w:numId="36">
    <w:abstractNumId w:val="14"/>
  </w:num>
  <w:num w:numId="37">
    <w:abstractNumId w:val="23"/>
  </w:num>
  <w:num w:numId="3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activeWritingStyle w:appName="MSWord" w:lang="en-GB" w:vendorID="64" w:dllVersion="6" w:nlCheck="1" w:checkStyle="0"/>
  <w:activeWritingStyle w:appName="MSWord" w:lang="en-US"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GB" w:vendorID="64" w:dllVersion="131078" w:nlCheck="1" w:checkStyle="1"/>
  <w:activeWritingStyle w:appName="MSWord" w:lang="en-US" w:vendorID="64" w:dllVersion="131078" w:nlCheck="1" w:checkStyle="1"/>
  <w:activeWritingStyle w:appName="MSWord" w:lang="en-CA" w:vendorID="64" w:dllVersion="131078" w:nlCheck="1" w:checkStyle="1"/>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characterSpacingControl w:val="doNotCompress"/>
  <w:hdrShapeDefaults>
    <o:shapedefaults v:ext="edit" spidmax="4097"/>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3360"/>
    <w:rsid w:val="000216CE"/>
    <w:rsid w:val="000233A0"/>
    <w:rsid w:val="00025DC7"/>
    <w:rsid w:val="00026486"/>
    <w:rsid w:val="0003008B"/>
    <w:rsid w:val="0003268D"/>
    <w:rsid w:val="00044ECC"/>
    <w:rsid w:val="00046F1F"/>
    <w:rsid w:val="000531D3"/>
    <w:rsid w:val="0005646B"/>
    <w:rsid w:val="000649B0"/>
    <w:rsid w:val="00076A90"/>
    <w:rsid w:val="0008102D"/>
    <w:rsid w:val="00083DE2"/>
    <w:rsid w:val="00087439"/>
    <w:rsid w:val="00094159"/>
    <w:rsid w:val="00094C0E"/>
    <w:rsid w:val="000A56B3"/>
    <w:rsid w:val="000C3CD7"/>
    <w:rsid w:val="000E5519"/>
    <w:rsid w:val="000F0C22"/>
    <w:rsid w:val="000F6B09"/>
    <w:rsid w:val="000F6FDC"/>
    <w:rsid w:val="001031DB"/>
    <w:rsid w:val="00104567"/>
    <w:rsid w:val="001061DC"/>
    <w:rsid w:val="001107F5"/>
    <w:rsid w:val="0012732D"/>
    <w:rsid w:val="00133DAE"/>
    <w:rsid w:val="00142D0A"/>
    <w:rsid w:val="001473D3"/>
    <w:rsid w:val="00154FC9"/>
    <w:rsid w:val="00156499"/>
    <w:rsid w:val="001607B5"/>
    <w:rsid w:val="00186266"/>
    <w:rsid w:val="00190ECE"/>
    <w:rsid w:val="00191264"/>
    <w:rsid w:val="0019241A"/>
    <w:rsid w:val="001A5335"/>
    <w:rsid w:val="001A752D"/>
    <w:rsid w:val="001C4EDD"/>
    <w:rsid w:val="001E10C6"/>
    <w:rsid w:val="001E29A2"/>
    <w:rsid w:val="001F22FE"/>
    <w:rsid w:val="00203AA1"/>
    <w:rsid w:val="00210B9B"/>
    <w:rsid w:val="0021146B"/>
    <w:rsid w:val="0021309C"/>
    <w:rsid w:val="002137B3"/>
    <w:rsid w:val="00213E98"/>
    <w:rsid w:val="0021510E"/>
    <w:rsid w:val="00220F2B"/>
    <w:rsid w:val="00227661"/>
    <w:rsid w:val="00235A01"/>
    <w:rsid w:val="0023685F"/>
    <w:rsid w:val="002456A5"/>
    <w:rsid w:val="002510BD"/>
    <w:rsid w:val="00251DA1"/>
    <w:rsid w:val="00255B01"/>
    <w:rsid w:val="00255BD3"/>
    <w:rsid w:val="002723F3"/>
    <w:rsid w:val="00273643"/>
    <w:rsid w:val="0027490D"/>
    <w:rsid w:val="002801A5"/>
    <w:rsid w:val="002842ED"/>
    <w:rsid w:val="002B00AC"/>
    <w:rsid w:val="002B0AAF"/>
    <w:rsid w:val="002E01F6"/>
    <w:rsid w:val="002E32F0"/>
    <w:rsid w:val="002F19F0"/>
    <w:rsid w:val="002F443E"/>
    <w:rsid w:val="002F460C"/>
    <w:rsid w:val="002F48D6"/>
    <w:rsid w:val="0030342C"/>
    <w:rsid w:val="00306B95"/>
    <w:rsid w:val="00310456"/>
    <w:rsid w:val="0031273A"/>
    <w:rsid w:val="00330034"/>
    <w:rsid w:val="00337ADC"/>
    <w:rsid w:val="00343501"/>
    <w:rsid w:val="00351D9F"/>
    <w:rsid w:val="00354899"/>
    <w:rsid w:val="00355FD6"/>
    <w:rsid w:val="00361C8E"/>
    <w:rsid w:val="00364A5C"/>
    <w:rsid w:val="003661A0"/>
    <w:rsid w:val="003702E0"/>
    <w:rsid w:val="00373FB1"/>
    <w:rsid w:val="00376887"/>
    <w:rsid w:val="0038034C"/>
    <w:rsid w:val="00381331"/>
    <w:rsid w:val="00383DE2"/>
    <w:rsid w:val="003852A5"/>
    <w:rsid w:val="0039237E"/>
    <w:rsid w:val="003958C2"/>
    <w:rsid w:val="003A52FA"/>
    <w:rsid w:val="003B30D8"/>
    <w:rsid w:val="003B3D71"/>
    <w:rsid w:val="003B7EF2"/>
    <w:rsid w:val="003C3C7F"/>
    <w:rsid w:val="003C3FA4"/>
    <w:rsid w:val="003C4746"/>
    <w:rsid w:val="003C4EDB"/>
    <w:rsid w:val="003F28E0"/>
    <w:rsid w:val="003F2B0C"/>
    <w:rsid w:val="004133C9"/>
    <w:rsid w:val="0041576F"/>
    <w:rsid w:val="004221E4"/>
    <w:rsid w:val="004402F5"/>
    <w:rsid w:val="00444B93"/>
    <w:rsid w:val="00452901"/>
    <w:rsid w:val="00461AF8"/>
    <w:rsid w:val="00462E5A"/>
    <w:rsid w:val="004645BF"/>
    <w:rsid w:val="00471088"/>
    <w:rsid w:val="00471442"/>
    <w:rsid w:val="00483AF9"/>
    <w:rsid w:val="00484698"/>
    <w:rsid w:val="00486BB1"/>
    <w:rsid w:val="00487835"/>
    <w:rsid w:val="00494338"/>
    <w:rsid w:val="004B1CCB"/>
    <w:rsid w:val="004C16A7"/>
    <w:rsid w:val="004C207E"/>
    <w:rsid w:val="004C20DE"/>
    <w:rsid w:val="004C7AE1"/>
    <w:rsid w:val="004D73A5"/>
    <w:rsid w:val="004E2653"/>
    <w:rsid w:val="00501B52"/>
    <w:rsid w:val="0051593E"/>
    <w:rsid w:val="005170EC"/>
    <w:rsid w:val="00522E7D"/>
    <w:rsid w:val="00532CF5"/>
    <w:rsid w:val="005455B9"/>
    <w:rsid w:val="005528CB"/>
    <w:rsid w:val="00566771"/>
    <w:rsid w:val="00567392"/>
    <w:rsid w:val="00576B17"/>
    <w:rsid w:val="00581E2E"/>
    <w:rsid w:val="00584F15"/>
    <w:rsid w:val="00585B2A"/>
    <w:rsid w:val="005A4BA1"/>
    <w:rsid w:val="005D4A2E"/>
    <w:rsid w:val="005E6100"/>
    <w:rsid w:val="005F5924"/>
    <w:rsid w:val="0060076D"/>
    <w:rsid w:val="00605584"/>
    <w:rsid w:val="006163F7"/>
    <w:rsid w:val="006261C2"/>
    <w:rsid w:val="00647DF5"/>
    <w:rsid w:val="00652606"/>
    <w:rsid w:val="00655EEF"/>
    <w:rsid w:val="00682754"/>
    <w:rsid w:val="00684CA9"/>
    <w:rsid w:val="006908D8"/>
    <w:rsid w:val="0069269A"/>
    <w:rsid w:val="0069694A"/>
    <w:rsid w:val="006A23C0"/>
    <w:rsid w:val="006A58A9"/>
    <w:rsid w:val="006A606D"/>
    <w:rsid w:val="006B72D0"/>
    <w:rsid w:val="006B7F7A"/>
    <w:rsid w:val="006C0371"/>
    <w:rsid w:val="006C08B6"/>
    <w:rsid w:val="006C0B1A"/>
    <w:rsid w:val="006C4384"/>
    <w:rsid w:val="006C6065"/>
    <w:rsid w:val="006C6E83"/>
    <w:rsid w:val="006C7F9F"/>
    <w:rsid w:val="006E2F6D"/>
    <w:rsid w:val="006E58F6"/>
    <w:rsid w:val="006E77E1"/>
    <w:rsid w:val="006F131D"/>
    <w:rsid w:val="006F1D9E"/>
    <w:rsid w:val="006F20B9"/>
    <w:rsid w:val="007018CC"/>
    <w:rsid w:val="00703063"/>
    <w:rsid w:val="007311BA"/>
    <w:rsid w:val="00752BCD"/>
    <w:rsid w:val="007610F4"/>
    <w:rsid w:val="00766DA1"/>
    <w:rsid w:val="0078121A"/>
    <w:rsid w:val="00781D69"/>
    <w:rsid w:val="0078333D"/>
    <w:rsid w:val="007866A6"/>
    <w:rsid w:val="00794762"/>
    <w:rsid w:val="007A130D"/>
    <w:rsid w:val="007A5149"/>
    <w:rsid w:val="007B2B13"/>
    <w:rsid w:val="007B2F95"/>
    <w:rsid w:val="007B75F7"/>
    <w:rsid w:val="007D4102"/>
    <w:rsid w:val="007E1AD3"/>
    <w:rsid w:val="007E5921"/>
    <w:rsid w:val="00800F4D"/>
    <w:rsid w:val="00812601"/>
    <w:rsid w:val="00821FFC"/>
    <w:rsid w:val="008271CA"/>
    <w:rsid w:val="00830EDC"/>
    <w:rsid w:val="00836C59"/>
    <w:rsid w:val="00845F47"/>
    <w:rsid w:val="008467D5"/>
    <w:rsid w:val="00846BCF"/>
    <w:rsid w:val="00856D9F"/>
    <w:rsid w:val="00866F6D"/>
    <w:rsid w:val="00874DA2"/>
    <w:rsid w:val="008957A8"/>
    <w:rsid w:val="008A26EE"/>
    <w:rsid w:val="008A4DC4"/>
    <w:rsid w:val="008B20F2"/>
    <w:rsid w:val="008B68C4"/>
    <w:rsid w:val="008C54F6"/>
    <w:rsid w:val="008D33F5"/>
    <w:rsid w:val="008E28AF"/>
    <w:rsid w:val="008F617A"/>
    <w:rsid w:val="00905110"/>
    <w:rsid w:val="009067A4"/>
    <w:rsid w:val="0090722E"/>
    <w:rsid w:val="00925754"/>
    <w:rsid w:val="009333EF"/>
    <w:rsid w:val="009340DB"/>
    <w:rsid w:val="00945838"/>
    <w:rsid w:val="00945F9E"/>
    <w:rsid w:val="009659C1"/>
    <w:rsid w:val="00972498"/>
    <w:rsid w:val="00974CC6"/>
    <w:rsid w:val="00975E0E"/>
    <w:rsid w:val="00976AD4"/>
    <w:rsid w:val="00996CDD"/>
    <w:rsid w:val="00997298"/>
    <w:rsid w:val="009A312F"/>
    <w:rsid w:val="009A5348"/>
    <w:rsid w:val="009A67BB"/>
    <w:rsid w:val="009C76D5"/>
    <w:rsid w:val="009D62EB"/>
    <w:rsid w:val="009D75EB"/>
    <w:rsid w:val="009E50CA"/>
    <w:rsid w:val="009E6B9A"/>
    <w:rsid w:val="009F7AA4"/>
    <w:rsid w:val="00A1377A"/>
    <w:rsid w:val="00A161F1"/>
    <w:rsid w:val="00A378A0"/>
    <w:rsid w:val="00A559DB"/>
    <w:rsid w:val="00A5792F"/>
    <w:rsid w:val="00A64422"/>
    <w:rsid w:val="00A667E2"/>
    <w:rsid w:val="00A70E00"/>
    <w:rsid w:val="00A853E5"/>
    <w:rsid w:val="00A96C80"/>
    <w:rsid w:val="00AA3C9D"/>
    <w:rsid w:val="00AB3F71"/>
    <w:rsid w:val="00AC15E3"/>
    <w:rsid w:val="00AC5D99"/>
    <w:rsid w:val="00AC78A7"/>
    <w:rsid w:val="00AE531C"/>
    <w:rsid w:val="00AF35FC"/>
    <w:rsid w:val="00AF36A2"/>
    <w:rsid w:val="00B03639"/>
    <w:rsid w:val="00B0652A"/>
    <w:rsid w:val="00B1030C"/>
    <w:rsid w:val="00B150FD"/>
    <w:rsid w:val="00B3757D"/>
    <w:rsid w:val="00B40937"/>
    <w:rsid w:val="00B423EF"/>
    <w:rsid w:val="00B433F7"/>
    <w:rsid w:val="00B453DE"/>
    <w:rsid w:val="00B4742F"/>
    <w:rsid w:val="00B55DDA"/>
    <w:rsid w:val="00B639C2"/>
    <w:rsid w:val="00B77F56"/>
    <w:rsid w:val="00B80F6F"/>
    <w:rsid w:val="00B8177F"/>
    <w:rsid w:val="00B901F9"/>
    <w:rsid w:val="00B90843"/>
    <w:rsid w:val="00BA3809"/>
    <w:rsid w:val="00BB03FB"/>
    <w:rsid w:val="00BD2430"/>
    <w:rsid w:val="00BD6EFB"/>
    <w:rsid w:val="00BE22D5"/>
    <w:rsid w:val="00BE2624"/>
    <w:rsid w:val="00C00633"/>
    <w:rsid w:val="00C07359"/>
    <w:rsid w:val="00C15BE2"/>
    <w:rsid w:val="00C22219"/>
    <w:rsid w:val="00C239D4"/>
    <w:rsid w:val="00C3447F"/>
    <w:rsid w:val="00C669E6"/>
    <w:rsid w:val="00C72A5F"/>
    <w:rsid w:val="00C73369"/>
    <w:rsid w:val="00C81491"/>
    <w:rsid w:val="00C81676"/>
    <w:rsid w:val="00C831BA"/>
    <w:rsid w:val="00C90634"/>
    <w:rsid w:val="00C92CC4"/>
    <w:rsid w:val="00CA0AFB"/>
    <w:rsid w:val="00CA2CE1"/>
    <w:rsid w:val="00CA3976"/>
    <w:rsid w:val="00CA757B"/>
    <w:rsid w:val="00CB6B09"/>
    <w:rsid w:val="00CC1787"/>
    <w:rsid w:val="00CC182C"/>
    <w:rsid w:val="00CC7E69"/>
    <w:rsid w:val="00CD0824"/>
    <w:rsid w:val="00CD2908"/>
    <w:rsid w:val="00CD6D4B"/>
    <w:rsid w:val="00CE0B49"/>
    <w:rsid w:val="00CF64D7"/>
    <w:rsid w:val="00D03A82"/>
    <w:rsid w:val="00D070F6"/>
    <w:rsid w:val="00D1035D"/>
    <w:rsid w:val="00D152D6"/>
    <w:rsid w:val="00D15344"/>
    <w:rsid w:val="00D22CD9"/>
    <w:rsid w:val="00D31BEC"/>
    <w:rsid w:val="00D407EC"/>
    <w:rsid w:val="00D53D49"/>
    <w:rsid w:val="00D550F1"/>
    <w:rsid w:val="00D63150"/>
    <w:rsid w:val="00D64A32"/>
    <w:rsid w:val="00D64EFC"/>
    <w:rsid w:val="00D75295"/>
    <w:rsid w:val="00D76196"/>
    <w:rsid w:val="00D76CE9"/>
    <w:rsid w:val="00D77A6F"/>
    <w:rsid w:val="00D97EFF"/>
    <w:rsid w:val="00D97F12"/>
    <w:rsid w:val="00DA0D99"/>
    <w:rsid w:val="00DA67FE"/>
    <w:rsid w:val="00DB0ACD"/>
    <w:rsid w:val="00DB42E7"/>
    <w:rsid w:val="00DC15D4"/>
    <w:rsid w:val="00DE107B"/>
    <w:rsid w:val="00DE71DC"/>
    <w:rsid w:val="00DF32C2"/>
    <w:rsid w:val="00E06596"/>
    <w:rsid w:val="00E07180"/>
    <w:rsid w:val="00E3630F"/>
    <w:rsid w:val="00E428D6"/>
    <w:rsid w:val="00E471A7"/>
    <w:rsid w:val="00E54F6C"/>
    <w:rsid w:val="00E635CF"/>
    <w:rsid w:val="00E67786"/>
    <w:rsid w:val="00E9019B"/>
    <w:rsid w:val="00EB2987"/>
    <w:rsid w:val="00EB5410"/>
    <w:rsid w:val="00EB787F"/>
    <w:rsid w:val="00EC6E0A"/>
    <w:rsid w:val="00ED4E18"/>
    <w:rsid w:val="00EE1F37"/>
    <w:rsid w:val="00EE5352"/>
    <w:rsid w:val="00EF5D64"/>
    <w:rsid w:val="00F0159C"/>
    <w:rsid w:val="00F105B7"/>
    <w:rsid w:val="00F17A21"/>
    <w:rsid w:val="00F30FF0"/>
    <w:rsid w:val="00F34E94"/>
    <w:rsid w:val="00F40FFF"/>
    <w:rsid w:val="00F46A36"/>
    <w:rsid w:val="00F46DF2"/>
    <w:rsid w:val="00F50E91"/>
    <w:rsid w:val="00F57D29"/>
    <w:rsid w:val="00F70882"/>
    <w:rsid w:val="00F92A99"/>
    <w:rsid w:val="00F93124"/>
    <w:rsid w:val="00F945EC"/>
    <w:rsid w:val="00F96201"/>
    <w:rsid w:val="00F974B2"/>
    <w:rsid w:val="00FA0FDA"/>
    <w:rsid w:val="00FB4C21"/>
    <w:rsid w:val="00FB4DAA"/>
    <w:rsid w:val="00FC30E9"/>
    <w:rsid w:val="00FC65EF"/>
    <w:rsid w:val="00FD0B18"/>
    <w:rsid w:val="00FD0CA3"/>
    <w:rsid w:val="00FD0F82"/>
    <w:rsid w:val="00FE3DF5"/>
    <w:rsid w:val="00FE4966"/>
    <w:rsid w:val="00FE6FCD"/>
    <w:rsid w:val="00FE714F"/>
    <w:rsid w:val="00FF5E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6EC5446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86BB1"/>
    <w:pPr>
      <w:spacing w:after="0" w:line="240" w:lineRule="auto"/>
    </w:pPr>
    <w:rPr>
      <w:rFonts w:ascii="Times New Roman" w:eastAsia="Times New Roman" w:hAnsi="Times New Roman" w:cs="Times New Roman"/>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273643"/>
    <w:rPr>
      <w:b w:val="0"/>
      <w:color w:val="auto"/>
      <w:vertAlign w:val="superscript"/>
    </w:rPr>
  </w:style>
  <w:style w:type="paragraph" w:customStyle="1" w:styleId="Footnote">
    <w:name w:val="Footnote"/>
    <w:basedOn w:val="FootnoteText"/>
    <w:link w:val="FootnoteChar"/>
    <w:qFormat/>
    <w:rsid w:val="006F1D9E"/>
    <w:pPr>
      <w:jc w:val="both"/>
    </w:pPr>
    <w:rPr>
      <w:rFonts w:ascii="Arial" w:hAnsi="Arial" w:cs="Arial"/>
      <w:sz w:val="17"/>
      <w:szCs w:val="17"/>
    </w:rPr>
  </w:style>
  <w:style w:type="character" w:customStyle="1" w:styleId="FootnoteChar">
    <w:name w:val="Footnote Char"/>
    <w:basedOn w:val="FootnoteTextChar"/>
    <w:link w:val="Footnote"/>
    <w:rsid w:val="006F1D9E"/>
    <w:rPr>
      <w:rFonts w:ascii="Arial" w:eastAsia="Times New Roman" w:hAnsi="Arial" w:cs="Arial"/>
      <w:sz w:val="17"/>
      <w:szCs w:val="17"/>
    </w:rPr>
  </w:style>
  <w:style w:type="paragraph" w:customStyle="1" w:styleId="Quotation3Lines">
    <w:name w:val="Quotation (3+ Lines)"/>
    <w:basedOn w:val="BodyTextMain"/>
    <w:link w:val="Quotation3LinesChar"/>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DocumentMap">
    <w:name w:val="Document Map"/>
    <w:basedOn w:val="Normal"/>
    <w:link w:val="DocumentMapChar"/>
    <w:uiPriority w:val="99"/>
    <w:semiHidden/>
    <w:unhideWhenUsed/>
    <w:rsid w:val="00486BB1"/>
    <w:rPr>
      <w:sz w:val="24"/>
      <w:szCs w:val="24"/>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character" w:customStyle="1" w:styleId="DocumentMapChar">
    <w:name w:val="Document Map Char"/>
    <w:basedOn w:val="DefaultParagraphFont"/>
    <w:link w:val="DocumentMap"/>
    <w:uiPriority w:val="99"/>
    <w:semiHidden/>
    <w:rsid w:val="00486BB1"/>
    <w:rPr>
      <w:rFonts w:ascii="Times New Roman" w:eastAsia="Times New Roman" w:hAnsi="Times New Roman" w:cs="Times New Roman"/>
      <w:sz w:val="24"/>
      <w:szCs w:val="24"/>
      <w:lang w:val="en-GB"/>
    </w:rPr>
  </w:style>
  <w:style w:type="paragraph" w:styleId="NormalWeb">
    <w:name w:val="Normal (Web)"/>
    <w:basedOn w:val="Normal"/>
    <w:uiPriority w:val="99"/>
    <w:semiHidden/>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99"/>
    <w:rsid w:val="00FD0F82"/>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table" w:customStyle="1" w:styleId="PlainTable21">
    <w:name w:val="Plain Table 21"/>
    <w:basedOn w:val="TableNormal"/>
    <w:uiPriority w:val="42"/>
    <w:rsid w:val="0034350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Revision">
    <w:name w:val="Revision"/>
    <w:hidden/>
    <w:uiPriority w:val="99"/>
    <w:semiHidden/>
    <w:rsid w:val="00FD0F82"/>
    <w:pPr>
      <w:spacing w:after="0" w:line="240" w:lineRule="auto"/>
    </w:pPr>
    <w:rPr>
      <w:rFonts w:ascii="Calibri" w:eastAsiaTheme="minorEastAsia" w:hAnsi="Calibri" w:cs="Calibri"/>
      <w:lang w:eastAsia="zh-CN"/>
    </w:rPr>
  </w:style>
  <w:style w:type="paragraph" w:styleId="EndnoteText">
    <w:name w:val="endnote text"/>
    <w:basedOn w:val="Normal"/>
    <w:link w:val="EndnoteTextChar"/>
    <w:uiPriority w:val="99"/>
    <w:semiHidden/>
    <w:unhideWhenUsed/>
    <w:rsid w:val="00B4742F"/>
  </w:style>
  <w:style w:type="character" w:customStyle="1" w:styleId="EndnoteTextChar">
    <w:name w:val="Endnote Text Char"/>
    <w:basedOn w:val="DefaultParagraphFont"/>
    <w:link w:val="EndnoteText"/>
    <w:uiPriority w:val="99"/>
    <w:semiHidden/>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4742F"/>
    <w:rPr>
      <w:vertAlign w:val="superscript"/>
    </w:rPr>
  </w:style>
  <w:style w:type="table" w:customStyle="1" w:styleId="TableGridLight1">
    <w:name w:val="Table Grid Light1"/>
    <w:basedOn w:val="TableNormal"/>
    <w:uiPriority w:val="40"/>
    <w:rsid w:val="00D22CD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FollowedHyperlink">
    <w:name w:val="FollowedHyperlink"/>
    <w:basedOn w:val="DefaultParagraphFont"/>
    <w:uiPriority w:val="99"/>
    <w:semiHidden/>
    <w:unhideWhenUsed/>
    <w:rsid w:val="0003268D"/>
    <w:rPr>
      <w:color w:val="800080" w:themeColor="followedHyperlink"/>
      <w:u w:val="single"/>
    </w:rPr>
  </w:style>
  <w:style w:type="paragraph" w:styleId="ListParagraph">
    <w:name w:val="List Paragraph"/>
    <w:basedOn w:val="Normal"/>
    <w:uiPriority w:val="34"/>
    <w:qFormat/>
    <w:rsid w:val="006F20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4406272">
      <w:bodyDiv w:val="1"/>
      <w:marLeft w:val="0"/>
      <w:marRight w:val="0"/>
      <w:marTop w:val="0"/>
      <w:marBottom w:val="0"/>
      <w:divBdr>
        <w:top w:val="none" w:sz="0" w:space="0" w:color="auto"/>
        <w:left w:val="none" w:sz="0" w:space="0" w:color="auto"/>
        <w:bottom w:val="none" w:sz="0" w:space="0" w:color="auto"/>
        <w:right w:val="none" w:sz="0" w:space="0" w:color="auto"/>
      </w:divBdr>
    </w:div>
    <w:div w:id="482504298">
      <w:bodyDiv w:val="1"/>
      <w:marLeft w:val="0"/>
      <w:marRight w:val="0"/>
      <w:marTop w:val="0"/>
      <w:marBottom w:val="0"/>
      <w:divBdr>
        <w:top w:val="none" w:sz="0" w:space="0" w:color="auto"/>
        <w:left w:val="none" w:sz="0" w:space="0" w:color="auto"/>
        <w:bottom w:val="none" w:sz="0" w:space="0" w:color="auto"/>
        <w:right w:val="none" w:sz="0" w:space="0" w:color="auto"/>
      </w:divBdr>
      <w:divsChild>
        <w:div w:id="1854177093">
          <w:marLeft w:val="0"/>
          <w:marRight w:val="0"/>
          <w:marTop w:val="0"/>
          <w:marBottom w:val="0"/>
          <w:divBdr>
            <w:top w:val="none" w:sz="0" w:space="0" w:color="auto"/>
            <w:left w:val="none" w:sz="0" w:space="0" w:color="auto"/>
            <w:bottom w:val="none" w:sz="0" w:space="0" w:color="auto"/>
            <w:right w:val="none" w:sz="0" w:space="0" w:color="auto"/>
          </w:divBdr>
          <w:divsChild>
            <w:div w:id="212568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19044">
      <w:bodyDiv w:val="1"/>
      <w:marLeft w:val="0"/>
      <w:marRight w:val="0"/>
      <w:marTop w:val="0"/>
      <w:marBottom w:val="0"/>
      <w:divBdr>
        <w:top w:val="none" w:sz="0" w:space="0" w:color="auto"/>
        <w:left w:val="none" w:sz="0" w:space="0" w:color="auto"/>
        <w:bottom w:val="none" w:sz="0" w:space="0" w:color="auto"/>
        <w:right w:val="none" w:sz="0" w:space="0" w:color="auto"/>
      </w:divBdr>
    </w:div>
    <w:div w:id="1065883353">
      <w:bodyDiv w:val="1"/>
      <w:marLeft w:val="0"/>
      <w:marRight w:val="0"/>
      <w:marTop w:val="0"/>
      <w:marBottom w:val="0"/>
      <w:divBdr>
        <w:top w:val="none" w:sz="0" w:space="0" w:color="auto"/>
        <w:left w:val="none" w:sz="0" w:space="0" w:color="auto"/>
        <w:bottom w:val="none" w:sz="0" w:space="0" w:color="auto"/>
        <w:right w:val="none" w:sz="0" w:space="0" w:color="auto"/>
      </w:divBdr>
    </w:div>
    <w:div w:id="1165317873">
      <w:bodyDiv w:val="1"/>
      <w:marLeft w:val="0"/>
      <w:marRight w:val="0"/>
      <w:marTop w:val="0"/>
      <w:marBottom w:val="0"/>
      <w:divBdr>
        <w:top w:val="none" w:sz="0" w:space="0" w:color="auto"/>
        <w:left w:val="none" w:sz="0" w:space="0" w:color="auto"/>
        <w:bottom w:val="none" w:sz="0" w:space="0" w:color="auto"/>
        <w:right w:val="none" w:sz="0" w:space="0" w:color="auto"/>
      </w:divBdr>
    </w:div>
    <w:div w:id="1215896882">
      <w:bodyDiv w:val="1"/>
      <w:marLeft w:val="0"/>
      <w:marRight w:val="0"/>
      <w:marTop w:val="0"/>
      <w:marBottom w:val="0"/>
      <w:divBdr>
        <w:top w:val="none" w:sz="0" w:space="0" w:color="auto"/>
        <w:left w:val="none" w:sz="0" w:space="0" w:color="auto"/>
        <w:bottom w:val="none" w:sz="0" w:space="0" w:color="auto"/>
        <w:right w:val="none" w:sz="0" w:space="0" w:color="auto"/>
      </w:divBdr>
    </w:div>
    <w:div w:id="1256740981">
      <w:bodyDiv w:val="1"/>
      <w:marLeft w:val="0"/>
      <w:marRight w:val="0"/>
      <w:marTop w:val="0"/>
      <w:marBottom w:val="0"/>
      <w:divBdr>
        <w:top w:val="none" w:sz="0" w:space="0" w:color="auto"/>
        <w:left w:val="none" w:sz="0" w:space="0" w:color="auto"/>
        <w:bottom w:val="none" w:sz="0" w:space="0" w:color="auto"/>
        <w:right w:val="none" w:sz="0" w:space="0" w:color="auto"/>
      </w:divBdr>
    </w:div>
    <w:div w:id="1258438860">
      <w:bodyDiv w:val="1"/>
      <w:marLeft w:val="0"/>
      <w:marRight w:val="0"/>
      <w:marTop w:val="0"/>
      <w:marBottom w:val="0"/>
      <w:divBdr>
        <w:top w:val="none" w:sz="0" w:space="0" w:color="auto"/>
        <w:left w:val="none" w:sz="0" w:space="0" w:color="auto"/>
        <w:bottom w:val="none" w:sz="0" w:space="0" w:color="auto"/>
        <w:right w:val="none" w:sz="0" w:space="0" w:color="auto"/>
      </w:divBdr>
    </w:div>
    <w:div w:id="1404915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iveycases.com" TargetMode="External"/><Relationship Id="rId4" Type="http://schemas.openxmlformats.org/officeDocument/2006/relationships/settings" Target="settings.xml"/><Relationship Id="rId9" Type="http://schemas.openxmlformats.org/officeDocument/2006/relationships/hyperlink" Target="mailto:cases@ivey.c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B3D641-EA03-43E0-B8EA-2435847707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4494</Words>
  <Characters>25617</Characters>
  <Application>Microsoft Office Word</Application>
  <DocSecurity>0</DocSecurity>
  <Lines>213</Lines>
  <Paragraphs>60</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Ivey Business School</Company>
  <LinksUpToDate>false</LinksUpToDate>
  <CharactersWithSpaces>30051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Anderson, Cassandra</cp:lastModifiedBy>
  <cp:revision>3</cp:revision>
  <cp:lastPrinted>2011-06-23T13:34:00Z</cp:lastPrinted>
  <dcterms:created xsi:type="dcterms:W3CDTF">2017-07-07T14:30:00Z</dcterms:created>
  <dcterms:modified xsi:type="dcterms:W3CDTF">2017-07-07T14:30:00Z</dcterms:modified>
</cp:coreProperties>
</file>