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6D4A6" w14:textId="42F83F14" w:rsidR="008467D5" w:rsidRPr="00D34D18" w:rsidRDefault="00115173" w:rsidP="00013360">
      <w:pPr>
        <w:tabs>
          <w:tab w:val="left" w:pos="-1440"/>
          <w:tab w:val="left" w:pos="-720"/>
          <w:tab w:val="left" w:pos="1"/>
          <w:tab w:val="right" w:pos="9360"/>
        </w:tabs>
        <w:jc w:val="both"/>
        <w:rPr>
          <w:rFonts w:ascii="Arial" w:hAnsi="Arial"/>
          <w:sz w:val="24"/>
        </w:rPr>
      </w:pPr>
      <w:r w:rsidRPr="00115173">
        <w:rPr>
          <w:rFonts w:ascii="Arial" w:hAnsi="Arial"/>
          <w:b/>
          <w:noProof/>
          <w:sz w:val="24"/>
          <w:lang w:eastAsia="en-GB"/>
        </w:rPr>
        <w:drawing>
          <wp:inline distT="0" distB="0" distL="0" distR="0" wp14:anchorId="4898B968" wp14:editId="260DAE23">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BE7EB4E" w14:textId="77777777" w:rsidR="00856D9F" w:rsidRPr="00D34D18" w:rsidRDefault="00856D9F" w:rsidP="008467D5">
      <w:pPr>
        <w:pBdr>
          <w:bottom w:val="single" w:sz="18" w:space="1" w:color="auto"/>
        </w:pBdr>
        <w:tabs>
          <w:tab w:val="left" w:pos="-1440"/>
          <w:tab w:val="left" w:pos="-720"/>
          <w:tab w:val="left" w:pos="1"/>
        </w:tabs>
        <w:jc w:val="both"/>
        <w:rPr>
          <w:rFonts w:ascii="Arial" w:hAnsi="Arial"/>
          <w:b/>
          <w:sz w:val="24"/>
        </w:rPr>
      </w:pPr>
    </w:p>
    <w:p w14:paraId="0B3AFD1C" w14:textId="76CA3FFF" w:rsidR="00D75295" w:rsidRPr="00D34D18" w:rsidRDefault="00115173" w:rsidP="00395D06">
      <w:pPr>
        <w:pStyle w:val="ProductNumber"/>
        <w:outlineLvl w:val="0"/>
      </w:pPr>
      <w:r>
        <w:t>9B17</w:t>
      </w:r>
      <w:r w:rsidR="00AE4134">
        <w:t>M104</w:t>
      </w:r>
    </w:p>
    <w:p w14:paraId="710CD2B1" w14:textId="77777777" w:rsidR="00D75295" w:rsidRPr="00D34D18" w:rsidRDefault="00D75295" w:rsidP="00D75295">
      <w:pPr>
        <w:jc w:val="right"/>
        <w:rPr>
          <w:rFonts w:ascii="Arial" w:hAnsi="Arial"/>
          <w:b/>
          <w:sz w:val="28"/>
          <w:szCs w:val="28"/>
        </w:rPr>
      </w:pPr>
    </w:p>
    <w:p w14:paraId="13FBC0FF" w14:textId="77777777" w:rsidR="00866F6D" w:rsidRPr="00D34D18" w:rsidRDefault="00866F6D" w:rsidP="00D75295">
      <w:pPr>
        <w:jc w:val="right"/>
        <w:rPr>
          <w:rFonts w:ascii="Arial" w:hAnsi="Arial"/>
          <w:b/>
          <w:sz w:val="28"/>
          <w:szCs w:val="28"/>
        </w:rPr>
      </w:pPr>
    </w:p>
    <w:p w14:paraId="7CD8A478" w14:textId="21E94705" w:rsidR="00D752E6" w:rsidRPr="00520E0D" w:rsidRDefault="00D752E6" w:rsidP="00D752E6">
      <w:pPr>
        <w:pStyle w:val="CaseTitle"/>
        <w:spacing w:after="0" w:line="240" w:lineRule="auto"/>
        <w:outlineLvl w:val="0"/>
      </w:pPr>
      <w:r>
        <w:t xml:space="preserve">success tastes bitter: </w:t>
      </w:r>
      <w:r w:rsidRPr="00520E0D">
        <w:t xml:space="preserve">POLMOS LUBLIN </w:t>
      </w:r>
      <w:r>
        <w:t xml:space="preserve">(b) </w:t>
      </w:r>
    </w:p>
    <w:p w14:paraId="59C9DFCA" w14:textId="77777777" w:rsidR="00013360" w:rsidRPr="00D34D18" w:rsidRDefault="00013360" w:rsidP="00013360">
      <w:pPr>
        <w:pStyle w:val="CaseTitle"/>
        <w:spacing w:after="0" w:line="240" w:lineRule="auto"/>
        <w:rPr>
          <w:sz w:val="20"/>
          <w:szCs w:val="20"/>
        </w:rPr>
      </w:pPr>
    </w:p>
    <w:p w14:paraId="309B3C26" w14:textId="77777777" w:rsidR="00CA3976" w:rsidRPr="00D34D18" w:rsidRDefault="00CA3976" w:rsidP="00013360">
      <w:pPr>
        <w:pStyle w:val="CaseTitle"/>
        <w:spacing w:after="0" w:line="240" w:lineRule="auto"/>
        <w:rPr>
          <w:sz w:val="20"/>
          <w:szCs w:val="20"/>
        </w:rPr>
      </w:pPr>
    </w:p>
    <w:p w14:paraId="4E5F49A2" w14:textId="77777777" w:rsidR="00013360" w:rsidRPr="00D34D18" w:rsidRDefault="00013360" w:rsidP="00013360">
      <w:pPr>
        <w:pStyle w:val="CaseTitle"/>
        <w:spacing w:after="0" w:line="240" w:lineRule="auto"/>
        <w:rPr>
          <w:sz w:val="20"/>
          <w:szCs w:val="20"/>
        </w:rPr>
      </w:pPr>
    </w:p>
    <w:p w14:paraId="38989ECC" w14:textId="77777777" w:rsidR="00013360" w:rsidRPr="00D34D18" w:rsidRDefault="00C06916" w:rsidP="00104567">
      <w:pPr>
        <w:pStyle w:val="StyleCopyrightStatementAfter0ptBottomSinglesolidline1"/>
      </w:pPr>
      <w:r w:rsidRPr="00D34D18">
        <w:t xml:space="preserve">Krzysztof Obloj and Tomasz Obloj </w:t>
      </w:r>
      <w:r w:rsidR="007E5921" w:rsidRPr="00D34D18">
        <w:t>wrote this case sol</w:t>
      </w:r>
      <w:r w:rsidR="00D75295" w:rsidRPr="00D34D18">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010ED67" w14:textId="77777777" w:rsidR="00856D9F" w:rsidRPr="00D34D18" w:rsidRDefault="00856D9F" w:rsidP="003B7EF2">
      <w:pPr>
        <w:pStyle w:val="StyleStyleCopyrightStatementAfter0ptBottomSinglesolid"/>
      </w:pPr>
    </w:p>
    <w:p w14:paraId="7CE88158" w14:textId="77777777" w:rsidR="00AE4134" w:rsidRDefault="00AE4134"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EB7054D" w14:textId="77777777" w:rsidR="00AE4134" w:rsidRDefault="00AE4134" w:rsidP="003C25FF">
      <w:pPr>
        <w:pStyle w:val="StyleCopyrightStatementAfter0ptBottomSinglesolidline1"/>
        <w:pBdr>
          <w:top w:val="none" w:sz="0" w:space="0" w:color="auto"/>
        </w:pBdr>
      </w:pPr>
    </w:p>
    <w:p w14:paraId="51753F00" w14:textId="6D3FB1B7" w:rsidR="003B7EF2" w:rsidRPr="00D34D18" w:rsidRDefault="00AE4134" w:rsidP="00AE4134">
      <w:pPr>
        <w:pStyle w:val="StyleStyleCopyrightStatementAfter0ptBottomSinglesolid"/>
      </w:pPr>
      <w:r>
        <w:t>Copyright © 2017, Richard Ivey School of Business Foundation</w:t>
      </w:r>
      <w:r w:rsidR="003B7EF2" w:rsidRPr="00D34D18">
        <w:tab/>
        <w:t xml:space="preserve">Version: </w:t>
      </w:r>
      <w:r w:rsidR="00361C8E" w:rsidRPr="00D34D18">
        <w:t>201</w:t>
      </w:r>
      <w:r w:rsidR="00DC15D4" w:rsidRPr="00D34D18">
        <w:t>7</w:t>
      </w:r>
      <w:r w:rsidR="00361C8E" w:rsidRPr="00D34D18">
        <w:t>-</w:t>
      </w:r>
      <w:r>
        <w:t>07</w:t>
      </w:r>
      <w:r w:rsidR="00EC18FC">
        <w:t>-</w:t>
      </w:r>
      <w:r>
        <w:t>07</w:t>
      </w:r>
    </w:p>
    <w:p w14:paraId="19FEBB58" w14:textId="77777777" w:rsidR="003B7EF2" w:rsidRPr="00D34D18" w:rsidRDefault="003B7EF2" w:rsidP="00104567">
      <w:pPr>
        <w:pStyle w:val="StyleCopyrightStatementAfter0ptBottomSinglesolidline1"/>
        <w:rPr>
          <w:rFonts w:ascii="Times New Roman" w:hAnsi="Times New Roman"/>
          <w:sz w:val="20"/>
        </w:rPr>
      </w:pPr>
    </w:p>
    <w:p w14:paraId="5C65D85D" w14:textId="77777777" w:rsidR="003B7EF2" w:rsidRPr="00D34D18" w:rsidRDefault="003B7EF2" w:rsidP="006F1D9E">
      <w:pPr>
        <w:pStyle w:val="Footnote"/>
      </w:pPr>
    </w:p>
    <w:p w14:paraId="4A2A46DE" w14:textId="65788E66" w:rsidR="005D4E87" w:rsidRPr="00D34D18" w:rsidRDefault="005D4E87" w:rsidP="001A6D67">
      <w:pPr>
        <w:pStyle w:val="BodyTextMain"/>
      </w:pPr>
      <w:r w:rsidRPr="00D34D18">
        <w:t xml:space="preserve">Following the successful </w:t>
      </w:r>
      <w:r w:rsidR="00C75007">
        <w:t>initial public offering (</w:t>
      </w:r>
      <w:r w:rsidRPr="00D34D18">
        <w:t>IPO</w:t>
      </w:r>
      <w:r w:rsidR="00C75007">
        <w:t>) in February 2005</w:t>
      </w:r>
      <w:r w:rsidRPr="00D34D18">
        <w:t xml:space="preserve">, </w:t>
      </w:r>
      <w:r w:rsidR="00C75007">
        <w:t>Polmos Lublin</w:t>
      </w:r>
      <w:r w:rsidR="00735FB3">
        <w:t>’s board of directors</w:t>
      </w:r>
      <w:r w:rsidR="00C75007">
        <w:t xml:space="preserve"> </w:t>
      </w:r>
      <w:r w:rsidRPr="00D34D18">
        <w:t xml:space="preserve">approved a major investment plan, including new production and bottling lines. </w:t>
      </w:r>
      <w:r w:rsidR="006049DE">
        <w:t xml:space="preserve">Polmos Lublin was a mid-size liquor company in Poland. </w:t>
      </w:r>
      <w:r w:rsidR="00735FB3">
        <w:t xml:space="preserve">The board also launched </w:t>
      </w:r>
      <w:r w:rsidRPr="00D34D18">
        <w:t xml:space="preserve">Polmos Lublin </w:t>
      </w:r>
      <w:r w:rsidR="00735FB3">
        <w:t>on the</w:t>
      </w:r>
      <w:r w:rsidRPr="00D34D18">
        <w:t xml:space="preserve"> </w:t>
      </w:r>
      <w:r w:rsidR="00735FB3">
        <w:t>path</w:t>
      </w:r>
      <w:r w:rsidR="00735FB3" w:rsidRPr="00D34D18">
        <w:t xml:space="preserve"> </w:t>
      </w:r>
      <w:r w:rsidR="00735FB3">
        <w:t>to</w:t>
      </w:r>
      <w:r w:rsidR="00735FB3" w:rsidRPr="00D34D18">
        <w:t xml:space="preserve"> </w:t>
      </w:r>
      <w:r w:rsidRPr="00D34D18">
        <w:t>internationalization. Initial results were not very promising</w:t>
      </w:r>
      <w:r w:rsidR="00554E64">
        <w:t>;</w:t>
      </w:r>
      <w:r w:rsidRPr="00D34D18">
        <w:t xml:space="preserve"> </w:t>
      </w:r>
      <w:r w:rsidR="005E3EBB" w:rsidRPr="00D34D18">
        <w:t xml:space="preserve">incumbents in all targeted international markets </w:t>
      </w:r>
      <w:r w:rsidRPr="00D34D18">
        <w:t>retaliat</w:t>
      </w:r>
      <w:r w:rsidR="005E3EBB">
        <w:t>ed</w:t>
      </w:r>
      <w:r w:rsidRPr="00D34D18">
        <w:t xml:space="preserve"> and </w:t>
      </w:r>
      <w:r w:rsidR="005E3EBB">
        <w:t xml:space="preserve">the </w:t>
      </w:r>
      <w:r w:rsidRPr="00D34D18">
        <w:t xml:space="preserve">regulatory environments </w:t>
      </w:r>
      <w:r w:rsidR="005E3EBB">
        <w:t xml:space="preserve">imposed </w:t>
      </w:r>
      <w:r w:rsidR="005E3EBB" w:rsidRPr="00D34D18">
        <w:t xml:space="preserve">limitations </w:t>
      </w:r>
      <w:r w:rsidR="005E3EBB">
        <w:t>that</w:t>
      </w:r>
      <w:r w:rsidRPr="00D34D18">
        <w:t xml:space="preserve"> slow</w:t>
      </w:r>
      <w:r w:rsidR="005E3EBB">
        <w:t>ed the</w:t>
      </w:r>
      <w:r w:rsidRPr="00D34D18">
        <w:t xml:space="preserve"> pace of entry. As expected, the company also suffered from the “liability of foreignness</w:t>
      </w:r>
      <w:r w:rsidR="005E3EBB">
        <w:t>.</w:t>
      </w:r>
      <w:r w:rsidRPr="00D34D18">
        <w:t xml:space="preserve">” </w:t>
      </w:r>
      <w:r w:rsidR="005E3EBB">
        <w:t xml:space="preserve">While </w:t>
      </w:r>
      <w:r w:rsidRPr="00D34D18">
        <w:t xml:space="preserve">Poland was recognized </w:t>
      </w:r>
      <w:r w:rsidR="005E3EBB">
        <w:t>as a source of</w:t>
      </w:r>
      <w:r w:rsidRPr="00D34D18">
        <w:t xml:space="preserve"> high-quality pure vodka</w:t>
      </w:r>
      <w:r w:rsidR="005E3EBB">
        <w:t>,</w:t>
      </w:r>
      <w:r w:rsidRPr="00D34D18">
        <w:t xml:space="preserve"> </w:t>
      </w:r>
      <w:r w:rsidR="005E3EBB">
        <w:t>it</w:t>
      </w:r>
      <w:r w:rsidR="005E3EBB" w:rsidRPr="00D34D18">
        <w:t xml:space="preserve"> </w:t>
      </w:r>
      <w:r w:rsidRPr="00D34D18">
        <w:t xml:space="preserve">had no advantage in the </w:t>
      </w:r>
      <w:r w:rsidR="005E3EBB">
        <w:t>flavoured</w:t>
      </w:r>
      <w:r w:rsidR="005E3EBB" w:rsidRPr="00D34D18">
        <w:t xml:space="preserve"> </w:t>
      </w:r>
      <w:r w:rsidRPr="00D34D18">
        <w:t xml:space="preserve">vodka segment. </w:t>
      </w:r>
      <w:r w:rsidR="00387EEE">
        <w:t>R</w:t>
      </w:r>
      <w:r w:rsidRPr="00D34D18">
        <w:t>evenues from international operations stagnated at 1</w:t>
      </w:r>
      <w:r w:rsidR="00387EEE">
        <w:t xml:space="preserve"> per cent </w:t>
      </w:r>
      <w:r w:rsidR="00C8462D">
        <w:t xml:space="preserve">of total revenues </w:t>
      </w:r>
      <w:r w:rsidR="00387EEE">
        <w:t>despite</w:t>
      </w:r>
      <w:r w:rsidRPr="00D34D18">
        <w:t xml:space="preserve"> significant investments.</w:t>
      </w:r>
    </w:p>
    <w:p w14:paraId="52ED9FBE" w14:textId="77777777" w:rsidR="001A6D67" w:rsidRPr="00D34D18" w:rsidRDefault="001A6D67" w:rsidP="001A6D67">
      <w:pPr>
        <w:pStyle w:val="BodyTextMain"/>
      </w:pPr>
    </w:p>
    <w:p w14:paraId="011627D9" w14:textId="1EF1DEC6" w:rsidR="005D4E87" w:rsidRPr="00AE4134" w:rsidRDefault="005D4E87" w:rsidP="001A6D67">
      <w:pPr>
        <w:pStyle w:val="BodyTextMain"/>
        <w:rPr>
          <w:spacing w:val="-2"/>
        </w:rPr>
      </w:pPr>
      <w:r w:rsidRPr="00AE4134">
        <w:rPr>
          <w:spacing w:val="-2"/>
        </w:rPr>
        <w:t>Another major project was leveraging brand equity by creating “flankers”</w:t>
      </w:r>
      <w:r w:rsidR="00387EEE" w:rsidRPr="00AE4134">
        <w:rPr>
          <w:spacing w:val="-2"/>
        </w:rPr>
        <w:t>—</w:t>
      </w:r>
      <w:r w:rsidRPr="00AE4134">
        <w:rPr>
          <w:spacing w:val="-2"/>
        </w:rPr>
        <w:t xml:space="preserve">offerings of </w:t>
      </w:r>
      <w:r w:rsidR="004E0886" w:rsidRPr="00AE4134">
        <w:rPr>
          <w:spacing w:val="-2"/>
        </w:rPr>
        <w:t xml:space="preserve">Polmos Lublin’s primary brand, </w:t>
      </w:r>
      <w:r w:rsidR="000F44F9" w:rsidRPr="00AE4134">
        <w:rPr>
          <w:i/>
          <w:spacing w:val="-2"/>
        </w:rPr>
        <w:t>Bitter</w:t>
      </w:r>
      <w:r w:rsidR="000F44F9" w:rsidRPr="00AE4134">
        <w:rPr>
          <w:spacing w:val="-2"/>
        </w:rPr>
        <w:t xml:space="preserve"> (</w:t>
      </w:r>
      <w:r w:rsidR="000B10B2" w:rsidRPr="00AE4134">
        <w:rPr>
          <w:spacing w:val="-2"/>
        </w:rPr>
        <w:t>Żołądkowa</w:t>
      </w:r>
      <w:r w:rsidR="000B10B2" w:rsidRPr="00AE4134" w:rsidDel="00703063">
        <w:rPr>
          <w:spacing w:val="-2"/>
        </w:rPr>
        <w:t xml:space="preserve"> </w:t>
      </w:r>
      <w:r w:rsidR="000B10B2" w:rsidRPr="00AE4134">
        <w:rPr>
          <w:spacing w:val="-2"/>
        </w:rPr>
        <w:t>Gorzka</w:t>
      </w:r>
      <w:r w:rsidR="000F44F9" w:rsidRPr="00AE4134">
        <w:rPr>
          <w:spacing w:val="-2"/>
        </w:rPr>
        <w:t>)</w:t>
      </w:r>
      <w:r w:rsidR="004E0886" w:rsidRPr="00AE4134">
        <w:rPr>
          <w:spacing w:val="-2"/>
        </w:rPr>
        <w:t>,</w:t>
      </w:r>
      <w:r w:rsidR="00387EEE" w:rsidRPr="00AE4134">
        <w:rPr>
          <w:spacing w:val="-2"/>
        </w:rPr>
        <w:t xml:space="preserve"> </w:t>
      </w:r>
      <w:r w:rsidRPr="00AE4134">
        <w:rPr>
          <w:spacing w:val="-2"/>
        </w:rPr>
        <w:t>in different tastes (e.g.</w:t>
      </w:r>
      <w:r w:rsidR="00387EEE" w:rsidRPr="00AE4134">
        <w:rPr>
          <w:spacing w:val="-2"/>
        </w:rPr>
        <w:t>,</w:t>
      </w:r>
      <w:r w:rsidRPr="00AE4134">
        <w:rPr>
          <w:spacing w:val="-2"/>
        </w:rPr>
        <w:t xml:space="preserve"> with mint or honey). The flankers were priced similarly to the original product</w:t>
      </w:r>
      <w:r w:rsidR="00387EEE" w:rsidRPr="00AE4134">
        <w:rPr>
          <w:spacing w:val="-2"/>
        </w:rPr>
        <w:t>,</w:t>
      </w:r>
      <w:r w:rsidRPr="00AE4134">
        <w:rPr>
          <w:spacing w:val="-2"/>
        </w:rPr>
        <w:t xml:space="preserve"> and </w:t>
      </w:r>
      <w:r w:rsidR="00387EEE" w:rsidRPr="00AE4134">
        <w:rPr>
          <w:spacing w:val="-2"/>
        </w:rPr>
        <w:t>were</w:t>
      </w:r>
      <w:r w:rsidRPr="00AE4134">
        <w:rPr>
          <w:spacing w:val="-2"/>
        </w:rPr>
        <w:t xml:space="preserve"> a successful product innovation, especially </w:t>
      </w:r>
      <w:r w:rsidR="000F44F9" w:rsidRPr="00AE4134">
        <w:rPr>
          <w:spacing w:val="-2"/>
        </w:rPr>
        <w:t xml:space="preserve">Bitter </w:t>
      </w:r>
      <w:r w:rsidRPr="00AE4134">
        <w:rPr>
          <w:spacing w:val="-2"/>
        </w:rPr>
        <w:t xml:space="preserve">with mint. </w:t>
      </w:r>
    </w:p>
    <w:p w14:paraId="4A0371EB" w14:textId="77777777" w:rsidR="001A6D67" w:rsidRPr="00D34D18" w:rsidRDefault="001A6D67" w:rsidP="001A6D67">
      <w:pPr>
        <w:pStyle w:val="BodyTextMain"/>
      </w:pPr>
    </w:p>
    <w:p w14:paraId="01362628" w14:textId="02E74650" w:rsidR="005D4E87" w:rsidRPr="00D34D18" w:rsidRDefault="005D4E87" w:rsidP="001A6D67">
      <w:pPr>
        <w:pStyle w:val="BodyTextMain"/>
      </w:pPr>
      <w:r w:rsidRPr="00D34D18">
        <w:t xml:space="preserve">Two additional projects were related to existing offerings. </w:t>
      </w:r>
      <w:r w:rsidR="007D525E">
        <w:t>The company raised the profiles of e</w:t>
      </w:r>
      <w:r w:rsidRPr="00D34D18">
        <w:t>xisting</w:t>
      </w:r>
      <w:r w:rsidR="007D525E">
        <w:t xml:space="preserve"> but</w:t>
      </w:r>
      <w:r w:rsidRPr="00D34D18">
        <w:t xml:space="preserve"> only weakly supported brands of pure vodka </w:t>
      </w:r>
      <w:r w:rsidR="00552202" w:rsidRPr="00D34D18">
        <w:t xml:space="preserve">in the portfolio </w:t>
      </w:r>
      <w:r w:rsidRPr="00D34D18">
        <w:t>(</w:t>
      </w:r>
      <w:r w:rsidRPr="00736710">
        <w:t>1906</w:t>
      </w:r>
      <w:r w:rsidRPr="00387EEE">
        <w:t xml:space="preserve"> and </w:t>
      </w:r>
      <w:r w:rsidRPr="00736710">
        <w:t>Bison</w:t>
      </w:r>
      <w:r w:rsidRPr="00D34D18">
        <w:t xml:space="preserve">). Polmos Lublin also diversified its offering in </w:t>
      </w:r>
      <w:r w:rsidR="007D525E">
        <w:t>flavoured</w:t>
      </w:r>
      <w:r w:rsidR="007D525E" w:rsidRPr="00D34D18">
        <w:t xml:space="preserve"> </w:t>
      </w:r>
      <w:r w:rsidRPr="00D34D18">
        <w:t>vodkas with a new line of lighter, liqueur</w:t>
      </w:r>
      <w:r w:rsidR="007D525E">
        <w:t>-</w:t>
      </w:r>
      <w:r w:rsidRPr="00D34D18">
        <w:t xml:space="preserve">style vodkas with lower alcohol content, branded as </w:t>
      </w:r>
      <w:r w:rsidRPr="00D34D18">
        <w:rPr>
          <w:i/>
        </w:rPr>
        <w:t>Nalewki Kresowe</w:t>
      </w:r>
      <w:r w:rsidRPr="00D34D18">
        <w:t xml:space="preserve"> (</w:t>
      </w:r>
      <w:r w:rsidR="009D208D">
        <w:t xml:space="preserve">Nalewki, </w:t>
      </w:r>
      <w:r w:rsidR="00552202">
        <w:t xml:space="preserve">the </w:t>
      </w:r>
      <w:r w:rsidRPr="00D34D18">
        <w:t>traditional Polish name for homemade fruit-based vodkas). The expectation for this new line was that lack of competition would justify higher prices, and the decreased spirit content</w:t>
      </w:r>
      <w:r w:rsidR="007448B0" w:rsidRPr="007448B0">
        <w:t xml:space="preserve"> </w:t>
      </w:r>
      <w:r w:rsidR="007448B0">
        <w:t xml:space="preserve">would result in less </w:t>
      </w:r>
      <w:r w:rsidR="007448B0" w:rsidRPr="00D34D18">
        <w:t>excise tax</w:t>
      </w:r>
      <w:r w:rsidRPr="00D34D18">
        <w:t xml:space="preserve">, thus allowing for high margins. However, </w:t>
      </w:r>
      <w:r w:rsidRPr="00736710">
        <w:t>Nalewki</w:t>
      </w:r>
      <w:r w:rsidRPr="00D34D18">
        <w:t xml:space="preserve"> did not sell very well</w:t>
      </w:r>
      <w:r w:rsidR="007D0603">
        <w:t>,</w:t>
      </w:r>
      <w:r w:rsidRPr="00D34D18">
        <w:t xml:space="preserve"> and </w:t>
      </w:r>
      <w:r w:rsidR="007D0603">
        <w:t xml:space="preserve">it </w:t>
      </w:r>
      <w:r w:rsidR="009D208D">
        <w:t>was</w:t>
      </w:r>
      <w:r w:rsidR="009D208D" w:rsidRPr="00D34D18">
        <w:t xml:space="preserve"> </w:t>
      </w:r>
      <w:r w:rsidRPr="00D34D18">
        <w:t xml:space="preserve">bought mainly </w:t>
      </w:r>
      <w:r w:rsidR="009D208D">
        <w:t>for</w:t>
      </w:r>
      <w:r w:rsidR="009D208D" w:rsidRPr="00D34D18">
        <w:t xml:space="preserve"> </w:t>
      </w:r>
      <w:r w:rsidRPr="00D34D18">
        <w:t xml:space="preserve">gifts. </w:t>
      </w:r>
    </w:p>
    <w:p w14:paraId="15628D0C" w14:textId="77777777" w:rsidR="001A6D67" w:rsidRPr="00AE4134" w:rsidRDefault="001A6D67" w:rsidP="001A6D67">
      <w:pPr>
        <w:pStyle w:val="BodyTextMain"/>
      </w:pPr>
    </w:p>
    <w:p w14:paraId="00C9C7E7" w14:textId="3CBD759E" w:rsidR="005D4E87" w:rsidRPr="00D34D18" w:rsidRDefault="005D4E87" w:rsidP="001A6D67">
      <w:pPr>
        <w:pStyle w:val="BodyTextMain"/>
      </w:pPr>
      <w:r w:rsidRPr="00D34D18">
        <w:t xml:space="preserve">In parallel, the </w:t>
      </w:r>
      <w:r w:rsidR="00051810">
        <w:t>executive board</w:t>
      </w:r>
      <w:r w:rsidRPr="00D34D18">
        <w:t xml:space="preserve"> prepar</w:t>
      </w:r>
      <w:r w:rsidR="007448B0">
        <w:t>ed</w:t>
      </w:r>
      <w:r w:rsidRPr="00D34D18">
        <w:t xml:space="preserve"> to acquire Polmos Bialystok, the last remaining state-owned major </w:t>
      </w:r>
      <w:r w:rsidR="007448B0">
        <w:t>producer</w:t>
      </w:r>
      <w:r w:rsidRPr="00D34D18">
        <w:t>, and made the</w:t>
      </w:r>
      <w:r w:rsidR="007448B0">
        <w:t>ir</w:t>
      </w:r>
      <w:r w:rsidRPr="00D34D18">
        <w:t xml:space="preserve"> intention to bid public knowledge. This announcement triggered strong competitive reaction. </w:t>
      </w:r>
      <w:r w:rsidR="00F6797B" w:rsidRPr="00F6797B">
        <w:t>Central European</w:t>
      </w:r>
      <w:r w:rsidR="00F6797B">
        <w:t xml:space="preserve"> Distribution Corporation (</w:t>
      </w:r>
      <w:r w:rsidRPr="00D34D18">
        <w:t>CEDC</w:t>
      </w:r>
      <w:r w:rsidR="00F6797B">
        <w:t>)</w:t>
      </w:r>
      <w:r w:rsidRPr="00D34D18">
        <w:t>, which had become the largest distributor of liquors in Poland</w:t>
      </w:r>
      <w:r w:rsidR="00395D06">
        <w:t xml:space="preserve"> </w:t>
      </w:r>
      <w:r w:rsidRPr="00D34D18">
        <w:t>(</w:t>
      </w:r>
      <w:r w:rsidR="007D0603">
        <w:t>i</w:t>
      </w:r>
      <w:r w:rsidRPr="00D34D18">
        <w:t>t held 30</w:t>
      </w:r>
      <w:r w:rsidR="007448B0">
        <w:t xml:space="preserve"> per cent</w:t>
      </w:r>
      <w:r w:rsidRPr="00D34D18">
        <w:t xml:space="preserve"> of the total market, and was responsible for the distribution of 35</w:t>
      </w:r>
      <w:r w:rsidR="007448B0">
        <w:t xml:space="preserve"> per cent</w:t>
      </w:r>
      <w:r w:rsidRPr="00D34D18">
        <w:t xml:space="preserve"> of Polmos Lublin’s products), decided to integrate production</w:t>
      </w:r>
      <w:r w:rsidR="002B12EB">
        <w:t xml:space="preserve"> with distribution</w:t>
      </w:r>
      <w:r w:rsidRPr="00D34D18">
        <w:t xml:space="preserve">. It acquired </w:t>
      </w:r>
      <w:r w:rsidRPr="00736710">
        <w:t>Bols</w:t>
      </w:r>
      <w:r w:rsidR="007448B0">
        <w:t>’</w:t>
      </w:r>
      <w:r w:rsidRPr="00D34D18">
        <w:t xml:space="preserve"> vodka operations in Poland and decided to participate in the acquisition bid</w:t>
      </w:r>
      <w:r w:rsidR="007448B0">
        <w:t xml:space="preserve"> for Polmos Bialystok</w:t>
      </w:r>
      <w:r w:rsidRPr="00D34D18">
        <w:t>. Several days later, CEDC cancelled all orders from Polmos Lublin due to “high level of inventory.”</w:t>
      </w:r>
      <w:r w:rsidR="00395D06">
        <w:t xml:space="preserve"> </w:t>
      </w:r>
      <w:r w:rsidRPr="00D34D18">
        <w:t>Several other</w:t>
      </w:r>
      <w:r w:rsidR="00D251CC">
        <w:t>s</w:t>
      </w:r>
      <w:r w:rsidRPr="00D34D18">
        <w:t xml:space="preserve"> also announced their intention to buy Polmos Bialystok. </w:t>
      </w:r>
    </w:p>
    <w:p w14:paraId="58068CEB" w14:textId="77777777" w:rsidR="001A6D67" w:rsidRPr="00D34D18" w:rsidRDefault="001A6D67" w:rsidP="001A6D67">
      <w:pPr>
        <w:pStyle w:val="BodyTextMain"/>
      </w:pPr>
    </w:p>
    <w:p w14:paraId="0E590B13" w14:textId="4B55F9DA" w:rsidR="005D4E87" w:rsidRPr="00D34D18" w:rsidRDefault="005D4E87" w:rsidP="001A6D67">
      <w:pPr>
        <w:pStyle w:val="BodyTextMain"/>
      </w:pPr>
      <w:r w:rsidRPr="00D34D18">
        <w:lastRenderedPageBreak/>
        <w:t xml:space="preserve">To make things even worse, </w:t>
      </w:r>
      <w:r w:rsidR="00D251CC" w:rsidRPr="00D34D18">
        <w:t>Polmos Lublin</w:t>
      </w:r>
      <w:r w:rsidR="00D251CC">
        <w:t>’s</w:t>
      </w:r>
      <w:r w:rsidR="00D251CC" w:rsidRPr="00D34D18">
        <w:t xml:space="preserve"> </w:t>
      </w:r>
      <w:r w:rsidRPr="00D34D18">
        <w:t xml:space="preserve">core product came under threat. Unnerved by the dominant position of </w:t>
      </w:r>
      <w:r w:rsidR="000F44F9">
        <w:t>Bitter</w:t>
      </w:r>
      <w:r w:rsidRPr="00D34D18">
        <w:rPr>
          <w:i/>
        </w:rPr>
        <w:t xml:space="preserve"> </w:t>
      </w:r>
      <w:r w:rsidRPr="00D34D18">
        <w:t>and drawn by the fast growth of the flavo</w:t>
      </w:r>
      <w:r w:rsidR="00D251CC">
        <w:t>u</w:t>
      </w:r>
      <w:r w:rsidRPr="00D34D18">
        <w:t xml:space="preserve">red vodkas segment, the </w:t>
      </w:r>
      <w:r w:rsidR="004C1819">
        <w:t xml:space="preserve">Belvedere (renamed after its leading vodka brand in Poland </w:t>
      </w:r>
      <w:r w:rsidR="00E710B3">
        <w:t>as</w:t>
      </w:r>
      <w:r w:rsidR="004C1819">
        <w:t xml:space="preserve"> </w:t>
      </w:r>
      <w:r w:rsidRPr="00D34D18">
        <w:t>Sobieski</w:t>
      </w:r>
      <w:r w:rsidR="004C1819">
        <w:t>)</w:t>
      </w:r>
      <w:r w:rsidRPr="00D34D18">
        <w:t xml:space="preserve"> decided to </w:t>
      </w:r>
      <w:r w:rsidR="00D251CC">
        <w:t>promote</w:t>
      </w:r>
      <w:r w:rsidRPr="00D34D18">
        <w:t xml:space="preserve"> its traditional</w:t>
      </w:r>
      <w:r w:rsidR="00D251CC">
        <w:t xml:space="preserve"> honey vodka </w:t>
      </w:r>
      <w:r w:rsidRPr="00D34D18">
        <w:t>brand</w:t>
      </w:r>
      <w:r w:rsidR="00D251CC">
        <w:t>,</w:t>
      </w:r>
      <w:r w:rsidR="00D251CC" w:rsidRPr="00D251CC">
        <w:t xml:space="preserve"> </w:t>
      </w:r>
      <w:r w:rsidR="00D251CC">
        <w:t>Krupnik. Sobieski</w:t>
      </w:r>
      <w:r w:rsidRPr="00D34D18">
        <w:t xml:space="preserve"> also launched a new flavo</w:t>
      </w:r>
      <w:r w:rsidR="00D251CC">
        <w:t>u</w:t>
      </w:r>
      <w:r w:rsidRPr="00D34D18">
        <w:t xml:space="preserve">red vodka, </w:t>
      </w:r>
      <w:r w:rsidRPr="00736710">
        <w:t>Balsam Pomorski</w:t>
      </w:r>
      <w:r w:rsidR="00D251CC" w:rsidRPr="00D251CC">
        <w:rPr>
          <w:i/>
        </w:rPr>
        <w:t xml:space="preserve"> </w:t>
      </w:r>
      <w:r w:rsidR="009D208D">
        <w:t>(Balsam)</w:t>
      </w:r>
      <w:r w:rsidRPr="00D251CC">
        <w:t>.</w:t>
      </w:r>
      <w:r w:rsidRPr="00D34D18">
        <w:t xml:space="preserve"> </w:t>
      </w:r>
      <w:r w:rsidRPr="00736710">
        <w:t>Bal</w:t>
      </w:r>
      <w:r w:rsidR="00D251CC" w:rsidRPr="00736710">
        <w:t>s</w:t>
      </w:r>
      <w:r w:rsidR="001168B2" w:rsidRPr="00736710">
        <w:t>am</w:t>
      </w:r>
      <w:r w:rsidRPr="00D34D18">
        <w:t xml:space="preserve"> looked like </w:t>
      </w:r>
      <w:r w:rsidR="000F44F9">
        <w:t>Bitter</w:t>
      </w:r>
      <w:r w:rsidRPr="00D34D18">
        <w:t xml:space="preserve"> and tasted similar (</w:t>
      </w:r>
      <w:r w:rsidR="00D251CC">
        <w:t>see Exhibit</w:t>
      </w:r>
      <w:r w:rsidRPr="00D34D18">
        <w:t xml:space="preserve"> 1). Sobieski priced </w:t>
      </w:r>
      <w:r w:rsidR="001168B2">
        <w:t>their new vodka</w:t>
      </w:r>
      <w:r w:rsidR="001168B2" w:rsidRPr="00D34D18">
        <w:t xml:space="preserve"> </w:t>
      </w:r>
      <w:r w:rsidRPr="00D34D18">
        <w:t>below</w:t>
      </w:r>
      <w:r w:rsidR="001168B2">
        <w:t xml:space="preserve"> </w:t>
      </w:r>
      <w:r w:rsidR="000F44F9">
        <w:t>Bitter</w:t>
      </w:r>
      <w:r w:rsidRPr="00D34D18">
        <w:t xml:space="preserve">, benefiting from </w:t>
      </w:r>
      <w:r w:rsidR="001168B2">
        <w:t>an</w:t>
      </w:r>
      <w:r w:rsidR="001168B2" w:rsidRPr="00D34D18">
        <w:t xml:space="preserve"> </w:t>
      </w:r>
      <w:r w:rsidRPr="00D34D18">
        <w:t xml:space="preserve">advantage </w:t>
      </w:r>
      <w:r w:rsidR="001168B2">
        <w:t>of</w:t>
      </w:r>
      <w:r w:rsidR="001168B2" w:rsidRPr="00D34D18">
        <w:t xml:space="preserve"> </w:t>
      </w:r>
      <w:r w:rsidRPr="00D34D18">
        <w:t xml:space="preserve">economies of scale and control over the distribution network. </w:t>
      </w:r>
    </w:p>
    <w:p w14:paraId="090A8A42" w14:textId="77777777" w:rsidR="001A6D67" w:rsidRPr="00D34D18" w:rsidRDefault="001A6D67" w:rsidP="001A6D67">
      <w:pPr>
        <w:pStyle w:val="BodyTextMain"/>
      </w:pPr>
    </w:p>
    <w:p w14:paraId="1954FB25" w14:textId="13C78FCB" w:rsidR="00F92B2D" w:rsidRPr="00AE4134" w:rsidRDefault="002B12EB" w:rsidP="001A6D67">
      <w:pPr>
        <w:pStyle w:val="BodyTextMain"/>
        <w:rPr>
          <w:spacing w:val="-2"/>
        </w:rPr>
      </w:pPr>
      <w:r w:rsidRPr="00AE4134">
        <w:rPr>
          <w:spacing w:val="-2"/>
        </w:rPr>
        <w:t xml:space="preserve">Polmos Lublin’s </w:t>
      </w:r>
      <w:r w:rsidR="00051810" w:rsidRPr="00AE4134">
        <w:rPr>
          <w:spacing w:val="-2"/>
        </w:rPr>
        <w:t>executive board</w:t>
      </w:r>
      <w:r w:rsidR="005D4E87" w:rsidRPr="00AE4134">
        <w:rPr>
          <w:spacing w:val="-2"/>
        </w:rPr>
        <w:t xml:space="preserve"> initially trivialized the threat, assuming that a lower quality</w:t>
      </w:r>
      <w:r w:rsidR="001168B2" w:rsidRPr="00AE4134">
        <w:rPr>
          <w:spacing w:val="-2"/>
        </w:rPr>
        <w:t xml:space="preserve"> and </w:t>
      </w:r>
      <w:r w:rsidR="005D4E87" w:rsidRPr="00AE4134">
        <w:rPr>
          <w:spacing w:val="-2"/>
        </w:rPr>
        <w:t>lower price</w:t>
      </w:r>
      <w:r w:rsidR="001168B2" w:rsidRPr="00AE4134">
        <w:rPr>
          <w:spacing w:val="-2"/>
        </w:rPr>
        <w:t>d</w:t>
      </w:r>
      <w:r w:rsidR="005D4E87" w:rsidRPr="00AE4134">
        <w:rPr>
          <w:spacing w:val="-2"/>
        </w:rPr>
        <w:t xml:space="preserve"> product would not pose a competitive challenge. Indeed, </w:t>
      </w:r>
      <w:r w:rsidR="001168B2" w:rsidRPr="00AE4134">
        <w:rPr>
          <w:spacing w:val="-2"/>
        </w:rPr>
        <w:t xml:space="preserve">in </w:t>
      </w:r>
      <w:r w:rsidR="005D4E87" w:rsidRPr="00AE4134">
        <w:rPr>
          <w:spacing w:val="-2"/>
        </w:rPr>
        <w:t>the beginning, the impact of Bal</w:t>
      </w:r>
      <w:r w:rsidR="001168B2" w:rsidRPr="00AE4134">
        <w:rPr>
          <w:spacing w:val="-2"/>
        </w:rPr>
        <w:t>sa</w:t>
      </w:r>
      <w:r w:rsidR="005D4E87" w:rsidRPr="00AE4134">
        <w:rPr>
          <w:spacing w:val="-2"/>
        </w:rPr>
        <w:t>m on Polmos Lublin was rather mild</w:t>
      </w:r>
      <w:r w:rsidR="001168B2" w:rsidRPr="00AE4134">
        <w:rPr>
          <w:spacing w:val="-2"/>
        </w:rPr>
        <w:t>;</w:t>
      </w:r>
      <w:r w:rsidR="005D4E87" w:rsidRPr="00AE4134">
        <w:rPr>
          <w:spacing w:val="-2"/>
        </w:rPr>
        <w:t xml:space="preserve"> while </w:t>
      </w:r>
      <w:r w:rsidR="001168B2" w:rsidRPr="00AE4134">
        <w:rPr>
          <w:spacing w:val="-2"/>
        </w:rPr>
        <w:t xml:space="preserve">Balsam </w:t>
      </w:r>
      <w:r w:rsidR="005D4E87" w:rsidRPr="00AE4134">
        <w:rPr>
          <w:spacing w:val="-2"/>
        </w:rPr>
        <w:t xml:space="preserve">took market share away from </w:t>
      </w:r>
      <w:r w:rsidR="000F44F9" w:rsidRPr="00AE4134">
        <w:rPr>
          <w:spacing w:val="-2"/>
        </w:rPr>
        <w:t>Bitter</w:t>
      </w:r>
      <w:r w:rsidR="005D4E87" w:rsidRPr="00AE4134">
        <w:rPr>
          <w:spacing w:val="-2"/>
        </w:rPr>
        <w:t>, it also contributed to overall growth in the flavo</w:t>
      </w:r>
      <w:r w:rsidR="001168B2" w:rsidRPr="00AE4134">
        <w:rPr>
          <w:spacing w:val="-2"/>
        </w:rPr>
        <w:t>u</w:t>
      </w:r>
      <w:r w:rsidR="005D4E87" w:rsidRPr="00AE4134">
        <w:rPr>
          <w:spacing w:val="-2"/>
        </w:rPr>
        <w:t>red vodka market. However, with time, Bal</w:t>
      </w:r>
      <w:r w:rsidR="001168B2" w:rsidRPr="00AE4134">
        <w:rPr>
          <w:spacing w:val="-2"/>
        </w:rPr>
        <w:t>sa</w:t>
      </w:r>
      <w:r w:rsidR="005D4E87" w:rsidRPr="00AE4134">
        <w:rPr>
          <w:spacing w:val="-2"/>
        </w:rPr>
        <w:t>m</w:t>
      </w:r>
      <w:r w:rsidR="005D4E87" w:rsidRPr="00AE4134">
        <w:rPr>
          <w:i/>
          <w:spacing w:val="-2"/>
        </w:rPr>
        <w:t xml:space="preserve"> </w:t>
      </w:r>
      <w:r w:rsidR="005D4E87" w:rsidRPr="00AE4134">
        <w:rPr>
          <w:spacing w:val="-2"/>
        </w:rPr>
        <w:t xml:space="preserve">became a substitute for </w:t>
      </w:r>
      <w:r w:rsidR="000F44F9" w:rsidRPr="00AE4134">
        <w:rPr>
          <w:spacing w:val="-2"/>
        </w:rPr>
        <w:t>Bitter</w:t>
      </w:r>
      <w:r w:rsidR="005D4E87" w:rsidRPr="00AE4134">
        <w:rPr>
          <w:i/>
          <w:spacing w:val="-2"/>
        </w:rPr>
        <w:t xml:space="preserve"> </w:t>
      </w:r>
      <w:r w:rsidR="005D4E87" w:rsidRPr="00AE4134">
        <w:rPr>
          <w:spacing w:val="-2"/>
        </w:rPr>
        <w:t>and its market share grew rapidly from 0.5</w:t>
      </w:r>
      <w:r w:rsidR="001168B2" w:rsidRPr="00AE4134">
        <w:rPr>
          <w:spacing w:val="-2"/>
        </w:rPr>
        <w:t xml:space="preserve"> per cent</w:t>
      </w:r>
      <w:r w:rsidR="005D4E87" w:rsidRPr="00AE4134">
        <w:rPr>
          <w:spacing w:val="-2"/>
        </w:rPr>
        <w:t xml:space="preserve"> in 2004 to 3.1</w:t>
      </w:r>
      <w:r w:rsidR="001168B2" w:rsidRPr="00AE4134">
        <w:rPr>
          <w:spacing w:val="-2"/>
        </w:rPr>
        <w:t xml:space="preserve"> per cent</w:t>
      </w:r>
      <w:r w:rsidR="005D4E87" w:rsidRPr="00AE4134">
        <w:rPr>
          <w:spacing w:val="-2"/>
        </w:rPr>
        <w:t xml:space="preserve"> of the total vodka market volume in 2005. </w:t>
      </w:r>
    </w:p>
    <w:p w14:paraId="0FE0D5F2" w14:textId="77777777" w:rsidR="00F92B2D" w:rsidRDefault="00F92B2D" w:rsidP="001A6D67">
      <w:pPr>
        <w:pStyle w:val="BodyTextMain"/>
      </w:pPr>
    </w:p>
    <w:p w14:paraId="7466BBD9" w14:textId="20DD50E5" w:rsidR="005D4E87" w:rsidRPr="00736710" w:rsidRDefault="001168B2" w:rsidP="001A6D67">
      <w:pPr>
        <w:pStyle w:val="BodyTextMain"/>
        <w:rPr>
          <w:lang w:val="en-US"/>
        </w:rPr>
      </w:pPr>
      <w:r>
        <w:t xml:space="preserve">In contrast, </w:t>
      </w:r>
      <w:r w:rsidR="000F44F9">
        <w:t>Bitter</w:t>
      </w:r>
      <w:r>
        <w:t>’s t</w:t>
      </w:r>
      <w:r w:rsidR="005D4E87" w:rsidRPr="00D34D18">
        <w:t>otal market share dropped from 6.4</w:t>
      </w:r>
      <w:r>
        <w:t xml:space="preserve"> per cent</w:t>
      </w:r>
      <w:r w:rsidR="005D4E87" w:rsidRPr="00D34D18">
        <w:t xml:space="preserve"> to 5.8</w:t>
      </w:r>
      <w:r>
        <w:t xml:space="preserve"> per cent</w:t>
      </w:r>
      <w:r w:rsidR="005D4E87" w:rsidRPr="00D34D18">
        <w:t xml:space="preserve"> in January 2005</w:t>
      </w:r>
      <w:r w:rsidR="00002E1E">
        <w:t>,</w:t>
      </w:r>
      <w:r w:rsidR="005D4E87" w:rsidRPr="00D34D18">
        <w:t xml:space="preserve"> and further </w:t>
      </w:r>
      <w:r w:rsidR="00002E1E">
        <w:t xml:space="preserve">dropped </w:t>
      </w:r>
      <w:r w:rsidR="005D4E87" w:rsidRPr="00D34D18">
        <w:t>to 5</w:t>
      </w:r>
      <w:r>
        <w:t xml:space="preserve"> per cent</w:t>
      </w:r>
      <w:r w:rsidR="005D4E87" w:rsidRPr="00D34D18">
        <w:t xml:space="preserve"> in May 2005 (</w:t>
      </w:r>
      <w:r>
        <w:t>see Exhibit</w:t>
      </w:r>
      <w:r w:rsidR="005D4E87" w:rsidRPr="00D34D18">
        <w:t xml:space="preserve"> 2). The </w:t>
      </w:r>
      <w:r>
        <w:t xml:space="preserve">company’s </w:t>
      </w:r>
      <w:r w:rsidR="005D4E87" w:rsidRPr="00D34D18">
        <w:t xml:space="preserve">financial results deteriorated rapidly as a result. Investors noticed </w:t>
      </w:r>
      <w:r w:rsidR="00F92B2D" w:rsidRPr="00D34D18">
        <w:t>Polmos Lublin</w:t>
      </w:r>
      <w:r w:rsidR="00F92B2D">
        <w:t>’s</w:t>
      </w:r>
      <w:r w:rsidR="00F92B2D" w:rsidRPr="00D34D18">
        <w:t xml:space="preserve"> </w:t>
      </w:r>
      <w:r w:rsidR="005D4E87" w:rsidRPr="00D34D18">
        <w:t>difficult situation</w:t>
      </w:r>
      <w:r w:rsidR="00F92B2D">
        <w:t xml:space="preserve">; </w:t>
      </w:r>
      <w:r w:rsidR="005D4E87" w:rsidRPr="00D34D18">
        <w:t xml:space="preserve">the </w:t>
      </w:r>
      <w:r w:rsidR="00F92B2D">
        <w:t xml:space="preserve">company’s share </w:t>
      </w:r>
      <w:r w:rsidR="005D4E87" w:rsidRPr="00D34D18">
        <w:t xml:space="preserve">value tanked from </w:t>
      </w:r>
      <w:r w:rsidR="00F92B2D" w:rsidRPr="00F92B2D">
        <w:rPr>
          <w:lang w:val="en-US"/>
        </w:rPr>
        <w:t>zł</w:t>
      </w:r>
      <w:r w:rsidR="005D4E87" w:rsidRPr="00D34D18">
        <w:t>50</w:t>
      </w:r>
      <w:r w:rsidR="00F92B2D">
        <w:rPr>
          <w:rStyle w:val="FootnoteReference"/>
        </w:rPr>
        <w:footnoteReference w:id="1"/>
      </w:r>
      <w:r w:rsidR="005D4E87" w:rsidRPr="00D34D18">
        <w:t xml:space="preserve"> at the time of the IPO to </w:t>
      </w:r>
      <w:r w:rsidR="00632BCC" w:rsidRPr="00F92B2D">
        <w:rPr>
          <w:lang w:val="en-US"/>
        </w:rPr>
        <w:t>zł</w:t>
      </w:r>
      <w:r w:rsidR="005D4E87" w:rsidRPr="00D34D18">
        <w:t>30</w:t>
      </w:r>
      <w:r w:rsidR="00632BCC">
        <w:t xml:space="preserve"> </w:t>
      </w:r>
      <w:r w:rsidR="005D4E87" w:rsidRPr="00D34D18">
        <w:t xml:space="preserve">in July 2005 (see </w:t>
      </w:r>
      <w:r w:rsidR="00632BCC">
        <w:t>Exhibit</w:t>
      </w:r>
      <w:r w:rsidR="00632BCC" w:rsidRPr="00D34D18">
        <w:t xml:space="preserve"> </w:t>
      </w:r>
      <w:r w:rsidR="005D4E87" w:rsidRPr="00D34D18">
        <w:t xml:space="preserve">3). </w:t>
      </w:r>
      <w:r w:rsidR="00632BCC" w:rsidRPr="00D34D18">
        <w:t>Polmos Lublin</w:t>
      </w:r>
      <w:r w:rsidR="00632BCC">
        <w:t>’s</w:t>
      </w:r>
      <w:r w:rsidR="00632BCC" w:rsidRPr="00D34D18">
        <w:t xml:space="preserve"> </w:t>
      </w:r>
      <w:r w:rsidR="005D4E87" w:rsidRPr="00D34D18">
        <w:t>competitive position and financial results did not seem as invincible as in former years</w:t>
      </w:r>
      <w:r w:rsidR="00632BCC">
        <w:t xml:space="preserve"> </w:t>
      </w:r>
      <w:r w:rsidR="00632BCC" w:rsidRPr="00D34D18">
        <w:t xml:space="preserve">(see </w:t>
      </w:r>
      <w:r w:rsidR="00632BCC">
        <w:t>Exhibit</w:t>
      </w:r>
      <w:r w:rsidR="00632BCC" w:rsidRPr="00D34D18">
        <w:t xml:space="preserve"> 4)</w:t>
      </w:r>
      <w:r w:rsidR="005D4E87" w:rsidRPr="00D34D18">
        <w:t xml:space="preserve">. </w:t>
      </w:r>
      <w:r w:rsidR="00632BCC">
        <w:t xml:space="preserve">Compounding the problem </w:t>
      </w:r>
      <w:r w:rsidR="005D4E87" w:rsidRPr="00D34D18">
        <w:t xml:space="preserve">with decreasing demand, new machinery </w:t>
      </w:r>
      <w:r w:rsidR="00632BCC">
        <w:t xml:space="preserve">that </w:t>
      </w:r>
      <w:r w:rsidR="005D4E87" w:rsidRPr="00D34D18">
        <w:t>allow</w:t>
      </w:r>
      <w:r w:rsidR="00632BCC">
        <w:t>ed</w:t>
      </w:r>
      <w:r w:rsidR="005D4E87" w:rsidRPr="00D34D18">
        <w:t xml:space="preserve"> doubled production capacity was about to arrive.</w:t>
      </w:r>
      <w:r w:rsidR="00395D06">
        <w:t xml:space="preserve"> </w:t>
      </w:r>
    </w:p>
    <w:p w14:paraId="244164AD" w14:textId="77777777" w:rsidR="001A6D67" w:rsidRPr="00D34D18" w:rsidRDefault="001A6D67" w:rsidP="001A6D67">
      <w:pPr>
        <w:pStyle w:val="BodyTextMain"/>
      </w:pPr>
    </w:p>
    <w:p w14:paraId="7BC0099A" w14:textId="65752274" w:rsidR="005D4E87" w:rsidRPr="00736710" w:rsidRDefault="00992E34" w:rsidP="001A6D67">
      <w:pPr>
        <w:pStyle w:val="BodyTextMain"/>
        <w:rPr>
          <w:lang w:val="en-US"/>
        </w:rPr>
      </w:pPr>
      <w:r>
        <w:t>A factor contributing to</w:t>
      </w:r>
      <w:r w:rsidR="005D4E87" w:rsidRPr="00D34D18">
        <w:t xml:space="preserve"> these problems was management</w:t>
      </w:r>
      <w:r>
        <w:t>’s</w:t>
      </w:r>
      <w:r w:rsidR="005D4E87" w:rsidRPr="00D34D18">
        <w:t xml:space="preserve"> </w:t>
      </w:r>
      <w:r>
        <w:t>redirected attention; they had been focusing</w:t>
      </w:r>
      <w:r w:rsidRPr="00D34D18">
        <w:t xml:space="preserve"> </w:t>
      </w:r>
      <w:r>
        <w:t>their</w:t>
      </w:r>
      <w:r w:rsidRPr="00D34D18">
        <w:t xml:space="preserve"> </w:t>
      </w:r>
      <w:r w:rsidR="005D4E87" w:rsidRPr="00D34D18">
        <w:t xml:space="preserve">time and attention </w:t>
      </w:r>
      <w:r>
        <w:t>on</w:t>
      </w:r>
      <w:r w:rsidRPr="00D34D18">
        <w:t xml:space="preserve"> </w:t>
      </w:r>
      <w:r w:rsidR="005D4E87" w:rsidRPr="00D34D18">
        <w:t xml:space="preserve">the complex preparation </w:t>
      </w:r>
      <w:r>
        <w:t xml:space="preserve">to bid </w:t>
      </w:r>
      <w:r w:rsidR="005D4E87" w:rsidRPr="00D34D18">
        <w:t xml:space="preserve">for Polmos Bialystok. </w:t>
      </w:r>
      <w:r>
        <w:t>Yet, de</w:t>
      </w:r>
      <w:r w:rsidR="005D4E87" w:rsidRPr="00D34D18">
        <w:t>spite spending over €1</w:t>
      </w:r>
      <w:r>
        <w:t> million</w:t>
      </w:r>
      <w:r w:rsidR="005D4E87" w:rsidRPr="00D34D18">
        <w:t xml:space="preserve"> on the bidding process, the company lost to CEDC</w:t>
      </w:r>
      <w:r>
        <w:t>. T</w:t>
      </w:r>
      <w:r w:rsidR="005D4E87" w:rsidRPr="00D34D18">
        <w:t xml:space="preserve">he </w:t>
      </w:r>
      <w:r>
        <w:t xml:space="preserve">country’s </w:t>
      </w:r>
      <w:r w:rsidR="005D4E87" w:rsidRPr="00D34D18">
        <w:t xml:space="preserve">largest distributor also became the </w:t>
      </w:r>
      <w:r>
        <w:t xml:space="preserve">country’s </w:t>
      </w:r>
      <w:r w:rsidR="005D4E87" w:rsidRPr="00D34D18">
        <w:t xml:space="preserve">largest vodka producer. CEDC paid almost </w:t>
      </w:r>
      <w:r w:rsidRPr="00992E34">
        <w:rPr>
          <w:lang w:val="en-US"/>
        </w:rPr>
        <w:t>zł</w:t>
      </w:r>
      <w:r w:rsidR="005D4E87" w:rsidRPr="00D34D18">
        <w:t>1.06</w:t>
      </w:r>
      <w:r>
        <w:t xml:space="preserve"> billion</w:t>
      </w:r>
      <w:r w:rsidR="005D4E87" w:rsidRPr="00D34D18">
        <w:t xml:space="preserve"> (€250</w:t>
      </w:r>
      <w:r>
        <w:t xml:space="preserve"> million</w:t>
      </w:r>
      <w:r w:rsidR="005D4E87" w:rsidRPr="00D34D18">
        <w:t>) for 61</w:t>
      </w:r>
      <w:r>
        <w:t xml:space="preserve"> per cent</w:t>
      </w:r>
      <w:r w:rsidR="005D4E87" w:rsidRPr="00D34D18">
        <w:t xml:space="preserve"> ownership of Polmos Bialystok</w:t>
      </w:r>
      <w:r w:rsidR="00055CC2">
        <w:t>—</w:t>
      </w:r>
      <w:r w:rsidR="005D4E87" w:rsidRPr="00D34D18">
        <w:t>a price judged as excessive by most analysts. However, the new competitive landscape gave CEDC a market lead with 32</w:t>
      </w:r>
      <w:r w:rsidR="00055CC2">
        <w:t xml:space="preserve"> per cent</w:t>
      </w:r>
      <w:r w:rsidR="005D4E87" w:rsidRPr="00D34D18">
        <w:t xml:space="preserve"> of the total market and </w:t>
      </w:r>
      <w:r w:rsidR="008C368F">
        <w:t xml:space="preserve">the </w:t>
      </w:r>
      <w:r w:rsidR="005D4E87" w:rsidRPr="00D34D18">
        <w:t xml:space="preserve">two leading pure vodka brands, </w:t>
      </w:r>
      <w:r w:rsidR="008C368F" w:rsidRPr="00736710">
        <w:t>Absolwent</w:t>
      </w:r>
      <w:r w:rsidR="008C368F" w:rsidRPr="00D34D18">
        <w:t xml:space="preserve"> </w:t>
      </w:r>
      <w:r w:rsidR="005D4E87" w:rsidRPr="00D34D18">
        <w:t xml:space="preserve">and </w:t>
      </w:r>
      <w:r w:rsidR="005D4E87" w:rsidRPr="00736710">
        <w:t>Bols</w:t>
      </w:r>
      <w:r w:rsidR="008C368F">
        <w:t xml:space="preserve">. Their flavoured vodka, </w:t>
      </w:r>
      <w:r w:rsidR="008C368F" w:rsidRPr="00B10ACF">
        <w:t>Żubrówka</w:t>
      </w:r>
      <w:r w:rsidR="008C368F">
        <w:t xml:space="preserve">, moved into second place, just behind </w:t>
      </w:r>
      <w:r w:rsidR="000F44F9">
        <w:t>Bitter</w:t>
      </w:r>
      <w:r w:rsidR="008C368F">
        <w:t xml:space="preserve">. </w:t>
      </w:r>
      <w:r w:rsidR="005D4E87" w:rsidRPr="00D34D18">
        <w:t>Sobieski now controlled 31</w:t>
      </w:r>
      <w:r w:rsidR="00882F29">
        <w:t xml:space="preserve"> per cent</w:t>
      </w:r>
      <w:r w:rsidR="005D4E87" w:rsidRPr="00D34D18">
        <w:t xml:space="preserve"> of the market</w:t>
      </w:r>
      <w:r w:rsidR="00882F29">
        <w:t xml:space="preserve">, followed by </w:t>
      </w:r>
      <w:r w:rsidR="005D4E87" w:rsidRPr="00D34D18">
        <w:t>Polmos Zielona Gora with 7.5</w:t>
      </w:r>
      <w:r w:rsidR="00882F29">
        <w:t xml:space="preserve"> per cent</w:t>
      </w:r>
      <w:r w:rsidR="005D4E87" w:rsidRPr="00D34D18">
        <w:t>. Polmos Lublin’s market share shrank to 5</w:t>
      </w:r>
      <w:r w:rsidR="00882F29">
        <w:t xml:space="preserve"> per cent</w:t>
      </w:r>
      <w:r w:rsidR="005D4E87" w:rsidRPr="00D34D18">
        <w:t xml:space="preserve"> of the national market</w:t>
      </w:r>
      <w:r w:rsidR="00882F29">
        <w:t xml:space="preserve"> by </w:t>
      </w:r>
      <w:r w:rsidR="005D4E87" w:rsidRPr="00D34D18">
        <w:t xml:space="preserve">volume. </w:t>
      </w:r>
    </w:p>
    <w:p w14:paraId="113D4119" w14:textId="77777777" w:rsidR="001A6D67" w:rsidRPr="00D34D18" w:rsidRDefault="001A6D67" w:rsidP="001A6D67">
      <w:pPr>
        <w:pStyle w:val="BodyTextMain"/>
      </w:pPr>
    </w:p>
    <w:p w14:paraId="129EE816" w14:textId="4D59DB13" w:rsidR="007C5287" w:rsidRDefault="00DD5B19" w:rsidP="001A6D67">
      <w:pPr>
        <w:pStyle w:val="BodyTextMain"/>
      </w:pPr>
      <w:r>
        <w:t>By</w:t>
      </w:r>
      <w:r w:rsidRPr="00D34D18">
        <w:t xml:space="preserve"> </w:t>
      </w:r>
      <w:r w:rsidR="005D4E87" w:rsidRPr="00D34D18">
        <w:t>July 2005, the supervisory board had had enough. Neither</w:t>
      </w:r>
      <w:r w:rsidR="007C5287">
        <w:t xml:space="preserve"> the</w:t>
      </w:r>
      <w:r w:rsidR="005D4E87" w:rsidRPr="00D34D18">
        <w:t xml:space="preserve"> internationalization nor acquisition plans were working. Almost all members of the </w:t>
      </w:r>
      <w:r w:rsidR="00051810">
        <w:t>executive board</w:t>
      </w:r>
      <w:r w:rsidR="009433EF" w:rsidRPr="00D34D18">
        <w:t xml:space="preserve"> </w:t>
      </w:r>
      <w:r w:rsidR="005D4E87" w:rsidRPr="00D34D18">
        <w:t>were replaced</w:t>
      </w:r>
      <w:r w:rsidR="007C5287">
        <w:t>.</w:t>
      </w:r>
      <w:r w:rsidR="005D4E87" w:rsidRPr="00D34D18">
        <w:t xml:space="preserve"> Marek Malinowski became the new </w:t>
      </w:r>
      <w:r w:rsidR="007C5287">
        <w:t>chief executive officer, tasked</w:t>
      </w:r>
      <w:r w:rsidR="007C5287" w:rsidRPr="00D34D18">
        <w:t xml:space="preserve"> </w:t>
      </w:r>
      <w:r w:rsidR="005D4E87" w:rsidRPr="00D34D18">
        <w:t>with a simple mandate: develop a strategy to save the company.</w:t>
      </w:r>
      <w:r w:rsidR="007C5287">
        <w:t xml:space="preserve"> </w:t>
      </w:r>
      <w:r w:rsidR="005D4E87" w:rsidRPr="00D34D18">
        <w:t xml:space="preserve">Malinowski </w:t>
      </w:r>
      <w:r w:rsidR="007C5287">
        <w:t>had been</w:t>
      </w:r>
      <w:r w:rsidR="005D4E87" w:rsidRPr="00D34D18">
        <w:t xml:space="preserve"> vice</w:t>
      </w:r>
      <w:r w:rsidR="007C5287">
        <w:t>-</w:t>
      </w:r>
      <w:r w:rsidR="005D4E87" w:rsidRPr="00D34D18">
        <w:t xml:space="preserve">president of Polmos Lublin from 2001 until 2004. He </w:t>
      </w:r>
      <w:r w:rsidR="007C5287">
        <w:t xml:space="preserve">had </w:t>
      </w:r>
      <w:r w:rsidR="005D4E87" w:rsidRPr="00D34D18">
        <w:t xml:space="preserve">managed the initial successful turnaround of the company along with </w:t>
      </w:r>
      <w:r w:rsidR="009433EF">
        <w:t xml:space="preserve">Polmos Lublin’s initial investor, </w:t>
      </w:r>
      <w:r w:rsidR="005D4E87" w:rsidRPr="00D34D18">
        <w:t xml:space="preserve">Janusz Palikot, and was primarily responsible for the growth of sales and strengthening of the </w:t>
      </w:r>
      <w:r w:rsidR="000F44F9">
        <w:t>Bitter</w:t>
      </w:r>
      <w:r w:rsidR="005D4E87" w:rsidRPr="00D34D18">
        <w:t xml:space="preserve"> brand. However, this time</w:t>
      </w:r>
      <w:r w:rsidR="007C5287">
        <w:t>,</w:t>
      </w:r>
      <w:r w:rsidR="005D4E87" w:rsidRPr="00D34D18">
        <w:t xml:space="preserve"> the situation in the marketplace was much more complicated.</w:t>
      </w:r>
      <w:r w:rsidR="00395D06">
        <w:t xml:space="preserve"> </w:t>
      </w:r>
      <w:r w:rsidR="007C5287">
        <w:t xml:space="preserve">Nonetheless, </w:t>
      </w:r>
      <w:r w:rsidR="005D4E87" w:rsidRPr="00D34D18">
        <w:t xml:space="preserve">Malinowski was mildly optimistic (as usual) in his evaluation: </w:t>
      </w:r>
    </w:p>
    <w:p w14:paraId="7CBA2ED9" w14:textId="77777777" w:rsidR="00002E1E" w:rsidRDefault="00002E1E" w:rsidP="001A6D67">
      <w:pPr>
        <w:pStyle w:val="BodyTextMain"/>
      </w:pPr>
    </w:p>
    <w:p w14:paraId="75F72223" w14:textId="0B364471" w:rsidR="001A6D67" w:rsidRDefault="005D4E87" w:rsidP="00736710">
      <w:pPr>
        <w:pStyle w:val="BodyTextMain"/>
        <w:ind w:left="720"/>
      </w:pPr>
      <w:r w:rsidRPr="00D34D18">
        <w:t xml:space="preserve">The situation was not tragic. We lost market share and our main brand was threatened. But this is a normal business situation. Our former success was a result of the </w:t>
      </w:r>
      <w:r w:rsidR="000F44F9">
        <w:t>Bitter</w:t>
      </w:r>
      <w:r w:rsidRPr="00D34D18">
        <w:t xml:space="preserve"> brand</w:t>
      </w:r>
      <w:r w:rsidR="004C1819">
        <w:t xml:space="preserve"> development</w:t>
      </w:r>
      <w:r w:rsidRPr="00D34D18">
        <w:t xml:space="preserve"> and we have to focus on restoring our place in the flavo</w:t>
      </w:r>
      <w:r w:rsidR="007C5287">
        <w:t>u</w:t>
      </w:r>
      <w:r w:rsidRPr="00D34D18">
        <w:t>red vodka segment. We have to work harder and react with both efficiency and market moves. But we cannot expect wonders as flavo</w:t>
      </w:r>
      <w:r w:rsidR="007C5287">
        <w:t>u</w:t>
      </w:r>
      <w:r w:rsidRPr="00D34D18">
        <w:t xml:space="preserve">red vodkas are about seven times smaller than pure vodkas in terms of volume and five time smaller in terms of value. </w:t>
      </w:r>
    </w:p>
    <w:p w14:paraId="0DA43D5C" w14:textId="77777777" w:rsidR="00002E1E" w:rsidRDefault="00002E1E" w:rsidP="00736710">
      <w:pPr>
        <w:pStyle w:val="BodyTextMain"/>
        <w:ind w:left="720"/>
      </w:pPr>
    </w:p>
    <w:p w14:paraId="24E5928D" w14:textId="74352204" w:rsidR="005D4E87" w:rsidRPr="00D34D18" w:rsidRDefault="00467D4B" w:rsidP="001A6D67">
      <w:pPr>
        <w:pStyle w:val="BodyTextMain"/>
      </w:pPr>
      <w:r>
        <w:t xml:space="preserve">He still </w:t>
      </w:r>
      <w:r w:rsidR="00E710B3">
        <w:t>had a</w:t>
      </w:r>
      <w:r>
        <w:t xml:space="preserve"> daunting task </w:t>
      </w:r>
      <w:r w:rsidR="007105BA">
        <w:t>of</w:t>
      </w:r>
      <w:r>
        <w:t xml:space="preserve"> com</w:t>
      </w:r>
      <w:r w:rsidR="007105BA">
        <w:t>ing</w:t>
      </w:r>
      <w:r>
        <w:t xml:space="preserve"> </w:t>
      </w:r>
      <w:r w:rsidR="007105BA">
        <w:t xml:space="preserve">up </w:t>
      </w:r>
      <w:r>
        <w:t xml:space="preserve">with </w:t>
      </w:r>
      <w:r w:rsidR="007105BA">
        <w:t xml:space="preserve">a long-term </w:t>
      </w:r>
      <w:r w:rsidR="006E15E0">
        <w:t>strateg</w:t>
      </w:r>
      <w:r w:rsidR="007105BA">
        <w:t>y</w:t>
      </w:r>
      <w:r w:rsidR="006E15E0">
        <w:t xml:space="preserve"> t</w:t>
      </w:r>
      <w:r>
        <w:t>o save the sinking company</w:t>
      </w:r>
      <w:r w:rsidR="00E710B3">
        <w:t xml:space="preserve"> and </w:t>
      </w:r>
      <w:r w:rsidR="007105BA">
        <w:t xml:space="preserve">the </w:t>
      </w:r>
      <w:r w:rsidR="00E710B3">
        <w:t xml:space="preserve">Supervisory Board demanded </w:t>
      </w:r>
      <w:r w:rsidR="007105BA">
        <w:t xml:space="preserve">a detailed </w:t>
      </w:r>
      <w:r w:rsidR="00E710B3">
        <w:t>plan of action</w:t>
      </w:r>
      <w:r>
        <w:t xml:space="preserve">. </w:t>
      </w:r>
    </w:p>
    <w:p w14:paraId="1633EC30" w14:textId="499317A4" w:rsidR="005D4E87" w:rsidRPr="00D34D18" w:rsidRDefault="005D4E87" w:rsidP="007A059A">
      <w:pPr>
        <w:pStyle w:val="ExhibitHeading"/>
      </w:pPr>
      <w:r w:rsidRPr="00D34D18">
        <w:lastRenderedPageBreak/>
        <w:t>Exhibit 1</w:t>
      </w:r>
      <w:r w:rsidR="007A059A" w:rsidRPr="00D34D18">
        <w:t>:</w:t>
      </w:r>
      <w:r w:rsidRPr="00D34D18">
        <w:t xml:space="preserve"> Similar look</w:t>
      </w:r>
      <w:r w:rsidR="001A2B39">
        <w:t>s</w:t>
      </w:r>
      <w:bookmarkStart w:id="0" w:name="_GoBack"/>
      <w:bookmarkEnd w:id="0"/>
      <w:r w:rsidR="00B0150D">
        <w:t>—</w:t>
      </w:r>
      <w:r w:rsidR="000F44F9">
        <w:t>Bitter (</w:t>
      </w:r>
      <w:r w:rsidR="00051810">
        <w:t>Ż</w:t>
      </w:r>
      <w:r w:rsidRPr="00D34D18">
        <w:t>ołądkowa Gorzka</w:t>
      </w:r>
      <w:r w:rsidR="000F44F9">
        <w:t>),</w:t>
      </w:r>
      <w:r w:rsidRPr="00D34D18">
        <w:t xml:space="preserve"> left</w:t>
      </w:r>
      <w:r w:rsidR="00802866">
        <w:t>,</w:t>
      </w:r>
      <w:r w:rsidRPr="00D34D18">
        <w:t xml:space="preserve"> and Balsam Pomorski</w:t>
      </w:r>
      <w:r w:rsidR="000F44F9">
        <w:t>,</w:t>
      </w:r>
      <w:r w:rsidR="00B0150D">
        <w:t xml:space="preserve"> </w:t>
      </w:r>
      <w:r w:rsidRPr="00D34D18">
        <w:t>right</w:t>
      </w:r>
    </w:p>
    <w:p w14:paraId="60F8B36B" w14:textId="77777777" w:rsidR="006F7779" w:rsidRPr="00D34D18" w:rsidRDefault="006F7779" w:rsidP="00736710">
      <w:pPr>
        <w:pStyle w:val="Exhibit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5D4E87" w:rsidRPr="00D34D18" w14:paraId="5D6B5387" w14:textId="77777777" w:rsidTr="00C20B10">
        <w:trPr>
          <w:trHeight w:val="71"/>
        </w:trPr>
        <w:tc>
          <w:tcPr>
            <w:tcW w:w="4644" w:type="dxa"/>
          </w:tcPr>
          <w:p w14:paraId="400802BD" w14:textId="77777777" w:rsidR="005D4E87" w:rsidRPr="00D34D18" w:rsidRDefault="005D4E87" w:rsidP="00C20B10">
            <w:pPr>
              <w:jc w:val="right"/>
            </w:pPr>
            <w:r w:rsidRPr="00D34D18">
              <w:rPr>
                <w:noProof/>
                <w:lang w:eastAsia="en-GB"/>
              </w:rPr>
              <w:drawing>
                <wp:inline distT="0" distB="0" distL="0" distR="0" wp14:anchorId="11D80E8F" wp14:editId="28B34969">
                  <wp:extent cx="2168236" cy="2889946"/>
                  <wp:effectExtent l="0" t="0" r="3810" b="5715"/>
                  <wp:docPr id="1" name="Picture 1" descr="Macintosh HD:Users:kobloj:Desktop:IMG_2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bloj:Desktop:IMG_2572.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171820" cy="2894722"/>
                          </a:xfrm>
                          <a:prstGeom prst="rect">
                            <a:avLst/>
                          </a:prstGeom>
                          <a:noFill/>
                          <a:ln>
                            <a:noFill/>
                          </a:ln>
                        </pic:spPr>
                      </pic:pic>
                    </a:graphicData>
                  </a:graphic>
                </wp:inline>
              </w:drawing>
            </w:r>
          </w:p>
          <w:p w14:paraId="0E5DD199" w14:textId="77777777" w:rsidR="005D4E87" w:rsidRPr="00D34D18" w:rsidRDefault="005D4E87" w:rsidP="00736710">
            <w:pPr>
              <w:pStyle w:val="ExhibitText"/>
            </w:pPr>
          </w:p>
        </w:tc>
        <w:tc>
          <w:tcPr>
            <w:tcW w:w="4644" w:type="dxa"/>
          </w:tcPr>
          <w:p w14:paraId="403E9241" w14:textId="77777777" w:rsidR="005D4E87" w:rsidRPr="00D34D18" w:rsidRDefault="005D4E87" w:rsidP="000F44F9">
            <w:pPr>
              <w:rPr>
                <w:noProof/>
                <w:sz w:val="24"/>
                <w:szCs w:val="24"/>
              </w:rPr>
            </w:pPr>
            <w:r w:rsidRPr="00D34D18">
              <w:rPr>
                <w:noProof/>
                <w:sz w:val="24"/>
                <w:szCs w:val="24"/>
                <w:lang w:eastAsia="en-GB"/>
              </w:rPr>
              <w:drawing>
                <wp:inline distT="0" distB="0" distL="0" distR="0" wp14:anchorId="0114033C" wp14:editId="77CCD036">
                  <wp:extent cx="2182091" cy="2908412"/>
                  <wp:effectExtent l="0" t="0" r="8890" b="6350"/>
                  <wp:docPr id="2" name="Picture 2" descr="Macintosh HD:Users:kobloj:Desktop:IMG_2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loj:Desktop:IMG_2574.jp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183690" cy="2910543"/>
                          </a:xfrm>
                          <a:prstGeom prst="rect">
                            <a:avLst/>
                          </a:prstGeom>
                          <a:noFill/>
                          <a:ln>
                            <a:noFill/>
                          </a:ln>
                        </pic:spPr>
                      </pic:pic>
                    </a:graphicData>
                  </a:graphic>
                </wp:inline>
              </w:drawing>
            </w:r>
          </w:p>
          <w:p w14:paraId="3B7D9FE1" w14:textId="77777777" w:rsidR="005D4E87" w:rsidRPr="00D34D18" w:rsidRDefault="005D4E87" w:rsidP="000F44F9"/>
        </w:tc>
      </w:tr>
    </w:tbl>
    <w:p w14:paraId="7970453F" w14:textId="759B95A8" w:rsidR="005D4E87" w:rsidRPr="00D34D18" w:rsidRDefault="00B0150D" w:rsidP="00736710">
      <w:pPr>
        <w:pStyle w:val="Footnote"/>
      </w:pPr>
      <w:r>
        <w:t>Source: Case authors’ photographs.</w:t>
      </w:r>
    </w:p>
    <w:p w14:paraId="631D6E9B" w14:textId="77777777" w:rsidR="00D67FC0" w:rsidRDefault="00D67FC0" w:rsidP="00736710">
      <w:pPr>
        <w:pStyle w:val="ExhibitText"/>
      </w:pPr>
    </w:p>
    <w:p w14:paraId="6E5E1555" w14:textId="77777777" w:rsidR="00BD552D" w:rsidRPr="00D34D18" w:rsidRDefault="00BD552D" w:rsidP="00736710">
      <w:pPr>
        <w:pStyle w:val="ExhibitText"/>
      </w:pPr>
    </w:p>
    <w:p w14:paraId="042DE477" w14:textId="5FA6ACB1" w:rsidR="00B0150D" w:rsidRDefault="005D4E87" w:rsidP="00D67FC0">
      <w:pPr>
        <w:pStyle w:val="ExhibitHeading"/>
      </w:pPr>
      <w:r w:rsidRPr="00D34D18">
        <w:t>Exhibit 2</w:t>
      </w:r>
      <w:r w:rsidR="00D67FC0" w:rsidRPr="00D34D18">
        <w:t>:</w:t>
      </w:r>
      <w:r w:rsidRPr="00D34D18">
        <w:t xml:space="preserve"> </w:t>
      </w:r>
      <w:r w:rsidR="00B0150D">
        <w:t>Major</w:t>
      </w:r>
      <w:r w:rsidR="00B0150D" w:rsidRPr="00D34D18">
        <w:t xml:space="preserve"> </w:t>
      </w:r>
      <w:r w:rsidRPr="00D34D18">
        <w:t xml:space="preserve">brands in the </w:t>
      </w:r>
      <w:r w:rsidR="00B0150D">
        <w:t>Flavoured</w:t>
      </w:r>
      <w:r w:rsidR="00B0150D" w:rsidRPr="00D34D18">
        <w:t xml:space="preserve"> </w:t>
      </w:r>
      <w:r w:rsidRPr="00D34D18">
        <w:t xml:space="preserve">vodkas segment </w:t>
      </w:r>
    </w:p>
    <w:p w14:paraId="7B291FB9" w14:textId="4CCF335C" w:rsidR="005D4E87" w:rsidRPr="00D34D18" w:rsidRDefault="005D4E87" w:rsidP="00D67FC0">
      <w:pPr>
        <w:pStyle w:val="ExhibitHeading"/>
      </w:pPr>
      <w:r w:rsidRPr="00D34D18">
        <w:t>(% of total vodka market</w:t>
      </w:r>
      <w:r w:rsidR="00B0150D" w:rsidRPr="00B0150D">
        <w:t xml:space="preserve"> </w:t>
      </w:r>
      <w:r w:rsidR="00B0150D">
        <w:t xml:space="preserve">by </w:t>
      </w:r>
      <w:r w:rsidR="00B0150D" w:rsidRPr="00D34D18">
        <w:t>volume</w:t>
      </w:r>
      <w:r w:rsidRPr="00D34D18">
        <w:t>)</w:t>
      </w:r>
    </w:p>
    <w:p w14:paraId="73B3003A" w14:textId="77777777" w:rsidR="005D4E87" w:rsidRPr="00D34D18" w:rsidRDefault="005D4E87" w:rsidP="00736710">
      <w:pPr>
        <w:pStyle w:val="ExhibitText"/>
      </w:pPr>
    </w:p>
    <w:tbl>
      <w:tblPr>
        <w:tblStyle w:val="TableGrid"/>
        <w:tblW w:w="4177" w:type="pct"/>
        <w:jc w:val="center"/>
        <w:tblLook w:val="04A0" w:firstRow="1" w:lastRow="0" w:firstColumn="1" w:lastColumn="0" w:noHBand="0" w:noVBand="1"/>
      </w:tblPr>
      <w:tblGrid>
        <w:gridCol w:w="2294"/>
        <w:gridCol w:w="2626"/>
        <w:gridCol w:w="1544"/>
        <w:gridCol w:w="1347"/>
      </w:tblGrid>
      <w:tr w:rsidR="005D4E87" w:rsidRPr="00D34D18" w14:paraId="20B81162" w14:textId="77777777" w:rsidTr="00115173">
        <w:trPr>
          <w:trHeight w:val="360"/>
          <w:jc w:val="center"/>
        </w:trPr>
        <w:tc>
          <w:tcPr>
            <w:tcW w:w="2349" w:type="dxa"/>
            <w:tcBorders>
              <w:top w:val="single" w:sz="4" w:space="0" w:color="auto"/>
              <w:left w:val="single" w:sz="4" w:space="0" w:color="auto"/>
              <w:bottom w:val="single" w:sz="12" w:space="0" w:color="auto"/>
              <w:right w:val="single" w:sz="4" w:space="0" w:color="auto"/>
            </w:tcBorders>
            <w:vAlign w:val="center"/>
            <w:hideMark/>
          </w:tcPr>
          <w:p w14:paraId="351CB35F" w14:textId="77777777" w:rsidR="005D4E87" w:rsidRPr="00D34D18" w:rsidRDefault="005D4E87" w:rsidP="00B0150D">
            <w:pPr>
              <w:pStyle w:val="BodyTextMain"/>
              <w:jc w:val="center"/>
              <w:rPr>
                <w:rFonts w:ascii="Arial" w:hAnsi="Arial" w:cs="Arial"/>
                <w:b/>
                <w:sz w:val="20"/>
              </w:rPr>
            </w:pPr>
            <w:r w:rsidRPr="00D34D18">
              <w:rPr>
                <w:rFonts w:ascii="Arial" w:hAnsi="Arial" w:cs="Arial"/>
                <w:b/>
                <w:sz w:val="20"/>
              </w:rPr>
              <w:t>Producer</w:t>
            </w:r>
          </w:p>
        </w:tc>
        <w:tc>
          <w:tcPr>
            <w:tcW w:w="2689" w:type="dxa"/>
            <w:tcBorders>
              <w:top w:val="single" w:sz="4" w:space="0" w:color="auto"/>
              <w:left w:val="single" w:sz="4" w:space="0" w:color="auto"/>
              <w:bottom w:val="single" w:sz="12" w:space="0" w:color="auto"/>
              <w:right w:val="single" w:sz="4" w:space="0" w:color="auto"/>
            </w:tcBorders>
            <w:vAlign w:val="center"/>
            <w:hideMark/>
          </w:tcPr>
          <w:p w14:paraId="291A188F" w14:textId="77777777" w:rsidR="005D4E87" w:rsidRPr="00D34D18" w:rsidRDefault="005D4E87" w:rsidP="00B0150D">
            <w:pPr>
              <w:pStyle w:val="BodyTextMain"/>
              <w:jc w:val="center"/>
              <w:rPr>
                <w:rFonts w:ascii="Arial" w:hAnsi="Arial" w:cs="Arial"/>
                <w:b/>
                <w:sz w:val="20"/>
              </w:rPr>
            </w:pPr>
            <w:r w:rsidRPr="00D34D18">
              <w:rPr>
                <w:rFonts w:ascii="Arial" w:hAnsi="Arial" w:cs="Arial"/>
                <w:b/>
                <w:sz w:val="20"/>
              </w:rPr>
              <w:t>Brand</w:t>
            </w:r>
          </w:p>
        </w:tc>
        <w:tc>
          <w:tcPr>
            <w:tcW w:w="1584" w:type="dxa"/>
            <w:tcBorders>
              <w:top w:val="single" w:sz="4" w:space="0" w:color="auto"/>
              <w:left w:val="single" w:sz="4" w:space="0" w:color="auto"/>
              <w:bottom w:val="single" w:sz="12" w:space="0" w:color="auto"/>
              <w:right w:val="single" w:sz="4" w:space="0" w:color="auto"/>
            </w:tcBorders>
            <w:vAlign w:val="center"/>
            <w:hideMark/>
          </w:tcPr>
          <w:p w14:paraId="692CDFA4" w14:textId="77777777" w:rsidR="005D4E87" w:rsidRPr="00D34D18" w:rsidRDefault="005D4E87" w:rsidP="00B0150D">
            <w:pPr>
              <w:pStyle w:val="BodyTextMain"/>
              <w:jc w:val="center"/>
              <w:rPr>
                <w:rFonts w:ascii="Arial" w:hAnsi="Arial" w:cs="Arial"/>
                <w:b/>
                <w:sz w:val="20"/>
              </w:rPr>
            </w:pPr>
            <w:r w:rsidRPr="00D34D18">
              <w:rPr>
                <w:rFonts w:ascii="Arial" w:hAnsi="Arial" w:cs="Arial"/>
                <w:b/>
                <w:sz w:val="20"/>
              </w:rPr>
              <w:t>May 2004</w:t>
            </w:r>
          </w:p>
        </w:tc>
        <w:tc>
          <w:tcPr>
            <w:tcW w:w="1378" w:type="dxa"/>
            <w:tcBorders>
              <w:top w:val="single" w:sz="4" w:space="0" w:color="auto"/>
              <w:left w:val="single" w:sz="4" w:space="0" w:color="auto"/>
              <w:bottom w:val="single" w:sz="12" w:space="0" w:color="auto"/>
              <w:right w:val="single" w:sz="4" w:space="0" w:color="auto"/>
            </w:tcBorders>
            <w:vAlign w:val="center"/>
            <w:hideMark/>
          </w:tcPr>
          <w:p w14:paraId="798C9188" w14:textId="77777777" w:rsidR="005D4E87" w:rsidRPr="00D34D18" w:rsidRDefault="005D4E87" w:rsidP="00B0150D">
            <w:pPr>
              <w:pStyle w:val="BodyTextMain"/>
              <w:jc w:val="center"/>
              <w:rPr>
                <w:rFonts w:ascii="Arial" w:hAnsi="Arial" w:cs="Arial"/>
                <w:b/>
                <w:sz w:val="20"/>
              </w:rPr>
            </w:pPr>
            <w:r w:rsidRPr="00D34D18">
              <w:rPr>
                <w:rFonts w:ascii="Arial" w:hAnsi="Arial" w:cs="Arial"/>
                <w:b/>
                <w:sz w:val="20"/>
              </w:rPr>
              <w:t>May 2005</w:t>
            </w:r>
          </w:p>
        </w:tc>
      </w:tr>
      <w:tr w:rsidR="005D4E87" w:rsidRPr="00D34D18" w14:paraId="534BB6F7" w14:textId="77777777" w:rsidTr="00115173">
        <w:trPr>
          <w:trHeight w:val="360"/>
          <w:jc w:val="center"/>
        </w:trPr>
        <w:tc>
          <w:tcPr>
            <w:tcW w:w="2349" w:type="dxa"/>
            <w:tcBorders>
              <w:top w:val="single" w:sz="12" w:space="0" w:color="auto"/>
              <w:left w:val="single" w:sz="4" w:space="0" w:color="auto"/>
              <w:bottom w:val="single" w:sz="4" w:space="0" w:color="auto"/>
              <w:right w:val="single" w:sz="4" w:space="0" w:color="auto"/>
            </w:tcBorders>
            <w:vAlign w:val="center"/>
            <w:hideMark/>
          </w:tcPr>
          <w:p w14:paraId="507FA38F" w14:textId="77777777" w:rsidR="005D4E87" w:rsidRPr="00D34D18" w:rsidRDefault="005D4E87" w:rsidP="00B0150D">
            <w:pPr>
              <w:pStyle w:val="BodyTextMain"/>
              <w:jc w:val="left"/>
              <w:rPr>
                <w:rFonts w:ascii="Arial" w:hAnsi="Arial" w:cs="Arial"/>
                <w:sz w:val="20"/>
              </w:rPr>
            </w:pPr>
            <w:r w:rsidRPr="00D34D18">
              <w:rPr>
                <w:rFonts w:ascii="Arial" w:hAnsi="Arial" w:cs="Arial"/>
                <w:sz w:val="20"/>
              </w:rPr>
              <w:t>Polmos Lublin</w:t>
            </w:r>
          </w:p>
        </w:tc>
        <w:tc>
          <w:tcPr>
            <w:tcW w:w="2689" w:type="dxa"/>
            <w:tcBorders>
              <w:top w:val="single" w:sz="12" w:space="0" w:color="auto"/>
              <w:left w:val="single" w:sz="4" w:space="0" w:color="auto"/>
              <w:bottom w:val="single" w:sz="4" w:space="0" w:color="auto"/>
              <w:right w:val="single" w:sz="4" w:space="0" w:color="auto"/>
            </w:tcBorders>
            <w:vAlign w:val="center"/>
            <w:hideMark/>
          </w:tcPr>
          <w:p w14:paraId="4BB27F50" w14:textId="7D073FF5" w:rsidR="005D4E87" w:rsidRPr="00D34D18" w:rsidRDefault="000F44F9" w:rsidP="00B0150D">
            <w:pPr>
              <w:pStyle w:val="BodyTextMain"/>
              <w:jc w:val="left"/>
              <w:rPr>
                <w:rFonts w:ascii="Arial" w:hAnsi="Arial" w:cs="Arial"/>
                <w:sz w:val="20"/>
              </w:rPr>
            </w:pPr>
            <w:r>
              <w:rPr>
                <w:rFonts w:ascii="Arial" w:hAnsi="Arial" w:cs="Arial"/>
                <w:sz w:val="20"/>
              </w:rPr>
              <w:t>Bitter (</w:t>
            </w:r>
            <w:r w:rsidR="00051810">
              <w:rPr>
                <w:rFonts w:ascii="Arial" w:hAnsi="Arial" w:cs="Arial"/>
                <w:sz w:val="20"/>
              </w:rPr>
              <w:t>Ż</w:t>
            </w:r>
            <w:r w:rsidR="005D4E87" w:rsidRPr="00D34D18">
              <w:rPr>
                <w:rFonts w:ascii="Arial" w:hAnsi="Arial" w:cs="Arial"/>
                <w:sz w:val="20"/>
              </w:rPr>
              <w:t>ołądkowa Gorzka</w:t>
            </w:r>
            <w:r>
              <w:rPr>
                <w:rFonts w:ascii="Arial" w:hAnsi="Arial" w:cs="Arial"/>
                <w:sz w:val="20"/>
              </w:rPr>
              <w:t>)</w:t>
            </w:r>
          </w:p>
        </w:tc>
        <w:tc>
          <w:tcPr>
            <w:tcW w:w="1584" w:type="dxa"/>
            <w:tcBorders>
              <w:top w:val="single" w:sz="12" w:space="0" w:color="auto"/>
              <w:left w:val="single" w:sz="4" w:space="0" w:color="auto"/>
              <w:bottom w:val="single" w:sz="4" w:space="0" w:color="auto"/>
              <w:right w:val="single" w:sz="4" w:space="0" w:color="auto"/>
            </w:tcBorders>
            <w:vAlign w:val="center"/>
            <w:hideMark/>
          </w:tcPr>
          <w:p w14:paraId="19CAFC27"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6.4</w:t>
            </w:r>
          </w:p>
        </w:tc>
        <w:tc>
          <w:tcPr>
            <w:tcW w:w="1378" w:type="dxa"/>
            <w:tcBorders>
              <w:top w:val="single" w:sz="12" w:space="0" w:color="auto"/>
              <w:left w:val="single" w:sz="4" w:space="0" w:color="auto"/>
              <w:bottom w:val="single" w:sz="4" w:space="0" w:color="auto"/>
              <w:right w:val="single" w:sz="4" w:space="0" w:color="auto"/>
            </w:tcBorders>
            <w:vAlign w:val="center"/>
            <w:hideMark/>
          </w:tcPr>
          <w:p w14:paraId="1B3820B6"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5.0</w:t>
            </w:r>
          </w:p>
        </w:tc>
      </w:tr>
      <w:tr w:rsidR="005D4E87" w:rsidRPr="00D34D18" w14:paraId="590B3A0C" w14:textId="77777777" w:rsidTr="00115173">
        <w:trPr>
          <w:trHeight w:val="36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AB6FB33" w14:textId="77777777" w:rsidR="005D4E87" w:rsidRPr="00D34D18" w:rsidRDefault="005D4E87" w:rsidP="00B0150D">
            <w:pPr>
              <w:pStyle w:val="BodyTextMain"/>
              <w:jc w:val="left"/>
              <w:rPr>
                <w:rFonts w:ascii="Arial" w:hAnsi="Arial" w:cs="Arial"/>
                <w:sz w:val="20"/>
              </w:rPr>
            </w:pPr>
            <w:r w:rsidRPr="00D34D18">
              <w:rPr>
                <w:rFonts w:ascii="Arial" w:hAnsi="Arial" w:cs="Arial"/>
                <w:sz w:val="20"/>
              </w:rPr>
              <w:t>Polmos Białystok</w:t>
            </w:r>
          </w:p>
        </w:tc>
        <w:tc>
          <w:tcPr>
            <w:tcW w:w="2689" w:type="dxa"/>
            <w:tcBorders>
              <w:top w:val="single" w:sz="4" w:space="0" w:color="auto"/>
              <w:left w:val="single" w:sz="4" w:space="0" w:color="auto"/>
              <w:bottom w:val="single" w:sz="4" w:space="0" w:color="auto"/>
              <w:right w:val="single" w:sz="4" w:space="0" w:color="auto"/>
            </w:tcBorders>
            <w:vAlign w:val="center"/>
            <w:hideMark/>
          </w:tcPr>
          <w:p w14:paraId="78CF825B" w14:textId="0A11BA36" w:rsidR="005D4E87" w:rsidRPr="00D34D18" w:rsidRDefault="00051810" w:rsidP="00B0150D">
            <w:pPr>
              <w:pStyle w:val="BodyTextMain"/>
              <w:jc w:val="left"/>
              <w:rPr>
                <w:rFonts w:ascii="Arial" w:hAnsi="Arial" w:cs="Arial"/>
                <w:sz w:val="20"/>
              </w:rPr>
            </w:pPr>
            <w:r>
              <w:rPr>
                <w:rFonts w:ascii="Arial" w:hAnsi="Arial" w:cs="Arial"/>
                <w:sz w:val="20"/>
              </w:rPr>
              <w:t>Ż</w:t>
            </w:r>
            <w:r w:rsidR="005D4E87" w:rsidRPr="00D34D18">
              <w:rPr>
                <w:rFonts w:ascii="Arial" w:hAnsi="Arial" w:cs="Arial"/>
                <w:sz w:val="20"/>
              </w:rPr>
              <w:t>ubrówka</w:t>
            </w:r>
          </w:p>
        </w:tc>
        <w:tc>
          <w:tcPr>
            <w:tcW w:w="1584" w:type="dxa"/>
            <w:tcBorders>
              <w:top w:val="single" w:sz="4" w:space="0" w:color="auto"/>
              <w:left w:val="single" w:sz="4" w:space="0" w:color="auto"/>
              <w:bottom w:val="single" w:sz="4" w:space="0" w:color="auto"/>
              <w:right w:val="single" w:sz="4" w:space="0" w:color="auto"/>
            </w:tcBorders>
            <w:vAlign w:val="center"/>
            <w:hideMark/>
          </w:tcPr>
          <w:p w14:paraId="4BC8CB0E"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3.6</w:t>
            </w:r>
          </w:p>
        </w:tc>
        <w:tc>
          <w:tcPr>
            <w:tcW w:w="1378" w:type="dxa"/>
            <w:tcBorders>
              <w:top w:val="single" w:sz="4" w:space="0" w:color="auto"/>
              <w:left w:val="single" w:sz="4" w:space="0" w:color="auto"/>
              <w:bottom w:val="single" w:sz="4" w:space="0" w:color="auto"/>
              <w:right w:val="single" w:sz="4" w:space="0" w:color="auto"/>
            </w:tcBorders>
            <w:vAlign w:val="center"/>
            <w:hideMark/>
          </w:tcPr>
          <w:p w14:paraId="7122A46F"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3.3</w:t>
            </w:r>
          </w:p>
        </w:tc>
      </w:tr>
      <w:tr w:rsidR="005D4E87" w:rsidRPr="00D34D18" w14:paraId="37928B54" w14:textId="77777777" w:rsidTr="00115173">
        <w:trPr>
          <w:trHeight w:val="36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EBEC4CA" w14:textId="32BA170C" w:rsidR="005D4E87" w:rsidRPr="00D34D18" w:rsidRDefault="005D4E87" w:rsidP="00B0150D">
            <w:pPr>
              <w:pStyle w:val="BodyTextMain"/>
              <w:jc w:val="left"/>
              <w:rPr>
                <w:rFonts w:ascii="Arial" w:hAnsi="Arial" w:cs="Arial"/>
                <w:sz w:val="20"/>
              </w:rPr>
            </w:pPr>
            <w:r w:rsidRPr="00D34D18">
              <w:rPr>
                <w:rFonts w:ascii="Arial" w:hAnsi="Arial" w:cs="Arial"/>
                <w:sz w:val="20"/>
              </w:rPr>
              <w:t>Sobieski</w:t>
            </w:r>
            <w:r w:rsidR="00CF2045">
              <w:rPr>
                <w:rFonts w:ascii="Arial" w:hAnsi="Arial" w:cs="Arial"/>
                <w:sz w:val="20"/>
              </w:rPr>
              <w:t xml:space="preserve"> Company</w:t>
            </w:r>
          </w:p>
        </w:tc>
        <w:tc>
          <w:tcPr>
            <w:tcW w:w="2689" w:type="dxa"/>
            <w:tcBorders>
              <w:top w:val="single" w:sz="4" w:space="0" w:color="auto"/>
              <w:left w:val="single" w:sz="4" w:space="0" w:color="auto"/>
              <w:bottom w:val="single" w:sz="4" w:space="0" w:color="auto"/>
              <w:right w:val="single" w:sz="4" w:space="0" w:color="auto"/>
            </w:tcBorders>
            <w:vAlign w:val="center"/>
            <w:hideMark/>
          </w:tcPr>
          <w:p w14:paraId="1790387A" w14:textId="4DC91EB3" w:rsidR="005D4E87" w:rsidRPr="00D34D18" w:rsidRDefault="005D4E87" w:rsidP="00B0150D">
            <w:pPr>
              <w:pStyle w:val="BodyTextMain"/>
              <w:jc w:val="left"/>
              <w:rPr>
                <w:rFonts w:ascii="Arial" w:hAnsi="Arial" w:cs="Arial"/>
                <w:sz w:val="20"/>
              </w:rPr>
            </w:pPr>
            <w:r w:rsidRPr="00D34D18">
              <w:rPr>
                <w:rFonts w:ascii="Arial" w:hAnsi="Arial" w:cs="Arial"/>
                <w:sz w:val="20"/>
              </w:rPr>
              <w:t>Balsam Pomorski</w:t>
            </w:r>
          </w:p>
        </w:tc>
        <w:tc>
          <w:tcPr>
            <w:tcW w:w="1584" w:type="dxa"/>
            <w:tcBorders>
              <w:top w:val="single" w:sz="4" w:space="0" w:color="auto"/>
              <w:left w:val="single" w:sz="4" w:space="0" w:color="auto"/>
              <w:bottom w:val="single" w:sz="4" w:space="0" w:color="auto"/>
              <w:right w:val="single" w:sz="4" w:space="0" w:color="auto"/>
            </w:tcBorders>
            <w:vAlign w:val="center"/>
            <w:hideMark/>
          </w:tcPr>
          <w:p w14:paraId="12D3518D"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0.5</w:t>
            </w:r>
          </w:p>
        </w:tc>
        <w:tc>
          <w:tcPr>
            <w:tcW w:w="1378" w:type="dxa"/>
            <w:tcBorders>
              <w:top w:val="single" w:sz="4" w:space="0" w:color="auto"/>
              <w:left w:val="single" w:sz="4" w:space="0" w:color="auto"/>
              <w:bottom w:val="single" w:sz="4" w:space="0" w:color="auto"/>
              <w:right w:val="single" w:sz="4" w:space="0" w:color="auto"/>
            </w:tcBorders>
            <w:vAlign w:val="center"/>
            <w:hideMark/>
          </w:tcPr>
          <w:p w14:paraId="4FEC4EA9"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3.1</w:t>
            </w:r>
          </w:p>
        </w:tc>
      </w:tr>
      <w:tr w:rsidR="005D4E87" w:rsidRPr="00D34D18" w14:paraId="624BBD72" w14:textId="77777777" w:rsidTr="00115173">
        <w:trPr>
          <w:trHeight w:val="36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BF7D881" w14:textId="2812F390" w:rsidR="005D4E87" w:rsidRPr="00D34D18" w:rsidRDefault="005D4E87" w:rsidP="00B0150D">
            <w:pPr>
              <w:pStyle w:val="BodyTextMain"/>
              <w:jc w:val="left"/>
              <w:rPr>
                <w:rFonts w:ascii="Arial" w:hAnsi="Arial" w:cs="Arial"/>
                <w:sz w:val="20"/>
              </w:rPr>
            </w:pPr>
            <w:r w:rsidRPr="00D34D18">
              <w:rPr>
                <w:rFonts w:ascii="Arial" w:hAnsi="Arial" w:cs="Arial"/>
                <w:sz w:val="20"/>
              </w:rPr>
              <w:t>Sobieski</w:t>
            </w:r>
            <w:r w:rsidR="00CF2045">
              <w:rPr>
                <w:rFonts w:ascii="Arial" w:hAnsi="Arial" w:cs="Arial"/>
                <w:sz w:val="20"/>
              </w:rPr>
              <w:t xml:space="preserve"> Company</w:t>
            </w:r>
          </w:p>
        </w:tc>
        <w:tc>
          <w:tcPr>
            <w:tcW w:w="2689" w:type="dxa"/>
            <w:tcBorders>
              <w:top w:val="single" w:sz="4" w:space="0" w:color="auto"/>
              <w:left w:val="single" w:sz="4" w:space="0" w:color="auto"/>
              <w:bottom w:val="single" w:sz="4" w:space="0" w:color="auto"/>
              <w:right w:val="single" w:sz="4" w:space="0" w:color="auto"/>
            </w:tcBorders>
            <w:vAlign w:val="center"/>
            <w:hideMark/>
          </w:tcPr>
          <w:p w14:paraId="3E398F2D" w14:textId="4B08ED83" w:rsidR="005D4E87" w:rsidRPr="00D34D18" w:rsidRDefault="005D4E87" w:rsidP="00B0150D">
            <w:pPr>
              <w:pStyle w:val="BodyTextMain"/>
              <w:jc w:val="left"/>
              <w:rPr>
                <w:rFonts w:ascii="Arial" w:hAnsi="Arial" w:cs="Arial"/>
                <w:sz w:val="20"/>
              </w:rPr>
            </w:pPr>
            <w:r w:rsidRPr="00D34D18">
              <w:rPr>
                <w:rFonts w:ascii="Arial" w:hAnsi="Arial" w:cs="Arial"/>
                <w:sz w:val="20"/>
              </w:rPr>
              <w:t>Krupnik</w:t>
            </w:r>
          </w:p>
        </w:tc>
        <w:tc>
          <w:tcPr>
            <w:tcW w:w="1584" w:type="dxa"/>
            <w:tcBorders>
              <w:top w:val="single" w:sz="4" w:space="0" w:color="auto"/>
              <w:left w:val="single" w:sz="4" w:space="0" w:color="auto"/>
              <w:bottom w:val="single" w:sz="4" w:space="0" w:color="auto"/>
              <w:right w:val="single" w:sz="4" w:space="0" w:color="auto"/>
            </w:tcBorders>
            <w:vAlign w:val="center"/>
            <w:hideMark/>
          </w:tcPr>
          <w:p w14:paraId="413681AC"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0.6</w:t>
            </w:r>
          </w:p>
        </w:tc>
        <w:tc>
          <w:tcPr>
            <w:tcW w:w="1378" w:type="dxa"/>
            <w:tcBorders>
              <w:top w:val="single" w:sz="4" w:space="0" w:color="auto"/>
              <w:left w:val="single" w:sz="4" w:space="0" w:color="auto"/>
              <w:bottom w:val="single" w:sz="4" w:space="0" w:color="auto"/>
              <w:right w:val="single" w:sz="4" w:space="0" w:color="auto"/>
            </w:tcBorders>
            <w:vAlign w:val="center"/>
            <w:hideMark/>
          </w:tcPr>
          <w:p w14:paraId="63197288" w14:textId="77777777" w:rsidR="005D4E87" w:rsidRPr="00D34D18" w:rsidRDefault="005D4E87" w:rsidP="00B0150D">
            <w:pPr>
              <w:pStyle w:val="BodyTextMain"/>
              <w:jc w:val="center"/>
              <w:rPr>
                <w:rFonts w:ascii="Arial" w:hAnsi="Arial" w:cs="Arial"/>
                <w:sz w:val="20"/>
              </w:rPr>
            </w:pPr>
            <w:r w:rsidRPr="00D34D18">
              <w:rPr>
                <w:rFonts w:ascii="Arial" w:hAnsi="Arial" w:cs="Arial"/>
                <w:sz w:val="20"/>
              </w:rPr>
              <w:t>0.6</w:t>
            </w:r>
          </w:p>
        </w:tc>
      </w:tr>
    </w:tbl>
    <w:p w14:paraId="0EAFA9CA" w14:textId="77777777" w:rsidR="005D4E87" w:rsidRPr="00D34D18" w:rsidRDefault="005D4E87" w:rsidP="00736710">
      <w:pPr>
        <w:pStyle w:val="ExhibitText"/>
      </w:pPr>
    </w:p>
    <w:p w14:paraId="04116907" w14:textId="46B5C733" w:rsidR="00D67FC0" w:rsidRPr="00D34D18" w:rsidRDefault="00D67FC0" w:rsidP="00FC2D92">
      <w:pPr>
        <w:pStyle w:val="Footnote"/>
      </w:pPr>
      <w:r w:rsidRPr="00D34D18">
        <w:t xml:space="preserve">Source: </w:t>
      </w:r>
      <w:r w:rsidR="00802866">
        <w:t>Company documents and</w:t>
      </w:r>
      <w:r w:rsidR="00BD552D">
        <w:t xml:space="preserve"> </w:t>
      </w:r>
      <w:r w:rsidRPr="00D34D18">
        <w:t>internal analysis</w:t>
      </w:r>
      <w:r w:rsidR="00FC2D92" w:rsidRPr="00D34D18">
        <w:t>.</w:t>
      </w:r>
    </w:p>
    <w:p w14:paraId="2AF6DF53" w14:textId="77777777" w:rsidR="00D67FC0" w:rsidRPr="00D34D18" w:rsidRDefault="00D67FC0" w:rsidP="00736710">
      <w:pPr>
        <w:pStyle w:val="ExhibitText"/>
      </w:pPr>
      <w:r w:rsidRPr="00D34D18">
        <w:br w:type="page"/>
      </w:r>
    </w:p>
    <w:p w14:paraId="5BE24C51" w14:textId="2DFA302C" w:rsidR="005D4E87" w:rsidRPr="00BD552D" w:rsidRDefault="005D4E87" w:rsidP="002C5B7E">
      <w:pPr>
        <w:pStyle w:val="ExhibitHeading"/>
      </w:pPr>
      <w:r w:rsidRPr="00D34D18">
        <w:lastRenderedPageBreak/>
        <w:t>Exhibit 3</w:t>
      </w:r>
      <w:r w:rsidR="002C5B7E" w:rsidRPr="00D34D18">
        <w:t>:</w:t>
      </w:r>
      <w:r w:rsidRPr="00D34D18">
        <w:t xml:space="preserve"> Polmos Lublin share prices</w:t>
      </w:r>
      <w:r w:rsidR="00BD552D">
        <w:t>,</w:t>
      </w:r>
      <w:r w:rsidRPr="00D34D18">
        <w:t xml:space="preserve"> February</w:t>
      </w:r>
      <w:r w:rsidR="00BD552D">
        <w:t>–</w:t>
      </w:r>
      <w:r w:rsidRPr="00D34D18">
        <w:t xml:space="preserve">July 2005 (in </w:t>
      </w:r>
      <w:r w:rsidR="00BD552D" w:rsidRPr="00BD552D">
        <w:rPr>
          <w:lang w:val="en-US"/>
        </w:rPr>
        <w:t>zł</w:t>
      </w:r>
      <w:r w:rsidRPr="00D34D18">
        <w:t>)</w:t>
      </w:r>
    </w:p>
    <w:p w14:paraId="13969F1D" w14:textId="77777777" w:rsidR="002C5B7E" w:rsidRPr="00D34D18" w:rsidRDefault="002C5B7E" w:rsidP="00736710">
      <w:pPr>
        <w:pStyle w:val="ExhibitText"/>
      </w:pPr>
    </w:p>
    <w:p w14:paraId="1462CD4A" w14:textId="033433B3" w:rsidR="005D4E87" w:rsidRPr="00D34D18" w:rsidRDefault="007105BA" w:rsidP="00736710">
      <w:pPr>
        <w:pStyle w:val="ExhibitText"/>
        <w:jc w:val="center"/>
      </w:pPr>
      <w:r w:rsidRPr="007105BA">
        <w:rPr>
          <w:noProof/>
          <w:lang w:eastAsia="en-GB"/>
        </w:rPr>
        <w:drawing>
          <wp:inline distT="0" distB="0" distL="0" distR="0" wp14:anchorId="2C86FBCA" wp14:editId="0408B4F8">
            <wp:extent cx="4914900" cy="310889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22" cy="3109229"/>
                    </a:xfrm>
                    <a:prstGeom prst="rect">
                      <a:avLst/>
                    </a:prstGeom>
                    <a:noFill/>
                    <a:ln>
                      <a:noFill/>
                    </a:ln>
                  </pic:spPr>
                </pic:pic>
              </a:graphicData>
            </a:graphic>
          </wp:inline>
        </w:drawing>
      </w:r>
    </w:p>
    <w:p w14:paraId="2D6A5ABD" w14:textId="77777777" w:rsidR="005D4E87" w:rsidRDefault="005D4E87" w:rsidP="00736710">
      <w:pPr>
        <w:pStyle w:val="ExhibitText"/>
      </w:pPr>
    </w:p>
    <w:p w14:paraId="6427C9BE" w14:textId="46A7C219" w:rsidR="000566BE" w:rsidRPr="00115173" w:rsidRDefault="00BD552D" w:rsidP="00736710">
      <w:pPr>
        <w:pStyle w:val="Footnote"/>
        <w:rPr>
          <w:lang w:val="pl-PL"/>
        </w:rPr>
      </w:pPr>
      <w:r w:rsidRPr="00115173">
        <w:rPr>
          <w:lang w:val="pl-PL"/>
        </w:rPr>
        <w:t>Note: zł = PLN = Polish Zloty</w:t>
      </w:r>
      <w:r w:rsidR="00E13038">
        <w:rPr>
          <w:lang w:val="pl-PL"/>
        </w:rPr>
        <w:t>;</w:t>
      </w:r>
      <w:r w:rsidR="000F44F9">
        <w:rPr>
          <w:lang w:val="pl-PL"/>
        </w:rPr>
        <w:t xml:space="preserve"> </w:t>
      </w:r>
      <w:r w:rsidR="00E13038">
        <w:rPr>
          <w:lang w:val="pl-PL"/>
        </w:rPr>
        <w:t xml:space="preserve">IPO = initial public offering; </w:t>
      </w:r>
      <w:r w:rsidR="000F44F9">
        <w:rPr>
          <w:lang w:val="pl-PL"/>
        </w:rPr>
        <w:t>TMT = top management team</w:t>
      </w:r>
      <w:r w:rsidR="00E13038">
        <w:rPr>
          <w:lang w:val="pl-PL"/>
        </w:rPr>
        <w:t>; CEDC = Central European Distribution Corporation</w:t>
      </w:r>
      <w:r w:rsidR="000F44F9">
        <w:rPr>
          <w:lang w:val="pl-PL"/>
        </w:rPr>
        <w:t>.</w:t>
      </w:r>
    </w:p>
    <w:p w14:paraId="73F652D6" w14:textId="2CCE195E" w:rsidR="00E67778" w:rsidRPr="00736710" w:rsidRDefault="00E67778" w:rsidP="00736710">
      <w:pPr>
        <w:pStyle w:val="Footnote"/>
        <w:rPr>
          <w:lang w:val="en-US"/>
        </w:rPr>
      </w:pPr>
      <w:r>
        <w:rPr>
          <w:lang w:val="en-US"/>
        </w:rPr>
        <w:t xml:space="preserve">Source: Created by the case authors based on </w:t>
      </w:r>
      <w:r w:rsidR="00E36232">
        <w:rPr>
          <w:lang w:val="en-US"/>
        </w:rPr>
        <w:t>Warsaw</w:t>
      </w:r>
      <w:r w:rsidR="006C507D">
        <w:rPr>
          <w:lang w:val="en-US"/>
        </w:rPr>
        <w:t xml:space="preserve"> Stock Exchange data</w:t>
      </w:r>
      <w:r>
        <w:rPr>
          <w:lang w:val="en-US"/>
        </w:rPr>
        <w:t>.</w:t>
      </w:r>
    </w:p>
    <w:p w14:paraId="657369FE" w14:textId="77777777" w:rsidR="005D4E87" w:rsidRDefault="005D4E87" w:rsidP="00736710">
      <w:pPr>
        <w:pStyle w:val="ExhibitText"/>
      </w:pPr>
    </w:p>
    <w:p w14:paraId="2D5F2724" w14:textId="77777777" w:rsidR="000A2A02" w:rsidRPr="00D34D18" w:rsidRDefault="000A2A02" w:rsidP="00736710">
      <w:pPr>
        <w:pStyle w:val="ExhibitText"/>
      </w:pPr>
    </w:p>
    <w:p w14:paraId="37576DE3" w14:textId="7216D575" w:rsidR="000A2A02" w:rsidRDefault="005D4E87" w:rsidP="002C5B7E">
      <w:pPr>
        <w:pStyle w:val="ExhibitHeading"/>
      </w:pPr>
      <w:r w:rsidRPr="00D34D18">
        <w:t>Exhibit 4</w:t>
      </w:r>
      <w:r w:rsidR="000A2A02">
        <w:t>:</w:t>
      </w:r>
      <w:r w:rsidRPr="00D34D18">
        <w:t xml:space="preserve"> </w:t>
      </w:r>
      <w:r w:rsidR="000A2A02">
        <w:t xml:space="preserve">Polmos Lublin, </w:t>
      </w:r>
      <w:r w:rsidRPr="00D34D18">
        <w:t xml:space="preserve">Financial data </w:t>
      </w:r>
    </w:p>
    <w:p w14:paraId="160F08B6" w14:textId="52A0DCD1" w:rsidR="000A2A02" w:rsidRDefault="000A2A02" w:rsidP="002C5B7E">
      <w:pPr>
        <w:pStyle w:val="ExhibitHeading"/>
      </w:pPr>
      <w:r>
        <w:t>(</w:t>
      </w:r>
      <w:r w:rsidR="005D4E87" w:rsidRPr="00D34D18">
        <w:t xml:space="preserve">in </w:t>
      </w:r>
      <w:r w:rsidRPr="000A2A02">
        <w:rPr>
          <w:lang w:val="en-US"/>
        </w:rPr>
        <w:t>zł</w:t>
      </w:r>
      <w:r w:rsidRPr="000A2A02">
        <w:t xml:space="preserve"> </w:t>
      </w:r>
      <w:r w:rsidR="005D4E87" w:rsidRPr="00D34D18">
        <w:t>‘000</w:t>
      </w:r>
      <w:r>
        <w:t xml:space="preserve">, except </w:t>
      </w:r>
      <w:r w:rsidR="00CF2045">
        <w:t xml:space="preserve">Number of Shares and </w:t>
      </w:r>
      <w:r>
        <w:t>profit per share)</w:t>
      </w:r>
    </w:p>
    <w:p w14:paraId="42B5CBEF" w14:textId="77777777" w:rsidR="005D4E87" w:rsidRPr="00D34D18" w:rsidRDefault="005D4E87" w:rsidP="00736710">
      <w:pPr>
        <w:pStyle w:val="ExhibitText"/>
        <w:rPr>
          <w:b/>
          <w:i/>
          <w:sz w:val="24"/>
          <w:szCs w:val="24"/>
        </w:rPr>
      </w:pPr>
    </w:p>
    <w:tbl>
      <w:tblPr>
        <w:tblStyle w:val="TableGrid"/>
        <w:tblW w:w="5000" w:type="pct"/>
        <w:jc w:val="center"/>
        <w:tblLayout w:type="fixed"/>
        <w:tblLook w:val="04A0" w:firstRow="1" w:lastRow="0" w:firstColumn="1" w:lastColumn="0" w:noHBand="0" w:noVBand="1"/>
      </w:tblPr>
      <w:tblGrid>
        <w:gridCol w:w="2605"/>
        <w:gridCol w:w="1349"/>
        <w:gridCol w:w="1349"/>
        <w:gridCol w:w="1349"/>
        <w:gridCol w:w="1349"/>
        <w:gridCol w:w="1349"/>
      </w:tblGrid>
      <w:tr w:rsidR="00DA5C7E" w:rsidRPr="000A2A02" w14:paraId="7AA1BEA2" w14:textId="77777777" w:rsidTr="00736710">
        <w:trPr>
          <w:trHeight w:val="288"/>
          <w:jc w:val="center"/>
        </w:trPr>
        <w:tc>
          <w:tcPr>
            <w:tcW w:w="2605" w:type="dxa"/>
            <w:tcBorders>
              <w:bottom w:val="single" w:sz="12" w:space="0" w:color="auto"/>
            </w:tcBorders>
            <w:vAlign w:val="center"/>
            <w:hideMark/>
          </w:tcPr>
          <w:p w14:paraId="535D6BFC" w14:textId="79AFEE48" w:rsidR="005D4E87" w:rsidRPr="000A2A02" w:rsidRDefault="005D4E87" w:rsidP="000A2A02">
            <w:pPr>
              <w:pStyle w:val="ExhibitText"/>
              <w:jc w:val="center"/>
              <w:rPr>
                <w:b/>
              </w:rPr>
            </w:pPr>
          </w:p>
        </w:tc>
        <w:tc>
          <w:tcPr>
            <w:tcW w:w="1349" w:type="dxa"/>
            <w:tcBorders>
              <w:bottom w:val="single" w:sz="12" w:space="0" w:color="auto"/>
            </w:tcBorders>
            <w:vAlign w:val="center"/>
            <w:hideMark/>
          </w:tcPr>
          <w:p w14:paraId="42048C6C" w14:textId="77777777" w:rsidR="005D4E87" w:rsidRPr="000A2A02" w:rsidRDefault="005D4E87" w:rsidP="000A2A02">
            <w:pPr>
              <w:pStyle w:val="ExhibitText"/>
              <w:jc w:val="center"/>
              <w:rPr>
                <w:b/>
              </w:rPr>
            </w:pPr>
            <w:r w:rsidRPr="000A2A02">
              <w:rPr>
                <w:b/>
              </w:rPr>
              <w:t>2001</w:t>
            </w:r>
          </w:p>
        </w:tc>
        <w:tc>
          <w:tcPr>
            <w:tcW w:w="1349" w:type="dxa"/>
            <w:tcBorders>
              <w:bottom w:val="single" w:sz="12" w:space="0" w:color="auto"/>
            </w:tcBorders>
            <w:vAlign w:val="center"/>
            <w:hideMark/>
          </w:tcPr>
          <w:p w14:paraId="438BD7F6" w14:textId="77777777" w:rsidR="005D4E87" w:rsidRPr="000A2A02" w:rsidRDefault="005D4E87" w:rsidP="000A2A02">
            <w:pPr>
              <w:pStyle w:val="ExhibitText"/>
              <w:jc w:val="center"/>
              <w:rPr>
                <w:b/>
              </w:rPr>
            </w:pPr>
            <w:r w:rsidRPr="000A2A02">
              <w:rPr>
                <w:b/>
              </w:rPr>
              <w:t>2002</w:t>
            </w:r>
          </w:p>
        </w:tc>
        <w:tc>
          <w:tcPr>
            <w:tcW w:w="1349" w:type="dxa"/>
            <w:tcBorders>
              <w:bottom w:val="single" w:sz="12" w:space="0" w:color="auto"/>
            </w:tcBorders>
            <w:vAlign w:val="center"/>
            <w:hideMark/>
          </w:tcPr>
          <w:p w14:paraId="66E8D234" w14:textId="77777777" w:rsidR="005D4E87" w:rsidRPr="000A2A02" w:rsidRDefault="005D4E87" w:rsidP="000A2A02">
            <w:pPr>
              <w:pStyle w:val="ExhibitText"/>
              <w:jc w:val="center"/>
              <w:rPr>
                <w:b/>
              </w:rPr>
            </w:pPr>
            <w:r w:rsidRPr="000A2A02">
              <w:rPr>
                <w:b/>
              </w:rPr>
              <w:t>2003</w:t>
            </w:r>
          </w:p>
        </w:tc>
        <w:tc>
          <w:tcPr>
            <w:tcW w:w="1349" w:type="dxa"/>
            <w:tcBorders>
              <w:bottom w:val="single" w:sz="12" w:space="0" w:color="auto"/>
            </w:tcBorders>
            <w:vAlign w:val="center"/>
            <w:hideMark/>
          </w:tcPr>
          <w:p w14:paraId="0CD50CEE" w14:textId="77777777" w:rsidR="005D4E87" w:rsidRPr="000A2A02" w:rsidRDefault="005D4E87" w:rsidP="000A2A02">
            <w:pPr>
              <w:pStyle w:val="ExhibitText"/>
              <w:jc w:val="center"/>
              <w:rPr>
                <w:b/>
              </w:rPr>
            </w:pPr>
            <w:r w:rsidRPr="000A2A02">
              <w:rPr>
                <w:b/>
              </w:rPr>
              <w:t>2004</w:t>
            </w:r>
          </w:p>
        </w:tc>
        <w:tc>
          <w:tcPr>
            <w:tcW w:w="1349" w:type="dxa"/>
            <w:tcBorders>
              <w:bottom w:val="single" w:sz="12" w:space="0" w:color="auto"/>
            </w:tcBorders>
            <w:vAlign w:val="center"/>
            <w:hideMark/>
          </w:tcPr>
          <w:p w14:paraId="645DB97C" w14:textId="6D5536C4" w:rsidR="005D4E87" w:rsidRPr="000A2A02" w:rsidRDefault="005D4E87" w:rsidP="00E13038">
            <w:pPr>
              <w:pStyle w:val="ExhibitText"/>
              <w:jc w:val="center"/>
              <w:rPr>
                <w:b/>
                <w:color w:val="000000"/>
              </w:rPr>
            </w:pPr>
            <w:r w:rsidRPr="000A2A02">
              <w:rPr>
                <w:b/>
                <w:color w:val="000000"/>
              </w:rPr>
              <w:t>2005</w:t>
            </w:r>
            <w:r w:rsidR="005F7BB0">
              <w:rPr>
                <w:b/>
                <w:color w:val="000000"/>
              </w:rPr>
              <w:t xml:space="preserve"> (June</w:t>
            </w:r>
            <w:r w:rsidR="00E13038">
              <w:rPr>
                <w:b/>
                <w:color w:val="000000"/>
              </w:rPr>
              <w:t xml:space="preserve"> 30</w:t>
            </w:r>
            <w:r w:rsidR="005F7BB0">
              <w:rPr>
                <w:b/>
                <w:color w:val="000000"/>
              </w:rPr>
              <w:t>)</w:t>
            </w:r>
          </w:p>
        </w:tc>
      </w:tr>
      <w:tr w:rsidR="00DA5C7E" w:rsidRPr="00D34D18" w14:paraId="1320B4E4" w14:textId="77777777" w:rsidTr="00736710">
        <w:trPr>
          <w:trHeight w:val="288"/>
          <w:jc w:val="center"/>
        </w:trPr>
        <w:tc>
          <w:tcPr>
            <w:tcW w:w="2605" w:type="dxa"/>
            <w:tcBorders>
              <w:top w:val="single" w:sz="12" w:space="0" w:color="auto"/>
            </w:tcBorders>
            <w:vAlign w:val="center"/>
            <w:hideMark/>
          </w:tcPr>
          <w:p w14:paraId="2A1B3EF8" w14:textId="77777777" w:rsidR="005D4E87" w:rsidRPr="00D34D18" w:rsidRDefault="005D4E87" w:rsidP="000A2A02">
            <w:pPr>
              <w:pStyle w:val="ExhibitText"/>
              <w:jc w:val="left"/>
            </w:pPr>
            <w:r w:rsidRPr="00D34D18">
              <w:t>Revenues</w:t>
            </w:r>
          </w:p>
        </w:tc>
        <w:tc>
          <w:tcPr>
            <w:tcW w:w="1349" w:type="dxa"/>
            <w:tcBorders>
              <w:top w:val="single" w:sz="12" w:space="0" w:color="auto"/>
            </w:tcBorders>
            <w:vAlign w:val="center"/>
            <w:hideMark/>
          </w:tcPr>
          <w:p w14:paraId="724B7C25" w14:textId="77777777" w:rsidR="005D4E87" w:rsidRPr="00D34D18" w:rsidRDefault="005D4E87" w:rsidP="000A2A02">
            <w:pPr>
              <w:pStyle w:val="ExhibitText"/>
              <w:jc w:val="right"/>
            </w:pPr>
            <w:r w:rsidRPr="00D34D18">
              <w:t>172</w:t>
            </w:r>
            <w:r w:rsidR="00886316" w:rsidRPr="00D34D18">
              <w:t>,</w:t>
            </w:r>
            <w:r w:rsidRPr="00D34D18">
              <w:t>460</w:t>
            </w:r>
          </w:p>
        </w:tc>
        <w:tc>
          <w:tcPr>
            <w:tcW w:w="1349" w:type="dxa"/>
            <w:tcBorders>
              <w:top w:val="single" w:sz="12" w:space="0" w:color="auto"/>
            </w:tcBorders>
            <w:vAlign w:val="center"/>
            <w:hideMark/>
          </w:tcPr>
          <w:p w14:paraId="54E67F4B" w14:textId="77777777" w:rsidR="005D4E87" w:rsidRPr="00D34D18" w:rsidRDefault="00886316" w:rsidP="000A2A02">
            <w:pPr>
              <w:pStyle w:val="ExhibitText"/>
              <w:jc w:val="right"/>
            </w:pPr>
            <w:r w:rsidRPr="00D34D18">
              <w:t>231,</w:t>
            </w:r>
            <w:r w:rsidR="005D4E87" w:rsidRPr="00D34D18">
              <w:t>642</w:t>
            </w:r>
          </w:p>
        </w:tc>
        <w:tc>
          <w:tcPr>
            <w:tcW w:w="1349" w:type="dxa"/>
            <w:tcBorders>
              <w:top w:val="single" w:sz="12" w:space="0" w:color="auto"/>
            </w:tcBorders>
            <w:vAlign w:val="center"/>
            <w:hideMark/>
          </w:tcPr>
          <w:p w14:paraId="29AE30CC" w14:textId="77777777" w:rsidR="005D4E87" w:rsidRPr="00D34D18" w:rsidRDefault="00886316" w:rsidP="000A2A02">
            <w:pPr>
              <w:pStyle w:val="ExhibitText"/>
              <w:jc w:val="right"/>
            </w:pPr>
            <w:r w:rsidRPr="00D34D18">
              <w:t>304,</w:t>
            </w:r>
            <w:r w:rsidR="005D4E87" w:rsidRPr="00D34D18">
              <w:t>775</w:t>
            </w:r>
          </w:p>
        </w:tc>
        <w:tc>
          <w:tcPr>
            <w:tcW w:w="1349" w:type="dxa"/>
            <w:tcBorders>
              <w:top w:val="single" w:sz="12" w:space="0" w:color="auto"/>
            </w:tcBorders>
            <w:vAlign w:val="center"/>
            <w:hideMark/>
          </w:tcPr>
          <w:p w14:paraId="1A92BFB4" w14:textId="77777777" w:rsidR="005D4E87" w:rsidRPr="00D34D18" w:rsidRDefault="005D4E87" w:rsidP="000A2A02">
            <w:pPr>
              <w:pStyle w:val="ExhibitText"/>
              <w:jc w:val="right"/>
            </w:pPr>
            <w:r w:rsidRPr="00D34D18">
              <w:t>337</w:t>
            </w:r>
            <w:r w:rsidR="00886316" w:rsidRPr="00D34D18">
              <w:t>,</w:t>
            </w:r>
            <w:r w:rsidRPr="00D34D18">
              <w:t>728</w:t>
            </w:r>
          </w:p>
        </w:tc>
        <w:tc>
          <w:tcPr>
            <w:tcW w:w="1349" w:type="dxa"/>
            <w:tcBorders>
              <w:top w:val="single" w:sz="12" w:space="0" w:color="auto"/>
            </w:tcBorders>
            <w:vAlign w:val="center"/>
            <w:hideMark/>
          </w:tcPr>
          <w:p w14:paraId="0AD11BB5" w14:textId="7CFBEDA9" w:rsidR="005D4E87" w:rsidRPr="00D34D18" w:rsidRDefault="005F7BB0" w:rsidP="005F7BB0">
            <w:pPr>
              <w:pStyle w:val="ExhibitText"/>
              <w:jc w:val="right"/>
              <w:rPr>
                <w:color w:val="000000"/>
              </w:rPr>
            </w:pPr>
            <w:r>
              <w:rPr>
                <w:color w:val="000000"/>
              </w:rPr>
              <w:t>132</w:t>
            </w:r>
            <w:r w:rsidR="00886316" w:rsidRPr="00D34D18">
              <w:rPr>
                <w:color w:val="000000"/>
              </w:rPr>
              <w:t>,</w:t>
            </w:r>
            <w:r>
              <w:rPr>
                <w:color w:val="000000"/>
              </w:rPr>
              <w:t>133</w:t>
            </w:r>
          </w:p>
        </w:tc>
      </w:tr>
      <w:tr w:rsidR="00DA5C7E" w:rsidRPr="00D34D18" w14:paraId="106CE31A" w14:textId="77777777" w:rsidTr="00DA5C7E">
        <w:trPr>
          <w:trHeight w:val="288"/>
          <w:jc w:val="center"/>
        </w:trPr>
        <w:tc>
          <w:tcPr>
            <w:tcW w:w="2605" w:type="dxa"/>
            <w:vAlign w:val="center"/>
            <w:hideMark/>
          </w:tcPr>
          <w:p w14:paraId="68C842E7" w14:textId="77777777" w:rsidR="005D4E87" w:rsidRPr="00D34D18" w:rsidRDefault="005D4E87" w:rsidP="000A2A02">
            <w:pPr>
              <w:pStyle w:val="ExhibitText"/>
              <w:jc w:val="left"/>
            </w:pPr>
            <w:r w:rsidRPr="00D34D18">
              <w:t>Operating income</w:t>
            </w:r>
          </w:p>
        </w:tc>
        <w:tc>
          <w:tcPr>
            <w:tcW w:w="1349" w:type="dxa"/>
            <w:vAlign w:val="center"/>
            <w:hideMark/>
          </w:tcPr>
          <w:p w14:paraId="65BB7AF9" w14:textId="77777777" w:rsidR="005D4E87" w:rsidRPr="00D34D18" w:rsidRDefault="00886316" w:rsidP="000A2A02">
            <w:pPr>
              <w:pStyle w:val="ExhibitText"/>
              <w:jc w:val="right"/>
            </w:pPr>
            <w:r w:rsidRPr="00D34D18">
              <w:t>2,</w:t>
            </w:r>
            <w:r w:rsidR="005D4E87" w:rsidRPr="00D34D18">
              <w:t>744</w:t>
            </w:r>
          </w:p>
        </w:tc>
        <w:tc>
          <w:tcPr>
            <w:tcW w:w="1349" w:type="dxa"/>
            <w:vAlign w:val="center"/>
            <w:hideMark/>
          </w:tcPr>
          <w:p w14:paraId="6469813D" w14:textId="77777777" w:rsidR="005D4E87" w:rsidRPr="00D34D18" w:rsidRDefault="00886316" w:rsidP="000A2A02">
            <w:pPr>
              <w:pStyle w:val="ExhibitText"/>
              <w:jc w:val="right"/>
            </w:pPr>
            <w:r w:rsidRPr="00D34D18">
              <w:t>9,</w:t>
            </w:r>
            <w:r w:rsidR="005D4E87" w:rsidRPr="00D34D18">
              <w:t>342</w:t>
            </w:r>
          </w:p>
        </w:tc>
        <w:tc>
          <w:tcPr>
            <w:tcW w:w="1349" w:type="dxa"/>
            <w:vAlign w:val="center"/>
            <w:hideMark/>
          </w:tcPr>
          <w:p w14:paraId="3E8FF8BF" w14:textId="77777777" w:rsidR="005D4E87" w:rsidRPr="00D34D18" w:rsidRDefault="005D4E87" w:rsidP="000A2A02">
            <w:pPr>
              <w:pStyle w:val="ExhibitText"/>
              <w:jc w:val="right"/>
            </w:pPr>
            <w:r w:rsidRPr="00D34D18">
              <w:t>10</w:t>
            </w:r>
            <w:r w:rsidR="00886316" w:rsidRPr="00D34D18">
              <w:t>,</w:t>
            </w:r>
            <w:r w:rsidRPr="00D34D18">
              <w:t>854</w:t>
            </w:r>
          </w:p>
        </w:tc>
        <w:tc>
          <w:tcPr>
            <w:tcW w:w="1349" w:type="dxa"/>
            <w:vAlign w:val="center"/>
            <w:hideMark/>
          </w:tcPr>
          <w:p w14:paraId="34468D55" w14:textId="77777777" w:rsidR="005D4E87" w:rsidRPr="00D34D18" w:rsidRDefault="00886316" w:rsidP="000A2A02">
            <w:pPr>
              <w:pStyle w:val="ExhibitText"/>
              <w:jc w:val="right"/>
            </w:pPr>
            <w:r w:rsidRPr="00D34D18">
              <w:t>26,</w:t>
            </w:r>
            <w:r w:rsidR="005D4E87" w:rsidRPr="00D34D18">
              <w:t>309</w:t>
            </w:r>
          </w:p>
        </w:tc>
        <w:tc>
          <w:tcPr>
            <w:tcW w:w="1349" w:type="dxa"/>
            <w:vAlign w:val="center"/>
            <w:hideMark/>
          </w:tcPr>
          <w:p w14:paraId="11A8B678" w14:textId="1AB2208F" w:rsidR="005D4E87" w:rsidRPr="00D34D18" w:rsidRDefault="00B50A9B" w:rsidP="00B50A9B">
            <w:pPr>
              <w:pStyle w:val="ExhibitText"/>
              <w:jc w:val="right"/>
              <w:rPr>
                <w:color w:val="000000"/>
              </w:rPr>
            </w:pPr>
            <w:r>
              <w:rPr>
                <w:color w:val="000000"/>
              </w:rPr>
              <w:t>1563</w:t>
            </w:r>
          </w:p>
        </w:tc>
      </w:tr>
      <w:tr w:rsidR="00DA5C7E" w:rsidRPr="00D34D18" w14:paraId="65262546" w14:textId="77777777" w:rsidTr="00DA5C7E">
        <w:trPr>
          <w:trHeight w:val="288"/>
          <w:jc w:val="center"/>
        </w:trPr>
        <w:tc>
          <w:tcPr>
            <w:tcW w:w="2605" w:type="dxa"/>
            <w:vAlign w:val="center"/>
            <w:hideMark/>
          </w:tcPr>
          <w:p w14:paraId="3C511731" w14:textId="77777777" w:rsidR="005D4E87" w:rsidRPr="00D34D18" w:rsidRDefault="005D4E87" w:rsidP="000A2A02">
            <w:pPr>
              <w:pStyle w:val="ExhibitText"/>
              <w:jc w:val="left"/>
            </w:pPr>
            <w:r w:rsidRPr="00D34D18">
              <w:t>Net income after interests</w:t>
            </w:r>
          </w:p>
        </w:tc>
        <w:tc>
          <w:tcPr>
            <w:tcW w:w="1349" w:type="dxa"/>
            <w:vAlign w:val="center"/>
            <w:hideMark/>
          </w:tcPr>
          <w:p w14:paraId="0DF375DD" w14:textId="77777777" w:rsidR="005D4E87" w:rsidRPr="00D34D18" w:rsidRDefault="00886316" w:rsidP="000A2A02">
            <w:pPr>
              <w:pStyle w:val="ExhibitText"/>
              <w:jc w:val="right"/>
            </w:pPr>
            <w:r w:rsidRPr="00D34D18">
              <w:t>(1,</w:t>
            </w:r>
            <w:r w:rsidR="005D4E87" w:rsidRPr="00D34D18">
              <w:t>103)</w:t>
            </w:r>
          </w:p>
        </w:tc>
        <w:tc>
          <w:tcPr>
            <w:tcW w:w="1349" w:type="dxa"/>
            <w:vAlign w:val="center"/>
            <w:hideMark/>
          </w:tcPr>
          <w:p w14:paraId="4FFD6890" w14:textId="77777777" w:rsidR="005D4E87" w:rsidRPr="00D34D18" w:rsidRDefault="005D4E87" w:rsidP="000A2A02">
            <w:pPr>
              <w:pStyle w:val="ExhibitText"/>
              <w:jc w:val="right"/>
            </w:pPr>
            <w:r w:rsidRPr="00D34D18">
              <w:t>8</w:t>
            </w:r>
            <w:r w:rsidR="00886316" w:rsidRPr="00D34D18">
              <w:t>,</w:t>
            </w:r>
            <w:r w:rsidRPr="00D34D18">
              <w:t>719</w:t>
            </w:r>
          </w:p>
        </w:tc>
        <w:tc>
          <w:tcPr>
            <w:tcW w:w="1349" w:type="dxa"/>
            <w:vAlign w:val="center"/>
            <w:hideMark/>
          </w:tcPr>
          <w:p w14:paraId="47A14EE1" w14:textId="77777777" w:rsidR="005D4E87" w:rsidRPr="00D34D18" w:rsidRDefault="00886316" w:rsidP="000A2A02">
            <w:pPr>
              <w:pStyle w:val="ExhibitText"/>
              <w:jc w:val="right"/>
            </w:pPr>
            <w:r w:rsidRPr="00D34D18">
              <w:t>8,</w:t>
            </w:r>
            <w:r w:rsidR="005D4E87" w:rsidRPr="00D34D18">
              <w:t>727</w:t>
            </w:r>
          </w:p>
        </w:tc>
        <w:tc>
          <w:tcPr>
            <w:tcW w:w="1349" w:type="dxa"/>
            <w:vAlign w:val="center"/>
            <w:hideMark/>
          </w:tcPr>
          <w:p w14:paraId="125BDD2A" w14:textId="77777777" w:rsidR="005D4E87" w:rsidRPr="00D34D18" w:rsidRDefault="00886316" w:rsidP="000A2A02">
            <w:pPr>
              <w:pStyle w:val="ExhibitText"/>
              <w:jc w:val="right"/>
            </w:pPr>
            <w:r w:rsidRPr="00D34D18">
              <w:t>23,</w:t>
            </w:r>
            <w:r w:rsidR="005D4E87" w:rsidRPr="00D34D18">
              <w:t>434</w:t>
            </w:r>
          </w:p>
        </w:tc>
        <w:tc>
          <w:tcPr>
            <w:tcW w:w="1349" w:type="dxa"/>
            <w:vAlign w:val="center"/>
            <w:hideMark/>
          </w:tcPr>
          <w:p w14:paraId="69405C69" w14:textId="61260A46" w:rsidR="005D4E87" w:rsidRPr="00D34D18" w:rsidRDefault="00B50A9B" w:rsidP="00B50A9B">
            <w:pPr>
              <w:pStyle w:val="ExhibitText"/>
              <w:jc w:val="right"/>
              <w:rPr>
                <w:color w:val="000000"/>
              </w:rPr>
            </w:pPr>
            <w:r>
              <w:rPr>
                <w:color w:val="000000"/>
              </w:rPr>
              <w:t>3451</w:t>
            </w:r>
          </w:p>
        </w:tc>
      </w:tr>
      <w:tr w:rsidR="00DA5C7E" w:rsidRPr="00D34D18" w14:paraId="548241DC" w14:textId="77777777" w:rsidTr="00DA5C7E">
        <w:trPr>
          <w:trHeight w:val="288"/>
          <w:jc w:val="center"/>
        </w:trPr>
        <w:tc>
          <w:tcPr>
            <w:tcW w:w="2605" w:type="dxa"/>
            <w:vAlign w:val="center"/>
            <w:hideMark/>
          </w:tcPr>
          <w:p w14:paraId="0370D54F" w14:textId="77777777" w:rsidR="005D4E87" w:rsidRPr="00D34D18" w:rsidRDefault="005D4E87" w:rsidP="000A2A02">
            <w:pPr>
              <w:pStyle w:val="ExhibitText"/>
              <w:jc w:val="left"/>
            </w:pPr>
            <w:r w:rsidRPr="00D34D18">
              <w:t>Net income after interests and taxes</w:t>
            </w:r>
          </w:p>
        </w:tc>
        <w:tc>
          <w:tcPr>
            <w:tcW w:w="1349" w:type="dxa"/>
            <w:vAlign w:val="center"/>
            <w:hideMark/>
          </w:tcPr>
          <w:p w14:paraId="1AB3FA3D" w14:textId="77777777" w:rsidR="005D4E87" w:rsidRPr="00D34D18" w:rsidRDefault="00886316" w:rsidP="000A2A02">
            <w:pPr>
              <w:pStyle w:val="ExhibitText"/>
              <w:jc w:val="right"/>
            </w:pPr>
            <w:r w:rsidRPr="00D34D18">
              <w:t>(1,</w:t>
            </w:r>
            <w:r w:rsidR="005D4E87" w:rsidRPr="00D34D18">
              <w:t>128)</w:t>
            </w:r>
          </w:p>
        </w:tc>
        <w:tc>
          <w:tcPr>
            <w:tcW w:w="1349" w:type="dxa"/>
            <w:vAlign w:val="center"/>
            <w:hideMark/>
          </w:tcPr>
          <w:p w14:paraId="0593B507" w14:textId="77777777" w:rsidR="005D4E87" w:rsidRPr="00D34D18" w:rsidRDefault="005D4E87" w:rsidP="000A2A02">
            <w:pPr>
              <w:pStyle w:val="ExhibitText"/>
              <w:jc w:val="right"/>
            </w:pPr>
            <w:r w:rsidRPr="00D34D18">
              <w:t>4</w:t>
            </w:r>
            <w:r w:rsidR="00886316" w:rsidRPr="00D34D18">
              <w:t>,</w:t>
            </w:r>
            <w:r w:rsidRPr="00D34D18">
              <w:t>795</w:t>
            </w:r>
          </w:p>
        </w:tc>
        <w:tc>
          <w:tcPr>
            <w:tcW w:w="1349" w:type="dxa"/>
            <w:vAlign w:val="center"/>
            <w:hideMark/>
          </w:tcPr>
          <w:p w14:paraId="0E94903C" w14:textId="77777777" w:rsidR="005D4E87" w:rsidRPr="00D34D18" w:rsidRDefault="00886316" w:rsidP="000A2A02">
            <w:pPr>
              <w:pStyle w:val="ExhibitText"/>
              <w:jc w:val="right"/>
            </w:pPr>
            <w:r w:rsidRPr="00D34D18">
              <w:t>6,</w:t>
            </w:r>
            <w:r w:rsidR="005D4E87" w:rsidRPr="00D34D18">
              <w:t>416</w:t>
            </w:r>
          </w:p>
        </w:tc>
        <w:tc>
          <w:tcPr>
            <w:tcW w:w="1349" w:type="dxa"/>
            <w:vAlign w:val="center"/>
            <w:hideMark/>
          </w:tcPr>
          <w:p w14:paraId="746DF43B" w14:textId="77777777" w:rsidR="005D4E87" w:rsidRPr="00D34D18" w:rsidRDefault="00886316" w:rsidP="000A2A02">
            <w:pPr>
              <w:pStyle w:val="ExhibitText"/>
              <w:jc w:val="right"/>
            </w:pPr>
            <w:r w:rsidRPr="00D34D18">
              <w:t>17,</w:t>
            </w:r>
            <w:r w:rsidR="005D4E87" w:rsidRPr="00D34D18">
              <w:t>705</w:t>
            </w:r>
          </w:p>
        </w:tc>
        <w:tc>
          <w:tcPr>
            <w:tcW w:w="1349" w:type="dxa"/>
            <w:vAlign w:val="center"/>
            <w:hideMark/>
          </w:tcPr>
          <w:p w14:paraId="393F829B" w14:textId="3E03237C" w:rsidR="005D4E87" w:rsidRPr="00D34D18" w:rsidRDefault="00B50A9B" w:rsidP="00B50A9B">
            <w:pPr>
              <w:pStyle w:val="ExhibitText"/>
              <w:jc w:val="right"/>
              <w:rPr>
                <w:color w:val="000000"/>
              </w:rPr>
            </w:pPr>
            <w:r>
              <w:rPr>
                <w:color w:val="000000"/>
              </w:rPr>
              <w:t>(4052)</w:t>
            </w:r>
          </w:p>
        </w:tc>
      </w:tr>
      <w:tr w:rsidR="00DA5C7E" w:rsidRPr="00D34D18" w14:paraId="11B38923" w14:textId="77777777" w:rsidTr="00DA5C7E">
        <w:trPr>
          <w:trHeight w:val="288"/>
          <w:jc w:val="center"/>
        </w:trPr>
        <w:tc>
          <w:tcPr>
            <w:tcW w:w="2605" w:type="dxa"/>
            <w:vAlign w:val="center"/>
            <w:hideMark/>
          </w:tcPr>
          <w:p w14:paraId="24256EB0" w14:textId="77777777" w:rsidR="005D4E87" w:rsidRPr="00D34D18" w:rsidRDefault="00AE4134" w:rsidP="000A2A02">
            <w:pPr>
              <w:pStyle w:val="ExhibitText"/>
              <w:jc w:val="left"/>
            </w:pPr>
            <w:hyperlink r:id="rId14" w:history="1">
              <w:r w:rsidR="005D4E87" w:rsidRPr="00D34D18">
                <w:t xml:space="preserve">Amortization </w:t>
              </w:r>
            </w:hyperlink>
          </w:p>
        </w:tc>
        <w:tc>
          <w:tcPr>
            <w:tcW w:w="1349" w:type="dxa"/>
            <w:vAlign w:val="center"/>
            <w:hideMark/>
          </w:tcPr>
          <w:p w14:paraId="4B1420A4" w14:textId="77777777" w:rsidR="005D4E87" w:rsidRPr="00D34D18" w:rsidRDefault="005D4E87" w:rsidP="000A2A02">
            <w:pPr>
              <w:pStyle w:val="ExhibitText"/>
              <w:jc w:val="right"/>
            </w:pPr>
            <w:r w:rsidRPr="00D34D18">
              <w:t>1</w:t>
            </w:r>
            <w:r w:rsidR="00886316" w:rsidRPr="00D34D18">
              <w:t>,</w:t>
            </w:r>
            <w:r w:rsidRPr="00D34D18">
              <w:t>652</w:t>
            </w:r>
          </w:p>
        </w:tc>
        <w:tc>
          <w:tcPr>
            <w:tcW w:w="1349" w:type="dxa"/>
            <w:vAlign w:val="center"/>
            <w:hideMark/>
          </w:tcPr>
          <w:p w14:paraId="5E351116" w14:textId="77777777" w:rsidR="005D4E87" w:rsidRPr="00D34D18" w:rsidRDefault="00886316" w:rsidP="000A2A02">
            <w:pPr>
              <w:pStyle w:val="ExhibitText"/>
              <w:jc w:val="right"/>
            </w:pPr>
            <w:r w:rsidRPr="00D34D18">
              <w:t>1,</w:t>
            </w:r>
            <w:r w:rsidR="005D4E87" w:rsidRPr="00D34D18">
              <w:t>486</w:t>
            </w:r>
          </w:p>
        </w:tc>
        <w:tc>
          <w:tcPr>
            <w:tcW w:w="1349" w:type="dxa"/>
            <w:vAlign w:val="center"/>
            <w:hideMark/>
          </w:tcPr>
          <w:p w14:paraId="34DD6D35" w14:textId="77777777" w:rsidR="005D4E87" w:rsidRPr="00D34D18" w:rsidRDefault="00886316" w:rsidP="000A2A02">
            <w:pPr>
              <w:pStyle w:val="ExhibitText"/>
              <w:jc w:val="right"/>
            </w:pPr>
            <w:r w:rsidRPr="00D34D18">
              <w:t>1,</w:t>
            </w:r>
            <w:r w:rsidR="005D4E87" w:rsidRPr="00D34D18">
              <w:t>994</w:t>
            </w:r>
          </w:p>
        </w:tc>
        <w:tc>
          <w:tcPr>
            <w:tcW w:w="1349" w:type="dxa"/>
            <w:vAlign w:val="center"/>
            <w:hideMark/>
          </w:tcPr>
          <w:p w14:paraId="2DB35988" w14:textId="77777777" w:rsidR="005D4E87" w:rsidRPr="00D34D18" w:rsidRDefault="00886316" w:rsidP="000A2A02">
            <w:pPr>
              <w:pStyle w:val="ExhibitText"/>
              <w:jc w:val="right"/>
            </w:pPr>
            <w:r w:rsidRPr="00D34D18">
              <w:t>2,</w:t>
            </w:r>
            <w:r w:rsidR="005D4E87" w:rsidRPr="00D34D18">
              <w:t>971</w:t>
            </w:r>
          </w:p>
        </w:tc>
        <w:tc>
          <w:tcPr>
            <w:tcW w:w="1349" w:type="dxa"/>
            <w:vAlign w:val="center"/>
            <w:hideMark/>
          </w:tcPr>
          <w:p w14:paraId="547E70A0" w14:textId="3F469B1C" w:rsidR="005D4E87" w:rsidRPr="00D34D18" w:rsidRDefault="00B50A9B" w:rsidP="00B50A9B">
            <w:pPr>
              <w:pStyle w:val="ExhibitText"/>
              <w:jc w:val="right"/>
              <w:rPr>
                <w:color w:val="000000"/>
              </w:rPr>
            </w:pPr>
            <w:r>
              <w:rPr>
                <w:color w:val="000000"/>
              </w:rPr>
              <w:t>1809</w:t>
            </w:r>
          </w:p>
        </w:tc>
      </w:tr>
      <w:tr w:rsidR="00DA5C7E" w:rsidRPr="00D34D18" w14:paraId="791CD55C" w14:textId="77777777" w:rsidTr="00DA5C7E">
        <w:trPr>
          <w:trHeight w:val="288"/>
          <w:jc w:val="center"/>
        </w:trPr>
        <w:tc>
          <w:tcPr>
            <w:tcW w:w="2605" w:type="dxa"/>
            <w:vAlign w:val="center"/>
            <w:hideMark/>
          </w:tcPr>
          <w:p w14:paraId="2FA0C37B" w14:textId="77777777" w:rsidR="005D4E87" w:rsidRPr="00D34D18" w:rsidRDefault="00AE4134" w:rsidP="000A2A02">
            <w:pPr>
              <w:pStyle w:val="ExhibitText"/>
              <w:jc w:val="left"/>
            </w:pPr>
            <w:hyperlink r:id="rId15" w:history="1">
              <w:r w:rsidR="005D4E87" w:rsidRPr="00D34D18">
                <w:t>EBIDTA</w:t>
              </w:r>
            </w:hyperlink>
          </w:p>
        </w:tc>
        <w:tc>
          <w:tcPr>
            <w:tcW w:w="1349" w:type="dxa"/>
            <w:vAlign w:val="center"/>
            <w:hideMark/>
          </w:tcPr>
          <w:p w14:paraId="45780F43" w14:textId="77777777" w:rsidR="005D4E87" w:rsidRPr="00D34D18" w:rsidRDefault="00886316" w:rsidP="000A2A02">
            <w:pPr>
              <w:pStyle w:val="ExhibitText"/>
              <w:jc w:val="right"/>
            </w:pPr>
            <w:r w:rsidRPr="00D34D18">
              <w:t>4,</w:t>
            </w:r>
            <w:r w:rsidR="005D4E87" w:rsidRPr="00D34D18">
              <w:t>396</w:t>
            </w:r>
          </w:p>
        </w:tc>
        <w:tc>
          <w:tcPr>
            <w:tcW w:w="1349" w:type="dxa"/>
            <w:vAlign w:val="center"/>
            <w:hideMark/>
          </w:tcPr>
          <w:p w14:paraId="29EE656B" w14:textId="77777777" w:rsidR="005D4E87" w:rsidRPr="00D34D18" w:rsidRDefault="00886316" w:rsidP="000A2A02">
            <w:pPr>
              <w:pStyle w:val="ExhibitText"/>
              <w:jc w:val="right"/>
            </w:pPr>
            <w:r w:rsidRPr="00D34D18">
              <w:t>12,</w:t>
            </w:r>
            <w:r w:rsidR="005D4E87" w:rsidRPr="00D34D18">
              <w:t>828</w:t>
            </w:r>
          </w:p>
        </w:tc>
        <w:tc>
          <w:tcPr>
            <w:tcW w:w="1349" w:type="dxa"/>
            <w:vAlign w:val="center"/>
            <w:hideMark/>
          </w:tcPr>
          <w:p w14:paraId="39B578D0" w14:textId="77777777" w:rsidR="005D4E87" w:rsidRPr="00D34D18" w:rsidRDefault="00886316" w:rsidP="000A2A02">
            <w:pPr>
              <w:pStyle w:val="ExhibitText"/>
              <w:jc w:val="right"/>
            </w:pPr>
            <w:r w:rsidRPr="00D34D18">
              <w:t>12,</w:t>
            </w:r>
            <w:r w:rsidR="005D4E87" w:rsidRPr="00D34D18">
              <w:t>848</w:t>
            </w:r>
          </w:p>
        </w:tc>
        <w:tc>
          <w:tcPr>
            <w:tcW w:w="1349" w:type="dxa"/>
            <w:vAlign w:val="center"/>
            <w:hideMark/>
          </w:tcPr>
          <w:p w14:paraId="01E88D39" w14:textId="77777777" w:rsidR="005D4E87" w:rsidRPr="00D34D18" w:rsidRDefault="00886316" w:rsidP="000A2A02">
            <w:pPr>
              <w:pStyle w:val="ExhibitText"/>
              <w:jc w:val="right"/>
            </w:pPr>
            <w:r w:rsidRPr="00D34D18">
              <w:t>29,</w:t>
            </w:r>
            <w:r w:rsidR="005D4E87" w:rsidRPr="00D34D18">
              <w:t>280</w:t>
            </w:r>
          </w:p>
        </w:tc>
        <w:tc>
          <w:tcPr>
            <w:tcW w:w="1349" w:type="dxa"/>
            <w:vAlign w:val="center"/>
            <w:hideMark/>
          </w:tcPr>
          <w:p w14:paraId="517E6606" w14:textId="6BE273E3" w:rsidR="005D4E87" w:rsidRPr="00D34D18" w:rsidRDefault="00B50A9B" w:rsidP="00B50A9B">
            <w:pPr>
              <w:pStyle w:val="ExhibitText"/>
              <w:jc w:val="right"/>
              <w:rPr>
                <w:color w:val="000000"/>
              </w:rPr>
            </w:pPr>
            <w:r>
              <w:rPr>
                <w:color w:val="000000"/>
              </w:rPr>
              <w:t>3472</w:t>
            </w:r>
          </w:p>
        </w:tc>
      </w:tr>
      <w:tr w:rsidR="00DA5C7E" w:rsidRPr="00D34D18" w14:paraId="1AA9839C" w14:textId="77777777" w:rsidTr="00DA5C7E">
        <w:trPr>
          <w:trHeight w:val="288"/>
          <w:jc w:val="center"/>
        </w:trPr>
        <w:tc>
          <w:tcPr>
            <w:tcW w:w="2605" w:type="dxa"/>
            <w:vAlign w:val="center"/>
            <w:hideMark/>
          </w:tcPr>
          <w:p w14:paraId="623231D1" w14:textId="77777777" w:rsidR="005D4E87" w:rsidRPr="00D34D18" w:rsidRDefault="00AE4134" w:rsidP="000A2A02">
            <w:pPr>
              <w:pStyle w:val="ExhibitText"/>
              <w:jc w:val="left"/>
            </w:pPr>
            <w:hyperlink r:id="rId16" w:history="1">
              <w:r w:rsidR="005D4E87" w:rsidRPr="00D34D18">
                <w:t>Assets (including intangible assets)</w:t>
              </w:r>
            </w:hyperlink>
          </w:p>
        </w:tc>
        <w:tc>
          <w:tcPr>
            <w:tcW w:w="1349" w:type="dxa"/>
            <w:vAlign w:val="center"/>
            <w:hideMark/>
          </w:tcPr>
          <w:p w14:paraId="3AAE0175" w14:textId="77777777" w:rsidR="005D4E87" w:rsidRPr="00D34D18" w:rsidRDefault="005D4E87" w:rsidP="000A2A02">
            <w:pPr>
              <w:pStyle w:val="ExhibitText"/>
              <w:jc w:val="right"/>
            </w:pPr>
            <w:r w:rsidRPr="00D34D18">
              <w:t>54</w:t>
            </w:r>
            <w:r w:rsidR="00886316" w:rsidRPr="00D34D18">
              <w:t>,</w:t>
            </w:r>
            <w:r w:rsidRPr="00D34D18">
              <w:t>809</w:t>
            </w:r>
          </w:p>
        </w:tc>
        <w:tc>
          <w:tcPr>
            <w:tcW w:w="1349" w:type="dxa"/>
            <w:vAlign w:val="center"/>
            <w:hideMark/>
          </w:tcPr>
          <w:p w14:paraId="407AB9E0" w14:textId="77777777" w:rsidR="005D4E87" w:rsidRPr="00D34D18" w:rsidRDefault="00886316" w:rsidP="000A2A02">
            <w:pPr>
              <w:pStyle w:val="ExhibitText"/>
              <w:jc w:val="right"/>
            </w:pPr>
            <w:r w:rsidRPr="00D34D18">
              <w:t>106,</w:t>
            </w:r>
            <w:r w:rsidR="005D4E87" w:rsidRPr="00D34D18">
              <w:t>280</w:t>
            </w:r>
          </w:p>
        </w:tc>
        <w:tc>
          <w:tcPr>
            <w:tcW w:w="1349" w:type="dxa"/>
            <w:vAlign w:val="center"/>
            <w:hideMark/>
          </w:tcPr>
          <w:p w14:paraId="3F398E15" w14:textId="77777777" w:rsidR="005D4E87" w:rsidRPr="00D34D18" w:rsidRDefault="00886316" w:rsidP="000A2A02">
            <w:pPr>
              <w:pStyle w:val="ExhibitText"/>
              <w:jc w:val="right"/>
            </w:pPr>
            <w:r w:rsidRPr="00D34D18">
              <w:t>95,</w:t>
            </w:r>
            <w:r w:rsidR="005D4E87" w:rsidRPr="00D34D18">
              <w:t>306</w:t>
            </w:r>
          </w:p>
        </w:tc>
        <w:tc>
          <w:tcPr>
            <w:tcW w:w="1349" w:type="dxa"/>
            <w:vAlign w:val="center"/>
            <w:hideMark/>
          </w:tcPr>
          <w:p w14:paraId="1E0C8EF4" w14:textId="77777777" w:rsidR="005D4E87" w:rsidRPr="00D34D18" w:rsidRDefault="00886316" w:rsidP="000A2A02">
            <w:pPr>
              <w:pStyle w:val="ExhibitText"/>
              <w:jc w:val="right"/>
            </w:pPr>
            <w:r w:rsidRPr="00D34D18">
              <w:t>175,</w:t>
            </w:r>
            <w:r w:rsidR="005D4E87" w:rsidRPr="00D34D18">
              <w:t>995</w:t>
            </w:r>
          </w:p>
        </w:tc>
        <w:tc>
          <w:tcPr>
            <w:tcW w:w="1349" w:type="dxa"/>
            <w:vAlign w:val="center"/>
            <w:hideMark/>
          </w:tcPr>
          <w:p w14:paraId="62D4D984" w14:textId="27130A75" w:rsidR="005D4E87" w:rsidRPr="00D34D18" w:rsidRDefault="00886316" w:rsidP="00B50A9B">
            <w:pPr>
              <w:pStyle w:val="ExhibitText"/>
              <w:jc w:val="right"/>
              <w:rPr>
                <w:color w:val="000000"/>
              </w:rPr>
            </w:pPr>
            <w:r w:rsidRPr="00D34D18">
              <w:rPr>
                <w:color w:val="000000"/>
              </w:rPr>
              <w:t>2</w:t>
            </w:r>
            <w:r w:rsidR="00B50A9B">
              <w:rPr>
                <w:color w:val="000000"/>
              </w:rPr>
              <w:t>03</w:t>
            </w:r>
            <w:r w:rsidRPr="00D34D18">
              <w:rPr>
                <w:color w:val="000000"/>
              </w:rPr>
              <w:t>,</w:t>
            </w:r>
            <w:r w:rsidR="00B50A9B">
              <w:rPr>
                <w:color w:val="000000"/>
              </w:rPr>
              <w:t>507</w:t>
            </w:r>
          </w:p>
        </w:tc>
      </w:tr>
      <w:tr w:rsidR="00DA5C7E" w:rsidRPr="00D34D18" w14:paraId="617812E8" w14:textId="77777777" w:rsidTr="00DA5C7E">
        <w:trPr>
          <w:trHeight w:val="288"/>
          <w:jc w:val="center"/>
        </w:trPr>
        <w:tc>
          <w:tcPr>
            <w:tcW w:w="2605" w:type="dxa"/>
            <w:vAlign w:val="center"/>
            <w:hideMark/>
          </w:tcPr>
          <w:p w14:paraId="742AA54D" w14:textId="77777777" w:rsidR="005D4E87" w:rsidRPr="00D34D18" w:rsidRDefault="005D4E87" w:rsidP="000A2A02">
            <w:pPr>
              <w:pStyle w:val="ExhibitText"/>
              <w:jc w:val="left"/>
            </w:pPr>
            <w:r w:rsidRPr="00D34D18">
              <w:t>Equity</w:t>
            </w:r>
          </w:p>
        </w:tc>
        <w:tc>
          <w:tcPr>
            <w:tcW w:w="1349" w:type="dxa"/>
            <w:vAlign w:val="center"/>
            <w:hideMark/>
          </w:tcPr>
          <w:p w14:paraId="23146C91" w14:textId="77777777" w:rsidR="005D4E87" w:rsidRPr="00D34D18" w:rsidRDefault="00886316" w:rsidP="000A2A02">
            <w:pPr>
              <w:pStyle w:val="ExhibitText"/>
              <w:jc w:val="right"/>
            </w:pPr>
            <w:r w:rsidRPr="00D34D18">
              <w:t>22,</w:t>
            </w:r>
            <w:r w:rsidR="005D4E87" w:rsidRPr="00D34D18">
              <w:t>790</w:t>
            </w:r>
          </w:p>
        </w:tc>
        <w:tc>
          <w:tcPr>
            <w:tcW w:w="1349" w:type="dxa"/>
            <w:vAlign w:val="center"/>
            <w:hideMark/>
          </w:tcPr>
          <w:p w14:paraId="6195B83C" w14:textId="77777777" w:rsidR="005D4E87" w:rsidRPr="00D34D18" w:rsidRDefault="00886316" w:rsidP="000A2A02">
            <w:pPr>
              <w:pStyle w:val="ExhibitText"/>
              <w:jc w:val="right"/>
            </w:pPr>
            <w:r w:rsidRPr="00D34D18">
              <w:t>28,</w:t>
            </w:r>
            <w:r w:rsidR="005D4E87" w:rsidRPr="00D34D18">
              <w:t>585</w:t>
            </w:r>
          </w:p>
        </w:tc>
        <w:tc>
          <w:tcPr>
            <w:tcW w:w="1349" w:type="dxa"/>
            <w:vAlign w:val="center"/>
            <w:hideMark/>
          </w:tcPr>
          <w:p w14:paraId="47C9D387" w14:textId="77777777" w:rsidR="005D4E87" w:rsidRPr="00D34D18" w:rsidRDefault="00886316" w:rsidP="000A2A02">
            <w:pPr>
              <w:pStyle w:val="ExhibitText"/>
              <w:jc w:val="right"/>
            </w:pPr>
            <w:r w:rsidRPr="00D34D18">
              <w:t>37,</w:t>
            </w:r>
            <w:r w:rsidR="005D4E87" w:rsidRPr="00D34D18">
              <w:t>002</w:t>
            </w:r>
          </w:p>
        </w:tc>
        <w:tc>
          <w:tcPr>
            <w:tcW w:w="1349" w:type="dxa"/>
            <w:vAlign w:val="center"/>
            <w:hideMark/>
          </w:tcPr>
          <w:p w14:paraId="24C4B3F1" w14:textId="77777777" w:rsidR="005D4E87" w:rsidRPr="00D34D18" w:rsidRDefault="00886316" w:rsidP="000A2A02">
            <w:pPr>
              <w:pStyle w:val="ExhibitText"/>
              <w:jc w:val="right"/>
            </w:pPr>
            <w:r w:rsidRPr="00D34D18">
              <w:t>66,</w:t>
            </w:r>
            <w:r w:rsidR="005D4E87" w:rsidRPr="00D34D18">
              <w:t>149</w:t>
            </w:r>
          </w:p>
        </w:tc>
        <w:tc>
          <w:tcPr>
            <w:tcW w:w="1349" w:type="dxa"/>
            <w:vAlign w:val="center"/>
            <w:hideMark/>
          </w:tcPr>
          <w:p w14:paraId="2937EC7C" w14:textId="286F27E1" w:rsidR="005D4E87" w:rsidRPr="00D34D18" w:rsidRDefault="00886316" w:rsidP="00B50A9B">
            <w:pPr>
              <w:pStyle w:val="ExhibitText"/>
              <w:jc w:val="right"/>
              <w:rPr>
                <w:color w:val="000000"/>
              </w:rPr>
            </w:pPr>
            <w:r w:rsidRPr="00D34D18">
              <w:rPr>
                <w:color w:val="000000"/>
              </w:rPr>
              <w:t>1</w:t>
            </w:r>
            <w:r w:rsidR="00B50A9B">
              <w:rPr>
                <w:color w:val="000000"/>
              </w:rPr>
              <w:t>28,421</w:t>
            </w:r>
          </w:p>
        </w:tc>
      </w:tr>
      <w:tr w:rsidR="00DA5C7E" w:rsidRPr="00D34D18" w14:paraId="55360186" w14:textId="77777777" w:rsidTr="00DA5C7E">
        <w:trPr>
          <w:trHeight w:val="288"/>
          <w:jc w:val="center"/>
        </w:trPr>
        <w:tc>
          <w:tcPr>
            <w:tcW w:w="2605" w:type="dxa"/>
            <w:vAlign w:val="center"/>
            <w:hideMark/>
          </w:tcPr>
          <w:p w14:paraId="567A4185" w14:textId="7FA0684E" w:rsidR="005D4E87" w:rsidRPr="00D34D18" w:rsidRDefault="00CF2045" w:rsidP="000A2A02">
            <w:pPr>
              <w:pStyle w:val="ExhibitText"/>
              <w:jc w:val="left"/>
              <w:rPr>
                <w:color w:val="000000"/>
              </w:rPr>
            </w:pPr>
            <w:r>
              <w:rPr>
                <w:color w:val="000000"/>
              </w:rPr>
              <w:t xml:space="preserve">Number of </w:t>
            </w:r>
            <w:r w:rsidR="00E710B3">
              <w:rPr>
                <w:color w:val="000000"/>
              </w:rPr>
              <w:t>s</w:t>
            </w:r>
            <w:r w:rsidR="005D4E87" w:rsidRPr="00D34D18">
              <w:rPr>
                <w:color w:val="000000"/>
              </w:rPr>
              <w:t>hares</w:t>
            </w:r>
          </w:p>
        </w:tc>
        <w:tc>
          <w:tcPr>
            <w:tcW w:w="1349" w:type="dxa"/>
            <w:noWrap/>
            <w:vAlign w:val="center"/>
            <w:hideMark/>
          </w:tcPr>
          <w:p w14:paraId="2B307318" w14:textId="77777777" w:rsidR="005D4E87" w:rsidRPr="00D34D18" w:rsidRDefault="005D4E87" w:rsidP="000A2A02">
            <w:pPr>
              <w:pStyle w:val="ExhibitText"/>
              <w:jc w:val="right"/>
            </w:pPr>
            <w:r w:rsidRPr="00D34D18">
              <w:t>2</w:t>
            </w:r>
            <w:r w:rsidR="00886316" w:rsidRPr="00D34D18">
              <w:t>,</w:t>
            </w:r>
            <w:r w:rsidRPr="00D34D18">
              <w:t>700</w:t>
            </w:r>
            <w:r w:rsidR="00886316" w:rsidRPr="00D34D18">
              <w:t>,</w:t>
            </w:r>
            <w:r w:rsidRPr="00D34D18">
              <w:t>000</w:t>
            </w:r>
          </w:p>
        </w:tc>
        <w:tc>
          <w:tcPr>
            <w:tcW w:w="1349" w:type="dxa"/>
            <w:vAlign w:val="center"/>
            <w:hideMark/>
          </w:tcPr>
          <w:p w14:paraId="7CBC2925" w14:textId="77777777" w:rsidR="005D4E87" w:rsidRPr="00D34D18" w:rsidRDefault="005D4E87" w:rsidP="000A2A02">
            <w:pPr>
              <w:pStyle w:val="ExhibitText"/>
              <w:jc w:val="right"/>
              <w:rPr>
                <w:color w:val="000000"/>
              </w:rPr>
            </w:pPr>
            <w:r w:rsidRPr="00D34D18">
              <w:rPr>
                <w:color w:val="000000"/>
              </w:rPr>
              <w:t>2</w:t>
            </w:r>
            <w:r w:rsidR="00886316" w:rsidRPr="00D34D18">
              <w:rPr>
                <w:color w:val="000000"/>
              </w:rPr>
              <w:t>,</w:t>
            </w:r>
            <w:r w:rsidRPr="00D34D18">
              <w:rPr>
                <w:color w:val="000000"/>
              </w:rPr>
              <w:t>700</w:t>
            </w:r>
            <w:r w:rsidR="00886316" w:rsidRPr="00D34D18">
              <w:rPr>
                <w:color w:val="000000"/>
              </w:rPr>
              <w:t>,</w:t>
            </w:r>
            <w:r w:rsidRPr="00D34D18">
              <w:rPr>
                <w:color w:val="000000"/>
              </w:rPr>
              <w:t>000</w:t>
            </w:r>
          </w:p>
        </w:tc>
        <w:tc>
          <w:tcPr>
            <w:tcW w:w="1349" w:type="dxa"/>
            <w:vAlign w:val="center"/>
            <w:hideMark/>
          </w:tcPr>
          <w:p w14:paraId="598370F1" w14:textId="77777777" w:rsidR="005D4E87" w:rsidRPr="00D34D18" w:rsidRDefault="005D4E87" w:rsidP="000A2A02">
            <w:pPr>
              <w:pStyle w:val="ExhibitText"/>
              <w:jc w:val="right"/>
              <w:rPr>
                <w:color w:val="000000"/>
              </w:rPr>
            </w:pPr>
            <w:r w:rsidRPr="00D34D18">
              <w:rPr>
                <w:color w:val="000000"/>
              </w:rPr>
              <w:t>3</w:t>
            </w:r>
            <w:r w:rsidR="00886316" w:rsidRPr="00D34D18">
              <w:rPr>
                <w:color w:val="000000"/>
              </w:rPr>
              <w:t>,</w:t>
            </w:r>
            <w:r w:rsidRPr="00D34D18">
              <w:rPr>
                <w:color w:val="000000"/>
              </w:rPr>
              <w:t>030</w:t>
            </w:r>
            <w:r w:rsidR="00886316" w:rsidRPr="00D34D18">
              <w:rPr>
                <w:color w:val="000000"/>
              </w:rPr>
              <w:t>,</w:t>
            </w:r>
            <w:r w:rsidRPr="00D34D18">
              <w:rPr>
                <w:color w:val="000000"/>
              </w:rPr>
              <w:t>400</w:t>
            </w:r>
          </w:p>
        </w:tc>
        <w:tc>
          <w:tcPr>
            <w:tcW w:w="1349" w:type="dxa"/>
            <w:vAlign w:val="center"/>
            <w:hideMark/>
          </w:tcPr>
          <w:p w14:paraId="2290BB2C" w14:textId="77777777" w:rsidR="005D4E87" w:rsidRPr="00D34D18" w:rsidRDefault="005D4E87" w:rsidP="000A2A02">
            <w:pPr>
              <w:pStyle w:val="ExhibitText"/>
              <w:jc w:val="right"/>
              <w:rPr>
                <w:color w:val="000000"/>
              </w:rPr>
            </w:pPr>
            <w:r w:rsidRPr="00D34D18">
              <w:rPr>
                <w:color w:val="000000"/>
              </w:rPr>
              <w:t>3</w:t>
            </w:r>
            <w:r w:rsidR="00886316" w:rsidRPr="00D34D18">
              <w:rPr>
                <w:color w:val="000000"/>
              </w:rPr>
              <w:t>,</w:t>
            </w:r>
            <w:r w:rsidRPr="00D34D18">
              <w:rPr>
                <w:color w:val="000000"/>
              </w:rPr>
              <w:t>030</w:t>
            </w:r>
            <w:r w:rsidR="00886316" w:rsidRPr="00D34D18">
              <w:rPr>
                <w:color w:val="000000"/>
              </w:rPr>
              <w:t>,</w:t>
            </w:r>
            <w:r w:rsidRPr="00D34D18">
              <w:rPr>
                <w:color w:val="000000"/>
              </w:rPr>
              <w:t>400</w:t>
            </w:r>
          </w:p>
        </w:tc>
        <w:tc>
          <w:tcPr>
            <w:tcW w:w="1349" w:type="dxa"/>
            <w:vAlign w:val="center"/>
            <w:hideMark/>
          </w:tcPr>
          <w:p w14:paraId="256956DC" w14:textId="0215A384" w:rsidR="005D4E87" w:rsidRPr="00D34D18" w:rsidRDefault="005D4E87" w:rsidP="00B50A9B">
            <w:pPr>
              <w:pStyle w:val="ExhibitText"/>
              <w:jc w:val="right"/>
              <w:rPr>
                <w:color w:val="000000"/>
              </w:rPr>
            </w:pPr>
            <w:r w:rsidRPr="00D34D18">
              <w:rPr>
                <w:color w:val="000000"/>
              </w:rPr>
              <w:t>4</w:t>
            </w:r>
            <w:r w:rsidR="00886316" w:rsidRPr="00D34D18">
              <w:rPr>
                <w:color w:val="000000"/>
              </w:rPr>
              <w:t>,</w:t>
            </w:r>
            <w:r w:rsidR="00B50A9B">
              <w:rPr>
                <w:color w:val="000000"/>
              </w:rPr>
              <w:t>140,897</w:t>
            </w:r>
          </w:p>
        </w:tc>
      </w:tr>
      <w:tr w:rsidR="00DA5C7E" w:rsidRPr="00D34D18" w14:paraId="5B60B7E7" w14:textId="77777777" w:rsidTr="00DA5C7E">
        <w:trPr>
          <w:trHeight w:val="288"/>
          <w:jc w:val="center"/>
        </w:trPr>
        <w:tc>
          <w:tcPr>
            <w:tcW w:w="2605" w:type="dxa"/>
            <w:vAlign w:val="center"/>
            <w:hideMark/>
          </w:tcPr>
          <w:p w14:paraId="13E55616" w14:textId="6DE6DC34" w:rsidR="005D4E87" w:rsidRPr="00D34D18" w:rsidRDefault="005D4E87" w:rsidP="000A2A02">
            <w:pPr>
              <w:pStyle w:val="ExhibitText"/>
              <w:jc w:val="left"/>
              <w:rPr>
                <w:color w:val="000000"/>
              </w:rPr>
            </w:pPr>
            <w:r w:rsidRPr="00D34D18">
              <w:rPr>
                <w:color w:val="000000"/>
              </w:rPr>
              <w:t>Profit per share</w:t>
            </w:r>
            <w:r w:rsidR="00CF2045">
              <w:rPr>
                <w:color w:val="000000"/>
              </w:rPr>
              <w:t xml:space="preserve"> (</w:t>
            </w:r>
            <w:r w:rsidR="00CF2045" w:rsidRPr="00CF2045">
              <w:rPr>
                <w:color w:val="000000"/>
                <w:lang w:val="en-US"/>
              </w:rPr>
              <w:t>zł</w:t>
            </w:r>
            <w:r w:rsidR="00CF2045">
              <w:rPr>
                <w:color w:val="000000"/>
                <w:lang w:val="en-US"/>
              </w:rPr>
              <w:t>)</w:t>
            </w:r>
          </w:p>
        </w:tc>
        <w:tc>
          <w:tcPr>
            <w:tcW w:w="1349" w:type="dxa"/>
            <w:noWrap/>
            <w:vAlign w:val="center"/>
            <w:hideMark/>
          </w:tcPr>
          <w:p w14:paraId="60244CC0" w14:textId="77777777" w:rsidR="005D4E87" w:rsidRPr="00D34D18" w:rsidRDefault="005D4E87" w:rsidP="000A2A02">
            <w:pPr>
              <w:pStyle w:val="ExhibitText"/>
              <w:jc w:val="right"/>
            </w:pPr>
            <w:r w:rsidRPr="00D34D18">
              <w:t>0.418</w:t>
            </w:r>
          </w:p>
        </w:tc>
        <w:tc>
          <w:tcPr>
            <w:tcW w:w="1349" w:type="dxa"/>
            <w:vAlign w:val="center"/>
            <w:hideMark/>
          </w:tcPr>
          <w:p w14:paraId="6BA15BE1" w14:textId="77777777" w:rsidR="005D4E87" w:rsidRPr="00D34D18" w:rsidRDefault="005D4E87" w:rsidP="000A2A02">
            <w:pPr>
              <w:pStyle w:val="ExhibitText"/>
              <w:jc w:val="right"/>
              <w:rPr>
                <w:color w:val="000000"/>
              </w:rPr>
            </w:pPr>
            <w:r w:rsidRPr="00D34D18">
              <w:rPr>
                <w:color w:val="000000"/>
              </w:rPr>
              <w:t>1.775</w:t>
            </w:r>
          </w:p>
        </w:tc>
        <w:tc>
          <w:tcPr>
            <w:tcW w:w="1349" w:type="dxa"/>
            <w:vAlign w:val="center"/>
            <w:hideMark/>
          </w:tcPr>
          <w:p w14:paraId="284EC9CA" w14:textId="77777777" w:rsidR="005D4E87" w:rsidRPr="00D34D18" w:rsidRDefault="005D4E87" w:rsidP="000A2A02">
            <w:pPr>
              <w:pStyle w:val="ExhibitText"/>
              <w:jc w:val="right"/>
              <w:rPr>
                <w:color w:val="000000"/>
              </w:rPr>
            </w:pPr>
            <w:r w:rsidRPr="00D34D18">
              <w:rPr>
                <w:color w:val="000000"/>
              </w:rPr>
              <w:t>2.117</w:t>
            </w:r>
          </w:p>
        </w:tc>
        <w:tc>
          <w:tcPr>
            <w:tcW w:w="1349" w:type="dxa"/>
            <w:vAlign w:val="center"/>
            <w:hideMark/>
          </w:tcPr>
          <w:p w14:paraId="71A01861" w14:textId="77777777" w:rsidR="005D4E87" w:rsidRPr="00D34D18" w:rsidRDefault="005D4E87" w:rsidP="000A2A02">
            <w:pPr>
              <w:pStyle w:val="ExhibitText"/>
              <w:jc w:val="right"/>
              <w:rPr>
                <w:color w:val="000000"/>
              </w:rPr>
            </w:pPr>
            <w:r w:rsidRPr="00D34D18">
              <w:rPr>
                <w:color w:val="000000"/>
              </w:rPr>
              <w:t>5.842</w:t>
            </w:r>
          </w:p>
        </w:tc>
        <w:tc>
          <w:tcPr>
            <w:tcW w:w="1349" w:type="dxa"/>
            <w:vAlign w:val="center"/>
            <w:hideMark/>
          </w:tcPr>
          <w:p w14:paraId="25D444D0" w14:textId="11CF1120" w:rsidR="005D4E87" w:rsidRPr="00D34D18" w:rsidRDefault="00B50A9B" w:rsidP="000A2A02">
            <w:pPr>
              <w:pStyle w:val="ExhibitText"/>
              <w:jc w:val="right"/>
              <w:rPr>
                <w:color w:val="000000"/>
              </w:rPr>
            </w:pPr>
            <w:r>
              <w:rPr>
                <w:color w:val="000000"/>
              </w:rPr>
              <w:t>(0.98)</w:t>
            </w:r>
          </w:p>
        </w:tc>
      </w:tr>
    </w:tbl>
    <w:p w14:paraId="287BF8AE" w14:textId="77777777" w:rsidR="005D4E87" w:rsidRPr="00D34D18" w:rsidRDefault="005D4E87" w:rsidP="00736710">
      <w:pPr>
        <w:pStyle w:val="ExhibitText"/>
      </w:pPr>
    </w:p>
    <w:p w14:paraId="02557CDD" w14:textId="1026379E" w:rsidR="000A2A02" w:rsidRPr="00AE4134" w:rsidRDefault="00382FFD" w:rsidP="002C5B7E">
      <w:pPr>
        <w:pStyle w:val="Footnote"/>
        <w:rPr>
          <w:spacing w:val="-4"/>
          <w:kern w:val="17"/>
          <w:lang w:val="pl-PL"/>
        </w:rPr>
      </w:pPr>
      <w:r w:rsidRPr="00AE4134">
        <w:rPr>
          <w:spacing w:val="-4"/>
          <w:kern w:val="17"/>
          <w:lang w:val="pl-PL"/>
        </w:rPr>
        <w:t>Note</w:t>
      </w:r>
      <w:r w:rsidR="000A2A02" w:rsidRPr="00AE4134">
        <w:rPr>
          <w:spacing w:val="-4"/>
          <w:kern w:val="17"/>
          <w:lang w:val="pl-PL"/>
        </w:rPr>
        <w:t>: zł = PLN = Polish Zloty; € = euro; €1 = zł3.67 in 2001, zł3.83 in 2002, zł4.39 in 2003, zł4.50 in 2004, and zł4.0</w:t>
      </w:r>
      <w:r w:rsidR="004A6204" w:rsidRPr="00AE4134">
        <w:rPr>
          <w:spacing w:val="-4"/>
          <w:kern w:val="17"/>
          <w:lang w:val="pl-PL"/>
        </w:rPr>
        <w:t>2</w:t>
      </w:r>
      <w:r w:rsidR="000A2A02" w:rsidRPr="00AE4134">
        <w:rPr>
          <w:spacing w:val="-4"/>
          <w:kern w:val="17"/>
          <w:lang w:val="pl-PL"/>
        </w:rPr>
        <w:t xml:space="preserve"> in 2005</w:t>
      </w:r>
      <w:r w:rsidR="00E13038" w:rsidRPr="00AE4134">
        <w:rPr>
          <w:spacing w:val="-4"/>
          <w:kern w:val="17"/>
          <w:lang w:val="pl-PL"/>
        </w:rPr>
        <w:t>; EBIDTA = earnings before interest, taxes, depreciation, and amortization</w:t>
      </w:r>
      <w:r w:rsidR="000A2A02" w:rsidRPr="00AE4134">
        <w:rPr>
          <w:spacing w:val="-4"/>
          <w:kern w:val="17"/>
          <w:lang w:val="pl-PL"/>
        </w:rPr>
        <w:t>.</w:t>
      </w:r>
    </w:p>
    <w:p w14:paraId="36FFE3EF" w14:textId="7DD7004A" w:rsidR="00C06916" w:rsidRPr="00AE4134" w:rsidRDefault="002C5B7E" w:rsidP="002C5B7E">
      <w:pPr>
        <w:pStyle w:val="Footnote"/>
        <w:rPr>
          <w:spacing w:val="-4"/>
          <w:kern w:val="17"/>
        </w:rPr>
      </w:pPr>
      <w:r w:rsidRPr="00AE4134">
        <w:rPr>
          <w:spacing w:val="-4"/>
          <w:kern w:val="17"/>
        </w:rPr>
        <w:t xml:space="preserve">Source: </w:t>
      </w:r>
      <w:r w:rsidR="00E710B3" w:rsidRPr="00AE4134">
        <w:rPr>
          <w:spacing w:val="-4"/>
          <w:kern w:val="17"/>
        </w:rPr>
        <w:t xml:space="preserve">Company financial reports, 2002, 2003, 2004, 2005, 2006; </w:t>
      </w:r>
      <w:r w:rsidR="00DA5C7E" w:rsidRPr="00AE4134">
        <w:rPr>
          <w:spacing w:val="-4"/>
          <w:kern w:val="17"/>
        </w:rPr>
        <w:t xml:space="preserve">mBank S.A. (formerly </w:t>
      </w:r>
      <w:r w:rsidRPr="00AE4134">
        <w:rPr>
          <w:spacing w:val="-4"/>
          <w:kern w:val="17"/>
        </w:rPr>
        <w:t>BRE Bank</w:t>
      </w:r>
      <w:r w:rsidR="00DA5C7E" w:rsidRPr="00AE4134">
        <w:rPr>
          <w:spacing w:val="-4"/>
          <w:kern w:val="17"/>
        </w:rPr>
        <w:t xml:space="preserve"> S.A.)</w:t>
      </w:r>
      <w:r w:rsidR="00E710B3" w:rsidRPr="00AE4134">
        <w:rPr>
          <w:spacing w:val="-4"/>
          <w:kern w:val="17"/>
        </w:rPr>
        <w:t xml:space="preserve"> report</w:t>
      </w:r>
      <w:r w:rsidRPr="00AE4134">
        <w:rPr>
          <w:spacing w:val="-4"/>
          <w:kern w:val="17"/>
        </w:rPr>
        <w:t xml:space="preserve">, August </w:t>
      </w:r>
      <w:r w:rsidR="00DA5C7E" w:rsidRPr="00AE4134">
        <w:rPr>
          <w:spacing w:val="-4"/>
          <w:kern w:val="17"/>
        </w:rPr>
        <w:t xml:space="preserve">22, </w:t>
      </w:r>
      <w:r w:rsidRPr="00AE4134">
        <w:rPr>
          <w:spacing w:val="-4"/>
          <w:kern w:val="17"/>
        </w:rPr>
        <w:t>2005</w:t>
      </w:r>
      <w:r w:rsidR="00B50A9B" w:rsidRPr="00AE4134">
        <w:rPr>
          <w:spacing w:val="-4"/>
          <w:kern w:val="17"/>
        </w:rPr>
        <w:t xml:space="preserve">. </w:t>
      </w:r>
    </w:p>
    <w:sectPr w:rsidR="00C06916" w:rsidRPr="00AE4134"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FE7E5" w14:textId="77777777" w:rsidR="0016417D" w:rsidRDefault="0016417D" w:rsidP="00D75295">
      <w:r>
        <w:separator/>
      </w:r>
    </w:p>
  </w:endnote>
  <w:endnote w:type="continuationSeparator" w:id="0">
    <w:p w14:paraId="122F670D" w14:textId="77777777" w:rsidR="0016417D" w:rsidRDefault="0016417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603B1" w14:textId="77777777" w:rsidR="0016417D" w:rsidRDefault="0016417D" w:rsidP="00D75295">
      <w:r>
        <w:separator/>
      </w:r>
    </w:p>
  </w:footnote>
  <w:footnote w:type="continuationSeparator" w:id="0">
    <w:p w14:paraId="30D573B5" w14:textId="77777777" w:rsidR="0016417D" w:rsidRDefault="0016417D" w:rsidP="00D75295">
      <w:r>
        <w:continuationSeparator/>
      </w:r>
    </w:p>
  </w:footnote>
  <w:footnote w:id="1">
    <w:p w14:paraId="1DD3A663" w14:textId="4D103D3A" w:rsidR="000F44F9" w:rsidRPr="00115173" w:rsidRDefault="000F44F9" w:rsidP="00736710">
      <w:pPr>
        <w:pStyle w:val="Footnote"/>
        <w:rPr>
          <w:lang w:val="pl-PL"/>
        </w:rPr>
      </w:pPr>
      <w:r>
        <w:rPr>
          <w:rStyle w:val="FootnoteReference"/>
        </w:rPr>
        <w:footnoteRef/>
      </w:r>
      <w:r w:rsidRPr="00115173">
        <w:rPr>
          <w:lang w:val="pl-PL"/>
        </w:rPr>
        <w:t xml:space="preserve"> zł = PLN = Polish </w:t>
      </w:r>
      <w:r w:rsidR="00002E1E">
        <w:rPr>
          <w:lang w:val="pl-PL"/>
        </w:rPr>
        <w:t>z</w:t>
      </w:r>
      <w:r w:rsidRPr="00115173">
        <w:rPr>
          <w:lang w:val="pl-PL"/>
        </w:rPr>
        <w:t>loty; € = euro; €1 = zł4.07 on July 31,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FC44F" w14:textId="79640E93" w:rsidR="000F44F9" w:rsidRDefault="000F44F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4134">
      <w:rPr>
        <w:rFonts w:ascii="Arial" w:hAnsi="Arial"/>
        <w:b/>
        <w:noProof/>
      </w:rPr>
      <w:t>4</w:t>
    </w:r>
    <w:r>
      <w:rPr>
        <w:rFonts w:ascii="Arial" w:hAnsi="Arial"/>
        <w:b/>
      </w:rPr>
      <w:fldChar w:fldCharType="end"/>
    </w:r>
    <w:r>
      <w:rPr>
        <w:rFonts w:ascii="Arial" w:hAnsi="Arial"/>
        <w:b/>
      </w:rPr>
      <w:tab/>
    </w:r>
    <w:r w:rsidR="00115173">
      <w:rPr>
        <w:rFonts w:ascii="Arial" w:hAnsi="Arial"/>
        <w:b/>
      </w:rPr>
      <w:t>9B17M</w:t>
    </w:r>
    <w:r w:rsidR="00AE4134">
      <w:rPr>
        <w:rFonts w:ascii="Arial" w:hAnsi="Arial"/>
        <w:b/>
      </w:rPr>
      <w:t>104</w:t>
    </w:r>
  </w:p>
  <w:p w14:paraId="34EB0150" w14:textId="77777777" w:rsidR="000F44F9" w:rsidRPr="00C92CC4" w:rsidRDefault="000F44F9">
    <w:pPr>
      <w:pStyle w:val="Header"/>
      <w:rPr>
        <w:sz w:val="18"/>
        <w:szCs w:val="18"/>
      </w:rPr>
    </w:pPr>
  </w:p>
  <w:p w14:paraId="369E2225" w14:textId="77777777" w:rsidR="000F44F9" w:rsidRPr="00C92CC4" w:rsidRDefault="000F44F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144D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462D9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D2C69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204145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C70718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CDAF4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83C0A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1437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FEB07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1FC9C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0FCD1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E1E"/>
    <w:rsid w:val="00013360"/>
    <w:rsid w:val="000216CE"/>
    <w:rsid w:val="00025DC7"/>
    <w:rsid w:val="00026486"/>
    <w:rsid w:val="0003474A"/>
    <w:rsid w:val="00044ECC"/>
    <w:rsid w:val="00051810"/>
    <w:rsid w:val="000531D3"/>
    <w:rsid w:val="00055CC2"/>
    <w:rsid w:val="0005646B"/>
    <w:rsid w:val="000566BE"/>
    <w:rsid w:val="0008102D"/>
    <w:rsid w:val="00094C0E"/>
    <w:rsid w:val="000A2A02"/>
    <w:rsid w:val="000A436E"/>
    <w:rsid w:val="000B10B2"/>
    <w:rsid w:val="000D1C6C"/>
    <w:rsid w:val="000F0C22"/>
    <w:rsid w:val="000F44F9"/>
    <w:rsid w:val="000F6B09"/>
    <w:rsid w:val="000F6FDC"/>
    <w:rsid w:val="00104567"/>
    <w:rsid w:val="00115173"/>
    <w:rsid w:val="001168B2"/>
    <w:rsid w:val="0012732D"/>
    <w:rsid w:val="00154FC9"/>
    <w:rsid w:val="0016417D"/>
    <w:rsid w:val="00180CCA"/>
    <w:rsid w:val="0019241A"/>
    <w:rsid w:val="001A2B39"/>
    <w:rsid w:val="001A5335"/>
    <w:rsid w:val="001A6D67"/>
    <w:rsid w:val="001A752D"/>
    <w:rsid w:val="001A7D19"/>
    <w:rsid w:val="001B3791"/>
    <w:rsid w:val="00203AA1"/>
    <w:rsid w:val="00213E98"/>
    <w:rsid w:val="00277C95"/>
    <w:rsid w:val="00286583"/>
    <w:rsid w:val="002B12EB"/>
    <w:rsid w:val="002C5B7E"/>
    <w:rsid w:val="002E32F0"/>
    <w:rsid w:val="002F460C"/>
    <w:rsid w:val="002F48D6"/>
    <w:rsid w:val="00317579"/>
    <w:rsid w:val="00322B46"/>
    <w:rsid w:val="003356F3"/>
    <w:rsid w:val="00354899"/>
    <w:rsid w:val="00355FD6"/>
    <w:rsid w:val="00361C8E"/>
    <w:rsid w:val="00364A5C"/>
    <w:rsid w:val="00373FB1"/>
    <w:rsid w:val="00382FFD"/>
    <w:rsid w:val="00387EEE"/>
    <w:rsid w:val="00395D06"/>
    <w:rsid w:val="00396AC3"/>
    <w:rsid w:val="003B30D8"/>
    <w:rsid w:val="003B3D71"/>
    <w:rsid w:val="003B7EF2"/>
    <w:rsid w:val="003C3FA4"/>
    <w:rsid w:val="003E2829"/>
    <w:rsid w:val="003F2B0C"/>
    <w:rsid w:val="004221E4"/>
    <w:rsid w:val="00467D4B"/>
    <w:rsid w:val="00471088"/>
    <w:rsid w:val="00483AF9"/>
    <w:rsid w:val="004A6204"/>
    <w:rsid w:val="004B1CCB"/>
    <w:rsid w:val="004C1819"/>
    <w:rsid w:val="004D73A5"/>
    <w:rsid w:val="004E0886"/>
    <w:rsid w:val="005049A0"/>
    <w:rsid w:val="00532CF5"/>
    <w:rsid w:val="00552202"/>
    <w:rsid w:val="005528CB"/>
    <w:rsid w:val="00553CF0"/>
    <w:rsid w:val="00554E64"/>
    <w:rsid w:val="00566771"/>
    <w:rsid w:val="00581E2E"/>
    <w:rsid w:val="00584F15"/>
    <w:rsid w:val="005D4E87"/>
    <w:rsid w:val="005E3EBB"/>
    <w:rsid w:val="005E68EB"/>
    <w:rsid w:val="005F7BB0"/>
    <w:rsid w:val="006005E7"/>
    <w:rsid w:val="006049DE"/>
    <w:rsid w:val="006163F7"/>
    <w:rsid w:val="0063299F"/>
    <w:rsid w:val="00632BCC"/>
    <w:rsid w:val="00651CFA"/>
    <w:rsid w:val="00652606"/>
    <w:rsid w:val="00682754"/>
    <w:rsid w:val="006A58A9"/>
    <w:rsid w:val="006A606D"/>
    <w:rsid w:val="006B7F7A"/>
    <w:rsid w:val="006C0371"/>
    <w:rsid w:val="006C08B6"/>
    <w:rsid w:val="006C0B1A"/>
    <w:rsid w:val="006C2490"/>
    <w:rsid w:val="006C4384"/>
    <w:rsid w:val="006C507D"/>
    <w:rsid w:val="006C6065"/>
    <w:rsid w:val="006C7F9F"/>
    <w:rsid w:val="006D5302"/>
    <w:rsid w:val="006E15E0"/>
    <w:rsid w:val="006E2F6D"/>
    <w:rsid w:val="006E58F6"/>
    <w:rsid w:val="006E77E1"/>
    <w:rsid w:val="006F131D"/>
    <w:rsid w:val="006F1D9E"/>
    <w:rsid w:val="006F7779"/>
    <w:rsid w:val="007105BA"/>
    <w:rsid w:val="00735FB3"/>
    <w:rsid w:val="00736710"/>
    <w:rsid w:val="007448B0"/>
    <w:rsid w:val="00752BCD"/>
    <w:rsid w:val="00766DA1"/>
    <w:rsid w:val="007802CE"/>
    <w:rsid w:val="007866A6"/>
    <w:rsid w:val="007A059A"/>
    <w:rsid w:val="007A130D"/>
    <w:rsid w:val="007C5287"/>
    <w:rsid w:val="007D0603"/>
    <w:rsid w:val="007D4102"/>
    <w:rsid w:val="007D525E"/>
    <w:rsid w:val="007E5921"/>
    <w:rsid w:val="007E59E0"/>
    <w:rsid w:val="00802866"/>
    <w:rsid w:val="00821FFC"/>
    <w:rsid w:val="008271CA"/>
    <w:rsid w:val="008467D5"/>
    <w:rsid w:val="008534CE"/>
    <w:rsid w:val="00856D9F"/>
    <w:rsid w:val="00866F6D"/>
    <w:rsid w:val="00882F29"/>
    <w:rsid w:val="00886316"/>
    <w:rsid w:val="008A4DC4"/>
    <w:rsid w:val="008C368F"/>
    <w:rsid w:val="008D711C"/>
    <w:rsid w:val="008E07A7"/>
    <w:rsid w:val="009067A4"/>
    <w:rsid w:val="0090722E"/>
    <w:rsid w:val="00914136"/>
    <w:rsid w:val="009340DB"/>
    <w:rsid w:val="009433EF"/>
    <w:rsid w:val="00945F9E"/>
    <w:rsid w:val="0097032B"/>
    <w:rsid w:val="00972498"/>
    <w:rsid w:val="00974CC6"/>
    <w:rsid w:val="00976AD4"/>
    <w:rsid w:val="0097744A"/>
    <w:rsid w:val="00992E34"/>
    <w:rsid w:val="009A312F"/>
    <w:rsid w:val="009A5348"/>
    <w:rsid w:val="009A67BB"/>
    <w:rsid w:val="009C3C24"/>
    <w:rsid w:val="009C5ABA"/>
    <w:rsid w:val="009C76D5"/>
    <w:rsid w:val="009D208D"/>
    <w:rsid w:val="009D6E9E"/>
    <w:rsid w:val="009F10A6"/>
    <w:rsid w:val="009F7AA4"/>
    <w:rsid w:val="00A559DB"/>
    <w:rsid w:val="00A825E8"/>
    <w:rsid w:val="00AA3C9D"/>
    <w:rsid w:val="00AB2F64"/>
    <w:rsid w:val="00AE4134"/>
    <w:rsid w:val="00AF35FC"/>
    <w:rsid w:val="00B0150D"/>
    <w:rsid w:val="00B03639"/>
    <w:rsid w:val="00B0652A"/>
    <w:rsid w:val="00B3757D"/>
    <w:rsid w:val="00B40937"/>
    <w:rsid w:val="00B423EF"/>
    <w:rsid w:val="00B453DE"/>
    <w:rsid w:val="00B4742F"/>
    <w:rsid w:val="00B50A9B"/>
    <w:rsid w:val="00B738F8"/>
    <w:rsid w:val="00B901F9"/>
    <w:rsid w:val="00BD552D"/>
    <w:rsid w:val="00BD6EFB"/>
    <w:rsid w:val="00C06916"/>
    <w:rsid w:val="00C15BE2"/>
    <w:rsid w:val="00C20B10"/>
    <w:rsid w:val="00C22219"/>
    <w:rsid w:val="00C3447F"/>
    <w:rsid w:val="00C75007"/>
    <w:rsid w:val="00C775D7"/>
    <w:rsid w:val="00C81491"/>
    <w:rsid w:val="00C81676"/>
    <w:rsid w:val="00C8462D"/>
    <w:rsid w:val="00C92CC4"/>
    <w:rsid w:val="00CA0AFB"/>
    <w:rsid w:val="00CA2CE1"/>
    <w:rsid w:val="00CA3976"/>
    <w:rsid w:val="00CA6608"/>
    <w:rsid w:val="00CA757B"/>
    <w:rsid w:val="00CB6B09"/>
    <w:rsid w:val="00CC1787"/>
    <w:rsid w:val="00CC182C"/>
    <w:rsid w:val="00CD0824"/>
    <w:rsid w:val="00CD2908"/>
    <w:rsid w:val="00CE2014"/>
    <w:rsid w:val="00CF2045"/>
    <w:rsid w:val="00D03A82"/>
    <w:rsid w:val="00D15344"/>
    <w:rsid w:val="00D251CC"/>
    <w:rsid w:val="00D31BEC"/>
    <w:rsid w:val="00D34D18"/>
    <w:rsid w:val="00D63150"/>
    <w:rsid w:val="00D64A32"/>
    <w:rsid w:val="00D64EFC"/>
    <w:rsid w:val="00D67FC0"/>
    <w:rsid w:val="00D75295"/>
    <w:rsid w:val="00D752E6"/>
    <w:rsid w:val="00D76CE9"/>
    <w:rsid w:val="00D97F12"/>
    <w:rsid w:val="00DA5C7E"/>
    <w:rsid w:val="00DB42E7"/>
    <w:rsid w:val="00DC15D4"/>
    <w:rsid w:val="00DD5B19"/>
    <w:rsid w:val="00DD6496"/>
    <w:rsid w:val="00DF32C2"/>
    <w:rsid w:val="00DF7BE4"/>
    <w:rsid w:val="00E13038"/>
    <w:rsid w:val="00E36232"/>
    <w:rsid w:val="00E471A7"/>
    <w:rsid w:val="00E635CF"/>
    <w:rsid w:val="00E67778"/>
    <w:rsid w:val="00E710B3"/>
    <w:rsid w:val="00E9460E"/>
    <w:rsid w:val="00EB022B"/>
    <w:rsid w:val="00EB11B2"/>
    <w:rsid w:val="00EB5410"/>
    <w:rsid w:val="00EC18FC"/>
    <w:rsid w:val="00EC6E0A"/>
    <w:rsid w:val="00ED4E18"/>
    <w:rsid w:val="00EE1F37"/>
    <w:rsid w:val="00F0159C"/>
    <w:rsid w:val="00F105B7"/>
    <w:rsid w:val="00F17A21"/>
    <w:rsid w:val="00F50E91"/>
    <w:rsid w:val="00F57D29"/>
    <w:rsid w:val="00F66703"/>
    <w:rsid w:val="00F6797B"/>
    <w:rsid w:val="00F92A99"/>
    <w:rsid w:val="00F92B2D"/>
    <w:rsid w:val="00F96201"/>
    <w:rsid w:val="00FA36E2"/>
    <w:rsid w:val="00FC2D92"/>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3D73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5D0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styleId="DocumentMap">
    <w:name w:val="Document Map"/>
    <w:basedOn w:val="Normal"/>
    <w:link w:val="DocumentMapChar"/>
    <w:uiPriority w:val="99"/>
    <w:semiHidden/>
    <w:unhideWhenUsed/>
    <w:rsid w:val="00395D06"/>
    <w:rPr>
      <w:sz w:val="24"/>
      <w:szCs w:val="24"/>
    </w:rPr>
  </w:style>
  <w:style w:type="character" w:customStyle="1" w:styleId="DocumentMapChar">
    <w:name w:val="Document Map Char"/>
    <w:basedOn w:val="DefaultParagraphFont"/>
    <w:link w:val="DocumentMap"/>
    <w:uiPriority w:val="99"/>
    <w:semiHidden/>
    <w:rsid w:val="00395D06"/>
    <w:rPr>
      <w:rFonts w:ascii="Times New Roman" w:eastAsia="Times New Roman" w:hAnsi="Times New Roman" w:cs="Times New Roman"/>
      <w:sz w:val="24"/>
      <w:szCs w:val="24"/>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bankier.pl/gielda/notowania/akcje/charts?isin=PLPLMSL00015&amp;period=Y&amp;cons=f&amp;wersja=s&amp;page=1&amp;typ=std&amp;row=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ankier.pl/gielda/notowania/akcje/charts?isin=PLPLMSL00015&amp;period=Y&amp;cons=f&amp;wersja=s&amp;page=1&amp;typ=std&amp;row=5" TargetMode="Externa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www.bankier.pl/gielda/notowania/akcje/charts?isin=PLPLMSL00015&amp;period=Y&amp;cons=f&amp;wersja=s&amp;page=1&amp;typ=std&amp;ro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79AA1-5A07-4B71-B29C-4DD6A06B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1484</Words>
  <Characters>8459</Characters>
  <Application>Microsoft Office Word</Application>
  <DocSecurity>0</DocSecurity>
  <Lines>70</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Ivey Business School</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2011-06-23T13:34:00Z</cp:lastPrinted>
  <dcterms:created xsi:type="dcterms:W3CDTF">2017-07-07T14:38:00Z</dcterms:created>
  <dcterms:modified xsi:type="dcterms:W3CDTF">2017-07-07T14:38:00Z</dcterms:modified>
</cp:coreProperties>
</file>