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EAC24" w14:textId="6CD8EA71" w:rsidR="008467D5" w:rsidRPr="00520E0D" w:rsidRDefault="00770BBD" w:rsidP="00013360">
      <w:pPr>
        <w:tabs>
          <w:tab w:val="left" w:pos="-1440"/>
          <w:tab w:val="left" w:pos="-720"/>
          <w:tab w:val="left" w:pos="1"/>
          <w:tab w:val="right" w:pos="9360"/>
        </w:tabs>
        <w:jc w:val="both"/>
        <w:rPr>
          <w:rFonts w:ascii="Arial" w:hAnsi="Arial"/>
          <w:sz w:val="24"/>
        </w:rPr>
      </w:pPr>
      <w:r w:rsidRPr="00770BBD">
        <w:rPr>
          <w:rFonts w:ascii="Arial" w:hAnsi="Arial"/>
          <w:b/>
          <w:noProof/>
          <w:sz w:val="24"/>
          <w:lang w:eastAsia="en-GB"/>
        </w:rPr>
        <w:drawing>
          <wp:inline distT="0" distB="0" distL="0" distR="0" wp14:anchorId="58A6E005" wp14:editId="14ECFA1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6525FFA" w14:textId="77777777" w:rsidR="00856D9F" w:rsidRPr="00520E0D" w:rsidRDefault="00856D9F" w:rsidP="008467D5">
      <w:pPr>
        <w:pBdr>
          <w:bottom w:val="single" w:sz="18" w:space="1" w:color="auto"/>
        </w:pBdr>
        <w:tabs>
          <w:tab w:val="left" w:pos="-1440"/>
          <w:tab w:val="left" w:pos="-720"/>
          <w:tab w:val="left" w:pos="1"/>
        </w:tabs>
        <w:jc w:val="both"/>
        <w:rPr>
          <w:rFonts w:ascii="Arial" w:hAnsi="Arial"/>
          <w:b/>
          <w:sz w:val="24"/>
        </w:rPr>
      </w:pPr>
    </w:p>
    <w:p w14:paraId="7138BBAE" w14:textId="73E359E0" w:rsidR="00D75295" w:rsidRPr="00520E0D" w:rsidRDefault="00770BBD" w:rsidP="00E34504">
      <w:pPr>
        <w:pStyle w:val="ProductNumber"/>
        <w:outlineLvl w:val="0"/>
      </w:pPr>
      <w:r>
        <w:t>9B17M</w:t>
      </w:r>
      <w:r w:rsidR="00052387">
        <w:t>105</w:t>
      </w:r>
    </w:p>
    <w:p w14:paraId="2884F574" w14:textId="77777777" w:rsidR="00D75295" w:rsidRPr="00520E0D" w:rsidRDefault="00D75295" w:rsidP="00D75295">
      <w:pPr>
        <w:jc w:val="right"/>
        <w:rPr>
          <w:rFonts w:ascii="Arial" w:hAnsi="Arial"/>
          <w:b/>
          <w:sz w:val="28"/>
          <w:szCs w:val="28"/>
        </w:rPr>
      </w:pPr>
    </w:p>
    <w:p w14:paraId="0FC924B5" w14:textId="77777777" w:rsidR="00866F6D" w:rsidRPr="00520E0D" w:rsidRDefault="00866F6D" w:rsidP="00D75295">
      <w:pPr>
        <w:jc w:val="right"/>
        <w:rPr>
          <w:rFonts w:ascii="Arial" w:hAnsi="Arial"/>
          <w:b/>
          <w:sz w:val="28"/>
          <w:szCs w:val="28"/>
        </w:rPr>
      </w:pPr>
    </w:p>
    <w:p w14:paraId="3291E4C2" w14:textId="15216CEB" w:rsidR="00013360" w:rsidRPr="00520E0D" w:rsidRDefault="00F9016C" w:rsidP="00E34504">
      <w:pPr>
        <w:pStyle w:val="CaseTitle"/>
        <w:spacing w:after="0" w:line="240" w:lineRule="auto"/>
        <w:outlineLvl w:val="0"/>
      </w:pPr>
      <w:r>
        <w:t xml:space="preserve">success tastes bitter: </w:t>
      </w:r>
      <w:r w:rsidR="002659E4" w:rsidRPr="00520E0D">
        <w:t xml:space="preserve">POLMOS LUBLIN </w:t>
      </w:r>
      <w:r>
        <w:t>(c)</w:t>
      </w:r>
    </w:p>
    <w:p w14:paraId="2201B860" w14:textId="77777777" w:rsidR="00013360" w:rsidRPr="00520E0D" w:rsidRDefault="00013360" w:rsidP="00013360">
      <w:pPr>
        <w:pStyle w:val="CaseTitle"/>
        <w:spacing w:after="0" w:line="240" w:lineRule="auto"/>
        <w:rPr>
          <w:sz w:val="20"/>
          <w:szCs w:val="20"/>
        </w:rPr>
      </w:pPr>
    </w:p>
    <w:p w14:paraId="60BFFAE2" w14:textId="77777777" w:rsidR="00F9016C" w:rsidRPr="00520E0D" w:rsidRDefault="00F9016C" w:rsidP="00013360">
      <w:pPr>
        <w:pStyle w:val="CaseTitle"/>
        <w:spacing w:after="0" w:line="240" w:lineRule="auto"/>
        <w:rPr>
          <w:sz w:val="20"/>
          <w:szCs w:val="20"/>
        </w:rPr>
      </w:pPr>
    </w:p>
    <w:p w14:paraId="3C778110" w14:textId="77777777" w:rsidR="00013360" w:rsidRPr="00520E0D" w:rsidRDefault="00013360" w:rsidP="00013360">
      <w:pPr>
        <w:pStyle w:val="CaseTitle"/>
        <w:spacing w:after="0" w:line="240" w:lineRule="auto"/>
        <w:rPr>
          <w:sz w:val="20"/>
          <w:szCs w:val="20"/>
        </w:rPr>
      </w:pPr>
    </w:p>
    <w:p w14:paraId="4F9F0FB0" w14:textId="77777777" w:rsidR="00013360" w:rsidRPr="00520E0D" w:rsidRDefault="005B4525" w:rsidP="00104567">
      <w:pPr>
        <w:pStyle w:val="StyleCopyrightStatementAfter0ptBottomSinglesolidline1"/>
      </w:pPr>
      <w:r w:rsidRPr="00520E0D">
        <w:t>Krzysztof Obloj and Tomasz Obloj</w:t>
      </w:r>
      <w:r w:rsidR="007E5921" w:rsidRPr="00520E0D">
        <w:t xml:space="preserve"> wrote this case sol</w:t>
      </w:r>
      <w:r w:rsidR="00D75295" w:rsidRPr="00520E0D">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429BAB7" w14:textId="77777777" w:rsidR="00013360" w:rsidRPr="00520E0D" w:rsidRDefault="00013360" w:rsidP="00104567">
      <w:pPr>
        <w:pStyle w:val="StyleCopyrightStatementAfter0ptBottomSinglesolidline1"/>
      </w:pPr>
    </w:p>
    <w:p w14:paraId="7F03C511" w14:textId="77777777" w:rsidR="00770BBD" w:rsidRDefault="00770BBD"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EAC06F9" w14:textId="77777777" w:rsidR="00770BBD" w:rsidRDefault="00770BBD" w:rsidP="003C25FF">
      <w:pPr>
        <w:pStyle w:val="StyleCopyrightStatementAfter0ptBottomSinglesolidline1"/>
        <w:pBdr>
          <w:top w:val="none" w:sz="0" w:space="0" w:color="auto"/>
        </w:pBdr>
      </w:pPr>
    </w:p>
    <w:p w14:paraId="5809849C" w14:textId="5B32076E" w:rsidR="003B7EF2" w:rsidRPr="00520E0D" w:rsidRDefault="00770BBD" w:rsidP="00770BBD">
      <w:pPr>
        <w:pStyle w:val="StyleStyleCopyrightStatementAfter0ptBottomSinglesolid"/>
      </w:pPr>
      <w:r>
        <w:t>Copyright © 2017, Richard Ivey School of Business Foundation</w:t>
      </w:r>
      <w:r w:rsidR="003B7EF2" w:rsidRPr="00520E0D">
        <w:tab/>
        <w:t xml:space="preserve">Version: </w:t>
      </w:r>
      <w:r w:rsidR="00361C8E" w:rsidRPr="00520E0D">
        <w:t>201</w:t>
      </w:r>
      <w:r w:rsidR="00DC15D4" w:rsidRPr="00520E0D">
        <w:t>7</w:t>
      </w:r>
      <w:r w:rsidR="00361C8E" w:rsidRPr="00520E0D">
        <w:t>-</w:t>
      </w:r>
      <w:r w:rsidR="00052387">
        <w:t>07-07</w:t>
      </w:r>
    </w:p>
    <w:p w14:paraId="00313DCD" w14:textId="77777777" w:rsidR="003B7EF2" w:rsidRPr="00520E0D" w:rsidRDefault="003B7EF2" w:rsidP="00104567">
      <w:pPr>
        <w:pStyle w:val="StyleCopyrightStatementAfter0ptBottomSinglesolidline1"/>
        <w:rPr>
          <w:rFonts w:ascii="Times New Roman" w:hAnsi="Times New Roman"/>
          <w:sz w:val="20"/>
        </w:rPr>
      </w:pPr>
    </w:p>
    <w:p w14:paraId="7C1C8EE0" w14:textId="77777777" w:rsidR="003B7EF2" w:rsidRPr="00520E0D" w:rsidRDefault="003B7EF2" w:rsidP="006F1D9E">
      <w:pPr>
        <w:pStyle w:val="Footnote"/>
      </w:pPr>
    </w:p>
    <w:p w14:paraId="6EA22A6C" w14:textId="776B6C62" w:rsidR="009449C3" w:rsidRPr="00520E0D" w:rsidRDefault="009449C3" w:rsidP="009449C3">
      <w:pPr>
        <w:pStyle w:val="BodyTextMain"/>
      </w:pPr>
      <w:r w:rsidRPr="00520E0D">
        <w:t xml:space="preserve">It </w:t>
      </w:r>
      <w:r w:rsidR="007F540F">
        <w:t xml:space="preserve">the middle of </w:t>
      </w:r>
      <w:r w:rsidRPr="00520E0D">
        <w:t>summer</w:t>
      </w:r>
      <w:r w:rsidR="00E34504">
        <w:t>,</w:t>
      </w:r>
      <w:r w:rsidRPr="00520E0D">
        <w:t xml:space="preserve"> 2005</w:t>
      </w:r>
      <w:r w:rsidR="007F540F">
        <w:t xml:space="preserve">, </w:t>
      </w:r>
      <w:r w:rsidRPr="00520E0D">
        <w:t xml:space="preserve">Marek Malinowski, the new </w:t>
      </w:r>
      <w:r w:rsidR="00E34504">
        <w:t xml:space="preserve">chief executive officer </w:t>
      </w:r>
      <w:r w:rsidRPr="00520E0D">
        <w:t xml:space="preserve">of </w:t>
      </w:r>
      <w:proofErr w:type="spellStart"/>
      <w:r w:rsidRPr="00520E0D">
        <w:t>Polmos</w:t>
      </w:r>
      <w:proofErr w:type="spellEnd"/>
      <w:r w:rsidRPr="00520E0D">
        <w:t xml:space="preserve"> Lublin, </w:t>
      </w:r>
      <w:r w:rsidR="007F540F">
        <w:t xml:space="preserve">presented his strategy of renewal to </w:t>
      </w:r>
      <w:r w:rsidRPr="00520E0D">
        <w:t>three people</w:t>
      </w:r>
      <w:r w:rsidR="00E34504">
        <w:t xml:space="preserve">: </w:t>
      </w:r>
      <w:proofErr w:type="spellStart"/>
      <w:r w:rsidRPr="00520E0D">
        <w:t>Waldemar</w:t>
      </w:r>
      <w:proofErr w:type="spellEnd"/>
      <w:r w:rsidRPr="00520E0D">
        <w:t xml:space="preserve"> </w:t>
      </w:r>
      <w:proofErr w:type="spellStart"/>
      <w:r w:rsidRPr="00520E0D">
        <w:t>Wasiluk</w:t>
      </w:r>
      <w:proofErr w:type="spellEnd"/>
      <w:r w:rsidR="00E34504">
        <w:t xml:space="preserve">, chief financial officer, </w:t>
      </w:r>
      <w:r w:rsidRPr="00520E0D">
        <w:t>and two supervisory board members</w:t>
      </w:r>
      <w:r w:rsidR="00E34504">
        <w:t xml:space="preserve">. </w:t>
      </w:r>
      <w:r w:rsidR="007F540F">
        <w:t xml:space="preserve">Malinowski’s plan </w:t>
      </w:r>
      <w:r w:rsidRPr="00520E0D">
        <w:t>address</w:t>
      </w:r>
      <w:r w:rsidR="007F540F">
        <w:t>ed</w:t>
      </w:r>
      <w:r w:rsidRPr="00520E0D">
        <w:t xml:space="preserve"> all </w:t>
      </w:r>
      <w:r w:rsidR="007F540F">
        <w:t xml:space="preserve">of the company’s </w:t>
      </w:r>
      <w:r w:rsidRPr="00520E0D">
        <w:t>recent challenges</w:t>
      </w:r>
      <w:r w:rsidR="007F540F">
        <w:t>:</w:t>
      </w:r>
    </w:p>
    <w:p w14:paraId="5E4273FC" w14:textId="77777777" w:rsidR="009449C3" w:rsidRPr="00520E0D" w:rsidRDefault="009449C3" w:rsidP="009449C3">
      <w:pPr>
        <w:pStyle w:val="BodyTextMain"/>
      </w:pPr>
    </w:p>
    <w:p w14:paraId="3668630A" w14:textId="231A986D" w:rsidR="009449C3" w:rsidRPr="00520E0D" w:rsidRDefault="007F540F" w:rsidP="009449C3">
      <w:pPr>
        <w:pStyle w:val="BodyTextMain"/>
        <w:numPr>
          <w:ilvl w:val="0"/>
          <w:numId w:val="29"/>
        </w:numPr>
      </w:pPr>
      <w:r>
        <w:t>R</w:t>
      </w:r>
      <w:r w:rsidR="009449C3" w:rsidRPr="00520E0D">
        <w:t xml:space="preserve">esolve immediately the conflict over distribution with </w:t>
      </w:r>
      <w:r w:rsidR="00CA68DB" w:rsidRPr="00CA68DB">
        <w:t>Central Eu</w:t>
      </w:r>
      <w:r w:rsidR="00CA68DB">
        <w:t>ropean Distribution Corporation (</w:t>
      </w:r>
      <w:r w:rsidR="009449C3" w:rsidRPr="00520E0D">
        <w:t>CEDC</w:t>
      </w:r>
      <w:r w:rsidR="00CA68DB">
        <w:t>)</w:t>
      </w:r>
      <w:r>
        <w:t>. One of the board members noted,</w:t>
      </w:r>
      <w:r w:rsidR="009449C3" w:rsidRPr="00520E0D">
        <w:t xml:space="preserve"> “</w:t>
      </w:r>
      <w:r>
        <w:t>[CEDC]</w:t>
      </w:r>
      <w:r w:rsidRPr="00520E0D">
        <w:t xml:space="preserve"> </w:t>
      </w:r>
      <w:r w:rsidR="009449C3" w:rsidRPr="00520E0D">
        <w:t xml:space="preserve">should realize that after their acquisition of </w:t>
      </w:r>
      <w:proofErr w:type="spellStart"/>
      <w:r w:rsidR="009449C3" w:rsidRPr="00520E0D">
        <w:t>Polmos</w:t>
      </w:r>
      <w:proofErr w:type="spellEnd"/>
      <w:r w:rsidR="009449C3" w:rsidRPr="00520E0D">
        <w:t xml:space="preserve"> Bialystok, we are no longer any threat to them. They are the market leader</w:t>
      </w:r>
      <w:r>
        <w:t>.</w:t>
      </w:r>
      <w:r w:rsidR="009449C3" w:rsidRPr="00520E0D">
        <w:t xml:space="preserve">” </w:t>
      </w:r>
    </w:p>
    <w:p w14:paraId="5DAC3DF7" w14:textId="10C732AE" w:rsidR="009449C3" w:rsidRPr="00520E0D" w:rsidRDefault="000C3DD6" w:rsidP="009449C3">
      <w:pPr>
        <w:pStyle w:val="BodyTextMain"/>
        <w:numPr>
          <w:ilvl w:val="0"/>
          <w:numId w:val="29"/>
        </w:numPr>
      </w:pPr>
      <w:r>
        <w:t>Respond</w:t>
      </w:r>
      <w:r w:rsidRPr="00520E0D">
        <w:t xml:space="preserve"> </w:t>
      </w:r>
      <w:r w:rsidR="009449C3" w:rsidRPr="00520E0D">
        <w:t>to Sobieski</w:t>
      </w:r>
      <w:r w:rsidR="0046512A">
        <w:t xml:space="preserve"> Company</w:t>
      </w:r>
      <w:r w:rsidR="009449C3" w:rsidRPr="00520E0D">
        <w:t xml:space="preserve">’s </w:t>
      </w:r>
      <w:r w:rsidR="003640D0">
        <w:t xml:space="preserve">(Sobieski’s) </w:t>
      </w:r>
      <w:r w:rsidR="009449C3" w:rsidRPr="00520E0D">
        <w:t>challenge</w:t>
      </w:r>
      <w:r w:rsidRPr="000C3DD6">
        <w:t xml:space="preserve"> </w:t>
      </w:r>
      <w:r>
        <w:t xml:space="preserve">using their own strategy: </w:t>
      </w:r>
      <w:r w:rsidR="009449C3" w:rsidRPr="00520E0D">
        <w:t>introduc</w:t>
      </w:r>
      <w:r>
        <w:t>e</w:t>
      </w:r>
      <w:r w:rsidR="009449C3" w:rsidRPr="00520E0D">
        <w:t xml:space="preserve"> an even cheaper substitute to Balsam </w:t>
      </w:r>
      <w:proofErr w:type="spellStart"/>
      <w:r w:rsidR="009449C3" w:rsidRPr="00520E0D">
        <w:t>Pomorski</w:t>
      </w:r>
      <w:proofErr w:type="spellEnd"/>
      <w:r w:rsidR="009449C3" w:rsidRPr="00520E0D">
        <w:t xml:space="preserve"> with a similar name</w:t>
      </w:r>
      <w:r>
        <w:t>,</w:t>
      </w:r>
      <w:r w:rsidR="009449C3" w:rsidRPr="00520E0D">
        <w:t xml:space="preserve"> </w:t>
      </w:r>
      <w:r w:rsidR="009449C3" w:rsidRPr="002B45ED">
        <w:rPr>
          <w:i/>
        </w:rPr>
        <w:t xml:space="preserve">Balsam </w:t>
      </w:r>
      <w:proofErr w:type="spellStart"/>
      <w:r w:rsidR="009449C3" w:rsidRPr="002B45ED">
        <w:rPr>
          <w:i/>
        </w:rPr>
        <w:t>Kresowy</w:t>
      </w:r>
      <w:proofErr w:type="spellEnd"/>
      <w:r w:rsidR="009449C3" w:rsidRPr="00520E0D">
        <w:t xml:space="preserve">. </w:t>
      </w:r>
      <w:r w:rsidR="00CA68DB">
        <w:t>This would squeeze</w:t>
      </w:r>
      <w:r w:rsidR="009449C3" w:rsidRPr="00520E0D">
        <w:t xml:space="preserve"> </w:t>
      </w:r>
      <w:r w:rsidRPr="00520E0D">
        <w:t xml:space="preserve">Balsam </w:t>
      </w:r>
      <w:proofErr w:type="spellStart"/>
      <w:r w:rsidRPr="00520E0D">
        <w:t>Pomorski</w:t>
      </w:r>
      <w:proofErr w:type="spellEnd"/>
      <w:r w:rsidRPr="00520E0D">
        <w:t xml:space="preserve"> </w:t>
      </w:r>
      <w:r w:rsidR="009449C3" w:rsidRPr="00520E0D">
        <w:t>between the higher priced</w:t>
      </w:r>
      <w:r>
        <w:t xml:space="preserve"> and</w:t>
      </w:r>
      <w:r w:rsidR="009449C3" w:rsidRPr="00520E0D">
        <w:t xml:space="preserve"> still powerful </w:t>
      </w:r>
      <w:r w:rsidR="00024B21">
        <w:t>Bitter</w:t>
      </w:r>
      <w:r w:rsidR="00024B21">
        <w:rPr>
          <w:i/>
        </w:rPr>
        <w:t xml:space="preserve"> </w:t>
      </w:r>
      <w:r w:rsidR="009449C3" w:rsidRPr="00520E0D">
        <w:t xml:space="preserve">and </w:t>
      </w:r>
      <w:r>
        <w:t>the</w:t>
      </w:r>
      <w:r w:rsidRPr="00520E0D">
        <w:t xml:space="preserve"> </w:t>
      </w:r>
      <w:r w:rsidR="009449C3" w:rsidRPr="00520E0D">
        <w:t xml:space="preserve">new and even cheaper </w:t>
      </w:r>
      <w:r w:rsidRPr="002B45ED">
        <w:t xml:space="preserve">Balsam </w:t>
      </w:r>
      <w:proofErr w:type="spellStart"/>
      <w:r w:rsidRPr="002B45ED">
        <w:t>Kresowy</w:t>
      </w:r>
      <w:proofErr w:type="spellEnd"/>
      <w:r w:rsidR="009449C3" w:rsidRPr="00520E0D">
        <w:t xml:space="preserve">. </w:t>
      </w:r>
    </w:p>
    <w:p w14:paraId="33D20393" w14:textId="4CED1A52" w:rsidR="009449C3" w:rsidRPr="00520E0D" w:rsidRDefault="000C3DD6" w:rsidP="009449C3">
      <w:pPr>
        <w:pStyle w:val="BodyTextMain"/>
        <w:numPr>
          <w:ilvl w:val="0"/>
          <w:numId w:val="29"/>
        </w:numPr>
      </w:pPr>
      <w:r>
        <w:t>R</w:t>
      </w:r>
      <w:r w:rsidR="009449C3" w:rsidRPr="00520E0D">
        <w:t xml:space="preserve">estore the full strength of the </w:t>
      </w:r>
      <w:r>
        <w:t xml:space="preserve">company’s </w:t>
      </w:r>
      <w:r w:rsidR="009449C3" w:rsidRPr="00520E0D">
        <w:t xml:space="preserve">core product, </w:t>
      </w:r>
      <w:r w:rsidR="00024B21">
        <w:t>Bitter</w:t>
      </w:r>
      <w:r w:rsidR="009449C3" w:rsidRPr="00520E0D">
        <w:t xml:space="preserve">, and </w:t>
      </w:r>
      <w:r>
        <w:t xml:space="preserve">its </w:t>
      </w:r>
      <w:r w:rsidR="009449C3" w:rsidRPr="00520E0D">
        <w:t>previously introduced flankers</w:t>
      </w:r>
      <w:r w:rsidR="003640D0" w:rsidRPr="003640D0">
        <w:rPr>
          <w:spacing w:val="-2"/>
        </w:rPr>
        <w:t xml:space="preserve"> </w:t>
      </w:r>
      <w:r w:rsidR="003640D0">
        <w:rPr>
          <w:spacing w:val="-2"/>
        </w:rPr>
        <w:t>(</w:t>
      </w:r>
      <w:proofErr w:type="gramStart"/>
      <w:r w:rsidR="003640D0" w:rsidRPr="00B768DA">
        <w:rPr>
          <w:spacing w:val="-2"/>
        </w:rPr>
        <w:t>offerings</w:t>
      </w:r>
      <w:proofErr w:type="gramEnd"/>
      <w:r w:rsidR="003640D0" w:rsidRPr="00B768DA">
        <w:rPr>
          <w:spacing w:val="-2"/>
        </w:rPr>
        <w:t xml:space="preserve"> of </w:t>
      </w:r>
      <w:r w:rsidR="003640D0">
        <w:rPr>
          <w:spacing w:val="-2"/>
        </w:rPr>
        <w:t>Bitter</w:t>
      </w:r>
      <w:r w:rsidR="003640D0" w:rsidRPr="00B768DA">
        <w:rPr>
          <w:spacing w:val="-2"/>
        </w:rPr>
        <w:t xml:space="preserve"> in different tastes</w:t>
      </w:r>
      <w:r w:rsidR="003640D0">
        <w:rPr>
          <w:spacing w:val="-2"/>
        </w:rPr>
        <w:t>,</w:t>
      </w:r>
      <w:r w:rsidR="003640D0" w:rsidRPr="00B768DA">
        <w:rPr>
          <w:spacing w:val="-2"/>
        </w:rPr>
        <w:t xml:space="preserve"> e.g., with mint or honey)</w:t>
      </w:r>
      <w:r w:rsidR="009449C3" w:rsidRPr="00520E0D">
        <w:t xml:space="preserve"> by working with the traditional distributors</w:t>
      </w:r>
      <w:r>
        <w:t xml:space="preserve"> and retailers, thus </w:t>
      </w:r>
      <w:r w:rsidR="009449C3" w:rsidRPr="00520E0D">
        <w:t>bypassing distribution controlled by CEDC and Sobieski</w:t>
      </w:r>
      <w:r>
        <w:t>.</w:t>
      </w:r>
    </w:p>
    <w:p w14:paraId="1ADFE5E3" w14:textId="4C2B2974" w:rsidR="009449C3" w:rsidRPr="00520E0D" w:rsidRDefault="000C3DD6" w:rsidP="009449C3">
      <w:pPr>
        <w:pStyle w:val="BodyTextMain"/>
        <w:numPr>
          <w:ilvl w:val="0"/>
          <w:numId w:val="29"/>
        </w:numPr>
      </w:pPr>
      <w:r>
        <w:t>P</w:t>
      </w:r>
      <w:r w:rsidR="009449C3" w:rsidRPr="00520E0D">
        <w:t xml:space="preserve">ursue a more aggressive strategy with </w:t>
      </w:r>
      <w:r w:rsidR="003640D0">
        <w:t xml:space="preserve">the brands </w:t>
      </w:r>
      <w:r w:rsidR="009449C3" w:rsidRPr="002B45ED">
        <w:t>Bison</w:t>
      </w:r>
      <w:r w:rsidR="009449C3" w:rsidRPr="00520E0D">
        <w:t xml:space="preserve"> and </w:t>
      </w:r>
      <w:r w:rsidR="009449C3" w:rsidRPr="002B45ED">
        <w:t>1906</w:t>
      </w:r>
      <w:r w:rsidR="009449C3" w:rsidRPr="00520E0D">
        <w:rPr>
          <w:i/>
        </w:rPr>
        <w:t xml:space="preserve"> </w:t>
      </w:r>
      <w:r w:rsidR="009449C3" w:rsidRPr="00520E0D">
        <w:t xml:space="preserve">in the growing economy segment of pure vodkas. The pure vodka market </w:t>
      </w:r>
      <w:r w:rsidR="00D1398B">
        <w:t>wa</w:t>
      </w:r>
      <w:r w:rsidR="009449C3" w:rsidRPr="00520E0D">
        <w:t xml:space="preserve">s roughly seven times larger than </w:t>
      </w:r>
      <w:r w:rsidR="00D1398B">
        <w:t xml:space="preserve">the </w:t>
      </w:r>
      <w:r w:rsidR="009449C3" w:rsidRPr="00520E0D">
        <w:t>flavo</w:t>
      </w:r>
      <w:r w:rsidR="00D1398B">
        <w:t>u</w:t>
      </w:r>
      <w:r w:rsidR="009449C3" w:rsidRPr="00520E0D">
        <w:t xml:space="preserve">red vodkas </w:t>
      </w:r>
      <w:r w:rsidR="00D1398B">
        <w:t xml:space="preserve">market, </w:t>
      </w:r>
      <w:r w:rsidR="009449C3" w:rsidRPr="00520E0D">
        <w:t xml:space="preserve">and the main </w:t>
      </w:r>
      <w:r w:rsidR="00D1398B">
        <w:t>producers</w:t>
      </w:r>
      <w:r w:rsidR="00D1398B" w:rsidRPr="00520E0D">
        <w:t xml:space="preserve"> </w:t>
      </w:r>
      <w:r w:rsidR="00D1398B">
        <w:t>had</w:t>
      </w:r>
      <w:r w:rsidR="00D1398B" w:rsidRPr="00520E0D">
        <w:t xml:space="preserve"> </w:t>
      </w:r>
      <w:r w:rsidR="009449C3" w:rsidRPr="00520E0D">
        <w:t xml:space="preserve">no incentive to </w:t>
      </w:r>
      <w:r w:rsidR="00D1398B">
        <w:t xml:space="preserve">engage in a </w:t>
      </w:r>
      <w:r w:rsidR="009449C3" w:rsidRPr="00520E0D">
        <w:t xml:space="preserve">price war with </w:t>
      </w:r>
      <w:r w:rsidR="00D1398B">
        <w:t>smaller companies</w:t>
      </w:r>
      <w:r w:rsidR="009449C3" w:rsidRPr="00520E0D">
        <w:t xml:space="preserve">. </w:t>
      </w:r>
    </w:p>
    <w:p w14:paraId="1A82F3E2" w14:textId="56559CF2" w:rsidR="009449C3" w:rsidRPr="00520E0D" w:rsidRDefault="009449C3" w:rsidP="009449C3">
      <w:pPr>
        <w:pStyle w:val="BodyTextMain"/>
        <w:numPr>
          <w:ilvl w:val="0"/>
          <w:numId w:val="29"/>
        </w:numPr>
      </w:pPr>
      <w:r w:rsidRPr="00520E0D">
        <w:t xml:space="preserve">Introduce premium products in both </w:t>
      </w:r>
      <w:r w:rsidR="00D1398B">
        <w:t xml:space="preserve">the </w:t>
      </w:r>
      <w:r w:rsidRPr="00520E0D">
        <w:t>pure and flavo</w:t>
      </w:r>
      <w:r w:rsidR="00D1398B">
        <w:t>u</w:t>
      </w:r>
      <w:r w:rsidRPr="00520E0D">
        <w:t>red vodka segments</w:t>
      </w:r>
      <w:r w:rsidR="00D1398B">
        <w:t>.</w:t>
      </w:r>
      <w:r w:rsidRPr="00520E0D">
        <w:t xml:space="preserve"> </w:t>
      </w:r>
      <w:r w:rsidR="00D1398B">
        <w:t>E</w:t>
      </w:r>
      <w:r w:rsidRPr="00520E0D">
        <w:t>ven with small sales, the premium segment offer</w:t>
      </w:r>
      <w:r w:rsidR="00D1398B">
        <w:t>ed</w:t>
      </w:r>
      <w:r w:rsidRPr="00520E0D">
        <w:t xml:space="preserve"> </w:t>
      </w:r>
      <w:r w:rsidR="00D1398B">
        <w:t>large</w:t>
      </w:r>
      <w:r w:rsidR="00D1398B" w:rsidRPr="00520E0D">
        <w:t xml:space="preserve"> </w:t>
      </w:r>
      <w:r w:rsidRPr="00520E0D">
        <w:t>margins</w:t>
      </w:r>
      <w:r w:rsidR="00D1398B">
        <w:t xml:space="preserve"> and would use some of </w:t>
      </w:r>
      <w:r w:rsidRPr="00520E0D">
        <w:t>the company</w:t>
      </w:r>
      <w:r w:rsidR="00D1398B">
        <w:t>’s</w:t>
      </w:r>
      <w:r w:rsidRPr="00520E0D">
        <w:t xml:space="preserve"> excess capacity. </w:t>
      </w:r>
    </w:p>
    <w:p w14:paraId="2CD2E458" w14:textId="77777777" w:rsidR="009449C3" w:rsidRPr="00520E0D" w:rsidRDefault="009449C3" w:rsidP="009449C3">
      <w:pPr>
        <w:pStyle w:val="BodyTextMain"/>
      </w:pPr>
    </w:p>
    <w:p w14:paraId="3CAEF703" w14:textId="73F3A629" w:rsidR="00D1398B" w:rsidRDefault="00D1398B" w:rsidP="009449C3">
      <w:pPr>
        <w:pStyle w:val="BodyTextMain"/>
      </w:pPr>
      <w:r>
        <w:t>Later</w:t>
      </w:r>
      <w:r w:rsidR="009449C3" w:rsidRPr="00520E0D">
        <w:t>, when Malinowski recall</w:t>
      </w:r>
      <w:r>
        <w:t>ed</w:t>
      </w:r>
      <w:r w:rsidR="009449C3" w:rsidRPr="00520E0D">
        <w:t xml:space="preserve"> the execution of his plan, he </w:t>
      </w:r>
      <w:r>
        <w:t>noted</w:t>
      </w:r>
      <w:r w:rsidRPr="00520E0D">
        <w:t xml:space="preserve"> </w:t>
      </w:r>
      <w:r w:rsidR="009449C3" w:rsidRPr="00520E0D">
        <w:t>that a clear focus change</w:t>
      </w:r>
      <w:r>
        <w:t>d</w:t>
      </w:r>
      <w:r w:rsidR="009449C3" w:rsidRPr="00520E0D">
        <w:t xml:space="preserve"> everything: </w:t>
      </w:r>
    </w:p>
    <w:p w14:paraId="02898CD4" w14:textId="77777777" w:rsidR="00D1398B" w:rsidRDefault="00D1398B" w:rsidP="009449C3">
      <w:pPr>
        <w:pStyle w:val="BodyTextMain"/>
      </w:pPr>
    </w:p>
    <w:p w14:paraId="1298A9C2" w14:textId="0D015053" w:rsidR="00F64AA2" w:rsidRDefault="009449C3" w:rsidP="002B45ED">
      <w:pPr>
        <w:pStyle w:val="BodyTextMain"/>
        <w:ind w:left="720"/>
      </w:pPr>
      <w:r w:rsidRPr="00520E0D">
        <w:t>We performed classic moves. We focused on sales, sales</w:t>
      </w:r>
      <w:r w:rsidR="00D1398B">
        <w:t>,</w:t>
      </w:r>
      <w:r w:rsidRPr="00520E0D">
        <w:t xml:space="preserve"> and sales. When we lowered the price of pure vodkas</w:t>
      </w:r>
      <w:r w:rsidR="00D1398B">
        <w:t>,</w:t>
      </w:r>
      <w:r w:rsidRPr="00520E0D">
        <w:t xml:space="preserve"> they started to sell well. The large </w:t>
      </w:r>
      <w:r w:rsidR="000D268F">
        <w:t>producers</w:t>
      </w:r>
      <w:r w:rsidR="000D268F" w:rsidRPr="00520E0D">
        <w:t xml:space="preserve"> </w:t>
      </w:r>
      <w:r w:rsidRPr="00520E0D">
        <w:t>did not react because</w:t>
      </w:r>
      <w:r w:rsidR="00D1398B">
        <w:t>,</w:t>
      </w:r>
      <w:r w:rsidRPr="00520E0D">
        <w:t xml:space="preserve"> for them</w:t>
      </w:r>
      <w:r w:rsidR="00D1398B">
        <w:t>,</w:t>
      </w:r>
      <w:r w:rsidRPr="00520E0D">
        <w:t xml:space="preserve"> we were just marginal in this segment. But for us</w:t>
      </w:r>
      <w:r w:rsidR="00D1398B">
        <w:t>,</w:t>
      </w:r>
      <w:r w:rsidRPr="00520E0D">
        <w:t xml:space="preserve"> it was a big deal in two ways. First, we gained some economies of scale </w:t>
      </w:r>
      <w:r w:rsidR="00D1398B">
        <w:t>by using</w:t>
      </w:r>
      <w:r w:rsidRPr="00520E0D">
        <w:t xml:space="preserve"> new excess capacity. Second, </w:t>
      </w:r>
      <w:r w:rsidR="000D268F">
        <w:t>in addition to</w:t>
      </w:r>
      <w:r w:rsidRPr="00520E0D">
        <w:t xml:space="preserve"> sales of our pure vodkas, we worked with distribut</w:t>
      </w:r>
      <w:r w:rsidR="00F64AA2">
        <w:t>ors</w:t>
      </w:r>
      <w:r w:rsidRPr="00520E0D">
        <w:t xml:space="preserve"> and retailers on the renewal of </w:t>
      </w:r>
      <w:r w:rsidR="00024B21">
        <w:t>Bitter’s</w:t>
      </w:r>
      <w:r w:rsidR="00024B21" w:rsidRPr="00520E0D">
        <w:t xml:space="preserve"> </w:t>
      </w:r>
      <w:r w:rsidRPr="00520E0D">
        <w:t xml:space="preserve">position. I personally visited all distributors and many retail outlets. We persuaded them that flankers of </w:t>
      </w:r>
      <w:r w:rsidR="00024B21">
        <w:t>Bitter</w:t>
      </w:r>
      <w:r w:rsidR="00024B21" w:rsidRPr="00520E0D">
        <w:t xml:space="preserve"> </w:t>
      </w:r>
      <w:r w:rsidR="00F64AA2">
        <w:t>were</w:t>
      </w:r>
      <w:r w:rsidR="00F64AA2" w:rsidRPr="00520E0D">
        <w:t xml:space="preserve"> </w:t>
      </w:r>
      <w:r w:rsidRPr="00520E0D">
        <w:t>a good and innovative idea. As the results improved, people became more optimistic and business partners more helpful.</w:t>
      </w:r>
    </w:p>
    <w:p w14:paraId="4CE0CDE9" w14:textId="7AE1A1B2" w:rsidR="009449C3" w:rsidRPr="00520E0D" w:rsidRDefault="0098428C" w:rsidP="009449C3">
      <w:pPr>
        <w:pStyle w:val="BodyTextMain"/>
      </w:pPr>
      <w:r w:rsidRPr="001B6661">
        <w:lastRenderedPageBreak/>
        <w:t xml:space="preserve">The new strategy worked </w:t>
      </w:r>
      <w:r w:rsidR="00F9016C" w:rsidRPr="001B6661">
        <w:t>wonders</w:t>
      </w:r>
      <w:r w:rsidRPr="001B6661">
        <w:t xml:space="preserve">. In spite of </w:t>
      </w:r>
      <w:r w:rsidR="003640D0">
        <w:t xml:space="preserve">a </w:t>
      </w:r>
      <w:r w:rsidRPr="001B6661">
        <w:t>mediocre first half of 2005</w:t>
      </w:r>
      <w:r w:rsidR="00F9016C" w:rsidRPr="001B6661">
        <w:t>,</w:t>
      </w:r>
      <w:r w:rsidRPr="001B6661">
        <w:t xml:space="preserve"> t</w:t>
      </w:r>
      <w:r w:rsidR="00193A83" w:rsidRPr="001B6661">
        <w:t>he company completed th</w:t>
      </w:r>
      <w:r w:rsidR="003640D0">
        <w:t>e</w:t>
      </w:r>
      <w:r w:rsidR="00193A83" w:rsidRPr="001B6661">
        <w:t xml:space="preserve"> </w:t>
      </w:r>
      <w:r w:rsidRPr="001B6661">
        <w:t xml:space="preserve">year </w:t>
      </w:r>
      <w:r w:rsidR="00193A83" w:rsidRPr="001B6661">
        <w:t xml:space="preserve">with </w:t>
      </w:r>
      <w:r w:rsidRPr="001B6661">
        <w:t xml:space="preserve">solid </w:t>
      </w:r>
      <w:r w:rsidR="00193A83" w:rsidRPr="001B6661">
        <w:t xml:space="preserve">revenues of </w:t>
      </w:r>
      <w:proofErr w:type="spellStart"/>
      <w:r w:rsidR="003640D0" w:rsidRPr="00A378A0">
        <w:rPr>
          <w:lang w:val="en-US"/>
        </w:rPr>
        <w:t>zł</w:t>
      </w:r>
      <w:proofErr w:type="spellEnd"/>
      <w:r w:rsidR="00193A83" w:rsidRPr="001B6661">
        <w:t>349</w:t>
      </w:r>
      <w:proofErr w:type="gramStart"/>
      <w:r w:rsidR="001B6661" w:rsidRPr="00770BBD">
        <w:t>,</w:t>
      </w:r>
      <w:r w:rsidR="00193A83" w:rsidRPr="001B6661">
        <w:t>304</w:t>
      </w:r>
      <w:r w:rsidR="001B6661" w:rsidRPr="00770BBD">
        <w:t>,0</w:t>
      </w:r>
      <w:r w:rsidRPr="001B6661">
        <w:t>00</w:t>
      </w:r>
      <w:proofErr w:type="gramEnd"/>
      <w:r w:rsidR="00F9016C" w:rsidRPr="001B6661">
        <w:t xml:space="preserve"> </w:t>
      </w:r>
      <w:r w:rsidRPr="001B6661">
        <w:t>(</w:t>
      </w:r>
      <w:r w:rsidR="00F9016C" w:rsidRPr="001B6661">
        <w:t>€</w:t>
      </w:r>
      <w:r w:rsidRPr="001B6661">
        <w:t>86</w:t>
      </w:r>
      <w:r w:rsidR="001B6661" w:rsidRPr="00770BBD">
        <w:t>,</w:t>
      </w:r>
      <w:r w:rsidRPr="001B6661">
        <w:t>820</w:t>
      </w:r>
      <w:r w:rsidR="001B6661" w:rsidRPr="00770BBD">
        <w:t>,0</w:t>
      </w:r>
      <w:r w:rsidRPr="001B6661">
        <w:t>00),</w:t>
      </w:r>
      <w:r w:rsidR="003640D0">
        <w:rPr>
          <w:rStyle w:val="FootnoteReference"/>
        </w:rPr>
        <w:footnoteReference w:id="1"/>
      </w:r>
      <w:r w:rsidRPr="001B6661">
        <w:t xml:space="preserve"> and operating profits of </w:t>
      </w:r>
      <w:proofErr w:type="spellStart"/>
      <w:r w:rsidR="003640D0" w:rsidRPr="00A378A0">
        <w:rPr>
          <w:lang w:val="en-US"/>
        </w:rPr>
        <w:t>zł</w:t>
      </w:r>
      <w:proofErr w:type="spellEnd"/>
      <w:r w:rsidRPr="001B6661">
        <w:t>10</w:t>
      </w:r>
      <w:r w:rsidR="00F9016C" w:rsidRPr="001B6661">
        <w:t>,</w:t>
      </w:r>
      <w:r w:rsidRPr="001B6661">
        <w:t>562</w:t>
      </w:r>
      <w:r w:rsidR="00F9016C" w:rsidRPr="001B6661">
        <w:t>,</w:t>
      </w:r>
      <w:r w:rsidRPr="001B6661">
        <w:t>000 (</w:t>
      </w:r>
      <w:r w:rsidR="00024B21" w:rsidRPr="001B6661">
        <w:t>€2</w:t>
      </w:r>
      <w:r w:rsidR="00F9016C" w:rsidRPr="001B6661">
        <w:t>,</w:t>
      </w:r>
      <w:r w:rsidR="00024B21" w:rsidRPr="001B6661">
        <w:t>627</w:t>
      </w:r>
      <w:r w:rsidR="00F9016C" w:rsidRPr="001B6661">
        <w:t>,</w:t>
      </w:r>
      <w:r w:rsidR="00024B21" w:rsidRPr="001B6661">
        <w:t>363</w:t>
      </w:r>
      <w:r w:rsidRPr="001B6661">
        <w:t xml:space="preserve">). </w:t>
      </w:r>
      <w:r w:rsidR="009449C3" w:rsidRPr="001B6661">
        <w:t xml:space="preserve">2006 was very successful for </w:t>
      </w:r>
      <w:proofErr w:type="spellStart"/>
      <w:r w:rsidR="009449C3" w:rsidRPr="001B6661">
        <w:t>Polmos</w:t>
      </w:r>
      <w:proofErr w:type="spellEnd"/>
      <w:r w:rsidR="009449C3" w:rsidRPr="001B6661">
        <w:t xml:space="preserve"> Lublin. </w:t>
      </w:r>
      <w:r w:rsidRPr="001B6661">
        <w:t xml:space="preserve">The revenues </w:t>
      </w:r>
      <w:r w:rsidR="001B6661" w:rsidRPr="00770BBD">
        <w:t>exceeded</w:t>
      </w:r>
      <w:r w:rsidRPr="001B6661">
        <w:t xml:space="preserve"> </w:t>
      </w:r>
      <w:r w:rsidR="003640D0" w:rsidRPr="00A378A0">
        <w:rPr>
          <w:lang w:val="en-US"/>
        </w:rPr>
        <w:t>zł</w:t>
      </w:r>
      <w:r w:rsidR="001B6661" w:rsidRPr="00770BBD">
        <w:t>560</w:t>
      </w:r>
      <w:r w:rsidR="003640D0">
        <w:t xml:space="preserve"> million</w:t>
      </w:r>
      <w:r w:rsidR="001B6661" w:rsidRPr="00770BBD">
        <w:t xml:space="preserve"> </w:t>
      </w:r>
      <w:r w:rsidRPr="001B6661">
        <w:t>(</w:t>
      </w:r>
      <w:r w:rsidR="001B6661" w:rsidRPr="00770BBD">
        <w:t>€143</w:t>
      </w:r>
      <w:r w:rsidR="003640D0">
        <w:t xml:space="preserve"> million</w:t>
      </w:r>
      <w:r w:rsidRPr="001B6661">
        <w:t xml:space="preserve">) and operating profits doubled to </w:t>
      </w:r>
      <w:r w:rsidR="001B6661" w:rsidRPr="00770BBD">
        <w:t xml:space="preserve">over </w:t>
      </w:r>
      <w:r w:rsidR="003640D0" w:rsidRPr="00A378A0">
        <w:rPr>
          <w:lang w:val="en-US"/>
        </w:rPr>
        <w:t>zł</w:t>
      </w:r>
      <w:r w:rsidR="001B6661" w:rsidRPr="00770BBD">
        <w:t>21</w:t>
      </w:r>
      <w:r w:rsidR="003640D0">
        <w:t xml:space="preserve"> million</w:t>
      </w:r>
      <w:r w:rsidR="001B6661" w:rsidRPr="00770BBD">
        <w:t xml:space="preserve"> </w:t>
      </w:r>
      <w:r w:rsidRPr="001B6661">
        <w:t>(</w:t>
      </w:r>
      <w:r w:rsidR="001B6661" w:rsidRPr="00770BBD">
        <w:t>€5.5</w:t>
      </w:r>
      <w:r w:rsidR="003640D0">
        <w:t xml:space="preserve"> million</w:t>
      </w:r>
      <w:r w:rsidRPr="001B6661">
        <w:t>).</w:t>
      </w:r>
      <w:r w:rsidRPr="001B6661">
        <w:rPr>
          <w:rStyle w:val="FootnoteReference"/>
        </w:rPr>
        <w:footnoteReference w:id="2"/>
      </w:r>
      <w:r w:rsidRPr="001B6661">
        <w:t xml:space="preserve"> </w:t>
      </w:r>
      <w:r w:rsidR="009449C3" w:rsidRPr="001B6661">
        <w:t>Sales of pure vodkas grew considerably</w:t>
      </w:r>
      <w:r w:rsidR="00F64AA2" w:rsidRPr="001B6661">
        <w:t>;</w:t>
      </w:r>
      <w:r w:rsidR="009449C3" w:rsidRPr="001B6661">
        <w:t xml:space="preserve"> their share </w:t>
      </w:r>
      <w:r w:rsidR="00F64AA2" w:rsidRPr="001B6661">
        <w:t xml:space="preserve">of </w:t>
      </w:r>
      <w:r w:rsidR="009449C3" w:rsidRPr="001B6661">
        <w:t xml:space="preserve">the company’s </w:t>
      </w:r>
      <w:r w:rsidR="00F64AA2" w:rsidRPr="001B6661">
        <w:t>total volume</w:t>
      </w:r>
      <w:r w:rsidR="00F64AA2" w:rsidRPr="00520E0D">
        <w:t xml:space="preserve"> of </w:t>
      </w:r>
      <w:r w:rsidR="009449C3" w:rsidRPr="00520E0D">
        <w:t xml:space="preserve">sales </w:t>
      </w:r>
      <w:r w:rsidR="003640D0">
        <w:t>was</w:t>
      </w:r>
      <w:r w:rsidR="009449C3" w:rsidRPr="00520E0D">
        <w:t xml:space="preserve"> 40</w:t>
      </w:r>
      <w:r w:rsidR="00F64AA2">
        <w:t xml:space="preserve"> per cent</w:t>
      </w:r>
      <w:r w:rsidR="009449C3" w:rsidRPr="00520E0D">
        <w:t xml:space="preserve"> (compared </w:t>
      </w:r>
      <w:r w:rsidR="00F64AA2">
        <w:t>to</w:t>
      </w:r>
      <w:r w:rsidR="00F64AA2" w:rsidRPr="00520E0D">
        <w:t xml:space="preserve"> </w:t>
      </w:r>
      <w:r w:rsidR="009449C3" w:rsidRPr="00520E0D">
        <w:t>10</w:t>
      </w:r>
      <w:r w:rsidR="00F64AA2">
        <w:t xml:space="preserve"> per cent</w:t>
      </w:r>
      <w:r w:rsidR="009449C3" w:rsidRPr="00520E0D">
        <w:t xml:space="preserve"> in 2004). Subsequently, the </w:t>
      </w:r>
      <w:r w:rsidR="00F64AA2">
        <w:t>company’s</w:t>
      </w:r>
      <w:r w:rsidR="00F64AA2" w:rsidRPr="00520E0D">
        <w:t xml:space="preserve"> </w:t>
      </w:r>
      <w:r w:rsidR="009449C3" w:rsidRPr="00520E0D">
        <w:t>share</w:t>
      </w:r>
      <w:r w:rsidR="00F64AA2">
        <w:t xml:space="preserve"> </w:t>
      </w:r>
      <w:r w:rsidR="009449C3" w:rsidRPr="00520E0D">
        <w:t xml:space="preserve">of </w:t>
      </w:r>
      <w:r w:rsidR="00F64AA2">
        <w:t xml:space="preserve">the </w:t>
      </w:r>
      <w:r w:rsidR="009449C3" w:rsidRPr="00520E0D">
        <w:t>total market volume grew from 5.5</w:t>
      </w:r>
      <w:r w:rsidR="00F64AA2">
        <w:t xml:space="preserve"> per cent</w:t>
      </w:r>
      <w:r w:rsidR="009449C3" w:rsidRPr="00520E0D">
        <w:t xml:space="preserve"> to 9.7</w:t>
      </w:r>
      <w:r w:rsidR="00F64AA2">
        <w:t xml:space="preserve"> per cent</w:t>
      </w:r>
      <w:r w:rsidR="009449C3" w:rsidRPr="00520E0D">
        <w:t xml:space="preserve"> in just one year. </w:t>
      </w:r>
      <w:proofErr w:type="spellStart"/>
      <w:r w:rsidR="009449C3" w:rsidRPr="00520E0D">
        <w:t>Polmos</w:t>
      </w:r>
      <w:proofErr w:type="spellEnd"/>
      <w:r w:rsidR="009449C3" w:rsidRPr="00520E0D">
        <w:t xml:space="preserve"> Lublin clearly dominated the flavo</w:t>
      </w:r>
      <w:r w:rsidR="00F64AA2">
        <w:t>u</w:t>
      </w:r>
      <w:r w:rsidR="009449C3" w:rsidRPr="00520E0D">
        <w:t xml:space="preserve">red vodka segment again with </w:t>
      </w:r>
      <w:r w:rsidR="007C13BE">
        <w:t xml:space="preserve">a </w:t>
      </w:r>
      <w:r w:rsidR="009449C3" w:rsidRPr="00520E0D">
        <w:t>35</w:t>
      </w:r>
      <w:r w:rsidR="00F64AA2">
        <w:t xml:space="preserve"> per cent</w:t>
      </w:r>
      <w:r w:rsidR="009449C3" w:rsidRPr="00520E0D">
        <w:t xml:space="preserve"> market share and </w:t>
      </w:r>
      <w:r w:rsidR="00FF5B2D">
        <w:t xml:space="preserve">a </w:t>
      </w:r>
      <w:r w:rsidR="009449C3" w:rsidRPr="00520E0D">
        <w:t xml:space="preserve">restored profitable growth pattern. </w:t>
      </w:r>
    </w:p>
    <w:p w14:paraId="67484653" w14:textId="77777777" w:rsidR="00A07D88" w:rsidRPr="00520E0D" w:rsidRDefault="00A07D88" w:rsidP="009449C3">
      <w:pPr>
        <w:pStyle w:val="BodyTextMain"/>
      </w:pPr>
    </w:p>
    <w:p w14:paraId="65B4C9B4" w14:textId="4FA5B067" w:rsidR="00F94DF8" w:rsidRDefault="009449C3" w:rsidP="009449C3">
      <w:pPr>
        <w:pStyle w:val="BodyTextMain"/>
      </w:pPr>
      <w:r w:rsidRPr="00520E0D">
        <w:t xml:space="preserve">These trends </w:t>
      </w:r>
      <w:r w:rsidR="004939ED">
        <w:t>caught the</w:t>
      </w:r>
      <w:r w:rsidRPr="00520E0D">
        <w:t xml:space="preserve"> interest of Oaktree </w:t>
      </w:r>
      <w:r w:rsidR="004939ED">
        <w:t>Capital Management</w:t>
      </w:r>
      <w:r w:rsidR="007C13BE">
        <w:t xml:space="preserve"> (Oaktree)</w:t>
      </w:r>
      <w:r w:rsidR="004939ED">
        <w:t>, wh</w:t>
      </w:r>
      <w:r w:rsidR="007C13BE">
        <w:t>ich</w:t>
      </w:r>
      <w:r w:rsidR="004939ED">
        <w:t xml:space="preserve"> w</w:t>
      </w:r>
      <w:r w:rsidR="007C13BE">
        <w:t>as</w:t>
      </w:r>
      <w:r w:rsidR="004939ED">
        <w:t xml:space="preserve"> using </w:t>
      </w:r>
      <w:r w:rsidR="007C13BE">
        <w:t>its</w:t>
      </w:r>
      <w:r w:rsidR="004939ED">
        <w:t xml:space="preserve"> equity fund</w:t>
      </w:r>
      <w:r w:rsidRPr="00520E0D">
        <w:t xml:space="preserve"> to buy mid-size producers of alcoholic beverages in Central and Eastern Europe</w:t>
      </w:r>
      <w:r w:rsidR="004939ED">
        <w:t xml:space="preserve">. </w:t>
      </w:r>
      <w:r w:rsidR="007C13BE">
        <w:t>Its</w:t>
      </w:r>
      <w:r w:rsidR="004939ED">
        <w:t xml:space="preserve"> plan was to consolidate the producers and sell the group</w:t>
      </w:r>
      <w:r w:rsidRPr="00520E0D">
        <w:t xml:space="preserve"> to one of the global industry leaders. After brief negotiations, Oaktree bought a large </w:t>
      </w:r>
      <w:r w:rsidR="004939ED">
        <w:t>portion</w:t>
      </w:r>
      <w:r w:rsidR="004939ED" w:rsidRPr="00520E0D">
        <w:t xml:space="preserve"> </w:t>
      </w:r>
      <w:r w:rsidRPr="00520E0D">
        <w:t xml:space="preserve">of </w:t>
      </w:r>
      <w:proofErr w:type="spellStart"/>
      <w:r w:rsidR="004939ED">
        <w:t>Polmos</w:t>
      </w:r>
      <w:proofErr w:type="spellEnd"/>
      <w:r w:rsidR="004939ED">
        <w:t xml:space="preserve"> Lublin’s</w:t>
      </w:r>
      <w:r w:rsidR="004939ED" w:rsidRPr="00520E0D">
        <w:t xml:space="preserve"> </w:t>
      </w:r>
      <w:r w:rsidRPr="00520E0D">
        <w:t>shares in 2006</w:t>
      </w:r>
      <w:r w:rsidR="004939ED">
        <w:t>.</w:t>
      </w:r>
      <w:r w:rsidRPr="00520E0D">
        <w:t xml:space="preserve"> </w:t>
      </w:r>
      <w:r w:rsidR="004939ED">
        <w:t>I</w:t>
      </w:r>
      <w:r w:rsidRPr="00520E0D">
        <w:t>n 2007</w:t>
      </w:r>
      <w:r w:rsidR="004939ED">
        <w:t>, Oaktree</w:t>
      </w:r>
      <w:r w:rsidRPr="00520E0D">
        <w:t xml:space="preserve"> bought the rest </w:t>
      </w:r>
      <w:r w:rsidR="004939ED">
        <w:t xml:space="preserve">of the shares </w:t>
      </w:r>
      <w:r w:rsidRPr="00520E0D">
        <w:t xml:space="preserve">and delisted the company, making it private once again. </w:t>
      </w:r>
    </w:p>
    <w:p w14:paraId="3126E834" w14:textId="77777777" w:rsidR="00F94DF8" w:rsidRDefault="00F94DF8" w:rsidP="009449C3">
      <w:pPr>
        <w:pStyle w:val="BodyTextMain"/>
      </w:pPr>
    </w:p>
    <w:p w14:paraId="51F21B75" w14:textId="226D4E3D" w:rsidR="00BB17BB" w:rsidRDefault="00BB17BB" w:rsidP="009449C3">
      <w:pPr>
        <w:pStyle w:val="BodyTextMain"/>
      </w:pPr>
      <w:r w:rsidRPr="00520E0D">
        <w:t xml:space="preserve">Malinowski </w:t>
      </w:r>
      <w:r>
        <w:t xml:space="preserve">recalled something </w:t>
      </w:r>
      <w:r w:rsidR="009449C3" w:rsidRPr="00520E0D">
        <w:t xml:space="preserve">Karim </w:t>
      </w:r>
      <w:proofErr w:type="spellStart"/>
      <w:r w:rsidR="009449C3" w:rsidRPr="00520E0D">
        <w:t>Khairallah</w:t>
      </w:r>
      <w:proofErr w:type="spellEnd"/>
      <w:r w:rsidR="009449C3" w:rsidRPr="00520E0D">
        <w:t xml:space="preserve">, </w:t>
      </w:r>
      <w:r>
        <w:t>a</w:t>
      </w:r>
      <w:r w:rsidR="007C13BE">
        <w:t>n Oaktree</w:t>
      </w:r>
      <w:r>
        <w:t xml:space="preserve"> </w:t>
      </w:r>
      <w:r w:rsidR="009449C3" w:rsidRPr="00520E0D">
        <w:t xml:space="preserve">representative, </w:t>
      </w:r>
      <w:r w:rsidR="007C13BE">
        <w:t xml:space="preserve">had </w:t>
      </w:r>
      <w:r w:rsidR="009449C3" w:rsidRPr="00520E0D">
        <w:t xml:space="preserve">said </w:t>
      </w:r>
      <w:r>
        <w:t>d</w:t>
      </w:r>
      <w:r w:rsidRPr="00520E0D">
        <w:t>uring a discus</w:t>
      </w:r>
      <w:r>
        <w:t xml:space="preserve">sion with the management board: </w:t>
      </w:r>
    </w:p>
    <w:p w14:paraId="339B98C9" w14:textId="77777777" w:rsidR="00BB17BB" w:rsidRDefault="00BB17BB" w:rsidP="009449C3">
      <w:pPr>
        <w:pStyle w:val="BodyTextMain"/>
      </w:pPr>
    </w:p>
    <w:p w14:paraId="2607E497" w14:textId="342B7800" w:rsidR="00BB17BB" w:rsidRDefault="009449C3" w:rsidP="002B45ED">
      <w:pPr>
        <w:pStyle w:val="BodyTextMain"/>
        <w:ind w:left="720"/>
      </w:pPr>
      <w:r w:rsidRPr="00520E0D">
        <w:t>You did very well last year. But we bought the company to grow it. You are here and we want you to be three times larger. So what is the plan for the growth of the company? Ah, and don’t mind the costs, we’ll recover them in the long run.</w:t>
      </w:r>
    </w:p>
    <w:p w14:paraId="019F4E89" w14:textId="77777777" w:rsidR="00BB17BB" w:rsidRDefault="00BB17BB" w:rsidP="00BB17BB">
      <w:pPr>
        <w:pStyle w:val="BodyTextMain"/>
      </w:pPr>
    </w:p>
    <w:p w14:paraId="5ABEC075" w14:textId="565F4670" w:rsidR="009449C3" w:rsidRPr="00520E0D" w:rsidRDefault="009449C3" w:rsidP="00BB17BB">
      <w:pPr>
        <w:pStyle w:val="BodyTextMain"/>
      </w:pPr>
      <w:r w:rsidRPr="00520E0D">
        <w:t xml:space="preserve">It was an epiphany for </w:t>
      </w:r>
      <w:proofErr w:type="spellStart"/>
      <w:r w:rsidR="00BB17BB" w:rsidRPr="00520E0D">
        <w:t>Polmos</w:t>
      </w:r>
      <w:proofErr w:type="spellEnd"/>
      <w:r w:rsidR="00BB17BB" w:rsidRPr="00520E0D">
        <w:t xml:space="preserve"> Lublin</w:t>
      </w:r>
      <w:r w:rsidR="00BB17BB">
        <w:t>’s</w:t>
      </w:r>
      <w:r w:rsidR="00BB17BB" w:rsidRPr="00520E0D">
        <w:t xml:space="preserve"> </w:t>
      </w:r>
      <w:r w:rsidRPr="00520E0D">
        <w:t>management board. After a full night</w:t>
      </w:r>
      <w:r w:rsidR="0045403A">
        <w:t>’s</w:t>
      </w:r>
      <w:r w:rsidRPr="00520E0D">
        <w:t xml:space="preserve"> meeting</w:t>
      </w:r>
      <w:r w:rsidR="0045403A">
        <w:t>,</w:t>
      </w:r>
      <w:r w:rsidRPr="00520E0D">
        <w:t xml:space="preserve"> the board came back with a plan to enter the pure vodka market with the </w:t>
      </w:r>
      <w:r w:rsidR="00024B21">
        <w:t>Bitter</w:t>
      </w:r>
      <w:r w:rsidR="00024B21" w:rsidRPr="00520E0D">
        <w:t xml:space="preserve"> </w:t>
      </w:r>
      <w:r w:rsidRPr="00520E0D">
        <w:t>brand. The idea was not completely new in the company</w:t>
      </w:r>
      <w:r w:rsidR="0045403A">
        <w:t>,</w:t>
      </w:r>
      <w:r w:rsidRPr="00520E0D">
        <w:t xml:space="preserve"> but </w:t>
      </w:r>
      <w:r w:rsidR="0045403A">
        <w:t xml:space="preserve">it </w:t>
      </w:r>
      <w:r w:rsidRPr="00520E0D">
        <w:t>had never been seriously considered</w:t>
      </w:r>
      <w:r w:rsidR="0045403A">
        <w:t>. R</w:t>
      </w:r>
      <w:r w:rsidRPr="00520E0D">
        <w:t xml:space="preserve">isks related to brand equity </w:t>
      </w:r>
      <w:r w:rsidR="0045403A">
        <w:t>had been</w:t>
      </w:r>
      <w:r w:rsidR="0045403A" w:rsidRPr="00520E0D">
        <w:t xml:space="preserve"> </w:t>
      </w:r>
      <w:r w:rsidRPr="00520E0D">
        <w:t>too difficult to evaluate, costs could be high, and</w:t>
      </w:r>
      <w:r w:rsidR="0045403A">
        <w:t>,</w:t>
      </w:r>
      <w:r w:rsidRPr="00520E0D">
        <w:t xml:space="preserve"> </w:t>
      </w:r>
      <w:r w:rsidR="00916E5E">
        <w:t>importantly</w:t>
      </w:r>
      <w:r w:rsidR="0045403A">
        <w:t>,</w:t>
      </w:r>
      <w:r w:rsidRPr="00520E0D">
        <w:t xml:space="preserve"> no one had ever moved brands between segments. </w:t>
      </w:r>
    </w:p>
    <w:p w14:paraId="62EA2E54" w14:textId="77777777" w:rsidR="00A07D88" w:rsidRPr="00520E0D" w:rsidRDefault="00A07D88" w:rsidP="009449C3">
      <w:pPr>
        <w:pStyle w:val="BodyTextMain"/>
      </w:pPr>
    </w:p>
    <w:p w14:paraId="4D0046F3" w14:textId="29301F05" w:rsidR="009449C3" w:rsidRPr="00520E0D" w:rsidRDefault="009449C3" w:rsidP="009449C3">
      <w:pPr>
        <w:pStyle w:val="BodyTextMain"/>
      </w:pPr>
      <w:r w:rsidRPr="00520E0D">
        <w:t>Once the decision was made, preparations followed. Focus groups were used to establish the taste profile of the new vodka, which was an</w:t>
      </w:r>
      <w:r w:rsidR="0045403A">
        <w:t>other</w:t>
      </w:r>
      <w:r w:rsidRPr="00520E0D">
        <w:t xml:space="preserve"> innovative approach in the marketplace. It took almost a year to develop the new, original taste, which was a bit sweeter than traditional Polish pure vodkas</w:t>
      </w:r>
      <w:r w:rsidR="0045403A">
        <w:t xml:space="preserve"> and</w:t>
      </w:r>
      <w:r w:rsidRPr="00520E0D">
        <w:t xml:space="preserve"> </w:t>
      </w:r>
      <w:r w:rsidR="0045403A">
        <w:t>closer</w:t>
      </w:r>
      <w:r w:rsidRPr="00520E0D">
        <w:t xml:space="preserve"> to the </w:t>
      </w:r>
      <w:r w:rsidR="0045403A">
        <w:t xml:space="preserve">taste of traditional </w:t>
      </w:r>
      <w:r w:rsidRPr="00520E0D">
        <w:t xml:space="preserve">Ukrainian </w:t>
      </w:r>
      <w:r w:rsidR="0045403A">
        <w:t>vodka</w:t>
      </w:r>
      <w:r w:rsidRPr="00520E0D">
        <w:t xml:space="preserve">. The chosen name was </w:t>
      </w:r>
      <w:proofErr w:type="spellStart"/>
      <w:r w:rsidRPr="002B45ED">
        <w:rPr>
          <w:i/>
        </w:rPr>
        <w:t>Czysta</w:t>
      </w:r>
      <w:proofErr w:type="spellEnd"/>
      <w:r w:rsidRPr="002B45ED">
        <w:rPr>
          <w:i/>
        </w:rPr>
        <w:t xml:space="preserve"> de Luxe </w:t>
      </w:r>
      <w:proofErr w:type="spellStart"/>
      <w:r w:rsidRPr="002B45ED">
        <w:rPr>
          <w:i/>
        </w:rPr>
        <w:t>Zoladkowa</w:t>
      </w:r>
      <w:proofErr w:type="spellEnd"/>
      <w:r w:rsidRPr="002B45ED">
        <w:rPr>
          <w:i/>
        </w:rPr>
        <w:t xml:space="preserve"> </w:t>
      </w:r>
      <w:proofErr w:type="spellStart"/>
      <w:r w:rsidRPr="002B45ED">
        <w:rPr>
          <w:i/>
        </w:rPr>
        <w:t>Gorzka</w:t>
      </w:r>
      <w:proofErr w:type="spellEnd"/>
      <w:r w:rsidR="0045403A" w:rsidRPr="0045403A">
        <w:rPr>
          <w:i/>
        </w:rPr>
        <w:t xml:space="preserve"> </w:t>
      </w:r>
      <w:r w:rsidR="00916E5E">
        <w:t>(</w:t>
      </w:r>
      <w:r w:rsidR="00024B21">
        <w:t xml:space="preserve">Pure Bitter </w:t>
      </w:r>
      <w:r w:rsidR="00EA6994">
        <w:t>de Luxe</w:t>
      </w:r>
      <w:r w:rsidR="00916E5E">
        <w:t>)</w:t>
      </w:r>
      <w:r w:rsidRPr="0045403A">
        <w:t>,</w:t>
      </w:r>
      <w:r w:rsidRPr="00520E0D">
        <w:t xml:space="preserve"> </w:t>
      </w:r>
      <w:r w:rsidR="0045403A">
        <w:t>drawing on</w:t>
      </w:r>
      <w:r w:rsidR="0045403A" w:rsidRPr="00520E0D">
        <w:t xml:space="preserve"> </w:t>
      </w:r>
      <w:r w:rsidRPr="00520E0D">
        <w:t xml:space="preserve">linguistic research </w:t>
      </w:r>
      <w:r w:rsidR="0045403A">
        <w:t xml:space="preserve">that </w:t>
      </w:r>
      <w:r w:rsidRPr="00520E0D">
        <w:t xml:space="preserve">showed that the phrase </w:t>
      </w:r>
      <w:proofErr w:type="spellStart"/>
      <w:r w:rsidRPr="00520E0D">
        <w:rPr>
          <w:i/>
        </w:rPr>
        <w:t>de luxe</w:t>
      </w:r>
      <w:proofErr w:type="spellEnd"/>
      <w:r w:rsidRPr="00520E0D">
        <w:t xml:space="preserve"> connot</w:t>
      </w:r>
      <w:r w:rsidR="00A062F4">
        <w:t>ed</w:t>
      </w:r>
      <w:r w:rsidRPr="00520E0D">
        <w:t xml:space="preserve"> luxury and high quality. The new product was priced at </w:t>
      </w:r>
      <w:proofErr w:type="spellStart"/>
      <w:r w:rsidR="00A062F4" w:rsidRPr="00A062F4">
        <w:rPr>
          <w:lang w:val="en-US"/>
        </w:rPr>
        <w:t>zł</w:t>
      </w:r>
      <w:proofErr w:type="spellEnd"/>
      <w:r w:rsidRPr="00520E0D">
        <w:t>18 per bottle (app</w:t>
      </w:r>
      <w:r w:rsidR="00A062F4">
        <w:t xml:space="preserve">roximately </w:t>
      </w:r>
      <w:r w:rsidRPr="00520E0D">
        <w:t xml:space="preserve">€4), which positioned it slightly below </w:t>
      </w:r>
      <w:r w:rsidR="00A57276">
        <w:t xml:space="preserve">the </w:t>
      </w:r>
      <w:r w:rsidRPr="00520E0D">
        <w:t xml:space="preserve">average price in the mainstream segment. However, the bottle and labels were designed to place the product in the upper tier of this segment (see </w:t>
      </w:r>
      <w:r w:rsidR="003471D9">
        <w:t>Exhibit</w:t>
      </w:r>
      <w:r w:rsidR="003471D9" w:rsidRPr="00520E0D">
        <w:t xml:space="preserve"> </w:t>
      </w:r>
      <w:r w:rsidRPr="00520E0D">
        <w:t xml:space="preserve">1). Finally, the decision was made to introduce </w:t>
      </w:r>
      <w:r w:rsidR="00282274">
        <w:t>the</w:t>
      </w:r>
      <w:r w:rsidR="0046512A" w:rsidRPr="00520E0D">
        <w:t xml:space="preserve"> </w:t>
      </w:r>
      <w:r w:rsidRPr="00520E0D">
        <w:t xml:space="preserve">new product </w:t>
      </w:r>
      <w:r w:rsidR="003471D9">
        <w:t>through</w:t>
      </w:r>
      <w:r w:rsidR="003471D9" w:rsidRPr="00520E0D">
        <w:t xml:space="preserve"> </w:t>
      </w:r>
      <w:r w:rsidRPr="00520E0D">
        <w:t>traditional distribution and retail channels (small and medium</w:t>
      </w:r>
      <w:r w:rsidR="00916E5E">
        <w:t>-</w:t>
      </w:r>
      <w:r w:rsidRPr="00520E0D">
        <w:t>size shops)</w:t>
      </w:r>
      <w:r w:rsidR="003471D9">
        <w:t>,</w:t>
      </w:r>
      <w:r w:rsidRPr="00520E0D">
        <w:t xml:space="preserve"> thus bypassing powerful </w:t>
      </w:r>
      <w:r w:rsidR="003471D9">
        <w:t xml:space="preserve">distributors and retailers such as </w:t>
      </w:r>
      <w:r w:rsidRPr="00520E0D">
        <w:t xml:space="preserve">CEDC and Sobieski. </w:t>
      </w:r>
    </w:p>
    <w:p w14:paraId="1EAEAA7A" w14:textId="77777777" w:rsidR="00A07D88" w:rsidRPr="00520E0D" w:rsidRDefault="00A07D88" w:rsidP="009449C3">
      <w:pPr>
        <w:pStyle w:val="BodyTextMain"/>
      </w:pPr>
    </w:p>
    <w:p w14:paraId="611F2BFF" w14:textId="268C4FC4" w:rsidR="003471D9" w:rsidRDefault="00024B21" w:rsidP="009449C3">
      <w:pPr>
        <w:pStyle w:val="BodyTextMain"/>
      </w:pPr>
      <w:r>
        <w:t>Pure Bitter de Luxe</w:t>
      </w:r>
      <w:r w:rsidDel="00024B21">
        <w:t xml:space="preserve"> </w:t>
      </w:r>
      <w:r w:rsidR="003471D9">
        <w:t>made its debut i</w:t>
      </w:r>
      <w:r w:rsidR="009449C3" w:rsidRPr="00520E0D">
        <w:t xml:space="preserve">n 2008. It </w:t>
      </w:r>
      <w:r w:rsidR="003471D9">
        <w:t>was</w:t>
      </w:r>
      <w:r w:rsidR="003471D9" w:rsidRPr="00520E0D">
        <w:t xml:space="preserve"> </w:t>
      </w:r>
      <w:r w:rsidR="009449C3" w:rsidRPr="00520E0D">
        <w:t xml:space="preserve">an instant hit and rode the waves of a growing market (see </w:t>
      </w:r>
      <w:r w:rsidR="003471D9">
        <w:t>Exhibit</w:t>
      </w:r>
      <w:r w:rsidR="003471D9" w:rsidRPr="00520E0D">
        <w:t xml:space="preserve"> </w:t>
      </w:r>
      <w:r w:rsidR="009449C3" w:rsidRPr="00520E0D">
        <w:t xml:space="preserve">2). Malinowski </w:t>
      </w:r>
      <w:r w:rsidR="003471D9">
        <w:t>recalled the successful entry of the new brand</w:t>
      </w:r>
      <w:r w:rsidR="009449C3" w:rsidRPr="00520E0D">
        <w:t>:</w:t>
      </w:r>
    </w:p>
    <w:p w14:paraId="6BD8FAC1" w14:textId="77777777" w:rsidR="003471D9" w:rsidRDefault="003471D9" w:rsidP="009449C3">
      <w:pPr>
        <w:pStyle w:val="BodyTextMain"/>
      </w:pPr>
    </w:p>
    <w:p w14:paraId="2DCEC7C3" w14:textId="3622C6A1" w:rsidR="009449C3" w:rsidRPr="00520E0D" w:rsidRDefault="009449C3" w:rsidP="002B45ED">
      <w:pPr>
        <w:pStyle w:val="BodyTextMain"/>
        <w:ind w:left="720"/>
      </w:pPr>
      <w:r w:rsidRPr="00520E0D">
        <w:t>We were an underdog. We persuaded everybody that we had a better vodka. It was different, period. But we persuaded everybody that it was new, different</w:t>
      </w:r>
      <w:r w:rsidR="003471D9">
        <w:t>,</w:t>
      </w:r>
      <w:r w:rsidRPr="00520E0D">
        <w:t xml:space="preserve"> </w:t>
      </w:r>
      <w:r w:rsidRPr="002B45ED">
        <w:rPr>
          <w:i/>
        </w:rPr>
        <w:t>and</w:t>
      </w:r>
      <w:r w:rsidRPr="00520E0D">
        <w:t xml:space="preserve"> better. And the market started to support us. </w:t>
      </w:r>
      <w:r w:rsidR="00E02A69">
        <w:t>D</w:t>
      </w:r>
      <w:r w:rsidRPr="00520E0D">
        <w:t>istributors were happy that we gave them the new product. Traditional retailers loved the new product that looked elegant, was not expensive, and could not be bought in supermarkets. Both sets of actors therefore promoted it heavily. After two months</w:t>
      </w:r>
      <w:r w:rsidR="003471D9">
        <w:t>,</w:t>
      </w:r>
      <w:r w:rsidRPr="00520E0D">
        <w:t xml:space="preserve"> we knew that we had a winner. It simply disappeared from the shelves. Large retailers were knocking on our doors to get the </w:t>
      </w:r>
      <w:r w:rsidRPr="00520E0D">
        <w:lastRenderedPageBreak/>
        <w:t>product as well. Sales grew like crazy and my only worry was to produce and keep the taste profile intact. In 2009</w:t>
      </w:r>
      <w:r w:rsidR="003471D9">
        <w:t>,</w:t>
      </w:r>
      <w:r w:rsidRPr="00520E0D">
        <w:t xml:space="preserve"> the product became the market leader in Poland, and we moved from fourth to second position in terms of total market share. Of course, large players reacted with time. Sobieski launched </w:t>
      </w:r>
      <w:proofErr w:type="spellStart"/>
      <w:r w:rsidRPr="00520E0D">
        <w:t>Krupnik</w:t>
      </w:r>
      <w:proofErr w:type="spellEnd"/>
      <w:r w:rsidRPr="00520E0D">
        <w:t xml:space="preserve"> Pure vodka</w:t>
      </w:r>
      <w:r w:rsidR="00EC745B">
        <w:t>,</w:t>
      </w:r>
      <w:r w:rsidRPr="00520E0D">
        <w:t xml:space="preserve"> and </w:t>
      </w:r>
      <w:r w:rsidR="00EC745B">
        <w:t>its parent company Belvedere</w:t>
      </w:r>
      <w:r w:rsidR="00916E5E">
        <w:t xml:space="preserve"> [Distribution Company]</w:t>
      </w:r>
      <w:r w:rsidR="00EC745B">
        <w:t xml:space="preserve"> </w:t>
      </w:r>
      <w:r w:rsidRPr="00520E0D">
        <w:t>hired Bruce Willis to promote the Sobieski vodka brand</w:t>
      </w:r>
      <w:r w:rsidR="00EC745B">
        <w:t xml:space="preserve"> globally</w:t>
      </w:r>
      <w:r w:rsidRPr="00520E0D">
        <w:t xml:space="preserve">. CEDC put Pure </w:t>
      </w:r>
      <w:proofErr w:type="spellStart"/>
      <w:r w:rsidRPr="00520E0D">
        <w:t>Zubrowka</w:t>
      </w:r>
      <w:proofErr w:type="spellEnd"/>
      <w:r w:rsidRPr="00520E0D">
        <w:t xml:space="preserve"> on the market, a new version of their leading brand </w:t>
      </w:r>
      <w:proofErr w:type="spellStart"/>
      <w:r w:rsidRPr="00520E0D">
        <w:t>Absolwent</w:t>
      </w:r>
      <w:proofErr w:type="spellEnd"/>
      <w:r w:rsidRPr="00520E0D">
        <w:t xml:space="preserve">, and </w:t>
      </w:r>
      <w:r w:rsidR="0063722F">
        <w:t>a</w:t>
      </w:r>
      <w:r w:rsidR="0063722F" w:rsidRPr="00520E0D">
        <w:t xml:space="preserve"> </w:t>
      </w:r>
      <w:r w:rsidRPr="00520E0D">
        <w:t>new premium brand</w:t>
      </w:r>
      <w:r w:rsidR="0063722F">
        <w:t>,</w:t>
      </w:r>
      <w:r w:rsidRPr="00520E0D">
        <w:t xml:space="preserve"> Palace. But it was too late. In 2010</w:t>
      </w:r>
      <w:r w:rsidR="0063722F">
        <w:t>,</w:t>
      </w:r>
      <w:r w:rsidRPr="00520E0D">
        <w:t xml:space="preserve"> we overtook both of them and became a market leader. </w:t>
      </w:r>
    </w:p>
    <w:p w14:paraId="70D25B94" w14:textId="77777777" w:rsidR="00A07D88" w:rsidRPr="00520E0D" w:rsidRDefault="00A07D88" w:rsidP="009449C3">
      <w:pPr>
        <w:pStyle w:val="BodyTextMain"/>
      </w:pPr>
    </w:p>
    <w:p w14:paraId="5EA6D936" w14:textId="65DD953D" w:rsidR="00B074A2" w:rsidRDefault="00B074A2" w:rsidP="00B074A2">
      <w:pPr>
        <w:pStyle w:val="BodyTextMain"/>
      </w:pPr>
      <w:proofErr w:type="spellStart"/>
      <w:r>
        <w:t>Polmos</w:t>
      </w:r>
      <w:proofErr w:type="spellEnd"/>
      <w:r>
        <w:t xml:space="preserve"> reinforced the success of </w:t>
      </w:r>
      <w:r w:rsidR="00024B21">
        <w:t>Pure Bitter de Luxe</w:t>
      </w:r>
      <w:r w:rsidR="00024B21" w:rsidDel="00024B21">
        <w:t xml:space="preserve"> </w:t>
      </w:r>
      <w:r>
        <w:t>with two additional bold strategic moves. In 2009, it introduced a new luxury pure vodka</w:t>
      </w:r>
      <w:r w:rsidR="00916E5E">
        <w:t>,</w:t>
      </w:r>
      <w:r>
        <w:t xml:space="preserve"> Stock Prestige, and decided to invest more effort and attention in its </w:t>
      </w:r>
      <w:proofErr w:type="spellStart"/>
      <w:r>
        <w:t>Lubelskie</w:t>
      </w:r>
      <w:proofErr w:type="spellEnd"/>
      <w:r>
        <w:t xml:space="preserve"> brand, an economy-segment flavo</w:t>
      </w:r>
      <w:r w:rsidR="00916E5E">
        <w:t>u</w:t>
      </w:r>
      <w:r>
        <w:t>red vodka. Malinowski explain</w:t>
      </w:r>
      <w:r w:rsidR="00F0197B">
        <w:t>ed</w:t>
      </w:r>
      <w:r>
        <w:t xml:space="preserve">: </w:t>
      </w:r>
    </w:p>
    <w:p w14:paraId="6151C90C" w14:textId="77777777" w:rsidR="00B074A2" w:rsidRDefault="00B074A2" w:rsidP="00B074A2">
      <w:pPr>
        <w:pStyle w:val="BodyTextMain"/>
      </w:pPr>
    </w:p>
    <w:p w14:paraId="689D078B" w14:textId="00B32FF0" w:rsidR="00B074A2" w:rsidRDefault="00B074A2" w:rsidP="00770BBD">
      <w:pPr>
        <w:pStyle w:val="BodyTextMain"/>
        <w:ind w:left="720"/>
      </w:pPr>
      <w:r>
        <w:t>After the success with Old Bitter Pure</w:t>
      </w:r>
      <w:r w:rsidR="00F0197B">
        <w:t>,</w:t>
      </w:r>
      <w:r>
        <w:t xml:space="preserve"> we decided to dominate all segments. We had Stock Prestige in the upper segment of pure vodkas and introduced new tastes of </w:t>
      </w:r>
      <w:r w:rsidR="00F0197B">
        <w:t xml:space="preserve">the </w:t>
      </w:r>
      <w:r>
        <w:t>economy flavo</w:t>
      </w:r>
      <w:r w:rsidR="00F0197B">
        <w:t>u</w:t>
      </w:r>
      <w:r>
        <w:t xml:space="preserve">red vodka </w:t>
      </w:r>
      <w:proofErr w:type="spellStart"/>
      <w:r>
        <w:t>Lubelskie</w:t>
      </w:r>
      <w:proofErr w:type="spellEnd"/>
      <w:r>
        <w:t xml:space="preserve"> that became hugely successful, especially the lemon </w:t>
      </w:r>
      <w:r w:rsidR="00B80E65">
        <w:t>flavour</w:t>
      </w:r>
      <w:r>
        <w:t xml:space="preserve">, completely new in Poland. </w:t>
      </w:r>
    </w:p>
    <w:p w14:paraId="7392C9BA" w14:textId="77777777" w:rsidR="00B074A2" w:rsidRDefault="00B074A2" w:rsidP="00B074A2">
      <w:pPr>
        <w:pStyle w:val="BodyTextMain"/>
      </w:pPr>
    </w:p>
    <w:p w14:paraId="51103181" w14:textId="7542B771" w:rsidR="009449C3" w:rsidRPr="00520E0D" w:rsidRDefault="00B074A2" w:rsidP="009449C3">
      <w:pPr>
        <w:pStyle w:val="BodyTextMain"/>
      </w:pPr>
      <w:r>
        <w:t xml:space="preserve">Thanks to these moves, </w:t>
      </w:r>
      <w:proofErr w:type="spellStart"/>
      <w:r>
        <w:t>Polmos</w:t>
      </w:r>
      <w:proofErr w:type="spellEnd"/>
      <w:r>
        <w:t xml:space="preserve"> had pure and flavo</w:t>
      </w:r>
      <w:r w:rsidR="008576ED">
        <w:t>u</w:t>
      </w:r>
      <w:r>
        <w:t>red vodkas in all segments</w:t>
      </w:r>
      <w:r w:rsidR="008576ED">
        <w:t>,</w:t>
      </w:r>
      <w:r>
        <w:t xml:space="preserve"> from </w:t>
      </w:r>
      <w:r w:rsidR="008576ED">
        <w:t xml:space="preserve">the </w:t>
      </w:r>
      <w:r>
        <w:t xml:space="preserve">premium to </w:t>
      </w:r>
      <w:r w:rsidR="008576ED">
        <w:t xml:space="preserve">the </w:t>
      </w:r>
      <w:r>
        <w:t xml:space="preserve">economy (see Exhibit 2), and gained huge strategic momentum. Large players reacted </w:t>
      </w:r>
      <w:r w:rsidR="00024B21">
        <w:t>b</w:t>
      </w:r>
      <w:r>
        <w:t xml:space="preserve">ut it was too late. </w:t>
      </w:r>
      <w:proofErr w:type="spellStart"/>
      <w:r>
        <w:t>Polmos</w:t>
      </w:r>
      <w:proofErr w:type="spellEnd"/>
      <w:r>
        <w:t xml:space="preserve"> became an </w:t>
      </w:r>
      <w:r w:rsidR="00024B21">
        <w:t>incontestable</w:t>
      </w:r>
      <w:r>
        <w:t xml:space="preserve"> market leader and started to increase its lead every year. </w:t>
      </w:r>
      <w:r w:rsidR="009449C3" w:rsidRPr="00520E0D">
        <w:t xml:space="preserve">In 2013, </w:t>
      </w:r>
      <w:r w:rsidR="0063722F" w:rsidRPr="00520E0D">
        <w:t xml:space="preserve">Oaktree </w:t>
      </w:r>
      <w:r w:rsidR="0063722F">
        <w:t xml:space="preserve">listed </w:t>
      </w:r>
      <w:r w:rsidR="009449C3" w:rsidRPr="00520E0D">
        <w:t>the</w:t>
      </w:r>
      <w:r w:rsidR="0063722F">
        <w:t>ir</w:t>
      </w:r>
      <w:r w:rsidR="009449C3" w:rsidRPr="00520E0D">
        <w:t xml:space="preserve"> consortium of alcoholic beverages companies on the London Stock Exchange under the name </w:t>
      </w:r>
      <w:r w:rsidR="009449C3" w:rsidRPr="002B45ED">
        <w:rPr>
          <w:i/>
        </w:rPr>
        <w:t>Stock Spirits</w:t>
      </w:r>
      <w:r w:rsidR="009449C3" w:rsidRPr="00520E0D">
        <w:t>. By 201</w:t>
      </w:r>
      <w:r w:rsidR="00E02A69">
        <w:t>4</w:t>
      </w:r>
      <w:r w:rsidR="009449C3" w:rsidRPr="00520E0D">
        <w:t xml:space="preserve">, the </w:t>
      </w:r>
      <w:proofErr w:type="spellStart"/>
      <w:r w:rsidR="009449C3" w:rsidRPr="00520E0D">
        <w:t>Polmos</w:t>
      </w:r>
      <w:proofErr w:type="spellEnd"/>
      <w:r w:rsidR="009449C3" w:rsidRPr="00520E0D">
        <w:t xml:space="preserve"> Lublin branch of the company reigned over the Polish </w:t>
      </w:r>
      <w:r w:rsidR="00177191">
        <w:t>liquor</w:t>
      </w:r>
      <w:r w:rsidR="00177191" w:rsidRPr="00520E0D">
        <w:t xml:space="preserve"> </w:t>
      </w:r>
      <w:r w:rsidR="009449C3" w:rsidRPr="00520E0D">
        <w:t>industry with ap</w:t>
      </w:r>
      <w:r w:rsidR="0063722F">
        <w:t>proximately</w:t>
      </w:r>
      <w:r w:rsidR="009449C3" w:rsidRPr="00520E0D">
        <w:t xml:space="preserve"> 35</w:t>
      </w:r>
      <w:r w:rsidR="0063722F">
        <w:t xml:space="preserve"> per cent of the</w:t>
      </w:r>
      <w:r w:rsidR="009449C3" w:rsidRPr="00520E0D">
        <w:t xml:space="preserve"> </w:t>
      </w:r>
      <w:r w:rsidR="00024B21">
        <w:t xml:space="preserve">total </w:t>
      </w:r>
      <w:r w:rsidR="009449C3" w:rsidRPr="00520E0D">
        <w:t>market share (see Exhibits 2 and 3).</w:t>
      </w:r>
    </w:p>
    <w:p w14:paraId="7547FBB3" w14:textId="77777777" w:rsidR="009449C3" w:rsidRPr="00520E0D" w:rsidRDefault="009449C3" w:rsidP="009449C3">
      <w:pPr>
        <w:rPr>
          <w:sz w:val="24"/>
          <w:szCs w:val="24"/>
        </w:rPr>
      </w:pPr>
      <w:r w:rsidRPr="00520E0D">
        <w:rPr>
          <w:sz w:val="24"/>
          <w:szCs w:val="24"/>
        </w:rPr>
        <w:br w:type="page"/>
      </w:r>
    </w:p>
    <w:p w14:paraId="658FFA0F" w14:textId="05A3D6D4" w:rsidR="009449C3" w:rsidRPr="00520E0D" w:rsidRDefault="009449C3" w:rsidP="00C5775B">
      <w:pPr>
        <w:pStyle w:val="ExhibitHeading"/>
      </w:pPr>
      <w:r w:rsidRPr="00520E0D">
        <w:lastRenderedPageBreak/>
        <w:t>Exhibit 1</w:t>
      </w:r>
      <w:r w:rsidR="00C5775B" w:rsidRPr="00520E0D">
        <w:t>:</w:t>
      </w:r>
      <w:r w:rsidRPr="00520E0D">
        <w:t xml:space="preserve"> The original</w:t>
      </w:r>
      <w:r w:rsidR="0063722F">
        <w:t>, Flankers, and new Gorz</w:t>
      </w:r>
      <w:r w:rsidR="000B2DE3">
        <w:t>ka Brands</w:t>
      </w:r>
    </w:p>
    <w:p w14:paraId="5F79115A" w14:textId="77777777" w:rsidR="00C5775B" w:rsidRPr="00520E0D" w:rsidRDefault="00C5775B" w:rsidP="002B45ED">
      <w:pPr>
        <w:pStyle w:val="ExhibitText"/>
      </w:pPr>
    </w:p>
    <w:p w14:paraId="429B85DB" w14:textId="77777777" w:rsidR="009449C3" w:rsidRDefault="009449C3" w:rsidP="00C5775B">
      <w:pPr>
        <w:jc w:val="center"/>
        <w:rPr>
          <w:sz w:val="24"/>
          <w:szCs w:val="24"/>
        </w:rPr>
      </w:pPr>
      <w:r w:rsidRPr="00520E0D">
        <w:rPr>
          <w:noProof/>
          <w:sz w:val="24"/>
          <w:szCs w:val="24"/>
          <w:lang w:eastAsia="en-GB"/>
        </w:rPr>
        <w:drawing>
          <wp:inline distT="0" distB="0" distL="0" distR="0" wp14:anchorId="0D83CDDC" wp14:editId="24EDA747">
            <wp:extent cx="4114800" cy="3086328"/>
            <wp:effectExtent l="0" t="0" r="0" b="12700"/>
            <wp:docPr id="4" name="Picture 4" descr="Macintosh HD:Users:kobloj:Desktop:IMG_2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bloj:Desktop:IMG_2565.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114800" cy="3086328"/>
                    </a:xfrm>
                    <a:prstGeom prst="rect">
                      <a:avLst/>
                    </a:prstGeom>
                    <a:noFill/>
                    <a:ln>
                      <a:noFill/>
                    </a:ln>
                  </pic:spPr>
                </pic:pic>
              </a:graphicData>
            </a:graphic>
          </wp:inline>
        </w:drawing>
      </w:r>
    </w:p>
    <w:p w14:paraId="6FA240F8" w14:textId="77777777" w:rsidR="000B2DE3" w:rsidRDefault="000B2DE3" w:rsidP="000E4844">
      <w:pPr>
        <w:pStyle w:val="Footnote"/>
      </w:pPr>
    </w:p>
    <w:p w14:paraId="74B8AD3F" w14:textId="6901806A" w:rsidR="0063722F" w:rsidRPr="00520E0D" w:rsidRDefault="0063722F" w:rsidP="002B45ED">
      <w:pPr>
        <w:pStyle w:val="ExhibitText"/>
        <w:jc w:val="center"/>
      </w:pPr>
      <w:r>
        <w:t xml:space="preserve">Figure 1: Brand labelling for the original </w:t>
      </w:r>
      <w:r w:rsidR="00024B21">
        <w:t>Bitter</w:t>
      </w:r>
      <w:r>
        <w:t xml:space="preserve"> brand</w:t>
      </w:r>
      <w:r w:rsidR="000B2DE3">
        <w:t xml:space="preserve"> </w:t>
      </w:r>
      <w:r w:rsidR="00024B21">
        <w:t>(</w:t>
      </w:r>
      <w:proofErr w:type="spellStart"/>
      <w:r w:rsidR="000B2DE3">
        <w:t>Zoladkowa</w:t>
      </w:r>
      <w:proofErr w:type="spellEnd"/>
      <w:r w:rsidR="000B2DE3">
        <w:t xml:space="preserve"> </w:t>
      </w:r>
      <w:proofErr w:type="spellStart"/>
      <w:r w:rsidR="000B2DE3">
        <w:t>Gorzka</w:t>
      </w:r>
      <w:proofErr w:type="spellEnd"/>
      <w:r w:rsidR="00024B21">
        <w:t>)</w:t>
      </w:r>
      <w:r w:rsidR="000B2DE3">
        <w:t>,</w:t>
      </w:r>
      <w:r>
        <w:t xml:space="preserve"> and its flankers.</w:t>
      </w:r>
    </w:p>
    <w:p w14:paraId="636B0C6E" w14:textId="77777777" w:rsidR="009449C3" w:rsidRDefault="009449C3" w:rsidP="000E4844">
      <w:pPr>
        <w:pStyle w:val="Footnote"/>
      </w:pPr>
    </w:p>
    <w:p w14:paraId="3EA3656D" w14:textId="77777777" w:rsidR="000B2DE3" w:rsidRPr="00520E0D" w:rsidRDefault="000B2DE3" w:rsidP="000E4844">
      <w:pPr>
        <w:pStyle w:val="Footnote"/>
      </w:pPr>
    </w:p>
    <w:p w14:paraId="5E228B8F" w14:textId="77777777" w:rsidR="009449C3" w:rsidRDefault="009449C3" w:rsidP="00C5775B">
      <w:pPr>
        <w:jc w:val="center"/>
        <w:rPr>
          <w:sz w:val="24"/>
          <w:szCs w:val="24"/>
        </w:rPr>
      </w:pPr>
      <w:r w:rsidRPr="00520E0D">
        <w:rPr>
          <w:noProof/>
          <w:sz w:val="24"/>
          <w:szCs w:val="24"/>
          <w:lang w:eastAsia="en-GB"/>
        </w:rPr>
        <w:drawing>
          <wp:inline distT="0" distB="0" distL="0" distR="0" wp14:anchorId="21F83710" wp14:editId="22F38EC4">
            <wp:extent cx="4114800" cy="3086328"/>
            <wp:effectExtent l="0" t="0" r="0" b="12700"/>
            <wp:docPr id="5" name="Picture 5" descr="Macintosh HD:Users:kobloj:Desktop:IMG_2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loj:Desktop:IMG_2563.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114800" cy="3086328"/>
                    </a:xfrm>
                    <a:prstGeom prst="rect">
                      <a:avLst/>
                    </a:prstGeom>
                    <a:noFill/>
                    <a:ln>
                      <a:noFill/>
                    </a:ln>
                  </pic:spPr>
                </pic:pic>
              </a:graphicData>
            </a:graphic>
          </wp:inline>
        </w:drawing>
      </w:r>
    </w:p>
    <w:p w14:paraId="7475FB64" w14:textId="77777777" w:rsidR="000B2DE3" w:rsidRDefault="000B2DE3" w:rsidP="000E4844">
      <w:pPr>
        <w:pStyle w:val="Footnote"/>
      </w:pPr>
    </w:p>
    <w:p w14:paraId="5A2C7350" w14:textId="1B845F2B" w:rsidR="0063722F" w:rsidRPr="00520E0D" w:rsidRDefault="0063722F" w:rsidP="002B45ED">
      <w:pPr>
        <w:pStyle w:val="ExhibitText"/>
        <w:jc w:val="center"/>
      </w:pPr>
      <w:r>
        <w:t xml:space="preserve">Figure 2: Brand labelling for the </w:t>
      </w:r>
      <w:r w:rsidR="000B2DE3">
        <w:t xml:space="preserve">new </w:t>
      </w:r>
      <w:r w:rsidR="00024B21">
        <w:t>Pure Bitter de Luxe</w:t>
      </w:r>
      <w:r w:rsidR="000B2DE3">
        <w:t xml:space="preserve"> </w:t>
      </w:r>
      <w:r w:rsidR="00024B21">
        <w:t>(</w:t>
      </w:r>
      <w:r w:rsidR="000B2DE3" w:rsidRPr="000B2DE3">
        <w:t xml:space="preserve">Pure de Luxe </w:t>
      </w:r>
      <w:proofErr w:type="spellStart"/>
      <w:r w:rsidR="000B2DE3" w:rsidRPr="000B2DE3">
        <w:t>Zołądkowa</w:t>
      </w:r>
      <w:proofErr w:type="spellEnd"/>
      <w:r w:rsidR="000B2DE3" w:rsidRPr="000B2DE3">
        <w:t xml:space="preserve"> </w:t>
      </w:r>
      <w:proofErr w:type="spellStart"/>
      <w:r w:rsidR="000B2DE3" w:rsidRPr="000B2DE3">
        <w:t>Gorzka</w:t>
      </w:r>
      <w:proofErr w:type="spellEnd"/>
      <w:r w:rsidR="00024B21">
        <w:t>)</w:t>
      </w:r>
      <w:r w:rsidR="000B2DE3">
        <w:t>.</w:t>
      </w:r>
    </w:p>
    <w:p w14:paraId="6E50E4FB" w14:textId="77777777" w:rsidR="00C5775B" w:rsidRPr="00520E0D" w:rsidRDefault="00C5775B" w:rsidP="000E4844">
      <w:pPr>
        <w:pStyle w:val="Footnote"/>
      </w:pPr>
    </w:p>
    <w:p w14:paraId="306D70F0" w14:textId="18732F48" w:rsidR="00C5775B" w:rsidRPr="00520E0D" w:rsidRDefault="00C5775B" w:rsidP="00C5775B">
      <w:pPr>
        <w:pStyle w:val="Footnote"/>
      </w:pPr>
      <w:r w:rsidRPr="00520E0D">
        <w:t xml:space="preserve">Source: </w:t>
      </w:r>
      <w:r w:rsidR="000B2DE3">
        <w:t xml:space="preserve">Case </w:t>
      </w:r>
      <w:r w:rsidRPr="00520E0D">
        <w:t>authors’ photo</w:t>
      </w:r>
      <w:r w:rsidR="000B2DE3">
        <w:t>graphs</w:t>
      </w:r>
      <w:r w:rsidRPr="00520E0D">
        <w:t>.</w:t>
      </w:r>
    </w:p>
    <w:p w14:paraId="7192757C" w14:textId="77777777" w:rsidR="00C5775B" w:rsidRPr="00520E0D" w:rsidRDefault="00C5775B">
      <w:pPr>
        <w:spacing w:after="200" w:line="276" w:lineRule="auto"/>
      </w:pPr>
      <w:r w:rsidRPr="00520E0D">
        <w:br w:type="page"/>
      </w:r>
    </w:p>
    <w:p w14:paraId="3A79E1FE" w14:textId="06464A4F" w:rsidR="000B2DE3" w:rsidRDefault="00B16921" w:rsidP="00B16921">
      <w:pPr>
        <w:pStyle w:val="ExhibitHeading"/>
        <w:rPr>
          <w:i/>
        </w:rPr>
      </w:pPr>
      <w:r w:rsidRPr="00520E0D">
        <w:lastRenderedPageBreak/>
        <w:t>Exhibit 2:</w:t>
      </w:r>
      <w:r w:rsidR="009449C3" w:rsidRPr="00520E0D">
        <w:t xml:space="preserve"> Sales of Polmos Lublin </w:t>
      </w:r>
      <w:r w:rsidR="000B2DE3">
        <w:t xml:space="preserve">Brands </w:t>
      </w:r>
      <w:r w:rsidR="009449C3" w:rsidRPr="00520E0D">
        <w:t xml:space="preserve">and CEDC’s </w:t>
      </w:r>
      <w:r w:rsidR="009449C3" w:rsidRPr="002B45ED">
        <w:t>Balsam Pomorski</w:t>
      </w:r>
      <w:r w:rsidR="000B2DE3">
        <w:t>, 2008–2014</w:t>
      </w:r>
    </w:p>
    <w:p w14:paraId="1AB20F22" w14:textId="04F313ED" w:rsidR="009449C3" w:rsidRPr="00520E0D" w:rsidRDefault="000B2DE3" w:rsidP="00B16921">
      <w:pPr>
        <w:pStyle w:val="ExhibitHeading"/>
      </w:pPr>
      <w:r w:rsidRPr="000E4844">
        <w:t>(</w:t>
      </w:r>
      <w:r w:rsidR="009449C3" w:rsidRPr="00520E0D">
        <w:t>in million litres)</w:t>
      </w:r>
    </w:p>
    <w:p w14:paraId="3BFB5335" w14:textId="77777777" w:rsidR="009449C3" w:rsidRPr="00520E0D" w:rsidRDefault="009449C3" w:rsidP="000E4844">
      <w:pPr>
        <w:jc w:val="center"/>
      </w:pPr>
    </w:p>
    <w:tbl>
      <w:tblPr>
        <w:tblW w:w="4000" w:type="pct"/>
        <w:jc w:val="center"/>
        <w:tblLayout w:type="fixed"/>
        <w:tblLook w:val="04A0" w:firstRow="1" w:lastRow="0" w:firstColumn="1" w:lastColumn="0" w:noHBand="0" w:noVBand="1"/>
      </w:tblPr>
      <w:tblGrid>
        <w:gridCol w:w="2236"/>
        <w:gridCol w:w="749"/>
        <w:gridCol w:w="750"/>
        <w:gridCol w:w="749"/>
        <w:gridCol w:w="749"/>
        <w:gridCol w:w="749"/>
        <w:gridCol w:w="749"/>
        <w:gridCol w:w="749"/>
      </w:tblGrid>
      <w:tr w:rsidR="009449C3" w:rsidRPr="00CF2723" w14:paraId="44BF2394" w14:textId="77777777" w:rsidTr="00B074A2">
        <w:trPr>
          <w:trHeight w:val="360"/>
          <w:jc w:val="center"/>
        </w:trPr>
        <w:tc>
          <w:tcPr>
            <w:tcW w:w="2300" w:type="dxa"/>
            <w:tcBorders>
              <w:top w:val="single" w:sz="4" w:space="0" w:color="auto"/>
              <w:left w:val="single" w:sz="4" w:space="0" w:color="auto"/>
              <w:bottom w:val="single" w:sz="12" w:space="0" w:color="auto"/>
              <w:right w:val="single" w:sz="4" w:space="0" w:color="auto"/>
            </w:tcBorders>
            <w:shd w:val="clear" w:color="auto" w:fill="auto"/>
            <w:vAlign w:val="center"/>
            <w:hideMark/>
          </w:tcPr>
          <w:p w14:paraId="33B3F983" w14:textId="77777777" w:rsidR="009449C3" w:rsidRPr="00CF2723" w:rsidRDefault="009449C3" w:rsidP="00CF2723">
            <w:pPr>
              <w:pStyle w:val="ExhibitText"/>
              <w:jc w:val="left"/>
              <w:rPr>
                <w:b/>
              </w:rPr>
            </w:pPr>
            <w:r w:rsidRPr="00CF2723">
              <w:rPr>
                <w:b/>
              </w:rPr>
              <w:t> </w:t>
            </w:r>
          </w:p>
        </w:tc>
        <w:tc>
          <w:tcPr>
            <w:tcW w:w="765" w:type="dxa"/>
            <w:tcBorders>
              <w:top w:val="single" w:sz="4" w:space="0" w:color="auto"/>
              <w:left w:val="nil"/>
              <w:bottom w:val="single" w:sz="12" w:space="0" w:color="auto"/>
              <w:right w:val="single" w:sz="4" w:space="0" w:color="auto"/>
            </w:tcBorders>
            <w:shd w:val="clear" w:color="auto" w:fill="auto"/>
            <w:vAlign w:val="center"/>
            <w:hideMark/>
          </w:tcPr>
          <w:p w14:paraId="1A77E797" w14:textId="77777777" w:rsidR="009449C3" w:rsidRPr="00CF2723" w:rsidRDefault="009449C3" w:rsidP="00CF2723">
            <w:pPr>
              <w:pStyle w:val="ExhibitText"/>
              <w:jc w:val="right"/>
              <w:rPr>
                <w:b/>
              </w:rPr>
            </w:pPr>
            <w:r w:rsidRPr="00CF2723">
              <w:rPr>
                <w:b/>
              </w:rPr>
              <w:t>2008</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04FC4CE6" w14:textId="77777777" w:rsidR="009449C3" w:rsidRPr="00CF2723" w:rsidRDefault="009449C3" w:rsidP="00CF2723">
            <w:pPr>
              <w:pStyle w:val="ExhibitText"/>
              <w:jc w:val="right"/>
              <w:rPr>
                <w:b/>
              </w:rPr>
            </w:pPr>
            <w:r w:rsidRPr="00CF2723">
              <w:rPr>
                <w:b/>
              </w:rPr>
              <w:t>2009</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5E1EBA24" w14:textId="77777777" w:rsidR="009449C3" w:rsidRPr="00CF2723" w:rsidRDefault="009449C3" w:rsidP="00CF2723">
            <w:pPr>
              <w:pStyle w:val="ExhibitText"/>
              <w:jc w:val="right"/>
              <w:rPr>
                <w:b/>
              </w:rPr>
            </w:pPr>
            <w:r w:rsidRPr="00CF2723">
              <w:rPr>
                <w:b/>
              </w:rPr>
              <w:t>2010</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5BD7E5D2" w14:textId="77777777" w:rsidR="009449C3" w:rsidRPr="00CF2723" w:rsidRDefault="009449C3" w:rsidP="00CF2723">
            <w:pPr>
              <w:pStyle w:val="ExhibitText"/>
              <w:jc w:val="right"/>
              <w:rPr>
                <w:b/>
              </w:rPr>
            </w:pPr>
            <w:r w:rsidRPr="00CF2723">
              <w:rPr>
                <w:b/>
              </w:rPr>
              <w:t>2011</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049894F7" w14:textId="77777777" w:rsidR="009449C3" w:rsidRPr="00CF2723" w:rsidRDefault="009449C3" w:rsidP="00CF2723">
            <w:pPr>
              <w:pStyle w:val="ExhibitText"/>
              <w:jc w:val="right"/>
              <w:rPr>
                <w:b/>
              </w:rPr>
            </w:pPr>
            <w:r w:rsidRPr="00CF2723">
              <w:rPr>
                <w:b/>
              </w:rPr>
              <w:t>2012</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6C977BE1" w14:textId="77777777" w:rsidR="009449C3" w:rsidRPr="00CF2723" w:rsidRDefault="009449C3" w:rsidP="00CF2723">
            <w:pPr>
              <w:pStyle w:val="ExhibitText"/>
              <w:jc w:val="right"/>
              <w:rPr>
                <w:b/>
              </w:rPr>
            </w:pPr>
            <w:r w:rsidRPr="00CF2723">
              <w:rPr>
                <w:b/>
              </w:rPr>
              <w:t>2013</w:t>
            </w:r>
          </w:p>
        </w:tc>
        <w:tc>
          <w:tcPr>
            <w:tcW w:w="766" w:type="dxa"/>
            <w:tcBorders>
              <w:top w:val="single" w:sz="4" w:space="0" w:color="auto"/>
              <w:left w:val="nil"/>
              <w:bottom w:val="single" w:sz="12" w:space="0" w:color="auto"/>
              <w:right w:val="single" w:sz="4" w:space="0" w:color="auto"/>
            </w:tcBorders>
            <w:shd w:val="clear" w:color="auto" w:fill="auto"/>
            <w:vAlign w:val="center"/>
            <w:hideMark/>
          </w:tcPr>
          <w:p w14:paraId="0A7850C4" w14:textId="77777777" w:rsidR="009449C3" w:rsidRPr="00CF2723" w:rsidRDefault="009449C3" w:rsidP="00CF2723">
            <w:pPr>
              <w:pStyle w:val="ExhibitText"/>
              <w:jc w:val="right"/>
              <w:rPr>
                <w:b/>
              </w:rPr>
            </w:pPr>
            <w:r w:rsidRPr="00CF2723">
              <w:rPr>
                <w:b/>
              </w:rPr>
              <w:t>2014</w:t>
            </w:r>
          </w:p>
        </w:tc>
      </w:tr>
      <w:tr w:rsidR="009449C3" w:rsidRPr="00520E0D" w14:paraId="14F8A398" w14:textId="77777777" w:rsidTr="00470E31">
        <w:trPr>
          <w:trHeight w:val="360"/>
          <w:jc w:val="center"/>
        </w:trPr>
        <w:tc>
          <w:tcPr>
            <w:tcW w:w="2106"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73C4BD54" w14:textId="77777777" w:rsidR="009449C3" w:rsidRPr="00520E0D" w:rsidRDefault="009449C3" w:rsidP="00CF2723">
            <w:pPr>
              <w:pStyle w:val="ExhibitText"/>
              <w:jc w:val="left"/>
            </w:pPr>
            <w:r w:rsidRPr="00520E0D">
              <w:t>Total Sales</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5DA0342D" w14:textId="77777777" w:rsidR="009449C3" w:rsidRPr="00520E0D" w:rsidRDefault="009449C3" w:rsidP="00CF2723">
            <w:pPr>
              <w:pStyle w:val="ExhibitText"/>
              <w:jc w:val="right"/>
            </w:pPr>
            <w:r w:rsidRPr="00520E0D">
              <w:t>54.6</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65FE9B81" w14:textId="77777777" w:rsidR="009449C3" w:rsidRPr="00520E0D" w:rsidRDefault="009449C3" w:rsidP="00CF2723">
            <w:pPr>
              <w:pStyle w:val="ExhibitText"/>
              <w:jc w:val="right"/>
            </w:pPr>
            <w:r w:rsidRPr="00520E0D">
              <w:t>94.8</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73A0990C" w14:textId="77777777" w:rsidR="009449C3" w:rsidRPr="00520E0D" w:rsidRDefault="009449C3" w:rsidP="00CF2723">
            <w:pPr>
              <w:pStyle w:val="ExhibitText"/>
              <w:jc w:val="right"/>
            </w:pPr>
            <w:r w:rsidRPr="00520E0D">
              <w:t>122.5</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731C64DB" w14:textId="77777777" w:rsidR="009449C3" w:rsidRPr="00520E0D" w:rsidRDefault="009449C3" w:rsidP="00CF2723">
            <w:pPr>
              <w:pStyle w:val="ExhibitText"/>
              <w:jc w:val="right"/>
            </w:pPr>
            <w:r w:rsidRPr="00520E0D">
              <w:t>105.9</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23561D5F" w14:textId="77777777" w:rsidR="009449C3" w:rsidRPr="00520E0D" w:rsidRDefault="009449C3" w:rsidP="00CF2723">
            <w:pPr>
              <w:pStyle w:val="ExhibitText"/>
              <w:jc w:val="right"/>
            </w:pPr>
            <w:r w:rsidRPr="00520E0D">
              <w:t>106.8</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39B18A12" w14:textId="77777777" w:rsidR="009449C3" w:rsidRPr="00520E0D" w:rsidRDefault="009449C3" w:rsidP="00CF2723">
            <w:pPr>
              <w:pStyle w:val="ExhibitText"/>
              <w:jc w:val="right"/>
            </w:pPr>
            <w:r w:rsidRPr="00520E0D">
              <w:t>116.7</w:t>
            </w:r>
          </w:p>
        </w:tc>
        <w:tc>
          <w:tcPr>
            <w:tcW w:w="701" w:type="dxa"/>
            <w:tcBorders>
              <w:top w:val="single" w:sz="12" w:space="0" w:color="auto"/>
              <w:left w:val="nil"/>
              <w:bottom w:val="single" w:sz="4" w:space="0" w:color="auto"/>
              <w:right w:val="single" w:sz="4" w:space="0" w:color="auto"/>
            </w:tcBorders>
            <w:shd w:val="clear" w:color="auto" w:fill="auto"/>
            <w:vAlign w:val="center"/>
            <w:hideMark/>
          </w:tcPr>
          <w:p w14:paraId="6B0AB618" w14:textId="77777777" w:rsidR="009449C3" w:rsidRPr="00520E0D" w:rsidRDefault="009449C3" w:rsidP="00CF2723">
            <w:pPr>
              <w:pStyle w:val="ExhibitText"/>
              <w:jc w:val="right"/>
            </w:pPr>
            <w:r w:rsidRPr="00520E0D">
              <w:t>108.3</w:t>
            </w:r>
          </w:p>
        </w:tc>
      </w:tr>
      <w:tr w:rsidR="009449C3" w:rsidRPr="00520E0D" w14:paraId="336A47CB" w14:textId="77777777" w:rsidTr="00470E31">
        <w:trPr>
          <w:trHeight w:val="360"/>
          <w:jc w:val="center"/>
        </w:trPr>
        <w:tc>
          <w:tcPr>
            <w:tcW w:w="2106" w:type="dxa"/>
            <w:tcBorders>
              <w:top w:val="nil"/>
              <w:left w:val="single" w:sz="4" w:space="0" w:color="auto"/>
              <w:bottom w:val="single" w:sz="4" w:space="0" w:color="auto"/>
              <w:right w:val="single" w:sz="4" w:space="0" w:color="auto"/>
            </w:tcBorders>
            <w:shd w:val="clear" w:color="000000" w:fill="D9D9D9"/>
            <w:vAlign w:val="center"/>
            <w:hideMark/>
          </w:tcPr>
          <w:p w14:paraId="21A8AED9" w14:textId="4043B00A" w:rsidR="009449C3" w:rsidRPr="002B45ED" w:rsidRDefault="00CF2723" w:rsidP="008576ED">
            <w:pPr>
              <w:pStyle w:val="ExhibitText"/>
              <w:jc w:val="left"/>
              <w:rPr>
                <w:i/>
                <w:iCs/>
              </w:rPr>
            </w:pPr>
            <w:r w:rsidRPr="002B45ED">
              <w:rPr>
                <w:i/>
                <w:iCs/>
              </w:rPr>
              <w:t xml:space="preserve">Flavoured </w:t>
            </w:r>
            <w:r w:rsidR="008576ED">
              <w:rPr>
                <w:i/>
                <w:iCs/>
              </w:rPr>
              <w:t>V</w:t>
            </w:r>
            <w:r w:rsidR="009449C3" w:rsidRPr="002B45ED">
              <w:rPr>
                <w:i/>
                <w:iCs/>
              </w:rPr>
              <w:t xml:space="preserve">odkas </w:t>
            </w:r>
          </w:p>
        </w:tc>
        <w:tc>
          <w:tcPr>
            <w:tcW w:w="701" w:type="dxa"/>
            <w:tcBorders>
              <w:top w:val="nil"/>
              <w:left w:val="nil"/>
              <w:bottom w:val="single" w:sz="4" w:space="0" w:color="auto"/>
              <w:right w:val="single" w:sz="4" w:space="0" w:color="auto"/>
            </w:tcBorders>
            <w:shd w:val="clear" w:color="000000" w:fill="D9D9D9"/>
            <w:vAlign w:val="center"/>
            <w:hideMark/>
          </w:tcPr>
          <w:p w14:paraId="5F489040" w14:textId="77777777" w:rsidR="009449C3" w:rsidRPr="002B45ED" w:rsidRDefault="009449C3" w:rsidP="00CF2723">
            <w:pPr>
              <w:pStyle w:val="ExhibitText"/>
              <w:jc w:val="right"/>
              <w:rPr>
                <w:i/>
                <w:iCs/>
              </w:rPr>
            </w:pPr>
            <w:r w:rsidRPr="002B45ED">
              <w:rPr>
                <w:i/>
                <w:iCs/>
              </w:rPr>
              <w:t>22.8</w:t>
            </w:r>
          </w:p>
        </w:tc>
        <w:tc>
          <w:tcPr>
            <w:tcW w:w="701" w:type="dxa"/>
            <w:tcBorders>
              <w:top w:val="nil"/>
              <w:left w:val="nil"/>
              <w:bottom w:val="single" w:sz="4" w:space="0" w:color="auto"/>
              <w:right w:val="single" w:sz="4" w:space="0" w:color="auto"/>
            </w:tcBorders>
            <w:shd w:val="clear" w:color="000000" w:fill="D9D9D9"/>
            <w:vAlign w:val="center"/>
            <w:hideMark/>
          </w:tcPr>
          <w:p w14:paraId="7DD2C3C8" w14:textId="77777777" w:rsidR="009449C3" w:rsidRPr="002B45ED" w:rsidRDefault="009449C3" w:rsidP="00CF2723">
            <w:pPr>
              <w:pStyle w:val="ExhibitText"/>
              <w:jc w:val="right"/>
              <w:rPr>
                <w:i/>
                <w:iCs/>
              </w:rPr>
            </w:pPr>
            <w:r w:rsidRPr="002B45ED">
              <w:rPr>
                <w:i/>
                <w:iCs/>
              </w:rPr>
              <w:t>23.6</w:t>
            </w:r>
          </w:p>
        </w:tc>
        <w:tc>
          <w:tcPr>
            <w:tcW w:w="701" w:type="dxa"/>
            <w:tcBorders>
              <w:top w:val="nil"/>
              <w:left w:val="nil"/>
              <w:bottom w:val="single" w:sz="4" w:space="0" w:color="auto"/>
              <w:right w:val="single" w:sz="4" w:space="0" w:color="auto"/>
            </w:tcBorders>
            <w:shd w:val="clear" w:color="000000" w:fill="D9D9D9"/>
            <w:vAlign w:val="center"/>
            <w:hideMark/>
          </w:tcPr>
          <w:p w14:paraId="19ADDC60" w14:textId="77777777" w:rsidR="009449C3" w:rsidRPr="002B45ED" w:rsidRDefault="009449C3" w:rsidP="00CF2723">
            <w:pPr>
              <w:pStyle w:val="ExhibitText"/>
              <w:jc w:val="right"/>
              <w:rPr>
                <w:i/>
                <w:iCs/>
              </w:rPr>
            </w:pPr>
            <w:r w:rsidRPr="002B45ED">
              <w:rPr>
                <w:i/>
                <w:iCs/>
              </w:rPr>
              <w:t>31.5</w:t>
            </w:r>
          </w:p>
        </w:tc>
        <w:tc>
          <w:tcPr>
            <w:tcW w:w="701" w:type="dxa"/>
            <w:tcBorders>
              <w:top w:val="nil"/>
              <w:left w:val="nil"/>
              <w:bottom w:val="single" w:sz="4" w:space="0" w:color="auto"/>
              <w:right w:val="single" w:sz="4" w:space="0" w:color="auto"/>
            </w:tcBorders>
            <w:shd w:val="clear" w:color="000000" w:fill="D9D9D9"/>
            <w:vAlign w:val="center"/>
            <w:hideMark/>
          </w:tcPr>
          <w:p w14:paraId="3DEC0726" w14:textId="77777777" w:rsidR="009449C3" w:rsidRPr="002B45ED" w:rsidRDefault="009449C3" w:rsidP="00CF2723">
            <w:pPr>
              <w:pStyle w:val="ExhibitText"/>
              <w:jc w:val="right"/>
              <w:rPr>
                <w:i/>
                <w:iCs/>
              </w:rPr>
            </w:pPr>
            <w:r w:rsidRPr="002B45ED">
              <w:rPr>
                <w:i/>
                <w:iCs/>
              </w:rPr>
              <w:t>32.3</w:t>
            </w:r>
          </w:p>
        </w:tc>
        <w:tc>
          <w:tcPr>
            <w:tcW w:w="701" w:type="dxa"/>
            <w:tcBorders>
              <w:top w:val="nil"/>
              <w:left w:val="nil"/>
              <w:bottom w:val="single" w:sz="4" w:space="0" w:color="auto"/>
              <w:right w:val="single" w:sz="4" w:space="0" w:color="auto"/>
            </w:tcBorders>
            <w:shd w:val="clear" w:color="000000" w:fill="D9D9D9"/>
            <w:vAlign w:val="center"/>
            <w:hideMark/>
          </w:tcPr>
          <w:p w14:paraId="22DB0018" w14:textId="77777777" w:rsidR="009449C3" w:rsidRPr="002B45ED" w:rsidRDefault="009449C3" w:rsidP="00CF2723">
            <w:pPr>
              <w:pStyle w:val="ExhibitText"/>
              <w:jc w:val="right"/>
              <w:rPr>
                <w:i/>
                <w:iCs/>
              </w:rPr>
            </w:pPr>
            <w:r w:rsidRPr="002B45ED">
              <w:rPr>
                <w:i/>
                <w:iCs/>
              </w:rPr>
              <w:t>34.2</w:t>
            </w:r>
          </w:p>
        </w:tc>
        <w:tc>
          <w:tcPr>
            <w:tcW w:w="701" w:type="dxa"/>
            <w:tcBorders>
              <w:top w:val="nil"/>
              <w:left w:val="nil"/>
              <w:bottom w:val="single" w:sz="4" w:space="0" w:color="auto"/>
              <w:right w:val="single" w:sz="4" w:space="0" w:color="auto"/>
            </w:tcBorders>
            <w:shd w:val="clear" w:color="000000" w:fill="D9D9D9"/>
            <w:vAlign w:val="center"/>
            <w:hideMark/>
          </w:tcPr>
          <w:p w14:paraId="469F508A" w14:textId="77777777" w:rsidR="009449C3" w:rsidRPr="002B45ED" w:rsidRDefault="009449C3" w:rsidP="00CF2723">
            <w:pPr>
              <w:pStyle w:val="ExhibitText"/>
              <w:jc w:val="right"/>
              <w:rPr>
                <w:i/>
                <w:iCs/>
              </w:rPr>
            </w:pPr>
            <w:r w:rsidRPr="002B45ED">
              <w:rPr>
                <w:i/>
                <w:iCs/>
              </w:rPr>
              <w:t>39.2</w:t>
            </w:r>
          </w:p>
        </w:tc>
        <w:tc>
          <w:tcPr>
            <w:tcW w:w="701" w:type="dxa"/>
            <w:tcBorders>
              <w:top w:val="nil"/>
              <w:left w:val="nil"/>
              <w:bottom w:val="single" w:sz="4" w:space="0" w:color="auto"/>
              <w:right w:val="single" w:sz="4" w:space="0" w:color="auto"/>
            </w:tcBorders>
            <w:shd w:val="clear" w:color="000000" w:fill="D9D9D9"/>
            <w:vAlign w:val="center"/>
            <w:hideMark/>
          </w:tcPr>
          <w:p w14:paraId="68E1A455" w14:textId="77777777" w:rsidR="009449C3" w:rsidRPr="002B45ED" w:rsidRDefault="009449C3" w:rsidP="00CF2723">
            <w:pPr>
              <w:pStyle w:val="ExhibitText"/>
              <w:jc w:val="right"/>
              <w:rPr>
                <w:i/>
                <w:iCs/>
              </w:rPr>
            </w:pPr>
            <w:r w:rsidRPr="002B45ED">
              <w:rPr>
                <w:i/>
                <w:iCs/>
              </w:rPr>
              <w:t>41.4</w:t>
            </w:r>
          </w:p>
        </w:tc>
      </w:tr>
      <w:tr w:rsidR="009449C3" w:rsidRPr="00520E0D" w14:paraId="035C590F" w14:textId="77777777" w:rsidTr="00470E31">
        <w:trPr>
          <w:trHeight w:val="360"/>
          <w:jc w:val="center"/>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F50F457" w14:textId="7966E99B" w:rsidR="009449C3" w:rsidRPr="00520E0D" w:rsidRDefault="00024B21" w:rsidP="00CF2723">
            <w:pPr>
              <w:pStyle w:val="ExhibitText"/>
              <w:jc w:val="left"/>
            </w:pPr>
            <w:r>
              <w:t>Bitter</w:t>
            </w:r>
          </w:p>
        </w:tc>
        <w:tc>
          <w:tcPr>
            <w:tcW w:w="701" w:type="dxa"/>
            <w:tcBorders>
              <w:top w:val="nil"/>
              <w:left w:val="nil"/>
              <w:bottom w:val="single" w:sz="4" w:space="0" w:color="auto"/>
              <w:right w:val="single" w:sz="4" w:space="0" w:color="auto"/>
            </w:tcBorders>
            <w:shd w:val="clear" w:color="auto" w:fill="auto"/>
            <w:vAlign w:val="center"/>
            <w:hideMark/>
          </w:tcPr>
          <w:p w14:paraId="2FBA6CEC" w14:textId="77777777" w:rsidR="009449C3" w:rsidRPr="00520E0D" w:rsidRDefault="009449C3" w:rsidP="00CF2723">
            <w:pPr>
              <w:pStyle w:val="ExhibitText"/>
              <w:jc w:val="right"/>
            </w:pPr>
            <w:r w:rsidRPr="00520E0D">
              <w:t>17.1</w:t>
            </w:r>
          </w:p>
        </w:tc>
        <w:tc>
          <w:tcPr>
            <w:tcW w:w="701" w:type="dxa"/>
            <w:tcBorders>
              <w:top w:val="nil"/>
              <w:left w:val="nil"/>
              <w:bottom w:val="single" w:sz="4" w:space="0" w:color="auto"/>
              <w:right w:val="single" w:sz="4" w:space="0" w:color="auto"/>
            </w:tcBorders>
            <w:shd w:val="clear" w:color="auto" w:fill="auto"/>
            <w:vAlign w:val="center"/>
            <w:hideMark/>
          </w:tcPr>
          <w:p w14:paraId="1DF15FDF" w14:textId="77777777" w:rsidR="009449C3" w:rsidRPr="00520E0D" w:rsidRDefault="009449C3" w:rsidP="00CF2723">
            <w:pPr>
              <w:pStyle w:val="ExhibitText"/>
              <w:jc w:val="right"/>
            </w:pPr>
            <w:r w:rsidRPr="00520E0D">
              <w:t>16.5</w:t>
            </w:r>
          </w:p>
        </w:tc>
        <w:tc>
          <w:tcPr>
            <w:tcW w:w="701" w:type="dxa"/>
            <w:tcBorders>
              <w:top w:val="nil"/>
              <w:left w:val="nil"/>
              <w:bottom w:val="single" w:sz="4" w:space="0" w:color="auto"/>
              <w:right w:val="single" w:sz="4" w:space="0" w:color="auto"/>
            </w:tcBorders>
            <w:shd w:val="clear" w:color="auto" w:fill="auto"/>
            <w:vAlign w:val="center"/>
            <w:hideMark/>
          </w:tcPr>
          <w:p w14:paraId="4FF7A216" w14:textId="77777777" w:rsidR="009449C3" w:rsidRPr="00520E0D" w:rsidRDefault="009449C3" w:rsidP="00CF2723">
            <w:pPr>
              <w:pStyle w:val="ExhibitText"/>
              <w:jc w:val="right"/>
            </w:pPr>
            <w:r w:rsidRPr="00520E0D">
              <w:t>15.6</w:t>
            </w:r>
          </w:p>
        </w:tc>
        <w:tc>
          <w:tcPr>
            <w:tcW w:w="701" w:type="dxa"/>
            <w:tcBorders>
              <w:top w:val="nil"/>
              <w:left w:val="nil"/>
              <w:bottom w:val="single" w:sz="4" w:space="0" w:color="auto"/>
              <w:right w:val="single" w:sz="4" w:space="0" w:color="auto"/>
            </w:tcBorders>
            <w:shd w:val="clear" w:color="auto" w:fill="auto"/>
            <w:vAlign w:val="center"/>
            <w:hideMark/>
          </w:tcPr>
          <w:p w14:paraId="6A12090C" w14:textId="1C78C77A" w:rsidR="009449C3" w:rsidRPr="00520E0D" w:rsidRDefault="009449C3" w:rsidP="00CF2723">
            <w:pPr>
              <w:pStyle w:val="ExhibitText"/>
              <w:jc w:val="right"/>
            </w:pPr>
            <w:r w:rsidRPr="00520E0D">
              <w:t>12</w:t>
            </w:r>
            <w:r w:rsidR="00CF2723">
              <w:t>.0</w:t>
            </w:r>
          </w:p>
        </w:tc>
        <w:tc>
          <w:tcPr>
            <w:tcW w:w="701" w:type="dxa"/>
            <w:tcBorders>
              <w:top w:val="nil"/>
              <w:left w:val="nil"/>
              <w:bottom w:val="single" w:sz="4" w:space="0" w:color="auto"/>
              <w:right w:val="single" w:sz="4" w:space="0" w:color="auto"/>
            </w:tcBorders>
            <w:shd w:val="clear" w:color="auto" w:fill="auto"/>
            <w:vAlign w:val="center"/>
            <w:hideMark/>
          </w:tcPr>
          <w:p w14:paraId="50F1F025" w14:textId="77777777" w:rsidR="009449C3" w:rsidRPr="00520E0D" w:rsidRDefault="009449C3" w:rsidP="00CF2723">
            <w:pPr>
              <w:pStyle w:val="ExhibitText"/>
              <w:jc w:val="right"/>
            </w:pPr>
            <w:r w:rsidRPr="00520E0D">
              <w:t>11.9</w:t>
            </w:r>
          </w:p>
        </w:tc>
        <w:tc>
          <w:tcPr>
            <w:tcW w:w="701" w:type="dxa"/>
            <w:tcBorders>
              <w:top w:val="nil"/>
              <w:left w:val="nil"/>
              <w:bottom w:val="single" w:sz="4" w:space="0" w:color="auto"/>
              <w:right w:val="single" w:sz="4" w:space="0" w:color="auto"/>
            </w:tcBorders>
            <w:shd w:val="clear" w:color="auto" w:fill="auto"/>
            <w:vAlign w:val="center"/>
            <w:hideMark/>
          </w:tcPr>
          <w:p w14:paraId="6C968CA9" w14:textId="77777777" w:rsidR="009449C3" w:rsidRPr="00520E0D" w:rsidRDefault="009449C3" w:rsidP="00CF2723">
            <w:pPr>
              <w:pStyle w:val="ExhibitText"/>
              <w:jc w:val="right"/>
            </w:pPr>
            <w:r w:rsidRPr="00520E0D">
              <w:t>13.3</w:t>
            </w:r>
          </w:p>
        </w:tc>
        <w:tc>
          <w:tcPr>
            <w:tcW w:w="701" w:type="dxa"/>
            <w:tcBorders>
              <w:top w:val="nil"/>
              <w:left w:val="nil"/>
              <w:bottom w:val="single" w:sz="4" w:space="0" w:color="auto"/>
              <w:right w:val="single" w:sz="4" w:space="0" w:color="auto"/>
            </w:tcBorders>
            <w:shd w:val="clear" w:color="auto" w:fill="auto"/>
            <w:vAlign w:val="center"/>
            <w:hideMark/>
          </w:tcPr>
          <w:p w14:paraId="669F2BB3" w14:textId="77777777" w:rsidR="009449C3" w:rsidRPr="00520E0D" w:rsidRDefault="009449C3" w:rsidP="00CF2723">
            <w:pPr>
              <w:pStyle w:val="ExhibitText"/>
              <w:jc w:val="right"/>
            </w:pPr>
            <w:r w:rsidRPr="00520E0D">
              <w:t>12.6</w:t>
            </w:r>
          </w:p>
        </w:tc>
      </w:tr>
      <w:tr w:rsidR="009449C3" w:rsidRPr="00520E0D" w14:paraId="4BAB0D82" w14:textId="77777777" w:rsidTr="00470E31">
        <w:trPr>
          <w:trHeight w:val="360"/>
          <w:jc w:val="center"/>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D13E90" w14:textId="6F73C01A" w:rsidR="009449C3" w:rsidRPr="00520E0D" w:rsidRDefault="009449C3" w:rsidP="00CF2723">
            <w:pPr>
              <w:pStyle w:val="ExhibitText"/>
              <w:jc w:val="left"/>
            </w:pPr>
            <w:r w:rsidRPr="00520E0D">
              <w:t xml:space="preserve">Balsam </w:t>
            </w:r>
            <w:proofErr w:type="spellStart"/>
            <w:r w:rsidRPr="00520E0D">
              <w:t>Pomorski</w:t>
            </w:r>
            <w:proofErr w:type="spellEnd"/>
          </w:p>
        </w:tc>
        <w:tc>
          <w:tcPr>
            <w:tcW w:w="701" w:type="dxa"/>
            <w:tcBorders>
              <w:top w:val="nil"/>
              <w:left w:val="nil"/>
              <w:bottom w:val="single" w:sz="4" w:space="0" w:color="auto"/>
              <w:right w:val="single" w:sz="4" w:space="0" w:color="auto"/>
            </w:tcBorders>
            <w:shd w:val="clear" w:color="auto" w:fill="auto"/>
            <w:vAlign w:val="center"/>
            <w:hideMark/>
          </w:tcPr>
          <w:p w14:paraId="5E59D0EF" w14:textId="77777777" w:rsidR="009449C3" w:rsidRPr="00520E0D" w:rsidRDefault="009449C3" w:rsidP="00CF2723">
            <w:pPr>
              <w:pStyle w:val="ExhibitText"/>
              <w:jc w:val="right"/>
            </w:pPr>
            <w:r w:rsidRPr="00520E0D">
              <w:t>0.9</w:t>
            </w:r>
          </w:p>
        </w:tc>
        <w:tc>
          <w:tcPr>
            <w:tcW w:w="701" w:type="dxa"/>
            <w:tcBorders>
              <w:top w:val="nil"/>
              <w:left w:val="nil"/>
              <w:bottom w:val="single" w:sz="4" w:space="0" w:color="auto"/>
              <w:right w:val="single" w:sz="4" w:space="0" w:color="auto"/>
            </w:tcBorders>
            <w:shd w:val="clear" w:color="auto" w:fill="auto"/>
            <w:vAlign w:val="center"/>
            <w:hideMark/>
          </w:tcPr>
          <w:p w14:paraId="36B14AA0" w14:textId="77777777" w:rsidR="009449C3" w:rsidRPr="00520E0D" w:rsidRDefault="009449C3" w:rsidP="00CF2723">
            <w:pPr>
              <w:pStyle w:val="ExhibitText"/>
              <w:jc w:val="right"/>
            </w:pPr>
            <w:r w:rsidRPr="00520E0D">
              <w:t>1.1</w:t>
            </w:r>
          </w:p>
        </w:tc>
        <w:tc>
          <w:tcPr>
            <w:tcW w:w="701" w:type="dxa"/>
            <w:tcBorders>
              <w:top w:val="nil"/>
              <w:left w:val="nil"/>
              <w:bottom w:val="single" w:sz="4" w:space="0" w:color="auto"/>
              <w:right w:val="single" w:sz="4" w:space="0" w:color="auto"/>
            </w:tcBorders>
            <w:shd w:val="clear" w:color="auto" w:fill="auto"/>
            <w:vAlign w:val="center"/>
            <w:hideMark/>
          </w:tcPr>
          <w:p w14:paraId="4A88A1E2" w14:textId="77777777" w:rsidR="009449C3" w:rsidRPr="00520E0D" w:rsidRDefault="009449C3" w:rsidP="00CF2723">
            <w:pPr>
              <w:pStyle w:val="ExhibitText"/>
              <w:jc w:val="right"/>
            </w:pPr>
            <w:r w:rsidRPr="00520E0D">
              <w:t>1.2</w:t>
            </w:r>
          </w:p>
        </w:tc>
        <w:tc>
          <w:tcPr>
            <w:tcW w:w="701" w:type="dxa"/>
            <w:tcBorders>
              <w:top w:val="nil"/>
              <w:left w:val="nil"/>
              <w:bottom w:val="single" w:sz="4" w:space="0" w:color="auto"/>
              <w:right w:val="single" w:sz="4" w:space="0" w:color="auto"/>
            </w:tcBorders>
            <w:shd w:val="clear" w:color="auto" w:fill="auto"/>
            <w:vAlign w:val="center"/>
            <w:hideMark/>
          </w:tcPr>
          <w:p w14:paraId="76B7390F" w14:textId="0E22E9A3" w:rsidR="009449C3" w:rsidRPr="00520E0D" w:rsidRDefault="009449C3" w:rsidP="00CF2723">
            <w:pPr>
              <w:pStyle w:val="ExhibitText"/>
              <w:jc w:val="right"/>
            </w:pPr>
            <w:r w:rsidRPr="00520E0D">
              <w:t>1</w:t>
            </w:r>
            <w:r w:rsidR="00CF2723">
              <w:t>.0</w:t>
            </w:r>
          </w:p>
        </w:tc>
        <w:tc>
          <w:tcPr>
            <w:tcW w:w="701" w:type="dxa"/>
            <w:tcBorders>
              <w:top w:val="nil"/>
              <w:left w:val="nil"/>
              <w:bottom w:val="single" w:sz="4" w:space="0" w:color="auto"/>
              <w:right w:val="single" w:sz="4" w:space="0" w:color="auto"/>
            </w:tcBorders>
            <w:shd w:val="clear" w:color="auto" w:fill="auto"/>
            <w:vAlign w:val="center"/>
            <w:hideMark/>
          </w:tcPr>
          <w:p w14:paraId="6E14EC1B" w14:textId="77777777" w:rsidR="009449C3" w:rsidRPr="00520E0D" w:rsidRDefault="009449C3" w:rsidP="00CF2723">
            <w:pPr>
              <w:pStyle w:val="ExhibitText"/>
              <w:jc w:val="right"/>
            </w:pPr>
            <w:r w:rsidRPr="00520E0D">
              <w:t>0.9</w:t>
            </w:r>
          </w:p>
        </w:tc>
        <w:tc>
          <w:tcPr>
            <w:tcW w:w="701" w:type="dxa"/>
            <w:tcBorders>
              <w:top w:val="nil"/>
              <w:left w:val="nil"/>
              <w:bottom w:val="single" w:sz="4" w:space="0" w:color="auto"/>
              <w:right w:val="single" w:sz="4" w:space="0" w:color="auto"/>
            </w:tcBorders>
            <w:shd w:val="clear" w:color="auto" w:fill="auto"/>
            <w:vAlign w:val="center"/>
            <w:hideMark/>
          </w:tcPr>
          <w:p w14:paraId="33B2CB29" w14:textId="77777777" w:rsidR="009449C3" w:rsidRPr="00520E0D" w:rsidRDefault="009449C3" w:rsidP="00CF2723">
            <w:pPr>
              <w:pStyle w:val="ExhibitText"/>
              <w:jc w:val="right"/>
            </w:pPr>
            <w:r w:rsidRPr="00520E0D">
              <w:t>0.8</w:t>
            </w:r>
          </w:p>
        </w:tc>
        <w:tc>
          <w:tcPr>
            <w:tcW w:w="701" w:type="dxa"/>
            <w:tcBorders>
              <w:top w:val="nil"/>
              <w:left w:val="nil"/>
              <w:bottom w:val="single" w:sz="4" w:space="0" w:color="auto"/>
              <w:right w:val="single" w:sz="4" w:space="0" w:color="auto"/>
            </w:tcBorders>
            <w:shd w:val="clear" w:color="auto" w:fill="auto"/>
            <w:vAlign w:val="center"/>
            <w:hideMark/>
          </w:tcPr>
          <w:p w14:paraId="6D28A767" w14:textId="77777777" w:rsidR="009449C3" w:rsidRPr="00520E0D" w:rsidRDefault="009449C3" w:rsidP="00CF2723">
            <w:pPr>
              <w:pStyle w:val="ExhibitText"/>
              <w:jc w:val="right"/>
            </w:pPr>
            <w:r w:rsidRPr="00520E0D">
              <w:t>0.8</w:t>
            </w:r>
          </w:p>
        </w:tc>
      </w:tr>
      <w:tr w:rsidR="009449C3" w:rsidRPr="00520E0D" w14:paraId="2E7680E4" w14:textId="77777777" w:rsidTr="00470E31">
        <w:trPr>
          <w:trHeight w:val="360"/>
          <w:jc w:val="center"/>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C320E10" w14:textId="77777777" w:rsidR="009449C3" w:rsidRPr="00520E0D" w:rsidRDefault="009449C3" w:rsidP="00CF2723">
            <w:pPr>
              <w:pStyle w:val="ExhibitText"/>
              <w:jc w:val="left"/>
            </w:pPr>
            <w:r w:rsidRPr="00520E0D">
              <w:t>STOCK 84</w:t>
            </w:r>
          </w:p>
        </w:tc>
        <w:tc>
          <w:tcPr>
            <w:tcW w:w="701" w:type="dxa"/>
            <w:tcBorders>
              <w:top w:val="nil"/>
              <w:left w:val="nil"/>
              <w:bottom w:val="single" w:sz="4" w:space="0" w:color="auto"/>
              <w:right w:val="single" w:sz="4" w:space="0" w:color="auto"/>
            </w:tcBorders>
            <w:shd w:val="clear" w:color="auto" w:fill="auto"/>
            <w:vAlign w:val="center"/>
            <w:hideMark/>
          </w:tcPr>
          <w:p w14:paraId="275273D9" w14:textId="77777777" w:rsidR="009449C3" w:rsidRPr="00520E0D" w:rsidRDefault="009449C3" w:rsidP="00CF2723">
            <w:pPr>
              <w:pStyle w:val="ExhibitText"/>
              <w:jc w:val="right"/>
            </w:pPr>
            <w:r w:rsidRPr="00520E0D">
              <w:t>0.2</w:t>
            </w:r>
          </w:p>
        </w:tc>
        <w:tc>
          <w:tcPr>
            <w:tcW w:w="701" w:type="dxa"/>
            <w:tcBorders>
              <w:top w:val="nil"/>
              <w:left w:val="nil"/>
              <w:bottom w:val="single" w:sz="4" w:space="0" w:color="auto"/>
              <w:right w:val="single" w:sz="4" w:space="0" w:color="auto"/>
            </w:tcBorders>
            <w:shd w:val="clear" w:color="auto" w:fill="auto"/>
            <w:vAlign w:val="center"/>
            <w:hideMark/>
          </w:tcPr>
          <w:p w14:paraId="21332560" w14:textId="77777777" w:rsidR="009449C3" w:rsidRPr="00520E0D" w:rsidRDefault="009449C3" w:rsidP="00CF2723">
            <w:pPr>
              <w:pStyle w:val="ExhibitText"/>
              <w:jc w:val="right"/>
            </w:pPr>
            <w:r w:rsidRPr="00520E0D">
              <w:t>0.4</w:t>
            </w:r>
          </w:p>
        </w:tc>
        <w:tc>
          <w:tcPr>
            <w:tcW w:w="701" w:type="dxa"/>
            <w:tcBorders>
              <w:top w:val="nil"/>
              <w:left w:val="nil"/>
              <w:bottom w:val="single" w:sz="4" w:space="0" w:color="auto"/>
              <w:right w:val="single" w:sz="4" w:space="0" w:color="auto"/>
            </w:tcBorders>
            <w:shd w:val="clear" w:color="auto" w:fill="auto"/>
            <w:vAlign w:val="center"/>
            <w:hideMark/>
          </w:tcPr>
          <w:p w14:paraId="422D89AC" w14:textId="77777777" w:rsidR="009449C3" w:rsidRPr="00520E0D" w:rsidRDefault="009449C3" w:rsidP="00CF2723">
            <w:pPr>
              <w:pStyle w:val="ExhibitText"/>
              <w:jc w:val="right"/>
            </w:pPr>
            <w:r w:rsidRPr="00520E0D">
              <w:t>0.5</w:t>
            </w:r>
          </w:p>
        </w:tc>
        <w:tc>
          <w:tcPr>
            <w:tcW w:w="701" w:type="dxa"/>
            <w:tcBorders>
              <w:top w:val="nil"/>
              <w:left w:val="nil"/>
              <w:bottom w:val="single" w:sz="4" w:space="0" w:color="auto"/>
              <w:right w:val="single" w:sz="4" w:space="0" w:color="auto"/>
            </w:tcBorders>
            <w:shd w:val="clear" w:color="auto" w:fill="auto"/>
            <w:vAlign w:val="center"/>
            <w:hideMark/>
          </w:tcPr>
          <w:p w14:paraId="6807755B" w14:textId="77777777" w:rsidR="009449C3" w:rsidRPr="00520E0D" w:rsidRDefault="009449C3" w:rsidP="00CF2723">
            <w:pPr>
              <w:pStyle w:val="ExhibitText"/>
              <w:jc w:val="right"/>
            </w:pPr>
            <w:r w:rsidRPr="00520E0D">
              <w:t>0.4</w:t>
            </w:r>
          </w:p>
        </w:tc>
        <w:tc>
          <w:tcPr>
            <w:tcW w:w="701" w:type="dxa"/>
            <w:tcBorders>
              <w:top w:val="nil"/>
              <w:left w:val="nil"/>
              <w:bottom w:val="single" w:sz="4" w:space="0" w:color="auto"/>
              <w:right w:val="single" w:sz="4" w:space="0" w:color="auto"/>
            </w:tcBorders>
            <w:shd w:val="clear" w:color="auto" w:fill="auto"/>
            <w:vAlign w:val="center"/>
            <w:hideMark/>
          </w:tcPr>
          <w:p w14:paraId="012E1727" w14:textId="77777777" w:rsidR="009449C3" w:rsidRPr="00520E0D" w:rsidRDefault="009449C3" w:rsidP="00CF2723">
            <w:pPr>
              <w:pStyle w:val="ExhibitText"/>
              <w:jc w:val="right"/>
            </w:pPr>
            <w:r w:rsidRPr="00520E0D">
              <w:t>0.5</w:t>
            </w:r>
          </w:p>
        </w:tc>
        <w:tc>
          <w:tcPr>
            <w:tcW w:w="701" w:type="dxa"/>
            <w:tcBorders>
              <w:top w:val="nil"/>
              <w:left w:val="nil"/>
              <w:bottom w:val="single" w:sz="4" w:space="0" w:color="auto"/>
              <w:right w:val="single" w:sz="4" w:space="0" w:color="auto"/>
            </w:tcBorders>
            <w:shd w:val="clear" w:color="auto" w:fill="auto"/>
            <w:vAlign w:val="center"/>
            <w:hideMark/>
          </w:tcPr>
          <w:p w14:paraId="603AE6A4" w14:textId="77777777" w:rsidR="009449C3" w:rsidRPr="00520E0D" w:rsidRDefault="009449C3" w:rsidP="00CF2723">
            <w:pPr>
              <w:pStyle w:val="ExhibitText"/>
              <w:jc w:val="right"/>
            </w:pPr>
            <w:r w:rsidRPr="00520E0D">
              <w:t>0.6</w:t>
            </w:r>
          </w:p>
        </w:tc>
        <w:tc>
          <w:tcPr>
            <w:tcW w:w="701" w:type="dxa"/>
            <w:tcBorders>
              <w:top w:val="nil"/>
              <w:left w:val="nil"/>
              <w:bottom w:val="single" w:sz="4" w:space="0" w:color="auto"/>
              <w:right w:val="single" w:sz="4" w:space="0" w:color="auto"/>
            </w:tcBorders>
            <w:shd w:val="clear" w:color="auto" w:fill="auto"/>
            <w:vAlign w:val="center"/>
            <w:hideMark/>
          </w:tcPr>
          <w:p w14:paraId="4EAF199D" w14:textId="77777777" w:rsidR="009449C3" w:rsidRPr="00520E0D" w:rsidRDefault="009449C3" w:rsidP="00CF2723">
            <w:pPr>
              <w:pStyle w:val="ExhibitText"/>
              <w:jc w:val="right"/>
            </w:pPr>
            <w:r w:rsidRPr="00520E0D">
              <w:t>0.7</w:t>
            </w:r>
          </w:p>
        </w:tc>
      </w:tr>
      <w:tr w:rsidR="00B074A2" w:rsidRPr="00B074A2" w14:paraId="65BD662B" w14:textId="77777777" w:rsidTr="00470E31">
        <w:trPr>
          <w:trHeight w:val="360"/>
          <w:jc w:val="center"/>
        </w:trPr>
        <w:tc>
          <w:tcPr>
            <w:tcW w:w="2106" w:type="dxa"/>
            <w:tcBorders>
              <w:top w:val="nil"/>
              <w:left w:val="single" w:sz="4" w:space="0" w:color="auto"/>
              <w:bottom w:val="single" w:sz="4" w:space="0" w:color="auto"/>
              <w:right w:val="single" w:sz="4" w:space="0" w:color="auto"/>
            </w:tcBorders>
            <w:shd w:val="clear" w:color="auto" w:fill="auto"/>
            <w:vAlign w:val="center"/>
          </w:tcPr>
          <w:p w14:paraId="60BF90AE" w14:textId="208AB298" w:rsidR="00B074A2" w:rsidRPr="008576ED" w:rsidRDefault="00B074A2" w:rsidP="00CF2723">
            <w:pPr>
              <w:pStyle w:val="ExhibitText"/>
              <w:jc w:val="left"/>
            </w:pPr>
            <w:bookmarkStart w:id="0" w:name="_GoBack" w:colFirst="1" w:colLast="7"/>
            <w:proofErr w:type="spellStart"/>
            <w:r w:rsidRPr="000E4844">
              <w:rPr>
                <w:color w:val="000000"/>
                <w:lang w:val="en-US"/>
              </w:rPr>
              <w:t>Lubelskie</w:t>
            </w:r>
            <w:proofErr w:type="spellEnd"/>
            <w:r w:rsidRPr="000E4844">
              <w:rPr>
                <w:color w:val="000000"/>
                <w:lang w:val="en-US"/>
              </w:rPr>
              <w:t xml:space="preserve"> (economy segment)</w:t>
            </w:r>
          </w:p>
        </w:tc>
        <w:tc>
          <w:tcPr>
            <w:tcW w:w="701" w:type="dxa"/>
            <w:tcBorders>
              <w:top w:val="nil"/>
              <w:left w:val="nil"/>
              <w:bottom w:val="single" w:sz="4" w:space="0" w:color="auto"/>
              <w:right w:val="single" w:sz="4" w:space="0" w:color="auto"/>
            </w:tcBorders>
            <w:shd w:val="clear" w:color="auto" w:fill="auto"/>
            <w:vAlign w:val="center"/>
          </w:tcPr>
          <w:p w14:paraId="301E4CF0" w14:textId="03F232A3" w:rsidR="00B074A2" w:rsidRPr="00052387" w:rsidRDefault="00B074A2" w:rsidP="00CF2723">
            <w:pPr>
              <w:pStyle w:val="ExhibitText"/>
              <w:jc w:val="right"/>
            </w:pPr>
            <w:r w:rsidRPr="00052387">
              <w:rPr>
                <w:color w:val="000000"/>
                <w:lang w:val="en-US"/>
              </w:rPr>
              <w:t>4.4</w:t>
            </w:r>
          </w:p>
        </w:tc>
        <w:tc>
          <w:tcPr>
            <w:tcW w:w="701" w:type="dxa"/>
            <w:tcBorders>
              <w:top w:val="nil"/>
              <w:left w:val="nil"/>
              <w:bottom w:val="single" w:sz="4" w:space="0" w:color="auto"/>
              <w:right w:val="single" w:sz="4" w:space="0" w:color="auto"/>
            </w:tcBorders>
            <w:shd w:val="clear" w:color="auto" w:fill="auto"/>
            <w:vAlign w:val="center"/>
          </w:tcPr>
          <w:p w14:paraId="157A51FB" w14:textId="7D8D3A47" w:rsidR="00B074A2" w:rsidRPr="00052387" w:rsidRDefault="00B074A2" w:rsidP="00CF2723">
            <w:pPr>
              <w:pStyle w:val="ExhibitText"/>
              <w:jc w:val="right"/>
            </w:pPr>
            <w:r w:rsidRPr="00052387">
              <w:rPr>
                <w:color w:val="000000"/>
                <w:lang w:val="en-US"/>
              </w:rPr>
              <w:t>5.3</w:t>
            </w:r>
          </w:p>
        </w:tc>
        <w:tc>
          <w:tcPr>
            <w:tcW w:w="701" w:type="dxa"/>
            <w:tcBorders>
              <w:top w:val="nil"/>
              <w:left w:val="nil"/>
              <w:bottom w:val="single" w:sz="4" w:space="0" w:color="auto"/>
              <w:right w:val="single" w:sz="4" w:space="0" w:color="auto"/>
            </w:tcBorders>
            <w:shd w:val="clear" w:color="auto" w:fill="auto"/>
            <w:vAlign w:val="center"/>
          </w:tcPr>
          <w:p w14:paraId="10A7C5E8" w14:textId="2E01B64C" w:rsidR="00B074A2" w:rsidRPr="00052387" w:rsidRDefault="00B074A2" w:rsidP="00CF2723">
            <w:pPr>
              <w:pStyle w:val="ExhibitText"/>
              <w:jc w:val="right"/>
            </w:pPr>
            <w:r w:rsidRPr="00052387">
              <w:rPr>
                <w:color w:val="000000"/>
                <w:lang w:val="en-US"/>
              </w:rPr>
              <w:t>13.8</w:t>
            </w:r>
          </w:p>
        </w:tc>
        <w:tc>
          <w:tcPr>
            <w:tcW w:w="701" w:type="dxa"/>
            <w:tcBorders>
              <w:top w:val="nil"/>
              <w:left w:val="nil"/>
              <w:bottom w:val="single" w:sz="4" w:space="0" w:color="auto"/>
              <w:right w:val="single" w:sz="4" w:space="0" w:color="auto"/>
            </w:tcBorders>
            <w:shd w:val="clear" w:color="auto" w:fill="auto"/>
            <w:vAlign w:val="center"/>
          </w:tcPr>
          <w:p w14:paraId="0F5FFFD8" w14:textId="12BB48DF" w:rsidR="00B074A2" w:rsidRPr="00052387" w:rsidRDefault="00B074A2" w:rsidP="00CF2723">
            <w:pPr>
              <w:pStyle w:val="ExhibitText"/>
              <w:jc w:val="right"/>
            </w:pPr>
            <w:r w:rsidRPr="00052387">
              <w:rPr>
                <w:color w:val="000000"/>
                <w:lang w:val="en-US"/>
              </w:rPr>
              <w:t>17.7</w:t>
            </w:r>
          </w:p>
        </w:tc>
        <w:tc>
          <w:tcPr>
            <w:tcW w:w="701" w:type="dxa"/>
            <w:tcBorders>
              <w:top w:val="nil"/>
              <w:left w:val="nil"/>
              <w:bottom w:val="single" w:sz="4" w:space="0" w:color="auto"/>
              <w:right w:val="single" w:sz="4" w:space="0" w:color="auto"/>
            </w:tcBorders>
            <w:shd w:val="clear" w:color="auto" w:fill="auto"/>
            <w:vAlign w:val="center"/>
          </w:tcPr>
          <w:p w14:paraId="70E6BB89" w14:textId="35E73C86" w:rsidR="00B074A2" w:rsidRPr="00052387" w:rsidRDefault="00B074A2" w:rsidP="00CF2723">
            <w:pPr>
              <w:pStyle w:val="ExhibitText"/>
              <w:jc w:val="right"/>
            </w:pPr>
            <w:r w:rsidRPr="00052387">
              <w:rPr>
                <w:color w:val="000000"/>
                <w:lang w:val="en-US"/>
              </w:rPr>
              <w:t>19.8</w:t>
            </w:r>
          </w:p>
        </w:tc>
        <w:tc>
          <w:tcPr>
            <w:tcW w:w="701" w:type="dxa"/>
            <w:tcBorders>
              <w:top w:val="nil"/>
              <w:left w:val="nil"/>
              <w:bottom w:val="single" w:sz="4" w:space="0" w:color="auto"/>
              <w:right w:val="single" w:sz="4" w:space="0" w:color="auto"/>
            </w:tcBorders>
            <w:shd w:val="clear" w:color="auto" w:fill="auto"/>
            <w:vAlign w:val="center"/>
          </w:tcPr>
          <w:p w14:paraId="5EB56E34" w14:textId="0309AC49" w:rsidR="00B074A2" w:rsidRPr="00052387" w:rsidRDefault="00B074A2" w:rsidP="00CF2723">
            <w:pPr>
              <w:pStyle w:val="ExhibitText"/>
              <w:jc w:val="right"/>
            </w:pPr>
            <w:r w:rsidRPr="00052387">
              <w:rPr>
                <w:color w:val="000000"/>
                <w:lang w:val="en-US"/>
              </w:rPr>
              <w:t>22.2</w:t>
            </w:r>
          </w:p>
        </w:tc>
        <w:tc>
          <w:tcPr>
            <w:tcW w:w="701" w:type="dxa"/>
            <w:tcBorders>
              <w:top w:val="nil"/>
              <w:left w:val="nil"/>
              <w:bottom w:val="single" w:sz="4" w:space="0" w:color="auto"/>
              <w:right w:val="single" w:sz="4" w:space="0" w:color="auto"/>
            </w:tcBorders>
            <w:shd w:val="clear" w:color="auto" w:fill="auto"/>
            <w:vAlign w:val="center"/>
          </w:tcPr>
          <w:p w14:paraId="7151AF42" w14:textId="25232A90" w:rsidR="00B074A2" w:rsidRPr="00052387" w:rsidRDefault="00B074A2" w:rsidP="00CF2723">
            <w:pPr>
              <w:pStyle w:val="ExhibitText"/>
              <w:jc w:val="right"/>
            </w:pPr>
            <w:r w:rsidRPr="00052387">
              <w:rPr>
                <w:color w:val="000000"/>
                <w:lang w:val="en-US"/>
              </w:rPr>
              <w:t>22.5</w:t>
            </w:r>
          </w:p>
        </w:tc>
      </w:tr>
      <w:bookmarkEnd w:id="0"/>
      <w:tr w:rsidR="00B074A2" w:rsidRPr="00520E0D" w14:paraId="23C94CF0"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33B710A" w14:textId="77777777" w:rsidR="00B074A2" w:rsidRPr="00520E0D" w:rsidRDefault="00B074A2" w:rsidP="00CF2723">
            <w:pPr>
              <w:pStyle w:val="ExhibitText"/>
              <w:jc w:val="left"/>
            </w:pPr>
            <w:r w:rsidRPr="00520E0D">
              <w:t>Others</w:t>
            </w:r>
          </w:p>
        </w:tc>
        <w:tc>
          <w:tcPr>
            <w:tcW w:w="765" w:type="dxa"/>
            <w:tcBorders>
              <w:top w:val="nil"/>
              <w:left w:val="nil"/>
              <w:bottom w:val="single" w:sz="4" w:space="0" w:color="auto"/>
              <w:right w:val="single" w:sz="4" w:space="0" w:color="auto"/>
            </w:tcBorders>
            <w:shd w:val="clear" w:color="auto" w:fill="auto"/>
            <w:vAlign w:val="center"/>
            <w:hideMark/>
          </w:tcPr>
          <w:p w14:paraId="6A6C47AD" w14:textId="77777777" w:rsidR="00B074A2" w:rsidRPr="00520E0D" w:rsidRDefault="00B074A2" w:rsidP="00CF2723">
            <w:pPr>
              <w:pStyle w:val="ExhibitText"/>
              <w:jc w:val="right"/>
            </w:pPr>
            <w:r w:rsidRPr="00520E0D">
              <w:t>0.2</w:t>
            </w:r>
          </w:p>
        </w:tc>
        <w:tc>
          <w:tcPr>
            <w:tcW w:w="766" w:type="dxa"/>
            <w:tcBorders>
              <w:top w:val="nil"/>
              <w:left w:val="nil"/>
              <w:bottom w:val="single" w:sz="4" w:space="0" w:color="auto"/>
              <w:right w:val="single" w:sz="4" w:space="0" w:color="auto"/>
            </w:tcBorders>
            <w:shd w:val="clear" w:color="auto" w:fill="auto"/>
            <w:vAlign w:val="center"/>
            <w:hideMark/>
          </w:tcPr>
          <w:p w14:paraId="570696C8" w14:textId="77777777" w:rsidR="00B074A2" w:rsidRPr="00520E0D" w:rsidRDefault="00B074A2" w:rsidP="00CF2723">
            <w:pPr>
              <w:pStyle w:val="ExhibitText"/>
              <w:jc w:val="right"/>
            </w:pPr>
            <w:r w:rsidRPr="00520E0D">
              <w:t>0.3</w:t>
            </w:r>
          </w:p>
        </w:tc>
        <w:tc>
          <w:tcPr>
            <w:tcW w:w="766" w:type="dxa"/>
            <w:tcBorders>
              <w:top w:val="nil"/>
              <w:left w:val="nil"/>
              <w:bottom w:val="single" w:sz="4" w:space="0" w:color="auto"/>
              <w:right w:val="single" w:sz="4" w:space="0" w:color="auto"/>
            </w:tcBorders>
            <w:shd w:val="clear" w:color="auto" w:fill="auto"/>
            <w:vAlign w:val="center"/>
            <w:hideMark/>
          </w:tcPr>
          <w:p w14:paraId="32D355D1" w14:textId="77777777" w:rsidR="00B074A2" w:rsidRPr="00520E0D" w:rsidRDefault="00B074A2" w:rsidP="00CF2723">
            <w:pPr>
              <w:pStyle w:val="ExhibitText"/>
              <w:jc w:val="right"/>
            </w:pPr>
            <w:r w:rsidRPr="00520E0D">
              <w:t>0.5</w:t>
            </w:r>
          </w:p>
        </w:tc>
        <w:tc>
          <w:tcPr>
            <w:tcW w:w="766" w:type="dxa"/>
            <w:tcBorders>
              <w:top w:val="nil"/>
              <w:left w:val="nil"/>
              <w:bottom w:val="single" w:sz="4" w:space="0" w:color="auto"/>
              <w:right w:val="single" w:sz="4" w:space="0" w:color="auto"/>
            </w:tcBorders>
            <w:shd w:val="clear" w:color="auto" w:fill="auto"/>
            <w:vAlign w:val="center"/>
            <w:hideMark/>
          </w:tcPr>
          <w:p w14:paraId="709000A0" w14:textId="77777777" w:rsidR="00B074A2" w:rsidRPr="00520E0D" w:rsidRDefault="00B074A2" w:rsidP="00CF2723">
            <w:pPr>
              <w:pStyle w:val="ExhibitText"/>
              <w:jc w:val="right"/>
            </w:pPr>
            <w:r w:rsidRPr="00520E0D">
              <w:t>1.2</w:t>
            </w:r>
          </w:p>
        </w:tc>
        <w:tc>
          <w:tcPr>
            <w:tcW w:w="766" w:type="dxa"/>
            <w:tcBorders>
              <w:top w:val="nil"/>
              <w:left w:val="nil"/>
              <w:bottom w:val="single" w:sz="4" w:space="0" w:color="auto"/>
              <w:right w:val="single" w:sz="4" w:space="0" w:color="auto"/>
            </w:tcBorders>
            <w:shd w:val="clear" w:color="auto" w:fill="auto"/>
            <w:vAlign w:val="center"/>
            <w:hideMark/>
          </w:tcPr>
          <w:p w14:paraId="5F74E1D3" w14:textId="77777777" w:rsidR="00B074A2" w:rsidRPr="00520E0D" w:rsidRDefault="00B074A2" w:rsidP="00CF2723">
            <w:pPr>
              <w:pStyle w:val="ExhibitText"/>
              <w:jc w:val="right"/>
            </w:pPr>
            <w:r w:rsidRPr="00520E0D">
              <w:t>1.2</w:t>
            </w:r>
          </w:p>
        </w:tc>
        <w:tc>
          <w:tcPr>
            <w:tcW w:w="766" w:type="dxa"/>
            <w:tcBorders>
              <w:top w:val="nil"/>
              <w:left w:val="nil"/>
              <w:bottom w:val="single" w:sz="4" w:space="0" w:color="auto"/>
              <w:right w:val="single" w:sz="4" w:space="0" w:color="auto"/>
            </w:tcBorders>
            <w:shd w:val="clear" w:color="auto" w:fill="auto"/>
            <w:vAlign w:val="center"/>
            <w:hideMark/>
          </w:tcPr>
          <w:p w14:paraId="2208447B" w14:textId="77777777" w:rsidR="00B074A2" w:rsidRPr="00520E0D" w:rsidRDefault="00B074A2" w:rsidP="00CF2723">
            <w:pPr>
              <w:pStyle w:val="ExhibitText"/>
              <w:jc w:val="right"/>
            </w:pPr>
            <w:r w:rsidRPr="00520E0D">
              <w:t>2.3</w:t>
            </w:r>
          </w:p>
        </w:tc>
        <w:tc>
          <w:tcPr>
            <w:tcW w:w="766" w:type="dxa"/>
            <w:tcBorders>
              <w:top w:val="nil"/>
              <w:left w:val="nil"/>
              <w:bottom w:val="single" w:sz="4" w:space="0" w:color="auto"/>
              <w:right w:val="single" w:sz="4" w:space="0" w:color="auto"/>
            </w:tcBorders>
            <w:shd w:val="clear" w:color="auto" w:fill="auto"/>
            <w:vAlign w:val="center"/>
            <w:hideMark/>
          </w:tcPr>
          <w:p w14:paraId="3237DA95" w14:textId="77777777" w:rsidR="00B074A2" w:rsidRPr="00520E0D" w:rsidRDefault="00B074A2" w:rsidP="00CF2723">
            <w:pPr>
              <w:pStyle w:val="ExhibitText"/>
              <w:jc w:val="right"/>
            </w:pPr>
            <w:r w:rsidRPr="00520E0D">
              <w:t>4.8</w:t>
            </w:r>
          </w:p>
        </w:tc>
      </w:tr>
      <w:tr w:rsidR="00B074A2" w:rsidRPr="00520E0D" w14:paraId="7115502B"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000000" w:fill="D9D9D9"/>
            <w:vAlign w:val="center"/>
            <w:hideMark/>
          </w:tcPr>
          <w:p w14:paraId="7C995F9C" w14:textId="4EDCD5EA" w:rsidR="00B074A2" w:rsidRPr="002B45ED" w:rsidRDefault="008576ED" w:rsidP="008576ED">
            <w:pPr>
              <w:pStyle w:val="ExhibitText"/>
              <w:jc w:val="left"/>
              <w:rPr>
                <w:i/>
                <w:iCs/>
              </w:rPr>
            </w:pPr>
            <w:r>
              <w:rPr>
                <w:i/>
                <w:iCs/>
              </w:rPr>
              <w:t>P</w:t>
            </w:r>
            <w:r w:rsidR="00B074A2" w:rsidRPr="002B45ED">
              <w:rPr>
                <w:i/>
                <w:iCs/>
              </w:rPr>
              <w:t xml:space="preserve">ure </w:t>
            </w:r>
            <w:r>
              <w:rPr>
                <w:i/>
                <w:iCs/>
              </w:rPr>
              <w:t>V</w:t>
            </w:r>
            <w:r w:rsidR="00B074A2" w:rsidRPr="002B45ED">
              <w:rPr>
                <w:i/>
                <w:iCs/>
              </w:rPr>
              <w:t>odkas</w:t>
            </w:r>
          </w:p>
        </w:tc>
        <w:tc>
          <w:tcPr>
            <w:tcW w:w="765" w:type="dxa"/>
            <w:tcBorders>
              <w:top w:val="nil"/>
              <w:left w:val="nil"/>
              <w:bottom w:val="single" w:sz="4" w:space="0" w:color="auto"/>
              <w:right w:val="single" w:sz="4" w:space="0" w:color="auto"/>
            </w:tcBorders>
            <w:shd w:val="clear" w:color="000000" w:fill="D9D9D9"/>
            <w:vAlign w:val="center"/>
            <w:hideMark/>
          </w:tcPr>
          <w:p w14:paraId="22F5EE5E" w14:textId="77777777" w:rsidR="00B074A2" w:rsidRPr="002B45ED" w:rsidRDefault="00B074A2" w:rsidP="00CF2723">
            <w:pPr>
              <w:pStyle w:val="ExhibitText"/>
              <w:jc w:val="right"/>
              <w:rPr>
                <w:i/>
                <w:iCs/>
              </w:rPr>
            </w:pPr>
            <w:r w:rsidRPr="002B45ED">
              <w:rPr>
                <w:i/>
                <w:iCs/>
              </w:rPr>
              <w:t>31.8</w:t>
            </w:r>
          </w:p>
        </w:tc>
        <w:tc>
          <w:tcPr>
            <w:tcW w:w="766" w:type="dxa"/>
            <w:tcBorders>
              <w:top w:val="nil"/>
              <w:left w:val="nil"/>
              <w:bottom w:val="single" w:sz="4" w:space="0" w:color="auto"/>
              <w:right w:val="single" w:sz="4" w:space="0" w:color="auto"/>
            </w:tcBorders>
            <w:shd w:val="clear" w:color="000000" w:fill="D9D9D9"/>
            <w:vAlign w:val="center"/>
            <w:hideMark/>
          </w:tcPr>
          <w:p w14:paraId="4FC64804" w14:textId="77777777" w:rsidR="00B074A2" w:rsidRPr="002B45ED" w:rsidRDefault="00B074A2" w:rsidP="00CF2723">
            <w:pPr>
              <w:pStyle w:val="ExhibitText"/>
              <w:jc w:val="right"/>
              <w:rPr>
                <w:i/>
                <w:iCs/>
              </w:rPr>
            </w:pPr>
            <w:r w:rsidRPr="002B45ED">
              <w:rPr>
                <w:i/>
                <w:iCs/>
              </w:rPr>
              <w:t>71.1</w:t>
            </w:r>
          </w:p>
        </w:tc>
        <w:tc>
          <w:tcPr>
            <w:tcW w:w="766" w:type="dxa"/>
            <w:tcBorders>
              <w:top w:val="nil"/>
              <w:left w:val="nil"/>
              <w:bottom w:val="single" w:sz="4" w:space="0" w:color="auto"/>
              <w:right w:val="single" w:sz="4" w:space="0" w:color="auto"/>
            </w:tcBorders>
            <w:shd w:val="clear" w:color="000000" w:fill="D9D9D9"/>
            <w:vAlign w:val="center"/>
            <w:hideMark/>
          </w:tcPr>
          <w:p w14:paraId="04C5A051" w14:textId="2CF82F91" w:rsidR="00B074A2" w:rsidRPr="002B45ED" w:rsidRDefault="00B074A2" w:rsidP="00CF2723">
            <w:pPr>
              <w:pStyle w:val="ExhibitText"/>
              <w:jc w:val="right"/>
              <w:rPr>
                <w:i/>
                <w:iCs/>
              </w:rPr>
            </w:pPr>
            <w:r w:rsidRPr="002B45ED">
              <w:rPr>
                <w:i/>
                <w:iCs/>
              </w:rPr>
              <w:t>91</w:t>
            </w:r>
            <w:r>
              <w:rPr>
                <w:i/>
                <w:iCs/>
              </w:rPr>
              <w:t>.0</w:t>
            </w:r>
          </w:p>
        </w:tc>
        <w:tc>
          <w:tcPr>
            <w:tcW w:w="766" w:type="dxa"/>
            <w:tcBorders>
              <w:top w:val="nil"/>
              <w:left w:val="nil"/>
              <w:bottom w:val="single" w:sz="4" w:space="0" w:color="auto"/>
              <w:right w:val="single" w:sz="4" w:space="0" w:color="auto"/>
            </w:tcBorders>
            <w:shd w:val="clear" w:color="000000" w:fill="D9D9D9"/>
            <w:vAlign w:val="center"/>
            <w:hideMark/>
          </w:tcPr>
          <w:p w14:paraId="2CA3F541" w14:textId="77777777" w:rsidR="00B074A2" w:rsidRPr="002B45ED" w:rsidRDefault="00B074A2" w:rsidP="00CF2723">
            <w:pPr>
              <w:pStyle w:val="ExhibitText"/>
              <w:jc w:val="right"/>
              <w:rPr>
                <w:i/>
                <w:iCs/>
              </w:rPr>
            </w:pPr>
            <w:r w:rsidRPr="002B45ED">
              <w:rPr>
                <w:i/>
                <w:iCs/>
              </w:rPr>
              <w:t>73.6</w:t>
            </w:r>
          </w:p>
        </w:tc>
        <w:tc>
          <w:tcPr>
            <w:tcW w:w="766" w:type="dxa"/>
            <w:tcBorders>
              <w:top w:val="nil"/>
              <w:left w:val="nil"/>
              <w:bottom w:val="single" w:sz="4" w:space="0" w:color="auto"/>
              <w:right w:val="single" w:sz="4" w:space="0" w:color="auto"/>
            </w:tcBorders>
            <w:shd w:val="clear" w:color="000000" w:fill="D9D9D9"/>
            <w:vAlign w:val="center"/>
            <w:hideMark/>
          </w:tcPr>
          <w:p w14:paraId="29049070" w14:textId="77777777" w:rsidR="00B074A2" w:rsidRPr="002B45ED" w:rsidRDefault="00B074A2" w:rsidP="00CF2723">
            <w:pPr>
              <w:pStyle w:val="ExhibitText"/>
              <w:jc w:val="right"/>
              <w:rPr>
                <w:i/>
                <w:iCs/>
              </w:rPr>
            </w:pPr>
            <w:r w:rsidRPr="002B45ED">
              <w:rPr>
                <w:i/>
                <w:iCs/>
              </w:rPr>
              <w:t>72.6</w:t>
            </w:r>
          </w:p>
        </w:tc>
        <w:tc>
          <w:tcPr>
            <w:tcW w:w="766" w:type="dxa"/>
            <w:tcBorders>
              <w:top w:val="nil"/>
              <w:left w:val="nil"/>
              <w:bottom w:val="single" w:sz="4" w:space="0" w:color="auto"/>
              <w:right w:val="single" w:sz="4" w:space="0" w:color="auto"/>
            </w:tcBorders>
            <w:shd w:val="clear" w:color="000000" w:fill="D9D9D9"/>
            <w:vAlign w:val="center"/>
            <w:hideMark/>
          </w:tcPr>
          <w:p w14:paraId="2F25D9A7" w14:textId="77777777" w:rsidR="00B074A2" w:rsidRPr="002B45ED" w:rsidRDefault="00B074A2" w:rsidP="00CF2723">
            <w:pPr>
              <w:pStyle w:val="ExhibitText"/>
              <w:jc w:val="right"/>
              <w:rPr>
                <w:i/>
                <w:iCs/>
              </w:rPr>
            </w:pPr>
            <w:r w:rsidRPr="002B45ED">
              <w:rPr>
                <w:i/>
                <w:iCs/>
              </w:rPr>
              <w:t>77.5</w:t>
            </w:r>
          </w:p>
        </w:tc>
        <w:tc>
          <w:tcPr>
            <w:tcW w:w="766" w:type="dxa"/>
            <w:tcBorders>
              <w:top w:val="nil"/>
              <w:left w:val="nil"/>
              <w:bottom w:val="single" w:sz="4" w:space="0" w:color="auto"/>
              <w:right w:val="single" w:sz="4" w:space="0" w:color="auto"/>
            </w:tcBorders>
            <w:shd w:val="clear" w:color="000000" w:fill="D9D9D9"/>
            <w:vAlign w:val="center"/>
            <w:hideMark/>
          </w:tcPr>
          <w:p w14:paraId="5A1BA1A6" w14:textId="4845A6D7" w:rsidR="00B074A2" w:rsidRPr="002B45ED" w:rsidRDefault="00B074A2" w:rsidP="00CF2723">
            <w:pPr>
              <w:pStyle w:val="ExhibitText"/>
              <w:jc w:val="right"/>
              <w:rPr>
                <w:i/>
                <w:iCs/>
              </w:rPr>
            </w:pPr>
            <w:r w:rsidRPr="002B45ED">
              <w:rPr>
                <w:i/>
                <w:iCs/>
              </w:rPr>
              <w:t>67</w:t>
            </w:r>
            <w:r>
              <w:rPr>
                <w:i/>
                <w:iCs/>
              </w:rPr>
              <w:t>.0</w:t>
            </w:r>
          </w:p>
        </w:tc>
      </w:tr>
      <w:tr w:rsidR="00B074A2" w:rsidRPr="00520E0D" w14:paraId="2C9A6A6C"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59B16CEB" w14:textId="77777777" w:rsidR="00B074A2" w:rsidRPr="00520E0D" w:rsidRDefault="00B074A2" w:rsidP="00CF2723">
            <w:pPr>
              <w:pStyle w:val="ExhibitText"/>
              <w:jc w:val="left"/>
            </w:pPr>
            <w:r w:rsidRPr="00520E0D">
              <w:t>Stock Prestige</w:t>
            </w:r>
          </w:p>
        </w:tc>
        <w:tc>
          <w:tcPr>
            <w:tcW w:w="765" w:type="dxa"/>
            <w:tcBorders>
              <w:top w:val="nil"/>
              <w:left w:val="nil"/>
              <w:bottom w:val="single" w:sz="4" w:space="0" w:color="auto"/>
              <w:right w:val="single" w:sz="4" w:space="0" w:color="auto"/>
            </w:tcBorders>
            <w:shd w:val="clear" w:color="auto" w:fill="auto"/>
            <w:vAlign w:val="center"/>
            <w:hideMark/>
          </w:tcPr>
          <w:p w14:paraId="06AC5169" w14:textId="77777777" w:rsidR="00B074A2" w:rsidRPr="00520E0D" w:rsidRDefault="00B074A2" w:rsidP="00CF2723">
            <w:pPr>
              <w:pStyle w:val="ExhibitText"/>
              <w:jc w:val="right"/>
            </w:pPr>
            <w:r w:rsidRPr="00520E0D">
              <w:t>0</w:t>
            </w:r>
          </w:p>
        </w:tc>
        <w:tc>
          <w:tcPr>
            <w:tcW w:w="766" w:type="dxa"/>
            <w:tcBorders>
              <w:top w:val="nil"/>
              <w:left w:val="nil"/>
              <w:bottom w:val="single" w:sz="4" w:space="0" w:color="auto"/>
              <w:right w:val="single" w:sz="4" w:space="0" w:color="auto"/>
            </w:tcBorders>
            <w:shd w:val="clear" w:color="auto" w:fill="auto"/>
            <w:vAlign w:val="center"/>
            <w:hideMark/>
          </w:tcPr>
          <w:p w14:paraId="1BBBDB0D" w14:textId="77777777" w:rsidR="00B074A2" w:rsidRPr="00520E0D" w:rsidRDefault="00B074A2" w:rsidP="00CF2723">
            <w:pPr>
              <w:pStyle w:val="ExhibitText"/>
              <w:jc w:val="right"/>
            </w:pPr>
            <w:r w:rsidRPr="00520E0D">
              <w:t>1.6</w:t>
            </w:r>
          </w:p>
        </w:tc>
        <w:tc>
          <w:tcPr>
            <w:tcW w:w="766" w:type="dxa"/>
            <w:tcBorders>
              <w:top w:val="nil"/>
              <w:left w:val="nil"/>
              <w:bottom w:val="single" w:sz="4" w:space="0" w:color="auto"/>
              <w:right w:val="single" w:sz="4" w:space="0" w:color="auto"/>
            </w:tcBorders>
            <w:shd w:val="clear" w:color="auto" w:fill="auto"/>
            <w:vAlign w:val="center"/>
            <w:hideMark/>
          </w:tcPr>
          <w:p w14:paraId="10CF3427" w14:textId="77777777" w:rsidR="00B074A2" w:rsidRPr="00520E0D" w:rsidRDefault="00B074A2" w:rsidP="00CF2723">
            <w:pPr>
              <w:pStyle w:val="ExhibitText"/>
              <w:jc w:val="right"/>
            </w:pPr>
            <w:r w:rsidRPr="00520E0D">
              <w:t>8.8</w:t>
            </w:r>
          </w:p>
        </w:tc>
        <w:tc>
          <w:tcPr>
            <w:tcW w:w="766" w:type="dxa"/>
            <w:tcBorders>
              <w:top w:val="nil"/>
              <w:left w:val="nil"/>
              <w:bottom w:val="single" w:sz="4" w:space="0" w:color="auto"/>
              <w:right w:val="single" w:sz="4" w:space="0" w:color="auto"/>
            </w:tcBorders>
            <w:shd w:val="clear" w:color="auto" w:fill="auto"/>
            <w:vAlign w:val="center"/>
            <w:hideMark/>
          </w:tcPr>
          <w:p w14:paraId="78107902" w14:textId="77777777" w:rsidR="00B074A2" w:rsidRPr="00520E0D" w:rsidRDefault="00B074A2" w:rsidP="00CF2723">
            <w:pPr>
              <w:pStyle w:val="ExhibitText"/>
              <w:jc w:val="right"/>
            </w:pPr>
            <w:r w:rsidRPr="00520E0D">
              <w:t>7.2</w:t>
            </w:r>
          </w:p>
        </w:tc>
        <w:tc>
          <w:tcPr>
            <w:tcW w:w="766" w:type="dxa"/>
            <w:tcBorders>
              <w:top w:val="nil"/>
              <w:left w:val="nil"/>
              <w:bottom w:val="single" w:sz="4" w:space="0" w:color="auto"/>
              <w:right w:val="single" w:sz="4" w:space="0" w:color="auto"/>
            </w:tcBorders>
            <w:shd w:val="clear" w:color="auto" w:fill="auto"/>
            <w:vAlign w:val="center"/>
            <w:hideMark/>
          </w:tcPr>
          <w:p w14:paraId="2AFF2E73" w14:textId="77777777" w:rsidR="00B074A2" w:rsidRPr="00520E0D" w:rsidRDefault="00B074A2" w:rsidP="00CF2723">
            <w:pPr>
              <w:pStyle w:val="ExhibitText"/>
              <w:jc w:val="right"/>
            </w:pPr>
            <w:r w:rsidRPr="00520E0D">
              <w:t>7.6</w:t>
            </w:r>
          </w:p>
        </w:tc>
        <w:tc>
          <w:tcPr>
            <w:tcW w:w="766" w:type="dxa"/>
            <w:tcBorders>
              <w:top w:val="nil"/>
              <w:left w:val="nil"/>
              <w:bottom w:val="single" w:sz="4" w:space="0" w:color="auto"/>
              <w:right w:val="single" w:sz="4" w:space="0" w:color="auto"/>
            </w:tcBorders>
            <w:shd w:val="clear" w:color="auto" w:fill="auto"/>
            <w:vAlign w:val="center"/>
            <w:hideMark/>
          </w:tcPr>
          <w:p w14:paraId="1AA5BAD6" w14:textId="77777777" w:rsidR="00B074A2" w:rsidRPr="00520E0D" w:rsidRDefault="00B074A2" w:rsidP="00CF2723">
            <w:pPr>
              <w:pStyle w:val="ExhibitText"/>
              <w:jc w:val="right"/>
            </w:pPr>
            <w:r w:rsidRPr="00520E0D">
              <w:t>8.9</w:t>
            </w:r>
          </w:p>
        </w:tc>
        <w:tc>
          <w:tcPr>
            <w:tcW w:w="766" w:type="dxa"/>
            <w:tcBorders>
              <w:top w:val="nil"/>
              <w:left w:val="nil"/>
              <w:bottom w:val="single" w:sz="4" w:space="0" w:color="auto"/>
              <w:right w:val="single" w:sz="4" w:space="0" w:color="auto"/>
            </w:tcBorders>
            <w:shd w:val="clear" w:color="auto" w:fill="auto"/>
            <w:vAlign w:val="center"/>
            <w:hideMark/>
          </w:tcPr>
          <w:p w14:paraId="62FD5B0A" w14:textId="77777777" w:rsidR="00B074A2" w:rsidRPr="00520E0D" w:rsidRDefault="00B074A2" w:rsidP="00CF2723">
            <w:pPr>
              <w:pStyle w:val="ExhibitText"/>
              <w:jc w:val="right"/>
            </w:pPr>
            <w:r w:rsidRPr="00520E0D">
              <w:t>7.9</w:t>
            </w:r>
          </w:p>
        </w:tc>
      </w:tr>
      <w:tr w:rsidR="00B074A2" w:rsidRPr="00520E0D" w14:paraId="1ABE1BB1"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AF17844" w14:textId="77777777" w:rsidR="00B074A2" w:rsidRPr="00520E0D" w:rsidRDefault="00B074A2" w:rsidP="00CF2723">
            <w:pPr>
              <w:pStyle w:val="ExhibitText"/>
              <w:jc w:val="left"/>
            </w:pPr>
            <w:r w:rsidRPr="00520E0D">
              <w:t>1906</w:t>
            </w:r>
          </w:p>
        </w:tc>
        <w:tc>
          <w:tcPr>
            <w:tcW w:w="765" w:type="dxa"/>
            <w:tcBorders>
              <w:top w:val="nil"/>
              <w:left w:val="nil"/>
              <w:bottom w:val="single" w:sz="4" w:space="0" w:color="auto"/>
              <w:right w:val="single" w:sz="4" w:space="0" w:color="auto"/>
            </w:tcBorders>
            <w:shd w:val="clear" w:color="auto" w:fill="auto"/>
            <w:vAlign w:val="center"/>
            <w:hideMark/>
          </w:tcPr>
          <w:p w14:paraId="5C9FAA09" w14:textId="77777777" w:rsidR="00B074A2" w:rsidRPr="00520E0D" w:rsidRDefault="00B074A2" w:rsidP="00CF2723">
            <w:pPr>
              <w:pStyle w:val="ExhibitText"/>
              <w:jc w:val="right"/>
            </w:pPr>
            <w:r w:rsidRPr="00520E0D">
              <w:t>7.6</w:t>
            </w:r>
          </w:p>
        </w:tc>
        <w:tc>
          <w:tcPr>
            <w:tcW w:w="766" w:type="dxa"/>
            <w:tcBorders>
              <w:top w:val="nil"/>
              <w:left w:val="nil"/>
              <w:bottom w:val="single" w:sz="4" w:space="0" w:color="auto"/>
              <w:right w:val="single" w:sz="4" w:space="0" w:color="auto"/>
            </w:tcBorders>
            <w:shd w:val="clear" w:color="auto" w:fill="auto"/>
            <w:vAlign w:val="center"/>
            <w:hideMark/>
          </w:tcPr>
          <w:p w14:paraId="744AF33C" w14:textId="77777777" w:rsidR="00B074A2" w:rsidRPr="00520E0D" w:rsidRDefault="00B074A2" w:rsidP="00CF2723">
            <w:pPr>
              <w:pStyle w:val="ExhibitText"/>
              <w:jc w:val="right"/>
            </w:pPr>
            <w:r w:rsidRPr="00520E0D">
              <w:t>12.9</w:t>
            </w:r>
          </w:p>
        </w:tc>
        <w:tc>
          <w:tcPr>
            <w:tcW w:w="766" w:type="dxa"/>
            <w:tcBorders>
              <w:top w:val="nil"/>
              <w:left w:val="nil"/>
              <w:bottom w:val="single" w:sz="4" w:space="0" w:color="auto"/>
              <w:right w:val="single" w:sz="4" w:space="0" w:color="auto"/>
            </w:tcBorders>
            <w:shd w:val="clear" w:color="auto" w:fill="auto"/>
            <w:vAlign w:val="center"/>
            <w:hideMark/>
          </w:tcPr>
          <w:p w14:paraId="7A622813" w14:textId="77777777" w:rsidR="00B074A2" w:rsidRPr="00520E0D" w:rsidRDefault="00B074A2" w:rsidP="00CF2723">
            <w:pPr>
              <w:pStyle w:val="ExhibitText"/>
              <w:jc w:val="right"/>
            </w:pPr>
            <w:r w:rsidRPr="00520E0D">
              <w:t>14.9</w:t>
            </w:r>
          </w:p>
        </w:tc>
        <w:tc>
          <w:tcPr>
            <w:tcW w:w="766" w:type="dxa"/>
            <w:tcBorders>
              <w:top w:val="nil"/>
              <w:left w:val="nil"/>
              <w:bottom w:val="single" w:sz="4" w:space="0" w:color="auto"/>
              <w:right w:val="single" w:sz="4" w:space="0" w:color="auto"/>
            </w:tcBorders>
            <w:shd w:val="clear" w:color="auto" w:fill="auto"/>
            <w:vAlign w:val="center"/>
            <w:hideMark/>
          </w:tcPr>
          <w:p w14:paraId="22A854AB" w14:textId="77777777" w:rsidR="00B074A2" w:rsidRPr="00520E0D" w:rsidRDefault="00B074A2" w:rsidP="00CF2723">
            <w:pPr>
              <w:pStyle w:val="ExhibitText"/>
              <w:jc w:val="right"/>
            </w:pPr>
            <w:r w:rsidRPr="00520E0D">
              <w:t>14.5</w:t>
            </w:r>
          </w:p>
        </w:tc>
        <w:tc>
          <w:tcPr>
            <w:tcW w:w="766" w:type="dxa"/>
            <w:tcBorders>
              <w:top w:val="nil"/>
              <w:left w:val="nil"/>
              <w:bottom w:val="single" w:sz="4" w:space="0" w:color="auto"/>
              <w:right w:val="single" w:sz="4" w:space="0" w:color="auto"/>
            </w:tcBorders>
            <w:shd w:val="clear" w:color="auto" w:fill="auto"/>
            <w:vAlign w:val="center"/>
            <w:hideMark/>
          </w:tcPr>
          <w:p w14:paraId="2EC4F006" w14:textId="77777777" w:rsidR="00B074A2" w:rsidRPr="00520E0D" w:rsidRDefault="00B074A2" w:rsidP="00CF2723">
            <w:pPr>
              <w:pStyle w:val="ExhibitText"/>
              <w:jc w:val="right"/>
            </w:pPr>
            <w:r w:rsidRPr="00520E0D">
              <w:t>13.3</w:t>
            </w:r>
          </w:p>
        </w:tc>
        <w:tc>
          <w:tcPr>
            <w:tcW w:w="766" w:type="dxa"/>
            <w:tcBorders>
              <w:top w:val="nil"/>
              <w:left w:val="nil"/>
              <w:bottom w:val="single" w:sz="4" w:space="0" w:color="auto"/>
              <w:right w:val="single" w:sz="4" w:space="0" w:color="auto"/>
            </w:tcBorders>
            <w:shd w:val="clear" w:color="auto" w:fill="auto"/>
            <w:vAlign w:val="center"/>
            <w:hideMark/>
          </w:tcPr>
          <w:p w14:paraId="5438F018" w14:textId="77777777" w:rsidR="00B074A2" w:rsidRPr="00520E0D" w:rsidRDefault="00B074A2" w:rsidP="00CF2723">
            <w:pPr>
              <w:pStyle w:val="ExhibitText"/>
              <w:jc w:val="right"/>
            </w:pPr>
            <w:r w:rsidRPr="00520E0D">
              <w:t>13.5</w:t>
            </w:r>
          </w:p>
        </w:tc>
        <w:tc>
          <w:tcPr>
            <w:tcW w:w="766" w:type="dxa"/>
            <w:tcBorders>
              <w:top w:val="nil"/>
              <w:left w:val="nil"/>
              <w:bottom w:val="single" w:sz="4" w:space="0" w:color="auto"/>
              <w:right w:val="single" w:sz="4" w:space="0" w:color="auto"/>
            </w:tcBorders>
            <w:shd w:val="clear" w:color="auto" w:fill="auto"/>
            <w:vAlign w:val="center"/>
            <w:hideMark/>
          </w:tcPr>
          <w:p w14:paraId="275FA15C" w14:textId="77777777" w:rsidR="00B074A2" w:rsidRPr="00520E0D" w:rsidRDefault="00B074A2" w:rsidP="00CF2723">
            <w:pPr>
              <w:pStyle w:val="ExhibitText"/>
              <w:jc w:val="right"/>
            </w:pPr>
            <w:r w:rsidRPr="00520E0D">
              <w:t>10.7</w:t>
            </w:r>
          </w:p>
        </w:tc>
      </w:tr>
      <w:tr w:rsidR="00B074A2" w:rsidRPr="00520E0D" w14:paraId="14DD2465"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A3923E7" w14:textId="241D3A33" w:rsidR="00B074A2" w:rsidRPr="00520E0D" w:rsidRDefault="00B074A2" w:rsidP="00470E31">
            <w:pPr>
              <w:pStyle w:val="ExhibitText"/>
              <w:jc w:val="left"/>
            </w:pPr>
            <w:proofErr w:type="spellStart"/>
            <w:r w:rsidRPr="00520E0D">
              <w:t>Żubr</w:t>
            </w:r>
            <w:r w:rsidRPr="00470E31">
              <w:t>ówka</w:t>
            </w:r>
            <w:proofErr w:type="spellEnd"/>
          </w:p>
        </w:tc>
        <w:tc>
          <w:tcPr>
            <w:tcW w:w="765" w:type="dxa"/>
            <w:tcBorders>
              <w:top w:val="nil"/>
              <w:left w:val="nil"/>
              <w:bottom w:val="single" w:sz="4" w:space="0" w:color="auto"/>
              <w:right w:val="single" w:sz="4" w:space="0" w:color="auto"/>
            </w:tcBorders>
            <w:shd w:val="clear" w:color="auto" w:fill="auto"/>
            <w:vAlign w:val="center"/>
            <w:hideMark/>
          </w:tcPr>
          <w:p w14:paraId="4D231D26" w14:textId="77777777" w:rsidR="00B074A2" w:rsidRPr="00520E0D" w:rsidRDefault="00B074A2" w:rsidP="00CF2723">
            <w:pPr>
              <w:pStyle w:val="ExhibitText"/>
              <w:jc w:val="right"/>
            </w:pPr>
            <w:r w:rsidRPr="00520E0D">
              <w:t>4.4</w:t>
            </w:r>
          </w:p>
        </w:tc>
        <w:tc>
          <w:tcPr>
            <w:tcW w:w="766" w:type="dxa"/>
            <w:tcBorders>
              <w:top w:val="nil"/>
              <w:left w:val="nil"/>
              <w:bottom w:val="single" w:sz="4" w:space="0" w:color="auto"/>
              <w:right w:val="single" w:sz="4" w:space="0" w:color="auto"/>
            </w:tcBorders>
            <w:shd w:val="clear" w:color="auto" w:fill="auto"/>
            <w:vAlign w:val="center"/>
            <w:hideMark/>
          </w:tcPr>
          <w:p w14:paraId="5722188A" w14:textId="77777777" w:rsidR="00B074A2" w:rsidRPr="00520E0D" w:rsidRDefault="00B074A2" w:rsidP="00CF2723">
            <w:pPr>
              <w:pStyle w:val="ExhibitText"/>
              <w:jc w:val="right"/>
            </w:pPr>
            <w:r w:rsidRPr="00520E0D">
              <w:t>7.1</w:t>
            </w:r>
          </w:p>
        </w:tc>
        <w:tc>
          <w:tcPr>
            <w:tcW w:w="766" w:type="dxa"/>
            <w:tcBorders>
              <w:top w:val="nil"/>
              <w:left w:val="nil"/>
              <w:bottom w:val="single" w:sz="4" w:space="0" w:color="auto"/>
              <w:right w:val="single" w:sz="4" w:space="0" w:color="auto"/>
            </w:tcBorders>
            <w:shd w:val="clear" w:color="auto" w:fill="auto"/>
            <w:vAlign w:val="center"/>
            <w:hideMark/>
          </w:tcPr>
          <w:p w14:paraId="521448E3" w14:textId="77777777" w:rsidR="00B074A2" w:rsidRPr="00520E0D" w:rsidRDefault="00B074A2" w:rsidP="00CF2723">
            <w:pPr>
              <w:pStyle w:val="ExhibitText"/>
              <w:jc w:val="right"/>
            </w:pPr>
            <w:r w:rsidRPr="00520E0D">
              <w:t>8.2</w:t>
            </w:r>
          </w:p>
        </w:tc>
        <w:tc>
          <w:tcPr>
            <w:tcW w:w="766" w:type="dxa"/>
            <w:tcBorders>
              <w:top w:val="nil"/>
              <w:left w:val="nil"/>
              <w:bottom w:val="single" w:sz="4" w:space="0" w:color="auto"/>
              <w:right w:val="single" w:sz="4" w:space="0" w:color="auto"/>
            </w:tcBorders>
            <w:shd w:val="clear" w:color="auto" w:fill="auto"/>
            <w:vAlign w:val="center"/>
            <w:hideMark/>
          </w:tcPr>
          <w:p w14:paraId="6F3D15BD" w14:textId="29C6B958" w:rsidR="00B074A2" w:rsidRPr="00520E0D" w:rsidRDefault="00B074A2" w:rsidP="00CF2723">
            <w:pPr>
              <w:pStyle w:val="ExhibitText"/>
              <w:jc w:val="right"/>
            </w:pPr>
            <w:r w:rsidRPr="00520E0D">
              <w:t>9</w:t>
            </w:r>
            <w:r>
              <w:t>.0</w:t>
            </w:r>
          </w:p>
        </w:tc>
        <w:tc>
          <w:tcPr>
            <w:tcW w:w="766" w:type="dxa"/>
            <w:tcBorders>
              <w:top w:val="nil"/>
              <w:left w:val="nil"/>
              <w:bottom w:val="single" w:sz="4" w:space="0" w:color="auto"/>
              <w:right w:val="single" w:sz="4" w:space="0" w:color="auto"/>
            </w:tcBorders>
            <w:shd w:val="clear" w:color="auto" w:fill="auto"/>
            <w:vAlign w:val="center"/>
            <w:hideMark/>
          </w:tcPr>
          <w:p w14:paraId="1577D55F" w14:textId="77777777" w:rsidR="00B074A2" w:rsidRPr="00520E0D" w:rsidRDefault="00B074A2" w:rsidP="00CF2723">
            <w:pPr>
              <w:pStyle w:val="ExhibitText"/>
              <w:jc w:val="right"/>
            </w:pPr>
            <w:r w:rsidRPr="00520E0D">
              <w:t>8.2</w:t>
            </w:r>
          </w:p>
        </w:tc>
        <w:tc>
          <w:tcPr>
            <w:tcW w:w="766" w:type="dxa"/>
            <w:tcBorders>
              <w:top w:val="nil"/>
              <w:left w:val="nil"/>
              <w:bottom w:val="single" w:sz="4" w:space="0" w:color="auto"/>
              <w:right w:val="single" w:sz="4" w:space="0" w:color="auto"/>
            </w:tcBorders>
            <w:shd w:val="clear" w:color="auto" w:fill="auto"/>
            <w:vAlign w:val="center"/>
            <w:hideMark/>
          </w:tcPr>
          <w:p w14:paraId="31414B98" w14:textId="77777777" w:rsidR="00B074A2" w:rsidRPr="00520E0D" w:rsidRDefault="00B074A2" w:rsidP="00CF2723">
            <w:pPr>
              <w:pStyle w:val="ExhibitText"/>
              <w:jc w:val="right"/>
            </w:pPr>
            <w:r w:rsidRPr="00520E0D">
              <w:t>8.4</w:t>
            </w:r>
          </w:p>
        </w:tc>
        <w:tc>
          <w:tcPr>
            <w:tcW w:w="766" w:type="dxa"/>
            <w:tcBorders>
              <w:top w:val="nil"/>
              <w:left w:val="nil"/>
              <w:bottom w:val="single" w:sz="4" w:space="0" w:color="auto"/>
              <w:right w:val="single" w:sz="4" w:space="0" w:color="auto"/>
            </w:tcBorders>
            <w:shd w:val="clear" w:color="auto" w:fill="auto"/>
            <w:vAlign w:val="center"/>
            <w:hideMark/>
          </w:tcPr>
          <w:p w14:paraId="30FDD4E5" w14:textId="77777777" w:rsidR="00B074A2" w:rsidRPr="00520E0D" w:rsidRDefault="00B074A2" w:rsidP="00CF2723">
            <w:pPr>
              <w:pStyle w:val="ExhibitText"/>
              <w:jc w:val="right"/>
            </w:pPr>
            <w:r w:rsidRPr="00520E0D">
              <w:t>7.6</w:t>
            </w:r>
          </w:p>
        </w:tc>
      </w:tr>
      <w:tr w:rsidR="00B074A2" w:rsidRPr="00520E0D" w14:paraId="10A6B049"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2C9E9F2" w14:textId="57487378" w:rsidR="00B074A2" w:rsidRPr="00520E0D" w:rsidRDefault="00B074A2" w:rsidP="00CF2723">
            <w:pPr>
              <w:pStyle w:val="ExhibitText"/>
              <w:jc w:val="left"/>
            </w:pPr>
            <w:r w:rsidRPr="00520E0D">
              <w:t>Pure</w:t>
            </w:r>
            <w:r w:rsidR="00024B21">
              <w:t xml:space="preserve"> Bitter</w:t>
            </w:r>
            <w:r w:rsidRPr="00520E0D">
              <w:t xml:space="preserve"> de Luxe</w:t>
            </w:r>
          </w:p>
        </w:tc>
        <w:tc>
          <w:tcPr>
            <w:tcW w:w="765" w:type="dxa"/>
            <w:tcBorders>
              <w:top w:val="nil"/>
              <w:left w:val="nil"/>
              <w:bottom w:val="single" w:sz="4" w:space="0" w:color="auto"/>
              <w:right w:val="single" w:sz="4" w:space="0" w:color="auto"/>
            </w:tcBorders>
            <w:shd w:val="clear" w:color="auto" w:fill="auto"/>
            <w:vAlign w:val="center"/>
            <w:hideMark/>
          </w:tcPr>
          <w:p w14:paraId="1720A5AF" w14:textId="77777777" w:rsidR="00B074A2" w:rsidRPr="00520E0D" w:rsidRDefault="00B074A2" w:rsidP="00CF2723">
            <w:pPr>
              <w:pStyle w:val="ExhibitText"/>
              <w:jc w:val="right"/>
            </w:pPr>
            <w:r w:rsidRPr="00520E0D">
              <w:t>18.7</w:t>
            </w:r>
          </w:p>
        </w:tc>
        <w:tc>
          <w:tcPr>
            <w:tcW w:w="766" w:type="dxa"/>
            <w:tcBorders>
              <w:top w:val="nil"/>
              <w:left w:val="nil"/>
              <w:bottom w:val="single" w:sz="4" w:space="0" w:color="auto"/>
              <w:right w:val="single" w:sz="4" w:space="0" w:color="auto"/>
            </w:tcBorders>
            <w:shd w:val="clear" w:color="auto" w:fill="auto"/>
            <w:vAlign w:val="center"/>
            <w:hideMark/>
          </w:tcPr>
          <w:p w14:paraId="5A80E9F7" w14:textId="77777777" w:rsidR="00B074A2" w:rsidRPr="00520E0D" w:rsidRDefault="00B074A2" w:rsidP="00CF2723">
            <w:pPr>
              <w:pStyle w:val="ExhibitText"/>
              <w:jc w:val="right"/>
            </w:pPr>
            <w:r w:rsidRPr="00520E0D">
              <w:t>48.5</w:t>
            </w:r>
          </w:p>
        </w:tc>
        <w:tc>
          <w:tcPr>
            <w:tcW w:w="766" w:type="dxa"/>
            <w:tcBorders>
              <w:top w:val="nil"/>
              <w:left w:val="nil"/>
              <w:bottom w:val="single" w:sz="4" w:space="0" w:color="auto"/>
              <w:right w:val="single" w:sz="4" w:space="0" w:color="auto"/>
            </w:tcBorders>
            <w:shd w:val="clear" w:color="auto" w:fill="auto"/>
            <w:vAlign w:val="center"/>
            <w:hideMark/>
          </w:tcPr>
          <w:p w14:paraId="1E9C8CD6" w14:textId="77777777" w:rsidR="00B074A2" w:rsidRPr="00520E0D" w:rsidRDefault="00B074A2" w:rsidP="00CF2723">
            <w:pPr>
              <w:pStyle w:val="ExhibitText"/>
              <w:jc w:val="right"/>
            </w:pPr>
            <w:r w:rsidRPr="00520E0D">
              <w:t>57.4</w:t>
            </w:r>
          </w:p>
        </w:tc>
        <w:tc>
          <w:tcPr>
            <w:tcW w:w="766" w:type="dxa"/>
            <w:tcBorders>
              <w:top w:val="nil"/>
              <w:left w:val="nil"/>
              <w:bottom w:val="single" w:sz="4" w:space="0" w:color="auto"/>
              <w:right w:val="single" w:sz="4" w:space="0" w:color="auto"/>
            </w:tcBorders>
            <w:shd w:val="clear" w:color="auto" w:fill="auto"/>
            <w:vAlign w:val="center"/>
            <w:hideMark/>
          </w:tcPr>
          <w:p w14:paraId="76D3BAFE" w14:textId="77777777" w:rsidR="00B074A2" w:rsidRPr="00520E0D" w:rsidRDefault="00B074A2" w:rsidP="00CF2723">
            <w:pPr>
              <w:pStyle w:val="ExhibitText"/>
              <w:jc w:val="right"/>
            </w:pPr>
            <w:r w:rsidRPr="00520E0D">
              <w:t>40.7</w:t>
            </w:r>
          </w:p>
        </w:tc>
        <w:tc>
          <w:tcPr>
            <w:tcW w:w="766" w:type="dxa"/>
            <w:tcBorders>
              <w:top w:val="nil"/>
              <w:left w:val="nil"/>
              <w:bottom w:val="single" w:sz="4" w:space="0" w:color="auto"/>
              <w:right w:val="single" w:sz="4" w:space="0" w:color="auto"/>
            </w:tcBorders>
            <w:shd w:val="clear" w:color="auto" w:fill="auto"/>
            <w:vAlign w:val="center"/>
            <w:hideMark/>
          </w:tcPr>
          <w:p w14:paraId="33B98687" w14:textId="77777777" w:rsidR="00B074A2" w:rsidRPr="00520E0D" w:rsidRDefault="00B074A2" w:rsidP="00CF2723">
            <w:pPr>
              <w:pStyle w:val="ExhibitText"/>
              <w:jc w:val="right"/>
            </w:pPr>
            <w:r w:rsidRPr="00520E0D">
              <w:t>38.7</w:t>
            </w:r>
          </w:p>
        </w:tc>
        <w:tc>
          <w:tcPr>
            <w:tcW w:w="766" w:type="dxa"/>
            <w:tcBorders>
              <w:top w:val="nil"/>
              <w:left w:val="nil"/>
              <w:bottom w:val="single" w:sz="4" w:space="0" w:color="auto"/>
              <w:right w:val="single" w:sz="4" w:space="0" w:color="auto"/>
            </w:tcBorders>
            <w:shd w:val="clear" w:color="auto" w:fill="auto"/>
            <w:vAlign w:val="center"/>
            <w:hideMark/>
          </w:tcPr>
          <w:p w14:paraId="6F6AC461" w14:textId="77777777" w:rsidR="00B074A2" w:rsidRPr="00520E0D" w:rsidRDefault="00B074A2" w:rsidP="00CF2723">
            <w:pPr>
              <w:pStyle w:val="ExhibitText"/>
              <w:jc w:val="right"/>
            </w:pPr>
            <w:r w:rsidRPr="00520E0D">
              <w:t>42.1</w:t>
            </w:r>
          </w:p>
        </w:tc>
        <w:tc>
          <w:tcPr>
            <w:tcW w:w="766" w:type="dxa"/>
            <w:tcBorders>
              <w:top w:val="nil"/>
              <w:left w:val="nil"/>
              <w:bottom w:val="single" w:sz="4" w:space="0" w:color="auto"/>
              <w:right w:val="single" w:sz="4" w:space="0" w:color="auto"/>
            </w:tcBorders>
            <w:shd w:val="clear" w:color="auto" w:fill="auto"/>
            <w:vAlign w:val="center"/>
            <w:hideMark/>
          </w:tcPr>
          <w:p w14:paraId="6DFCA72F" w14:textId="77777777" w:rsidR="00B074A2" w:rsidRPr="00520E0D" w:rsidRDefault="00B074A2" w:rsidP="00CF2723">
            <w:pPr>
              <w:pStyle w:val="ExhibitText"/>
              <w:jc w:val="right"/>
            </w:pPr>
            <w:r w:rsidRPr="00520E0D">
              <w:t>36.6</w:t>
            </w:r>
          </w:p>
        </w:tc>
      </w:tr>
      <w:tr w:rsidR="00B074A2" w:rsidRPr="00520E0D" w14:paraId="08B97D1D" w14:textId="77777777" w:rsidTr="00B074A2">
        <w:trPr>
          <w:trHeight w:val="36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65C59DE2" w14:textId="77777777" w:rsidR="00B074A2" w:rsidRPr="00520E0D" w:rsidRDefault="00B074A2" w:rsidP="00CF2723">
            <w:pPr>
              <w:pStyle w:val="ExhibitText"/>
              <w:jc w:val="left"/>
            </w:pPr>
            <w:r w:rsidRPr="00520E0D">
              <w:t>Others</w:t>
            </w:r>
          </w:p>
        </w:tc>
        <w:tc>
          <w:tcPr>
            <w:tcW w:w="765" w:type="dxa"/>
            <w:tcBorders>
              <w:top w:val="nil"/>
              <w:left w:val="nil"/>
              <w:bottom w:val="single" w:sz="4" w:space="0" w:color="auto"/>
              <w:right w:val="single" w:sz="4" w:space="0" w:color="auto"/>
            </w:tcBorders>
            <w:shd w:val="clear" w:color="auto" w:fill="auto"/>
            <w:vAlign w:val="center"/>
            <w:hideMark/>
          </w:tcPr>
          <w:p w14:paraId="6946DE3C" w14:textId="77777777" w:rsidR="00B074A2" w:rsidRPr="00520E0D" w:rsidRDefault="00B074A2" w:rsidP="00CF2723">
            <w:pPr>
              <w:pStyle w:val="ExhibitText"/>
              <w:jc w:val="right"/>
            </w:pPr>
            <w:r w:rsidRPr="00520E0D">
              <w:t>1.1</w:t>
            </w:r>
          </w:p>
        </w:tc>
        <w:tc>
          <w:tcPr>
            <w:tcW w:w="766" w:type="dxa"/>
            <w:tcBorders>
              <w:top w:val="nil"/>
              <w:left w:val="nil"/>
              <w:bottom w:val="single" w:sz="4" w:space="0" w:color="auto"/>
              <w:right w:val="single" w:sz="4" w:space="0" w:color="auto"/>
            </w:tcBorders>
            <w:shd w:val="clear" w:color="auto" w:fill="auto"/>
            <w:vAlign w:val="center"/>
            <w:hideMark/>
          </w:tcPr>
          <w:p w14:paraId="5EC89CA8" w14:textId="77777777" w:rsidR="00B074A2" w:rsidRPr="00520E0D" w:rsidRDefault="00B074A2" w:rsidP="00CF2723">
            <w:pPr>
              <w:pStyle w:val="ExhibitText"/>
              <w:jc w:val="right"/>
            </w:pPr>
            <w:r w:rsidRPr="00520E0D">
              <w:t>1.1</w:t>
            </w:r>
          </w:p>
        </w:tc>
        <w:tc>
          <w:tcPr>
            <w:tcW w:w="766" w:type="dxa"/>
            <w:tcBorders>
              <w:top w:val="nil"/>
              <w:left w:val="nil"/>
              <w:bottom w:val="single" w:sz="4" w:space="0" w:color="auto"/>
              <w:right w:val="single" w:sz="4" w:space="0" w:color="auto"/>
            </w:tcBorders>
            <w:shd w:val="clear" w:color="auto" w:fill="auto"/>
            <w:vAlign w:val="center"/>
            <w:hideMark/>
          </w:tcPr>
          <w:p w14:paraId="512EB258" w14:textId="77777777" w:rsidR="00B074A2" w:rsidRPr="00520E0D" w:rsidRDefault="00B074A2" w:rsidP="00CF2723">
            <w:pPr>
              <w:pStyle w:val="ExhibitText"/>
              <w:jc w:val="right"/>
            </w:pPr>
            <w:r w:rsidRPr="00520E0D">
              <w:t>1.7</w:t>
            </w:r>
          </w:p>
        </w:tc>
        <w:tc>
          <w:tcPr>
            <w:tcW w:w="766" w:type="dxa"/>
            <w:tcBorders>
              <w:top w:val="nil"/>
              <w:left w:val="nil"/>
              <w:bottom w:val="single" w:sz="4" w:space="0" w:color="auto"/>
              <w:right w:val="single" w:sz="4" w:space="0" w:color="auto"/>
            </w:tcBorders>
            <w:shd w:val="clear" w:color="auto" w:fill="auto"/>
            <w:vAlign w:val="center"/>
            <w:hideMark/>
          </w:tcPr>
          <w:p w14:paraId="077CC798" w14:textId="77777777" w:rsidR="00B074A2" w:rsidRPr="00520E0D" w:rsidRDefault="00B074A2" w:rsidP="00CF2723">
            <w:pPr>
              <w:pStyle w:val="ExhibitText"/>
              <w:jc w:val="right"/>
            </w:pPr>
            <w:r w:rsidRPr="00520E0D">
              <w:t>2.3</w:t>
            </w:r>
          </w:p>
        </w:tc>
        <w:tc>
          <w:tcPr>
            <w:tcW w:w="766" w:type="dxa"/>
            <w:tcBorders>
              <w:top w:val="nil"/>
              <w:left w:val="nil"/>
              <w:bottom w:val="single" w:sz="4" w:space="0" w:color="auto"/>
              <w:right w:val="single" w:sz="4" w:space="0" w:color="auto"/>
            </w:tcBorders>
            <w:shd w:val="clear" w:color="auto" w:fill="auto"/>
            <w:vAlign w:val="center"/>
            <w:hideMark/>
          </w:tcPr>
          <w:p w14:paraId="5901BBBA" w14:textId="77777777" w:rsidR="00B074A2" w:rsidRPr="00520E0D" w:rsidRDefault="00B074A2" w:rsidP="00CF2723">
            <w:pPr>
              <w:pStyle w:val="ExhibitText"/>
              <w:jc w:val="right"/>
            </w:pPr>
            <w:r w:rsidRPr="00520E0D">
              <w:t>4.8</w:t>
            </w:r>
          </w:p>
        </w:tc>
        <w:tc>
          <w:tcPr>
            <w:tcW w:w="766" w:type="dxa"/>
            <w:tcBorders>
              <w:top w:val="nil"/>
              <w:left w:val="nil"/>
              <w:bottom w:val="single" w:sz="4" w:space="0" w:color="auto"/>
              <w:right w:val="single" w:sz="4" w:space="0" w:color="auto"/>
            </w:tcBorders>
            <w:shd w:val="clear" w:color="auto" w:fill="auto"/>
            <w:vAlign w:val="center"/>
            <w:hideMark/>
          </w:tcPr>
          <w:p w14:paraId="328BC08A" w14:textId="77777777" w:rsidR="00B074A2" w:rsidRPr="00520E0D" w:rsidRDefault="00B074A2" w:rsidP="00CF2723">
            <w:pPr>
              <w:pStyle w:val="ExhibitText"/>
              <w:jc w:val="right"/>
            </w:pPr>
            <w:r w:rsidRPr="00520E0D">
              <w:t>4.6</w:t>
            </w:r>
          </w:p>
        </w:tc>
        <w:tc>
          <w:tcPr>
            <w:tcW w:w="766" w:type="dxa"/>
            <w:tcBorders>
              <w:top w:val="nil"/>
              <w:left w:val="nil"/>
              <w:bottom w:val="single" w:sz="4" w:space="0" w:color="auto"/>
              <w:right w:val="single" w:sz="4" w:space="0" w:color="auto"/>
            </w:tcBorders>
            <w:shd w:val="clear" w:color="auto" w:fill="auto"/>
            <w:vAlign w:val="center"/>
            <w:hideMark/>
          </w:tcPr>
          <w:p w14:paraId="36662C2D" w14:textId="77777777" w:rsidR="00B074A2" w:rsidRPr="00520E0D" w:rsidRDefault="00B074A2" w:rsidP="00CF2723">
            <w:pPr>
              <w:pStyle w:val="ExhibitText"/>
              <w:jc w:val="right"/>
            </w:pPr>
            <w:r w:rsidRPr="00520E0D">
              <w:t>4.2</w:t>
            </w:r>
          </w:p>
        </w:tc>
      </w:tr>
    </w:tbl>
    <w:p w14:paraId="4F016EF1" w14:textId="77777777" w:rsidR="009449C3" w:rsidRPr="00520E0D" w:rsidRDefault="009449C3" w:rsidP="000E4844">
      <w:pPr>
        <w:pStyle w:val="Footnote"/>
      </w:pPr>
    </w:p>
    <w:p w14:paraId="5290BF88" w14:textId="1A1A3FF4" w:rsidR="008576ED" w:rsidRDefault="008576ED" w:rsidP="00E34504">
      <w:pPr>
        <w:pStyle w:val="Footnote"/>
        <w:outlineLvl w:val="0"/>
      </w:pPr>
      <w:r>
        <w:t>Note: CEDC = Central European Distribution Corporation</w:t>
      </w:r>
    </w:p>
    <w:p w14:paraId="0509F03E" w14:textId="766EA717" w:rsidR="00B16921" w:rsidRPr="00520E0D" w:rsidRDefault="00B16921" w:rsidP="00E34504">
      <w:pPr>
        <w:pStyle w:val="Footnote"/>
        <w:outlineLvl w:val="0"/>
      </w:pPr>
      <w:r w:rsidRPr="00520E0D">
        <w:t xml:space="preserve">Source: </w:t>
      </w:r>
      <w:r w:rsidR="008576ED">
        <w:t>C</w:t>
      </w:r>
      <w:r w:rsidRPr="00520E0D">
        <w:t>ompany documents.</w:t>
      </w:r>
    </w:p>
    <w:p w14:paraId="69522215" w14:textId="77777777" w:rsidR="005E1688" w:rsidRPr="00520E0D" w:rsidRDefault="005E1688" w:rsidP="000E4844">
      <w:pPr>
        <w:pStyle w:val="Footnote"/>
      </w:pPr>
    </w:p>
    <w:p w14:paraId="0EF27C3D" w14:textId="77777777" w:rsidR="00B16921" w:rsidRPr="00520E0D" w:rsidRDefault="00B16921" w:rsidP="000E4844">
      <w:pPr>
        <w:pStyle w:val="Footnote"/>
      </w:pPr>
    </w:p>
    <w:p w14:paraId="0794E643" w14:textId="47C12568" w:rsidR="009449C3" w:rsidRPr="00520E0D" w:rsidRDefault="009449C3" w:rsidP="00E34504">
      <w:pPr>
        <w:pStyle w:val="ExhibitHeading"/>
        <w:outlineLvl w:val="0"/>
      </w:pPr>
      <w:r w:rsidRPr="00520E0D">
        <w:t>Exhibit 3</w:t>
      </w:r>
      <w:r w:rsidR="005E1688" w:rsidRPr="00520E0D">
        <w:t>:</w:t>
      </w:r>
      <w:r w:rsidRPr="00520E0D">
        <w:t xml:space="preserve"> Market share of vodka producers</w:t>
      </w:r>
      <w:r w:rsidR="000B2DE3">
        <w:t>, 2006–2014</w:t>
      </w:r>
      <w:r w:rsidRPr="00520E0D">
        <w:t xml:space="preserve"> </w:t>
      </w:r>
      <w:r w:rsidR="00470E31">
        <w:t>(in %)</w:t>
      </w:r>
    </w:p>
    <w:p w14:paraId="7652515B" w14:textId="77777777" w:rsidR="009449C3" w:rsidRPr="00520E0D" w:rsidRDefault="009449C3" w:rsidP="002B45ED">
      <w:pPr>
        <w:pStyle w:val="ExhibitText"/>
      </w:pPr>
    </w:p>
    <w:tbl>
      <w:tblPr>
        <w:tblW w:w="5000" w:type="pct"/>
        <w:jc w:val="center"/>
        <w:tblLook w:val="04A0" w:firstRow="1" w:lastRow="0" w:firstColumn="1" w:lastColumn="0" w:noHBand="0" w:noVBand="1"/>
      </w:tblPr>
      <w:tblGrid>
        <w:gridCol w:w="2230"/>
        <w:gridCol w:w="890"/>
        <w:gridCol w:w="890"/>
        <w:gridCol w:w="890"/>
        <w:gridCol w:w="890"/>
        <w:gridCol w:w="890"/>
        <w:gridCol w:w="890"/>
        <w:gridCol w:w="890"/>
        <w:gridCol w:w="890"/>
      </w:tblGrid>
      <w:tr w:rsidR="0009183D" w:rsidRPr="00470E31" w14:paraId="424B8104" w14:textId="77777777" w:rsidTr="0009183D">
        <w:trPr>
          <w:trHeight w:val="360"/>
          <w:jc w:val="center"/>
        </w:trPr>
        <w:tc>
          <w:tcPr>
            <w:tcW w:w="2230" w:type="dxa"/>
            <w:tcBorders>
              <w:top w:val="single" w:sz="4" w:space="0" w:color="auto"/>
              <w:left w:val="single" w:sz="4" w:space="0" w:color="auto"/>
              <w:bottom w:val="single" w:sz="12" w:space="0" w:color="auto"/>
              <w:right w:val="single" w:sz="4" w:space="0" w:color="auto"/>
            </w:tcBorders>
            <w:shd w:val="clear" w:color="auto" w:fill="auto"/>
            <w:vAlign w:val="center"/>
            <w:hideMark/>
          </w:tcPr>
          <w:p w14:paraId="4F081907" w14:textId="77777777" w:rsidR="009449C3" w:rsidRPr="00470E31" w:rsidRDefault="009449C3" w:rsidP="00470E31">
            <w:pPr>
              <w:pStyle w:val="ExhibitText"/>
              <w:jc w:val="left"/>
              <w:rPr>
                <w:b/>
              </w:rPr>
            </w:pPr>
            <w:r w:rsidRPr="00470E31">
              <w:rPr>
                <w:b/>
              </w:rPr>
              <w:t>Producer</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04B4FCE2" w14:textId="77777777" w:rsidR="009449C3" w:rsidRPr="00470E31" w:rsidRDefault="009449C3" w:rsidP="00470E31">
            <w:pPr>
              <w:pStyle w:val="ExhibitText"/>
              <w:jc w:val="center"/>
              <w:rPr>
                <w:b/>
              </w:rPr>
            </w:pPr>
            <w:r w:rsidRPr="00470E31">
              <w:rPr>
                <w:b/>
              </w:rPr>
              <w:t>2006</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2E562DB0" w14:textId="77777777" w:rsidR="009449C3" w:rsidRPr="00470E31" w:rsidRDefault="009449C3" w:rsidP="00470E31">
            <w:pPr>
              <w:pStyle w:val="ExhibitText"/>
              <w:jc w:val="center"/>
              <w:rPr>
                <w:b/>
              </w:rPr>
            </w:pPr>
            <w:r w:rsidRPr="00470E31">
              <w:rPr>
                <w:b/>
              </w:rPr>
              <w:t>2007</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3B238CA2" w14:textId="77777777" w:rsidR="009449C3" w:rsidRPr="00470E31" w:rsidRDefault="009449C3" w:rsidP="00470E31">
            <w:pPr>
              <w:pStyle w:val="ExhibitText"/>
              <w:jc w:val="center"/>
              <w:rPr>
                <w:b/>
              </w:rPr>
            </w:pPr>
            <w:r w:rsidRPr="00470E31">
              <w:rPr>
                <w:b/>
              </w:rPr>
              <w:t>2008</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5DD6F891" w14:textId="77777777" w:rsidR="009449C3" w:rsidRPr="00470E31" w:rsidRDefault="009449C3" w:rsidP="00470E31">
            <w:pPr>
              <w:pStyle w:val="ExhibitText"/>
              <w:jc w:val="center"/>
              <w:rPr>
                <w:b/>
              </w:rPr>
            </w:pPr>
            <w:r w:rsidRPr="00470E31">
              <w:rPr>
                <w:b/>
              </w:rPr>
              <w:t>2009</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1B0ACB17" w14:textId="77777777" w:rsidR="009449C3" w:rsidRPr="00470E31" w:rsidRDefault="009449C3" w:rsidP="00470E31">
            <w:pPr>
              <w:pStyle w:val="ExhibitText"/>
              <w:jc w:val="center"/>
              <w:rPr>
                <w:b/>
              </w:rPr>
            </w:pPr>
            <w:r w:rsidRPr="00470E31">
              <w:rPr>
                <w:b/>
              </w:rPr>
              <w:t>2011</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081DE0DD" w14:textId="77777777" w:rsidR="009449C3" w:rsidRPr="00470E31" w:rsidRDefault="009449C3" w:rsidP="00470E31">
            <w:pPr>
              <w:pStyle w:val="ExhibitText"/>
              <w:jc w:val="center"/>
              <w:rPr>
                <w:b/>
              </w:rPr>
            </w:pPr>
            <w:r w:rsidRPr="00470E31">
              <w:rPr>
                <w:b/>
              </w:rPr>
              <w:t>2012</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7D4837E7" w14:textId="77777777" w:rsidR="009449C3" w:rsidRPr="00470E31" w:rsidRDefault="009449C3" w:rsidP="00470E31">
            <w:pPr>
              <w:pStyle w:val="ExhibitText"/>
              <w:jc w:val="center"/>
              <w:rPr>
                <w:b/>
              </w:rPr>
            </w:pPr>
            <w:r w:rsidRPr="00470E31">
              <w:rPr>
                <w:b/>
              </w:rPr>
              <w:t>2013</w:t>
            </w:r>
          </w:p>
        </w:tc>
        <w:tc>
          <w:tcPr>
            <w:tcW w:w="890" w:type="dxa"/>
            <w:tcBorders>
              <w:top w:val="single" w:sz="4" w:space="0" w:color="auto"/>
              <w:left w:val="nil"/>
              <w:bottom w:val="single" w:sz="12" w:space="0" w:color="auto"/>
              <w:right w:val="single" w:sz="4" w:space="0" w:color="auto"/>
            </w:tcBorders>
            <w:shd w:val="clear" w:color="auto" w:fill="auto"/>
            <w:vAlign w:val="center"/>
            <w:hideMark/>
          </w:tcPr>
          <w:p w14:paraId="56958CE8" w14:textId="77777777" w:rsidR="009449C3" w:rsidRPr="00470E31" w:rsidRDefault="009449C3" w:rsidP="00470E31">
            <w:pPr>
              <w:pStyle w:val="ExhibitText"/>
              <w:jc w:val="center"/>
              <w:rPr>
                <w:b/>
              </w:rPr>
            </w:pPr>
            <w:r w:rsidRPr="00470E31">
              <w:rPr>
                <w:b/>
              </w:rPr>
              <w:t>2014</w:t>
            </w:r>
          </w:p>
        </w:tc>
      </w:tr>
      <w:tr w:rsidR="0009183D" w:rsidRPr="00520E0D" w14:paraId="745FCB1D" w14:textId="77777777" w:rsidTr="0009183D">
        <w:trPr>
          <w:trHeight w:val="360"/>
          <w:jc w:val="center"/>
        </w:trPr>
        <w:tc>
          <w:tcPr>
            <w:tcW w:w="2230"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65A13D09" w14:textId="104E8AE6" w:rsidR="009449C3" w:rsidRPr="00520E0D" w:rsidRDefault="009449C3" w:rsidP="00470E31">
            <w:pPr>
              <w:pStyle w:val="ExhibitText"/>
              <w:jc w:val="left"/>
              <w:rPr>
                <w:iCs/>
              </w:rPr>
            </w:pPr>
            <w:proofErr w:type="spellStart"/>
            <w:r w:rsidRPr="00520E0D">
              <w:rPr>
                <w:iCs/>
              </w:rPr>
              <w:t>Polmos</w:t>
            </w:r>
            <w:proofErr w:type="spellEnd"/>
            <w:r w:rsidRPr="00520E0D">
              <w:rPr>
                <w:iCs/>
              </w:rPr>
              <w:t xml:space="preserve"> Lublin (Stock Poland</w:t>
            </w:r>
            <w:r w:rsidR="00470E31">
              <w:rPr>
                <w:iCs/>
              </w:rPr>
              <w:t xml:space="preserve"> as of 2009</w:t>
            </w:r>
            <w:r w:rsidRPr="00520E0D">
              <w:rPr>
                <w:iCs/>
              </w:rPr>
              <w:t>)</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75AF6027" w14:textId="7C1CCE59" w:rsidR="009449C3" w:rsidRPr="00520E0D" w:rsidRDefault="009449C3" w:rsidP="00470E31">
            <w:pPr>
              <w:pStyle w:val="ExhibitText"/>
              <w:jc w:val="right"/>
              <w:rPr>
                <w:iCs/>
              </w:rPr>
            </w:pPr>
            <w:r w:rsidRPr="00520E0D">
              <w:rPr>
                <w:iCs/>
              </w:rPr>
              <w:t>9.</w:t>
            </w:r>
            <w:r w:rsidR="005C5FBC">
              <w:rPr>
                <w:iCs/>
              </w:rPr>
              <w:t>7</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6408A8DC" w14:textId="3E271AA9" w:rsidR="009449C3" w:rsidRPr="00520E0D" w:rsidRDefault="009449C3" w:rsidP="00470E31">
            <w:pPr>
              <w:pStyle w:val="ExhibitText"/>
              <w:jc w:val="right"/>
              <w:rPr>
                <w:iCs/>
              </w:rPr>
            </w:pPr>
            <w:r w:rsidRPr="00520E0D">
              <w:rPr>
                <w:iCs/>
              </w:rPr>
              <w:t>11.4</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3B42E0F4" w14:textId="7D369EA1" w:rsidR="009449C3" w:rsidRPr="00520E0D" w:rsidRDefault="009449C3" w:rsidP="00470E31">
            <w:pPr>
              <w:pStyle w:val="ExhibitText"/>
              <w:jc w:val="right"/>
              <w:rPr>
                <w:iCs/>
              </w:rPr>
            </w:pPr>
            <w:r w:rsidRPr="00520E0D">
              <w:rPr>
                <w:iCs/>
              </w:rPr>
              <w:t>16.4</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0FBCD31A" w14:textId="33709381" w:rsidR="009449C3" w:rsidRPr="00520E0D" w:rsidRDefault="009449C3" w:rsidP="00470E31">
            <w:pPr>
              <w:pStyle w:val="ExhibitText"/>
              <w:jc w:val="right"/>
              <w:rPr>
                <w:iCs/>
              </w:rPr>
            </w:pPr>
            <w:r w:rsidRPr="00520E0D">
              <w:rPr>
                <w:iCs/>
              </w:rPr>
              <w:t>28.2</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59FB337B" w14:textId="4649C895" w:rsidR="009449C3" w:rsidRPr="00520E0D" w:rsidRDefault="009449C3" w:rsidP="005C5FBC">
            <w:pPr>
              <w:pStyle w:val="ExhibitText"/>
              <w:jc w:val="right"/>
              <w:rPr>
                <w:iCs/>
              </w:rPr>
            </w:pPr>
            <w:r w:rsidRPr="00520E0D">
              <w:rPr>
                <w:iCs/>
              </w:rPr>
              <w:t>3</w:t>
            </w:r>
            <w:r w:rsidR="005C5FBC">
              <w:rPr>
                <w:iCs/>
              </w:rPr>
              <w:t>3</w:t>
            </w:r>
            <w:r w:rsidRPr="00520E0D">
              <w:rPr>
                <w:iCs/>
              </w:rPr>
              <w:t>.</w:t>
            </w:r>
            <w:r w:rsidR="005C5FBC">
              <w:rPr>
                <w:iCs/>
              </w:rPr>
              <w:t>1</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14F2E7E1" w14:textId="12B5C051" w:rsidR="009449C3" w:rsidRPr="00520E0D" w:rsidRDefault="009449C3" w:rsidP="005C5FBC">
            <w:pPr>
              <w:pStyle w:val="ExhibitText"/>
              <w:jc w:val="right"/>
              <w:rPr>
                <w:iCs/>
              </w:rPr>
            </w:pPr>
            <w:r w:rsidRPr="00520E0D">
              <w:rPr>
                <w:iCs/>
              </w:rPr>
              <w:t>3</w:t>
            </w:r>
            <w:r w:rsidR="005C5FBC">
              <w:rPr>
                <w:iCs/>
              </w:rPr>
              <w:t>4</w:t>
            </w:r>
            <w:r w:rsidRPr="00520E0D">
              <w:rPr>
                <w:iCs/>
              </w:rPr>
              <w:t>.</w:t>
            </w:r>
            <w:r w:rsidR="005C5FBC">
              <w:rPr>
                <w:iCs/>
              </w:rPr>
              <w:t>8</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45B64F52" w14:textId="21038B84" w:rsidR="009449C3" w:rsidRPr="00520E0D" w:rsidRDefault="009449C3" w:rsidP="00470E31">
            <w:pPr>
              <w:pStyle w:val="ExhibitText"/>
              <w:jc w:val="right"/>
              <w:rPr>
                <w:iCs/>
              </w:rPr>
            </w:pPr>
            <w:r w:rsidRPr="00520E0D">
              <w:rPr>
                <w:iCs/>
              </w:rPr>
              <w:t>37.6</w:t>
            </w:r>
          </w:p>
        </w:tc>
        <w:tc>
          <w:tcPr>
            <w:tcW w:w="890" w:type="dxa"/>
            <w:tcBorders>
              <w:top w:val="single" w:sz="12" w:space="0" w:color="auto"/>
              <w:left w:val="nil"/>
              <w:bottom w:val="single" w:sz="4" w:space="0" w:color="auto"/>
              <w:right w:val="single" w:sz="4" w:space="0" w:color="auto"/>
            </w:tcBorders>
            <w:shd w:val="clear" w:color="auto" w:fill="auto"/>
            <w:vAlign w:val="center"/>
            <w:hideMark/>
          </w:tcPr>
          <w:p w14:paraId="7E0DD98C" w14:textId="200C042C" w:rsidR="009449C3" w:rsidRPr="00520E0D" w:rsidRDefault="009449C3" w:rsidP="00470E31">
            <w:pPr>
              <w:pStyle w:val="ExhibitText"/>
              <w:jc w:val="right"/>
              <w:rPr>
                <w:iCs/>
              </w:rPr>
            </w:pPr>
            <w:r w:rsidRPr="00520E0D">
              <w:rPr>
                <w:iCs/>
              </w:rPr>
              <w:t>37.3</w:t>
            </w:r>
          </w:p>
        </w:tc>
      </w:tr>
      <w:tr w:rsidR="0009183D" w:rsidRPr="00520E0D" w14:paraId="322F1FE0" w14:textId="77777777" w:rsidTr="0009183D">
        <w:trPr>
          <w:trHeight w:val="360"/>
          <w:jc w:val="center"/>
        </w:trPr>
        <w:tc>
          <w:tcPr>
            <w:tcW w:w="2230" w:type="dxa"/>
            <w:tcBorders>
              <w:top w:val="nil"/>
              <w:left w:val="single" w:sz="4" w:space="0" w:color="auto"/>
              <w:bottom w:val="single" w:sz="4" w:space="0" w:color="auto"/>
              <w:right w:val="single" w:sz="4" w:space="0" w:color="auto"/>
            </w:tcBorders>
            <w:shd w:val="clear" w:color="auto" w:fill="auto"/>
            <w:vAlign w:val="center"/>
            <w:hideMark/>
          </w:tcPr>
          <w:p w14:paraId="1A001019" w14:textId="01D0EEB7" w:rsidR="009449C3" w:rsidRPr="00520E0D" w:rsidRDefault="0009183D" w:rsidP="00470E31">
            <w:pPr>
              <w:pStyle w:val="ExhibitText"/>
              <w:jc w:val="left"/>
            </w:pPr>
            <w:r w:rsidRPr="0009183D">
              <w:t>Central European Distribution Corporation</w:t>
            </w:r>
            <w:r w:rsidR="00FD0F27">
              <w:t xml:space="preserve"> (CEDC)</w:t>
            </w:r>
          </w:p>
        </w:tc>
        <w:tc>
          <w:tcPr>
            <w:tcW w:w="890" w:type="dxa"/>
            <w:tcBorders>
              <w:top w:val="nil"/>
              <w:left w:val="nil"/>
              <w:bottom w:val="single" w:sz="4" w:space="0" w:color="auto"/>
              <w:right w:val="single" w:sz="4" w:space="0" w:color="auto"/>
            </w:tcBorders>
            <w:shd w:val="clear" w:color="auto" w:fill="auto"/>
            <w:vAlign w:val="center"/>
            <w:hideMark/>
          </w:tcPr>
          <w:p w14:paraId="0F764C9A" w14:textId="0F79CA1D" w:rsidR="009449C3" w:rsidRPr="00520E0D" w:rsidRDefault="009449C3" w:rsidP="00470E31">
            <w:pPr>
              <w:pStyle w:val="ExhibitText"/>
              <w:jc w:val="right"/>
            </w:pPr>
            <w:r w:rsidRPr="00520E0D">
              <w:t>30.5</w:t>
            </w:r>
          </w:p>
        </w:tc>
        <w:tc>
          <w:tcPr>
            <w:tcW w:w="890" w:type="dxa"/>
            <w:tcBorders>
              <w:top w:val="nil"/>
              <w:left w:val="nil"/>
              <w:bottom w:val="single" w:sz="4" w:space="0" w:color="auto"/>
              <w:right w:val="single" w:sz="4" w:space="0" w:color="auto"/>
            </w:tcBorders>
            <w:shd w:val="clear" w:color="auto" w:fill="auto"/>
            <w:vAlign w:val="center"/>
            <w:hideMark/>
          </w:tcPr>
          <w:p w14:paraId="4865684B" w14:textId="4E4B6279" w:rsidR="009449C3" w:rsidRPr="00520E0D" w:rsidRDefault="009449C3" w:rsidP="00470E31">
            <w:pPr>
              <w:pStyle w:val="ExhibitText"/>
              <w:jc w:val="right"/>
            </w:pPr>
            <w:r w:rsidRPr="00520E0D">
              <w:t>29.9</w:t>
            </w:r>
          </w:p>
        </w:tc>
        <w:tc>
          <w:tcPr>
            <w:tcW w:w="890" w:type="dxa"/>
            <w:tcBorders>
              <w:top w:val="nil"/>
              <w:left w:val="nil"/>
              <w:bottom w:val="single" w:sz="4" w:space="0" w:color="auto"/>
              <w:right w:val="single" w:sz="4" w:space="0" w:color="auto"/>
            </w:tcBorders>
            <w:shd w:val="clear" w:color="auto" w:fill="auto"/>
            <w:vAlign w:val="center"/>
            <w:hideMark/>
          </w:tcPr>
          <w:p w14:paraId="755ECF7F" w14:textId="3D0D8EAE" w:rsidR="009449C3" w:rsidRPr="00520E0D" w:rsidRDefault="009449C3" w:rsidP="00470E31">
            <w:pPr>
              <w:pStyle w:val="ExhibitText"/>
              <w:jc w:val="right"/>
            </w:pPr>
            <w:r w:rsidRPr="00520E0D">
              <w:t>28.1</w:t>
            </w:r>
          </w:p>
        </w:tc>
        <w:tc>
          <w:tcPr>
            <w:tcW w:w="890" w:type="dxa"/>
            <w:tcBorders>
              <w:top w:val="nil"/>
              <w:left w:val="nil"/>
              <w:bottom w:val="single" w:sz="4" w:space="0" w:color="auto"/>
              <w:right w:val="single" w:sz="4" w:space="0" w:color="auto"/>
            </w:tcBorders>
            <w:shd w:val="clear" w:color="auto" w:fill="auto"/>
            <w:vAlign w:val="center"/>
            <w:hideMark/>
          </w:tcPr>
          <w:p w14:paraId="514B3B90" w14:textId="4C277111" w:rsidR="009449C3" w:rsidRPr="00520E0D" w:rsidRDefault="009449C3" w:rsidP="00470E31">
            <w:pPr>
              <w:pStyle w:val="ExhibitText"/>
              <w:jc w:val="right"/>
            </w:pPr>
            <w:r w:rsidRPr="00520E0D">
              <w:t>26.2</w:t>
            </w:r>
          </w:p>
        </w:tc>
        <w:tc>
          <w:tcPr>
            <w:tcW w:w="890" w:type="dxa"/>
            <w:tcBorders>
              <w:top w:val="nil"/>
              <w:left w:val="nil"/>
              <w:bottom w:val="single" w:sz="4" w:space="0" w:color="auto"/>
              <w:right w:val="single" w:sz="4" w:space="0" w:color="auto"/>
            </w:tcBorders>
            <w:shd w:val="clear" w:color="auto" w:fill="auto"/>
            <w:vAlign w:val="center"/>
            <w:hideMark/>
          </w:tcPr>
          <w:p w14:paraId="4E38EA0A" w14:textId="20297A6F" w:rsidR="009449C3" w:rsidRPr="00520E0D" w:rsidRDefault="009449C3" w:rsidP="00470E31">
            <w:pPr>
              <w:pStyle w:val="ExhibitText"/>
              <w:jc w:val="right"/>
            </w:pPr>
            <w:r w:rsidRPr="00520E0D">
              <w:t>24.1</w:t>
            </w:r>
          </w:p>
        </w:tc>
        <w:tc>
          <w:tcPr>
            <w:tcW w:w="890" w:type="dxa"/>
            <w:tcBorders>
              <w:top w:val="nil"/>
              <w:left w:val="nil"/>
              <w:bottom w:val="single" w:sz="4" w:space="0" w:color="auto"/>
              <w:right w:val="single" w:sz="4" w:space="0" w:color="auto"/>
            </w:tcBorders>
            <w:shd w:val="clear" w:color="auto" w:fill="auto"/>
            <w:vAlign w:val="center"/>
            <w:hideMark/>
          </w:tcPr>
          <w:p w14:paraId="78775C98" w14:textId="619FA489" w:rsidR="009449C3" w:rsidRPr="00520E0D" w:rsidRDefault="009449C3" w:rsidP="005C5FBC">
            <w:pPr>
              <w:pStyle w:val="ExhibitText"/>
              <w:jc w:val="right"/>
            </w:pPr>
            <w:r w:rsidRPr="00520E0D">
              <w:t>23.</w:t>
            </w:r>
            <w:r w:rsidR="005C5FBC">
              <w:t>6</w:t>
            </w:r>
          </w:p>
        </w:tc>
        <w:tc>
          <w:tcPr>
            <w:tcW w:w="890" w:type="dxa"/>
            <w:tcBorders>
              <w:top w:val="nil"/>
              <w:left w:val="nil"/>
              <w:bottom w:val="single" w:sz="4" w:space="0" w:color="auto"/>
              <w:right w:val="single" w:sz="4" w:space="0" w:color="auto"/>
            </w:tcBorders>
            <w:shd w:val="clear" w:color="auto" w:fill="auto"/>
            <w:vAlign w:val="center"/>
            <w:hideMark/>
          </w:tcPr>
          <w:p w14:paraId="162820B1" w14:textId="3980C231" w:rsidR="009449C3" w:rsidRPr="00520E0D" w:rsidRDefault="009449C3" w:rsidP="00470E31">
            <w:pPr>
              <w:pStyle w:val="ExhibitText"/>
              <w:jc w:val="right"/>
            </w:pPr>
            <w:r w:rsidRPr="00520E0D">
              <w:t>23.0</w:t>
            </w:r>
          </w:p>
        </w:tc>
        <w:tc>
          <w:tcPr>
            <w:tcW w:w="890" w:type="dxa"/>
            <w:tcBorders>
              <w:top w:val="nil"/>
              <w:left w:val="nil"/>
              <w:bottom w:val="single" w:sz="4" w:space="0" w:color="auto"/>
              <w:right w:val="single" w:sz="4" w:space="0" w:color="auto"/>
            </w:tcBorders>
            <w:shd w:val="clear" w:color="auto" w:fill="auto"/>
            <w:vAlign w:val="center"/>
            <w:hideMark/>
          </w:tcPr>
          <w:p w14:paraId="1C7AE851" w14:textId="1BA69EC1" w:rsidR="009449C3" w:rsidRPr="00520E0D" w:rsidRDefault="009449C3" w:rsidP="00470E31">
            <w:pPr>
              <w:pStyle w:val="ExhibitText"/>
              <w:jc w:val="right"/>
            </w:pPr>
            <w:r w:rsidRPr="00520E0D">
              <w:t>28.2</w:t>
            </w:r>
          </w:p>
        </w:tc>
      </w:tr>
      <w:tr w:rsidR="0009183D" w:rsidRPr="00520E0D" w14:paraId="240FC1AA" w14:textId="77777777" w:rsidTr="0009183D">
        <w:trPr>
          <w:trHeight w:val="360"/>
          <w:jc w:val="center"/>
        </w:trPr>
        <w:tc>
          <w:tcPr>
            <w:tcW w:w="2230" w:type="dxa"/>
            <w:tcBorders>
              <w:top w:val="nil"/>
              <w:left w:val="single" w:sz="4" w:space="0" w:color="auto"/>
              <w:bottom w:val="single" w:sz="4" w:space="0" w:color="auto"/>
              <w:right w:val="single" w:sz="4" w:space="0" w:color="auto"/>
            </w:tcBorders>
            <w:shd w:val="clear" w:color="auto" w:fill="auto"/>
            <w:vAlign w:val="center"/>
            <w:hideMark/>
          </w:tcPr>
          <w:p w14:paraId="54E6B3E8" w14:textId="62251A7E" w:rsidR="009449C3" w:rsidRPr="00520E0D" w:rsidRDefault="009449C3" w:rsidP="00470E31">
            <w:pPr>
              <w:pStyle w:val="ExhibitText"/>
              <w:jc w:val="left"/>
            </w:pPr>
            <w:r w:rsidRPr="00520E0D">
              <w:t>Sobieski Co</w:t>
            </w:r>
            <w:r w:rsidR="00470E31">
              <w:t>mpany</w:t>
            </w:r>
          </w:p>
        </w:tc>
        <w:tc>
          <w:tcPr>
            <w:tcW w:w="890" w:type="dxa"/>
            <w:tcBorders>
              <w:top w:val="nil"/>
              <w:left w:val="nil"/>
              <w:bottom w:val="single" w:sz="4" w:space="0" w:color="auto"/>
              <w:right w:val="single" w:sz="4" w:space="0" w:color="auto"/>
            </w:tcBorders>
            <w:shd w:val="clear" w:color="auto" w:fill="auto"/>
            <w:vAlign w:val="center"/>
            <w:hideMark/>
          </w:tcPr>
          <w:p w14:paraId="3190BBD3" w14:textId="44763F72" w:rsidR="009449C3" w:rsidRPr="00520E0D" w:rsidRDefault="009449C3" w:rsidP="00470E31">
            <w:pPr>
              <w:pStyle w:val="ExhibitText"/>
              <w:jc w:val="right"/>
            </w:pPr>
            <w:r w:rsidRPr="00520E0D">
              <w:t>29.0</w:t>
            </w:r>
          </w:p>
        </w:tc>
        <w:tc>
          <w:tcPr>
            <w:tcW w:w="890" w:type="dxa"/>
            <w:tcBorders>
              <w:top w:val="nil"/>
              <w:left w:val="nil"/>
              <w:bottom w:val="single" w:sz="4" w:space="0" w:color="auto"/>
              <w:right w:val="single" w:sz="4" w:space="0" w:color="auto"/>
            </w:tcBorders>
            <w:shd w:val="clear" w:color="auto" w:fill="auto"/>
            <w:vAlign w:val="center"/>
            <w:hideMark/>
          </w:tcPr>
          <w:p w14:paraId="188260C0" w14:textId="076CD2EE" w:rsidR="009449C3" w:rsidRPr="00520E0D" w:rsidRDefault="009449C3" w:rsidP="00470E31">
            <w:pPr>
              <w:pStyle w:val="ExhibitText"/>
              <w:jc w:val="right"/>
            </w:pPr>
            <w:r w:rsidRPr="00520E0D">
              <w:t>27.6</w:t>
            </w:r>
          </w:p>
        </w:tc>
        <w:tc>
          <w:tcPr>
            <w:tcW w:w="890" w:type="dxa"/>
            <w:tcBorders>
              <w:top w:val="nil"/>
              <w:left w:val="nil"/>
              <w:bottom w:val="single" w:sz="4" w:space="0" w:color="auto"/>
              <w:right w:val="single" w:sz="4" w:space="0" w:color="auto"/>
            </w:tcBorders>
            <w:shd w:val="clear" w:color="auto" w:fill="auto"/>
            <w:vAlign w:val="center"/>
            <w:hideMark/>
          </w:tcPr>
          <w:p w14:paraId="5CC66A15" w14:textId="4478160D" w:rsidR="009449C3" w:rsidRPr="00520E0D" w:rsidRDefault="009449C3" w:rsidP="005C5FBC">
            <w:pPr>
              <w:pStyle w:val="ExhibitText"/>
              <w:jc w:val="right"/>
            </w:pPr>
            <w:r w:rsidRPr="00520E0D">
              <w:t>2</w:t>
            </w:r>
            <w:r w:rsidR="005C5FBC">
              <w:t>3</w:t>
            </w:r>
            <w:r w:rsidRPr="00520E0D">
              <w:t>.5</w:t>
            </w:r>
          </w:p>
        </w:tc>
        <w:tc>
          <w:tcPr>
            <w:tcW w:w="890" w:type="dxa"/>
            <w:tcBorders>
              <w:top w:val="nil"/>
              <w:left w:val="nil"/>
              <w:bottom w:val="single" w:sz="4" w:space="0" w:color="auto"/>
              <w:right w:val="single" w:sz="4" w:space="0" w:color="auto"/>
            </w:tcBorders>
            <w:shd w:val="clear" w:color="auto" w:fill="auto"/>
            <w:vAlign w:val="center"/>
            <w:hideMark/>
          </w:tcPr>
          <w:p w14:paraId="42E09AA5" w14:textId="4DF2DB58" w:rsidR="009449C3" w:rsidRPr="00520E0D" w:rsidRDefault="009449C3" w:rsidP="005C5FBC">
            <w:pPr>
              <w:pStyle w:val="ExhibitText"/>
              <w:jc w:val="right"/>
            </w:pPr>
            <w:r w:rsidRPr="00520E0D">
              <w:t>18.</w:t>
            </w:r>
            <w:r w:rsidR="005C5FBC">
              <w:t>2</w:t>
            </w:r>
          </w:p>
        </w:tc>
        <w:tc>
          <w:tcPr>
            <w:tcW w:w="890" w:type="dxa"/>
            <w:tcBorders>
              <w:top w:val="nil"/>
              <w:left w:val="nil"/>
              <w:bottom w:val="single" w:sz="4" w:space="0" w:color="auto"/>
              <w:right w:val="single" w:sz="4" w:space="0" w:color="auto"/>
            </w:tcBorders>
            <w:shd w:val="clear" w:color="auto" w:fill="auto"/>
            <w:vAlign w:val="center"/>
            <w:hideMark/>
          </w:tcPr>
          <w:p w14:paraId="3D997ED0" w14:textId="74D1F0D7" w:rsidR="009449C3" w:rsidRPr="00520E0D" w:rsidRDefault="009449C3" w:rsidP="00470E31">
            <w:pPr>
              <w:pStyle w:val="ExhibitText"/>
              <w:jc w:val="right"/>
            </w:pPr>
            <w:r w:rsidRPr="00520E0D">
              <w:t>20.9</w:t>
            </w:r>
          </w:p>
        </w:tc>
        <w:tc>
          <w:tcPr>
            <w:tcW w:w="890" w:type="dxa"/>
            <w:tcBorders>
              <w:top w:val="nil"/>
              <w:left w:val="nil"/>
              <w:bottom w:val="single" w:sz="4" w:space="0" w:color="auto"/>
              <w:right w:val="single" w:sz="4" w:space="0" w:color="auto"/>
            </w:tcBorders>
            <w:shd w:val="clear" w:color="auto" w:fill="auto"/>
            <w:vAlign w:val="center"/>
            <w:hideMark/>
          </w:tcPr>
          <w:p w14:paraId="44A2C75B" w14:textId="380E8F72" w:rsidR="009449C3" w:rsidRPr="00520E0D" w:rsidRDefault="009449C3" w:rsidP="005C5FBC">
            <w:pPr>
              <w:pStyle w:val="ExhibitText"/>
              <w:jc w:val="right"/>
            </w:pPr>
            <w:r w:rsidRPr="00520E0D">
              <w:t>2</w:t>
            </w:r>
            <w:r w:rsidR="005C5FBC">
              <w:t>1</w:t>
            </w:r>
            <w:r w:rsidRPr="00520E0D">
              <w:t>.</w:t>
            </w:r>
            <w:r w:rsidR="005C5FBC">
              <w:t>3</w:t>
            </w:r>
          </w:p>
        </w:tc>
        <w:tc>
          <w:tcPr>
            <w:tcW w:w="890" w:type="dxa"/>
            <w:tcBorders>
              <w:top w:val="nil"/>
              <w:left w:val="nil"/>
              <w:bottom w:val="single" w:sz="4" w:space="0" w:color="auto"/>
              <w:right w:val="single" w:sz="4" w:space="0" w:color="auto"/>
            </w:tcBorders>
            <w:shd w:val="clear" w:color="auto" w:fill="auto"/>
            <w:vAlign w:val="center"/>
            <w:hideMark/>
          </w:tcPr>
          <w:p w14:paraId="33C6C713" w14:textId="78D58544" w:rsidR="009449C3" w:rsidRPr="00520E0D" w:rsidRDefault="009449C3" w:rsidP="00470E31">
            <w:pPr>
              <w:pStyle w:val="ExhibitText"/>
              <w:jc w:val="right"/>
            </w:pPr>
            <w:r w:rsidRPr="00520E0D">
              <w:t>17.1</w:t>
            </w:r>
          </w:p>
        </w:tc>
        <w:tc>
          <w:tcPr>
            <w:tcW w:w="890" w:type="dxa"/>
            <w:tcBorders>
              <w:top w:val="nil"/>
              <w:left w:val="nil"/>
              <w:bottom w:val="single" w:sz="4" w:space="0" w:color="auto"/>
              <w:right w:val="single" w:sz="4" w:space="0" w:color="auto"/>
            </w:tcBorders>
            <w:shd w:val="clear" w:color="auto" w:fill="auto"/>
            <w:vAlign w:val="center"/>
            <w:hideMark/>
          </w:tcPr>
          <w:p w14:paraId="6BCFF5A6" w14:textId="32668222" w:rsidR="009449C3" w:rsidRPr="00520E0D" w:rsidRDefault="009449C3" w:rsidP="00470E31">
            <w:pPr>
              <w:pStyle w:val="ExhibitText"/>
              <w:jc w:val="right"/>
            </w:pPr>
            <w:r w:rsidRPr="00520E0D">
              <w:t>14.4</w:t>
            </w:r>
          </w:p>
        </w:tc>
      </w:tr>
    </w:tbl>
    <w:p w14:paraId="0B856104" w14:textId="77777777" w:rsidR="009449C3" w:rsidRPr="00520E0D" w:rsidRDefault="009449C3" w:rsidP="000E4844">
      <w:pPr>
        <w:pStyle w:val="Footnote"/>
      </w:pPr>
    </w:p>
    <w:p w14:paraId="00FAC37A" w14:textId="0E0D0E20" w:rsidR="005C5FBC" w:rsidRDefault="005E1688" w:rsidP="005E1688">
      <w:pPr>
        <w:pStyle w:val="Footnote"/>
      </w:pPr>
      <w:r w:rsidRPr="00520E0D">
        <w:t xml:space="preserve">Note: </w:t>
      </w:r>
      <w:r w:rsidR="00CF2723">
        <w:t>Because v</w:t>
      </w:r>
      <w:r w:rsidR="00CF2723" w:rsidRPr="00520E0D">
        <w:t xml:space="preserve">alue metrics are strongly influenced by changes </w:t>
      </w:r>
      <w:r w:rsidR="00CF2723">
        <w:t>in</w:t>
      </w:r>
      <w:r w:rsidR="00CF2723" w:rsidRPr="00520E0D">
        <w:t xml:space="preserve"> price, excise</w:t>
      </w:r>
      <w:r w:rsidR="00CF2723">
        <w:t>,</w:t>
      </w:r>
      <w:r w:rsidR="00CF2723" w:rsidRPr="00520E0D">
        <w:t xml:space="preserve"> and value-added tax</w:t>
      </w:r>
      <w:r w:rsidR="00CF2723">
        <w:t xml:space="preserve">, </w:t>
      </w:r>
      <w:r w:rsidRPr="00520E0D">
        <w:t xml:space="preserve">the data </w:t>
      </w:r>
      <w:r w:rsidR="008576ED">
        <w:t>was</w:t>
      </w:r>
      <w:r w:rsidRPr="00520E0D">
        <w:t xml:space="preserve"> </w:t>
      </w:r>
      <w:r w:rsidR="00CF2723">
        <w:t>calculated</w:t>
      </w:r>
      <w:r w:rsidR="00CF2723" w:rsidRPr="00520E0D">
        <w:t xml:space="preserve"> </w:t>
      </w:r>
      <w:r w:rsidRPr="00520E0D">
        <w:t xml:space="preserve">in a physical measure of million </w:t>
      </w:r>
      <w:r w:rsidR="00CF2723" w:rsidRPr="00520E0D">
        <w:t>litres</w:t>
      </w:r>
      <w:r w:rsidRPr="00520E0D">
        <w:t xml:space="preserve"> to ensure comparability.</w:t>
      </w:r>
    </w:p>
    <w:p w14:paraId="4BABE0BF" w14:textId="33416784" w:rsidR="005E1688" w:rsidRPr="00520E0D" w:rsidRDefault="005C5FBC" w:rsidP="00770BBD">
      <w:pPr>
        <w:pStyle w:val="Footnote"/>
      </w:pPr>
      <w:r>
        <w:t xml:space="preserve">Sources: </w:t>
      </w:r>
      <w:r w:rsidR="008576ED">
        <w:t>C</w:t>
      </w:r>
      <w:r>
        <w:t xml:space="preserve">ompany documents; </w:t>
      </w:r>
      <w:proofErr w:type="spellStart"/>
      <w:r>
        <w:t>Grupa</w:t>
      </w:r>
      <w:proofErr w:type="spellEnd"/>
      <w:r>
        <w:t xml:space="preserve"> </w:t>
      </w:r>
      <w:proofErr w:type="spellStart"/>
      <w:r>
        <w:t>Polmos</w:t>
      </w:r>
      <w:proofErr w:type="spellEnd"/>
      <w:r>
        <w:t xml:space="preserve"> Lublin report 2006; </w:t>
      </w:r>
      <w:r w:rsidR="008576ED">
        <w:t>a</w:t>
      </w:r>
      <w:r>
        <w:t xml:space="preserve">rchival issues of </w:t>
      </w:r>
      <w:proofErr w:type="spellStart"/>
      <w:r>
        <w:t>Rynki</w:t>
      </w:r>
      <w:proofErr w:type="spellEnd"/>
      <w:r>
        <w:t xml:space="preserve"> </w:t>
      </w:r>
      <w:proofErr w:type="spellStart"/>
      <w:r>
        <w:t>Alkoholowe</w:t>
      </w:r>
      <w:proofErr w:type="spellEnd"/>
      <w:r>
        <w:t xml:space="preserve"> (Alcohol Markets)</w:t>
      </w:r>
      <w:r w:rsidR="00770BBD">
        <w:t xml:space="preserve">. </w:t>
      </w:r>
      <w:r w:rsidR="005E1688" w:rsidRPr="00520E0D">
        <w:t xml:space="preserve"> </w:t>
      </w:r>
    </w:p>
    <w:p w14:paraId="1BD9CC6A" w14:textId="77777777" w:rsidR="004C5096" w:rsidRPr="00520E0D" w:rsidRDefault="004C5096" w:rsidP="005E1688">
      <w:pPr>
        <w:pStyle w:val="Footnote"/>
      </w:pPr>
    </w:p>
    <w:sectPr w:rsidR="004C5096" w:rsidRPr="00520E0D"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16D70" w14:textId="77777777" w:rsidR="00553DDC" w:rsidRDefault="00553DDC" w:rsidP="00D75295">
      <w:r>
        <w:separator/>
      </w:r>
    </w:p>
  </w:endnote>
  <w:endnote w:type="continuationSeparator" w:id="0">
    <w:p w14:paraId="7366D4EA" w14:textId="77777777" w:rsidR="00553DDC" w:rsidRDefault="00553DD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DD666" w14:textId="77777777" w:rsidR="00553DDC" w:rsidRDefault="00553DDC" w:rsidP="00D75295">
      <w:r>
        <w:separator/>
      </w:r>
    </w:p>
  </w:footnote>
  <w:footnote w:type="continuationSeparator" w:id="0">
    <w:p w14:paraId="01E8AC6C" w14:textId="77777777" w:rsidR="00553DDC" w:rsidRDefault="00553DDC" w:rsidP="00D75295">
      <w:r>
        <w:continuationSeparator/>
      </w:r>
    </w:p>
  </w:footnote>
  <w:footnote w:id="1">
    <w:p w14:paraId="5431DF6D" w14:textId="52398458" w:rsidR="003640D0" w:rsidRPr="000E4844" w:rsidRDefault="003640D0">
      <w:pPr>
        <w:pStyle w:val="FootnoteText"/>
        <w:rPr>
          <w:lang w:val="en-CA"/>
        </w:rPr>
      </w:pPr>
      <w:r>
        <w:rPr>
          <w:rStyle w:val="FootnoteReference"/>
        </w:rPr>
        <w:footnoteRef/>
      </w:r>
      <w:r>
        <w:t xml:space="preserve"> </w:t>
      </w:r>
      <w:proofErr w:type="spellStart"/>
      <w:proofErr w:type="gramStart"/>
      <w:r w:rsidRPr="000E4844">
        <w:rPr>
          <w:rStyle w:val="FootnoteChar"/>
        </w:rPr>
        <w:t>zł</w:t>
      </w:r>
      <w:proofErr w:type="spellEnd"/>
      <w:proofErr w:type="gramEnd"/>
      <w:r w:rsidRPr="000E4844">
        <w:rPr>
          <w:rStyle w:val="FootnoteChar"/>
        </w:rPr>
        <w:t xml:space="preserve"> = PLN = Polish </w:t>
      </w:r>
      <w:r>
        <w:rPr>
          <w:rStyle w:val="FootnoteChar"/>
        </w:rPr>
        <w:t>z</w:t>
      </w:r>
      <w:r w:rsidRPr="000E4844">
        <w:rPr>
          <w:rStyle w:val="FootnoteChar"/>
        </w:rPr>
        <w:t xml:space="preserve">loty; € = euro; €1 = </w:t>
      </w:r>
      <w:proofErr w:type="spellStart"/>
      <w:r w:rsidRPr="000E4844">
        <w:rPr>
          <w:rStyle w:val="FootnoteChar"/>
        </w:rPr>
        <w:t>zł</w:t>
      </w:r>
      <w:proofErr w:type="spellEnd"/>
      <w:r w:rsidRPr="000E4844">
        <w:rPr>
          <w:rStyle w:val="FootnoteChar"/>
        </w:rPr>
        <w:t xml:space="preserve"> 3.89 in 2006</w:t>
      </w:r>
      <w:r>
        <w:rPr>
          <w:rStyle w:val="FootnoteChar"/>
        </w:rPr>
        <w:t>.</w:t>
      </w:r>
    </w:p>
  </w:footnote>
  <w:footnote w:id="2">
    <w:p w14:paraId="3883AB9F" w14:textId="224BB0E1" w:rsidR="00F9016C" w:rsidRPr="00770BBD" w:rsidRDefault="00F9016C" w:rsidP="00770BBD">
      <w:pPr>
        <w:pStyle w:val="Footnote"/>
        <w:rPr>
          <w:lang w:val="en-US"/>
        </w:rPr>
      </w:pPr>
      <w:r>
        <w:rPr>
          <w:rStyle w:val="FootnoteReference"/>
        </w:rPr>
        <w:footnoteRef/>
      </w:r>
      <w:r w:rsidRPr="00770BBD">
        <w:rPr>
          <w:lang w:val="en-US"/>
        </w:rPr>
        <w:t xml:space="preserve"> Company financial reports.</w:t>
      </w:r>
      <w:r w:rsidRPr="0098428C">
        <w:t xml:space="preserve"> </w:t>
      </w:r>
      <w:r w:rsidRPr="00770BBD">
        <w:rPr>
          <w:lang w:val="en-US"/>
        </w:rPr>
        <w:t>http://biznes.pap.pl/espi/pl/reports/view/2,49861</w:t>
      </w:r>
      <w:r>
        <w:rPr>
          <w:lang w:val="en-US"/>
        </w:rPr>
        <w:t xml:space="preserve">, accessed on 25 May 2017.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D2927" w14:textId="6206B880" w:rsidR="00F9016C" w:rsidRDefault="00F9016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2387">
      <w:rPr>
        <w:rFonts w:ascii="Arial" w:hAnsi="Arial"/>
        <w:b/>
        <w:noProof/>
      </w:rPr>
      <w:t>5</w:t>
    </w:r>
    <w:r>
      <w:rPr>
        <w:rFonts w:ascii="Arial" w:hAnsi="Arial"/>
        <w:b/>
      </w:rPr>
      <w:fldChar w:fldCharType="end"/>
    </w:r>
    <w:r>
      <w:rPr>
        <w:rFonts w:ascii="Arial" w:hAnsi="Arial"/>
        <w:b/>
      </w:rPr>
      <w:tab/>
    </w:r>
    <w:r w:rsidR="00052387">
      <w:rPr>
        <w:rFonts w:ascii="Arial" w:hAnsi="Arial"/>
        <w:b/>
      </w:rPr>
      <w:t>9B17M105</w:t>
    </w:r>
  </w:p>
  <w:p w14:paraId="25309D3A" w14:textId="77777777" w:rsidR="00F9016C" w:rsidRPr="00C92CC4" w:rsidRDefault="00F9016C">
    <w:pPr>
      <w:pStyle w:val="Header"/>
      <w:rPr>
        <w:sz w:val="18"/>
        <w:szCs w:val="18"/>
      </w:rPr>
    </w:pPr>
  </w:p>
  <w:p w14:paraId="550C8EAA" w14:textId="77777777" w:rsidR="00F9016C" w:rsidRPr="00C92CC4" w:rsidRDefault="00F9016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ED679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78AC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D629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2E78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0A30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F52C77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1D6679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3E69F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347B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2A31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2415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5E4C5700"/>
    <w:multiLevelType w:val="hybridMultilevel"/>
    <w:tmpl w:val="2D72E8C8"/>
    <w:lvl w:ilvl="0" w:tplc="77660AC2">
      <w:start w:val="1"/>
      <w:numFmt w:val="bullet"/>
      <w:lvlText w:val="-"/>
      <w:lvlJc w:val="left"/>
      <w:pPr>
        <w:ind w:left="1065" w:hanging="360"/>
      </w:pPr>
      <w:rPr>
        <w:rFonts w:ascii="Calibri" w:eastAsiaTheme="minorHAnsi" w:hAnsi="Calibri"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EFD2C0F"/>
    <w:multiLevelType w:val="hybridMultilevel"/>
    <w:tmpl w:val="11228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3"/>
  </w:num>
  <w:num w:numId="17">
    <w:abstractNumId w:val="16"/>
  </w:num>
  <w:num w:numId="18">
    <w:abstractNumId w:val="24"/>
  </w:num>
  <w:num w:numId="19">
    <w:abstractNumId w:val="12"/>
  </w:num>
  <w:num w:numId="20">
    <w:abstractNumId w:val="11"/>
  </w:num>
  <w:num w:numId="21">
    <w:abstractNumId w:val="26"/>
  </w:num>
  <w:num w:numId="22">
    <w:abstractNumId w:val="18"/>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2"/>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4B21"/>
    <w:rsid w:val="00025DC7"/>
    <w:rsid w:val="00026486"/>
    <w:rsid w:val="00044ECC"/>
    <w:rsid w:val="00052387"/>
    <w:rsid w:val="000531D3"/>
    <w:rsid w:val="0005646B"/>
    <w:rsid w:val="0008102D"/>
    <w:rsid w:val="0009183D"/>
    <w:rsid w:val="00094C0E"/>
    <w:rsid w:val="000A08C2"/>
    <w:rsid w:val="000B2DE3"/>
    <w:rsid w:val="000C3DD6"/>
    <w:rsid w:val="000D268F"/>
    <w:rsid w:val="000E1B85"/>
    <w:rsid w:val="000E4844"/>
    <w:rsid w:val="000F0C22"/>
    <w:rsid w:val="000F6B09"/>
    <w:rsid w:val="000F6FDC"/>
    <w:rsid w:val="00104567"/>
    <w:rsid w:val="00104E51"/>
    <w:rsid w:val="001237D6"/>
    <w:rsid w:val="0012732D"/>
    <w:rsid w:val="00154FC9"/>
    <w:rsid w:val="001734C6"/>
    <w:rsid w:val="00177191"/>
    <w:rsid w:val="0019241A"/>
    <w:rsid w:val="00193A83"/>
    <w:rsid w:val="001A5335"/>
    <w:rsid w:val="001A752D"/>
    <w:rsid w:val="001B6661"/>
    <w:rsid w:val="001C1D62"/>
    <w:rsid w:val="00203AA1"/>
    <w:rsid w:val="00204073"/>
    <w:rsid w:val="00213E98"/>
    <w:rsid w:val="00226A40"/>
    <w:rsid w:val="002659E4"/>
    <w:rsid w:val="00282274"/>
    <w:rsid w:val="002B45ED"/>
    <w:rsid w:val="002E32F0"/>
    <w:rsid w:val="002F460C"/>
    <w:rsid w:val="002F48D6"/>
    <w:rsid w:val="0030686C"/>
    <w:rsid w:val="003279AA"/>
    <w:rsid w:val="003471D9"/>
    <w:rsid w:val="00354899"/>
    <w:rsid w:val="00355FD6"/>
    <w:rsid w:val="00361C8E"/>
    <w:rsid w:val="003640D0"/>
    <w:rsid w:val="00364A5C"/>
    <w:rsid w:val="00373FB1"/>
    <w:rsid w:val="00380842"/>
    <w:rsid w:val="003B0CB8"/>
    <w:rsid w:val="003B30D8"/>
    <w:rsid w:val="003B3D71"/>
    <w:rsid w:val="003B7EF2"/>
    <w:rsid w:val="003C3FA4"/>
    <w:rsid w:val="003F2B0C"/>
    <w:rsid w:val="004221E4"/>
    <w:rsid w:val="0045403A"/>
    <w:rsid w:val="0046512A"/>
    <w:rsid w:val="00470E31"/>
    <w:rsid w:val="00471088"/>
    <w:rsid w:val="00483AF9"/>
    <w:rsid w:val="004939ED"/>
    <w:rsid w:val="004B1CCB"/>
    <w:rsid w:val="004B3861"/>
    <w:rsid w:val="004C5096"/>
    <w:rsid w:val="004D73A5"/>
    <w:rsid w:val="00520E0D"/>
    <w:rsid w:val="00532CF5"/>
    <w:rsid w:val="005528CB"/>
    <w:rsid w:val="00553C28"/>
    <w:rsid w:val="00553DDC"/>
    <w:rsid w:val="00566771"/>
    <w:rsid w:val="005801AD"/>
    <w:rsid w:val="00581E2E"/>
    <w:rsid w:val="00584F15"/>
    <w:rsid w:val="00585A09"/>
    <w:rsid w:val="005A21E3"/>
    <w:rsid w:val="005B4525"/>
    <w:rsid w:val="005C2AEA"/>
    <w:rsid w:val="005C5FBC"/>
    <w:rsid w:val="005E1688"/>
    <w:rsid w:val="006163F7"/>
    <w:rsid w:val="006207E1"/>
    <w:rsid w:val="00634836"/>
    <w:rsid w:val="0063722F"/>
    <w:rsid w:val="00652606"/>
    <w:rsid w:val="006662F7"/>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52BCD"/>
    <w:rsid w:val="00766DA1"/>
    <w:rsid w:val="00770BBD"/>
    <w:rsid w:val="007866A6"/>
    <w:rsid w:val="00794C03"/>
    <w:rsid w:val="007A130D"/>
    <w:rsid w:val="007C13BE"/>
    <w:rsid w:val="007D4102"/>
    <w:rsid w:val="007D4988"/>
    <w:rsid w:val="007E5921"/>
    <w:rsid w:val="007F540F"/>
    <w:rsid w:val="00821FFC"/>
    <w:rsid w:val="008271CA"/>
    <w:rsid w:val="008467D5"/>
    <w:rsid w:val="00856D9F"/>
    <w:rsid w:val="008576ED"/>
    <w:rsid w:val="00866F6D"/>
    <w:rsid w:val="008A4DC4"/>
    <w:rsid w:val="008C5736"/>
    <w:rsid w:val="008E330D"/>
    <w:rsid w:val="009067A4"/>
    <w:rsid w:val="0090722E"/>
    <w:rsid w:val="00916E5E"/>
    <w:rsid w:val="009340DB"/>
    <w:rsid w:val="009449C3"/>
    <w:rsid w:val="00945F9E"/>
    <w:rsid w:val="00972498"/>
    <w:rsid w:val="00974CC6"/>
    <w:rsid w:val="00976AD4"/>
    <w:rsid w:val="0098428C"/>
    <w:rsid w:val="009A312F"/>
    <w:rsid w:val="009A5348"/>
    <w:rsid w:val="009A67BB"/>
    <w:rsid w:val="009C76D5"/>
    <w:rsid w:val="009F7AA4"/>
    <w:rsid w:val="00A062F4"/>
    <w:rsid w:val="00A07D88"/>
    <w:rsid w:val="00A559DB"/>
    <w:rsid w:val="00A57276"/>
    <w:rsid w:val="00AA3C9D"/>
    <w:rsid w:val="00AB78CA"/>
    <w:rsid w:val="00AF35FC"/>
    <w:rsid w:val="00B03639"/>
    <w:rsid w:val="00B0652A"/>
    <w:rsid w:val="00B074A2"/>
    <w:rsid w:val="00B16921"/>
    <w:rsid w:val="00B24D54"/>
    <w:rsid w:val="00B3757D"/>
    <w:rsid w:val="00B40937"/>
    <w:rsid w:val="00B423EF"/>
    <w:rsid w:val="00B453DE"/>
    <w:rsid w:val="00B4742F"/>
    <w:rsid w:val="00B80762"/>
    <w:rsid w:val="00B80E65"/>
    <w:rsid w:val="00B901F9"/>
    <w:rsid w:val="00BB17BB"/>
    <w:rsid w:val="00BD6EFB"/>
    <w:rsid w:val="00C049D7"/>
    <w:rsid w:val="00C15BE2"/>
    <w:rsid w:val="00C22219"/>
    <w:rsid w:val="00C3447F"/>
    <w:rsid w:val="00C5775B"/>
    <w:rsid w:val="00C81491"/>
    <w:rsid w:val="00C81676"/>
    <w:rsid w:val="00C92CC4"/>
    <w:rsid w:val="00CA0AFB"/>
    <w:rsid w:val="00CA2CE1"/>
    <w:rsid w:val="00CA3976"/>
    <w:rsid w:val="00CA68DB"/>
    <w:rsid w:val="00CA757B"/>
    <w:rsid w:val="00CB6B09"/>
    <w:rsid w:val="00CC1787"/>
    <w:rsid w:val="00CC182C"/>
    <w:rsid w:val="00CD0824"/>
    <w:rsid w:val="00CD2908"/>
    <w:rsid w:val="00CF2723"/>
    <w:rsid w:val="00D03A82"/>
    <w:rsid w:val="00D1398B"/>
    <w:rsid w:val="00D15344"/>
    <w:rsid w:val="00D31BEC"/>
    <w:rsid w:val="00D32FCB"/>
    <w:rsid w:val="00D63150"/>
    <w:rsid w:val="00D64A32"/>
    <w:rsid w:val="00D64EFC"/>
    <w:rsid w:val="00D75295"/>
    <w:rsid w:val="00D76CE9"/>
    <w:rsid w:val="00D97F12"/>
    <w:rsid w:val="00DB42E7"/>
    <w:rsid w:val="00DC15D4"/>
    <w:rsid w:val="00DF32C2"/>
    <w:rsid w:val="00E02A69"/>
    <w:rsid w:val="00E34504"/>
    <w:rsid w:val="00E471A7"/>
    <w:rsid w:val="00E52711"/>
    <w:rsid w:val="00E635CF"/>
    <w:rsid w:val="00EA6994"/>
    <w:rsid w:val="00EB5410"/>
    <w:rsid w:val="00EC6E0A"/>
    <w:rsid w:val="00EC745B"/>
    <w:rsid w:val="00ED4E18"/>
    <w:rsid w:val="00EE1F37"/>
    <w:rsid w:val="00F0159C"/>
    <w:rsid w:val="00F0197B"/>
    <w:rsid w:val="00F105B7"/>
    <w:rsid w:val="00F17A21"/>
    <w:rsid w:val="00F50E91"/>
    <w:rsid w:val="00F57D29"/>
    <w:rsid w:val="00F64AA2"/>
    <w:rsid w:val="00F9016C"/>
    <w:rsid w:val="00F9138B"/>
    <w:rsid w:val="00F92A99"/>
    <w:rsid w:val="00F94DF8"/>
    <w:rsid w:val="00F96201"/>
    <w:rsid w:val="00FC30E9"/>
    <w:rsid w:val="00FD0B18"/>
    <w:rsid w:val="00FD0F27"/>
    <w:rsid w:val="00FD0F82"/>
    <w:rsid w:val="00FE714F"/>
    <w:rsid w:val="00FF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C0EB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450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E34504"/>
    <w:rPr>
      <w:sz w:val="24"/>
      <w:szCs w:val="24"/>
    </w:rPr>
  </w:style>
  <w:style w:type="character" w:customStyle="1" w:styleId="DocumentMapChar">
    <w:name w:val="Document Map Char"/>
    <w:basedOn w:val="DefaultParagraphFont"/>
    <w:link w:val="DocumentMap"/>
    <w:uiPriority w:val="99"/>
    <w:semiHidden/>
    <w:rsid w:val="00E34504"/>
    <w:rPr>
      <w:rFonts w:ascii="Times New Roman" w:eastAsia="Times New Roman" w:hAnsi="Times New Roman" w:cs="Times New Roman"/>
      <w:sz w:val="24"/>
      <w:szCs w:val="24"/>
      <w:lang w:val="en-GB"/>
    </w:rPr>
  </w:style>
  <w:style w:type="paragraph" w:customStyle="1" w:styleId="m3742444969574673427msolistparagraph">
    <w:name w:val="m_3742444969574673427msolistparagraph"/>
    <w:basedOn w:val="Normal"/>
    <w:rsid w:val="005C5FBC"/>
    <w:pPr>
      <w:spacing w:before="100" w:beforeAutospacing="1" w:after="100" w:afterAutospacing="1"/>
    </w:pPr>
    <w:rPr>
      <w:rFonts w:eastAsiaTheme="minorHAnsi"/>
      <w:sz w:val="24"/>
      <w:szCs w:val="24"/>
      <w:lang w:val="en-US"/>
    </w:rPr>
  </w:style>
  <w:style w:type="character" w:customStyle="1" w:styleId="m3742444969574673427msohyperlink">
    <w:name w:val="m_3742444969574673427msohyperlink"/>
    <w:basedOn w:val="DefaultParagraphFont"/>
    <w:rsid w:val="005C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05B51-51D0-4950-83DC-5687BE7B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1627</Words>
  <Characters>9276</Characters>
  <Application>Microsoft Office Word</Application>
  <DocSecurity>0</DocSecurity>
  <Lines>77</Lines>
  <Paragraphs>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Ivey Business School</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2</cp:revision>
  <cp:lastPrinted>2011-06-23T13:34:00Z</cp:lastPrinted>
  <dcterms:created xsi:type="dcterms:W3CDTF">2017-07-07T15:10:00Z</dcterms:created>
  <dcterms:modified xsi:type="dcterms:W3CDTF">2017-07-07T15:10:00Z</dcterms:modified>
</cp:coreProperties>
</file>