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36"/>
        <w:gridCol w:w="265"/>
        <w:gridCol w:w="4651"/>
      </w:tblGrid>
      <w:tr w:rsidR="004F349E" w:rsidRPr="00DC50A0" w14:paraId="6DC08A8D" w14:textId="77777777" w:rsidTr="004F349E">
        <w:tc>
          <w:tcPr>
            <w:tcW w:w="4320" w:type="dxa"/>
            <w:tcBorders>
              <w:top w:val="nil"/>
              <w:left w:val="nil"/>
              <w:bottom w:val="nil"/>
              <w:right w:val="nil"/>
            </w:tcBorders>
            <w:vAlign w:val="center"/>
          </w:tcPr>
          <w:p w14:paraId="5B7695BC" w14:textId="77777777" w:rsidR="004F349E" w:rsidRPr="00DC50A0" w:rsidRDefault="004F349E" w:rsidP="004F349E">
            <w:pPr>
              <w:tabs>
                <w:tab w:val="left" w:pos="0"/>
                <w:tab w:val="right" w:pos="9360"/>
              </w:tabs>
              <w:rPr>
                <w:rFonts w:ascii="IveyVHWLogos" w:eastAsia="SimSun" w:hAnsi="IveyVHWLogos" w:cs="Vrinda"/>
                <w:sz w:val="44"/>
                <w:szCs w:val="44"/>
                <w:lang w:eastAsia="ja-JP"/>
              </w:rPr>
            </w:pPr>
            <w:r w:rsidRPr="00DC50A0">
              <w:rPr>
                <w:rFonts w:ascii="Arial" w:eastAsia="SimSun" w:hAnsi="Arial" w:cs="Vrinda"/>
                <w:b/>
                <w:noProof/>
                <w:sz w:val="24"/>
                <w:lang w:eastAsia="en-GB"/>
              </w:rPr>
              <w:drawing>
                <wp:inline distT="0" distB="0" distL="0" distR="0" wp14:anchorId="0E9034D1" wp14:editId="4D46F77D">
                  <wp:extent cx="2616200" cy="5486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616200" cy="548640"/>
                          </a:xfrm>
                          <a:prstGeom prst="rect">
                            <a:avLst/>
                          </a:prstGeom>
                          <a:noFill/>
                          <a:ln>
                            <a:noFill/>
                          </a:ln>
                        </pic:spPr>
                      </pic:pic>
                    </a:graphicData>
                  </a:graphic>
                </wp:inline>
              </w:drawing>
            </w:r>
          </w:p>
        </w:tc>
        <w:tc>
          <w:tcPr>
            <w:tcW w:w="270" w:type="dxa"/>
            <w:tcBorders>
              <w:top w:val="nil"/>
              <w:left w:val="nil"/>
              <w:bottom w:val="nil"/>
              <w:right w:val="nil"/>
            </w:tcBorders>
          </w:tcPr>
          <w:p w14:paraId="6F5B43D5" w14:textId="77777777" w:rsidR="004F349E" w:rsidRPr="00DC50A0" w:rsidRDefault="004F349E" w:rsidP="004F349E">
            <w:pPr>
              <w:tabs>
                <w:tab w:val="left" w:pos="0"/>
                <w:tab w:val="right" w:pos="9360"/>
              </w:tabs>
              <w:rPr>
                <w:rFonts w:ascii="IveyVHWLogos" w:eastAsia="SimSun" w:hAnsi="IveyVHWLogos" w:cs="Vrinda"/>
                <w:sz w:val="16"/>
                <w:szCs w:val="16"/>
                <w:lang w:eastAsia="ja-JP"/>
              </w:rPr>
            </w:pPr>
          </w:p>
        </w:tc>
        <w:tc>
          <w:tcPr>
            <w:tcW w:w="4878" w:type="dxa"/>
            <w:tcBorders>
              <w:top w:val="nil"/>
              <w:left w:val="nil"/>
              <w:bottom w:val="nil"/>
              <w:right w:val="nil"/>
            </w:tcBorders>
            <w:vAlign w:val="center"/>
          </w:tcPr>
          <w:p w14:paraId="1B4629DC" w14:textId="77777777" w:rsidR="004F349E" w:rsidRPr="00DC50A0" w:rsidRDefault="004F349E" w:rsidP="004F349E">
            <w:pPr>
              <w:tabs>
                <w:tab w:val="left" w:pos="0"/>
                <w:tab w:val="right" w:pos="9360"/>
              </w:tabs>
              <w:jc w:val="right"/>
              <w:rPr>
                <w:rFonts w:ascii="IveyVHWLogos" w:eastAsia="SimSun" w:hAnsi="IveyVHWLogos" w:cs="Vrinda"/>
                <w:sz w:val="44"/>
                <w:szCs w:val="44"/>
                <w:lang w:eastAsia="ja-JP"/>
              </w:rPr>
            </w:pPr>
            <w:r w:rsidRPr="00BD512F">
              <w:rPr>
                <w:noProof/>
                <w:lang w:eastAsia="en-GB"/>
              </w:rPr>
              <w:drawing>
                <wp:inline distT="0" distB="0" distL="0" distR="0" wp14:anchorId="36914DC7" wp14:editId="7F619D30">
                  <wp:extent cx="1605915" cy="668020"/>
                  <wp:effectExtent l="0" t="0" r="0" b="0"/>
                  <wp:docPr id="3" name="Picture 3" descr="H:\shared\Partners-External\Suppliers\China-Europe International Business School (CEIBS)\Logos and Templates\CEIBS-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hared\Partners-External\Suppliers\China-Europe International Business School (CEIBS)\Logos and Templates\CEIBS-New 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l="11835" t="23842" r="11237" b="29800"/>
                          <a:stretch>
                            <a:fillRect/>
                          </a:stretch>
                        </pic:blipFill>
                        <pic:spPr bwMode="auto">
                          <a:xfrm>
                            <a:off x="0" y="0"/>
                            <a:ext cx="1605915" cy="668020"/>
                          </a:xfrm>
                          <a:prstGeom prst="rect">
                            <a:avLst/>
                          </a:prstGeom>
                          <a:noFill/>
                          <a:ln>
                            <a:noFill/>
                          </a:ln>
                        </pic:spPr>
                      </pic:pic>
                    </a:graphicData>
                  </a:graphic>
                </wp:inline>
              </w:drawing>
            </w:r>
          </w:p>
        </w:tc>
      </w:tr>
    </w:tbl>
    <w:p w14:paraId="36A60DD1" w14:textId="77777777" w:rsidR="00856D9F" w:rsidRPr="00811800" w:rsidRDefault="00856D9F" w:rsidP="008467D5">
      <w:pPr>
        <w:pBdr>
          <w:bottom w:val="single" w:sz="18" w:space="1" w:color="auto"/>
        </w:pBdr>
        <w:tabs>
          <w:tab w:val="left" w:pos="-1440"/>
          <w:tab w:val="left" w:pos="-720"/>
          <w:tab w:val="left" w:pos="1"/>
        </w:tabs>
        <w:jc w:val="both"/>
        <w:rPr>
          <w:rFonts w:ascii="Arial" w:hAnsi="Arial"/>
          <w:b/>
          <w:sz w:val="24"/>
        </w:rPr>
      </w:pPr>
    </w:p>
    <w:p w14:paraId="1B6CEDFC" w14:textId="5273E28F" w:rsidR="00D75295" w:rsidRPr="00811800" w:rsidRDefault="004F349E" w:rsidP="00F105B7">
      <w:pPr>
        <w:pStyle w:val="ProductNumber"/>
      </w:pPr>
      <w:r>
        <w:t>9B17M</w:t>
      </w:r>
      <w:r w:rsidR="00F07E0C">
        <w:t>106</w:t>
      </w:r>
    </w:p>
    <w:p w14:paraId="3CF294F8" w14:textId="77777777" w:rsidR="00D75295" w:rsidRPr="00811800" w:rsidRDefault="00D75295" w:rsidP="00D75295">
      <w:pPr>
        <w:jc w:val="right"/>
        <w:rPr>
          <w:rFonts w:ascii="Arial" w:hAnsi="Arial"/>
          <w:b/>
          <w:sz w:val="28"/>
          <w:szCs w:val="28"/>
        </w:rPr>
      </w:pPr>
    </w:p>
    <w:p w14:paraId="4149BF51" w14:textId="77777777" w:rsidR="00866F6D" w:rsidRPr="00811800" w:rsidRDefault="00866F6D" w:rsidP="00D75295">
      <w:pPr>
        <w:jc w:val="right"/>
        <w:rPr>
          <w:rFonts w:ascii="Arial" w:hAnsi="Arial"/>
          <w:b/>
          <w:sz w:val="28"/>
          <w:szCs w:val="28"/>
        </w:rPr>
      </w:pPr>
    </w:p>
    <w:p w14:paraId="453D5C5E" w14:textId="4EC5F340" w:rsidR="00013360" w:rsidRPr="00811800" w:rsidRDefault="007F4BFB" w:rsidP="00013360">
      <w:pPr>
        <w:pStyle w:val="CaseTitle"/>
        <w:spacing w:after="0" w:line="240" w:lineRule="auto"/>
      </w:pPr>
      <w:r>
        <w:t xml:space="preserve">Suntech Power Holdings: </w:t>
      </w:r>
      <w:r w:rsidR="00F90823">
        <w:t>How to avoid bankruptcy</w:t>
      </w:r>
      <w:r w:rsidR="00732055">
        <w:rPr>
          <w:rStyle w:val="EndnoteReference"/>
        </w:rPr>
        <w:endnoteReference w:id="1"/>
      </w:r>
    </w:p>
    <w:p w14:paraId="5E0D6919" w14:textId="77777777" w:rsidR="00013360" w:rsidRPr="00811800" w:rsidRDefault="00013360" w:rsidP="00013360">
      <w:pPr>
        <w:pStyle w:val="CaseTitle"/>
        <w:spacing w:after="0" w:line="240" w:lineRule="auto"/>
        <w:rPr>
          <w:sz w:val="20"/>
          <w:szCs w:val="20"/>
        </w:rPr>
      </w:pPr>
    </w:p>
    <w:p w14:paraId="4385D3F3" w14:textId="77777777" w:rsidR="00CA3976" w:rsidRPr="00811800" w:rsidRDefault="00CA3976" w:rsidP="00013360">
      <w:pPr>
        <w:pStyle w:val="CaseTitle"/>
        <w:spacing w:after="0" w:line="240" w:lineRule="auto"/>
        <w:rPr>
          <w:sz w:val="20"/>
          <w:szCs w:val="20"/>
        </w:rPr>
      </w:pPr>
    </w:p>
    <w:p w14:paraId="0020F263" w14:textId="77777777" w:rsidR="00013360" w:rsidRPr="00811800" w:rsidRDefault="00013360" w:rsidP="00013360">
      <w:pPr>
        <w:pStyle w:val="CaseTitle"/>
        <w:spacing w:after="0" w:line="240" w:lineRule="auto"/>
        <w:rPr>
          <w:sz w:val="20"/>
          <w:szCs w:val="20"/>
        </w:rPr>
      </w:pPr>
    </w:p>
    <w:p w14:paraId="0AFF8307" w14:textId="400717B3" w:rsidR="00013360" w:rsidRPr="00811800" w:rsidRDefault="00151508" w:rsidP="00104567">
      <w:pPr>
        <w:pStyle w:val="StyleCopyrightStatementAfter0ptBottomSinglesolidline1"/>
      </w:pPr>
      <w:r w:rsidRPr="00811800">
        <w:t xml:space="preserve">Daniel Han Ming </w:t>
      </w:r>
      <w:proofErr w:type="spellStart"/>
      <w:r w:rsidRPr="00811800">
        <w:t>Chng</w:t>
      </w:r>
      <w:proofErr w:type="spellEnd"/>
      <w:r w:rsidRPr="00811800">
        <w:t xml:space="preserve"> and </w:t>
      </w:r>
      <w:proofErr w:type="spellStart"/>
      <w:r w:rsidRPr="00811800">
        <w:t>Ziqian</w:t>
      </w:r>
      <w:proofErr w:type="spellEnd"/>
      <w:r w:rsidRPr="00811800">
        <w:t xml:space="preserve"> Zhao</w:t>
      </w:r>
      <w:r w:rsidR="007E5921" w:rsidRPr="00811800">
        <w:t xml:space="preserve"> wrote this case sol</w:t>
      </w:r>
      <w:r w:rsidR="00D75295" w:rsidRPr="00811800">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07526CD4" w14:textId="77777777" w:rsidR="00013360" w:rsidRPr="00811800" w:rsidRDefault="00013360" w:rsidP="00104567">
      <w:pPr>
        <w:pStyle w:val="StyleCopyrightStatementAfter0ptBottomSinglesolidline1"/>
      </w:pPr>
    </w:p>
    <w:p w14:paraId="64CB1979" w14:textId="77777777" w:rsidR="004F349E" w:rsidRDefault="004F349E" w:rsidP="004F349E">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1"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5E9D1810" w14:textId="77777777" w:rsidR="004F349E" w:rsidRDefault="004F349E" w:rsidP="004F349E">
      <w:pPr>
        <w:pStyle w:val="StyleCopyrightStatementAfter0ptBottomSinglesolidline1"/>
        <w:pBdr>
          <w:top w:val="none" w:sz="0" w:space="0" w:color="auto"/>
        </w:pBdr>
      </w:pPr>
    </w:p>
    <w:p w14:paraId="12DB6DA8" w14:textId="6B74418B" w:rsidR="003B7EF2" w:rsidRPr="00811800" w:rsidRDefault="004F349E" w:rsidP="003B7EF2">
      <w:pPr>
        <w:pStyle w:val="StyleStyleCopyrightStatementAfter0ptBottomSinglesolid"/>
      </w:pPr>
      <w:r>
        <w:t>Copyright © 2017, China Europe International Business School</w:t>
      </w:r>
      <w:r w:rsidR="003B7EF2" w:rsidRPr="00811800">
        <w:tab/>
        <w:t xml:space="preserve">Version: </w:t>
      </w:r>
      <w:r w:rsidR="00361C8E" w:rsidRPr="00811800">
        <w:t>201</w:t>
      </w:r>
      <w:r w:rsidR="00FC7B2C">
        <w:t>7</w:t>
      </w:r>
      <w:r w:rsidR="00361C8E" w:rsidRPr="00811800">
        <w:t>-</w:t>
      </w:r>
      <w:r w:rsidR="00020233">
        <w:t>0</w:t>
      </w:r>
      <w:r w:rsidR="00F07E0C">
        <w:t>7</w:t>
      </w:r>
      <w:r w:rsidR="00DE2E6F" w:rsidRPr="00811800">
        <w:t>-</w:t>
      </w:r>
      <w:r w:rsidR="006319C4">
        <w:t>25</w:t>
      </w:r>
    </w:p>
    <w:p w14:paraId="070A7B02" w14:textId="77777777" w:rsidR="003B7EF2" w:rsidRPr="00811800" w:rsidRDefault="003B7EF2" w:rsidP="00104567">
      <w:pPr>
        <w:pStyle w:val="StyleCopyrightStatementAfter0ptBottomSinglesolidline1"/>
        <w:rPr>
          <w:rFonts w:ascii="Times New Roman" w:hAnsi="Times New Roman"/>
          <w:sz w:val="20"/>
        </w:rPr>
      </w:pPr>
    </w:p>
    <w:p w14:paraId="381DBF50" w14:textId="77777777" w:rsidR="003B7EF2" w:rsidRPr="00811800" w:rsidRDefault="003B7EF2" w:rsidP="006F1D9E">
      <w:pPr>
        <w:pStyle w:val="Footnote"/>
      </w:pPr>
    </w:p>
    <w:p w14:paraId="1DDC3827" w14:textId="74BDEEE5" w:rsidR="00A41F7B" w:rsidRDefault="00903196" w:rsidP="00903196">
      <w:pPr>
        <w:pStyle w:val="BodyTextMain"/>
        <w:rPr>
          <w:spacing w:val="-2"/>
          <w:kern w:val="22"/>
        </w:rPr>
      </w:pPr>
      <w:r w:rsidRPr="00811800">
        <w:rPr>
          <w:spacing w:val="-2"/>
          <w:kern w:val="22"/>
        </w:rPr>
        <w:t xml:space="preserve">On many occasions, </w:t>
      </w:r>
      <w:r w:rsidR="00F43753" w:rsidRPr="00811800">
        <w:rPr>
          <w:spacing w:val="-2"/>
          <w:kern w:val="22"/>
        </w:rPr>
        <w:t xml:space="preserve">Shi </w:t>
      </w:r>
      <w:proofErr w:type="spellStart"/>
      <w:r w:rsidR="00F43753" w:rsidRPr="00811800">
        <w:rPr>
          <w:spacing w:val="-2"/>
          <w:kern w:val="22"/>
        </w:rPr>
        <w:t>Zhengrong</w:t>
      </w:r>
      <w:proofErr w:type="spellEnd"/>
      <w:r w:rsidR="00F43753">
        <w:rPr>
          <w:spacing w:val="-2"/>
          <w:kern w:val="22"/>
        </w:rPr>
        <w:t xml:space="preserve">, the </w:t>
      </w:r>
      <w:r w:rsidR="00F43753" w:rsidRPr="00811800">
        <w:rPr>
          <w:spacing w:val="-2"/>
          <w:kern w:val="22"/>
        </w:rPr>
        <w:t>founder</w:t>
      </w:r>
      <w:r w:rsidR="00F43753">
        <w:rPr>
          <w:spacing w:val="-2"/>
          <w:kern w:val="22"/>
        </w:rPr>
        <w:t>,</w:t>
      </w:r>
      <w:r w:rsidR="00F43753" w:rsidRPr="00811800">
        <w:rPr>
          <w:spacing w:val="-2"/>
          <w:kern w:val="22"/>
        </w:rPr>
        <w:t xml:space="preserve"> former </w:t>
      </w:r>
      <w:r w:rsidR="00F43753">
        <w:rPr>
          <w:spacing w:val="-2"/>
          <w:kern w:val="22"/>
        </w:rPr>
        <w:t>c</w:t>
      </w:r>
      <w:r w:rsidR="00F43753" w:rsidRPr="00811800">
        <w:rPr>
          <w:spacing w:val="-2"/>
          <w:kern w:val="22"/>
        </w:rPr>
        <w:t>hairman</w:t>
      </w:r>
      <w:r w:rsidR="00F43753">
        <w:rPr>
          <w:spacing w:val="-2"/>
          <w:kern w:val="22"/>
        </w:rPr>
        <w:t>,</w:t>
      </w:r>
      <w:r w:rsidR="00F43753" w:rsidRPr="00811800">
        <w:rPr>
          <w:spacing w:val="-2"/>
          <w:kern w:val="22"/>
        </w:rPr>
        <w:t xml:space="preserve"> and </w:t>
      </w:r>
      <w:r w:rsidR="00F5456C">
        <w:rPr>
          <w:spacing w:val="-2"/>
          <w:kern w:val="22"/>
        </w:rPr>
        <w:t>chief executive officer (</w:t>
      </w:r>
      <w:r w:rsidR="00F43753" w:rsidRPr="00811800">
        <w:rPr>
          <w:spacing w:val="-2"/>
          <w:kern w:val="22"/>
        </w:rPr>
        <w:t>CEO</w:t>
      </w:r>
      <w:r w:rsidR="00F5456C">
        <w:rPr>
          <w:spacing w:val="-2"/>
          <w:kern w:val="22"/>
        </w:rPr>
        <w:t>)</w:t>
      </w:r>
      <w:r w:rsidR="00F43753">
        <w:rPr>
          <w:spacing w:val="-2"/>
          <w:kern w:val="22"/>
        </w:rPr>
        <w:t xml:space="preserve"> of </w:t>
      </w:r>
      <w:proofErr w:type="spellStart"/>
      <w:r w:rsidRPr="00811800">
        <w:rPr>
          <w:spacing w:val="-2"/>
          <w:kern w:val="22"/>
        </w:rPr>
        <w:t>Suntech</w:t>
      </w:r>
      <w:proofErr w:type="spellEnd"/>
      <w:r w:rsidRPr="00811800">
        <w:rPr>
          <w:spacing w:val="-2"/>
          <w:kern w:val="22"/>
        </w:rPr>
        <w:t xml:space="preserve"> Power Holdings Co. Ltd.</w:t>
      </w:r>
      <w:r w:rsidR="00801121">
        <w:rPr>
          <w:spacing w:val="-2"/>
          <w:kern w:val="22"/>
        </w:rPr>
        <w:t xml:space="preserve"> (STP)</w:t>
      </w:r>
      <w:r w:rsidRPr="00811800">
        <w:rPr>
          <w:spacing w:val="-2"/>
          <w:kern w:val="22"/>
        </w:rPr>
        <w:t>, expressed his belief that his company was “built-to-last.”</w:t>
      </w:r>
      <w:r w:rsidRPr="00811800">
        <w:rPr>
          <w:rStyle w:val="EndnoteReference"/>
          <w:spacing w:val="-2"/>
          <w:kern w:val="22"/>
        </w:rPr>
        <w:endnoteReference w:id="2"/>
      </w:r>
      <w:r w:rsidRPr="00811800">
        <w:rPr>
          <w:spacing w:val="-2"/>
          <w:kern w:val="22"/>
        </w:rPr>
        <w:t xml:space="preserve"> Exploiting favo</w:t>
      </w:r>
      <w:r w:rsidR="00F43753">
        <w:rPr>
          <w:spacing w:val="-2"/>
          <w:kern w:val="22"/>
        </w:rPr>
        <w:t>u</w:t>
      </w:r>
      <w:r w:rsidRPr="00811800">
        <w:rPr>
          <w:spacing w:val="-2"/>
          <w:kern w:val="22"/>
        </w:rPr>
        <w:t>rable global demands for renewable energy, the company grew from being one of many</w:t>
      </w:r>
      <w:r w:rsidRPr="00811800">
        <w:rPr>
          <w:rFonts w:eastAsiaTheme="minorEastAsia"/>
          <w:spacing w:val="-2"/>
          <w:kern w:val="22"/>
        </w:rPr>
        <w:t xml:space="preserve"> technological </w:t>
      </w:r>
      <w:r w:rsidRPr="00811800">
        <w:rPr>
          <w:spacing w:val="-2"/>
          <w:kern w:val="22"/>
        </w:rPr>
        <w:t xml:space="preserve">start-ups in China in 2001 to the leading global producer of photovoltaic </w:t>
      </w:r>
      <w:r w:rsidRPr="00811800">
        <w:rPr>
          <w:rFonts w:eastAsiaTheme="minorEastAsia"/>
          <w:spacing w:val="-2"/>
          <w:kern w:val="22"/>
        </w:rPr>
        <w:t xml:space="preserve">solar </w:t>
      </w:r>
      <w:r w:rsidRPr="00811800">
        <w:rPr>
          <w:spacing w:val="-2"/>
          <w:kern w:val="22"/>
        </w:rPr>
        <w:t>cells and modules in 2011 (</w:t>
      </w:r>
      <w:r w:rsidR="00F43753">
        <w:rPr>
          <w:spacing w:val="-2"/>
          <w:kern w:val="22"/>
        </w:rPr>
        <w:t xml:space="preserve">see </w:t>
      </w:r>
      <w:r w:rsidRPr="00811800">
        <w:rPr>
          <w:spacing w:val="-2"/>
          <w:kern w:val="22"/>
        </w:rPr>
        <w:t xml:space="preserve">Exhibit 1). However, </w:t>
      </w:r>
      <w:r w:rsidR="00A41F7B">
        <w:rPr>
          <w:spacing w:val="-2"/>
          <w:kern w:val="22"/>
        </w:rPr>
        <w:t xml:space="preserve">in early 2013, </w:t>
      </w:r>
      <w:r w:rsidR="00A41F7B" w:rsidRPr="00811800">
        <w:rPr>
          <w:spacing w:val="-2"/>
          <w:kern w:val="22"/>
        </w:rPr>
        <w:t>STP’s wholly</w:t>
      </w:r>
      <w:r w:rsidR="00EB7981">
        <w:rPr>
          <w:spacing w:val="-2"/>
          <w:kern w:val="22"/>
        </w:rPr>
        <w:t xml:space="preserve"> </w:t>
      </w:r>
      <w:r w:rsidR="00A41F7B" w:rsidRPr="00811800">
        <w:rPr>
          <w:spacing w:val="-2"/>
          <w:kern w:val="22"/>
        </w:rPr>
        <w:t>owned subsidiary in China</w:t>
      </w:r>
      <w:r w:rsidR="00A41F7B">
        <w:rPr>
          <w:spacing w:val="-2"/>
          <w:kern w:val="22"/>
        </w:rPr>
        <w:t>,</w:t>
      </w:r>
      <w:r w:rsidR="00A41F7B" w:rsidRPr="00A41F7B">
        <w:rPr>
          <w:spacing w:val="-2"/>
          <w:kern w:val="22"/>
        </w:rPr>
        <w:t xml:space="preserve"> </w:t>
      </w:r>
      <w:r w:rsidR="00A41F7B" w:rsidRPr="00811800">
        <w:rPr>
          <w:spacing w:val="-2"/>
          <w:kern w:val="22"/>
        </w:rPr>
        <w:t xml:space="preserve">Wuxi </w:t>
      </w:r>
      <w:proofErr w:type="spellStart"/>
      <w:r w:rsidR="00A41F7B" w:rsidRPr="00811800">
        <w:rPr>
          <w:spacing w:val="-2"/>
          <w:kern w:val="22"/>
        </w:rPr>
        <w:t>Suntech</w:t>
      </w:r>
      <w:proofErr w:type="spellEnd"/>
      <w:r w:rsidR="00A41F7B" w:rsidRPr="00811800">
        <w:rPr>
          <w:rFonts w:eastAsiaTheme="minorEastAsia"/>
          <w:spacing w:val="-2"/>
          <w:kern w:val="22"/>
        </w:rPr>
        <w:t xml:space="preserve"> Power Co. Ltd. (Wuxi </w:t>
      </w:r>
      <w:proofErr w:type="spellStart"/>
      <w:r w:rsidR="00A41F7B" w:rsidRPr="00811800">
        <w:rPr>
          <w:rFonts w:eastAsiaTheme="minorEastAsia"/>
          <w:spacing w:val="-2"/>
          <w:kern w:val="22"/>
        </w:rPr>
        <w:t>Suntech</w:t>
      </w:r>
      <w:proofErr w:type="spellEnd"/>
      <w:r w:rsidR="00A41F7B" w:rsidRPr="00811800">
        <w:rPr>
          <w:rFonts w:eastAsiaTheme="minorEastAsia"/>
          <w:spacing w:val="-2"/>
          <w:kern w:val="22"/>
        </w:rPr>
        <w:t>)</w:t>
      </w:r>
      <w:r w:rsidR="00A41F7B">
        <w:rPr>
          <w:rFonts w:eastAsiaTheme="minorEastAsia"/>
          <w:spacing w:val="-2"/>
          <w:kern w:val="22"/>
        </w:rPr>
        <w:t xml:space="preserve">, </w:t>
      </w:r>
      <w:r w:rsidR="00A41F7B">
        <w:rPr>
          <w:spacing w:val="-2"/>
          <w:kern w:val="22"/>
        </w:rPr>
        <w:t xml:space="preserve">which </w:t>
      </w:r>
      <w:r w:rsidR="00A41F7B" w:rsidRPr="00811800">
        <w:rPr>
          <w:spacing w:val="-2"/>
          <w:kern w:val="22"/>
        </w:rPr>
        <w:t xml:space="preserve">accounted for nearly 95 per cent of the company’s </w:t>
      </w:r>
      <w:r w:rsidR="00823CBE">
        <w:rPr>
          <w:rFonts w:eastAsiaTheme="minorEastAsia" w:hint="eastAsia"/>
          <w:spacing w:val="-2"/>
          <w:kern w:val="22"/>
          <w:lang w:eastAsia="zh-CN"/>
        </w:rPr>
        <w:t>product</w:t>
      </w:r>
      <w:r w:rsidR="005F210F">
        <w:rPr>
          <w:rFonts w:eastAsiaTheme="minorEastAsia" w:hint="eastAsia"/>
          <w:spacing w:val="-2"/>
          <w:kern w:val="22"/>
          <w:lang w:eastAsia="zh-CN"/>
        </w:rPr>
        <w:t>s</w:t>
      </w:r>
      <w:r w:rsidR="0045432E">
        <w:rPr>
          <w:rFonts w:eastAsiaTheme="minorEastAsia"/>
          <w:spacing w:val="-2"/>
          <w:kern w:val="22"/>
        </w:rPr>
        <w:t>,</w:t>
      </w:r>
      <w:r w:rsidR="00A41F7B" w:rsidRPr="00811800">
        <w:rPr>
          <w:rStyle w:val="EndnoteReference"/>
          <w:rFonts w:eastAsiaTheme="minorEastAsia"/>
          <w:spacing w:val="-2"/>
          <w:kern w:val="22"/>
        </w:rPr>
        <w:endnoteReference w:id="3"/>
      </w:r>
      <w:r w:rsidR="00A41F7B">
        <w:rPr>
          <w:rFonts w:eastAsiaTheme="minorEastAsia"/>
          <w:spacing w:val="-2"/>
          <w:kern w:val="22"/>
        </w:rPr>
        <w:t xml:space="preserve"> </w:t>
      </w:r>
      <w:r w:rsidR="00F43753">
        <w:rPr>
          <w:rFonts w:eastAsiaTheme="minorEastAsia"/>
          <w:spacing w:val="-2"/>
          <w:kern w:val="22"/>
        </w:rPr>
        <w:t>was</w:t>
      </w:r>
      <w:r w:rsidR="005C76C9">
        <w:rPr>
          <w:rFonts w:eastAsiaTheme="minorEastAsia"/>
          <w:spacing w:val="-2"/>
          <w:kern w:val="22"/>
        </w:rPr>
        <w:t xml:space="preserve"> </w:t>
      </w:r>
      <w:r w:rsidR="00A41F7B">
        <w:rPr>
          <w:rFonts w:eastAsiaTheme="minorEastAsia"/>
          <w:spacing w:val="-2"/>
          <w:kern w:val="22"/>
        </w:rPr>
        <w:t xml:space="preserve">struggling to </w:t>
      </w:r>
      <w:r w:rsidR="00A41F7B" w:rsidRPr="00811800">
        <w:rPr>
          <w:spacing w:val="-2"/>
          <w:kern w:val="22"/>
        </w:rPr>
        <w:t>repay a five-year convertible bond worth over US$541 million</w:t>
      </w:r>
      <w:r w:rsidR="00A41F7B" w:rsidRPr="00A41F7B">
        <w:rPr>
          <w:spacing w:val="-2"/>
          <w:kern w:val="22"/>
        </w:rPr>
        <w:t xml:space="preserve"> </w:t>
      </w:r>
      <w:r w:rsidR="00A41F7B">
        <w:rPr>
          <w:spacing w:val="-2"/>
          <w:kern w:val="22"/>
        </w:rPr>
        <w:t xml:space="preserve">to </w:t>
      </w:r>
      <w:r w:rsidR="00A41F7B" w:rsidRPr="00811800">
        <w:rPr>
          <w:spacing w:val="-2"/>
          <w:kern w:val="22"/>
        </w:rPr>
        <w:t xml:space="preserve">nine creditor banks </w:t>
      </w:r>
      <w:r w:rsidR="00A41F7B" w:rsidRPr="00811800">
        <w:rPr>
          <w:rFonts w:eastAsiaTheme="minorEastAsia"/>
          <w:spacing w:val="-2"/>
          <w:kern w:val="22"/>
        </w:rPr>
        <w:t>in China</w:t>
      </w:r>
      <w:r w:rsidR="00F43753">
        <w:rPr>
          <w:rFonts w:eastAsiaTheme="minorEastAsia"/>
          <w:spacing w:val="-2"/>
          <w:kern w:val="22"/>
        </w:rPr>
        <w:t>.</w:t>
      </w:r>
      <w:r w:rsidR="00A41F7B" w:rsidRPr="00811800">
        <w:rPr>
          <w:rStyle w:val="EndnoteReference"/>
          <w:spacing w:val="-2"/>
          <w:kern w:val="22"/>
        </w:rPr>
        <w:t xml:space="preserve"> </w:t>
      </w:r>
      <w:r w:rsidR="00A41F7B" w:rsidRPr="00811800">
        <w:rPr>
          <w:rStyle w:val="EndnoteReference"/>
          <w:spacing w:val="-2"/>
          <w:kern w:val="22"/>
        </w:rPr>
        <w:endnoteReference w:id="4"/>
      </w:r>
      <w:r w:rsidR="00A41F7B" w:rsidRPr="00A41F7B">
        <w:rPr>
          <w:spacing w:val="-2"/>
          <w:kern w:val="22"/>
        </w:rPr>
        <w:t xml:space="preserve"> </w:t>
      </w:r>
      <w:r w:rsidR="00A41F7B" w:rsidRPr="00811800">
        <w:rPr>
          <w:spacing w:val="-2"/>
          <w:kern w:val="22"/>
        </w:rPr>
        <w:t xml:space="preserve">Its stock price </w:t>
      </w:r>
      <w:r w:rsidR="007F4BFB">
        <w:rPr>
          <w:spacing w:val="-2"/>
          <w:kern w:val="22"/>
        </w:rPr>
        <w:t>had</w:t>
      </w:r>
      <w:r w:rsidR="00A41F7B">
        <w:rPr>
          <w:spacing w:val="-2"/>
          <w:kern w:val="22"/>
        </w:rPr>
        <w:t xml:space="preserve"> fallen to under </w:t>
      </w:r>
      <w:r w:rsidR="00A41F7B" w:rsidRPr="00811800">
        <w:rPr>
          <w:spacing w:val="-2"/>
          <w:kern w:val="22"/>
        </w:rPr>
        <w:t>$</w:t>
      </w:r>
      <w:r w:rsidR="00A41F7B">
        <w:rPr>
          <w:spacing w:val="-2"/>
          <w:kern w:val="22"/>
        </w:rPr>
        <w:t>1</w:t>
      </w:r>
      <w:r w:rsidR="00A41F7B" w:rsidRPr="00811800">
        <w:rPr>
          <w:spacing w:val="-2"/>
          <w:kern w:val="22"/>
        </w:rPr>
        <w:t xml:space="preserve"> from </w:t>
      </w:r>
      <w:r w:rsidR="00A41F7B" w:rsidRPr="00811800">
        <w:rPr>
          <w:rFonts w:eastAsiaTheme="minorEastAsia"/>
          <w:spacing w:val="-2"/>
          <w:kern w:val="22"/>
        </w:rPr>
        <w:t xml:space="preserve">a peak of </w:t>
      </w:r>
      <w:r w:rsidR="00A41F7B" w:rsidRPr="00811800">
        <w:rPr>
          <w:spacing w:val="-2"/>
          <w:kern w:val="22"/>
        </w:rPr>
        <w:t>$90 in 2008.</w:t>
      </w:r>
      <w:r w:rsidR="00A41F7B" w:rsidRPr="00A41F7B">
        <w:rPr>
          <w:spacing w:val="-2"/>
          <w:kern w:val="22"/>
        </w:rPr>
        <w:t xml:space="preserve"> </w:t>
      </w:r>
      <w:r w:rsidR="00A41F7B" w:rsidRPr="00811800">
        <w:rPr>
          <w:spacing w:val="-2"/>
          <w:kern w:val="22"/>
        </w:rPr>
        <w:t xml:space="preserve">Looking at the dramatic rise and fall of STP, what could Shi </w:t>
      </w:r>
      <w:r w:rsidR="00A41F7B">
        <w:rPr>
          <w:spacing w:val="-2"/>
          <w:kern w:val="22"/>
        </w:rPr>
        <w:t xml:space="preserve">do to </w:t>
      </w:r>
      <w:r w:rsidR="00F43753">
        <w:rPr>
          <w:spacing w:val="-2"/>
          <w:kern w:val="22"/>
        </w:rPr>
        <w:t xml:space="preserve">turn the company around and </w:t>
      </w:r>
      <w:r w:rsidR="00A41F7B">
        <w:rPr>
          <w:spacing w:val="-2"/>
          <w:kern w:val="22"/>
        </w:rPr>
        <w:t>avoid bankruptcy?</w:t>
      </w:r>
    </w:p>
    <w:p w14:paraId="3C95A336" w14:textId="77777777" w:rsidR="00B53F22" w:rsidRPr="008F3A57" w:rsidRDefault="00B53F22" w:rsidP="00903196">
      <w:pPr>
        <w:pStyle w:val="BodyTextMain"/>
        <w:rPr>
          <w:sz w:val="18"/>
        </w:rPr>
      </w:pPr>
    </w:p>
    <w:p w14:paraId="2C895A2B" w14:textId="77777777" w:rsidR="00384119" w:rsidRPr="00811800" w:rsidRDefault="00384119" w:rsidP="00903196">
      <w:pPr>
        <w:pStyle w:val="BodyTextMain"/>
      </w:pPr>
    </w:p>
    <w:p w14:paraId="53A3247C" w14:textId="77777777" w:rsidR="00DE2E6F" w:rsidRPr="00811800" w:rsidRDefault="00903196" w:rsidP="00132293">
      <w:pPr>
        <w:pStyle w:val="Casehead1"/>
      </w:pPr>
      <w:r w:rsidRPr="00811800">
        <w:t>The Solar Energy Industry</w:t>
      </w:r>
    </w:p>
    <w:p w14:paraId="34BB8908" w14:textId="77777777" w:rsidR="00903196" w:rsidRPr="008F3A57" w:rsidRDefault="00903196" w:rsidP="00132293">
      <w:pPr>
        <w:pStyle w:val="BodyTextMain"/>
        <w:rPr>
          <w:sz w:val="20"/>
        </w:rPr>
      </w:pPr>
    </w:p>
    <w:p w14:paraId="1984C589" w14:textId="3582AB85" w:rsidR="006A5750" w:rsidRPr="00811800" w:rsidRDefault="00903196" w:rsidP="00AD76B9">
      <w:pPr>
        <w:pStyle w:val="BodyTextMain"/>
      </w:pPr>
      <w:r w:rsidRPr="00811800">
        <w:t>The science of converting sunlight into electricity was discovered in the 19</w:t>
      </w:r>
      <w:r w:rsidRPr="003A56B2">
        <w:t>th</w:t>
      </w:r>
      <w:r w:rsidRPr="00811800">
        <w:t xml:space="preserve"> century</w:t>
      </w:r>
      <w:r w:rsidR="00B37BE4">
        <w:t>,</w:t>
      </w:r>
      <w:r w:rsidRPr="00811800">
        <w:t xml:space="preserve"> and the first solar cell</w:t>
      </w:r>
      <w:r w:rsidR="00A22F33">
        <w:t>,</w:t>
      </w:r>
      <w:r w:rsidR="006A5750" w:rsidRPr="00811800">
        <w:rPr>
          <w:rStyle w:val="EndnoteReference"/>
        </w:rPr>
        <w:endnoteReference w:id="5"/>
      </w:r>
      <w:r w:rsidR="006A5750" w:rsidRPr="00811800">
        <w:t xml:space="preserve"> made of crystalline silicon, was invented in 1953. However, the high cost and low conversion efficiency</w:t>
      </w:r>
      <w:r w:rsidR="006A5750" w:rsidRPr="00811800">
        <w:rPr>
          <w:rStyle w:val="EndnoteReference"/>
        </w:rPr>
        <w:endnoteReference w:id="6"/>
      </w:r>
      <w:r w:rsidR="006A5750" w:rsidRPr="00811800">
        <w:t xml:space="preserve"> prevented its popular use. The global energy crisis in the 1970s compelled many developed countries to consider the gradual substitution of traditional energy sources (e.g., coal and petroleum) with new, alternative energy sources, including solar energy. Technological advances improved the conversion efficiency </w:t>
      </w:r>
      <w:r w:rsidR="006A5750" w:rsidRPr="00811800">
        <w:rPr>
          <w:rFonts w:eastAsiaTheme="minorEastAsia"/>
        </w:rPr>
        <w:t>of solar cells</w:t>
      </w:r>
      <w:r w:rsidR="00B37BE4">
        <w:rPr>
          <w:rFonts w:eastAsiaTheme="minorEastAsia"/>
        </w:rPr>
        <w:t>,</w:t>
      </w:r>
      <w:r w:rsidR="006A5750" w:rsidRPr="00811800">
        <w:rPr>
          <w:rFonts w:eastAsiaTheme="minorEastAsia"/>
        </w:rPr>
        <w:t xml:space="preserve"> </w:t>
      </w:r>
      <w:r w:rsidR="006A5750" w:rsidRPr="00811800">
        <w:t xml:space="preserve">and many developed countries like the United States, Germany, and Japan </w:t>
      </w:r>
      <w:r w:rsidR="006A5750" w:rsidRPr="00811800">
        <w:rPr>
          <w:rFonts w:eastAsiaTheme="minorEastAsia"/>
        </w:rPr>
        <w:t>started to introduce</w:t>
      </w:r>
      <w:r w:rsidR="006A5750" w:rsidRPr="00811800">
        <w:t xml:space="preserve"> subsidy schemes to support solar energy in the late 1990s. Consequently, the global </w:t>
      </w:r>
      <w:r w:rsidR="006A5750" w:rsidRPr="00811800">
        <w:rPr>
          <w:rFonts w:eastAsiaTheme="minorEastAsia"/>
        </w:rPr>
        <w:t xml:space="preserve">solar energy </w:t>
      </w:r>
      <w:r w:rsidR="006A5750" w:rsidRPr="00811800">
        <w:t>industry began to take off (</w:t>
      </w:r>
      <w:r w:rsidR="003A56B2">
        <w:t xml:space="preserve">see </w:t>
      </w:r>
      <w:r w:rsidR="006A5750" w:rsidRPr="00811800">
        <w:t>Exhibit 2).</w:t>
      </w:r>
    </w:p>
    <w:p w14:paraId="159AD324" w14:textId="77777777" w:rsidR="002A7342" w:rsidRPr="008F3A57" w:rsidRDefault="002A7342" w:rsidP="00AD76B9">
      <w:pPr>
        <w:pStyle w:val="BodyTextMain"/>
        <w:rPr>
          <w:sz w:val="20"/>
        </w:rPr>
      </w:pPr>
    </w:p>
    <w:p w14:paraId="6FA2D2A8" w14:textId="59B57931" w:rsidR="006A5750" w:rsidRDefault="006A5750" w:rsidP="00AD76B9">
      <w:pPr>
        <w:pStyle w:val="BodyTextMain"/>
        <w:rPr>
          <w:rFonts w:eastAsiaTheme="minorEastAsia"/>
        </w:rPr>
      </w:pPr>
      <w:r w:rsidRPr="00811800">
        <w:t xml:space="preserve">The solar energy industry </w:t>
      </w:r>
      <w:r w:rsidRPr="00811800">
        <w:rPr>
          <w:rFonts w:eastAsiaTheme="minorEastAsia"/>
        </w:rPr>
        <w:t xml:space="preserve">value chain </w:t>
      </w:r>
      <w:r w:rsidRPr="00811800">
        <w:t>involved five segments: (1) solar-grade silicon, (2) silicon components (e.g., wafers), (3) solar cells, (4) solar modules (</w:t>
      </w:r>
      <w:r w:rsidRPr="00811800">
        <w:rPr>
          <w:rFonts w:eastAsiaTheme="minorEastAsia"/>
        </w:rPr>
        <w:t xml:space="preserve">i.e., </w:t>
      </w:r>
      <w:r w:rsidRPr="00811800">
        <w:t xml:space="preserve">arrays of solar cells), and (5) solar power systems. Until 2008, the supply of solar-grade silicon was the bottleneck in the industry. Although silicon was not rare, in the </w:t>
      </w:r>
      <w:r w:rsidR="003A56B2">
        <w:rPr>
          <w:rFonts w:eastAsiaTheme="minorEastAsia"/>
        </w:rPr>
        <w:t>early 2000</w:t>
      </w:r>
      <w:r w:rsidRPr="00811800">
        <w:rPr>
          <w:rFonts w:eastAsiaTheme="minorEastAsia"/>
        </w:rPr>
        <w:t xml:space="preserve">s, the core technology for mass production of highly purified silicon </w:t>
      </w:r>
      <w:r w:rsidRPr="00811800">
        <w:t>(purity level over 99.999 per cent)</w:t>
      </w:r>
      <w:r w:rsidRPr="00811800">
        <w:rPr>
          <w:rFonts w:eastAsiaTheme="minorEastAsia"/>
        </w:rPr>
        <w:t xml:space="preserve"> was controlled by a few multinational corporations </w:t>
      </w:r>
      <w:r w:rsidRPr="00811800">
        <w:t>in</w:t>
      </w:r>
      <w:r w:rsidRPr="00811800">
        <w:rPr>
          <w:rFonts w:eastAsiaTheme="minorEastAsia"/>
        </w:rPr>
        <w:t xml:space="preserve"> the </w:t>
      </w:r>
      <w:r w:rsidRPr="00811800">
        <w:t>U</w:t>
      </w:r>
      <w:r w:rsidR="00A22F33">
        <w:t>nited States</w:t>
      </w:r>
      <w:r w:rsidRPr="00811800">
        <w:t xml:space="preserve">, Europe, and Japan, making this the </w:t>
      </w:r>
      <w:r w:rsidRPr="00811800">
        <w:rPr>
          <w:rFonts w:eastAsiaTheme="minorEastAsia"/>
        </w:rPr>
        <w:t xml:space="preserve">most </w:t>
      </w:r>
      <w:r w:rsidRPr="00811800">
        <w:t>profitable</w:t>
      </w:r>
      <w:r w:rsidRPr="00811800">
        <w:rPr>
          <w:rFonts w:eastAsiaTheme="minorEastAsia"/>
        </w:rPr>
        <w:t xml:space="preserve"> segment in the industry.</w:t>
      </w:r>
    </w:p>
    <w:p w14:paraId="26CC9AC9" w14:textId="77777777" w:rsidR="00A41F7B" w:rsidRPr="00811800" w:rsidRDefault="00A41F7B" w:rsidP="00AD76B9">
      <w:pPr>
        <w:pStyle w:val="BodyTextMain"/>
        <w:rPr>
          <w:rFonts w:eastAsiaTheme="minorEastAsia"/>
        </w:rPr>
      </w:pPr>
    </w:p>
    <w:p w14:paraId="54787B47" w14:textId="24F36C53" w:rsidR="006A5750" w:rsidRPr="00811800" w:rsidRDefault="006A5750" w:rsidP="00196890">
      <w:pPr>
        <w:pStyle w:val="BodyTextMain"/>
      </w:pPr>
      <w:r w:rsidRPr="00811800">
        <w:lastRenderedPageBreak/>
        <w:t xml:space="preserve">To reduce cost, </w:t>
      </w:r>
      <w:r w:rsidR="00403E66">
        <w:t>solar energy companies</w:t>
      </w:r>
      <w:r w:rsidRPr="00811800">
        <w:t xml:space="preserve"> kept searching for new technologies that could increase the conversion efficiency of solar cells. Two technological</w:t>
      </w:r>
      <w:r w:rsidRPr="00811800">
        <w:rPr>
          <w:rFonts w:eastAsiaTheme="minorEastAsia"/>
        </w:rPr>
        <w:t xml:space="preserve"> directions were pursued in the late 1990s</w:t>
      </w:r>
      <w:r w:rsidR="00A22F33">
        <w:rPr>
          <w:rFonts w:eastAsiaTheme="minorEastAsia"/>
        </w:rPr>
        <w:t>—</w:t>
      </w:r>
      <w:r w:rsidRPr="00811800">
        <w:rPr>
          <w:rFonts w:eastAsiaTheme="minorEastAsia"/>
        </w:rPr>
        <w:t xml:space="preserve">the mainstream </w:t>
      </w:r>
      <w:r w:rsidRPr="00811800">
        <w:t>wafer technology and the new thin-film technology. Improvements in conversion efficiency by 1</w:t>
      </w:r>
      <w:r w:rsidR="00A22F33">
        <w:t>–</w:t>
      </w:r>
      <w:r w:rsidRPr="00811800">
        <w:t xml:space="preserve">2 per cent </w:t>
      </w:r>
      <w:r w:rsidRPr="00811800">
        <w:rPr>
          <w:rFonts w:eastAsiaTheme="minorEastAsia"/>
        </w:rPr>
        <w:t>could</w:t>
      </w:r>
      <w:r w:rsidRPr="00811800">
        <w:t xml:space="preserve"> significantly bring down the cost of production and increase the profit margins of solar companies. Although the</w:t>
      </w:r>
      <w:r w:rsidRPr="00811800">
        <w:rPr>
          <w:rFonts w:eastAsiaTheme="minorEastAsia"/>
        </w:rPr>
        <w:t xml:space="preserve"> thin-film technology minimized silicon use and offered greater applications (e.g., installation on the facade of </w:t>
      </w:r>
      <w:r w:rsidRPr="00811800">
        <w:t>buildings</w:t>
      </w:r>
      <w:r w:rsidRPr="00811800">
        <w:rPr>
          <w:rFonts w:eastAsiaTheme="minorEastAsia"/>
        </w:rPr>
        <w:t xml:space="preserve">), its </w:t>
      </w:r>
      <w:r w:rsidRPr="00811800">
        <w:t xml:space="preserve">conversion efficiency was </w:t>
      </w:r>
      <w:r w:rsidRPr="00811800">
        <w:rPr>
          <w:rFonts w:eastAsiaTheme="minorEastAsia"/>
        </w:rPr>
        <w:t xml:space="preserve">considerably </w:t>
      </w:r>
      <w:r w:rsidRPr="00811800">
        <w:t>lower.</w:t>
      </w:r>
      <w:r w:rsidRPr="00811800">
        <w:rPr>
          <w:rStyle w:val="FootnoteReference"/>
        </w:rPr>
        <w:endnoteReference w:id="7"/>
      </w:r>
      <w:r w:rsidRPr="00811800">
        <w:rPr>
          <w:vertAlign w:val="superscript"/>
        </w:rPr>
        <w:t xml:space="preserve"> </w:t>
      </w:r>
      <w:r w:rsidRPr="00811800">
        <w:t xml:space="preserve">As a result, this technology was not as widely commercialized as the </w:t>
      </w:r>
      <w:r w:rsidRPr="00811800">
        <w:rPr>
          <w:rFonts w:eastAsiaTheme="minorEastAsia"/>
        </w:rPr>
        <w:t xml:space="preserve">mainstream </w:t>
      </w:r>
      <w:r w:rsidRPr="00811800">
        <w:t>wafer technology.</w:t>
      </w:r>
      <w:r w:rsidRPr="00811800">
        <w:rPr>
          <w:rStyle w:val="EndnoteReference"/>
          <w:vertAlign w:val="baseline"/>
        </w:rPr>
        <w:t xml:space="preserve"> </w:t>
      </w:r>
    </w:p>
    <w:p w14:paraId="2D1E4390" w14:textId="77777777" w:rsidR="00196890" w:rsidRPr="008F3A57" w:rsidRDefault="00196890" w:rsidP="00196890">
      <w:pPr>
        <w:pStyle w:val="BodyTextMain"/>
        <w:rPr>
          <w:rStyle w:val="EndnoteReference"/>
          <w:sz w:val="20"/>
          <w:vertAlign w:val="baseline"/>
        </w:rPr>
      </w:pPr>
    </w:p>
    <w:p w14:paraId="7D12ACF2" w14:textId="65C4ACB7" w:rsidR="006A5750" w:rsidRPr="00811800" w:rsidRDefault="006A5750" w:rsidP="00196890">
      <w:pPr>
        <w:pStyle w:val="BodyTextMain"/>
      </w:pPr>
      <w:r w:rsidRPr="00811800">
        <w:t xml:space="preserve">Between 2000 and 2010, the global solar energy </w:t>
      </w:r>
      <w:r w:rsidRPr="00811800">
        <w:rPr>
          <w:rFonts w:eastAsiaTheme="minorEastAsia"/>
        </w:rPr>
        <w:t xml:space="preserve">industry growth rate increased from 30 per cent to </w:t>
      </w:r>
      <w:r w:rsidR="00B37BE4" w:rsidRPr="00811800">
        <w:rPr>
          <w:rFonts w:eastAsiaTheme="minorEastAsia"/>
        </w:rPr>
        <w:t>40</w:t>
      </w:r>
      <w:r w:rsidR="00B37BE4">
        <w:rPr>
          <w:rFonts w:eastAsiaTheme="minorEastAsia"/>
        </w:rPr>
        <w:t> </w:t>
      </w:r>
      <w:r w:rsidR="00B37BE4" w:rsidRPr="00811800">
        <w:rPr>
          <w:rFonts w:eastAsiaTheme="minorEastAsia"/>
        </w:rPr>
        <w:t>per</w:t>
      </w:r>
      <w:r w:rsidR="00B37BE4">
        <w:rPr>
          <w:rFonts w:eastAsiaTheme="minorEastAsia"/>
        </w:rPr>
        <w:t> </w:t>
      </w:r>
      <w:r w:rsidRPr="00811800">
        <w:rPr>
          <w:rFonts w:eastAsiaTheme="minorEastAsia"/>
        </w:rPr>
        <w:t xml:space="preserve">cent </w:t>
      </w:r>
      <w:r w:rsidRPr="00811800">
        <w:t>(</w:t>
      </w:r>
      <w:r w:rsidR="003A56B2">
        <w:t xml:space="preserve">see </w:t>
      </w:r>
      <w:r w:rsidRPr="00811800">
        <w:t>Exhibit</w:t>
      </w:r>
      <w:r w:rsidR="00A8559E">
        <w:rPr>
          <w:rFonts w:eastAsiaTheme="minorEastAsia" w:hint="eastAsia"/>
          <w:lang w:eastAsia="zh-CN"/>
        </w:rPr>
        <w:t xml:space="preserve"> </w:t>
      </w:r>
      <w:r w:rsidR="00773287">
        <w:rPr>
          <w:rFonts w:eastAsiaTheme="minorEastAsia" w:hint="eastAsia"/>
          <w:lang w:eastAsia="zh-CN"/>
        </w:rPr>
        <w:t>3</w:t>
      </w:r>
      <w:r w:rsidRPr="00811800">
        <w:t>). These impressive growth rates were driven by c</w:t>
      </w:r>
      <w:r w:rsidRPr="00811800">
        <w:rPr>
          <w:rFonts w:eastAsiaTheme="minorEastAsia"/>
        </w:rPr>
        <w:t xml:space="preserve">oncerns about </w:t>
      </w:r>
      <w:r w:rsidRPr="00811800">
        <w:t>energy shortage, environmental pollution, and the dangers of nuclea</w:t>
      </w:r>
      <w:r w:rsidRPr="00811800">
        <w:rPr>
          <w:rFonts w:eastAsiaTheme="minorEastAsia"/>
        </w:rPr>
        <w:t xml:space="preserve">r power plants, particularly in developed countries. </w:t>
      </w:r>
      <w:r w:rsidRPr="00811800">
        <w:t xml:space="preserve">These </w:t>
      </w:r>
      <w:r w:rsidR="00B37BE4">
        <w:t xml:space="preserve">countries’ </w:t>
      </w:r>
      <w:r w:rsidRPr="00811800">
        <w:t xml:space="preserve">governments </w:t>
      </w:r>
      <w:r w:rsidR="00362219">
        <w:rPr>
          <w:rFonts w:eastAsiaTheme="minorEastAsia" w:hint="eastAsia"/>
          <w:lang w:eastAsia="zh-CN"/>
        </w:rPr>
        <w:t xml:space="preserve">had </w:t>
      </w:r>
      <w:r w:rsidRPr="00811800">
        <w:t xml:space="preserve">implemented strong </w:t>
      </w:r>
      <w:r w:rsidRPr="00811800">
        <w:rPr>
          <w:rFonts w:eastAsiaTheme="minorEastAsia"/>
        </w:rPr>
        <w:t xml:space="preserve">subsidy </w:t>
      </w:r>
      <w:r w:rsidRPr="00811800">
        <w:t>programs</w:t>
      </w:r>
      <w:r w:rsidR="00362219">
        <w:rPr>
          <w:rFonts w:eastAsiaTheme="minorEastAsia" w:hint="eastAsia"/>
          <w:lang w:eastAsia="zh-CN"/>
        </w:rPr>
        <w:t xml:space="preserve"> before 2010</w:t>
      </w:r>
      <w:r w:rsidRPr="00811800">
        <w:rPr>
          <w:rStyle w:val="EndnoteReference"/>
        </w:rPr>
        <w:t xml:space="preserve"> </w:t>
      </w:r>
      <w:r w:rsidRPr="00811800">
        <w:rPr>
          <w:rFonts w:eastAsiaTheme="minorEastAsia"/>
        </w:rPr>
        <w:t xml:space="preserve">to </w:t>
      </w:r>
      <w:r w:rsidRPr="00811800">
        <w:t>support the emerging solar energy companies in the hope that technological advancement and scale economics could reduce user cost and establish a viable alternat</w:t>
      </w:r>
      <w:r w:rsidR="00A22F33">
        <w:t>ive</w:t>
      </w:r>
      <w:r w:rsidRPr="00811800">
        <w:t xml:space="preserve"> form of energy. </w:t>
      </w:r>
    </w:p>
    <w:p w14:paraId="5081C49D" w14:textId="77777777" w:rsidR="00196890" w:rsidRPr="008F3A57" w:rsidRDefault="00196890" w:rsidP="00903196">
      <w:pPr>
        <w:pStyle w:val="BodyTextMain"/>
        <w:rPr>
          <w:sz w:val="18"/>
        </w:rPr>
      </w:pPr>
    </w:p>
    <w:p w14:paraId="1D6088E3" w14:textId="77777777" w:rsidR="00196890" w:rsidRPr="008F3A57" w:rsidRDefault="00196890" w:rsidP="00903196">
      <w:pPr>
        <w:pStyle w:val="BodyTextMain"/>
        <w:rPr>
          <w:sz w:val="18"/>
        </w:rPr>
      </w:pPr>
    </w:p>
    <w:p w14:paraId="1B703BBE" w14:textId="718C69BE" w:rsidR="006A5750" w:rsidRPr="00811800" w:rsidRDefault="006A5750" w:rsidP="0091469B">
      <w:pPr>
        <w:pStyle w:val="Casehead1"/>
      </w:pPr>
      <w:r w:rsidRPr="00811800">
        <w:t>The Inception of Wuxi Suntech</w:t>
      </w:r>
      <w:r w:rsidR="00C2172F">
        <w:t xml:space="preserve"> power co. ltd. (wuxi suntech)</w:t>
      </w:r>
      <w:r w:rsidRPr="00811800">
        <w:t>: 2001–2004</w:t>
      </w:r>
    </w:p>
    <w:p w14:paraId="3BB0A23E" w14:textId="77777777" w:rsidR="0091469B" w:rsidRPr="008F3A57" w:rsidRDefault="0091469B" w:rsidP="00903196">
      <w:pPr>
        <w:pStyle w:val="BodyTextMain"/>
        <w:rPr>
          <w:sz w:val="20"/>
        </w:rPr>
      </w:pPr>
    </w:p>
    <w:p w14:paraId="024D0389" w14:textId="4522E72F" w:rsidR="006A5750" w:rsidRPr="00811800" w:rsidRDefault="006A5750" w:rsidP="00903196">
      <w:pPr>
        <w:pStyle w:val="BodyTextMain"/>
      </w:pPr>
      <w:r w:rsidRPr="00811800">
        <w:t>Shi was born in 1963 to a poor family who could not afford to raise him</w:t>
      </w:r>
      <w:r w:rsidR="00A22F33">
        <w:t xml:space="preserve">, and he </w:t>
      </w:r>
      <w:r w:rsidRPr="00811800">
        <w:t>was adopted by a better-off but childless family. Since childhood, Shi</w:t>
      </w:r>
      <w:r w:rsidR="00A22F33">
        <w:t xml:space="preserve"> had</w:t>
      </w:r>
      <w:r w:rsidRPr="00811800">
        <w:t xml:space="preserve"> studied hard to prove himself. One of his doctoral classmates remembered him saying that his name </w:t>
      </w:r>
      <w:r w:rsidR="0046369B" w:rsidRPr="00811800">
        <w:t>w</w:t>
      </w:r>
      <w:r w:rsidR="0046369B">
        <w:t>ould</w:t>
      </w:r>
      <w:r w:rsidR="0046369B" w:rsidRPr="00811800">
        <w:t xml:space="preserve"> </w:t>
      </w:r>
      <w:r w:rsidRPr="00811800">
        <w:t>one day be in the world’s top academic journals.</w:t>
      </w:r>
      <w:r w:rsidRPr="00811800">
        <w:rPr>
          <w:rStyle w:val="EndnoteReference"/>
        </w:rPr>
        <w:endnoteReference w:id="8"/>
      </w:r>
      <w:r w:rsidRPr="00811800">
        <w:t xml:space="preserve"> In 1992, he completed his doctoral degree in electrical engineering at the University of New South Wales, Australia. Under the guidance of Professor Mar</w:t>
      </w:r>
      <w:r w:rsidR="0046369B">
        <w:t>t</w:t>
      </w:r>
      <w:r w:rsidRPr="00811800">
        <w:t xml:space="preserve">in Green, the “father of photovoltaics” and winner of the Right Livelihood Award (also </w:t>
      </w:r>
      <w:r w:rsidR="00403E66">
        <w:t xml:space="preserve">known as </w:t>
      </w:r>
      <w:r w:rsidRPr="00811800">
        <w:t xml:space="preserve">The </w:t>
      </w:r>
      <w:r w:rsidR="00403E66">
        <w:t>“</w:t>
      </w:r>
      <w:r w:rsidRPr="00811800">
        <w:t>Nobel</w:t>
      </w:r>
      <w:r w:rsidR="00403E66">
        <w:t>”</w:t>
      </w:r>
      <w:r w:rsidRPr="00811800">
        <w:t xml:space="preserve"> Environmental Prize)</w:t>
      </w:r>
      <w:r w:rsidR="00A22F33">
        <w:t>,</w:t>
      </w:r>
      <w:r w:rsidRPr="00811800">
        <w:rPr>
          <w:rStyle w:val="EndnoteReference"/>
        </w:rPr>
        <w:endnoteReference w:id="9"/>
      </w:r>
      <w:r w:rsidRPr="00811800">
        <w:t xml:space="preserve"> Shi did his research on thin-film solar technology and developed 15 patents, which helped Pacific Solar, a Sydney-based company started by Green, to secure an initial investment of $50 million. Shi became the associate research director of Pacific Solar and headed its research on thin-film technology.</w:t>
      </w:r>
      <w:r w:rsidRPr="00811800">
        <w:rPr>
          <w:rStyle w:val="EndnoteReference"/>
        </w:rPr>
        <w:endnoteReference w:id="10"/>
      </w:r>
    </w:p>
    <w:p w14:paraId="5F8D5E88" w14:textId="77777777" w:rsidR="0091469B" w:rsidRPr="008F3A57" w:rsidRDefault="0091469B" w:rsidP="00903196">
      <w:pPr>
        <w:pStyle w:val="BodyTextMain"/>
        <w:rPr>
          <w:sz w:val="20"/>
        </w:rPr>
      </w:pPr>
    </w:p>
    <w:p w14:paraId="3F17F292" w14:textId="2FEB3AF7" w:rsidR="00994E71" w:rsidRPr="00811800" w:rsidRDefault="006A5750" w:rsidP="0091469B">
      <w:pPr>
        <w:pStyle w:val="BodyTextMain"/>
      </w:pPr>
      <w:r w:rsidRPr="00811800">
        <w:t>In the mid-1990s, the Chinese government began efforts to convince overseas-educated Chinese professionals with advanced technical skills to return to China</w:t>
      </w:r>
      <w:r w:rsidR="009A1638">
        <w:t>,</w:t>
      </w:r>
      <w:r w:rsidRPr="00811800">
        <w:t xml:space="preserve"> and Shi began to keep a close eye on opportunities there.</w:t>
      </w:r>
      <w:r w:rsidRPr="00811800">
        <w:rPr>
          <w:rStyle w:val="EndnoteReference"/>
        </w:rPr>
        <w:endnoteReference w:id="11"/>
      </w:r>
      <w:r w:rsidRPr="00811800">
        <w:t xml:space="preserve"> In 2000, Shi decided to go back to China to become an entrepreneur, even though he had become an Australian citizen, had a high paying job, and owned properties in Australia. He presented his business idea for a solar energy company to many Chinese government officials and companies’ top executives, stating</w:t>
      </w:r>
      <w:r w:rsidR="0046369B">
        <w:t>,</w:t>
      </w:r>
      <w:r w:rsidR="0046369B" w:rsidRPr="00811800">
        <w:t xml:space="preserve"> </w:t>
      </w:r>
      <w:r w:rsidRPr="00811800">
        <w:t xml:space="preserve">“Give me </w:t>
      </w:r>
      <w:r w:rsidR="009A1638">
        <w:t>$</w:t>
      </w:r>
      <w:r w:rsidRPr="00811800">
        <w:t>8 million</w:t>
      </w:r>
      <w:r w:rsidR="0045432E">
        <w:t>;</w:t>
      </w:r>
      <w:r w:rsidRPr="00811800">
        <w:t xml:space="preserve"> I will </w:t>
      </w:r>
      <w:r w:rsidR="009A1638">
        <w:t>give you one of the world’s largest companies.”</w:t>
      </w:r>
      <w:r w:rsidRPr="00984CC9">
        <w:rPr>
          <w:rStyle w:val="EndnoteReference"/>
        </w:rPr>
        <w:endnoteReference w:id="12"/>
      </w:r>
      <w:r w:rsidRPr="00811800">
        <w:t xml:space="preserve"> However, potential investors were reluctant to do so. As a former senior government official responsible for investments recalled, “We were aware of the huge risks involved in the investment. Because China had an energy oversupply in 2000, we did not see much domestic demand, nor did we understand the international market. The business potential was unclear.”</w:t>
      </w:r>
      <w:r w:rsidRPr="00811800">
        <w:rPr>
          <w:rStyle w:val="EndnoteReference"/>
        </w:rPr>
        <w:endnoteReference w:id="13"/>
      </w:r>
    </w:p>
    <w:p w14:paraId="6E9F9068" w14:textId="77777777" w:rsidR="0091469B" w:rsidRPr="008F3A57" w:rsidRDefault="0091469B" w:rsidP="0091469B">
      <w:pPr>
        <w:pStyle w:val="BodyTextMain"/>
        <w:rPr>
          <w:sz w:val="20"/>
        </w:rPr>
      </w:pPr>
    </w:p>
    <w:p w14:paraId="7A73E861" w14:textId="6F82A8E3" w:rsidR="006A5750" w:rsidRPr="00811800" w:rsidRDefault="006A5750" w:rsidP="00903196">
      <w:pPr>
        <w:pStyle w:val="BodyTextMain"/>
      </w:pPr>
      <w:r w:rsidRPr="00811800">
        <w:t>In October 2000, Shi met several top officials of Wuxi</w:t>
      </w:r>
      <w:r w:rsidRPr="00811800">
        <w:rPr>
          <w:rStyle w:val="EndnoteReference"/>
        </w:rPr>
        <w:endnoteReference w:id="14"/>
      </w:r>
      <w:r w:rsidRPr="00811800">
        <w:t xml:space="preserve"> municipal government, who had recently set up a state-owned venture capital firm to promote high-tech start-ups in the city and </w:t>
      </w:r>
      <w:r w:rsidR="0046369B" w:rsidRPr="00811800">
        <w:t>w</w:t>
      </w:r>
      <w:r w:rsidR="0046369B">
        <w:t>ere</w:t>
      </w:r>
      <w:r w:rsidR="0046369B" w:rsidRPr="00811800">
        <w:t xml:space="preserve"> </w:t>
      </w:r>
      <w:r w:rsidRPr="00811800">
        <w:t xml:space="preserve">eager to create a success case. After conducting due diligence, the Wuxi municipal government invested in the new venture and appointed Shi as CEO. To finance the new venture, senior government official, Li </w:t>
      </w:r>
      <w:proofErr w:type="spellStart"/>
      <w:r w:rsidRPr="00811800">
        <w:t>Yanren</w:t>
      </w:r>
      <w:proofErr w:type="spellEnd"/>
      <w:r w:rsidRPr="00811800">
        <w:t xml:space="preserve">, who later became </w:t>
      </w:r>
      <w:r w:rsidR="008A5781">
        <w:t>c</w:t>
      </w:r>
      <w:r w:rsidRPr="00811800">
        <w:t xml:space="preserve">hairman of the new company, visited many Wuxi state-owned enterprises (SOEs). Under pressure, six of them, including an electrical appliance company, a pharmaceutical company, and an equipment manufacturing company, agreed to invest $6 million. A senior executive from one of them commented, “Most of us were prepared </w:t>
      </w:r>
      <w:r w:rsidR="00F57D5B">
        <w:t xml:space="preserve">[to expect] </w:t>
      </w:r>
      <w:r w:rsidRPr="00811800">
        <w:t xml:space="preserve">that the investment would </w:t>
      </w:r>
      <w:r w:rsidR="00984CC9" w:rsidRPr="00811800">
        <w:t xml:space="preserve">simply </w:t>
      </w:r>
      <w:r w:rsidRPr="00811800">
        <w:t>be money down the drain.”</w:t>
      </w:r>
      <w:r w:rsidRPr="00811800">
        <w:rPr>
          <w:rStyle w:val="EndnoteReference"/>
        </w:rPr>
        <w:t xml:space="preserve"> </w:t>
      </w:r>
      <w:r w:rsidRPr="00811800">
        <w:rPr>
          <w:rStyle w:val="EndnoteReference"/>
        </w:rPr>
        <w:endnoteReference w:id="15"/>
      </w:r>
    </w:p>
    <w:p w14:paraId="4BA6C228" w14:textId="77777777" w:rsidR="00C34B60" w:rsidRPr="008F3A57" w:rsidRDefault="00C34B60" w:rsidP="00903196">
      <w:pPr>
        <w:pStyle w:val="BodyTextMain"/>
        <w:rPr>
          <w:sz w:val="20"/>
        </w:rPr>
      </w:pPr>
    </w:p>
    <w:p w14:paraId="5773482E" w14:textId="776F8AB3" w:rsidR="006A5750" w:rsidRPr="00811800" w:rsidRDefault="006A5750" w:rsidP="00903196">
      <w:pPr>
        <w:pStyle w:val="BodyTextMain"/>
      </w:pPr>
      <w:r w:rsidRPr="00811800">
        <w:t xml:space="preserve">Shi personally invested $0.4 million and his core solar cell technology, valued at $1.6 million, in exchange for a 25 per cent stake in the new company with a further 5 per cent in a stock option plan. The new </w:t>
      </w:r>
      <w:r w:rsidRPr="00811800">
        <w:lastRenderedPageBreak/>
        <w:t xml:space="preserve">company, Wuxi </w:t>
      </w:r>
      <w:proofErr w:type="spellStart"/>
      <w:r w:rsidRPr="00811800">
        <w:t>Suntech</w:t>
      </w:r>
      <w:proofErr w:type="spellEnd"/>
      <w:r w:rsidRPr="00811800">
        <w:t xml:space="preserve">, was launched in September 2001. Within a year, its first production line, with an annual capacity of 15 </w:t>
      </w:r>
      <w:r w:rsidR="00C35B57">
        <w:t>megawatts (</w:t>
      </w:r>
      <w:r w:rsidRPr="00811800">
        <w:t>MW</w:t>
      </w:r>
      <w:r w:rsidR="00C35B57">
        <w:t>)</w:t>
      </w:r>
      <w:r w:rsidRPr="00811800">
        <w:t>, was completed. This capacity matched the total production of all Chinese solar cell producers over the last four years.</w:t>
      </w:r>
      <w:r w:rsidRPr="00811800">
        <w:rPr>
          <w:rStyle w:val="EndnoteReference"/>
        </w:rPr>
        <w:endnoteReference w:id="16"/>
      </w:r>
      <w:r w:rsidRPr="00811800">
        <w:t xml:space="preserve"> The conversion rate of the company’s solar cell matched the world’s most advanced level at that time. Although the company suffered an initial loss in its first year of operation, it managed to secure orders from Germany, Japan, and the Netherlands.</w:t>
      </w:r>
    </w:p>
    <w:p w14:paraId="7CA4E9C5" w14:textId="77777777" w:rsidR="00D13D22" w:rsidRPr="00811800" w:rsidRDefault="00D13D22" w:rsidP="00903196">
      <w:pPr>
        <w:pStyle w:val="BodyTextMain"/>
        <w:rPr>
          <w:sz w:val="20"/>
        </w:rPr>
      </w:pPr>
    </w:p>
    <w:p w14:paraId="5DA91B55" w14:textId="77777777" w:rsidR="00D13D22" w:rsidRPr="00811800" w:rsidRDefault="00D13D22" w:rsidP="00903196">
      <w:pPr>
        <w:pStyle w:val="BodyTextMain"/>
        <w:rPr>
          <w:sz w:val="20"/>
        </w:rPr>
      </w:pPr>
    </w:p>
    <w:p w14:paraId="3B8A73F4" w14:textId="1B828FE0" w:rsidR="006A5750" w:rsidRPr="00811800" w:rsidRDefault="006A5750" w:rsidP="00D13D22">
      <w:pPr>
        <w:pStyle w:val="Casehead1"/>
        <w:rPr>
          <w:rFonts w:eastAsiaTheme="minorEastAsia"/>
        </w:rPr>
      </w:pPr>
      <w:r w:rsidRPr="00811800">
        <w:rPr>
          <w:rFonts w:eastAsiaTheme="minorEastAsia"/>
        </w:rPr>
        <w:t xml:space="preserve">Rapid </w:t>
      </w:r>
      <w:r w:rsidRPr="00811800">
        <w:t xml:space="preserve">Expansion </w:t>
      </w:r>
      <w:r w:rsidR="00C35B57">
        <w:t>and</w:t>
      </w:r>
      <w:r w:rsidR="00103DEF">
        <w:t xml:space="preserve"> initial public offering (</w:t>
      </w:r>
      <w:r w:rsidRPr="00811800">
        <w:t>IPO</w:t>
      </w:r>
      <w:r w:rsidR="00103DEF">
        <w:t>)</w:t>
      </w:r>
      <w:r w:rsidRPr="00811800">
        <w:rPr>
          <w:rFonts w:eastAsiaTheme="minorEastAsia"/>
        </w:rPr>
        <w:t>: 2004 to 2008</w:t>
      </w:r>
    </w:p>
    <w:p w14:paraId="498F3CF2" w14:textId="77777777" w:rsidR="00D13D22" w:rsidRPr="008F3A57" w:rsidRDefault="00D13D22" w:rsidP="00D13D22">
      <w:pPr>
        <w:pStyle w:val="BodyTextMain"/>
        <w:rPr>
          <w:sz w:val="20"/>
        </w:rPr>
      </w:pPr>
    </w:p>
    <w:p w14:paraId="1721D992" w14:textId="77777777" w:rsidR="006A5750" w:rsidRPr="00811800" w:rsidRDefault="006A5750" w:rsidP="00D13D22">
      <w:pPr>
        <w:pStyle w:val="Casehead2"/>
      </w:pPr>
      <w:r w:rsidRPr="00811800">
        <w:t>Capacity Expansion</w:t>
      </w:r>
    </w:p>
    <w:p w14:paraId="08A47EB9" w14:textId="77777777" w:rsidR="00D13D22" w:rsidRPr="008F3A57" w:rsidRDefault="00D13D22" w:rsidP="00D13D22">
      <w:pPr>
        <w:pStyle w:val="BodyTextMain"/>
        <w:rPr>
          <w:sz w:val="20"/>
        </w:rPr>
      </w:pPr>
    </w:p>
    <w:p w14:paraId="299E3A07" w14:textId="4CE7821D" w:rsidR="006A5750" w:rsidRPr="008F3A57" w:rsidRDefault="006A5750" w:rsidP="00903196">
      <w:pPr>
        <w:pStyle w:val="BodyTextMain"/>
        <w:rPr>
          <w:spacing w:val="-2"/>
          <w:kern w:val="22"/>
        </w:rPr>
      </w:pPr>
      <w:r w:rsidRPr="008F3A57">
        <w:rPr>
          <w:spacing w:val="-2"/>
          <w:kern w:val="22"/>
        </w:rPr>
        <w:t>Favo</w:t>
      </w:r>
      <w:r w:rsidR="00C35B57" w:rsidRPr="008F3A57">
        <w:rPr>
          <w:spacing w:val="-2"/>
          <w:kern w:val="22"/>
        </w:rPr>
        <w:t>u</w:t>
      </w:r>
      <w:r w:rsidRPr="008F3A57">
        <w:rPr>
          <w:spacing w:val="-2"/>
          <w:kern w:val="22"/>
        </w:rPr>
        <w:t xml:space="preserve">rable energy policies in developed countries, like Germany’s amended </w:t>
      </w:r>
      <w:r w:rsidRPr="008F3A57">
        <w:rPr>
          <w:i/>
          <w:spacing w:val="-2"/>
          <w:kern w:val="22"/>
        </w:rPr>
        <w:t>Renewable Energy Act</w:t>
      </w:r>
      <w:r w:rsidR="00C35B57" w:rsidRPr="008F3A57">
        <w:rPr>
          <w:spacing w:val="-2"/>
          <w:kern w:val="22"/>
        </w:rPr>
        <w:t>,</w:t>
      </w:r>
      <w:r w:rsidR="00C935F9" w:rsidRPr="008F3A57">
        <w:rPr>
          <w:spacing w:val="-2"/>
          <w:kern w:val="22"/>
        </w:rPr>
        <w:t xml:space="preserve"> </w:t>
      </w:r>
      <w:r w:rsidRPr="008F3A57">
        <w:rPr>
          <w:spacing w:val="-2"/>
          <w:kern w:val="22"/>
        </w:rPr>
        <w:t xml:space="preserve">caused global </w:t>
      </w:r>
      <w:r w:rsidR="00984CC9" w:rsidRPr="008F3A57">
        <w:rPr>
          <w:spacing w:val="-2"/>
          <w:kern w:val="22"/>
        </w:rPr>
        <w:t xml:space="preserve">demand for </w:t>
      </w:r>
      <w:r w:rsidRPr="008F3A57">
        <w:rPr>
          <w:spacing w:val="-2"/>
          <w:kern w:val="22"/>
        </w:rPr>
        <w:t>solar energy to increase rapidly. Encouraged by initial overseas orders and the fast</w:t>
      </w:r>
      <w:r w:rsidR="00C35B57" w:rsidRPr="008F3A57">
        <w:rPr>
          <w:spacing w:val="-2"/>
          <w:kern w:val="22"/>
        </w:rPr>
        <w:t>-</w:t>
      </w:r>
      <w:r w:rsidRPr="008F3A57">
        <w:rPr>
          <w:spacing w:val="-2"/>
          <w:kern w:val="22"/>
        </w:rPr>
        <w:t>growing global market, Shi wanted to expand capacity by building a second production line in June 2003. He hoped to exploit the company’s early</w:t>
      </w:r>
      <w:r w:rsidR="00C35B57" w:rsidRPr="008F3A57">
        <w:rPr>
          <w:spacing w:val="-2"/>
          <w:kern w:val="22"/>
        </w:rPr>
        <w:t>-</w:t>
      </w:r>
      <w:r w:rsidRPr="008F3A57">
        <w:rPr>
          <w:spacing w:val="-2"/>
          <w:kern w:val="22"/>
        </w:rPr>
        <w:t>mover advantage</w:t>
      </w:r>
      <w:r w:rsidR="00984CC9" w:rsidRPr="008F3A57">
        <w:rPr>
          <w:spacing w:val="-2"/>
          <w:kern w:val="22"/>
        </w:rPr>
        <w:t xml:space="preserve"> to</w:t>
      </w:r>
      <w:r w:rsidRPr="008F3A57">
        <w:rPr>
          <w:spacing w:val="-2"/>
          <w:kern w:val="22"/>
        </w:rPr>
        <w:t xml:space="preserve"> achieve economies of scale</w:t>
      </w:r>
      <w:r w:rsidR="00984CC9" w:rsidRPr="008F3A57">
        <w:rPr>
          <w:spacing w:val="-2"/>
          <w:kern w:val="22"/>
        </w:rPr>
        <w:t xml:space="preserve"> so as to secure silicon supply</w:t>
      </w:r>
      <w:r w:rsidRPr="008F3A57">
        <w:rPr>
          <w:spacing w:val="-2"/>
          <w:kern w:val="22"/>
        </w:rPr>
        <w:t xml:space="preserve"> and reduce </w:t>
      </w:r>
      <w:r w:rsidR="00984CC9" w:rsidRPr="008F3A57">
        <w:rPr>
          <w:spacing w:val="-2"/>
          <w:kern w:val="22"/>
        </w:rPr>
        <w:t xml:space="preserve">overall </w:t>
      </w:r>
      <w:r w:rsidRPr="008F3A57">
        <w:rPr>
          <w:spacing w:val="-2"/>
          <w:kern w:val="22"/>
        </w:rPr>
        <w:t xml:space="preserve">cost. However, the board of directors rejected his proposal three times citing a lack of capital for expansion. Nevertheless, Li was able to use his government connections to secure a bank loan of ¥50 </w:t>
      </w:r>
      <w:proofErr w:type="gramStart"/>
      <w:r w:rsidRPr="008F3A57">
        <w:rPr>
          <w:spacing w:val="-2"/>
          <w:kern w:val="22"/>
        </w:rPr>
        <w:t>million</w:t>
      </w:r>
      <w:proofErr w:type="gramEnd"/>
      <w:r w:rsidR="00FC2C44" w:rsidRPr="008F3A57">
        <w:rPr>
          <w:rStyle w:val="EndnoteReference"/>
          <w:spacing w:val="-2"/>
          <w:kern w:val="22"/>
        </w:rPr>
        <w:endnoteReference w:id="17"/>
      </w:r>
      <w:r w:rsidRPr="008F3A57">
        <w:rPr>
          <w:spacing w:val="-2"/>
          <w:kern w:val="22"/>
        </w:rPr>
        <w:t xml:space="preserve">($8.15 million) for the company to purchase a second-hand production line from a bankrupt Japanese company in 2004. This allowed the company to meet customers’ growing orders. As more orders were secured, Wuxi </w:t>
      </w:r>
      <w:proofErr w:type="spellStart"/>
      <w:r w:rsidRPr="008F3A57">
        <w:rPr>
          <w:spacing w:val="-2"/>
          <w:kern w:val="22"/>
        </w:rPr>
        <w:t>Suntech</w:t>
      </w:r>
      <w:proofErr w:type="spellEnd"/>
      <w:r w:rsidRPr="008F3A57">
        <w:rPr>
          <w:spacing w:val="-2"/>
          <w:kern w:val="22"/>
        </w:rPr>
        <w:t xml:space="preserve"> quickly invested in four additional production lines before the end of 2005 (</w:t>
      </w:r>
      <w:r w:rsidR="00FC2C44" w:rsidRPr="008F3A57">
        <w:rPr>
          <w:spacing w:val="-2"/>
          <w:kern w:val="22"/>
        </w:rPr>
        <w:t xml:space="preserve">see </w:t>
      </w:r>
      <w:r w:rsidRPr="008F3A57">
        <w:rPr>
          <w:spacing w:val="-2"/>
          <w:kern w:val="22"/>
        </w:rPr>
        <w:t>Exhibit</w:t>
      </w:r>
      <w:r w:rsidR="00773287" w:rsidRPr="008F3A57">
        <w:rPr>
          <w:rFonts w:eastAsiaTheme="minorEastAsia" w:hint="eastAsia"/>
          <w:spacing w:val="-2"/>
          <w:kern w:val="22"/>
          <w:lang w:eastAsia="zh-CN"/>
        </w:rPr>
        <w:t xml:space="preserve"> 4</w:t>
      </w:r>
      <w:r w:rsidRPr="008F3A57">
        <w:rPr>
          <w:spacing w:val="-2"/>
          <w:kern w:val="22"/>
        </w:rPr>
        <w:t>).</w:t>
      </w:r>
      <w:r w:rsidRPr="008F3A57">
        <w:rPr>
          <w:rFonts w:eastAsiaTheme="minorEastAsia"/>
          <w:spacing w:val="-2"/>
          <w:kern w:val="22"/>
        </w:rPr>
        <w:t xml:space="preserve"> </w:t>
      </w:r>
      <w:r w:rsidR="00440918" w:rsidRPr="008F3A57">
        <w:rPr>
          <w:rFonts w:eastAsiaTheme="minorEastAsia" w:hint="eastAsia"/>
          <w:spacing w:val="-2"/>
          <w:kern w:val="22"/>
          <w:lang w:eastAsia="zh-CN"/>
        </w:rPr>
        <w:t xml:space="preserve">By </w:t>
      </w:r>
      <w:r w:rsidR="00017C74" w:rsidRPr="008F3A57">
        <w:rPr>
          <w:rFonts w:eastAsiaTheme="minorEastAsia" w:hint="eastAsia"/>
          <w:spacing w:val="-2"/>
          <w:kern w:val="22"/>
          <w:lang w:eastAsia="zh-CN"/>
        </w:rPr>
        <w:t xml:space="preserve">year-end 2006, </w:t>
      </w:r>
      <w:r w:rsidR="000E51C2" w:rsidRPr="008F3A57">
        <w:rPr>
          <w:rFonts w:eastAsiaTheme="minorEastAsia" w:hint="eastAsia"/>
          <w:spacing w:val="-2"/>
          <w:kern w:val="22"/>
          <w:lang w:eastAsia="zh-CN"/>
        </w:rPr>
        <w:t xml:space="preserve">although </w:t>
      </w:r>
      <w:r w:rsidR="00282A8C" w:rsidRPr="008F3A57">
        <w:rPr>
          <w:rFonts w:eastAsiaTheme="minorEastAsia" w:hint="eastAsia"/>
          <w:spacing w:val="-2"/>
          <w:kern w:val="22"/>
          <w:lang w:eastAsia="zh-CN"/>
        </w:rPr>
        <w:t>STP became one of the top three photovoltaic players in the world</w:t>
      </w:r>
      <w:r w:rsidR="000E51C2" w:rsidRPr="008F3A57">
        <w:rPr>
          <w:rFonts w:eastAsiaTheme="minorEastAsia" w:hint="eastAsia"/>
          <w:spacing w:val="-2"/>
          <w:kern w:val="22"/>
          <w:lang w:eastAsia="zh-CN"/>
        </w:rPr>
        <w:t xml:space="preserve">, </w:t>
      </w:r>
      <w:r w:rsidR="00AF430A" w:rsidRPr="008F3A57">
        <w:rPr>
          <w:rFonts w:eastAsiaTheme="minorEastAsia"/>
          <w:spacing w:val="-2"/>
          <w:kern w:val="22"/>
        </w:rPr>
        <w:t xml:space="preserve">Shi </w:t>
      </w:r>
      <w:r w:rsidR="00F57D5B" w:rsidRPr="008F3A57">
        <w:rPr>
          <w:rFonts w:eastAsiaTheme="minorEastAsia"/>
          <w:spacing w:val="-2"/>
          <w:kern w:val="22"/>
        </w:rPr>
        <w:t xml:space="preserve">saw </w:t>
      </w:r>
      <w:r w:rsidR="00AF430A" w:rsidRPr="008F3A57">
        <w:rPr>
          <w:rFonts w:eastAsiaTheme="minorEastAsia"/>
          <w:spacing w:val="-2"/>
          <w:kern w:val="22"/>
        </w:rPr>
        <w:t>his own company</w:t>
      </w:r>
      <w:r w:rsidR="00F57D5B" w:rsidRPr="008F3A57">
        <w:rPr>
          <w:rFonts w:eastAsiaTheme="minorEastAsia"/>
          <w:spacing w:val="-2"/>
          <w:kern w:val="22"/>
        </w:rPr>
        <w:t xml:space="preserve"> </w:t>
      </w:r>
      <w:r w:rsidRPr="008F3A57">
        <w:rPr>
          <w:rFonts w:eastAsiaTheme="minorEastAsia"/>
          <w:spacing w:val="-2"/>
          <w:kern w:val="22"/>
        </w:rPr>
        <w:t xml:space="preserve">as a </w:t>
      </w:r>
      <w:r w:rsidRPr="008F3A57">
        <w:rPr>
          <w:spacing w:val="-2"/>
          <w:kern w:val="22"/>
        </w:rPr>
        <w:t>small player trying to catch up.</w:t>
      </w:r>
      <w:r w:rsidRPr="008F3A57">
        <w:rPr>
          <w:rStyle w:val="EndnoteReference"/>
          <w:spacing w:val="-2"/>
          <w:kern w:val="22"/>
        </w:rPr>
        <w:endnoteReference w:id="18"/>
      </w:r>
      <w:r w:rsidRPr="008F3A57">
        <w:rPr>
          <w:spacing w:val="-2"/>
          <w:kern w:val="22"/>
        </w:rPr>
        <w:t xml:space="preserve"> Whereas most competitors struggled to meet growing demands, Wuxi </w:t>
      </w:r>
      <w:proofErr w:type="spellStart"/>
      <w:r w:rsidRPr="008F3A57">
        <w:rPr>
          <w:spacing w:val="-2"/>
          <w:kern w:val="22"/>
        </w:rPr>
        <w:t>Suntech</w:t>
      </w:r>
      <w:proofErr w:type="spellEnd"/>
      <w:r w:rsidRPr="008F3A57">
        <w:rPr>
          <w:spacing w:val="-2"/>
          <w:kern w:val="22"/>
        </w:rPr>
        <w:t xml:space="preserve"> was able to reap the benefits of its increased capacity.</w:t>
      </w:r>
      <w:r w:rsidRPr="008F3A57">
        <w:rPr>
          <w:rStyle w:val="EndnoteReference"/>
          <w:spacing w:val="-2"/>
          <w:kern w:val="22"/>
        </w:rPr>
        <w:endnoteReference w:id="19"/>
      </w:r>
      <w:r w:rsidRPr="008F3A57">
        <w:rPr>
          <w:spacing w:val="-2"/>
          <w:kern w:val="22"/>
        </w:rPr>
        <w:t xml:space="preserve"> From 2002 to 2005, the company’s revenue increased from $3 million to $226 million and net income turned from a loss of $0.9 million to a profit of $30.6 million. Given the huge global market potential and the company’s shortage of funds, Shi started to explore the option for an initial public offering (IPO) in 2004.</w:t>
      </w:r>
    </w:p>
    <w:p w14:paraId="3624E893" w14:textId="77777777" w:rsidR="009E7ECB" w:rsidRPr="00811800" w:rsidRDefault="009E7ECB" w:rsidP="00903196">
      <w:pPr>
        <w:pStyle w:val="BodyTextMain"/>
        <w:rPr>
          <w:sz w:val="20"/>
        </w:rPr>
      </w:pPr>
    </w:p>
    <w:p w14:paraId="40FB1490" w14:textId="77777777" w:rsidR="009E7ECB" w:rsidRPr="008F3A57" w:rsidRDefault="009E7ECB" w:rsidP="00903196">
      <w:pPr>
        <w:pStyle w:val="BodyTextMain"/>
        <w:rPr>
          <w:sz w:val="18"/>
        </w:rPr>
      </w:pPr>
    </w:p>
    <w:p w14:paraId="7B50A4E3" w14:textId="1A97E590" w:rsidR="006A5750" w:rsidRPr="006319C4" w:rsidRDefault="006319C4" w:rsidP="006319C4">
      <w:pPr>
        <w:pStyle w:val="Casehead2"/>
      </w:pPr>
      <w:r>
        <w:t>IPO:</w:t>
      </w:r>
      <w:r w:rsidRPr="006319C4">
        <w:t xml:space="preserve"> New York Stock Exchange (N</w:t>
      </w:r>
      <w:r>
        <w:t>YSE</w:t>
      </w:r>
      <w:r w:rsidRPr="006319C4">
        <w:t>) December 2005</w:t>
      </w:r>
    </w:p>
    <w:p w14:paraId="5FD28ABB" w14:textId="77777777" w:rsidR="009E7ECB" w:rsidRPr="008F3A57" w:rsidRDefault="009E7ECB" w:rsidP="00903196">
      <w:pPr>
        <w:pStyle w:val="BodyTextMain"/>
        <w:rPr>
          <w:sz w:val="20"/>
        </w:rPr>
      </w:pPr>
    </w:p>
    <w:p w14:paraId="2B2101ED" w14:textId="1FB85ABB" w:rsidR="006A5750" w:rsidRPr="00811800" w:rsidRDefault="006A5750" w:rsidP="00903196">
      <w:pPr>
        <w:pStyle w:val="BodyTextMain"/>
      </w:pPr>
      <w:r w:rsidRPr="00811800">
        <w:t xml:space="preserve">To prepare for an IPO and to </w:t>
      </w:r>
      <w:r w:rsidR="0065031E">
        <w:t>attract</w:t>
      </w:r>
      <w:r w:rsidRPr="00811800">
        <w:t xml:space="preserve"> </w:t>
      </w:r>
      <w:r w:rsidR="0065031E">
        <w:t xml:space="preserve">global </w:t>
      </w:r>
      <w:r w:rsidRPr="00811800">
        <w:t xml:space="preserve">investors, Shi wanted the Wuxi SOE-investors to exit Wuxi </w:t>
      </w:r>
      <w:proofErr w:type="spellStart"/>
      <w:r w:rsidRPr="00811800">
        <w:t>Suntech</w:t>
      </w:r>
      <w:proofErr w:type="spellEnd"/>
      <w:r w:rsidRPr="00811800">
        <w:t xml:space="preserve">. However, with business prospering, all of them refused. Frustrated, Shi gave an ultimatum to the Wuxi municipal government threatening that he would leave the company otherwise. Seeking to position Wuxi </w:t>
      </w:r>
      <w:proofErr w:type="spellStart"/>
      <w:r w:rsidRPr="00811800">
        <w:t>Suntech</w:t>
      </w:r>
      <w:proofErr w:type="spellEnd"/>
      <w:r w:rsidRPr="00811800">
        <w:t xml:space="preserve"> as an exemplar of the government’s success in developing world-class companies, the Wuxi municipal government relented.</w:t>
      </w:r>
      <w:r w:rsidRPr="00811800">
        <w:rPr>
          <w:rStyle w:val="EndnoteReference"/>
        </w:rPr>
        <w:endnoteReference w:id="20"/>
      </w:r>
      <w:r w:rsidRPr="00811800">
        <w:t xml:space="preserve"> By April 2005, all Wuxi SOEs shareholders </w:t>
      </w:r>
      <w:r w:rsidR="0065031E">
        <w:t>sold their shares in the company</w:t>
      </w:r>
      <w:r w:rsidRPr="00811800">
        <w:t xml:space="preserve">. Although the Wuxi municipal government ceased to directly influence the business from this point onward, it remained a strong supporter of Wuxi </w:t>
      </w:r>
      <w:proofErr w:type="spellStart"/>
      <w:r w:rsidRPr="00811800">
        <w:t>Suntech</w:t>
      </w:r>
      <w:proofErr w:type="spellEnd"/>
      <w:r w:rsidRPr="00811800">
        <w:t xml:space="preserve"> because of the company’s contributions to the local economy and the city’s growing reputation as a cent</w:t>
      </w:r>
      <w:r w:rsidR="00103DEF">
        <w:t>re</w:t>
      </w:r>
      <w:r w:rsidRPr="00811800">
        <w:t xml:space="preserve"> of excellence for nurturing new enterprises in China. In December 2005, STP</w:t>
      </w:r>
      <w:r w:rsidR="00AF430A">
        <w:t>,</w:t>
      </w:r>
      <w:r w:rsidR="004F349E" w:rsidRPr="00811800">
        <w:t xml:space="preserve"> </w:t>
      </w:r>
      <w:r w:rsidRPr="00811800">
        <w:t>through a B</w:t>
      </w:r>
      <w:r w:rsidR="00103DEF">
        <w:t xml:space="preserve">ritish </w:t>
      </w:r>
      <w:r w:rsidRPr="00811800">
        <w:t>V</w:t>
      </w:r>
      <w:r w:rsidR="00103DEF">
        <w:t xml:space="preserve">irgin </w:t>
      </w:r>
      <w:r w:rsidRPr="00811800">
        <w:t>I</w:t>
      </w:r>
      <w:r w:rsidR="00103DEF">
        <w:t>slands (BVI</w:t>
      </w:r>
      <w:proofErr w:type="gramStart"/>
      <w:r w:rsidR="00103DEF">
        <w:t>)</w:t>
      </w:r>
      <w:proofErr w:type="gramEnd"/>
      <w:r w:rsidR="00282A8C" w:rsidRPr="00282A8C">
        <w:rPr>
          <w:rStyle w:val="EndnoteReference"/>
        </w:rPr>
        <w:t xml:space="preserve"> </w:t>
      </w:r>
      <w:r w:rsidRPr="00811800">
        <w:t>offshore vehicle, became the first private Chinese company to float on the New York Stock Exchange (NYSE</w:t>
      </w:r>
      <w:r w:rsidR="00E91E47">
        <w:t>)</w:t>
      </w:r>
      <w:r w:rsidRPr="00811800">
        <w:t>, raising nearly $400 million. Shi’s ownership in STP rose to 46.8 per cent. He took on the role of chairman of the board of directors in addition to his role as CEO. Rising stock price</w:t>
      </w:r>
      <w:r w:rsidR="00E91E47">
        <w:t>s</w:t>
      </w:r>
      <w:r w:rsidRPr="00811800">
        <w:t xml:space="preserve"> made him the seventh richest person in Forbes’s 2006 Chinese rich list</w:t>
      </w:r>
      <w:r w:rsidR="0046369B">
        <w:t>,</w:t>
      </w:r>
      <w:r w:rsidRPr="00811800">
        <w:rPr>
          <w:rStyle w:val="EndnoteReference"/>
        </w:rPr>
        <w:endnoteReference w:id="21"/>
      </w:r>
      <w:r w:rsidRPr="00811800">
        <w:t xml:space="preserve"> and he was dubbed the </w:t>
      </w:r>
      <w:r w:rsidRPr="005B292C">
        <w:rPr>
          <w:sz w:val="21"/>
        </w:rPr>
        <w:t>“</w:t>
      </w:r>
      <w:r w:rsidRPr="00811800">
        <w:t>Sun King” by Forbes Asia.</w:t>
      </w:r>
      <w:r w:rsidRPr="00811800">
        <w:rPr>
          <w:rStyle w:val="EndnoteReference"/>
        </w:rPr>
        <w:endnoteReference w:id="22"/>
      </w:r>
    </w:p>
    <w:p w14:paraId="2C539A58" w14:textId="77777777" w:rsidR="009E7ECB" w:rsidRPr="00811800" w:rsidRDefault="009E7ECB" w:rsidP="00903196">
      <w:pPr>
        <w:pStyle w:val="BodyTextMain"/>
        <w:rPr>
          <w:sz w:val="20"/>
        </w:rPr>
      </w:pPr>
    </w:p>
    <w:p w14:paraId="1E54F31E" w14:textId="77777777" w:rsidR="009E7ECB" w:rsidRPr="008F3A57" w:rsidRDefault="009E7ECB" w:rsidP="00903196">
      <w:pPr>
        <w:pStyle w:val="BodyTextMain"/>
        <w:rPr>
          <w:sz w:val="18"/>
        </w:rPr>
      </w:pPr>
    </w:p>
    <w:p w14:paraId="3BFF94E0" w14:textId="77777777" w:rsidR="006A5750" w:rsidRPr="00811800" w:rsidRDefault="006A5750" w:rsidP="00D856C5">
      <w:pPr>
        <w:pStyle w:val="Casehead2"/>
        <w:keepNext/>
      </w:pPr>
      <w:r w:rsidRPr="00811800">
        <w:t>New Entrants</w:t>
      </w:r>
    </w:p>
    <w:p w14:paraId="56FF1A15" w14:textId="77777777" w:rsidR="009E7ECB" w:rsidRPr="008F3A57" w:rsidRDefault="009E7ECB" w:rsidP="00D856C5">
      <w:pPr>
        <w:pStyle w:val="BodyTextMain"/>
        <w:keepNext/>
        <w:rPr>
          <w:sz w:val="20"/>
        </w:rPr>
      </w:pPr>
    </w:p>
    <w:p w14:paraId="13988720" w14:textId="7E7D80E9" w:rsidR="006A5750" w:rsidRPr="0074696C" w:rsidRDefault="006A5750" w:rsidP="00D856C5">
      <w:pPr>
        <w:pStyle w:val="BodyTextMain"/>
        <w:keepNext/>
        <w:rPr>
          <w:rFonts w:eastAsiaTheme="minorEastAsia"/>
          <w:lang w:eastAsia="zh-CN"/>
        </w:rPr>
      </w:pPr>
      <w:r w:rsidRPr="00811800">
        <w:t xml:space="preserve">As global demand continued to increase from the mid-2000s, </w:t>
      </w:r>
      <w:r w:rsidR="008618F7">
        <w:t>many</w:t>
      </w:r>
      <w:r w:rsidRPr="00811800">
        <w:t xml:space="preserve"> new entrants emerged in Asia, including China, Taiwan, and South Korea. The core solar technology was well</w:t>
      </w:r>
      <w:r w:rsidR="0046369B">
        <w:t xml:space="preserve"> </w:t>
      </w:r>
      <w:r w:rsidRPr="00811800">
        <w:t xml:space="preserve">established, production lines and products were standardized, and financial resources for this industry became readily available. The success story of Wuxi </w:t>
      </w:r>
      <w:proofErr w:type="spellStart"/>
      <w:r w:rsidRPr="00811800">
        <w:t>Suntech</w:t>
      </w:r>
      <w:proofErr w:type="spellEnd"/>
      <w:r w:rsidRPr="00811800">
        <w:t xml:space="preserve"> and Wuxi city enticed many Chinese local governments to follow suit.</w:t>
      </w:r>
      <w:r w:rsidRPr="00811800">
        <w:rPr>
          <w:rStyle w:val="EndnoteReference"/>
        </w:rPr>
        <w:endnoteReference w:id="23"/>
      </w:r>
      <w:r w:rsidRPr="00811800">
        <w:t xml:space="preserve"> For </w:t>
      </w:r>
      <w:r w:rsidRPr="00811800">
        <w:lastRenderedPageBreak/>
        <w:t>example, LDK Solar Co. Ltd</w:t>
      </w:r>
      <w:r w:rsidR="00565CC5">
        <w:t>.</w:t>
      </w:r>
      <w:r w:rsidRPr="00811800">
        <w:t xml:space="preserve">, supported by the Jiangxi provincial government, was founded in 2005 and went public on </w:t>
      </w:r>
      <w:r w:rsidR="0046369B">
        <w:t xml:space="preserve">the </w:t>
      </w:r>
      <w:r w:rsidRPr="00811800">
        <w:t>NYSE in 2007. Taking advantage of lower production costs in China, Chinese solar companies quickly became major producers in the world (</w:t>
      </w:r>
      <w:r w:rsidR="003A56B2">
        <w:t xml:space="preserve">see </w:t>
      </w:r>
      <w:r w:rsidRPr="003A56B2">
        <w:t>Exhibit</w:t>
      </w:r>
      <w:r w:rsidR="00A8559E">
        <w:rPr>
          <w:rFonts w:eastAsiaTheme="minorEastAsia" w:hint="eastAsia"/>
          <w:lang w:eastAsia="zh-CN"/>
        </w:rPr>
        <w:t xml:space="preserve"> </w:t>
      </w:r>
      <w:r w:rsidR="00C86D0F">
        <w:rPr>
          <w:rFonts w:eastAsiaTheme="minorEastAsia" w:hint="eastAsia"/>
          <w:lang w:eastAsia="zh-CN"/>
        </w:rPr>
        <w:t>5</w:t>
      </w:r>
      <w:r w:rsidRPr="003A56B2">
        <w:t>).</w:t>
      </w:r>
      <w:r w:rsidRPr="00811800">
        <w:t xml:space="preserve"> This made Shi even more aggressive. </w:t>
      </w:r>
      <w:r w:rsidR="0065031E">
        <w:t>He felt that i</w:t>
      </w:r>
      <w:r w:rsidRPr="00811800">
        <w:t xml:space="preserve">f STP slowed down, new Chinese companies, supported by various local governments, </w:t>
      </w:r>
      <w:r w:rsidR="0074696C">
        <w:rPr>
          <w:rFonts w:eastAsiaTheme="minorEastAsia" w:hint="eastAsia"/>
          <w:lang w:eastAsia="zh-CN"/>
        </w:rPr>
        <w:t>w</w:t>
      </w:r>
      <w:r w:rsidR="00565CC5">
        <w:rPr>
          <w:rFonts w:eastAsiaTheme="minorEastAsia"/>
          <w:lang w:eastAsia="zh-CN"/>
        </w:rPr>
        <w:t>ould be</w:t>
      </w:r>
      <w:r w:rsidR="0074696C">
        <w:rPr>
          <w:rFonts w:eastAsiaTheme="minorEastAsia" w:hint="eastAsia"/>
          <w:lang w:eastAsia="zh-CN"/>
        </w:rPr>
        <w:t xml:space="preserve"> able to </w:t>
      </w:r>
      <w:r w:rsidRPr="00811800">
        <w:t>quickly overtake STP.</w:t>
      </w:r>
    </w:p>
    <w:p w14:paraId="5D8494E4" w14:textId="77777777" w:rsidR="009E7ECB" w:rsidRPr="008F3A57" w:rsidRDefault="009E7ECB" w:rsidP="00903196">
      <w:pPr>
        <w:pStyle w:val="BodyTextMain"/>
        <w:rPr>
          <w:sz w:val="20"/>
        </w:rPr>
      </w:pPr>
    </w:p>
    <w:p w14:paraId="4250C67F" w14:textId="77777777" w:rsidR="009E7ECB" w:rsidRPr="008F3A57" w:rsidRDefault="009E7ECB" w:rsidP="00903196">
      <w:pPr>
        <w:pStyle w:val="BodyTextMain"/>
        <w:rPr>
          <w:sz w:val="20"/>
        </w:rPr>
      </w:pPr>
    </w:p>
    <w:p w14:paraId="2FDBBD8B" w14:textId="77777777" w:rsidR="006A5750" w:rsidRPr="00811800" w:rsidRDefault="006A5750" w:rsidP="009E7ECB">
      <w:pPr>
        <w:pStyle w:val="Casehead2"/>
      </w:pPr>
      <w:r w:rsidRPr="00811800">
        <w:t>New Technologies</w:t>
      </w:r>
    </w:p>
    <w:p w14:paraId="1C035B4F" w14:textId="77777777" w:rsidR="009E7ECB" w:rsidRPr="008F3A57" w:rsidRDefault="009E7ECB" w:rsidP="00903196">
      <w:pPr>
        <w:pStyle w:val="BodyTextMain"/>
        <w:rPr>
          <w:sz w:val="20"/>
        </w:rPr>
      </w:pPr>
    </w:p>
    <w:p w14:paraId="47D2A90F" w14:textId="6C913CB7" w:rsidR="006A5750" w:rsidRPr="00811800" w:rsidRDefault="006A5750" w:rsidP="00903196">
      <w:pPr>
        <w:pStyle w:val="BodyTextMain"/>
      </w:pPr>
      <w:r w:rsidRPr="00811800">
        <w:t xml:space="preserve">To meet competition, STP invested heavily </w:t>
      </w:r>
      <w:r w:rsidR="00204F7C">
        <w:t>i</w:t>
      </w:r>
      <w:r w:rsidRPr="00811800">
        <w:t xml:space="preserve">n new technologies. In 2007, building on Shi’s expertise in thin-film technology, the company invested $50 million in a new thin-film production line in Shanghai. At that time, thin-film technology had a conversion efficiency of only 7 per cent compared to at least 14 per cent for the </w:t>
      </w:r>
      <w:r w:rsidRPr="00811800">
        <w:rPr>
          <w:rFonts w:eastAsiaTheme="minorEastAsia"/>
        </w:rPr>
        <w:t xml:space="preserve">mainstream </w:t>
      </w:r>
      <w:r w:rsidRPr="00811800">
        <w:t>wafer technology. Still, the high cost of silicon made thin-film solar products viable. Beside</w:t>
      </w:r>
      <w:r w:rsidR="00204F7C">
        <w:t>s</w:t>
      </w:r>
      <w:r w:rsidRPr="00811800">
        <w:t xml:space="preserve"> thin-film technology, STP also invested heavily in the pursuit of next-generation wafer technology in 2007 to improve the conversion efficiency of its core products. The company was able to achieve 18</w:t>
      </w:r>
      <w:r w:rsidR="00204F7C">
        <w:t>–</w:t>
      </w:r>
      <w:r w:rsidRPr="00811800">
        <w:t>19 per cent conversion efficiency in its pilot production. Anticipating new demand for these high efficiency solar cells, STP accelerated plans to retrofit existing production lines by the end of 2009.</w:t>
      </w:r>
    </w:p>
    <w:p w14:paraId="77AC8999" w14:textId="77777777" w:rsidR="009E7ECB" w:rsidRPr="008F3A57" w:rsidRDefault="009E7ECB" w:rsidP="00903196">
      <w:pPr>
        <w:pStyle w:val="BodyTextMain"/>
        <w:rPr>
          <w:sz w:val="20"/>
        </w:rPr>
      </w:pPr>
    </w:p>
    <w:p w14:paraId="3127BB07" w14:textId="77777777" w:rsidR="009E7ECB" w:rsidRPr="008F3A57" w:rsidRDefault="009E7ECB" w:rsidP="00903196">
      <w:pPr>
        <w:pStyle w:val="BodyTextMain"/>
        <w:rPr>
          <w:sz w:val="20"/>
        </w:rPr>
      </w:pPr>
    </w:p>
    <w:p w14:paraId="5C3ECC8A" w14:textId="77777777" w:rsidR="006A5750" w:rsidRPr="00811800" w:rsidRDefault="006A5750" w:rsidP="009E7ECB">
      <w:pPr>
        <w:pStyle w:val="Casehead2"/>
      </w:pPr>
      <w:r w:rsidRPr="00811800">
        <w:t>Strategic Alliances to Stabilize Silicon Supply</w:t>
      </w:r>
    </w:p>
    <w:p w14:paraId="7039B188" w14:textId="77777777" w:rsidR="009E7ECB" w:rsidRPr="008F3A57" w:rsidRDefault="009E7ECB" w:rsidP="00903196">
      <w:pPr>
        <w:pStyle w:val="BodyTextMain"/>
        <w:rPr>
          <w:sz w:val="20"/>
        </w:rPr>
      </w:pPr>
    </w:p>
    <w:p w14:paraId="705CA1B8" w14:textId="3C181EA5" w:rsidR="006A5750" w:rsidRPr="00811800" w:rsidRDefault="006A5750" w:rsidP="00903196">
      <w:pPr>
        <w:pStyle w:val="BodyTextMain"/>
      </w:pPr>
      <w:r w:rsidRPr="00811800">
        <w:t xml:space="preserve">Until 2008, the global supply of solar-grade silicon was limited. </w:t>
      </w:r>
      <w:r w:rsidR="00204F7C">
        <w:t xml:space="preserve">The </w:t>
      </w:r>
      <w:r w:rsidRPr="00811800">
        <w:t>price</w:t>
      </w:r>
      <w:r w:rsidR="00204F7C">
        <w:t xml:space="preserve"> of silicon</w:t>
      </w:r>
      <w:r w:rsidRPr="00811800">
        <w:t xml:space="preserve"> increased from $90 per kilogram in 2004 to $475 per kilogram in March 2008 (</w:t>
      </w:r>
      <w:r w:rsidR="003A56B2">
        <w:t xml:space="preserve">see </w:t>
      </w:r>
      <w:r w:rsidRPr="00811800">
        <w:t xml:space="preserve">Exhibit </w:t>
      </w:r>
      <w:r w:rsidR="00C86D0F">
        <w:rPr>
          <w:rFonts w:eastAsiaTheme="minorEastAsia" w:hint="eastAsia"/>
          <w:lang w:eastAsia="zh-CN"/>
        </w:rPr>
        <w:t>6</w:t>
      </w:r>
      <w:r w:rsidRPr="00811800">
        <w:t xml:space="preserve">). STP had to import the majority of its silicon from suppliers in developed countries as domestic supply in the early 2000s was low. The accepted belief was that whoever </w:t>
      </w:r>
      <w:r w:rsidR="00790CAA">
        <w:t xml:space="preserve">had a </w:t>
      </w:r>
      <w:r w:rsidRPr="00811800">
        <w:t>secured silicon supply would win in this business.</w:t>
      </w:r>
      <w:r w:rsidRPr="00811800">
        <w:rPr>
          <w:b/>
        </w:rPr>
        <w:t xml:space="preserve"> </w:t>
      </w:r>
      <w:r w:rsidRPr="00811800">
        <w:t xml:space="preserve">To stay ahead of competition, STP established several strategic alliances to ensure a stable and reliable supply of silicon. In 2004, it provided financial loans to its suppliers to build two local silicon and silicon component factories. </w:t>
      </w:r>
    </w:p>
    <w:p w14:paraId="2CB4FEAA" w14:textId="77777777" w:rsidR="009E7ECB" w:rsidRPr="008F3A57" w:rsidRDefault="009E7ECB" w:rsidP="00903196">
      <w:pPr>
        <w:pStyle w:val="BodyTextMain"/>
        <w:rPr>
          <w:sz w:val="20"/>
        </w:rPr>
      </w:pPr>
    </w:p>
    <w:p w14:paraId="369A8C1C" w14:textId="19F62410" w:rsidR="006A5750" w:rsidRPr="008F3A57" w:rsidRDefault="006A5750" w:rsidP="00903196">
      <w:pPr>
        <w:pStyle w:val="BodyTextMain"/>
        <w:rPr>
          <w:spacing w:val="-6"/>
          <w:kern w:val="22"/>
        </w:rPr>
      </w:pPr>
      <w:r w:rsidRPr="008F3A57">
        <w:rPr>
          <w:spacing w:val="-6"/>
          <w:kern w:val="22"/>
        </w:rPr>
        <w:t xml:space="preserve">In addition, STP signed a 10-year supply contract in 2006 with MEMC </w:t>
      </w:r>
      <w:r w:rsidRPr="008F3A57">
        <w:rPr>
          <w:bCs/>
          <w:spacing w:val="-6"/>
          <w:kern w:val="22"/>
        </w:rPr>
        <w:t xml:space="preserve">Electronic Materials </w:t>
      </w:r>
      <w:r w:rsidR="00121EF5" w:rsidRPr="008F3A57">
        <w:rPr>
          <w:bCs/>
          <w:spacing w:val="-6"/>
          <w:kern w:val="22"/>
        </w:rPr>
        <w:t xml:space="preserve">Inc. </w:t>
      </w:r>
      <w:r w:rsidRPr="008F3A57">
        <w:rPr>
          <w:bCs/>
          <w:spacing w:val="-6"/>
          <w:kern w:val="22"/>
        </w:rPr>
        <w:t>(MEMC)</w:t>
      </w:r>
      <w:r w:rsidRPr="008F3A57">
        <w:rPr>
          <w:spacing w:val="-6"/>
          <w:kern w:val="22"/>
        </w:rPr>
        <w:t>, a major U.S. supplier, worth $6 billion. The agreement locked in an initial price of $100 per kilogram (which was lower than the spot market price)</w:t>
      </w:r>
      <w:r w:rsidRPr="008F3A57">
        <w:rPr>
          <w:rStyle w:val="EndnoteReference"/>
          <w:spacing w:val="-6"/>
          <w:kern w:val="22"/>
        </w:rPr>
        <w:endnoteReference w:id="24"/>
      </w:r>
      <w:r w:rsidRPr="008F3A57">
        <w:rPr>
          <w:spacing w:val="-6"/>
          <w:kern w:val="22"/>
        </w:rPr>
        <w:t xml:space="preserve"> subject to a declining annual price curve in subsequent years. The deal seemed quite good considering the black market price for silicon in China was around $400 per kilogram in 2007. However, some managers were uncomfortable with these deals because they involved significant risks such as locked-in prices and non-competition clauses that forbade STP </w:t>
      </w:r>
      <w:r w:rsidR="00790CAA" w:rsidRPr="008F3A57">
        <w:rPr>
          <w:spacing w:val="-6"/>
          <w:kern w:val="22"/>
        </w:rPr>
        <w:t xml:space="preserve">from </w:t>
      </w:r>
      <w:r w:rsidRPr="008F3A57">
        <w:rPr>
          <w:spacing w:val="-6"/>
          <w:kern w:val="22"/>
        </w:rPr>
        <w:t>mak</w:t>
      </w:r>
      <w:r w:rsidR="00790CAA" w:rsidRPr="008F3A57">
        <w:rPr>
          <w:spacing w:val="-6"/>
          <w:kern w:val="22"/>
        </w:rPr>
        <w:t>ing</w:t>
      </w:r>
      <w:r w:rsidRPr="008F3A57">
        <w:rPr>
          <w:spacing w:val="-6"/>
          <w:kern w:val="22"/>
        </w:rPr>
        <w:t xml:space="preserve"> future upstream investments.</w:t>
      </w:r>
      <w:r w:rsidRPr="008F3A57">
        <w:rPr>
          <w:rStyle w:val="EndnoteReference"/>
          <w:spacing w:val="-6"/>
          <w:kern w:val="22"/>
        </w:rPr>
        <w:endnoteReference w:id="25"/>
      </w:r>
      <w:r w:rsidRPr="008F3A57">
        <w:rPr>
          <w:spacing w:val="-6"/>
          <w:kern w:val="22"/>
        </w:rPr>
        <w:t xml:space="preserve"> </w:t>
      </w:r>
    </w:p>
    <w:p w14:paraId="61FDEB88" w14:textId="77777777" w:rsidR="009E7ECB" w:rsidRPr="008F3A57" w:rsidRDefault="009E7ECB" w:rsidP="00903196">
      <w:pPr>
        <w:pStyle w:val="BodyTextMain"/>
        <w:rPr>
          <w:sz w:val="20"/>
        </w:rPr>
      </w:pPr>
    </w:p>
    <w:p w14:paraId="6541A6AE" w14:textId="77777777" w:rsidR="009E7ECB" w:rsidRPr="008F3A57" w:rsidRDefault="009E7ECB" w:rsidP="00903196">
      <w:pPr>
        <w:pStyle w:val="BodyTextMain"/>
        <w:rPr>
          <w:sz w:val="20"/>
        </w:rPr>
      </w:pPr>
    </w:p>
    <w:p w14:paraId="22A45F18" w14:textId="77777777" w:rsidR="006A5750" w:rsidRPr="00811800" w:rsidRDefault="006A5750" w:rsidP="009E7ECB">
      <w:pPr>
        <w:pStyle w:val="Casehead2"/>
      </w:pPr>
      <w:r w:rsidRPr="00811800">
        <w:t>The Integrated Value Chain Strategy</w:t>
      </w:r>
    </w:p>
    <w:p w14:paraId="16E0D531" w14:textId="77777777" w:rsidR="009E7ECB" w:rsidRPr="008F3A57" w:rsidRDefault="009E7ECB" w:rsidP="00903196">
      <w:pPr>
        <w:pStyle w:val="BodyTextMain"/>
        <w:rPr>
          <w:sz w:val="20"/>
        </w:rPr>
      </w:pPr>
    </w:p>
    <w:p w14:paraId="4A5F787D" w14:textId="2FC767B3" w:rsidR="006A5750" w:rsidRPr="00811800" w:rsidRDefault="006A5750" w:rsidP="00903196">
      <w:pPr>
        <w:pStyle w:val="BodyTextMain"/>
      </w:pPr>
      <w:r w:rsidRPr="00811800">
        <w:t xml:space="preserve">Until </w:t>
      </w:r>
      <w:r w:rsidR="00790CAA">
        <w:t xml:space="preserve">the </w:t>
      </w:r>
      <w:r w:rsidRPr="00811800">
        <w:t xml:space="preserve">mid-2000s, Wuxi </w:t>
      </w:r>
      <w:proofErr w:type="spellStart"/>
      <w:r w:rsidRPr="00811800">
        <w:t>Suntech</w:t>
      </w:r>
      <w:proofErr w:type="spellEnd"/>
      <w:r w:rsidRPr="00811800">
        <w:t xml:space="preserve"> was cautious about making investments in upstream silicon production, preferring to focus on the production of solar cell and module. As Shi explained, “If a new technology comes to the market, what could we do with the silicon factories?”</w:t>
      </w:r>
      <w:r w:rsidRPr="00811800">
        <w:rPr>
          <w:rStyle w:val="EndnoteReference"/>
        </w:rPr>
        <w:endnoteReference w:id="26"/>
      </w:r>
      <w:r w:rsidRPr="00811800">
        <w:t xml:space="preserve"> However, he came to realize that the long-term supply contracts could affect STP’s strategic flexibility. Consequently, in its second five-year strategic plan (2007–2012), the company decided to </w:t>
      </w:r>
      <w:r w:rsidR="0065031E">
        <w:t xml:space="preserve">develop </w:t>
      </w:r>
      <w:r w:rsidRPr="00811800">
        <w:t>a</w:t>
      </w:r>
      <w:r w:rsidR="0065031E">
        <w:t xml:space="preserve">n </w:t>
      </w:r>
      <w:r w:rsidRPr="00811800">
        <w:t xml:space="preserve">integrated </w:t>
      </w:r>
      <w:r w:rsidR="0065031E">
        <w:t xml:space="preserve">industry </w:t>
      </w:r>
      <w:r w:rsidRPr="00811800">
        <w:t xml:space="preserve">value chain by 2012, including upstream silicon processing, to secure and stabilize silicon supply, and downstream solar energy systems, to create internal demands for its solar cells and modules. To finance these heavy fixed-asset investments along with planned capacity expansion, Wuxi </w:t>
      </w:r>
      <w:proofErr w:type="spellStart"/>
      <w:r w:rsidRPr="00811800">
        <w:t>Suntech</w:t>
      </w:r>
      <w:proofErr w:type="spellEnd"/>
      <w:r w:rsidRPr="00811800">
        <w:rPr>
          <w:rStyle w:val="EndnoteReference"/>
        </w:rPr>
        <w:endnoteReference w:id="27"/>
      </w:r>
      <w:r w:rsidRPr="00811800">
        <w:t xml:space="preserve"> issued convertible bonds to qualified institutional buyers (mainly Chinese banks) in February 2007 worth $500 million (at 0.25</w:t>
      </w:r>
      <w:r w:rsidR="003A56B2">
        <w:t xml:space="preserve"> per cent</w:t>
      </w:r>
      <w:r w:rsidRPr="00811800">
        <w:t>, due 2012) and in March 2008 worth $525 million (at 0.3</w:t>
      </w:r>
      <w:r w:rsidR="003A56B2">
        <w:t xml:space="preserve"> per cent</w:t>
      </w:r>
      <w:r w:rsidRPr="00811800">
        <w:t xml:space="preserve">, due 2013). Many Chinese solar energy companies, like </w:t>
      </w:r>
      <w:proofErr w:type="spellStart"/>
      <w:r w:rsidRPr="00811800">
        <w:t>Yingli</w:t>
      </w:r>
      <w:proofErr w:type="spellEnd"/>
      <w:r w:rsidRPr="00811800">
        <w:t xml:space="preserve"> Solar, also followed similar strategies in capacity expansion and vertical integration. In addition, STP invested $100 million in March 2008 to acquire a minority stake in </w:t>
      </w:r>
      <w:proofErr w:type="spellStart"/>
      <w:r w:rsidRPr="00811800">
        <w:t>Nitol</w:t>
      </w:r>
      <w:proofErr w:type="spellEnd"/>
      <w:r w:rsidRPr="00811800">
        <w:t xml:space="preserve"> Solar, a Russian </w:t>
      </w:r>
      <w:r w:rsidRPr="00811800">
        <w:lastRenderedPageBreak/>
        <w:t>producer of silicon wafers, and $81 million in Asia Silicon</w:t>
      </w:r>
      <w:r w:rsidR="00736FA2">
        <w:t xml:space="preserve"> Co. Ltd. (Asia Silicon),</w:t>
      </w:r>
      <w:r w:rsidRPr="00811800">
        <w:t xml:space="preserve"> a Chinese producer of silicon products, in January 2009</w:t>
      </w:r>
      <w:r w:rsidR="00121EF5">
        <w:t>,</w:t>
      </w:r>
      <w:r w:rsidR="00121EF5" w:rsidRPr="00811800">
        <w:t xml:space="preserve"> </w:t>
      </w:r>
      <w:r w:rsidRPr="00811800">
        <w:t xml:space="preserve">Asia Silicon </w:t>
      </w:r>
      <w:r w:rsidR="009726CB" w:rsidRPr="00811800">
        <w:t xml:space="preserve">quickly </w:t>
      </w:r>
      <w:r w:rsidRPr="00811800">
        <w:t>became STP’s top silicon supplier.</w:t>
      </w:r>
      <w:r w:rsidR="004F349E">
        <w:rPr>
          <w:rStyle w:val="EndnoteReference"/>
        </w:rPr>
        <w:endnoteReference w:id="28"/>
      </w:r>
    </w:p>
    <w:p w14:paraId="4B9E3C62" w14:textId="77777777" w:rsidR="00BD2F40" w:rsidRPr="008F3A57" w:rsidRDefault="00BD2F40" w:rsidP="00903196">
      <w:pPr>
        <w:pStyle w:val="BodyTextMain"/>
        <w:rPr>
          <w:sz w:val="20"/>
        </w:rPr>
      </w:pPr>
    </w:p>
    <w:p w14:paraId="107F67CD" w14:textId="77777777" w:rsidR="00BD2F40" w:rsidRPr="008F3A57" w:rsidRDefault="00BD2F40" w:rsidP="00903196">
      <w:pPr>
        <w:pStyle w:val="BodyTextMain"/>
        <w:rPr>
          <w:sz w:val="20"/>
        </w:rPr>
      </w:pPr>
    </w:p>
    <w:p w14:paraId="02BDE20B" w14:textId="77777777" w:rsidR="006A5750" w:rsidRPr="00811800" w:rsidRDefault="006A5750" w:rsidP="00BD2F40">
      <w:pPr>
        <w:pStyle w:val="Casehead2"/>
      </w:pPr>
      <w:r w:rsidRPr="00811800">
        <w:t>Internal Management</w:t>
      </w:r>
    </w:p>
    <w:p w14:paraId="499566CF" w14:textId="77777777" w:rsidR="00BD2F40" w:rsidRPr="008F3A57" w:rsidRDefault="00BD2F40" w:rsidP="00903196">
      <w:pPr>
        <w:pStyle w:val="BodyTextMain"/>
        <w:rPr>
          <w:sz w:val="20"/>
        </w:rPr>
      </w:pPr>
    </w:p>
    <w:p w14:paraId="43A4464A" w14:textId="31281B37" w:rsidR="0000605B" w:rsidRDefault="006A5750" w:rsidP="00903196">
      <w:pPr>
        <w:pStyle w:val="BodyTextMain"/>
      </w:pPr>
      <w:r w:rsidRPr="00811800">
        <w:t xml:space="preserve">As STP grew from a small start-up to one of the world’s leading solar energy </w:t>
      </w:r>
      <w:r w:rsidR="00121EF5" w:rsidRPr="00811800">
        <w:t>compan</w:t>
      </w:r>
      <w:r w:rsidR="00121EF5">
        <w:t>ies</w:t>
      </w:r>
      <w:r w:rsidRPr="00811800">
        <w:t>, Shi had to also transform himself from a scientist to an entrepreneur, and eventually, to a top executive of a global company. These changes were challenging for Shi, who reflected</w:t>
      </w:r>
      <w:r w:rsidR="00121EF5">
        <w:t>,</w:t>
      </w:r>
      <w:r w:rsidR="00121EF5" w:rsidRPr="00811800">
        <w:t xml:space="preserve"> </w:t>
      </w:r>
    </w:p>
    <w:p w14:paraId="1C54E5B4" w14:textId="77777777" w:rsidR="0000605B" w:rsidRPr="008F3A57" w:rsidRDefault="0000605B" w:rsidP="00903196">
      <w:pPr>
        <w:pStyle w:val="BodyTextMain"/>
        <w:rPr>
          <w:sz w:val="20"/>
        </w:rPr>
      </w:pPr>
    </w:p>
    <w:p w14:paraId="7FFCE8BA" w14:textId="3D837878" w:rsidR="0000605B" w:rsidRDefault="006A5750" w:rsidP="005B292C">
      <w:pPr>
        <w:pStyle w:val="BodyTextMain"/>
        <w:ind w:left="720"/>
      </w:pPr>
      <w:r w:rsidRPr="00811800">
        <w:t xml:space="preserve">When </w:t>
      </w:r>
      <w:proofErr w:type="spellStart"/>
      <w:r w:rsidRPr="00811800">
        <w:t>Suntech</w:t>
      </w:r>
      <w:proofErr w:type="spellEnd"/>
      <w:r w:rsidRPr="00811800">
        <w:t xml:space="preserve"> was just a start-up, work processes and finding enough talents did not bother me because I could see through things immediately, and I could do anything needed by myself. The company was fine</w:t>
      </w:r>
      <w:r w:rsidR="0000605B">
        <w:t>,</w:t>
      </w:r>
      <w:r w:rsidRPr="00811800">
        <w:t xml:space="preserve"> and I was not too stretched by the job. But as the company grew big, it became more heavily reliant on processes and qualified talents, </w:t>
      </w:r>
      <w:r w:rsidR="00736FA2">
        <w:t>[</w:t>
      </w:r>
      <w:r w:rsidR="0000605B">
        <w:t>of</w:t>
      </w:r>
      <w:r w:rsidR="00736FA2">
        <w:t>]</w:t>
      </w:r>
      <w:r w:rsidR="0000605B">
        <w:t xml:space="preserve"> </w:t>
      </w:r>
      <w:r w:rsidRPr="00811800">
        <w:t>which we didn’t have enough, forcing me to continue to take care of every little detail. I felt exhausted and the company suffered.</w:t>
      </w:r>
      <w:r w:rsidRPr="00811800">
        <w:rPr>
          <w:rStyle w:val="EndnoteReference"/>
        </w:rPr>
        <w:endnoteReference w:id="29"/>
      </w:r>
      <w:r w:rsidRPr="00811800">
        <w:t xml:space="preserve"> </w:t>
      </w:r>
    </w:p>
    <w:p w14:paraId="07A94E36" w14:textId="77777777" w:rsidR="0000605B" w:rsidRPr="008F3A57" w:rsidRDefault="0000605B" w:rsidP="0000605B">
      <w:pPr>
        <w:pStyle w:val="BodyTextMain"/>
        <w:rPr>
          <w:sz w:val="20"/>
        </w:rPr>
      </w:pPr>
    </w:p>
    <w:p w14:paraId="371B8AFE" w14:textId="3932FF29" w:rsidR="006A5750" w:rsidRPr="00811800" w:rsidRDefault="006A5750" w:rsidP="00903196">
      <w:pPr>
        <w:pStyle w:val="BodyTextMain"/>
      </w:pPr>
      <w:r w:rsidRPr="00811800">
        <w:t>As a former executive commented</w:t>
      </w:r>
      <w:r w:rsidR="00121EF5">
        <w:t>,</w:t>
      </w:r>
      <w:r w:rsidR="00121EF5" w:rsidRPr="00811800">
        <w:t xml:space="preserve"> </w:t>
      </w:r>
      <w:r w:rsidRPr="00811800">
        <w:t>“Many of Shi’s decisions were extremely arbitrary, and he might change them quickly afterwards. But when he made up his mind, he could hardly be influenced by others.”</w:t>
      </w:r>
      <w:r w:rsidRPr="00811800">
        <w:rPr>
          <w:rStyle w:val="EndnoteReference"/>
        </w:rPr>
        <w:endnoteReference w:id="30"/>
      </w:r>
      <w:r w:rsidRPr="00811800">
        <w:rPr>
          <w:rStyle w:val="EndnoteReference"/>
        </w:rPr>
        <w:t xml:space="preserve"> </w:t>
      </w:r>
      <w:r w:rsidRPr="00811800">
        <w:t>The thin-film investment and long-term supply contract with MEMC were two examples.</w:t>
      </w:r>
      <w:r w:rsidRPr="00811800">
        <w:rPr>
          <w:rStyle w:val="EndnoteReference"/>
        </w:rPr>
        <w:endnoteReference w:id="31"/>
      </w:r>
      <w:r w:rsidR="008F3A57">
        <w:t xml:space="preserve"> </w:t>
      </w:r>
      <w:r w:rsidRPr="00811800">
        <w:t>After its IPO, Shi recruited several senior executives from renowned multinational companies like BP, Siemens, and Bayer.</w:t>
      </w:r>
      <w:r w:rsidRPr="00811800">
        <w:rPr>
          <w:rStyle w:val="EndnoteReference"/>
        </w:rPr>
        <w:endnoteReference w:id="32"/>
      </w:r>
      <w:r w:rsidR="00436D93" w:rsidRPr="00811800">
        <w:t xml:space="preserve"> </w:t>
      </w:r>
      <w:r w:rsidR="00436D93">
        <w:t xml:space="preserve">He </w:t>
      </w:r>
      <w:r w:rsidR="00436D93" w:rsidRPr="00811800">
        <w:t xml:space="preserve">built a large </w:t>
      </w:r>
      <w:r w:rsidR="00436D93">
        <w:t xml:space="preserve">international </w:t>
      </w:r>
      <w:r w:rsidR="00436D93" w:rsidRPr="00811800">
        <w:t>management team with over 20 vice-presidents, many with generous compensation packages.</w:t>
      </w:r>
      <w:r w:rsidR="00436D93" w:rsidRPr="00811800">
        <w:rPr>
          <w:rStyle w:val="EndnoteReference"/>
        </w:rPr>
        <w:endnoteReference w:id="33"/>
      </w:r>
      <w:r w:rsidR="00436D93">
        <w:t xml:space="preserve"> </w:t>
      </w:r>
      <w:r w:rsidRPr="00811800">
        <w:t xml:space="preserve">In the minds of many local Chinese managers who </w:t>
      </w:r>
      <w:r w:rsidR="00121EF5">
        <w:t>had been</w:t>
      </w:r>
      <w:r w:rsidR="00121EF5" w:rsidRPr="00811800">
        <w:t xml:space="preserve"> </w:t>
      </w:r>
      <w:r w:rsidRPr="00811800">
        <w:t xml:space="preserve">there since the beginning of Wuxi </w:t>
      </w:r>
      <w:proofErr w:type="spellStart"/>
      <w:r w:rsidRPr="00811800">
        <w:t>Suntech</w:t>
      </w:r>
      <w:proofErr w:type="spellEnd"/>
      <w:r w:rsidRPr="00811800">
        <w:t>, these top management positions could have been filled by them. They became frustrated by what they felt was a “glass ceiling”</w:t>
      </w:r>
      <w:r w:rsidRPr="00811800">
        <w:rPr>
          <w:rStyle w:val="EndnoteReference"/>
        </w:rPr>
        <w:endnoteReference w:id="34"/>
      </w:r>
      <w:r w:rsidRPr="00811800">
        <w:rPr>
          <w:rStyle w:val="EndnoteReference"/>
        </w:rPr>
        <w:t xml:space="preserve"> </w:t>
      </w:r>
      <w:r w:rsidRPr="00811800">
        <w:t>and commented</w:t>
      </w:r>
      <w:r w:rsidR="00121EF5">
        <w:t>,</w:t>
      </w:r>
      <w:r w:rsidR="00121EF5" w:rsidRPr="00811800">
        <w:t xml:space="preserve"> </w:t>
      </w:r>
      <w:r w:rsidRPr="00811800">
        <w:t>“We were also entrepreneurs. We helped him reach the top, but we were treated as expendable. We were denied a sense of belonging.”</w:t>
      </w:r>
      <w:r w:rsidRPr="00811800">
        <w:rPr>
          <w:rStyle w:val="EndnoteReference"/>
        </w:rPr>
        <w:endnoteReference w:id="35"/>
      </w:r>
      <w:r w:rsidRPr="00811800">
        <w:t xml:space="preserve"> </w:t>
      </w:r>
    </w:p>
    <w:p w14:paraId="36B0128F" w14:textId="77777777" w:rsidR="00BD2F40" w:rsidRPr="008F3A57" w:rsidRDefault="00BD2F40" w:rsidP="00903196">
      <w:pPr>
        <w:pStyle w:val="BodyTextMain"/>
        <w:rPr>
          <w:sz w:val="20"/>
        </w:rPr>
      </w:pPr>
    </w:p>
    <w:p w14:paraId="1BC4BB16" w14:textId="77777777" w:rsidR="00BD2F40" w:rsidRPr="008F3A57" w:rsidRDefault="00BD2F40" w:rsidP="00903196">
      <w:pPr>
        <w:pStyle w:val="BodyTextMain"/>
        <w:rPr>
          <w:sz w:val="20"/>
        </w:rPr>
      </w:pPr>
    </w:p>
    <w:p w14:paraId="654A0B3D" w14:textId="77777777" w:rsidR="006A5750" w:rsidRPr="00811800" w:rsidRDefault="006A5750" w:rsidP="00BD2F40">
      <w:pPr>
        <w:pStyle w:val="Casehead1"/>
      </w:pPr>
      <w:r w:rsidRPr="00811800">
        <w:rPr>
          <w:rFonts w:eastAsiaTheme="minorEastAsia"/>
        </w:rPr>
        <w:t>Global Financial Crisis and Post-Crisis Reorganization: 2008 to 2010</w:t>
      </w:r>
    </w:p>
    <w:p w14:paraId="649E119A" w14:textId="77777777" w:rsidR="00BD2F40" w:rsidRPr="008F3A57" w:rsidRDefault="00BD2F40" w:rsidP="004907D5">
      <w:pPr>
        <w:pStyle w:val="BodyTextMain"/>
        <w:rPr>
          <w:sz w:val="20"/>
        </w:rPr>
      </w:pPr>
    </w:p>
    <w:p w14:paraId="1F16371C" w14:textId="77777777" w:rsidR="006A5750" w:rsidRPr="00811800" w:rsidRDefault="006A5750" w:rsidP="00BD2F40">
      <w:pPr>
        <w:pStyle w:val="Casehead2"/>
      </w:pPr>
      <w:r w:rsidRPr="00811800">
        <w:t>Silicon Oversupply</w:t>
      </w:r>
    </w:p>
    <w:p w14:paraId="324CF1CF" w14:textId="77777777" w:rsidR="00BD2F40" w:rsidRPr="008F3A57" w:rsidRDefault="00BD2F40" w:rsidP="00903196">
      <w:pPr>
        <w:pStyle w:val="BodyTextMain"/>
        <w:rPr>
          <w:spacing w:val="-2"/>
          <w:kern w:val="22"/>
          <w:sz w:val="20"/>
        </w:rPr>
      </w:pPr>
    </w:p>
    <w:p w14:paraId="4CE5545C" w14:textId="7AD63693" w:rsidR="006A5750" w:rsidRPr="00811800" w:rsidRDefault="006A5750" w:rsidP="00903196">
      <w:pPr>
        <w:pStyle w:val="BodyTextMain"/>
        <w:rPr>
          <w:spacing w:val="-2"/>
          <w:kern w:val="22"/>
        </w:rPr>
      </w:pPr>
      <w:r w:rsidRPr="00811800">
        <w:rPr>
          <w:spacing w:val="-2"/>
          <w:kern w:val="22"/>
        </w:rPr>
        <w:t>Soaring silicon price</w:t>
      </w:r>
      <w:r w:rsidR="00736FA2">
        <w:rPr>
          <w:spacing w:val="-2"/>
          <w:kern w:val="22"/>
        </w:rPr>
        <w:t>s</w:t>
      </w:r>
      <w:r w:rsidRPr="00811800">
        <w:rPr>
          <w:spacing w:val="-2"/>
          <w:kern w:val="22"/>
        </w:rPr>
        <w:t xml:space="preserve"> in the early 2000s motivated many Chinese companies to enter the upstream segments in the mid-2000s. The massive entry of Chinese companies disrupted the global silicon supply structure. Signs of oversupply began to show in the second half of 2008</w:t>
      </w:r>
      <w:r w:rsidR="00121EF5">
        <w:rPr>
          <w:spacing w:val="-2"/>
          <w:kern w:val="22"/>
        </w:rPr>
        <w:t>,</w:t>
      </w:r>
      <w:r w:rsidRPr="00811800">
        <w:rPr>
          <w:spacing w:val="-2"/>
          <w:kern w:val="22"/>
        </w:rPr>
        <w:t xml:space="preserve"> and silicon price</w:t>
      </w:r>
      <w:r w:rsidR="00736FA2">
        <w:rPr>
          <w:spacing w:val="-2"/>
          <w:kern w:val="22"/>
        </w:rPr>
        <w:t>s</w:t>
      </w:r>
      <w:r w:rsidRPr="00811800">
        <w:rPr>
          <w:spacing w:val="-2"/>
          <w:kern w:val="22"/>
        </w:rPr>
        <w:t xml:space="preserve"> dropped sharply from $417 per kilogram in August to $219 per kilogram in December. Prices continued to drop every year after that to only $80 per kilogram in 2010 (which was lower than STP’s long-term contract price with MEMC). </w:t>
      </w:r>
    </w:p>
    <w:p w14:paraId="14E2362D" w14:textId="77777777" w:rsidR="00BD2F40" w:rsidRPr="008F3A57" w:rsidRDefault="00BD2F40" w:rsidP="00903196">
      <w:pPr>
        <w:pStyle w:val="BodyTextMain"/>
        <w:rPr>
          <w:sz w:val="20"/>
        </w:rPr>
      </w:pPr>
    </w:p>
    <w:p w14:paraId="45450D47" w14:textId="77777777" w:rsidR="00BD2F40" w:rsidRPr="008F3A57" w:rsidRDefault="00BD2F40" w:rsidP="00903196">
      <w:pPr>
        <w:pStyle w:val="BodyTextMain"/>
        <w:rPr>
          <w:sz w:val="20"/>
        </w:rPr>
      </w:pPr>
    </w:p>
    <w:p w14:paraId="051B27BA" w14:textId="0519975C" w:rsidR="006A5750" w:rsidRPr="00811800" w:rsidRDefault="006A5750" w:rsidP="00BD2F40">
      <w:pPr>
        <w:pStyle w:val="Casehead2"/>
        <w:keepNext/>
      </w:pPr>
      <w:r w:rsidRPr="00811800">
        <w:t xml:space="preserve">Changing Market Conditions and STP’s </w:t>
      </w:r>
      <w:r w:rsidR="005778FE">
        <w:t>O</w:t>
      </w:r>
      <w:r w:rsidRPr="00811800">
        <w:t>utlook in 2009</w:t>
      </w:r>
    </w:p>
    <w:p w14:paraId="7DCFB041" w14:textId="77777777" w:rsidR="00BD2F40" w:rsidRPr="008F3A57" w:rsidRDefault="00BD2F40" w:rsidP="00BD2F40">
      <w:pPr>
        <w:pStyle w:val="BodyTextMain"/>
        <w:keepNext/>
        <w:rPr>
          <w:sz w:val="20"/>
        </w:rPr>
      </w:pPr>
    </w:p>
    <w:p w14:paraId="23A9BBD4" w14:textId="7B7FDFAD" w:rsidR="006A5750" w:rsidRPr="00811800" w:rsidRDefault="006A5750" w:rsidP="00BD2F40">
      <w:pPr>
        <w:pStyle w:val="BodyTextMain"/>
        <w:keepNext/>
      </w:pPr>
      <w:r w:rsidRPr="00811800">
        <w:t>The unexpected global financial crisis in 2008 presented many European governments with more important economic and social issues to address</w:t>
      </w:r>
      <w:r w:rsidR="00736FA2">
        <w:t>,</w:t>
      </w:r>
      <w:r w:rsidRPr="00811800">
        <w:t xml:space="preserve"> and many decided to reduce the financial support toward renewable energy. In 2008, Europe accounted for nearly 80</w:t>
      </w:r>
      <w:r w:rsidR="003A56B2">
        <w:t xml:space="preserve"> per cent</w:t>
      </w:r>
      <w:r w:rsidRPr="00811800">
        <w:t xml:space="preserve"> of the global solar energy market, with Germany and Spain accounting for nearly half of that. As STP was exporting over 90</w:t>
      </w:r>
      <w:r w:rsidR="003A56B2">
        <w:t xml:space="preserve"> per cent</w:t>
      </w:r>
      <w:r w:rsidRPr="00811800">
        <w:t xml:space="preserve"> of its products to overseas markets, primarily Europe, its sales were adversely affected. Even though market conditions were less favo</w:t>
      </w:r>
      <w:r w:rsidR="00736FA2">
        <w:t>u</w:t>
      </w:r>
      <w:r w:rsidRPr="00811800">
        <w:t>rable at the end of 2008, STP remained optimistic as the business was still profitable and revenue and gross margin in Q2 2009 actually improved.</w:t>
      </w:r>
      <w:r w:rsidRPr="00811800">
        <w:rPr>
          <w:b/>
        </w:rPr>
        <w:t xml:space="preserve"> </w:t>
      </w:r>
      <w:r w:rsidRPr="00811800">
        <w:t>The good news was perceived by many industry players as an early sign of global economic recovery.</w:t>
      </w:r>
      <w:r w:rsidRPr="00811800">
        <w:rPr>
          <w:rStyle w:val="EndnoteReference"/>
        </w:rPr>
        <w:endnoteReference w:id="36"/>
      </w:r>
      <w:r w:rsidRPr="00811800">
        <w:t xml:space="preserve"> Shi saw the silicon oversupply condition as “a phase that shall pass”</w:t>
      </w:r>
      <w:r w:rsidRPr="00811800">
        <w:rPr>
          <w:rStyle w:val="EndnoteReference"/>
        </w:rPr>
        <w:endnoteReference w:id="37"/>
      </w:r>
      <w:r w:rsidRPr="00811800">
        <w:t xml:space="preserve"> and</w:t>
      </w:r>
      <w:r w:rsidR="00AD6921">
        <w:t>,</w:t>
      </w:r>
      <w:r w:rsidRPr="00811800">
        <w:t xml:space="preserve"> encouraged by the positive result, he continued to expand production capacity to become the world’s leading solar energy company in terms of capacity in 2010. Many Chinese solar energy </w:t>
      </w:r>
      <w:r w:rsidRPr="00811800">
        <w:lastRenderedPageBreak/>
        <w:t xml:space="preserve">companies made similar decisions, leading Charles </w:t>
      </w:r>
      <w:proofErr w:type="spellStart"/>
      <w:r w:rsidRPr="00811800">
        <w:t>Annis</w:t>
      </w:r>
      <w:proofErr w:type="spellEnd"/>
      <w:r w:rsidRPr="00811800">
        <w:t xml:space="preserve">, </w:t>
      </w:r>
      <w:proofErr w:type="spellStart"/>
      <w:r w:rsidRPr="00811800">
        <w:t>DisplaySearch</w:t>
      </w:r>
      <w:r w:rsidR="00121EF5">
        <w:t>’</w:t>
      </w:r>
      <w:r w:rsidRPr="00811800">
        <w:t>s</w:t>
      </w:r>
      <w:proofErr w:type="spellEnd"/>
      <w:r w:rsidRPr="00811800">
        <w:t xml:space="preserve"> </w:t>
      </w:r>
      <w:r w:rsidR="00AD6921">
        <w:t>vice president</w:t>
      </w:r>
      <w:r w:rsidRPr="00811800">
        <w:t xml:space="preserve"> of </w:t>
      </w:r>
      <w:r w:rsidR="00AD6921">
        <w:t>m</w:t>
      </w:r>
      <w:r w:rsidRPr="00811800">
        <w:t xml:space="preserve">anufacturing </w:t>
      </w:r>
      <w:r w:rsidR="00AD6921">
        <w:t>r</w:t>
      </w:r>
      <w:r w:rsidRPr="00811800">
        <w:t>esearch, to warn in mid-2000</w:t>
      </w:r>
      <w:r w:rsidR="00121EF5">
        <w:t>,</w:t>
      </w:r>
    </w:p>
    <w:p w14:paraId="41978490" w14:textId="1D91EC36" w:rsidR="00BD2F40" w:rsidRPr="008F3A57" w:rsidRDefault="00BD2F40" w:rsidP="00903196">
      <w:pPr>
        <w:pStyle w:val="BodyTextMain"/>
        <w:rPr>
          <w:sz w:val="20"/>
        </w:rPr>
      </w:pPr>
    </w:p>
    <w:p w14:paraId="6CC56C44" w14:textId="4DB1A9A7" w:rsidR="006A5750" w:rsidRPr="00811800" w:rsidRDefault="006A5750" w:rsidP="00BD2F40">
      <w:pPr>
        <w:pStyle w:val="BodyTextMain"/>
        <w:ind w:left="720"/>
      </w:pPr>
      <w:r w:rsidRPr="00811800">
        <w:t>Despite PV</w:t>
      </w:r>
      <w:r w:rsidR="00FE722C">
        <w:t xml:space="preserve"> [photovoltaic]</w:t>
      </w:r>
      <w:r w:rsidRPr="00811800">
        <w:t xml:space="preserve"> module demand shrinking 17</w:t>
      </w:r>
      <w:r w:rsidR="003A56B2">
        <w:t xml:space="preserve"> per cent</w:t>
      </w:r>
      <w:r w:rsidRPr="00811800">
        <w:t xml:space="preserve"> in 2009, so much</w:t>
      </w:r>
      <w:r w:rsidR="00A41F7B">
        <w:t xml:space="preserve"> </w:t>
      </w:r>
      <w:r w:rsidRPr="00811800">
        <w:t>cell manufacturing equipment was ordered and installed over the past year that capacity is still expected to grow 56</w:t>
      </w:r>
      <w:r w:rsidR="003A56B2">
        <w:t xml:space="preserve"> per cent</w:t>
      </w:r>
      <w:r w:rsidRPr="00811800">
        <w:t xml:space="preserve"> this year. With demand and capacity moving in different directions, the PV industry is currently experiencing an enormous over-supply that is causing rapid price erosion and potentially setting the stage for the failure of multiple cell manufacturers.</w:t>
      </w:r>
      <w:r w:rsidRPr="00811800">
        <w:rPr>
          <w:rStyle w:val="EndnoteReference"/>
        </w:rPr>
        <w:endnoteReference w:id="38"/>
      </w:r>
    </w:p>
    <w:p w14:paraId="6CD75261" w14:textId="77777777" w:rsidR="006A5750" w:rsidRPr="00811800" w:rsidRDefault="006A5750" w:rsidP="00903196">
      <w:pPr>
        <w:pStyle w:val="BodyTextMain"/>
      </w:pPr>
    </w:p>
    <w:p w14:paraId="1B803FD0" w14:textId="77777777" w:rsidR="00BD2F40" w:rsidRPr="008F3A57" w:rsidRDefault="00BD2F40" w:rsidP="00903196">
      <w:pPr>
        <w:pStyle w:val="BodyTextMain"/>
        <w:rPr>
          <w:sz w:val="18"/>
        </w:rPr>
      </w:pPr>
    </w:p>
    <w:p w14:paraId="221CC9AF" w14:textId="77777777" w:rsidR="006A5750" w:rsidRPr="00811800" w:rsidRDefault="006A5750" w:rsidP="00BD2F40">
      <w:pPr>
        <w:pStyle w:val="Casehead2"/>
      </w:pPr>
      <w:r w:rsidRPr="00811800">
        <w:t>Decline in Sales and Profit Margin</w:t>
      </w:r>
    </w:p>
    <w:p w14:paraId="4571FE1D" w14:textId="77777777" w:rsidR="00BD2F40" w:rsidRPr="008F3A57" w:rsidRDefault="00BD2F40" w:rsidP="00903196">
      <w:pPr>
        <w:pStyle w:val="BodyTextMain"/>
        <w:rPr>
          <w:sz w:val="20"/>
        </w:rPr>
      </w:pPr>
    </w:p>
    <w:p w14:paraId="412E7993" w14:textId="7D1EAADC" w:rsidR="006A5750" w:rsidRPr="00811800" w:rsidRDefault="006A5750" w:rsidP="00903196">
      <w:pPr>
        <w:pStyle w:val="BodyTextMain"/>
        <w:rPr>
          <w:spacing w:val="-2"/>
          <w:kern w:val="22"/>
        </w:rPr>
      </w:pPr>
      <w:r w:rsidRPr="00811800">
        <w:rPr>
          <w:spacing w:val="-2"/>
          <w:kern w:val="22"/>
        </w:rPr>
        <w:t>The improvements in mid-2009 for the industry did not continue. Instead, the market for solar energy declined further</w:t>
      </w:r>
      <w:r w:rsidR="00FE722C">
        <w:rPr>
          <w:spacing w:val="-2"/>
          <w:kern w:val="22"/>
        </w:rPr>
        <w:t>,</w:t>
      </w:r>
      <w:r w:rsidRPr="00811800">
        <w:rPr>
          <w:spacing w:val="-2"/>
          <w:kern w:val="22"/>
        </w:rPr>
        <w:t xml:space="preserve"> and this caused the price of silicon to drop sharply. STP faced increased pressures on its revenues and costs as reduced global demand and excess global supply resulted in severe price competition. Heavy investments in specialized fixed-asset</w:t>
      </w:r>
      <w:r w:rsidR="005778FE">
        <w:rPr>
          <w:spacing w:val="-2"/>
          <w:kern w:val="22"/>
        </w:rPr>
        <w:t>s</w:t>
      </w:r>
      <w:r w:rsidRPr="00811800">
        <w:rPr>
          <w:spacing w:val="-2"/>
          <w:kern w:val="22"/>
        </w:rPr>
        <w:t xml:space="preserve"> forced Chinese solar companies to reduce prices in order to win sales. With the largest production capacity in the world in 2010, STP’s fixed-costs were extremely high. </w:t>
      </w:r>
    </w:p>
    <w:p w14:paraId="2EFACA7B" w14:textId="77777777" w:rsidR="00BD2F40" w:rsidRPr="008F3A57" w:rsidRDefault="00BD2F40" w:rsidP="00903196">
      <w:pPr>
        <w:pStyle w:val="BodyTextMain"/>
        <w:rPr>
          <w:sz w:val="20"/>
        </w:rPr>
      </w:pPr>
    </w:p>
    <w:p w14:paraId="66368E7F" w14:textId="41B15FAA" w:rsidR="006A5750" w:rsidRPr="00811800" w:rsidRDefault="006A5750" w:rsidP="00903196">
      <w:pPr>
        <w:pStyle w:val="BodyTextMain"/>
      </w:pPr>
      <w:r w:rsidRPr="00811800">
        <w:t>STP’s efforts in new technology also failed. Silicon prices dropped substantively, making the efforts to improve conversion efficiency for thin-film technology futile. STP had to abandon its thin-film technology</w:t>
      </w:r>
      <w:r w:rsidR="00FE722C">
        <w:t>,</w:t>
      </w:r>
      <w:r w:rsidRPr="00811800">
        <w:t xml:space="preserve"> and its production line was written off in 2010 at a loss of $50 million. </w:t>
      </w:r>
      <w:r w:rsidR="006C4784">
        <w:t>C</w:t>
      </w:r>
      <w:r w:rsidRPr="00811800">
        <w:t xml:space="preserve">ustomers were reluctant to accept </w:t>
      </w:r>
      <w:r w:rsidR="00FE722C">
        <w:t xml:space="preserve">the more advanced wafer technology as </w:t>
      </w:r>
      <w:r w:rsidRPr="00811800">
        <w:t>a better</w:t>
      </w:r>
      <w:r w:rsidR="005778FE">
        <w:t>,</w:t>
      </w:r>
      <w:r w:rsidRPr="00811800">
        <w:t xml:space="preserve"> but significantly more expensive</w:t>
      </w:r>
      <w:r w:rsidR="005778FE">
        <w:t>,</w:t>
      </w:r>
      <w:r w:rsidRPr="00811800">
        <w:t xml:space="preserve"> technology.</w:t>
      </w:r>
    </w:p>
    <w:p w14:paraId="560598B8" w14:textId="77777777" w:rsidR="00BD2F40" w:rsidRPr="008F3A57" w:rsidRDefault="00BD2F40" w:rsidP="00903196">
      <w:pPr>
        <w:pStyle w:val="BodyTextMain"/>
        <w:rPr>
          <w:sz w:val="20"/>
        </w:rPr>
      </w:pPr>
    </w:p>
    <w:p w14:paraId="2FC0AAFA" w14:textId="77777777" w:rsidR="00BD2F40" w:rsidRPr="008F3A57" w:rsidRDefault="00BD2F40" w:rsidP="00903196">
      <w:pPr>
        <w:pStyle w:val="BodyTextMain"/>
        <w:rPr>
          <w:sz w:val="20"/>
        </w:rPr>
      </w:pPr>
    </w:p>
    <w:p w14:paraId="0D6C1463" w14:textId="77777777" w:rsidR="006A5750" w:rsidRPr="00811800" w:rsidRDefault="006A5750" w:rsidP="00BD2F40">
      <w:pPr>
        <w:pStyle w:val="Casehead2"/>
      </w:pPr>
      <w:r w:rsidRPr="00811800">
        <w:t>Changes to Upstream Strategies</w:t>
      </w:r>
    </w:p>
    <w:p w14:paraId="0656CC19" w14:textId="77777777" w:rsidR="00BD2F40" w:rsidRPr="008F3A57" w:rsidRDefault="00BD2F40" w:rsidP="00903196">
      <w:pPr>
        <w:pStyle w:val="BodyTextMain"/>
        <w:rPr>
          <w:sz w:val="20"/>
        </w:rPr>
      </w:pPr>
    </w:p>
    <w:p w14:paraId="4AE07C0D" w14:textId="206BE307" w:rsidR="00903196" w:rsidRPr="008F3A57" w:rsidRDefault="006A5750" w:rsidP="00903196">
      <w:pPr>
        <w:pStyle w:val="BodyTextMain"/>
        <w:rPr>
          <w:spacing w:val="-2"/>
          <w:kern w:val="22"/>
        </w:rPr>
      </w:pPr>
      <w:r w:rsidRPr="008F3A57">
        <w:rPr>
          <w:spacing w:val="-2"/>
          <w:kern w:val="22"/>
        </w:rPr>
        <w:t>As silicon price</w:t>
      </w:r>
      <w:r w:rsidR="005778FE" w:rsidRPr="008F3A57">
        <w:rPr>
          <w:spacing w:val="-2"/>
          <w:kern w:val="22"/>
        </w:rPr>
        <w:t>s</w:t>
      </w:r>
      <w:r w:rsidRPr="008F3A57">
        <w:rPr>
          <w:spacing w:val="-2"/>
          <w:kern w:val="22"/>
        </w:rPr>
        <w:t xml:space="preserve"> fell (</w:t>
      </w:r>
      <w:r w:rsidR="006C4784" w:rsidRPr="008F3A57">
        <w:rPr>
          <w:spacing w:val="-2"/>
          <w:kern w:val="22"/>
        </w:rPr>
        <w:t xml:space="preserve">see </w:t>
      </w:r>
      <w:r w:rsidRPr="008F3A57">
        <w:rPr>
          <w:spacing w:val="-2"/>
          <w:kern w:val="22"/>
        </w:rPr>
        <w:t xml:space="preserve">Exhibit </w:t>
      </w:r>
      <w:r w:rsidR="00C86D0F" w:rsidRPr="008F3A57">
        <w:rPr>
          <w:rFonts w:eastAsiaTheme="minorEastAsia" w:hint="eastAsia"/>
          <w:spacing w:val="-2"/>
          <w:kern w:val="22"/>
          <w:lang w:eastAsia="zh-CN"/>
        </w:rPr>
        <w:t>7</w:t>
      </w:r>
      <w:r w:rsidRPr="008F3A57">
        <w:rPr>
          <w:spacing w:val="-2"/>
          <w:kern w:val="22"/>
        </w:rPr>
        <w:t>), STP proposed to adjust the contract price with MEMC. After protracted negotiations, STP was able to eventually terminate the contract with MEMC in Jul</w:t>
      </w:r>
      <w:r w:rsidR="006C4784" w:rsidRPr="008F3A57">
        <w:rPr>
          <w:spacing w:val="-2"/>
          <w:kern w:val="22"/>
        </w:rPr>
        <w:t>y</w:t>
      </w:r>
      <w:r w:rsidRPr="008F3A57">
        <w:rPr>
          <w:spacing w:val="-2"/>
          <w:kern w:val="22"/>
        </w:rPr>
        <w:t xml:space="preserve"> 2011 by paying a severance fee of $125 million. STP also agreed </w:t>
      </w:r>
      <w:r w:rsidR="006C4784" w:rsidRPr="008F3A57">
        <w:rPr>
          <w:spacing w:val="-2"/>
          <w:kern w:val="22"/>
        </w:rPr>
        <w:t xml:space="preserve">to </w:t>
      </w:r>
      <w:r w:rsidRPr="008F3A57">
        <w:rPr>
          <w:spacing w:val="-2"/>
          <w:kern w:val="22"/>
        </w:rPr>
        <w:t xml:space="preserve">short-term supply contracts with cheaper suppliers and stopped all prepayments and financial support to them. Meanwhile, STP also increased equity investment in </w:t>
      </w:r>
      <w:r w:rsidR="006C4784" w:rsidRPr="008F3A57">
        <w:rPr>
          <w:spacing w:val="-2"/>
          <w:kern w:val="22"/>
        </w:rPr>
        <w:t xml:space="preserve">the </w:t>
      </w:r>
      <w:r w:rsidRPr="008F3A57">
        <w:rPr>
          <w:spacing w:val="-2"/>
          <w:kern w:val="22"/>
        </w:rPr>
        <w:t>upstream silicon refinement business. The company increased its stake in Asia Silicon from 12.5</w:t>
      </w:r>
      <w:r w:rsidR="003A56B2" w:rsidRPr="008F3A57">
        <w:rPr>
          <w:spacing w:val="-2"/>
          <w:kern w:val="22"/>
        </w:rPr>
        <w:t xml:space="preserve"> per cent</w:t>
      </w:r>
      <w:r w:rsidRPr="008F3A57">
        <w:rPr>
          <w:spacing w:val="-2"/>
          <w:kern w:val="22"/>
        </w:rPr>
        <w:t xml:space="preserve"> to 20</w:t>
      </w:r>
      <w:r w:rsidR="003A56B2" w:rsidRPr="008F3A57">
        <w:rPr>
          <w:spacing w:val="-2"/>
          <w:kern w:val="22"/>
        </w:rPr>
        <w:t xml:space="preserve"> per cent</w:t>
      </w:r>
      <w:r w:rsidRPr="008F3A57">
        <w:rPr>
          <w:spacing w:val="-2"/>
          <w:kern w:val="22"/>
        </w:rPr>
        <w:t xml:space="preserve"> in October 2009. By mid-2011, further investments were made in American supplier</w:t>
      </w:r>
      <w:r w:rsidR="006C4784" w:rsidRPr="008F3A57">
        <w:rPr>
          <w:spacing w:val="-2"/>
          <w:kern w:val="22"/>
        </w:rPr>
        <w:t>,</w:t>
      </w:r>
      <w:r w:rsidRPr="008F3A57">
        <w:rPr>
          <w:spacing w:val="-2"/>
          <w:kern w:val="22"/>
        </w:rPr>
        <w:t xml:space="preserve"> </w:t>
      </w:r>
      <w:proofErr w:type="spellStart"/>
      <w:r w:rsidRPr="008F3A57">
        <w:rPr>
          <w:spacing w:val="-2"/>
          <w:kern w:val="22"/>
        </w:rPr>
        <w:t>Hoku</w:t>
      </w:r>
      <w:proofErr w:type="spellEnd"/>
      <w:r w:rsidRPr="008F3A57">
        <w:rPr>
          <w:spacing w:val="-2"/>
          <w:kern w:val="22"/>
        </w:rPr>
        <w:t xml:space="preserve"> Scientific</w:t>
      </w:r>
      <w:r w:rsidR="00EB7981" w:rsidRPr="008F3A57">
        <w:rPr>
          <w:spacing w:val="-2"/>
          <w:kern w:val="22"/>
        </w:rPr>
        <w:t xml:space="preserve"> Inc.</w:t>
      </w:r>
      <w:r w:rsidR="006C4784" w:rsidRPr="008F3A57">
        <w:rPr>
          <w:spacing w:val="-2"/>
          <w:kern w:val="22"/>
        </w:rPr>
        <w:t>;</w:t>
      </w:r>
      <w:r w:rsidRPr="008F3A57">
        <w:rPr>
          <w:spacing w:val="-2"/>
          <w:kern w:val="22"/>
        </w:rPr>
        <w:t xml:space="preserve"> Russian supplier</w:t>
      </w:r>
      <w:r w:rsidR="006C4784" w:rsidRPr="008F3A57">
        <w:rPr>
          <w:spacing w:val="-2"/>
          <w:kern w:val="22"/>
        </w:rPr>
        <w:t>,</w:t>
      </w:r>
      <w:r w:rsidRPr="008F3A57">
        <w:rPr>
          <w:spacing w:val="-2"/>
          <w:kern w:val="22"/>
        </w:rPr>
        <w:t xml:space="preserve"> </w:t>
      </w:r>
      <w:proofErr w:type="spellStart"/>
      <w:r w:rsidRPr="008F3A57">
        <w:rPr>
          <w:spacing w:val="-2"/>
          <w:kern w:val="22"/>
        </w:rPr>
        <w:t>Nitol</w:t>
      </w:r>
      <w:proofErr w:type="spellEnd"/>
      <w:r w:rsidRPr="008F3A57">
        <w:rPr>
          <w:spacing w:val="-2"/>
          <w:kern w:val="22"/>
        </w:rPr>
        <w:t xml:space="preserve"> Solar</w:t>
      </w:r>
      <w:r w:rsidR="006C4784" w:rsidRPr="008F3A57">
        <w:rPr>
          <w:spacing w:val="-2"/>
          <w:kern w:val="22"/>
        </w:rPr>
        <w:t>;</w:t>
      </w:r>
      <w:r w:rsidRPr="008F3A57">
        <w:rPr>
          <w:spacing w:val="-2"/>
          <w:kern w:val="22"/>
        </w:rPr>
        <w:t xml:space="preserve"> and two Chinese suppliers</w:t>
      </w:r>
      <w:r w:rsidR="006C4784" w:rsidRPr="008F3A57">
        <w:rPr>
          <w:spacing w:val="-2"/>
          <w:kern w:val="22"/>
        </w:rPr>
        <w:t>,</w:t>
      </w:r>
      <w:r w:rsidRPr="008F3A57">
        <w:rPr>
          <w:spacing w:val="-2"/>
          <w:kern w:val="22"/>
        </w:rPr>
        <w:t xml:space="preserve"> </w:t>
      </w:r>
      <w:proofErr w:type="spellStart"/>
      <w:r w:rsidRPr="008F3A57">
        <w:rPr>
          <w:spacing w:val="-2"/>
          <w:kern w:val="22"/>
        </w:rPr>
        <w:t>Shunda</w:t>
      </w:r>
      <w:proofErr w:type="spellEnd"/>
      <w:r w:rsidRPr="008F3A57">
        <w:rPr>
          <w:spacing w:val="-2"/>
          <w:kern w:val="22"/>
        </w:rPr>
        <w:t xml:space="preserve"> Holdings and Xi’an </w:t>
      </w:r>
      <w:proofErr w:type="spellStart"/>
      <w:r w:rsidRPr="008F3A57">
        <w:rPr>
          <w:spacing w:val="-2"/>
          <w:kern w:val="22"/>
        </w:rPr>
        <w:t>Longji</w:t>
      </w:r>
      <w:proofErr w:type="spellEnd"/>
      <w:r w:rsidRPr="008F3A57">
        <w:rPr>
          <w:spacing w:val="-2"/>
          <w:kern w:val="22"/>
        </w:rPr>
        <w:t xml:space="preserve"> Silicon. In 2011, STP also bought 100</w:t>
      </w:r>
      <w:r w:rsidR="003A56B2" w:rsidRPr="008F3A57">
        <w:rPr>
          <w:spacing w:val="-2"/>
          <w:kern w:val="22"/>
        </w:rPr>
        <w:t xml:space="preserve"> per cent</w:t>
      </w:r>
      <w:r w:rsidRPr="008F3A57">
        <w:rPr>
          <w:spacing w:val="-2"/>
          <w:kern w:val="22"/>
        </w:rPr>
        <w:t xml:space="preserve"> stake of </w:t>
      </w:r>
      <w:proofErr w:type="spellStart"/>
      <w:r w:rsidRPr="008F3A57">
        <w:rPr>
          <w:spacing w:val="-2"/>
          <w:kern w:val="22"/>
        </w:rPr>
        <w:t>Rietech</w:t>
      </w:r>
      <w:proofErr w:type="spellEnd"/>
      <w:r w:rsidRPr="008F3A57">
        <w:rPr>
          <w:spacing w:val="-2"/>
          <w:kern w:val="22"/>
        </w:rPr>
        <w:t xml:space="preserve"> Solar</w:t>
      </w:r>
      <w:r w:rsidRPr="008F3A57">
        <w:rPr>
          <w:rStyle w:val="EndnoteReference"/>
          <w:spacing w:val="-2"/>
          <w:kern w:val="22"/>
        </w:rPr>
        <w:endnoteReference w:id="39"/>
      </w:r>
      <w:r w:rsidRPr="008F3A57">
        <w:rPr>
          <w:spacing w:val="-2"/>
          <w:kern w:val="22"/>
        </w:rPr>
        <w:t xml:space="preserve"> </w:t>
      </w:r>
      <w:r w:rsidR="00903196" w:rsidRPr="008F3A57">
        <w:rPr>
          <w:spacing w:val="-2"/>
          <w:kern w:val="22"/>
        </w:rPr>
        <w:t xml:space="preserve">as a platform to expand silicon wafer production. By the end of 2011, such affiliated companies were able to </w:t>
      </w:r>
      <w:r w:rsidR="00436D93" w:rsidRPr="008F3A57">
        <w:rPr>
          <w:spacing w:val="-2"/>
          <w:kern w:val="22"/>
        </w:rPr>
        <w:t>provide</w:t>
      </w:r>
      <w:r w:rsidR="00903196" w:rsidRPr="008F3A57">
        <w:rPr>
          <w:spacing w:val="-2"/>
          <w:kern w:val="22"/>
        </w:rPr>
        <w:t xml:space="preserve"> half of STP’s wafer supply.</w:t>
      </w:r>
      <w:r w:rsidR="00903196" w:rsidRPr="008F3A57">
        <w:rPr>
          <w:rStyle w:val="EndnoteReference"/>
          <w:spacing w:val="-2"/>
          <w:kern w:val="22"/>
        </w:rPr>
        <w:endnoteReference w:id="40"/>
      </w:r>
      <w:r w:rsidR="006C4784" w:rsidRPr="008F3A57">
        <w:rPr>
          <w:spacing w:val="-2"/>
          <w:kern w:val="22"/>
        </w:rPr>
        <w:t xml:space="preserve"> </w:t>
      </w:r>
      <w:r w:rsidR="00903196" w:rsidRPr="008F3A57">
        <w:rPr>
          <w:spacing w:val="-2"/>
          <w:kern w:val="22"/>
        </w:rPr>
        <w:t xml:space="preserve">While these investments were </w:t>
      </w:r>
      <w:r w:rsidR="005778FE" w:rsidRPr="008F3A57">
        <w:rPr>
          <w:spacing w:val="-2"/>
          <w:kern w:val="22"/>
        </w:rPr>
        <w:t>made</w:t>
      </w:r>
      <w:r w:rsidR="00903196" w:rsidRPr="008F3A57">
        <w:rPr>
          <w:spacing w:val="-2"/>
          <w:kern w:val="22"/>
        </w:rPr>
        <w:t xml:space="preserve"> in view of reducing the cost of supplies, STP’s production cost per unit was still higher than average.</w:t>
      </w:r>
      <w:r w:rsidR="00903196" w:rsidRPr="008F3A57">
        <w:rPr>
          <w:rStyle w:val="EndnoteReference"/>
          <w:spacing w:val="-2"/>
          <w:kern w:val="22"/>
        </w:rPr>
        <w:endnoteReference w:id="41"/>
      </w:r>
      <w:r w:rsidR="00903196" w:rsidRPr="008F3A57">
        <w:rPr>
          <w:spacing w:val="-2"/>
          <w:kern w:val="22"/>
        </w:rPr>
        <w:t xml:space="preserve"> In addition, questions about Shi’s relationship with several </w:t>
      </w:r>
      <w:r w:rsidR="006C4784" w:rsidRPr="008F3A57">
        <w:rPr>
          <w:spacing w:val="-2"/>
          <w:kern w:val="22"/>
        </w:rPr>
        <w:t xml:space="preserve">of </w:t>
      </w:r>
      <w:r w:rsidR="00903196" w:rsidRPr="008F3A57">
        <w:rPr>
          <w:spacing w:val="-2"/>
          <w:kern w:val="22"/>
        </w:rPr>
        <w:t xml:space="preserve">STP’s key suppliers (including Asia Silicon and </w:t>
      </w:r>
      <w:proofErr w:type="spellStart"/>
      <w:r w:rsidR="00903196" w:rsidRPr="008F3A57">
        <w:rPr>
          <w:spacing w:val="-2"/>
          <w:kern w:val="22"/>
        </w:rPr>
        <w:t>Rietech</w:t>
      </w:r>
      <w:proofErr w:type="spellEnd"/>
      <w:r w:rsidR="00903196" w:rsidRPr="008F3A57">
        <w:rPr>
          <w:spacing w:val="-2"/>
          <w:kern w:val="22"/>
        </w:rPr>
        <w:t xml:space="preserve"> Solar) were raised by the media.</w:t>
      </w:r>
      <w:r w:rsidR="00903196" w:rsidRPr="008F3A57">
        <w:rPr>
          <w:rStyle w:val="EndnoteReference"/>
          <w:spacing w:val="-2"/>
          <w:kern w:val="22"/>
        </w:rPr>
        <w:t xml:space="preserve"> </w:t>
      </w:r>
      <w:r w:rsidR="00903196" w:rsidRPr="008F3A57">
        <w:rPr>
          <w:rStyle w:val="EndnoteReference"/>
          <w:spacing w:val="-2"/>
          <w:kern w:val="22"/>
        </w:rPr>
        <w:endnoteReference w:id="42"/>
      </w:r>
    </w:p>
    <w:p w14:paraId="2103D591" w14:textId="77777777" w:rsidR="009F7FD0" w:rsidRPr="008F3A57" w:rsidRDefault="009F7FD0" w:rsidP="009F7FD0">
      <w:pPr>
        <w:pStyle w:val="BodyTextMain"/>
        <w:rPr>
          <w:sz w:val="20"/>
        </w:rPr>
      </w:pPr>
    </w:p>
    <w:p w14:paraId="2B24E329" w14:textId="77777777" w:rsidR="009F7FD0" w:rsidRPr="008F3A57" w:rsidRDefault="009F7FD0" w:rsidP="009F7FD0">
      <w:pPr>
        <w:pStyle w:val="BodyTextMain"/>
        <w:rPr>
          <w:rStyle w:val="EndnoteReference"/>
          <w:sz w:val="20"/>
          <w:vertAlign w:val="baseline"/>
        </w:rPr>
      </w:pPr>
    </w:p>
    <w:p w14:paraId="412B5A4F" w14:textId="77777777" w:rsidR="00903196" w:rsidRPr="00811800" w:rsidRDefault="00903196" w:rsidP="009F7FD0">
      <w:pPr>
        <w:pStyle w:val="Casehead2"/>
      </w:pPr>
      <w:r w:rsidRPr="00811800">
        <w:t>Downstream Strategy: Global Solar Fund (GSF)</w:t>
      </w:r>
    </w:p>
    <w:p w14:paraId="37346E4E" w14:textId="77777777" w:rsidR="009F7FD0" w:rsidRPr="008F3A57" w:rsidRDefault="009F7FD0" w:rsidP="00903196">
      <w:pPr>
        <w:pStyle w:val="BodyTextMain"/>
        <w:rPr>
          <w:spacing w:val="-4"/>
          <w:kern w:val="22"/>
          <w:sz w:val="20"/>
        </w:rPr>
      </w:pPr>
    </w:p>
    <w:p w14:paraId="32DABE10" w14:textId="2DAF5101" w:rsidR="009F7FD0" w:rsidRPr="008F3A57" w:rsidRDefault="00903196" w:rsidP="00903196">
      <w:pPr>
        <w:pStyle w:val="BodyTextMain"/>
        <w:rPr>
          <w:spacing w:val="-4"/>
          <w:kern w:val="22"/>
        </w:rPr>
      </w:pPr>
      <w:r w:rsidRPr="008F3A57">
        <w:rPr>
          <w:spacing w:val="-4"/>
          <w:kern w:val="22"/>
        </w:rPr>
        <w:t>STP formed and invested in Global Solar Fund (GSF) in 2008 as part of the vertical integration strategy.</w:t>
      </w:r>
      <w:r w:rsidRPr="008F3A57">
        <w:rPr>
          <w:b/>
          <w:spacing w:val="-4"/>
          <w:kern w:val="22"/>
        </w:rPr>
        <w:t xml:space="preserve"> </w:t>
      </w:r>
      <w:r w:rsidRPr="008F3A57">
        <w:rPr>
          <w:spacing w:val="-4"/>
          <w:kern w:val="22"/>
        </w:rPr>
        <w:t xml:space="preserve">GSF was created to </w:t>
      </w:r>
      <w:r w:rsidR="00436D93" w:rsidRPr="008F3A57">
        <w:rPr>
          <w:spacing w:val="-4"/>
          <w:kern w:val="22"/>
        </w:rPr>
        <w:t xml:space="preserve">invest in the development and operation of </w:t>
      </w:r>
      <w:r w:rsidRPr="008F3A57">
        <w:rPr>
          <w:spacing w:val="-4"/>
          <w:kern w:val="22"/>
        </w:rPr>
        <w:t>solar energy power stations, particularly in Europe.</w:t>
      </w:r>
      <w:r w:rsidRPr="008F3A57">
        <w:rPr>
          <w:spacing w:val="-4"/>
          <w:kern w:val="22"/>
          <w:vertAlign w:val="superscript"/>
        </w:rPr>
        <w:endnoteReference w:id="43"/>
      </w:r>
      <w:r w:rsidRPr="008F3A57">
        <w:rPr>
          <w:spacing w:val="-4"/>
          <w:kern w:val="22"/>
        </w:rPr>
        <w:t xml:space="preserve"> Funding these projects normally required roughly 20 per cent from GSF and 80 per cent from bank loans. Once these power stations were put into operation, GSF could sell its stakes to interested investors and use the money to repay the bank loans. The strategic objective for STP was to create demand for its solar products and also to establish higher and more stable cash in-flow by operating solar power stations. STP’s total capital commitment in GSF was €258 million</w:t>
      </w:r>
      <w:r w:rsidR="008F3B5F" w:rsidRPr="008F3A57">
        <w:rPr>
          <w:rStyle w:val="EndnoteReference"/>
          <w:spacing w:val="-4"/>
          <w:kern w:val="22"/>
        </w:rPr>
        <w:endnoteReference w:id="44"/>
      </w:r>
      <w:r w:rsidRPr="008F3A57">
        <w:rPr>
          <w:spacing w:val="-4"/>
          <w:kern w:val="22"/>
        </w:rPr>
        <w:t xml:space="preserve"> ($365 million), accounting for 86 per cent of the fund.</w:t>
      </w:r>
      <w:r w:rsidRPr="008F3A57">
        <w:rPr>
          <w:spacing w:val="-4"/>
          <w:kern w:val="22"/>
          <w:vertAlign w:val="superscript"/>
        </w:rPr>
        <w:endnoteReference w:id="45"/>
      </w:r>
      <w:r w:rsidRPr="008F3A57">
        <w:rPr>
          <w:spacing w:val="-4"/>
          <w:kern w:val="22"/>
        </w:rPr>
        <w:t xml:space="preserve"> Another 10.67 per cent was owned by Shi through another BVI company. The remaining 3.33 per cent was held by GSF’s manager Javier Romero.</w:t>
      </w:r>
      <w:r w:rsidRPr="008F3A57">
        <w:rPr>
          <w:rStyle w:val="EndnoteReference"/>
          <w:spacing w:val="-4"/>
          <w:kern w:val="22"/>
        </w:rPr>
        <w:endnoteReference w:id="46"/>
      </w:r>
      <w:r w:rsidRPr="008F3A57">
        <w:rPr>
          <w:spacing w:val="-4"/>
          <w:kern w:val="22"/>
        </w:rPr>
        <w:t xml:space="preserve"> Without advanced financial expertise, Shi left the operations of GSF to Romero and his team.</w:t>
      </w:r>
    </w:p>
    <w:p w14:paraId="5CA81C09" w14:textId="6B7BF966" w:rsidR="00903196" w:rsidRPr="00811800" w:rsidRDefault="00903196" w:rsidP="009F7FD0">
      <w:pPr>
        <w:pStyle w:val="Casehead2"/>
      </w:pPr>
      <w:r w:rsidRPr="00811800">
        <w:lastRenderedPageBreak/>
        <w:t>Expanding Geographical Markets</w:t>
      </w:r>
    </w:p>
    <w:p w14:paraId="384862DB" w14:textId="77777777" w:rsidR="009F7FD0" w:rsidRPr="00811800" w:rsidRDefault="009F7FD0" w:rsidP="00903196">
      <w:pPr>
        <w:pStyle w:val="BodyTextMain"/>
      </w:pPr>
    </w:p>
    <w:p w14:paraId="4C054061" w14:textId="2C458739" w:rsidR="00903196" w:rsidRPr="00811800" w:rsidRDefault="00903196" w:rsidP="00903196">
      <w:pPr>
        <w:pStyle w:val="BodyTextMain"/>
      </w:pPr>
      <w:r w:rsidRPr="00811800">
        <w:t>After 2008, STP also decided to diversify its geographical</w:t>
      </w:r>
      <w:r w:rsidRPr="00811800">
        <w:rPr>
          <w:i/>
        </w:rPr>
        <w:t xml:space="preserve"> </w:t>
      </w:r>
      <w:r w:rsidRPr="00811800">
        <w:t>markets further (</w:t>
      </w:r>
      <w:r w:rsidR="003A56B2">
        <w:t xml:space="preserve">see </w:t>
      </w:r>
      <w:r w:rsidRPr="00811800">
        <w:t xml:space="preserve">Exhibit </w:t>
      </w:r>
      <w:r w:rsidR="00C86D0F">
        <w:rPr>
          <w:rFonts w:eastAsiaTheme="minorEastAsia" w:hint="eastAsia"/>
          <w:lang w:eastAsia="zh-CN"/>
        </w:rPr>
        <w:t>8</w:t>
      </w:r>
      <w:r w:rsidRPr="00811800">
        <w:t xml:space="preserve">) to </w:t>
      </w:r>
      <w:r w:rsidR="00FC3C62">
        <w:t>find</w:t>
      </w:r>
      <w:r w:rsidRPr="00811800">
        <w:t xml:space="preserve"> new market opportunities. It increased efforts in the U</w:t>
      </w:r>
      <w:r w:rsidR="00FC3C62">
        <w:t xml:space="preserve">nited </w:t>
      </w:r>
      <w:r w:rsidRPr="00811800">
        <w:t>S</w:t>
      </w:r>
      <w:r w:rsidR="00FC3C62">
        <w:t>tates</w:t>
      </w:r>
      <w:r w:rsidRPr="00811800">
        <w:t xml:space="preserve"> by building a manufacturing factory in Arizona to mitigate anti-dumping pressures. STP also started to look at the domestic Chinese market as environmental issues ha</w:t>
      </w:r>
      <w:r w:rsidR="005778FE">
        <w:t>d</w:t>
      </w:r>
      <w:r w:rsidRPr="00811800">
        <w:t xml:space="preserve"> become one of China’s biggest concerns. However, even after these new market initiatives, the European market still accounted for </w:t>
      </w:r>
      <w:r w:rsidR="00D13A6A">
        <w:rPr>
          <w:rFonts w:eastAsiaTheme="minorEastAsia" w:hint="eastAsia"/>
          <w:lang w:eastAsia="zh-CN"/>
        </w:rPr>
        <w:t>74</w:t>
      </w:r>
      <w:r w:rsidR="00D13A6A">
        <w:t xml:space="preserve"> </w:t>
      </w:r>
      <w:r w:rsidR="003A56B2">
        <w:t>per cent</w:t>
      </w:r>
      <w:r w:rsidRPr="00811800">
        <w:t xml:space="preserve"> of STP’s total sales</w:t>
      </w:r>
      <w:r w:rsidR="00D13A6A">
        <w:rPr>
          <w:rFonts w:eastAsiaTheme="minorEastAsia" w:hint="eastAsia"/>
          <w:lang w:eastAsia="zh-CN"/>
        </w:rPr>
        <w:t xml:space="preserve"> in 2009</w:t>
      </w:r>
      <w:r w:rsidRPr="00811800">
        <w:t xml:space="preserve">, with Germany accounting for close to </w:t>
      </w:r>
      <w:r w:rsidR="00D13A6A">
        <w:rPr>
          <w:rFonts w:eastAsiaTheme="minorEastAsia" w:hint="eastAsia"/>
          <w:lang w:eastAsia="zh-CN"/>
        </w:rPr>
        <w:t>41.4</w:t>
      </w:r>
      <w:r w:rsidR="00D13A6A">
        <w:t xml:space="preserve"> </w:t>
      </w:r>
      <w:r w:rsidR="003A56B2">
        <w:t>per cent</w:t>
      </w:r>
      <w:r w:rsidRPr="00811800">
        <w:t>.</w:t>
      </w:r>
      <w:r w:rsidRPr="00811800">
        <w:rPr>
          <w:rStyle w:val="EndnoteReference"/>
        </w:rPr>
        <w:endnoteReference w:id="47"/>
      </w:r>
    </w:p>
    <w:p w14:paraId="00839465" w14:textId="77777777" w:rsidR="009F7FD0" w:rsidRPr="008F3A57" w:rsidRDefault="009F7FD0" w:rsidP="00903196">
      <w:pPr>
        <w:pStyle w:val="BodyTextMain"/>
        <w:rPr>
          <w:sz w:val="20"/>
        </w:rPr>
      </w:pPr>
    </w:p>
    <w:p w14:paraId="52E0A149" w14:textId="77777777" w:rsidR="009F7FD0" w:rsidRPr="008F3A57" w:rsidRDefault="009F7FD0" w:rsidP="00903196">
      <w:pPr>
        <w:pStyle w:val="BodyTextMain"/>
        <w:rPr>
          <w:sz w:val="20"/>
        </w:rPr>
      </w:pPr>
    </w:p>
    <w:p w14:paraId="0E984903" w14:textId="77777777" w:rsidR="00903196" w:rsidRPr="00811800" w:rsidRDefault="00903196" w:rsidP="00ED0C9E">
      <w:pPr>
        <w:pStyle w:val="Casehead2"/>
      </w:pPr>
      <w:r w:rsidRPr="00811800">
        <w:t>Financing</w:t>
      </w:r>
    </w:p>
    <w:p w14:paraId="0335AEB7" w14:textId="77777777" w:rsidR="009F7FD0" w:rsidRPr="008F3A57" w:rsidRDefault="009F7FD0" w:rsidP="009F7FD0">
      <w:pPr>
        <w:pStyle w:val="BodyTextMain"/>
        <w:rPr>
          <w:sz w:val="20"/>
        </w:rPr>
      </w:pPr>
    </w:p>
    <w:p w14:paraId="3D7C65EB" w14:textId="4C581B32" w:rsidR="00903196" w:rsidRPr="00811800" w:rsidRDefault="00903196" w:rsidP="00903196">
      <w:pPr>
        <w:pStyle w:val="BodyTextMain"/>
      </w:pPr>
      <w:r w:rsidRPr="00811800">
        <w:t>To finance its strategic initiatives and fulfil existing loan obligations, STP issued a follow-on public offering and raised approximately $277 million and another round of convertible bonds worth $50 million (at a fixed rate at 5 per cent per annum) in 2009.</w:t>
      </w:r>
      <w:r w:rsidRPr="00811800">
        <w:rPr>
          <w:vertAlign w:val="superscript"/>
        </w:rPr>
        <w:endnoteReference w:id="48"/>
      </w:r>
      <w:r w:rsidRPr="00811800">
        <w:t xml:space="preserve"> STP’s bank loans, which </w:t>
      </w:r>
      <w:r w:rsidR="00D0218E" w:rsidRPr="00811800">
        <w:t>totalled</w:t>
      </w:r>
      <w:r w:rsidRPr="00811800">
        <w:t xml:space="preserve"> $560 million at the end of 2005, soared to $1.7 billion at the end of 2011</w:t>
      </w:r>
      <w:r w:rsidR="00FC3C62">
        <w:t>—</w:t>
      </w:r>
      <w:r w:rsidRPr="00811800">
        <w:t>a 3-fold increase in less than seven years.</w:t>
      </w:r>
      <w:r w:rsidRPr="00811800">
        <w:rPr>
          <w:rStyle w:val="EndnoteReference"/>
        </w:rPr>
        <w:endnoteReference w:id="49"/>
      </w:r>
      <w:r w:rsidRPr="00811800">
        <w:t xml:space="preserve"> Moreover, its cash flow became unstable after 2008 because of heavy fixed-asset investments and increasing fluctuations in the solar energy market (</w:t>
      </w:r>
      <w:r w:rsidR="003A56B2">
        <w:t xml:space="preserve">see </w:t>
      </w:r>
      <w:r w:rsidRPr="00811800">
        <w:t xml:space="preserve">Exhibit </w:t>
      </w:r>
      <w:r w:rsidR="00FB4591">
        <w:rPr>
          <w:rFonts w:eastAsiaTheme="minorEastAsia" w:hint="eastAsia"/>
          <w:lang w:eastAsia="zh-CN"/>
        </w:rPr>
        <w:t>9</w:t>
      </w:r>
      <w:r w:rsidRPr="00811800">
        <w:t>).</w:t>
      </w:r>
    </w:p>
    <w:p w14:paraId="685EAE21" w14:textId="77777777" w:rsidR="00ED0C9E" w:rsidRPr="008F3A57" w:rsidRDefault="00ED0C9E" w:rsidP="00ED0C9E">
      <w:pPr>
        <w:pStyle w:val="BodyTextMain"/>
        <w:rPr>
          <w:sz w:val="20"/>
        </w:rPr>
      </w:pPr>
    </w:p>
    <w:p w14:paraId="134B1CF4" w14:textId="77777777" w:rsidR="00ED0C9E" w:rsidRPr="008F3A57" w:rsidRDefault="00ED0C9E" w:rsidP="00903196">
      <w:pPr>
        <w:pStyle w:val="BodyTextMain"/>
        <w:rPr>
          <w:sz w:val="20"/>
        </w:rPr>
      </w:pPr>
    </w:p>
    <w:p w14:paraId="43A284DF" w14:textId="77777777" w:rsidR="00903196" w:rsidRPr="00811800" w:rsidRDefault="00903196" w:rsidP="00D856C5">
      <w:pPr>
        <w:pStyle w:val="Casehead1"/>
        <w:rPr>
          <w:rFonts w:eastAsiaTheme="minorEastAsia"/>
        </w:rPr>
      </w:pPr>
      <w:r w:rsidRPr="00811800">
        <w:t xml:space="preserve">Crisis Years: </w:t>
      </w:r>
      <w:r w:rsidRPr="00811800">
        <w:rPr>
          <w:rFonts w:eastAsiaTheme="minorEastAsia"/>
        </w:rPr>
        <w:t>2011 to 2013</w:t>
      </w:r>
    </w:p>
    <w:p w14:paraId="4CD03CBF" w14:textId="77777777" w:rsidR="00D856C5" w:rsidRPr="008F3A57" w:rsidRDefault="00D856C5" w:rsidP="00D856C5">
      <w:pPr>
        <w:pStyle w:val="BodyTextMain"/>
        <w:rPr>
          <w:sz w:val="20"/>
        </w:rPr>
      </w:pPr>
    </w:p>
    <w:p w14:paraId="6BB74E24" w14:textId="00360B5E" w:rsidR="00903196" w:rsidRPr="00811800" w:rsidRDefault="00903196" w:rsidP="00D856C5">
      <w:pPr>
        <w:pStyle w:val="Casehead2"/>
      </w:pPr>
      <w:r w:rsidRPr="00811800">
        <w:t>Anti-</w:t>
      </w:r>
      <w:r w:rsidR="00EB7981">
        <w:t>D</w:t>
      </w:r>
      <w:r w:rsidR="00EB7981" w:rsidRPr="00811800">
        <w:t xml:space="preserve">umping </w:t>
      </w:r>
      <w:r w:rsidRPr="00811800">
        <w:t>Actions in the U</w:t>
      </w:r>
      <w:r w:rsidR="00FC3C62">
        <w:t xml:space="preserve">nited </w:t>
      </w:r>
      <w:r w:rsidRPr="00811800">
        <w:t>S</w:t>
      </w:r>
      <w:r w:rsidR="00FC3C62">
        <w:t>tates</w:t>
      </w:r>
      <w:r w:rsidRPr="00811800">
        <w:t xml:space="preserve"> and Europe</w:t>
      </w:r>
    </w:p>
    <w:p w14:paraId="723DA45A" w14:textId="77777777" w:rsidR="00D856C5" w:rsidRPr="008F3A57" w:rsidRDefault="00D856C5" w:rsidP="00903196">
      <w:pPr>
        <w:pStyle w:val="BodyTextMain"/>
        <w:rPr>
          <w:sz w:val="20"/>
        </w:rPr>
      </w:pPr>
    </w:p>
    <w:p w14:paraId="41D6F27A" w14:textId="62E9FD98" w:rsidR="00903196" w:rsidRPr="00811800" w:rsidRDefault="00903196" w:rsidP="00903196">
      <w:pPr>
        <w:pStyle w:val="BodyTextMain"/>
      </w:pPr>
      <w:r w:rsidRPr="00811800">
        <w:t>In 2011, anti-dumping investigations were initiated by the U</w:t>
      </w:r>
      <w:r w:rsidR="00FC3C62">
        <w:t>.</w:t>
      </w:r>
      <w:r w:rsidRPr="00811800">
        <w:t>S</w:t>
      </w:r>
      <w:r w:rsidR="00FC3C62">
        <w:t>.</w:t>
      </w:r>
      <w:r w:rsidRPr="00811800">
        <w:t xml:space="preserve"> government</w:t>
      </w:r>
      <w:r w:rsidR="00EB7981">
        <w:t>,</w:t>
      </w:r>
      <w:r w:rsidRPr="00811800">
        <w:t xml:space="preserve"> and duties of </w:t>
      </w:r>
      <w:r w:rsidR="00F31D57">
        <w:rPr>
          <w:rFonts w:eastAsiaTheme="minorEastAsia" w:hint="eastAsia"/>
          <w:lang w:eastAsia="zh-CN"/>
        </w:rPr>
        <w:t>almost 36</w:t>
      </w:r>
      <w:r w:rsidR="003A56B2">
        <w:t xml:space="preserve"> per cent</w:t>
      </w:r>
      <w:r w:rsidRPr="00811800">
        <w:t xml:space="preserve"> were imposed on the importation of China-made solar cells in November 2012.</w:t>
      </w:r>
      <w:r w:rsidRPr="00811800">
        <w:rPr>
          <w:rStyle w:val="EndnoteReference"/>
        </w:rPr>
        <w:endnoteReference w:id="50"/>
      </w:r>
      <w:r w:rsidRPr="00811800">
        <w:t xml:space="preserve"> These heavy duties forced STP to close down its plant in Arizona.</w:t>
      </w:r>
      <w:r w:rsidRPr="00811800">
        <w:rPr>
          <w:rStyle w:val="EndnoteReference"/>
        </w:rPr>
        <w:endnoteReference w:id="51"/>
      </w:r>
      <w:r w:rsidRPr="00811800">
        <w:t xml:space="preserve"> Similar anti-dumping investigations were initiated by the European Union in 2012</w:t>
      </w:r>
      <w:r w:rsidR="00EB7981">
        <w:t>,</w:t>
      </w:r>
      <w:r w:rsidRPr="00811800">
        <w:t xml:space="preserve"> and a temporary duty on China-made solar modules was imposed in 2013. At that time, the European market accounted for 45</w:t>
      </w:r>
      <w:r w:rsidR="003A56B2">
        <w:t xml:space="preserve"> per cent</w:t>
      </w:r>
      <w:r w:rsidRPr="00811800">
        <w:t xml:space="preserve"> and the U</w:t>
      </w:r>
      <w:r w:rsidR="005D0E59">
        <w:t xml:space="preserve">nited </w:t>
      </w:r>
      <w:r w:rsidRPr="00811800">
        <w:t>S</w:t>
      </w:r>
      <w:r w:rsidR="005D0E59">
        <w:t>tates for</w:t>
      </w:r>
      <w:r w:rsidRPr="00811800">
        <w:t xml:space="preserve"> 20</w:t>
      </w:r>
      <w:r w:rsidR="003A56B2">
        <w:t xml:space="preserve"> per cent</w:t>
      </w:r>
      <w:r w:rsidRPr="00811800">
        <w:t xml:space="preserve"> of STP’s total sales. These anti-dumping actions were serious blows to STP.</w:t>
      </w:r>
      <w:r w:rsidRPr="00811800">
        <w:rPr>
          <w:rStyle w:val="EndnoteReference"/>
        </w:rPr>
        <w:endnoteReference w:id="52"/>
      </w:r>
    </w:p>
    <w:p w14:paraId="6E210DCE" w14:textId="77777777" w:rsidR="00D856C5" w:rsidRPr="008F3A57" w:rsidRDefault="00D856C5" w:rsidP="00903196">
      <w:pPr>
        <w:pStyle w:val="BodyTextMain"/>
        <w:rPr>
          <w:sz w:val="20"/>
        </w:rPr>
      </w:pPr>
    </w:p>
    <w:p w14:paraId="051B8FBA" w14:textId="77777777" w:rsidR="00D856C5" w:rsidRPr="008F3A57" w:rsidRDefault="00D856C5" w:rsidP="00903196">
      <w:pPr>
        <w:pStyle w:val="BodyTextMain"/>
        <w:rPr>
          <w:sz w:val="20"/>
        </w:rPr>
      </w:pPr>
    </w:p>
    <w:p w14:paraId="0D6577AA" w14:textId="21A3A0B2" w:rsidR="00903196" w:rsidRPr="00811800" w:rsidRDefault="00903196" w:rsidP="00D856C5">
      <w:pPr>
        <w:pStyle w:val="Casehead2"/>
      </w:pPr>
      <w:r w:rsidRPr="00811800">
        <w:t>G</w:t>
      </w:r>
      <w:r w:rsidR="005D0E59">
        <w:t xml:space="preserve">lobal </w:t>
      </w:r>
      <w:r w:rsidRPr="00811800">
        <w:t>S</w:t>
      </w:r>
      <w:r w:rsidR="005D0E59">
        <w:t xml:space="preserve">olar </w:t>
      </w:r>
      <w:r w:rsidRPr="00811800">
        <w:t>F</w:t>
      </w:r>
      <w:r w:rsidR="005D0E59">
        <w:t>und (GSF)</w:t>
      </w:r>
      <w:r w:rsidRPr="00811800">
        <w:t xml:space="preserve"> Fraud Case</w:t>
      </w:r>
    </w:p>
    <w:p w14:paraId="08AC64DE" w14:textId="77777777" w:rsidR="00D050AC" w:rsidRPr="008F3A57" w:rsidRDefault="00D050AC" w:rsidP="00903196">
      <w:pPr>
        <w:pStyle w:val="BodyTextMain"/>
        <w:rPr>
          <w:sz w:val="20"/>
        </w:rPr>
      </w:pPr>
    </w:p>
    <w:p w14:paraId="15C1F9E8" w14:textId="3F3E7F0F" w:rsidR="007F4BFB" w:rsidRPr="00D37673" w:rsidRDefault="00903196" w:rsidP="00903196">
      <w:pPr>
        <w:pStyle w:val="BodyTextMain"/>
        <w:rPr>
          <w:rFonts w:eastAsiaTheme="minorEastAsia"/>
          <w:lang w:eastAsia="zh-CN"/>
        </w:rPr>
      </w:pPr>
      <w:r w:rsidRPr="00811800">
        <w:t xml:space="preserve">GSF’s business model required large loans from banks to support the building of solar power stations. With banks unwilling to provide loans, GSF had to rely on STP for funds, while STP in turn, had to rely on GSF to ensure the sales of its solar products. To secure bank loans, GSF fraudulently pledged over </w:t>
      </w:r>
      <w:r w:rsidRPr="00F07E0C">
        <w:t>€</w:t>
      </w:r>
      <w:r w:rsidRPr="00811800">
        <w:t xml:space="preserve">500M in German government bonds it did not </w:t>
      </w:r>
      <w:proofErr w:type="gramStart"/>
      <w:r w:rsidRPr="00811800">
        <w:t>have</w:t>
      </w:r>
      <w:proofErr w:type="gramEnd"/>
      <w:r w:rsidRPr="00CF316B">
        <w:rPr>
          <w:rStyle w:val="EndnoteReference"/>
          <w:vertAlign w:val="baseline"/>
        </w:rPr>
        <w:t xml:space="preserve"> </w:t>
      </w:r>
      <w:r w:rsidRPr="00811800">
        <w:t>(</w:t>
      </w:r>
      <w:r w:rsidR="003A56B2">
        <w:t xml:space="preserve">see </w:t>
      </w:r>
      <w:r w:rsidRPr="00811800">
        <w:t xml:space="preserve">Exhibit </w:t>
      </w:r>
      <w:r w:rsidR="001A0A6B" w:rsidRPr="00811800">
        <w:t>1</w:t>
      </w:r>
      <w:r w:rsidR="00FB4591">
        <w:rPr>
          <w:rFonts w:eastAsiaTheme="minorEastAsia" w:hint="eastAsia"/>
          <w:lang w:eastAsia="zh-CN"/>
        </w:rPr>
        <w:t>0</w:t>
      </w:r>
      <w:r w:rsidRPr="00811800">
        <w:t>).</w:t>
      </w:r>
      <w:r w:rsidR="008F3A57" w:rsidRPr="00811800">
        <w:rPr>
          <w:rStyle w:val="EndnoteReference"/>
        </w:rPr>
        <w:endnoteReference w:id="53"/>
      </w:r>
      <w:r w:rsidRPr="00811800">
        <w:rPr>
          <w:b/>
        </w:rPr>
        <w:t xml:space="preserve"> </w:t>
      </w:r>
      <w:r w:rsidRPr="00811800">
        <w:t xml:space="preserve">When this fraud was revealed, STP was sued by shareholders in a </w:t>
      </w:r>
      <w:r w:rsidR="00EB7981" w:rsidRPr="00811800">
        <w:t>class</w:t>
      </w:r>
      <w:r w:rsidR="00EB7981">
        <w:t>-</w:t>
      </w:r>
      <w:r w:rsidRPr="00811800">
        <w:t>action suit. STP’s global image was badly affected</w:t>
      </w:r>
      <w:r w:rsidR="00EB7981">
        <w:t>,</w:t>
      </w:r>
      <w:r w:rsidRPr="00811800">
        <w:t xml:space="preserve"> and the company lost more than 40</w:t>
      </w:r>
      <w:r w:rsidR="003A56B2">
        <w:t xml:space="preserve"> per cent</w:t>
      </w:r>
      <w:r w:rsidRPr="00811800">
        <w:t xml:space="preserve"> of its market value. Around the same time, the Italian court also filed criminal charges against GSF, accusing it of illegally building solar power plants to exploit government subsidy.</w:t>
      </w:r>
      <w:r w:rsidRPr="00811800">
        <w:rPr>
          <w:rStyle w:val="EndnoteReference"/>
        </w:rPr>
        <w:endnoteReference w:id="54"/>
      </w:r>
      <w:r w:rsidRPr="00811800">
        <w:t xml:space="preserve"> These fraud</w:t>
      </w:r>
      <w:r w:rsidR="005D0E59">
        <w:t xml:space="preserve"> charge</w:t>
      </w:r>
      <w:r w:rsidRPr="00811800">
        <w:t>s raised serious doubts about STP’s business integrity and Shi’s management capabilities.</w:t>
      </w:r>
    </w:p>
    <w:p w14:paraId="69973B76" w14:textId="77777777" w:rsidR="005D0E59" w:rsidRDefault="005D0E59" w:rsidP="00D856C5">
      <w:pPr>
        <w:pStyle w:val="Casehead1"/>
      </w:pPr>
    </w:p>
    <w:p w14:paraId="747399F0" w14:textId="77777777" w:rsidR="008F3A57" w:rsidRDefault="008F3A57" w:rsidP="00D856C5">
      <w:pPr>
        <w:pStyle w:val="Casehead1"/>
      </w:pPr>
    </w:p>
    <w:p w14:paraId="7C8A12E6" w14:textId="03388E48" w:rsidR="00903196" w:rsidRPr="00811800" w:rsidRDefault="00903196" w:rsidP="00D856C5">
      <w:pPr>
        <w:pStyle w:val="Casehead1"/>
      </w:pPr>
      <w:r w:rsidRPr="00811800">
        <w:t xml:space="preserve">Financial Distress </w:t>
      </w:r>
    </w:p>
    <w:p w14:paraId="58040BA5" w14:textId="77777777" w:rsidR="00D856C5" w:rsidRPr="008F3A57" w:rsidRDefault="00D856C5" w:rsidP="00903196">
      <w:pPr>
        <w:pStyle w:val="BodyTextMain"/>
        <w:rPr>
          <w:sz w:val="20"/>
        </w:rPr>
      </w:pPr>
    </w:p>
    <w:p w14:paraId="48BDE2CC" w14:textId="31B105E8" w:rsidR="00A41F7B" w:rsidRDefault="005D0E59" w:rsidP="00A41F7B">
      <w:pPr>
        <w:pStyle w:val="BodyTextMain"/>
      </w:pPr>
      <w:r>
        <w:t>Considering STP’s financial distress</w:t>
      </w:r>
      <w:r w:rsidR="00EB7981">
        <w:t>,</w:t>
      </w:r>
      <w:r>
        <w:t xml:space="preserve"> </w:t>
      </w:r>
      <w:r w:rsidR="00EB7981">
        <w:t>as</w:t>
      </w:r>
      <w:r w:rsidR="00A41F7B">
        <w:t xml:space="preserve"> </w:t>
      </w:r>
      <w:r w:rsidR="00A41F7B" w:rsidRPr="00811800">
        <w:t xml:space="preserve">the </w:t>
      </w:r>
      <w:r>
        <w:t>c</w:t>
      </w:r>
      <w:r w:rsidR="00A41F7B" w:rsidRPr="00811800">
        <w:t>hairman of the company’s board of directors and its largest shareholder</w:t>
      </w:r>
      <w:r w:rsidR="0024180A">
        <w:t xml:space="preserve"> </w:t>
      </w:r>
      <w:r w:rsidR="0024180A" w:rsidRPr="00811800">
        <w:t>(</w:t>
      </w:r>
      <w:r w:rsidR="0024180A">
        <w:t xml:space="preserve">see </w:t>
      </w:r>
      <w:r w:rsidR="0024180A" w:rsidRPr="00811800">
        <w:t>Exhibit 1</w:t>
      </w:r>
      <w:r w:rsidR="0024180A">
        <w:rPr>
          <w:rFonts w:eastAsiaTheme="minorEastAsia" w:hint="eastAsia"/>
          <w:lang w:eastAsia="zh-CN"/>
        </w:rPr>
        <w:t>1</w:t>
      </w:r>
      <w:r w:rsidR="0024180A" w:rsidRPr="00811800">
        <w:t>)</w:t>
      </w:r>
      <w:r w:rsidR="0024180A">
        <w:t xml:space="preserve">, </w:t>
      </w:r>
      <w:r w:rsidR="00A41F7B">
        <w:t xml:space="preserve">what should Shi do </w:t>
      </w:r>
      <w:r w:rsidR="0024180A">
        <w:rPr>
          <w:spacing w:val="-2"/>
          <w:kern w:val="22"/>
        </w:rPr>
        <w:t xml:space="preserve">to </w:t>
      </w:r>
      <w:r>
        <w:rPr>
          <w:spacing w:val="-2"/>
          <w:kern w:val="22"/>
        </w:rPr>
        <w:t>turn the company</w:t>
      </w:r>
      <w:r w:rsidR="000E056A">
        <w:rPr>
          <w:spacing w:val="-2"/>
          <w:kern w:val="22"/>
        </w:rPr>
        <w:t xml:space="preserve"> around</w:t>
      </w:r>
      <w:r>
        <w:rPr>
          <w:spacing w:val="-2"/>
          <w:kern w:val="22"/>
        </w:rPr>
        <w:t xml:space="preserve"> and </w:t>
      </w:r>
      <w:r w:rsidR="0024180A">
        <w:rPr>
          <w:spacing w:val="-2"/>
          <w:kern w:val="22"/>
        </w:rPr>
        <w:t>avoid bankruptcy?</w:t>
      </w:r>
    </w:p>
    <w:p w14:paraId="58F1741E" w14:textId="77777777" w:rsidR="00A41F7B" w:rsidRPr="00A41F7B" w:rsidRDefault="00A41F7B" w:rsidP="00A41F7B">
      <w:pPr>
        <w:pStyle w:val="BodyTextMain"/>
      </w:pPr>
    </w:p>
    <w:p w14:paraId="2867EBD0" w14:textId="6F3C5831" w:rsidR="00A41F7B" w:rsidRDefault="00A41F7B" w:rsidP="00A41F7B">
      <w:pPr>
        <w:pStyle w:val="BodyTextMain"/>
      </w:pPr>
    </w:p>
    <w:p w14:paraId="5C55A1A2" w14:textId="35CE5C76" w:rsidR="00E455F1" w:rsidRPr="00811800" w:rsidRDefault="00E455F1" w:rsidP="00A41F7B">
      <w:pPr>
        <w:pStyle w:val="BodyTextMain"/>
      </w:pPr>
      <w:r w:rsidRPr="00811800">
        <w:br w:type="page"/>
      </w:r>
    </w:p>
    <w:p w14:paraId="16D59229" w14:textId="2FC5068C" w:rsidR="002B4F63" w:rsidRDefault="0062327A" w:rsidP="007E3AD9">
      <w:pPr>
        <w:pStyle w:val="ExhibitHeading"/>
      </w:pPr>
      <w:r w:rsidRPr="00811800">
        <w:lastRenderedPageBreak/>
        <w:t xml:space="preserve">Exhibit 1: </w:t>
      </w:r>
      <w:r w:rsidRPr="00811800">
        <w:rPr>
          <w:rFonts w:eastAsiaTheme="minorEastAsia"/>
        </w:rPr>
        <w:t>S</w:t>
      </w:r>
      <w:r w:rsidR="00A52D03">
        <w:rPr>
          <w:rFonts w:eastAsiaTheme="minorEastAsia"/>
        </w:rPr>
        <w:t>untech power holdings’</w:t>
      </w:r>
      <w:r w:rsidR="0003232C">
        <w:rPr>
          <w:rFonts w:eastAsiaTheme="minorEastAsia"/>
        </w:rPr>
        <w:t>s</w:t>
      </w:r>
      <w:r w:rsidR="00A52D03">
        <w:rPr>
          <w:rFonts w:eastAsiaTheme="minorEastAsia"/>
        </w:rPr>
        <w:t xml:space="preserve"> </w:t>
      </w:r>
      <w:r w:rsidRPr="00811800">
        <w:t xml:space="preserve">Revenue and Net Profit Growth </w:t>
      </w:r>
      <w:r w:rsidRPr="00811800">
        <w:rPr>
          <w:rFonts w:eastAsiaTheme="minorEastAsia"/>
        </w:rPr>
        <w:t xml:space="preserve">and </w:t>
      </w:r>
      <w:r w:rsidRPr="00811800">
        <w:t>Key Financial Data 2002–2011</w:t>
      </w:r>
      <w:r w:rsidR="003A56B2">
        <w:t xml:space="preserve"> ($ Millions)</w:t>
      </w:r>
    </w:p>
    <w:p w14:paraId="446C7F40" w14:textId="77777777" w:rsidR="007E3AD9" w:rsidRPr="007E3AD9" w:rsidRDefault="007E3AD9" w:rsidP="007E3AD9">
      <w:pPr>
        <w:pStyle w:val="ExhibitHeading"/>
      </w:pPr>
    </w:p>
    <w:tbl>
      <w:tblPr>
        <w:tblW w:w="489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5"/>
        <w:gridCol w:w="668"/>
        <w:gridCol w:w="716"/>
        <w:gridCol w:w="714"/>
        <w:gridCol w:w="716"/>
        <w:gridCol w:w="716"/>
        <w:gridCol w:w="800"/>
        <w:gridCol w:w="773"/>
        <w:gridCol w:w="831"/>
        <w:gridCol w:w="830"/>
        <w:gridCol w:w="967"/>
      </w:tblGrid>
      <w:tr w:rsidR="00D04E36" w:rsidRPr="00C316BA" w14:paraId="669BE09D" w14:textId="77777777" w:rsidTr="00F07E0C">
        <w:trPr>
          <w:trHeight w:val="300"/>
          <w:jc w:val="center"/>
        </w:trPr>
        <w:tc>
          <w:tcPr>
            <w:tcW w:w="778" w:type="pct"/>
            <w:shd w:val="clear" w:color="auto" w:fill="auto"/>
            <w:noWrap/>
            <w:vAlign w:val="bottom"/>
            <w:hideMark/>
          </w:tcPr>
          <w:p w14:paraId="46882B7C" w14:textId="67A54239" w:rsidR="0062327A" w:rsidRPr="00C316BA" w:rsidRDefault="0062327A" w:rsidP="005B292C">
            <w:pPr>
              <w:jc w:val="center"/>
              <w:rPr>
                <w:rFonts w:ascii="Arial" w:hAnsi="Arial" w:cs="Arial"/>
                <w:b/>
                <w:bCs/>
                <w:sz w:val="18"/>
              </w:rPr>
            </w:pPr>
            <w:r w:rsidRPr="005B292C">
              <w:rPr>
                <w:rFonts w:ascii="Arial" w:hAnsi="Arial" w:cs="Arial"/>
                <w:b/>
                <w:sz w:val="18"/>
              </w:rPr>
              <w:t>$ million</w:t>
            </w:r>
          </w:p>
        </w:tc>
        <w:tc>
          <w:tcPr>
            <w:tcW w:w="365" w:type="pct"/>
            <w:shd w:val="clear" w:color="auto" w:fill="auto"/>
            <w:noWrap/>
            <w:vAlign w:val="bottom"/>
            <w:hideMark/>
          </w:tcPr>
          <w:p w14:paraId="70F91A52" w14:textId="77777777" w:rsidR="0062327A" w:rsidRPr="00BB4BE3" w:rsidRDefault="0062327A" w:rsidP="00C316BA">
            <w:pPr>
              <w:jc w:val="center"/>
              <w:rPr>
                <w:rFonts w:ascii="Arial" w:hAnsi="Arial" w:cs="Arial"/>
                <w:b/>
                <w:bCs/>
                <w:sz w:val="18"/>
              </w:rPr>
            </w:pPr>
            <w:r w:rsidRPr="00BB4BE3">
              <w:rPr>
                <w:rFonts w:ascii="Arial" w:hAnsi="Arial" w:cs="Arial"/>
                <w:b/>
                <w:bCs/>
                <w:sz w:val="18"/>
              </w:rPr>
              <w:t>2002</w:t>
            </w:r>
          </w:p>
        </w:tc>
        <w:tc>
          <w:tcPr>
            <w:tcW w:w="391" w:type="pct"/>
            <w:shd w:val="clear" w:color="auto" w:fill="auto"/>
            <w:noWrap/>
            <w:vAlign w:val="bottom"/>
            <w:hideMark/>
          </w:tcPr>
          <w:p w14:paraId="1F73B9AC" w14:textId="77777777" w:rsidR="0062327A" w:rsidRPr="00BB4BE3" w:rsidRDefault="0062327A" w:rsidP="00BB4BE3">
            <w:pPr>
              <w:jc w:val="center"/>
              <w:rPr>
                <w:rFonts w:ascii="Arial" w:hAnsi="Arial" w:cs="Arial"/>
                <w:b/>
                <w:bCs/>
                <w:sz w:val="18"/>
              </w:rPr>
            </w:pPr>
            <w:r w:rsidRPr="00BB4BE3">
              <w:rPr>
                <w:rFonts w:ascii="Arial" w:hAnsi="Arial" w:cs="Arial"/>
                <w:b/>
                <w:bCs/>
                <w:sz w:val="18"/>
              </w:rPr>
              <w:t>2003</w:t>
            </w:r>
          </w:p>
        </w:tc>
        <w:tc>
          <w:tcPr>
            <w:tcW w:w="390" w:type="pct"/>
            <w:shd w:val="clear" w:color="auto" w:fill="auto"/>
            <w:noWrap/>
            <w:vAlign w:val="bottom"/>
            <w:hideMark/>
          </w:tcPr>
          <w:p w14:paraId="35A6B4F5" w14:textId="77777777" w:rsidR="0062327A" w:rsidRPr="00BB4BE3" w:rsidRDefault="0062327A" w:rsidP="00BB4BE3">
            <w:pPr>
              <w:jc w:val="center"/>
              <w:rPr>
                <w:rFonts w:ascii="Arial" w:hAnsi="Arial" w:cs="Arial"/>
                <w:b/>
                <w:bCs/>
                <w:sz w:val="18"/>
              </w:rPr>
            </w:pPr>
            <w:r w:rsidRPr="00BB4BE3">
              <w:rPr>
                <w:rFonts w:ascii="Arial" w:hAnsi="Arial" w:cs="Arial"/>
                <w:b/>
                <w:bCs/>
                <w:sz w:val="18"/>
              </w:rPr>
              <w:t>2004</w:t>
            </w:r>
          </w:p>
        </w:tc>
        <w:tc>
          <w:tcPr>
            <w:tcW w:w="391" w:type="pct"/>
            <w:shd w:val="clear" w:color="auto" w:fill="auto"/>
            <w:noWrap/>
            <w:vAlign w:val="bottom"/>
            <w:hideMark/>
          </w:tcPr>
          <w:p w14:paraId="5778DAB1" w14:textId="77777777" w:rsidR="0062327A" w:rsidRPr="00BB4BE3" w:rsidRDefault="0062327A" w:rsidP="00BB4BE3">
            <w:pPr>
              <w:jc w:val="center"/>
              <w:rPr>
                <w:rFonts w:ascii="Arial" w:hAnsi="Arial" w:cs="Arial"/>
                <w:b/>
                <w:bCs/>
                <w:sz w:val="18"/>
              </w:rPr>
            </w:pPr>
            <w:r w:rsidRPr="00BB4BE3">
              <w:rPr>
                <w:rFonts w:ascii="Arial" w:hAnsi="Arial" w:cs="Arial"/>
                <w:b/>
                <w:bCs/>
                <w:sz w:val="18"/>
              </w:rPr>
              <w:t>2005</w:t>
            </w:r>
          </w:p>
        </w:tc>
        <w:tc>
          <w:tcPr>
            <w:tcW w:w="391" w:type="pct"/>
            <w:shd w:val="clear" w:color="auto" w:fill="auto"/>
            <w:noWrap/>
            <w:vAlign w:val="bottom"/>
            <w:hideMark/>
          </w:tcPr>
          <w:p w14:paraId="526AA146" w14:textId="77777777" w:rsidR="0062327A" w:rsidRPr="00BB4BE3" w:rsidRDefault="0062327A" w:rsidP="00BB4BE3">
            <w:pPr>
              <w:jc w:val="center"/>
              <w:rPr>
                <w:rFonts w:ascii="Arial" w:hAnsi="Arial" w:cs="Arial"/>
                <w:b/>
                <w:bCs/>
                <w:sz w:val="18"/>
              </w:rPr>
            </w:pPr>
            <w:r w:rsidRPr="00BB4BE3">
              <w:rPr>
                <w:rFonts w:ascii="Arial" w:hAnsi="Arial" w:cs="Arial"/>
                <w:b/>
                <w:bCs/>
                <w:sz w:val="18"/>
              </w:rPr>
              <w:t>2006</w:t>
            </w:r>
          </w:p>
        </w:tc>
        <w:tc>
          <w:tcPr>
            <w:tcW w:w="437" w:type="pct"/>
            <w:shd w:val="clear" w:color="auto" w:fill="auto"/>
            <w:noWrap/>
            <w:vAlign w:val="bottom"/>
            <w:hideMark/>
          </w:tcPr>
          <w:p w14:paraId="5FB9E6A0" w14:textId="77777777" w:rsidR="0062327A" w:rsidRPr="00BB4BE3" w:rsidRDefault="0062327A" w:rsidP="00BB4BE3">
            <w:pPr>
              <w:jc w:val="center"/>
              <w:rPr>
                <w:rFonts w:ascii="Arial" w:hAnsi="Arial" w:cs="Arial"/>
                <w:b/>
                <w:bCs/>
                <w:sz w:val="18"/>
              </w:rPr>
            </w:pPr>
            <w:r w:rsidRPr="00BB4BE3">
              <w:rPr>
                <w:rFonts w:ascii="Arial" w:hAnsi="Arial" w:cs="Arial"/>
                <w:b/>
                <w:bCs/>
                <w:sz w:val="18"/>
              </w:rPr>
              <w:t>2007</w:t>
            </w:r>
          </w:p>
        </w:tc>
        <w:tc>
          <w:tcPr>
            <w:tcW w:w="422" w:type="pct"/>
            <w:shd w:val="clear" w:color="auto" w:fill="auto"/>
            <w:noWrap/>
            <w:vAlign w:val="bottom"/>
            <w:hideMark/>
          </w:tcPr>
          <w:p w14:paraId="79D16D0D" w14:textId="77777777" w:rsidR="0062327A" w:rsidRPr="00BB4BE3" w:rsidRDefault="0062327A" w:rsidP="00BB4BE3">
            <w:pPr>
              <w:jc w:val="center"/>
              <w:rPr>
                <w:rFonts w:ascii="Arial" w:hAnsi="Arial" w:cs="Arial"/>
                <w:b/>
                <w:bCs/>
                <w:sz w:val="18"/>
              </w:rPr>
            </w:pPr>
            <w:r w:rsidRPr="00BB4BE3">
              <w:rPr>
                <w:rFonts w:ascii="Arial" w:hAnsi="Arial" w:cs="Arial"/>
                <w:b/>
                <w:bCs/>
                <w:sz w:val="18"/>
              </w:rPr>
              <w:t>2008</w:t>
            </w:r>
          </w:p>
        </w:tc>
        <w:tc>
          <w:tcPr>
            <w:tcW w:w="454" w:type="pct"/>
            <w:shd w:val="clear" w:color="auto" w:fill="auto"/>
            <w:noWrap/>
            <w:vAlign w:val="bottom"/>
            <w:hideMark/>
          </w:tcPr>
          <w:p w14:paraId="72517F42" w14:textId="77777777" w:rsidR="0062327A" w:rsidRPr="00BB4BE3" w:rsidRDefault="0062327A" w:rsidP="00BB4BE3">
            <w:pPr>
              <w:jc w:val="center"/>
              <w:rPr>
                <w:rFonts w:ascii="Arial" w:hAnsi="Arial" w:cs="Arial"/>
                <w:b/>
                <w:bCs/>
                <w:sz w:val="18"/>
              </w:rPr>
            </w:pPr>
            <w:r w:rsidRPr="00BB4BE3">
              <w:rPr>
                <w:rFonts w:ascii="Arial" w:hAnsi="Arial" w:cs="Arial"/>
                <w:b/>
                <w:bCs/>
                <w:sz w:val="18"/>
              </w:rPr>
              <w:t>2009</w:t>
            </w:r>
          </w:p>
        </w:tc>
        <w:tc>
          <w:tcPr>
            <w:tcW w:w="453" w:type="pct"/>
            <w:shd w:val="clear" w:color="auto" w:fill="auto"/>
            <w:noWrap/>
            <w:vAlign w:val="bottom"/>
            <w:hideMark/>
          </w:tcPr>
          <w:p w14:paraId="3B8C0AC7" w14:textId="77777777" w:rsidR="0062327A" w:rsidRPr="00BB4BE3" w:rsidRDefault="0062327A" w:rsidP="00BB4BE3">
            <w:pPr>
              <w:jc w:val="center"/>
              <w:rPr>
                <w:rFonts w:ascii="Arial" w:hAnsi="Arial" w:cs="Arial"/>
                <w:b/>
                <w:bCs/>
                <w:sz w:val="18"/>
              </w:rPr>
            </w:pPr>
            <w:r w:rsidRPr="00BB4BE3">
              <w:rPr>
                <w:rFonts w:ascii="Arial" w:hAnsi="Arial" w:cs="Arial"/>
                <w:b/>
                <w:bCs/>
                <w:sz w:val="18"/>
              </w:rPr>
              <w:t>2010</w:t>
            </w:r>
          </w:p>
        </w:tc>
        <w:tc>
          <w:tcPr>
            <w:tcW w:w="528" w:type="pct"/>
            <w:shd w:val="clear" w:color="auto" w:fill="auto"/>
            <w:noWrap/>
            <w:vAlign w:val="bottom"/>
            <w:hideMark/>
          </w:tcPr>
          <w:p w14:paraId="06863B41" w14:textId="77777777" w:rsidR="0062327A" w:rsidRPr="00BB4BE3" w:rsidRDefault="0062327A" w:rsidP="00BB4BE3">
            <w:pPr>
              <w:jc w:val="center"/>
              <w:rPr>
                <w:rFonts w:ascii="Arial" w:hAnsi="Arial" w:cs="Arial"/>
                <w:b/>
                <w:bCs/>
                <w:sz w:val="18"/>
              </w:rPr>
            </w:pPr>
            <w:r w:rsidRPr="00BB4BE3">
              <w:rPr>
                <w:rFonts w:ascii="Arial" w:hAnsi="Arial" w:cs="Arial"/>
                <w:b/>
                <w:bCs/>
                <w:sz w:val="18"/>
              </w:rPr>
              <w:t>2011</w:t>
            </w:r>
          </w:p>
        </w:tc>
      </w:tr>
      <w:tr w:rsidR="00D04E36" w:rsidRPr="00811800" w14:paraId="2F68CC0D" w14:textId="77777777" w:rsidTr="00F07E0C">
        <w:trPr>
          <w:trHeight w:val="300"/>
          <w:jc w:val="center"/>
        </w:trPr>
        <w:tc>
          <w:tcPr>
            <w:tcW w:w="778" w:type="pct"/>
            <w:shd w:val="clear" w:color="auto" w:fill="auto"/>
            <w:noWrap/>
            <w:vAlign w:val="bottom"/>
            <w:hideMark/>
          </w:tcPr>
          <w:p w14:paraId="0504C320" w14:textId="79103181" w:rsidR="0062327A" w:rsidRPr="00811800" w:rsidRDefault="0062327A" w:rsidP="0003232C">
            <w:pPr>
              <w:rPr>
                <w:rFonts w:ascii="Arial" w:hAnsi="Arial" w:cs="Arial"/>
                <w:sz w:val="18"/>
              </w:rPr>
            </w:pPr>
            <w:r w:rsidRPr="00811800">
              <w:rPr>
                <w:rFonts w:ascii="Arial" w:hAnsi="Arial" w:cs="Arial"/>
                <w:sz w:val="18"/>
              </w:rPr>
              <w:t xml:space="preserve">Net </w:t>
            </w:r>
            <w:r w:rsidR="00203B2A">
              <w:rPr>
                <w:rFonts w:ascii="Arial" w:hAnsi="Arial" w:cs="Arial"/>
                <w:sz w:val="18"/>
              </w:rPr>
              <w:t>R</w:t>
            </w:r>
            <w:r w:rsidR="00203B2A" w:rsidRPr="00811800">
              <w:rPr>
                <w:rFonts w:ascii="Arial" w:hAnsi="Arial" w:cs="Arial"/>
                <w:sz w:val="18"/>
              </w:rPr>
              <w:t>evenues</w:t>
            </w:r>
          </w:p>
        </w:tc>
        <w:tc>
          <w:tcPr>
            <w:tcW w:w="365" w:type="pct"/>
            <w:shd w:val="clear" w:color="auto" w:fill="auto"/>
            <w:noWrap/>
            <w:vAlign w:val="bottom"/>
            <w:hideMark/>
          </w:tcPr>
          <w:p w14:paraId="22BE5F2B" w14:textId="77777777" w:rsidR="0062327A" w:rsidRPr="00811800" w:rsidRDefault="0062327A" w:rsidP="00F07E0C">
            <w:pPr>
              <w:jc w:val="right"/>
              <w:rPr>
                <w:rFonts w:ascii="Arial" w:hAnsi="Arial" w:cs="Arial"/>
                <w:sz w:val="16"/>
                <w:szCs w:val="18"/>
              </w:rPr>
            </w:pPr>
            <w:r w:rsidRPr="00811800">
              <w:rPr>
                <w:rFonts w:ascii="Arial" w:hAnsi="Arial" w:cs="Arial"/>
                <w:sz w:val="16"/>
                <w:szCs w:val="18"/>
              </w:rPr>
              <w:t>3.0</w:t>
            </w:r>
          </w:p>
        </w:tc>
        <w:tc>
          <w:tcPr>
            <w:tcW w:w="391" w:type="pct"/>
            <w:shd w:val="clear" w:color="auto" w:fill="auto"/>
            <w:noWrap/>
            <w:vAlign w:val="bottom"/>
            <w:hideMark/>
          </w:tcPr>
          <w:p w14:paraId="7C55C577" w14:textId="77777777" w:rsidR="0062327A" w:rsidRPr="00811800" w:rsidRDefault="0062327A" w:rsidP="00F07E0C">
            <w:pPr>
              <w:jc w:val="right"/>
              <w:rPr>
                <w:rFonts w:ascii="Arial" w:hAnsi="Arial" w:cs="Arial"/>
                <w:sz w:val="16"/>
                <w:szCs w:val="18"/>
              </w:rPr>
            </w:pPr>
            <w:r w:rsidRPr="00811800">
              <w:rPr>
                <w:rFonts w:ascii="Arial" w:hAnsi="Arial" w:cs="Arial"/>
                <w:sz w:val="16"/>
                <w:szCs w:val="18"/>
              </w:rPr>
              <w:t>13.9</w:t>
            </w:r>
          </w:p>
        </w:tc>
        <w:tc>
          <w:tcPr>
            <w:tcW w:w="390" w:type="pct"/>
            <w:shd w:val="clear" w:color="auto" w:fill="auto"/>
            <w:noWrap/>
            <w:vAlign w:val="bottom"/>
            <w:hideMark/>
          </w:tcPr>
          <w:p w14:paraId="01856610" w14:textId="77777777" w:rsidR="0062327A" w:rsidRPr="00811800" w:rsidRDefault="0062327A" w:rsidP="00F07E0C">
            <w:pPr>
              <w:jc w:val="right"/>
              <w:rPr>
                <w:rFonts w:ascii="Arial" w:hAnsi="Arial" w:cs="Arial"/>
                <w:sz w:val="16"/>
                <w:szCs w:val="18"/>
              </w:rPr>
            </w:pPr>
            <w:r w:rsidRPr="00811800">
              <w:rPr>
                <w:rFonts w:ascii="Arial" w:hAnsi="Arial" w:cs="Arial"/>
                <w:sz w:val="16"/>
                <w:szCs w:val="18"/>
              </w:rPr>
              <w:t>85.3</w:t>
            </w:r>
          </w:p>
        </w:tc>
        <w:tc>
          <w:tcPr>
            <w:tcW w:w="391" w:type="pct"/>
            <w:shd w:val="clear" w:color="auto" w:fill="auto"/>
            <w:noWrap/>
            <w:vAlign w:val="bottom"/>
            <w:hideMark/>
          </w:tcPr>
          <w:p w14:paraId="75A922CA" w14:textId="77777777" w:rsidR="0062327A" w:rsidRPr="00811800" w:rsidRDefault="0062327A" w:rsidP="00F07E0C">
            <w:pPr>
              <w:jc w:val="right"/>
              <w:rPr>
                <w:rFonts w:ascii="Arial" w:hAnsi="Arial" w:cs="Arial"/>
                <w:sz w:val="16"/>
                <w:szCs w:val="18"/>
              </w:rPr>
            </w:pPr>
            <w:r w:rsidRPr="00811800">
              <w:rPr>
                <w:rFonts w:ascii="Arial" w:hAnsi="Arial" w:cs="Arial"/>
                <w:sz w:val="16"/>
                <w:szCs w:val="18"/>
              </w:rPr>
              <w:t>226.0</w:t>
            </w:r>
          </w:p>
        </w:tc>
        <w:tc>
          <w:tcPr>
            <w:tcW w:w="391" w:type="pct"/>
            <w:shd w:val="clear" w:color="auto" w:fill="auto"/>
            <w:noWrap/>
            <w:vAlign w:val="bottom"/>
            <w:hideMark/>
          </w:tcPr>
          <w:p w14:paraId="74A89B50" w14:textId="77777777" w:rsidR="0062327A" w:rsidRPr="00811800" w:rsidRDefault="0062327A" w:rsidP="00F07E0C">
            <w:pPr>
              <w:jc w:val="right"/>
              <w:rPr>
                <w:rFonts w:ascii="Arial" w:hAnsi="Arial" w:cs="Arial"/>
                <w:sz w:val="16"/>
                <w:szCs w:val="18"/>
              </w:rPr>
            </w:pPr>
            <w:r w:rsidRPr="00811800">
              <w:rPr>
                <w:rFonts w:ascii="Arial" w:hAnsi="Arial" w:cs="Arial"/>
                <w:sz w:val="16"/>
                <w:szCs w:val="18"/>
              </w:rPr>
              <w:t>598.9</w:t>
            </w:r>
          </w:p>
        </w:tc>
        <w:tc>
          <w:tcPr>
            <w:tcW w:w="437" w:type="pct"/>
            <w:shd w:val="clear" w:color="auto" w:fill="auto"/>
            <w:noWrap/>
            <w:vAlign w:val="bottom"/>
            <w:hideMark/>
          </w:tcPr>
          <w:p w14:paraId="035B4214" w14:textId="0988C27A" w:rsidR="0062327A" w:rsidRPr="00811800" w:rsidRDefault="0062327A" w:rsidP="00F07E0C">
            <w:pPr>
              <w:jc w:val="right"/>
              <w:rPr>
                <w:rFonts w:ascii="Arial" w:hAnsi="Arial" w:cs="Arial"/>
                <w:sz w:val="16"/>
                <w:szCs w:val="18"/>
              </w:rPr>
            </w:pPr>
            <w:r w:rsidRPr="00811800">
              <w:rPr>
                <w:rFonts w:ascii="Arial" w:hAnsi="Arial" w:cs="Arial"/>
                <w:sz w:val="16"/>
                <w:szCs w:val="18"/>
              </w:rPr>
              <w:t>1</w:t>
            </w:r>
            <w:r w:rsidR="007E3AD9">
              <w:rPr>
                <w:rFonts w:ascii="Arial" w:hAnsi="Arial" w:cs="Arial"/>
                <w:sz w:val="16"/>
                <w:szCs w:val="18"/>
              </w:rPr>
              <w:t>,</w:t>
            </w:r>
            <w:r w:rsidRPr="00811800">
              <w:rPr>
                <w:rFonts w:ascii="Arial" w:hAnsi="Arial" w:cs="Arial"/>
                <w:sz w:val="16"/>
                <w:szCs w:val="18"/>
              </w:rPr>
              <w:t>348.3</w:t>
            </w:r>
          </w:p>
        </w:tc>
        <w:tc>
          <w:tcPr>
            <w:tcW w:w="422" w:type="pct"/>
            <w:shd w:val="clear" w:color="auto" w:fill="auto"/>
            <w:noWrap/>
            <w:vAlign w:val="bottom"/>
            <w:hideMark/>
          </w:tcPr>
          <w:p w14:paraId="5F02B009" w14:textId="29FD603C" w:rsidR="0062327A" w:rsidRPr="00811800" w:rsidRDefault="0062327A" w:rsidP="00F07E0C">
            <w:pPr>
              <w:jc w:val="right"/>
              <w:rPr>
                <w:rFonts w:ascii="Arial" w:hAnsi="Arial" w:cs="Arial"/>
                <w:sz w:val="16"/>
                <w:szCs w:val="18"/>
              </w:rPr>
            </w:pPr>
            <w:r w:rsidRPr="00811800">
              <w:rPr>
                <w:rFonts w:ascii="Arial" w:hAnsi="Arial" w:cs="Arial"/>
                <w:sz w:val="16"/>
                <w:szCs w:val="18"/>
              </w:rPr>
              <w:t>1</w:t>
            </w:r>
            <w:r w:rsidR="007E3AD9">
              <w:rPr>
                <w:rFonts w:ascii="Arial" w:hAnsi="Arial" w:cs="Arial"/>
                <w:sz w:val="16"/>
                <w:szCs w:val="18"/>
              </w:rPr>
              <w:t>,</w:t>
            </w:r>
            <w:r w:rsidRPr="00811800">
              <w:rPr>
                <w:rFonts w:ascii="Arial" w:hAnsi="Arial" w:cs="Arial"/>
                <w:sz w:val="16"/>
                <w:szCs w:val="18"/>
              </w:rPr>
              <w:t>923.5</w:t>
            </w:r>
          </w:p>
        </w:tc>
        <w:tc>
          <w:tcPr>
            <w:tcW w:w="454" w:type="pct"/>
            <w:shd w:val="clear" w:color="auto" w:fill="auto"/>
            <w:noWrap/>
            <w:vAlign w:val="bottom"/>
            <w:hideMark/>
          </w:tcPr>
          <w:p w14:paraId="05284102" w14:textId="7861A487" w:rsidR="0062327A" w:rsidRPr="00811800" w:rsidRDefault="0062327A" w:rsidP="00F07E0C">
            <w:pPr>
              <w:jc w:val="right"/>
              <w:rPr>
                <w:rFonts w:ascii="Arial" w:hAnsi="Arial" w:cs="Arial"/>
                <w:sz w:val="16"/>
                <w:szCs w:val="18"/>
              </w:rPr>
            </w:pPr>
            <w:r w:rsidRPr="00811800">
              <w:rPr>
                <w:rFonts w:ascii="Arial" w:hAnsi="Arial" w:cs="Arial"/>
                <w:sz w:val="16"/>
                <w:szCs w:val="18"/>
              </w:rPr>
              <w:t>1</w:t>
            </w:r>
            <w:r w:rsidR="007E3AD9">
              <w:rPr>
                <w:rFonts w:ascii="Arial" w:hAnsi="Arial" w:cs="Arial"/>
                <w:sz w:val="16"/>
                <w:szCs w:val="18"/>
              </w:rPr>
              <w:t>,</w:t>
            </w:r>
            <w:r w:rsidRPr="00811800">
              <w:rPr>
                <w:rFonts w:ascii="Arial" w:hAnsi="Arial" w:cs="Arial"/>
                <w:sz w:val="16"/>
                <w:szCs w:val="18"/>
              </w:rPr>
              <w:t>693.3</w:t>
            </w:r>
          </w:p>
        </w:tc>
        <w:tc>
          <w:tcPr>
            <w:tcW w:w="453" w:type="pct"/>
            <w:shd w:val="clear" w:color="auto" w:fill="auto"/>
            <w:noWrap/>
            <w:vAlign w:val="bottom"/>
            <w:hideMark/>
          </w:tcPr>
          <w:p w14:paraId="7452A73D" w14:textId="589A98CF" w:rsidR="0062327A" w:rsidRPr="00811800" w:rsidRDefault="0062327A" w:rsidP="00F07E0C">
            <w:pPr>
              <w:jc w:val="right"/>
              <w:rPr>
                <w:rFonts w:ascii="Arial" w:hAnsi="Arial" w:cs="Arial"/>
                <w:sz w:val="16"/>
                <w:szCs w:val="18"/>
              </w:rPr>
            </w:pPr>
            <w:r w:rsidRPr="00811800">
              <w:rPr>
                <w:rFonts w:ascii="Arial" w:hAnsi="Arial" w:cs="Arial"/>
                <w:sz w:val="16"/>
                <w:szCs w:val="18"/>
              </w:rPr>
              <w:t>2</w:t>
            </w:r>
            <w:r w:rsidR="007E3AD9">
              <w:rPr>
                <w:rFonts w:ascii="Arial" w:hAnsi="Arial" w:cs="Arial"/>
                <w:sz w:val="16"/>
                <w:szCs w:val="18"/>
              </w:rPr>
              <w:t>,</w:t>
            </w:r>
            <w:r w:rsidRPr="00811800">
              <w:rPr>
                <w:rFonts w:ascii="Arial" w:hAnsi="Arial" w:cs="Arial"/>
                <w:sz w:val="16"/>
                <w:szCs w:val="18"/>
              </w:rPr>
              <w:t>901.9</w:t>
            </w:r>
          </w:p>
        </w:tc>
        <w:tc>
          <w:tcPr>
            <w:tcW w:w="528" w:type="pct"/>
            <w:shd w:val="clear" w:color="auto" w:fill="auto"/>
            <w:noWrap/>
            <w:vAlign w:val="bottom"/>
            <w:hideMark/>
          </w:tcPr>
          <w:p w14:paraId="21E6D43C" w14:textId="2BE855F8" w:rsidR="0062327A" w:rsidRPr="00811800" w:rsidRDefault="0062327A" w:rsidP="00F07E0C">
            <w:pPr>
              <w:jc w:val="right"/>
              <w:rPr>
                <w:rFonts w:ascii="Arial" w:hAnsi="Arial" w:cs="Arial"/>
                <w:sz w:val="16"/>
                <w:szCs w:val="18"/>
              </w:rPr>
            </w:pPr>
            <w:r w:rsidRPr="00811800">
              <w:rPr>
                <w:rFonts w:ascii="Arial" w:hAnsi="Arial" w:cs="Arial"/>
                <w:sz w:val="16"/>
                <w:szCs w:val="18"/>
              </w:rPr>
              <w:t>3</w:t>
            </w:r>
            <w:r w:rsidR="007E3AD9">
              <w:rPr>
                <w:rFonts w:ascii="Arial" w:hAnsi="Arial" w:cs="Arial"/>
                <w:sz w:val="16"/>
                <w:szCs w:val="18"/>
              </w:rPr>
              <w:t>,</w:t>
            </w:r>
            <w:r w:rsidRPr="00811800">
              <w:rPr>
                <w:rFonts w:ascii="Arial" w:hAnsi="Arial" w:cs="Arial"/>
                <w:sz w:val="16"/>
                <w:szCs w:val="18"/>
              </w:rPr>
              <w:t>146.6</w:t>
            </w:r>
          </w:p>
        </w:tc>
      </w:tr>
      <w:tr w:rsidR="00D04E36" w:rsidRPr="00811800" w14:paraId="1E16D41E" w14:textId="77777777" w:rsidTr="00F07E0C">
        <w:trPr>
          <w:trHeight w:val="300"/>
          <w:jc w:val="center"/>
        </w:trPr>
        <w:tc>
          <w:tcPr>
            <w:tcW w:w="778" w:type="pct"/>
            <w:shd w:val="clear" w:color="auto" w:fill="auto"/>
            <w:noWrap/>
            <w:vAlign w:val="bottom"/>
            <w:hideMark/>
          </w:tcPr>
          <w:p w14:paraId="6268E8C9" w14:textId="7D481CAB" w:rsidR="0062327A" w:rsidRPr="00811800" w:rsidRDefault="0062327A" w:rsidP="0003232C">
            <w:pPr>
              <w:rPr>
                <w:rFonts w:ascii="Arial" w:hAnsi="Arial" w:cs="Arial"/>
                <w:sz w:val="18"/>
              </w:rPr>
            </w:pPr>
            <w:r w:rsidRPr="00811800">
              <w:rPr>
                <w:rFonts w:ascii="Arial" w:hAnsi="Arial" w:cs="Arial"/>
                <w:sz w:val="18"/>
              </w:rPr>
              <w:t xml:space="preserve">Cost of </w:t>
            </w:r>
            <w:r w:rsidR="00203B2A">
              <w:rPr>
                <w:rFonts w:ascii="Arial" w:hAnsi="Arial" w:cs="Arial"/>
                <w:sz w:val="18"/>
              </w:rPr>
              <w:t>R</w:t>
            </w:r>
            <w:r w:rsidR="00203B2A" w:rsidRPr="00811800">
              <w:rPr>
                <w:rFonts w:ascii="Arial" w:hAnsi="Arial" w:cs="Arial"/>
                <w:sz w:val="18"/>
              </w:rPr>
              <w:t>evenues</w:t>
            </w:r>
          </w:p>
        </w:tc>
        <w:tc>
          <w:tcPr>
            <w:tcW w:w="365" w:type="pct"/>
            <w:shd w:val="clear" w:color="auto" w:fill="auto"/>
            <w:noWrap/>
            <w:vAlign w:val="bottom"/>
            <w:hideMark/>
          </w:tcPr>
          <w:p w14:paraId="6DB74D98" w14:textId="77777777" w:rsidR="0062327A" w:rsidRPr="00811800" w:rsidRDefault="0062327A" w:rsidP="00F07E0C">
            <w:pPr>
              <w:jc w:val="right"/>
              <w:rPr>
                <w:rFonts w:ascii="Arial" w:hAnsi="Arial" w:cs="Arial"/>
                <w:sz w:val="16"/>
                <w:szCs w:val="18"/>
              </w:rPr>
            </w:pPr>
            <w:r w:rsidRPr="00811800">
              <w:rPr>
                <w:rFonts w:ascii="Arial" w:hAnsi="Arial" w:cs="Arial"/>
                <w:sz w:val="16"/>
                <w:szCs w:val="18"/>
              </w:rPr>
              <w:t>2.9</w:t>
            </w:r>
          </w:p>
        </w:tc>
        <w:tc>
          <w:tcPr>
            <w:tcW w:w="391" w:type="pct"/>
            <w:shd w:val="clear" w:color="auto" w:fill="auto"/>
            <w:noWrap/>
            <w:vAlign w:val="bottom"/>
            <w:hideMark/>
          </w:tcPr>
          <w:p w14:paraId="2C28B39C" w14:textId="77777777" w:rsidR="0062327A" w:rsidRPr="00811800" w:rsidRDefault="0062327A" w:rsidP="00F07E0C">
            <w:pPr>
              <w:jc w:val="right"/>
              <w:rPr>
                <w:rFonts w:ascii="Arial" w:hAnsi="Arial" w:cs="Arial"/>
                <w:sz w:val="16"/>
                <w:szCs w:val="18"/>
              </w:rPr>
            </w:pPr>
            <w:r w:rsidRPr="00811800">
              <w:rPr>
                <w:rFonts w:ascii="Arial" w:hAnsi="Arial" w:cs="Arial"/>
                <w:sz w:val="16"/>
                <w:szCs w:val="18"/>
              </w:rPr>
              <w:t>11.2</w:t>
            </w:r>
          </w:p>
        </w:tc>
        <w:tc>
          <w:tcPr>
            <w:tcW w:w="390" w:type="pct"/>
            <w:shd w:val="clear" w:color="auto" w:fill="auto"/>
            <w:noWrap/>
            <w:vAlign w:val="bottom"/>
            <w:hideMark/>
          </w:tcPr>
          <w:p w14:paraId="307F3706" w14:textId="77777777" w:rsidR="0062327A" w:rsidRPr="00811800" w:rsidRDefault="0062327A" w:rsidP="00F07E0C">
            <w:pPr>
              <w:jc w:val="right"/>
              <w:rPr>
                <w:rFonts w:ascii="Arial" w:hAnsi="Arial" w:cs="Arial"/>
                <w:sz w:val="16"/>
                <w:szCs w:val="18"/>
              </w:rPr>
            </w:pPr>
            <w:r w:rsidRPr="00811800">
              <w:rPr>
                <w:rFonts w:ascii="Arial" w:hAnsi="Arial" w:cs="Arial"/>
                <w:sz w:val="16"/>
                <w:szCs w:val="18"/>
              </w:rPr>
              <w:t>60.2</w:t>
            </w:r>
          </w:p>
        </w:tc>
        <w:tc>
          <w:tcPr>
            <w:tcW w:w="391" w:type="pct"/>
            <w:shd w:val="clear" w:color="auto" w:fill="auto"/>
            <w:noWrap/>
            <w:vAlign w:val="bottom"/>
            <w:hideMark/>
          </w:tcPr>
          <w:p w14:paraId="1B6EA25F" w14:textId="77777777" w:rsidR="0062327A" w:rsidRPr="00811800" w:rsidRDefault="0062327A" w:rsidP="00F07E0C">
            <w:pPr>
              <w:jc w:val="right"/>
              <w:rPr>
                <w:rFonts w:ascii="Arial" w:hAnsi="Arial" w:cs="Arial"/>
                <w:sz w:val="16"/>
                <w:szCs w:val="18"/>
              </w:rPr>
            </w:pPr>
            <w:r w:rsidRPr="00811800">
              <w:rPr>
                <w:rFonts w:ascii="Arial" w:hAnsi="Arial" w:cs="Arial"/>
                <w:sz w:val="16"/>
                <w:szCs w:val="18"/>
              </w:rPr>
              <w:t>157.4</w:t>
            </w:r>
          </w:p>
        </w:tc>
        <w:tc>
          <w:tcPr>
            <w:tcW w:w="391" w:type="pct"/>
            <w:shd w:val="clear" w:color="auto" w:fill="auto"/>
            <w:noWrap/>
            <w:vAlign w:val="bottom"/>
            <w:hideMark/>
          </w:tcPr>
          <w:p w14:paraId="7E57CB08" w14:textId="77777777" w:rsidR="0062327A" w:rsidRPr="00811800" w:rsidRDefault="0062327A" w:rsidP="00F07E0C">
            <w:pPr>
              <w:jc w:val="right"/>
              <w:rPr>
                <w:rFonts w:ascii="Arial" w:hAnsi="Arial" w:cs="Arial"/>
                <w:sz w:val="16"/>
                <w:szCs w:val="18"/>
              </w:rPr>
            </w:pPr>
            <w:r w:rsidRPr="00811800">
              <w:rPr>
                <w:rFonts w:ascii="Arial" w:hAnsi="Arial" w:cs="Arial"/>
                <w:sz w:val="16"/>
                <w:szCs w:val="18"/>
              </w:rPr>
              <w:t>450.0</w:t>
            </w:r>
          </w:p>
        </w:tc>
        <w:tc>
          <w:tcPr>
            <w:tcW w:w="437" w:type="pct"/>
            <w:shd w:val="clear" w:color="auto" w:fill="auto"/>
            <w:noWrap/>
            <w:vAlign w:val="bottom"/>
            <w:hideMark/>
          </w:tcPr>
          <w:p w14:paraId="0914FEC6" w14:textId="5E99744C" w:rsidR="0062327A" w:rsidRPr="00811800" w:rsidRDefault="0062327A" w:rsidP="00F07E0C">
            <w:pPr>
              <w:jc w:val="right"/>
              <w:rPr>
                <w:rFonts w:ascii="Arial" w:hAnsi="Arial" w:cs="Arial"/>
                <w:sz w:val="16"/>
                <w:szCs w:val="18"/>
              </w:rPr>
            </w:pPr>
            <w:r w:rsidRPr="00811800">
              <w:rPr>
                <w:rFonts w:ascii="Arial" w:hAnsi="Arial" w:cs="Arial"/>
                <w:sz w:val="16"/>
                <w:szCs w:val="18"/>
              </w:rPr>
              <w:t>1</w:t>
            </w:r>
            <w:r w:rsidR="007E3AD9">
              <w:rPr>
                <w:rFonts w:ascii="Arial" w:hAnsi="Arial" w:cs="Arial"/>
                <w:sz w:val="16"/>
                <w:szCs w:val="18"/>
              </w:rPr>
              <w:t>,</w:t>
            </w:r>
            <w:r w:rsidRPr="00811800">
              <w:rPr>
                <w:rFonts w:ascii="Arial" w:hAnsi="Arial" w:cs="Arial"/>
                <w:sz w:val="16"/>
                <w:szCs w:val="18"/>
              </w:rPr>
              <w:t>068.6</w:t>
            </w:r>
          </w:p>
        </w:tc>
        <w:tc>
          <w:tcPr>
            <w:tcW w:w="422" w:type="pct"/>
            <w:shd w:val="clear" w:color="auto" w:fill="auto"/>
            <w:noWrap/>
            <w:vAlign w:val="bottom"/>
            <w:hideMark/>
          </w:tcPr>
          <w:p w14:paraId="057EB7FE" w14:textId="400F675E" w:rsidR="0062327A" w:rsidRPr="00811800" w:rsidRDefault="0062327A" w:rsidP="00F07E0C">
            <w:pPr>
              <w:jc w:val="right"/>
              <w:rPr>
                <w:rFonts w:ascii="Arial" w:hAnsi="Arial" w:cs="Arial"/>
                <w:sz w:val="16"/>
                <w:szCs w:val="18"/>
              </w:rPr>
            </w:pPr>
            <w:r w:rsidRPr="00811800">
              <w:rPr>
                <w:rFonts w:ascii="Arial" w:hAnsi="Arial" w:cs="Arial"/>
                <w:sz w:val="16"/>
                <w:szCs w:val="18"/>
              </w:rPr>
              <w:t>1</w:t>
            </w:r>
            <w:r w:rsidR="007E3AD9">
              <w:rPr>
                <w:rFonts w:ascii="Arial" w:hAnsi="Arial" w:cs="Arial"/>
                <w:sz w:val="16"/>
                <w:szCs w:val="18"/>
              </w:rPr>
              <w:t>,</w:t>
            </w:r>
            <w:r w:rsidRPr="00811800">
              <w:rPr>
                <w:rFonts w:ascii="Arial" w:hAnsi="Arial" w:cs="Arial"/>
                <w:sz w:val="16"/>
                <w:szCs w:val="18"/>
              </w:rPr>
              <w:t>573.7</w:t>
            </w:r>
          </w:p>
        </w:tc>
        <w:tc>
          <w:tcPr>
            <w:tcW w:w="454" w:type="pct"/>
            <w:shd w:val="clear" w:color="auto" w:fill="auto"/>
            <w:noWrap/>
            <w:vAlign w:val="bottom"/>
            <w:hideMark/>
          </w:tcPr>
          <w:p w14:paraId="69653861" w14:textId="54F1BADD" w:rsidR="0062327A" w:rsidRPr="00811800" w:rsidRDefault="0062327A" w:rsidP="00F07E0C">
            <w:pPr>
              <w:jc w:val="right"/>
              <w:rPr>
                <w:rFonts w:ascii="Arial" w:hAnsi="Arial" w:cs="Arial"/>
                <w:sz w:val="16"/>
                <w:szCs w:val="18"/>
              </w:rPr>
            </w:pPr>
            <w:r w:rsidRPr="00811800">
              <w:rPr>
                <w:rFonts w:ascii="Arial" w:hAnsi="Arial" w:cs="Arial"/>
                <w:sz w:val="16"/>
                <w:szCs w:val="18"/>
              </w:rPr>
              <w:t>1</w:t>
            </w:r>
            <w:r w:rsidR="007E3AD9">
              <w:rPr>
                <w:rFonts w:ascii="Arial" w:hAnsi="Arial" w:cs="Arial"/>
                <w:sz w:val="16"/>
                <w:szCs w:val="18"/>
              </w:rPr>
              <w:t>,</w:t>
            </w:r>
            <w:r w:rsidRPr="00811800">
              <w:rPr>
                <w:rFonts w:ascii="Arial" w:hAnsi="Arial" w:cs="Arial"/>
                <w:sz w:val="16"/>
                <w:szCs w:val="18"/>
              </w:rPr>
              <w:t>331.3</w:t>
            </w:r>
          </w:p>
        </w:tc>
        <w:tc>
          <w:tcPr>
            <w:tcW w:w="453" w:type="pct"/>
            <w:shd w:val="clear" w:color="auto" w:fill="auto"/>
            <w:noWrap/>
            <w:vAlign w:val="bottom"/>
            <w:hideMark/>
          </w:tcPr>
          <w:p w14:paraId="6B30C86A" w14:textId="3DE525F3" w:rsidR="0062327A" w:rsidRPr="00811800" w:rsidRDefault="0062327A" w:rsidP="00F07E0C">
            <w:pPr>
              <w:jc w:val="right"/>
              <w:rPr>
                <w:rFonts w:ascii="Arial" w:hAnsi="Arial" w:cs="Arial"/>
                <w:sz w:val="16"/>
                <w:szCs w:val="18"/>
              </w:rPr>
            </w:pPr>
            <w:r w:rsidRPr="00811800">
              <w:rPr>
                <w:rFonts w:ascii="Arial" w:hAnsi="Arial" w:cs="Arial"/>
                <w:sz w:val="16"/>
                <w:szCs w:val="18"/>
              </w:rPr>
              <w:t>2</w:t>
            </w:r>
            <w:r w:rsidR="007E3AD9">
              <w:rPr>
                <w:rFonts w:ascii="Arial" w:hAnsi="Arial" w:cs="Arial"/>
                <w:sz w:val="16"/>
                <w:szCs w:val="18"/>
              </w:rPr>
              <w:t>,</w:t>
            </w:r>
            <w:r w:rsidRPr="00811800">
              <w:rPr>
                <w:rFonts w:ascii="Arial" w:hAnsi="Arial" w:cs="Arial"/>
                <w:sz w:val="16"/>
                <w:szCs w:val="18"/>
              </w:rPr>
              <w:t>358.8</w:t>
            </w:r>
          </w:p>
        </w:tc>
        <w:tc>
          <w:tcPr>
            <w:tcW w:w="528" w:type="pct"/>
            <w:shd w:val="clear" w:color="auto" w:fill="auto"/>
            <w:noWrap/>
            <w:vAlign w:val="bottom"/>
            <w:hideMark/>
          </w:tcPr>
          <w:p w14:paraId="498568EB" w14:textId="1AEDB292" w:rsidR="0062327A" w:rsidRPr="00811800" w:rsidRDefault="0062327A" w:rsidP="00F07E0C">
            <w:pPr>
              <w:jc w:val="right"/>
              <w:rPr>
                <w:rFonts w:ascii="Arial" w:hAnsi="Arial" w:cs="Arial"/>
                <w:sz w:val="16"/>
                <w:szCs w:val="18"/>
              </w:rPr>
            </w:pPr>
            <w:r w:rsidRPr="00811800">
              <w:rPr>
                <w:rFonts w:ascii="Arial" w:hAnsi="Arial" w:cs="Arial"/>
                <w:sz w:val="16"/>
                <w:szCs w:val="18"/>
              </w:rPr>
              <w:t>2</w:t>
            </w:r>
            <w:r w:rsidR="007E3AD9">
              <w:rPr>
                <w:rFonts w:ascii="Arial" w:hAnsi="Arial" w:cs="Arial"/>
                <w:sz w:val="16"/>
                <w:szCs w:val="18"/>
              </w:rPr>
              <w:t>,</w:t>
            </w:r>
            <w:r w:rsidRPr="00811800">
              <w:rPr>
                <w:rFonts w:ascii="Arial" w:hAnsi="Arial" w:cs="Arial"/>
                <w:sz w:val="16"/>
                <w:szCs w:val="18"/>
              </w:rPr>
              <w:t>760.0</w:t>
            </w:r>
          </w:p>
        </w:tc>
      </w:tr>
      <w:tr w:rsidR="00D04E36" w:rsidRPr="00811800" w14:paraId="497BF19B" w14:textId="77777777" w:rsidTr="00F07E0C">
        <w:trPr>
          <w:trHeight w:val="300"/>
          <w:jc w:val="center"/>
        </w:trPr>
        <w:tc>
          <w:tcPr>
            <w:tcW w:w="778" w:type="pct"/>
            <w:shd w:val="clear" w:color="auto" w:fill="auto"/>
            <w:noWrap/>
            <w:vAlign w:val="bottom"/>
            <w:hideMark/>
          </w:tcPr>
          <w:p w14:paraId="6CD44715" w14:textId="5280C13C" w:rsidR="0062327A" w:rsidRPr="00811800" w:rsidRDefault="0062327A" w:rsidP="0003232C">
            <w:pPr>
              <w:rPr>
                <w:rFonts w:ascii="Arial" w:hAnsi="Arial" w:cs="Arial"/>
                <w:sz w:val="18"/>
              </w:rPr>
            </w:pPr>
            <w:r w:rsidRPr="00811800">
              <w:rPr>
                <w:rFonts w:ascii="Arial" w:hAnsi="Arial" w:cs="Arial"/>
                <w:sz w:val="18"/>
              </w:rPr>
              <w:t xml:space="preserve">Gross </w:t>
            </w:r>
            <w:r w:rsidR="00203B2A">
              <w:rPr>
                <w:rFonts w:ascii="Arial" w:hAnsi="Arial" w:cs="Arial"/>
                <w:sz w:val="18"/>
              </w:rPr>
              <w:t>P</w:t>
            </w:r>
            <w:r w:rsidR="00203B2A" w:rsidRPr="00811800">
              <w:rPr>
                <w:rFonts w:ascii="Arial" w:hAnsi="Arial" w:cs="Arial"/>
                <w:sz w:val="18"/>
              </w:rPr>
              <w:t>rofit</w:t>
            </w:r>
          </w:p>
        </w:tc>
        <w:tc>
          <w:tcPr>
            <w:tcW w:w="365" w:type="pct"/>
            <w:shd w:val="clear" w:color="auto" w:fill="auto"/>
            <w:noWrap/>
            <w:vAlign w:val="bottom"/>
            <w:hideMark/>
          </w:tcPr>
          <w:p w14:paraId="26B7D5B6" w14:textId="77777777" w:rsidR="0062327A" w:rsidRPr="00811800" w:rsidRDefault="0062327A" w:rsidP="00F07E0C">
            <w:pPr>
              <w:jc w:val="right"/>
              <w:rPr>
                <w:rFonts w:ascii="Arial" w:hAnsi="Arial" w:cs="Arial"/>
                <w:sz w:val="16"/>
                <w:szCs w:val="18"/>
              </w:rPr>
            </w:pPr>
            <w:r w:rsidRPr="00811800">
              <w:rPr>
                <w:rFonts w:ascii="Arial" w:hAnsi="Arial" w:cs="Arial"/>
                <w:sz w:val="16"/>
                <w:szCs w:val="18"/>
              </w:rPr>
              <w:t>0.1</w:t>
            </w:r>
          </w:p>
        </w:tc>
        <w:tc>
          <w:tcPr>
            <w:tcW w:w="391" w:type="pct"/>
            <w:shd w:val="clear" w:color="auto" w:fill="auto"/>
            <w:noWrap/>
            <w:vAlign w:val="bottom"/>
            <w:hideMark/>
          </w:tcPr>
          <w:p w14:paraId="758E5BF0" w14:textId="77777777" w:rsidR="0062327A" w:rsidRPr="00811800" w:rsidRDefault="0062327A" w:rsidP="00F07E0C">
            <w:pPr>
              <w:jc w:val="right"/>
              <w:rPr>
                <w:rFonts w:ascii="Arial" w:hAnsi="Arial" w:cs="Arial"/>
                <w:sz w:val="16"/>
                <w:szCs w:val="18"/>
              </w:rPr>
            </w:pPr>
            <w:r w:rsidRPr="00811800">
              <w:rPr>
                <w:rFonts w:ascii="Arial" w:hAnsi="Arial" w:cs="Arial"/>
                <w:sz w:val="16"/>
                <w:szCs w:val="18"/>
              </w:rPr>
              <w:t>2.7</w:t>
            </w:r>
          </w:p>
        </w:tc>
        <w:tc>
          <w:tcPr>
            <w:tcW w:w="390" w:type="pct"/>
            <w:shd w:val="clear" w:color="auto" w:fill="auto"/>
            <w:noWrap/>
            <w:vAlign w:val="bottom"/>
            <w:hideMark/>
          </w:tcPr>
          <w:p w14:paraId="716A088F" w14:textId="77777777" w:rsidR="0062327A" w:rsidRPr="00811800" w:rsidRDefault="0062327A" w:rsidP="00F07E0C">
            <w:pPr>
              <w:jc w:val="right"/>
              <w:rPr>
                <w:rFonts w:ascii="Arial" w:hAnsi="Arial" w:cs="Arial"/>
                <w:sz w:val="16"/>
                <w:szCs w:val="18"/>
              </w:rPr>
            </w:pPr>
            <w:r w:rsidRPr="00811800">
              <w:rPr>
                <w:rFonts w:ascii="Arial" w:hAnsi="Arial" w:cs="Arial"/>
                <w:sz w:val="16"/>
                <w:szCs w:val="18"/>
              </w:rPr>
              <w:t>25.1</w:t>
            </w:r>
          </w:p>
        </w:tc>
        <w:tc>
          <w:tcPr>
            <w:tcW w:w="391" w:type="pct"/>
            <w:shd w:val="clear" w:color="auto" w:fill="auto"/>
            <w:noWrap/>
            <w:vAlign w:val="bottom"/>
            <w:hideMark/>
          </w:tcPr>
          <w:p w14:paraId="0BD75841" w14:textId="77777777" w:rsidR="0062327A" w:rsidRPr="00811800" w:rsidRDefault="0062327A" w:rsidP="00F07E0C">
            <w:pPr>
              <w:jc w:val="right"/>
              <w:rPr>
                <w:rFonts w:ascii="Arial" w:hAnsi="Arial" w:cs="Arial"/>
                <w:sz w:val="16"/>
                <w:szCs w:val="18"/>
              </w:rPr>
            </w:pPr>
            <w:r w:rsidRPr="00811800">
              <w:rPr>
                <w:rFonts w:ascii="Arial" w:hAnsi="Arial" w:cs="Arial"/>
                <w:sz w:val="16"/>
                <w:szCs w:val="18"/>
              </w:rPr>
              <w:t>68.6</w:t>
            </w:r>
          </w:p>
        </w:tc>
        <w:tc>
          <w:tcPr>
            <w:tcW w:w="391" w:type="pct"/>
            <w:shd w:val="clear" w:color="auto" w:fill="auto"/>
            <w:noWrap/>
            <w:vAlign w:val="bottom"/>
            <w:hideMark/>
          </w:tcPr>
          <w:p w14:paraId="5F61644B" w14:textId="77777777" w:rsidR="0062327A" w:rsidRPr="00811800" w:rsidRDefault="0062327A" w:rsidP="00F07E0C">
            <w:pPr>
              <w:jc w:val="right"/>
              <w:rPr>
                <w:rFonts w:ascii="Arial" w:hAnsi="Arial" w:cs="Arial"/>
                <w:sz w:val="16"/>
                <w:szCs w:val="18"/>
              </w:rPr>
            </w:pPr>
            <w:r w:rsidRPr="00811800">
              <w:rPr>
                <w:rFonts w:ascii="Arial" w:hAnsi="Arial" w:cs="Arial"/>
                <w:sz w:val="16"/>
                <w:szCs w:val="18"/>
              </w:rPr>
              <w:t>148.9</w:t>
            </w:r>
          </w:p>
        </w:tc>
        <w:tc>
          <w:tcPr>
            <w:tcW w:w="437" w:type="pct"/>
            <w:shd w:val="clear" w:color="auto" w:fill="auto"/>
            <w:noWrap/>
            <w:vAlign w:val="bottom"/>
            <w:hideMark/>
          </w:tcPr>
          <w:p w14:paraId="3651714E" w14:textId="77777777" w:rsidR="0062327A" w:rsidRPr="00811800" w:rsidRDefault="0062327A" w:rsidP="00F07E0C">
            <w:pPr>
              <w:jc w:val="right"/>
              <w:rPr>
                <w:rFonts w:ascii="Arial" w:hAnsi="Arial" w:cs="Arial"/>
                <w:sz w:val="16"/>
                <w:szCs w:val="18"/>
              </w:rPr>
            </w:pPr>
            <w:r w:rsidRPr="00811800">
              <w:rPr>
                <w:rFonts w:ascii="Arial" w:hAnsi="Arial" w:cs="Arial"/>
                <w:sz w:val="16"/>
                <w:szCs w:val="18"/>
              </w:rPr>
              <w:t>279.7</w:t>
            </w:r>
          </w:p>
        </w:tc>
        <w:tc>
          <w:tcPr>
            <w:tcW w:w="422" w:type="pct"/>
            <w:shd w:val="clear" w:color="auto" w:fill="auto"/>
            <w:noWrap/>
            <w:vAlign w:val="bottom"/>
            <w:hideMark/>
          </w:tcPr>
          <w:p w14:paraId="6D7491ED" w14:textId="77777777" w:rsidR="0062327A" w:rsidRPr="00811800" w:rsidRDefault="0062327A" w:rsidP="00F07E0C">
            <w:pPr>
              <w:jc w:val="right"/>
              <w:rPr>
                <w:rFonts w:ascii="Arial" w:hAnsi="Arial" w:cs="Arial"/>
                <w:sz w:val="16"/>
                <w:szCs w:val="18"/>
              </w:rPr>
            </w:pPr>
            <w:r w:rsidRPr="00811800">
              <w:rPr>
                <w:rFonts w:ascii="Arial" w:hAnsi="Arial" w:cs="Arial"/>
                <w:sz w:val="16"/>
                <w:szCs w:val="18"/>
              </w:rPr>
              <w:t>349.8</w:t>
            </w:r>
          </w:p>
        </w:tc>
        <w:tc>
          <w:tcPr>
            <w:tcW w:w="454" w:type="pct"/>
            <w:shd w:val="clear" w:color="auto" w:fill="auto"/>
            <w:noWrap/>
            <w:vAlign w:val="bottom"/>
            <w:hideMark/>
          </w:tcPr>
          <w:p w14:paraId="2C0F3413" w14:textId="77777777" w:rsidR="0062327A" w:rsidRPr="00811800" w:rsidRDefault="0062327A" w:rsidP="00F07E0C">
            <w:pPr>
              <w:jc w:val="right"/>
              <w:rPr>
                <w:rFonts w:ascii="Arial" w:hAnsi="Arial" w:cs="Arial"/>
                <w:sz w:val="16"/>
                <w:szCs w:val="18"/>
              </w:rPr>
            </w:pPr>
            <w:r w:rsidRPr="00811800">
              <w:rPr>
                <w:rFonts w:ascii="Arial" w:hAnsi="Arial" w:cs="Arial"/>
                <w:sz w:val="16"/>
                <w:szCs w:val="18"/>
              </w:rPr>
              <w:t>362.0</w:t>
            </w:r>
          </w:p>
        </w:tc>
        <w:tc>
          <w:tcPr>
            <w:tcW w:w="453" w:type="pct"/>
            <w:shd w:val="clear" w:color="auto" w:fill="auto"/>
            <w:noWrap/>
            <w:vAlign w:val="bottom"/>
            <w:hideMark/>
          </w:tcPr>
          <w:p w14:paraId="5E4D83DC" w14:textId="77777777" w:rsidR="0062327A" w:rsidRPr="00811800" w:rsidRDefault="0062327A" w:rsidP="00F07E0C">
            <w:pPr>
              <w:jc w:val="right"/>
              <w:rPr>
                <w:rFonts w:ascii="Arial" w:hAnsi="Arial" w:cs="Arial"/>
                <w:sz w:val="16"/>
                <w:szCs w:val="18"/>
              </w:rPr>
            </w:pPr>
            <w:r w:rsidRPr="00811800">
              <w:rPr>
                <w:rFonts w:ascii="Arial" w:hAnsi="Arial" w:cs="Arial"/>
                <w:sz w:val="16"/>
                <w:szCs w:val="18"/>
              </w:rPr>
              <w:t>543.1</w:t>
            </w:r>
          </w:p>
        </w:tc>
        <w:tc>
          <w:tcPr>
            <w:tcW w:w="528" w:type="pct"/>
            <w:shd w:val="clear" w:color="auto" w:fill="auto"/>
            <w:noWrap/>
            <w:vAlign w:val="bottom"/>
            <w:hideMark/>
          </w:tcPr>
          <w:p w14:paraId="5EC86949" w14:textId="77777777" w:rsidR="0062327A" w:rsidRPr="00811800" w:rsidRDefault="0062327A" w:rsidP="00F07E0C">
            <w:pPr>
              <w:jc w:val="right"/>
              <w:rPr>
                <w:rFonts w:ascii="Arial" w:hAnsi="Arial" w:cs="Arial"/>
                <w:sz w:val="16"/>
                <w:szCs w:val="18"/>
              </w:rPr>
            </w:pPr>
            <w:r w:rsidRPr="00811800">
              <w:rPr>
                <w:rFonts w:ascii="Arial" w:hAnsi="Arial" w:cs="Arial"/>
                <w:sz w:val="16"/>
                <w:szCs w:val="18"/>
              </w:rPr>
              <w:t>386.6</w:t>
            </w:r>
          </w:p>
        </w:tc>
      </w:tr>
      <w:tr w:rsidR="00D04E36" w:rsidRPr="00811800" w14:paraId="79F7EC07" w14:textId="77777777" w:rsidTr="00F07E0C">
        <w:trPr>
          <w:trHeight w:val="300"/>
          <w:jc w:val="center"/>
        </w:trPr>
        <w:tc>
          <w:tcPr>
            <w:tcW w:w="778" w:type="pct"/>
            <w:shd w:val="clear" w:color="auto" w:fill="auto"/>
            <w:noWrap/>
            <w:vAlign w:val="bottom"/>
            <w:hideMark/>
          </w:tcPr>
          <w:p w14:paraId="30CA14E5" w14:textId="77777777" w:rsidR="007E3AD9" w:rsidRDefault="0062327A" w:rsidP="003A56B2">
            <w:pPr>
              <w:rPr>
                <w:rFonts w:ascii="Arial" w:hAnsi="Arial" w:cs="Arial"/>
                <w:sz w:val="18"/>
              </w:rPr>
            </w:pPr>
            <w:r w:rsidRPr="00811800">
              <w:rPr>
                <w:rFonts w:ascii="Arial" w:hAnsi="Arial" w:cs="Arial"/>
                <w:sz w:val="18"/>
              </w:rPr>
              <w:t xml:space="preserve">Gross Margin </w:t>
            </w:r>
          </w:p>
          <w:p w14:paraId="32F0AA37" w14:textId="66E398DF" w:rsidR="0062327A" w:rsidRPr="00811800" w:rsidRDefault="0062327A" w:rsidP="003A56B2">
            <w:pPr>
              <w:rPr>
                <w:rFonts w:ascii="Arial" w:hAnsi="Arial" w:cs="Arial"/>
                <w:sz w:val="18"/>
              </w:rPr>
            </w:pPr>
            <w:r w:rsidRPr="00811800">
              <w:rPr>
                <w:rFonts w:ascii="Arial" w:hAnsi="Arial" w:cs="Arial"/>
                <w:sz w:val="18"/>
              </w:rPr>
              <w:t>(</w:t>
            </w:r>
            <w:r w:rsidR="003A56B2">
              <w:rPr>
                <w:rFonts w:ascii="Arial" w:hAnsi="Arial" w:cs="Arial"/>
                <w:sz w:val="18"/>
              </w:rPr>
              <w:t>per cent</w:t>
            </w:r>
            <w:r w:rsidRPr="00811800">
              <w:rPr>
                <w:rFonts w:ascii="Arial" w:hAnsi="Arial" w:cs="Arial"/>
                <w:sz w:val="18"/>
              </w:rPr>
              <w:t>)</w:t>
            </w:r>
          </w:p>
        </w:tc>
        <w:tc>
          <w:tcPr>
            <w:tcW w:w="365" w:type="pct"/>
            <w:shd w:val="clear" w:color="auto" w:fill="auto"/>
            <w:noWrap/>
            <w:vAlign w:val="bottom"/>
            <w:hideMark/>
          </w:tcPr>
          <w:p w14:paraId="55BED0D4" w14:textId="77777777" w:rsidR="0062327A" w:rsidRPr="00811800" w:rsidRDefault="0062327A" w:rsidP="00F07E0C">
            <w:pPr>
              <w:jc w:val="right"/>
              <w:rPr>
                <w:rFonts w:ascii="Arial" w:hAnsi="Arial" w:cs="Arial"/>
                <w:sz w:val="16"/>
                <w:szCs w:val="18"/>
              </w:rPr>
            </w:pPr>
            <w:r w:rsidRPr="00811800">
              <w:rPr>
                <w:rFonts w:ascii="Arial" w:hAnsi="Arial" w:cs="Arial"/>
                <w:sz w:val="16"/>
                <w:szCs w:val="18"/>
              </w:rPr>
              <w:t>3.3</w:t>
            </w:r>
          </w:p>
        </w:tc>
        <w:tc>
          <w:tcPr>
            <w:tcW w:w="391" w:type="pct"/>
            <w:shd w:val="clear" w:color="auto" w:fill="auto"/>
            <w:noWrap/>
            <w:vAlign w:val="bottom"/>
            <w:hideMark/>
          </w:tcPr>
          <w:p w14:paraId="145E2E7C" w14:textId="77777777" w:rsidR="0062327A" w:rsidRPr="00811800" w:rsidRDefault="0062327A" w:rsidP="00F07E0C">
            <w:pPr>
              <w:jc w:val="right"/>
              <w:rPr>
                <w:rFonts w:ascii="Arial" w:hAnsi="Arial" w:cs="Arial"/>
                <w:sz w:val="16"/>
                <w:szCs w:val="18"/>
              </w:rPr>
            </w:pPr>
            <w:r w:rsidRPr="00811800">
              <w:rPr>
                <w:rFonts w:ascii="Arial" w:hAnsi="Arial" w:cs="Arial"/>
                <w:sz w:val="16"/>
                <w:szCs w:val="18"/>
              </w:rPr>
              <w:t>19.4</w:t>
            </w:r>
          </w:p>
        </w:tc>
        <w:tc>
          <w:tcPr>
            <w:tcW w:w="390" w:type="pct"/>
            <w:shd w:val="clear" w:color="auto" w:fill="auto"/>
            <w:noWrap/>
            <w:vAlign w:val="bottom"/>
            <w:hideMark/>
          </w:tcPr>
          <w:p w14:paraId="7C29F9E0" w14:textId="77777777" w:rsidR="0062327A" w:rsidRPr="00811800" w:rsidRDefault="0062327A" w:rsidP="00F07E0C">
            <w:pPr>
              <w:jc w:val="right"/>
              <w:rPr>
                <w:rFonts w:ascii="Arial" w:hAnsi="Arial" w:cs="Arial"/>
                <w:sz w:val="16"/>
                <w:szCs w:val="18"/>
              </w:rPr>
            </w:pPr>
            <w:r w:rsidRPr="00811800">
              <w:rPr>
                <w:rFonts w:ascii="Arial" w:hAnsi="Arial" w:cs="Arial"/>
                <w:sz w:val="16"/>
                <w:szCs w:val="18"/>
              </w:rPr>
              <w:t>29.4</w:t>
            </w:r>
          </w:p>
        </w:tc>
        <w:tc>
          <w:tcPr>
            <w:tcW w:w="391" w:type="pct"/>
            <w:shd w:val="clear" w:color="auto" w:fill="auto"/>
            <w:noWrap/>
            <w:vAlign w:val="bottom"/>
            <w:hideMark/>
          </w:tcPr>
          <w:p w14:paraId="7163F45E" w14:textId="77777777" w:rsidR="0062327A" w:rsidRPr="00811800" w:rsidRDefault="0062327A" w:rsidP="00F07E0C">
            <w:pPr>
              <w:jc w:val="right"/>
              <w:rPr>
                <w:rFonts w:ascii="Arial" w:hAnsi="Arial" w:cs="Arial"/>
                <w:sz w:val="16"/>
                <w:szCs w:val="18"/>
              </w:rPr>
            </w:pPr>
            <w:r w:rsidRPr="00811800">
              <w:rPr>
                <w:rFonts w:ascii="Arial" w:hAnsi="Arial" w:cs="Arial"/>
                <w:sz w:val="16"/>
                <w:szCs w:val="18"/>
              </w:rPr>
              <w:t>30.4</w:t>
            </w:r>
          </w:p>
        </w:tc>
        <w:tc>
          <w:tcPr>
            <w:tcW w:w="391" w:type="pct"/>
            <w:shd w:val="clear" w:color="auto" w:fill="auto"/>
            <w:noWrap/>
            <w:vAlign w:val="bottom"/>
            <w:hideMark/>
          </w:tcPr>
          <w:p w14:paraId="22A2ACDE" w14:textId="77777777" w:rsidR="0062327A" w:rsidRPr="00811800" w:rsidRDefault="0062327A" w:rsidP="00F07E0C">
            <w:pPr>
              <w:jc w:val="right"/>
              <w:rPr>
                <w:rFonts w:ascii="Arial" w:hAnsi="Arial" w:cs="Arial"/>
                <w:sz w:val="16"/>
                <w:szCs w:val="18"/>
              </w:rPr>
            </w:pPr>
            <w:r w:rsidRPr="00811800">
              <w:rPr>
                <w:rFonts w:ascii="Arial" w:hAnsi="Arial" w:cs="Arial"/>
                <w:sz w:val="16"/>
                <w:szCs w:val="18"/>
              </w:rPr>
              <w:t>24.9</w:t>
            </w:r>
          </w:p>
        </w:tc>
        <w:tc>
          <w:tcPr>
            <w:tcW w:w="437" w:type="pct"/>
            <w:shd w:val="clear" w:color="auto" w:fill="auto"/>
            <w:noWrap/>
            <w:vAlign w:val="bottom"/>
            <w:hideMark/>
          </w:tcPr>
          <w:p w14:paraId="55CE77B8" w14:textId="77777777" w:rsidR="0062327A" w:rsidRPr="00811800" w:rsidRDefault="0062327A" w:rsidP="00F07E0C">
            <w:pPr>
              <w:jc w:val="right"/>
              <w:rPr>
                <w:rFonts w:ascii="Arial" w:hAnsi="Arial" w:cs="Arial"/>
                <w:sz w:val="16"/>
                <w:szCs w:val="18"/>
              </w:rPr>
            </w:pPr>
            <w:r w:rsidRPr="00811800">
              <w:rPr>
                <w:rFonts w:ascii="Arial" w:hAnsi="Arial" w:cs="Arial"/>
                <w:sz w:val="16"/>
                <w:szCs w:val="18"/>
              </w:rPr>
              <w:t>20.7</w:t>
            </w:r>
          </w:p>
        </w:tc>
        <w:tc>
          <w:tcPr>
            <w:tcW w:w="422" w:type="pct"/>
            <w:shd w:val="clear" w:color="auto" w:fill="auto"/>
            <w:noWrap/>
            <w:vAlign w:val="bottom"/>
            <w:hideMark/>
          </w:tcPr>
          <w:p w14:paraId="6CD3BB16" w14:textId="77777777" w:rsidR="0062327A" w:rsidRPr="00811800" w:rsidRDefault="0062327A" w:rsidP="00F07E0C">
            <w:pPr>
              <w:jc w:val="right"/>
              <w:rPr>
                <w:rFonts w:ascii="Arial" w:hAnsi="Arial" w:cs="Arial"/>
                <w:sz w:val="16"/>
                <w:szCs w:val="18"/>
              </w:rPr>
            </w:pPr>
            <w:r w:rsidRPr="00811800">
              <w:rPr>
                <w:rFonts w:ascii="Arial" w:hAnsi="Arial" w:cs="Arial"/>
                <w:sz w:val="16"/>
                <w:szCs w:val="18"/>
              </w:rPr>
              <w:t>18.2</w:t>
            </w:r>
          </w:p>
        </w:tc>
        <w:tc>
          <w:tcPr>
            <w:tcW w:w="454" w:type="pct"/>
            <w:shd w:val="clear" w:color="auto" w:fill="auto"/>
            <w:noWrap/>
            <w:vAlign w:val="bottom"/>
            <w:hideMark/>
          </w:tcPr>
          <w:p w14:paraId="11BD34C1" w14:textId="77777777" w:rsidR="0062327A" w:rsidRPr="00811800" w:rsidRDefault="0062327A" w:rsidP="00F07E0C">
            <w:pPr>
              <w:jc w:val="right"/>
              <w:rPr>
                <w:rFonts w:ascii="Arial" w:hAnsi="Arial" w:cs="Arial"/>
                <w:sz w:val="16"/>
                <w:szCs w:val="18"/>
              </w:rPr>
            </w:pPr>
            <w:r w:rsidRPr="00811800">
              <w:rPr>
                <w:rFonts w:ascii="Arial" w:hAnsi="Arial" w:cs="Arial"/>
                <w:sz w:val="16"/>
                <w:szCs w:val="18"/>
              </w:rPr>
              <w:t>21.4</w:t>
            </w:r>
          </w:p>
        </w:tc>
        <w:tc>
          <w:tcPr>
            <w:tcW w:w="453" w:type="pct"/>
            <w:shd w:val="clear" w:color="auto" w:fill="auto"/>
            <w:noWrap/>
            <w:vAlign w:val="bottom"/>
            <w:hideMark/>
          </w:tcPr>
          <w:p w14:paraId="229D8A09" w14:textId="77777777" w:rsidR="0062327A" w:rsidRPr="00811800" w:rsidRDefault="0062327A" w:rsidP="00F07E0C">
            <w:pPr>
              <w:jc w:val="right"/>
              <w:rPr>
                <w:rFonts w:ascii="Arial" w:hAnsi="Arial" w:cs="Arial"/>
                <w:sz w:val="16"/>
                <w:szCs w:val="18"/>
              </w:rPr>
            </w:pPr>
            <w:r w:rsidRPr="00811800">
              <w:rPr>
                <w:rFonts w:ascii="Arial" w:hAnsi="Arial" w:cs="Arial"/>
                <w:sz w:val="16"/>
                <w:szCs w:val="18"/>
              </w:rPr>
              <w:t>18.7</w:t>
            </w:r>
          </w:p>
        </w:tc>
        <w:tc>
          <w:tcPr>
            <w:tcW w:w="528" w:type="pct"/>
            <w:shd w:val="clear" w:color="auto" w:fill="auto"/>
            <w:noWrap/>
            <w:vAlign w:val="bottom"/>
            <w:hideMark/>
          </w:tcPr>
          <w:p w14:paraId="10C53E69" w14:textId="77777777" w:rsidR="0062327A" w:rsidRPr="00811800" w:rsidRDefault="0062327A" w:rsidP="00F07E0C">
            <w:pPr>
              <w:jc w:val="right"/>
              <w:rPr>
                <w:rFonts w:ascii="Arial" w:hAnsi="Arial" w:cs="Arial"/>
                <w:sz w:val="16"/>
                <w:szCs w:val="18"/>
              </w:rPr>
            </w:pPr>
            <w:r w:rsidRPr="00811800">
              <w:rPr>
                <w:rFonts w:ascii="Arial" w:hAnsi="Arial" w:cs="Arial"/>
                <w:sz w:val="16"/>
                <w:szCs w:val="18"/>
              </w:rPr>
              <w:t>12.3</w:t>
            </w:r>
          </w:p>
        </w:tc>
      </w:tr>
      <w:tr w:rsidR="00D04E36" w:rsidRPr="00811800" w14:paraId="70853DC6" w14:textId="77777777" w:rsidTr="00F07E0C">
        <w:trPr>
          <w:trHeight w:val="300"/>
          <w:jc w:val="center"/>
        </w:trPr>
        <w:tc>
          <w:tcPr>
            <w:tcW w:w="778" w:type="pct"/>
            <w:shd w:val="clear" w:color="auto" w:fill="auto"/>
            <w:noWrap/>
            <w:vAlign w:val="bottom"/>
            <w:hideMark/>
          </w:tcPr>
          <w:p w14:paraId="3726B6FD" w14:textId="3081F10A" w:rsidR="0062327A" w:rsidRPr="00811800" w:rsidRDefault="0062327A" w:rsidP="0003232C">
            <w:pPr>
              <w:rPr>
                <w:rFonts w:ascii="Arial" w:hAnsi="Arial" w:cs="Arial"/>
                <w:sz w:val="18"/>
              </w:rPr>
            </w:pPr>
            <w:r w:rsidRPr="00811800">
              <w:rPr>
                <w:rFonts w:ascii="Arial" w:hAnsi="Arial" w:cs="Arial"/>
                <w:sz w:val="18"/>
              </w:rPr>
              <w:t xml:space="preserve">Net </w:t>
            </w:r>
            <w:r w:rsidR="00203B2A">
              <w:rPr>
                <w:rFonts w:ascii="Arial" w:hAnsi="Arial" w:cs="Arial"/>
                <w:sz w:val="18"/>
              </w:rPr>
              <w:t>I</w:t>
            </w:r>
            <w:r w:rsidR="00203B2A" w:rsidRPr="00811800">
              <w:rPr>
                <w:rFonts w:ascii="Arial" w:hAnsi="Arial" w:cs="Arial"/>
                <w:sz w:val="18"/>
              </w:rPr>
              <w:t xml:space="preserve">ncome </w:t>
            </w:r>
            <w:r w:rsidRPr="00811800">
              <w:rPr>
                <w:rFonts w:ascii="Arial" w:hAnsi="Arial" w:cs="Arial"/>
                <w:sz w:val="18"/>
              </w:rPr>
              <w:t>(loss)</w:t>
            </w:r>
          </w:p>
        </w:tc>
        <w:tc>
          <w:tcPr>
            <w:tcW w:w="365" w:type="pct"/>
            <w:shd w:val="clear" w:color="auto" w:fill="auto"/>
            <w:noWrap/>
            <w:vAlign w:val="bottom"/>
            <w:hideMark/>
          </w:tcPr>
          <w:p w14:paraId="6346D7DB" w14:textId="77777777" w:rsidR="0062327A" w:rsidRPr="00811800" w:rsidRDefault="0062327A" w:rsidP="00F07E0C">
            <w:pPr>
              <w:jc w:val="right"/>
              <w:rPr>
                <w:rFonts w:ascii="Arial" w:hAnsi="Arial" w:cs="Arial"/>
                <w:sz w:val="16"/>
                <w:szCs w:val="18"/>
              </w:rPr>
            </w:pPr>
            <w:r w:rsidRPr="00811800">
              <w:rPr>
                <w:rFonts w:ascii="Arial" w:hAnsi="Arial" w:cs="Arial"/>
                <w:sz w:val="16"/>
                <w:szCs w:val="18"/>
              </w:rPr>
              <w:t>(0.9)</w:t>
            </w:r>
          </w:p>
        </w:tc>
        <w:tc>
          <w:tcPr>
            <w:tcW w:w="391" w:type="pct"/>
            <w:shd w:val="clear" w:color="auto" w:fill="auto"/>
            <w:noWrap/>
            <w:vAlign w:val="bottom"/>
            <w:hideMark/>
          </w:tcPr>
          <w:p w14:paraId="2FD3E57F" w14:textId="77777777" w:rsidR="0062327A" w:rsidRPr="00811800" w:rsidRDefault="0062327A" w:rsidP="00F07E0C">
            <w:pPr>
              <w:jc w:val="right"/>
              <w:rPr>
                <w:rFonts w:ascii="Arial" w:hAnsi="Arial" w:cs="Arial"/>
                <w:sz w:val="16"/>
                <w:szCs w:val="18"/>
              </w:rPr>
            </w:pPr>
            <w:r w:rsidRPr="00811800">
              <w:rPr>
                <w:rFonts w:ascii="Arial" w:hAnsi="Arial" w:cs="Arial"/>
                <w:sz w:val="16"/>
                <w:szCs w:val="18"/>
              </w:rPr>
              <w:t>0.9</w:t>
            </w:r>
          </w:p>
        </w:tc>
        <w:tc>
          <w:tcPr>
            <w:tcW w:w="390" w:type="pct"/>
            <w:shd w:val="clear" w:color="auto" w:fill="auto"/>
            <w:noWrap/>
            <w:vAlign w:val="bottom"/>
            <w:hideMark/>
          </w:tcPr>
          <w:p w14:paraId="6F17F30E" w14:textId="77777777" w:rsidR="0062327A" w:rsidRPr="00811800" w:rsidRDefault="0062327A" w:rsidP="00F07E0C">
            <w:pPr>
              <w:jc w:val="right"/>
              <w:rPr>
                <w:rFonts w:ascii="Arial" w:hAnsi="Arial" w:cs="Arial"/>
                <w:sz w:val="16"/>
                <w:szCs w:val="18"/>
              </w:rPr>
            </w:pPr>
            <w:r w:rsidRPr="00811800">
              <w:rPr>
                <w:rFonts w:ascii="Arial" w:hAnsi="Arial" w:cs="Arial"/>
                <w:sz w:val="16"/>
                <w:szCs w:val="18"/>
              </w:rPr>
              <w:t>19.8</w:t>
            </w:r>
          </w:p>
        </w:tc>
        <w:tc>
          <w:tcPr>
            <w:tcW w:w="391" w:type="pct"/>
            <w:shd w:val="clear" w:color="auto" w:fill="auto"/>
            <w:noWrap/>
            <w:vAlign w:val="bottom"/>
            <w:hideMark/>
          </w:tcPr>
          <w:p w14:paraId="04D44997" w14:textId="77777777" w:rsidR="0062327A" w:rsidRPr="00811800" w:rsidRDefault="0062327A" w:rsidP="00F07E0C">
            <w:pPr>
              <w:jc w:val="right"/>
              <w:rPr>
                <w:rFonts w:ascii="Arial" w:hAnsi="Arial" w:cs="Arial"/>
                <w:sz w:val="16"/>
                <w:szCs w:val="18"/>
              </w:rPr>
            </w:pPr>
            <w:r w:rsidRPr="00811800">
              <w:rPr>
                <w:rFonts w:ascii="Arial" w:hAnsi="Arial" w:cs="Arial"/>
                <w:sz w:val="16"/>
                <w:szCs w:val="18"/>
              </w:rPr>
              <w:t>30.6</w:t>
            </w:r>
          </w:p>
        </w:tc>
        <w:tc>
          <w:tcPr>
            <w:tcW w:w="391" w:type="pct"/>
            <w:shd w:val="clear" w:color="auto" w:fill="auto"/>
            <w:noWrap/>
            <w:vAlign w:val="bottom"/>
            <w:hideMark/>
          </w:tcPr>
          <w:p w14:paraId="5F17CFBD" w14:textId="77777777" w:rsidR="0062327A" w:rsidRPr="00811800" w:rsidRDefault="0062327A" w:rsidP="00F07E0C">
            <w:pPr>
              <w:jc w:val="right"/>
              <w:rPr>
                <w:rFonts w:ascii="Arial" w:hAnsi="Arial" w:cs="Arial"/>
                <w:sz w:val="16"/>
                <w:szCs w:val="18"/>
              </w:rPr>
            </w:pPr>
            <w:r w:rsidRPr="00811800">
              <w:rPr>
                <w:rFonts w:ascii="Arial" w:hAnsi="Arial" w:cs="Arial"/>
                <w:sz w:val="16"/>
                <w:szCs w:val="18"/>
              </w:rPr>
              <w:t>104.6</w:t>
            </w:r>
          </w:p>
        </w:tc>
        <w:tc>
          <w:tcPr>
            <w:tcW w:w="437" w:type="pct"/>
            <w:shd w:val="clear" w:color="auto" w:fill="auto"/>
            <w:noWrap/>
            <w:vAlign w:val="bottom"/>
            <w:hideMark/>
          </w:tcPr>
          <w:p w14:paraId="2F89741B" w14:textId="77777777" w:rsidR="0062327A" w:rsidRPr="00811800" w:rsidRDefault="0062327A" w:rsidP="00F07E0C">
            <w:pPr>
              <w:jc w:val="right"/>
              <w:rPr>
                <w:rFonts w:ascii="Arial" w:hAnsi="Arial" w:cs="Arial"/>
                <w:sz w:val="16"/>
                <w:szCs w:val="18"/>
              </w:rPr>
            </w:pPr>
            <w:r w:rsidRPr="00811800">
              <w:rPr>
                <w:rFonts w:ascii="Arial" w:hAnsi="Arial" w:cs="Arial"/>
                <w:sz w:val="16"/>
                <w:szCs w:val="18"/>
              </w:rPr>
              <w:t>143.2</w:t>
            </w:r>
          </w:p>
        </w:tc>
        <w:tc>
          <w:tcPr>
            <w:tcW w:w="422" w:type="pct"/>
            <w:shd w:val="clear" w:color="auto" w:fill="auto"/>
            <w:noWrap/>
            <w:vAlign w:val="bottom"/>
            <w:hideMark/>
          </w:tcPr>
          <w:p w14:paraId="4737FF9B" w14:textId="77777777" w:rsidR="0062327A" w:rsidRPr="00811800" w:rsidRDefault="0062327A" w:rsidP="00F07E0C">
            <w:pPr>
              <w:jc w:val="right"/>
              <w:rPr>
                <w:rFonts w:ascii="Arial" w:hAnsi="Arial" w:cs="Arial"/>
                <w:sz w:val="16"/>
                <w:szCs w:val="18"/>
              </w:rPr>
            </w:pPr>
            <w:r w:rsidRPr="00811800">
              <w:rPr>
                <w:rFonts w:ascii="Arial" w:hAnsi="Arial" w:cs="Arial"/>
                <w:sz w:val="16"/>
                <w:szCs w:val="18"/>
              </w:rPr>
              <w:t>31.0</w:t>
            </w:r>
          </w:p>
        </w:tc>
        <w:tc>
          <w:tcPr>
            <w:tcW w:w="454" w:type="pct"/>
            <w:shd w:val="clear" w:color="auto" w:fill="auto"/>
            <w:noWrap/>
            <w:vAlign w:val="bottom"/>
            <w:hideMark/>
          </w:tcPr>
          <w:p w14:paraId="4A55C84E" w14:textId="77777777" w:rsidR="0062327A" w:rsidRPr="00811800" w:rsidRDefault="0062327A" w:rsidP="00F07E0C">
            <w:pPr>
              <w:jc w:val="right"/>
              <w:rPr>
                <w:rFonts w:ascii="Arial" w:hAnsi="Arial" w:cs="Arial"/>
                <w:sz w:val="16"/>
                <w:szCs w:val="18"/>
              </w:rPr>
            </w:pPr>
            <w:r w:rsidRPr="00811800">
              <w:rPr>
                <w:rFonts w:ascii="Arial" w:hAnsi="Arial" w:cs="Arial"/>
                <w:sz w:val="16"/>
                <w:szCs w:val="18"/>
              </w:rPr>
              <w:t>85.7</w:t>
            </w:r>
          </w:p>
        </w:tc>
        <w:tc>
          <w:tcPr>
            <w:tcW w:w="453" w:type="pct"/>
            <w:shd w:val="clear" w:color="auto" w:fill="auto"/>
            <w:noWrap/>
            <w:vAlign w:val="bottom"/>
            <w:hideMark/>
          </w:tcPr>
          <w:p w14:paraId="57F240DC" w14:textId="77777777" w:rsidR="0062327A" w:rsidRPr="00811800" w:rsidRDefault="0062327A" w:rsidP="00F07E0C">
            <w:pPr>
              <w:jc w:val="right"/>
              <w:rPr>
                <w:rFonts w:ascii="Arial" w:hAnsi="Arial" w:cs="Arial"/>
                <w:sz w:val="16"/>
                <w:szCs w:val="18"/>
              </w:rPr>
            </w:pPr>
            <w:r w:rsidRPr="00811800">
              <w:rPr>
                <w:rFonts w:ascii="Arial" w:hAnsi="Arial" w:cs="Arial"/>
                <w:sz w:val="16"/>
                <w:szCs w:val="18"/>
              </w:rPr>
              <w:t>237.9</w:t>
            </w:r>
          </w:p>
        </w:tc>
        <w:tc>
          <w:tcPr>
            <w:tcW w:w="528" w:type="pct"/>
            <w:shd w:val="clear" w:color="auto" w:fill="auto"/>
            <w:noWrap/>
            <w:vAlign w:val="bottom"/>
            <w:hideMark/>
          </w:tcPr>
          <w:p w14:paraId="03AF20AD" w14:textId="77777777" w:rsidR="0062327A" w:rsidRPr="00811800" w:rsidRDefault="0062327A" w:rsidP="00F07E0C">
            <w:pPr>
              <w:jc w:val="right"/>
              <w:rPr>
                <w:rFonts w:ascii="Arial" w:hAnsi="Arial" w:cs="Arial"/>
                <w:sz w:val="16"/>
                <w:szCs w:val="18"/>
              </w:rPr>
            </w:pPr>
            <w:r w:rsidRPr="00811800">
              <w:rPr>
                <w:rFonts w:ascii="Arial" w:hAnsi="Arial" w:cs="Arial"/>
                <w:sz w:val="16"/>
                <w:szCs w:val="18"/>
              </w:rPr>
              <w:t>(1,018.0)</w:t>
            </w:r>
          </w:p>
        </w:tc>
      </w:tr>
      <w:tr w:rsidR="00D04E36" w:rsidRPr="00811800" w14:paraId="0D7EF101" w14:textId="77777777" w:rsidTr="00F07E0C">
        <w:trPr>
          <w:trHeight w:val="315"/>
          <w:jc w:val="center"/>
        </w:trPr>
        <w:tc>
          <w:tcPr>
            <w:tcW w:w="778" w:type="pct"/>
            <w:shd w:val="clear" w:color="auto" w:fill="auto"/>
            <w:noWrap/>
            <w:vAlign w:val="bottom"/>
            <w:hideMark/>
          </w:tcPr>
          <w:p w14:paraId="429FC639" w14:textId="77777777" w:rsidR="0062327A" w:rsidRPr="00811800" w:rsidRDefault="0062327A" w:rsidP="003A56B2">
            <w:pPr>
              <w:rPr>
                <w:rFonts w:ascii="Arial" w:hAnsi="Arial" w:cs="Arial"/>
                <w:sz w:val="18"/>
              </w:rPr>
            </w:pPr>
            <w:r w:rsidRPr="00811800">
              <w:rPr>
                <w:rFonts w:ascii="Arial" w:hAnsi="Arial" w:cs="Arial"/>
                <w:sz w:val="18"/>
              </w:rPr>
              <w:t>Net Profit Rate</w:t>
            </w:r>
          </w:p>
        </w:tc>
        <w:tc>
          <w:tcPr>
            <w:tcW w:w="365" w:type="pct"/>
            <w:shd w:val="clear" w:color="auto" w:fill="auto"/>
            <w:noWrap/>
            <w:vAlign w:val="bottom"/>
            <w:hideMark/>
          </w:tcPr>
          <w:p w14:paraId="068444C3" w14:textId="77777777" w:rsidR="0062327A" w:rsidRPr="00811800" w:rsidRDefault="0062327A" w:rsidP="00F07E0C">
            <w:pPr>
              <w:jc w:val="right"/>
              <w:rPr>
                <w:rFonts w:ascii="Arial" w:hAnsi="Arial" w:cs="Arial"/>
                <w:sz w:val="16"/>
                <w:szCs w:val="18"/>
              </w:rPr>
            </w:pPr>
            <w:r w:rsidRPr="00811800">
              <w:rPr>
                <w:rFonts w:ascii="Arial" w:hAnsi="Arial" w:cs="Arial"/>
                <w:sz w:val="16"/>
                <w:szCs w:val="18"/>
              </w:rPr>
              <w:t>(30.0)</w:t>
            </w:r>
          </w:p>
        </w:tc>
        <w:tc>
          <w:tcPr>
            <w:tcW w:w="391" w:type="pct"/>
            <w:shd w:val="clear" w:color="auto" w:fill="auto"/>
            <w:noWrap/>
            <w:vAlign w:val="bottom"/>
            <w:hideMark/>
          </w:tcPr>
          <w:p w14:paraId="1B4EAE54" w14:textId="77777777" w:rsidR="0062327A" w:rsidRPr="00811800" w:rsidRDefault="0062327A" w:rsidP="00F07E0C">
            <w:pPr>
              <w:jc w:val="right"/>
              <w:rPr>
                <w:rFonts w:ascii="Arial" w:hAnsi="Arial" w:cs="Arial"/>
                <w:sz w:val="16"/>
                <w:szCs w:val="18"/>
              </w:rPr>
            </w:pPr>
            <w:r w:rsidRPr="00811800">
              <w:rPr>
                <w:rFonts w:ascii="Arial" w:hAnsi="Arial" w:cs="Arial"/>
                <w:sz w:val="16"/>
                <w:szCs w:val="18"/>
              </w:rPr>
              <w:t>6.5</w:t>
            </w:r>
          </w:p>
        </w:tc>
        <w:tc>
          <w:tcPr>
            <w:tcW w:w="390" w:type="pct"/>
            <w:shd w:val="clear" w:color="auto" w:fill="auto"/>
            <w:noWrap/>
            <w:vAlign w:val="bottom"/>
            <w:hideMark/>
          </w:tcPr>
          <w:p w14:paraId="34829CEA" w14:textId="77777777" w:rsidR="0062327A" w:rsidRPr="00811800" w:rsidRDefault="0062327A" w:rsidP="00F07E0C">
            <w:pPr>
              <w:jc w:val="right"/>
              <w:rPr>
                <w:rFonts w:ascii="Arial" w:hAnsi="Arial" w:cs="Arial"/>
                <w:sz w:val="16"/>
                <w:szCs w:val="18"/>
              </w:rPr>
            </w:pPr>
            <w:r w:rsidRPr="00811800">
              <w:rPr>
                <w:rFonts w:ascii="Arial" w:hAnsi="Arial" w:cs="Arial"/>
                <w:sz w:val="16"/>
                <w:szCs w:val="18"/>
              </w:rPr>
              <w:t>23.2</w:t>
            </w:r>
          </w:p>
        </w:tc>
        <w:tc>
          <w:tcPr>
            <w:tcW w:w="391" w:type="pct"/>
            <w:shd w:val="clear" w:color="auto" w:fill="auto"/>
            <w:noWrap/>
            <w:vAlign w:val="bottom"/>
            <w:hideMark/>
          </w:tcPr>
          <w:p w14:paraId="11CA9307" w14:textId="77777777" w:rsidR="0062327A" w:rsidRPr="00811800" w:rsidRDefault="0062327A" w:rsidP="00F07E0C">
            <w:pPr>
              <w:jc w:val="right"/>
              <w:rPr>
                <w:rFonts w:ascii="Arial" w:hAnsi="Arial" w:cs="Arial"/>
                <w:sz w:val="16"/>
                <w:szCs w:val="18"/>
              </w:rPr>
            </w:pPr>
            <w:r w:rsidRPr="00811800">
              <w:rPr>
                <w:rFonts w:ascii="Arial" w:hAnsi="Arial" w:cs="Arial"/>
                <w:sz w:val="16"/>
                <w:szCs w:val="18"/>
              </w:rPr>
              <w:t>13.5</w:t>
            </w:r>
          </w:p>
        </w:tc>
        <w:tc>
          <w:tcPr>
            <w:tcW w:w="391" w:type="pct"/>
            <w:shd w:val="clear" w:color="auto" w:fill="auto"/>
            <w:noWrap/>
            <w:vAlign w:val="bottom"/>
            <w:hideMark/>
          </w:tcPr>
          <w:p w14:paraId="23773B1A" w14:textId="77777777" w:rsidR="0062327A" w:rsidRPr="00811800" w:rsidRDefault="0062327A" w:rsidP="00F07E0C">
            <w:pPr>
              <w:jc w:val="right"/>
              <w:rPr>
                <w:rFonts w:ascii="Arial" w:hAnsi="Arial" w:cs="Arial"/>
                <w:sz w:val="16"/>
                <w:szCs w:val="18"/>
              </w:rPr>
            </w:pPr>
            <w:r w:rsidRPr="00811800">
              <w:rPr>
                <w:rFonts w:ascii="Arial" w:hAnsi="Arial" w:cs="Arial"/>
                <w:sz w:val="16"/>
                <w:szCs w:val="18"/>
              </w:rPr>
              <w:t>17.5</w:t>
            </w:r>
          </w:p>
        </w:tc>
        <w:tc>
          <w:tcPr>
            <w:tcW w:w="437" w:type="pct"/>
            <w:shd w:val="clear" w:color="auto" w:fill="auto"/>
            <w:noWrap/>
            <w:vAlign w:val="bottom"/>
            <w:hideMark/>
          </w:tcPr>
          <w:p w14:paraId="302319D5" w14:textId="77777777" w:rsidR="0062327A" w:rsidRPr="00811800" w:rsidRDefault="0062327A" w:rsidP="00F07E0C">
            <w:pPr>
              <w:jc w:val="right"/>
              <w:rPr>
                <w:rFonts w:ascii="Arial" w:hAnsi="Arial" w:cs="Arial"/>
                <w:sz w:val="16"/>
                <w:szCs w:val="18"/>
              </w:rPr>
            </w:pPr>
            <w:r w:rsidRPr="00811800">
              <w:rPr>
                <w:rFonts w:ascii="Arial" w:hAnsi="Arial" w:cs="Arial"/>
                <w:sz w:val="16"/>
                <w:szCs w:val="18"/>
              </w:rPr>
              <w:t>10.6</w:t>
            </w:r>
          </w:p>
        </w:tc>
        <w:tc>
          <w:tcPr>
            <w:tcW w:w="422" w:type="pct"/>
            <w:shd w:val="clear" w:color="auto" w:fill="auto"/>
            <w:noWrap/>
            <w:vAlign w:val="bottom"/>
            <w:hideMark/>
          </w:tcPr>
          <w:p w14:paraId="4DA2BB7F" w14:textId="77777777" w:rsidR="0062327A" w:rsidRPr="00811800" w:rsidRDefault="0062327A" w:rsidP="00F07E0C">
            <w:pPr>
              <w:jc w:val="right"/>
              <w:rPr>
                <w:rFonts w:ascii="Arial" w:hAnsi="Arial" w:cs="Arial"/>
                <w:sz w:val="16"/>
                <w:szCs w:val="18"/>
              </w:rPr>
            </w:pPr>
            <w:r w:rsidRPr="00811800">
              <w:rPr>
                <w:rFonts w:ascii="Arial" w:hAnsi="Arial" w:cs="Arial"/>
                <w:sz w:val="16"/>
                <w:szCs w:val="18"/>
              </w:rPr>
              <w:t>1.6</w:t>
            </w:r>
          </w:p>
        </w:tc>
        <w:tc>
          <w:tcPr>
            <w:tcW w:w="454" w:type="pct"/>
            <w:shd w:val="clear" w:color="auto" w:fill="auto"/>
            <w:noWrap/>
            <w:vAlign w:val="bottom"/>
            <w:hideMark/>
          </w:tcPr>
          <w:p w14:paraId="76FFDD09" w14:textId="77777777" w:rsidR="0062327A" w:rsidRPr="00811800" w:rsidRDefault="0062327A" w:rsidP="00F07E0C">
            <w:pPr>
              <w:jc w:val="right"/>
              <w:rPr>
                <w:rFonts w:ascii="Arial" w:hAnsi="Arial" w:cs="Arial"/>
                <w:sz w:val="16"/>
                <w:szCs w:val="18"/>
              </w:rPr>
            </w:pPr>
            <w:r w:rsidRPr="00811800">
              <w:rPr>
                <w:rFonts w:ascii="Arial" w:hAnsi="Arial" w:cs="Arial"/>
                <w:sz w:val="16"/>
                <w:szCs w:val="18"/>
              </w:rPr>
              <w:t>5.1</w:t>
            </w:r>
          </w:p>
        </w:tc>
        <w:tc>
          <w:tcPr>
            <w:tcW w:w="453" w:type="pct"/>
            <w:shd w:val="clear" w:color="auto" w:fill="auto"/>
            <w:noWrap/>
            <w:vAlign w:val="bottom"/>
            <w:hideMark/>
          </w:tcPr>
          <w:p w14:paraId="50CFA3AC" w14:textId="77777777" w:rsidR="0062327A" w:rsidRPr="00811800" w:rsidRDefault="0062327A" w:rsidP="00F07E0C">
            <w:pPr>
              <w:jc w:val="right"/>
              <w:rPr>
                <w:rFonts w:ascii="Arial" w:hAnsi="Arial" w:cs="Arial"/>
                <w:sz w:val="16"/>
                <w:szCs w:val="18"/>
              </w:rPr>
            </w:pPr>
            <w:r w:rsidRPr="00811800">
              <w:rPr>
                <w:rFonts w:ascii="Arial" w:hAnsi="Arial" w:cs="Arial"/>
                <w:sz w:val="16"/>
                <w:szCs w:val="18"/>
              </w:rPr>
              <w:t>8.2</w:t>
            </w:r>
          </w:p>
        </w:tc>
        <w:tc>
          <w:tcPr>
            <w:tcW w:w="528" w:type="pct"/>
            <w:shd w:val="clear" w:color="auto" w:fill="auto"/>
            <w:noWrap/>
            <w:vAlign w:val="bottom"/>
            <w:hideMark/>
          </w:tcPr>
          <w:p w14:paraId="48C6CBA2" w14:textId="77777777" w:rsidR="0062327A" w:rsidRPr="00811800" w:rsidRDefault="0062327A" w:rsidP="00F07E0C">
            <w:pPr>
              <w:jc w:val="right"/>
              <w:rPr>
                <w:rFonts w:ascii="Arial" w:hAnsi="Arial" w:cs="Arial"/>
                <w:sz w:val="16"/>
                <w:szCs w:val="18"/>
              </w:rPr>
            </w:pPr>
            <w:r w:rsidRPr="00811800">
              <w:rPr>
                <w:rFonts w:ascii="Arial" w:hAnsi="Arial" w:cs="Arial"/>
                <w:sz w:val="16"/>
                <w:szCs w:val="18"/>
              </w:rPr>
              <w:t>(32.4)</w:t>
            </w:r>
          </w:p>
        </w:tc>
      </w:tr>
    </w:tbl>
    <w:p w14:paraId="59F05D19" w14:textId="77777777" w:rsidR="0062327A" w:rsidRPr="00811800" w:rsidRDefault="0062327A" w:rsidP="00426456">
      <w:pPr>
        <w:pStyle w:val="Footnote"/>
      </w:pPr>
    </w:p>
    <w:p w14:paraId="75306896" w14:textId="109502B2" w:rsidR="0062327A" w:rsidRPr="00DF4A89" w:rsidRDefault="0062327A" w:rsidP="00426456">
      <w:pPr>
        <w:pStyle w:val="Footnote"/>
        <w:rPr>
          <w:rFonts w:eastAsiaTheme="minorEastAsia"/>
          <w:lang w:eastAsia="zh-CN"/>
        </w:rPr>
      </w:pPr>
      <w:r w:rsidRPr="00811800">
        <w:t xml:space="preserve">Source: </w:t>
      </w:r>
      <w:proofErr w:type="spellStart"/>
      <w:r w:rsidR="002762E9">
        <w:rPr>
          <w:rFonts w:eastAsiaTheme="minorEastAsia" w:hint="eastAsia"/>
          <w:lang w:eastAsia="zh-CN"/>
        </w:rPr>
        <w:t>Suntech</w:t>
      </w:r>
      <w:proofErr w:type="spellEnd"/>
      <w:r w:rsidR="002762E9">
        <w:rPr>
          <w:rFonts w:eastAsiaTheme="minorEastAsia" w:hint="eastAsia"/>
          <w:lang w:eastAsia="zh-CN"/>
        </w:rPr>
        <w:t xml:space="preserve"> Power Holdings Co.</w:t>
      </w:r>
      <w:r w:rsidR="00A52D03">
        <w:rPr>
          <w:rFonts w:eastAsiaTheme="minorEastAsia"/>
          <w:lang w:eastAsia="zh-CN"/>
        </w:rPr>
        <w:t xml:space="preserve">, </w:t>
      </w:r>
      <w:r w:rsidR="002762E9">
        <w:rPr>
          <w:rFonts w:eastAsiaTheme="minorEastAsia" w:hint="eastAsia"/>
          <w:lang w:eastAsia="zh-CN"/>
        </w:rPr>
        <w:t xml:space="preserve">Ltd., </w:t>
      </w:r>
      <w:r w:rsidR="002762E9">
        <w:rPr>
          <w:rFonts w:eastAsiaTheme="minorEastAsia"/>
          <w:lang w:eastAsia="zh-CN"/>
        </w:rPr>
        <w:t>“</w:t>
      </w:r>
      <w:r w:rsidR="002762E9">
        <w:rPr>
          <w:rFonts w:eastAsiaTheme="minorEastAsia" w:hint="eastAsia"/>
          <w:lang w:eastAsia="zh-CN"/>
        </w:rPr>
        <w:t>Form 20-</w:t>
      </w:r>
      <w:r w:rsidR="00DF4A89">
        <w:rPr>
          <w:rFonts w:eastAsiaTheme="minorEastAsia" w:hint="eastAsia"/>
          <w:lang w:eastAsia="zh-CN"/>
        </w:rPr>
        <w:t>F</w:t>
      </w:r>
      <w:r w:rsidR="002762E9">
        <w:rPr>
          <w:rFonts w:eastAsiaTheme="minorEastAsia" w:hint="eastAsia"/>
          <w:lang w:eastAsia="zh-CN"/>
        </w:rPr>
        <w:t>,</w:t>
      </w:r>
      <w:r w:rsidR="002762E9">
        <w:rPr>
          <w:rFonts w:eastAsiaTheme="minorEastAsia"/>
          <w:lang w:eastAsia="zh-CN"/>
        </w:rPr>
        <w:t>”</w:t>
      </w:r>
      <w:r w:rsidR="002762E9">
        <w:rPr>
          <w:rFonts w:eastAsiaTheme="minorEastAsia" w:hint="eastAsia"/>
          <w:lang w:eastAsia="zh-CN"/>
        </w:rPr>
        <w:t xml:space="preserve"> E</w:t>
      </w:r>
      <w:r w:rsidR="00DF4A89">
        <w:rPr>
          <w:rFonts w:eastAsiaTheme="minorEastAsia" w:hint="eastAsia"/>
          <w:lang w:eastAsia="zh-CN"/>
        </w:rPr>
        <w:t>DGAR Online, accessed December 15, 2016</w:t>
      </w:r>
      <w:r w:rsidR="00203B2A">
        <w:rPr>
          <w:rFonts w:eastAsiaTheme="minorEastAsia"/>
          <w:lang w:eastAsia="zh-CN"/>
        </w:rPr>
        <w:t xml:space="preserve">, </w:t>
      </w:r>
      <w:r w:rsidR="00203B2A" w:rsidRPr="00203B2A">
        <w:rPr>
          <w:rFonts w:eastAsiaTheme="minorEastAsia"/>
          <w:lang w:eastAsia="zh-CN"/>
        </w:rPr>
        <w:t>https://www.sec.gov/Archives/edgar/data/1342803/000095012310047699/h04216e20vf.htm</w:t>
      </w:r>
      <w:r w:rsidR="00A52D03">
        <w:rPr>
          <w:rFonts w:eastAsiaTheme="minorEastAsia"/>
          <w:lang w:eastAsia="zh-CN"/>
        </w:rPr>
        <w:t>.</w:t>
      </w:r>
      <w:r w:rsidR="00DF4A89">
        <w:rPr>
          <w:rFonts w:eastAsiaTheme="minorEastAsia" w:hint="eastAsia"/>
          <w:lang w:eastAsia="zh-CN"/>
        </w:rPr>
        <w:t xml:space="preserve"> </w:t>
      </w:r>
    </w:p>
    <w:p w14:paraId="5D2940E5" w14:textId="77777777" w:rsidR="0062327A" w:rsidRPr="00811800" w:rsidRDefault="0062327A" w:rsidP="00426456">
      <w:pPr>
        <w:pStyle w:val="BodyTextMain"/>
      </w:pPr>
    </w:p>
    <w:p w14:paraId="12AB7B85" w14:textId="77777777" w:rsidR="00426456" w:rsidRPr="00811800" w:rsidRDefault="00426456" w:rsidP="00426456">
      <w:pPr>
        <w:pStyle w:val="BodyTextMain"/>
      </w:pPr>
    </w:p>
    <w:p w14:paraId="0C517F5E" w14:textId="58A2C28A" w:rsidR="0062327A" w:rsidRPr="00E07F88" w:rsidRDefault="0062327A" w:rsidP="007E3AD9">
      <w:pPr>
        <w:pStyle w:val="ExhibitHeading"/>
        <w:rPr>
          <w:sz w:val="18"/>
        </w:rPr>
      </w:pPr>
      <w:r w:rsidRPr="00811800">
        <w:t>Exhibit 2: Global Solar Cell Production Capacity 1977–2010</w:t>
      </w:r>
      <w:r w:rsidR="007E3AD9">
        <w:t xml:space="preserve"> </w:t>
      </w:r>
      <w:r w:rsidRPr="00811800">
        <w:rPr>
          <w:sz w:val="18"/>
        </w:rPr>
        <w:t>(</w:t>
      </w:r>
      <w:r w:rsidRPr="00E07F88">
        <w:rPr>
          <w:sz w:val="18"/>
        </w:rPr>
        <w:t>Output in MWs)</w:t>
      </w:r>
    </w:p>
    <w:p w14:paraId="770E0258" w14:textId="77777777" w:rsidR="007E3AD9" w:rsidRPr="007E3AD9" w:rsidRDefault="007E3AD9" w:rsidP="007E3AD9">
      <w:pPr>
        <w:pStyle w:val="ExhibitHeading"/>
      </w:pPr>
    </w:p>
    <w:tbl>
      <w:tblPr>
        <w:tblW w:w="494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0"/>
        <w:gridCol w:w="913"/>
        <w:gridCol w:w="913"/>
        <w:gridCol w:w="913"/>
        <w:gridCol w:w="913"/>
        <w:gridCol w:w="913"/>
        <w:gridCol w:w="914"/>
        <w:gridCol w:w="914"/>
        <w:gridCol w:w="956"/>
        <w:gridCol w:w="956"/>
      </w:tblGrid>
      <w:tr w:rsidR="0062327A" w:rsidRPr="00811800" w14:paraId="6376C893" w14:textId="77777777" w:rsidTr="007E3AD9">
        <w:trPr>
          <w:trHeight w:val="315"/>
        </w:trPr>
        <w:tc>
          <w:tcPr>
            <w:tcW w:w="514" w:type="pct"/>
            <w:shd w:val="clear" w:color="auto" w:fill="auto"/>
          </w:tcPr>
          <w:p w14:paraId="2D8FFD69" w14:textId="77777777" w:rsidR="0062327A" w:rsidRPr="00811800" w:rsidRDefault="0062327A" w:rsidP="005B292C">
            <w:pPr>
              <w:jc w:val="center"/>
              <w:rPr>
                <w:rFonts w:ascii="Arial" w:hAnsi="Arial" w:cs="Arial"/>
                <w:b/>
                <w:sz w:val="19"/>
                <w:szCs w:val="19"/>
              </w:rPr>
            </w:pPr>
            <w:r w:rsidRPr="00811800">
              <w:rPr>
                <w:rFonts w:ascii="Arial" w:hAnsi="Arial" w:cs="Arial"/>
                <w:b/>
                <w:sz w:val="19"/>
                <w:szCs w:val="19"/>
              </w:rPr>
              <w:t>Year</w:t>
            </w:r>
          </w:p>
        </w:tc>
        <w:tc>
          <w:tcPr>
            <w:tcW w:w="499" w:type="pct"/>
            <w:shd w:val="clear" w:color="auto" w:fill="auto"/>
            <w:noWrap/>
            <w:vAlign w:val="center"/>
            <w:hideMark/>
          </w:tcPr>
          <w:p w14:paraId="07F96AD5" w14:textId="77777777" w:rsidR="0062327A" w:rsidRPr="00811800" w:rsidRDefault="0062327A" w:rsidP="00C316BA">
            <w:pPr>
              <w:jc w:val="center"/>
              <w:rPr>
                <w:rFonts w:ascii="Arial" w:hAnsi="Arial" w:cs="Arial"/>
                <w:b/>
                <w:sz w:val="19"/>
                <w:szCs w:val="19"/>
              </w:rPr>
            </w:pPr>
            <w:r w:rsidRPr="00811800">
              <w:rPr>
                <w:rFonts w:ascii="Arial" w:hAnsi="Arial" w:cs="Arial"/>
                <w:b/>
                <w:sz w:val="19"/>
                <w:szCs w:val="19"/>
              </w:rPr>
              <w:t>1977</w:t>
            </w:r>
          </w:p>
        </w:tc>
        <w:tc>
          <w:tcPr>
            <w:tcW w:w="499" w:type="pct"/>
            <w:shd w:val="clear" w:color="auto" w:fill="auto"/>
            <w:noWrap/>
            <w:vAlign w:val="center"/>
            <w:hideMark/>
          </w:tcPr>
          <w:p w14:paraId="06841E03" w14:textId="77777777" w:rsidR="0062327A" w:rsidRPr="00811800" w:rsidRDefault="0062327A" w:rsidP="00BB4BE3">
            <w:pPr>
              <w:jc w:val="center"/>
              <w:rPr>
                <w:rFonts w:ascii="Arial" w:hAnsi="Arial" w:cs="Arial"/>
                <w:b/>
                <w:sz w:val="19"/>
                <w:szCs w:val="19"/>
              </w:rPr>
            </w:pPr>
            <w:r w:rsidRPr="00811800">
              <w:rPr>
                <w:rFonts w:ascii="Arial" w:hAnsi="Arial" w:cs="Arial"/>
                <w:b/>
                <w:sz w:val="19"/>
                <w:szCs w:val="19"/>
              </w:rPr>
              <w:t>1982</w:t>
            </w:r>
          </w:p>
        </w:tc>
        <w:tc>
          <w:tcPr>
            <w:tcW w:w="499" w:type="pct"/>
            <w:shd w:val="clear" w:color="auto" w:fill="auto"/>
            <w:noWrap/>
            <w:vAlign w:val="center"/>
            <w:hideMark/>
          </w:tcPr>
          <w:p w14:paraId="15800826" w14:textId="77777777" w:rsidR="0062327A" w:rsidRPr="00811800" w:rsidRDefault="0062327A" w:rsidP="00BB4BE3">
            <w:pPr>
              <w:jc w:val="center"/>
              <w:rPr>
                <w:rFonts w:ascii="Arial" w:hAnsi="Arial" w:cs="Arial"/>
                <w:b/>
                <w:sz w:val="19"/>
                <w:szCs w:val="19"/>
              </w:rPr>
            </w:pPr>
            <w:r w:rsidRPr="00811800">
              <w:rPr>
                <w:rFonts w:ascii="Arial" w:hAnsi="Arial" w:cs="Arial"/>
                <w:b/>
                <w:sz w:val="19"/>
                <w:szCs w:val="19"/>
              </w:rPr>
              <w:t>1983</w:t>
            </w:r>
          </w:p>
        </w:tc>
        <w:tc>
          <w:tcPr>
            <w:tcW w:w="499" w:type="pct"/>
            <w:shd w:val="clear" w:color="auto" w:fill="auto"/>
            <w:noWrap/>
            <w:vAlign w:val="center"/>
            <w:hideMark/>
          </w:tcPr>
          <w:p w14:paraId="6BC54FFA" w14:textId="77777777" w:rsidR="0062327A" w:rsidRPr="00811800" w:rsidRDefault="0062327A" w:rsidP="00BB4BE3">
            <w:pPr>
              <w:jc w:val="center"/>
              <w:rPr>
                <w:rFonts w:ascii="Arial" w:hAnsi="Arial" w:cs="Arial"/>
                <w:b/>
                <w:sz w:val="19"/>
                <w:szCs w:val="19"/>
              </w:rPr>
            </w:pPr>
            <w:r w:rsidRPr="00811800">
              <w:rPr>
                <w:rFonts w:ascii="Arial" w:hAnsi="Arial" w:cs="Arial"/>
                <w:b/>
                <w:sz w:val="19"/>
                <w:szCs w:val="19"/>
              </w:rPr>
              <w:t>1984</w:t>
            </w:r>
          </w:p>
        </w:tc>
        <w:tc>
          <w:tcPr>
            <w:tcW w:w="499" w:type="pct"/>
            <w:shd w:val="clear" w:color="auto" w:fill="auto"/>
            <w:noWrap/>
            <w:vAlign w:val="center"/>
            <w:hideMark/>
          </w:tcPr>
          <w:p w14:paraId="0B9A102D" w14:textId="77777777" w:rsidR="0062327A" w:rsidRPr="00811800" w:rsidRDefault="0062327A" w:rsidP="00BB4BE3">
            <w:pPr>
              <w:jc w:val="center"/>
              <w:rPr>
                <w:rFonts w:ascii="Arial" w:hAnsi="Arial" w:cs="Arial"/>
                <w:b/>
                <w:sz w:val="19"/>
                <w:szCs w:val="19"/>
              </w:rPr>
            </w:pPr>
            <w:r w:rsidRPr="00811800">
              <w:rPr>
                <w:rFonts w:ascii="Arial" w:hAnsi="Arial" w:cs="Arial"/>
                <w:b/>
                <w:sz w:val="19"/>
                <w:szCs w:val="19"/>
              </w:rPr>
              <w:t>1985</w:t>
            </w:r>
          </w:p>
        </w:tc>
        <w:tc>
          <w:tcPr>
            <w:tcW w:w="499" w:type="pct"/>
            <w:shd w:val="clear" w:color="auto" w:fill="auto"/>
            <w:noWrap/>
            <w:vAlign w:val="center"/>
            <w:hideMark/>
          </w:tcPr>
          <w:p w14:paraId="306B469F" w14:textId="77777777" w:rsidR="0062327A" w:rsidRPr="00811800" w:rsidRDefault="0062327A" w:rsidP="00BB4BE3">
            <w:pPr>
              <w:jc w:val="center"/>
              <w:rPr>
                <w:rFonts w:ascii="Arial" w:hAnsi="Arial" w:cs="Arial"/>
                <w:b/>
                <w:sz w:val="19"/>
                <w:szCs w:val="19"/>
              </w:rPr>
            </w:pPr>
            <w:r w:rsidRPr="00811800">
              <w:rPr>
                <w:rFonts w:ascii="Arial" w:hAnsi="Arial" w:cs="Arial"/>
                <w:b/>
                <w:sz w:val="19"/>
                <w:szCs w:val="19"/>
              </w:rPr>
              <w:t>1986</w:t>
            </w:r>
          </w:p>
        </w:tc>
        <w:tc>
          <w:tcPr>
            <w:tcW w:w="499" w:type="pct"/>
            <w:shd w:val="clear" w:color="auto" w:fill="auto"/>
            <w:noWrap/>
            <w:vAlign w:val="center"/>
            <w:hideMark/>
          </w:tcPr>
          <w:p w14:paraId="1E81050D" w14:textId="77777777" w:rsidR="0062327A" w:rsidRPr="00811800" w:rsidRDefault="0062327A" w:rsidP="00BB4BE3">
            <w:pPr>
              <w:jc w:val="center"/>
              <w:rPr>
                <w:rFonts w:ascii="Arial" w:hAnsi="Arial" w:cs="Arial"/>
                <w:b/>
                <w:sz w:val="19"/>
                <w:szCs w:val="19"/>
              </w:rPr>
            </w:pPr>
            <w:r w:rsidRPr="00811800">
              <w:rPr>
                <w:rFonts w:ascii="Arial" w:hAnsi="Arial" w:cs="Arial"/>
                <w:b/>
                <w:sz w:val="19"/>
                <w:szCs w:val="19"/>
              </w:rPr>
              <w:t>1987</w:t>
            </w:r>
          </w:p>
        </w:tc>
        <w:tc>
          <w:tcPr>
            <w:tcW w:w="499" w:type="pct"/>
            <w:shd w:val="clear" w:color="auto" w:fill="auto"/>
            <w:noWrap/>
            <w:vAlign w:val="center"/>
            <w:hideMark/>
          </w:tcPr>
          <w:p w14:paraId="56AB7B8B" w14:textId="77777777" w:rsidR="0062327A" w:rsidRPr="00811800" w:rsidRDefault="0062327A" w:rsidP="00BB4BE3">
            <w:pPr>
              <w:jc w:val="center"/>
              <w:rPr>
                <w:rFonts w:ascii="Arial" w:hAnsi="Arial" w:cs="Arial"/>
                <w:b/>
                <w:sz w:val="19"/>
                <w:szCs w:val="19"/>
              </w:rPr>
            </w:pPr>
            <w:r w:rsidRPr="00811800">
              <w:rPr>
                <w:rFonts w:ascii="Arial" w:hAnsi="Arial" w:cs="Arial"/>
                <w:b/>
                <w:sz w:val="19"/>
                <w:szCs w:val="19"/>
              </w:rPr>
              <w:t>1988</w:t>
            </w:r>
          </w:p>
        </w:tc>
        <w:tc>
          <w:tcPr>
            <w:tcW w:w="497" w:type="pct"/>
            <w:shd w:val="clear" w:color="auto" w:fill="auto"/>
            <w:noWrap/>
            <w:vAlign w:val="center"/>
            <w:hideMark/>
          </w:tcPr>
          <w:p w14:paraId="0BAF69B4" w14:textId="77777777" w:rsidR="0062327A" w:rsidRPr="00811800" w:rsidRDefault="0062327A" w:rsidP="00BB4BE3">
            <w:pPr>
              <w:jc w:val="center"/>
              <w:rPr>
                <w:rFonts w:ascii="Arial" w:hAnsi="Arial" w:cs="Arial"/>
                <w:b/>
                <w:sz w:val="19"/>
                <w:szCs w:val="19"/>
              </w:rPr>
            </w:pPr>
            <w:r w:rsidRPr="00811800">
              <w:rPr>
                <w:rFonts w:ascii="Arial" w:hAnsi="Arial" w:cs="Arial"/>
                <w:b/>
                <w:sz w:val="19"/>
                <w:szCs w:val="19"/>
              </w:rPr>
              <w:t>1989</w:t>
            </w:r>
          </w:p>
        </w:tc>
      </w:tr>
      <w:tr w:rsidR="0062327A" w:rsidRPr="00811800" w14:paraId="29265F19" w14:textId="77777777" w:rsidTr="007E3AD9">
        <w:trPr>
          <w:trHeight w:val="315"/>
        </w:trPr>
        <w:tc>
          <w:tcPr>
            <w:tcW w:w="514" w:type="pct"/>
            <w:shd w:val="clear" w:color="auto" w:fill="auto"/>
          </w:tcPr>
          <w:p w14:paraId="5EF9935B" w14:textId="77777777" w:rsidR="0062327A" w:rsidRPr="00811800" w:rsidRDefault="0062327A" w:rsidP="003A56B2">
            <w:pPr>
              <w:wordWrap w:val="0"/>
              <w:rPr>
                <w:rFonts w:ascii="Arial" w:hAnsi="Arial" w:cs="Arial"/>
                <w:sz w:val="19"/>
                <w:szCs w:val="19"/>
              </w:rPr>
            </w:pPr>
            <w:r w:rsidRPr="00811800">
              <w:rPr>
                <w:rFonts w:ascii="Arial" w:hAnsi="Arial" w:cs="Arial"/>
                <w:sz w:val="19"/>
                <w:szCs w:val="19"/>
              </w:rPr>
              <w:t>Output</w:t>
            </w:r>
          </w:p>
        </w:tc>
        <w:tc>
          <w:tcPr>
            <w:tcW w:w="499" w:type="pct"/>
            <w:shd w:val="clear" w:color="auto" w:fill="auto"/>
            <w:noWrap/>
            <w:vAlign w:val="center"/>
            <w:hideMark/>
          </w:tcPr>
          <w:p w14:paraId="2796EFBD" w14:textId="77777777" w:rsidR="0062327A" w:rsidRPr="00811800" w:rsidRDefault="0062327A" w:rsidP="00F07E0C">
            <w:pPr>
              <w:jc w:val="right"/>
              <w:rPr>
                <w:rFonts w:ascii="Arial" w:hAnsi="Arial" w:cs="Arial"/>
                <w:sz w:val="19"/>
                <w:szCs w:val="19"/>
              </w:rPr>
            </w:pPr>
            <w:r w:rsidRPr="00811800">
              <w:rPr>
                <w:rFonts w:ascii="Arial" w:hAnsi="Arial" w:cs="Arial"/>
                <w:sz w:val="19"/>
                <w:szCs w:val="19"/>
              </w:rPr>
              <w:t>0.5</w:t>
            </w:r>
          </w:p>
        </w:tc>
        <w:tc>
          <w:tcPr>
            <w:tcW w:w="499" w:type="pct"/>
            <w:shd w:val="clear" w:color="auto" w:fill="auto"/>
            <w:noWrap/>
            <w:vAlign w:val="center"/>
            <w:hideMark/>
          </w:tcPr>
          <w:p w14:paraId="6477EBCB" w14:textId="77777777" w:rsidR="0062327A" w:rsidRPr="00811800" w:rsidRDefault="0062327A" w:rsidP="00F07E0C">
            <w:pPr>
              <w:jc w:val="right"/>
              <w:rPr>
                <w:rFonts w:ascii="Arial" w:hAnsi="Arial" w:cs="Arial"/>
                <w:sz w:val="19"/>
                <w:szCs w:val="19"/>
              </w:rPr>
            </w:pPr>
            <w:r w:rsidRPr="00811800">
              <w:rPr>
                <w:rFonts w:ascii="Arial" w:hAnsi="Arial" w:cs="Arial"/>
                <w:sz w:val="19"/>
                <w:szCs w:val="19"/>
              </w:rPr>
              <w:t>9.3</w:t>
            </w:r>
          </w:p>
        </w:tc>
        <w:tc>
          <w:tcPr>
            <w:tcW w:w="499" w:type="pct"/>
            <w:shd w:val="clear" w:color="auto" w:fill="auto"/>
            <w:noWrap/>
            <w:vAlign w:val="center"/>
            <w:hideMark/>
          </w:tcPr>
          <w:p w14:paraId="679DA52F" w14:textId="77777777" w:rsidR="0062327A" w:rsidRPr="00811800" w:rsidRDefault="0062327A" w:rsidP="00F07E0C">
            <w:pPr>
              <w:jc w:val="right"/>
              <w:rPr>
                <w:rFonts w:ascii="Arial" w:hAnsi="Arial" w:cs="Arial"/>
                <w:sz w:val="19"/>
                <w:szCs w:val="19"/>
              </w:rPr>
            </w:pPr>
            <w:r w:rsidRPr="00811800">
              <w:rPr>
                <w:rFonts w:ascii="Arial" w:hAnsi="Arial" w:cs="Arial"/>
                <w:sz w:val="19"/>
                <w:szCs w:val="19"/>
              </w:rPr>
              <w:t>21.6</w:t>
            </w:r>
          </w:p>
        </w:tc>
        <w:tc>
          <w:tcPr>
            <w:tcW w:w="499" w:type="pct"/>
            <w:shd w:val="clear" w:color="auto" w:fill="auto"/>
            <w:noWrap/>
            <w:vAlign w:val="center"/>
            <w:hideMark/>
          </w:tcPr>
          <w:p w14:paraId="25D6DF22" w14:textId="0A525183" w:rsidR="0062327A" w:rsidRPr="00811800" w:rsidRDefault="0062327A" w:rsidP="00F07E0C">
            <w:pPr>
              <w:jc w:val="right"/>
              <w:rPr>
                <w:rFonts w:ascii="Arial" w:hAnsi="Arial" w:cs="Arial"/>
                <w:sz w:val="19"/>
                <w:szCs w:val="19"/>
              </w:rPr>
            </w:pPr>
            <w:r w:rsidRPr="00811800">
              <w:rPr>
                <w:rFonts w:ascii="Arial" w:hAnsi="Arial" w:cs="Arial"/>
                <w:sz w:val="19"/>
                <w:szCs w:val="19"/>
              </w:rPr>
              <w:t>25</w:t>
            </w:r>
            <w:r w:rsidR="0003232C">
              <w:rPr>
                <w:rFonts w:ascii="Arial" w:hAnsi="Arial" w:cs="Arial"/>
                <w:sz w:val="19"/>
                <w:szCs w:val="19"/>
              </w:rPr>
              <w:t>.0</w:t>
            </w:r>
          </w:p>
        </w:tc>
        <w:tc>
          <w:tcPr>
            <w:tcW w:w="499" w:type="pct"/>
            <w:shd w:val="clear" w:color="auto" w:fill="auto"/>
            <w:noWrap/>
            <w:vAlign w:val="center"/>
            <w:hideMark/>
          </w:tcPr>
          <w:p w14:paraId="3F3AD3C6" w14:textId="77777777" w:rsidR="0062327A" w:rsidRPr="00811800" w:rsidRDefault="0062327A" w:rsidP="00F07E0C">
            <w:pPr>
              <w:jc w:val="right"/>
              <w:rPr>
                <w:rFonts w:ascii="Arial" w:hAnsi="Arial" w:cs="Arial"/>
                <w:sz w:val="19"/>
                <w:szCs w:val="19"/>
              </w:rPr>
            </w:pPr>
            <w:r w:rsidRPr="00811800">
              <w:rPr>
                <w:rFonts w:ascii="Arial" w:hAnsi="Arial" w:cs="Arial"/>
                <w:sz w:val="19"/>
                <w:szCs w:val="19"/>
              </w:rPr>
              <w:t>24.4</w:t>
            </w:r>
          </w:p>
        </w:tc>
        <w:tc>
          <w:tcPr>
            <w:tcW w:w="499" w:type="pct"/>
            <w:shd w:val="clear" w:color="auto" w:fill="auto"/>
            <w:noWrap/>
            <w:vAlign w:val="center"/>
            <w:hideMark/>
          </w:tcPr>
          <w:p w14:paraId="4EDB2427" w14:textId="77777777" w:rsidR="0062327A" w:rsidRPr="00811800" w:rsidRDefault="0062327A" w:rsidP="00F07E0C">
            <w:pPr>
              <w:jc w:val="right"/>
              <w:rPr>
                <w:rFonts w:ascii="Arial" w:hAnsi="Arial" w:cs="Arial"/>
                <w:sz w:val="19"/>
                <w:szCs w:val="19"/>
              </w:rPr>
            </w:pPr>
            <w:r w:rsidRPr="00811800">
              <w:rPr>
                <w:rFonts w:ascii="Arial" w:hAnsi="Arial" w:cs="Arial"/>
                <w:sz w:val="19"/>
                <w:szCs w:val="19"/>
              </w:rPr>
              <w:t>27.5</w:t>
            </w:r>
          </w:p>
        </w:tc>
        <w:tc>
          <w:tcPr>
            <w:tcW w:w="499" w:type="pct"/>
            <w:shd w:val="clear" w:color="auto" w:fill="auto"/>
            <w:noWrap/>
            <w:vAlign w:val="center"/>
            <w:hideMark/>
          </w:tcPr>
          <w:p w14:paraId="4806C21C" w14:textId="77777777" w:rsidR="0062327A" w:rsidRPr="00811800" w:rsidRDefault="0062327A" w:rsidP="00F07E0C">
            <w:pPr>
              <w:jc w:val="right"/>
              <w:rPr>
                <w:rFonts w:ascii="Arial" w:hAnsi="Arial" w:cs="Arial"/>
                <w:sz w:val="19"/>
                <w:szCs w:val="19"/>
              </w:rPr>
            </w:pPr>
            <w:r w:rsidRPr="00811800">
              <w:rPr>
                <w:rFonts w:ascii="Arial" w:hAnsi="Arial" w:cs="Arial"/>
                <w:sz w:val="19"/>
                <w:szCs w:val="19"/>
              </w:rPr>
              <w:t>29.1</w:t>
            </w:r>
          </w:p>
        </w:tc>
        <w:tc>
          <w:tcPr>
            <w:tcW w:w="499" w:type="pct"/>
            <w:shd w:val="clear" w:color="auto" w:fill="auto"/>
            <w:noWrap/>
            <w:vAlign w:val="center"/>
            <w:hideMark/>
          </w:tcPr>
          <w:p w14:paraId="46519320" w14:textId="3A54B242" w:rsidR="0062327A" w:rsidRPr="00811800" w:rsidRDefault="0062327A" w:rsidP="00F07E0C">
            <w:pPr>
              <w:jc w:val="right"/>
              <w:rPr>
                <w:rFonts w:ascii="Arial" w:hAnsi="Arial" w:cs="Arial"/>
                <w:sz w:val="19"/>
                <w:szCs w:val="19"/>
              </w:rPr>
            </w:pPr>
            <w:r w:rsidRPr="00811800">
              <w:rPr>
                <w:rFonts w:ascii="Arial" w:hAnsi="Arial" w:cs="Arial"/>
                <w:sz w:val="19"/>
                <w:szCs w:val="19"/>
              </w:rPr>
              <w:t>35</w:t>
            </w:r>
            <w:r w:rsidR="0003232C">
              <w:rPr>
                <w:rFonts w:ascii="Arial" w:hAnsi="Arial" w:cs="Arial"/>
                <w:sz w:val="19"/>
                <w:szCs w:val="19"/>
              </w:rPr>
              <w:t>.0</w:t>
            </w:r>
          </w:p>
        </w:tc>
        <w:tc>
          <w:tcPr>
            <w:tcW w:w="497" w:type="pct"/>
            <w:shd w:val="clear" w:color="auto" w:fill="auto"/>
            <w:noWrap/>
            <w:vAlign w:val="center"/>
            <w:hideMark/>
          </w:tcPr>
          <w:p w14:paraId="4285FC21" w14:textId="77777777" w:rsidR="0062327A" w:rsidRPr="00811800" w:rsidRDefault="0062327A" w:rsidP="00F07E0C">
            <w:pPr>
              <w:jc w:val="right"/>
              <w:rPr>
                <w:rFonts w:ascii="Arial" w:hAnsi="Arial" w:cs="Arial"/>
                <w:sz w:val="19"/>
                <w:szCs w:val="19"/>
              </w:rPr>
            </w:pPr>
            <w:r w:rsidRPr="00811800">
              <w:rPr>
                <w:rFonts w:ascii="Arial" w:hAnsi="Arial" w:cs="Arial"/>
                <w:sz w:val="19"/>
                <w:szCs w:val="19"/>
              </w:rPr>
              <w:t>42.2</w:t>
            </w:r>
          </w:p>
        </w:tc>
      </w:tr>
      <w:tr w:rsidR="0062327A" w:rsidRPr="00811800" w14:paraId="66CF53BF" w14:textId="77777777" w:rsidTr="007E3AD9">
        <w:trPr>
          <w:trHeight w:val="315"/>
        </w:trPr>
        <w:tc>
          <w:tcPr>
            <w:tcW w:w="514" w:type="pct"/>
            <w:shd w:val="clear" w:color="auto" w:fill="auto"/>
          </w:tcPr>
          <w:p w14:paraId="401B0525" w14:textId="77777777" w:rsidR="0062327A" w:rsidRPr="00811800" w:rsidRDefault="0062327A" w:rsidP="005B292C">
            <w:pPr>
              <w:jc w:val="center"/>
              <w:rPr>
                <w:rFonts w:ascii="Arial" w:hAnsi="Arial" w:cs="Arial"/>
                <w:b/>
                <w:sz w:val="19"/>
                <w:szCs w:val="19"/>
              </w:rPr>
            </w:pPr>
            <w:r w:rsidRPr="00811800">
              <w:rPr>
                <w:rFonts w:ascii="Arial" w:hAnsi="Arial" w:cs="Arial"/>
                <w:b/>
                <w:sz w:val="19"/>
                <w:szCs w:val="19"/>
              </w:rPr>
              <w:t>Year</w:t>
            </w:r>
          </w:p>
        </w:tc>
        <w:tc>
          <w:tcPr>
            <w:tcW w:w="499" w:type="pct"/>
            <w:shd w:val="clear" w:color="auto" w:fill="auto"/>
            <w:noWrap/>
            <w:vAlign w:val="center"/>
            <w:hideMark/>
          </w:tcPr>
          <w:p w14:paraId="67A125B8" w14:textId="77777777" w:rsidR="0062327A" w:rsidRPr="00811800" w:rsidRDefault="0062327A" w:rsidP="00C316BA">
            <w:pPr>
              <w:jc w:val="center"/>
              <w:rPr>
                <w:rFonts w:ascii="Arial" w:hAnsi="Arial" w:cs="Arial"/>
                <w:b/>
                <w:sz w:val="19"/>
                <w:szCs w:val="19"/>
              </w:rPr>
            </w:pPr>
            <w:r w:rsidRPr="00811800">
              <w:rPr>
                <w:rFonts w:ascii="Arial" w:hAnsi="Arial" w:cs="Arial"/>
                <w:b/>
                <w:sz w:val="19"/>
                <w:szCs w:val="19"/>
              </w:rPr>
              <w:t>1992</w:t>
            </w:r>
          </w:p>
        </w:tc>
        <w:tc>
          <w:tcPr>
            <w:tcW w:w="499" w:type="pct"/>
            <w:shd w:val="clear" w:color="auto" w:fill="auto"/>
            <w:noWrap/>
            <w:vAlign w:val="center"/>
            <w:hideMark/>
          </w:tcPr>
          <w:p w14:paraId="2C30F669" w14:textId="77777777" w:rsidR="0062327A" w:rsidRPr="00811800" w:rsidRDefault="0062327A" w:rsidP="00BB4BE3">
            <w:pPr>
              <w:jc w:val="center"/>
              <w:rPr>
                <w:rFonts w:ascii="Arial" w:hAnsi="Arial" w:cs="Arial"/>
                <w:b/>
                <w:sz w:val="19"/>
                <w:szCs w:val="19"/>
              </w:rPr>
            </w:pPr>
            <w:r w:rsidRPr="00811800">
              <w:rPr>
                <w:rFonts w:ascii="Arial" w:hAnsi="Arial" w:cs="Arial"/>
                <w:b/>
                <w:sz w:val="19"/>
                <w:szCs w:val="19"/>
              </w:rPr>
              <w:t>1994</w:t>
            </w:r>
          </w:p>
        </w:tc>
        <w:tc>
          <w:tcPr>
            <w:tcW w:w="499" w:type="pct"/>
            <w:shd w:val="clear" w:color="auto" w:fill="auto"/>
            <w:noWrap/>
            <w:vAlign w:val="center"/>
            <w:hideMark/>
          </w:tcPr>
          <w:p w14:paraId="6D69E991" w14:textId="77777777" w:rsidR="0062327A" w:rsidRPr="00811800" w:rsidRDefault="0062327A" w:rsidP="00BB4BE3">
            <w:pPr>
              <w:jc w:val="center"/>
              <w:rPr>
                <w:rFonts w:ascii="Arial" w:hAnsi="Arial" w:cs="Arial"/>
                <w:b/>
                <w:sz w:val="19"/>
                <w:szCs w:val="19"/>
              </w:rPr>
            </w:pPr>
            <w:r w:rsidRPr="00811800">
              <w:rPr>
                <w:rFonts w:ascii="Arial" w:hAnsi="Arial" w:cs="Arial"/>
                <w:b/>
                <w:sz w:val="19"/>
                <w:szCs w:val="19"/>
              </w:rPr>
              <w:t>1995</w:t>
            </w:r>
          </w:p>
        </w:tc>
        <w:tc>
          <w:tcPr>
            <w:tcW w:w="499" w:type="pct"/>
            <w:shd w:val="clear" w:color="auto" w:fill="auto"/>
            <w:noWrap/>
            <w:vAlign w:val="center"/>
            <w:hideMark/>
          </w:tcPr>
          <w:p w14:paraId="13324E33" w14:textId="77777777" w:rsidR="0062327A" w:rsidRPr="00811800" w:rsidRDefault="0062327A" w:rsidP="00BB4BE3">
            <w:pPr>
              <w:jc w:val="center"/>
              <w:rPr>
                <w:rFonts w:ascii="Arial" w:hAnsi="Arial" w:cs="Arial"/>
                <w:b/>
                <w:sz w:val="19"/>
                <w:szCs w:val="19"/>
              </w:rPr>
            </w:pPr>
            <w:r w:rsidRPr="00811800">
              <w:rPr>
                <w:rFonts w:ascii="Arial" w:hAnsi="Arial" w:cs="Arial"/>
                <w:b/>
                <w:sz w:val="19"/>
                <w:szCs w:val="19"/>
              </w:rPr>
              <w:t>1996</w:t>
            </w:r>
          </w:p>
        </w:tc>
        <w:tc>
          <w:tcPr>
            <w:tcW w:w="499" w:type="pct"/>
            <w:shd w:val="clear" w:color="auto" w:fill="auto"/>
            <w:noWrap/>
            <w:vAlign w:val="center"/>
            <w:hideMark/>
          </w:tcPr>
          <w:p w14:paraId="0BEEAB02" w14:textId="77777777" w:rsidR="0062327A" w:rsidRPr="00811800" w:rsidRDefault="0062327A" w:rsidP="00BB4BE3">
            <w:pPr>
              <w:jc w:val="center"/>
              <w:rPr>
                <w:rFonts w:ascii="Arial" w:hAnsi="Arial" w:cs="Arial"/>
                <w:b/>
                <w:sz w:val="19"/>
                <w:szCs w:val="19"/>
              </w:rPr>
            </w:pPr>
            <w:r w:rsidRPr="00811800">
              <w:rPr>
                <w:rFonts w:ascii="Arial" w:hAnsi="Arial" w:cs="Arial"/>
                <w:b/>
                <w:sz w:val="19"/>
                <w:szCs w:val="19"/>
              </w:rPr>
              <w:t>1997</w:t>
            </w:r>
          </w:p>
        </w:tc>
        <w:tc>
          <w:tcPr>
            <w:tcW w:w="499" w:type="pct"/>
            <w:shd w:val="clear" w:color="auto" w:fill="auto"/>
            <w:noWrap/>
            <w:vAlign w:val="center"/>
            <w:hideMark/>
          </w:tcPr>
          <w:p w14:paraId="5E233335" w14:textId="77777777" w:rsidR="0062327A" w:rsidRPr="00811800" w:rsidRDefault="0062327A" w:rsidP="00BB4BE3">
            <w:pPr>
              <w:jc w:val="center"/>
              <w:rPr>
                <w:rFonts w:ascii="Arial" w:hAnsi="Arial" w:cs="Arial"/>
                <w:b/>
                <w:sz w:val="19"/>
                <w:szCs w:val="19"/>
              </w:rPr>
            </w:pPr>
            <w:r w:rsidRPr="00811800">
              <w:rPr>
                <w:rFonts w:ascii="Arial" w:hAnsi="Arial" w:cs="Arial"/>
                <w:b/>
                <w:sz w:val="19"/>
                <w:szCs w:val="19"/>
              </w:rPr>
              <w:t>1998</w:t>
            </w:r>
          </w:p>
        </w:tc>
        <w:tc>
          <w:tcPr>
            <w:tcW w:w="499" w:type="pct"/>
            <w:shd w:val="clear" w:color="auto" w:fill="auto"/>
            <w:noWrap/>
            <w:vAlign w:val="center"/>
            <w:hideMark/>
          </w:tcPr>
          <w:p w14:paraId="07705D09" w14:textId="77777777" w:rsidR="0062327A" w:rsidRPr="00811800" w:rsidRDefault="0062327A" w:rsidP="00BB4BE3">
            <w:pPr>
              <w:jc w:val="center"/>
              <w:rPr>
                <w:rFonts w:ascii="Arial" w:hAnsi="Arial" w:cs="Arial"/>
                <w:b/>
                <w:sz w:val="19"/>
                <w:szCs w:val="19"/>
              </w:rPr>
            </w:pPr>
            <w:r w:rsidRPr="00811800">
              <w:rPr>
                <w:rFonts w:ascii="Arial" w:hAnsi="Arial" w:cs="Arial"/>
                <w:b/>
                <w:sz w:val="19"/>
                <w:szCs w:val="19"/>
              </w:rPr>
              <w:t>1999</w:t>
            </w:r>
          </w:p>
        </w:tc>
        <w:tc>
          <w:tcPr>
            <w:tcW w:w="499" w:type="pct"/>
            <w:shd w:val="clear" w:color="auto" w:fill="auto"/>
            <w:noWrap/>
            <w:vAlign w:val="center"/>
            <w:hideMark/>
          </w:tcPr>
          <w:p w14:paraId="7CADE181" w14:textId="77777777" w:rsidR="0062327A" w:rsidRPr="00811800" w:rsidRDefault="0062327A" w:rsidP="00BB4BE3">
            <w:pPr>
              <w:jc w:val="center"/>
              <w:rPr>
                <w:rFonts w:ascii="Arial" w:hAnsi="Arial" w:cs="Arial"/>
                <w:b/>
                <w:sz w:val="19"/>
                <w:szCs w:val="19"/>
              </w:rPr>
            </w:pPr>
            <w:r w:rsidRPr="00811800">
              <w:rPr>
                <w:rFonts w:ascii="Arial" w:hAnsi="Arial" w:cs="Arial"/>
                <w:b/>
                <w:sz w:val="19"/>
                <w:szCs w:val="19"/>
              </w:rPr>
              <w:t>2000</w:t>
            </w:r>
          </w:p>
        </w:tc>
        <w:tc>
          <w:tcPr>
            <w:tcW w:w="497" w:type="pct"/>
            <w:shd w:val="clear" w:color="auto" w:fill="auto"/>
            <w:noWrap/>
            <w:vAlign w:val="center"/>
            <w:hideMark/>
          </w:tcPr>
          <w:p w14:paraId="35B11DC1" w14:textId="77777777" w:rsidR="0062327A" w:rsidRPr="00811800" w:rsidRDefault="0062327A" w:rsidP="00BB4BE3">
            <w:pPr>
              <w:jc w:val="center"/>
              <w:rPr>
                <w:rFonts w:ascii="Arial" w:hAnsi="Arial" w:cs="Arial"/>
                <w:b/>
                <w:sz w:val="19"/>
                <w:szCs w:val="19"/>
              </w:rPr>
            </w:pPr>
            <w:r w:rsidRPr="00811800">
              <w:rPr>
                <w:rFonts w:ascii="Arial" w:hAnsi="Arial" w:cs="Arial"/>
                <w:b/>
                <w:sz w:val="19"/>
                <w:szCs w:val="19"/>
              </w:rPr>
              <w:t>2001</w:t>
            </w:r>
          </w:p>
        </w:tc>
      </w:tr>
      <w:tr w:rsidR="0062327A" w:rsidRPr="00811800" w14:paraId="17065BF3" w14:textId="77777777" w:rsidTr="007E3AD9">
        <w:trPr>
          <w:trHeight w:val="315"/>
        </w:trPr>
        <w:tc>
          <w:tcPr>
            <w:tcW w:w="514" w:type="pct"/>
            <w:shd w:val="clear" w:color="auto" w:fill="auto"/>
          </w:tcPr>
          <w:p w14:paraId="3ACCB009" w14:textId="77777777" w:rsidR="0062327A" w:rsidRPr="00811800" w:rsidRDefault="0062327A" w:rsidP="003A56B2">
            <w:pPr>
              <w:wordWrap w:val="0"/>
              <w:rPr>
                <w:rFonts w:ascii="Arial" w:hAnsi="Arial" w:cs="Arial"/>
                <w:sz w:val="19"/>
                <w:szCs w:val="19"/>
              </w:rPr>
            </w:pPr>
            <w:r w:rsidRPr="00811800">
              <w:rPr>
                <w:rFonts w:ascii="Arial" w:hAnsi="Arial" w:cs="Arial"/>
                <w:sz w:val="19"/>
                <w:szCs w:val="19"/>
              </w:rPr>
              <w:t>Output</w:t>
            </w:r>
          </w:p>
        </w:tc>
        <w:tc>
          <w:tcPr>
            <w:tcW w:w="499" w:type="pct"/>
            <w:shd w:val="clear" w:color="auto" w:fill="auto"/>
            <w:noWrap/>
            <w:vAlign w:val="center"/>
            <w:hideMark/>
          </w:tcPr>
          <w:p w14:paraId="598A2774" w14:textId="77777777" w:rsidR="0062327A" w:rsidRPr="00811800" w:rsidRDefault="0062327A" w:rsidP="00F07E0C">
            <w:pPr>
              <w:jc w:val="right"/>
              <w:rPr>
                <w:rFonts w:ascii="Arial" w:hAnsi="Arial" w:cs="Arial"/>
                <w:sz w:val="19"/>
                <w:szCs w:val="19"/>
              </w:rPr>
            </w:pPr>
            <w:r w:rsidRPr="00811800">
              <w:rPr>
                <w:rFonts w:ascii="Arial" w:hAnsi="Arial" w:cs="Arial"/>
                <w:sz w:val="19"/>
                <w:szCs w:val="19"/>
              </w:rPr>
              <w:t>57.6</w:t>
            </w:r>
          </w:p>
        </w:tc>
        <w:tc>
          <w:tcPr>
            <w:tcW w:w="499" w:type="pct"/>
            <w:shd w:val="clear" w:color="auto" w:fill="auto"/>
            <w:noWrap/>
            <w:vAlign w:val="center"/>
            <w:hideMark/>
          </w:tcPr>
          <w:p w14:paraId="24187358" w14:textId="77777777" w:rsidR="0062327A" w:rsidRPr="00811800" w:rsidRDefault="0062327A" w:rsidP="00F07E0C">
            <w:pPr>
              <w:jc w:val="right"/>
              <w:rPr>
                <w:rFonts w:ascii="Arial" w:hAnsi="Arial" w:cs="Arial"/>
                <w:sz w:val="19"/>
                <w:szCs w:val="19"/>
              </w:rPr>
            </w:pPr>
            <w:r w:rsidRPr="00811800">
              <w:rPr>
                <w:rFonts w:ascii="Arial" w:hAnsi="Arial" w:cs="Arial"/>
                <w:sz w:val="19"/>
                <w:szCs w:val="19"/>
              </w:rPr>
              <w:t>69.6</w:t>
            </w:r>
          </w:p>
        </w:tc>
        <w:tc>
          <w:tcPr>
            <w:tcW w:w="499" w:type="pct"/>
            <w:shd w:val="clear" w:color="auto" w:fill="auto"/>
            <w:noWrap/>
            <w:vAlign w:val="center"/>
            <w:hideMark/>
          </w:tcPr>
          <w:p w14:paraId="590DC784" w14:textId="77777777" w:rsidR="0062327A" w:rsidRPr="00811800" w:rsidRDefault="0062327A" w:rsidP="00F07E0C">
            <w:pPr>
              <w:jc w:val="right"/>
              <w:rPr>
                <w:rFonts w:ascii="Arial" w:hAnsi="Arial" w:cs="Arial"/>
                <w:sz w:val="19"/>
                <w:szCs w:val="19"/>
              </w:rPr>
            </w:pPr>
            <w:r w:rsidRPr="00811800">
              <w:rPr>
                <w:rFonts w:ascii="Arial" w:hAnsi="Arial" w:cs="Arial"/>
                <w:sz w:val="19"/>
                <w:szCs w:val="19"/>
              </w:rPr>
              <w:t>77.6</w:t>
            </w:r>
          </w:p>
        </w:tc>
        <w:tc>
          <w:tcPr>
            <w:tcW w:w="499" w:type="pct"/>
            <w:shd w:val="clear" w:color="auto" w:fill="auto"/>
            <w:noWrap/>
            <w:vAlign w:val="center"/>
            <w:hideMark/>
          </w:tcPr>
          <w:p w14:paraId="00ABF6E9" w14:textId="77777777" w:rsidR="0062327A" w:rsidRPr="00811800" w:rsidRDefault="0062327A" w:rsidP="00F07E0C">
            <w:pPr>
              <w:jc w:val="right"/>
              <w:rPr>
                <w:rFonts w:ascii="Arial" w:hAnsi="Arial" w:cs="Arial"/>
                <w:sz w:val="19"/>
                <w:szCs w:val="19"/>
              </w:rPr>
            </w:pPr>
            <w:r w:rsidRPr="00811800">
              <w:rPr>
                <w:rFonts w:ascii="Arial" w:hAnsi="Arial" w:cs="Arial"/>
                <w:sz w:val="19"/>
                <w:szCs w:val="19"/>
              </w:rPr>
              <w:t>88.6</w:t>
            </w:r>
          </w:p>
        </w:tc>
        <w:tc>
          <w:tcPr>
            <w:tcW w:w="499" w:type="pct"/>
            <w:shd w:val="clear" w:color="auto" w:fill="auto"/>
            <w:noWrap/>
            <w:vAlign w:val="center"/>
            <w:hideMark/>
          </w:tcPr>
          <w:p w14:paraId="602C07F5" w14:textId="102E8B1F" w:rsidR="0062327A" w:rsidRPr="00811800" w:rsidRDefault="0062327A" w:rsidP="00F07E0C">
            <w:pPr>
              <w:jc w:val="right"/>
              <w:rPr>
                <w:rFonts w:ascii="Arial" w:hAnsi="Arial" w:cs="Arial"/>
                <w:sz w:val="19"/>
                <w:szCs w:val="19"/>
              </w:rPr>
            </w:pPr>
            <w:r w:rsidRPr="00811800">
              <w:rPr>
                <w:rFonts w:ascii="Arial" w:hAnsi="Arial" w:cs="Arial"/>
                <w:sz w:val="19"/>
                <w:szCs w:val="19"/>
              </w:rPr>
              <w:t>126</w:t>
            </w:r>
            <w:r w:rsidR="0003232C">
              <w:rPr>
                <w:rFonts w:ascii="Arial" w:hAnsi="Arial" w:cs="Arial"/>
                <w:sz w:val="19"/>
                <w:szCs w:val="19"/>
              </w:rPr>
              <w:t>.0</w:t>
            </w:r>
          </w:p>
        </w:tc>
        <w:tc>
          <w:tcPr>
            <w:tcW w:w="499" w:type="pct"/>
            <w:shd w:val="clear" w:color="auto" w:fill="auto"/>
            <w:noWrap/>
            <w:vAlign w:val="center"/>
            <w:hideMark/>
          </w:tcPr>
          <w:p w14:paraId="143A2E81" w14:textId="49A79FB8" w:rsidR="0062327A" w:rsidRPr="00811800" w:rsidRDefault="0062327A" w:rsidP="00F07E0C">
            <w:pPr>
              <w:jc w:val="right"/>
              <w:rPr>
                <w:rFonts w:ascii="Arial" w:hAnsi="Arial" w:cs="Arial"/>
                <w:sz w:val="19"/>
                <w:szCs w:val="19"/>
              </w:rPr>
            </w:pPr>
            <w:r w:rsidRPr="00811800">
              <w:rPr>
                <w:rFonts w:ascii="Arial" w:hAnsi="Arial" w:cs="Arial"/>
                <w:sz w:val="19"/>
                <w:szCs w:val="19"/>
              </w:rPr>
              <w:t>155</w:t>
            </w:r>
            <w:r w:rsidR="0003232C">
              <w:rPr>
                <w:rFonts w:ascii="Arial" w:hAnsi="Arial" w:cs="Arial"/>
                <w:sz w:val="19"/>
                <w:szCs w:val="19"/>
              </w:rPr>
              <w:t>.0</w:t>
            </w:r>
          </w:p>
        </w:tc>
        <w:tc>
          <w:tcPr>
            <w:tcW w:w="499" w:type="pct"/>
            <w:shd w:val="clear" w:color="auto" w:fill="auto"/>
            <w:noWrap/>
            <w:vAlign w:val="center"/>
            <w:hideMark/>
          </w:tcPr>
          <w:p w14:paraId="1716CA68" w14:textId="3EA73B99" w:rsidR="0062327A" w:rsidRPr="00811800" w:rsidRDefault="0062327A" w:rsidP="00F07E0C">
            <w:pPr>
              <w:jc w:val="right"/>
              <w:rPr>
                <w:rFonts w:ascii="Arial" w:hAnsi="Arial" w:cs="Arial"/>
                <w:sz w:val="19"/>
                <w:szCs w:val="19"/>
              </w:rPr>
            </w:pPr>
            <w:r w:rsidRPr="00811800">
              <w:rPr>
                <w:rFonts w:ascii="Arial" w:hAnsi="Arial" w:cs="Arial"/>
                <w:sz w:val="19"/>
                <w:szCs w:val="19"/>
              </w:rPr>
              <w:t>201</w:t>
            </w:r>
            <w:r w:rsidR="0003232C">
              <w:rPr>
                <w:rFonts w:ascii="Arial" w:hAnsi="Arial" w:cs="Arial"/>
                <w:sz w:val="19"/>
                <w:szCs w:val="19"/>
              </w:rPr>
              <w:t>.0</w:t>
            </w:r>
          </w:p>
        </w:tc>
        <w:tc>
          <w:tcPr>
            <w:tcW w:w="499" w:type="pct"/>
            <w:shd w:val="clear" w:color="auto" w:fill="auto"/>
            <w:noWrap/>
            <w:vAlign w:val="center"/>
            <w:hideMark/>
          </w:tcPr>
          <w:p w14:paraId="605FAC74" w14:textId="5E476950" w:rsidR="0062327A" w:rsidRPr="00811800" w:rsidRDefault="0062327A" w:rsidP="00F07E0C">
            <w:pPr>
              <w:jc w:val="right"/>
              <w:rPr>
                <w:rFonts w:ascii="Arial" w:hAnsi="Arial" w:cs="Arial"/>
                <w:sz w:val="19"/>
                <w:szCs w:val="19"/>
              </w:rPr>
            </w:pPr>
            <w:r w:rsidRPr="00811800">
              <w:rPr>
                <w:rFonts w:ascii="Arial" w:hAnsi="Arial" w:cs="Arial"/>
                <w:sz w:val="19"/>
                <w:szCs w:val="19"/>
              </w:rPr>
              <w:t>288</w:t>
            </w:r>
            <w:r w:rsidR="0003232C">
              <w:rPr>
                <w:rFonts w:ascii="Arial" w:hAnsi="Arial" w:cs="Arial"/>
                <w:sz w:val="19"/>
                <w:szCs w:val="19"/>
              </w:rPr>
              <w:t>.0</w:t>
            </w:r>
          </w:p>
        </w:tc>
        <w:tc>
          <w:tcPr>
            <w:tcW w:w="497" w:type="pct"/>
            <w:shd w:val="clear" w:color="auto" w:fill="auto"/>
            <w:noWrap/>
            <w:vAlign w:val="center"/>
            <w:hideMark/>
          </w:tcPr>
          <w:p w14:paraId="5167D294" w14:textId="3AF9A2C9" w:rsidR="0062327A" w:rsidRPr="00811800" w:rsidRDefault="0062327A" w:rsidP="00F07E0C">
            <w:pPr>
              <w:jc w:val="right"/>
              <w:rPr>
                <w:rFonts w:ascii="Arial" w:hAnsi="Arial" w:cs="Arial"/>
                <w:sz w:val="19"/>
                <w:szCs w:val="19"/>
              </w:rPr>
            </w:pPr>
            <w:r w:rsidRPr="00811800">
              <w:rPr>
                <w:rFonts w:ascii="Arial" w:hAnsi="Arial" w:cs="Arial"/>
                <w:sz w:val="19"/>
                <w:szCs w:val="19"/>
              </w:rPr>
              <w:t>391</w:t>
            </w:r>
            <w:r w:rsidR="0003232C">
              <w:rPr>
                <w:rFonts w:ascii="Arial" w:hAnsi="Arial" w:cs="Arial"/>
                <w:sz w:val="19"/>
                <w:szCs w:val="19"/>
              </w:rPr>
              <w:t>.0</w:t>
            </w:r>
          </w:p>
        </w:tc>
      </w:tr>
      <w:tr w:rsidR="0062327A" w:rsidRPr="00811800" w14:paraId="0BAF1F63" w14:textId="77777777" w:rsidTr="007E3AD9">
        <w:trPr>
          <w:trHeight w:val="315"/>
        </w:trPr>
        <w:tc>
          <w:tcPr>
            <w:tcW w:w="514" w:type="pct"/>
            <w:shd w:val="clear" w:color="auto" w:fill="auto"/>
          </w:tcPr>
          <w:p w14:paraId="6A022722" w14:textId="77777777" w:rsidR="0062327A" w:rsidRPr="00811800" w:rsidRDefault="0062327A" w:rsidP="005B292C">
            <w:pPr>
              <w:jc w:val="center"/>
              <w:rPr>
                <w:rFonts w:ascii="Arial" w:hAnsi="Arial" w:cs="Arial"/>
                <w:b/>
                <w:sz w:val="19"/>
                <w:szCs w:val="19"/>
              </w:rPr>
            </w:pPr>
            <w:r w:rsidRPr="00811800">
              <w:rPr>
                <w:rFonts w:ascii="Arial" w:hAnsi="Arial" w:cs="Arial"/>
                <w:b/>
                <w:sz w:val="19"/>
                <w:szCs w:val="19"/>
              </w:rPr>
              <w:t>Year</w:t>
            </w:r>
          </w:p>
        </w:tc>
        <w:tc>
          <w:tcPr>
            <w:tcW w:w="499" w:type="pct"/>
            <w:shd w:val="clear" w:color="auto" w:fill="auto"/>
            <w:noWrap/>
            <w:vAlign w:val="center"/>
            <w:hideMark/>
          </w:tcPr>
          <w:p w14:paraId="6FA4237B" w14:textId="77777777" w:rsidR="0062327A" w:rsidRPr="00811800" w:rsidRDefault="0062327A" w:rsidP="00C316BA">
            <w:pPr>
              <w:jc w:val="center"/>
              <w:rPr>
                <w:rFonts w:ascii="Arial" w:hAnsi="Arial" w:cs="Arial"/>
                <w:b/>
                <w:sz w:val="19"/>
                <w:szCs w:val="19"/>
              </w:rPr>
            </w:pPr>
            <w:r w:rsidRPr="00811800">
              <w:rPr>
                <w:rFonts w:ascii="Arial" w:hAnsi="Arial" w:cs="Arial"/>
                <w:b/>
                <w:sz w:val="19"/>
                <w:szCs w:val="19"/>
              </w:rPr>
              <w:t>2002</w:t>
            </w:r>
          </w:p>
        </w:tc>
        <w:tc>
          <w:tcPr>
            <w:tcW w:w="499" w:type="pct"/>
            <w:shd w:val="clear" w:color="auto" w:fill="auto"/>
            <w:noWrap/>
            <w:vAlign w:val="center"/>
            <w:hideMark/>
          </w:tcPr>
          <w:p w14:paraId="06F2279D" w14:textId="77777777" w:rsidR="0062327A" w:rsidRPr="00811800" w:rsidRDefault="0062327A" w:rsidP="00BB4BE3">
            <w:pPr>
              <w:jc w:val="center"/>
              <w:rPr>
                <w:rFonts w:ascii="Arial" w:hAnsi="Arial" w:cs="Arial"/>
                <w:b/>
                <w:sz w:val="19"/>
                <w:szCs w:val="19"/>
              </w:rPr>
            </w:pPr>
            <w:r w:rsidRPr="00811800">
              <w:rPr>
                <w:rFonts w:ascii="Arial" w:hAnsi="Arial" w:cs="Arial"/>
                <w:b/>
                <w:sz w:val="19"/>
                <w:szCs w:val="19"/>
              </w:rPr>
              <w:t>2003</w:t>
            </w:r>
          </w:p>
        </w:tc>
        <w:tc>
          <w:tcPr>
            <w:tcW w:w="499" w:type="pct"/>
            <w:shd w:val="clear" w:color="auto" w:fill="auto"/>
            <w:noWrap/>
            <w:vAlign w:val="center"/>
            <w:hideMark/>
          </w:tcPr>
          <w:p w14:paraId="12E66451" w14:textId="77777777" w:rsidR="0062327A" w:rsidRPr="00811800" w:rsidRDefault="0062327A" w:rsidP="00BB4BE3">
            <w:pPr>
              <w:jc w:val="center"/>
              <w:rPr>
                <w:rFonts w:ascii="Arial" w:hAnsi="Arial" w:cs="Arial"/>
                <w:b/>
                <w:sz w:val="19"/>
                <w:szCs w:val="19"/>
              </w:rPr>
            </w:pPr>
            <w:r w:rsidRPr="00811800">
              <w:rPr>
                <w:rFonts w:ascii="Arial" w:hAnsi="Arial" w:cs="Arial"/>
                <w:b/>
                <w:sz w:val="19"/>
                <w:szCs w:val="19"/>
              </w:rPr>
              <w:t>2004</w:t>
            </w:r>
          </w:p>
        </w:tc>
        <w:tc>
          <w:tcPr>
            <w:tcW w:w="499" w:type="pct"/>
            <w:shd w:val="clear" w:color="auto" w:fill="auto"/>
            <w:noWrap/>
            <w:vAlign w:val="center"/>
            <w:hideMark/>
          </w:tcPr>
          <w:p w14:paraId="2BA32655" w14:textId="77777777" w:rsidR="0062327A" w:rsidRPr="00811800" w:rsidRDefault="0062327A" w:rsidP="00BB4BE3">
            <w:pPr>
              <w:jc w:val="center"/>
              <w:rPr>
                <w:rFonts w:ascii="Arial" w:hAnsi="Arial" w:cs="Arial"/>
                <w:b/>
                <w:sz w:val="19"/>
                <w:szCs w:val="19"/>
              </w:rPr>
            </w:pPr>
            <w:r w:rsidRPr="00811800">
              <w:rPr>
                <w:rFonts w:ascii="Arial" w:hAnsi="Arial" w:cs="Arial"/>
                <w:b/>
                <w:sz w:val="19"/>
                <w:szCs w:val="19"/>
              </w:rPr>
              <w:t>2005</w:t>
            </w:r>
          </w:p>
        </w:tc>
        <w:tc>
          <w:tcPr>
            <w:tcW w:w="499" w:type="pct"/>
            <w:shd w:val="clear" w:color="auto" w:fill="auto"/>
            <w:noWrap/>
            <w:vAlign w:val="center"/>
            <w:hideMark/>
          </w:tcPr>
          <w:p w14:paraId="2D02597B" w14:textId="77777777" w:rsidR="0062327A" w:rsidRPr="00811800" w:rsidRDefault="0062327A" w:rsidP="00BB4BE3">
            <w:pPr>
              <w:jc w:val="center"/>
              <w:rPr>
                <w:rFonts w:ascii="Arial" w:hAnsi="Arial" w:cs="Arial"/>
                <w:b/>
                <w:sz w:val="19"/>
                <w:szCs w:val="19"/>
              </w:rPr>
            </w:pPr>
            <w:r w:rsidRPr="00811800">
              <w:rPr>
                <w:rFonts w:ascii="Arial" w:hAnsi="Arial" w:cs="Arial"/>
                <w:b/>
                <w:sz w:val="19"/>
                <w:szCs w:val="19"/>
              </w:rPr>
              <w:t>2006</w:t>
            </w:r>
          </w:p>
        </w:tc>
        <w:tc>
          <w:tcPr>
            <w:tcW w:w="499" w:type="pct"/>
            <w:shd w:val="clear" w:color="auto" w:fill="auto"/>
            <w:noWrap/>
            <w:vAlign w:val="center"/>
            <w:hideMark/>
          </w:tcPr>
          <w:p w14:paraId="4E2F8BEA" w14:textId="77777777" w:rsidR="0062327A" w:rsidRPr="00811800" w:rsidRDefault="0062327A" w:rsidP="00BB4BE3">
            <w:pPr>
              <w:jc w:val="center"/>
              <w:rPr>
                <w:rFonts w:ascii="Arial" w:hAnsi="Arial" w:cs="Arial"/>
                <w:b/>
                <w:sz w:val="19"/>
                <w:szCs w:val="19"/>
              </w:rPr>
            </w:pPr>
            <w:r w:rsidRPr="00811800">
              <w:rPr>
                <w:rFonts w:ascii="Arial" w:hAnsi="Arial" w:cs="Arial"/>
                <w:b/>
                <w:sz w:val="19"/>
                <w:szCs w:val="19"/>
              </w:rPr>
              <w:t>2007</w:t>
            </w:r>
          </w:p>
        </w:tc>
        <w:tc>
          <w:tcPr>
            <w:tcW w:w="499" w:type="pct"/>
            <w:shd w:val="clear" w:color="auto" w:fill="auto"/>
            <w:noWrap/>
            <w:vAlign w:val="center"/>
            <w:hideMark/>
          </w:tcPr>
          <w:p w14:paraId="11176DBF" w14:textId="77777777" w:rsidR="0062327A" w:rsidRPr="00811800" w:rsidRDefault="0062327A" w:rsidP="00BB4BE3">
            <w:pPr>
              <w:jc w:val="center"/>
              <w:rPr>
                <w:rFonts w:ascii="Arial" w:hAnsi="Arial" w:cs="Arial"/>
                <w:b/>
                <w:sz w:val="19"/>
                <w:szCs w:val="19"/>
              </w:rPr>
            </w:pPr>
            <w:r w:rsidRPr="00811800">
              <w:rPr>
                <w:rFonts w:ascii="Arial" w:hAnsi="Arial" w:cs="Arial"/>
                <w:b/>
                <w:sz w:val="19"/>
                <w:szCs w:val="19"/>
              </w:rPr>
              <w:t>2008</w:t>
            </w:r>
          </w:p>
        </w:tc>
        <w:tc>
          <w:tcPr>
            <w:tcW w:w="499" w:type="pct"/>
            <w:shd w:val="clear" w:color="auto" w:fill="auto"/>
            <w:noWrap/>
            <w:vAlign w:val="center"/>
            <w:hideMark/>
          </w:tcPr>
          <w:p w14:paraId="4AD9F4C7" w14:textId="77777777" w:rsidR="0062327A" w:rsidRPr="00811800" w:rsidRDefault="0062327A" w:rsidP="00BB4BE3">
            <w:pPr>
              <w:jc w:val="center"/>
              <w:rPr>
                <w:rFonts w:ascii="Arial" w:hAnsi="Arial" w:cs="Arial"/>
                <w:b/>
                <w:sz w:val="19"/>
                <w:szCs w:val="19"/>
              </w:rPr>
            </w:pPr>
            <w:r w:rsidRPr="00811800">
              <w:rPr>
                <w:rFonts w:ascii="Arial" w:hAnsi="Arial" w:cs="Arial"/>
                <w:b/>
                <w:sz w:val="19"/>
                <w:szCs w:val="19"/>
              </w:rPr>
              <w:t>2009</w:t>
            </w:r>
          </w:p>
        </w:tc>
        <w:tc>
          <w:tcPr>
            <w:tcW w:w="497" w:type="pct"/>
            <w:shd w:val="clear" w:color="auto" w:fill="auto"/>
            <w:noWrap/>
            <w:vAlign w:val="center"/>
            <w:hideMark/>
          </w:tcPr>
          <w:p w14:paraId="26905F92" w14:textId="77777777" w:rsidR="0062327A" w:rsidRPr="00811800" w:rsidRDefault="0062327A" w:rsidP="00BB4BE3">
            <w:pPr>
              <w:jc w:val="center"/>
              <w:rPr>
                <w:rFonts w:ascii="Arial" w:hAnsi="Arial" w:cs="Arial"/>
                <w:b/>
                <w:sz w:val="19"/>
                <w:szCs w:val="19"/>
              </w:rPr>
            </w:pPr>
            <w:r w:rsidRPr="00811800">
              <w:rPr>
                <w:rFonts w:ascii="Arial" w:hAnsi="Arial" w:cs="Arial"/>
                <w:b/>
                <w:sz w:val="19"/>
                <w:szCs w:val="19"/>
              </w:rPr>
              <w:t>2010</w:t>
            </w:r>
          </w:p>
        </w:tc>
      </w:tr>
      <w:tr w:rsidR="0062327A" w:rsidRPr="00811800" w14:paraId="56465EC2" w14:textId="77777777" w:rsidTr="007E3AD9">
        <w:trPr>
          <w:trHeight w:val="315"/>
        </w:trPr>
        <w:tc>
          <w:tcPr>
            <w:tcW w:w="514" w:type="pct"/>
            <w:shd w:val="clear" w:color="auto" w:fill="auto"/>
          </w:tcPr>
          <w:p w14:paraId="5853C70B" w14:textId="77777777" w:rsidR="0062327A" w:rsidRPr="00811800" w:rsidRDefault="0062327A" w:rsidP="003A56B2">
            <w:pPr>
              <w:wordWrap w:val="0"/>
              <w:rPr>
                <w:rFonts w:ascii="Arial" w:hAnsi="Arial" w:cs="Arial"/>
                <w:sz w:val="19"/>
                <w:szCs w:val="19"/>
              </w:rPr>
            </w:pPr>
            <w:r w:rsidRPr="00811800">
              <w:rPr>
                <w:rFonts w:ascii="Arial" w:hAnsi="Arial" w:cs="Arial"/>
                <w:sz w:val="19"/>
                <w:szCs w:val="19"/>
              </w:rPr>
              <w:t>Output</w:t>
            </w:r>
          </w:p>
        </w:tc>
        <w:tc>
          <w:tcPr>
            <w:tcW w:w="499" w:type="pct"/>
            <w:shd w:val="clear" w:color="auto" w:fill="auto"/>
            <w:noWrap/>
            <w:vAlign w:val="center"/>
            <w:hideMark/>
          </w:tcPr>
          <w:p w14:paraId="2107E609" w14:textId="77777777" w:rsidR="0062327A" w:rsidRPr="00811800" w:rsidRDefault="0062327A" w:rsidP="00F07E0C">
            <w:pPr>
              <w:jc w:val="right"/>
              <w:rPr>
                <w:rFonts w:ascii="Arial" w:hAnsi="Arial" w:cs="Arial"/>
                <w:sz w:val="19"/>
                <w:szCs w:val="19"/>
              </w:rPr>
            </w:pPr>
            <w:r w:rsidRPr="00811800">
              <w:rPr>
                <w:rFonts w:ascii="Arial" w:hAnsi="Arial" w:cs="Arial"/>
                <w:sz w:val="19"/>
                <w:szCs w:val="19"/>
              </w:rPr>
              <w:t>536.8</w:t>
            </w:r>
          </w:p>
        </w:tc>
        <w:tc>
          <w:tcPr>
            <w:tcW w:w="499" w:type="pct"/>
            <w:shd w:val="clear" w:color="auto" w:fill="auto"/>
            <w:noWrap/>
            <w:vAlign w:val="center"/>
            <w:hideMark/>
          </w:tcPr>
          <w:p w14:paraId="4710B678" w14:textId="732CB779" w:rsidR="0062327A" w:rsidRPr="00811800" w:rsidRDefault="0062327A" w:rsidP="00F07E0C">
            <w:pPr>
              <w:jc w:val="right"/>
              <w:rPr>
                <w:rFonts w:ascii="Arial" w:hAnsi="Arial" w:cs="Arial"/>
                <w:sz w:val="19"/>
                <w:szCs w:val="19"/>
              </w:rPr>
            </w:pPr>
            <w:r w:rsidRPr="00811800">
              <w:rPr>
                <w:rFonts w:ascii="Arial" w:hAnsi="Arial" w:cs="Arial"/>
                <w:sz w:val="19"/>
                <w:szCs w:val="19"/>
              </w:rPr>
              <w:t>747</w:t>
            </w:r>
            <w:r w:rsidR="0003232C">
              <w:rPr>
                <w:rFonts w:ascii="Arial" w:hAnsi="Arial" w:cs="Arial"/>
                <w:sz w:val="19"/>
                <w:szCs w:val="19"/>
              </w:rPr>
              <w:t>.0</w:t>
            </w:r>
          </w:p>
        </w:tc>
        <w:tc>
          <w:tcPr>
            <w:tcW w:w="499" w:type="pct"/>
            <w:shd w:val="clear" w:color="auto" w:fill="auto"/>
            <w:noWrap/>
            <w:vAlign w:val="center"/>
            <w:hideMark/>
          </w:tcPr>
          <w:p w14:paraId="6734F335" w14:textId="15878051" w:rsidR="0062327A" w:rsidRPr="00811800" w:rsidRDefault="0062327A" w:rsidP="00F07E0C">
            <w:pPr>
              <w:jc w:val="right"/>
              <w:rPr>
                <w:rFonts w:ascii="Arial" w:hAnsi="Arial" w:cs="Arial"/>
                <w:sz w:val="19"/>
                <w:szCs w:val="19"/>
              </w:rPr>
            </w:pPr>
            <w:r w:rsidRPr="00811800">
              <w:rPr>
                <w:rFonts w:ascii="Arial" w:hAnsi="Arial" w:cs="Arial"/>
                <w:sz w:val="19"/>
                <w:szCs w:val="19"/>
              </w:rPr>
              <w:t>1</w:t>
            </w:r>
            <w:r w:rsidR="007E3AD9">
              <w:rPr>
                <w:rFonts w:ascii="Arial" w:hAnsi="Arial" w:cs="Arial"/>
                <w:sz w:val="19"/>
                <w:szCs w:val="19"/>
              </w:rPr>
              <w:t>,</w:t>
            </w:r>
            <w:r w:rsidRPr="00811800">
              <w:rPr>
                <w:rFonts w:ascii="Arial" w:hAnsi="Arial" w:cs="Arial"/>
                <w:sz w:val="19"/>
                <w:szCs w:val="19"/>
              </w:rPr>
              <w:t>211</w:t>
            </w:r>
            <w:r w:rsidR="0003232C">
              <w:rPr>
                <w:rFonts w:ascii="Arial" w:hAnsi="Arial" w:cs="Arial"/>
                <w:sz w:val="19"/>
                <w:szCs w:val="19"/>
              </w:rPr>
              <w:t>.0</w:t>
            </w:r>
          </w:p>
        </w:tc>
        <w:tc>
          <w:tcPr>
            <w:tcW w:w="499" w:type="pct"/>
            <w:shd w:val="clear" w:color="auto" w:fill="auto"/>
            <w:noWrap/>
            <w:vAlign w:val="center"/>
            <w:hideMark/>
          </w:tcPr>
          <w:p w14:paraId="75631B62" w14:textId="130DB6E8" w:rsidR="0062327A" w:rsidRPr="00811800" w:rsidRDefault="0062327A" w:rsidP="00F07E0C">
            <w:pPr>
              <w:jc w:val="right"/>
              <w:rPr>
                <w:rFonts w:ascii="Arial" w:hAnsi="Arial" w:cs="Arial"/>
                <w:sz w:val="19"/>
                <w:szCs w:val="19"/>
              </w:rPr>
            </w:pPr>
            <w:r w:rsidRPr="00811800">
              <w:rPr>
                <w:rFonts w:ascii="Arial" w:hAnsi="Arial" w:cs="Arial"/>
                <w:sz w:val="19"/>
                <w:szCs w:val="19"/>
              </w:rPr>
              <w:t>1</w:t>
            </w:r>
            <w:r w:rsidR="007E3AD9">
              <w:rPr>
                <w:rFonts w:ascii="Arial" w:hAnsi="Arial" w:cs="Arial"/>
                <w:sz w:val="19"/>
                <w:szCs w:val="19"/>
              </w:rPr>
              <w:t>,</w:t>
            </w:r>
            <w:r w:rsidRPr="00811800">
              <w:rPr>
                <w:rFonts w:ascii="Arial" w:hAnsi="Arial" w:cs="Arial"/>
                <w:sz w:val="19"/>
                <w:szCs w:val="19"/>
              </w:rPr>
              <w:t>793</w:t>
            </w:r>
            <w:r w:rsidR="0003232C">
              <w:rPr>
                <w:rFonts w:ascii="Arial" w:hAnsi="Arial" w:cs="Arial"/>
                <w:sz w:val="19"/>
                <w:szCs w:val="19"/>
              </w:rPr>
              <w:t>.0</w:t>
            </w:r>
          </w:p>
        </w:tc>
        <w:tc>
          <w:tcPr>
            <w:tcW w:w="499" w:type="pct"/>
            <w:shd w:val="clear" w:color="auto" w:fill="auto"/>
            <w:noWrap/>
            <w:vAlign w:val="center"/>
            <w:hideMark/>
          </w:tcPr>
          <w:p w14:paraId="761E645A" w14:textId="649BD783" w:rsidR="0062327A" w:rsidRPr="00811800" w:rsidRDefault="0062327A" w:rsidP="00F07E0C">
            <w:pPr>
              <w:jc w:val="right"/>
              <w:rPr>
                <w:rFonts w:ascii="Arial" w:hAnsi="Arial" w:cs="Arial"/>
                <w:sz w:val="19"/>
                <w:szCs w:val="19"/>
              </w:rPr>
            </w:pPr>
            <w:r w:rsidRPr="00811800">
              <w:rPr>
                <w:rFonts w:ascii="Arial" w:hAnsi="Arial" w:cs="Arial"/>
                <w:sz w:val="19"/>
                <w:szCs w:val="19"/>
              </w:rPr>
              <w:t>2</w:t>
            </w:r>
            <w:r w:rsidR="007E3AD9">
              <w:rPr>
                <w:rFonts w:ascii="Arial" w:hAnsi="Arial" w:cs="Arial"/>
                <w:sz w:val="19"/>
                <w:szCs w:val="19"/>
              </w:rPr>
              <w:t>,</w:t>
            </w:r>
            <w:r w:rsidRPr="00811800">
              <w:rPr>
                <w:rFonts w:ascii="Arial" w:hAnsi="Arial" w:cs="Arial"/>
                <w:sz w:val="19"/>
                <w:szCs w:val="19"/>
              </w:rPr>
              <w:t>561</w:t>
            </w:r>
            <w:r w:rsidR="0003232C">
              <w:rPr>
                <w:rFonts w:ascii="Arial" w:hAnsi="Arial" w:cs="Arial"/>
                <w:sz w:val="19"/>
                <w:szCs w:val="19"/>
              </w:rPr>
              <w:t>.0</w:t>
            </w:r>
          </w:p>
        </w:tc>
        <w:tc>
          <w:tcPr>
            <w:tcW w:w="499" w:type="pct"/>
            <w:shd w:val="clear" w:color="auto" w:fill="auto"/>
            <w:noWrap/>
            <w:vAlign w:val="center"/>
            <w:hideMark/>
          </w:tcPr>
          <w:p w14:paraId="06FCC450" w14:textId="189C9898" w:rsidR="0062327A" w:rsidRPr="00811800" w:rsidRDefault="0062327A" w:rsidP="00F07E0C">
            <w:pPr>
              <w:jc w:val="right"/>
              <w:rPr>
                <w:rFonts w:ascii="Arial" w:hAnsi="Arial" w:cs="Arial"/>
                <w:sz w:val="19"/>
                <w:szCs w:val="19"/>
              </w:rPr>
            </w:pPr>
            <w:r w:rsidRPr="00811800">
              <w:rPr>
                <w:rFonts w:ascii="Arial" w:hAnsi="Arial" w:cs="Arial"/>
                <w:sz w:val="19"/>
                <w:szCs w:val="19"/>
              </w:rPr>
              <w:t>4</w:t>
            </w:r>
            <w:r w:rsidR="007E3AD9">
              <w:rPr>
                <w:rFonts w:ascii="Arial" w:hAnsi="Arial" w:cs="Arial"/>
                <w:sz w:val="19"/>
                <w:szCs w:val="19"/>
              </w:rPr>
              <w:t>,</w:t>
            </w:r>
            <w:r w:rsidRPr="00811800">
              <w:rPr>
                <w:rFonts w:ascii="Arial" w:hAnsi="Arial" w:cs="Arial"/>
                <w:sz w:val="19"/>
                <w:szCs w:val="19"/>
              </w:rPr>
              <w:t>450.1</w:t>
            </w:r>
          </w:p>
        </w:tc>
        <w:tc>
          <w:tcPr>
            <w:tcW w:w="499" w:type="pct"/>
            <w:shd w:val="clear" w:color="auto" w:fill="auto"/>
            <w:noWrap/>
            <w:vAlign w:val="center"/>
            <w:hideMark/>
          </w:tcPr>
          <w:p w14:paraId="2A03EF08" w14:textId="7199F4E4" w:rsidR="0062327A" w:rsidRPr="00811800" w:rsidRDefault="0062327A" w:rsidP="00F07E0C">
            <w:pPr>
              <w:jc w:val="right"/>
              <w:rPr>
                <w:rFonts w:ascii="Arial" w:hAnsi="Arial" w:cs="Arial"/>
                <w:sz w:val="19"/>
                <w:szCs w:val="19"/>
              </w:rPr>
            </w:pPr>
            <w:r w:rsidRPr="00811800">
              <w:rPr>
                <w:rFonts w:ascii="Arial" w:hAnsi="Arial" w:cs="Arial"/>
                <w:sz w:val="19"/>
                <w:szCs w:val="19"/>
              </w:rPr>
              <w:t>7</w:t>
            </w:r>
            <w:r w:rsidR="0003232C">
              <w:rPr>
                <w:rFonts w:ascii="Arial" w:hAnsi="Arial" w:cs="Arial"/>
                <w:sz w:val="19"/>
                <w:szCs w:val="19"/>
              </w:rPr>
              <w:t>,</w:t>
            </w:r>
            <w:r w:rsidRPr="00811800">
              <w:rPr>
                <w:rFonts w:ascii="Arial" w:hAnsi="Arial" w:cs="Arial"/>
                <w:sz w:val="19"/>
                <w:szCs w:val="19"/>
              </w:rPr>
              <w:t>900</w:t>
            </w:r>
            <w:r w:rsidR="0003232C">
              <w:rPr>
                <w:rFonts w:ascii="Arial" w:hAnsi="Arial" w:cs="Arial"/>
                <w:sz w:val="19"/>
                <w:szCs w:val="19"/>
              </w:rPr>
              <w:t>.0</w:t>
            </w:r>
          </w:p>
        </w:tc>
        <w:tc>
          <w:tcPr>
            <w:tcW w:w="499" w:type="pct"/>
            <w:shd w:val="clear" w:color="auto" w:fill="auto"/>
            <w:noWrap/>
            <w:vAlign w:val="center"/>
            <w:hideMark/>
          </w:tcPr>
          <w:p w14:paraId="73F5C1B2" w14:textId="74A00C02" w:rsidR="0062327A" w:rsidRPr="00811800" w:rsidRDefault="0062327A" w:rsidP="00F07E0C">
            <w:pPr>
              <w:jc w:val="right"/>
              <w:rPr>
                <w:rFonts w:ascii="Arial" w:hAnsi="Arial" w:cs="Arial"/>
                <w:sz w:val="19"/>
                <w:szCs w:val="19"/>
              </w:rPr>
            </w:pPr>
            <w:r w:rsidRPr="00811800">
              <w:rPr>
                <w:rFonts w:ascii="Arial" w:hAnsi="Arial" w:cs="Arial"/>
                <w:sz w:val="19"/>
                <w:szCs w:val="19"/>
              </w:rPr>
              <w:t>10</w:t>
            </w:r>
            <w:r w:rsidR="007E3AD9">
              <w:rPr>
                <w:rFonts w:ascii="Arial" w:hAnsi="Arial" w:cs="Arial"/>
                <w:sz w:val="19"/>
                <w:szCs w:val="19"/>
              </w:rPr>
              <w:t>,</w:t>
            </w:r>
            <w:r w:rsidRPr="00811800">
              <w:rPr>
                <w:rFonts w:ascii="Arial" w:hAnsi="Arial" w:cs="Arial"/>
                <w:sz w:val="19"/>
                <w:szCs w:val="19"/>
              </w:rPr>
              <w:t>659</w:t>
            </w:r>
            <w:r w:rsidR="0003232C">
              <w:rPr>
                <w:rFonts w:ascii="Arial" w:hAnsi="Arial" w:cs="Arial"/>
                <w:sz w:val="19"/>
                <w:szCs w:val="19"/>
              </w:rPr>
              <w:t>.0</w:t>
            </w:r>
          </w:p>
        </w:tc>
        <w:tc>
          <w:tcPr>
            <w:tcW w:w="497" w:type="pct"/>
            <w:shd w:val="clear" w:color="auto" w:fill="auto"/>
            <w:noWrap/>
            <w:vAlign w:val="center"/>
            <w:hideMark/>
          </w:tcPr>
          <w:p w14:paraId="3614C7EB" w14:textId="15E6CED1" w:rsidR="0062327A" w:rsidRPr="00811800" w:rsidRDefault="0062327A" w:rsidP="00F07E0C">
            <w:pPr>
              <w:jc w:val="right"/>
              <w:rPr>
                <w:rFonts w:ascii="Arial" w:hAnsi="Arial" w:cs="Arial"/>
                <w:sz w:val="19"/>
                <w:szCs w:val="19"/>
              </w:rPr>
            </w:pPr>
            <w:r w:rsidRPr="00811800">
              <w:rPr>
                <w:rFonts w:ascii="Arial" w:hAnsi="Arial" w:cs="Arial"/>
                <w:sz w:val="19"/>
                <w:szCs w:val="19"/>
              </w:rPr>
              <w:t>23</w:t>
            </w:r>
            <w:r w:rsidR="007E3AD9">
              <w:rPr>
                <w:rFonts w:ascii="Arial" w:hAnsi="Arial" w:cs="Arial"/>
                <w:sz w:val="19"/>
                <w:szCs w:val="19"/>
              </w:rPr>
              <w:t>,</w:t>
            </w:r>
            <w:r w:rsidRPr="00811800">
              <w:rPr>
                <w:rFonts w:ascii="Arial" w:hAnsi="Arial" w:cs="Arial"/>
                <w:sz w:val="19"/>
                <w:szCs w:val="19"/>
              </w:rPr>
              <w:t>898</w:t>
            </w:r>
            <w:r w:rsidR="0003232C">
              <w:rPr>
                <w:rFonts w:ascii="Arial" w:hAnsi="Arial" w:cs="Arial"/>
                <w:sz w:val="19"/>
                <w:szCs w:val="19"/>
              </w:rPr>
              <w:t>.0</w:t>
            </w:r>
          </w:p>
        </w:tc>
      </w:tr>
    </w:tbl>
    <w:p w14:paraId="64AE10E4" w14:textId="77777777" w:rsidR="00711191" w:rsidRPr="00811800" w:rsidRDefault="00711191" w:rsidP="00711191">
      <w:pPr>
        <w:pStyle w:val="Footnote"/>
      </w:pPr>
    </w:p>
    <w:p w14:paraId="04CAE18F" w14:textId="0408E919" w:rsidR="0062327A" w:rsidRPr="00811800" w:rsidRDefault="0062327A" w:rsidP="00711191">
      <w:pPr>
        <w:pStyle w:val="Footnote"/>
      </w:pPr>
      <w:r w:rsidRPr="00811800">
        <w:t>Note: C</w:t>
      </w:r>
      <w:r w:rsidR="00E07F88">
        <w:t>ompound annual growth rate (C</w:t>
      </w:r>
      <w:r w:rsidRPr="00811800">
        <w:t>AGR</w:t>
      </w:r>
      <w:r w:rsidR="00E07F88">
        <w:t xml:space="preserve">) </w:t>
      </w:r>
      <w:r w:rsidR="00203B2A">
        <w:t xml:space="preserve">was </w:t>
      </w:r>
      <w:r w:rsidRPr="00811800">
        <w:t>45.45 per cent</w:t>
      </w:r>
      <w:r w:rsidR="00E07F88">
        <w:t>.</w:t>
      </w:r>
    </w:p>
    <w:p w14:paraId="763BDF8C" w14:textId="027D2254" w:rsidR="0062327A" w:rsidRPr="003A56B2" w:rsidRDefault="0062327A" w:rsidP="003A56B2">
      <w:pPr>
        <w:pStyle w:val="Footnote"/>
        <w:rPr>
          <w:b/>
          <w:sz w:val="24"/>
        </w:rPr>
      </w:pPr>
      <w:r w:rsidRPr="00811800">
        <w:t xml:space="preserve">Source: Zhu </w:t>
      </w:r>
      <w:proofErr w:type="spellStart"/>
      <w:r w:rsidRPr="00811800">
        <w:t>Jin</w:t>
      </w:r>
      <w:proofErr w:type="spellEnd"/>
      <w:r w:rsidR="00A52D03">
        <w:t xml:space="preserve"> W</w:t>
      </w:r>
      <w:r w:rsidRPr="00811800">
        <w:t>ei, Wu Yuan</w:t>
      </w:r>
      <w:r w:rsidR="00A52D03">
        <w:t xml:space="preserve"> </w:t>
      </w:r>
      <w:proofErr w:type="spellStart"/>
      <w:r w:rsidR="00A52D03">
        <w:t>Y</w:t>
      </w:r>
      <w:r w:rsidRPr="00811800">
        <w:t>uan</w:t>
      </w:r>
      <w:proofErr w:type="spellEnd"/>
      <w:r w:rsidR="00A52D03">
        <w:t xml:space="preserve">, </w:t>
      </w:r>
      <w:r w:rsidRPr="00811800">
        <w:t>Han Chao</w:t>
      </w:r>
      <w:r w:rsidR="00A52D03">
        <w:t xml:space="preserve"> H</w:t>
      </w:r>
      <w:r w:rsidRPr="00811800">
        <w:t>ua,</w:t>
      </w:r>
      <w:r w:rsidR="00A52D03">
        <w:t xml:space="preserve"> Chen </w:t>
      </w:r>
      <w:proofErr w:type="spellStart"/>
      <w:r w:rsidR="00A52D03">
        <w:t>Jia</w:t>
      </w:r>
      <w:proofErr w:type="spellEnd"/>
      <w:r w:rsidR="00A52D03">
        <w:t xml:space="preserve"> </w:t>
      </w:r>
      <w:proofErr w:type="spellStart"/>
      <w:r w:rsidR="00A52D03">
        <w:t>Gui</w:t>
      </w:r>
      <w:proofErr w:type="spellEnd"/>
      <w:r w:rsidR="00A52D03">
        <w:t>,</w:t>
      </w:r>
      <w:r w:rsidR="00850464">
        <w:t xml:space="preserve"> </w:t>
      </w:r>
      <w:r w:rsidR="00A52D03">
        <w:t xml:space="preserve">and Huang </w:t>
      </w:r>
      <w:proofErr w:type="spellStart"/>
      <w:r w:rsidR="00A52D03">
        <w:t>Qun</w:t>
      </w:r>
      <w:proofErr w:type="spellEnd"/>
      <w:r w:rsidR="00A52D03">
        <w:t xml:space="preserve"> Hui,</w:t>
      </w:r>
      <w:r w:rsidRPr="00811800">
        <w:t xml:space="preserve"> </w:t>
      </w:r>
      <w:r w:rsidRPr="00B86A36">
        <w:rPr>
          <w:i/>
        </w:rPr>
        <w:t xml:space="preserve">Investigation of </w:t>
      </w:r>
      <w:proofErr w:type="spellStart"/>
      <w:r w:rsidRPr="00B86A36">
        <w:rPr>
          <w:i/>
        </w:rPr>
        <w:t>Suntech</w:t>
      </w:r>
      <w:proofErr w:type="spellEnd"/>
      <w:r w:rsidRPr="00B86A36">
        <w:rPr>
          <w:i/>
        </w:rPr>
        <w:t xml:space="preserve"> Power: Internationalized Management of Emerging Industries with </w:t>
      </w:r>
      <w:r w:rsidR="001107FF" w:rsidRPr="00B86A36">
        <w:rPr>
          <w:i/>
        </w:rPr>
        <w:t>High</w:t>
      </w:r>
      <w:r w:rsidRPr="00B86A36">
        <w:rPr>
          <w:i/>
        </w:rPr>
        <w:t xml:space="preserve"> Uncertaint</w:t>
      </w:r>
      <w:r w:rsidR="00330E25">
        <w:rPr>
          <w:i/>
        </w:rPr>
        <w:t xml:space="preserve">y, </w:t>
      </w:r>
      <w:r w:rsidR="00330E25" w:rsidRPr="005B292C">
        <w:t xml:space="preserve">Chinese </w:t>
      </w:r>
      <w:r w:rsidR="00330E25">
        <w:t>ed.</w:t>
      </w:r>
      <w:r w:rsidR="00330E25">
        <w:rPr>
          <w:rFonts w:eastAsiaTheme="minorEastAsia"/>
          <w:lang w:eastAsia="zh-CN"/>
        </w:rPr>
        <w:t xml:space="preserve"> </w:t>
      </w:r>
      <w:r w:rsidR="00D65C55">
        <w:rPr>
          <w:rFonts w:eastAsiaTheme="minorEastAsia" w:hint="eastAsia"/>
          <w:lang w:eastAsia="zh-CN"/>
        </w:rPr>
        <w:t xml:space="preserve">(Beijing: </w:t>
      </w:r>
      <w:r w:rsidRPr="00811800">
        <w:t>Econom</w:t>
      </w:r>
      <w:r w:rsidR="00330E25">
        <w:t>ic M</w:t>
      </w:r>
      <w:r w:rsidRPr="00811800">
        <w:t>anagement</w:t>
      </w:r>
      <w:r w:rsidR="00330E25">
        <w:t xml:space="preserve"> Press, </w:t>
      </w:r>
      <w:r w:rsidRPr="00811800">
        <w:t>2013</w:t>
      </w:r>
      <w:r w:rsidR="00975A60">
        <w:rPr>
          <w:rFonts w:eastAsiaTheme="minorEastAsia" w:hint="eastAsia"/>
          <w:lang w:eastAsia="zh-CN"/>
        </w:rPr>
        <w:t xml:space="preserve">), </w:t>
      </w:r>
      <w:r w:rsidR="00A2489F">
        <w:rPr>
          <w:rFonts w:eastAsiaTheme="minorEastAsia" w:hint="eastAsia"/>
          <w:lang w:eastAsia="zh-CN"/>
        </w:rPr>
        <w:t>5</w:t>
      </w:r>
      <w:r w:rsidRPr="00811800">
        <w:t>.</w:t>
      </w:r>
      <w:r w:rsidRPr="00811800">
        <w:rPr>
          <w:b/>
          <w:sz w:val="24"/>
        </w:rPr>
        <w:br w:type="page"/>
      </w:r>
    </w:p>
    <w:p w14:paraId="54C7919B" w14:textId="70DE3970" w:rsidR="0062327A" w:rsidRPr="00811800" w:rsidRDefault="0062327A" w:rsidP="00AD32E8">
      <w:pPr>
        <w:pStyle w:val="ExhibitHeading"/>
      </w:pPr>
      <w:r w:rsidRPr="00811800">
        <w:lastRenderedPageBreak/>
        <w:t xml:space="preserve">Exhibit </w:t>
      </w:r>
      <w:r w:rsidR="00773287">
        <w:rPr>
          <w:rFonts w:eastAsiaTheme="minorEastAsia" w:hint="eastAsia"/>
          <w:lang w:eastAsia="zh-CN"/>
        </w:rPr>
        <w:t>3</w:t>
      </w:r>
      <w:r w:rsidRPr="00811800">
        <w:t>: Global Solar Energy Industry Growth 2000–2010</w:t>
      </w:r>
    </w:p>
    <w:p w14:paraId="0729BAC8" w14:textId="77777777" w:rsidR="0062327A" w:rsidRPr="00811800" w:rsidRDefault="0062327A" w:rsidP="00AD32E8">
      <w:pPr>
        <w:pStyle w:val="ExhibitHeading"/>
      </w:pPr>
    </w:p>
    <w:p w14:paraId="66EF4B78" w14:textId="77777777" w:rsidR="0062327A" w:rsidRPr="00811800" w:rsidRDefault="00AD32E8" w:rsidP="0062327A">
      <w:pPr>
        <w:tabs>
          <w:tab w:val="left" w:pos="5954"/>
        </w:tabs>
        <w:spacing w:after="240"/>
        <w:ind w:left="840"/>
        <w:rPr>
          <w:b/>
          <w:sz w:val="24"/>
        </w:rPr>
      </w:pPr>
      <w:r w:rsidRPr="00811800">
        <w:rPr>
          <w:noProof/>
          <w:sz w:val="24"/>
          <w:lang w:eastAsia="en-GB"/>
        </w:rPr>
        <mc:AlternateContent>
          <mc:Choice Requires="wps">
            <w:drawing>
              <wp:anchor distT="0" distB="0" distL="114300" distR="114300" simplePos="0" relativeHeight="251654656" behindDoc="0" locked="0" layoutInCell="1" allowOverlap="1" wp14:anchorId="5AC569D3" wp14:editId="627998C0">
                <wp:simplePos x="0" y="0"/>
                <wp:positionH relativeFrom="column">
                  <wp:posOffset>1692322</wp:posOffset>
                </wp:positionH>
                <wp:positionV relativeFrom="paragraph">
                  <wp:posOffset>952462</wp:posOffset>
                </wp:positionV>
                <wp:extent cx="921224" cy="695325"/>
                <wp:effectExtent l="0" t="0" r="0" b="9525"/>
                <wp:wrapNone/>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1224" cy="695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FBA638" w14:textId="77777777" w:rsidR="00F07E0C" w:rsidRPr="00AD32E8" w:rsidRDefault="00F07E0C" w:rsidP="0062327A">
                            <w:pPr>
                              <w:jc w:val="center"/>
                              <w:rPr>
                                <w:rFonts w:ascii="Arial" w:hAnsi="Arial" w:cs="Arial"/>
                                <w:color w:val="595959" w:themeColor="text1" w:themeTint="A6"/>
                                <w:sz w:val="18"/>
                                <w:szCs w:val="18"/>
                              </w:rPr>
                            </w:pPr>
                            <w:r w:rsidRPr="00AD32E8">
                              <w:rPr>
                                <w:rFonts w:ascii="Arial" w:hAnsi="Arial" w:cs="Arial"/>
                                <w:b/>
                                <w:color w:val="595959" w:themeColor="text1" w:themeTint="A6"/>
                                <w:sz w:val="18"/>
                                <w:szCs w:val="18"/>
                              </w:rPr>
                              <w:t>CAGR 2000-2007:</w:t>
                            </w:r>
                            <w:r w:rsidRPr="00AD32E8">
                              <w:rPr>
                                <w:rFonts w:ascii="Arial" w:hAnsi="Arial" w:cs="Arial"/>
                                <w:color w:val="595959" w:themeColor="text1" w:themeTint="A6"/>
                                <w:sz w:val="18"/>
                                <w:szCs w:val="18"/>
                              </w:rPr>
                              <w:t xml:space="preserve"> 30.87</w:t>
                            </w:r>
                            <w:r>
                              <w:rPr>
                                <w:rFonts w:ascii="Arial" w:hAnsi="Arial" w:cs="Arial"/>
                                <w:color w:val="595959" w:themeColor="text1" w:themeTint="A6"/>
                                <w:sz w:val="18"/>
                                <w:szCs w:val="18"/>
                              </w:rPr>
                              <w:t xml:space="preserve"> per cent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C569D3" id="_x0000_t202" coordsize="21600,21600" o:spt="202" path="m,l,21600r21600,l21600,xe">
                <v:stroke joinstyle="miter"/>
                <v:path gradientshapeok="t" o:connecttype="rect"/>
              </v:shapetype>
              <v:shape id="Text Box 8" o:spid="_x0000_s1026" type="#_x0000_t202" style="position:absolute;left:0;text-align:left;margin-left:133.25pt;margin-top:75pt;width:72.55pt;height:54.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" stroked="f">
                <v:textbox>
                  <w:txbxContent>
                    <w:p w14:paraId="7DFBA638" w14:textId="77777777" w:rsidR="00F07E0C" w:rsidRPr="00AD32E8" w:rsidRDefault="00F07E0C" w:rsidP="0062327A">
                      <w:pPr>
                        <w:jc w:val="center"/>
                        <w:rPr>
                          <w:rFonts w:ascii="Arial" w:hAnsi="Arial" w:cs="Arial"/>
                          <w:color w:val="595959" w:themeColor="text1" w:themeTint="A6"/>
                          <w:sz w:val="18"/>
                          <w:szCs w:val="18"/>
                        </w:rPr>
                      </w:pPr>
                      <w:r w:rsidRPr="00AD32E8">
                        <w:rPr>
                          <w:rFonts w:ascii="Arial" w:hAnsi="Arial" w:cs="Arial"/>
                          <w:b/>
                          <w:color w:val="595959" w:themeColor="text1" w:themeTint="A6"/>
                          <w:sz w:val="18"/>
                          <w:szCs w:val="18"/>
                        </w:rPr>
                        <w:t>CAGR 2000-2007:</w:t>
                      </w:r>
                      <w:r w:rsidRPr="00AD32E8">
                        <w:rPr>
                          <w:rFonts w:ascii="Arial" w:hAnsi="Arial" w:cs="Arial"/>
                          <w:color w:val="595959" w:themeColor="text1" w:themeTint="A6"/>
                          <w:sz w:val="18"/>
                          <w:szCs w:val="18"/>
                        </w:rPr>
                        <w:t xml:space="preserve"> 30.87</w:t>
                      </w:r>
                      <w:r>
                        <w:rPr>
                          <w:rFonts w:ascii="Arial" w:hAnsi="Arial" w:cs="Arial"/>
                          <w:color w:val="595959" w:themeColor="text1" w:themeTint="A6"/>
                          <w:sz w:val="18"/>
                          <w:szCs w:val="18"/>
                        </w:rPr>
                        <w:t xml:space="preserve"> per cent</w:t>
                      </w:r>
                    </w:p>
                  </w:txbxContent>
                </v:textbox>
              </v:shape>
            </w:pict>
          </mc:Fallback>
        </mc:AlternateContent>
      </w:r>
      <w:r w:rsidR="0062327A" w:rsidRPr="00811800">
        <w:rPr>
          <w:noProof/>
          <w:sz w:val="24"/>
          <w:lang w:eastAsia="en-GB"/>
        </w:rPr>
        <mc:AlternateContent>
          <mc:Choice Requires="wps">
            <w:drawing>
              <wp:anchor distT="0" distB="0" distL="114300" distR="114300" simplePos="0" relativeHeight="251652608" behindDoc="0" locked="0" layoutInCell="1" allowOverlap="1" wp14:anchorId="6DE5ECA4" wp14:editId="28B44930">
                <wp:simplePos x="0" y="0"/>
                <wp:positionH relativeFrom="column">
                  <wp:posOffset>3563620</wp:posOffset>
                </wp:positionH>
                <wp:positionV relativeFrom="paragraph">
                  <wp:posOffset>257175</wp:posOffset>
                </wp:positionV>
                <wp:extent cx="863600" cy="1312545"/>
                <wp:effectExtent l="0" t="38100" r="50800" b="20955"/>
                <wp:wrapNone/>
                <wp:docPr id="14"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63600" cy="1312545"/>
                        </a:xfrm>
                        <a:prstGeom prst="straightConnector1">
                          <a:avLst/>
                        </a:prstGeom>
                        <a:noFill/>
                        <a:ln w="9525">
                          <a:solidFill>
                            <a:schemeClr val="tx1">
                              <a:lumMod val="65000"/>
                              <a:lumOff val="3500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8001C6F" id="_x0000_t32" coordsize="21600,21600" o:spt="32" o:oned="t" path="m,l21600,21600e" filled="f">
                <v:path arrowok="t" fillok="f" o:connecttype="none"/>
                <o:lock v:ext="edit" shapetype="t"/>
              </v:shapetype>
              <v:shape id="Straight Arrow Connector 13" o:spid="_x0000_s1026" type="#_x0000_t32" style="position:absolute;margin-left:280.6pt;margin-top:20.25pt;width:68pt;height:103.35pt;flip:y;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" strokecolor="#5a5a5a [2109]">
                <v:stroke endarrow="block"/>
              </v:shape>
            </w:pict>
          </mc:Fallback>
        </mc:AlternateContent>
      </w:r>
      <w:r w:rsidR="0062327A" w:rsidRPr="00811800">
        <w:rPr>
          <w:b/>
          <w:noProof/>
          <w:sz w:val="24"/>
          <w:lang w:eastAsia="en-GB"/>
        </w:rPr>
        <mc:AlternateContent>
          <mc:Choice Requires="wps">
            <w:drawing>
              <wp:anchor distT="0" distB="0" distL="114300" distR="114300" simplePos="0" relativeHeight="251651584" behindDoc="0" locked="0" layoutInCell="1" allowOverlap="1" wp14:anchorId="276888C9" wp14:editId="70545265">
                <wp:simplePos x="0" y="0"/>
                <wp:positionH relativeFrom="column">
                  <wp:posOffset>3054350</wp:posOffset>
                </wp:positionH>
                <wp:positionV relativeFrom="paragraph">
                  <wp:posOffset>257175</wp:posOffset>
                </wp:positionV>
                <wp:extent cx="952500" cy="695325"/>
                <wp:effectExtent l="0" t="0" r="0" b="9525"/>
                <wp:wrapNone/>
                <wp:docPr id="1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695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A02E12" w14:textId="77777777" w:rsidR="00F07E0C" w:rsidRPr="00AD32E8" w:rsidRDefault="00F07E0C" w:rsidP="0062327A">
                            <w:pPr>
                              <w:jc w:val="center"/>
                              <w:rPr>
                                <w:rFonts w:ascii="Arial" w:hAnsi="Arial" w:cs="Arial"/>
                                <w:b/>
                                <w:color w:val="595959" w:themeColor="text1" w:themeTint="A6"/>
                                <w:sz w:val="18"/>
                                <w:szCs w:val="18"/>
                              </w:rPr>
                            </w:pPr>
                            <w:r w:rsidRPr="00AD32E8">
                              <w:rPr>
                                <w:rFonts w:ascii="Arial" w:hAnsi="Arial" w:cs="Arial"/>
                                <w:b/>
                                <w:color w:val="595959" w:themeColor="text1" w:themeTint="A6"/>
                                <w:sz w:val="18"/>
                                <w:szCs w:val="18"/>
                              </w:rPr>
                              <w:t xml:space="preserve">CAGR </w:t>
                            </w:r>
                          </w:p>
                          <w:p w14:paraId="75144572" w14:textId="77777777" w:rsidR="00F07E0C" w:rsidRPr="00AD32E8" w:rsidRDefault="00F07E0C" w:rsidP="0062327A">
                            <w:pPr>
                              <w:jc w:val="center"/>
                              <w:rPr>
                                <w:rFonts w:ascii="Arial" w:hAnsi="Arial" w:cs="Arial"/>
                                <w:b/>
                                <w:color w:val="595959" w:themeColor="text1" w:themeTint="A6"/>
                                <w:sz w:val="18"/>
                                <w:szCs w:val="18"/>
                              </w:rPr>
                            </w:pPr>
                            <w:r w:rsidRPr="00AD32E8">
                              <w:rPr>
                                <w:rFonts w:ascii="Arial" w:hAnsi="Arial" w:cs="Arial"/>
                                <w:b/>
                                <w:color w:val="595959" w:themeColor="text1" w:themeTint="A6"/>
                                <w:sz w:val="18"/>
                                <w:szCs w:val="18"/>
                              </w:rPr>
                              <w:t>2007-2010:</w:t>
                            </w:r>
                          </w:p>
                          <w:p w14:paraId="25B92F9C" w14:textId="77777777" w:rsidR="00F07E0C" w:rsidRPr="00AD32E8" w:rsidRDefault="00F07E0C" w:rsidP="0062327A">
                            <w:pPr>
                              <w:jc w:val="center"/>
                              <w:rPr>
                                <w:rFonts w:ascii="Arial" w:hAnsi="Arial" w:cs="Arial"/>
                                <w:color w:val="595959" w:themeColor="text1" w:themeTint="A6"/>
                                <w:sz w:val="18"/>
                                <w:szCs w:val="18"/>
                              </w:rPr>
                            </w:pPr>
                            <w:r w:rsidRPr="00AD32E8">
                              <w:rPr>
                                <w:rFonts w:ascii="Arial" w:hAnsi="Arial" w:cs="Arial"/>
                                <w:color w:val="595959" w:themeColor="text1" w:themeTint="A6"/>
                                <w:sz w:val="18"/>
                                <w:szCs w:val="18"/>
                              </w:rPr>
                              <w:t>45.73</w:t>
                            </w:r>
                            <w:r>
                              <w:rPr>
                                <w:rFonts w:ascii="Arial" w:hAnsi="Arial" w:cs="Arial"/>
                                <w:color w:val="595959" w:themeColor="text1" w:themeTint="A6"/>
                                <w:sz w:val="18"/>
                                <w:szCs w:val="18"/>
                              </w:rPr>
                              <w:t xml:space="preserve"> per cent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6888C9" id="Text Box 12" o:spid="_x0000_s1027" type="#_x0000_t202" style="position:absolute;left:0;text-align:left;margin-left:240.5pt;margin-top:20.25pt;width:75pt;height:54.7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" stroked="f">
                <v:textbox>
                  <w:txbxContent>
                    <w:p w14:paraId="2DA02E12" w14:textId="77777777" w:rsidR="00F07E0C" w:rsidRPr="00AD32E8" w:rsidRDefault="00F07E0C" w:rsidP="0062327A">
                      <w:pPr>
                        <w:jc w:val="center"/>
                        <w:rPr>
                          <w:rFonts w:ascii="Arial" w:hAnsi="Arial" w:cs="Arial"/>
                          <w:b/>
                          <w:color w:val="595959" w:themeColor="text1" w:themeTint="A6"/>
                          <w:sz w:val="18"/>
                          <w:szCs w:val="18"/>
                        </w:rPr>
                      </w:pPr>
                      <w:r w:rsidRPr="00AD32E8">
                        <w:rPr>
                          <w:rFonts w:ascii="Arial" w:hAnsi="Arial" w:cs="Arial"/>
                          <w:b/>
                          <w:color w:val="595959" w:themeColor="text1" w:themeTint="A6"/>
                          <w:sz w:val="18"/>
                          <w:szCs w:val="18"/>
                        </w:rPr>
                        <w:t xml:space="preserve">CAGR </w:t>
                      </w:r>
                    </w:p>
                    <w:p w14:paraId="75144572" w14:textId="77777777" w:rsidR="00F07E0C" w:rsidRPr="00AD32E8" w:rsidRDefault="00F07E0C" w:rsidP="0062327A">
                      <w:pPr>
                        <w:jc w:val="center"/>
                        <w:rPr>
                          <w:rFonts w:ascii="Arial" w:hAnsi="Arial" w:cs="Arial"/>
                          <w:b/>
                          <w:color w:val="595959" w:themeColor="text1" w:themeTint="A6"/>
                          <w:sz w:val="18"/>
                          <w:szCs w:val="18"/>
                        </w:rPr>
                      </w:pPr>
                      <w:r w:rsidRPr="00AD32E8">
                        <w:rPr>
                          <w:rFonts w:ascii="Arial" w:hAnsi="Arial" w:cs="Arial"/>
                          <w:b/>
                          <w:color w:val="595959" w:themeColor="text1" w:themeTint="A6"/>
                          <w:sz w:val="18"/>
                          <w:szCs w:val="18"/>
                        </w:rPr>
                        <w:t>2007-2010:</w:t>
                      </w:r>
                    </w:p>
                    <w:p w14:paraId="25B92F9C" w14:textId="77777777" w:rsidR="00F07E0C" w:rsidRPr="00AD32E8" w:rsidRDefault="00F07E0C" w:rsidP="0062327A">
                      <w:pPr>
                        <w:jc w:val="center"/>
                        <w:rPr>
                          <w:rFonts w:ascii="Arial" w:hAnsi="Arial" w:cs="Arial"/>
                          <w:color w:val="595959" w:themeColor="text1" w:themeTint="A6"/>
                          <w:sz w:val="18"/>
                          <w:szCs w:val="18"/>
                        </w:rPr>
                      </w:pPr>
                      <w:r w:rsidRPr="00AD32E8">
                        <w:rPr>
                          <w:rFonts w:ascii="Arial" w:hAnsi="Arial" w:cs="Arial"/>
                          <w:color w:val="595959" w:themeColor="text1" w:themeTint="A6"/>
                          <w:sz w:val="18"/>
                          <w:szCs w:val="18"/>
                        </w:rPr>
                        <w:t>45.73</w:t>
                      </w:r>
                      <w:r>
                        <w:rPr>
                          <w:rFonts w:ascii="Arial" w:hAnsi="Arial" w:cs="Arial"/>
                          <w:color w:val="595959" w:themeColor="text1" w:themeTint="A6"/>
                          <w:sz w:val="18"/>
                          <w:szCs w:val="18"/>
                        </w:rPr>
                        <w:t xml:space="preserve"> per cent</w:t>
                      </w:r>
                    </w:p>
                  </w:txbxContent>
                </v:textbox>
              </v:shape>
            </w:pict>
          </mc:Fallback>
        </mc:AlternateContent>
      </w:r>
      <w:r w:rsidR="0062327A" w:rsidRPr="00811800">
        <w:rPr>
          <w:noProof/>
          <w:sz w:val="24"/>
          <w:lang w:eastAsia="en-GB"/>
        </w:rPr>
        <mc:AlternateContent>
          <mc:Choice Requires="wps">
            <w:drawing>
              <wp:anchor distT="0" distB="0" distL="114300" distR="114300" simplePos="0" relativeHeight="251653632" behindDoc="0" locked="0" layoutInCell="1" allowOverlap="1" wp14:anchorId="6DE9E28D" wp14:editId="40A530C9">
                <wp:simplePos x="0" y="0"/>
                <wp:positionH relativeFrom="column">
                  <wp:posOffset>1295400</wp:posOffset>
                </wp:positionH>
                <wp:positionV relativeFrom="paragraph">
                  <wp:posOffset>1571625</wp:posOffset>
                </wp:positionV>
                <wp:extent cx="2276475" cy="285750"/>
                <wp:effectExtent l="0" t="57150" r="9525" b="19050"/>
                <wp:wrapNone/>
                <wp:docPr id="12"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76475" cy="285750"/>
                        </a:xfrm>
                        <a:prstGeom prst="straightConnector1">
                          <a:avLst/>
                        </a:prstGeom>
                        <a:noFill/>
                        <a:ln w="9525">
                          <a:solidFill>
                            <a:schemeClr val="tx1">
                              <a:lumMod val="65000"/>
                              <a:lumOff val="3500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B28E4B" id="Straight Arrow Connector 10" o:spid="_x0000_s1026" type="#_x0000_t32" style="position:absolute;margin-left:102pt;margin-top:123.75pt;width:179.25pt;height:22.5pt;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" strokecolor="#5a5a5a [2109]">
                <v:stroke endarrow="block"/>
              </v:shape>
            </w:pict>
          </mc:Fallback>
        </mc:AlternateContent>
      </w:r>
      <w:r w:rsidR="0062327A" w:rsidRPr="00811800">
        <w:rPr>
          <w:noProof/>
          <w:sz w:val="24"/>
          <w:lang w:eastAsia="en-GB"/>
        </w:rPr>
        <w:drawing>
          <wp:inline distT="0" distB="0" distL="0" distR="0" wp14:anchorId="1C4D68B6" wp14:editId="0EDC9DBC">
            <wp:extent cx="4622800" cy="2368550"/>
            <wp:effectExtent l="0" t="0" r="6350" b="12700"/>
            <wp:docPr id="7"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52F1902" w14:textId="79CE5391" w:rsidR="0062327A" w:rsidRPr="00811800" w:rsidRDefault="0062327A" w:rsidP="008553E2">
      <w:pPr>
        <w:pStyle w:val="Footnote"/>
      </w:pPr>
      <w:r w:rsidRPr="00811800">
        <w:t xml:space="preserve">Source: </w:t>
      </w:r>
      <w:r w:rsidR="004A75DC" w:rsidRPr="00811800">
        <w:t xml:space="preserve">Zhu </w:t>
      </w:r>
      <w:proofErr w:type="spellStart"/>
      <w:r w:rsidR="004A75DC" w:rsidRPr="00811800">
        <w:t>Jin</w:t>
      </w:r>
      <w:proofErr w:type="spellEnd"/>
      <w:r w:rsidR="004A75DC">
        <w:t xml:space="preserve"> W</w:t>
      </w:r>
      <w:r w:rsidR="004A75DC" w:rsidRPr="00811800">
        <w:t>ei, Wu Yuan</w:t>
      </w:r>
      <w:r w:rsidR="004A75DC">
        <w:t xml:space="preserve"> </w:t>
      </w:r>
      <w:proofErr w:type="spellStart"/>
      <w:r w:rsidR="004A75DC">
        <w:t>Y</w:t>
      </w:r>
      <w:r w:rsidR="004A75DC" w:rsidRPr="00811800">
        <w:t>uan</w:t>
      </w:r>
      <w:proofErr w:type="spellEnd"/>
      <w:r w:rsidR="004A75DC">
        <w:t xml:space="preserve">, </w:t>
      </w:r>
      <w:r w:rsidR="004A75DC" w:rsidRPr="00811800">
        <w:t>Han Chao</w:t>
      </w:r>
      <w:r w:rsidR="004A75DC">
        <w:t xml:space="preserve"> H</w:t>
      </w:r>
      <w:r w:rsidR="004A75DC" w:rsidRPr="00811800">
        <w:t>ua,</w:t>
      </w:r>
      <w:r w:rsidR="004A75DC">
        <w:t xml:space="preserve"> Chen </w:t>
      </w:r>
      <w:proofErr w:type="spellStart"/>
      <w:r w:rsidR="004A75DC">
        <w:t>Jia</w:t>
      </w:r>
      <w:proofErr w:type="spellEnd"/>
      <w:r w:rsidR="004A75DC">
        <w:t xml:space="preserve"> </w:t>
      </w:r>
      <w:proofErr w:type="spellStart"/>
      <w:r w:rsidR="004A75DC">
        <w:t>Gui</w:t>
      </w:r>
      <w:proofErr w:type="spellEnd"/>
      <w:r w:rsidR="004A75DC">
        <w:t>,</w:t>
      </w:r>
      <w:r w:rsidR="00850464">
        <w:t xml:space="preserve"> </w:t>
      </w:r>
      <w:r w:rsidR="004A75DC">
        <w:t xml:space="preserve">and Huang </w:t>
      </w:r>
      <w:proofErr w:type="spellStart"/>
      <w:r w:rsidR="004A75DC">
        <w:t>Qun</w:t>
      </w:r>
      <w:proofErr w:type="spellEnd"/>
      <w:r w:rsidR="004A75DC">
        <w:t xml:space="preserve"> Hui,</w:t>
      </w:r>
      <w:r w:rsidR="004A75DC" w:rsidRPr="00811800">
        <w:t xml:space="preserve"> </w:t>
      </w:r>
      <w:r w:rsidR="004A75DC" w:rsidRPr="00B86A36">
        <w:rPr>
          <w:i/>
        </w:rPr>
        <w:t xml:space="preserve">Investigation of </w:t>
      </w:r>
      <w:proofErr w:type="spellStart"/>
      <w:r w:rsidR="004A75DC" w:rsidRPr="00B86A36">
        <w:rPr>
          <w:i/>
        </w:rPr>
        <w:t>Suntech</w:t>
      </w:r>
      <w:proofErr w:type="spellEnd"/>
      <w:r w:rsidR="004A75DC" w:rsidRPr="00B86A36">
        <w:rPr>
          <w:i/>
        </w:rPr>
        <w:t xml:space="preserve"> Power: Internationalized Management of Emerging Industries with High Uncertaint</w:t>
      </w:r>
      <w:r w:rsidR="004A75DC">
        <w:rPr>
          <w:i/>
        </w:rPr>
        <w:t xml:space="preserve">y, </w:t>
      </w:r>
      <w:r w:rsidR="004A75DC" w:rsidRPr="00DD54A6">
        <w:t xml:space="preserve">Chinese </w:t>
      </w:r>
      <w:r w:rsidR="004A75DC">
        <w:t>ed.</w:t>
      </w:r>
      <w:r w:rsidR="004A75DC">
        <w:rPr>
          <w:rFonts w:eastAsiaTheme="minorEastAsia"/>
          <w:lang w:eastAsia="zh-CN"/>
        </w:rPr>
        <w:t xml:space="preserve"> </w:t>
      </w:r>
      <w:r w:rsidR="004A75DC">
        <w:rPr>
          <w:rFonts w:eastAsiaTheme="minorEastAsia" w:hint="eastAsia"/>
          <w:lang w:eastAsia="zh-CN"/>
        </w:rPr>
        <w:t xml:space="preserve">(Beijing: </w:t>
      </w:r>
      <w:r w:rsidR="004A75DC" w:rsidRPr="00811800">
        <w:t>Econom</w:t>
      </w:r>
      <w:r w:rsidR="004A75DC">
        <w:t>ic M</w:t>
      </w:r>
      <w:r w:rsidR="004A75DC" w:rsidRPr="00811800">
        <w:t>anagement</w:t>
      </w:r>
      <w:r w:rsidR="004A75DC">
        <w:t xml:space="preserve"> Press, </w:t>
      </w:r>
      <w:r w:rsidR="00DF09EB" w:rsidRPr="00811800">
        <w:t>2013</w:t>
      </w:r>
      <w:r w:rsidR="00DF09EB">
        <w:rPr>
          <w:rFonts w:eastAsiaTheme="minorEastAsia" w:hint="eastAsia"/>
          <w:lang w:eastAsia="zh-CN"/>
        </w:rPr>
        <w:t>), 97</w:t>
      </w:r>
      <w:r w:rsidR="00DF09EB" w:rsidRPr="00811800">
        <w:t>.</w:t>
      </w:r>
    </w:p>
    <w:p w14:paraId="7ADF101B" w14:textId="77777777" w:rsidR="0062327A" w:rsidRPr="00811800" w:rsidRDefault="0062327A" w:rsidP="008553E2">
      <w:pPr>
        <w:pStyle w:val="BodyTextMain"/>
      </w:pPr>
    </w:p>
    <w:p w14:paraId="5A79C65B" w14:textId="77777777" w:rsidR="008553E2" w:rsidRPr="00811800" w:rsidRDefault="008553E2" w:rsidP="008553E2">
      <w:pPr>
        <w:pStyle w:val="BodyTextMain"/>
      </w:pPr>
    </w:p>
    <w:p w14:paraId="0CBB764A" w14:textId="681634B1" w:rsidR="0062327A" w:rsidRPr="00811800" w:rsidRDefault="0062327A" w:rsidP="008553E2">
      <w:pPr>
        <w:pStyle w:val="ExhibitHeading"/>
      </w:pPr>
      <w:r w:rsidRPr="00811800">
        <w:t xml:space="preserve">Exhibit </w:t>
      </w:r>
      <w:r w:rsidR="00773287">
        <w:rPr>
          <w:rFonts w:eastAsiaTheme="minorEastAsia" w:hint="eastAsia"/>
          <w:lang w:eastAsia="zh-CN"/>
        </w:rPr>
        <w:t>4</w:t>
      </w:r>
      <w:r w:rsidRPr="00811800">
        <w:t>: S</w:t>
      </w:r>
      <w:r w:rsidR="00E07F88">
        <w:t>untech power holdings’</w:t>
      </w:r>
      <w:r w:rsidR="0003232C">
        <w:t>s</w:t>
      </w:r>
      <w:r w:rsidR="00E07F88">
        <w:t xml:space="preserve"> </w:t>
      </w:r>
      <w:r w:rsidRPr="00811800">
        <w:t>Production Lines and Aggregate Capacity 2002–2011</w:t>
      </w:r>
    </w:p>
    <w:p w14:paraId="0EB5B793" w14:textId="77777777" w:rsidR="0062327A" w:rsidRPr="00811800" w:rsidRDefault="0062327A" w:rsidP="008553E2">
      <w:pPr>
        <w:pStyle w:val="ExhibitHeading"/>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71"/>
        <w:gridCol w:w="718"/>
        <w:gridCol w:w="716"/>
        <w:gridCol w:w="720"/>
        <w:gridCol w:w="720"/>
        <w:gridCol w:w="810"/>
        <w:gridCol w:w="812"/>
        <w:gridCol w:w="899"/>
        <w:gridCol w:w="899"/>
        <w:gridCol w:w="989"/>
        <w:gridCol w:w="896"/>
      </w:tblGrid>
      <w:tr w:rsidR="0003232C" w:rsidRPr="00811800" w14:paraId="03D3E48F" w14:textId="77777777" w:rsidTr="00F07E0C">
        <w:trPr>
          <w:trHeight w:val="300"/>
          <w:jc w:val="center"/>
        </w:trPr>
        <w:tc>
          <w:tcPr>
            <w:tcW w:w="626" w:type="pct"/>
            <w:shd w:val="clear" w:color="auto" w:fill="auto"/>
            <w:noWrap/>
            <w:vAlign w:val="center"/>
            <w:hideMark/>
          </w:tcPr>
          <w:p w14:paraId="6C5028D7" w14:textId="77777777" w:rsidR="0062327A" w:rsidRPr="00811800" w:rsidRDefault="0062327A" w:rsidP="005B292C">
            <w:pPr>
              <w:jc w:val="center"/>
              <w:rPr>
                <w:rFonts w:ascii="Arial" w:hAnsi="Arial" w:cs="Arial"/>
                <w:b/>
                <w:sz w:val="19"/>
                <w:szCs w:val="19"/>
              </w:rPr>
            </w:pPr>
            <w:r w:rsidRPr="00811800">
              <w:rPr>
                <w:rFonts w:ascii="Arial" w:hAnsi="Arial" w:cs="Arial"/>
                <w:b/>
                <w:sz w:val="19"/>
                <w:szCs w:val="19"/>
              </w:rPr>
              <w:t>Year</w:t>
            </w:r>
          </w:p>
        </w:tc>
        <w:tc>
          <w:tcPr>
            <w:tcW w:w="384" w:type="pct"/>
            <w:shd w:val="clear" w:color="auto" w:fill="auto"/>
            <w:noWrap/>
            <w:vAlign w:val="center"/>
            <w:hideMark/>
          </w:tcPr>
          <w:p w14:paraId="5A3BA0E9" w14:textId="77777777" w:rsidR="0062327A" w:rsidRPr="00811800" w:rsidRDefault="0062327A" w:rsidP="00C316BA">
            <w:pPr>
              <w:jc w:val="center"/>
              <w:rPr>
                <w:rFonts w:ascii="Arial" w:hAnsi="Arial" w:cs="Arial"/>
                <w:b/>
                <w:sz w:val="19"/>
                <w:szCs w:val="19"/>
              </w:rPr>
            </w:pPr>
            <w:r w:rsidRPr="00811800">
              <w:rPr>
                <w:rFonts w:ascii="Arial" w:hAnsi="Arial" w:cs="Arial"/>
                <w:b/>
                <w:sz w:val="19"/>
                <w:szCs w:val="19"/>
              </w:rPr>
              <w:t>2002</w:t>
            </w:r>
          </w:p>
        </w:tc>
        <w:tc>
          <w:tcPr>
            <w:tcW w:w="383" w:type="pct"/>
            <w:shd w:val="clear" w:color="auto" w:fill="auto"/>
            <w:noWrap/>
            <w:vAlign w:val="center"/>
            <w:hideMark/>
          </w:tcPr>
          <w:p w14:paraId="3C98FE8F" w14:textId="77777777" w:rsidR="0062327A" w:rsidRPr="00811800" w:rsidRDefault="0062327A" w:rsidP="00BB4BE3">
            <w:pPr>
              <w:jc w:val="center"/>
              <w:rPr>
                <w:rFonts w:ascii="Arial" w:hAnsi="Arial" w:cs="Arial"/>
                <w:b/>
                <w:sz w:val="19"/>
                <w:szCs w:val="19"/>
              </w:rPr>
            </w:pPr>
            <w:r w:rsidRPr="00811800">
              <w:rPr>
                <w:rFonts w:ascii="Arial" w:hAnsi="Arial" w:cs="Arial"/>
                <w:b/>
                <w:sz w:val="19"/>
                <w:szCs w:val="19"/>
              </w:rPr>
              <w:t>2003</w:t>
            </w:r>
          </w:p>
        </w:tc>
        <w:tc>
          <w:tcPr>
            <w:tcW w:w="385" w:type="pct"/>
            <w:shd w:val="clear" w:color="auto" w:fill="auto"/>
            <w:noWrap/>
            <w:vAlign w:val="center"/>
            <w:hideMark/>
          </w:tcPr>
          <w:p w14:paraId="546A8DB6" w14:textId="77777777" w:rsidR="0062327A" w:rsidRPr="00811800" w:rsidRDefault="0062327A" w:rsidP="00BB4BE3">
            <w:pPr>
              <w:jc w:val="center"/>
              <w:rPr>
                <w:rFonts w:ascii="Arial" w:hAnsi="Arial" w:cs="Arial"/>
                <w:b/>
                <w:sz w:val="19"/>
                <w:szCs w:val="19"/>
              </w:rPr>
            </w:pPr>
            <w:r w:rsidRPr="00811800">
              <w:rPr>
                <w:rFonts w:ascii="Arial" w:hAnsi="Arial" w:cs="Arial"/>
                <w:b/>
                <w:sz w:val="19"/>
                <w:szCs w:val="19"/>
              </w:rPr>
              <w:t>2004</w:t>
            </w:r>
          </w:p>
        </w:tc>
        <w:tc>
          <w:tcPr>
            <w:tcW w:w="385" w:type="pct"/>
            <w:vAlign w:val="center"/>
          </w:tcPr>
          <w:p w14:paraId="16CB7030" w14:textId="77777777" w:rsidR="0062327A" w:rsidRPr="00811800" w:rsidRDefault="0062327A" w:rsidP="00BB4BE3">
            <w:pPr>
              <w:jc w:val="center"/>
              <w:rPr>
                <w:rFonts w:ascii="Arial" w:hAnsi="Arial" w:cs="Arial"/>
                <w:b/>
                <w:sz w:val="19"/>
                <w:szCs w:val="19"/>
              </w:rPr>
            </w:pPr>
            <w:r w:rsidRPr="00811800">
              <w:rPr>
                <w:rFonts w:ascii="Arial" w:hAnsi="Arial" w:cs="Arial"/>
                <w:b/>
                <w:sz w:val="19"/>
                <w:szCs w:val="19"/>
              </w:rPr>
              <w:t>2005</w:t>
            </w:r>
          </w:p>
        </w:tc>
        <w:tc>
          <w:tcPr>
            <w:tcW w:w="433" w:type="pct"/>
            <w:shd w:val="clear" w:color="auto" w:fill="auto"/>
            <w:noWrap/>
            <w:vAlign w:val="center"/>
            <w:hideMark/>
          </w:tcPr>
          <w:p w14:paraId="159B9896" w14:textId="77777777" w:rsidR="0062327A" w:rsidRPr="00811800" w:rsidRDefault="0062327A" w:rsidP="00BB4BE3">
            <w:pPr>
              <w:jc w:val="center"/>
              <w:rPr>
                <w:rFonts w:ascii="Arial" w:hAnsi="Arial" w:cs="Arial"/>
                <w:b/>
                <w:sz w:val="19"/>
                <w:szCs w:val="19"/>
              </w:rPr>
            </w:pPr>
            <w:r w:rsidRPr="00811800">
              <w:rPr>
                <w:rFonts w:ascii="Arial" w:hAnsi="Arial" w:cs="Arial"/>
                <w:b/>
                <w:sz w:val="19"/>
                <w:szCs w:val="19"/>
              </w:rPr>
              <w:t>2006</w:t>
            </w:r>
          </w:p>
        </w:tc>
        <w:tc>
          <w:tcPr>
            <w:tcW w:w="434" w:type="pct"/>
            <w:shd w:val="clear" w:color="auto" w:fill="auto"/>
            <w:noWrap/>
            <w:vAlign w:val="center"/>
            <w:hideMark/>
          </w:tcPr>
          <w:p w14:paraId="0D398059" w14:textId="77777777" w:rsidR="0062327A" w:rsidRPr="00811800" w:rsidRDefault="0062327A" w:rsidP="00BB4BE3">
            <w:pPr>
              <w:jc w:val="center"/>
              <w:rPr>
                <w:rFonts w:ascii="Arial" w:hAnsi="Arial" w:cs="Arial"/>
                <w:b/>
                <w:sz w:val="19"/>
                <w:szCs w:val="19"/>
              </w:rPr>
            </w:pPr>
            <w:r w:rsidRPr="00811800">
              <w:rPr>
                <w:rFonts w:ascii="Arial" w:hAnsi="Arial" w:cs="Arial"/>
                <w:b/>
                <w:sz w:val="19"/>
                <w:szCs w:val="19"/>
              </w:rPr>
              <w:t>2007</w:t>
            </w:r>
          </w:p>
        </w:tc>
        <w:tc>
          <w:tcPr>
            <w:tcW w:w="481" w:type="pct"/>
            <w:shd w:val="clear" w:color="auto" w:fill="auto"/>
            <w:noWrap/>
            <w:vAlign w:val="center"/>
            <w:hideMark/>
          </w:tcPr>
          <w:p w14:paraId="71FD7F3D" w14:textId="77777777" w:rsidR="0062327A" w:rsidRPr="00811800" w:rsidRDefault="0062327A" w:rsidP="00BB4BE3">
            <w:pPr>
              <w:jc w:val="center"/>
              <w:rPr>
                <w:rFonts w:ascii="Arial" w:hAnsi="Arial" w:cs="Arial"/>
                <w:b/>
                <w:sz w:val="19"/>
                <w:szCs w:val="19"/>
              </w:rPr>
            </w:pPr>
            <w:r w:rsidRPr="00811800">
              <w:rPr>
                <w:rFonts w:ascii="Arial" w:hAnsi="Arial" w:cs="Arial"/>
                <w:b/>
                <w:sz w:val="19"/>
                <w:szCs w:val="19"/>
              </w:rPr>
              <w:t>2008</w:t>
            </w:r>
          </w:p>
        </w:tc>
        <w:tc>
          <w:tcPr>
            <w:tcW w:w="481" w:type="pct"/>
            <w:shd w:val="clear" w:color="auto" w:fill="auto"/>
            <w:noWrap/>
            <w:vAlign w:val="center"/>
            <w:hideMark/>
          </w:tcPr>
          <w:p w14:paraId="25074E1C" w14:textId="77777777" w:rsidR="0062327A" w:rsidRPr="00811800" w:rsidRDefault="0062327A" w:rsidP="00BB4BE3">
            <w:pPr>
              <w:jc w:val="center"/>
              <w:rPr>
                <w:rFonts w:ascii="Arial" w:hAnsi="Arial" w:cs="Arial"/>
                <w:b/>
                <w:sz w:val="19"/>
                <w:szCs w:val="19"/>
              </w:rPr>
            </w:pPr>
            <w:r w:rsidRPr="00811800">
              <w:rPr>
                <w:rFonts w:ascii="Arial" w:hAnsi="Arial" w:cs="Arial"/>
                <w:b/>
                <w:sz w:val="19"/>
                <w:szCs w:val="19"/>
              </w:rPr>
              <w:t>2009</w:t>
            </w:r>
          </w:p>
        </w:tc>
        <w:tc>
          <w:tcPr>
            <w:tcW w:w="529" w:type="pct"/>
            <w:shd w:val="clear" w:color="auto" w:fill="auto"/>
            <w:noWrap/>
            <w:vAlign w:val="center"/>
            <w:hideMark/>
          </w:tcPr>
          <w:p w14:paraId="244C40E5" w14:textId="77777777" w:rsidR="0062327A" w:rsidRPr="00811800" w:rsidRDefault="0062327A" w:rsidP="00BB4BE3">
            <w:pPr>
              <w:jc w:val="center"/>
              <w:rPr>
                <w:rFonts w:ascii="Arial" w:hAnsi="Arial" w:cs="Arial"/>
                <w:b/>
                <w:sz w:val="19"/>
                <w:szCs w:val="19"/>
              </w:rPr>
            </w:pPr>
            <w:r w:rsidRPr="00811800">
              <w:rPr>
                <w:rFonts w:ascii="Arial" w:hAnsi="Arial" w:cs="Arial"/>
                <w:b/>
                <w:sz w:val="19"/>
                <w:szCs w:val="19"/>
              </w:rPr>
              <w:t>2010</w:t>
            </w:r>
          </w:p>
        </w:tc>
        <w:tc>
          <w:tcPr>
            <w:tcW w:w="479" w:type="pct"/>
            <w:shd w:val="clear" w:color="auto" w:fill="auto"/>
            <w:noWrap/>
            <w:vAlign w:val="center"/>
            <w:hideMark/>
          </w:tcPr>
          <w:p w14:paraId="1C6257ED" w14:textId="77777777" w:rsidR="0062327A" w:rsidRPr="00811800" w:rsidRDefault="0062327A" w:rsidP="00BB4BE3">
            <w:pPr>
              <w:jc w:val="center"/>
              <w:rPr>
                <w:rFonts w:ascii="Arial" w:hAnsi="Arial" w:cs="Arial"/>
                <w:b/>
                <w:sz w:val="19"/>
                <w:szCs w:val="19"/>
              </w:rPr>
            </w:pPr>
            <w:r w:rsidRPr="00811800">
              <w:rPr>
                <w:rFonts w:ascii="Arial" w:hAnsi="Arial" w:cs="Arial"/>
                <w:b/>
                <w:sz w:val="19"/>
                <w:szCs w:val="19"/>
              </w:rPr>
              <w:t>2011</w:t>
            </w:r>
          </w:p>
        </w:tc>
      </w:tr>
      <w:tr w:rsidR="0003232C" w:rsidRPr="00811800" w14:paraId="6D091072" w14:textId="77777777" w:rsidTr="00F07E0C">
        <w:trPr>
          <w:trHeight w:val="413"/>
          <w:jc w:val="center"/>
        </w:trPr>
        <w:tc>
          <w:tcPr>
            <w:tcW w:w="626" w:type="pct"/>
            <w:shd w:val="clear" w:color="auto" w:fill="auto"/>
            <w:vAlign w:val="center"/>
            <w:hideMark/>
          </w:tcPr>
          <w:p w14:paraId="72F40408" w14:textId="77777777" w:rsidR="0062327A" w:rsidRPr="00811800" w:rsidRDefault="0062327A" w:rsidP="003A56B2">
            <w:pPr>
              <w:rPr>
                <w:rFonts w:ascii="Arial" w:hAnsi="Arial" w:cs="Arial"/>
                <w:sz w:val="19"/>
                <w:szCs w:val="19"/>
              </w:rPr>
            </w:pPr>
            <w:r w:rsidRPr="00811800">
              <w:rPr>
                <w:rFonts w:ascii="Arial" w:hAnsi="Arial" w:cs="Arial"/>
                <w:sz w:val="19"/>
                <w:szCs w:val="19"/>
              </w:rPr>
              <w:t>Aggregate capacity</w:t>
            </w:r>
          </w:p>
        </w:tc>
        <w:tc>
          <w:tcPr>
            <w:tcW w:w="384" w:type="pct"/>
            <w:shd w:val="clear" w:color="auto" w:fill="auto"/>
            <w:noWrap/>
            <w:vAlign w:val="center"/>
            <w:hideMark/>
          </w:tcPr>
          <w:p w14:paraId="164BAF0E" w14:textId="1E08F396" w:rsidR="0062327A" w:rsidRPr="00811800" w:rsidRDefault="0062327A" w:rsidP="00F07E0C">
            <w:pPr>
              <w:jc w:val="right"/>
              <w:rPr>
                <w:rFonts w:ascii="Arial" w:hAnsi="Arial" w:cs="Arial"/>
                <w:sz w:val="19"/>
                <w:szCs w:val="19"/>
              </w:rPr>
            </w:pPr>
            <w:r w:rsidRPr="00811800">
              <w:rPr>
                <w:rFonts w:ascii="Arial" w:hAnsi="Arial" w:cs="Arial"/>
                <w:sz w:val="19"/>
                <w:szCs w:val="19"/>
              </w:rPr>
              <w:t>10</w:t>
            </w:r>
          </w:p>
        </w:tc>
        <w:tc>
          <w:tcPr>
            <w:tcW w:w="383" w:type="pct"/>
            <w:shd w:val="clear" w:color="auto" w:fill="auto"/>
            <w:noWrap/>
            <w:vAlign w:val="center"/>
            <w:hideMark/>
          </w:tcPr>
          <w:p w14:paraId="70876135" w14:textId="2F319E75" w:rsidR="0062327A" w:rsidRPr="00811800" w:rsidRDefault="0062327A" w:rsidP="00F07E0C">
            <w:pPr>
              <w:jc w:val="right"/>
              <w:rPr>
                <w:rFonts w:ascii="Arial" w:hAnsi="Arial" w:cs="Arial"/>
                <w:sz w:val="19"/>
                <w:szCs w:val="19"/>
              </w:rPr>
            </w:pPr>
            <w:r w:rsidRPr="00811800">
              <w:rPr>
                <w:rFonts w:ascii="Arial" w:hAnsi="Arial" w:cs="Arial"/>
                <w:sz w:val="19"/>
                <w:szCs w:val="19"/>
              </w:rPr>
              <w:t>15</w:t>
            </w:r>
          </w:p>
        </w:tc>
        <w:tc>
          <w:tcPr>
            <w:tcW w:w="385" w:type="pct"/>
            <w:shd w:val="clear" w:color="auto" w:fill="auto"/>
            <w:noWrap/>
            <w:vAlign w:val="center"/>
            <w:hideMark/>
          </w:tcPr>
          <w:p w14:paraId="14A92624" w14:textId="06BE2700" w:rsidR="0062327A" w:rsidRPr="00811800" w:rsidRDefault="0062327A" w:rsidP="00F07E0C">
            <w:pPr>
              <w:jc w:val="right"/>
              <w:rPr>
                <w:rFonts w:ascii="Arial" w:hAnsi="Arial" w:cs="Arial"/>
                <w:sz w:val="19"/>
                <w:szCs w:val="19"/>
              </w:rPr>
            </w:pPr>
            <w:r w:rsidRPr="00811800">
              <w:rPr>
                <w:rFonts w:ascii="Arial" w:hAnsi="Arial" w:cs="Arial"/>
                <w:sz w:val="19"/>
                <w:szCs w:val="19"/>
              </w:rPr>
              <w:t>30</w:t>
            </w:r>
          </w:p>
        </w:tc>
        <w:tc>
          <w:tcPr>
            <w:tcW w:w="385" w:type="pct"/>
            <w:vAlign w:val="center"/>
          </w:tcPr>
          <w:p w14:paraId="3828FE88" w14:textId="1A8AC74B" w:rsidR="0062327A" w:rsidRPr="00811800" w:rsidRDefault="0062327A" w:rsidP="00F07E0C">
            <w:pPr>
              <w:jc w:val="right"/>
              <w:rPr>
                <w:rFonts w:ascii="Arial" w:hAnsi="Arial" w:cs="Arial"/>
                <w:sz w:val="19"/>
                <w:szCs w:val="19"/>
              </w:rPr>
            </w:pPr>
            <w:r w:rsidRPr="00811800">
              <w:rPr>
                <w:rFonts w:ascii="Arial" w:hAnsi="Arial" w:cs="Arial"/>
                <w:sz w:val="19"/>
                <w:szCs w:val="19"/>
              </w:rPr>
              <w:t>150</w:t>
            </w:r>
          </w:p>
        </w:tc>
        <w:tc>
          <w:tcPr>
            <w:tcW w:w="433" w:type="pct"/>
            <w:shd w:val="clear" w:color="auto" w:fill="auto"/>
            <w:noWrap/>
            <w:vAlign w:val="center"/>
            <w:hideMark/>
          </w:tcPr>
          <w:p w14:paraId="17B97DE0" w14:textId="4810BAB6" w:rsidR="0062327A" w:rsidRPr="00811800" w:rsidRDefault="0062327A" w:rsidP="00F07E0C">
            <w:pPr>
              <w:jc w:val="right"/>
              <w:rPr>
                <w:rFonts w:ascii="Arial" w:hAnsi="Arial" w:cs="Arial"/>
                <w:sz w:val="19"/>
                <w:szCs w:val="19"/>
              </w:rPr>
            </w:pPr>
            <w:r w:rsidRPr="00811800">
              <w:rPr>
                <w:rFonts w:ascii="Arial" w:hAnsi="Arial" w:cs="Arial"/>
                <w:sz w:val="19"/>
                <w:szCs w:val="19"/>
              </w:rPr>
              <w:t>270</w:t>
            </w:r>
          </w:p>
        </w:tc>
        <w:tc>
          <w:tcPr>
            <w:tcW w:w="434" w:type="pct"/>
            <w:shd w:val="clear" w:color="auto" w:fill="auto"/>
            <w:noWrap/>
            <w:vAlign w:val="center"/>
            <w:hideMark/>
          </w:tcPr>
          <w:p w14:paraId="421EC561" w14:textId="22656F15" w:rsidR="0062327A" w:rsidRPr="00811800" w:rsidRDefault="0062327A" w:rsidP="00F07E0C">
            <w:pPr>
              <w:jc w:val="right"/>
              <w:rPr>
                <w:rFonts w:ascii="Arial" w:hAnsi="Arial" w:cs="Arial"/>
                <w:sz w:val="19"/>
                <w:szCs w:val="19"/>
              </w:rPr>
            </w:pPr>
            <w:r w:rsidRPr="00811800">
              <w:rPr>
                <w:rFonts w:ascii="Arial" w:hAnsi="Arial" w:cs="Arial"/>
                <w:sz w:val="19"/>
                <w:szCs w:val="19"/>
              </w:rPr>
              <w:t>540</w:t>
            </w:r>
          </w:p>
        </w:tc>
        <w:tc>
          <w:tcPr>
            <w:tcW w:w="481" w:type="pct"/>
            <w:shd w:val="clear" w:color="auto" w:fill="auto"/>
            <w:noWrap/>
            <w:vAlign w:val="center"/>
            <w:hideMark/>
          </w:tcPr>
          <w:p w14:paraId="3186ED43" w14:textId="028E17BB" w:rsidR="0062327A" w:rsidRPr="00811800" w:rsidRDefault="0062327A" w:rsidP="00F07E0C">
            <w:pPr>
              <w:jc w:val="right"/>
              <w:rPr>
                <w:rFonts w:ascii="Arial" w:hAnsi="Arial" w:cs="Arial"/>
                <w:sz w:val="19"/>
                <w:szCs w:val="19"/>
              </w:rPr>
            </w:pPr>
            <w:r w:rsidRPr="00811800">
              <w:rPr>
                <w:rFonts w:ascii="Arial" w:hAnsi="Arial" w:cs="Arial"/>
                <w:sz w:val="19"/>
                <w:szCs w:val="19"/>
              </w:rPr>
              <w:t>1</w:t>
            </w:r>
            <w:r w:rsidR="007E3AD9">
              <w:rPr>
                <w:rFonts w:ascii="Arial" w:hAnsi="Arial" w:cs="Arial"/>
                <w:sz w:val="19"/>
                <w:szCs w:val="19"/>
              </w:rPr>
              <w:t>,</w:t>
            </w:r>
            <w:r w:rsidRPr="00811800">
              <w:rPr>
                <w:rFonts w:ascii="Arial" w:hAnsi="Arial" w:cs="Arial"/>
                <w:sz w:val="19"/>
                <w:szCs w:val="19"/>
              </w:rPr>
              <w:t>000</w:t>
            </w:r>
          </w:p>
        </w:tc>
        <w:tc>
          <w:tcPr>
            <w:tcW w:w="481" w:type="pct"/>
            <w:shd w:val="clear" w:color="auto" w:fill="auto"/>
            <w:noWrap/>
            <w:vAlign w:val="center"/>
            <w:hideMark/>
          </w:tcPr>
          <w:p w14:paraId="2048E0B5" w14:textId="15A0F50E" w:rsidR="0062327A" w:rsidRPr="00811800" w:rsidRDefault="0062327A" w:rsidP="00F07E0C">
            <w:pPr>
              <w:jc w:val="right"/>
              <w:rPr>
                <w:rFonts w:ascii="Arial" w:hAnsi="Arial" w:cs="Arial"/>
                <w:sz w:val="19"/>
                <w:szCs w:val="19"/>
              </w:rPr>
            </w:pPr>
            <w:r w:rsidRPr="00811800">
              <w:rPr>
                <w:rFonts w:ascii="Arial" w:hAnsi="Arial" w:cs="Arial"/>
                <w:sz w:val="19"/>
                <w:szCs w:val="19"/>
              </w:rPr>
              <w:t>1</w:t>
            </w:r>
            <w:r w:rsidR="007E3AD9">
              <w:rPr>
                <w:rFonts w:ascii="Arial" w:hAnsi="Arial" w:cs="Arial"/>
                <w:sz w:val="19"/>
                <w:szCs w:val="19"/>
              </w:rPr>
              <w:t>,</w:t>
            </w:r>
            <w:r w:rsidRPr="00811800">
              <w:rPr>
                <w:rFonts w:ascii="Arial" w:hAnsi="Arial" w:cs="Arial"/>
                <w:sz w:val="19"/>
                <w:szCs w:val="19"/>
              </w:rPr>
              <w:t>100</w:t>
            </w:r>
          </w:p>
        </w:tc>
        <w:tc>
          <w:tcPr>
            <w:tcW w:w="529" w:type="pct"/>
            <w:shd w:val="clear" w:color="auto" w:fill="auto"/>
            <w:noWrap/>
            <w:vAlign w:val="center"/>
            <w:hideMark/>
          </w:tcPr>
          <w:p w14:paraId="26E15087" w14:textId="3E9E4CE1" w:rsidR="0062327A" w:rsidRPr="00811800" w:rsidRDefault="0062327A" w:rsidP="00F07E0C">
            <w:pPr>
              <w:jc w:val="right"/>
              <w:rPr>
                <w:rFonts w:ascii="Arial" w:hAnsi="Arial" w:cs="Arial"/>
                <w:sz w:val="19"/>
                <w:szCs w:val="19"/>
              </w:rPr>
            </w:pPr>
            <w:r w:rsidRPr="00811800">
              <w:rPr>
                <w:rFonts w:ascii="Arial" w:hAnsi="Arial" w:cs="Arial"/>
                <w:sz w:val="19"/>
                <w:szCs w:val="19"/>
              </w:rPr>
              <w:t>1</w:t>
            </w:r>
            <w:r w:rsidR="007E3AD9">
              <w:rPr>
                <w:rFonts w:ascii="Arial" w:hAnsi="Arial" w:cs="Arial"/>
                <w:sz w:val="19"/>
                <w:szCs w:val="19"/>
              </w:rPr>
              <w:t>,</w:t>
            </w:r>
            <w:r w:rsidRPr="00811800">
              <w:rPr>
                <w:rFonts w:ascii="Arial" w:hAnsi="Arial" w:cs="Arial"/>
                <w:sz w:val="19"/>
                <w:szCs w:val="19"/>
              </w:rPr>
              <w:t>800</w:t>
            </w:r>
          </w:p>
        </w:tc>
        <w:tc>
          <w:tcPr>
            <w:tcW w:w="479" w:type="pct"/>
            <w:shd w:val="clear" w:color="auto" w:fill="auto"/>
            <w:noWrap/>
            <w:vAlign w:val="center"/>
            <w:hideMark/>
          </w:tcPr>
          <w:p w14:paraId="2CDB1D8A" w14:textId="20AE9BCD" w:rsidR="0062327A" w:rsidRPr="00811800" w:rsidRDefault="0062327A" w:rsidP="00F07E0C">
            <w:pPr>
              <w:jc w:val="right"/>
              <w:rPr>
                <w:rFonts w:ascii="Arial" w:hAnsi="Arial" w:cs="Arial"/>
                <w:sz w:val="19"/>
                <w:szCs w:val="19"/>
              </w:rPr>
            </w:pPr>
            <w:r w:rsidRPr="00811800">
              <w:rPr>
                <w:rFonts w:ascii="Arial" w:hAnsi="Arial" w:cs="Arial"/>
                <w:sz w:val="19"/>
                <w:szCs w:val="19"/>
              </w:rPr>
              <w:t>2</w:t>
            </w:r>
            <w:r w:rsidR="007E3AD9">
              <w:rPr>
                <w:rFonts w:ascii="Arial" w:hAnsi="Arial" w:cs="Arial"/>
                <w:sz w:val="19"/>
                <w:szCs w:val="19"/>
              </w:rPr>
              <w:t>,</w:t>
            </w:r>
            <w:r w:rsidRPr="00811800">
              <w:rPr>
                <w:rFonts w:ascii="Arial" w:hAnsi="Arial" w:cs="Arial"/>
                <w:sz w:val="19"/>
                <w:szCs w:val="19"/>
              </w:rPr>
              <w:t>400</w:t>
            </w:r>
          </w:p>
        </w:tc>
      </w:tr>
      <w:tr w:rsidR="0003232C" w:rsidRPr="00811800" w14:paraId="6E9F6F82" w14:textId="77777777" w:rsidTr="00F07E0C">
        <w:trPr>
          <w:trHeight w:val="315"/>
          <w:jc w:val="center"/>
        </w:trPr>
        <w:tc>
          <w:tcPr>
            <w:tcW w:w="626" w:type="pct"/>
            <w:shd w:val="clear" w:color="auto" w:fill="auto"/>
            <w:noWrap/>
            <w:vAlign w:val="center"/>
            <w:hideMark/>
          </w:tcPr>
          <w:p w14:paraId="0FC8D30A" w14:textId="0E397517" w:rsidR="0062327A" w:rsidRPr="00811800" w:rsidRDefault="0062327A" w:rsidP="003A56B2">
            <w:pPr>
              <w:rPr>
                <w:rFonts w:ascii="Arial" w:hAnsi="Arial" w:cs="Arial"/>
                <w:sz w:val="19"/>
                <w:szCs w:val="19"/>
              </w:rPr>
            </w:pPr>
            <w:r w:rsidRPr="00811800">
              <w:rPr>
                <w:rFonts w:ascii="Arial" w:hAnsi="Arial" w:cs="Arial"/>
                <w:sz w:val="19"/>
                <w:szCs w:val="19"/>
              </w:rPr>
              <w:t>Megawat</w:t>
            </w:r>
            <w:r w:rsidR="0045432E">
              <w:rPr>
                <w:rFonts w:ascii="Arial" w:hAnsi="Arial" w:cs="Arial"/>
                <w:sz w:val="19"/>
                <w:szCs w:val="19"/>
              </w:rPr>
              <w:t>t</w:t>
            </w:r>
            <w:r w:rsidRPr="00811800">
              <w:rPr>
                <w:rFonts w:ascii="Arial" w:hAnsi="Arial" w:cs="Arial"/>
                <w:sz w:val="19"/>
                <w:szCs w:val="19"/>
              </w:rPr>
              <w:t xml:space="preserve"> output</w:t>
            </w:r>
          </w:p>
        </w:tc>
        <w:tc>
          <w:tcPr>
            <w:tcW w:w="384" w:type="pct"/>
            <w:shd w:val="clear" w:color="auto" w:fill="auto"/>
            <w:noWrap/>
            <w:vAlign w:val="center"/>
            <w:hideMark/>
          </w:tcPr>
          <w:p w14:paraId="2654D038" w14:textId="77777777" w:rsidR="0062327A" w:rsidRPr="00811800" w:rsidRDefault="0062327A" w:rsidP="00F07E0C">
            <w:pPr>
              <w:jc w:val="right"/>
              <w:rPr>
                <w:rFonts w:ascii="Arial" w:hAnsi="Arial" w:cs="Arial"/>
                <w:sz w:val="19"/>
                <w:szCs w:val="19"/>
              </w:rPr>
            </w:pPr>
            <w:r w:rsidRPr="00811800">
              <w:rPr>
                <w:rFonts w:ascii="Arial" w:hAnsi="Arial" w:cs="Arial"/>
                <w:sz w:val="19"/>
                <w:szCs w:val="19"/>
              </w:rPr>
              <w:t>0.9</w:t>
            </w:r>
          </w:p>
        </w:tc>
        <w:tc>
          <w:tcPr>
            <w:tcW w:w="383" w:type="pct"/>
            <w:shd w:val="clear" w:color="auto" w:fill="auto"/>
            <w:noWrap/>
            <w:vAlign w:val="center"/>
            <w:hideMark/>
          </w:tcPr>
          <w:p w14:paraId="1EC4C6EB" w14:textId="77777777" w:rsidR="0062327A" w:rsidRPr="00811800" w:rsidRDefault="0062327A" w:rsidP="00F07E0C">
            <w:pPr>
              <w:jc w:val="right"/>
              <w:rPr>
                <w:rFonts w:ascii="Arial" w:hAnsi="Arial" w:cs="Arial"/>
                <w:sz w:val="19"/>
                <w:szCs w:val="19"/>
              </w:rPr>
            </w:pPr>
            <w:r w:rsidRPr="00811800">
              <w:rPr>
                <w:rFonts w:ascii="Arial" w:hAnsi="Arial" w:cs="Arial"/>
                <w:sz w:val="19"/>
                <w:szCs w:val="19"/>
              </w:rPr>
              <w:t>6.4</w:t>
            </w:r>
          </w:p>
        </w:tc>
        <w:tc>
          <w:tcPr>
            <w:tcW w:w="385" w:type="pct"/>
            <w:shd w:val="clear" w:color="auto" w:fill="auto"/>
            <w:noWrap/>
            <w:vAlign w:val="center"/>
            <w:hideMark/>
          </w:tcPr>
          <w:p w14:paraId="7E0FDF4A" w14:textId="77777777" w:rsidR="0062327A" w:rsidRPr="00811800" w:rsidRDefault="0062327A" w:rsidP="00F07E0C">
            <w:pPr>
              <w:jc w:val="right"/>
              <w:rPr>
                <w:rFonts w:ascii="Arial" w:hAnsi="Arial" w:cs="Arial"/>
                <w:sz w:val="19"/>
                <w:szCs w:val="19"/>
              </w:rPr>
            </w:pPr>
            <w:r w:rsidRPr="00811800">
              <w:rPr>
                <w:rFonts w:ascii="Arial" w:hAnsi="Arial" w:cs="Arial"/>
                <w:sz w:val="19"/>
                <w:szCs w:val="19"/>
              </w:rPr>
              <w:t>29.5</w:t>
            </w:r>
          </w:p>
        </w:tc>
        <w:tc>
          <w:tcPr>
            <w:tcW w:w="385" w:type="pct"/>
            <w:vAlign w:val="center"/>
          </w:tcPr>
          <w:p w14:paraId="41F60362" w14:textId="77777777" w:rsidR="0062327A" w:rsidRPr="00811800" w:rsidRDefault="0062327A" w:rsidP="00F07E0C">
            <w:pPr>
              <w:jc w:val="right"/>
              <w:rPr>
                <w:rFonts w:ascii="Arial" w:hAnsi="Arial" w:cs="Arial"/>
                <w:sz w:val="19"/>
                <w:szCs w:val="19"/>
              </w:rPr>
            </w:pPr>
            <w:r w:rsidRPr="00811800">
              <w:rPr>
                <w:rFonts w:ascii="Arial" w:hAnsi="Arial" w:cs="Arial"/>
                <w:sz w:val="19"/>
                <w:szCs w:val="19"/>
              </w:rPr>
              <w:t>67.7</w:t>
            </w:r>
          </w:p>
        </w:tc>
        <w:tc>
          <w:tcPr>
            <w:tcW w:w="433" w:type="pct"/>
            <w:shd w:val="clear" w:color="auto" w:fill="auto"/>
            <w:noWrap/>
            <w:vAlign w:val="center"/>
            <w:hideMark/>
          </w:tcPr>
          <w:p w14:paraId="15EC96DA" w14:textId="77777777" w:rsidR="0062327A" w:rsidRPr="00811800" w:rsidRDefault="0062327A" w:rsidP="00F07E0C">
            <w:pPr>
              <w:jc w:val="right"/>
              <w:rPr>
                <w:rFonts w:ascii="Arial" w:hAnsi="Arial" w:cs="Arial"/>
                <w:sz w:val="19"/>
                <w:szCs w:val="19"/>
              </w:rPr>
            </w:pPr>
            <w:r w:rsidRPr="00811800">
              <w:rPr>
                <w:rFonts w:ascii="Arial" w:hAnsi="Arial" w:cs="Arial"/>
                <w:sz w:val="19"/>
                <w:szCs w:val="19"/>
              </w:rPr>
              <w:t>159.6</w:t>
            </w:r>
          </w:p>
        </w:tc>
        <w:tc>
          <w:tcPr>
            <w:tcW w:w="434" w:type="pct"/>
            <w:shd w:val="clear" w:color="auto" w:fill="auto"/>
            <w:noWrap/>
            <w:vAlign w:val="center"/>
            <w:hideMark/>
          </w:tcPr>
          <w:p w14:paraId="3063F147" w14:textId="77777777" w:rsidR="0062327A" w:rsidRPr="00811800" w:rsidRDefault="0062327A" w:rsidP="00F07E0C">
            <w:pPr>
              <w:jc w:val="right"/>
              <w:rPr>
                <w:rFonts w:ascii="Arial" w:hAnsi="Arial" w:cs="Arial"/>
                <w:sz w:val="19"/>
                <w:szCs w:val="19"/>
              </w:rPr>
            </w:pPr>
            <w:r w:rsidRPr="00811800">
              <w:rPr>
                <w:rFonts w:ascii="Arial" w:hAnsi="Arial" w:cs="Arial"/>
                <w:sz w:val="19"/>
                <w:szCs w:val="19"/>
              </w:rPr>
              <w:t>363.3</w:t>
            </w:r>
          </w:p>
        </w:tc>
        <w:tc>
          <w:tcPr>
            <w:tcW w:w="481" w:type="pct"/>
            <w:shd w:val="clear" w:color="auto" w:fill="auto"/>
            <w:noWrap/>
            <w:vAlign w:val="center"/>
            <w:hideMark/>
          </w:tcPr>
          <w:p w14:paraId="052C0098" w14:textId="77777777" w:rsidR="0062327A" w:rsidRPr="00811800" w:rsidRDefault="0062327A" w:rsidP="00F07E0C">
            <w:pPr>
              <w:jc w:val="right"/>
              <w:rPr>
                <w:rFonts w:ascii="Arial" w:hAnsi="Arial" w:cs="Arial"/>
                <w:sz w:val="19"/>
                <w:szCs w:val="19"/>
              </w:rPr>
            </w:pPr>
            <w:r w:rsidRPr="00811800">
              <w:rPr>
                <w:rFonts w:ascii="Arial" w:hAnsi="Arial" w:cs="Arial"/>
                <w:sz w:val="19"/>
                <w:szCs w:val="19"/>
              </w:rPr>
              <w:t>494.4</w:t>
            </w:r>
          </w:p>
        </w:tc>
        <w:tc>
          <w:tcPr>
            <w:tcW w:w="481" w:type="pct"/>
            <w:shd w:val="clear" w:color="auto" w:fill="auto"/>
            <w:noWrap/>
            <w:vAlign w:val="center"/>
            <w:hideMark/>
          </w:tcPr>
          <w:p w14:paraId="041F8BDB" w14:textId="77777777" w:rsidR="0062327A" w:rsidRPr="00811800" w:rsidRDefault="0062327A" w:rsidP="00F07E0C">
            <w:pPr>
              <w:jc w:val="right"/>
              <w:rPr>
                <w:rFonts w:ascii="Arial" w:hAnsi="Arial" w:cs="Arial"/>
                <w:sz w:val="19"/>
                <w:szCs w:val="19"/>
              </w:rPr>
            </w:pPr>
            <w:r w:rsidRPr="00811800">
              <w:rPr>
                <w:rFonts w:ascii="Arial" w:hAnsi="Arial" w:cs="Arial"/>
                <w:sz w:val="19"/>
                <w:szCs w:val="19"/>
              </w:rPr>
              <w:t>681.9</w:t>
            </w:r>
          </w:p>
        </w:tc>
        <w:tc>
          <w:tcPr>
            <w:tcW w:w="529" w:type="pct"/>
            <w:shd w:val="clear" w:color="auto" w:fill="auto"/>
            <w:noWrap/>
            <w:vAlign w:val="center"/>
            <w:hideMark/>
          </w:tcPr>
          <w:p w14:paraId="494512B8" w14:textId="76C9F91D" w:rsidR="0062327A" w:rsidRPr="00811800" w:rsidRDefault="0062327A" w:rsidP="00F07E0C">
            <w:pPr>
              <w:jc w:val="right"/>
              <w:rPr>
                <w:rFonts w:ascii="Arial" w:hAnsi="Arial" w:cs="Arial"/>
                <w:sz w:val="19"/>
                <w:szCs w:val="19"/>
              </w:rPr>
            </w:pPr>
            <w:r w:rsidRPr="00811800">
              <w:rPr>
                <w:rFonts w:ascii="Arial" w:hAnsi="Arial" w:cs="Arial"/>
                <w:sz w:val="19"/>
                <w:szCs w:val="19"/>
              </w:rPr>
              <w:t>1</w:t>
            </w:r>
            <w:r w:rsidR="007E3AD9">
              <w:rPr>
                <w:rFonts w:ascii="Arial" w:hAnsi="Arial" w:cs="Arial"/>
                <w:sz w:val="19"/>
                <w:szCs w:val="19"/>
              </w:rPr>
              <w:t>,</w:t>
            </w:r>
            <w:r w:rsidRPr="00811800">
              <w:rPr>
                <w:rFonts w:ascii="Arial" w:hAnsi="Arial" w:cs="Arial"/>
                <w:sz w:val="19"/>
                <w:szCs w:val="19"/>
              </w:rPr>
              <w:t>539</w:t>
            </w:r>
            <w:r w:rsidR="0003232C">
              <w:rPr>
                <w:rFonts w:ascii="Arial" w:hAnsi="Arial" w:cs="Arial"/>
                <w:sz w:val="19"/>
                <w:szCs w:val="19"/>
              </w:rPr>
              <w:t>.0</w:t>
            </w:r>
          </w:p>
        </w:tc>
        <w:tc>
          <w:tcPr>
            <w:tcW w:w="479" w:type="pct"/>
            <w:shd w:val="clear" w:color="auto" w:fill="auto"/>
            <w:noWrap/>
            <w:vAlign w:val="center"/>
            <w:hideMark/>
          </w:tcPr>
          <w:p w14:paraId="79EC0597" w14:textId="51508367" w:rsidR="0062327A" w:rsidRPr="00811800" w:rsidRDefault="0062327A" w:rsidP="00F07E0C">
            <w:pPr>
              <w:jc w:val="right"/>
              <w:rPr>
                <w:rFonts w:ascii="Arial" w:hAnsi="Arial" w:cs="Arial"/>
                <w:sz w:val="19"/>
                <w:szCs w:val="19"/>
              </w:rPr>
            </w:pPr>
            <w:r w:rsidRPr="00811800">
              <w:rPr>
                <w:rFonts w:ascii="Arial" w:hAnsi="Arial" w:cs="Arial"/>
                <w:sz w:val="19"/>
                <w:szCs w:val="19"/>
              </w:rPr>
              <w:t>2</w:t>
            </w:r>
            <w:r w:rsidR="007E3AD9">
              <w:rPr>
                <w:rFonts w:ascii="Arial" w:hAnsi="Arial" w:cs="Arial"/>
                <w:sz w:val="19"/>
                <w:szCs w:val="19"/>
              </w:rPr>
              <w:t>,</w:t>
            </w:r>
            <w:r w:rsidRPr="00811800">
              <w:rPr>
                <w:rFonts w:ascii="Arial" w:hAnsi="Arial" w:cs="Arial"/>
                <w:sz w:val="19"/>
                <w:szCs w:val="19"/>
              </w:rPr>
              <w:t>066.2</w:t>
            </w:r>
          </w:p>
        </w:tc>
      </w:tr>
    </w:tbl>
    <w:p w14:paraId="7585BF97" w14:textId="77777777" w:rsidR="0062327A" w:rsidRPr="00811800" w:rsidRDefault="0062327A" w:rsidP="008553E2">
      <w:pPr>
        <w:pStyle w:val="BodyTextMain"/>
      </w:pPr>
    </w:p>
    <w:p w14:paraId="2713FD51" w14:textId="023C6C99" w:rsidR="0062327A" w:rsidRPr="00811800" w:rsidRDefault="00680EBE" w:rsidP="008553E2">
      <w:pPr>
        <w:pStyle w:val="Footnote"/>
      </w:pPr>
      <w:r w:rsidRPr="00811800">
        <w:t xml:space="preserve">Source: </w:t>
      </w:r>
      <w:proofErr w:type="spellStart"/>
      <w:r>
        <w:rPr>
          <w:rFonts w:eastAsiaTheme="minorEastAsia" w:hint="eastAsia"/>
          <w:lang w:eastAsia="zh-CN"/>
        </w:rPr>
        <w:t>Suntech</w:t>
      </w:r>
      <w:proofErr w:type="spellEnd"/>
      <w:r>
        <w:rPr>
          <w:rFonts w:eastAsiaTheme="minorEastAsia" w:hint="eastAsia"/>
          <w:lang w:eastAsia="zh-CN"/>
        </w:rPr>
        <w:t xml:space="preserve"> Power Holdings Co</w:t>
      </w:r>
      <w:r w:rsidR="004A75DC">
        <w:rPr>
          <w:rFonts w:eastAsiaTheme="minorEastAsia"/>
          <w:lang w:eastAsia="zh-CN"/>
        </w:rPr>
        <w:t xml:space="preserve">., </w:t>
      </w:r>
      <w:r>
        <w:rPr>
          <w:rFonts w:eastAsiaTheme="minorEastAsia" w:hint="eastAsia"/>
          <w:lang w:eastAsia="zh-CN"/>
        </w:rPr>
        <w:t xml:space="preserve">Ltd., </w:t>
      </w:r>
      <w:r>
        <w:rPr>
          <w:rFonts w:eastAsiaTheme="minorEastAsia"/>
          <w:lang w:eastAsia="zh-CN"/>
        </w:rPr>
        <w:t>“</w:t>
      </w:r>
      <w:r>
        <w:rPr>
          <w:rFonts w:eastAsiaTheme="minorEastAsia" w:hint="eastAsia"/>
          <w:lang w:eastAsia="zh-CN"/>
        </w:rPr>
        <w:t>Form 20-F,</w:t>
      </w:r>
      <w:r>
        <w:rPr>
          <w:rFonts w:eastAsiaTheme="minorEastAsia"/>
          <w:lang w:eastAsia="zh-CN"/>
        </w:rPr>
        <w:t>”</w:t>
      </w:r>
      <w:r>
        <w:rPr>
          <w:rFonts w:eastAsiaTheme="minorEastAsia" w:hint="eastAsia"/>
          <w:lang w:eastAsia="zh-CN"/>
        </w:rPr>
        <w:t xml:space="preserve"> EDGAR Online, accessed December 15, 2016</w:t>
      </w:r>
      <w:r w:rsidR="00203B2A">
        <w:rPr>
          <w:rFonts w:eastAsiaTheme="minorEastAsia"/>
          <w:lang w:eastAsia="zh-CN"/>
        </w:rPr>
        <w:t xml:space="preserve">, </w:t>
      </w:r>
      <w:r w:rsidR="00203B2A" w:rsidRPr="00203B2A">
        <w:rPr>
          <w:rFonts w:eastAsiaTheme="minorEastAsia"/>
          <w:lang w:eastAsia="zh-CN"/>
        </w:rPr>
        <w:t>https://www.sec.gov/Archives/edgar/data/1342803/000095012310047699/h04216e20vf.htm</w:t>
      </w:r>
      <w:r w:rsidR="004A75DC">
        <w:rPr>
          <w:rFonts w:eastAsiaTheme="minorEastAsia"/>
          <w:lang w:eastAsia="zh-CN"/>
        </w:rPr>
        <w:t>.</w:t>
      </w:r>
    </w:p>
    <w:p w14:paraId="44E9D0D6" w14:textId="77777777" w:rsidR="009F32F0" w:rsidRPr="00811800" w:rsidRDefault="009F32F0" w:rsidP="008553E2">
      <w:pPr>
        <w:pStyle w:val="Footnote"/>
      </w:pPr>
    </w:p>
    <w:p w14:paraId="58FD755C" w14:textId="77777777" w:rsidR="0062327A" w:rsidRPr="00811800" w:rsidRDefault="0062327A" w:rsidP="009F32F0">
      <w:pPr>
        <w:pStyle w:val="BodyTextMain"/>
      </w:pPr>
    </w:p>
    <w:p w14:paraId="0E8C3F8A" w14:textId="31623AA8" w:rsidR="0062327A" w:rsidRPr="00811800" w:rsidRDefault="0062327A" w:rsidP="009F32F0">
      <w:pPr>
        <w:pStyle w:val="ExhibitHeading"/>
      </w:pPr>
      <w:r w:rsidRPr="00811800">
        <w:t xml:space="preserve">Exhibit </w:t>
      </w:r>
      <w:r w:rsidR="00773287">
        <w:rPr>
          <w:rFonts w:eastAsiaTheme="minorEastAsia" w:hint="eastAsia"/>
          <w:lang w:eastAsia="zh-CN"/>
        </w:rPr>
        <w:t>5</w:t>
      </w:r>
      <w:r w:rsidRPr="00811800">
        <w:t>: Solar Cell Production by Region 2002–2010</w:t>
      </w:r>
    </w:p>
    <w:p w14:paraId="356E40F0" w14:textId="77777777" w:rsidR="0062327A" w:rsidRPr="00811800" w:rsidRDefault="0062327A" w:rsidP="009F32F0">
      <w:pPr>
        <w:pStyle w:val="BodyTextMain"/>
        <w:rPr>
          <w:sz w:val="24"/>
        </w:rPr>
      </w:pPr>
    </w:p>
    <w:tbl>
      <w:tblPr>
        <w:tblW w:w="470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0"/>
        <w:gridCol w:w="814"/>
        <w:gridCol w:w="815"/>
        <w:gridCol w:w="813"/>
        <w:gridCol w:w="813"/>
        <w:gridCol w:w="813"/>
        <w:gridCol w:w="813"/>
        <w:gridCol w:w="813"/>
        <w:gridCol w:w="813"/>
        <w:gridCol w:w="809"/>
      </w:tblGrid>
      <w:tr w:rsidR="0062327A" w:rsidRPr="00811800" w14:paraId="1947C15B" w14:textId="77777777" w:rsidTr="003A56B2">
        <w:trPr>
          <w:trHeight w:val="300"/>
          <w:jc w:val="center"/>
        </w:trPr>
        <w:tc>
          <w:tcPr>
            <w:tcW w:w="842" w:type="pct"/>
            <w:shd w:val="clear" w:color="auto" w:fill="auto"/>
            <w:noWrap/>
            <w:vAlign w:val="bottom"/>
            <w:hideMark/>
          </w:tcPr>
          <w:p w14:paraId="61BE0CAE" w14:textId="77777777" w:rsidR="0062327A" w:rsidRPr="00811800" w:rsidRDefault="0062327A" w:rsidP="005B292C">
            <w:pPr>
              <w:jc w:val="center"/>
              <w:rPr>
                <w:rFonts w:ascii="Arial" w:hAnsi="Arial" w:cs="Arial"/>
                <w:b/>
                <w:sz w:val="19"/>
                <w:szCs w:val="19"/>
              </w:rPr>
            </w:pPr>
            <w:r w:rsidRPr="00811800">
              <w:rPr>
                <w:rFonts w:ascii="Arial" w:hAnsi="Arial" w:cs="Arial"/>
                <w:b/>
                <w:sz w:val="19"/>
                <w:szCs w:val="19"/>
              </w:rPr>
              <w:t>Countries</w:t>
            </w:r>
          </w:p>
        </w:tc>
        <w:tc>
          <w:tcPr>
            <w:tcW w:w="463" w:type="pct"/>
            <w:shd w:val="clear" w:color="auto" w:fill="auto"/>
            <w:noWrap/>
            <w:vAlign w:val="bottom"/>
            <w:hideMark/>
          </w:tcPr>
          <w:p w14:paraId="52F952B7" w14:textId="77777777" w:rsidR="0062327A" w:rsidRPr="00811800" w:rsidRDefault="0062327A" w:rsidP="00C316BA">
            <w:pPr>
              <w:jc w:val="center"/>
              <w:rPr>
                <w:rFonts w:ascii="Arial" w:hAnsi="Arial" w:cs="Arial"/>
                <w:b/>
                <w:sz w:val="19"/>
                <w:szCs w:val="19"/>
              </w:rPr>
            </w:pPr>
            <w:r w:rsidRPr="00811800">
              <w:rPr>
                <w:rFonts w:ascii="Arial" w:hAnsi="Arial" w:cs="Arial"/>
                <w:b/>
                <w:sz w:val="19"/>
                <w:szCs w:val="19"/>
              </w:rPr>
              <w:t>2002</w:t>
            </w:r>
          </w:p>
        </w:tc>
        <w:tc>
          <w:tcPr>
            <w:tcW w:w="463" w:type="pct"/>
            <w:shd w:val="clear" w:color="auto" w:fill="auto"/>
            <w:noWrap/>
            <w:vAlign w:val="bottom"/>
            <w:hideMark/>
          </w:tcPr>
          <w:p w14:paraId="41E718B6" w14:textId="77777777" w:rsidR="0062327A" w:rsidRPr="00811800" w:rsidRDefault="0062327A" w:rsidP="00BB4BE3">
            <w:pPr>
              <w:jc w:val="center"/>
              <w:rPr>
                <w:rFonts w:ascii="Arial" w:hAnsi="Arial" w:cs="Arial"/>
                <w:b/>
                <w:sz w:val="19"/>
                <w:szCs w:val="19"/>
              </w:rPr>
            </w:pPr>
            <w:r w:rsidRPr="00811800">
              <w:rPr>
                <w:rFonts w:ascii="Arial" w:hAnsi="Arial" w:cs="Arial"/>
                <w:b/>
                <w:sz w:val="19"/>
                <w:szCs w:val="19"/>
              </w:rPr>
              <w:t>2003</w:t>
            </w:r>
          </w:p>
        </w:tc>
        <w:tc>
          <w:tcPr>
            <w:tcW w:w="462" w:type="pct"/>
            <w:shd w:val="clear" w:color="auto" w:fill="auto"/>
            <w:noWrap/>
            <w:vAlign w:val="bottom"/>
            <w:hideMark/>
          </w:tcPr>
          <w:p w14:paraId="59ABDCFA" w14:textId="77777777" w:rsidR="0062327A" w:rsidRPr="00811800" w:rsidRDefault="0062327A" w:rsidP="00BB4BE3">
            <w:pPr>
              <w:jc w:val="center"/>
              <w:rPr>
                <w:rFonts w:ascii="Arial" w:hAnsi="Arial" w:cs="Arial"/>
                <w:b/>
                <w:sz w:val="19"/>
                <w:szCs w:val="19"/>
              </w:rPr>
            </w:pPr>
            <w:r w:rsidRPr="00811800">
              <w:rPr>
                <w:rFonts w:ascii="Arial" w:hAnsi="Arial" w:cs="Arial"/>
                <w:b/>
                <w:sz w:val="19"/>
                <w:szCs w:val="19"/>
              </w:rPr>
              <w:t>2004</w:t>
            </w:r>
          </w:p>
        </w:tc>
        <w:tc>
          <w:tcPr>
            <w:tcW w:w="462" w:type="pct"/>
            <w:shd w:val="clear" w:color="auto" w:fill="auto"/>
            <w:noWrap/>
            <w:vAlign w:val="bottom"/>
            <w:hideMark/>
          </w:tcPr>
          <w:p w14:paraId="31493B03" w14:textId="77777777" w:rsidR="0062327A" w:rsidRPr="00811800" w:rsidRDefault="0062327A" w:rsidP="00BB4BE3">
            <w:pPr>
              <w:jc w:val="center"/>
              <w:rPr>
                <w:rFonts w:ascii="Arial" w:hAnsi="Arial" w:cs="Arial"/>
                <w:b/>
                <w:sz w:val="19"/>
                <w:szCs w:val="19"/>
              </w:rPr>
            </w:pPr>
            <w:r w:rsidRPr="00811800">
              <w:rPr>
                <w:rFonts w:ascii="Arial" w:hAnsi="Arial" w:cs="Arial"/>
                <w:b/>
                <w:sz w:val="19"/>
                <w:szCs w:val="19"/>
              </w:rPr>
              <w:t>2005</w:t>
            </w:r>
          </w:p>
        </w:tc>
        <w:tc>
          <w:tcPr>
            <w:tcW w:w="462" w:type="pct"/>
            <w:shd w:val="clear" w:color="auto" w:fill="auto"/>
            <w:noWrap/>
            <w:vAlign w:val="bottom"/>
            <w:hideMark/>
          </w:tcPr>
          <w:p w14:paraId="6169B3E9" w14:textId="77777777" w:rsidR="0062327A" w:rsidRPr="00811800" w:rsidRDefault="0062327A" w:rsidP="00BB4BE3">
            <w:pPr>
              <w:jc w:val="center"/>
              <w:rPr>
                <w:rFonts w:ascii="Arial" w:hAnsi="Arial" w:cs="Arial"/>
                <w:b/>
                <w:sz w:val="19"/>
                <w:szCs w:val="19"/>
              </w:rPr>
            </w:pPr>
            <w:r w:rsidRPr="00811800">
              <w:rPr>
                <w:rFonts w:ascii="Arial" w:hAnsi="Arial" w:cs="Arial"/>
                <w:b/>
                <w:sz w:val="19"/>
                <w:szCs w:val="19"/>
              </w:rPr>
              <w:t>2006</w:t>
            </w:r>
          </w:p>
        </w:tc>
        <w:tc>
          <w:tcPr>
            <w:tcW w:w="462" w:type="pct"/>
            <w:shd w:val="clear" w:color="auto" w:fill="auto"/>
            <w:noWrap/>
            <w:vAlign w:val="bottom"/>
            <w:hideMark/>
          </w:tcPr>
          <w:p w14:paraId="2F27D8F9" w14:textId="77777777" w:rsidR="0062327A" w:rsidRPr="00811800" w:rsidRDefault="0062327A" w:rsidP="00BB4BE3">
            <w:pPr>
              <w:jc w:val="center"/>
              <w:rPr>
                <w:rFonts w:ascii="Arial" w:hAnsi="Arial" w:cs="Arial"/>
                <w:b/>
                <w:sz w:val="19"/>
                <w:szCs w:val="19"/>
              </w:rPr>
            </w:pPr>
            <w:r w:rsidRPr="00811800">
              <w:rPr>
                <w:rFonts w:ascii="Arial" w:hAnsi="Arial" w:cs="Arial"/>
                <w:b/>
                <w:sz w:val="19"/>
                <w:szCs w:val="19"/>
              </w:rPr>
              <w:t>2007</w:t>
            </w:r>
          </w:p>
        </w:tc>
        <w:tc>
          <w:tcPr>
            <w:tcW w:w="462" w:type="pct"/>
            <w:shd w:val="clear" w:color="auto" w:fill="auto"/>
            <w:noWrap/>
            <w:vAlign w:val="bottom"/>
            <w:hideMark/>
          </w:tcPr>
          <w:p w14:paraId="26BB8E71" w14:textId="77777777" w:rsidR="0062327A" w:rsidRPr="00811800" w:rsidRDefault="0062327A" w:rsidP="00BB4BE3">
            <w:pPr>
              <w:jc w:val="center"/>
              <w:rPr>
                <w:rFonts w:ascii="Arial" w:hAnsi="Arial" w:cs="Arial"/>
                <w:b/>
                <w:sz w:val="19"/>
                <w:szCs w:val="19"/>
              </w:rPr>
            </w:pPr>
            <w:r w:rsidRPr="00811800">
              <w:rPr>
                <w:rFonts w:ascii="Arial" w:hAnsi="Arial" w:cs="Arial"/>
                <w:b/>
                <w:sz w:val="19"/>
                <w:szCs w:val="19"/>
              </w:rPr>
              <w:t>2008</w:t>
            </w:r>
          </w:p>
        </w:tc>
        <w:tc>
          <w:tcPr>
            <w:tcW w:w="462" w:type="pct"/>
            <w:shd w:val="clear" w:color="auto" w:fill="auto"/>
            <w:noWrap/>
            <w:vAlign w:val="bottom"/>
            <w:hideMark/>
          </w:tcPr>
          <w:p w14:paraId="0454518E" w14:textId="77777777" w:rsidR="0062327A" w:rsidRPr="00811800" w:rsidRDefault="0062327A" w:rsidP="00BB4BE3">
            <w:pPr>
              <w:jc w:val="center"/>
              <w:rPr>
                <w:rFonts w:ascii="Arial" w:hAnsi="Arial" w:cs="Arial"/>
                <w:b/>
                <w:sz w:val="19"/>
                <w:szCs w:val="19"/>
              </w:rPr>
            </w:pPr>
            <w:r w:rsidRPr="00811800">
              <w:rPr>
                <w:rFonts w:ascii="Arial" w:hAnsi="Arial" w:cs="Arial"/>
                <w:b/>
                <w:sz w:val="19"/>
                <w:szCs w:val="19"/>
              </w:rPr>
              <w:t>2009</w:t>
            </w:r>
          </w:p>
        </w:tc>
        <w:tc>
          <w:tcPr>
            <w:tcW w:w="460" w:type="pct"/>
            <w:shd w:val="clear" w:color="auto" w:fill="auto"/>
            <w:noWrap/>
            <w:vAlign w:val="bottom"/>
            <w:hideMark/>
          </w:tcPr>
          <w:p w14:paraId="31C97985" w14:textId="77777777" w:rsidR="0062327A" w:rsidRPr="00811800" w:rsidRDefault="0062327A" w:rsidP="00BB4BE3">
            <w:pPr>
              <w:jc w:val="center"/>
              <w:rPr>
                <w:rFonts w:ascii="Arial" w:hAnsi="Arial" w:cs="Arial"/>
                <w:b/>
                <w:sz w:val="19"/>
                <w:szCs w:val="19"/>
              </w:rPr>
            </w:pPr>
            <w:r w:rsidRPr="00811800">
              <w:rPr>
                <w:rFonts w:ascii="Arial" w:hAnsi="Arial" w:cs="Arial"/>
                <w:b/>
                <w:sz w:val="19"/>
                <w:szCs w:val="19"/>
              </w:rPr>
              <w:t>2010</w:t>
            </w:r>
          </w:p>
        </w:tc>
      </w:tr>
      <w:tr w:rsidR="0062327A" w:rsidRPr="00811800" w14:paraId="16AE66C3" w14:textId="77777777" w:rsidTr="003A56B2">
        <w:trPr>
          <w:trHeight w:val="300"/>
          <w:jc w:val="center"/>
        </w:trPr>
        <w:tc>
          <w:tcPr>
            <w:tcW w:w="842" w:type="pct"/>
            <w:shd w:val="clear" w:color="auto" w:fill="auto"/>
            <w:noWrap/>
            <w:vAlign w:val="bottom"/>
            <w:hideMark/>
          </w:tcPr>
          <w:p w14:paraId="70D171F5" w14:textId="77777777" w:rsidR="0062327A" w:rsidRPr="00811800" w:rsidRDefault="0062327A" w:rsidP="003A56B2">
            <w:pPr>
              <w:rPr>
                <w:rFonts w:ascii="Arial" w:hAnsi="Arial" w:cs="Arial"/>
                <w:sz w:val="19"/>
                <w:szCs w:val="19"/>
              </w:rPr>
            </w:pPr>
            <w:r w:rsidRPr="00811800">
              <w:rPr>
                <w:rFonts w:ascii="Arial" w:hAnsi="Arial" w:cs="Arial"/>
                <w:sz w:val="19"/>
                <w:szCs w:val="19"/>
              </w:rPr>
              <w:t>Japan</w:t>
            </w:r>
          </w:p>
        </w:tc>
        <w:tc>
          <w:tcPr>
            <w:tcW w:w="463" w:type="pct"/>
            <w:shd w:val="clear" w:color="auto" w:fill="auto"/>
            <w:noWrap/>
            <w:vAlign w:val="bottom"/>
            <w:hideMark/>
          </w:tcPr>
          <w:p w14:paraId="2E0DC329" w14:textId="77777777" w:rsidR="0062327A" w:rsidRPr="00811800" w:rsidRDefault="0062327A" w:rsidP="00F07E0C">
            <w:pPr>
              <w:jc w:val="right"/>
              <w:rPr>
                <w:rFonts w:ascii="Arial" w:hAnsi="Arial" w:cs="Arial"/>
                <w:sz w:val="19"/>
                <w:szCs w:val="19"/>
              </w:rPr>
            </w:pPr>
            <w:r w:rsidRPr="00811800">
              <w:rPr>
                <w:rFonts w:ascii="Arial" w:hAnsi="Arial" w:cs="Arial"/>
                <w:sz w:val="19"/>
                <w:szCs w:val="19"/>
              </w:rPr>
              <w:t>252</w:t>
            </w:r>
          </w:p>
        </w:tc>
        <w:tc>
          <w:tcPr>
            <w:tcW w:w="463" w:type="pct"/>
            <w:shd w:val="clear" w:color="auto" w:fill="auto"/>
            <w:noWrap/>
            <w:vAlign w:val="bottom"/>
            <w:hideMark/>
          </w:tcPr>
          <w:p w14:paraId="6104B8CF" w14:textId="77777777" w:rsidR="0062327A" w:rsidRPr="00811800" w:rsidRDefault="0062327A" w:rsidP="00F07E0C">
            <w:pPr>
              <w:jc w:val="right"/>
              <w:rPr>
                <w:rFonts w:ascii="Arial" w:hAnsi="Arial" w:cs="Arial"/>
                <w:sz w:val="19"/>
                <w:szCs w:val="19"/>
              </w:rPr>
            </w:pPr>
            <w:r w:rsidRPr="00811800">
              <w:rPr>
                <w:rFonts w:ascii="Arial" w:hAnsi="Arial" w:cs="Arial"/>
                <w:sz w:val="19"/>
                <w:szCs w:val="19"/>
              </w:rPr>
              <w:t>365</w:t>
            </w:r>
          </w:p>
        </w:tc>
        <w:tc>
          <w:tcPr>
            <w:tcW w:w="462" w:type="pct"/>
            <w:shd w:val="clear" w:color="auto" w:fill="auto"/>
            <w:noWrap/>
            <w:vAlign w:val="bottom"/>
            <w:hideMark/>
          </w:tcPr>
          <w:p w14:paraId="0D32D0E4" w14:textId="77777777" w:rsidR="0062327A" w:rsidRPr="00811800" w:rsidRDefault="0062327A" w:rsidP="00F07E0C">
            <w:pPr>
              <w:jc w:val="right"/>
              <w:rPr>
                <w:rFonts w:ascii="Arial" w:hAnsi="Arial" w:cs="Arial"/>
                <w:sz w:val="19"/>
                <w:szCs w:val="19"/>
              </w:rPr>
            </w:pPr>
            <w:r w:rsidRPr="00811800">
              <w:rPr>
                <w:rFonts w:ascii="Arial" w:hAnsi="Arial" w:cs="Arial"/>
                <w:sz w:val="19"/>
                <w:szCs w:val="19"/>
              </w:rPr>
              <w:t>604</w:t>
            </w:r>
          </w:p>
        </w:tc>
        <w:tc>
          <w:tcPr>
            <w:tcW w:w="462" w:type="pct"/>
            <w:shd w:val="clear" w:color="auto" w:fill="auto"/>
            <w:noWrap/>
            <w:vAlign w:val="bottom"/>
            <w:hideMark/>
          </w:tcPr>
          <w:p w14:paraId="71847FAF" w14:textId="77777777" w:rsidR="0062327A" w:rsidRPr="00811800" w:rsidRDefault="0062327A" w:rsidP="00F07E0C">
            <w:pPr>
              <w:jc w:val="right"/>
              <w:rPr>
                <w:rFonts w:ascii="Arial" w:hAnsi="Arial" w:cs="Arial"/>
                <w:sz w:val="19"/>
                <w:szCs w:val="19"/>
              </w:rPr>
            </w:pPr>
            <w:r w:rsidRPr="00811800">
              <w:rPr>
                <w:rFonts w:ascii="Arial" w:hAnsi="Arial" w:cs="Arial"/>
                <w:sz w:val="19"/>
                <w:szCs w:val="19"/>
              </w:rPr>
              <w:t>833</w:t>
            </w:r>
          </w:p>
        </w:tc>
        <w:tc>
          <w:tcPr>
            <w:tcW w:w="462" w:type="pct"/>
            <w:shd w:val="clear" w:color="auto" w:fill="auto"/>
            <w:noWrap/>
            <w:vAlign w:val="bottom"/>
            <w:hideMark/>
          </w:tcPr>
          <w:p w14:paraId="03235A02" w14:textId="77777777" w:rsidR="0062327A" w:rsidRPr="00811800" w:rsidRDefault="0062327A" w:rsidP="00F07E0C">
            <w:pPr>
              <w:jc w:val="right"/>
              <w:rPr>
                <w:rFonts w:ascii="Arial" w:hAnsi="Arial" w:cs="Arial"/>
                <w:sz w:val="19"/>
                <w:szCs w:val="19"/>
              </w:rPr>
            </w:pPr>
            <w:r w:rsidRPr="00811800">
              <w:rPr>
                <w:rFonts w:ascii="Arial" w:hAnsi="Arial" w:cs="Arial"/>
                <w:sz w:val="19"/>
                <w:szCs w:val="19"/>
              </w:rPr>
              <w:t>926</w:t>
            </w:r>
          </w:p>
        </w:tc>
        <w:tc>
          <w:tcPr>
            <w:tcW w:w="462" w:type="pct"/>
            <w:shd w:val="clear" w:color="auto" w:fill="auto"/>
            <w:noWrap/>
            <w:vAlign w:val="bottom"/>
            <w:hideMark/>
          </w:tcPr>
          <w:p w14:paraId="7E40B4E5" w14:textId="77777777" w:rsidR="0062327A" w:rsidRPr="00811800" w:rsidRDefault="0062327A" w:rsidP="00F07E0C">
            <w:pPr>
              <w:jc w:val="right"/>
              <w:rPr>
                <w:rFonts w:ascii="Arial" w:hAnsi="Arial" w:cs="Arial"/>
                <w:sz w:val="19"/>
                <w:szCs w:val="19"/>
              </w:rPr>
            </w:pPr>
            <w:r w:rsidRPr="00811800">
              <w:rPr>
                <w:rFonts w:ascii="Arial" w:hAnsi="Arial" w:cs="Arial"/>
                <w:sz w:val="19"/>
                <w:szCs w:val="19"/>
              </w:rPr>
              <w:t>920</w:t>
            </w:r>
          </w:p>
        </w:tc>
        <w:tc>
          <w:tcPr>
            <w:tcW w:w="462" w:type="pct"/>
            <w:shd w:val="clear" w:color="auto" w:fill="auto"/>
            <w:noWrap/>
            <w:vAlign w:val="bottom"/>
            <w:hideMark/>
          </w:tcPr>
          <w:p w14:paraId="1368C1EA" w14:textId="77777777" w:rsidR="0062327A" w:rsidRPr="00811800" w:rsidRDefault="0062327A" w:rsidP="00F07E0C">
            <w:pPr>
              <w:jc w:val="right"/>
              <w:rPr>
                <w:rFonts w:ascii="Arial" w:hAnsi="Arial" w:cs="Arial"/>
                <w:sz w:val="19"/>
                <w:szCs w:val="19"/>
              </w:rPr>
            </w:pPr>
            <w:r w:rsidRPr="00811800">
              <w:rPr>
                <w:rFonts w:ascii="Arial" w:hAnsi="Arial" w:cs="Arial"/>
                <w:sz w:val="19"/>
                <w:szCs w:val="19"/>
              </w:rPr>
              <w:t>130</w:t>
            </w:r>
          </w:p>
        </w:tc>
        <w:tc>
          <w:tcPr>
            <w:tcW w:w="462" w:type="pct"/>
            <w:shd w:val="clear" w:color="auto" w:fill="auto"/>
            <w:noWrap/>
            <w:vAlign w:val="bottom"/>
            <w:hideMark/>
          </w:tcPr>
          <w:p w14:paraId="34E3D6D8" w14:textId="77777777" w:rsidR="0062327A" w:rsidRPr="00811800" w:rsidRDefault="0062327A" w:rsidP="00F07E0C">
            <w:pPr>
              <w:jc w:val="right"/>
              <w:rPr>
                <w:rFonts w:ascii="Arial" w:hAnsi="Arial" w:cs="Arial"/>
                <w:sz w:val="19"/>
                <w:szCs w:val="19"/>
              </w:rPr>
            </w:pPr>
            <w:r w:rsidRPr="00811800">
              <w:rPr>
                <w:rFonts w:ascii="Arial" w:hAnsi="Arial" w:cs="Arial"/>
                <w:sz w:val="19"/>
                <w:szCs w:val="19"/>
              </w:rPr>
              <w:t>150</w:t>
            </w:r>
          </w:p>
        </w:tc>
        <w:tc>
          <w:tcPr>
            <w:tcW w:w="460" w:type="pct"/>
            <w:shd w:val="clear" w:color="auto" w:fill="auto"/>
            <w:noWrap/>
            <w:vAlign w:val="bottom"/>
            <w:hideMark/>
          </w:tcPr>
          <w:p w14:paraId="23B5F616" w14:textId="77777777" w:rsidR="0062327A" w:rsidRPr="00811800" w:rsidRDefault="0062327A" w:rsidP="00F07E0C">
            <w:pPr>
              <w:jc w:val="right"/>
              <w:rPr>
                <w:rFonts w:ascii="Arial" w:hAnsi="Arial" w:cs="Arial"/>
                <w:sz w:val="19"/>
                <w:szCs w:val="19"/>
              </w:rPr>
            </w:pPr>
            <w:r w:rsidRPr="00811800">
              <w:rPr>
                <w:rFonts w:ascii="Arial" w:hAnsi="Arial" w:cs="Arial"/>
                <w:sz w:val="19"/>
                <w:szCs w:val="19"/>
              </w:rPr>
              <w:t>218</w:t>
            </w:r>
          </w:p>
        </w:tc>
      </w:tr>
      <w:tr w:rsidR="0062327A" w:rsidRPr="00811800" w14:paraId="2129F88F" w14:textId="77777777" w:rsidTr="003A56B2">
        <w:trPr>
          <w:trHeight w:val="300"/>
          <w:jc w:val="center"/>
        </w:trPr>
        <w:tc>
          <w:tcPr>
            <w:tcW w:w="842" w:type="pct"/>
            <w:shd w:val="clear" w:color="auto" w:fill="auto"/>
            <w:noWrap/>
            <w:vAlign w:val="bottom"/>
            <w:hideMark/>
          </w:tcPr>
          <w:p w14:paraId="3BA9063B" w14:textId="77777777" w:rsidR="0062327A" w:rsidRPr="00811800" w:rsidRDefault="0062327A" w:rsidP="003A56B2">
            <w:pPr>
              <w:rPr>
                <w:rFonts w:ascii="Arial" w:hAnsi="Arial" w:cs="Arial"/>
                <w:sz w:val="19"/>
                <w:szCs w:val="19"/>
              </w:rPr>
            </w:pPr>
            <w:r w:rsidRPr="00811800">
              <w:rPr>
                <w:rFonts w:ascii="Arial" w:hAnsi="Arial" w:cs="Arial"/>
                <w:sz w:val="19"/>
                <w:szCs w:val="19"/>
              </w:rPr>
              <w:t>Europe</w:t>
            </w:r>
          </w:p>
        </w:tc>
        <w:tc>
          <w:tcPr>
            <w:tcW w:w="463" w:type="pct"/>
            <w:shd w:val="clear" w:color="auto" w:fill="auto"/>
            <w:noWrap/>
            <w:vAlign w:val="bottom"/>
            <w:hideMark/>
          </w:tcPr>
          <w:p w14:paraId="5E60D289" w14:textId="77777777" w:rsidR="0062327A" w:rsidRPr="00811800" w:rsidRDefault="0062327A" w:rsidP="00F07E0C">
            <w:pPr>
              <w:jc w:val="right"/>
              <w:rPr>
                <w:rFonts w:ascii="Arial" w:hAnsi="Arial" w:cs="Arial"/>
                <w:sz w:val="19"/>
                <w:szCs w:val="19"/>
              </w:rPr>
            </w:pPr>
            <w:r w:rsidRPr="00811800">
              <w:rPr>
                <w:rFonts w:ascii="Arial" w:hAnsi="Arial" w:cs="Arial"/>
                <w:sz w:val="19"/>
                <w:szCs w:val="19"/>
              </w:rPr>
              <w:t>122</w:t>
            </w:r>
          </w:p>
        </w:tc>
        <w:tc>
          <w:tcPr>
            <w:tcW w:w="463" w:type="pct"/>
            <w:shd w:val="clear" w:color="auto" w:fill="auto"/>
            <w:noWrap/>
            <w:vAlign w:val="bottom"/>
            <w:hideMark/>
          </w:tcPr>
          <w:p w14:paraId="4379A816" w14:textId="77777777" w:rsidR="0062327A" w:rsidRPr="00811800" w:rsidRDefault="0062327A" w:rsidP="00F07E0C">
            <w:pPr>
              <w:jc w:val="right"/>
              <w:rPr>
                <w:rFonts w:ascii="Arial" w:hAnsi="Arial" w:cs="Arial"/>
                <w:sz w:val="19"/>
                <w:szCs w:val="19"/>
              </w:rPr>
            </w:pPr>
            <w:r w:rsidRPr="00811800">
              <w:rPr>
                <w:rFonts w:ascii="Arial" w:hAnsi="Arial" w:cs="Arial"/>
                <w:sz w:val="19"/>
                <w:szCs w:val="19"/>
              </w:rPr>
              <w:t>200</w:t>
            </w:r>
          </w:p>
        </w:tc>
        <w:tc>
          <w:tcPr>
            <w:tcW w:w="462" w:type="pct"/>
            <w:shd w:val="clear" w:color="auto" w:fill="auto"/>
            <w:noWrap/>
            <w:vAlign w:val="bottom"/>
            <w:hideMark/>
          </w:tcPr>
          <w:p w14:paraId="2D32376C" w14:textId="77777777" w:rsidR="0062327A" w:rsidRPr="00811800" w:rsidRDefault="0062327A" w:rsidP="00F07E0C">
            <w:pPr>
              <w:jc w:val="right"/>
              <w:rPr>
                <w:rFonts w:ascii="Arial" w:hAnsi="Arial" w:cs="Arial"/>
                <w:sz w:val="19"/>
                <w:szCs w:val="19"/>
              </w:rPr>
            </w:pPr>
            <w:r w:rsidRPr="00811800">
              <w:rPr>
                <w:rFonts w:ascii="Arial" w:hAnsi="Arial" w:cs="Arial"/>
                <w:sz w:val="19"/>
                <w:szCs w:val="19"/>
              </w:rPr>
              <w:t>311</w:t>
            </w:r>
          </w:p>
        </w:tc>
        <w:tc>
          <w:tcPr>
            <w:tcW w:w="462" w:type="pct"/>
            <w:shd w:val="clear" w:color="auto" w:fill="auto"/>
            <w:noWrap/>
            <w:vAlign w:val="bottom"/>
            <w:hideMark/>
          </w:tcPr>
          <w:p w14:paraId="7A85057E" w14:textId="77777777" w:rsidR="0062327A" w:rsidRPr="00811800" w:rsidRDefault="0062327A" w:rsidP="00F07E0C">
            <w:pPr>
              <w:jc w:val="right"/>
              <w:rPr>
                <w:rFonts w:ascii="Arial" w:hAnsi="Arial" w:cs="Arial"/>
                <w:sz w:val="19"/>
                <w:szCs w:val="19"/>
              </w:rPr>
            </w:pPr>
            <w:r w:rsidRPr="00811800">
              <w:rPr>
                <w:rFonts w:ascii="Arial" w:hAnsi="Arial" w:cs="Arial"/>
                <w:sz w:val="19"/>
                <w:szCs w:val="19"/>
              </w:rPr>
              <w:t>472</w:t>
            </w:r>
          </w:p>
        </w:tc>
        <w:tc>
          <w:tcPr>
            <w:tcW w:w="462" w:type="pct"/>
            <w:shd w:val="clear" w:color="auto" w:fill="auto"/>
            <w:noWrap/>
            <w:vAlign w:val="bottom"/>
            <w:hideMark/>
          </w:tcPr>
          <w:p w14:paraId="5C30BC1E" w14:textId="77777777" w:rsidR="0062327A" w:rsidRPr="00811800" w:rsidRDefault="0062327A" w:rsidP="00F07E0C">
            <w:pPr>
              <w:jc w:val="right"/>
              <w:rPr>
                <w:rFonts w:ascii="Arial" w:hAnsi="Arial" w:cs="Arial"/>
                <w:sz w:val="19"/>
                <w:szCs w:val="19"/>
              </w:rPr>
            </w:pPr>
            <w:r w:rsidRPr="00811800">
              <w:rPr>
                <w:rFonts w:ascii="Arial" w:hAnsi="Arial" w:cs="Arial"/>
                <w:sz w:val="19"/>
                <w:szCs w:val="19"/>
              </w:rPr>
              <w:t>680</w:t>
            </w:r>
          </w:p>
        </w:tc>
        <w:tc>
          <w:tcPr>
            <w:tcW w:w="462" w:type="pct"/>
            <w:shd w:val="clear" w:color="auto" w:fill="auto"/>
            <w:noWrap/>
            <w:vAlign w:val="bottom"/>
            <w:hideMark/>
          </w:tcPr>
          <w:p w14:paraId="54ADA2CA" w14:textId="77777777" w:rsidR="0062327A" w:rsidRPr="00811800" w:rsidRDefault="0062327A" w:rsidP="00F07E0C">
            <w:pPr>
              <w:jc w:val="right"/>
              <w:rPr>
                <w:rFonts w:ascii="Arial" w:hAnsi="Arial" w:cs="Arial"/>
                <w:sz w:val="19"/>
                <w:szCs w:val="19"/>
              </w:rPr>
            </w:pPr>
            <w:r w:rsidRPr="00811800">
              <w:rPr>
                <w:rFonts w:ascii="Arial" w:hAnsi="Arial" w:cs="Arial"/>
                <w:sz w:val="19"/>
                <w:szCs w:val="19"/>
              </w:rPr>
              <w:t>106</w:t>
            </w:r>
          </w:p>
        </w:tc>
        <w:tc>
          <w:tcPr>
            <w:tcW w:w="462" w:type="pct"/>
            <w:shd w:val="clear" w:color="auto" w:fill="auto"/>
            <w:noWrap/>
            <w:vAlign w:val="bottom"/>
            <w:hideMark/>
          </w:tcPr>
          <w:p w14:paraId="244AFBB2" w14:textId="77777777" w:rsidR="0062327A" w:rsidRPr="00811800" w:rsidRDefault="0062327A" w:rsidP="00F07E0C">
            <w:pPr>
              <w:jc w:val="right"/>
              <w:rPr>
                <w:rFonts w:ascii="Arial" w:hAnsi="Arial" w:cs="Arial"/>
                <w:sz w:val="19"/>
                <w:szCs w:val="19"/>
              </w:rPr>
            </w:pPr>
            <w:r w:rsidRPr="00811800">
              <w:rPr>
                <w:rFonts w:ascii="Arial" w:hAnsi="Arial" w:cs="Arial"/>
                <w:sz w:val="19"/>
                <w:szCs w:val="19"/>
              </w:rPr>
              <w:t>200</w:t>
            </w:r>
          </w:p>
        </w:tc>
        <w:tc>
          <w:tcPr>
            <w:tcW w:w="462" w:type="pct"/>
            <w:shd w:val="clear" w:color="auto" w:fill="auto"/>
            <w:noWrap/>
            <w:vAlign w:val="bottom"/>
            <w:hideMark/>
          </w:tcPr>
          <w:p w14:paraId="6BA6AD1C" w14:textId="77777777" w:rsidR="0062327A" w:rsidRPr="00811800" w:rsidRDefault="0062327A" w:rsidP="00F07E0C">
            <w:pPr>
              <w:jc w:val="right"/>
              <w:rPr>
                <w:rFonts w:ascii="Arial" w:hAnsi="Arial" w:cs="Arial"/>
                <w:sz w:val="19"/>
                <w:szCs w:val="19"/>
              </w:rPr>
            </w:pPr>
            <w:r w:rsidRPr="00811800">
              <w:rPr>
                <w:rFonts w:ascii="Arial" w:hAnsi="Arial" w:cs="Arial"/>
                <w:sz w:val="19"/>
                <w:szCs w:val="19"/>
              </w:rPr>
              <w:t>193</w:t>
            </w:r>
          </w:p>
        </w:tc>
        <w:tc>
          <w:tcPr>
            <w:tcW w:w="460" w:type="pct"/>
            <w:shd w:val="clear" w:color="auto" w:fill="auto"/>
            <w:noWrap/>
            <w:vAlign w:val="bottom"/>
            <w:hideMark/>
          </w:tcPr>
          <w:p w14:paraId="744BF604" w14:textId="77777777" w:rsidR="0062327A" w:rsidRPr="00811800" w:rsidRDefault="0062327A" w:rsidP="00F07E0C">
            <w:pPr>
              <w:jc w:val="right"/>
              <w:rPr>
                <w:rFonts w:ascii="Arial" w:hAnsi="Arial" w:cs="Arial"/>
                <w:sz w:val="19"/>
                <w:szCs w:val="19"/>
              </w:rPr>
            </w:pPr>
            <w:r w:rsidRPr="00811800">
              <w:rPr>
                <w:rFonts w:ascii="Arial" w:hAnsi="Arial" w:cs="Arial"/>
                <w:sz w:val="19"/>
                <w:szCs w:val="19"/>
              </w:rPr>
              <w:t>312</w:t>
            </w:r>
          </w:p>
        </w:tc>
      </w:tr>
      <w:tr w:rsidR="0062327A" w:rsidRPr="00811800" w14:paraId="353F0DD1" w14:textId="77777777" w:rsidTr="003A56B2">
        <w:trPr>
          <w:trHeight w:val="300"/>
          <w:jc w:val="center"/>
        </w:trPr>
        <w:tc>
          <w:tcPr>
            <w:tcW w:w="842" w:type="pct"/>
            <w:shd w:val="clear" w:color="auto" w:fill="auto"/>
            <w:noWrap/>
            <w:vAlign w:val="bottom"/>
            <w:hideMark/>
          </w:tcPr>
          <w:p w14:paraId="62313839" w14:textId="77777777" w:rsidR="0062327A" w:rsidRPr="00811800" w:rsidRDefault="0062327A" w:rsidP="003A56B2">
            <w:pPr>
              <w:rPr>
                <w:rFonts w:ascii="Arial" w:hAnsi="Arial" w:cs="Arial"/>
                <w:sz w:val="19"/>
                <w:szCs w:val="19"/>
              </w:rPr>
            </w:pPr>
            <w:r w:rsidRPr="00811800">
              <w:rPr>
                <w:rFonts w:ascii="Arial" w:hAnsi="Arial" w:cs="Arial"/>
                <w:sz w:val="19"/>
                <w:szCs w:val="19"/>
              </w:rPr>
              <w:t>US</w:t>
            </w:r>
          </w:p>
        </w:tc>
        <w:tc>
          <w:tcPr>
            <w:tcW w:w="463" w:type="pct"/>
            <w:shd w:val="clear" w:color="auto" w:fill="auto"/>
            <w:noWrap/>
            <w:vAlign w:val="bottom"/>
            <w:hideMark/>
          </w:tcPr>
          <w:p w14:paraId="1546DE57" w14:textId="77777777" w:rsidR="0062327A" w:rsidRPr="00811800" w:rsidRDefault="0062327A" w:rsidP="00F07E0C">
            <w:pPr>
              <w:jc w:val="right"/>
              <w:rPr>
                <w:rFonts w:ascii="Arial" w:hAnsi="Arial" w:cs="Arial"/>
                <w:sz w:val="19"/>
                <w:szCs w:val="19"/>
              </w:rPr>
            </w:pPr>
            <w:r w:rsidRPr="00811800">
              <w:rPr>
                <w:rFonts w:ascii="Arial" w:hAnsi="Arial" w:cs="Arial"/>
                <w:sz w:val="19"/>
                <w:szCs w:val="19"/>
              </w:rPr>
              <w:t>120</w:t>
            </w:r>
          </w:p>
        </w:tc>
        <w:tc>
          <w:tcPr>
            <w:tcW w:w="463" w:type="pct"/>
            <w:shd w:val="clear" w:color="auto" w:fill="auto"/>
            <w:noWrap/>
            <w:vAlign w:val="bottom"/>
            <w:hideMark/>
          </w:tcPr>
          <w:p w14:paraId="5ACC7E34" w14:textId="77777777" w:rsidR="0062327A" w:rsidRPr="00811800" w:rsidRDefault="0062327A" w:rsidP="00F07E0C">
            <w:pPr>
              <w:jc w:val="right"/>
              <w:rPr>
                <w:rFonts w:ascii="Arial" w:hAnsi="Arial" w:cs="Arial"/>
                <w:sz w:val="19"/>
                <w:szCs w:val="19"/>
              </w:rPr>
            </w:pPr>
            <w:r w:rsidRPr="00811800">
              <w:rPr>
                <w:rFonts w:ascii="Arial" w:hAnsi="Arial" w:cs="Arial"/>
                <w:sz w:val="19"/>
                <w:szCs w:val="19"/>
              </w:rPr>
              <w:t>103</w:t>
            </w:r>
          </w:p>
        </w:tc>
        <w:tc>
          <w:tcPr>
            <w:tcW w:w="462" w:type="pct"/>
            <w:shd w:val="clear" w:color="auto" w:fill="auto"/>
            <w:noWrap/>
            <w:vAlign w:val="bottom"/>
            <w:hideMark/>
          </w:tcPr>
          <w:p w14:paraId="72127F7B" w14:textId="77777777" w:rsidR="0062327A" w:rsidRPr="00811800" w:rsidRDefault="0062327A" w:rsidP="00F07E0C">
            <w:pPr>
              <w:jc w:val="right"/>
              <w:rPr>
                <w:rFonts w:ascii="Arial" w:hAnsi="Arial" w:cs="Arial"/>
                <w:sz w:val="19"/>
                <w:szCs w:val="19"/>
              </w:rPr>
            </w:pPr>
            <w:r w:rsidRPr="00811800">
              <w:rPr>
                <w:rFonts w:ascii="Arial" w:hAnsi="Arial" w:cs="Arial"/>
                <w:sz w:val="19"/>
                <w:szCs w:val="19"/>
              </w:rPr>
              <w:t>138</w:t>
            </w:r>
          </w:p>
        </w:tc>
        <w:tc>
          <w:tcPr>
            <w:tcW w:w="462" w:type="pct"/>
            <w:shd w:val="clear" w:color="auto" w:fill="auto"/>
            <w:noWrap/>
            <w:vAlign w:val="bottom"/>
            <w:hideMark/>
          </w:tcPr>
          <w:p w14:paraId="4AB195C8" w14:textId="77777777" w:rsidR="0062327A" w:rsidRPr="00811800" w:rsidRDefault="0062327A" w:rsidP="00F07E0C">
            <w:pPr>
              <w:jc w:val="right"/>
              <w:rPr>
                <w:rFonts w:ascii="Arial" w:hAnsi="Arial" w:cs="Arial"/>
                <w:sz w:val="19"/>
                <w:szCs w:val="19"/>
              </w:rPr>
            </w:pPr>
            <w:r w:rsidRPr="00811800">
              <w:rPr>
                <w:rFonts w:ascii="Arial" w:hAnsi="Arial" w:cs="Arial"/>
                <w:sz w:val="19"/>
                <w:szCs w:val="19"/>
              </w:rPr>
              <w:t>153</w:t>
            </w:r>
          </w:p>
        </w:tc>
        <w:tc>
          <w:tcPr>
            <w:tcW w:w="462" w:type="pct"/>
            <w:shd w:val="clear" w:color="auto" w:fill="auto"/>
            <w:noWrap/>
            <w:vAlign w:val="bottom"/>
            <w:hideMark/>
          </w:tcPr>
          <w:p w14:paraId="19CBFC7D" w14:textId="77777777" w:rsidR="0062327A" w:rsidRPr="00811800" w:rsidRDefault="0062327A" w:rsidP="00F07E0C">
            <w:pPr>
              <w:jc w:val="right"/>
              <w:rPr>
                <w:rFonts w:ascii="Arial" w:hAnsi="Arial" w:cs="Arial"/>
                <w:sz w:val="19"/>
                <w:szCs w:val="19"/>
              </w:rPr>
            </w:pPr>
            <w:r w:rsidRPr="00811800">
              <w:rPr>
                <w:rFonts w:ascii="Arial" w:hAnsi="Arial" w:cs="Arial"/>
                <w:sz w:val="19"/>
                <w:szCs w:val="19"/>
              </w:rPr>
              <w:t>179</w:t>
            </w:r>
          </w:p>
        </w:tc>
        <w:tc>
          <w:tcPr>
            <w:tcW w:w="462" w:type="pct"/>
            <w:shd w:val="clear" w:color="auto" w:fill="auto"/>
            <w:noWrap/>
            <w:vAlign w:val="bottom"/>
            <w:hideMark/>
          </w:tcPr>
          <w:p w14:paraId="41A2114A" w14:textId="77777777" w:rsidR="0062327A" w:rsidRPr="00811800" w:rsidRDefault="0062327A" w:rsidP="00F07E0C">
            <w:pPr>
              <w:jc w:val="right"/>
              <w:rPr>
                <w:rFonts w:ascii="Arial" w:hAnsi="Arial" w:cs="Arial"/>
                <w:sz w:val="19"/>
                <w:szCs w:val="19"/>
              </w:rPr>
            </w:pPr>
            <w:r w:rsidRPr="00811800">
              <w:rPr>
                <w:rFonts w:ascii="Arial" w:hAnsi="Arial" w:cs="Arial"/>
                <w:sz w:val="19"/>
                <w:szCs w:val="19"/>
              </w:rPr>
              <w:t>266</w:t>
            </w:r>
          </w:p>
        </w:tc>
        <w:tc>
          <w:tcPr>
            <w:tcW w:w="462" w:type="pct"/>
            <w:shd w:val="clear" w:color="auto" w:fill="auto"/>
            <w:noWrap/>
            <w:vAlign w:val="bottom"/>
            <w:hideMark/>
          </w:tcPr>
          <w:p w14:paraId="017E2179" w14:textId="77777777" w:rsidR="0062327A" w:rsidRPr="00811800" w:rsidRDefault="0062327A" w:rsidP="00F07E0C">
            <w:pPr>
              <w:jc w:val="right"/>
              <w:rPr>
                <w:rFonts w:ascii="Arial" w:hAnsi="Arial" w:cs="Arial"/>
                <w:sz w:val="19"/>
                <w:szCs w:val="19"/>
              </w:rPr>
            </w:pPr>
            <w:r w:rsidRPr="00811800">
              <w:rPr>
                <w:rFonts w:ascii="Arial" w:hAnsi="Arial" w:cs="Arial"/>
                <w:sz w:val="19"/>
                <w:szCs w:val="19"/>
              </w:rPr>
              <w:t>432</w:t>
            </w:r>
          </w:p>
        </w:tc>
        <w:tc>
          <w:tcPr>
            <w:tcW w:w="462" w:type="pct"/>
            <w:shd w:val="clear" w:color="auto" w:fill="auto"/>
            <w:noWrap/>
            <w:vAlign w:val="bottom"/>
            <w:hideMark/>
          </w:tcPr>
          <w:p w14:paraId="5ED6CD69" w14:textId="77777777" w:rsidR="0062327A" w:rsidRPr="00811800" w:rsidRDefault="0062327A" w:rsidP="00F07E0C">
            <w:pPr>
              <w:jc w:val="right"/>
              <w:rPr>
                <w:rFonts w:ascii="Arial" w:hAnsi="Arial" w:cs="Arial"/>
                <w:sz w:val="19"/>
                <w:szCs w:val="19"/>
              </w:rPr>
            </w:pPr>
            <w:r w:rsidRPr="00811800">
              <w:rPr>
                <w:rFonts w:ascii="Arial" w:hAnsi="Arial" w:cs="Arial"/>
                <w:sz w:val="19"/>
                <w:szCs w:val="19"/>
              </w:rPr>
              <w:t>595</w:t>
            </w:r>
          </w:p>
        </w:tc>
        <w:tc>
          <w:tcPr>
            <w:tcW w:w="460" w:type="pct"/>
            <w:shd w:val="clear" w:color="auto" w:fill="auto"/>
            <w:noWrap/>
            <w:vAlign w:val="bottom"/>
            <w:hideMark/>
          </w:tcPr>
          <w:p w14:paraId="719326A9" w14:textId="77777777" w:rsidR="0062327A" w:rsidRPr="00811800" w:rsidRDefault="0062327A" w:rsidP="00F07E0C">
            <w:pPr>
              <w:jc w:val="right"/>
              <w:rPr>
                <w:rFonts w:ascii="Arial" w:hAnsi="Arial" w:cs="Arial"/>
                <w:sz w:val="19"/>
                <w:szCs w:val="19"/>
              </w:rPr>
            </w:pPr>
            <w:r w:rsidRPr="00811800">
              <w:rPr>
                <w:rFonts w:ascii="Arial" w:hAnsi="Arial" w:cs="Arial"/>
                <w:sz w:val="19"/>
                <w:szCs w:val="19"/>
              </w:rPr>
              <w:t>111</w:t>
            </w:r>
          </w:p>
        </w:tc>
      </w:tr>
      <w:tr w:rsidR="0062327A" w:rsidRPr="00811800" w14:paraId="2416F6DD" w14:textId="77777777" w:rsidTr="003A56B2">
        <w:trPr>
          <w:trHeight w:val="300"/>
          <w:jc w:val="center"/>
        </w:trPr>
        <w:tc>
          <w:tcPr>
            <w:tcW w:w="842" w:type="pct"/>
            <w:shd w:val="clear" w:color="auto" w:fill="BFBFBF" w:themeFill="background1" w:themeFillShade="BF"/>
            <w:noWrap/>
            <w:vAlign w:val="bottom"/>
            <w:hideMark/>
          </w:tcPr>
          <w:p w14:paraId="4F01DE78" w14:textId="77777777" w:rsidR="0062327A" w:rsidRPr="00811800" w:rsidRDefault="0062327A" w:rsidP="003A56B2">
            <w:pPr>
              <w:rPr>
                <w:rFonts w:ascii="Arial" w:hAnsi="Arial" w:cs="Arial"/>
                <w:sz w:val="19"/>
                <w:szCs w:val="19"/>
              </w:rPr>
            </w:pPr>
            <w:r w:rsidRPr="00811800">
              <w:rPr>
                <w:rFonts w:ascii="Arial" w:hAnsi="Arial" w:cs="Arial"/>
                <w:sz w:val="19"/>
                <w:szCs w:val="19"/>
              </w:rPr>
              <w:t>China</w:t>
            </w:r>
          </w:p>
        </w:tc>
        <w:tc>
          <w:tcPr>
            <w:tcW w:w="463" w:type="pct"/>
            <w:shd w:val="clear" w:color="auto" w:fill="BFBFBF" w:themeFill="background1" w:themeFillShade="BF"/>
            <w:noWrap/>
            <w:vAlign w:val="bottom"/>
            <w:hideMark/>
          </w:tcPr>
          <w:p w14:paraId="15C08FBE" w14:textId="77777777" w:rsidR="0062327A" w:rsidRPr="00811800" w:rsidRDefault="0062327A" w:rsidP="00F07E0C">
            <w:pPr>
              <w:jc w:val="right"/>
              <w:rPr>
                <w:rFonts w:ascii="Arial" w:hAnsi="Arial" w:cs="Arial"/>
                <w:sz w:val="19"/>
                <w:szCs w:val="19"/>
              </w:rPr>
            </w:pPr>
            <w:r w:rsidRPr="00811800">
              <w:rPr>
                <w:rFonts w:ascii="Arial" w:hAnsi="Arial" w:cs="Arial"/>
                <w:sz w:val="19"/>
                <w:szCs w:val="19"/>
              </w:rPr>
              <w:t>6</w:t>
            </w:r>
          </w:p>
        </w:tc>
        <w:tc>
          <w:tcPr>
            <w:tcW w:w="463" w:type="pct"/>
            <w:shd w:val="clear" w:color="auto" w:fill="BFBFBF" w:themeFill="background1" w:themeFillShade="BF"/>
            <w:noWrap/>
            <w:vAlign w:val="bottom"/>
            <w:hideMark/>
          </w:tcPr>
          <w:p w14:paraId="17571FF4" w14:textId="77777777" w:rsidR="0062327A" w:rsidRPr="00811800" w:rsidRDefault="0062327A" w:rsidP="00F07E0C">
            <w:pPr>
              <w:jc w:val="right"/>
              <w:rPr>
                <w:rFonts w:ascii="Arial" w:hAnsi="Arial" w:cs="Arial"/>
                <w:sz w:val="19"/>
                <w:szCs w:val="19"/>
              </w:rPr>
            </w:pPr>
            <w:r w:rsidRPr="00811800">
              <w:rPr>
                <w:rFonts w:ascii="Arial" w:hAnsi="Arial" w:cs="Arial"/>
                <w:sz w:val="19"/>
                <w:szCs w:val="19"/>
              </w:rPr>
              <w:t>12</w:t>
            </w:r>
          </w:p>
        </w:tc>
        <w:tc>
          <w:tcPr>
            <w:tcW w:w="462" w:type="pct"/>
            <w:shd w:val="clear" w:color="auto" w:fill="BFBFBF" w:themeFill="background1" w:themeFillShade="BF"/>
            <w:noWrap/>
            <w:vAlign w:val="bottom"/>
            <w:hideMark/>
          </w:tcPr>
          <w:p w14:paraId="04718266" w14:textId="77777777" w:rsidR="0062327A" w:rsidRPr="00811800" w:rsidRDefault="0062327A" w:rsidP="00F07E0C">
            <w:pPr>
              <w:jc w:val="right"/>
              <w:rPr>
                <w:rFonts w:ascii="Arial" w:hAnsi="Arial" w:cs="Arial"/>
                <w:sz w:val="19"/>
                <w:szCs w:val="19"/>
              </w:rPr>
            </w:pPr>
            <w:r w:rsidRPr="00811800">
              <w:rPr>
                <w:rFonts w:ascii="Arial" w:hAnsi="Arial" w:cs="Arial"/>
                <w:sz w:val="19"/>
                <w:szCs w:val="19"/>
              </w:rPr>
              <w:t>50</w:t>
            </w:r>
          </w:p>
        </w:tc>
        <w:tc>
          <w:tcPr>
            <w:tcW w:w="462" w:type="pct"/>
            <w:shd w:val="clear" w:color="auto" w:fill="BFBFBF" w:themeFill="background1" w:themeFillShade="BF"/>
            <w:noWrap/>
            <w:vAlign w:val="bottom"/>
            <w:hideMark/>
          </w:tcPr>
          <w:p w14:paraId="11A443B9" w14:textId="77777777" w:rsidR="0062327A" w:rsidRPr="00811800" w:rsidRDefault="0062327A" w:rsidP="00F07E0C">
            <w:pPr>
              <w:jc w:val="right"/>
              <w:rPr>
                <w:rFonts w:ascii="Arial" w:hAnsi="Arial" w:cs="Arial"/>
                <w:sz w:val="19"/>
                <w:szCs w:val="19"/>
              </w:rPr>
            </w:pPr>
            <w:r w:rsidRPr="00811800">
              <w:rPr>
                <w:rFonts w:ascii="Arial" w:hAnsi="Arial" w:cs="Arial"/>
                <w:sz w:val="19"/>
                <w:szCs w:val="19"/>
              </w:rPr>
              <w:t>145</w:t>
            </w:r>
          </w:p>
        </w:tc>
        <w:tc>
          <w:tcPr>
            <w:tcW w:w="462" w:type="pct"/>
            <w:shd w:val="clear" w:color="auto" w:fill="BFBFBF" w:themeFill="background1" w:themeFillShade="BF"/>
            <w:noWrap/>
            <w:vAlign w:val="bottom"/>
            <w:hideMark/>
          </w:tcPr>
          <w:p w14:paraId="65C6BA51" w14:textId="77777777" w:rsidR="0062327A" w:rsidRPr="00811800" w:rsidRDefault="0062327A" w:rsidP="00F07E0C">
            <w:pPr>
              <w:jc w:val="right"/>
              <w:rPr>
                <w:rFonts w:ascii="Arial" w:hAnsi="Arial" w:cs="Arial"/>
                <w:sz w:val="19"/>
                <w:szCs w:val="19"/>
              </w:rPr>
            </w:pPr>
            <w:r w:rsidRPr="00811800">
              <w:rPr>
                <w:rFonts w:ascii="Arial" w:hAnsi="Arial" w:cs="Arial"/>
                <w:sz w:val="19"/>
                <w:szCs w:val="19"/>
              </w:rPr>
              <w:t>438</w:t>
            </w:r>
          </w:p>
        </w:tc>
        <w:tc>
          <w:tcPr>
            <w:tcW w:w="462" w:type="pct"/>
            <w:shd w:val="clear" w:color="auto" w:fill="BFBFBF" w:themeFill="background1" w:themeFillShade="BF"/>
            <w:noWrap/>
            <w:vAlign w:val="bottom"/>
            <w:hideMark/>
          </w:tcPr>
          <w:p w14:paraId="13E6926A" w14:textId="77777777" w:rsidR="0062327A" w:rsidRPr="00811800" w:rsidRDefault="0062327A" w:rsidP="00F07E0C">
            <w:pPr>
              <w:jc w:val="right"/>
              <w:rPr>
                <w:rFonts w:ascii="Arial" w:hAnsi="Arial" w:cs="Arial"/>
                <w:sz w:val="19"/>
                <w:szCs w:val="19"/>
              </w:rPr>
            </w:pPr>
            <w:r w:rsidRPr="00811800">
              <w:rPr>
                <w:rFonts w:ascii="Arial" w:hAnsi="Arial" w:cs="Arial"/>
                <w:sz w:val="19"/>
                <w:szCs w:val="19"/>
              </w:rPr>
              <w:t>108</w:t>
            </w:r>
          </w:p>
        </w:tc>
        <w:tc>
          <w:tcPr>
            <w:tcW w:w="462" w:type="pct"/>
            <w:shd w:val="clear" w:color="auto" w:fill="BFBFBF" w:themeFill="background1" w:themeFillShade="BF"/>
            <w:noWrap/>
            <w:vAlign w:val="bottom"/>
            <w:hideMark/>
          </w:tcPr>
          <w:p w14:paraId="0F8BAFF2" w14:textId="77777777" w:rsidR="0062327A" w:rsidRPr="00811800" w:rsidRDefault="0062327A" w:rsidP="00F07E0C">
            <w:pPr>
              <w:jc w:val="right"/>
              <w:rPr>
                <w:rFonts w:ascii="Arial" w:hAnsi="Arial" w:cs="Arial"/>
                <w:sz w:val="19"/>
                <w:szCs w:val="19"/>
              </w:rPr>
            </w:pPr>
            <w:r w:rsidRPr="00811800">
              <w:rPr>
                <w:rFonts w:ascii="Arial" w:hAnsi="Arial" w:cs="Arial"/>
                <w:sz w:val="19"/>
                <w:szCs w:val="19"/>
              </w:rPr>
              <w:t>260</w:t>
            </w:r>
          </w:p>
        </w:tc>
        <w:tc>
          <w:tcPr>
            <w:tcW w:w="462" w:type="pct"/>
            <w:shd w:val="clear" w:color="auto" w:fill="BFBFBF" w:themeFill="background1" w:themeFillShade="BF"/>
            <w:noWrap/>
            <w:vAlign w:val="bottom"/>
            <w:hideMark/>
          </w:tcPr>
          <w:p w14:paraId="7CE99CAB" w14:textId="77777777" w:rsidR="0062327A" w:rsidRPr="00811800" w:rsidRDefault="0062327A" w:rsidP="00F07E0C">
            <w:pPr>
              <w:jc w:val="right"/>
              <w:rPr>
                <w:rFonts w:ascii="Arial" w:hAnsi="Arial" w:cs="Arial"/>
                <w:sz w:val="19"/>
                <w:szCs w:val="19"/>
              </w:rPr>
            </w:pPr>
            <w:r w:rsidRPr="00811800">
              <w:rPr>
                <w:rFonts w:ascii="Arial" w:hAnsi="Arial" w:cs="Arial"/>
                <w:sz w:val="19"/>
                <w:szCs w:val="19"/>
              </w:rPr>
              <w:t>401</w:t>
            </w:r>
          </w:p>
        </w:tc>
        <w:tc>
          <w:tcPr>
            <w:tcW w:w="460" w:type="pct"/>
            <w:shd w:val="clear" w:color="auto" w:fill="BFBFBF" w:themeFill="background1" w:themeFillShade="BF"/>
            <w:noWrap/>
            <w:vAlign w:val="bottom"/>
            <w:hideMark/>
          </w:tcPr>
          <w:p w14:paraId="292C5072" w14:textId="77777777" w:rsidR="0062327A" w:rsidRPr="00811800" w:rsidRDefault="0062327A" w:rsidP="00F07E0C">
            <w:pPr>
              <w:jc w:val="right"/>
              <w:rPr>
                <w:rFonts w:ascii="Arial" w:hAnsi="Arial" w:cs="Arial"/>
                <w:sz w:val="19"/>
                <w:szCs w:val="19"/>
              </w:rPr>
            </w:pPr>
            <w:r w:rsidRPr="00811800">
              <w:rPr>
                <w:rFonts w:ascii="Arial" w:hAnsi="Arial" w:cs="Arial"/>
                <w:sz w:val="19"/>
                <w:szCs w:val="19"/>
              </w:rPr>
              <w:t>106</w:t>
            </w:r>
          </w:p>
        </w:tc>
      </w:tr>
      <w:tr w:rsidR="0062327A" w:rsidRPr="00811800" w14:paraId="47B6660C" w14:textId="77777777" w:rsidTr="003A56B2">
        <w:trPr>
          <w:trHeight w:val="300"/>
          <w:jc w:val="center"/>
        </w:trPr>
        <w:tc>
          <w:tcPr>
            <w:tcW w:w="842" w:type="pct"/>
            <w:shd w:val="clear" w:color="auto" w:fill="auto"/>
            <w:noWrap/>
            <w:vAlign w:val="bottom"/>
            <w:hideMark/>
          </w:tcPr>
          <w:p w14:paraId="200940C6" w14:textId="77777777" w:rsidR="0062327A" w:rsidRPr="00811800" w:rsidRDefault="0062327A" w:rsidP="003A56B2">
            <w:pPr>
              <w:rPr>
                <w:rFonts w:ascii="Arial" w:hAnsi="Arial" w:cs="Arial"/>
                <w:sz w:val="19"/>
                <w:szCs w:val="19"/>
              </w:rPr>
            </w:pPr>
            <w:r w:rsidRPr="00811800">
              <w:rPr>
                <w:rFonts w:ascii="Arial" w:hAnsi="Arial" w:cs="Arial"/>
                <w:sz w:val="19"/>
                <w:szCs w:val="19"/>
              </w:rPr>
              <w:t>Taiwan</w:t>
            </w:r>
          </w:p>
        </w:tc>
        <w:tc>
          <w:tcPr>
            <w:tcW w:w="463" w:type="pct"/>
            <w:shd w:val="clear" w:color="auto" w:fill="auto"/>
            <w:noWrap/>
            <w:vAlign w:val="bottom"/>
            <w:hideMark/>
          </w:tcPr>
          <w:p w14:paraId="1E06A028" w14:textId="77777777" w:rsidR="0062327A" w:rsidRPr="00811800" w:rsidRDefault="0062327A" w:rsidP="00F07E0C">
            <w:pPr>
              <w:jc w:val="right"/>
              <w:rPr>
                <w:rFonts w:ascii="Arial" w:hAnsi="Arial" w:cs="Arial"/>
                <w:sz w:val="19"/>
                <w:szCs w:val="19"/>
              </w:rPr>
            </w:pPr>
            <w:r w:rsidRPr="00811800">
              <w:rPr>
                <w:rFonts w:ascii="Arial" w:hAnsi="Arial" w:cs="Arial"/>
                <w:sz w:val="19"/>
                <w:szCs w:val="19"/>
              </w:rPr>
              <w:t>0</w:t>
            </w:r>
          </w:p>
        </w:tc>
        <w:tc>
          <w:tcPr>
            <w:tcW w:w="463" w:type="pct"/>
            <w:shd w:val="clear" w:color="auto" w:fill="auto"/>
            <w:noWrap/>
            <w:vAlign w:val="bottom"/>
            <w:hideMark/>
          </w:tcPr>
          <w:p w14:paraId="7F3AE928" w14:textId="77777777" w:rsidR="0062327A" w:rsidRPr="00811800" w:rsidRDefault="0062327A" w:rsidP="00F07E0C">
            <w:pPr>
              <w:jc w:val="right"/>
              <w:rPr>
                <w:rFonts w:ascii="Arial" w:hAnsi="Arial" w:cs="Arial"/>
                <w:sz w:val="19"/>
                <w:szCs w:val="19"/>
              </w:rPr>
            </w:pPr>
            <w:r w:rsidRPr="00811800">
              <w:rPr>
                <w:rFonts w:ascii="Arial" w:hAnsi="Arial" w:cs="Arial"/>
                <w:sz w:val="19"/>
                <w:szCs w:val="19"/>
              </w:rPr>
              <w:t>0</w:t>
            </w:r>
          </w:p>
        </w:tc>
        <w:tc>
          <w:tcPr>
            <w:tcW w:w="462" w:type="pct"/>
            <w:shd w:val="clear" w:color="auto" w:fill="auto"/>
            <w:noWrap/>
            <w:vAlign w:val="bottom"/>
            <w:hideMark/>
          </w:tcPr>
          <w:p w14:paraId="120FA071" w14:textId="77777777" w:rsidR="0062327A" w:rsidRPr="00811800" w:rsidRDefault="0062327A" w:rsidP="00F07E0C">
            <w:pPr>
              <w:jc w:val="right"/>
              <w:rPr>
                <w:rFonts w:ascii="Arial" w:hAnsi="Arial" w:cs="Arial"/>
                <w:sz w:val="19"/>
                <w:szCs w:val="19"/>
              </w:rPr>
            </w:pPr>
            <w:r w:rsidRPr="00811800">
              <w:rPr>
                <w:rFonts w:ascii="Arial" w:hAnsi="Arial" w:cs="Arial"/>
                <w:sz w:val="19"/>
                <w:szCs w:val="19"/>
              </w:rPr>
              <w:t>0</w:t>
            </w:r>
          </w:p>
        </w:tc>
        <w:tc>
          <w:tcPr>
            <w:tcW w:w="462" w:type="pct"/>
            <w:shd w:val="clear" w:color="auto" w:fill="auto"/>
            <w:noWrap/>
            <w:vAlign w:val="bottom"/>
            <w:hideMark/>
          </w:tcPr>
          <w:p w14:paraId="7C8ABABB" w14:textId="77777777" w:rsidR="0062327A" w:rsidRPr="00811800" w:rsidRDefault="0062327A" w:rsidP="00F07E0C">
            <w:pPr>
              <w:jc w:val="right"/>
              <w:rPr>
                <w:rFonts w:ascii="Arial" w:hAnsi="Arial" w:cs="Arial"/>
                <w:sz w:val="19"/>
                <w:szCs w:val="19"/>
              </w:rPr>
            </w:pPr>
            <w:r w:rsidRPr="00811800">
              <w:rPr>
                <w:rFonts w:ascii="Arial" w:hAnsi="Arial" w:cs="Arial"/>
                <w:sz w:val="19"/>
                <w:szCs w:val="19"/>
              </w:rPr>
              <w:t>0</w:t>
            </w:r>
          </w:p>
        </w:tc>
        <w:tc>
          <w:tcPr>
            <w:tcW w:w="462" w:type="pct"/>
            <w:shd w:val="clear" w:color="auto" w:fill="auto"/>
            <w:noWrap/>
            <w:vAlign w:val="bottom"/>
            <w:hideMark/>
          </w:tcPr>
          <w:p w14:paraId="712A9429" w14:textId="77777777" w:rsidR="0062327A" w:rsidRPr="00811800" w:rsidRDefault="0062327A" w:rsidP="00F07E0C">
            <w:pPr>
              <w:jc w:val="right"/>
              <w:rPr>
                <w:rFonts w:ascii="Arial" w:hAnsi="Arial" w:cs="Arial"/>
                <w:sz w:val="19"/>
                <w:szCs w:val="19"/>
              </w:rPr>
            </w:pPr>
            <w:r w:rsidRPr="00811800">
              <w:rPr>
                <w:rFonts w:ascii="Arial" w:hAnsi="Arial" w:cs="Arial"/>
                <w:sz w:val="19"/>
                <w:szCs w:val="19"/>
              </w:rPr>
              <w:t>0</w:t>
            </w:r>
          </w:p>
        </w:tc>
        <w:tc>
          <w:tcPr>
            <w:tcW w:w="462" w:type="pct"/>
            <w:shd w:val="clear" w:color="auto" w:fill="auto"/>
            <w:noWrap/>
            <w:vAlign w:val="bottom"/>
            <w:hideMark/>
          </w:tcPr>
          <w:p w14:paraId="0982EF65" w14:textId="77777777" w:rsidR="0062327A" w:rsidRPr="00811800" w:rsidRDefault="0062327A" w:rsidP="00F07E0C">
            <w:pPr>
              <w:jc w:val="right"/>
              <w:rPr>
                <w:rFonts w:ascii="Arial" w:hAnsi="Arial" w:cs="Arial"/>
                <w:sz w:val="19"/>
                <w:szCs w:val="19"/>
              </w:rPr>
            </w:pPr>
            <w:r w:rsidRPr="00811800">
              <w:rPr>
                <w:rFonts w:ascii="Arial" w:hAnsi="Arial" w:cs="Arial"/>
                <w:sz w:val="19"/>
                <w:szCs w:val="19"/>
              </w:rPr>
              <w:t>450</w:t>
            </w:r>
          </w:p>
        </w:tc>
        <w:tc>
          <w:tcPr>
            <w:tcW w:w="462" w:type="pct"/>
            <w:shd w:val="clear" w:color="auto" w:fill="auto"/>
            <w:noWrap/>
            <w:vAlign w:val="bottom"/>
            <w:hideMark/>
          </w:tcPr>
          <w:p w14:paraId="7F26AAF6" w14:textId="77777777" w:rsidR="0062327A" w:rsidRPr="00811800" w:rsidRDefault="0062327A" w:rsidP="00F07E0C">
            <w:pPr>
              <w:jc w:val="right"/>
              <w:rPr>
                <w:rFonts w:ascii="Arial" w:hAnsi="Arial" w:cs="Arial"/>
                <w:sz w:val="19"/>
                <w:szCs w:val="19"/>
              </w:rPr>
            </w:pPr>
            <w:r w:rsidRPr="00811800">
              <w:rPr>
                <w:rFonts w:ascii="Arial" w:hAnsi="Arial" w:cs="Arial"/>
                <w:sz w:val="19"/>
                <w:szCs w:val="19"/>
              </w:rPr>
              <w:t>900</w:t>
            </w:r>
          </w:p>
        </w:tc>
        <w:tc>
          <w:tcPr>
            <w:tcW w:w="462" w:type="pct"/>
            <w:shd w:val="clear" w:color="auto" w:fill="auto"/>
            <w:noWrap/>
            <w:vAlign w:val="bottom"/>
            <w:hideMark/>
          </w:tcPr>
          <w:p w14:paraId="0979A531" w14:textId="77777777" w:rsidR="0062327A" w:rsidRPr="00811800" w:rsidRDefault="0062327A" w:rsidP="00F07E0C">
            <w:pPr>
              <w:jc w:val="right"/>
              <w:rPr>
                <w:rFonts w:ascii="Arial" w:hAnsi="Arial" w:cs="Arial"/>
                <w:sz w:val="19"/>
                <w:szCs w:val="19"/>
              </w:rPr>
            </w:pPr>
            <w:r w:rsidRPr="00811800">
              <w:rPr>
                <w:rFonts w:ascii="Arial" w:hAnsi="Arial" w:cs="Arial"/>
                <w:sz w:val="19"/>
                <w:szCs w:val="19"/>
              </w:rPr>
              <w:t>118</w:t>
            </w:r>
          </w:p>
        </w:tc>
        <w:tc>
          <w:tcPr>
            <w:tcW w:w="460" w:type="pct"/>
            <w:shd w:val="clear" w:color="auto" w:fill="auto"/>
            <w:noWrap/>
            <w:vAlign w:val="bottom"/>
            <w:hideMark/>
          </w:tcPr>
          <w:p w14:paraId="1AC30C2A" w14:textId="77777777" w:rsidR="0062327A" w:rsidRPr="00811800" w:rsidRDefault="0062327A" w:rsidP="00F07E0C">
            <w:pPr>
              <w:jc w:val="right"/>
              <w:rPr>
                <w:rFonts w:ascii="Arial" w:hAnsi="Arial" w:cs="Arial"/>
                <w:sz w:val="19"/>
                <w:szCs w:val="19"/>
              </w:rPr>
            </w:pPr>
            <w:r w:rsidRPr="00811800">
              <w:rPr>
                <w:rFonts w:ascii="Arial" w:hAnsi="Arial" w:cs="Arial"/>
                <w:sz w:val="19"/>
                <w:szCs w:val="19"/>
              </w:rPr>
              <w:t>352</w:t>
            </w:r>
          </w:p>
        </w:tc>
      </w:tr>
      <w:tr w:rsidR="0062327A" w:rsidRPr="00811800" w14:paraId="454EDB6E" w14:textId="77777777" w:rsidTr="003A56B2">
        <w:trPr>
          <w:trHeight w:val="300"/>
          <w:jc w:val="center"/>
        </w:trPr>
        <w:tc>
          <w:tcPr>
            <w:tcW w:w="842" w:type="pct"/>
            <w:shd w:val="clear" w:color="auto" w:fill="auto"/>
            <w:noWrap/>
            <w:vAlign w:val="bottom"/>
            <w:hideMark/>
          </w:tcPr>
          <w:p w14:paraId="3B75BC71" w14:textId="77777777" w:rsidR="0062327A" w:rsidRPr="00811800" w:rsidRDefault="0062327A" w:rsidP="003A56B2">
            <w:pPr>
              <w:rPr>
                <w:rFonts w:ascii="Arial" w:hAnsi="Arial" w:cs="Arial"/>
                <w:sz w:val="19"/>
                <w:szCs w:val="19"/>
              </w:rPr>
            </w:pPr>
            <w:r w:rsidRPr="00811800">
              <w:rPr>
                <w:rFonts w:ascii="Arial" w:hAnsi="Arial" w:cs="Arial"/>
                <w:sz w:val="19"/>
                <w:szCs w:val="19"/>
              </w:rPr>
              <w:t>Others</w:t>
            </w:r>
          </w:p>
        </w:tc>
        <w:tc>
          <w:tcPr>
            <w:tcW w:w="463" w:type="pct"/>
            <w:shd w:val="clear" w:color="auto" w:fill="auto"/>
            <w:noWrap/>
            <w:vAlign w:val="bottom"/>
            <w:hideMark/>
          </w:tcPr>
          <w:p w14:paraId="2ECB0BFA" w14:textId="77777777" w:rsidR="0062327A" w:rsidRPr="00811800" w:rsidRDefault="0062327A" w:rsidP="00F07E0C">
            <w:pPr>
              <w:jc w:val="right"/>
              <w:rPr>
                <w:rFonts w:ascii="Arial" w:hAnsi="Arial" w:cs="Arial"/>
                <w:sz w:val="19"/>
                <w:szCs w:val="19"/>
              </w:rPr>
            </w:pPr>
            <w:r w:rsidRPr="00811800">
              <w:rPr>
                <w:rFonts w:ascii="Arial" w:hAnsi="Arial" w:cs="Arial"/>
                <w:sz w:val="19"/>
                <w:szCs w:val="19"/>
              </w:rPr>
              <w:t>35</w:t>
            </w:r>
          </w:p>
        </w:tc>
        <w:tc>
          <w:tcPr>
            <w:tcW w:w="463" w:type="pct"/>
            <w:shd w:val="clear" w:color="auto" w:fill="auto"/>
            <w:noWrap/>
            <w:vAlign w:val="bottom"/>
            <w:hideMark/>
          </w:tcPr>
          <w:p w14:paraId="3E972FE4" w14:textId="77777777" w:rsidR="0062327A" w:rsidRPr="00811800" w:rsidRDefault="0062327A" w:rsidP="00F07E0C">
            <w:pPr>
              <w:jc w:val="right"/>
              <w:rPr>
                <w:rFonts w:ascii="Arial" w:hAnsi="Arial" w:cs="Arial"/>
                <w:sz w:val="19"/>
                <w:szCs w:val="19"/>
              </w:rPr>
            </w:pPr>
            <w:r w:rsidRPr="00811800">
              <w:rPr>
                <w:rFonts w:ascii="Arial" w:hAnsi="Arial" w:cs="Arial"/>
                <w:sz w:val="19"/>
                <w:szCs w:val="19"/>
              </w:rPr>
              <w:t>66</w:t>
            </w:r>
          </w:p>
        </w:tc>
        <w:tc>
          <w:tcPr>
            <w:tcW w:w="462" w:type="pct"/>
            <w:shd w:val="clear" w:color="auto" w:fill="auto"/>
            <w:noWrap/>
            <w:vAlign w:val="bottom"/>
            <w:hideMark/>
          </w:tcPr>
          <w:p w14:paraId="49150EE6" w14:textId="77777777" w:rsidR="0062327A" w:rsidRPr="00811800" w:rsidRDefault="0062327A" w:rsidP="00F07E0C">
            <w:pPr>
              <w:jc w:val="right"/>
              <w:rPr>
                <w:rFonts w:ascii="Arial" w:hAnsi="Arial" w:cs="Arial"/>
                <w:sz w:val="19"/>
                <w:szCs w:val="19"/>
              </w:rPr>
            </w:pPr>
            <w:r w:rsidRPr="00811800">
              <w:rPr>
                <w:rFonts w:ascii="Arial" w:hAnsi="Arial" w:cs="Arial"/>
                <w:sz w:val="19"/>
                <w:szCs w:val="19"/>
              </w:rPr>
              <w:t>106</w:t>
            </w:r>
          </w:p>
        </w:tc>
        <w:tc>
          <w:tcPr>
            <w:tcW w:w="462" w:type="pct"/>
            <w:shd w:val="clear" w:color="auto" w:fill="auto"/>
            <w:noWrap/>
            <w:vAlign w:val="bottom"/>
            <w:hideMark/>
          </w:tcPr>
          <w:p w14:paraId="47E97BED" w14:textId="77777777" w:rsidR="0062327A" w:rsidRPr="00811800" w:rsidRDefault="0062327A" w:rsidP="00F07E0C">
            <w:pPr>
              <w:jc w:val="right"/>
              <w:rPr>
                <w:rFonts w:ascii="Arial" w:hAnsi="Arial" w:cs="Arial"/>
                <w:sz w:val="19"/>
                <w:szCs w:val="19"/>
              </w:rPr>
            </w:pPr>
            <w:r w:rsidRPr="00811800">
              <w:rPr>
                <w:rFonts w:ascii="Arial" w:hAnsi="Arial" w:cs="Arial"/>
                <w:sz w:val="19"/>
                <w:szCs w:val="19"/>
              </w:rPr>
              <w:t>188</w:t>
            </w:r>
          </w:p>
        </w:tc>
        <w:tc>
          <w:tcPr>
            <w:tcW w:w="462" w:type="pct"/>
            <w:shd w:val="clear" w:color="auto" w:fill="auto"/>
            <w:noWrap/>
            <w:vAlign w:val="bottom"/>
            <w:hideMark/>
          </w:tcPr>
          <w:p w14:paraId="6343FBED" w14:textId="77777777" w:rsidR="0062327A" w:rsidRPr="00811800" w:rsidRDefault="0062327A" w:rsidP="00F07E0C">
            <w:pPr>
              <w:jc w:val="right"/>
              <w:rPr>
                <w:rFonts w:ascii="Arial" w:hAnsi="Arial" w:cs="Arial"/>
                <w:sz w:val="19"/>
                <w:szCs w:val="19"/>
              </w:rPr>
            </w:pPr>
            <w:r w:rsidRPr="00811800">
              <w:rPr>
                <w:rFonts w:ascii="Arial" w:hAnsi="Arial" w:cs="Arial"/>
                <w:sz w:val="19"/>
                <w:szCs w:val="19"/>
              </w:rPr>
              <w:t>336</w:t>
            </w:r>
          </w:p>
        </w:tc>
        <w:tc>
          <w:tcPr>
            <w:tcW w:w="462" w:type="pct"/>
            <w:shd w:val="clear" w:color="auto" w:fill="auto"/>
            <w:noWrap/>
            <w:vAlign w:val="bottom"/>
            <w:hideMark/>
          </w:tcPr>
          <w:p w14:paraId="4224A237" w14:textId="77777777" w:rsidR="0062327A" w:rsidRPr="00811800" w:rsidRDefault="0062327A" w:rsidP="00F07E0C">
            <w:pPr>
              <w:jc w:val="right"/>
              <w:rPr>
                <w:rFonts w:ascii="Arial" w:hAnsi="Arial" w:cs="Arial"/>
                <w:sz w:val="19"/>
                <w:szCs w:val="19"/>
              </w:rPr>
            </w:pPr>
            <w:r w:rsidRPr="00811800">
              <w:rPr>
                <w:rFonts w:ascii="Arial" w:hAnsi="Arial" w:cs="Arial"/>
                <w:sz w:val="19"/>
                <w:szCs w:val="19"/>
              </w:rPr>
              <w:t>663</w:t>
            </w:r>
          </w:p>
        </w:tc>
        <w:tc>
          <w:tcPr>
            <w:tcW w:w="462" w:type="pct"/>
            <w:shd w:val="clear" w:color="auto" w:fill="auto"/>
            <w:noWrap/>
            <w:vAlign w:val="bottom"/>
            <w:hideMark/>
          </w:tcPr>
          <w:p w14:paraId="12700022" w14:textId="77777777" w:rsidR="0062327A" w:rsidRPr="00811800" w:rsidRDefault="0062327A" w:rsidP="00F07E0C">
            <w:pPr>
              <w:jc w:val="right"/>
              <w:rPr>
                <w:rFonts w:ascii="Arial" w:hAnsi="Arial" w:cs="Arial"/>
                <w:sz w:val="19"/>
                <w:szCs w:val="19"/>
              </w:rPr>
            </w:pPr>
            <w:r w:rsidRPr="00811800">
              <w:rPr>
                <w:rFonts w:ascii="Arial" w:hAnsi="Arial" w:cs="Arial"/>
                <w:sz w:val="19"/>
                <w:szCs w:val="19"/>
              </w:rPr>
              <w:t>668</w:t>
            </w:r>
          </w:p>
        </w:tc>
        <w:tc>
          <w:tcPr>
            <w:tcW w:w="462" w:type="pct"/>
            <w:shd w:val="clear" w:color="auto" w:fill="auto"/>
            <w:noWrap/>
            <w:vAlign w:val="bottom"/>
            <w:hideMark/>
          </w:tcPr>
          <w:p w14:paraId="6DC1DE42" w14:textId="77777777" w:rsidR="0062327A" w:rsidRPr="00811800" w:rsidRDefault="0062327A" w:rsidP="00F07E0C">
            <w:pPr>
              <w:jc w:val="right"/>
              <w:rPr>
                <w:rFonts w:ascii="Arial" w:hAnsi="Arial" w:cs="Arial"/>
                <w:sz w:val="19"/>
                <w:szCs w:val="19"/>
              </w:rPr>
            </w:pPr>
            <w:r w:rsidRPr="00811800">
              <w:rPr>
                <w:rFonts w:ascii="Arial" w:hAnsi="Arial" w:cs="Arial"/>
                <w:sz w:val="19"/>
                <w:szCs w:val="19"/>
              </w:rPr>
              <w:t>143</w:t>
            </w:r>
          </w:p>
        </w:tc>
        <w:tc>
          <w:tcPr>
            <w:tcW w:w="460" w:type="pct"/>
            <w:shd w:val="clear" w:color="auto" w:fill="auto"/>
            <w:noWrap/>
            <w:vAlign w:val="bottom"/>
            <w:hideMark/>
          </w:tcPr>
          <w:p w14:paraId="417875E0" w14:textId="77777777" w:rsidR="0062327A" w:rsidRPr="00811800" w:rsidRDefault="0062327A" w:rsidP="00F07E0C">
            <w:pPr>
              <w:jc w:val="right"/>
              <w:rPr>
                <w:rFonts w:ascii="Arial" w:hAnsi="Arial" w:cs="Arial"/>
                <w:sz w:val="19"/>
                <w:szCs w:val="19"/>
              </w:rPr>
            </w:pPr>
            <w:r w:rsidRPr="00811800">
              <w:rPr>
                <w:rFonts w:ascii="Arial" w:hAnsi="Arial" w:cs="Arial"/>
                <w:sz w:val="19"/>
                <w:szCs w:val="19"/>
              </w:rPr>
              <w:t>328</w:t>
            </w:r>
          </w:p>
        </w:tc>
      </w:tr>
      <w:tr w:rsidR="0062327A" w:rsidRPr="00811800" w14:paraId="3E623E58" w14:textId="77777777" w:rsidTr="003A56B2">
        <w:trPr>
          <w:trHeight w:val="300"/>
          <w:jc w:val="center"/>
        </w:trPr>
        <w:tc>
          <w:tcPr>
            <w:tcW w:w="842" w:type="pct"/>
            <w:shd w:val="clear" w:color="auto" w:fill="auto"/>
            <w:noWrap/>
            <w:vAlign w:val="bottom"/>
            <w:hideMark/>
          </w:tcPr>
          <w:p w14:paraId="7D44E89E" w14:textId="77777777" w:rsidR="0062327A" w:rsidRPr="00811800" w:rsidRDefault="0062327A" w:rsidP="003A56B2">
            <w:pPr>
              <w:rPr>
                <w:rFonts w:ascii="Arial" w:hAnsi="Arial" w:cs="Arial"/>
                <w:sz w:val="19"/>
                <w:szCs w:val="19"/>
              </w:rPr>
            </w:pPr>
            <w:r w:rsidRPr="00811800">
              <w:rPr>
                <w:rFonts w:ascii="Arial" w:hAnsi="Arial" w:cs="Arial"/>
                <w:sz w:val="19"/>
                <w:szCs w:val="19"/>
              </w:rPr>
              <w:t>Total</w:t>
            </w:r>
          </w:p>
        </w:tc>
        <w:tc>
          <w:tcPr>
            <w:tcW w:w="463" w:type="pct"/>
            <w:shd w:val="clear" w:color="auto" w:fill="auto"/>
            <w:noWrap/>
            <w:vAlign w:val="bottom"/>
            <w:hideMark/>
          </w:tcPr>
          <w:p w14:paraId="579CF78C" w14:textId="77777777" w:rsidR="0062327A" w:rsidRPr="00811800" w:rsidRDefault="0062327A" w:rsidP="00F07E0C">
            <w:pPr>
              <w:jc w:val="right"/>
              <w:rPr>
                <w:rFonts w:ascii="Arial" w:hAnsi="Arial" w:cs="Arial"/>
                <w:sz w:val="19"/>
                <w:szCs w:val="19"/>
              </w:rPr>
            </w:pPr>
            <w:r w:rsidRPr="00811800">
              <w:rPr>
                <w:rFonts w:ascii="Arial" w:hAnsi="Arial" w:cs="Arial"/>
                <w:sz w:val="19"/>
                <w:szCs w:val="19"/>
              </w:rPr>
              <w:t>535</w:t>
            </w:r>
          </w:p>
        </w:tc>
        <w:tc>
          <w:tcPr>
            <w:tcW w:w="463" w:type="pct"/>
            <w:shd w:val="clear" w:color="auto" w:fill="auto"/>
            <w:noWrap/>
            <w:vAlign w:val="bottom"/>
            <w:hideMark/>
          </w:tcPr>
          <w:p w14:paraId="3BD1A355" w14:textId="77777777" w:rsidR="0062327A" w:rsidRPr="00811800" w:rsidRDefault="0062327A" w:rsidP="00F07E0C">
            <w:pPr>
              <w:jc w:val="right"/>
              <w:rPr>
                <w:rFonts w:ascii="Arial" w:hAnsi="Arial" w:cs="Arial"/>
                <w:sz w:val="19"/>
                <w:szCs w:val="19"/>
              </w:rPr>
            </w:pPr>
            <w:r w:rsidRPr="00811800">
              <w:rPr>
                <w:rFonts w:ascii="Arial" w:hAnsi="Arial" w:cs="Arial"/>
                <w:sz w:val="19"/>
                <w:szCs w:val="19"/>
              </w:rPr>
              <w:t>746</w:t>
            </w:r>
          </w:p>
        </w:tc>
        <w:tc>
          <w:tcPr>
            <w:tcW w:w="462" w:type="pct"/>
            <w:shd w:val="clear" w:color="auto" w:fill="auto"/>
            <w:noWrap/>
            <w:vAlign w:val="bottom"/>
            <w:hideMark/>
          </w:tcPr>
          <w:p w14:paraId="7473B5D0" w14:textId="54A5B42E" w:rsidR="0062327A" w:rsidRPr="00811800" w:rsidRDefault="0062327A" w:rsidP="00F07E0C">
            <w:pPr>
              <w:jc w:val="right"/>
              <w:rPr>
                <w:rFonts w:ascii="Arial" w:hAnsi="Arial" w:cs="Arial"/>
                <w:sz w:val="19"/>
                <w:szCs w:val="19"/>
              </w:rPr>
            </w:pPr>
            <w:r w:rsidRPr="00811800">
              <w:rPr>
                <w:rFonts w:ascii="Arial" w:hAnsi="Arial" w:cs="Arial"/>
                <w:sz w:val="19"/>
                <w:szCs w:val="19"/>
              </w:rPr>
              <w:t>1</w:t>
            </w:r>
            <w:r w:rsidR="007E3AD9">
              <w:rPr>
                <w:rFonts w:ascii="Arial" w:hAnsi="Arial" w:cs="Arial"/>
                <w:sz w:val="19"/>
                <w:szCs w:val="19"/>
              </w:rPr>
              <w:t>,</w:t>
            </w:r>
            <w:r w:rsidRPr="00811800">
              <w:rPr>
                <w:rFonts w:ascii="Arial" w:hAnsi="Arial" w:cs="Arial"/>
                <w:sz w:val="19"/>
                <w:szCs w:val="19"/>
              </w:rPr>
              <w:t>209</w:t>
            </w:r>
          </w:p>
        </w:tc>
        <w:tc>
          <w:tcPr>
            <w:tcW w:w="462" w:type="pct"/>
            <w:shd w:val="clear" w:color="auto" w:fill="auto"/>
            <w:noWrap/>
            <w:vAlign w:val="bottom"/>
            <w:hideMark/>
          </w:tcPr>
          <w:p w14:paraId="1612E6C6" w14:textId="73FE2638" w:rsidR="0062327A" w:rsidRPr="00811800" w:rsidRDefault="0062327A" w:rsidP="00F07E0C">
            <w:pPr>
              <w:jc w:val="right"/>
              <w:rPr>
                <w:rFonts w:ascii="Arial" w:hAnsi="Arial" w:cs="Arial"/>
                <w:sz w:val="19"/>
                <w:szCs w:val="19"/>
              </w:rPr>
            </w:pPr>
            <w:r w:rsidRPr="00811800">
              <w:rPr>
                <w:rFonts w:ascii="Arial" w:hAnsi="Arial" w:cs="Arial"/>
                <w:sz w:val="19"/>
                <w:szCs w:val="19"/>
              </w:rPr>
              <w:t>1</w:t>
            </w:r>
            <w:r w:rsidR="007E3AD9">
              <w:rPr>
                <w:rFonts w:ascii="Arial" w:hAnsi="Arial" w:cs="Arial"/>
                <w:sz w:val="19"/>
                <w:szCs w:val="19"/>
              </w:rPr>
              <w:t>,</w:t>
            </w:r>
            <w:r w:rsidRPr="00811800">
              <w:rPr>
                <w:rFonts w:ascii="Arial" w:hAnsi="Arial" w:cs="Arial"/>
                <w:sz w:val="19"/>
                <w:szCs w:val="19"/>
              </w:rPr>
              <w:t>791</w:t>
            </w:r>
          </w:p>
        </w:tc>
        <w:tc>
          <w:tcPr>
            <w:tcW w:w="462" w:type="pct"/>
            <w:shd w:val="clear" w:color="auto" w:fill="auto"/>
            <w:noWrap/>
            <w:vAlign w:val="bottom"/>
            <w:hideMark/>
          </w:tcPr>
          <w:p w14:paraId="6E2BF74B" w14:textId="631FC3C1" w:rsidR="0062327A" w:rsidRPr="00811800" w:rsidRDefault="0062327A" w:rsidP="00F07E0C">
            <w:pPr>
              <w:jc w:val="right"/>
              <w:rPr>
                <w:rFonts w:ascii="Arial" w:hAnsi="Arial" w:cs="Arial"/>
                <w:sz w:val="19"/>
                <w:szCs w:val="19"/>
              </w:rPr>
            </w:pPr>
            <w:r w:rsidRPr="00811800">
              <w:rPr>
                <w:rFonts w:ascii="Arial" w:hAnsi="Arial" w:cs="Arial"/>
                <w:sz w:val="19"/>
                <w:szCs w:val="19"/>
              </w:rPr>
              <w:t>2</w:t>
            </w:r>
            <w:r w:rsidR="007E3AD9">
              <w:rPr>
                <w:rFonts w:ascii="Arial" w:hAnsi="Arial" w:cs="Arial"/>
                <w:sz w:val="19"/>
                <w:szCs w:val="19"/>
              </w:rPr>
              <w:t>,</w:t>
            </w:r>
            <w:r w:rsidRPr="00811800">
              <w:rPr>
                <w:rFonts w:ascii="Arial" w:hAnsi="Arial" w:cs="Arial"/>
                <w:sz w:val="19"/>
                <w:szCs w:val="19"/>
              </w:rPr>
              <w:t>559</w:t>
            </w:r>
          </w:p>
        </w:tc>
        <w:tc>
          <w:tcPr>
            <w:tcW w:w="462" w:type="pct"/>
            <w:shd w:val="clear" w:color="auto" w:fill="auto"/>
            <w:noWrap/>
            <w:vAlign w:val="bottom"/>
            <w:hideMark/>
          </w:tcPr>
          <w:p w14:paraId="27BAEF62" w14:textId="4A3BFD36" w:rsidR="0062327A" w:rsidRPr="00811800" w:rsidRDefault="0062327A" w:rsidP="00F07E0C">
            <w:pPr>
              <w:jc w:val="right"/>
              <w:rPr>
                <w:rFonts w:ascii="Arial" w:hAnsi="Arial" w:cs="Arial"/>
                <w:sz w:val="19"/>
                <w:szCs w:val="19"/>
              </w:rPr>
            </w:pPr>
            <w:r w:rsidRPr="00811800">
              <w:rPr>
                <w:rFonts w:ascii="Arial" w:hAnsi="Arial" w:cs="Arial"/>
                <w:sz w:val="19"/>
                <w:szCs w:val="19"/>
              </w:rPr>
              <w:t>2</w:t>
            </w:r>
            <w:r w:rsidR="007E3AD9">
              <w:rPr>
                <w:rFonts w:ascii="Arial" w:hAnsi="Arial" w:cs="Arial"/>
                <w:sz w:val="19"/>
                <w:szCs w:val="19"/>
              </w:rPr>
              <w:t>,</w:t>
            </w:r>
            <w:r w:rsidRPr="00811800">
              <w:rPr>
                <w:rFonts w:ascii="Arial" w:hAnsi="Arial" w:cs="Arial"/>
                <w:sz w:val="19"/>
                <w:szCs w:val="19"/>
              </w:rPr>
              <w:t>513</w:t>
            </w:r>
          </w:p>
        </w:tc>
        <w:tc>
          <w:tcPr>
            <w:tcW w:w="462" w:type="pct"/>
            <w:shd w:val="clear" w:color="auto" w:fill="auto"/>
            <w:noWrap/>
            <w:vAlign w:val="bottom"/>
            <w:hideMark/>
          </w:tcPr>
          <w:p w14:paraId="497E553F" w14:textId="7A6DEAB6" w:rsidR="0062327A" w:rsidRPr="00811800" w:rsidRDefault="0062327A" w:rsidP="00F07E0C">
            <w:pPr>
              <w:jc w:val="right"/>
              <w:rPr>
                <w:rFonts w:ascii="Arial" w:hAnsi="Arial" w:cs="Arial"/>
                <w:sz w:val="19"/>
                <w:szCs w:val="19"/>
              </w:rPr>
            </w:pPr>
            <w:r w:rsidRPr="00811800">
              <w:rPr>
                <w:rFonts w:ascii="Arial" w:hAnsi="Arial" w:cs="Arial"/>
                <w:sz w:val="19"/>
                <w:szCs w:val="19"/>
              </w:rPr>
              <w:t>2</w:t>
            </w:r>
            <w:r w:rsidR="007E3AD9">
              <w:rPr>
                <w:rFonts w:ascii="Arial" w:hAnsi="Arial" w:cs="Arial"/>
                <w:sz w:val="19"/>
                <w:szCs w:val="19"/>
              </w:rPr>
              <w:t>,</w:t>
            </w:r>
            <w:r w:rsidRPr="00811800">
              <w:rPr>
                <w:rFonts w:ascii="Arial" w:hAnsi="Arial" w:cs="Arial"/>
                <w:sz w:val="19"/>
                <w:szCs w:val="19"/>
              </w:rPr>
              <w:t>590</w:t>
            </w:r>
          </w:p>
        </w:tc>
        <w:tc>
          <w:tcPr>
            <w:tcW w:w="462" w:type="pct"/>
            <w:shd w:val="clear" w:color="auto" w:fill="auto"/>
            <w:noWrap/>
            <w:vAlign w:val="bottom"/>
            <w:hideMark/>
          </w:tcPr>
          <w:p w14:paraId="0E993924" w14:textId="65D2501C" w:rsidR="0062327A" w:rsidRPr="00811800" w:rsidRDefault="0062327A" w:rsidP="00F07E0C">
            <w:pPr>
              <w:jc w:val="right"/>
              <w:rPr>
                <w:rFonts w:ascii="Arial" w:hAnsi="Arial" w:cs="Arial"/>
                <w:sz w:val="19"/>
                <w:szCs w:val="19"/>
              </w:rPr>
            </w:pPr>
            <w:r w:rsidRPr="00811800">
              <w:rPr>
                <w:rFonts w:ascii="Arial" w:hAnsi="Arial" w:cs="Arial"/>
                <w:sz w:val="19"/>
                <w:szCs w:val="19"/>
              </w:rPr>
              <w:t>1</w:t>
            </w:r>
            <w:r w:rsidR="007E3AD9">
              <w:rPr>
                <w:rFonts w:ascii="Arial" w:hAnsi="Arial" w:cs="Arial"/>
                <w:sz w:val="19"/>
                <w:szCs w:val="19"/>
              </w:rPr>
              <w:t>,</w:t>
            </w:r>
            <w:r w:rsidRPr="00811800">
              <w:rPr>
                <w:rFonts w:ascii="Arial" w:hAnsi="Arial" w:cs="Arial"/>
                <w:sz w:val="19"/>
                <w:szCs w:val="19"/>
              </w:rPr>
              <w:t>600</w:t>
            </w:r>
          </w:p>
        </w:tc>
        <w:tc>
          <w:tcPr>
            <w:tcW w:w="460" w:type="pct"/>
            <w:shd w:val="clear" w:color="auto" w:fill="auto"/>
            <w:noWrap/>
            <w:vAlign w:val="bottom"/>
            <w:hideMark/>
          </w:tcPr>
          <w:p w14:paraId="2731D918" w14:textId="50583616" w:rsidR="0062327A" w:rsidRPr="00811800" w:rsidRDefault="0062327A" w:rsidP="00F07E0C">
            <w:pPr>
              <w:jc w:val="right"/>
              <w:rPr>
                <w:rFonts w:ascii="Arial" w:hAnsi="Arial" w:cs="Arial"/>
                <w:sz w:val="19"/>
                <w:szCs w:val="19"/>
              </w:rPr>
            </w:pPr>
            <w:r w:rsidRPr="00811800">
              <w:rPr>
                <w:rFonts w:ascii="Arial" w:hAnsi="Arial" w:cs="Arial"/>
                <w:sz w:val="19"/>
                <w:szCs w:val="19"/>
              </w:rPr>
              <w:t>1</w:t>
            </w:r>
            <w:r w:rsidR="007E3AD9">
              <w:rPr>
                <w:rFonts w:ascii="Arial" w:hAnsi="Arial" w:cs="Arial"/>
                <w:sz w:val="19"/>
                <w:szCs w:val="19"/>
              </w:rPr>
              <w:t>,</w:t>
            </w:r>
            <w:r w:rsidRPr="00811800">
              <w:rPr>
                <w:rFonts w:ascii="Arial" w:hAnsi="Arial" w:cs="Arial"/>
                <w:sz w:val="19"/>
                <w:szCs w:val="19"/>
              </w:rPr>
              <w:t>427</w:t>
            </w:r>
          </w:p>
        </w:tc>
      </w:tr>
    </w:tbl>
    <w:p w14:paraId="59FE7A87" w14:textId="77777777" w:rsidR="0062327A" w:rsidRPr="00811800" w:rsidRDefault="0062327A" w:rsidP="003F4ED0">
      <w:pPr>
        <w:pStyle w:val="Footnote"/>
      </w:pPr>
    </w:p>
    <w:p w14:paraId="6F32D073" w14:textId="36F0693B" w:rsidR="0062327A" w:rsidRPr="00811800" w:rsidRDefault="0062327A" w:rsidP="00F07E0C">
      <w:pPr>
        <w:pStyle w:val="Footnote"/>
        <w:rPr>
          <w:b/>
          <w:sz w:val="24"/>
        </w:rPr>
      </w:pPr>
      <w:r w:rsidRPr="00811800">
        <w:t xml:space="preserve">Source: </w:t>
      </w:r>
      <w:r w:rsidR="004A75DC" w:rsidRPr="00811800">
        <w:t xml:space="preserve">Zhu </w:t>
      </w:r>
      <w:proofErr w:type="spellStart"/>
      <w:r w:rsidR="004A75DC" w:rsidRPr="00811800">
        <w:t>Jin</w:t>
      </w:r>
      <w:proofErr w:type="spellEnd"/>
      <w:r w:rsidR="004A75DC">
        <w:t xml:space="preserve"> W</w:t>
      </w:r>
      <w:r w:rsidR="004A75DC" w:rsidRPr="00811800">
        <w:t>ei, Wu Yuan</w:t>
      </w:r>
      <w:r w:rsidR="004A75DC">
        <w:t xml:space="preserve"> </w:t>
      </w:r>
      <w:proofErr w:type="spellStart"/>
      <w:r w:rsidR="004A75DC">
        <w:t>Y</w:t>
      </w:r>
      <w:r w:rsidR="004A75DC" w:rsidRPr="00811800">
        <w:t>uan</w:t>
      </w:r>
      <w:proofErr w:type="spellEnd"/>
      <w:r w:rsidR="004A75DC">
        <w:t xml:space="preserve">, </w:t>
      </w:r>
      <w:r w:rsidR="004A75DC" w:rsidRPr="00811800">
        <w:t>Han Chao</w:t>
      </w:r>
      <w:r w:rsidR="004A75DC">
        <w:t xml:space="preserve"> H</w:t>
      </w:r>
      <w:r w:rsidR="004A75DC" w:rsidRPr="00811800">
        <w:t>ua,</w:t>
      </w:r>
      <w:r w:rsidR="004A75DC">
        <w:t xml:space="preserve"> Chen </w:t>
      </w:r>
      <w:proofErr w:type="spellStart"/>
      <w:r w:rsidR="004A75DC">
        <w:t>Jia</w:t>
      </w:r>
      <w:proofErr w:type="spellEnd"/>
      <w:r w:rsidR="004A75DC">
        <w:t xml:space="preserve"> </w:t>
      </w:r>
      <w:proofErr w:type="spellStart"/>
      <w:r w:rsidR="004A75DC">
        <w:t>Gui</w:t>
      </w:r>
      <w:proofErr w:type="spellEnd"/>
      <w:r w:rsidR="004A75DC">
        <w:t>,</w:t>
      </w:r>
      <w:r w:rsidR="00850464">
        <w:t xml:space="preserve"> </w:t>
      </w:r>
      <w:r w:rsidR="004A75DC">
        <w:t xml:space="preserve">and Huang </w:t>
      </w:r>
      <w:proofErr w:type="spellStart"/>
      <w:r w:rsidR="004A75DC">
        <w:t>Qun</w:t>
      </w:r>
      <w:proofErr w:type="spellEnd"/>
      <w:r w:rsidR="004A75DC">
        <w:t xml:space="preserve"> Hui,</w:t>
      </w:r>
      <w:r w:rsidR="004A75DC" w:rsidRPr="00811800">
        <w:t xml:space="preserve"> </w:t>
      </w:r>
      <w:r w:rsidR="004A75DC" w:rsidRPr="00B86A36">
        <w:rPr>
          <w:i/>
        </w:rPr>
        <w:t xml:space="preserve">Investigation of </w:t>
      </w:r>
      <w:proofErr w:type="spellStart"/>
      <w:r w:rsidR="004A75DC" w:rsidRPr="00B86A36">
        <w:rPr>
          <w:i/>
        </w:rPr>
        <w:t>Suntech</w:t>
      </w:r>
      <w:proofErr w:type="spellEnd"/>
      <w:r w:rsidR="004A75DC" w:rsidRPr="00B86A36">
        <w:rPr>
          <w:i/>
        </w:rPr>
        <w:t xml:space="preserve"> Power: Internationalized Management of Emerging Industries with High Uncertaint</w:t>
      </w:r>
      <w:r w:rsidR="004A75DC">
        <w:rPr>
          <w:i/>
        </w:rPr>
        <w:t xml:space="preserve">y, </w:t>
      </w:r>
      <w:r w:rsidR="004A75DC" w:rsidRPr="00DD54A6">
        <w:t xml:space="preserve">Chinese </w:t>
      </w:r>
      <w:r w:rsidR="004A75DC">
        <w:t>ed.</w:t>
      </w:r>
      <w:r w:rsidR="004A75DC">
        <w:rPr>
          <w:rFonts w:eastAsiaTheme="minorEastAsia"/>
          <w:lang w:eastAsia="zh-CN"/>
        </w:rPr>
        <w:t xml:space="preserve"> </w:t>
      </w:r>
      <w:r w:rsidR="004A75DC">
        <w:rPr>
          <w:rFonts w:eastAsiaTheme="minorEastAsia" w:hint="eastAsia"/>
          <w:lang w:eastAsia="zh-CN"/>
        </w:rPr>
        <w:t xml:space="preserve">(Beijing: </w:t>
      </w:r>
      <w:r w:rsidR="004A75DC" w:rsidRPr="00811800">
        <w:t>Econom</w:t>
      </w:r>
      <w:r w:rsidR="004A75DC">
        <w:t>ic M</w:t>
      </w:r>
      <w:r w:rsidR="004A75DC" w:rsidRPr="00811800">
        <w:t>anagement</w:t>
      </w:r>
      <w:r w:rsidR="004A75DC">
        <w:t xml:space="preserve"> Press, </w:t>
      </w:r>
      <w:r w:rsidR="00DF09EB" w:rsidRPr="00811800">
        <w:t>2013</w:t>
      </w:r>
      <w:r w:rsidR="00DF09EB">
        <w:rPr>
          <w:rFonts w:eastAsiaTheme="minorEastAsia" w:hint="eastAsia"/>
          <w:lang w:eastAsia="zh-CN"/>
        </w:rPr>
        <w:t>),</w:t>
      </w:r>
      <w:r w:rsidR="004A75DC">
        <w:rPr>
          <w:rFonts w:eastAsiaTheme="minorEastAsia"/>
          <w:lang w:eastAsia="zh-CN"/>
        </w:rPr>
        <w:t xml:space="preserve"> </w:t>
      </w:r>
      <w:r w:rsidR="004C4690">
        <w:rPr>
          <w:rFonts w:eastAsiaTheme="minorEastAsia" w:hint="eastAsia"/>
          <w:lang w:eastAsia="zh-CN"/>
        </w:rPr>
        <w:t>6.</w:t>
      </w:r>
      <w:r w:rsidRPr="00811800">
        <w:rPr>
          <w:b/>
          <w:sz w:val="24"/>
        </w:rPr>
        <w:br w:type="page"/>
      </w:r>
    </w:p>
    <w:p w14:paraId="0B73C910" w14:textId="1955330A" w:rsidR="0062327A" w:rsidRPr="00811800" w:rsidRDefault="0062327A" w:rsidP="00123069">
      <w:pPr>
        <w:pStyle w:val="ExhibitHeading"/>
      </w:pPr>
      <w:r w:rsidRPr="00811800">
        <w:lastRenderedPageBreak/>
        <w:t xml:space="preserve">Exhibit </w:t>
      </w:r>
      <w:r w:rsidR="00C86D0F">
        <w:rPr>
          <w:rFonts w:eastAsiaTheme="minorEastAsia" w:hint="eastAsia"/>
          <w:lang w:eastAsia="zh-CN"/>
        </w:rPr>
        <w:t>6</w:t>
      </w:r>
      <w:r w:rsidRPr="00811800">
        <w:t>: Spot Price of Polycrystalline Silicon 2004–March 2008</w:t>
      </w:r>
    </w:p>
    <w:p w14:paraId="73F512E5" w14:textId="77777777" w:rsidR="00123069" w:rsidRPr="00811800" w:rsidRDefault="00123069" w:rsidP="00123069">
      <w:pPr>
        <w:pStyle w:val="ExhibitHeading"/>
      </w:pPr>
    </w:p>
    <w:p w14:paraId="1BE2E237" w14:textId="0CAADBC0" w:rsidR="0062327A" w:rsidRPr="00811800" w:rsidRDefault="0062327A" w:rsidP="0062327A">
      <w:pPr>
        <w:tabs>
          <w:tab w:val="left" w:pos="5954"/>
        </w:tabs>
        <w:wordWrap w:val="0"/>
        <w:ind w:left="839" w:firstLineChars="50" w:firstLine="100"/>
        <w:rPr>
          <w:rFonts w:ascii="Arial" w:hAnsi="Arial" w:cs="Arial"/>
        </w:rPr>
      </w:pPr>
      <w:r w:rsidRPr="00811800">
        <w:rPr>
          <w:rFonts w:ascii="Arial" w:hAnsi="Arial" w:cs="Arial"/>
        </w:rPr>
        <w:t>$/Kilo</w:t>
      </w:r>
    </w:p>
    <w:p w14:paraId="6A0D17BE" w14:textId="514D7641" w:rsidR="0062327A" w:rsidRPr="00811800" w:rsidRDefault="007E3AD9" w:rsidP="0062327A">
      <w:pPr>
        <w:tabs>
          <w:tab w:val="left" w:pos="5954"/>
        </w:tabs>
        <w:ind w:left="839"/>
        <w:rPr>
          <w:sz w:val="24"/>
        </w:rPr>
      </w:pPr>
      <w:r w:rsidRPr="00811800">
        <w:rPr>
          <w:noProof/>
          <w:sz w:val="24"/>
          <w:lang w:eastAsia="en-GB"/>
        </w:rPr>
        <mc:AlternateContent>
          <mc:Choice Requires="wps">
            <w:drawing>
              <wp:anchor distT="0" distB="0" distL="114300" distR="114300" simplePos="0" relativeHeight="251659776" behindDoc="0" locked="0" layoutInCell="1" allowOverlap="1" wp14:anchorId="28B7856C" wp14:editId="50C133E9">
                <wp:simplePos x="0" y="0"/>
                <wp:positionH relativeFrom="column">
                  <wp:posOffset>2036618</wp:posOffset>
                </wp:positionH>
                <wp:positionV relativeFrom="paragraph">
                  <wp:posOffset>210342</wp:posOffset>
                </wp:positionV>
                <wp:extent cx="995045" cy="261257"/>
                <wp:effectExtent l="0" t="0" r="0" b="5715"/>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5045" cy="26125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77AC2B" w14:textId="45CC9626" w:rsidR="00F07E0C" w:rsidRPr="009A6C9F" w:rsidRDefault="00F07E0C" w:rsidP="0062327A">
                            <w:pPr>
                              <w:rPr>
                                <w:rFonts w:ascii="Arial" w:hAnsi="Arial" w:cs="Arial"/>
                                <w:color w:val="595959" w:themeColor="text1" w:themeTint="A6"/>
                              </w:rPr>
                            </w:pPr>
                            <w:r w:rsidRPr="009A6C9F">
                              <w:rPr>
                                <w:rFonts w:ascii="Arial" w:hAnsi="Arial" w:cs="Arial"/>
                                <w:color w:val="595959" w:themeColor="text1" w:themeTint="A6"/>
                              </w:rPr>
                              <w:t>CAGR: 39.5</w:t>
                            </w:r>
                            <w:r>
                              <w:rPr>
                                <w:rFonts w:ascii="Arial" w:hAnsi="Arial" w:cs="Arial"/>
                                <w:color w:val="595959" w:themeColor="text1" w:themeTint="A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B7856C" id="Text Box 5" o:spid="_x0000_s1028" type="#_x0000_t202" style="position:absolute;left:0;text-align:left;margin-left:160.35pt;margin-top:16.55pt;width:78.35pt;height:20.5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" stroked="f">
                <v:textbox>
                  <w:txbxContent>
                    <w:p w14:paraId="7C77AC2B" w14:textId="45CC9626" w:rsidR="00F07E0C" w:rsidRPr="009A6C9F" w:rsidRDefault="00F07E0C" w:rsidP="0062327A">
                      <w:pPr>
                        <w:rPr>
                          <w:rFonts w:ascii="Arial" w:hAnsi="Arial" w:cs="Arial"/>
                          <w:color w:val="595959" w:themeColor="text1" w:themeTint="A6"/>
                        </w:rPr>
                      </w:pPr>
                      <w:r w:rsidRPr="009A6C9F">
                        <w:rPr>
                          <w:rFonts w:ascii="Arial" w:hAnsi="Arial" w:cs="Arial"/>
                          <w:color w:val="595959" w:themeColor="text1" w:themeTint="A6"/>
                        </w:rPr>
                        <w:t>CAGR: 39.5</w:t>
                      </w:r>
                      <w:r>
                        <w:rPr>
                          <w:rFonts w:ascii="Arial" w:hAnsi="Arial" w:cs="Arial"/>
                          <w:color w:val="595959" w:themeColor="text1" w:themeTint="A6"/>
                        </w:rPr>
                        <w:t>%</w:t>
                      </w:r>
                    </w:p>
                  </w:txbxContent>
                </v:textbox>
              </v:shape>
            </w:pict>
          </mc:Fallback>
        </mc:AlternateContent>
      </w:r>
      <w:r w:rsidR="0062327A" w:rsidRPr="00811800">
        <w:rPr>
          <w:noProof/>
          <w:sz w:val="24"/>
          <w:lang w:eastAsia="en-GB"/>
        </w:rPr>
        <mc:AlternateContent>
          <mc:Choice Requires="wps">
            <w:drawing>
              <wp:anchor distT="0" distB="0" distL="114300" distR="114300" simplePos="0" relativeHeight="251656704" behindDoc="0" locked="0" layoutInCell="1" allowOverlap="1" wp14:anchorId="609D79D3" wp14:editId="1457877F">
                <wp:simplePos x="0" y="0"/>
                <wp:positionH relativeFrom="column">
                  <wp:posOffset>4639945</wp:posOffset>
                </wp:positionH>
                <wp:positionV relativeFrom="paragraph">
                  <wp:posOffset>1547495</wp:posOffset>
                </wp:positionV>
                <wp:extent cx="561975" cy="266700"/>
                <wp:effectExtent l="0" t="0" r="28575" b="19050"/>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66700"/>
                        </a:xfrm>
                        <a:prstGeom prst="rect">
                          <a:avLst/>
                        </a:prstGeom>
                        <a:solidFill>
                          <a:srgbClr val="FFFFFF"/>
                        </a:solidFill>
                        <a:ln w="9525">
                          <a:solidFill>
                            <a:schemeClr val="bg1">
                              <a:lumMod val="100000"/>
                              <a:lumOff val="0"/>
                            </a:schemeClr>
                          </a:solidFill>
                          <a:miter lim="800000"/>
                          <a:headEnd/>
                          <a:tailEnd/>
                        </a:ln>
                      </wps:spPr>
                      <wps:txbx>
                        <w:txbxContent>
                          <w:p w14:paraId="3C9D07AE" w14:textId="77777777" w:rsidR="00F07E0C" w:rsidRPr="004F3864" w:rsidRDefault="00F07E0C" w:rsidP="0062327A">
                            <w:pPr>
                              <w:rPr>
                                <w:color w:val="595959" w:themeColor="text1" w:themeTint="A6"/>
                                <w:szCs w:val="18"/>
                              </w:rPr>
                            </w:pPr>
                            <w:r w:rsidRPr="004F3864">
                              <w:rPr>
                                <w:color w:val="595959" w:themeColor="text1" w:themeTint="A6"/>
                                <w:szCs w:val="18"/>
                              </w:rPr>
                              <w:t>Year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9D79D3" id="Text Box 6" o:spid="_x0000_s1029" type="#_x0000_t202" style="position:absolute;left:0;text-align:left;margin-left:365.35pt;margin-top:121.85pt;width:44.25pt;height:21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" strokecolor="white [3212]">
                <v:textbox>
                  <w:txbxContent>
                    <w:p w14:paraId="3C9D07AE" w14:textId="77777777" w:rsidR="00F07E0C" w:rsidRPr="004F3864" w:rsidRDefault="00F07E0C" w:rsidP="0062327A">
                      <w:pPr>
                        <w:rPr>
                          <w:color w:val="595959" w:themeColor="text1" w:themeTint="A6"/>
                          <w:szCs w:val="18"/>
                        </w:rPr>
                      </w:pPr>
                      <w:r w:rsidRPr="004F3864">
                        <w:rPr>
                          <w:color w:val="595959" w:themeColor="text1" w:themeTint="A6"/>
                          <w:szCs w:val="18"/>
                        </w:rPr>
                        <w:t>Year</w:t>
                      </w:r>
                    </w:p>
                  </w:txbxContent>
                </v:textbox>
              </v:shape>
            </w:pict>
          </mc:Fallback>
        </mc:AlternateContent>
      </w:r>
      <w:r w:rsidR="0062327A" w:rsidRPr="00811800">
        <w:rPr>
          <w:noProof/>
          <w:sz w:val="24"/>
          <w:lang w:eastAsia="en-GB"/>
        </w:rPr>
        <w:drawing>
          <wp:inline distT="0" distB="0" distL="0" distR="0" wp14:anchorId="7CF5BF91" wp14:editId="23BE7BE6">
            <wp:extent cx="4287386" cy="2034691"/>
            <wp:effectExtent l="0" t="0" r="18415" b="3810"/>
            <wp:docPr id="4"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62327A" w:rsidRPr="00811800">
        <w:rPr>
          <w:noProof/>
          <w:sz w:val="24"/>
          <w:lang w:eastAsia="en-GB"/>
        </w:rPr>
        <mc:AlternateContent>
          <mc:Choice Requires="wps">
            <w:drawing>
              <wp:anchor distT="0" distB="0" distL="114300" distR="114300" simplePos="0" relativeHeight="251657728" behindDoc="0" locked="0" layoutInCell="1" allowOverlap="1" wp14:anchorId="72F86B0E" wp14:editId="3F2FF90A">
                <wp:simplePos x="0" y="0"/>
                <wp:positionH relativeFrom="column">
                  <wp:posOffset>1280795</wp:posOffset>
                </wp:positionH>
                <wp:positionV relativeFrom="paragraph">
                  <wp:posOffset>248285</wp:posOffset>
                </wp:positionV>
                <wp:extent cx="2587625" cy="802005"/>
                <wp:effectExtent l="0" t="38100" r="60325" b="36195"/>
                <wp:wrapNone/>
                <wp:docPr id="5"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587625" cy="802005"/>
                        </a:xfrm>
                        <a:prstGeom prst="straightConnector1">
                          <a:avLst/>
                        </a:prstGeom>
                        <a:noFill/>
                        <a:ln w="9525">
                          <a:solidFill>
                            <a:schemeClr val="tx1">
                              <a:lumMod val="65000"/>
                              <a:lumOff val="3500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9A4334" id="Straight Arrow Connector 2" o:spid="_x0000_s1026" type="#_x0000_t32" style="position:absolute;margin-left:100.85pt;margin-top:19.55pt;width:203.75pt;height:63.1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" strokecolor="#5a5a5a [2109]">
                <v:stroke endarrow="block"/>
              </v:shape>
            </w:pict>
          </mc:Fallback>
        </mc:AlternateContent>
      </w:r>
    </w:p>
    <w:p w14:paraId="1354C3F8" w14:textId="77777777" w:rsidR="00E472A8" w:rsidRPr="00811800" w:rsidRDefault="00E472A8" w:rsidP="00E472A8">
      <w:pPr>
        <w:pStyle w:val="Footnote"/>
      </w:pPr>
    </w:p>
    <w:p w14:paraId="35EEC2CF" w14:textId="285F3486" w:rsidR="0062327A" w:rsidRPr="00811800" w:rsidRDefault="0062327A" w:rsidP="00E472A8">
      <w:pPr>
        <w:pStyle w:val="Footnote"/>
      </w:pPr>
      <w:r w:rsidRPr="00811800">
        <w:t xml:space="preserve">Source: </w:t>
      </w:r>
      <w:r w:rsidR="009A74E2" w:rsidRPr="00811800">
        <w:t xml:space="preserve">Zhu </w:t>
      </w:r>
      <w:proofErr w:type="spellStart"/>
      <w:r w:rsidR="009A74E2" w:rsidRPr="00811800">
        <w:t>Jin</w:t>
      </w:r>
      <w:proofErr w:type="spellEnd"/>
      <w:r w:rsidR="009A74E2">
        <w:t xml:space="preserve"> W</w:t>
      </w:r>
      <w:r w:rsidR="009A74E2" w:rsidRPr="00811800">
        <w:t>ei, Wu Yuan</w:t>
      </w:r>
      <w:r w:rsidR="009A74E2">
        <w:t xml:space="preserve"> </w:t>
      </w:r>
      <w:proofErr w:type="spellStart"/>
      <w:r w:rsidR="009A74E2">
        <w:t>Y</w:t>
      </w:r>
      <w:r w:rsidR="009A74E2" w:rsidRPr="00811800">
        <w:t>uan</w:t>
      </w:r>
      <w:proofErr w:type="spellEnd"/>
      <w:r w:rsidR="009A74E2">
        <w:t xml:space="preserve">, </w:t>
      </w:r>
      <w:r w:rsidR="009A74E2" w:rsidRPr="00811800">
        <w:t>Han Chao</w:t>
      </w:r>
      <w:r w:rsidR="009A74E2">
        <w:t xml:space="preserve"> H</w:t>
      </w:r>
      <w:r w:rsidR="009A74E2" w:rsidRPr="00811800">
        <w:t>ua,</w:t>
      </w:r>
      <w:r w:rsidR="009A74E2">
        <w:t xml:space="preserve"> Chen </w:t>
      </w:r>
      <w:proofErr w:type="spellStart"/>
      <w:r w:rsidR="009A74E2">
        <w:t>Jia</w:t>
      </w:r>
      <w:proofErr w:type="spellEnd"/>
      <w:r w:rsidR="009A74E2">
        <w:t xml:space="preserve"> </w:t>
      </w:r>
      <w:proofErr w:type="spellStart"/>
      <w:r w:rsidR="009A74E2">
        <w:t>Gui</w:t>
      </w:r>
      <w:proofErr w:type="spellEnd"/>
      <w:r w:rsidR="009A74E2">
        <w:t>,</w:t>
      </w:r>
      <w:r w:rsidR="00850464">
        <w:t xml:space="preserve"> </w:t>
      </w:r>
      <w:r w:rsidR="009A74E2">
        <w:t xml:space="preserve">and Huang </w:t>
      </w:r>
      <w:proofErr w:type="spellStart"/>
      <w:r w:rsidR="009A74E2">
        <w:t>Qun</w:t>
      </w:r>
      <w:proofErr w:type="spellEnd"/>
      <w:r w:rsidR="009A74E2">
        <w:t xml:space="preserve"> Hui,</w:t>
      </w:r>
      <w:r w:rsidR="009A74E2" w:rsidRPr="00811800">
        <w:t xml:space="preserve"> </w:t>
      </w:r>
      <w:r w:rsidR="009A74E2" w:rsidRPr="00B86A36">
        <w:rPr>
          <w:i/>
        </w:rPr>
        <w:t xml:space="preserve">Investigation of </w:t>
      </w:r>
      <w:proofErr w:type="spellStart"/>
      <w:r w:rsidR="009A74E2" w:rsidRPr="00B86A36">
        <w:rPr>
          <w:i/>
        </w:rPr>
        <w:t>Suntech</w:t>
      </w:r>
      <w:proofErr w:type="spellEnd"/>
      <w:r w:rsidR="009A74E2" w:rsidRPr="00B86A36">
        <w:rPr>
          <w:i/>
        </w:rPr>
        <w:t xml:space="preserve"> Power: Internationalized Management of Emerging Industries with High Uncertaint</w:t>
      </w:r>
      <w:r w:rsidR="009A74E2">
        <w:rPr>
          <w:i/>
        </w:rPr>
        <w:t xml:space="preserve">y, </w:t>
      </w:r>
      <w:r w:rsidR="009A74E2" w:rsidRPr="00DD54A6">
        <w:t xml:space="preserve">Chinese </w:t>
      </w:r>
      <w:r w:rsidR="009A74E2">
        <w:t>ed.</w:t>
      </w:r>
      <w:r w:rsidR="009A74E2">
        <w:rPr>
          <w:rFonts w:eastAsiaTheme="minorEastAsia"/>
          <w:lang w:eastAsia="zh-CN"/>
        </w:rPr>
        <w:t xml:space="preserve"> </w:t>
      </w:r>
      <w:r w:rsidR="009A74E2">
        <w:rPr>
          <w:rFonts w:eastAsiaTheme="minorEastAsia" w:hint="eastAsia"/>
          <w:lang w:eastAsia="zh-CN"/>
        </w:rPr>
        <w:t xml:space="preserve">(Beijing: </w:t>
      </w:r>
      <w:r w:rsidR="009A74E2" w:rsidRPr="00811800">
        <w:t>Econom</w:t>
      </w:r>
      <w:r w:rsidR="009A74E2">
        <w:t>ic M</w:t>
      </w:r>
      <w:r w:rsidR="009A74E2" w:rsidRPr="00811800">
        <w:t>anagement</w:t>
      </w:r>
      <w:r w:rsidR="009A74E2">
        <w:t xml:space="preserve"> Press, </w:t>
      </w:r>
      <w:r w:rsidR="00E70E6C" w:rsidRPr="00811800">
        <w:t>2013</w:t>
      </w:r>
      <w:r w:rsidR="00E70E6C">
        <w:rPr>
          <w:rFonts w:eastAsiaTheme="minorEastAsia" w:hint="eastAsia"/>
          <w:lang w:eastAsia="zh-CN"/>
        </w:rPr>
        <w:t xml:space="preserve">), </w:t>
      </w:r>
      <w:r w:rsidR="003D7E0E">
        <w:rPr>
          <w:rFonts w:eastAsiaTheme="minorEastAsia" w:hint="eastAsia"/>
          <w:lang w:eastAsia="zh-CN"/>
        </w:rPr>
        <w:t>66</w:t>
      </w:r>
      <w:r w:rsidR="00E70E6C" w:rsidRPr="00811800">
        <w:t>.</w:t>
      </w:r>
    </w:p>
    <w:p w14:paraId="23B43E24" w14:textId="77777777" w:rsidR="00E472A8" w:rsidRPr="00811800" w:rsidRDefault="00E472A8" w:rsidP="00E472A8">
      <w:pPr>
        <w:pStyle w:val="Footnote"/>
      </w:pPr>
    </w:p>
    <w:p w14:paraId="5EE2E376" w14:textId="77777777" w:rsidR="00F31F84" w:rsidRPr="000D3989" w:rsidRDefault="00F31F84" w:rsidP="00A33925">
      <w:pPr>
        <w:pStyle w:val="Footnote"/>
        <w:rPr>
          <w:rFonts w:eastAsiaTheme="minorEastAsia"/>
          <w:lang w:eastAsia="zh-CN"/>
        </w:rPr>
      </w:pPr>
    </w:p>
    <w:p w14:paraId="18F30456" w14:textId="676EC2DB" w:rsidR="0062327A" w:rsidRDefault="0062327A" w:rsidP="007E3AD9">
      <w:pPr>
        <w:pStyle w:val="ExhibitHeading"/>
        <w:rPr>
          <w:sz w:val="18"/>
        </w:rPr>
      </w:pPr>
      <w:r w:rsidRPr="00811800">
        <w:t xml:space="preserve">Exhibit </w:t>
      </w:r>
      <w:r w:rsidR="00C86D0F">
        <w:rPr>
          <w:rFonts w:eastAsiaTheme="minorEastAsia" w:hint="eastAsia"/>
          <w:lang w:eastAsia="zh-CN"/>
        </w:rPr>
        <w:t>7</w:t>
      </w:r>
      <w:r w:rsidRPr="00811800">
        <w:t>: Spot Price of Polycrystalline Silicon March 2008–2012</w:t>
      </w:r>
      <w:r w:rsidR="007E3AD9">
        <w:t xml:space="preserve"> </w:t>
      </w:r>
      <w:r w:rsidR="00F31F84" w:rsidRPr="00811800">
        <w:rPr>
          <w:sz w:val="18"/>
        </w:rPr>
        <w:t>(</w:t>
      </w:r>
      <w:r w:rsidRPr="00811800">
        <w:rPr>
          <w:sz w:val="18"/>
        </w:rPr>
        <w:t>$/Kilo</w:t>
      </w:r>
      <w:r w:rsidR="00F31F84" w:rsidRPr="00811800">
        <w:rPr>
          <w:sz w:val="18"/>
        </w:rPr>
        <w:t>)</w:t>
      </w:r>
    </w:p>
    <w:p w14:paraId="5878A0C2" w14:textId="77777777" w:rsidR="007E3AD9" w:rsidRPr="007E3AD9" w:rsidRDefault="007E3AD9" w:rsidP="007E3AD9">
      <w:pPr>
        <w:pStyle w:val="ExhibitHeading"/>
      </w:pPr>
    </w:p>
    <w:p w14:paraId="3DFA0C5E" w14:textId="77777777" w:rsidR="0062327A" w:rsidRPr="00811800" w:rsidRDefault="0062327A" w:rsidP="00F31F84">
      <w:pPr>
        <w:jc w:val="center"/>
        <w:rPr>
          <w:i/>
          <w:sz w:val="24"/>
        </w:rPr>
      </w:pPr>
      <w:r w:rsidRPr="00811800">
        <w:rPr>
          <w:noProof/>
          <w:sz w:val="24"/>
          <w:lang w:eastAsia="en-GB"/>
        </w:rPr>
        <w:drawing>
          <wp:inline distT="0" distB="0" distL="0" distR="0" wp14:anchorId="2E71BF56" wp14:editId="5003744F">
            <wp:extent cx="4731026" cy="1658415"/>
            <wp:effectExtent l="0" t="0" r="0" b="0"/>
            <wp:docPr id="11"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CB943AC" w14:textId="77777777" w:rsidR="00F31F84" w:rsidRPr="00811800" w:rsidRDefault="00F31F84" w:rsidP="00F31F84">
      <w:pPr>
        <w:pStyle w:val="Footnote"/>
      </w:pPr>
    </w:p>
    <w:p w14:paraId="5C04CEAE" w14:textId="6FDB400C" w:rsidR="000D3989" w:rsidRPr="00811800" w:rsidRDefault="000D3989" w:rsidP="000D3989">
      <w:pPr>
        <w:pStyle w:val="Footnote"/>
      </w:pPr>
      <w:r w:rsidRPr="00811800">
        <w:t xml:space="preserve">Source: </w:t>
      </w:r>
      <w:r w:rsidR="00850464" w:rsidRPr="00811800">
        <w:t xml:space="preserve">Zhu </w:t>
      </w:r>
      <w:proofErr w:type="spellStart"/>
      <w:r w:rsidR="00850464" w:rsidRPr="00811800">
        <w:t>Jin</w:t>
      </w:r>
      <w:proofErr w:type="spellEnd"/>
      <w:r w:rsidR="00850464">
        <w:t xml:space="preserve"> W</w:t>
      </w:r>
      <w:r w:rsidR="00850464" w:rsidRPr="00811800">
        <w:t>ei, Wu Yuan</w:t>
      </w:r>
      <w:r w:rsidR="00850464">
        <w:t xml:space="preserve"> </w:t>
      </w:r>
      <w:proofErr w:type="spellStart"/>
      <w:r w:rsidR="00850464">
        <w:t>Y</w:t>
      </w:r>
      <w:r w:rsidR="00850464" w:rsidRPr="00811800">
        <w:t>uan</w:t>
      </w:r>
      <w:proofErr w:type="spellEnd"/>
      <w:r w:rsidR="00850464">
        <w:t xml:space="preserve">, </w:t>
      </w:r>
      <w:r w:rsidR="00850464" w:rsidRPr="00811800">
        <w:t>Han Chao</w:t>
      </w:r>
      <w:r w:rsidR="00850464">
        <w:t xml:space="preserve"> H</w:t>
      </w:r>
      <w:r w:rsidR="00850464" w:rsidRPr="00811800">
        <w:t>ua,</w:t>
      </w:r>
      <w:r w:rsidR="00850464">
        <w:t xml:space="preserve"> Chen </w:t>
      </w:r>
      <w:proofErr w:type="spellStart"/>
      <w:r w:rsidR="00850464">
        <w:t>Jia</w:t>
      </w:r>
      <w:proofErr w:type="spellEnd"/>
      <w:r w:rsidR="00850464">
        <w:t xml:space="preserve"> </w:t>
      </w:r>
      <w:proofErr w:type="spellStart"/>
      <w:r w:rsidR="00850464">
        <w:t>Gui</w:t>
      </w:r>
      <w:proofErr w:type="spellEnd"/>
      <w:r w:rsidR="00850464">
        <w:t xml:space="preserve">, and Huang </w:t>
      </w:r>
      <w:proofErr w:type="spellStart"/>
      <w:r w:rsidR="00850464">
        <w:t>Qun</w:t>
      </w:r>
      <w:proofErr w:type="spellEnd"/>
      <w:r w:rsidR="00850464">
        <w:t xml:space="preserve"> Hui,</w:t>
      </w:r>
      <w:r w:rsidR="00850464" w:rsidRPr="00811800">
        <w:t xml:space="preserve"> </w:t>
      </w:r>
      <w:r w:rsidR="00850464" w:rsidRPr="00B86A36">
        <w:rPr>
          <w:i/>
        </w:rPr>
        <w:t xml:space="preserve">Investigation of </w:t>
      </w:r>
      <w:proofErr w:type="spellStart"/>
      <w:r w:rsidR="00850464" w:rsidRPr="00B86A36">
        <w:rPr>
          <w:i/>
        </w:rPr>
        <w:t>Suntech</w:t>
      </w:r>
      <w:proofErr w:type="spellEnd"/>
      <w:r w:rsidR="00850464" w:rsidRPr="00B86A36">
        <w:rPr>
          <w:i/>
        </w:rPr>
        <w:t xml:space="preserve"> Power: Internationalized Management of Emerging Industries with High Uncertaint</w:t>
      </w:r>
      <w:r w:rsidR="00850464">
        <w:rPr>
          <w:i/>
        </w:rPr>
        <w:t xml:space="preserve">y, </w:t>
      </w:r>
      <w:r w:rsidR="00850464" w:rsidRPr="00DD54A6">
        <w:t xml:space="preserve">Chinese </w:t>
      </w:r>
      <w:r w:rsidR="00850464">
        <w:t>ed.</w:t>
      </w:r>
      <w:r w:rsidR="00850464">
        <w:rPr>
          <w:rFonts w:eastAsiaTheme="minorEastAsia"/>
          <w:lang w:eastAsia="zh-CN"/>
        </w:rPr>
        <w:t xml:space="preserve"> </w:t>
      </w:r>
      <w:r w:rsidR="00850464">
        <w:rPr>
          <w:rFonts w:eastAsiaTheme="minorEastAsia" w:hint="eastAsia"/>
          <w:lang w:eastAsia="zh-CN"/>
        </w:rPr>
        <w:t xml:space="preserve">(Beijing: </w:t>
      </w:r>
      <w:r w:rsidR="00850464" w:rsidRPr="00811800">
        <w:t>Econom</w:t>
      </w:r>
      <w:r w:rsidR="00850464">
        <w:t>ic M</w:t>
      </w:r>
      <w:r w:rsidR="00850464" w:rsidRPr="00811800">
        <w:t>anagement</w:t>
      </w:r>
      <w:r w:rsidR="00850464">
        <w:t xml:space="preserve"> Press, </w:t>
      </w:r>
      <w:r w:rsidRPr="00811800">
        <w:t>2013</w:t>
      </w:r>
      <w:r>
        <w:rPr>
          <w:rFonts w:eastAsiaTheme="minorEastAsia" w:hint="eastAsia"/>
          <w:lang w:eastAsia="zh-CN"/>
        </w:rPr>
        <w:t xml:space="preserve">), </w:t>
      </w:r>
      <w:r w:rsidR="003D7E0E">
        <w:rPr>
          <w:rFonts w:eastAsiaTheme="minorEastAsia" w:hint="eastAsia"/>
          <w:lang w:eastAsia="zh-CN"/>
        </w:rPr>
        <w:t>66</w:t>
      </w:r>
      <w:r w:rsidRPr="00811800">
        <w:t>.</w:t>
      </w:r>
    </w:p>
    <w:p w14:paraId="22A615A8" w14:textId="77777777" w:rsidR="00F31F84" w:rsidRPr="00811800" w:rsidRDefault="00F31F84">
      <w:pPr>
        <w:spacing w:after="200" w:line="276" w:lineRule="auto"/>
        <w:rPr>
          <w:rFonts w:ascii="Arial" w:hAnsi="Arial" w:cs="Arial"/>
          <w:sz w:val="17"/>
          <w:szCs w:val="17"/>
        </w:rPr>
      </w:pPr>
      <w:r w:rsidRPr="00811800">
        <w:br w:type="page"/>
      </w:r>
    </w:p>
    <w:p w14:paraId="58999909" w14:textId="1E08D906" w:rsidR="0062327A" w:rsidRPr="00811800" w:rsidRDefault="0062327A" w:rsidP="00B819BF">
      <w:pPr>
        <w:pStyle w:val="ExhibitHeading"/>
      </w:pPr>
      <w:r w:rsidRPr="00811800">
        <w:lastRenderedPageBreak/>
        <w:t xml:space="preserve">Exhibit </w:t>
      </w:r>
      <w:r w:rsidR="00FB4591">
        <w:rPr>
          <w:rFonts w:eastAsiaTheme="minorEastAsia" w:hint="eastAsia"/>
          <w:lang w:eastAsia="zh-CN"/>
        </w:rPr>
        <w:t>8</w:t>
      </w:r>
      <w:r w:rsidRPr="00811800">
        <w:t>: S</w:t>
      </w:r>
      <w:r w:rsidR="00E07F88">
        <w:t>untech power holdings’</w:t>
      </w:r>
      <w:r w:rsidR="0003232C">
        <w:t>s</w:t>
      </w:r>
      <w:r w:rsidR="00E07F88">
        <w:t xml:space="preserve"> </w:t>
      </w:r>
      <w:r w:rsidRPr="00811800">
        <w:t>Geographical Markets 2006–</w:t>
      </w:r>
      <w:r w:rsidR="0003232C" w:rsidRPr="00811800">
        <w:t>2011</w:t>
      </w:r>
      <w:r w:rsidR="0003232C">
        <w:br/>
      </w:r>
      <w:r w:rsidRPr="00811800">
        <w:t>(</w:t>
      </w:r>
      <w:r w:rsidR="003A56B2">
        <w:t>per cent</w:t>
      </w:r>
      <w:r w:rsidRPr="00811800">
        <w:t>)</w:t>
      </w:r>
    </w:p>
    <w:p w14:paraId="1790C14B" w14:textId="77777777" w:rsidR="0062327A" w:rsidRPr="00811800" w:rsidRDefault="0062327A" w:rsidP="00B819BF">
      <w:pPr>
        <w:pStyle w:val="BodyTextMain"/>
      </w:pPr>
    </w:p>
    <w:tbl>
      <w:tblPr>
        <w:tblW w:w="82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6"/>
        <w:gridCol w:w="1015"/>
        <w:gridCol w:w="1015"/>
        <w:gridCol w:w="1016"/>
        <w:gridCol w:w="1015"/>
        <w:gridCol w:w="1015"/>
        <w:gridCol w:w="1016"/>
      </w:tblGrid>
      <w:tr w:rsidR="0062327A" w:rsidRPr="00811800" w14:paraId="23ECF853" w14:textId="77777777" w:rsidTr="003A56B2">
        <w:trPr>
          <w:trHeight w:val="285"/>
          <w:jc w:val="center"/>
        </w:trPr>
        <w:tc>
          <w:tcPr>
            <w:tcW w:w="2126" w:type="dxa"/>
            <w:shd w:val="clear" w:color="auto" w:fill="auto"/>
            <w:noWrap/>
            <w:vAlign w:val="bottom"/>
            <w:hideMark/>
          </w:tcPr>
          <w:p w14:paraId="2754179D" w14:textId="77777777" w:rsidR="0062327A" w:rsidRPr="00811800" w:rsidRDefault="0062327A" w:rsidP="005B292C">
            <w:pPr>
              <w:jc w:val="center"/>
              <w:rPr>
                <w:rFonts w:ascii="Arial" w:hAnsi="Arial" w:cs="Arial"/>
                <w:b/>
              </w:rPr>
            </w:pPr>
            <w:r w:rsidRPr="00811800">
              <w:rPr>
                <w:rFonts w:ascii="Arial" w:hAnsi="Arial" w:cs="Arial"/>
                <w:b/>
              </w:rPr>
              <w:t>Countries</w:t>
            </w:r>
          </w:p>
        </w:tc>
        <w:tc>
          <w:tcPr>
            <w:tcW w:w="1015" w:type="dxa"/>
            <w:shd w:val="clear" w:color="auto" w:fill="auto"/>
            <w:noWrap/>
            <w:vAlign w:val="bottom"/>
            <w:hideMark/>
          </w:tcPr>
          <w:p w14:paraId="601AB2CE" w14:textId="77777777" w:rsidR="0062327A" w:rsidRPr="00811800" w:rsidRDefault="0062327A" w:rsidP="00C316BA">
            <w:pPr>
              <w:jc w:val="center"/>
              <w:rPr>
                <w:rFonts w:ascii="Arial" w:hAnsi="Arial" w:cs="Arial"/>
                <w:b/>
              </w:rPr>
            </w:pPr>
            <w:r w:rsidRPr="00811800">
              <w:rPr>
                <w:rFonts w:ascii="Arial" w:hAnsi="Arial" w:cs="Arial"/>
                <w:b/>
              </w:rPr>
              <w:t>2006</w:t>
            </w:r>
          </w:p>
        </w:tc>
        <w:tc>
          <w:tcPr>
            <w:tcW w:w="1015" w:type="dxa"/>
            <w:shd w:val="clear" w:color="auto" w:fill="auto"/>
            <w:noWrap/>
            <w:vAlign w:val="bottom"/>
            <w:hideMark/>
          </w:tcPr>
          <w:p w14:paraId="7B4A81B1" w14:textId="77777777" w:rsidR="0062327A" w:rsidRPr="00811800" w:rsidRDefault="0062327A" w:rsidP="00BB4BE3">
            <w:pPr>
              <w:jc w:val="center"/>
              <w:rPr>
                <w:rFonts w:ascii="Arial" w:hAnsi="Arial" w:cs="Arial"/>
                <w:b/>
              </w:rPr>
            </w:pPr>
            <w:r w:rsidRPr="00811800">
              <w:rPr>
                <w:rFonts w:ascii="Arial" w:hAnsi="Arial" w:cs="Arial"/>
                <w:b/>
              </w:rPr>
              <w:t>2007</w:t>
            </w:r>
          </w:p>
        </w:tc>
        <w:tc>
          <w:tcPr>
            <w:tcW w:w="1016" w:type="dxa"/>
            <w:shd w:val="clear" w:color="auto" w:fill="auto"/>
            <w:noWrap/>
            <w:vAlign w:val="bottom"/>
            <w:hideMark/>
          </w:tcPr>
          <w:p w14:paraId="745E62FA" w14:textId="77777777" w:rsidR="0062327A" w:rsidRPr="00811800" w:rsidRDefault="0062327A" w:rsidP="00BB4BE3">
            <w:pPr>
              <w:jc w:val="center"/>
              <w:rPr>
                <w:rFonts w:ascii="Arial" w:hAnsi="Arial" w:cs="Arial"/>
                <w:b/>
              </w:rPr>
            </w:pPr>
            <w:r w:rsidRPr="00811800">
              <w:rPr>
                <w:rFonts w:ascii="Arial" w:hAnsi="Arial" w:cs="Arial"/>
                <w:b/>
              </w:rPr>
              <w:t>2008</w:t>
            </w:r>
          </w:p>
        </w:tc>
        <w:tc>
          <w:tcPr>
            <w:tcW w:w="1015" w:type="dxa"/>
            <w:shd w:val="clear" w:color="auto" w:fill="auto"/>
            <w:noWrap/>
            <w:vAlign w:val="bottom"/>
            <w:hideMark/>
          </w:tcPr>
          <w:p w14:paraId="6407FE70" w14:textId="77777777" w:rsidR="0062327A" w:rsidRPr="00811800" w:rsidRDefault="0062327A" w:rsidP="00BB4BE3">
            <w:pPr>
              <w:jc w:val="center"/>
              <w:rPr>
                <w:rFonts w:ascii="Arial" w:hAnsi="Arial" w:cs="Arial"/>
                <w:b/>
              </w:rPr>
            </w:pPr>
            <w:r w:rsidRPr="00811800">
              <w:rPr>
                <w:rFonts w:ascii="Arial" w:hAnsi="Arial" w:cs="Arial"/>
                <w:b/>
              </w:rPr>
              <w:t>2009</w:t>
            </w:r>
          </w:p>
        </w:tc>
        <w:tc>
          <w:tcPr>
            <w:tcW w:w="1015" w:type="dxa"/>
            <w:shd w:val="clear" w:color="auto" w:fill="auto"/>
            <w:noWrap/>
            <w:vAlign w:val="bottom"/>
            <w:hideMark/>
          </w:tcPr>
          <w:p w14:paraId="21B90500" w14:textId="77777777" w:rsidR="0062327A" w:rsidRPr="00811800" w:rsidRDefault="0062327A" w:rsidP="00BB4BE3">
            <w:pPr>
              <w:jc w:val="center"/>
              <w:rPr>
                <w:rFonts w:ascii="Arial" w:hAnsi="Arial" w:cs="Arial"/>
                <w:b/>
              </w:rPr>
            </w:pPr>
            <w:r w:rsidRPr="00811800">
              <w:rPr>
                <w:rFonts w:ascii="Arial" w:hAnsi="Arial" w:cs="Arial"/>
                <w:b/>
              </w:rPr>
              <w:t>2010</w:t>
            </w:r>
          </w:p>
        </w:tc>
        <w:tc>
          <w:tcPr>
            <w:tcW w:w="1016" w:type="dxa"/>
            <w:shd w:val="clear" w:color="auto" w:fill="auto"/>
            <w:noWrap/>
            <w:vAlign w:val="bottom"/>
            <w:hideMark/>
          </w:tcPr>
          <w:p w14:paraId="5201A392" w14:textId="77777777" w:rsidR="0062327A" w:rsidRPr="00811800" w:rsidRDefault="0062327A" w:rsidP="00BB4BE3">
            <w:pPr>
              <w:jc w:val="center"/>
              <w:rPr>
                <w:rFonts w:ascii="Arial" w:hAnsi="Arial" w:cs="Arial"/>
                <w:b/>
              </w:rPr>
            </w:pPr>
            <w:r w:rsidRPr="00811800">
              <w:rPr>
                <w:rFonts w:ascii="Arial" w:hAnsi="Arial" w:cs="Arial"/>
                <w:b/>
              </w:rPr>
              <w:t>2011</w:t>
            </w:r>
          </w:p>
        </w:tc>
      </w:tr>
      <w:tr w:rsidR="0062327A" w:rsidRPr="00811800" w14:paraId="7795CD69" w14:textId="77777777" w:rsidTr="003A56B2">
        <w:trPr>
          <w:trHeight w:val="300"/>
          <w:jc w:val="center"/>
        </w:trPr>
        <w:tc>
          <w:tcPr>
            <w:tcW w:w="2126" w:type="dxa"/>
            <w:shd w:val="clear" w:color="auto" w:fill="auto"/>
            <w:noWrap/>
            <w:vAlign w:val="bottom"/>
            <w:hideMark/>
          </w:tcPr>
          <w:p w14:paraId="54FF4B4A" w14:textId="77777777" w:rsidR="0062327A" w:rsidRPr="00811800" w:rsidRDefault="0062327A" w:rsidP="003A56B2">
            <w:pPr>
              <w:rPr>
                <w:rFonts w:ascii="Arial" w:hAnsi="Arial" w:cs="Arial"/>
              </w:rPr>
            </w:pPr>
            <w:r w:rsidRPr="00811800">
              <w:rPr>
                <w:rFonts w:ascii="Arial" w:hAnsi="Arial" w:cs="Arial"/>
              </w:rPr>
              <w:t>Germany</w:t>
            </w:r>
          </w:p>
        </w:tc>
        <w:tc>
          <w:tcPr>
            <w:tcW w:w="1015" w:type="dxa"/>
            <w:shd w:val="clear" w:color="auto" w:fill="auto"/>
            <w:noWrap/>
            <w:vAlign w:val="bottom"/>
            <w:hideMark/>
          </w:tcPr>
          <w:p w14:paraId="60F82621" w14:textId="77777777" w:rsidR="0062327A" w:rsidRPr="00811800" w:rsidRDefault="0062327A" w:rsidP="00F07E0C">
            <w:pPr>
              <w:jc w:val="right"/>
              <w:rPr>
                <w:rFonts w:ascii="Arial" w:hAnsi="Arial" w:cs="Arial"/>
              </w:rPr>
            </w:pPr>
            <w:r w:rsidRPr="00811800">
              <w:rPr>
                <w:rFonts w:ascii="Arial" w:hAnsi="Arial" w:cs="Arial"/>
              </w:rPr>
              <w:t>42.5</w:t>
            </w:r>
          </w:p>
        </w:tc>
        <w:tc>
          <w:tcPr>
            <w:tcW w:w="1015" w:type="dxa"/>
            <w:shd w:val="clear" w:color="auto" w:fill="auto"/>
            <w:noWrap/>
            <w:vAlign w:val="bottom"/>
            <w:hideMark/>
          </w:tcPr>
          <w:p w14:paraId="2ADBAE6F" w14:textId="77777777" w:rsidR="0062327A" w:rsidRPr="00811800" w:rsidRDefault="0062327A" w:rsidP="00F07E0C">
            <w:pPr>
              <w:jc w:val="right"/>
              <w:rPr>
                <w:rFonts w:ascii="Arial" w:hAnsi="Arial" w:cs="Arial"/>
              </w:rPr>
            </w:pPr>
            <w:r w:rsidRPr="00811800">
              <w:rPr>
                <w:rFonts w:ascii="Arial" w:hAnsi="Arial" w:cs="Arial"/>
              </w:rPr>
              <w:t>50.9</w:t>
            </w:r>
          </w:p>
        </w:tc>
        <w:tc>
          <w:tcPr>
            <w:tcW w:w="1016" w:type="dxa"/>
            <w:shd w:val="clear" w:color="auto" w:fill="auto"/>
            <w:noWrap/>
            <w:vAlign w:val="bottom"/>
            <w:hideMark/>
          </w:tcPr>
          <w:p w14:paraId="48BFA81F" w14:textId="77777777" w:rsidR="0062327A" w:rsidRPr="00811800" w:rsidRDefault="0062327A" w:rsidP="00F07E0C">
            <w:pPr>
              <w:jc w:val="right"/>
              <w:rPr>
                <w:rFonts w:ascii="Arial" w:hAnsi="Arial" w:cs="Arial"/>
              </w:rPr>
            </w:pPr>
            <w:r w:rsidRPr="00811800">
              <w:rPr>
                <w:rFonts w:ascii="Arial" w:hAnsi="Arial" w:cs="Arial"/>
              </w:rPr>
              <w:t>29.7</w:t>
            </w:r>
          </w:p>
        </w:tc>
        <w:tc>
          <w:tcPr>
            <w:tcW w:w="1015" w:type="dxa"/>
            <w:shd w:val="clear" w:color="auto" w:fill="auto"/>
            <w:noWrap/>
            <w:vAlign w:val="bottom"/>
            <w:hideMark/>
          </w:tcPr>
          <w:p w14:paraId="7BA19842" w14:textId="77777777" w:rsidR="0062327A" w:rsidRPr="00811800" w:rsidRDefault="0062327A" w:rsidP="00F07E0C">
            <w:pPr>
              <w:jc w:val="right"/>
              <w:rPr>
                <w:rFonts w:ascii="Arial" w:hAnsi="Arial" w:cs="Arial"/>
              </w:rPr>
            </w:pPr>
            <w:r w:rsidRPr="00811800">
              <w:rPr>
                <w:rFonts w:ascii="Arial" w:hAnsi="Arial" w:cs="Arial"/>
              </w:rPr>
              <w:t>41.4</w:t>
            </w:r>
          </w:p>
        </w:tc>
        <w:tc>
          <w:tcPr>
            <w:tcW w:w="1015" w:type="dxa"/>
            <w:shd w:val="clear" w:color="auto" w:fill="auto"/>
            <w:noWrap/>
            <w:vAlign w:val="bottom"/>
            <w:hideMark/>
          </w:tcPr>
          <w:p w14:paraId="015B0481" w14:textId="77777777" w:rsidR="0062327A" w:rsidRPr="00811800" w:rsidRDefault="0062327A" w:rsidP="00F07E0C">
            <w:pPr>
              <w:jc w:val="right"/>
              <w:rPr>
                <w:rFonts w:ascii="Arial" w:hAnsi="Arial" w:cs="Arial"/>
              </w:rPr>
            </w:pPr>
            <w:r w:rsidRPr="00811800">
              <w:rPr>
                <w:rFonts w:ascii="Arial" w:hAnsi="Arial" w:cs="Arial"/>
              </w:rPr>
              <w:t>28.2</w:t>
            </w:r>
          </w:p>
        </w:tc>
        <w:tc>
          <w:tcPr>
            <w:tcW w:w="1016" w:type="dxa"/>
            <w:shd w:val="clear" w:color="auto" w:fill="auto"/>
            <w:noWrap/>
            <w:vAlign w:val="bottom"/>
            <w:hideMark/>
          </w:tcPr>
          <w:p w14:paraId="1BC88B54" w14:textId="77777777" w:rsidR="0062327A" w:rsidRPr="00811800" w:rsidRDefault="0062327A" w:rsidP="00F07E0C">
            <w:pPr>
              <w:jc w:val="right"/>
              <w:rPr>
                <w:rFonts w:ascii="Arial" w:hAnsi="Arial" w:cs="Arial"/>
              </w:rPr>
            </w:pPr>
            <w:r w:rsidRPr="00811800">
              <w:rPr>
                <w:rFonts w:ascii="Arial" w:hAnsi="Arial" w:cs="Arial"/>
              </w:rPr>
              <w:t>20.1</w:t>
            </w:r>
          </w:p>
        </w:tc>
      </w:tr>
      <w:tr w:rsidR="0062327A" w:rsidRPr="00811800" w14:paraId="3F10C22B" w14:textId="77777777" w:rsidTr="003A56B2">
        <w:trPr>
          <w:trHeight w:val="300"/>
          <w:jc w:val="center"/>
        </w:trPr>
        <w:tc>
          <w:tcPr>
            <w:tcW w:w="2126" w:type="dxa"/>
            <w:shd w:val="clear" w:color="auto" w:fill="auto"/>
            <w:noWrap/>
            <w:vAlign w:val="bottom"/>
            <w:hideMark/>
          </w:tcPr>
          <w:p w14:paraId="48F62DD1" w14:textId="77777777" w:rsidR="0062327A" w:rsidRPr="00811800" w:rsidRDefault="0062327A" w:rsidP="003A56B2">
            <w:pPr>
              <w:rPr>
                <w:rFonts w:ascii="Arial" w:hAnsi="Arial" w:cs="Arial"/>
              </w:rPr>
            </w:pPr>
            <w:r w:rsidRPr="00811800">
              <w:rPr>
                <w:rFonts w:ascii="Arial" w:hAnsi="Arial" w:cs="Arial"/>
              </w:rPr>
              <w:t>Spain</w:t>
            </w:r>
          </w:p>
        </w:tc>
        <w:tc>
          <w:tcPr>
            <w:tcW w:w="1015" w:type="dxa"/>
            <w:shd w:val="clear" w:color="auto" w:fill="auto"/>
            <w:noWrap/>
            <w:vAlign w:val="bottom"/>
            <w:hideMark/>
          </w:tcPr>
          <w:p w14:paraId="2748861E" w14:textId="77777777" w:rsidR="0062327A" w:rsidRPr="00811800" w:rsidRDefault="0062327A" w:rsidP="00F07E0C">
            <w:pPr>
              <w:jc w:val="right"/>
              <w:rPr>
                <w:rFonts w:ascii="Arial" w:hAnsi="Arial" w:cs="Arial"/>
              </w:rPr>
            </w:pPr>
            <w:r w:rsidRPr="00811800">
              <w:rPr>
                <w:rFonts w:ascii="Arial" w:hAnsi="Arial" w:cs="Arial"/>
              </w:rPr>
              <w:t>20.6</w:t>
            </w:r>
          </w:p>
        </w:tc>
        <w:tc>
          <w:tcPr>
            <w:tcW w:w="1015" w:type="dxa"/>
            <w:shd w:val="clear" w:color="auto" w:fill="auto"/>
            <w:noWrap/>
            <w:vAlign w:val="bottom"/>
            <w:hideMark/>
          </w:tcPr>
          <w:p w14:paraId="244DE28D" w14:textId="77777777" w:rsidR="0062327A" w:rsidRPr="00811800" w:rsidRDefault="0062327A" w:rsidP="00F07E0C">
            <w:pPr>
              <w:jc w:val="right"/>
              <w:rPr>
                <w:rFonts w:ascii="Arial" w:hAnsi="Arial" w:cs="Arial"/>
              </w:rPr>
            </w:pPr>
            <w:r w:rsidRPr="00811800">
              <w:rPr>
                <w:rFonts w:ascii="Arial" w:hAnsi="Arial" w:cs="Arial"/>
              </w:rPr>
              <w:t>34.6</w:t>
            </w:r>
          </w:p>
        </w:tc>
        <w:tc>
          <w:tcPr>
            <w:tcW w:w="1016" w:type="dxa"/>
            <w:shd w:val="clear" w:color="auto" w:fill="auto"/>
            <w:noWrap/>
            <w:vAlign w:val="bottom"/>
            <w:hideMark/>
          </w:tcPr>
          <w:p w14:paraId="5AF8F0CC" w14:textId="77777777" w:rsidR="0062327A" w:rsidRPr="00811800" w:rsidRDefault="0062327A" w:rsidP="00F07E0C">
            <w:pPr>
              <w:jc w:val="right"/>
              <w:rPr>
                <w:rFonts w:ascii="Arial" w:hAnsi="Arial" w:cs="Arial"/>
              </w:rPr>
            </w:pPr>
            <w:r w:rsidRPr="00811800">
              <w:rPr>
                <w:rFonts w:ascii="Arial" w:hAnsi="Arial" w:cs="Arial"/>
              </w:rPr>
              <w:t>37.4</w:t>
            </w:r>
          </w:p>
        </w:tc>
        <w:tc>
          <w:tcPr>
            <w:tcW w:w="1015" w:type="dxa"/>
            <w:shd w:val="clear" w:color="auto" w:fill="auto"/>
            <w:noWrap/>
            <w:vAlign w:val="bottom"/>
            <w:hideMark/>
          </w:tcPr>
          <w:p w14:paraId="1B3A9715" w14:textId="77777777" w:rsidR="0062327A" w:rsidRPr="00811800" w:rsidRDefault="0062327A" w:rsidP="00F07E0C">
            <w:pPr>
              <w:jc w:val="right"/>
              <w:rPr>
                <w:rFonts w:ascii="Arial" w:hAnsi="Arial" w:cs="Arial"/>
              </w:rPr>
            </w:pPr>
            <w:r w:rsidRPr="00811800">
              <w:rPr>
                <w:rFonts w:ascii="Arial" w:hAnsi="Arial" w:cs="Arial"/>
              </w:rPr>
              <w:t>3.6</w:t>
            </w:r>
          </w:p>
        </w:tc>
        <w:tc>
          <w:tcPr>
            <w:tcW w:w="1015" w:type="dxa"/>
            <w:shd w:val="clear" w:color="auto" w:fill="auto"/>
            <w:noWrap/>
            <w:vAlign w:val="bottom"/>
            <w:hideMark/>
          </w:tcPr>
          <w:p w14:paraId="31C2B35B" w14:textId="77777777" w:rsidR="0062327A" w:rsidRPr="00811800" w:rsidRDefault="0062327A" w:rsidP="00F07E0C">
            <w:pPr>
              <w:jc w:val="right"/>
              <w:rPr>
                <w:rFonts w:ascii="Arial" w:hAnsi="Arial" w:cs="Arial"/>
              </w:rPr>
            </w:pPr>
            <w:r w:rsidRPr="00811800">
              <w:rPr>
                <w:rFonts w:ascii="Arial" w:hAnsi="Arial" w:cs="Arial"/>
              </w:rPr>
              <w:t>3.0</w:t>
            </w:r>
          </w:p>
        </w:tc>
        <w:tc>
          <w:tcPr>
            <w:tcW w:w="1016" w:type="dxa"/>
            <w:shd w:val="clear" w:color="auto" w:fill="auto"/>
            <w:noWrap/>
            <w:vAlign w:val="bottom"/>
            <w:hideMark/>
          </w:tcPr>
          <w:p w14:paraId="156782C7" w14:textId="77777777" w:rsidR="0062327A" w:rsidRPr="00811800" w:rsidRDefault="0062327A" w:rsidP="00F07E0C">
            <w:pPr>
              <w:jc w:val="right"/>
              <w:rPr>
                <w:rFonts w:ascii="Arial" w:hAnsi="Arial" w:cs="Arial"/>
              </w:rPr>
            </w:pPr>
            <w:r w:rsidRPr="00811800">
              <w:rPr>
                <w:rFonts w:ascii="Arial" w:hAnsi="Arial" w:cs="Arial"/>
              </w:rPr>
              <w:t>1.4</w:t>
            </w:r>
          </w:p>
        </w:tc>
      </w:tr>
      <w:tr w:rsidR="0062327A" w:rsidRPr="00811800" w14:paraId="49FA6BA1" w14:textId="77777777" w:rsidTr="003A56B2">
        <w:trPr>
          <w:trHeight w:val="300"/>
          <w:jc w:val="center"/>
        </w:trPr>
        <w:tc>
          <w:tcPr>
            <w:tcW w:w="2126" w:type="dxa"/>
            <w:shd w:val="clear" w:color="auto" w:fill="auto"/>
            <w:noWrap/>
            <w:vAlign w:val="bottom"/>
            <w:hideMark/>
          </w:tcPr>
          <w:p w14:paraId="00F5B61B" w14:textId="77777777" w:rsidR="0062327A" w:rsidRPr="00811800" w:rsidRDefault="0062327A" w:rsidP="003A56B2">
            <w:pPr>
              <w:rPr>
                <w:rFonts w:ascii="Arial" w:hAnsi="Arial" w:cs="Arial"/>
              </w:rPr>
            </w:pPr>
            <w:r w:rsidRPr="00811800">
              <w:rPr>
                <w:rFonts w:ascii="Arial" w:hAnsi="Arial" w:cs="Arial"/>
              </w:rPr>
              <w:t>Italy</w:t>
            </w:r>
          </w:p>
        </w:tc>
        <w:tc>
          <w:tcPr>
            <w:tcW w:w="1015" w:type="dxa"/>
            <w:shd w:val="clear" w:color="auto" w:fill="auto"/>
            <w:noWrap/>
            <w:vAlign w:val="bottom"/>
            <w:hideMark/>
          </w:tcPr>
          <w:p w14:paraId="6D57CC0C" w14:textId="504E860D" w:rsidR="0062327A" w:rsidRPr="00811800" w:rsidRDefault="006319C4" w:rsidP="00F07E0C">
            <w:pPr>
              <w:jc w:val="right"/>
              <w:rPr>
                <w:rFonts w:ascii="Arial" w:hAnsi="Arial" w:cs="Arial"/>
              </w:rPr>
            </w:pPr>
            <w:r>
              <w:rPr>
                <w:rFonts w:ascii="Arial" w:hAnsi="Arial" w:cs="Arial"/>
              </w:rPr>
              <w:t>-</w:t>
            </w:r>
          </w:p>
        </w:tc>
        <w:tc>
          <w:tcPr>
            <w:tcW w:w="1015" w:type="dxa"/>
            <w:shd w:val="clear" w:color="auto" w:fill="auto"/>
            <w:noWrap/>
            <w:vAlign w:val="bottom"/>
            <w:hideMark/>
          </w:tcPr>
          <w:p w14:paraId="5C3BE8F0" w14:textId="4678D9AA" w:rsidR="0062327A" w:rsidRPr="00811800" w:rsidRDefault="006319C4" w:rsidP="00F07E0C">
            <w:pPr>
              <w:jc w:val="right"/>
              <w:rPr>
                <w:rFonts w:ascii="Arial" w:hAnsi="Arial" w:cs="Arial"/>
              </w:rPr>
            </w:pPr>
            <w:r>
              <w:rPr>
                <w:rFonts w:ascii="Arial" w:hAnsi="Arial" w:cs="Arial"/>
              </w:rPr>
              <w:t>-</w:t>
            </w:r>
          </w:p>
        </w:tc>
        <w:tc>
          <w:tcPr>
            <w:tcW w:w="1016" w:type="dxa"/>
            <w:shd w:val="clear" w:color="auto" w:fill="auto"/>
            <w:noWrap/>
            <w:vAlign w:val="bottom"/>
            <w:hideMark/>
          </w:tcPr>
          <w:p w14:paraId="016418E1" w14:textId="77777777" w:rsidR="0062327A" w:rsidRPr="00811800" w:rsidRDefault="0062327A" w:rsidP="00F07E0C">
            <w:pPr>
              <w:jc w:val="right"/>
              <w:rPr>
                <w:rFonts w:ascii="Arial" w:hAnsi="Arial" w:cs="Arial"/>
              </w:rPr>
            </w:pPr>
            <w:r w:rsidRPr="00811800">
              <w:rPr>
                <w:rFonts w:ascii="Arial" w:hAnsi="Arial" w:cs="Arial"/>
              </w:rPr>
              <w:t>6.1</w:t>
            </w:r>
          </w:p>
        </w:tc>
        <w:tc>
          <w:tcPr>
            <w:tcW w:w="1015" w:type="dxa"/>
            <w:shd w:val="clear" w:color="auto" w:fill="auto"/>
            <w:noWrap/>
            <w:vAlign w:val="bottom"/>
            <w:hideMark/>
          </w:tcPr>
          <w:p w14:paraId="781B3378" w14:textId="77777777" w:rsidR="0062327A" w:rsidRPr="00811800" w:rsidRDefault="0062327A" w:rsidP="00F07E0C">
            <w:pPr>
              <w:jc w:val="right"/>
              <w:rPr>
                <w:rFonts w:ascii="Arial" w:hAnsi="Arial" w:cs="Arial"/>
              </w:rPr>
            </w:pPr>
            <w:r w:rsidRPr="00811800">
              <w:rPr>
                <w:rFonts w:ascii="Arial" w:hAnsi="Arial" w:cs="Arial"/>
              </w:rPr>
              <w:t>11.8</w:t>
            </w:r>
          </w:p>
        </w:tc>
        <w:tc>
          <w:tcPr>
            <w:tcW w:w="1015" w:type="dxa"/>
            <w:shd w:val="clear" w:color="auto" w:fill="auto"/>
            <w:noWrap/>
            <w:vAlign w:val="bottom"/>
            <w:hideMark/>
          </w:tcPr>
          <w:p w14:paraId="46928A97" w14:textId="77777777" w:rsidR="0062327A" w:rsidRPr="00811800" w:rsidRDefault="0062327A" w:rsidP="00F07E0C">
            <w:pPr>
              <w:jc w:val="right"/>
              <w:rPr>
                <w:rFonts w:ascii="Arial" w:hAnsi="Arial" w:cs="Arial"/>
              </w:rPr>
            </w:pPr>
            <w:r w:rsidRPr="00811800">
              <w:rPr>
                <w:rFonts w:ascii="Arial" w:hAnsi="Arial" w:cs="Arial"/>
              </w:rPr>
              <w:t>16.3</w:t>
            </w:r>
          </w:p>
        </w:tc>
        <w:tc>
          <w:tcPr>
            <w:tcW w:w="1016" w:type="dxa"/>
            <w:shd w:val="clear" w:color="auto" w:fill="auto"/>
            <w:noWrap/>
            <w:vAlign w:val="bottom"/>
            <w:hideMark/>
          </w:tcPr>
          <w:p w14:paraId="7EDB9BF1" w14:textId="77777777" w:rsidR="0062327A" w:rsidRPr="00811800" w:rsidRDefault="0062327A" w:rsidP="00F07E0C">
            <w:pPr>
              <w:jc w:val="right"/>
              <w:rPr>
                <w:rFonts w:ascii="Arial" w:hAnsi="Arial" w:cs="Arial"/>
              </w:rPr>
            </w:pPr>
            <w:r w:rsidRPr="00811800">
              <w:rPr>
                <w:rFonts w:ascii="Arial" w:hAnsi="Arial" w:cs="Arial"/>
              </w:rPr>
              <w:t>4.8</w:t>
            </w:r>
          </w:p>
        </w:tc>
      </w:tr>
      <w:tr w:rsidR="0062327A" w:rsidRPr="00811800" w14:paraId="6F3CD4AB" w14:textId="77777777" w:rsidTr="003A56B2">
        <w:trPr>
          <w:trHeight w:val="300"/>
          <w:jc w:val="center"/>
        </w:trPr>
        <w:tc>
          <w:tcPr>
            <w:tcW w:w="2126" w:type="dxa"/>
            <w:shd w:val="clear" w:color="auto" w:fill="auto"/>
            <w:noWrap/>
            <w:vAlign w:val="bottom"/>
            <w:hideMark/>
          </w:tcPr>
          <w:p w14:paraId="26FFDBBA" w14:textId="77777777" w:rsidR="0062327A" w:rsidRPr="00811800" w:rsidRDefault="0062327A" w:rsidP="003A56B2">
            <w:pPr>
              <w:rPr>
                <w:rFonts w:ascii="Arial" w:hAnsi="Arial" w:cs="Arial"/>
              </w:rPr>
            </w:pPr>
            <w:r w:rsidRPr="00811800">
              <w:rPr>
                <w:rFonts w:ascii="Arial" w:hAnsi="Arial" w:cs="Arial"/>
              </w:rPr>
              <w:t>France</w:t>
            </w:r>
          </w:p>
        </w:tc>
        <w:tc>
          <w:tcPr>
            <w:tcW w:w="1015" w:type="dxa"/>
            <w:shd w:val="clear" w:color="auto" w:fill="auto"/>
            <w:noWrap/>
            <w:vAlign w:val="bottom"/>
            <w:hideMark/>
          </w:tcPr>
          <w:p w14:paraId="409D390D" w14:textId="6F797829" w:rsidR="0062327A" w:rsidRPr="00811800" w:rsidRDefault="006319C4" w:rsidP="00F07E0C">
            <w:pPr>
              <w:jc w:val="right"/>
              <w:rPr>
                <w:rFonts w:ascii="Arial" w:hAnsi="Arial" w:cs="Arial"/>
              </w:rPr>
            </w:pPr>
            <w:r>
              <w:rPr>
                <w:rFonts w:ascii="Arial" w:hAnsi="Arial" w:cs="Arial"/>
              </w:rPr>
              <w:t>-</w:t>
            </w:r>
          </w:p>
        </w:tc>
        <w:tc>
          <w:tcPr>
            <w:tcW w:w="1015" w:type="dxa"/>
            <w:shd w:val="clear" w:color="auto" w:fill="auto"/>
            <w:noWrap/>
            <w:vAlign w:val="bottom"/>
            <w:hideMark/>
          </w:tcPr>
          <w:p w14:paraId="6AA27053" w14:textId="0454DB97" w:rsidR="0062327A" w:rsidRPr="00811800" w:rsidRDefault="006319C4" w:rsidP="00F07E0C">
            <w:pPr>
              <w:jc w:val="right"/>
              <w:rPr>
                <w:rFonts w:ascii="Arial" w:hAnsi="Arial" w:cs="Arial"/>
              </w:rPr>
            </w:pPr>
            <w:r>
              <w:rPr>
                <w:rFonts w:ascii="Arial" w:hAnsi="Arial" w:cs="Arial"/>
              </w:rPr>
              <w:t>-</w:t>
            </w:r>
          </w:p>
        </w:tc>
        <w:tc>
          <w:tcPr>
            <w:tcW w:w="1016" w:type="dxa"/>
            <w:shd w:val="clear" w:color="auto" w:fill="auto"/>
            <w:noWrap/>
            <w:vAlign w:val="bottom"/>
            <w:hideMark/>
          </w:tcPr>
          <w:p w14:paraId="74BC20BA" w14:textId="77777777" w:rsidR="0062327A" w:rsidRPr="00811800" w:rsidRDefault="0062327A" w:rsidP="00F07E0C">
            <w:pPr>
              <w:jc w:val="right"/>
              <w:rPr>
                <w:rFonts w:ascii="Arial" w:hAnsi="Arial" w:cs="Arial"/>
              </w:rPr>
            </w:pPr>
            <w:r w:rsidRPr="00811800">
              <w:rPr>
                <w:rFonts w:ascii="Arial" w:hAnsi="Arial" w:cs="Arial"/>
              </w:rPr>
              <w:t>0.5</w:t>
            </w:r>
          </w:p>
        </w:tc>
        <w:tc>
          <w:tcPr>
            <w:tcW w:w="1015" w:type="dxa"/>
            <w:shd w:val="clear" w:color="auto" w:fill="auto"/>
            <w:noWrap/>
            <w:vAlign w:val="bottom"/>
            <w:hideMark/>
          </w:tcPr>
          <w:p w14:paraId="70407415" w14:textId="77777777" w:rsidR="0062327A" w:rsidRPr="00811800" w:rsidRDefault="0062327A" w:rsidP="00F07E0C">
            <w:pPr>
              <w:jc w:val="right"/>
              <w:rPr>
                <w:rFonts w:ascii="Arial" w:hAnsi="Arial" w:cs="Arial"/>
              </w:rPr>
            </w:pPr>
            <w:r w:rsidRPr="00811800">
              <w:rPr>
                <w:rFonts w:ascii="Arial" w:hAnsi="Arial" w:cs="Arial"/>
              </w:rPr>
              <w:t>6.4</w:t>
            </w:r>
          </w:p>
        </w:tc>
        <w:tc>
          <w:tcPr>
            <w:tcW w:w="1015" w:type="dxa"/>
            <w:shd w:val="clear" w:color="auto" w:fill="auto"/>
            <w:noWrap/>
            <w:vAlign w:val="bottom"/>
            <w:hideMark/>
          </w:tcPr>
          <w:p w14:paraId="73B234D9" w14:textId="77777777" w:rsidR="0062327A" w:rsidRPr="00811800" w:rsidRDefault="0062327A" w:rsidP="00F07E0C">
            <w:pPr>
              <w:jc w:val="right"/>
              <w:rPr>
                <w:rFonts w:ascii="Arial" w:hAnsi="Arial" w:cs="Arial"/>
              </w:rPr>
            </w:pPr>
            <w:r w:rsidRPr="00811800">
              <w:rPr>
                <w:rFonts w:ascii="Arial" w:hAnsi="Arial" w:cs="Arial"/>
              </w:rPr>
              <w:t>7.7</w:t>
            </w:r>
          </w:p>
        </w:tc>
        <w:tc>
          <w:tcPr>
            <w:tcW w:w="1016" w:type="dxa"/>
            <w:shd w:val="clear" w:color="auto" w:fill="auto"/>
            <w:noWrap/>
            <w:vAlign w:val="bottom"/>
            <w:hideMark/>
          </w:tcPr>
          <w:p w14:paraId="16A26657" w14:textId="77777777" w:rsidR="0062327A" w:rsidRPr="00811800" w:rsidRDefault="0062327A" w:rsidP="00F07E0C">
            <w:pPr>
              <w:jc w:val="right"/>
              <w:rPr>
                <w:rFonts w:ascii="Arial" w:hAnsi="Arial" w:cs="Arial"/>
              </w:rPr>
            </w:pPr>
            <w:r w:rsidRPr="00811800">
              <w:rPr>
                <w:rFonts w:ascii="Arial" w:hAnsi="Arial" w:cs="Arial"/>
              </w:rPr>
              <w:t>7.6</w:t>
            </w:r>
          </w:p>
        </w:tc>
      </w:tr>
      <w:tr w:rsidR="0062327A" w:rsidRPr="00811800" w14:paraId="78899B0F" w14:textId="77777777" w:rsidTr="003A56B2">
        <w:trPr>
          <w:trHeight w:val="300"/>
          <w:jc w:val="center"/>
        </w:trPr>
        <w:tc>
          <w:tcPr>
            <w:tcW w:w="2126" w:type="dxa"/>
            <w:shd w:val="clear" w:color="auto" w:fill="auto"/>
            <w:noWrap/>
            <w:vAlign w:val="bottom"/>
            <w:hideMark/>
          </w:tcPr>
          <w:p w14:paraId="0BB7A5C0" w14:textId="77777777" w:rsidR="0062327A" w:rsidRPr="00811800" w:rsidRDefault="0062327A" w:rsidP="003A56B2">
            <w:pPr>
              <w:rPr>
                <w:rFonts w:ascii="Arial" w:hAnsi="Arial" w:cs="Arial"/>
              </w:rPr>
            </w:pPr>
            <w:r w:rsidRPr="00811800">
              <w:rPr>
                <w:rFonts w:ascii="Arial" w:hAnsi="Arial" w:cs="Arial"/>
              </w:rPr>
              <w:t>Benelux</w:t>
            </w:r>
          </w:p>
        </w:tc>
        <w:tc>
          <w:tcPr>
            <w:tcW w:w="1015" w:type="dxa"/>
            <w:shd w:val="clear" w:color="auto" w:fill="auto"/>
            <w:noWrap/>
            <w:vAlign w:val="bottom"/>
            <w:hideMark/>
          </w:tcPr>
          <w:p w14:paraId="1F5E7385" w14:textId="2203BC20" w:rsidR="0062327A" w:rsidRPr="00811800" w:rsidRDefault="006319C4" w:rsidP="00F07E0C">
            <w:pPr>
              <w:jc w:val="right"/>
              <w:rPr>
                <w:rFonts w:ascii="Arial" w:hAnsi="Arial" w:cs="Arial"/>
              </w:rPr>
            </w:pPr>
            <w:r>
              <w:rPr>
                <w:rFonts w:ascii="Arial" w:hAnsi="Arial" w:cs="Arial"/>
              </w:rPr>
              <w:t>-</w:t>
            </w:r>
          </w:p>
        </w:tc>
        <w:tc>
          <w:tcPr>
            <w:tcW w:w="1015" w:type="dxa"/>
            <w:shd w:val="clear" w:color="auto" w:fill="auto"/>
            <w:noWrap/>
            <w:vAlign w:val="bottom"/>
            <w:hideMark/>
          </w:tcPr>
          <w:p w14:paraId="058274B6" w14:textId="77777777" w:rsidR="0062327A" w:rsidRPr="00811800" w:rsidRDefault="0062327A" w:rsidP="00F07E0C">
            <w:pPr>
              <w:jc w:val="right"/>
              <w:rPr>
                <w:rFonts w:ascii="Arial" w:hAnsi="Arial" w:cs="Arial"/>
              </w:rPr>
            </w:pPr>
            <w:r w:rsidRPr="00811800">
              <w:rPr>
                <w:rFonts w:ascii="Arial" w:hAnsi="Arial" w:cs="Arial"/>
              </w:rPr>
              <w:t>0.5</w:t>
            </w:r>
          </w:p>
        </w:tc>
        <w:tc>
          <w:tcPr>
            <w:tcW w:w="1016" w:type="dxa"/>
            <w:shd w:val="clear" w:color="auto" w:fill="auto"/>
            <w:noWrap/>
            <w:vAlign w:val="bottom"/>
            <w:hideMark/>
          </w:tcPr>
          <w:p w14:paraId="78C410DA" w14:textId="77777777" w:rsidR="0062327A" w:rsidRPr="00811800" w:rsidRDefault="0062327A" w:rsidP="00F07E0C">
            <w:pPr>
              <w:jc w:val="right"/>
              <w:rPr>
                <w:rFonts w:ascii="Arial" w:hAnsi="Arial" w:cs="Arial"/>
              </w:rPr>
            </w:pPr>
            <w:r w:rsidRPr="00811800">
              <w:rPr>
                <w:rFonts w:ascii="Arial" w:hAnsi="Arial" w:cs="Arial"/>
              </w:rPr>
              <w:t>1.5</w:t>
            </w:r>
          </w:p>
        </w:tc>
        <w:tc>
          <w:tcPr>
            <w:tcW w:w="1015" w:type="dxa"/>
            <w:shd w:val="clear" w:color="auto" w:fill="auto"/>
            <w:noWrap/>
            <w:vAlign w:val="bottom"/>
            <w:hideMark/>
          </w:tcPr>
          <w:p w14:paraId="14C777E1" w14:textId="77777777" w:rsidR="0062327A" w:rsidRPr="00811800" w:rsidRDefault="0062327A" w:rsidP="00F07E0C">
            <w:pPr>
              <w:jc w:val="right"/>
              <w:rPr>
                <w:rFonts w:ascii="Arial" w:hAnsi="Arial" w:cs="Arial"/>
              </w:rPr>
            </w:pPr>
            <w:r w:rsidRPr="00811800">
              <w:rPr>
                <w:rFonts w:ascii="Arial" w:hAnsi="Arial" w:cs="Arial"/>
              </w:rPr>
              <w:t>4.4</w:t>
            </w:r>
          </w:p>
        </w:tc>
        <w:tc>
          <w:tcPr>
            <w:tcW w:w="1015" w:type="dxa"/>
            <w:shd w:val="clear" w:color="auto" w:fill="auto"/>
            <w:noWrap/>
            <w:vAlign w:val="bottom"/>
            <w:hideMark/>
          </w:tcPr>
          <w:p w14:paraId="434EAFCE" w14:textId="77777777" w:rsidR="0062327A" w:rsidRPr="00811800" w:rsidRDefault="0062327A" w:rsidP="00F07E0C">
            <w:pPr>
              <w:jc w:val="right"/>
              <w:rPr>
                <w:rFonts w:ascii="Arial" w:hAnsi="Arial" w:cs="Arial"/>
              </w:rPr>
            </w:pPr>
            <w:r w:rsidRPr="00811800">
              <w:rPr>
                <w:rFonts w:ascii="Arial" w:hAnsi="Arial" w:cs="Arial"/>
              </w:rPr>
              <w:t>4.3</w:t>
            </w:r>
          </w:p>
        </w:tc>
        <w:tc>
          <w:tcPr>
            <w:tcW w:w="1016" w:type="dxa"/>
            <w:shd w:val="clear" w:color="auto" w:fill="auto"/>
            <w:noWrap/>
            <w:vAlign w:val="bottom"/>
            <w:hideMark/>
          </w:tcPr>
          <w:p w14:paraId="3CBB4D19" w14:textId="77777777" w:rsidR="0062327A" w:rsidRPr="00811800" w:rsidRDefault="0062327A" w:rsidP="00F07E0C">
            <w:pPr>
              <w:jc w:val="right"/>
              <w:rPr>
                <w:rFonts w:ascii="Arial" w:hAnsi="Arial" w:cs="Arial"/>
              </w:rPr>
            </w:pPr>
            <w:r w:rsidRPr="00811800">
              <w:rPr>
                <w:rFonts w:ascii="Arial" w:hAnsi="Arial" w:cs="Arial"/>
              </w:rPr>
              <w:t>4.2</w:t>
            </w:r>
          </w:p>
        </w:tc>
      </w:tr>
      <w:tr w:rsidR="0062327A" w:rsidRPr="00811800" w14:paraId="3B002D2F" w14:textId="77777777" w:rsidTr="003A56B2">
        <w:trPr>
          <w:trHeight w:val="300"/>
          <w:jc w:val="center"/>
        </w:trPr>
        <w:tc>
          <w:tcPr>
            <w:tcW w:w="2126" w:type="dxa"/>
            <w:shd w:val="clear" w:color="auto" w:fill="auto"/>
            <w:noWrap/>
            <w:vAlign w:val="bottom"/>
            <w:hideMark/>
          </w:tcPr>
          <w:p w14:paraId="520E8CA1" w14:textId="2644D4B4" w:rsidR="0062327A" w:rsidRPr="00811800" w:rsidRDefault="0062327A" w:rsidP="00E07F88">
            <w:pPr>
              <w:rPr>
                <w:rFonts w:ascii="Arial" w:hAnsi="Arial" w:cs="Arial"/>
              </w:rPr>
            </w:pPr>
            <w:r w:rsidRPr="00811800">
              <w:rPr>
                <w:rFonts w:ascii="Arial" w:hAnsi="Arial" w:cs="Arial"/>
              </w:rPr>
              <w:t xml:space="preserve">Europe </w:t>
            </w:r>
            <w:r w:rsidR="00E07F88">
              <w:rPr>
                <w:rFonts w:ascii="Arial" w:hAnsi="Arial" w:cs="Arial"/>
              </w:rPr>
              <w:t>(o</w:t>
            </w:r>
            <w:r w:rsidRPr="00811800">
              <w:rPr>
                <w:rFonts w:ascii="Arial" w:hAnsi="Arial" w:cs="Arial"/>
              </w:rPr>
              <w:t>ther</w:t>
            </w:r>
            <w:r w:rsidR="00E07F88">
              <w:rPr>
                <w:rFonts w:ascii="Arial" w:hAnsi="Arial" w:cs="Arial"/>
              </w:rPr>
              <w:t>)</w:t>
            </w:r>
          </w:p>
        </w:tc>
        <w:tc>
          <w:tcPr>
            <w:tcW w:w="1015" w:type="dxa"/>
            <w:shd w:val="clear" w:color="auto" w:fill="auto"/>
            <w:noWrap/>
            <w:vAlign w:val="bottom"/>
            <w:hideMark/>
          </w:tcPr>
          <w:p w14:paraId="1335D1D6" w14:textId="77777777" w:rsidR="0062327A" w:rsidRPr="00811800" w:rsidRDefault="0062327A" w:rsidP="00F07E0C">
            <w:pPr>
              <w:jc w:val="right"/>
              <w:rPr>
                <w:rFonts w:ascii="Arial" w:hAnsi="Arial" w:cs="Arial"/>
              </w:rPr>
            </w:pPr>
            <w:r w:rsidRPr="00811800">
              <w:rPr>
                <w:rFonts w:ascii="Arial" w:hAnsi="Arial" w:cs="Arial"/>
              </w:rPr>
              <w:t>7.3</w:t>
            </w:r>
          </w:p>
        </w:tc>
        <w:tc>
          <w:tcPr>
            <w:tcW w:w="1015" w:type="dxa"/>
            <w:shd w:val="clear" w:color="auto" w:fill="auto"/>
            <w:noWrap/>
            <w:vAlign w:val="bottom"/>
            <w:hideMark/>
          </w:tcPr>
          <w:p w14:paraId="12BFADF3" w14:textId="77777777" w:rsidR="0062327A" w:rsidRPr="00811800" w:rsidRDefault="0062327A" w:rsidP="00F07E0C">
            <w:pPr>
              <w:jc w:val="right"/>
              <w:rPr>
                <w:rFonts w:ascii="Arial" w:hAnsi="Arial" w:cs="Arial"/>
              </w:rPr>
            </w:pPr>
            <w:r w:rsidRPr="00811800">
              <w:rPr>
                <w:rFonts w:ascii="Arial" w:hAnsi="Arial" w:cs="Arial"/>
              </w:rPr>
              <w:t>2.7</w:t>
            </w:r>
          </w:p>
        </w:tc>
        <w:tc>
          <w:tcPr>
            <w:tcW w:w="1016" w:type="dxa"/>
            <w:shd w:val="clear" w:color="auto" w:fill="auto"/>
            <w:noWrap/>
            <w:vAlign w:val="bottom"/>
            <w:hideMark/>
          </w:tcPr>
          <w:p w14:paraId="5E810763" w14:textId="77777777" w:rsidR="0062327A" w:rsidRPr="00811800" w:rsidRDefault="0062327A" w:rsidP="00F07E0C">
            <w:pPr>
              <w:jc w:val="right"/>
              <w:rPr>
                <w:rFonts w:ascii="Arial" w:hAnsi="Arial" w:cs="Arial"/>
              </w:rPr>
            </w:pPr>
            <w:r w:rsidRPr="00811800">
              <w:rPr>
                <w:rFonts w:ascii="Arial" w:hAnsi="Arial" w:cs="Arial"/>
              </w:rPr>
              <w:t>2.5</w:t>
            </w:r>
          </w:p>
        </w:tc>
        <w:tc>
          <w:tcPr>
            <w:tcW w:w="1015" w:type="dxa"/>
            <w:shd w:val="clear" w:color="auto" w:fill="auto"/>
            <w:noWrap/>
            <w:vAlign w:val="bottom"/>
            <w:hideMark/>
          </w:tcPr>
          <w:p w14:paraId="17053F14" w14:textId="77777777" w:rsidR="0062327A" w:rsidRPr="00811800" w:rsidRDefault="0062327A" w:rsidP="00F07E0C">
            <w:pPr>
              <w:jc w:val="right"/>
              <w:rPr>
                <w:rFonts w:ascii="Arial" w:hAnsi="Arial" w:cs="Arial"/>
              </w:rPr>
            </w:pPr>
            <w:r w:rsidRPr="00811800">
              <w:rPr>
                <w:rFonts w:ascii="Arial" w:hAnsi="Arial" w:cs="Arial"/>
              </w:rPr>
              <w:t>6.4</w:t>
            </w:r>
          </w:p>
        </w:tc>
        <w:tc>
          <w:tcPr>
            <w:tcW w:w="1015" w:type="dxa"/>
            <w:shd w:val="clear" w:color="auto" w:fill="auto"/>
            <w:noWrap/>
            <w:vAlign w:val="bottom"/>
            <w:hideMark/>
          </w:tcPr>
          <w:p w14:paraId="3F519B23" w14:textId="77777777" w:rsidR="0062327A" w:rsidRPr="00811800" w:rsidRDefault="0062327A" w:rsidP="00F07E0C">
            <w:pPr>
              <w:jc w:val="right"/>
              <w:rPr>
                <w:rFonts w:ascii="Arial" w:hAnsi="Arial" w:cs="Arial"/>
              </w:rPr>
            </w:pPr>
            <w:r w:rsidRPr="00811800">
              <w:rPr>
                <w:rFonts w:ascii="Arial" w:hAnsi="Arial" w:cs="Arial"/>
              </w:rPr>
              <w:t>6.6</w:t>
            </w:r>
          </w:p>
        </w:tc>
        <w:tc>
          <w:tcPr>
            <w:tcW w:w="1016" w:type="dxa"/>
            <w:shd w:val="clear" w:color="auto" w:fill="auto"/>
            <w:noWrap/>
            <w:vAlign w:val="bottom"/>
            <w:hideMark/>
          </w:tcPr>
          <w:p w14:paraId="38B96262" w14:textId="77777777" w:rsidR="0062327A" w:rsidRPr="00811800" w:rsidRDefault="0062327A" w:rsidP="00F07E0C">
            <w:pPr>
              <w:jc w:val="right"/>
              <w:rPr>
                <w:rFonts w:ascii="Arial" w:hAnsi="Arial" w:cs="Arial"/>
              </w:rPr>
            </w:pPr>
            <w:r w:rsidRPr="00811800">
              <w:rPr>
                <w:rFonts w:ascii="Arial" w:hAnsi="Arial" w:cs="Arial"/>
              </w:rPr>
              <w:t>7.4</w:t>
            </w:r>
          </w:p>
        </w:tc>
      </w:tr>
      <w:tr w:rsidR="0062327A" w:rsidRPr="00811800" w14:paraId="077E1837" w14:textId="77777777" w:rsidTr="003A56B2">
        <w:trPr>
          <w:trHeight w:val="300"/>
          <w:jc w:val="center"/>
        </w:trPr>
        <w:tc>
          <w:tcPr>
            <w:tcW w:w="2126" w:type="dxa"/>
            <w:shd w:val="clear" w:color="auto" w:fill="auto"/>
            <w:noWrap/>
            <w:vAlign w:val="bottom"/>
            <w:hideMark/>
          </w:tcPr>
          <w:p w14:paraId="10D226EA" w14:textId="77777777" w:rsidR="0062327A" w:rsidRPr="00811800" w:rsidRDefault="0062327A" w:rsidP="003A56B2">
            <w:pPr>
              <w:rPr>
                <w:rFonts w:ascii="Arial" w:hAnsi="Arial" w:cs="Arial"/>
              </w:rPr>
            </w:pPr>
            <w:r w:rsidRPr="00811800">
              <w:rPr>
                <w:rFonts w:ascii="Arial" w:hAnsi="Arial" w:cs="Arial"/>
              </w:rPr>
              <w:t>United States</w:t>
            </w:r>
          </w:p>
        </w:tc>
        <w:tc>
          <w:tcPr>
            <w:tcW w:w="1015" w:type="dxa"/>
            <w:shd w:val="clear" w:color="auto" w:fill="auto"/>
            <w:noWrap/>
            <w:vAlign w:val="bottom"/>
            <w:hideMark/>
          </w:tcPr>
          <w:p w14:paraId="692B9361" w14:textId="77777777" w:rsidR="0062327A" w:rsidRPr="00811800" w:rsidRDefault="0062327A" w:rsidP="00F07E0C">
            <w:pPr>
              <w:jc w:val="right"/>
              <w:rPr>
                <w:rFonts w:ascii="Arial" w:hAnsi="Arial" w:cs="Arial"/>
              </w:rPr>
            </w:pPr>
            <w:r w:rsidRPr="00811800">
              <w:rPr>
                <w:rFonts w:ascii="Arial" w:hAnsi="Arial" w:cs="Arial"/>
              </w:rPr>
              <w:t>3.4</w:t>
            </w:r>
          </w:p>
        </w:tc>
        <w:tc>
          <w:tcPr>
            <w:tcW w:w="1015" w:type="dxa"/>
            <w:shd w:val="clear" w:color="auto" w:fill="auto"/>
            <w:noWrap/>
            <w:vAlign w:val="bottom"/>
            <w:hideMark/>
          </w:tcPr>
          <w:p w14:paraId="47C1EF2B" w14:textId="77777777" w:rsidR="0062327A" w:rsidRPr="00811800" w:rsidRDefault="0062327A" w:rsidP="00F07E0C">
            <w:pPr>
              <w:jc w:val="right"/>
              <w:rPr>
                <w:rFonts w:ascii="Arial" w:hAnsi="Arial" w:cs="Arial"/>
              </w:rPr>
            </w:pPr>
            <w:r w:rsidRPr="00811800">
              <w:rPr>
                <w:rFonts w:ascii="Arial" w:hAnsi="Arial" w:cs="Arial"/>
              </w:rPr>
              <w:t>6.4</w:t>
            </w:r>
          </w:p>
        </w:tc>
        <w:tc>
          <w:tcPr>
            <w:tcW w:w="1016" w:type="dxa"/>
            <w:shd w:val="clear" w:color="auto" w:fill="auto"/>
            <w:noWrap/>
            <w:vAlign w:val="bottom"/>
            <w:hideMark/>
          </w:tcPr>
          <w:p w14:paraId="760112EB" w14:textId="77777777" w:rsidR="0062327A" w:rsidRPr="00811800" w:rsidRDefault="0062327A" w:rsidP="00F07E0C">
            <w:pPr>
              <w:jc w:val="right"/>
              <w:rPr>
                <w:rFonts w:ascii="Arial" w:hAnsi="Arial" w:cs="Arial"/>
              </w:rPr>
            </w:pPr>
            <w:r w:rsidRPr="00811800">
              <w:rPr>
                <w:rFonts w:ascii="Arial" w:hAnsi="Arial" w:cs="Arial"/>
              </w:rPr>
              <w:t>7.4</w:t>
            </w:r>
          </w:p>
        </w:tc>
        <w:tc>
          <w:tcPr>
            <w:tcW w:w="1015" w:type="dxa"/>
            <w:shd w:val="clear" w:color="auto" w:fill="auto"/>
            <w:noWrap/>
            <w:vAlign w:val="bottom"/>
            <w:hideMark/>
          </w:tcPr>
          <w:p w14:paraId="223FBA75" w14:textId="77777777" w:rsidR="0062327A" w:rsidRPr="00811800" w:rsidRDefault="0062327A" w:rsidP="00F07E0C">
            <w:pPr>
              <w:jc w:val="right"/>
              <w:rPr>
                <w:rFonts w:ascii="Arial" w:hAnsi="Arial" w:cs="Arial"/>
              </w:rPr>
            </w:pPr>
            <w:r w:rsidRPr="00811800">
              <w:rPr>
                <w:rFonts w:ascii="Arial" w:hAnsi="Arial" w:cs="Arial"/>
              </w:rPr>
              <w:t>9.5</w:t>
            </w:r>
          </w:p>
        </w:tc>
        <w:tc>
          <w:tcPr>
            <w:tcW w:w="1015" w:type="dxa"/>
            <w:shd w:val="clear" w:color="auto" w:fill="auto"/>
            <w:noWrap/>
            <w:vAlign w:val="bottom"/>
            <w:hideMark/>
          </w:tcPr>
          <w:p w14:paraId="01E0E25D" w14:textId="77777777" w:rsidR="0062327A" w:rsidRPr="00811800" w:rsidRDefault="0062327A" w:rsidP="00F07E0C">
            <w:pPr>
              <w:jc w:val="right"/>
              <w:rPr>
                <w:rFonts w:ascii="Arial" w:hAnsi="Arial" w:cs="Arial"/>
              </w:rPr>
            </w:pPr>
            <w:r w:rsidRPr="00811800">
              <w:rPr>
                <w:rFonts w:ascii="Arial" w:hAnsi="Arial" w:cs="Arial"/>
              </w:rPr>
              <w:t>15.3</w:t>
            </w:r>
          </w:p>
        </w:tc>
        <w:tc>
          <w:tcPr>
            <w:tcW w:w="1016" w:type="dxa"/>
            <w:shd w:val="clear" w:color="auto" w:fill="auto"/>
            <w:noWrap/>
            <w:vAlign w:val="bottom"/>
            <w:hideMark/>
          </w:tcPr>
          <w:p w14:paraId="2B58C4AE" w14:textId="77777777" w:rsidR="0062327A" w:rsidRPr="00811800" w:rsidRDefault="0062327A" w:rsidP="00F07E0C">
            <w:pPr>
              <w:jc w:val="right"/>
              <w:rPr>
                <w:rFonts w:ascii="Arial" w:hAnsi="Arial" w:cs="Arial"/>
              </w:rPr>
            </w:pPr>
            <w:r w:rsidRPr="00811800">
              <w:rPr>
                <w:rFonts w:ascii="Arial" w:hAnsi="Arial" w:cs="Arial"/>
              </w:rPr>
              <w:t>23.0</w:t>
            </w:r>
          </w:p>
        </w:tc>
      </w:tr>
      <w:tr w:rsidR="0062327A" w:rsidRPr="00811800" w14:paraId="7060D05E" w14:textId="77777777" w:rsidTr="003A56B2">
        <w:trPr>
          <w:trHeight w:val="300"/>
          <w:jc w:val="center"/>
        </w:trPr>
        <w:tc>
          <w:tcPr>
            <w:tcW w:w="2126" w:type="dxa"/>
            <w:shd w:val="clear" w:color="auto" w:fill="auto"/>
            <w:noWrap/>
            <w:vAlign w:val="bottom"/>
            <w:hideMark/>
          </w:tcPr>
          <w:p w14:paraId="0B73A7A9" w14:textId="77777777" w:rsidR="0062327A" w:rsidRPr="00811800" w:rsidRDefault="0062327A" w:rsidP="003A56B2">
            <w:pPr>
              <w:rPr>
                <w:rFonts w:ascii="Arial" w:hAnsi="Arial" w:cs="Arial"/>
              </w:rPr>
            </w:pPr>
            <w:r w:rsidRPr="00811800">
              <w:rPr>
                <w:rFonts w:ascii="Arial" w:hAnsi="Arial" w:cs="Arial"/>
              </w:rPr>
              <w:t>China</w:t>
            </w:r>
          </w:p>
        </w:tc>
        <w:tc>
          <w:tcPr>
            <w:tcW w:w="1015" w:type="dxa"/>
            <w:shd w:val="clear" w:color="auto" w:fill="auto"/>
            <w:noWrap/>
            <w:vAlign w:val="bottom"/>
            <w:hideMark/>
          </w:tcPr>
          <w:p w14:paraId="6EF3C247" w14:textId="77777777" w:rsidR="0062327A" w:rsidRPr="00811800" w:rsidRDefault="0062327A" w:rsidP="00F07E0C">
            <w:pPr>
              <w:jc w:val="right"/>
              <w:rPr>
                <w:rFonts w:ascii="Arial" w:hAnsi="Arial" w:cs="Arial"/>
              </w:rPr>
            </w:pPr>
            <w:r w:rsidRPr="00811800">
              <w:rPr>
                <w:rFonts w:ascii="Arial" w:hAnsi="Arial" w:cs="Arial"/>
              </w:rPr>
              <w:t>21.7</w:t>
            </w:r>
          </w:p>
        </w:tc>
        <w:tc>
          <w:tcPr>
            <w:tcW w:w="1015" w:type="dxa"/>
            <w:shd w:val="clear" w:color="auto" w:fill="auto"/>
            <w:noWrap/>
            <w:vAlign w:val="bottom"/>
            <w:hideMark/>
          </w:tcPr>
          <w:p w14:paraId="18710D5D" w14:textId="77777777" w:rsidR="0062327A" w:rsidRPr="00811800" w:rsidRDefault="0062327A" w:rsidP="00F07E0C">
            <w:pPr>
              <w:jc w:val="right"/>
              <w:rPr>
                <w:rFonts w:ascii="Arial" w:hAnsi="Arial" w:cs="Arial"/>
              </w:rPr>
            </w:pPr>
            <w:r w:rsidRPr="00811800">
              <w:rPr>
                <w:rFonts w:ascii="Arial" w:hAnsi="Arial" w:cs="Arial"/>
              </w:rPr>
              <w:t>1.9</w:t>
            </w:r>
          </w:p>
        </w:tc>
        <w:tc>
          <w:tcPr>
            <w:tcW w:w="1016" w:type="dxa"/>
            <w:shd w:val="clear" w:color="auto" w:fill="auto"/>
            <w:noWrap/>
            <w:vAlign w:val="bottom"/>
            <w:hideMark/>
          </w:tcPr>
          <w:p w14:paraId="441A6E18" w14:textId="77777777" w:rsidR="0062327A" w:rsidRPr="00811800" w:rsidRDefault="0062327A" w:rsidP="00F07E0C">
            <w:pPr>
              <w:jc w:val="right"/>
              <w:rPr>
                <w:rFonts w:ascii="Arial" w:hAnsi="Arial" w:cs="Arial"/>
              </w:rPr>
            </w:pPr>
            <w:r w:rsidRPr="00811800">
              <w:rPr>
                <w:rFonts w:ascii="Arial" w:hAnsi="Arial" w:cs="Arial"/>
              </w:rPr>
              <w:t>7.0</w:t>
            </w:r>
          </w:p>
        </w:tc>
        <w:tc>
          <w:tcPr>
            <w:tcW w:w="1015" w:type="dxa"/>
            <w:shd w:val="clear" w:color="auto" w:fill="auto"/>
            <w:noWrap/>
            <w:vAlign w:val="bottom"/>
            <w:hideMark/>
          </w:tcPr>
          <w:p w14:paraId="44FE693B" w14:textId="77777777" w:rsidR="0062327A" w:rsidRPr="00811800" w:rsidRDefault="0062327A" w:rsidP="00F07E0C">
            <w:pPr>
              <w:jc w:val="right"/>
              <w:rPr>
                <w:rFonts w:ascii="Arial" w:hAnsi="Arial" w:cs="Arial"/>
              </w:rPr>
            </w:pPr>
            <w:r w:rsidRPr="00811800">
              <w:rPr>
                <w:rFonts w:ascii="Arial" w:hAnsi="Arial" w:cs="Arial"/>
              </w:rPr>
              <w:t>4.5</w:t>
            </w:r>
          </w:p>
        </w:tc>
        <w:tc>
          <w:tcPr>
            <w:tcW w:w="1015" w:type="dxa"/>
            <w:shd w:val="clear" w:color="auto" w:fill="auto"/>
            <w:noWrap/>
            <w:vAlign w:val="bottom"/>
            <w:hideMark/>
          </w:tcPr>
          <w:p w14:paraId="6F17E674" w14:textId="77777777" w:rsidR="0062327A" w:rsidRPr="00811800" w:rsidRDefault="0062327A" w:rsidP="00F07E0C">
            <w:pPr>
              <w:jc w:val="right"/>
              <w:rPr>
                <w:rFonts w:ascii="Arial" w:hAnsi="Arial" w:cs="Arial"/>
              </w:rPr>
            </w:pPr>
            <w:r w:rsidRPr="00811800">
              <w:rPr>
                <w:rFonts w:ascii="Arial" w:hAnsi="Arial" w:cs="Arial"/>
              </w:rPr>
              <w:t>5.3</w:t>
            </w:r>
          </w:p>
        </w:tc>
        <w:tc>
          <w:tcPr>
            <w:tcW w:w="1016" w:type="dxa"/>
            <w:shd w:val="clear" w:color="auto" w:fill="auto"/>
            <w:noWrap/>
            <w:vAlign w:val="bottom"/>
            <w:hideMark/>
          </w:tcPr>
          <w:p w14:paraId="02F0F12C" w14:textId="77777777" w:rsidR="0062327A" w:rsidRPr="00811800" w:rsidRDefault="0062327A" w:rsidP="00F07E0C">
            <w:pPr>
              <w:jc w:val="right"/>
              <w:rPr>
                <w:rFonts w:ascii="Arial" w:hAnsi="Arial" w:cs="Arial"/>
              </w:rPr>
            </w:pPr>
            <w:r w:rsidRPr="00811800">
              <w:rPr>
                <w:rFonts w:ascii="Arial" w:hAnsi="Arial" w:cs="Arial"/>
              </w:rPr>
              <w:t>11.8</w:t>
            </w:r>
          </w:p>
        </w:tc>
      </w:tr>
      <w:tr w:rsidR="0062327A" w:rsidRPr="00811800" w14:paraId="2A62B40B" w14:textId="77777777" w:rsidTr="003A56B2">
        <w:trPr>
          <w:trHeight w:val="300"/>
          <w:jc w:val="center"/>
        </w:trPr>
        <w:tc>
          <w:tcPr>
            <w:tcW w:w="2126" w:type="dxa"/>
            <w:shd w:val="clear" w:color="auto" w:fill="auto"/>
            <w:noWrap/>
            <w:vAlign w:val="bottom"/>
            <w:hideMark/>
          </w:tcPr>
          <w:p w14:paraId="4D268682" w14:textId="77777777" w:rsidR="0062327A" w:rsidRPr="00811800" w:rsidRDefault="0062327A" w:rsidP="003A56B2">
            <w:pPr>
              <w:rPr>
                <w:rFonts w:ascii="Arial" w:hAnsi="Arial" w:cs="Arial"/>
              </w:rPr>
            </w:pPr>
            <w:r w:rsidRPr="00811800">
              <w:rPr>
                <w:rFonts w:ascii="Arial" w:hAnsi="Arial" w:cs="Arial"/>
              </w:rPr>
              <w:t>South America</w:t>
            </w:r>
          </w:p>
        </w:tc>
        <w:tc>
          <w:tcPr>
            <w:tcW w:w="1015" w:type="dxa"/>
            <w:shd w:val="clear" w:color="auto" w:fill="auto"/>
            <w:noWrap/>
            <w:vAlign w:val="bottom"/>
            <w:hideMark/>
          </w:tcPr>
          <w:p w14:paraId="5A030A68" w14:textId="77777777" w:rsidR="0062327A" w:rsidRPr="00811800" w:rsidRDefault="0062327A" w:rsidP="00F07E0C">
            <w:pPr>
              <w:jc w:val="right"/>
              <w:rPr>
                <w:rFonts w:ascii="Arial" w:hAnsi="Arial" w:cs="Arial"/>
              </w:rPr>
            </w:pPr>
            <w:r w:rsidRPr="00811800">
              <w:rPr>
                <w:rFonts w:ascii="Arial" w:hAnsi="Arial" w:cs="Arial"/>
              </w:rPr>
              <w:t>0.3</w:t>
            </w:r>
          </w:p>
        </w:tc>
        <w:tc>
          <w:tcPr>
            <w:tcW w:w="1015" w:type="dxa"/>
            <w:shd w:val="clear" w:color="auto" w:fill="auto"/>
            <w:noWrap/>
            <w:vAlign w:val="bottom"/>
            <w:hideMark/>
          </w:tcPr>
          <w:p w14:paraId="41B3282D" w14:textId="77777777" w:rsidR="0062327A" w:rsidRPr="00811800" w:rsidRDefault="0062327A" w:rsidP="00F07E0C">
            <w:pPr>
              <w:jc w:val="right"/>
              <w:rPr>
                <w:rFonts w:ascii="Arial" w:hAnsi="Arial" w:cs="Arial"/>
              </w:rPr>
            </w:pPr>
            <w:r w:rsidRPr="00811800">
              <w:rPr>
                <w:rFonts w:ascii="Arial" w:hAnsi="Arial" w:cs="Arial"/>
              </w:rPr>
              <w:t>0.1</w:t>
            </w:r>
          </w:p>
        </w:tc>
        <w:tc>
          <w:tcPr>
            <w:tcW w:w="1016" w:type="dxa"/>
            <w:shd w:val="clear" w:color="auto" w:fill="auto"/>
            <w:noWrap/>
            <w:vAlign w:val="bottom"/>
            <w:hideMark/>
          </w:tcPr>
          <w:p w14:paraId="11190B82" w14:textId="77777777" w:rsidR="0062327A" w:rsidRPr="00811800" w:rsidRDefault="0062327A" w:rsidP="00F07E0C">
            <w:pPr>
              <w:jc w:val="right"/>
              <w:rPr>
                <w:rFonts w:ascii="Arial" w:hAnsi="Arial" w:cs="Arial"/>
              </w:rPr>
            </w:pPr>
            <w:r w:rsidRPr="00811800">
              <w:rPr>
                <w:rFonts w:ascii="Arial" w:hAnsi="Arial" w:cs="Arial"/>
              </w:rPr>
              <w:t>0.1</w:t>
            </w:r>
          </w:p>
        </w:tc>
        <w:tc>
          <w:tcPr>
            <w:tcW w:w="1015" w:type="dxa"/>
            <w:shd w:val="clear" w:color="auto" w:fill="auto"/>
            <w:noWrap/>
            <w:vAlign w:val="bottom"/>
            <w:hideMark/>
          </w:tcPr>
          <w:p w14:paraId="08DB46CF" w14:textId="0290937F" w:rsidR="0062327A" w:rsidRPr="00811800" w:rsidRDefault="006319C4" w:rsidP="00F07E0C">
            <w:pPr>
              <w:jc w:val="right"/>
              <w:rPr>
                <w:rFonts w:ascii="Arial" w:hAnsi="Arial" w:cs="Arial"/>
              </w:rPr>
            </w:pPr>
            <w:r>
              <w:rPr>
                <w:rFonts w:ascii="Arial" w:hAnsi="Arial" w:cs="Arial"/>
              </w:rPr>
              <w:t>-</w:t>
            </w:r>
          </w:p>
        </w:tc>
        <w:tc>
          <w:tcPr>
            <w:tcW w:w="1015" w:type="dxa"/>
            <w:shd w:val="clear" w:color="auto" w:fill="auto"/>
            <w:noWrap/>
            <w:vAlign w:val="bottom"/>
            <w:hideMark/>
          </w:tcPr>
          <w:p w14:paraId="5F3818BD" w14:textId="7F771FC3" w:rsidR="0062327A" w:rsidRPr="00811800" w:rsidRDefault="006319C4" w:rsidP="00F07E0C">
            <w:pPr>
              <w:jc w:val="right"/>
              <w:rPr>
                <w:rFonts w:ascii="Arial" w:hAnsi="Arial" w:cs="Arial"/>
              </w:rPr>
            </w:pPr>
            <w:r>
              <w:rPr>
                <w:rFonts w:ascii="Arial" w:hAnsi="Arial" w:cs="Arial"/>
              </w:rPr>
              <w:t>-</w:t>
            </w:r>
          </w:p>
        </w:tc>
        <w:tc>
          <w:tcPr>
            <w:tcW w:w="1016" w:type="dxa"/>
            <w:shd w:val="clear" w:color="auto" w:fill="auto"/>
            <w:noWrap/>
            <w:vAlign w:val="bottom"/>
            <w:hideMark/>
          </w:tcPr>
          <w:p w14:paraId="0619E494" w14:textId="180A77A0" w:rsidR="0062327A" w:rsidRPr="00811800" w:rsidRDefault="006319C4" w:rsidP="00F07E0C">
            <w:pPr>
              <w:jc w:val="right"/>
              <w:rPr>
                <w:rFonts w:ascii="Arial" w:hAnsi="Arial" w:cs="Arial"/>
              </w:rPr>
            </w:pPr>
            <w:r>
              <w:rPr>
                <w:rFonts w:ascii="Arial" w:hAnsi="Arial" w:cs="Arial"/>
              </w:rPr>
              <w:t>-</w:t>
            </w:r>
          </w:p>
        </w:tc>
      </w:tr>
      <w:tr w:rsidR="0062327A" w:rsidRPr="00811800" w14:paraId="5DCD9385" w14:textId="77777777" w:rsidTr="003A56B2">
        <w:trPr>
          <w:trHeight w:val="300"/>
          <w:jc w:val="center"/>
        </w:trPr>
        <w:tc>
          <w:tcPr>
            <w:tcW w:w="2126" w:type="dxa"/>
            <w:shd w:val="clear" w:color="auto" w:fill="auto"/>
            <w:noWrap/>
            <w:vAlign w:val="bottom"/>
            <w:hideMark/>
          </w:tcPr>
          <w:p w14:paraId="27A1DF44" w14:textId="77777777" w:rsidR="0062327A" w:rsidRPr="00811800" w:rsidRDefault="0062327A" w:rsidP="003A56B2">
            <w:pPr>
              <w:rPr>
                <w:rFonts w:ascii="Arial" w:hAnsi="Arial" w:cs="Arial"/>
              </w:rPr>
            </w:pPr>
            <w:r w:rsidRPr="00811800">
              <w:rPr>
                <w:rFonts w:ascii="Arial" w:hAnsi="Arial" w:cs="Arial"/>
              </w:rPr>
              <w:t>Australia</w:t>
            </w:r>
          </w:p>
        </w:tc>
        <w:tc>
          <w:tcPr>
            <w:tcW w:w="1015" w:type="dxa"/>
            <w:shd w:val="clear" w:color="auto" w:fill="auto"/>
            <w:noWrap/>
            <w:vAlign w:val="bottom"/>
            <w:hideMark/>
          </w:tcPr>
          <w:p w14:paraId="07FF024F" w14:textId="1E846FB8" w:rsidR="0062327A" w:rsidRPr="00811800" w:rsidRDefault="006319C4" w:rsidP="00F07E0C">
            <w:pPr>
              <w:jc w:val="right"/>
              <w:rPr>
                <w:rFonts w:ascii="Arial" w:hAnsi="Arial" w:cs="Arial"/>
              </w:rPr>
            </w:pPr>
            <w:r>
              <w:rPr>
                <w:rFonts w:ascii="Arial" w:hAnsi="Arial" w:cs="Arial"/>
              </w:rPr>
              <w:t>-</w:t>
            </w:r>
          </w:p>
        </w:tc>
        <w:tc>
          <w:tcPr>
            <w:tcW w:w="1015" w:type="dxa"/>
            <w:shd w:val="clear" w:color="auto" w:fill="auto"/>
            <w:noWrap/>
            <w:vAlign w:val="bottom"/>
            <w:hideMark/>
          </w:tcPr>
          <w:p w14:paraId="5D083291" w14:textId="2543363C" w:rsidR="0062327A" w:rsidRPr="00811800" w:rsidRDefault="006319C4" w:rsidP="00F07E0C">
            <w:pPr>
              <w:jc w:val="right"/>
              <w:rPr>
                <w:rFonts w:ascii="Arial" w:hAnsi="Arial" w:cs="Arial"/>
              </w:rPr>
            </w:pPr>
            <w:r>
              <w:rPr>
                <w:rFonts w:ascii="Arial" w:hAnsi="Arial" w:cs="Arial"/>
              </w:rPr>
              <w:t>-</w:t>
            </w:r>
          </w:p>
        </w:tc>
        <w:tc>
          <w:tcPr>
            <w:tcW w:w="1016" w:type="dxa"/>
            <w:shd w:val="clear" w:color="auto" w:fill="auto"/>
            <w:noWrap/>
            <w:vAlign w:val="bottom"/>
            <w:hideMark/>
          </w:tcPr>
          <w:p w14:paraId="1E88C26A" w14:textId="59BEAA1A" w:rsidR="0062327A" w:rsidRPr="00811800" w:rsidRDefault="006319C4" w:rsidP="00F07E0C">
            <w:pPr>
              <w:jc w:val="right"/>
              <w:rPr>
                <w:rFonts w:ascii="Arial" w:hAnsi="Arial" w:cs="Arial"/>
              </w:rPr>
            </w:pPr>
            <w:r>
              <w:rPr>
                <w:rFonts w:ascii="Arial" w:hAnsi="Arial" w:cs="Arial"/>
              </w:rPr>
              <w:t>-</w:t>
            </w:r>
          </w:p>
        </w:tc>
        <w:tc>
          <w:tcPr>
            <w:tcW w:w="1015" w:type="dxa"/>
            <w:shd w:val="clear" w:color="auto" w:fill="auto"/>
            <w:noWrap/>
            <w:vAlign w:val="bottom"/>
            <w:hideMark/>
          </w:tcPr>
          <w:p w14:paraId="7F9718E5" w14:textId="77777777" w:rsidR="0062327A" w:rsidRPr="00811800" w:rsidRDefault="0062327A" w:rsidP="00F07E0C">
            <w:pPr>
              <w:jc w:val="right"/>
              <w:rPr>
                <w:rFonts w:ascii="Arial" w:hAnsi="Arial" w:cs="Arial"/>
              </w:rPr>
            </w:pPr>
            <w:r w:rsidRPr="00811800">
              <w:rPr>
                <w:rFonts w:ascii="Arial" w:hAnsi="Arial" w:cs="Arial"/>
              </w:rPr>
              <w:t>2.0</w:t>
            </w:r>
          </w:p>
        </w:tc>
        <w:tc>
          <w:tcPr>
            <w:tcW w:w="1015" w:type="dxa"/>
            <w:shd w:val="clear" w:color="auto" w:fill="auto"/>
            <w:noWrap/>
            <w:vAlign w:val="bottom"/>
            <w:hideMark/>
          </w:tcPr>
          <w:p w14:paraId="62A318D4" w14:textId="77777777" w:rsidR="0062327A" w:rsidRPr="00811800" w:rsidRDefault="0062327A" w:rsidP="00F07E0C">
            <w:pPr>
              <w:jc w:val="right"/>
              <w:rPr>
                <w:rFonts w:ascii="Arial" w:hAnsi="Arial" w:cs="Arial"/>
              </w:rPr>
            </w:pPr>
            <w:r w:rsidRPr="00811800">
              <w:rPr>
                <w:rFonts w:ascii="Arial" w:hAnsi="Arial" w:cs="Arial"/>
              </w:rPr>
              <w:t>4.1</w:t>
            </w:r>
          </w:p>
        </w:tc>
        <w:tc>
          <w:tcPr>
            <w:tcW w:w="1016" w:type="dxa"/>
            <w:shd w:val="clear" w:color="auto" w:fill="auto"/>
            <w:noWrap/>
            <w:vAlign w:val="bottom"/>
            <w:hideMark/>
          </w:tcPr>
          <w:p w14:paraId="25FC5ECD" w14:textId="77777777" w:rsidR="0062327A" w:rsidRPr="00811800" w:rsidRDefault="0062327A" w:rsidP="00F07E0C">
            <w:pPr>
              <w:jc w:val="right"/>
              <w:rPr>
                <w:rFonts w:ascii="Arial" w:hAnsi="Arial" w:cs="Arial"/>
              </w:rPr>
            </w:pPr>
            <w:r w:rsidRPr="00811800">
              <w:rPr>
                <w:rFonts w:ascii="Arial" w:hAnsi="Arial" w:cs="Arial"/>
              </w:rPr>
              <w:t>4.3</w:t>
            </w:r>
          </w:p>
        </w:tc>
      </w:tr>
      <w:tr w:rsidR="0062327A" w:rsidRPr="00811800" w14:paraId="10335E61" w14:textId="77777777" w:rsidTr="003A56B2">
        <w:trPr>
          <w:trHeight w:val="300"/>
          <w:jc w:val="center"/>
        </w:trPr>
        <w:tc>
          <w:tcPr>
            <w:tcW w:w="2126" w:type="dxa"/>
            <w:shd w:val="clear" w:color="auto" w:fill="auto"/>
            <w:noWrap/>
            <w:vAlign w:val="bottom"/>
            <w:hideMark/>
          </w:tcPr>
          <w:p w14:paraId="32A1463C" w14:textId="77777777" w:rsidR="0062327A" w:rsidRPr="00811800" w:rsidRDefault="0062327A" w:rsidP="003A56B2">
            <w:pPr>
              <w:rPr>
                <w:rFonts w:ascii="Arial" w:hAnsi="Arial" w:cs="Arial"/>
              </w:rPr>
            </w:pPr>
            <w:r w:rsidRPr="00811800">
              <w:rPr>
                <w:rFonts w:ascii="Arial" w:hAnsi="Arial" w:cs="Arial"/>
              </w:rPr>
              <w:t>Japan</w:t>
            </w:r>
          </w:p>
        </w:tc>
        <w:tc>
          <w:tcPr>
            <w:tcW w:w="1015" w:type="dxa"/>
            <w:shd w:val="clear" w:color="auto" w:fill="auto"/>
            <w:noWrap/>
            <w:vAlign w:val="bottom"/>
            <w:hideMark/>
          </w:tcPr>
          <w:p w14:paraId="70103B5E" w14:textId="77777777" w:rsidR="0062327A" w:rsidRPr="00811800" w:rsidRDefault="0062327A" w:rsidP="00F07E0C">
            <w:pPr>
              <w:jc w:val="right"/>
              <w:rPr>
                <w:rFonts w:ascii="Arial" w:hAnsi="Arial" w:cs="Arial"/>
              </w:rPr>
            </w:pPr>
            <w:r w:rsidRPr="00811800">
              <w:rPr>
                <w:rFonts w:ascii="Arial" w:hAnsi="Arial" w:cs="Arial"/>
              </w:rPr>
              <w:t>0.7</w:t>
            </w:r>
          </w:p>
        </w:tc>
        <w:tc>
          <w:tcPr>
            <w:tcW w:w="1015" w:type="dxa"/>
            <w:shd w:val="clear" w:color="auto" w:fill="auto"/>
            <w:noWrap/>
            <w:vAlign w:val="bottom"/>
            <w:hideMark/>
          </w:tcPr>
          <w:p w14:paraId="39C2819B" w14:textId="77777777" w:rsidR="0062327A" w:rsidRPr="00811800" w:rsidRDefault="0062327A" w:rsidP="00F07E0C">
            <w:pPr>
              <w:jc w:val="right"/>
              <w:rPr>
                <w:rFonts w:ascii="Arial" w:hAnsi="Arial" w:cs="Arial"/>
              </w:rPr>
            </w:pPr>
            <w:r w:rsidRPr="00811800">
              <w:rPr>
                <w:rFonts w:ascii="Arial" w:hAnsi="Arial" w:cs="Arial"/>
              </w:rPr>
              <w:t>0.6</w:t>
            </w:r>
          </w:p>
        </w:tc>
        <w:tc>
          <w:tcPr>
            <w:tcW w:w="1016" w:type="dxa"/>
            <w:shd w:val="clear" w:color="auto" w:fill="auto"/>
            <w:noWrap/>
            <w:vAlign w:val="bottom"/>
            <w:hideMark/>
          </w:tcPr>
          <w:p w14:paraId="75F2E5E8" w14:textId="77777777" w:rsidR="0062327A" w:rsidRPr="00811800" w:rsidRDefault="0062327A" w:rsidP="00F07E0C">
            <w:pPr>
              <w:jc w:val="right"/>
              <w:rPr>
                <w:rFonts w:ascii="Arial" w:hAnsi="Arial" w:cs="Arial"/>
              </w:rPr>
            </w:pPr>
            <w:r w:rsidRPr="00811800">
              <w:rPr>
                <w:rFonts w:ascii="Arial" w:hAnsi="Arial" w:cs="Arial"/>
              </w:rPr>
              <w:t>0.3</w:t>
            </w:r>
          </w:p>
        </w:tc>
        <w:tc>
          <w:tcPr>
            <w:tcW w:w="1015" w:type="dxa"/>
            <w:shd w:val="clear" w:color="auto" w:fill="auto"/>
            <w:noWrap/>
            <w:vAlign w:val="bottom"/>
            <w:hideMark/>
          </w:tcPr>
          <w:p w14:paraId="026AE3E1" w14:textId="77777777" w:rsidR="0062327A" w:rsidRPr="00811800" w:rsidRDefault="0062327A" w:rsidP="00F07E0C">
            <w:pPr>
              <w:jc w:val="right"/>
              <w:rPr>
                <w:rFonts w:ascii="Arial" w:hAnsi="Arial" w:cs="Arial"/>
              </w:rPr>
            </w:pPr>
            <w:r w:rsidRPr="00811800">
              <w:rPr>
                <w:rFonts w:ascii="Arial" w:hAnsi="Arial" w:cs="Arial"/>
              </w:rPr>
              <w:t>4.8</w:t>
            </w:r>
          </w:p>
        </w:tc>
        <w:tc>
          <w:tcPr>
            <w:tcW w:w="1015" w:type="dxa"/>
            <w:shd w:val="clear" w:color="auto" w:fill="auto"/>
            <w:noWrap/>
            <w:vAlign w:val="bottom"/>
            <w:hideMark/>
          </w:tcPr>
          <w:p w14:paraId="59B4E61C" w14:textId="77777777" w:rsidR="0062327A" w:rsidRPr="00811800" w:rsidRDefault="0062327A" w:rsidP="00F07E0C">
            <w:pPr>
              <w:jc w:val="right"/>
              <w:rPr>
                <w:rFonts w:ascii="Arial" w:hAnsi="Arial" w:cs="Arial"/>
              </w:rPr>
            </w:pPr>
            <w:r w:rsidRPr="00811800">
              <w:rPr>
                <w:rFonts w:ascii="Arial" w:hAnsi="Arial" w:cs="Arial"/>
              </w:rPr>
              <w:t>4.6</w:t>
            </w:r>
          </w:p>
        </w:tc>
        <w:tc>
          <w:tcPr>
            <w:tcW w:w="1016" w:type="dxa"/>
            <w:shd w:val="clear" w:color="auto" w:fill="auto"/>
            <w:noWrap/>
            <w:vAlign w:val="bottom"/>
            <w:hideMark/>
          </w:tcPr>
          <w:p w14:paraId="0BECA2EF" w14:textId="77777777" w:rsidR="0062327A" w:rsidRPr="00811800" w:rsidRDefault="0062327A" w:rsidP="00F07E0C">
            <w:pPr>
              <w:jc w:val="right"/>
              <w:rPr>
                <w:rFonts w:ascii="Arial" w:hAnsi="Arial" w:cs="Arial"/>
              </w:rPr>
            </w:pPr>
            <w:r w:rsidRPr="00811800">
              <w:rPr>
                <w:rFonts w:ascii="Arial" w:hAnsi="Arial" w:cs="Arial"/>
              </w:rPr>
              <w:t>4.6</w:t>
            </w:r>
          </w:p>
        </w:tc>
      </w:tr>
      <w:tr w:rsidR="0062327A" w:rsidRPr="00811800" w14:paraId="2A0BF0A6" w14:textId="77777777" w:rsidTr="003A56B2">
        <w:trPr>
          <w:trHeight w:val="300"/>
          <w:jc w:val="center"/>
        </w:trPr>
        <w:tc>
          <w:tcPr>
            <w:tcW w:w="2126" w:type="dxa"/>
            <w:shd w:val="clear" w:color="auto" w:fill="auto"/>
            <w:noWrap/>
            <w:vAlign w:val="bottom"/>
            <w:hideMark/>
          </w:tcPr>
          <w:p w14:paraId="1DB86185" w14:textId="77777777" w:rsidR="0062327A" w:rsidRPr="00811800" w:rsidRDefault="0062327A" w:rsidP="003A56B2">
            <w:pPr>
              <w:rPr>
                <w:rFonts w:ascii="Arial" w:hAnsi="Arial" w:cs="Arial"/>
              </w:rPr>
            </w:pPr>
            <w:r w:rsidRPr="00811800">
              <w:rPr>
                <w:rFonts w:ascii="Arial" w:hAnsi="Arial" w:cs="Arial"/>
              </w:rPr>
              <w:t>Others</w:t>
            </w:r>
          </w:p>
        </w:tc>
        <w:tc>
          <w:tcPr>
            <w:tcW w:w="1015" w:type="dxa"/>
            <w:shd w:val="clear" w:color="auto" w:fill="auto"/>
            <w:noWrap/>
            <w:vAlign w:val="bottom"/>
            <w:hideMark/>
          </w:tcPr>
          <w:p w14:paraId="4581DA39" w14:textId="77777777" w:rsidR="0062327A" w:rsidRPr="00811800" w:rsidRDefault="0062327A" w:rsidP="00F07E0C">
            <w:pPr>
              <w:jc w:val="right"/>
              <w:rPr>
                <w:rFonts w:ascii="Arial" w:hAnsi="Arial" w:cs="Arial"/>
              </w:rPr>
            </w:pPr>
            <w:r w:rsidRPr="00811800">
              <w:rPr>
                <w:rFonts w:ascii="Arial" w:hAnsi="Arial" w:cs="Arial"/>
              </w:rPr>
              <w:t>3.5</w:t>
            </w:r>
          </w:p>
        </w:tc>
        <w:tc>
          <w:tcPr>
            <w:tcW w:w="1015" w:type="dxa"/>
            <w:shd w:val="clear" w:color="auto" w:fill="auto"/>
            <w:noWrap/>
            <w:vAlign w:val="bottom"/>
            <w:hideMark/>
          </w:tcPr>
          <w:p w14:paraId="219D8B4F" w14:textId="77777777" w:rsidR="0062327A" w:rsidRPr="00811800" w:rsidRDefault="0062327A" w:rsidP="00F07E0C">
            <w:pPr>
              <w:jc w:val="right"/>
              <w:rPr>
                <w:rFonts w:ascii="Arial" w:hAnsi="Arial" w:cs="Arial"/>
              </w:rPr>
            </w:pPr>
            <w:r w:rsidRPr="00811800">
              <w:rPr>
                <w:rFonts w:ascii="Arial" w:hAnsi="Arial" w:cs="Arial"/>
              </w:rPr>
              <w:t>2.3</w:t>
            </w:r>
          </w:p>
        </w:tc>
        <w:tc>
          <w:tcPr>
            <w:tcW w:w="1016" w:type="dxa"/>
            <w:shd w:val="clear" w:color="auto" w:fill="auto"/>
            <w:noWrap/>
            <w:vAlign w:val="bottom"/>
            <w:hideMark/>
          </w:tcPr>
          <w:p w14:paraId="33F61DEE" w14:textId="77777777" w:rsidR="0062327A" w:rsidRPr="00811800" w:rsidRDefault="0062327A" w:rsidP="00F07E0C">
            <w:pPr>
              <w:jc w:val="right"/>
              <w:rPr>
                <w:rFonts w:ascii="Arial" w:hAnsi="Arial" w:cs="Arial"/>
              </w:rPr>
            </w:pPr>
            <w:r w:rsidRPr="00811800">
              <w:rPr>
                <w:rFonts w:ascii="Arial" w:hAnsi="Arial" w:cs="Arial"/>
              </w:rPr>
              <w:t>7.5</w:t>
            </w:r>
          </w:p>
        </w:tc>
        <w:tc>
          <w:tcPr>
            <w:tcW w:w="1015" w:type="dxa"/>
            <w:shd w:val="clear" w:color="auto" w:fill="auto"/>
            <w:noWrap/>
            <w:vAlign w:val="bottom"/>
            <w:hideMark/>
          </w:tcPr>
          <w:p w14:paraId="03E71133" w14:textId="77777777" w:rsidR="0062327A" w:rsidRPr="00811800" w:rsidRDefault="0062327A" w:rsidP="00F07E0C">
            <w:pPr>
              <w:jc w:val="right"/>
              <w:rPr>
                <w:rFonts w:ascii="Arial" w:hAnsi="Arial" w:cs="Arial"/>
              </w:rPr>
            </w:pPr>
            <w:r w:rsidRPr="00811800">
              <w:rPr>
                <w:rFonts w:ascii="Arial" w:hAnsi="Arial" w:cs="Arial"/>
              </w:rPr>
              <w:t>5.2</w:t>
            </w:r>
          </w:p>
        </w:tc>
        <w:tc>
          <w:tcPr>
            <w:tcW w:w="1015" w:type="dxa"/>
            <w:shd w:val="clear" w:color="auto" w:fill="auto"/>
            <w:noWrap/>
            <w:vAlign w:val="bottom"/>
            <w:hideMark/>
          </w:tcPr>
          <w:p w14:paraId="528B8DEB" w14:textId="77777777" w:rsidR="0062327A" w:rsidRPr="00811800" w:rsidRDefault="0062327A" w:rsidP="00F07E0C">
            <w:pPr>
              <w:jc w:val="right"/>
              <w:rPr>
                <w:rFonts w:ascii="Arial" w:hAnsi="Arial" w:cs="Arial"/>
              </w:rPr>
            </w:pPr>
            <w:r w:rsidRPr="00811800">
              <w:rPr>
                <w:rFonts w:ascii="Arial" w:hAnsi="Arial" w:cs="Arial"/>
              </w:rPr>
              <w:t>4.6</w:t>
            </w:r>
          </w:p>
        </w:tc>
        <w:tc>
          <w:tcPr>
            <w:tcW w:w="1016" w:type="dxa"/>
            <w:shd w:val="clear" w:color="auto" w:fill="auto"/>
            <w:noWrap/>
            <w:vAlign w:val="bottom"/>
            <w:hideMark/>
          </w:tcPr>
          <w:p w14:paraId="4ED059A5" w14:textId="77777777" w:rsidR="0062327A" w:rsidRPr="00811800" w:rsidRDefault="0062327A" w:rsidP="00F07E0C">
            <w:pPr>
              <w:jc w:val="right"/>
              <w:rPr>
                <w:rFonts w:ascii="Arial" w:hAnsi="Arial" w:cs="Arial"/>
              </w:rPr>
            </w:pPr>
            <w:r w:rsidRPr="00811800">
              <w:rPr>
                <w:rFonts w:ascii="Arial" w:hAnsi="Arial" w:cs="Arial"/>
              </w:rPr>
              <w:t>10.8</w:t>
            </w:r>
          </w:p>
        </w:tc>
      </w:tr>
      <w:tr w:rsidR="0062327A" w:rsidRPr="00811800" w14:paraId="16340259" w14:textId="77777777" w:rsidTr="003A56B2">
        <w:trPr>
          <w:trHeight w:val="315"/>
          <w:jc w:val="center"/>
        </w:trPr>
        <w:tc>
          <w:tcPr>
            <w:tcW w:w="2126" w:type="dxa"/>
            <w:shd w:val="clear" w:color="auto" w:fill="auto"/>
            <w:noWrap/>
            <w:vAlign w:val="bottom"/>
            <w:hideMark/>
          </w:tcPr>
          <w:p w14:paraId="271BE4C0" w14:textId="77777777" w:rsidR="0062327A" w:rsidRPr="00811800" w:rsidRDefault="0062327A" w:rsidP="003A56B2">
            <w:pPr>
              <w:rPr>
                <w:rFonts w:ascii="Arial" w:hAnsi="Arial" w:cs="Arial"/>
              </w:rPr>
            </w:pPr>
            <w:r w:rsidRPr="00811800">
              <w:rPr>
                <w:rFonts w:ascii="Arial" w:hAnsi="Arial" w:cs="Arial"/>
              </w:rPr>
              <w:t>Total Revenue</w:t>
            </w:r>
          </w:p>
        </w:tc>
        <w:tc>
          <w:tcPr>
            <w:tcW w:w="1015" w:type="dxa"/>
            <w:shd w:val="clear" w:color="auto" w:fill="auto"/>
            <w:noWrap/>
            <w:vAlign w:val="bottom"/>
            <w:hideMark/>
          </w:tcPr>
          <w:p w14:paraId="7423686C" w14:textId="0C7A648F" w:rsidR="0062327A" w:rsidRPr="00811800" w:rsidRDefault="0062327A" w:rsidP="00F07E0C">
            <w:pPr>
              <w:jc w:val="right"/>
              <w:rPr>
                <w:rFonts w:ascii="Arial" w:hAnsi="Arial" w:cs="Arial"/>
              </w:rPr>
            </w:pPr>
            <w:r w:rsidRPr="00811800">
              <w:rPr>
                <w:rFonts w:ascii="Arial" w:hAnsi="Arial" w:cs="Arial"/>
              </w:rPr>
              <w:t>100</w:t>
            </w:r>
            <w:r w:rsidR="002F11D4">
              <w:rPr>
                <w:rFonts w:ascii="Arial" w:hAnsi="Arial" w:cs="Arial"/>
              </w:rPr>
              <w:t>.0</w:t>
            </w:r>
          </w:p>
        </w:tc>
        <w:tc>
          <w:tcPr>
            <w:tcW w:w="1015" w:type="dxa"/>
            <w:shd w:val="clear" w:color="auto" w:fill="auto"/>
            <w:noWrap/>
            <w:vAlign w:val="bottom"/>
            <w:hideMark/>
          </w:tcPr>
          <w:p w14:paraId="0D69ECCD" w14:textId="4E706B89" w:rsidR="0062327A" w:rsidRPr="00811800" w:rsidRDefault="0062327A" w:rsidP="00F07E0C">
            <w:pPr>
              <w:jc w:val="right"/>
              <w:rPr>
                <w:rFonts w:ascii="Arial" w:hAnsi="Arial" w:cs="Arial"/>
              </w:rPr>
            </w:pPr>
            <w:r w:rsidRPr="00811800">
              <w:rPr>
                <w:rFonts w:ascii="Arial" w:hAnsi="Arial" w:cs="Arial"/>
              </w:rPr>
              <w:t>100</w:t>
            </w:r>
            <w:r w:rsidR="002F11D4">
              <w:rPr>
                <w:rFonts w:ascii="Arial" w:hAnsi="Arial" w:cs="Arial"/>
              </w:rPr>
              <w:t>.0</w:t>
            </w:r>
          </w:p>
        </w:tc>
        <w:tc>
          <w:tcPr>
            <w:tcW w:w="1016" w:type="dxa"/>
            <w:shd w:val="clear" w:color="auto" w:fill="auto"/>
            <w:noWrap/>
            <w:vAlign w:val="bottom"/>
            <w:hideMark/>
          </w:tcPr>
          <w:p w14:paraId="33AE27CD" w14:textId="49DA3957" w:rsidR="0062327A" w:rsidRPr="00811800" w:rsidRDefault="0062327A" w:rsidP="00F07E0C">
            <w:pPr>
              <w:jc w:val="right"/>
              <w:rPr>
                <w:rFonts w:ascii="Arial" w:hAnsi="Arial" w:cs="Arial"/>
              </w:rPr>
            </w:pPr>
            <w:r w:rsidRPr="00811800">
              <w:rPr>
                <w:rFonts w:ascii="Arial" w:hAnsi="Arial" w:cs="Arial"/>
              </w:rPr>
              <w:t>100</w:t>
            </w:r>
            <w:r w:rsidR="002F11D4">
              <w:rPr>
                <w:rFonts w:ascii="Arial" w:hAnsi="Arial" w:cs="Arial"/>
              </w:rPr>
              <w:t>.0</w:t>
            </w:r>
          </w:p>
        </w:tc>
        <w:tc>
          <w:tcPr>
            <w:tcW w:w="1015" w:type="dxa"/>
            <w:shd w:val="clear" w:color="auto" w:fill="auto"/>
            <w:noWrap/>
            <w:vAlign w:val="bottom"/>
            <w:hideMark/>
          </w:tcPr>
          <w:p w14:paraId="3B39A735" w14:textId="53D69EE3" w:rsidR="0062327A" w:rsidRPr="00811800" w:rsidRDefault="0062327A" w:rsidP="00F07E0C">
            <w:pPr>
              <w:jc w:val="right"/>
              <w:rPr>
                <w:rFonts w:ascii="Arial" w:hAnsi="Arial" w:cs="Arial"/>
              </w:rPr>
            </w:pPr>
            <w:r w:rsidRPr="00811800">
              <w:rPr>
                <w:rFonts w:ascii="Arial" w:hAnsi="Arial" w:cs="Arial"/>
              </w:rPr>
              <w:t>100</w:t>
            </w:r>
            <w:r w:rsidR="002F11D4">
              <w:rPr>
                <w:rFonts w:ascii="Arial" w:hAnsi="Arial" w:cs="Arial"/>
              </w:rPr>
              <w:t>.0</w:t>
            </w:r>
          </w:p>
        </w:tc>
        <w:tc>
          <w:tcPr>
            <w:tcW w:w="1015" w:type="dxa"/>
            <w:shd w:val="clear" w:color="auto" w:fill="auto"/>
            <w:noWrap/>
            <w:vAlign w:val="bottom"/>
            <w:hideMark/>
          </w:tcPr>
          <w:p w14:paraId="2DD07DE3" w14:textId="6B9A53F6" w:rsidR="0062327A" w:rsidRPr="00811800" w:rsidRDefault="0062327A" w:rsidP="00F07E0C">
            <w:pPr>
              <w:jc w:val="right"/>
              <w:rPr>
                <w:rFonts w:ascii="Arial" w:hAnsi="Arial" w:cs="Arial"/>
              </w:rPr>
            </w:pPr>
            <w:r w:rsidRPr="00811800">
              <w:rPr>
                <w:rFonts w:ascii="Arial" w:hAnsi="Arial" w:cs="Arial"/>
              </w:rPr>
              <w:t>100</w:t>
            </w:r>
            <w:r w:rsidR="002F11D4">
              <w:rPr>
                <w:rFonts w:ascii="Arial" w:hAnsi="Arial" w:cs="Arial"/>
              </w:rPr>
              <w:t>.0</w:t>
            </w:r>
          </w:p>
        </w:tc>
        <w:tc>
          <w:tcPr>
            <w:tcW w:w="1016" w:type="dxa"/>
            <w:shd w:val="clear" w:color="auto" w:fill="auto"/>
            <w:noWrap/>
            <w:vAlign w:val="bottom"/>
            <w:hideMark/>
          </w:tcPr>
          <w:p w14:paraId="327A3AF1" w14:textId="1A93FAFB" w:rsidR="0062327A" w:rsidRPr="00811800" w:rsidRDefault="0062327A" w:rsidP="00F07E0C">
            <w:pPr>
              <w:jc w:val="right"/>
              <w:rPr>
                <w:rFonts w:ascii="Arial" w:hAnsi="Arial" w:cs="Arial"/>
              </w:rPr>
            </w:pPr>
            <w:r w:rsidRPr="00811800">
              <w:rPr>
                <w:rFonts w:ascii="Arial" w:hAnsi="Arial" w:cs="Arial"/>
              </w:rPr>
              <w:t>100</w:t>
            </w:r>
            <w:r w:rsidR="002F11D4">
              <w:rPr>
                <w:rFonts w:ascii="Arial" w:hAnsi="Arial" w:cs="Arial"/>
              </w:rPr>
              <w:t>.0</w:t>
            </w:r>
          </w:p>
        </w:tc>
      </w:tr>
    </w:tbl>
    <w:p w14:paraId="644ADF28" w14:textId="77777777" w:rsidR="0062327A" w:rsidRPr="00811800" w:rsidRDefault="0062327A" w:rsidP="00B819BF">
      <w:pPr>
        <w:pStyle w:val="Footnote"/>
      </w:pPr>
    </w:p>
    <w:p w14:paraId="275FDEAB" w14:textId="24C7D067" w:rsidR="0062327A" w:rsidRDefault="00305858" w:rsidP="00B819BF">
      <w:pPr>
        <w:pStyle w:val="Footnote"/>
      </w:pPr>
      <w:r w:rsidRPr="00811800">
        <w:t xml:space="preserve">Source: </w:t>
      </w:r>
      <w:proofErr w:type="spellStart"/>
      <w:r>
        <w:rPr>
          <w:rFonts w:eastAsiaTheme="minorEastAsia" w:hint="eastAsia"/>
          <w:lang w:eastAsia="zh-CN"/>
        </w:rPr>
        <w:t>Suntech</w:t>
      </w:r>
      <w:proofErr w:type="spellEnd"/>
      <w:r>
        <w:rPr>
          <w:rFonts w:eastAsiaTheme="minorEastAsia" w:hint="eastAsia"/>
          <w:lang w:eastAsia="zh-CN"/>
        </w:rPr>
        <w:t xml:space="preserve"> Power Holdings Co.</w:t>
      </w:r>
      <w:r w:rsidR="0045432E">
        <w:rPr>
          <w:rFonts w:eastAsiaTheme="minorEastAsia"/>
          <w:lang w:eastAsia="zh-CN"/>
        </w:rPr>
        <w:t xml:space="preserve">, </w:t>
      </w:r>
      <w:r>
        <w:rPr>
          <w:rFonts w:eastAsiaTheme="minorEastAsia" w:hint="eastAsia"/>
          <w:lang w:eastAsia="zh-CN"/>
        </w:rPr>
        <w:t xml:space="preserve">Ltd., </w:t>
      </w:r>
      <w:r>
        <w:rPr>
          <w:rFonts w:eastAsiaTheme="minorEastAsia"/>
          <w:lang w:eastAsia="zh-CN"/>
        </w:rPr>
        <w:t>“</w:t>
      </w:r>
      <w:r>
        <w:rPr>
          <w:rFonts w:eastAsiaTheme="minorEastAsia" w:hint="eastAsia"/>
          <w:lang w:eastAsia="zh-CN"/>
        </w:rPr>
        <w:t>Form 20-F,</w:t>
      </w:r>
      <w:r>
        <w:rPr>
          <w:rFonts w:eastAsiaTheme="minorEastAsia"/>
          <w:lang w:eastAsia="zh-CN"/>
        </w:rPr>
        <w:t>”</w:t>
      </w:r>
      <w:r>
        <w:rPr>
          <w:rFonts w:eastAsiaTheme="minorEastAsia" w:hint="eastAsia"/>
          <w:lang w:eastAsia="zh-CN"/>
        </w:rPr>
        <w:t xml:space="preserve"> EDGAR Online, accessed December 15, 2016</w:t>
      </w:r>
      <w:r w:rsidR="00203B2A">
        <w:rPr>
          <w:rFonts w:eastAsiaTheme="minorEastAsia"/>
          <w:lang w:eastAsia="zh-CN"/>
        </w:rPr>
        <w:t xml:space="preserve">, </w:t>
      </w:r>
      <w:r w:rsidR="00203B2A" w:rsidRPr="00203B2A">
        <w:rPr>
          <w:rFonts w:eastAsiaTheme="minorEastAsia"/>
          <w:lang w:eastAsia="zh-CN"/>
        </w:rPr>
        <w:t>https://www.sec.gov/Archives/edgar/data/1342803/000095012310047699/h04216e20vf.htm</w:t>
      </w:r>
      <w:r w:rsidR="0045432E">
        <w:rPr>
          <w:rFonts w:eastAsiaTheme="minorEastAsia"/>
          <w:lang w:eastAsia="zh-CN"/>
        </w:rPr>
        <w:t>.</w:t>
      </w:r>
    </w:p>
    <w:p w14:paraId="583CE750" w14:textId="77777777" w:rsidR="0045432E" w:rsidRPr="00811800" w:rsidRDefault="0045432E" w:rsidP="00B819BF">
      <w:pPr>
        <w:pStyle w:val="Footnote"/>
      </w:pPr>
    </w:p>
    <w:p w14:paraId="000820A8" w14:textId="77777777" w:rsidR="0062327A" w:rsidRPr="00811800" w:rsidRDefault="0062327A" w:rsidP="00CD1B39">
      <w:pPr>
        <w:pStyle w:val="BodyTextMain"/>
      </w:pPr>
    </w:p>
    <w:p w14:paraId="7DDEA47D" w14:textId="0FBDA9DD" w:rsidR="0062327A" w:rsidRDefault="0062327A" w:rsidP="007E3AD9">
      <w:pPr>
        <w:pStyle w:val="ExhibitHeading"/>
        <w:rPr>
          <w:sz w:val="19"/>
          <w:szCs w:val="19"/>
        </w:rPr>
      </w:pPr>
      <w:r w:rsidRPr="00811800">
        <w:t xml:space="preserve">Exhibit </w:t>
      </w:r>
      <w:r w:rsidR="00FB4591">
        <w:rPr>
          <w:rFonts w:eastAsiaTheme="minorEastAsia" w:hint="eastAsia"/>
          <w:lang w:eastAsia="zh-CN"/>
        </w:rPr>
        <w:t>9</w:t>
      </w:r>
      <w:r w:rsidRPr="00811800">
        <w:t>: S</w:t>
      </w:r>
      <w:r w:rsidR="00E07F88">
        <w:t>untech power holdings’</w:t>
      </w:r>
      <w:r w:rsidR="0003232C">
        <w:t>s</w:t>
      </w:r>
      <w:r w:rsidR="00E07F88">
        <w:t xml:space="preserve"> </w:t>
      </w:r>
      <w:r w:rsidRPr="00811800">
        <w:t>Cash Flow Indices 2003–2011</w:t>
      </w:r>
      <w:r w:rsidR="007E3AD9">
        <w:t xml:space="preserve"> </w:t>
      </w:r>
      <w:r w:rsidRPr="00811800">
        <w:rPr>
          <w:sz w:val="19"/>
          <w:szCs w:val="19"/>
        </w:rPr>
        <w:t>(</w:t>
      </w:r>
      <w:r w:rsidR="00E07F88">
        <w:rPr>
          <w:sz w:val="19"/>
          <w:szCs w:val="19"/>
        </w:rPr>
        <w:t>$</w:t>
      </w:r>
      <w:r w:rsidRPr="00811800">
        <w:rPr>
          <w:sz w:val="19"/>
          <w:szCs w:val="19"/>
        </w:rPr>
        <w:t xml:space="preserve"> millions)</w:t>
      </w:r>
    </w:p>
    <w:p w14:paraId="4DFACC78" w14:textId="77777777" w:rsidR="007E3AD9" w:rsidRPr="007E3AD9" w:rsidRDefault="007E3AD9" w:rsidP="007E3AD9">
      <w:pPr>
        <w:pStyle w:val="ExhibitHeading"/>
      </w:pPr>
    </w:p>
    <w:tbl>
      <w:tblPr>
        <w:tblW w:w="501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6"/>
        <w:gridCol w:w="709"/>
        <w:gridCol w:w="711"/>
        <w:gridCol w:w="711"/>
        <w:gridCol w:w="851"/>
        <w:gridCol w:w="851"/>
        <w:gridCol w:w="849"/>
        <w:gridCol w:w="850"/>
        <w:gridCol w:w="850"/>
        <w:gridCol w:w="850"/>
        <w:gridCol w:w="708"/>
      </w:tblGrid>
      <w:tr w:rsidR="006319C4" w:rsidRPr="00811800" w14:paraId="229A2FBD" w14:textId="77777777" w:rsidTr="006319C4">
        <w:trPr>
          <w:trHeight w:val="315"/>
          <w:jc w:val="center"/>
        </w:trPr>
        <w:tc>
          <w:tcPr>
            <w:tcW w:w="770" w:type="pct"/>
            <w:shd w:val="clear" w:color="auto" w:fill="auto"/>
            <w:vAlign w:val="center"/>
            <w:hideMark/>
          </w:tcPr>
          <w:p w14:paraId="61595D79" w14:textId="77777777" w:rsidR="0062327A" w:rsidRPr="00811800" w:rsidRDefault="0062327A" w:rsidP="005B292C">
            <w:pPr>
              <w:jc w:val="center"/>
              <w:rPr>
                <w:rFonts w:ascii="Arial" w:hAnsi="Arial" w:cs="Arial"/>
                <w:b/>
                <w:sz w:val="19"/>
                <w:szCs w:val="19"/>
              </w:rPr>
            </w:pPr>
            <w:r w:rsidRPr="00811800">
              <w:rPr>
                <w:rFonts w:ascii="Arial" w:hAnsi="Arial" w:cs="Arial"/>
                <w:b/>
                <w:sz w:val="19"/>
                <w:szCs w:val="19"/>
              </w:rPr>
              <w:t>Items</w:t>
            </w:r>
          </w:p>
        </w:tc>
        <w:tc>
          <w:tcPr>
            <w:tcW w:w="377" w:type="pct"/>
            <w:shd w:val="clear" w:color="auto" w:fill="auto"/>
            <w:noWrap/>
            <w:vAlign w:val="center"/>
            <w:hideMark/>
          </w:tcPr>
          <w:p w14:paraId="3C63D3C8" w14:textId="77777777" w:rsidR="0062327A" w:rsidRPr="00811800" w:rsidRDefault="0062327A" w:rsidP="005B292C">
            <w:pPr>
              <w:jc w:val="center"/>
              <w:rPr>
                <w:rFonts w:ascii="Arial" w:hAnsi="Arial" w:cs="Arial"/>
                <w:b/>
                <w:sz w:val="19"/>
                <w:szCs w:val="19"/>
              </w:rPr>
            </w:pPr>
            <w:r w:rsidRPr="00811800">
              <w:rPr>
                <w:rFonts w:ascii="Arial" w:hAnsi="Arial" w:cs="Arial"/>
                <w:b/>
                <w:sz w:val="19"/>
                <w:szCs w:val="19"/>
              </w:rPr>
              <w:t>2003</w:t>
            </w:r>
          </w:p>
        </w:tc>
        <w:tc>
          <w:tcPr>
            <w:tcW w:w="378" w:type="pct"/>
            <w:shd w:val="clear" w:color="auto" w:fill="auto"/>
            <w:noWrap/>
            <w:vAlign w:val="center"/>
            <w:hideMark/>
          </w:tcPr>
          <w:p w14:paraId="5CC07DEA" w14:textId="77777777" w:rsidR="0062327A" w:rsidRPr="00811800" w:rsidRDefault="0062327A" w:rsidP="005B292C">
            <w:pPr>
              <w:jc w:val="center"/>
              <w:rPr>
                <w:rFonts w:ascii="Arial" w:hAnsi="Arial" w:cs="Arial"/>
                <w:b/>
                <w:sz w:val="19"/>
                <w:szCs w:val="19"/>
              </w:rPr>
            </w:pPr>
            <w:r w:rsidRPr="00811800">
              <w:rPr>
                <w:rFonts w:ascii="Arial" w:hAnsi="Arial" w:cs="Arial"/>
                <w:b/>
                <w:sz w:val="19"/>
                <w:szCs w:val="19"/>
              </w:rPr>
              <w:t>2004</w:t>
            </w:r>
          </w:p>
        </w:tc>
        <w:tc>
          <w:tcPr>
            <w:tcW w:w="378" w:type="pct"/>
            <w:shd w:val="clear" w:color="auto" w:fill="auto"/>
            <w:noWrap/>
            <w:vAlign w:val="center"/>
            <w:hideMark/>
          </w:tcPr>
          <w:p w14:paraId="5FAB672D" w14:textId="77777777" w:rsidR="0062327A" w:rsidRPr="00811800" w:rsidRDefault="0062327A" w:rsidP="005B292C">
            <w:pPr>
              <w:jc w:val="center"/>
              <w:rPr>
                <w:rFonts w:ascii="Arial" w:hAnsi="Arial" w:cs="Arial"/>
                <w:b/>
                <w:sz w:val="19"/>
                <w:szCs w:val="19"/>
              </w:rPr>
            </w:pPr>
            <w:r w:rsidRPr="00811800">
              <w:rPr>
                <w:rFonts w:ascii="Arial" w:hAnsi="Arial" w:cs="Arial"/>
                <w:b/>
                <w:sz w:val="19"/>
                <w:szCs w:val="19"/>
              </w:rPr>
              <w:t>2005</w:t>
            </w:r>
          </w:p>
        </w:tc>
        <w:tc>
          <w:tcPr>
            <w:tcW w:w="453" w:type="pct"/>
            <w:shd w:val="clear" w:color="auto" w:fill="auto"/>
            <w:noWrap/>
            <w:vAlign w:val="center"/>
            <w:hideMark/>
          </w:tcPr>
          <w:p w14:paraId="4DA21C23" w14:textId="77777777" w:rsidR="0062327A" w:rsidRPr="00811800" w:rsidRDefault="0062327A" w:rsidP="005B292C">
            <w:pPr>
              <w:jc w:val="center"/>
              <w:rPr>
                <w:rFonts w:ascii="Arial" w:hAnsi="Arial" w:cs="Arial"/>
                <w:b/>
                <w:sz w:val="19"/>
                <w:szCs w:val="19"/>
              </w:rPr>
            </w:pPr>
            <w:r w:rsidRPr="00811800">
              <w:rPr>
                <w:rFonts w:ascii="Arial" w:hAnsi="Arial" w:cs="Arial"/>
                <w:b/>
                <w:sz w:val="19"/>
                <w:szCs w:val="19"/>
              </w:rPr>
              <w:t>2006</w:t>
            </w:r>
          </w:p>
        </w:tc>
        <w:tc>
          <w:tcPr>
            <w:tcW w:w="453" w:type="pct"/>
            <w:shd w:val="clear" w:color="auto" w:fill="auto"/>
            <w:noWrap/>
            <w:vAlign w:val="center"/>
            <w:hideMark/>
          </w:tcPr>
          <w:p w14:paraId="5F1E4F0B" w14:textId="77777777" w:rsidR="0062327A" w:rsidRPr="00811800" w:rsidRDefault="0062327A" w:rsidP="005B292C">
            <w:pPr>
              <w:jc w:val="center"/>
              <w:rPr>
                <w:rFonts w:ascii="Arial" w:hAnsi="Arial" w:cs="Arial"/>
                <w:b/>
                <w:sz w:val="19"/>
                <w:szCs w:val="19"/>
              </w:rPr>
            </w:pPr>
            <w:r w:rsidRPr="00811800">
              <w:rPr>
                <w:rFonts w:ascii="Arial" w:hAnsi="Arial" w:cs="Arial"/>
                <w:b/>
                <w:sz w:val="19"/>
                <w:szCs w:val="19"/>
              </w:rPr>
              <w:t>2007</w:t>
            </w:r>
          </w:p>
        </w:tc>
        <w:tc>
          <w:tcPr>
            <w:tcW w:w="452" w:type="pct"/>
            <w:shd w:val="clear" w:color="auto" w:fill="auto"/>
            <w:noWrap/>
            <w:vAlign w:val="center"/>
            <w:hideMark/>
          </w:tcPr>
          <w:p w14:paraId="28CB3B27" w14:textId="77777777" w:rsidR="0062327A" w:rsidRPr="00811800" w:rsidRDefault="0062327A" w:rsidP="005B292C">
            <w:pPr>
              <w:jc w:val="center"/>
              <w:rPr>
                <w:rFonts w:ascii="Arial" w:hAnsi="Arial" w:cs="Arial"/>
                <w:b/>
                <w:sz w:val="19"/>
                <w:szCs w:val="19"/>
              </w:rPr>
            </w:pPr>
            <w:r w:rsidRPr="00811800">
              <w:rPr>
                <w:rFonts w:ascii="Arial" w:hAnsi="Arial" w:cs="Arial"/>
                <w:b/>
                <w:sz w:val="19"/>
                <w:szCs w:val="19"/>
              </w:rPr>
              <w:t>2008</w:t>
            </w:r>
          </w:p>
        </w:tc>
        <w:tc>
          <w:tcPr>
            <w:tcW w:w="453" w:type="pct"/>
            <w:shd w:val="clear" w:color="auto" w:fill="auto"/>
            <w:noWrap/>
            <w:vAlign w:val="center"/>
            <w:hideMark/>
          </w:tcPr>
          <w:p w14:paraId="17A91F10" w14:textId="77777777" w:rsidR="0062327A" w:rsidRPr="00811800" w:rsidRDefault="0062327A" w:rsidP="005B292C">
            <w:pPr>
              <w:jc w:val="center"/>
              <w:rPr>
                <w:rFonts w:ascii="Arial" w:hAnsi="Arial" w:cs="Arial"/>
                <w:b/>
                <w:sz w:val="19"/>
                <w:szCs w:val="19"/>
              </w:rPr>
            </w:pPr>
            <w:r w:rsidRPr="00811800">
              <w:rPr>
                <w:rFonts w:ascii="Arial" w:hAnsi="Arial" w:cs="Arial"/>
                <w:b/>
                <w:sz w:val="19"/>
                <w:szCs w:val="19"/>
              </w:rPr>
              <w:t>2009</w:t>
            </w:r>
          </w:p>
        </w:tc>
        <w:tc>
          <w:tcPr>
            <w:tcW w:w="453" w:type="pct"/>
            <w:shd w:val="clear" w:color="auto" w:fill="auto"/>
            <w:noWrap/>
            <w:vAlign w:val="center"/>
            <w:hideMark/>
          </w:tcPr>
          <w:p w14:paraId="4E195EC3" w14:textId="77777777" w:rsidR="0062327A" w:rsidRPr="00811800" w:rsidRDefault="0062327A" w:rsidP="005B292C">
            <w:pPr>
              <w:jc w:val="center"/>
              <w:rPr>
                <w:rFonts w:ascii="Arial" w:hAnsi="Arial" w:cs="Arial"/>
                <w:b/>
                <w:sz w:val="19"/>
                <w:szCs w:val="19"/>
              </w:rPr>
            </w:pPr>
            <w:r w:rsidRPr="00811800">
              <w:rPr>
                <w:rFonts w:ascii="Arial" w:hAnsi="Arial" w:cs="Arial"/>
                <w:b/>
                <w:sz w:val="19"/>
                <w:szCs w:val="19"/>
              </w:rPr>
              <w:t>2010</w:t>
            </w:r>
          </w:p>
        </w:tc>
        <w:tc>
          <w:tcPr>
            <w:tcW w:w="453" w:type="pct"/>
            <w:shd w:val="clear" w:color="auto" w:fill="auto"/>
            <w:noWrap/>
            <w:vAlign w:val="center"/>
            <w:hideMark/>
          </w:tcPr>
          <w:p w14:paraId="3E55304A" w14:textId="77777777" w:rsidR="0062327A" w:rsidRPr="00811800" w:rsidRDefault="0062327A" w:rsidP="005B292C">
            <w:pPr>
              <w:jc w:val="center"/>
              <w:rPr>
                <w:rFonts w:ascii="Arial" w:hAnsi="Arial" w:cs="Arial"/>
                <w:b/>
                <w:sz w:val="19"/>
                <w:szCs w:val="19"/>
              </w:rPr>
            </w:pPr>
            <w:r w:rsidRPr="00811800">
              <w:rPr>
                <w:rFonts w:ascii="Arial" w:hAnsi="Arial" w:cs="Arial"/>
                <w:b/>
                <w:sz w:val="19"/>
                <w:szCs w:val="19"/>
              </w:rPr>
              <w:t>2011</w:t>
            </w:r>
          </w:p>
        </w:tc>
        <w:tc>
          <w:tcPr>
            <w:tcW w:w="377" w:type="pct"/>
            <w:shd w:val="clear" w:color="auto" w:fill="auto"/>
            <w:noWrap/>
            <w:vAlign w:val="center"/>
            <w:hideMark/>
          </w:tcPr>
          <w:p w14:paraId="652A4B5E" w14:textId="77777777" w:rsidR="0062327A" w:rsidRPr="00811800" w:rsidRDefault="0062327A" w:rsidP="005B292C">
            <w:pPr>
              <w:jc w:val="center"/>
              <w:rPr>
                <w:rFonts w:ascii="Arial" w:hAnsi="Arial" w:cs="Arial"/>
                <w:b/>
                <w:sz w:val="19"/>
                <w:szCs w:val="19"/>
              </w:rPr>
            </w:pPr>
            <w:r w:rsidRPr="00811800">
              <w:rPr>
                <w:rFonts w:ascii="Arial" w:hAnsi="Arial" w:cs="Arial"/>
                <w:b/>
                <w:sz w:val="19"/>
                <w:szCs w:val="19"/>
              </w:rPr>
              <w:t>Avg.</w:t>
            </w:r>
          </w:p>
        </w:tc>
      </w:tr>
      <w:tr w:rsidR="006319C4" w:rsidRPr="00811800" w14:paraId="4B0E4572" w14:textId="77777777" w:rsidTr="006319C4">
        <w:trPr>
          <w:trHeight w:val="315"/>
          <w:jc w:val="center"/>
        </w:trPr>
        <w:tc>
          <w:tcPr>
            <w:tcW w:w="770" w:type="pct"/>
            <w:shd w:val="clear" w:color="auto" w:fill="auto"/>
            <w:vAlign w:val="center"/>
            <w:hideMark/>
          </w:tcPr>
          <w:p w14:paraId="1026304B" w14:textId="77777777" w:rsidR="0062327A" w:rsidRPr="00811800" w:rsidRDefault="0062327A" w:rsidP="00C316BA">
            <w:pPr>
              <w:rPr>
                <w:rFonts w:ascii="Arial" w:hAnsi="Arial" w:cs="Arial"/>
                <w:sz w:val="19"/>
                <w:szCs w:val="19"/>
              </w:rPr>
            </w:pPr>
            <w:r w:rsidRPr="00811800">
              <w:rPr>
                <w:rFonts w:ascii="Arial" w:hAnsi="Arial" w:cs="Arial"/>
                <w:sz w:val="19"/>
                <w:szCs w:val="19"/>
              </w:rPr>
              <w:t>Operating CF</w:t>
            </w:r>
          </w:p>
        </w:tc>
        <w:tc>
          <w:tcPr>
            <w:tcW w:w="377" w:type="pct"/>
            <w:shd w:val="clear" w:color="auto" w:fill="auto"/>
            <w:noWrap/>
            <w:vAlign w:val="center"/>
            <w:hideMark/>
          </w:tcPr>
          <w:p w14:paraId="24175D6D" w14:textId="77777777" w:rsidR="0062327A" w:rsidRPr="00811800" w:rsidRDefault="0062327A" w:rsidP="00F07E0C">
            <w:pPr>
              <w:jc w:val="right"/>
              <w:rPr>
                <w:rFonts w:ascii="Arial" w:hAnsi="Arial" w:cs="Arial"/>
                <w:sz w:val="18"/>
                <w:szCs w:val="19"/>
              </w:rPr>
            </w:pPr>
            <w:r w:rsidRPr="00811800">
              <w:rPr>
                <w:rFonts w:ascii="Arial" w:hAnsi="Arial" w:cs="Arial"/>
                <w:sz w:val="18"/>
                <w:szCs w:val="19"/>
              </w:rPr>
              <w:t>0.7</w:t>
            </w:r>
          </w:p>
        </w:tc>
        <w:tc>
          <w:tcPr>
            <w:tcW w:w="378" w:type="pct"/>
            <w:shd w:val="clear" w:color="auto" w:fill="auto"/>
            <w:noWrap/>
            <w:vAlign w:val="center"/>
            <w:hideMark/>
          </w:tcPr>
          <w:p w14:paraId="2F67F092" w14:textId="77777777" w:rsidR="0062327A" w:rsidRPr="00811800" w:rsidRDefault="0062327A" w:rsidP="00F07E0C">
            <w:pPr>
              <w:jc w:val="right"/>
              <w:rPr>
                <w:rFonts w:ascii="Arial" w:hAnsi="Arial" w:cs="Arial"/>
                <w:sz w:val="18"/>
                <w:szCs w:val="19"/>
              </w:rPr>
            </w:pPr>
            <w:r w:rsidRPr="00811800">
              <w:rPr>
                <w:rFonts w:ascii="Arial" w:hAnsi="Arial" w:cs="Arial"/>
                <w:sz w:val="18"/>
                <w:szCs w:val="19"/>
              </w:rPr>
              <w:t>2.6</w:t>
            </w:r>
          </w:p>
        </w:tc>
        <w:tc>
          <w:tcPr>
            <w:tcW w:w="378" w:type="pct"/>
            <w:shd w:val="clear" w:color="auto" w:fill="auto"/>
            <w:noWrap/>
            <w:vAlign w:val="center"/>
            <w:hideMark/>
          </w:tcPr>
          <w:p w14:paraId="4184DFF0" w14:textId="77777777" w:rsidR="0062327A" w:rsidRPr="00811800" w:rsidRDefault="0062327A" w:rsidP="00F07E0C">
            <w:pPr>
              <w:jc w:val="right"/>
              <w:rPr>
                <w:rFonts w:ascii="Arial" w:hAnsi="Arial" w:cs="Arial"/>
                <w:sz w:val="18"/>
                <w:szCs w:val="19"/>
              </w:rPr>
            </w:pPr>
            <w:r w:rsidRPr="00811800">
              <w:rPr>
                <w:rFonts w:ascii="Arial" w:hAnsi="Arial" w:cs="Arial"/>
                <w:sz w:val="18"/>
                <w:szCs w:val="19"/>
              </w:rPr>
              <w:t>22.6</w:t>
            </w:r>
          </w:p>
        </w:tc>
        <w:tc>
          <w:tcPr>
            <w:tcW w:w="453" w:type="pct"/>
            <w:shd w:val="clear" w:color="auto" w:fill="auto"/>
            <w:noWrap/>
            <w:vAlign w:val="center"/>
            <w:hideMark/>
          </w:tcPr>
          <w:p w14:paraId="218FDE4B" w14:textId="7A2A3AE1" w:rsidR="0062327A" w:rsidRPr="00811800" w:rsidRDefault="002F11D4" w:rsidP="00F07E0C">
            <w:pPr>
              <w:jc w:val="right"/>
              <w:rPr>
                <w:rFonts w:ascii="Arial" w:hAnsi="Arial" w:cs="Arial"/>
                <w:sz w:val="18"/>
                <w:szCs w:val="19"/>
              </w:rPr>
            </w:pPr>
            <w:r w:rsidRPr="002F11D4">
              <w:rPr>
                <w:rFonts w:ascii="Arial" w:hAnsi="Arial" w:cs="Arial"/>
                <w:sz w:val="18"/>
                <w:szCs w:val="19"/>
              </w:rPr>
              <w:t>−</w:t>
            </w:r>
            <w:r w:rsidR="0062327A" w:rsidRPr="00811800">
              <w:rPr>
                <w:rFonts w:ascii="Arial" w:hAnsi="Arial" w:cs="Arial"/>
                <w:sz w:val="18"/>
                <w:szCs w:val="19"/>
              </w:rPr>
              <w:t>150.0</w:t>
            </w:r>
          </w:p>
        </w:tc>
        <w:tc>
          <w:tcPr>
            <w:tcW w:w="453" w:type="pct"/>
            <w:shd w:val="clear" w:color="auto" w:fill="auto"/>
            <w:noWrap/>
            <w:vAlign w:val="center"/>
            <w:hideMark/>
          </w:tcPr>
          <w:p w14:paraId="274FB080" w14:textId="4121C166" w:rsidR="0062327A" w:rsidRPr="00811800" w:rsidRDefault="002F11D4" w:rsidP="00F07E0C">
            <w:pPr>
              <w:jc w:val="right"/>
              <w:rPr>
                <w:rFonts w:ascii="Arial" w:hAnsi="Arial" w:cs="Arial"/>
                <w:sz w:val="18"/>
                <w:szCs w:val="19"/>
              </w:rPr>
            </w:pPr>
            <w:r w:rsidRPr="002F11D4">
              <w:rPr>
                <w:rFonts w:ascii="Arial" w:hAnsi="Arial" w:cs="Arial"/>
                <w:sz w:val="18"/>
                <w:szCs w:val="19"/>
              </w:rPr>
              <w:t>−</w:t>
            </w:r>
            <w:r w:rsidR="0062327A" w:rsidRPr="00811800">
              <w:rPr>
                <w:rFonts w:ascii="Arial" w:hAnsi="Arial" w:cs="Arial"/>
                <w:sz w:val="18"/>
                <w:szCs w:val="19"/>
              </w:rPr>
              <w:t>9.0</w:t>
            </w:r>
          </w:p>
        </w:tc>
        <w:tc>
          <w:tcPr>
            <w:tcW w:w="452" w:type="pct"/>
            <w:shd w:val="clear" w:color="auto" w:fill="auto"/>
            <w:noWrap/>
            <w:vAlign w:val="center"/>
            <w:hideMark/>
          </w:tcPr>
          <w:p w14:paraId="3732DC64" w14:textId="4705430A" w:rsidR="0062327A" w:rsidRPr="00811800" w:rsidRDefault="002F11D4" w:rsidP="00F07E0C">
            <w:pPr>
              <w:jc w:val="right"/>
              <w:rPr>
                <w:rFonts w:ascii="Arial" w:hAnsi="Arial" w:cs="Arial"/>
                <w:sz w:val="18"/>
                <w:szCs w:val="19"/>
              </w:rPr>
            </w:pPr>
            <w:r w:rsidRPr="002F11D4">
              <w:rPr>
                <w:rFonts w:ascii="Arial" w:hAnsi="Arial" w:cs="Arial"/>
                <w:sz w:val="18"/>
                <w:szCs w:val="19"/>
              </w:rPr>
              <w:t>−</w:t>
            </w:r>
            <w:r w:rsidR="0062327A" w:rsidRPr="00811800">
              <w:rPr>
                <w:rFonts w:ascii="Arial" w:hAnsi="Arial" w:cs="Arial"/>
                <w:sz w:val="18"/>
                <w:szCs w:val="19"/>
              </w:rPr>
              <w:t>171.0</w:t>
            </w:r>
          </w:p>
        </w:tc>
        <w:tc>
          <w:tcPr>
            <w:tcW w:w="453" w:type="pct"/>
            <w:shd w:val="clear" w:color="auto" w:fill="auto"/>
            <w:noWrap/>
            <w:vAlign w:val="center"/>
            <w:hideMark/>
          </w:tcPr>
          <w:p w14:paraId="353DC384" w14:textId="77777777" w:rsidR="0062327A" w:rsidRPr="00811800" w:rsidRDefault="0062327A" w:rsidP="00F07E0C">
            <w:pPr>
              <w:jc w:val="right"/>
              <w:rPr>
                <w:rFonts w:ascii="Arial" w:hAnsi="Arial" w:cs="Arial"/>
                <w:sz w:val="18"/>
                <w:szCs w:val="19"/>
              </w:rPr>
            </w:pPr>
            <w:r w:rsidRPr="00811800">
              <w:rPr>
                <w:rFonts w:ascii="Arial" w:hAnsi="Arial" w:cs="Arial"/>
                <w:sz w:val="18"/>
                <w:szCs w:val="19"/>
              </w:rPr>
              <w:t>292.9</w:t>
            </w:r>
          </w:p>
        </w:tc>
        <w:tc>
          <w:tcPr>
            <w:tcW w:w="453" w:type="pct"/>
            <w:shd w:val="clear" w:color="auto" w:fill="auto"/>
            <w:noWrap/>
            <w:vAlign w:val="center"/>
            <w:hideMark/>
          </w:tcPr>
          <w:p w14:paraId="1D827AF8" w14:textId="2FE9C06F" w:rsidR="0062327A" w:rsidRPr="00811800" w:rsidRDefault="002F11D4" w:rsidP="00F07E0C">
            <w:pPr>
              <w:jc w:val="right"/>
              <w:rPr>
                <w:rFonts w:ascii="Arial" w:hAnsi="Arial" w:cs="Arial"/>
                <w:sz w:val="18"/>
                <w:szCs w:val="19"/>
              </w:rPr>
            </w:pPr>
            <w:r w:rsidRPr="002F11D4">
              <w:rPr>
                <w:rFonts w:ascii="Arial" w:hAnsi="Arial" w:cs="Arial"/>
                <w:sz w:val="18"/>
                <w:szCs w:val="19"/>
              </w:rPr>
              <w:t>−</w:t>
            </w:r>
            <w:r w:rsidR="0062327A" w:rsidRPr="00811800">
              <w:rPr>
                <w:rFonts w:ascii="Arial" w:hAnsi="Arial" w:cs="Arial"/>
                <w:sz w:val="18"/>
                <w:szCs w:val="19"/>
              </w:rPr>
              <w:t>30.0</w:t>
            </w:r>
          </w:p>
        </w:tc>
        <w:tc>
          <w:tcPr>
            <w:tcW w:w="453" w:type="pct"/>
            <w:shd w:val="clear" w:color="auto" w:fill="auto"/>
            <w:noWrap/>
            <w:vAlign w:val="center"/>
            <w:hideMark/>
          </w:tcPr>
          <w:p w14:paraId="31B431AB" w14:textId="77777777" w:rsidR="0062327A" w:rsidRPr="00811800" w:rsidRDefault="0062327A" w:rsidP="00F07E0C">
            <w:pPr>
              <w:jc w:val="right"/>
              <w:rPr>
                <w:rFonts w:ascii="Arial" w:hAnsi="Arial" w:cs="Arial"/>
                <w:sz w:val="18"/>
                <w:szCs w:val="19"/>
              </w:rPr>
            </w:pPr>
            <w:r w:rsidRPr="00811800">
              <w:rPr>
                <w:rFonts w:ascii="Arial" w:hAnsi="Arial" w:cs="Arial"/>
                <w:sz w:val="18"/>
                <w:szCs w:val="19"/>
              </w:rPr>
              <w:t>93.3</w:t>
            </w:r>
          </w:p>
        </w:tc>
        <w:tc>
          <w:tcPr>
            <w:tcW w:w="377" w:type="pct"/>
            <w:shd w:val="clear" w:color="auto" w:fill="auto"/>
            <w:noWrap/>
            <w:vAlign w:val="center"/>
            <w:hideMark/>
          </w:tcPr>
          <w:p w14:paraId="68E24216" w14:textId="77777777" w:rsidR="0062327A" w:rsidRPr="00811800" w:rsidRDefault="0062327A" w:rsidP="00F07E0C">
            <w:pPr>
              <w:jc w:val="right"/>
              <w:rPr>
                <w:rFonts w:ascii="Arial" w:hAnsi="Arial" w:cs="Arial"/>
                <w:sz w:val="18"/>
                <w:szCs w:val="19"/>
              </w:rPr>
            </w:pPr>
            <w:r w:rsidRPr="00811800">
              <w:rPr>
                <w:rFonts w:ascii="Arial" w:hAnsi="Arial" w:cs="Arial"/>
                <w:sz w:val="18"/>
                <w:szCs w:val="19"/>
              </w:rPr>
              <w:t>5.8</w:t>
            </w:r>
          </w:p>
        </w:tc>
      </w:tr>
      <w:tr w:rsidR="006319C4" w:rsidRPr="00811800" w14:paraId="06B9A89F" w14:textId="77777777" w:rsidTr="006319C4">
        <w:trPr>
          <w:trHeight w:val="315"/>
          <w:jc w:val="center"/>
        </w:trPr>
        <w:tc>
          <w:tcPr>
            <w:tcW w:w="770" w:type="pct"/>
            <w:shd w:val="clear" w:color="auto" w:fill="auto"/>
            <w:vAlign w:val="center"/>
            <w:hideMark/>
          </w:tcPr>
          <w:p w14:paraId="7D8AFF20" w14:textId="77777777" w:rsidR="0062327A" w:rsidRPr="00811800" w:rsidRDefault="0062327A" w:rsidP="00C316BA">
            <w:pPr>
              <w:rPr>
                <w:rFonts w:ascii="Arial" w:hAnsi="Arial" w:cs="Arial"/>
                <w:sz w:val="19"/>
                <w:szCs w:val="19"/>
              </w:rPr>
            </w:pPr>
            <w:r w:rsidRPr="00811800">
              <w:rPr>
                <w:rFonts w:ascii="Arial" w:hAnsi="Arial" w:cs="Arial"/>
                <w:sz w:val="19"/>
                <w:szCs w:val="19"/>
              </w:rPr>
              <w:t>Investment CF</w:t>
            </w:r>
          </w:p>
        </w:tc>
        <w:tc>
          <w:tcPr>
            <w:tcW w:w="377" w:type="pct"/>
            <w:shd w:val="clear" w:color="auto" w:fill="auto"/>
            <w:noWrap/>
            <w:vAlign w:val="center"/>
            <w:hideMark/>
          </w:tcPr>
          <w:p w14:paraId="586A7139" w14:textId="35882815" w:rsidR="0062327A" w:rsidRPr="00811800" w:rsidRDefault="002F11D4" w:rsidP="00F07E0C">
            <w:pPr>
              <w:jc w:val="right"/>
              <w:rPr>
                <w:rFonts w:ascii="Arial" w:hAnsi="Arial" w:cs="Arial"/>
                <w:sz w:val="18"/>
                <w:szCs w:val="19"/>
              </w:rPr>
            </w:pPr>
            <w:r>
              <w:rPr>
                <w:rFonts w:ascii="Arial" w:hAnsi="Arial" w:cs="Arial"/>
                <w:sz w:val="18"/>
                <w:szCs w:val="19"/>
              </w:rPr>
              <w:t>−</w:t>
            </w:r>
            <w:r w:rsidR="0062327A" w:rsidRPr="00811800">
              <w:rPr>
                <w:rFonts w:ascii="Arial" w:hAnsi="Arial" w:cs="Arial"/>
                <w:sz w:val="18"/>
                <w:szCs w:val="19"/>
              </w:rPr>
              <w:t>3.0</w:t>
            </w:r>
          </w:p>
        </w:tc>
        <w:tc>
          <w:tcPr>
            <w:tcW w:w="378" w:type="pct"/>
            <w:shd w:val="clear" w:color="auto" w:fill="auto"/>
            <w:noWrap/>
            <w:vAlign w:val="center"/>
            <w:hideMark/>
          </w:tcPr>
          <w:p w14:paraId="068688A1" w14:textId="43768B97" w:rsidR="0062327A" w:rsidRPr="00811800" w:rsidRDefault="002F11D4" w:rsidP="00F07E0C">
            <w:pPr>
              <w:jc w:val="right"/>
              <w:rPr>
                <w:rFonts w:ascii="Arial" w:hAnsi="Arial" w:cs="Arial"/>
                <w:sz w:val="18"/>
                <w:szCs w:val="19"/>
              </w:rPr>
            </w:pPr>
            <w:r w:rsidRPr="002F11D4">
              <w:rPr>
                <w:rFonts w:ascii="Arial" w:hAnsi="Arial" w:cs="Arial"/>
                <w:sz w:val="18"/>
                <w:szCs w:val="19"/>
              </w:rPr>
              <w:t>−</w:t>
            </w:r>
            <w:r w:rsidR="0062327A" w:rsidRPr="00811800">
              <w:rPr>
                <w:rFonts w:ascii="Arial" w:hAnsi="Arial" w:cs="Arial"/>
                <w:sz w:val="18"/>
                <w:szCs w:val="19"/>
              </w:rPr>
              <w:t>13.0</w:t>
            </w:r>
          </w:p>
        </w:tc>
        <w:tc>
          <w:tcPr>
            <w:tcW w:w="378" w:type="pct"/>
            <w:shd w:val="clear" w:color="auto" w:fill="auto"/>
            <w:noWrap/>
            <w:vAlign w:val="center"/>
            <w:hideMark/>
          </w:tcPr>
          <w:p w14:paraId="723431B2" w14:textId="77777777" w:rsidR="0062327A" w:rsidRPr="00811800" w:rsidRDefault="0062327A" w:rsidP="00F07E0C">
            <w:pPr>
              <w:jc w:val="right"/>
              <w:rPr>
                <w:rFonts w:ascii="Arial" w:hAnsi="Arial" w:cs="Arial"/>
                <w:sz w:val="18"/>
                <w:szCs w:val="19"/>
              </w:rPr>
            </w:pPr>
            <w:r w:rsidRPr="00811800">
              <w:rPr>
                <w:rFonts w:ascii="Arial" w:hAnsi="Arial" w:cs="Arial"/>
                <w:sz w:val="18"/>
                <w:szCs w:val="19"/>
              </w:rPr>
              <w:t>31.1</w:t>
            </w:r>
          </w:p>
        </w:tc>
        <w:tc>
          <w:tcPr>
            <w:tcW w:w="453" w:type="pct"/>
            <w:shd w:val="clear" w:color="auto" w:fill="auto"/>
            <w:noWrap/>
            <w:vAlign w:val="center"/>
            <w:hideMark/>
          </w:tcPr>
          <w:p w14:paraId="5763761E" w14:textId="35D5F127" w:rsidR="0062327A" w:rsidRPr="00811800" w:rsidRDefault="002F11D4" w:rsidP="00F07E0C">
            <w:pPr>
              <w:jc w:val="right"/>
              <w:rPr>
                <w:rFonts w:ascii="Arial" w:hAnsi="Arial" w:cs="Arial"/>
                <w:sz w:val="18"/>
                <w:szCs w:val="19"/>
              </w:rPr>
            </w:pPr>
            <w:r w:rsidRPr="002F11D4">
              <w:rPr>
                <w:rFonts w:ascii="Arial" w:hAnsi="Arial" w:cs="Arial"/>
                <w:sz w:val="18"/>
                <w:szCs w:val="19"/>
              </w:rPr>
              <w:t>−</w:t>
            </w:r>
            <w:r w:rsidR="0062327A" w:rsidRPr="00811800">
              <w:rPr>
                <w:rFonts w:ascii="Arial" w:hAnsi="Arial" w:cs="Arial"/>
                <w:sz w:val="18"/>
                <w:szCs w:val="19"/>
              </w:rPr>
              <w:t>154.0</w:t>
            </w:r>
          </w:p>
        </w:tc>
        <w:tc>
          <w:tcPr>
            <w:tcW w:w="453" w:type="pct"/>
            <w:shd w:val="clear" w:color="auto" w:fill="auto"/>
            <w:noWrap/>
            <w:vAlign w:val="center"/>
            <w:hideMark/>
          </w:tcPr>
          <w:p w14:paraId="1DB751DD" w14:textId="6B914214" w:rsidR="0062327A" w:rsidRPr="00811800" w:rsidRDefault="002F11D4" w:rsidP="00F07E0C">
            <w:pPr>
              <w:jc w:val="right"/>
              <w:rPr>
                <w:rFonts w:ascii="Arial" w:hAnsi="Arial" w:cs="Arial"/>
                <w:sz w:val="18"/>
                <w:szCs w:val="19"/>
              </w:rPr>
            </w:pPr>
            <w:r w:rsidRPr="002F11D4">
              <w:rPr>
                <w:rFonts w:ascii="Arial" w:hAnsi="Arial" w:cs="Arial"/>
                <w:sz w:val="18"/>
                <w:szCs w:val="19"/>
              </w:rPr>
              <w:t>−</w:t>
            </w:r>
            <w:r w:rsidR="0062327A" w:rsidRPr="00811800">
              <w:rPr>
                <w:rFonts w:ascii="Arial" w:hAnsi="Arial" w:cs="Arial"/>
                <w:sz w:val="18"/>
                <w:szCs w:val="19"/>
              </w:rPr>
              <w:t>241.0</w:t>
            </w:r>
          </w:p>
        </w:tc>
        <w:tc>
          <w:tcPr>
            <w:tcW w:w="452" w:type="pct"/>
            <w:shd w:val="clear" w:color="auto" w:fill="auto"/>
            <w:noWrap/>
            <w:vAlign w:val="center"/>
            <w:hideMark/>
          </w:tcPr>
          <w:p w14:paraId="1CCC5385" w14:textId="3EA0DC19" w:rsidR="0062327A" w:rsidRPr="00811800" w:rsidRDefault="002F11D4" w:rsidP="00F07E0C">
            <w:pPr>
              <w:jc w:val="right"/>
              <w:rPr>
                <w:rFonts w:ascii="Arial" w:hAnsi="Arial" w:cs="Arial"/>
                <w:sz w:val="18"/>
                <w:szCs w:val="19"/>
              </w:rPr>
            </w:pPr>
            <w:r w:rsidRPr="002F11D4">
              <w:rPr>
                <w:rFonts w:ascii="Arial" w:hAnsi="Arial" w:cs="Arial"/>
                <w:sz w:val="18"/>
                <w:szCs w:val="19"/>
              </w:rPr>
              <w:t>−</w:t>
            </w:r>
            <w:r w:rsidR="0062327A" w:rsidRPr="00811800">
              <w:rPr>
                <w:rFonts w:ascii="Arial" w:hAnsi="Arial" w:cs="Arial"/>
                <w:sz w:val="18"/>
                <w:szCs w:val="19"/>
              </w:rPr>
              <w:t>642.0</w:t>
            </w:r>
          </w:p>
        </w:tc>
        <w:tc>
          <w:tcPr>
            <w:tcW w:w="453" w:type="pct"/>
            <w:shd w:val="clear" w:color="auto" w:fill="auto"/>
            <w:noWrap/>
            <w:vAlign w:val="center"/>
            <w:hideMark/>
          </w:tcPr>
          <w:p w14:paraId="65ACCCB0" w14:textId="3C287509" w:rsidR="0062327A" w:rsidRPr="00811800" w:rsidRDefault="002F11D4" w:rsidP="00F07E0C">
            <w:pPr>
              <w:jc w:val="right"/>
              <w:rPr>
                <w:rFonts w:ascii="Arial" w:hAnsi="Arial" w:cs="Arial"/>
                <w:sz w:val="18"/>
                <w:szCs w:val="19"/>
              </w:rPr>
            </w:pPr>
            <w:r w:rsidRPr="002F11D4">
              <w:rPr>
                <w:rFonts w:ascii="Arial" w:hAnsi="Arial" w:cs="Arial"/>
                <w:sz w:val="18"/>
                <w:szCs w:val="19"/>
              </w:rPr>
              <w:t>−</w:t>
            </w:r>
            <w:r w:rsidR="0062327A" w:rsidRPr="00811800">
              <w:rPr>
                <w:rFonts w:ascii="Arial" w:hAnsi="Arial" w:cs="Arial"/>
                <w:sz w:val="18"/>
                <w:szCs w:val="19"/>
              </w:rPr>
              <w:t>442.0</w:t>
            </w:r>
          </w:p>
        </w:tc>
        <w:tc>
          <w:tcPr>
            <w:tcW w:w="453" w:type="pct"/>
            <w:shd w:val="clear" w:color="auto" w:fill="auto"/>
            <w:noWrap/>
            <w:vAlign w:val="center"/>
            <w:hideMark/>
          </w:tcPr>
          <w:p w14:paraId="31355EB2" w14:textId="771EBED2" w:rsidR="0062327A" w:rsidRPr="00811800" w:rsidRDefault="002F11D4" w:rsidP="00F07E0C">
            <w:pPr>
              <w:jc w:val="right"/>
              <w:rPr>
                <w:rFonts w:ascii="Arial" w:hAnsi="Arial" w:cs="Arial"/>
                <w:sz w:val="18"/>
                <w:szCs w:val="19"/>
              </w:rPr>
            </w:pPr>
            <w:r w:rsidRPr="002F11D4">
              <w:rPr>
                <w:rFonts w:ascii="Arial" w:hAnsi="Arial" w:cs="Arial"/>
                <w:sz w:val="18"/>
                <w:szCs w:val="19"/>
              </w:rPr>
              <w:t>−</w:t>
            </w:r>
            <w:r w:rsidR="0062327A" w:rsidRPr="00811800">
              <w:rPr>
                <w:rFonts w:ascii="Arial" w:hAnsi="Arial" w:cs="Arial"/>
                <w:sz w:val="18"/>
                <w:szCs w:val="19"/>
              </w:rPr>
              <w:t>239.0</w:t>
            </w:r>
          </w:p>
        </w:tc>
        <w:tc>
          <w:tcPr>
            <w:tcW w:w="453" w:type="pct"/>
            <w:shd w:val="clear" w:color="auto" w:fill="auto"/>
            <w:noWrap/>
            <w:vAlign w:val="center"/>
            <w:hideMark/>
          </w:tcPr>
          <w:p w14:paraId="677E9593" w14:textId="718B7559" w:rsidR="0062327A" w:rsidRPr="00811800" w:rsidRDefault="002F11D4" w:rsidP="00F07E0C">
            <w:pPr>
              <w:jc w:val="right"/>
              <w:rPr>
                <w:rFonts w:ascii="Arial" w:hAnsi="Arial" w:cs="Arial"/>
                <w:sz w:val="18"/>
                <w:szCs w:val="19"/>
              </w:rPr>
            </w:pPr>
            <w:r w:rsidRPr="002F11D4">
              <w:rPr>
                <w:rFonts w:ascii="Arial" w:hAnsi="Arial" w:cs="Arial"/>
                <w:sz w:val="18"/>
                <w:szCs w:val="19"/>
              </w:rPr>
              <w:t>−</w:t>
            </w:r>
            <w:r w:rsidR="0062327A" w:rsidRPr="00811800">
              <w:rPr>
                <w:rFonts w:ascii="Arial" w:hAnsi="Arial" w:cs="Arial"/>
                <w:sz w:val="18"/>
                <w:szCs w:val="19"/>
              </w:rPr>
              <w:t>568.0</w:t>
            </w:r>
          </w:p>
        </w:tc>
        <w:tc>
          <w:tcPr>
            <w:tcW w:w="377" w:type="pct"/>
            <w:shd w:val="clear" w:color="auto" w:fill="auto"/>
            <w:noWrap/>
            <w:vAlign w:val="center"/>
            <w:hideMark/>
          </w:tcPr>
          <w:p w14:paraId="7E3D0A1B" w14:textId="0E21C94D" w:rsidR="0062327A" w:rsidRPr="00811800" w:rsidRDefault="002F11D4" w:rsidP="00F07E0C">
            <w:pPr>
              <w:jc w:val="right"/>
              <w:rPr>
                <w:rFonts w:ascii="Arial" w:hAnsi="Arial" w:cs="Arial"/>
                <w:sz w:val="18"/>
                <w:szCs w:val="19"/>
              </w:rPr>
            </w:pPr>
            <w:r w:rsidRPr="002F11D4">
              <w:rPr>
                <w:rFonts w:ascii="Arial" w:hAnsi="Arial" w:cs="Arial"/>
                <w:sz w:val="18"/>
                <w:szCs w:val="19"/>
              </w:rPr>
              <w:t>−</w:t>
            </w:r>
            <w:r w:rsidR="0062327A" w:rsidRPr="00811800">
              <w:rPr>
                <w:rFonts w:ascii="Arial" w:hAnsi="Arial" w:cs="Arial"/>
                <w:sz w:val="18"/>
                <w:szCs w:val="19"/>
              </w:rPr>
              <w:t>252.2</w:t>
            </w:r>
          </w:p>
        </w:tc>
      </w:tr>
      <w:tr w:rsidR="006319C4" w:rsidRPr="00811800" w14:paraId="168F777E" w14:textId="77777777" w:rsidTr="006319C4">
        <w:trPr>
          <w:trHeight w:val="315"/>
          <w:jc w:val="center"/>
        </w:trPr>
        <w:tc>
          <w:tcPr>
            <w:tcW w:w="770" w:type="pct"/>
            <w:shd w:val="clear" w:color="auto" w:fill="auto"/>
            <w:vAlign w:val="center"/>
            <w:hideMark/>
          </w:tcPr>
          <w:p w14:paraId="1B868427" w14:textId="77777777" w:rsidR="0062327A" w:rsidRPr="00811800" w:rsidRDefault="0062327A" w:rsidP="00C316BA">
            <w:pPr>
              <w:rPr>
                <w:rFonts w:ascii="Arial" w:hAnsi="Arial" w:cs="Arial"/>
                <w:sz w:val="19"/>
                <w:szCs w:val="19"/>
              </w:rPr>
            </w:pPr>
            <w:r w:rsidRPr="00811800">
              <w:rPr>
                <w:rFonts w:ascii="Arial" w:hAnsi="Arial" w:cs="Arial"/>
                <w:sz w:val="19"/>
                <w:szCs w:val="19"/>
              </w:rPr>
              <w:t>Financing CF</w:t>
            </w:r>
          </w:p>
        </w:tc>
        <w:tc>
          <w:tcPr>
            <w:tcW w:w="377" w:type="pct"/>
            <w:shd w:val="clear" w:color="auto" w:fill="auto"/>
            <w:noWrap/>
            <w:vAlign w:val="center"/>
            <w:hideMark/>
          </w:tcPr>
          <w:p w14:paraId="12887BFA" w14:textId="77777777" w:rsidR="0062327A" w:rsidRPr="00811800" w:rsidRDefault="0062327A" w:rsidP="00F07E0C">
            <w:pPr>
              <w:jc w:val="right"/>
              <w:rPr>
                <w:rFonts w:ascii="Arial" w:hAnsi="Arial" w:cs="Arial"/>
                <w:sz w:val="18"/>
                <w:szCs w:val="19"/>
              </w:rPr>
            </w:pPr>
            <w:r w:rsidRPr="00811800">
              <w:rPr>
                <w:rFonts w:ascii="Arial" w:hAnsi="Arial" w:cs="Arial"/>
                <w:sz w:val="18"/>
                <w:szCs w:val="19"/>
              </w:rPr>
              <w:t>3.6</w:t>
            </w:r>
          </w:p>
        </w:tc>
        <w:tc>
          <w:tcPr>
            <w:tcW w:w="378" w:type="pct"/>
            <w:shd w:val="clear" w:color="auto" w:fill="auto"/>
            <w:noWrap/>
            <w:vAlign w:val="center"/>
            <w:hideMark/>
          </w:tcPr>
          <w:p w14:paraId="1908D4F4" w14:textId="77777777" w:rsidR="0062327A" w:rsidRPr="00811800" w:rsidRDefault="0062327A" w:rsidP="00F07E0C">
            <w:pPr>
              <w:jc w:val="right"/>
              <w:rPr>
                <w:rFonts w:ascii="Arial" w:hAnsi="Arial" w:cs="Arial"/>
                <w:sz w:val="18"/>
                <w:szCs w:val="19"/>
              </w:rPr>
            </w:pPr>
            <w:r w:rsidRPr="00811800">
              <w:rPr>
                <w:rFonts w:ascii="Arial" w:hAnsi="Arial" w:cs="Arial"/>
                <w:sz w:val="18"/>
                <w:szCs w:val="19"/>
              </w:rPr>
              <w:t>28.1</w:t>
            </w:r>
          </w:p>
        </w:tc>
        <w:tc>
          <w:tcPr>
            <w:tcW w:w="378" w:type="pct"/>
            <w:shd w:val="clear" w:color="auto" w:fill="auto"/>
            <w:noWrap/>
            <w:vAlign w:val="center"/>
            <w:hideMark/>
          </w:tcPr>
          <w:p w14:paraId="02DE51C9" w14:textId="77777777" w:rsidR="0062327A" w:rsidRPr="00811800" w:rsidRDefault="0062327A" w:rsidP="00F07E0C">
            <w:pPr>
              <w:jc w:val="right"/>
              <w:rPr>
                <w:rFonts w:ascii="Arial" w:hAnsi="Arial" w:cs="Arial"/>
                <w:sz w:val="18"/>
                <w:szCs w:val="19"/>
              </w:rPr>
            </w:pPr>
            <w:r w:rsidRPr="00811800">
              <w:rPr>
                <w:rFonts w:ascii="Arial" w:hAnsi="Arial" w:cs="Arial"/>
                <w:sz w:val="18"/>
                <w:szCs w:val="19"/>
              </w:rPr>
              <w:t>348.0</w:t>
            </w:r>
          </w:p>
        </w:tc>
        <w:tc>
          <w:tcPr>
            <w:tcW w:w="453" w:type="pct"/>
            <w:shd w:val="clear" w:color="auto" w:fill="auto"/>
            <w:noWrap/>
            <w:vAlign w:val="center"/>
            <w:hideMark/>
          </w:tcPr>
          <w:p w14:paraId="25F447E4" w14:textId="77777777" w:rsidR="0062327A" w:rsidRPr="00811800" w:rsidRDefault="0062327A" w:rsidP="00F07E0C">
            <w:pPr>
              <w:jc w:val="right"/>
              <w:rPr>
                <w:rFonts w:ascii="Arial" w:hAnsi="Arial" w:cs="Arial"/>
                <w:sz w:val="18"/>
                <w:szCs w:val="19"/>
              </w:rPr>
            </w:pPr>
            <w:r w:rsidRPr="00811800">
              <w:rPr>
                <w:rFonts w:ascii="Arial" w:hAnsi="Arial" w:cs="Arial"/>
                <w:sz w:val="18"/>
                <w:szCs w:val="19"/>
              </w:rPr>
              <w:t>172.7</w:t>
            </w:r>
          </w:p>
        </w:tc>
        <w:tc>
          <w:tcPr>
            <w:tcW w:w="453" w:type="pct"/>
            <w:shd w:val="clear" w:color="auto" w:fill="auto"/>
            <w:noWrap/>
            <w:vAlign w:val="center"/>
            <w:hideMark/>
          </w:tcPr>
          <w:p w14:paraId="2776AE54" w14:textId="77777777" w:rsidR="0062327A" w:rsidRPr="00811800" w:rsidRDefault="0062327A" w:rsidP="00F07E0C">
            <w:pPr>
              <w:jc w:val="right"/>
              <w:rPr>
                <w:rFonts w:ascii="Arial" w:hAnsi="Arial" w:cs="Arial"/>
                <w:sz w:val="18"/>
                <w:szCs w:val="19"/>
              </w:rPr>
            </w:pPr>
            <w:r w:rsidRPr="00811800">
              <w:rPr>
                <w:rFonts w:ascii="Arial" w:hAnsi="Arial" w:cs="Arial"/>
                <w:sz w:val="18"/>
                <w:szCs w:val="19"/>
              </w:rPr>
              <w:t>547.0</w:t>
            </w:r>
          </w:p>
        </w:tc>
        <w:tc>
          <w:tcPr>
            <w:tcW w:w="452" w:type="pct"/>
            <w:shd w:val="clear" w:color="auto" w:fill="auto"/>
            <w:noWrap/>
            <w:vAlign w:val="center"/>
            <w:hideMark/>
          </w:tcPr>
          <w:p w14:paraId="0F0A9559" w14:textId="77777777" w:rsidR="0062327A" w:rsidRPr="00811800" w:rsidRDefault="0062327A" w:rsidP="00F07E0C">
            <w:pPr>
              <w:jc w:val="right"/>
              <w:rPr>
                <w:rFonts w:ascii="Arial" w:hAnsi="Arial" w:cs="Arial"/>
                <w:sz w:val="18"/>
                <w:szCs w:val="19"/>
              </w:rPr>
            </w:pPr>
            <w:r w:rsidRPr="00811800">
              <w:rPr>
                <w:rFonts w:ascii="Arial" w:hAnsi="Arial" w:cs="Arial"/>
                <w:sz w:val="18"/>
                <w:szCs w:val="19"/>
              </w:rPr>
              <w:t>795.2</w:t>
            </w:r>
          </w:p>
        </w:tc>
        <w:tc>
          <w:tcPr>
            <w:tcW w:w="453" w:type="pct"/>
            <w:shd w:val="clear" w:color="auto" w:fill="auto"/>
            <w:noWrap/>
            <w:vAlign w:val="center"/>
            <w:hideMark/>
          </w:tcPr>
          <w:p w14:paraId="24104017" w14:textId="77777777" w:rsidR="0062327A" w:rsidRPr="00811800" w:rsidRDefault="0062327A" w:rsidP="00F07E0C">
            <w:pPr>
              <w:jc w:val="right"/>
              <w:rPr>
                <w:rFonts w:ascii="Arial" w:hAnsi="Arial" w:cs="Arial"/>
                <w:sz w:val="18"/>
                <w:szCs w:val="19"/>
              </w:rPr>
            </w:pPr>
            <w:r w:rsidRPr="00811800">
              <w:rPr>
                <w:rFonts w:ascii="Arial" w:hAnsi="Arial" w:cs="Arial"/>
                <w:sz w:val="18"/>
                <w:szCs w:val="19"/>
              </w:rPr>
              <w:t>479.4</w:t>
            </w:r>
          </w:p>
        </w:tc>
        <w:tc>
          <w:tcPr>
            <w:tcW w:w="453" w:type="pct"/>
            <w:shd w:val="clear" w:color="auto" w:fill="auto"/>
            <w:noWrap/>
            <w:vAlign w:val="center"/>
            <w:hideMark/>
          </w:tcPr>
          <w:p w14:paraId="1E777425" w14:textId="77777777" w:rsidR="0062327A" w:rsidRPr="00811800" w:rsidRDefault="0062327A" w:rsidP="00F07E0C">
            <w:pPr>
              <w:jc w:val="right"/>
              <w:rPr>
                <w:rFonts w:ascii="Arial" w:hAnsi="Arial" w:cs="Arial"/>
                <w:sz w:val="18"/>
                <w:szCs w:val="19"/>
              </w:rPr>
            </w:pPr>
            <w:r w:rsidRPr="00811800">
              <w:rPr>
                <w:rFonts w:ascii="Arial" w:hAnsi="Arial" w:cs="Arial"/>
                <w:sz w:val="18"/>
                <w:szCs w:val="19"/>
              </w:rPr>
              <w:t>303.0</w:t>
            </w:r>
          </w:p>
        </w:tc>
        <w:tc>
          <w:tcPr>
            <w:tcW w:w="453" w:type="pct"/>
            <w:shd w:val="clear" w:color="auto" w:fill="auto"/>
            <w:noWrap/>
            <w:vAlign w:val="center"/>
            <w:hideMark/>
          </w:tcPr>
          <w:p w14:paraId="67AF7559" w14:textId="77777777" w:rsidR="0062327A" w:rsidRPr="00811800" w:rsidRDefault="0062327A" w:rsidP="00F07E0C">
            <w:pPr>
              <w:jc w:val="right"/>
              <w:rPr>
                <w:rFonts w:ascii="Arial" w:hAnsi="Arial" w:cs="Arial"/>
                <w:sz w:val="18"/>
                <w:szCs w:val="19"/>
              </w:rPr>
            </w:pPr>
            <w:r w:rsidRPr="00811800">
              <w:rPr>
                <w:rFonts w:ascii="Arial" w:hAnsi="Arial" w:cs="Arial"/>
                <w:sz w:val="18"/>
                <w:szCs w:val="19"/>
              </w:rPr>
              <w:t>102.1</w:t>
            </w:r>
          </w:p>
        </w:tc>
        <w:tc>
          <w:tcPr>
            <w:tcW w:w="377" w:type="pct"/>
            <w:shd w:val="clear" w:color="auto" w:fill="auto"/>
            <w:noWrap/>
            <w:vAlign w:val="center"/>
            <w:hideMark/>
          </w:tcPr>
          <w:p w14:paraId="5135C33A" w14:textId="77777777" w:rsidR="0062327A" w:rsidRPr="00811800" w:rsidRDefault="0062327A" w:rsidP="00F07E0C">
            <w:pPr>
              <w:jc w:val="right"/>
              <w:rPr>
                <w:rFonts w:ascii="Arial" w:hAnsi="Arial" w:cs="Arial"/>
                <w:sz w:val="18"/>
                <w:szCs w:val="19"/>
              </w:rPr>
            </w:pPr>
            <w:r w:rsidRPr="00811800">
              <w:rPr>
                <w:rFonts w:ascii="Arial" w:hAnsi="Arial" w:cs="Arial"/>
                <w:sz w:val="18"/>
                <w:szCs w:val="19"/>
              </w:rPr>
              <w:t>308.8</w:t>
            </w:r>
          </w:p>
        </w:tc>
      </w:tr>
      <w:tr w:rsidR="006319C4" w:rsidRPr="00811800" w14:paraId="1D109FC9" w14:textId="77777777" w:rsidTr="006319C4">
        <w:trPr>
          <w:trHeight w:val="630"/>
          <w:jc w:val="center"/>
        </w:trPr>
        <w:tc>
          <w:tcPr>
            <w:tcW w:w="770" w:type="pct"/>
            <w:shd w:val="clear" w:color="auto" w:fill="auto"/>
            <w:vAlign w:val="center"/>
            <w:hideMark/>
          </w:tcPr>
          <w:p w14:paraId="18E7D413" w14:textId="77777777" w:rsidR="0062327A" w:rsidRPr="00811800" w:rsidRDefault="0062327A" w:rsidP="00C316BA">
            <w:pPr>
              <w:rPr>
                <w:rFonts w:ascii="Arial" w:hAnsi="Arial" w:cs="Arial"/>
                <w:sz w:val="19"/>
                <w:szCs w:val="19"/>
              </w:rPr>
            </w:pPr>
            <w:r w:rsidRPr="00811800">
              <w:rPr>
                <w:rFonts w:ascii="Arial" w:hAnsi="Arial" w:cs="Arial"/>
                <w:sz w:val="19"/>
                <w:szCs w:val="19"/>
              </w:rPr>
              <w:t>Cash &amp; cash equivalent changes</w:t>
            </w:r>
          </w:p>
        </w:tc>
        <w:tc>
          <w:tcPr>
            <w:tcW w:w="377" w:type="pct"/>
            <w:shd w:val="clear" w:color="auto" w:fill="auto"/>
            <w:noWrap/>
            <w:vAlign w:val="center"/>
            <w:hideMark/>
          </w:tcPr>
          <w:p w14:paraId="10BF9254" w14:textId="77777777" w:rsidR="0062327A" w:rsidRPr="00811800" w:rsidRDefault="0062327A" w:rsidP="00F07E0C">
            <w:pPr>
              <w:jc w:val="right"/>
              <w:rPr>
                <w:rFonts w:ascii="Arial" w:hAnsi="Arial" w:cs="Arial"/>
                <w:sz w:val="18"/>
                <w:szCs w:val="19"/>
              </w:rPr>
            </w:pPr>
            <w:r w:rsidRPr="00811800">
              <w:rPr>
                <w:rFonts w:ascii="Arial" w:hAnsi="Arial" w:cs="Arial"/>
                <w:sz w:val="18"/>
                <w:szCs w:val="19"/>
              </w:rPr>
              <w:t>1.3</w:t>
            </w:r>
          </w:p>
        </w:tc>
        <w:tc>
          <w:tcPr>
            <w:tcW w:w="378" w:type="pct"/>
            <w:shd w:val="clear" w:color="auto" w:fill="auto"/>
            <w:noWrap/>
            <w:vAlign w:val="center"/>
            <w:hideMark/>
          </w:tcPr>
          <w:p w14:paraId="205D678D" w14:textId="77777777" w:rsidR="0062327A" w:rsidRPr="00811800" w:rsidRDefault="0062327A" w:rsidP="00F07E0C">
            <w:pPr>
              <w:jc w:val="right"/>
              <w:rPr>
                <w:rFonts w:ascii="Arial" w:hAnsi="Arial" w:cs="Arial"/>
                <w:sz w:val="18"/>
                <w:szCs w:val="19"/>
              </w:rPr>
            </w:pPr>
            <w:r w:rsidRPr="00811800">
              <w:rPr>
                <w:rFonts w:ascii="Arial" w:hAnsi="Arial" w:cs="Arial"/>
                <w:sz w:val="18"/>
                <w:szCs w:val="19"/>
              </w:rPr>
              <w:t>17.6</w:t>
            </w:r>
          </w:p>
        </w:tc>
        <w:tc>
          <w:tcPr>
            <w:tcW w:w="378" w:type="pct"/>
            <w:shd w:val="clear" w:color="auto" w:fill="auto"/>
            <w:noWrap/>
            <w:vAlign w:val="center"/>
            <w:hideMark/>
          </w:tcPr>
          <w:p w14:paraId="3A5A4731" w14:textId="77777777" w:rsidR="0062327A" w:rsidRPr="00811800" w:rsidRDefault="0062327A" w:rsidP="00F07E0C">
            <w:pPr>
              <w:jc w:val="right"/>
              <w:rPr>
                <w:rFonts w:ascii="Arial" w:hAnsi="Arial" w:cs="Arial"/>
                <w:sz w:val="18"/>
                <w:szCs w:val="19"/>
              </w:rPr>
            </w:pPr>
            <w:r w:rsidRPr="00811800">
              <w:rPr>
                <w:rFonts w:ascii="Arial" w:hAnsi="Arial" w:cs="Arial"/>
                <w:sz w:val="18"/>
                <w:szCs w:val="19"/>
              </w:rPr>
              <w:t>340.0</w:t>
            </w:r>
          </w:p>
        </w:tc>
        <w:tc>
          <w:tcPr>
            <w:tcW w:w="453" w:type="pct"/>
            <w:shd w:val="clear" w:color="auto" w:fill="auto"/>
            <w:noWrap/>
            <w:vAlign w:val="center"/>
            <w:hideMark/>
          </w:tcPr>
          <w:p w14:paraId="3469FAC5" w14:textId="41344D17" w:rsidR="0062327A" w:rsidRPr="00811800" w:rsidRDefault="002F11D4" w:rsidP="00F07E0C">
            <w:pPr>
              <w:jc w:val="right"/>
              <w:rPr>
                <w:rFonts w:ascii="Arial" w:hAnsi="Arial" w:cs="Arial"/>
                <w:sz w:val="18"/>
                <w:szCs w:val="19"/>
              </w:rPr>
            </w:pPr>
            <w:r w:rsidRPr="002F11D4">
              <w:rPr>
                <w:rFonts w:ascii="Arial" w:hAnsi="Arial" w:cs="Arial"/>
                <w:sz w:val="18"/>
                <w:szCs w:val="19"/>
              </w:rPr>
              <w:t>−</w:t>
            </w:r>
            <w:r w:rsidR="0062327A" w:rsidRPr="00811800">
              <w:rPr>
                <w:rFonts w:ascii="Arial" w:hAnsi="Arial" w:cs="Arial"/>
                <w:sz w:val="18"/>
                <w:szCs w:val="19"/>
              </w:rPr>
              <w:t>134.0</w:t>
            </w:r>
          </w:p>
        </w:tc>
        <w:tc>
          <w:tcPr>
            <w:tcW w:w="453" w:type="pct"/>
            <w:shd w:val="clear" w:color="auto" w:fill="auto"/>
            <w:noWrap/>
            <w:vAlign w:val="center"/>
            <w:hideMark/>
          </w:tcPr>
          <w:p w14:paraId="60C6147B" w14:textId="77777777" w:rsidR="0062327A" w:rsidRPr="00811800" w:rsidRDefault="0062327A" w:rsidP="00F07E0C">
            <w:pPr>
              <w:jc w:val="right"/>
              <w:rPr>
                <w:rFonts w:ascii="Arial" w:hAnsi="Arial" w:cs="Arial"/>
                <w:sz w:val="18"/>
                <w:szCs w:val="19"/>
              </w:rPr>
            </w:pPr>
            <w:r w:rsidRPr="00811800">
              <w:rPr>
                <w:rFonts w:ascii="Arial" w:hAnsi="Arial" w:cs="Arial"/>
                <w:sz w:val="18"/>
                <w:szCs w:val="19"/>
              </w:rPr>
              <w:t>295.5</w:t>
            </w:r>
          </w:p>
        </w:tc>
        <w:tc>
          <w:tcPr>
            <w:tcW w:w="452" w:type="pct"/>
            <w:shd w:val="clear" w:color="auto" w:fill="auto"/>
            <w:noWrap/>
            <w:vAlign w:val="center"/>
            <w:hideMark/>
          </w:tcPr>
          <w:p w14:paraId="2A0CA660" w14:textId="0E7E3517" w:rsidR="0062327A" w:rsidRPr="00811800" w:rsidRDefault="002F11D4" w:rsidP="00F07E0C">
            <w:pPr>
              <w:jc w:val="right"/>
              <w:rPr>
                <w:rFonts w:ascii="Arial" w:hAnsi="Arial" w:cs="Arial"/>
                <w:sz w:val="18"/>
                <w:szCs w:val="19"/>
              </w:rPr>
            </w:pPr>
            <w:r w:rsidRPr="002F11D4">
              <w:rPr>
                <w:rFonts w:ascii="Arial" w:hAnsi="Arial" w:cs="Arial"/>
                <w:sz w:val="18"/>
                <w:szCs w:val="19"/>
              </w:rPr>
              <w:t>−</w:t>
            </w:r>
            <w:r w:rsidR="0062327A" w:rsidRPr="00811800">
              <w:rPr>
                <w:rFonts w:ascii="Arial" w:hAnsi="Arial" w:cs="Arial"/>
                <w:sz w:val="18"/>
                <w:szCs w:val="19"/>
              </w:rPr>
              <w:t>13.2</w:t>
            </w:r>
          </w:p>
        </w:tc>
        <w:tc>
          <w:tcPr>
            <w:tcW w:w="453" w:type="pct"/>
            <w:shd w:val="clear" w:color="auto" w:fill="auto"/>
            <w:noWrap/>
            <w:vAlign w:val="center"/>
            <w:hideMark/>
          </w:tcPr>
          <w:p w14:paraId="425775BC" w14:textId="77777777" w:rsidR="0062327A" w:rsidRPr="00811800" w:rsidRDefault="0062327A" w:rsidP="00F07E0C">
            <w:pPr>
              <w:jc w:val="right"/>
              <w:rPr>
                <w:rFonts w:ascii="Arial" w:hAnsi="Arial" w:cs="Arial"/>
                <w:sz w:val="18"/>
                <w:szCs w:val="19"/>
              </w:rPr>
            </w:pPr>
            <w:r w:rsidRPr="00811800">
              <w:rPr>
                <w:rFonts w:ascii="Arial" w:hAnsi="Arial" w:cs="Arial"/>
                <w:sz w:val="18"/>
                <w:szCs w:val="19"/>
              </w:rPr>
              <w:t>325.4</w:t>
            </w:r>
          </w:p>
        </w:tc>
        <w:tc>
          <w:tcPr>
            <w:tcW w:w="453" w:type="pct"/>
            <w:shd w:val="clear" w:color="auto" w:fill="auto"/>
            <w:noWrap/>
            <w:vAlign w:val="center"/>
            <w:hideMark/>
          </w:tcPr>
          <w:p w14:paraId="304C845D" w14:textId="77777777" w:rsidR="0062327A" w:rsidRPr="00811800" w:rsidRDefault="0062327A" w:rsidP="00F07E0C">
            <w:pPr>
              <w:jc w:val="right"/>
              <w:rPr>
                <w:rFonts w:ascii="Arial" w:hAnsi="Arial" w:cs="Arial"/>
                <w:sz w:val="18"/>
                <w:szCs w:val="19"/>
              </w:rPr>
            </w:pPr>
            <w:r w:rsidRPr="00811800">
              <w:rPr>
                <w:rFonts w:ascii="Arial" w:hAnsi="Arial" w:cs="Arial"/>
                <w:sz w:val="18"/>
                <w:szCs w:val="19"/>
              </w:rPr>
              <w:t>39.3</w:t>
            </w:r>
          </w:p>
        </w:tc>
        <w:tc>
          <w:tcPr>
            <w:tcW w:w="453" w:type="pct"/>
            <w:shd w:val="clear" w:color="auto" w:fill="auto"/>
            <w:noWrap/>
            <w:vAlign w:val="center"/>
            <w:hideMark/>
          </w:tcPr>
          <w:p w14:paraId="027EC02D" w14:textId="1AC75CA5" w:rsidR="0062327A" w:rsidRPr="00811800" w:rsidRDefault="002F11D4" w:rsidP="00F07E0C">
            <w:pPr>
              <w:jc w:val="right"/>
              <w:rPr>
                <w:rFonts w:ascii="Arial" w:hAnsi="Arial" w:cs="Arial"/>
                <w:sz w:val="18"/>
                <w:szCs w:val="19"/>
              </w:rPr>
            </w:pPr>
            <w:r w:rsidRPr="002F11D4">
              <w:rPr>
                <w:rFonts w:ascii="Arial" w:hAnsi="Arial" w:cs="Arial"/>
                <w:sz w:val="18"/>
                <w:szCs w:val="19"/>
              </w:rPr>
              <w:t>−</w:t>
            </w:r>
            <w:r w:rsidR="0062327A" w:rsidRPr="00811800">
              <w:rPr>
                <w:rFonts w:ascii="Arial" w:hAnsi="Arial" w:cs="Arial"/>
                <w:sz w:val="18"/>
                <w:szCs w:val="19"/>
              </w:rPr>
              <w:t>380.0</w:t>
            </w:r>
          </w:p>
        </w:tc>
        <w:tc>
          <w:tcPr>
            <w:tcW w:w="377" w:type="pct"/>
            <w:shd w:val="clear" w:color="auto" w:fill="auto"/>
            <w:noWrap/>
            <w:vAlign w:val="center"/>
            <w:hideMark/>
          </w:tcPr>
          <w:p w14:paraId="539F3066" w14:textId="77777777" w:rsidR="0062327A" w:rsidRPr="00811800" w:rsidRDefault="0062327A" w:rsidP="00F07E0C">
            <w:pPr>
              <w:jc w:val="right"/>
              <w:rPr>
                <w:rFonts w:ascii="Arial" w:hAnsi="Arial" w:cs="Arial"/>
                <w:sz w:val="18"/>
                <w:szCs w:val="19"/>
              </w:rPr>
            </w:pPr>
            <w:r w:rsidRPr="00811800">
              <w:rPr>
                <w:rFonts w:ascii="Arial" w:hAnsi="Arial" w:cs="Arial"/>
                <w:sz w:val="18"/>
                <w:szCs w:val="19"/>
              </w:rPr>
              <w:t>54.7</w:t>
            </w:r>
          </w:p>
        </w:tc>
      </w:tr>
      <w:tr w:rsidR="006319C4" w:rsidRPr="00811800" w14:paraId="112DDD03" w14:textId="77777777" w:rsidTr="006319C4">
        <w:trPr>
          <w:trHeight w:val="356"/>
          <w:jc w:val="center"/>
        </w:trPr>
        <w:tc>
          <w:tcPr>
            <w:tcW w:w="770" w:type="pct"/>
            <w:shd w:val="clear" w:color="auto" w:fill="auto"/>
            <w:vAlign w:val="center"/>
            <w:hideMark/>
          </w:tcPr>
          <w:p w14:paraId="21CEADA0" w14:textId="77777777" w:rsidR="0062327A" w:rsidRPr="00811800" w:rsidRDefault="0062327A" w:rsidP="00C316BA">
            <w:pPr>
              <w:rPr>
                <w:rFonts w:ascii="Arial" w:hAnsi="Arial" w:cs="Arial"/>
                <w:sz w:val="19"/>
                <w:szCs w:val="19"/>
              </w:rPr>
            </w:pPr>
            <w:r w:rsidRPr="00811800">
              <w:rPr>
                <w:rFonts w:ascii="Arial" w:hAnsi="Arial" w:cs="Arial"/>
                <w:sz w:val="19"/>
                <w:szCs w:val="19"/>
              </w:rPr>
              <w:t>Cash &amp; cash equivalent at beginning of year</w:t>
            </w:r>
          </w:p>
        </w:tc>
        <w:tc>
          <w:tcPr>
            <w:tcW w:w="377" w:type="pct"/>
            <w:shd w:val="clear" w:color="auto" w:fill="auto"/>
            <w:noWrap/>
            <w:vAlign w:val="center"/>
            <w:hideMark/>
          </w:tcPr>
          <w:p w14:paraId="10E7912B" w14:textId="77777777" w:rsidR="0062327A" w:rsidRPr="00811800" w:rsidRDefault="0062327A" w:rsidP="00F07E0C">
            <w:pPr>
              <w:jc w:val="right"/>
              <w:rPr>
                <w:rFonts w:ascii="Arial" w:hAnsi="Arial" w:cs="Arial"/>
                <w:sz w:val="18"/>
                <w:szCs w:val="19"/>
              </w:rPr>
            </w:pPr>
            <w:r w:rsidRPr="00811800">
              <w:rPr>
                <w:rFonts w:ascii="Arial" w:hAnsi="Arial" w:cs="Arial"/>
                <w:sz w:val="18"/>
                <w:szCs w:val="19"/>
              </w:rPr>
              <w:t>0.3</w:t>
            </w:r>
          </w:p>
        </w:tc>
        <w:tc>
          <w:tcPr>
            <w:tcW w:w="378" w:type="pct"/>
            <w:shd w:val="clear" w:color="auto" w:fill="auto"/>
            <w:noWrap/>
            <w:vAlign w:val="center"/>
            <w:hideMark/>
          </w:tcPr>
          <w:p w14:paraId="1EB8E162" w14:textId="77777777" w:rsidR="0062327A" w:rsidRPr="00811800" w:rsidRDefault="0062327A" w:rsidP="00F07E0C">
            <w:pPr>
              <w:jc w:val="right"/>
              <w:rPr>
                <w:rFonts w:ascii="Arial" w:hAnsi="Arial" w:cs="Arial"/>
                <w:sz w:val="18"/>
                <w:szCs w:val="19"/>
              </w:rPr>
            </w:pPr>
            <w:r w:rsidRPr="00811800">
              <w:rPr>
                <w:rFonts w:ascii="Arial" w:hAnsi="Arial" w:cs="Arial"/>
                <w:sz w:val="18"/>
                <w:szCs w:val="19"/>
              </w:rPr>
              <w:t>1.6</w:t>
            </w:r>
          </w:p>
        </w:tc>
        <w:tc>
          <w:tcPr>
            <w:tcW w:w="378" w:type="pct"/>
            <w:shd w:val="clear" w:color="auto" w:fill="auto"/>
            <w:noWrap/>
            <w:vAlign w:val="center"/>
            <w:hideMark/>
          </w:tcPr>
          <w:p w14:paraId="35AB405F" w14:textId="77777777" w:rsidR="0062327A" w:rsidRPr="00811800" w:rsidRDefault="0062327A" w:rsidP="00F07E0C">
            <w:pPr>
              <w:jc w:val="right"/>
              <w:rPr>
                <w:rFonts w:ascii="Arial" w:hAnsi="Arial" w:cs="Arial"/>
                <w:sz w:val="18"/>
                <w:szCs w:val="19"/>
              </w:rPr>
            </w:pPr>
            <w:r w:rsidRPr="00811800">
              <w:rPr>
                <w:rFonts w:ascii="Arial" w:hAnsi="Arial" w:cs="Arial"/>
                <w:sz w:val="18"/>
                <w:szCs w:val="19"/>
              </w:rPr>
              <w:t>19.1</w:t>
            </w:r>
          </w:p>
        </w:tc>
        <w:tc>
          <w:tcPr>
            <w:tcW w:w="453" w:type="pct"/>
            <w:shd w:val="clear" w:color="auto" w:fill="auto"/>
            <w:noWrap/>
            <w:vAlign w:val="center"/>
            <w:hideMark/>
          </w:tcPr>
          <w:p w14:paraId="05D15934" w14:textId="77777777" w:rsidR="0062327A" w:rsidRPr="00811800" w:rsidRDefault="0062327A" w:rsidP="00F07E0C">
            <w:pPr>
              <w:jc w:val="right"/>
              <w:rPr>
                <w:rFonts w:ascii="Arial" w:hAnsi="Arial" w:cs="Arial"/>
                <w:sz w:val="18"/>
                <w:szCs w:val="19"/>
              </w:rPr>
            </w:pPr>
            <w:r w:rsidRPr="00811800">
              <w:rPr>
                <w:rFonts w:ascii="Arial" w:hAnsi="Arial" w:cs="Arial"/>
                <w:sz w:val="18"/>
                <w:szCs w:val="19"/>
              </w:rPr>
              <w:t>359.3</w:t>
            </w:r>
          </w:p>
        </w:tc>
        <w:tc>
          <w:tcPr>
            <w:tcW w:w="453" w:type="pct"/>
            <w:shd w:val="clear" w:color="auto" w:fill="auto"/>
            <w:noWrap/>
            <w:vAlign w:val="center"/>
            <w:hideMark/>
          </w:tcPr>
          <w:p w14:paraId="4B57C774" w14:textId="77777777" w:rsidR="0062327A" w:rsidRPr="00811800" w:rsidRDefault="0062327A" w:rsidP="00F07E0C">
            <w:pPr>
              <w:jc w:val="right"/>
              <w:rPr>
                <w:rFonts w:ascii="Arial" w:hAnsi="Arial" w:cs="Arial"/>
                <w:sz w:val="18"/>
                <w:szCs w:val="19"/>
              </w:rPr>
            </w:pPr>
            <w:r w:rsidRPr="00811800">
              <w:rPr>
                <w:rFonts w:ascii="Arial" w:hAnsi="Arial" w:cs="Arial"/>
                <w:sz w:val="18"/>
                <w:szCs w:val="19"/>
              </w:rPr>
              <w:t>225.5</w:t>
            </w:r>
          </w:p>
        </w:tc>
        <w:tc>
          <w:tcPr>
            <w:tcW w:w="452" w:type="pct"/>
            <w:shd w:val="clear" w:color="auto" w:fill="auto"/>
            <w:noWrap/>
            <w:vAlign w:val="center"/>
            <w:hideMark/>
          </w:tcPr>
          <w:p w14:paraId="018B8363" w14:textId="77777777" w:rsidR="0062327A" w:rsidRPr="00811800" w:rsidRDefault="0062327A" w:rsidP="00F07E0C">
            <w:pPr>
              <w:jc w:val="right"/>
              <w:rPr>
                <w:rFonts w:ascii="Arial" w:hAnsi="Arial" w:cs="Arial"/>
                <w:sz w:val="18"/>
                <w:szCs w:val="19"/>
              </w:rPr>
            </w:pPr>
            <w:r w:rsidRPr="00811800">
              <w:rPr>
                <w:rFonts w:ascii="Arial" w:hAnsi="Arial" w:cs="Arial"/>
                <w:sz w:val="18"/>
                <w:szCs w:val="19"/>
              </w:rPr>
              <w:t>521.0</w:t>
            </w:r>
          </w:p>
        </w:tc>
        <w:tc>
          <w:tcPr>
            <w:tcW w:w="453" w:type="pct"/>
            <w:shd w:val="clear" w:color="auto" w:fill="auto"/>
            <w:noWrap/>
            <w:vAlign w:val="center"/>
            <w:hideMark/>
          </w:tcPr>
          <w:p w14:paraId="603C2310" w14:textId="77777777" w:rsidR="0062327A" w:rsidRPr="00811800" w:rsidRDefault="0062327A" w:rsidP="00F07E0C">
            <w:pPr>
              <w:jc w:val="right"/>
              <w:rPr>
                <w:rFonts w:ascii="Arial" w:hAnsi="Arial" w:cs="Arial"/>
                <w:sz w:val="18"/>
                <w:szCs w:val="19"/>
              </w:rPr>
            </w:pPr>
            <w:r w:rsidRPr="00811800">
              <w:rPr>
                <w:rFonts w:ascii="Arial" w:hAnsi="Arial" w:cs="Arial"/>
                <w:sz w:val="18"/>
                <w:szCs w:val="19"/>
              </w:rPr>
              <w:t>507.8</w:t>
            </w:r>
          </w:p>
        </w:tc>
        <w:tc>
          <w:tcPr>
            <w:tcW w:w="453" w:type="pct"/>
            <w:shd w:val="clear" w:color="auto" w:fill="auto"/>
            <w:noWrap/>
            <w:vAlign w:val="center"/>
            <w:hideMark/>
          </w:tcPr>
          <w:p w14:paraId="7E19FC32" w14:textId="77777777" w:rsidR="0062327A" w:rsidRPr="00811800" w:rsidRDefault="0062327A" w:rsidP="00F07E0C">
            <w:pPr>
              <w:jc w:val="right"/>
              <w:rPr>
                <w:rFonts w:ascii="Arial" w:hAnsi="Arial" w:cs="Arial"/>
                <w:sz w:val="18"/>
                <w:szCs w:val="19"/>
              </w:rPr>
            </w:pPr>
            <w:r w:rsidRPr="00811800">
              <w:rPr>
                <w:rFonts w:ascii="Arial" w:hAnsi="Arial" w:cs="Arial"/>
                <w:sz w:val="18"/>
                <w:szCs w:val="19"/>
              </w:rPr>
              <w:t>833.2</w:t>
            </w:r>
          </w:p>
        </w:tc>
        <w:tc>
          <w:tcPr>
            <w:tcW w:w="453" w:type="pct"/>
            <w:shd w:val="clear" w:color="auto" w:fill="auto"/>
            <w:noWrap/>
            <w:vAlign w:val="center"/>
            <w:hideMark/>
          </w:tcPr>
          <w:p w14:paraId="45ECF83C" w14:textId="77777777" w:rsidR="0062327A" w:rsidRPr="00811800" w:rsidRDefault="0062327A" w:rsidP="00F07E0C">
            <w:pPr>
              <w:jc w:val="right"/>
              <w:rPr>
                <w:rFonts w:ascii="Arial" w:hAnsi="Arial" w:cs="Arial"/>
                <w:sz w:val="18"/>
                <w:szCs w:val="19"/>
              </w:rPr>
            </w:pPr>
            <w:r w:rsidRPr="00811800">
              <w:rPr>
                <w:rFonts w:ascii="Arial" w:hAnsi="Arial" w:cs="Arial"/>
                <w:sz w:val="18"/>
                <w:szCs w:val="19"/>
              </w:rPr>
              <w:t>872.5</w:t>
            </w:r>
          </w:p>
        </w:tc>
        <w:tc>
          <w:tcPr>
            <w:tcW w:w="377" w:type="pct"/>
            <w:shd w:val="clear" w:color="auto" w:fill="auto"/>
            <w:noWrap/>
            <w:vAlign w:val="center"/>
            <w:hideMark/>
          </w:tcPr>
          <w:p w14:paraId="2EFBE932" w14:textId="77777777" w:rsidR="0062327A" w:rsidRPr="00811800" w:rsidRDefault="0062327A" w:rsidP="00F07E0C">
            <w:pPr>
              <w:jc w:val="right"/>
              <w:rPr>
                <w:rFonts w:ascii="Arial" w:hAnsi="Arial" w:cs="Arial"/>
                <w:sz w:val="18"/>
                <w:szCs w:val="19"/>
              </w:rPr>
            </w:pPr>
            <w:r w:rsidRPr="00811800">
              <w:rPr>
                <w:rFonts w:ascii="Arial" w:hAnsi="Arial" w:cs="Arial"/>
                <w:sz w:val="18"/>
                <w:szCs w:val="19"/>
              </w:rPr>
              <w:t>371.1</w:t>
            </w:r>
          </w:p>
        </w:tc>
      </w:tr>
      <w:tr w:rsidR="006319C4" w:rsidRPr="00811800" w14:paraId="2F386ED1" w14:textId="77777777" w:rsidTr="006319C4">
        <w:trPr>
          <w:trHeight w:val="139"/>
          <w:jc w:val="center"/>
        </w:trPr>
        <w:tc>
          <w:tcPr>
            <w:tcW w:w="770" w:type="pct"/>
            <w:shd w:val="clear" w:color="auto" w:fill="auto"/>
            <w:vAlign w:val="center"/>
            <w:hideMark/>
          </w:tcPr>
          <w:p w14:paraId="27847842" w14:textId="77777777" w:rsidR="0062327A" w:rsidRPr="00811800" w:rsidRDefault="0062327A" w:rsidP="00C316BA">
            <w:pPr>
              <w:rPr>
                <w:rFonts w:ascii="Arial" w:hAnsi="Arial" w:cs="Arial"/>
                <w:sz w:val="19"/>
                <w:szCs w:val="19"/>
              </w:rPr>
            </w:pPr>
            <w:r w:rsidRPr="00811800">
              <w:rPr>
                <w:rFonts w:ascii="Arial" w:hAnsi="Arial" w:cs="Arial"/>
                <w:sz w:val="19"/>
                <w:szCs w:val="19"/>
              </w:rPr>
              <w:t>Cash &amp; cash equivalent at end of year</w:t>
            </w:r>
          </w:p>
        </w:tc>
        <w:tc>
          <w:tcPr>
            <w:tcW w:w="377" w:type="pct"/>
            <w:shd w:val="clear" w:color="auto" w:fill="auto"/>
            <w:noWrap/>
            <w:vAlign w:val="center"/>
            <w:hideMark/>
          </w:tcPr>
          <w:p w14:paraId="20065059" w14:textId="77777777" w:rsidR="0062327A" w:rsidRPr="00811800" w:rsidRDefault="0062327A" w:rsidP="00F07E0C">
            <w:pPr>
              <w:jc w:val="right"/>
              <w:rPr>
                <w:rFonts w:ascii="Arial" w:hAnsi="Arial" w:cs="Arial"/>
                <w:sz w:val="18"/>
                <w:szCs w:val="19"/>
              </w:rPr>
            </w:pPr>
            <w:r w:rsidRPr="00811800">
              <w:rPr>
                <w:rFonts w:ascii="Arial" w:hAnsi="Arial" w:cs="Arial"/>
                <w:sz w:val="18"/>
                <w:szCs w:val="19"/>
              </w:rPr>
              <w:t>1.6</w:t>
            </w:r>
          </w:p>
        </w:tc>
        <w:tc>
          <w:tcPr>
            <w:tcW w:w="378" w:type="pct"/>
            <w:shd w:val="clear" w:color="auto" w:fill="auto"/>
            <w:noWrap/>
            <w:vAlign w:val="center"/>
            <w:hideMark/>
          </w:tcPr>
          <w:p w14:paraId="2D452E0A" w14:textId="77777777" w:rsidR="0062327A" w:rsidRPr="00811800" w:rsidRDefault="0062327A" w:rsidP="00F07E0C">
            <w:pPr>
              <w:jc w:val="right"/>
              <w:rPr>
                <w:rFonts w:ascii="Arial" w:hAnsi="Arial" w:cs="Arial"/>
                <w:sz w:val="18"/>
                <w:szCs w:val="19"/>
              </w:rPr>
            </w:pPr>
            <w:r w:rsidRPr="00811800">
              <w:rPr>
                <w:rFonts w:ascii="Arial" w:hAnsi="Arial" w:cs="Arial"/>
                <w:sz w:val="18"/>
                <w:szCs w:val="19"/>
              </w:rPr>
              <w:t>19.1</w:t>
            </w:r>
          </w:p>
        </w:tc>
        <w:tc>
          <w:tcPr>
            <w:tcW w:w="378" w:type="pct"/>
            <w:shd w:val="clear" w:color="auto" w:fill="auto"/>
            <w:noWrap/>
            <w:vAlign w:val="center"/>
            <w:hideMark/>
          </w:tcPr>
          <w:p w14:paraId="520408F4" w14:textId="77777777" w:rsidR="0062327A" w:rsidRPr="00811800" w:rsidRDefault="0062327A" w:rsidP="00F07E0C">
            <w:pPr>
              <w:jc w:val="right"/>
              <w:rPr>
                <w:rFonts w:ascii="Arial" w:hAnsi="Arial" w:cs="Arial"/>
                <w:sz w:val="18"/>
                <w:szCs w:val="19"/>
              </w:rPr>
            </w:pPr>
            <w:r w:rsidRPr="00811800">
              <w:rPr>
                <w:rFonts w:ascii="Arial" w:hAnsi="Arial" w:cs="Arial"/>
                <w:sz w:val="18"/>
                <w:szCs w:val="19"/>
              </w:rPr>
              <w:t>359.0</w:t>
            </w:r>
          </w:p>
        </w:tc>
        <w:tc>
          <w:tcPr>
            <w:tcW w:w="453" w:type="pct"/>
            <w:shd w:val="clear" w:color="auto" w:fill="auto"/>
            <w:noWrap/>
            <w:vAlign w:val="center"/>
            <w:hideMark/>
          </w:tcPr>
          <w:p w14:paraId="7FD851E0" w14:textId="77777777" w:rsidR="0062327A" w:rsidRPr="00811800" w:rsidRDefault="0062327A" w:rsidP="00F07E0C">
            <w:pPr>
              <w:jc w:val="right"/>
              <w:rPr>
                <w:rFonts w:ascii="Arial" w:hAnsi="Arial" w:cs="Arial"/>
                <w:sz w:val="18"/>
                <w:szCs w:val="19"/>
              </w:rPr>
            </w:pPr>
            <w:r w:rsidRPr="00811800">
              <w:rPr>
                <w:rFonts w:ascii="Arial" w:hAnsi="Arial" w:cs="Arial"/>
                <w:sz w:val="18"/>
                <w:szCs w:val="19"/>
              </w:rPr>
              <w:t>255.5</w:t>
            </w:r>
          </w:p>
        </w:tc>
        <w:tc>
          <w:tcPr>
            <w:tcW w:w="453" w:type="pct"/>
            <w:shd w:val="clear" w:color="auto" w:fill="auto"/>
            <w:noWrap/>
            <w:vAlign w:val="center"/>
            <w:hideMark/>
          </w:tcPr>
          <w:p w14:paraId="28CA0B64" w14:textId="77777777" w:rsidR="0062327A" w:rsidRPr="00811800" w:rsidRDefault="0062327A" w:rsidP="00F07E0C">
            <w:pPr>
              <w:jc w:val="right"/>
              <w:rPr>
                <w:rFonts w:ascii="Arial" w:hAnsi="Arial" w:cs="Arial"/>
                <w:sz w:val="18"/>
                <w:szCs w:val="19"/>
              </w:rPr>
            </w:pPr>
            <w:r w:rsidRPr="00811800">
              <w:rPr>
                <w:rFonts w:ascii="Arial" w:hAnsi="Arial" w:cs="Arial"/>
                <w:sz w:val="18"/>
                <w:szCs w:val="19"/>
              </w:rPr>
              <w:t>521.0</w:t>
            </w:r>
          </w:p>
        </w:tc>
        <w:tc>
          <w:tcPr>
            <w:tcW w:w="452" w:type="pct"/>
            <w:shd w:val="clear" w:color="auto" w:fill="auto"/>
            <w:noWrap/>
            <w:vAlign w:val="center"/>
            <w:hideMark/>
          </w:tcPr>
          <w:p w14:paraId="6A23CF78" w14:textId="77777777" w:rsidR="0062327A" w:rsidRPr="00811800" w:rsidRDefault="0062327A" w:rsidP="00F07E0C">
            <w:pPr>
              <w:jc w:val="right"/>
              <w:rPr>
                <w:rFonts w:ascii="Arial" w:hAnsi="Arial" w:cs="Arial"/>
                <w:sz w:val="18"/>
                <w:szCs w:val="19"/>
              </w:rPr>
            </w:pPr>
            <w:r w:rsidRPr="00811800">
              <w:rPr>
                <w:rFonts w:ascii="Arial" w:hAnsi="Arial" w:cs="Arial"/>
                <w:sz w:val="18"/>
                <w:szCs w:val="19"/>
              </w:rPr>
              <w:t>507.8</w:t>
            </w:r>
          </w:p>
        </w:tc>
        <w:tc>
          <w:tcPr>
            <w:tcW w:w="453" w:type="pct"/>
            <w:shd w:val="clear" w:color="auto" w:fill="auto"/>
            <w:noWrap/>
            <w:vAlign w:val="center"/>
            <w:hideMark/>
          </w:tcPr>
          <w:p w14:paraId="7ADB2E1E" w14:textId="77777777" w:rsidR="0062327A" w:rsidRPr="00811800" w:rsidRDefault="0062327A" w:rsidP="00F07E0C">
            <w:pPr>
              <w:jc w:val="right"/>
              <w:rPr>
                <w:rFonts w:ascii="Arial" w:hAnsi="Arial" w:cs="Arial"/>
                <w:sz w:val="18"/>
                <w:szCs w:val="19"/>
              </w:rPr>
            </w:pPr>
            <w:r w:rsidRPr="00811800">
              <w:rPr>
                <w:rFonts w:ascii="Arial" w:hAnsi="Arial" w:cs="Arial"/>
                <w:sz w:val="18"/>
                <w:szCs w:val="19"/>
              </w:rPr>
              <w:t>833.2</w:t>
            </w:r>
          </w:p>
        </w:tc>
        <w:tc>
          <w:tcPr>
            <w:tcW w:w="453" w:type="pct"/>
            <w:shd w:val="clear" w:color="auto" w:fill="auto"/>
            <w:noWrap/>
            <w:vAlign w:val="center"/>
            <w:hideMark/>
          </w:tcPr>
          <w:p w14:paraId="45853AF2" w14:textId="77777777" w:rsidR="0062327A" w:rsidRPr="00811800" w:rsidRDefault="0062327A" w:rsidP="00F07E0C">
            <w:pPr>
              <w:jc w:val="right"/>
              <w:rPr>
                <w:rFonts w:ascii="Arial" w:hAnsi="Arial" w:cs="Arial"/>
                <w:sz w:val="18"/>
                <w:szCs w:val="19"/>
              </w:rPr>
            </w:pPr>
            <w:r w:rsidRPr="00811800">
              <w:rPr>
                <w:rFonts w:ascii="Arial" w:hAnsi="Arial" w:cs="Arial"/>
                <w:sz w:val="18"/>
                <w:szCs w:val="19"/>
              </w:rPr>
              <w:t>872.5</w:t>
            </w:r>
          </w:p>
        </w:tc>
        <w:tc>
          <w:tcPr>
            <w:tcW w:w="453" w:type="pct"/>
            <w:shd w:val="clear" w:color="auto" w:fill="auto"/>
            <w:noWrap/>
            <w:vAlign w:val="center"/>
            <w:hideMark/>
          </w:tcPr>
          <w:p w14:paraId="23332E1B" w14:textId="77777777" w:rsidR="0062327A" w:rsidRPr="00811800" w:rsidRDefault="0062327A" w:rsidP="00F07E0C">
            <w:pPr>
              <w:jc w:val="right"/>
              <w:rPr>
                <w:rFonts w:ascii="Arial" w:hAnsi="Arial" w:cs="Arial"/>
                <w:sz w:val="18"/>
                <w:szCs w:val="19"/>
              </w:rPr>
            </w:pPr>
            <w:r w:rsidRPr="00811800">
              <w:rPr>
                <w:rFonts w:ascii="Arial" w:hAnsi="Arial" w:cs="Arial"/>
                <w:sz w:val="18"/>
                <w:szCs w:val="19"/>
              </w:rPr>
              <w:t>492.4</w:t>
            </w:r>
          </w:p>
        </w:tc>
        <w:tc>
          <w:tcPr>
            <w:tcW w:w="377" w:type="pct"/>
            <w:shd w:val="clear" w:color="auto" w:fill="auto"/>
            <w:noWrap/>
            <w:vAlign w:val="center"/>
            <w:hideMark/>
          </w:tcPr>
          <w:p w14:paraId="7D7C93A0" w14:textId="77777777" w:rsidR="0062327A" w:rsidRPr="00811800" w:rsidRDefault="0062327A" w:rsidP="00F07E0C">
            <w:pPr>
              <w:jc w:val="right"/>
              <w:rPr>
                <w:rFonts w:ascii="Arial" w:hAnsi="Arial" w:cs="Arial"/>
                <w:sz w:val="18"/>
                <w:szCs w:val="19"/>
              </w:rPr>
            </w:pPr>
            <w:r w:rsidRPr="00811800">
              <w:rPr>
                <w:rFonts w:ascii="Arial" w:hAnsi="Arial" w:cs="Arial"/>
                <w:sz w:val="18"/>
                <w:szCs w:val="19"/>
              </w:rPr>
              <w:t>429.2</w:t>
            </w:r>
          </w:p>
        </w:tc>
      </w:tr>
    </w:tbl>
    <w:p w14:paraId="23000DFC" w14:textId="77777777" w:rsidR="0062327A" w:rsidRPr="00811800" w:rsidRDefault="0062327A" w:rsidP="00CD1B39">
      <w:pPr>
        <w:pStyle w:val="Footnote"/>
      </w:pPr>
    </w:p>
    <w:p w14:paraId="0C858C6E" w14:textId="6D39DCA3" w:rsidR="00305858" w:rsidRPr="00811800" w:rsidRDefault="00305858" w:rsidP="00305858">
      <w:pPr>
        <w:pStyle w:val="Footnote"/>
      </w:pPr>
      <w:r w:rsidRPr="00811800">
        <w:t xml:space="preserve">Source: </w:t>
      </w:r>
      <w:proofErr w:type="spellStart"/>
      <w:r>
        <w:rPr>
          <w:rFonts w:eastAsiaTheme="minorEastAsia" w:hint="eastAsia"/>
          <w:lang w:eastAsia="zh-CN"/>
        </w:rPr>
        <w:t>Suntech</w:t>
      </w:r>
      <w:proofErr w:type="spellEnd"/>
      <w:r>
        <w:rPr>
          <w:rFonts w:eastAsiaTheme="minorEastAsia" w:hint="eastAsia"/>
          <w:lang w:eastAsia="zh-CN"/>
        </w:rPr>
        <w:t xml:space="preserve"> Power Holdings Co.,</w:t>
      </w:r>
      <w:r w:rsidR="00CC3346">
        <w:rPr>
          <w:rFonts w:eastAsiaTheme="minorEastAsia"/>
          <w:lang w:eastAsia="zh-CN"/>
        </w:rPr>
        <w:t xml:space="preserve"> </w:t>
      </w:r>
      <w:r>
        <w:rPr>
          <w:rFonts w:eastAsiaTheme="minorEastAsia" w:hint="eastAsia"/>
          <w:lang w:eastAsia="zh-CN"/>
        </w:rPr>
        <w:t xml:space="preserve">Ltd., </w:t>
      </w:r>
      <w:r>
        <w:rPr>
          <w:rFonts w:eastAsiaTheme="minorEastAsia"/>
          <w:lang w:eastAsia="zh-CN"/>
        </w:rPr>
        <w:t>“</w:t>
      </w:r>
      <w:r>
        <w:rPr>
          <w:rFonts w:eastAsiaTheme="minorEastAsia" w:hint="eastAsia"/>
          <w:lang w:eastAsia="zh-CN"/>
        </w:rPr>
        <w:t>Form 20-F,</w:t>
      </w:r>
      <w:r>
        <w:rPr>
          <w:rFonts w:eastAsiaTheme="minorEastAsia"/>
          <w:lang w:eastAsia="zh-CN"/>
        </w:rPr>
        <w:t>”</w:t>
      </w:r>
      <w:r>
        <w:rPr>
          <w:rFonts w:eastAsiaTheme="minorEastAsia" w:hint="eastAsia"/>
          <w:lang w:eastAsia="zh-CN"/>
        </w:rPr>
        <w:t xml:space="preserve"> EDGAR Online, accessed December 15, 2016</w:t>
      </w:r>
      <w:r w:rsidR="00203B2A">
        <w:rPr>
          <w:rFonts w:eastAsiaTheme="minorEastAsia"/>
          <w:lang w:eastAsia="zh-CN"/>
        </w:rPr>
        <w:t xml:space="preserve">, </w:t>
      </w:r>
      <w:r w:rsidR="00203B2A" w:rsidRPr="00203B2A">
        <w:rPr>
          <w:rFonts w:eastAsiaTheme="minorEastAsia"/>
          <w:lang w:eastAsia="zh-CN"/>
        </w:rPr>
        <w:t>https://www.sec.gov/Archives/edgar/data/1342803/000095012310047699/h04216e20vf.htm.</w:t>
      </w:r>
    </w:p>
    <w:p w14:paraId="54255004" w14:textId="4BCF2228" w:rsidR="0062327A" w:rsidRPr="00811800" w:rsidRDefault="0062327A" w:rsidP="00CD1B39">
      <w:pPr>
        <w:pStyle w:val="Footnote"/>
      </w:pPr>
    </w:p>
    <w:p w14:paraId="367B90A1" w14:textId="77777777" w:rsidR="00CD1B39" w:rsidRPr="00811800" w:rsidRDefault="00CD1B39" w:rsidP="00CD1B39">
      <w:pPr>
        <w:pStyle w:val="Footnote"/>
      </w:pPr>
    </w:p>
    <w:p w14:paraId="3D684EE6" w14:textId="77777777" w:rsidR="007C6DCF" w:rsidRPr="00811800" w:rsidRDefault="007C6DCF">
      <w:pPr>
        <w:spacing w:after="200" w:line="276" w:lineRule="auto"/>
        <w:rPr>
          <w:rFonts w:ascii="Arial" w:hAnsi="Arial" w:cs="Arial"/>
          <w:sz w:val="17"/>
          <w:szCs w:val="17"/>
        </w:rPr>
      </w:pPr>
      <w:r w:rsidRPr="00811800">
        <w:br w:type="page"/>
      </w:r>
    </w:p>
    <w:p w14:paraId="65A7A24C" w14:textId="69CDEBD0" w:rsidR="0062327A" w:rsidRPr="00811800" w:rsidRDefault="0062327A" w:rsidP="002F0675">
      <w:pPr>
        <w:pStyle w:val="ExhibitHeading"/>
      </w:pPr>
      <w:r w:rsidRPr="00811800">
        <w:lastRenderedPageBreak/>
        <w:t>Exhibit 1</w:t>
      </w:r>
      <w:r w:rsidR="00FB4591">
        <w:rPr>
          <w:rFonts w:eastAsiaTheme="minorEastAsia" w:hint="eastAsia"/>
          <w:lang w:eastAsia="zh-CN"/>
        </w:rPr>
        <w:t>0</w:t>
      </w:r>
      <w:r w:rsidR="00A8559E">
        <w:rPr>
          <w:rFonts w:eastAsiaTheme="minorEastAsia" w:hint="eastAsia"/>
          <w:lang w:eastAsia="zh-CN"/>
        </w:rPr>
        <w:t>:</w:t>
      </w:r>
      <w:r w:rsidRPr="00811800">
        <w:t xml:space="preserve"> Details of the G</w:t>
      </w:r>
      <w:r w:rsidR="00C316BA">
        <w:t xml:space="preserve">lobal </w:t>
      </w:r>
      <w:r w:rsidRPr="00811800">
        <w:t>S</w:t>
      </w:r>
      <w:r w:rsidR="00C316BA">
        <w:t xml:space="preserve">olar </w:t>
      </w:r>
      <w:r w:rsidRPr="00811800">
        <w:t>F</w:t>
      </w:r>
      <w:r w:rsidR="00C316BA">
        <w:t>und (GSF)</w:t>
      </w:r>
      <w:r w:rsidRPr="00811800">
        <w:t xml:space="preserve"> Fraud Case</w:t>
      </w:r>
    </w:p>
    <w:p w14:paraId="6B0A2828" w14:textId="77777777" w:rsidR="002F0675" w:rsidRPr="00811800" w:rsidRDefault="002F0675" w:rsidP="002F0675">
      <w:pPr>
        <w:pStyle w:val="BodyTextMain"/>
        <w:rPr>
          <w:rFonts w:ascii="Arial" w:hAnsi="Arial" w:cs="Arial"/>
          <w:sz w:val="19"/>
          <w:szCs w:val="19"/>
        </w:rPr>
      </w:pPr>
    </w:p>
    <w:p w14:paraId="7FB36B9B" w14:textId="254D91F1" w:rsidR="0062327A" w:rsidRPr="00811800" w:rsidRDefault="0062327A" w:rsidP="002F0675">
      <w:pPr>
        <w:pStyle w:val="BodyTextMain"/>
        <w:rPr>
          <w:rFonts w:ascii="Arial" w:hAnsi="Arial" w:cs="Arial"/>
          <w:sz w:val="20"/>
          <w:szCs w:val="19"/>
        </w:rPr>
      </w:pPr>
      <w:r w:rsidRPr="00811800">
        <w:rPr>
          <w:rFonts w:ascii="Arial" w:hAnsi="Arial" w:cs="Arial"/>
          <w:sz w:val="20"/>
          <w:szCs w:val="19"/>
        </w:rPr>
        <w:t>GSF’s business model required large loans from banks to support the building of solar power stations. After some initial support, many European banks hesitated to issue new loans to support GSF’s projects</w:t>
      </w:r>
      <w:r w:rsidR="00C316BA">
        <w:rPr>
          <w:rFonts w:ascii="Arial" w:hAnsi="Arial" w:cs="Arial"/>
          <w:sz w:val="20"/>
          <w:szCs w:val="19"/>
        </w:rPr>
        <w:t xml:space="preserve"> </w:t>
      </w:r>
      <w:r w:rsidRPr="00811800">
        <w:rPr>
          <w:rFonts w:ascii="Arial" w:hAnsi="Arial" w:cs="Arial"/>
          <w:sz w:val="20"/>
          <w:szCs w:val="19"/>
        </w:rPr>
        <w:t xml:space="preserve">because </w:t>
      </w:r>
      <w:r w:rsidR="00C316BA">
        <w:rPr>
          <w:rFonts w:ascii="Arial" w:hAnsi="Arial" w:cs="Arial"/>
          <w:sz w:val="20"/>
          <w:szCs w:val="19"/>
        </w:rPr>
        <w:t xml:space="preserve">of the </w:t>
      </w:r>
      <w:r w:rsidRPr="00811800">
        <w:rPr>
          <w:rFonts w:ascii="Arial" w:hAnsi="Arial" w:cs="Arial"/>
          <w:sz w:val="20"/>
          <w:szCs w:val="19"/>
        </w:rPr>
        <w:t>significant risk in relation to the repayments of these bank loans if GSF w</w:t>
      </w:r>
      <w:r w:rsidR="00C316BA">
        <w:rPr>
          <w:rFonts w:ascii="Arial" w:hAnsi="Arial" w:cs="Arial"/>
          <w:sz w:val="20"/>
          <w:szCs w:val="19"/>
        </w:rPr>
        <w:t>ere</w:t>
      </w:r>
      <w:r w:rsidRPr="00811800">
        <w:rPr>
          <w:rFonts w:ascii="Arial" w:hAnsi="Arial" w:cs="Arial"/>
          <w:sz w:val="20"/>
          <w:szCs w:val="19"/>
        </w:rPr>
        <w:t xml:space="preserve"> not able to sell these power stations immediately upon completion. Given that most investors would require seeing positive cash flow from power generation as a precondition for investing, GSF </w:t>
      </w:r>
      <w:r w:rsidR="00C316BA">
        <w:rPr>
          <w:rFonts w:ascii="Arial" w:hAnsi="Arial" w:cs="Arial"/>
          <w:sz w:val="20"/>
          <w:szCs w:val="19"/>
        </w:rPr>
        <w:t>would have a hard time selling</w:t>
      </w:r>
      <w:r w:rsidRPr="00811800">
        <w:rPr>
          <w:rFonts w:ascii="Arial" w:hAnsi="Arial" w:cs="Arial"/>
          <w:sz w:val="20"/>
          <w:szCs w:val="19"/>
        </w:rPr>
        <w:t xml:space="preserve"> these solar power stations to investors immediately after completing these projects. With banks unwilling to provide loans, GSF had to rely on STP for more funds to operate those </w:t>
      </w:r>
      <w:r w:rsidR="00C316BA">
        <w:rPr>
          <w:rFonts w:ascii="Arial" w:hAnsi="Arial" w:cs="Arial"/>
          <w:sz w:val="20"/>
          <w:szCs w:val="19"/>
        </w:rPr>
        <w:t xml:space="preserve">completed </w:t>
      </w:r>
      <w:r w:rsidRPr="00811800">
        <w:rPr>
          <w:rFonts w:ascii="Arial" w:hAnsi="Arial" w:cs="Arial"/>
          <w:sz w:val="20"/>
          <w:szCs w:val="19"/>
        </w:rPr>
        <w:t xml:space="preserve">solar power stations as it searched for potential buyers. In turn, STP had to rely on GSF to invest in more solar power station projects in order to ensure the continued sales of its solar products. </w:t>
      </w:r>
    </w:p>
    <w:p w14:paraId="21341ADD" w14:textId="77777777" w:rsidR="002F0675" w:rsidRPr="00811800" w:rsidRDefault="002F0675" w:rsidP="002F0675">
      <w:pPr>
        <w:pStyle w:val="BodyTextMain"/>
        <w:rPr>
          <w:rFonts w:ascii="Arial" w:hAnsi="Arial" w:cs="Arial"/>
          <w:sz w:val="20"/>
          <w:szCs w:val="19"/>
        </w:rPr>
      </w:pPr>
    </w:p>
    <w:p w14:paraId="66F74602" w14:textId="42D73194" w:rsidR="0062327A" w:rsidRPr="00811800" w:rsidRDefault="0062327A" w:rsidP="002F0675">
      <w:pPr>
        <w:pStyle w:val="BodyTextMain"/>
        <w:rPr>
          <w:rFonts w:ascii="Arial" w:hAnsi="Arial" w:cs="Arial"/>
          <w:sz w:val="20"/>
          <w:szCs w:val="19"/>
        </w:rPr>
      </w:pPr>
      <w:r w:rsidRPr="00811800">
        <w:rPr>
          <w:rFonts w:ascii="Arial" w:hAnsi="Arial" w:cs="Arial"/>
          <w:sz w:val="20"/>
          <w:szCs w:val="19"/>
        </w:rPr>
        <w:t>To secure more funds in 2010, STP guaranteed payment obligations related to the finance facilities provided by China Development Bank to</w:t>
      </w:r>
      <w:r w:rsidR="002F11D4">
        <w:rPr>
          <w:rFonts w:ascii="Arial" w:hAnsi="Arial" w:cs="Arial"/>
          <w:sz w:val="20"/>
          <w:szCs w:val="19"/>
        </w:rPr>
        <w:t xml:space="preserve"> </w:t>
      </w:r>
      <w:r w:rsidRPr="00811800">
        <w:rPr>
          <w:rFonts w:ascii="Arial" w:hAnsi="Arial" w:cs="Arial"/>
          <w:sz w:val="20"/>
          <w:szCs w:val="19"/>
        </w:rPr>
        <w:t>an investee company of GSF in the amount of approximately</w:t>
      </w:r>
      <w:r w:rsidR="002F11D4">
        <w:rPr>
          <w:rFonts w:ascii="Arial" w:hAnsi="Arial" w:cs="Arial"/>
          <w:sz w:val="20"/>
          <w:szCs w:val="19"/>
        </w:rPr>
        <w:t xml:space="preserve"> </w:t>
      </w:r>
      <w:r w:rsidRPr="00811800">
        <w:rPr>
          <w:rFonts w:ascii="Arial" w:hAnsi="Arial" w:cs="Arial"/>
          <w:sz w:val="20"/>
          <w:szCs w:val="19"/>
        </w:rPr>
        <w:t>€554.</w:t>
      </w:r>
      <w:r w:rsidR="002F11D4" w:rsidRPr="00811800">
        <w:rPr>
          <w:rFonts w:ascii="Arial" w:hAnsi="Arial" w:cs="Arial"/>
          <w:sz w:val="20"/>
          <w:szCs w:val="19"/>
        </w:rPr>
        <w:t>2</w:t>
      </w:r>
      <w:r w:rsidR="002F11D4">
        <w:rPr>
          <w:rFonts w:ascii="Arial" w:hAnsi="Arial" w:cs="Arial"/>
          <w:sz w:val="20"/>
          <w:szCs w:val="19"/>
        </w:rPr>
        <w:t xml:space="preserve"> million</w:t>
      </w:r>
      <w:r w:rsidRPr="00811800">
        <w:rPr>
          <w:rFonts w:ascii="Arial" w:hAnsi="Arial" w:cs="Arial"/>
          <w:sz w:val="20"/>
          <w:szCs w:val="19"/>
        </w:rPr>
        <w:t>. To avoid STP</w:t>
      </w:r>
      <w:r w:rsidR="002F4878">
        <w:rPr>
          <w:rFonts w:ascii="Arial" w:hAnsi="Arial" w:cs="Arial"/>
          <w:sz w:val="20"/>
          <w:szCs w:val="19"/>
        </w:rPr>
        <w:t xml:space="preserve">’s taking on </w:t>
      </w:r>
      <w:r w:rsidRPr="00811800">
        <w:rPr>
          <w:rFonts w:ascii="Arial" w:hAnsi="Arial" w:cs="Arial"/>
          <w:sz w:val="20"/>
          <w:szCs w:val="19"/>
        </w:rPr>
        <w:t xml:space="preserve">that liability, Romero, on behalf of GSF Capital </w:t>
      </w:r>
      <w:proofErr w:type="spellStart"/>
      <w:r w:rsidRPr="00811800">
        <w:rPr>
          <w:rFonts w:ascii="Arial" w:hAnsi="Arial" w:cs="Arial"/>
          <w:sz w:val="20"/>
          <w:szCs w:val="19"/>
        </w:rPr>
        <w:t>Pte</w:t>
      </w:r>
      <w:r w:rsidR="002F4878">
        <w:rPr>
          <w:rFonts w:ascii="Arial" w:hAnsi="Arial" w:cs="Arial"/>
          <w:sz w:val="20"/>
          <w:szCs w:val="19"/>
        </w:rPr>
        <w:t>.</w:t>
      </w:r>
      <w:proofErr w:type="spellEnd"/>
      <w:r w:rsidRPr="00811800">
        <w:rPr>
          <w:rFonts w:ascii="Arial" w:hAnsi="Arial" w:cs="Arial"/>
          <w:sz w:val="20"/>
          <w:szCs w:val="19"/>
        </w:rPr>
        <w:t xml:space="preserve"> Ltd., pledged to STP the same amount in German government bonds as collateral for the bank loan. </w:t>
      </w:r>
      <w:r w:rsidR="002F4878">
        <w:rPr>
          <w:rFonts w:ascii="Arial" w:hAnsi="Arial" w:cs="Arial"/>
          <w:sz w:val="20"/>
          <w:szCs w:val="19"/>
        </w:rPr>
        <w:t xml:space="preserve">However, </w:t>
      </w:r>
      <w:r w:rsidRPr="00811800">
        <w:rPr>
          <w:rFonts w:ascii="Arial" w:hAnsi="Arial" w:cs="Arial"/>
          <w:sz w:val="20"/>
          <w:szCs w:val="19"/>
        </w:rPr>
        <w:t>in Jul</w:t>
      </w:r>
      <w:r w:rsidR="002F4878">
        <w:rPr>
          <w:rFonts w:ascii="Arial" w:hAnsi="Arial" w:cs="Arial"/>
          <w:sz w:val="20"/>
          <w:szCs w:val="19"/>
        </w:rPr>
        <w:t>y</w:t>
      </w:r>
      <w:r w:rsidRPr="00811800">
        <w:rPr>
          <w:rFonts w:ascii="Arial" w:hAnsi="Arial" w:cs="Arial"/>
          <w:sz w:val="20"/>
          <w:szCs w:val="19"/>
        </w:rPr>
        <w:t xml:space="preserve"> 2012</w:t>
      </w:r>
      <w:r w:rsidR="002F4878">
        <w:rPr>
          <w:rFonts w:ascii="Arial" w:hAnsi="Arial" w:cs="Arial"/>
          <w:sz w:val="20"/>
          <w:szCs w:val="19"/>
        </w:rPr>
        <w:t>, i</w:t>
      </w:r>
      <w:r w:rsidR="002F4878" w:rsidRPr="00811800">
        <w:rPr>
          <w:rFonts w:ascii="Arial" w:hAnsi="Arial" w:cs="Arial"/>
          <w:sz w:val="20"/>
          <w:szCs w:val="19"/>
        </w:rPr>
        <w:t>t was uncovered</w:t>
      </w:r>
      <w:r w:rsidRPr="00811800">
        <w:rPr>
          <w:rFonts w:ascii="Arial" w:hAnsi="Arial" w:cs="Arial"/>
          <w:sz w:val="20"/>
          <w:szCs w:val="19"/>
        </w:rPr>
        <w:t xml:space="preserve"> that the German government bonds may not have existed at all. STP claimed to be a victim of fraud perpetuated by Romero and initiated a lawsuit. STP was sued by shareholders in a </w:t>
      </w:r>
      <w:r w:rsidR="002F11D4" w:rsidRPr="00811800">
        <w:rPr>
          <w:rFonts w:ascii="Arial" w:hAnsi="Arial" w:cs="Arial"/>
          <w:sz w:val="20"/>
          <w:szCs w:val="19"/>
        </w:rPr>
        <w:t>class</w:t>
      </w:r>
      <w:r w:rsidR="002F11D4">
        <w:rPr>
          <w:rFonts w:ascii="Arial" w:hAnsi="Arial" w:cs="Arial"/>
          <w:sz w:val="20"/>
          <w:szCs w:val="19"/>
        </w:rPr>
        <w:t>-</w:t>
      </w:r>
      <w:r w:rsidRPr="00811800">
        <w:rPr>
          <w:rFonts w:ascii="Arial" w:hAnsi="Arial" w:cs="Arial"/>
          <w:sz w:val="20"/>
          <w:szCs w:val="19"/>
        </w:rPr>
        <w:t>action suit after the revelation of the German bond</w:t>
      </w:r>
      <w:r w:rsidR="00A21B65">
        <w:rPr>
          <w:rFonts w:ascii="Arial" w:hAnsi="Arial" w:cs="Arial"/>
          <w:sz w:val="20"/>
          <w:szCs w:val="19"/>
        </w:rPr>
        <w:t>-</w:t>
      </w:r>
      <w:r w:rsidRPr="00811800">
        <w:rPr>
          <w:rFonts w:ascii="Arial" w:hAnsi="Arial" w:cs="Arial"/>
          <w:sz w:val="20"/>
          <w:szCs w:val="19"/>
        </w:rPr>
        <w:t>guarantee fraud</w:t>
      </w:r>
      <w:r w:rsidR="00C316BA">
        <w:rPr>
          <w:rFonts w:ascii="Arial" w:hAnsi="Arial" w:cs="Arial"/>
          <w:sz w:val="20"/>
          <w:szCs w:val="19"/>
        </w:rPr>
        <w:t>,</w:t>
      </w:r>
      <w:r w:rsidRPr="00811800">
        <w:rPr>
          <w:rFonts w:ascii="Arial" w:hAnsi="Arial" w:cs="Arial"/>
          <w:sz w:val="20"/>
          <w:szCs w:val="19"/>
        </w:rPr>
        <w:t xml:space="preserve"> and the company lost more than </w:t>
      </w:r>
      <w:r w:rsidR="002F11D4" w:rsidRPr="00811800">
        <w:rPr>
          <w:rFonts w:ascii="Arial" w:hAnsi="Arial" w:cs="Arial"/>
          <w:sz w:val="20"/>
          <w:szCs w:val="19"/>
        </w:rPr>
        <w:t>40</w:t>
      </w:r>
      <w:r w:rsidR="002F11D4">
        <w:rPr>
          <w:rFonts w:ascii="Arial" w:hAnsi="Arial" w:cs="Arial"/>
          <w:sz w:val="20"/>
          <w:szCs w:val="19"/>
        </w:rPr>
        <w:t> </w:t>
      </w:r>
      <w:r w:rsidR="002F11D4" w:rsidRPr="00811800">
        <w:rPr>
          <w:rFonts w:ascii="Arial" w:hAnsi="Arial" w:cs="Arial"/>
          <w:sz w:val="20"/>
          <w:szCs w:val="19"/>
        </w:rPr>
        <w:t>per</w:t>
      </w:r>
      <w:r w:rsidR="002F11D4">
        <w:rPr>
          <w:rFonts w:ascii="Arial" w:hAnsi="Arial" w:cs="Arial"/>
          <w:sz w:val="20"/>
          <w:szCs w:val="19"/>
        </w:rPr>
        <w:t> </w:t>
      </w:r>
      <w:r w:rsidRPr="00811800">
        <w:rPr>
          <w:rFonts w:ascii="Arial" w:hAnsi="Arial" w:cs="Arial"/>
          <w:sz w:val="20"/>
          <w:szCs w:val="19"/>
        </w:rPr>
        <w:t>cent of its market value. The fraud case cast doubts on STP’s business integrity and Shi’s management capabilities. The lawsuit was settled out of court in March 2013. Romero was removed from GSF</w:t>
      </w:r>
      <w:r w:rsidR="00C316BA">
        <w:rPr>
          <w:rFonts w:ascii="Arial" w:hAnsi="Arial" w:cs="Arial"/>
          <w:sz w:val="20"/>
          <w:szCs w:val="19"/>
        </w:rPr>
        <w:t>,</w:t>
      </w:r>
      <w:r w:rsidRPr="00811800">
        <w:rPr>
          <w:rFonts w:ascii="Arial" w:hAnsi="Arial" w:cs="Arial"/>
          <w:sz w:val="20"/>
          <w:szCs w:val="19"/>
        </w:rPr>
        <w:t xml:space="preserve"> STP’s stake in GSF increased to 88.15 per cent</w:t>
      </w:r>
      <w:r w:rsidR="00C316BA">
        <w:rPr>
          <w:rFonts w:ascii="Arial" w:hAnsi="Arial" w:cs="Arial"/>
          <w:sz w:val="20"/>
          <w:szCs w:val="19"/>
        </w:rPr>
        <w:t>,</w:t>
      </w:r>
      <w:r w:rsidRPr="00811800">
        <w:rPr>
          <w:rFonts w:ascii="Arial" w:hAnsi="Arial" w:cs="Arial"/>
          <w:sz w:val="20"/>
          <w:szCs w:val="19"/>
        </w:rPr>
        <w:t xml:space="preserve"> and Shi’s stake increased to 11.85 per cent. </w:t>
      </w:r>
    </w:p>
    <w:p w14:paraId="37459DA2" w14:textId="77777777" w:rsidR="002F0675" w:rsidRPr="00811800" w:rsidRDefault="002F0675" w:rsidP="002F0675">
      <w:pPr>
        <w:pStyle w:val="BodyTextMain"/>
        <w:rPr>
          <w:rFonts w:ascii="Arial" w:hAnsi="Arial" w:cs="Arial"/>
          <w:sz w:val="20"/>
          <w:szCs w:val="19"/>
        </w:rPr>
      </w:pPr>
    </w:p>
    <w:p w14:paraId="04BD20B4" w14:textId="7CF1763C" w:rsidR="0062327A" w:rsidRPr="00811800" w:rsidRDefault="0062327A" w:rsidP="002F0675">
      <w:pPr>
        <w:pStyle w:val="BodyTextMain"/>
        <w:rPr>
          <w:rFonts w:ascii="Arial" w:hAnsi="Arial" w:cs="Arial"/>
          <w:sz w:val="20"/>
          <w:szCs w:val="19"/>
        </w:rPr>
      </w:pPr>
      <w:r w:rsidRPr="00811800">
        <w:rPr>
          <w:rFonts w:ascii="Arial" w:hAnsi="Arial" w:cs="Arial"/>
          <w:sz w:val="20"/>
          <w:szCs w:val="19"/>
        </w:rPr>
        <w:t>Around the same time, the Italian court also filed criminal charges against GSF, accusing it of illegally building solar power plants to exploit government subsidy. Solar power stations in Europe relied heavily on governments’ subsid</w:t>
      </w:r>
      <w:r w:rsidR="00A21B65">
        <w:rPr>
          <w:rFonts w:ascii="Arial" w:hAnsi="Arial" w:cs="Arial"/>
          <w:sz w:val="20"/>
          <w:szCs w:val="19"/>
        </w:rPr>
        <w:t>ies</w:t>
      </w:r>
      <w:r w:rsidRPr="00811800">
        <w:rPr>
          <w:rFonts w:ascii="Arial" w:hAnsi="Arial" w:cs="Arial"/>
          <w:sz w:val="20"/>
          <w:szCs w:val="19"/>
        </w:rPr>
        <w:t xml:space="preserve"> to reach grid parity. With many European economies in recession, government subsid</w:t>
      </w:r>
      <w:r w:rsidR="00A21B65">
        <w:rPr>
          <w:rFonts w:ascii="Arial" w:hAnsi="Arial" w:cs="Arial"/>
          <w:sz w:val="20"/>
          <w:szCs w:val="19"/>
        </w:rPr>
        <w:t>ies</w:t>
      </w:r>
      <w:r w:rsidRPr="00811800">
        <w:rPr>
          <w:rFonts w:ascii="Arial" w:hAnsi="Arial" w:cs="Arial"/>
          <w:sz w:val="20"/>
          <w:szCs w:val="19"/>
        </w:rPr>
        <w:t xml:space="preserve"> </w:t>
      </w:r>
      <w:r w:rsidR="002F11D4">
        <w:rPr>
          <w:rFonts w:ascii="Arial" w:hAnsi="Arial" w:cs="Arial"/>
          <w:sz w:val="20"/>
          <w:szCs w:val="19"/>
        </w:rPr>
        <w:t>had</w:t>
      </w:r>
      <w:r w:rsidR="002F11D4" w:rsidRPr="00811800">
        <w:rPr>
          <w:rFonts w:ascii="Arial" w:hAnsi="Arial" w:cs="Arial"/>
          <w:sz w:val="20"/>
          <w:szCs w:val="19"/>
        </w:rPr>
        <w:t xml:space="preserve"> </w:t>
      </w:r>
      <w:r w:rsidRPr="00811800">
        <w:rPr>
          <w:rFonts w:ascii="Arial" w:hAnsi="Arial" w:cs="Arial"/>
          <w:sz w:val="20"/>
          <w:szCs w:val="19"/>
        </w:rPr>
        <w:t>been significantly reduced</w:t>
      </w:r>
      <w:r w:rsidR="002F11D4">
        <w:rPr>
          <w:rFonts w:ascii="Arial" w:hAnsi="Arial" w:cs="Arial"/>
          <w:sz w:val="20"/>
          <w:szCs w:val="19"/>
        </w:rPr>
        <w:t>,</w:t>
      </w:r>
      <w:r w:rsidRPr="00811800">
        <w:rPr>
          <w:rFonts w:ascii="Arial" w:hAnsi="Arial" w:cs="Arial"/>
          <w:sz w:val="20"/>
          <w:szCs w:val="19"/>
        </w:rPr>
        <w:t xml:space="preserve"> and the requirements for obtaining </w:t>
      </w:r>
      <w:r w:rsidR="00A21B65">
        <w:rPr>
          <w:rFonts w:ascii="Arial" w:hAnsi="Arial" w:cs="Arial"/>
          <w:sz w:val="20"/>
          <w:szCs w:val="19"/>
        </w:rPr>
        <w:t xml:space="preserve">a </w:t>
      </w:r>
      <w:r w:rsidRPr="00811800">
        <w:rPr>
          <w:rFonts w:ascii="Arial" w:hAnsi="Arial" w:cs="Arial"/>
          <w:sz w:val="20"/>
          <w:szCs w:val="19"/>
        </w:rPr>
        <w:t xml:space="preserve">subsidy </w:t>
      </w:r>
      <w:r w:rsidR="002F11D4" w:rsidRPr="00811800">
        <w:rPr>
          <w:rFonts w:ascii="Arial" w:hAnsi="Arial" w:cs="Arial"/>
          <w:sz w:val="20"/>
          <w:szCs w:val="19"/>
        </w:rPr>
        <w:t>ha</w:t>
      </w:r>
      <w:r w:rsidR="002F11D4">
        <w:rPr>
          <w:rFonts w:ascii="Arial" w:hAnsi="Arial" w:cs="Arial"/>
          <w:sz w:val="20"/>
          <w:szCs w:val="19"/>
        </w:rPr>
        <w:t>d</w:t>
      </w:r>
      <w:r w:rsidR="002F11D4" w:rsidRPr="00811800">
        <w:rPr>
          <w:rFonts w:ascii="Arial" w:hAnsi="Arial" w:cs="Arial"/>
          <w:sz w:val="20"/>
          <w:szCs w:val="19"/>
        </w:rPr>
        <w:t xml:space="preserve"> </w:t>
      </w:r>
      <w:r w:rsidRPr="00811800">
        <w:rPr>
          <w:rFonts w:ascii="Arial" w:hAnsi="Arial" w:cs="Arial"/>
          <w:sz w:val="20"/>
          <w:szCs w:val="19"/>
        </w:rPr>
        <w:t>become more difficult. For example, the Italian government shortened the d</w:t>
      </w:r>
      <w:r w:rsidR="00A21B65">
        <w:rPr>
          <w:rFonts w:ascii="Arial" w:hAnsi="Arial" w:cs="Arial"/>
          <w:sz w:val="20"/>
          <w:szCs w:val="19"/>
        </w:rPr>
        <w:t>eadline</w:t>
      </w:r>
      <w:r w:rsidRPr="00811800">
        <w:rPr>
          <w:rFonts w:ascii="Arial" w:hAnsi="Arial" w:cs="Arial"/>
          <w:sz w:val="20"/>
          <w:szCs w:val="19"/>
        </w:rPr>
        <w:t xml:space="preserve"> for solar power stations to be completed and connected to the electrical grid. It also insisted that the subsidy level be decreased on a monthly basis prior to the d</w:t>
      </w:r>
      <w:r w:rsidR="00A21B65">
        <w:rPr>
          <w:rFonts w:ascii="Arial" w:hAnsi="Arial" w:cs="Arial"/>
          <w:sz w:val="20"/>
          <w:szCs w:val="19"/>
        </w:rPr>
        <w:t>eadline</w:t>
      </w:r>
      <w:r w:rsidRPr="00811800">
        <w:rPr>
          <w:rFonts w:ascii="Arial" w:hAnsi="Arial" w:cs="Arial"/>
          <w:sz w:val="20"/>
          <w:szCs w:val="19"/>
        </w:rPr>
        <w:t xml:space="preserve">. Earlier in 2011, five </w:t>
      </w:r>
      <w:r w:rsidR="002F11D4" w:rsidRPr="00811800">
        <w:rPr>
          <w:rFonts w:ascii="Arial" w:hAnsi="Arial" w:cs="Arial"/>
          <w:sz w:val="20"/>
          <w:szCs w:val="19"/>
        </w:rPr>
        <w:t>GSF</w:t>
      </w:r>
      <w:r w:rsidR="002F11D4">
        <w:rPr>
          <w:rFonts w:ascii="Arial" w:hAnsi="Arial" w:cs="Arial"/>
          <w:sz w:val="20"/>
          <w:szCs w:val="19"/>
        </w:rPr>
        <w:t>-</w:t>
      </w:r>
      <w:r w:rsidRPr="00811800">
        <w:rPr>
          <w:rFonts w:ascii="Arial" w:hAnsi="Arial" w:cs="Arial"/>
          <w:sz w:val="20"/>
          <w:szCs w:val="19"/>
        </w:rPr>
        <w:t xml:space="preserve">invested companies had already been charged with illegal construction of solar power plants. Charges included the failure to obtain the correct permit to build solar power plants and falsifying completion time to meet </w:t>
      </w:r>
      <w:r w:rsidR="00A21B65">
        <w:rPr>
          <w:rFonts w:ascii="Arial" w:hAnsi="Arial" w:cs="Arial"/>
          <w:sz w:val="20"/>
          <w:szCs w:val="19"/>
        </w:rPr>
        <w:t>the deadline</w:t>
      </w:r>
      <w:r w:rsidRPr="00811800">
        <w:rPr>
          <w:rFonts w:ascii="Arial" w:hAnsi="Arial" w:cs="Arial"/>
          <w:sz w:val="20"/>
          <w:szCs w:val="19"/>
        </w:rPr>
        <w:t xml:space="preserve"> in order to qualify for government incentives. The charges would eventually result in the dismantling of 37 solar power projects in Italy and added weight to questions over GSF’s affairs, the extent to which STP supervised it, and how much STP’s shareholders were informed about the magnitude of its troubles in Italy.</w:t>
      </w:r>
    </w:p>
    <w:p w14:paraId="669C4C7D" w14:textId="77777777" w:rsidR="0062327A" w:rsidRDefault="0062327A" w:rsidP="007E3AD9">
      <w:pPr>
        <w:pStyle w:val="Footnote"/>
        <w:rPr>
          <w:spacing w:val="-2"/>
          <w:kern w:val="17"/>
        </w:rPr>
      </w:pPr>
    </w:p>
    <w:p w14:paraId="500C8580" w14:textId="77777777" w:rsidR="006319C4" w:rsidRPr="008F3A57" w:rsidRDefault="006319C4" w:rsidP="007E3AD9">
      <w:pPr>
        <w:pStyle w:val="Footnote"/>
        <w:rPr>
          <w:spacing w:val="-2"/>
          <w:kern w:val="17"/>
        </w:rPr>
      </w:pPr>
    </w:p>
    <w:p w14:paraId="152F52F8" w14:textId="52BA4C43" w:rsidR="00862293" w:rsidRPr="008F3A57" w:rsidRDefault="0062327A" w:rsidP="007E3AD9">
      <w:pPr>
        <w:pStyle w:val="EndnoteText"/>
        <w:jc w:val="both"/>
        <w:rPr>
          <w:rFonts w:ascii="Arial" w:hAnsi="Arial" w:cs="Arial"/>
          <w:spacing w:val="-2"/>
          <w:kern w:val="17"/>
          <w:sz w:val="17"/>
          <w:szCs w:val="17"/>
        </w:rPr>
      </w:pPr>
      <w:r w:rsidRPr="008F3A57">
        <w:rPr>
          <w:rFonts w:ascii="Arial" w:hAnsi="Arial" w:cs="Arial"/>
          <w:spacing w:val="-2"/>
          <w:kern w:val="17"/>
          <w:sz w:val="17"/>
          <w:szCs w:val="17"/>
        </w:rPr>
        <w:t xml:space="preserve">Source: </w:t>
      </w:r>
      <w:r w:rsidR="003A56B2" w:rsidRPr="008F3A57">
        <w:rPr>
          <w:rFonts w:ascii="Arial" w:hAnsi="Arial" w:cs="Arial"/>
          <w:spacing w:val="-2"/>
          <w:kern w:val="17"/>
          <w:sz w:val="17"/>
          <w:szCs w:val="17"/>
        </w:rPr>
        <w:t>“</w:t>
      </w:r>
      <w:proofErr w:type="spellStart"/>
      <w:r w:rsidR="003A56B2" w:rsidRPr="008F3A57">
        <w:rPr>
          <w:rFonts w:ascii="Arial" w:hAnsi="Arial" w:cs="Arial"/>
          <w:spacing w:val="-2"/>
          <w:kern w:val="17"/>
          <w:sz w:val="17"/>
          <w:szCs w:val="17"/>
        </w:rPr>
        <w:t>Suntech</w:t>
      </w:r>
      <w:proofErr w:type="spellEnd"/>
      <w:r w:rsidR="003A56B2" w:rsidRPr="008F3A57">
        <w:rPr>
          <w:rFonts w:ascii="Arial" w:hAnsi="Arial" w:cs="Arial"/>
          <w:spacing w:val="-2"/>
          <w:kern w:val="17"/>
          <w:sz w:val="17"/>
          <w:szCs w:val="17"/>
        </w:rPr>
        <w:t xml:space="preserve"> Investigates Security Interest In Connection with GSF</w:t>
      </w:r>
      <w:r w:rsidR="008223E7" w:rsidRPr="008F3A57">
        <w:rPr>
          <w:rFonts w:ascii="Arial" w:hAnsi="Arial" w:cs="Arial"/>
          <w:spacing w:val="-2"/>
          <w:kern w:val="17"/>
          <w:sz w:val="17"/>
          <w:szCs w:val="17"/>
        </w:rPr>
        <w:t>,</w:t>
      </w:r>
      <w:r w:rsidR="003A56B2" w:rsidRPr="008F3A57">
        <w:rPr>
          <w:rFonts w:ascii="Arial" w:hAnsi="Arial" w:cs="Arial"/>
          <w:spacing w:val="-2"/>
          <w:kern w:val="17"/>
          <w:sz w:val="17"/>
          <w:szCs w:val="17"/>
        </w:rPr>
        <w:t>”</w:t>
      </w:r>
      <w:r w:rsidR="003A56B2" w:rsidRPr="008F3A57">
        <w:rPr>
          <w:rFonts w:ascii="Arial" w:hAnsi="Arial" w:cs="Arial"/>
          <w:i/>
          <w:spacing w:val="-2"/>
          <w:kern w:val="17"/>
          <w:sz w:val="17"/>
          <w:szCs w:val="17"/>
        </w:rPr>
        <w:t xml:space="preserve"> </w:t>
      </w:r>
      <w:r w:rsidR="003A56B2" w:rsidRPr="008F3A57">
        <w:rPr>
          <w:rFonts w:ascii="Arial" w:hAnsi="Arial" w:cs="Arial"/>
          <w:spacing w:val="-2"/>
          <w:kern w:val="17"/>
          <w:sz w:val="17"/>
          <w:szCs w:val="17"/>
        </w:rPr>
        <w:t>PR Newswire, July 30, 2012</w:t>
      </w:r>
      <w:r w:rsidR="008D0D9F" w:rsidRPr="008F3A57">
        <w:rPr>
          <w:rFonts w:ascii="Arial" w:eastAsiaTheme="minorEastAsia" w:hAnsi="Arial" w:cs="Arial"/>
          <w:spacing w:val="-2"/>
          <w:kern w:val="17"/>
          <w:sz w:val="17"/>
          <w:szCs w:val="17"/>
          <w:lang w:eastAsia="zh-CN"/>
        </w:rPr>
        <w:t>, accessed December 15, 2016</w:t>
      </w:r>
      <w:r w:rsidR="008223E7" w:rsidRPr="008F3A57">
        <w:rPr>
          <w:rFonts w:ascii="Arial" w:eastAsiaTheme="minorEastAsia" w:hAnsi="Arial" w:cs="Arial"/>
          <w:spacing w:val="-2"/>
          <w:kern w:val="17"/>
          <w:sz w:val="17"/>
          <w:szCs w:val="17"/>
          <w:lang w:eastAsia="zh-CN"/>
        </w:rPr>
        <w:t>, www.prnewswire.com/news-releases/suntech-investigates-security-interest-in-connection-with-gsf-164235476.html</w:t>
      </w:r>
      <w:r w:rsidR="003A56B2" w:rsidRPr="008F3A57">
        <w:rPr>
          <w:rFonts w:ascii="Arial" w:hAnsi="Arial" w:cs="Arial"/>
          <w:spacing w:val="-2"/>
          <w:kern w:val="17"/>
          <w:sz w:val="17"/>
          <w:szCs w:val="17"/>
        </w:rPr>
        <w:t>; Steve Scherer</w:t>
      </w:r>
      <w:r w:rsidR="008223E7" w:rsidRPr="008F3A57">
        <w:rPr>
          <w:rFonts w:ascii="Arial" w:hAnsi="Arial" w:cs="Arial"/>
          <w:spacing w:val="-2"/>
          <w:kern w:val="17"/>
          <w:sz w:val="17"/>
          <w:szCs w:val="17"/>
        </w:rPr>
        <w:t xml:space="preserve"> and </w:t>
      </w:r>
      <w:r w:rsidR="003A56B2" w:rsidRPr="008F3A57">
        <w:rPr>
          <w:rFonts w:ascii="Arial" w:hAnsi="Arial" w:cs="Arial"/>
          <w:spacing w:val="-2"/>
          <w:kern w:val="17"/>
          <w:sz w:val="17"/>
          <w:szCs w:val="17"/>
        </w:rPr>
        <w:t xml:space="preserve">Stephen </w:t>
      </w:r>
      <w:proofErr w:type="spellStart"/>
      <w:r w:rsidR="003A56B2" w:rsidRPr="008F3A57">
        <w:rPr>
          <w:rFonts w:ascii="Arial" w:hAnsi="Arial" w:cs="Arial"/>
          <w:spacing w:val="-2"/>
          <w:kern w:val="17"/>
          <w:sz w:val="17"/>
          <w:szCs w:val="17"/>
        </w:rPr>
        <w:t>Jewkes</w:t>
      </w:r>
      <w:proofErr w:type="spellEnd"/>
      <w:r w:rsidR="003A56B2" w:rsidRPr="008F3A57">
        <w:rPr>
          <w:rFonts w:ascii="Arial" w:hAnsi="Arial" w:cs="Arial"/>
          <w:spacing w:val="-2"/>
          <w:kern w:val="17"/>
          <w:sz w:val="17"/>
          <w:szCs w:val="17"/>
        </w:rPr>
        <w:t xml:space="preserve">, “China’s Fraud-Hit </w:t>
      </w:r>
      <w:proofErr w:type="spellStart"/>
      <w:r w:rsidR="003A56B2" w:rsidRPr="008F3A57">
        <w:rPr>
          <w:rFonts w:ascii="Arial" w:hAnsi="Arial" w:cs="Arial"/>
          <w:spacing w:val="-2"/>
          <w:kern w:val="17"/>
          <w:sz w:val="17"/>
          <w:szCs w:val="17"/>
        </w:rPr>
        <w:t>Suntech</w:t>
      </w:r>
      <w:proofErr w:type="spellEnd"/>
      <w:r w:rsidR="003A56B2" w:rsidRPr="008F3A57">
        <w:rPr>
          <w:rFonts w:ascii="Arial" w:hAnsi="Arial" w:cs="Arial"/>
          <w:spacing w:val="-2"/>
          <w:kern w:val="17"/>
          <w:sz w:val="17"/>
          <w:szCs w:val="17"/>
        </w:rPr>
        <w:t xml:space="preserve"> Strikes More Trouble in Italy</w:t>
      </w:r>
      <w:r w:rsidR="008223E7" w:rsidRPr="008F3A57">
        <w:rPr>
          <w:rFonts w:ascii="Arial" w:hAnsi="Arial" w:cs="Arial"/>
          <w:spacing w:val="-2"/>
          <w:kern w:val="17"/>
          <w:sz w:val="17"/>
          <w:szCs w:val="17"/>
        </w:rPr>
        <w:t>,</w:t>
      </w:r>
      <w:r w:rsidR="003A56B2" w:rsidRPr="008F3A57">
        <w:rPr>
          <w:rFonts w:ascii="Arial" w:hAnsi="Arial" w:cs="Arial"/>
          <w:spacing w:val="-2"/>
          <w:kern w:val="17"/>
          <w:sz w:val="17"/>
          <w:szCs w:val="17"/>
        </w:rPr>
        <w:t>”</w:t>
      </w:r>
      <w:r w:rsidR="008223E7" w:rsidRPr="008F3A57">
        <w:rPr>
          <w:rFonts w:ascii="Arial" w:hAnsi="Arial" w:cs="Arial"/>
          <w:spacing w:val="-2"/>
          <w:kern w:val="17"/>
          <w:sz w:val="17"/>
          <w:szCs w:val="17"/>
        </w:rPr>
        <w:t xml:space="preserve"> Reuters: Business News, A</w:t>
      </w:r>
      <w:r w:rsidR="003A56B2" w:rsidRPr="008F3A57">
        <w:rPr>
          <w:rFonts w:ascii="Arial" w:hAnsi="Arial" w:cs="Arial"/>
          <w:spacing w:val="-2"/>
          <w:kern w:val="17"/>
          <w:sz w:val="17"/>
          <w:szCs w:val="17"/>
        </w:rPr>
        <w:t>ugust 29, 2012, accessed September 18, 2015,</w:t>
      </w:r>
      <w:r w:rsidR="006319C4">
        <w:rPr>
          <w:rFonts w:ascii="Arial" w:hAnsi="Arial" w:cs="Arial"/>
          <w:spacing w:val="-2"/>
          <w:kern w:val="17"/>
          <w:sz w:val="17"/>
          <w:szCs w:val="17"/>
        </w:rPr>
        <w:t xml:space="preserve"> </w:t>
      </w:r>
      <w:r w:rsidR="008223E7" w:rsidRPr="008F3A57">
        <w:rPr>
          <w:rFonts w:ascii="Arial" w:hAnsi="Arial" w:cs="Arial"/>
          <w:spacing w:val="-2"/>
          <w:kern w:val="17"/>
          <w:sz w:val="17"/>
          <w:szCs w:val="17"/>
        </w:rPr>
        <w:t>www.reuters.com/article/us-suntech-italy-idUSBRE87S0N420120829</w:t>
      </w:r>
      <w:r w:rsidR="003A56B2" w:rsidRPr="008F3A57">
        <w:rPr>
          <w:rFonts w:ascii="Arial" w:hAnsi="Arial" w:cs="Arial"/>
          <w:spacing w:val="-2"/>
          <w:kern w:val="17"/>
          <w:sz w:val="17"/>
          <w:szCs w:val="17"/>
        </w:rPr>
        <w:t xml:space="preserve">; </w:t>
      </w:r>
      <w:r w:rsidR="00862293" w:rsidRPr="008F3A57">
        <w:rPr>
          <w:rFonts w:ascii="Arial" w:hAnsi="Arial" w:cs="Arial"/>
          <w:spacing w:val="-2"/>
          <w:kern w:val="17"/>
          <w:sz w:val="17"/>
          <w:szCs w:val="17"/>
        </w:rPr>
        <w:t>“</w:t>
      </w:r>
      <w:proofErr w:type="spellStart"/>
      <w:r w:rsidR="00862293" w:rsidRPr="008F3A57">
        <w:rPr>
          <w:rFonts w:ascii="Arial" w:hAnsi="Arial" w:cs="Arial"/>
          <w:spacing w:val="-2"/>
          <w:kern w:val="17"/>
          <w:sz w:val="17"/>
          <w:szCs w:val="17"/>
        </w:rPr>
        <w:t>Suntech</w:t>
      </w:r>
      <w:proofErr w:type="spellEnd"/>
      <w:r w:rsidR="00862293" w:rsidRPr="008F3A57">
        <w:rPr>
          <w:rFonts w:ascii="Arial" w:hAnsi="Arial" w:cs="Arial"/>
          <w:spacing w:val="-2"/>
          <w:kern w:val="17"/>
          <w:sz w:val="17"/>
          <w:szCs w:val="17"/>
        </w:rPr>
        <w:t xml:space="preserve"> Power in Peace with GSF</w:t>
      </w:r>
      <w:r w:rsidR="008223E7" w:rsidRPr="008F3A57">
        <w:rPr>
          <w:rFonts w:ascii="Arial" w:hAnsi="Arial" w:cs="Arial"/>
          <w:spacing w:val="-2"/>
          <w:kern w:val="17"/>
          <w:sz w:val="17"/>
          <w:szCs w:val="17"/>
        </w:rPr>
        <w:t>,</w:t>
      </w:r>
      <w:r w:rsidR="00862293" w:rsidRPr="008F3A57">
        <w:rPr>
          <w:rFonts w:ascii="Arial" w:hAnsi="Arial" w:cs="Arial"/>
          <w:spacing w:val="-2"/>
          <w:kern w:val="17"/>
          <w:sz w:val="17"/>
          <w:szCs w:val="17"/>
        </w:rPr>
        <w:t xml:space="preserve">” </w:t>
      </w:r>
      <w:r w:rsidR="00862293" w:rsidRPr="008F3A57">
        <w:rPr>
          <w:rFonts w:ascii="Arial" w:hAnsi="Arial" w:cs="Arial"/>
          <w:i/>
          <w:spacing w:val="-2"/>
          <w:kern w:val="17"/>
          <w:sz w:val="17"/>
          <w:szCs w:val="17"/>
        </w:rPr>
        <w:t>Securities Times</w:t>
      </w:r>
      <w:r w:rsidR="00B0600B" w:rsidRPr="008F3A57">
        <w:rPr>
          <w:rFonts w:ascii="Arial" w:hAnsi="Arial" w:cs="Arial"/>
          <w:spacing w:val="-2"/>
          <w:kern w:val="17"/>
          <w:sz w:val="17"/>
          <w:szCs w:val="17"/>
        </w:rPr>
        <w:t>, March, 11</w:t>
      </w:r>
      <w:r w:rsidR="00BB4BE3" w:rsidRPr="008F3A57">
        <w:rPr>
          <w:rFonts w:ascii="Arial" w:hAnsi="Arial" w:cs="Arial"/>
          <w:spacing w:val="-2"/>
          <w:kern w:val="17"/>
          <w:sz w:val="17"/>
          <w:szCs w:val="17"/>
        </w:rPr>
        <w:t>,</w:t>
      </w:r>
      <w:r w:rsidR="00B0600B" w:rsidRPr="008F3A57">
        <w:rPr>
          <w:rFonts w:ascii="Arial" w:hAnsi="Arial" w:cs="Arial"/>
          <w:spacing w:val="-2"/>
          <w:kern w:val="17"/>
          <w:sz w:val="17"/>
          <w:szCs w:val="17"/>
        </w:rPr>
        <w:t xml:space="preserve"> 2013</w:t>
      </w:r>
      <w:r w:rsidR="00B0600B" w:rsidRPr="008F3A57">
        <w:rPr>
          <w:rFonts w:ascii="Arial" w:eastAsiaTheme="minorEastAsia" w:hAnsi="Arial" w:cs="Arial"/>
          <w:spacing w:val="-2"/>
          <w:kern w:val="17"/>
          <w:sz w:val="17"/>
          <w:szCs w:val="17"/>
          <w:lang w:eastAsia="zh-CN"/>
        </w:rPr>
        <w:t>, accessed December 15, 2016</w:t>
      </w:r>
      <w:r w:rsidR="00862293" w:rsidRPr="008F3A57">
        <w:rPr>
          <w:rFonts w:ascii="Arial" w:hAnsi="Arial" w:cs="Arial"/>
          <w:spacing w:val="-2"/>
          <w:kern w:val="17"/>
          <w:sz w:val="17"/>
          <w:szCs w:val="17"/>
        </w:rPr>
        <w:t xml:space="preserve">; Wayne Ma, “The Man at </w:t>
      </w:r>
      <w:proofErr w:type="spellStart"/>
      <w:r w:rsidR="00862293" w:rsidRPr="008F3A57">
        <w:rPr>
          <w:rFonts w:ascii="Arial" w:hAnsi="Arial" w:cs="Arial"/>
          <w:spacing w:val="-2"/>
          <w:kern w:val="17"/>
          <w:sz w:val="17"/>
          <w:szCs w:val="17"/>
        </w:rPr>
        <w:t>Center</w:t>
      </w:r>
      <w:proofErr w:type="spellEnd"/>
      <w:r w:rsidR="00862293" w:rsidRPr="008F3A57">
        <w:rPr>
          <w:rFonts w:ascii="Arial" w:hAnsi="Arial" w:cs="Arial"/>
          <w:spacing w:val="-2"/>
          <w:kern w:val="17"/>
          <w:sz w:val="17"/>
          <w:szCs w:val="17"/>
        </w:rPr>
        <w:t xml:space="preserve"> of S</w:t>
      </w:r>
      <w:r w:rsidR="00BB4BE3" w:rsidRPr="008F3A57">
        <w:rPr>
          <w:rFonts w:ascii="Arial" w:hAnsi="Arial" w:cs="Arial"/>
          <w:spacing w:val="-2"/>
          <w:kern w:val="17"/>
          <w:sz w:val="17"/>
          <w:szCs w:val="17"/>
        </w:rPr>
        <w:t xml:space="preserve">olar-Panel Maker </w:t>
      </w:r>
      <w:proofErr w:type="spellStart"/>
      <w:r w:rsidR="00BB4BE3" w:rsidRPr="008F3A57">
        <w:rPr>
          <w:rFonts w:ascii="Arial" w:hAnsi="Arial" w:cs="Arial"/>
          <w:spacing w:val="-2"/>
          <w:kern w:val="17"/>
          <w:sz w:val="17"/>
          <w:szCs w:val="17"/>
        </w:rPr>
        <w:t>S</w:t>
      </w:r>
      <w:r w:rsidR="00862293" w:rsidRPr="008F3A57">
        <w:rPr>
          <w:rFonts w:ascii="Arial" w:hAnsi="Arial" w:cs="Arial"/>
          <w:spacing w:val="-2"/>
          <w:kern w:val="17"/>
          <w:sz w:val="17"/>
          <w:szCs w:val="17"/>
        </w:rPr>
        <w:t>untech’s</w:t>
      </w:r>
      <w:proofErr w:type="spellEnd"/>
      <w:r w:rsidR="00862293" w:rsidRPr="008F3A57">
        <w:rPr>
          <w:rFonts w:ascii="Arial" w:hAnsi="Arial" w:cs="Arial"/>
          <w:spacing w:val="-2"/>
          <w:kern w:val="17"/>
          <w:sz w:val="17"/>
          <w:szCs w:val="17"/>
        </w:rPr>
        <w:t xml:space="preserve"> Fall</w:t>
      </w:r>
      <w:r w:rsidR="00BB4BE3" w:rsidRPr="008F3A57">
        <w:rPr>
          <w:rFonts w:ascii="Arial" w:hAnsi="Arial" w:cs="Arial"/>
          <w:spacing w:val="-2"/>
          <w:kern w:val="17"/>
          <w:sz w:val="17"/>
          <w:szCs w:val="17"/>
        </w:rPr>
        <w:t>,</w:t>
      </w:r>
      <w:r w:rsidR="00862293" w:rsidRPr="008F3A57">
        <w:rPr>
          <w:rFonts w:ascii="Arial" w:hAnsi="Arial" w:cs="Arial"/>
          <w:spacing w:val="-2"/>
          <w:kern w:val="17"/>
          <w:sz w:val="17"/>
          <w:szCs w:val="17"/>
        </w:rPr>
        <w:t xml:space="preserve">” </w:t>
      </w:r>
      <w:r w:rsidR="00862293" w:rsidRPr="008F3A57">
        <w:rPr>
          <w:rFonts w:ascii="Arial" w:hAnsi="Arial" w:cs="Arial"/>
          <w:i/>
          <w:spacing w:val="-2"/>
          <w:kern w:val="17"/>
          <w:sz w:val="17"/>
          <w:szCs w:val="17"/>
        </w:rPr>
        <w:t>Wall Street Journal</w:t>
      </w:r>
      <w:r w:rsidR="00BB4BE3" w:rsidRPr="008F3A57">
        <w:rPr>
          <w:rFonts w:ascii="Arial" w:hAnsi="Arial" w:cs="Arial"/>
          <w:i/>
          <w:spacing w:val="-2"/>
          <w:kern w:val="17"/>
          <w:sz w:val="17"/>
          <w:szCs w:val="17"/>
        </w:rPr>
        <w:t>: Asian Business News</w:t>
      </w:r>
      <w:r w:rsidR="00862293" w:rsidRPr="008F3A57">
        <w:rPr>
          <w:rFonts w:ascii="Arial" w:hAnsi="Arial" w:cs="Arial"/>
          <w:i/>
          <w:spacing w:val="-2"/>
          <w:kern w:val="17"/>
          <w:sz w:val="17"/>
          <w:szCs w:val="17"/>
        </w:rPr>
        <w:t>,</w:t>
      </w:r>
      <w:r w:rsidR="00862293" w:rsidRPr="008F3A57">
        <w:rPr>
          <w:rFonts w:ascii="Arial" w:hAnsi="Arial" w:cs="Arial"/>
          <w:spacing w:val="-2"/>
          <w:kern w:val="17"/>
          <w:sz w:val="17"/>
          <w:szCs w:val="17"/>
        </w:rPr>
        <w:t xml:space="preserve"> May </w:t>
      </w:r>
      <w:r w:rsidR="00BB4BE3" w:rsidRPr="008F3A57">
        <w:rPr>
          <w:rFonts w:ascii="Arial" w:hAnsi="Arial" w:cs="Arial"/>
          <w:spacing w:val="-2"/>
          <w:kern w:val="17"/>
          <w:sz w:val="17"/>
          <w:szCs w:val="17"/>
        </w:rPr>
        <w:t>3</w:t>
      </w:r>
      <w:r w:rsidR="00862293" w:rsidRPr="008F3A57">
        <w:rPr>
          <w:rFonts w:ascii="Arial" w:hAnsi="Arial" w:cs="Arial"/>
          <w:spacing w:val="-2"/>
          <w:kern w:val="17"/>
          <w:sz w:val="17"/>
          <w:szCs w:val="17"/>
        </w:rPr>
        <w:t>, 2013</w:t>
      </w:r>
      <w:r w:rsidR="00B0600B" w:rsidRPr="008F3A57">
        <w:rPr>
          <w:rFonts w:ascii="Arial" w:eastAsiaTheme="minorEastAsia" w:hAnsi="Arial" w:cs="Arial"/>
          <w:spacing w:val="-2"/>
          <w:kern w:val="17"/>
          <w:sz w:val="17"/>
          <w:szCs w:val="17"/>
          <w:lang w:eastAsia="zh-CN"/>
        </w:rPr>
        <w:t>, accessed December 15, 2016</w:t>
      </w:r>
      <w:r w:rsidR="00BB4BE3" w:rsidRPr="008F3A57">
        <w:rPr>
          <w:rFonts w:ascii="Arial" w:eastAsiaTheme="minorEastAsia" w:hAnsi="Arial" w:cs="Arial"/>
          <w:spacing w:val="-2"/>
          <w:kern w:val="17"/>
          <w:sz w:val="17"/>
          <w:szCs w:val="17"/>
          <w:lang w:eastAsia="zh-CN"/>
        </w:rPr>
        <w:t>, https://www.wsj.com/articles/SB10001424127887324743704578442422720766046</w:t>
      </w:r>
      <w:r w:rsidR="00203B2A" w:rsidRPr="008F3A57">
        <w:rPr>
          <w:rFonts w:ascii="Arial" w:hAnsi="Arial" w:cs="Arial"/>
          <w:spacing w:val="-2"/>
          <w:kern w:val="17"/>
          <w:sz w:val="17"/>
          <w:szCs w:val="17"/>
        </w:rPr>
        <w:t xml:space="preserve">. </w:t>
      </w:r>
    </w:p>
    <w:p w14:paraId="538EBBB9" w14:textId="77777777" w:rsidR="00862293" w:rsidRPr="00A43E95" w:rsidRDefault="00862293" w:rsidP="00862293">
      <w:pPr>
        <w:pStyle w:val="EndnoteText"/>
        <w:rPr>
          <w:rFonts w:ascii="Arial" w:hAnsi="Arial" w:cs="Arial"/>
          <w:sz w:val="17"/>
          <w:szCs w:val="17"/>
        </w:rPr>
      </w:pPr>
    </w:p>
    <w:p w14:paraId="25C49AED" w14:textId="77777777" w:rsidR="003A56B2" w:rsidRPr="00A43E95" w:rsidRDefault="003A56B2" w:rsidP="003A56B2">
      <w:pPr>
        <w:pStyle w:val="EndnoteText"/>
        <w:rPr>
          <w:rFonts w:ascii="Arial" w:hAnsi="Arial" w:cs="Arial"/>
          <w:sz w:val="17"/>
          <w:szCs w:val="17"/>
        </w:rPr>
      </w:pPr>
    </w:p>
    <w:p w14:paraId="02782D19" w14:textId="77777777" w:rsidR="0062327A" w:rsidRPr="003A56B2" w:rsidRDefault="0062327A" w:rsidP="00D9182D">
      <w:pPr>
        <w:pStyle w:val="Footnote"/>
      </w:pPr>
    </w:p>
    <w:p w14:paraId="5766D7FF" w14:textId="77777777" w:rsidR="0062327A" w:rsidRPr="00811800" w:rsidRDefault="0062327A" w:rsidP="0062327A">
      <w:pPr>
        <w:rPr>
          <w:i/>
          <w:sz w:val="24"/>
        </w:rPr>
      </w:pPr>
    </w:p>
    <w:p w14:paraId="1F792928" w14:textId="77777777" w:rsidR="008A7025" w:rsidRPr="00811800" w:rsidRDefault="008A7025">
      <w:pPr>
        <w:spacing w:after="200" w:line="276" w:lineRule="auto"/>
        <w:rPr>
          <w:i/>
          <w:sz w:val="24"/>
        </w:rPr>
      </w:pPr>
      <w:r w:rsidRPr="00811800">
        <w:rPr>
          <w:i/>
          <w:sz w:val="24"/>
        </w:rPr>
        <w:br w:type="page"/>
      </w:r>
    </w:p>
    <w:p w14:paraId="062CB402" w14:textId="368E7BC0" w:rsidR="0062327A" w:rsidRPr="00811800" w:rsidRDefault="0062327A" w:rsidP="008A7025">
      <w:pPr>
        <w:pStyle w:val="ExhibitHeading"/>
      </w:pPr>
      <w:r w:rsidRPr="00811800">
        <w:lastRenderedPageBreak/>
        <w:t xml:space="preserve">Exhibit </w:t>
      </w:r>
      <w:r w:rsidR="00A8559E" w:rsidRPr="00811800">
        <w:t>1</w:t>
      </w:r>
      <w:r w:rsidR="00FB4591">
        <w:rPr>
          <w:rFonts w:eastAsiaTheme="minorEastAsia" w:hint="eastAsia"/>
          <w:lang w:eastAsia="zh-CN"/>
        </w:rPr>
        <w:t>1</w:t>
      </w:r>
      <w:r w:rsidRPr="00811800">
        <w:t>: Shi Zhengrong and Other Principal Shareholders’ Stake</w:t>
      </w:r>
      <w:r w:rsidR="002F11D4">
        <w:t>s</w:t>
      </w:r>
      <w:r w:rsidRPr="00811800">
        <w:t xml:space="preserve"> at STP</w:t>
      </w:r>
    </w:p>
    <w:p w14:paraId="7C026759" w14:textId="77777777" w:rsidR="0062327A" w:rsidRPr="00811800" w:rsidRDefault="0062327A" w:rsidP="008A7025">
      <w:pPr>
        <w:pStyle w:val="BodyTextMain"/>
      </w:pPr>
    </w:p>
    <w:tbl>
      <w:tblPr>
        <w:tblW w:w="3995" w:type="pct"/>
        <w:jc w:val="center"/>
        <w:tblLayout w:type="fixed"/>
        <w:tblLook w:val="04A0" w:firstRow="1" w:lastRow="0" w:firstColumn="1" w:lastColumn="0" w:noHBand="0" w:noVBand="1"/>
      </w:tblPr>
      <w:tblGrid>
        <w:gridCol w:w="1170"/>
        <w:gridCol w:w="1983"/>
        <w:gridCol w:w="4318"/>
      </w:tblGrid>
      <w:tr w:rsidR="0062327A" w:rsidRPr="00811800" w14:paraId="28559452" w14:textId="77777777" w:rsidTr="000C24FA">
        <w:trPr>
          <w:trHeight w:val="285"/>
          <w:jc w:val="center"/>
        </w:trPr>
        <w:tc>
          <w:tcPr>
            <w:tcW w:w="7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43AB23" w14:textId="77777777" w:rsidR="0062327A" w:rsidRPr="00811800" w:rsidRDefault="0062327A" w:rsidP="003A56B2">
            <w:pPr>
              <w:jc w:val="center"/>
              <w:rPr>
                <w:rFonts w:ascii="Arial" w:hAnsi="Arial" w:cs="Arial"/>
                <w:b/>
                <w:bCs/>
                <w:sz w:val="19"/>
                <w:szCs w:val="19"/>
              </w:rPr>
            </w:pPr>
            <w:r w:rsidRPr="00811800">
              <w:rPr>
                <w:rFonts w:ascii="Arial" w:hAnsi="Arial" w:cs="Arial"/>
                <w:b/>
                <w:bCs/>
                <w:sz w:val="19"/>
                <w:szCs w:val="19"/>
              </w:rPr>
              <w:t>Year</w:t>
            </w:r>
          </w:p>
        </w:tc>
        <w:tc>
          <w:tcPr>
            <w:tcW w:w="1327" w:type="pct"/>
            <w:tcBorders>
              <w:top w:val="single" w:sz="4" w:space="0" w:color="auto"/>
              <w:left w:val="nil"/>
              <w:bottom w:val="single" w:sz="4" w:space="0" w:color="auto"/>
              <w:right w:val="single" w:sz="4" w:space="0" w:color="auto"/>
            </w:tcBorders>
            <w:shd w:val="clear" w:color="auto" w:fill="auto"/>
            <w:noWrap/>
            <w:vAlign w:val="center"/>
            <w:hideMark/>
          </w:tcPr>
          <w:p w14:paraId="5608FD1C" w14:textId="77777777" w:rsidR="0062327A" w:rsidRPr="00811800" w:rsidRDefault="0062327A" w:rsidP="003A56B2">
            <w:pPr>
              <w:jc w:val="center"/>
              <w:rPr>
                <w:rFonts w:ascii="Arial" w:hAnsi="Arial" w:cs="Arial"/>
                <w:b/>
                <w:bCs/>
                <w:sz w:val="19"/>
                <w:szCs w:val="19"/>
              </w:rPr>
            </w:pPr>
            <w:r w:rsidRPr="00811800">
              <w:rPr>
                <w:rFonts w:ascii="Arial" w:hAnsi="Arial" w:cs="Arial"/>
                <w:b/>
                <w:bCs/>
                <w:sz w:val="19"/>
                <w:szCs w:val="19"/>
              </w:rPr>
              <w:t xml:space="preserve">Shi </w:t>
            </w:r>
            <w:proofErr w:type="spellStart"/>
            <w:r w:rsidRPr="00811800">
              <w:rPr>
                <w:rFonts w:ascii="Arial" w:hAnsi="Arial" w:cs="Arial"/>
                <w:b/>
                <w:bCs/>
                <w:sz w:val="19"/>
                <w:szCs w:val="19"/>
              </w:rPr>
              <w:t>Zhengrong</w:t>
            </w:r>
            <w:proofErr w:type="spellEnd"/>
            <w:r w:rsidRPr="00811800">
              <w:rPr>
                <w:rFonts w:ascii="Arial" w:hAnsi="Arial" w:cs="Arial"/>
                <w:b/>
                <w:bCs/>
                <w:sz w:val="19"/>
                <w:szCs w:val="19"/>
              </w:rPr>
              <w:t xml:space="preserve"> </w:t>
            </w:r>
          </w:p>
          <w:p w14:paraId="31E2F923" w14:textId="77777777" w:rsidR="0062327A" w:rsidRPr="00811800" w:rsidRDefault="0062327A" w:rsidP="003A56B2">
            <w:pPr>
              <w:jc w:val="center"/>
              <w:rPr>
                <w:rFonts w:ascii="Arial" w:hAnsi="Arial" w:cs="Arial"/>
                <w:b/>
                <w:bCs/>
                <w:sz w:val="19"/>
                <w:szCs w:val="19"/>
              </w:rPr>
            </w:pPr>
            <w:r w:rsidRPr="00811800">
              <w:rPr>
                <w:rFonts w:ascii="Arial" w:hAnsi="Arial" w:cs="Arial"/>
                <w:b/>
                <w:bCs/>
                <w:sz w:val="19"/>
                <w:szCs w:val="19"/>
              </w:rPr>
              <w:t>(per cent)</w:t>
            </w:r>
          </w:p>
        </w:tc>
        <w:tc>
          <w:tcPr>
            <w:tcW w:w="2890" w:type="pct"/>
            <w:tcBorders>
              <w:top w:val="single" w:sz="4" w:space="0" w:color="auto"/>
              <w:left w:val="nil"/>
              <w:bottom w:val="single" w:sz="4" w:space="0" w:color="auto"/>
              <w:right w:val="single" w:sz="4" w:space="0" w:color="auto"/>
            </w:tcBorders>
            <w:shd w:val="clear" w:color="auto" w:fill="auto"/>
            <w:noWrap/>
            <w:vAlign w:val="center"/>
            <w:hideMark/>
          </w:tcPr>
          <w:p w14:paraId="6B7C75A6" w14:textId="77777777" w:rsidR="0062327A" w:rsidRPr="00811800" w:rsidRDefault="0062327A" w:rsidP="003A56B2">
            <w:pPr>
              <w:jc w:val="center"/>
              <w:rPr>
                <w:rFonts w:ascii="Arial" w:hAnsi="Arial" w:cs="Arial"/>
                <w:b/>
                <w:bCs/>
                <w:sz w:val="19"/>
                <w:szCs w:val="19"/>
              </w:rPr>
            </w:pPr>
            <w:r w:rsidRPr="00811800">
              <w:rPr>
                <w:rFonts w:ascii="Arial" w:hAnsi="Arial" w:cs="Arial"/>
                <w:b/>
                <w:bCs/>
                <w:sz w:val="19"/>
                <w:szCs w:val="19"/>
              </w:rPr>
              <w:t>Other Principal Shareholders</w:t>
            </w:r>
          </w:p>
          <w:p w14:paraId="20BA5B84" w14:textId="77777777" w:rsidR="0062327A" w:rsidRPr="00811800" w:rsidRDefault="0062327A" w:rsidP="003A56B2">
            <w:pPr>
              <w:jc w:val="center"/>
              <w:rPr>
                <w:rFonts w:ascii="Arial" w:hAnsi="Arial" w:cs="Arial"/>
                <w:b/>
                <w:bCs/>
                <w:sz w:val="19"/>
                <w:szCs w:val="19"/>
              </w:rPr>
            </w:pPr>
            <w:r w:rsidRPr="00811800">
              <w:rPr>
                <w:rFonts w:ascii="Arial" w:hAnsi="Arial" w:cs="Arial"/>
                <w:b/>
                <w:bCs/>
                <w:sz w:val="19"/>
                <w:szCs w:val="19"/>
              </w:rPr>
              <w:t xml:space="preserve"> (more than 5 per cent)</w:t>
            </w:r>
          </w:p>
        </w:tc>
      </w:tr>
      <w:tr w:rsidR="0062327A" w:rsidRPr="00811800" w14:paraId="1812BB79" w14:textId="77777777" w:rsidTr="000C24FA">
        <w:trPr>
          <w:trHeight w:val="755"/>
          <w:jc w:val="center"/>
        </w:trPr>
        <w:tc>
          <w:tcPr>
            <w:tcW w:w="783" w:type="pct"/>
            <w:tcBorders>
              <w:top w:val="nil"/>
              <w:left w:val="single" w:sz="4" w:space="0" w:color="auto"/>
              <w:bottom w:val="single" w:sz="4" w:space="0" w:color="auto"/>
              <w:right w:val="single" w:sz="4" w:space="0" w:color="auto"/>
            </w:tcBorders>
            <w:shd w:val="clear" w:color="auto" w:fill="auto"/>
            <w:noWrap/>
            <w:vAlign w:val="center"/>
            <w:hideMark/>
          </w:tcPr>
          <w:p w14:paraId="7627DE8F" w14:textId="77777777" w:rsidR="0062327A" w:rsidRPr="00811800" w:rsidRDefault="0062327A" w:rsidP="003A56B2">
            <w:pPr>
              <w:jc w:val="center"/>
              <w:rPr>
                <w:rFonts w:ascii="Arial" w:hAnsi="Arial" w:cs="Arial"/>
                <w:sz w:val="19"/>
                <w:szCs w:val="19"/>
              </w:rPr>
            </w:pPr>
            <w:r w:rsidRPr="00811800">
              <w:rPr>
                <w:rFonts w:ascii="Arial" w:hAnsi="Arial" w:cs="Arial"/>
                <w:sz w:val="19"/>
                <w:szCs w:val="19"/>
              </w:rPr>
              <w:t>2006</w:t>
            </w:r>
          </w:p>
        </w:tc>
        <w:tc>
          <w:tcPr>
            <w:tcW w:w="1327" w:type="pct"/>
            <w:tcBorders>
              <w:top w:val="nil"/>
              <w:left w:val="nil"/>
              <w:bottom w:val="single" w:sz="4" w:space="0" w:color="auto"/>
              <w:right w:val="single" w:sz="4" w:space="0" w:color="auto"/>
            </w:tcBorders>
            <w:shd w:val="clear" w:color="auto" w:fill="auto"/>
            <w:noWrap/>
            <w:vAlign w:val="center"/>
            <w:hideMark/>
          </w:tcPr>
          <w:p w14:paraId="72920CCE" w14:textId="77777777" w:rsidR="0062327A" w:rsidRPr="00811800" w:rsidRDefault="0062327A" w:rsidP="00F07E0C">
            <w:pPr>
              <w:jc w:val="right"/>
              <w:rPr>
                <w:rFonts w:ascii="Arial" w:hAnsi="Arial" w:cs="Arial"/>
                <w:sz w:val="19"/>
                <w:szCs w:val="19"/>
              </w:rPr>
            </w:pPr>
            <w:r w:rsidRPr="00811800">
              <w:rPr>
                <w:rFonts w:ascii="Arial" w:hAnsi="Arial" w:cs="Arial"/>
                <w:sz w:val="19"/>
                <w:szCs w:val="19"/>
              </w:rPr>
              <w:t>44.97</w:t>
            </w:r>
          </w:p>
        </w:tc>
        <w:tc>
          <w:tcPr>
            <w:tcW w:w="2890" w:type="pct"/>
            <w:tcBorders>
              <w:top w:val="nil"/>
              <w:left w:val="nil"/>
              <w:bottom w:val="single" w:sz="4" w:space="0" w:color="auto"/>
              <w:right w:val="single" w:sz="4" w:space="0" w:color="auto"/>
            </w:tcBorders>
            <w:shd w:val="clear" w:color="auto" w:fill="auto"/>
            <w:vAlign w:val="center"/>
            <w:hideMark/>
          </w:tcPr>
          <w:p w14:paraId="68023A96" w14:textId="77777777" w:rsidR="009E461D" w:rsidRPr="00811800" w:rsidRDefault="0062327A" w:rsidP="009E461D">
            <w:pPr>
              <w:rPr>
                <w:rFonts w:ascii="Arial" w:hAnsi="Arial" w:cs="Arial"/>
                <w:sz w:val="19"/>
                <w:szCs w:val="19"/>
              </w:rPr>
            </w:pPr>
            <w:r w:rsidRPr="00811800">
              <w:rPr>
                <w:rFonts w:ascii="Arial" w:hAnsi="Arial" w:cs="Arial"/>
                <w:sz w:val="19"/>
                <w:szCs w:val="19"/>
              </w:rPr>
              <w:t>Jason E. Maynard (7.33) (Board member)</w:t>
            </w:r>
          </w:p>
          <w:p w14:paraId="388E8128" w14:textId="77777777" w:rsidR="009E461D" w:rsidRPr="00811800" w:rsidRDefault="0062327A" w:rsidP="009E461D">
            <w:pPr>
              <w:rPr>
                <w:rFonts w:ascii="Arial" w:hAnsi="Arial" w:cs="Arial"/>
                <w:sz w:val="19"/>
                <w:szCs w:val="19"/>
              </w:rPr>
            </w:pPr>
            <w:r w:rsidRPr="00811800">
              <w:rPr>
                <w:rFonts w:ascii="Arial" w:hAnsi="Arial" w:cs="Arial"/>
                <w:sz w:val="19"/>
                <w:szCs w:val="19"/>
              </w:rPr>
              <w:t>D&amp;M Technologies Limited (44.75)</w:t>
            </w:r>
          </w:p>
          <w:p w14:paraId="4DFDAE40" w14:textId="77777777" w:rsidR="0062327A" w:rsidRPr="00811800" w:rsidRDefault="0062327A" w:rsidP="009E461D">
            <w:pPr>
              <w:rPr>
                <w:rFonts w:ascii="Arial" w:hAnsi="Arial" w:cs="Arial"/>
                <w:sz w:val="19"/>
                <w:szCs w:val="19"/>
              </w:rPr>
            </w:pPr>
            <w:r w:rsidRPr="00811800">
              <w:rPr>
                <w:rFonts w:ascii="Arial" w:hAnsi="Arial" w:cs="Arial"/>
                <w:sz w:val="19"/>
                <w:szCs w:val="19"/>
              </w:rPr>
              <w:t>Goldman Sachs (Asia) Finance (7.32)</w:t>
            </w:r>
          </w:p>
        </w:tc>
      </w:tr>
      <w:tr w:rsidR="0062327A" w:rsidRPr="00811800" w14:paraId="102FB661" w14:textId="77777777" w:rsidTr="000C24FA">
        <w:trPr>
          <w:trHeight w:val="926"/>
          <w:jc w:val="center"/>
        </w:trPr>
        <w:tc>
          <w:tcPr>
            <w:tcW w:w="783" w:type="pct"/>
            <w:tcBorders>
              <w:top w:val="nil"/>
              <w:left w:val="single" w:sz="4" w:space="0" w:color="auto"/>
              <w:bottom w:val="single" w:sz="4" w:space="0" w:color="auto"/>
              <w:right w:val="single" w:sz="4" w:space="0" w:color="auto"/>
            </w:tcBorders>
            <w:shd w:val="clear" w:color="auto" w:fill="auto"/>
            <w:noWrap/>
            <w:vAlign w:val="center"/>
            <w:hideMark/>
          </w:tcPr>
          <w:p w14:paraId="21AECBDA" w14:textId="77777777" w:rsidR="0062327A" w:rsidRPr="00811800" w:rsidRDefault="0062327A" w:rsidP="003A56B2">
            <w:pPr>
              <w:jc w:val="center"/>
              <w:rPr>
                <w:rFonts w:ascii="Arial" w:hAnsi="Arial" w:cs="Arial"/>
                <w:sz w:val="19"/>
                <w:szCs w:val="19"/>
              </w:rPr>
            </w:pPr>
            <w:r w:rsidRPr="00811800">
              <w:rPr>
                <w:rFonts w:ascii="Arial" w:hAnsi="Arial" w:cs="Arial"/>
                <w:sz w:val="19"/>
                <w:szCs w:val="19"/>
              </w:rPr>
              <w:t>2007</w:t>
            </w:r>
          </w:p>
        </w:tc>
        <w:tc>
          <w:tcPr>
            <w:tcW w:w="1327" w:type="pct"/>
            <w:tcBorders>
              <w:top w:val="nil"/>
              <w:left w:val="nil"/>
              <w:bottom w:val="single" w:sz="4" w:space="0" w:color="auto"/>
              <w:right w:val="single" w:sz="4" w:space="0" w:color="auto"/>
            </w:tcBorders>
            <w:shd w:val="clear" w:color="auto" w:fill="auto"/>
            <w:noWrap/>
            <w:vAlign w:val="center"/>
            <w:hideMark/>
          </w:tcPr>
          <w:p w14:paraId="49CF3B31" w14:textId="77777777" w:rsidR="0062327A" w:rsidRPr="00811800" w:rsidRDefault="0062327A" w:rsidP="00F07E0C">
            <w:pPr>
              <w:jc w:val="right"/>
              <w:rPr>
                <w:rFonts w:ascii="Arial" w:hAnsi="Arial" w:cs="Arial"/>
                <w:sz w:val="19"/>
                <w:szCs w:val="19"/>
              </w:rPr>
            </w:pPr>
            <w:r w:rsidRPr="00811800">
              <w:rPr>
                <w:rFonts w:ascii="Arial" w:hAnsi="Arial" w:cs="Arial"/>
                <w:sz w:val="19"/>
                <w:szCs w:val="19"/>
              </w:rPr>
              <w:t>38.6</w:t>
            </w:r>
          </w:p>
        </w:tc>
        <w:tc>
          <w:tcPr>
            <w:tcW w:w="2890" w:type="pct"/>
            <w:tcBorders>
              <w:top w:val="nil"/>
              <w:left w:val="nil"/>
              <w:bottom w:val="single" w:sz="4" w:space="0" w:color="auto"/>
              <w:right w:val="single" w:sz="4" w:space="0" w:color="auto"/>
            </w:tcBorders>
            <w:shd w:val="clear" w:color="auto" w:fill="auto"/>
            <w:vAlign w:val="center"/>
            <w:hideMark/>
          </w:tcPr>
          <w:p w14:paraId="2E1EAE34" w14:textId="77777777" w:rsidR="009E461D" w:rsidRPr="00811800" w:rsidRDefault="0062327A" w:rsidP="009E461D">
            <w:pPr>
              <w:rPr>
                <w:rFonts w:ascii="Arial" w:hAnsi="Arial" w:cs="Arial"/>
                <w:sz w:val="19"/>
                <w:szCs w:val="19"/>
              </w:rPr>
            </w:pPr>
            <w:r w:rsidRPr="00811800">
              <w:rPr>
                <w:rFonts w:ascii="Arial" w:hAnsi="Arial" w:cs="Arial"/>
                <w:sz w:val="19"/>
                <w:szCs w:val="19"/>
              </w:rPr>
              <w:t>D&amp;M Technologies Limited (38.3)</w:t>
            </w:r>
          </w:p>
          <w:p w14:paraId="6A0DCDD7" w14:textId="77777777" w:rsidR="009E461D" w:rsidRPr="00811800" w:rsidRDefault="0062327A" w:rsidP="009E461D">
            <w:pPr>
              <w:rPr>
                <w:rFonts w:ascii="Arial" w:hAnsi="Arial" w:cs="Arial"/>
                <w:sz w:val="19"/>
                <w:szCs w:val="19"/>
              </w:rPr>
            </w:pPr>
            <w:r w:rsidRPr="00811800">
              <w:rPr>
                <w:rFonts w:ascii="Arial" w:hAnsi="Arial" w:cs="Arial"/>
                <w:sz w:val="19"/>
                <w:szCs w:val="19"/>
              </w:rPr>
              <w:t>FMR Corp (11.2)</w:t>
            </w:r>
          </w:p>
          <w:p w14:paraId="2E9E9FDA" w14:textId="77777777" w:rsidR="009E461D" w:rsidRPr="00811800" w:rsidRDefault="0062327A" w:rsidP="009E461D">
            <w:pPr>
              <w:rPr>
                <w:rFonts w:ascii="Arial" w:hAnsi="Arial" w:cs="Arial"/>
                <w:sz w:val="19"/>
                <w:szCs w:val="19"/>
              </w:rPr>
            </w:pPr>
            <w:r w:rsidRPr="00811800">
              <w:rPr>
                <w:rFonts w:ascii="Arial" w:hAnsi="Arial" w:cs="Arial"/>
                <w:sz w:val="19"/>
                <w:szCs w:val="19"/>
              </w:rPr>
              <w:t>Goldman Sachs Group, Inc. (7.1)</w:t>
            </w:r>
          </w:p>
          <w:p w14:paraId="16673382" w14:textId="77777777" w:rsidR="0062327A" w:rsidRPr="00811800" w:rsidRDefault="0062327A" w:rsidP="009E461D">
            <w:pPr>
              <w:rPr>
                <w:rFonts w:ascii="Arial" w:hAnsi="Arial" w:cs="Arial"/>
                <w:sz w:val="19"/>
                <w:szCs w:val="19"/>
              </w:rPr>
            </w:pPr>
            <w:r w:rsidRPr="00811800">
              <w:rPr>
                <w:rFonts w:ascii="Arial" w:hAnsi="Arial" w:cs="Arial"/>
                <w:sz w:val="19"/>
                <w:szCs w:val="19"/>
              </w:rPr>
              <w:t>Goldman, Sachs &amp; Co.(7.1)</w:t>
            </w:r>
          </w:p>
        </w:tc>
      </w:tr>
      <w:tr w:rsidR="0062327A" w:rsidRPr="00811800" w14:paraId="22E7B6CE" w14:textId="77777777" w:rsidTr="000C24FA">
        <w:trPr>
          <w:trHeight w:val="530"/>
          <w:jc w:val="center"/>
        </w:trPr>
        <w:tc>
          <w:tcPr>
            <w:tcW w:w="783" w:type="pct"/>
            <w:tcBorders>
              <w:top w:val="nil"/>
              <w:left w:val="single" w:sz="4" w:space="0" w:color="auto"/>
              <w:bottom w:val="single" w:sz="4" w:space="0" w:color="auto"/>
              <w:right w:val="single" w:sz="4" w:space="0" w:color="auto"/>
            </w:tcBorders>
            <w:shd w:val="clear" w:color="auto" w:fill="auto"/>
            <w:noWrap/>
            <w:vAlign w:val="center"/>
            <w:hideMark/>
          </w:tcPr>
          <w:p w14:paraId="11746AE7" w14:textId="77777777" w:rsidR="0062327A" w:rsidRPr="00811800" w:rsidRDefault="0062327A" w:rsidP="003A56B2">
            <w:pPr>
              <w:jc w:val="center"/>
              <w:rPr>
                <w:rFonts w:ascii="Arial" w:hAnsi="Arial" w:cs="Arial"/>
                <w:sz w:val="19"/>
                <w:szCs w:val="19"/>
              </w:rPr>
            </w:pPr>
            <w:r w:rsidRPr="00811800">
              <w:rPr>
                <w:rFonts w:ascii="Arial" w:hAnsi="Arial" w:cs="Arial"/>
                <w:sz w:val="19"/>
                <w:szCs w:val="19"/>
              </w:rPr>
              <w:t>2008</w:t>
            </w:r>
          </w:p>
        </w:tc>
        <w:tc>
          <w:tcPr>
            <w:tcW w:w="1327" w:type="pct"/>
            <w:tcBorders>
              <w:top w:val="nil"/>
              <w:left w:val="nil"/>
              <w:bottom w:val="single" w:sz="4" w:space="0" w:color="auto"/>
              <w:right w:val="single" w:sz="4" w:space="0" w:color="auto"/>
            </w:tcBorders>
            <w:shd w:val="clear" w:color="auto" w:fill="auto"/>
            <w:noWrap/>
            <w:vAlign w:val="center"/>
            <w:hideMark/>
          </w:tcPr>
          <w:p w14:paraId="3A35D438" w14:textId="77777777" w:rsidR="0062327A" w:rsidRPr="00811800" w:rsidRDefault="0062327A" w:rsidP="00F07E0C">
            <w:pPr>
              <w:jc w:val="right"/>
              <w:rPr>
                <w:rFonts w:ascii="Arial" w:hAnsi="Arial" w:cs="Arial"/>
                <w:sz w:val="19"/>
                <w:szCs w:val="19"/>
              </w:rPr>
            </w:pPr>
            <w:r w:rsidRPr="00811800">
              <w:rPr>
                <w:rFonts w:ascii="Arial" w:hAnsi="Arial" w:cs="Arial"/>
                <w:sz w:val="19"/>
                <w:szCs w:val="19"/>
              </w:rPr>
              <w:t>34.2</w:t>
            </w:r>
          </w:p>
        </w:tc>
        <w:tc>
          <w:tcPr>
            <w:tcW w:w="2890" w:type="pct"/>
            <w:tcBorders>
              <w:top w:val="nil"/>
              <w:left w:val="nil"/>
              <w:bottom w:val="single" w:sz="4" w:space="0" w:color="auto"/>
              <w:right w:val="single" w:sz="4" w:space="0" w:color="auto"/>
            </w:tcBorders>
            <w:shd w:val="clear" w:color="auto" w:fill="auto"/>
            <w:vAlign w:val="center"/>
            <w:hideMark/>
          </w:tcPr>
          <w:p w14:paraId="3E1B39F1" w14:textId="77777777" w:rsidR="009E461D" w:rsidRPr="00811800" w:rsidRDefault="0062327A" w:rsidP="009E461D">
            <w:pPr>
              <w:rPr>
                <w:rFonts w:ascii="Arial" w:hAnsi="Arial" w:cs="Arial"/>
                <w:sz w:val="19"/>
                <w:szCs w:val="19"/>
              </w:rPr>
            </w:pPr>
            <w:r w:rsidRPr="00811800">
              <w:rPr>
                <w:rFonts w:ascii="Arial" w:hAnsi="Arial" w:cs="Arial"/>
                <w:sz w:val="19"/>
                <w:szCs w:val="19"/>
              </w:rPr>
              <w:t>D&amp;M Technologies Limited (33.6)</w:t>
            </w:r>
          </w:p>
          <w:p w14:paraId="358AA4F9" w14:textId="77777777" w:rsidR="0062327A" w:rsidRPr="00811800" w:rsidRDefault="0062327A" w:rsidP="009E461D">
            <w:pPr>
              <w:rPr>
                <w:rFonts w:ascii="Arial" w:hAnsi="Arial" w:cs="Arial"/>
                <w:sz w:val="19"/>
                <w:szCs w:val="19"/>
              </w:rPr>
            </w:pPr>
            <w:r w:rsidRPr="00811800">
              <w:rPr>
                <w:rFonts w:ascii="Arial" w:hAnsi="Arial" w:cs="Arial"/>
                <w:sz w:val="19"/>
                <w:szCs w:val="19"/>
              </w:rPr>
              <w:t>FMR Corp (11.2)</w:t>
            </w:r>
          </w:p>
        </w:tc>
      </w:tr>
      <w:tr w:rsidR="0062327A" w:rsidRPr="00811800" w14:paraId="395CCEB8" w14:textId="77777777" w:rsidTr="000C24FA">
        <w:trPr>
          <w:trHeight w:val="440"/>
          <w:jc w:val="center"/>
        </w:trPr>
        <w:tc>
          <w:tcPr>
            <w:tcW w:w="783" w:type="pct"/>
            <w:tcBorders>
              <w:top w:val="nil"/>
              <w:left w:val="single" w:sz="4" w:space="0" w:color="auto"/>
              <w:bottom w:val="single" w:sz="4" w:space="0" w:color="auto"/>
              <w:right w:val="single" w:sz="4" w:space="0" w:color="auto"/>
            </w:tcBorders>
            <w:shd w:val="clear" w:color="auto" w:fill="auto"/>
            <w:noWrap/>
            <w:vAlign w:val="center"/>
            <w:hideMark/>
          </w:tcPr>
          <w:p w14:paraId="2E5CC837" w14:textId="77777777" w:rsidR="0062327A" w:rsidRPr="00811800" w:rsidRDefault="0062327A" w:rsidP="003A56B2">
            <w:pPr>
              <w:jc w:val="center"/>
              <w:rPr>
                <w:rFonts w:ascii="Arial" w:hAnsi="Arial" w:cs="Arial"/>
                <w:sz w:val="19"/>
                <w:szCs w:val="19"/>
              </w:rPr>
            </w:pPr>
            <w:r w:rsidRPr="00811800">
              <w:rPr>
                <w:rFonts w:ascii="Arial" w:hAnsi="Arial" w:cs="Arial"/>
                <w:sz w:val="19"/>
                <w:szCs w:val="19"/>
              </w:rPr>
              <w:t>2009</w:t>
            </w:r>
          </w:p>
        </w:tc>
        <w:tc>
          <w:tcPr>
            <w:tcW w:w="1327" w:type="pct"/>
            <w:tcBorders>
              <w:top w:val="nil"/>
              <w:left w:val="nil"/>
              <w:bottom w:val="single" w:sz="4" w:space="0" w:color="auto"/>
              <w:right w:val="single" w:sz="4" w:space="0" w:color="auto"/>
            </w:tcBorders>
            <w:shd w:val="clear" w:color="auto" w:fill="auto"/>
            <w:noWrap/>
            <w:vAlign w:val="center"/>
            <w:hideMark/>
          </w:tcPr>
          <w:p w14:paraId="3879B57B" w14:textId="77777777" w:rsidR="0062327A" w:rsidRPr="00811800" w:rsidRDefault="0062327A" w:rsidP="00F07E0C">
            <w:pPr>
              <w:jc w:val="right"/>
              <w:rPr>
                <w:rFonts w:ascii="Arial" w:hAnsi="Arial" w:cs="Arial"/>
                <w:sz w:val="19"/>
                <w:szCs w:val="19"/>
              </w:rPr>
            </w:pPr>
            <w:r w:rsidRPr="00811800">
              <w:rPr>
                <w:rFonts w:ascii="Arial" w:hAnsi="Arial" w:cs="Arial"/>
                <w:sz w:val="19"/>
                <w:szCs w:val="19"/>
              </w:rPr>
              <w:t>35.1</w:t>
            </w:r>
          </w:p>
        </w:tc>
        <w:tc>
          <w:tcPr>
            <w:tcW w:w="2890" w:type="pct"/>
            <w:tcBorders>
              <w:top w:val="nil"/>
              <w:left w:val="nil"/>
              <w:bottom w:val="single" w:sz="4" w:space="0" w:color="auto"/>
              <w:right w:val="single" w:sz="4" w:space="0" w:color="auto"/>
            </w:tcBorders>
            <w:shd w:val="clear" w:color="auto" w:fill="auto"/>
            <w:vAlign w:val="center"/>
            <w:hideMark/>
          </w:tcPr>
          <w:p w14:paraId="3033FECF" w14:textId="77777777" w:rsidR="009E461D" w:rsidRPr="00811800" w:rsidRDefault="0062327A" w:rsidP="009E461D">
            <w:pPr>
              <w:rPr>
                <w:rFonts w:ascii="Arial" w:hAnsi="Arial" w:cs="Arial"/>
                <w:sz w:val="19"/>
                <w:szCs w:val="19"/>
              </w:rPr>
            </w:pPr>
            <w:r w:rsidRPr="00811800">
              <w:rPr>
                <w:rFonts w:ascii="Arial" w:hAnsi="Arial" w:cs="Arial"/>
                <w:sz w:val="19"/>
                <w:szCs w:val="19"/>
              </w:rPr>
              <w:t>D&amp;M Technologies Limited (34.1)</w:t>
            </w:r>
          </w:p>
          <w:p w14:paraId="55C31DD8" w14:textId="77777777" w:rsidR="0062327A" w:rsidRPr="00811800" w:rsidRDefault="0062327A" w:rsidP="009E461D">
            <w:pPr>
              <w:rPr>
                <w:rFonts w:ascii="Arial" w:hAnsi="Arial" w:cs="Arial"/>
                <w:sz w:val="19"/>
                <w:szCs w:val="19"/>
              </w:rPr>
            </w:pPr>
            <w:r w:rsidRPr="00811800">
              <w:rPr>
                <w:rFonts w:ascii="Arial" w:hAnsi="Arial" w:cs="Arial"/>
                <w:sz w:val="19"/>
                <w:szCs w:val="19"/>
              </w:rPr>
              <w:t>Janus Capital Management LLC (8.4)</w:t>
            </w:r>
          </w:p>
        </w:tc>
      </w:tr>
      <w:tr w:rsidR="0062327A" w:rsidRPr="00811800" w14:paraId="22AB803F" w14:textId="77777777" w:rsidTr="000C24FA">
        <w:trPr>
          <w:trHeight w:val="300"/>
          <w:jc w:val="center"/>
        </w:trPr>
        <w:tc>
          <w:tcPr>
            <w:tcW w:w="783" w:type="pct"/>
            <w:tcBorders>
              <w:top w:val="nil"/>
              <w:left w:val="single" w:sz="4" w:space="0" w:color="auto"/>
              <w:bottom w:val="single" w:sz="4" w:space="0" w:color="auto"/>
              <w:right w:val="single" w:sz="4" w:space="0" w:color="auto"/>
            </w:tcBorders>
            <w:shd w:val="clear" w:color="auto" w:fill="auto"/>
            <w:noWrap/>
            <w:vAlign w:val="center"/>
            <w:hideMark/>
          </w:tcPr>
          <w:p w14:paraId="38734E39" w14:textId="77777777" w:rsidR="0062327A" w:rsidRPr="00811800" w:rsidRDefault="0062327A" w:rsidP="003A56B2">
            <w:pPr>
              <w:jc w:val="center"/>
              <w:rPr>
                <w:rFonts w:ascii="Arial" w:hAnsi="Arial" w:cs="Arial"/>
                <w:sz w:val="19"/>
                <w:szCs w:val="19"/>
              </w:rPr>
            </w:pPr>
            <w:r w:rsidRPr="00811800">
              <w:rPr>
                <w:rFonts w:ascii="Arial" w:hAnsi="Arial" w:cs="Arial"/>
                <w:sz w:val="19"/>
                <w:szCs w:val="19"/>
              </w:rPr>
              <w:t>2010</w:t>
            </w:r>
          </w:p>
        </w:tc>
        <w:tc>
          <w:tcPr>
            <w:tcW w:w="1327" w:type="pct"/>
            <w:tcBorders>
              <w:top w:val="nil"/>
              <w:left w:val="nil"/>
              <w:bottom w:val="single" w:sz="4" w:space="0" w:color="auto"/>
              <w:right w:val="single" w:sz="4" w:space="0" w:color="auto"/>
            </w:tcBorders>
            <w:shd w:val="clear" w:color="auto" w:fill="auto"/>
            <w:noWrap/>
            <w:vAlign w:val="center"/>
            <w:hideMark/>
          </w:tcPr>
          <w:p w14:paraId="3A8CB155" w14:textId="77777777" w:rsidR="0062327A" w:rsidRPr="00811800" w:rsidRDefault="0062327A" w:rsidP="00F07E0C">
            <w:pPr>
              <w:jc w:val="right"/>
              <w:rPr>
                <w:rFonts w:ascii="Arial" w:hAnsi="Arial" w:cs="Arial"/>
                <w:sz w:val="19"/>
                <w:szCs w:val="19"/>
              </w:rPr>
            </w:pPr>
            <w:r w:rsidRPr="00811800">
              <w:rPr>
                <w:rFonts w:ascii="Arial" w:hAnsi="Arial" w:cs="Arial"/>
                <w:sz w:val="19"/>
                <w:szCs w:val="19"/>
              </w:rPr>
              <w:t>30.4</w:t>
            </w:r>
          </w:p>
        </w:tc>
        <w:tc>
          <w:tcPr>
            <w:tcW w:w="2890" w:type="pct"/>
            <w:tcBorders>
              <w:top w:val="nil"/>
              <w:left w:val="nil"/>
              <w:bottom w:val="single" w:sz="4" w:space="0" w:color="auto"/>
              <w:right w:val="single" w:sz="4" w:space="0" w:color="auto"/>
            </w:tcBorders>
            <w:shd w:val="clear" w:color="auto" w:fill="auto"/>
            <w:noWrap/>
            <w:vAlign w:val="center"/>
            <w:hideMark/>
          </w:tcPr>
          <w:p w14:paraId="427BCE70" w14:textId="77777777" w:rsidR="0062327A" w:rsidRPr="00811800" w:rsidRDefault="0062327A" w:rsidP="003A56B2">
            <w:pPr>
              <w:rPr>
                <w:rFonts w:ascii="Arial" w:hAnsi="Arial" w:cs="Arial"/>
                <w:sz w:val="19"/>
                <w:szCs w:val="19"/>
              </w:rPr>
            </w:pPr>
            <w:r w:rsidRPr="00811800">
              <w:rPr>
                <w:rFonts w:ascii="Arial" w:hAnsi="Arial" w:cs="Arial"/>
                <w:sz w:val="19"/>
                <w:szCs w:val="19"/>
              </w:rPr>
              <w:t>D&amp;M Technologies Limited (29.5)</w:t>
            </w:r>
          </w:p>
        </w:tc>
      </w:tr>
      <w:tr w:rsidR="0062327A" w:rsidRPr="00811800" w14:paraId="12E6ACEC" w14:textId="77777777" w:rsidTr="000C24FA">
        <w:trPr>
          <w:trHeight w:val="300"/>
          <w:jc w:val="center"/>
        </w:trPr>
        <w:tc>
          <w:tcPr>
            <w:tcW w:w="783" w:type="pct"/>
            <w:tcBorders>
              <w:top w:val="nil"/>
              <w:left w:val="single" w:sz="4" w:space="0" w:color="auto"/>
              <w:bottom w:val="single" w:sz="4" w:space="0" w:color="auto"/>
              <w:right w:val="single" w:sz="4" w:space="0" w:color="auto"/>
            </w:tcBorders>
            <w:shd w:val="clear" w:color="auto" w:fill="auto"/>
            <w:noWrap/>
            <w:vAlign w:val="center"/>
            <w:hideMark/>
          </w:tcPr>
          <w:p w14:paraId="2863B765" w14:textId="77777777" w:rsidR="0062327A" w:rsidRPr="00811800" w:rsidRDefault="0062327A" w:rsidP="003A56B2">
            <w:pPr>
              <w:jc w:val="center"/>
              <w:rPr>
                <w:rFonts w:ascii="Arial" w:hAnsi="Arial" w:cs="Arial"/>
                <w:sz w:val="19"/>
                <w:szCs w:val="19"/>
              </w:rPr>
            </w:pPr>
            <w:r w:rsidRPr="00811800">
              <w:rPr>
                <w:rFonts w:ascii="Arial" w:hAnsi="Arial" w:cs="Arial"/>
                <w:sz w:val="19"/>
                <w:szCs w:val="19"/>
              </w:rPr>
              <w:t>2011</w:t>
            </w:r>
          </w:p>
        </w:tc>
        <w:tc>
          <w:tcPr>
            <w:tcW w:w="1327" w:type="pct"/>
            <w:tcBorders>
              <w:top w:val="nil"/>
              <w:left w:val="nil"/>
              <w:bottom w:val="single" w:sz="4" w:space="0" w:color="auto"/>
              <w:right w:val="single" w:sz="4" w:space="0" w:color="auto"/>
            </w:tcBorders>
            <w:shd w:val="clear" w:color="auto" w:fill="auto"/>
            <w:noWrap/>
            <w:vAlign w:val="center"/>
            <w:hideMark/>
          </w:tcPr>
          <w:p w14:paraId="147F749C" w14:textId="77777777" w:rsidR="0062327A" w:rsidRPr="00811800" w:rsidRDefault="0062327A" w:rsidP="00F07E0C">
            <w:pPr>
              <w:jc w:val="right"/>
              <w:rPr>
                <w:rFonts w:ascii="Arial" w:hAnsi="Arial" w:cs="Arial"/>
                <w:sz w:val="19"/>
                <w:szCs w:val="19"/>
              </w:rPr>
            </w:pPr>
            <w:r w:rsidRPr="00811800">
              <w:rPr>
                <w:rFonts w:ascii="Arial" w:hAnsi="Arial" w:cs="Arial"/>
                <w:sz w:val="19"/>
                <w:szCs w:val="19"/>
              </w:rPr>
              <w:t>30.4</w:t>
            </w:r>
          </w:p>
        </w:tc>
        <w:tc>
          <w:tcPr>
            <w:tcW w:w="2890" w:type="pct"/>
            <w:tcBorders>
              <w:top w:val="nil"/>
              <w:left w:val="nil"/>
              <w:bottom w:val="single" w:sz="4" w:space="0" w:color="auto"/>
              <w:right w:val="single" w:sz="4" w:space="0" w:color="auto"/>
            </w:tcBorders>
            <w:shd w:val="clear" w:color="auto" w:fill="auto"/>
            <w:noWrap/>
            <w:vAlign w:val="center"/>
            <w:hideMark/>
          </w:tcPr>
          <w:p w14:paraId="78A9531E" w14:textId="77777777" w:rsidR="0062327A" w:rsidRPr="00811800" w:rsidRDefault="0062327A" w:rsidP="003A56B2">
            <w:pPr>
              <w:rPr>
                <w:rFonts w:ascii="Arial" w:hAnsi="Arial" w:cs="Arial"/>
                <w:sz w:val="19"/>
                <w:szCs w:val="19"/>
              </w:rPr>
            </w:pPr>
            <w:r w:rsidRPr="00811800">
              <w:rPr>
                <w:rFonts w:ascii="Arial" w:hAnsi="Arial" w:cs="Arial"/>
                <w:sz w:val="19"/>
                <w:szCs w:val="19"/>
              </w:rPr>
              <w:t>D&amp;M Technologies Limited (29.5)</w:t>
            </w:r>
          </w:p>
        </w:tc>
      </w:tr>
      <w:tr w:rsidR="0062327A" w:rsidRPr="00811800" w14:paraId="7D7B8EE8" w14:textId="77777777" w:rsidTr="000C24FA">
        <w:trPr>
          <w:trHeight w:val="300"/>
          <w:jc w:val="center"/>
        </w:trPr>
        <w:tc>
          <w:tcPr>
            <w:tcW w:w="783" w:type="pct"/>
            <w:tcBorders>
              <w:top w:val="nil"/>
              <w:left w:val="single" w:sz="4" w:space="0" w:color="auto"/>
              <w:bottom w:val="single" w:sz="4" w:space="0" w:color="auto"/>
              <w:right w:val="single" w:sz="4" w:space="0" w:color="auto"/>
            </w:tcBorders>
            <w:shd w:val="clear" w:color="auto" w:fill="auto"/>
            <w:noWrap/>
            <w:vAlign w:val="center"/>
            <w:hideMark/>
          </w:tcPr>
          <w:p w14:paraId="36849980" w14:textId="77777777" w:rsidR="0062327A" w:rsidRPr="00811800" w:rsidRDefault="0062327A" w:rsidP="003A56B2">
            <w:pPr>
              <w:jc w:val="center"/>
              <w:rPr>
                <w:rFonts w:ascii="Arial" w:hAnsi="Arial" w:cs="Arial"/>
                <w:sz w:val="19"/>
                <w:szCs w:val="19"/>
              </w:rPr>
            </w:pPr>
            <w:r w:rsidRPr="00811800">
              <w:rPr>
                <w:rFonts w:ascii="Arial" w:hAnsi="Arial" w:cs="Arial"/>
                <w:sz w:val="19"/>
                <w:szCs w:val="19"/>
              </w:rPr>
              <w:t>2012</w:t>
            </w:r>
          </w:p>
        </w:tc>
        <w:tc>
          <w:tcPr>
            <w:tcW w:w="1327" w:type="pct"/>
            <w:tcBorders>
              <w:top w:val="nil"/>
              <w:left w:val="nil"/>
              <w:bottom w:val="single" w:sz="4" w:space="0" w:color="auto"/>
              <w:right w:val="single" w:sz="4" w:space="0" w:color="auto"/>
            </w:tcBorders>
            <w:shd w:val="clear" w:color="auto" w:fill="auto"/>
            <w:noWrap/>
            <w:vAlign w:val="center"/>
            <w:hideMark/>
          </w:tcPr>
          <w:p w14:paraId="18018D15" w14:textId="77777777" w:rsidR="0062327A" w:rsidRPr="00811800" w:rsidRDefault="0062327A" w:rsidP="00F07E0C">
            <w:pPr>
              <w:jc w:val="right"/>
              <w:rPr>
                <w:rFonts w:ascii="Arial" w:hAnsi="Arial" w:cs="Arial"/>
                <w:sz w:val="19"/>
                <w:szCs w:val="19"/>
              </w:rPr>
            </w:pPr>
            <w:r w:rsidRPr="00811800">
              <w:rPr>
                <w:rFonts w:ascii="Arial" w:hAnsi="Arial" w:cs="Arial"/>
                <w:sz w:val="19"/>
                <w:szCs w:val="19"/>
              </w:rPr>
              <w:t>30.2</w:t>
            </w:r>
          </w:p>
        </w:tc>
        <w:tc>
          <w:tcPr>
            <w:tcW w:w="2890" w:type="pct"/>
            <w:tcBorders>
              <w:top w:val="nil"/>
              <w:left w:val="nil"/>
              <w:bottom w:val="single" w:sz="4" w:space="0" w:color="auto"/>
              <w:right w:val="single" w:sz="4" w:space="0" w:color="auto"/>
            </w:tcBorders>
            <w:shd w:val="clear" w:color="auto" w:fill="auto"/>
            <w:noWrap/>
            <w:vAlign w:val="center"/>
            <w:hideMark/>
          </w:tcPr>
          <w:p w14:paraId="0E8E2058" w14:textId="77777777" w:rsidR="0062327A" w:rsidRPr="00811800" w:rsidRDefault="0062327A" w:rsidP="003A56B2">
            <w:pPr>
              <w:rPr>
                <w:rFonts w:ascii="Arial" w:hAnsi="Arial" w:cs="Arial"/>
                <w:sz w:val="19"/>
                <w:szCs w:val="19"/>
              </w:rPr>
            </w:pPr>
            <w:r w:rsidRPr="00811800">
              <w:rPr>
                <w:rFonts w:ascii="Arial" w:hAnsi="Arial" w:cs="Arial"/>
                <w:sz w:val="19"/>
                <w:szCs w:val="19"/>
              </w:rPr>
              <w:t>D&amp;M Technologies Limited (29.4)</w:t>
            </w:r>
          </w:p>
        </w:tc>
      </w:tr>
    </w:tbl>
    <w:p w14:paraId="08264A4E" w14:textId="77777777" w:rsidR="0062327A" w:rsidRPr="00811800" w:rsidRDefault="0062327A" w:rsidP="008A7025">
      <w:pPr>
        <w:pStyle w:val="Footnote"/>
      </w:pPr>
    </w:p>
    <w:p w14:paraId="2FEE2206" w14:textId="53D2FE33" w:rsidR="00C20386" w:rsidRPr="00811800" w:rsidRDefault="00C20386" w:rsidP="00C20386">
      <w:pPr>
        <w:pStyle w:val="Footnote"/>
      </w:pPr>
      <w:r w:rsidRPr="00811800">
        <w:t xml:space="preserve">Source: </w:t>
      </w:r>
      <w:proofErr w:type="spellStart"/>
      <w:r>
        <w:rPr>
          <w:rFonts w:eastAsiaTheme="minorEastAsia" w:hint="eastAsia"/>
          <w:lang w:eastAsia="zh-CN"/>
        </w:rPr>
        <w:t>Suntech</w:t>
      </w:r>
      <w:proofErr w:type="spellEnd"/>
      <w:r>
        <w:rPr>
          <w:rFonts w:eastAsiaTheme="minorEastAsia" w:hint="eastAsia"/>
          <w:lang w:eastAsia="zh-CN"/>
        </w:rPr>
        <w:t xml:space="preserve"> Power Holdings Co.,</w:t>
      </w:r>
      <w:r w:rsidR="000D62F1">
        <w:rPr>
          <w:rFonts w:eastAsiaTheme="minorEastAsia"/>
          <w:lang w:eastAsia="zh-CN"/>
        </w:rPr>
        <w:t xml:space="preserve"> </w:t>
      </w:r>
      <w:r>
        <w:rPr>
          <w:rFonts w:eastAsiaTheme="minorEastAsia" w:hint="eastAsia"/>
          <w:lang w:eastAsia="zh-CN"/>
        </w:rPr>
        <w:t xml:space="preserve">Ltd., </w:t>
      </w:r>
      <w:r>
        <w:rPr>
          <w:rFonts w:eastAsiaTheme="minorEastAsia"/>
          <w:lang w:eastAsia="zh-CN"/>
        </w:rPr>
        <w:t>“</w:t>
      </w:r>
      <w:r>
        <w:rPr>
          <w:rFonts w:eastAsiaTheme="minorEastAsia" w:hint="eastAsia"/>
          <w:lang w:eastAsia="zh-CN"/>
        </w:rPr>
        <w:t>Form 20-F,</w:t>
      </w:r>
      <w:r>
        <w:rPr>
          <w:rFonts w:eastAsiaTheme="minorEastAsia"/>
          <w:lang w:eastAsia="zh-CN"/>
        </w:rPr>
        <w:t>”</w:t>
      </w:r>
      <w:r>
        <w:rPr>
          <w:rFonts w:eastAsiaTheme="minorEastAsia" w:hint="eastAsia"/>
          <w:lang w:eastAsia="zh-CN"/>
        </w:rPr>
        <w:t xml:space="preserve"> EDGAR Online, accessed December 15, 2016</w:t>
      </w:r>
      <w:r w:rsidR="00203B2A">
        <w:rPr>
          <w:rFonts w:eastAsiaTheme="minorEastAsia"/>
          <w:lang w:eastAsia="zh-CN"/>
        </w:rPr>
        <w:t>,</w:t>
      </w:r>
      <w:r w:rsidR="00203B2A">
        <w:rPr>
          <w:rFonts w:eastAsiaTheme="minorEastAsia" w:hint="eastAsia"/>
          <w:lang w:eastAsia="zh-CN"/>
        </w:rPr>
        <w:t xml:space="preserve"> </w:t>
      </w:r>
      <w:r w:rsidR="00203B2A" w:rsidRPr="00203B2A">
        <w:rPr>
          <w:rFonts w:eastAsiaTheme="minorEastAsia"/>
          <w:lang w:eastAsia="zh-CN"/>
        </w:rPr>
        <w:t>https://www.sec.gov/Archives/edgar/data/1342803/000095012310047699/h04216e20vf.htm.</w:t>
      </w:r>
    </w:p>
    <w:p w14:paraId="6FDCABB8" w14:textId="77777777" w:rsidR="0062327A" w:rsidRPr="00811800" w:rsidRDefault="0062327A">
      <w:pPr>
        <w:spacing w:after="200" w:line="276" w:lineRule="auto"/>
        <w:rPr>
          <w:i/>
          <w:sz w:val="24"/>
        </w:rPr>
      </w:pPr>
      <w:r w:rsidRPr="00811800">
        <w:rPr>
          <w:i/>
          <w:sz w:val="24"/>
        </w:rPr>
        <w:br w:type="page"/>
      </w:r>
    </w:p>
    <w:p w14:paraId="7FB49E1D" w14:textId="606EDC1E" w:rsidR="00903196" w:rsidRPr="00811800" w:rsidRDefault="00E455F1" w:rsidP="00E455F1">
      <w:pPr>
        <w:pStyle w:val="Casehead1"/>
      </w:pPr>
      <w:r w:rsidRPr="00811800">
        <w:lastRenderedPageBreak/>
        <w:t>Endnotes</w:t>
      </w:r>
    </w:p>
    <w:sectPr w:rsidR="00903196" w:rsidRPr="00811800" w:rsidSect="00EB5410">
      <w:headerReference w:type="default" r:id="rId15"/>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7CE3CD" w14:textId="77777777" w:rsidR="00F07E0C" w:rsidRDefault="00F07E0C" w:rsidP="00D75295">
      <w:r>
        <w:separator/>
      </w:r>
    </w:p>
  </w:endnote>
  <w:endnote w:type="continuationSeparator" w:id="0">
    <w:p w14:paraId="25E52341" w14:textId="77777777" w:rsidR="00F07E0C" w:rsidRDefault="00F07E0C" w:rsidP="00D75295">
      <w:r>
        <w:continuationSeparator/>
      </w:r>
    </w:p>
  </w:endnote>
  <w:endnote w:id="1">
    <w:p w14:paraId="1B11B266" w14:textId="248A7BDF" w:rsidR="00732055" w:rsidRDefault="00732055" w:rsidP="00732055">
      <w:pPr>
        <w:pStyle w:val="Footnote"/>
      </w:pPr>
      <w:r>
        <w:rPr>
          <w:rStyle w:val="EndnoteReference"/>
        </w:rPr>
        <w:endnoteRef/>
      </w:r>
      <w:r>
        <w:t xml:space="preserve"> </w:t>
      </w:r>
      <w:r w:rsidRPr="0012368E">
        <w:t xml:space="preserve">This case has been written on the basis of published sources only. Consequently, the interpretation and perspectives presented in this case are not necessarily those of </w:t>
      </w:r>
      <w:proofErr w:type="spellStart"/>
      <w:r>
        <w:t>Suntech</w:t>
      </w:r>
      <w:proofErr w:type="spellEnd"/>
      <w:r>
        <w:t xml:space="preserve"> Power Holdings</w:t>
      </w:r>
      <w:r w:rsidRPr="0012368E">
        <w:t xml:space="preserve"> </w:t>
      </w:r>
      <w:r>
        <w:t xml:space="preserve">Co. Ltd., </w:t>
      </w:r>
      <w:r w:rsidRPr="0012368E">
        <w:t>or any of its employees.</w:t>
      </w:r>
    </w:p>
  </w:endnote>
  <w:endnote w:id="2">
    <w:p w14:paraId="1F64F7B3" w14:textId="17FF52D4" w:rsidR="00F07E0C" w:rsidRPr="0068116F" w:rsidRDefault="00F07E0C" w:rsidP="00E455F1">
      <w:pPr>
        <w:pStyle w:val="Footnote"/>
      </w:pPr>
      <w:r w:rsidRPr="0068116F">
        <w:rPr>
          <w:rStyle w:val="EndnoteReference"/>
        </w:rPr>
        <w:endnoteRef/>
      </w:r>
      <w:r w:rsidRPr="0068116F">
        <w:t xml:space="preserve"> </w:t>
      </w:r>
      <w:proofErr w:type="spellStart"/>
      <w:r w:rsidRPr="0068116F">
        <w:t>Zhenhua</w:t>
      </w:r>
      <w:proofErr w:type="spellEnd"/>
      <w:r w:rsidRPr="005C541D">
        <w:t xml:space="preserve"> </w:t>
      </w:r>
      <w:r w:rsidRPr="0068116F">
        <w:t xml:space="preserve">Lu, “Wuxi </w:t>
      </w:r>
      <w:proofErr w:type="spellStart"/>
      <w:r w:rsidRPr="0068116F">
        <w:t>Suntech</w:t>
      </w:r>
      <w:proofErr w:type="spellEnd"/>
      <w:r w:rsidRPr="0068116F">
        <w:t xml:space="preserve"> </w:t>
      </w:r>
      <w:r>
        <w:t>Unexpectedly Landed on the</w:t>
      </w:r>
      <w:r w:rsidRPr="0068116F">
        <w:t xml:space="preserve"> NYSE</w:t>
      </w:r>
      <w:r>
        <w:t xml:space="preserve"> Insider</w:t>
      </w:r>
      <w:r w:rsidRPr="0068116F">
        <w:t xml:space="preserve">” </w:t>
      </w:r>
      <w:r>
        <w:t xml:space="preserve">[in Chinese], </w:t>
      </w:r>
      <w:proofErr w:type="spellStart"/>
      <w:proofErr w:type="gramStart"/>
      <w:r w:rsidRPr="005B292C">
        <w:rPr>
          <w:i/>
        </w:rPr>
        <w:t>Sina</w:t>
      </w:r>
      <w:proofErr w:type="spellEnd"/>
      <w:proofErr w:type="gramEnd"/>
      <w:r w:rsidRPr="005B292C">
        <w:rPr>
          <w:i/>
        </w:rPr>
        <w:t>:</w:t>
      </w:r>
      <w:r>
        <w:t xml:space="preserve"> </w:t>
      </w:r>
      <w:r w:rsidRPr="005E6212">
        <w:rPr>
          <w:i/>
        </w:rPr>
        <w:t xml:space="preserve">China New </w:t>
      </w:r>
      <w:r>
        <w:rPr>
          <w:i/>
        </w:rPr>
        <w:t>Era,</w:t>
      </w:r>
      <w:r w:rsidRPr="0068116F">
        <w:t xml:space="preserve"> </w:t>
      </w:r>
      <w:r>
        <w:t xml:space="preserve">January 24, 2006, </w:t>
      </w:r>
      <w:r w:rsidRPr="0068116F">
        <w:t>accessed September 18, 2015</w:t>
      </w:r>
      <w:r>
        <w:rPr>
          <w:rFonts w:eastAsiaTheme="minorEastAsia" w:hint="eastAsia"/>
          <w:lang w:eastAsia="zh-CN"/>
        </w:rPr>
        <w:t xml:space="preserve">, </w:t>
      </w:r>
      <w:r w:rsidRPr="00A62603">
        <w:t>http://finance.sina.com.cn/stock/t/20060124/13232302605.shtml</w:t>
      </w:r>
      <w:r>
        <w:t>.</w:t>
      </w:r>
    </w:p>
  </w:endnote>
  <w:endnote w:id="3">
    <w:p w14:paraId="50FF5B6B" w14:textId="19835297" w:rsidR="00F07E0C" w:rsidRPr="0068116F" w:rsidRDefault="00F07E0C" w:rsidP="00A41F7B">
      <w:pPr>
        <w:pStyle w:val="Footnote"/>
      </w:pPr>
      <w:r w:rsidRPr="00F07E0C">
        <w:rPr>
          <w:vertAlign w:val="superscript"/>
        </w:rPr>
        <w:t>2</w:t>
      </w:r>
      <w:r w:rsidRPr="00ED6BF8">
        <w:rPr>
          <w:rStyle w:val="EndnoteReference"/>
        </w:rPr>
        <w:t xml:space="preserve"> </w:t>
      </w:r>
      <w:r w:rsidRPr="00ED6BF8">
        <w:t>“</w:t>
      </w:r>
      <w:r>
        <w:rPr>
          <w:rFonts w:eastAsiaTheme="minorEastAsia" w:hint="eastAsia"/>
          <w:lang w:eastAsia="zh-CN"/>
        </w:rPr>
        <w:t xml:space="preserve">Wuxi </w:t>
      </w:r>
      <w:proofErr w:type="spellStart"/>
      <w:r>
        <w:rPr>
          <w:rFonts w:eastAsiaTheme="minorEastAsia" w:hint="eastAsia"/>
          <w:lang w:eastAsia="zh-CN"/>
        </w:rPr>
        <w:t>Suntech</w:t>
      </w:r>
      <w:proofErr w:type="spellEnd"/>
      <w:r>
        <w:rPr>
          <w:rFonts w:eastAsiaTheme="minorEastAsia" w:hint="eastAsia"/>
          <w:lang w:eastAsia="zh-CN"/>
        </w:rPr>
        <w:t xml:space="preserve"> Declares B</w:t>
      </w:r>
      <w:r>
        <w:rPr>
          <w:rFonts w:eastAsiaTheme="minorEastAsia"/>
          <w:lang w:eastAsia="zh-CN"/>
        </w:rPr>
        <w:t>ankruptcy,</w:t>
      </w:r>
      <w:r w:rsidRPr="00ED6BF8">
        <w:t>”</w:t>
      </w:r>
      <w:r w:rsidRPr="00ED6BF8">
        <w:rPr>
          <w:rFonts w:hint="eastAsia"/>
        </w:rPr>
        <w:t xml:space="preserve"> China </w:t>
      </w:r>
      <w:r>
        <w:rPr>
          <w:rFonts w:eastAsiaTheme="minorEastAsia" w:hint="eastAsia"/>
          <w:lang w:eastAsia="zh-CN"/>
        </w:rPr>
        <w:t>E</w:t>
      </w:r>
      <w:bookmarkStart w:id="0" w:name="_GoBack"/>
      <w:bookmarkEnd w:id="0"/>
      <w:r>
        <w:rPr>
          <w:rFonts w:eastAsiaTheme="minorEastAsia" w:hint="eastAsia"/>
          <w:lang w:eastAsia="zh-CN"/>
        </w:rPr>
        <w:t>conomic Net</w:t>
      </w:r>
      <w:r w:rsidRPr="00ED6BF8">
        <w:rPr>
          <w:rFonts w:hint="eastAsia"/>
        </w:rPr>
        <w:t>, March 21, 2013, accessed June 12, 2017</w:t>
      </w:r>
      <w:r>
        <w:rPr>
          <w:rFonts w:eastAsiaTheme="minorEastAsia" w:hint="eastAsia"/>
          <w:lang w:eastAsia="zh-CN"/>
        </w:rPr>
        <w:t xml:space="preserve">, </w:t>
      </w:r>
      <w:r w:rsidRPr="008F3A57">
        <w:rPr>
          <w:rFonts w:eastAsiaTheme="minorEastAsia"/>
          <w:lang w:eastAsia="zh-CN"/>
        </w:rPr>
        <w:t>http://en.ce.cn/Business/Enterprise/201303/21/t20130321_24218994.shtml</w:t>
      </w:r>
      <w:r>
        <w:rPr>
          <w:rFonts w:eastAsiaTheme="minorEastAsia" w:hint="eastAsia"/>
          <w:lang w:eastAsia="zh-CN"/>
        </w:rPr>
        <w:t>.</w:t>
      </w:r>
    </w:p>
  </w:endnote>
  <w:endnote w:id="4">
    <w:p w14:paraId="660A84BF" w14:textId="18B9D1B7" w:rsidR="00F07E0C" w:rsidRPr="0068116F" w:rsidRDefault="00F07E0C" w:rsidP="00A41F7B">
      <w:pPr>
        <w:pStyle w:val="Footnote"/>
      </w:pPr>
      <w:r w:rsidRPr="0068116F">
        <w:rPr>
          <w:rStyle w:val="EndnoteReference"/>
        </w:rPr>
        <w:endnoteRef/>
      </w:r>
      <w:r w:rsidRPr="0068116F">
        <w:t xml:space="preserve"> </w:t>
      </w:r>
      <w:proofErr w:type="spellStart"/>
      <w:r w:rsidRPr="0068116F">
        <w:t>Shuyang</w:t>
      </w:r>
      <w:proofErr w:type="spellEnd"/>
      <w:r w:rsidRPr="00671181">
        <w:t xml:space="preserve"> </w:t>
      </w:r>
      <w:proofErr w:type="spellStart"/>
      <w:r w:rsidRPr="0068116F">
        <w:t>Jin</w:t>
      </w:r>
      <w:proofErr w:type="spellEnd"/>
      <w:r w:rsidRPr="0068116F">
        <w:t xml:space="preserve">, “Wuxi </w:t>
      </w:r>
      <w:proofErr w:type="spellStart"/>
      <w:r w:rsidRPr="0068116F">
        <w:t>Suntech</w:t>
      </w:r>
      <w:proofErr w:type="spellEnd"/>
      <w:r>
        <w:t xml:space="preserve"> 541 Million </w:t>
      </w:r>
      <w:r w:rsidRPr="0068116F">
        <w:t>US Dollar</w:t>
      </w:r>
      <w:r>
        <w:t>s</w:t>
      </w:r>
      <w:r w:rsidRPr="0068116F">
        <w:t xml:space="preserve"> Convertible Bonds </w:t>
      </w:r>
      <w:r>
        <w:t xml:space="preserve">to Determine the </w:t>
      </w:r>
      <w:r w:rsidRPr="0068116F">
        <w:t xml:space="preserve">Default” </w:t>
      </w:r>
      <w:r>
        <w:t xml:space="preserve">[in Chinese], </w:t>
      </w:r>
      <w:r w:rsidRPr="00397FE9">
        <w:rPr>
          <w:i/>
        </w:rPr>
        <w:t>S</w:t>
      </w:r>
      <w:r>
        <w:rPr>
          <w:i/>
        </w:rPr>
        <w:t>TCN.com</w:t>
      </w:r>
      <w:r w:rsidRPr="0068116F">
        <w:t>, March 19, 2013, accessed on September 1</w:t>
      </w:r>
      <w:r>
        <w:t>,</w:t>
      </w:r>
      <w:r w:rsidRPr="0068116F">
        <w:t xml:space="preserve"> 2014</w:t>
      </w:r>
      <w:r>
        <w:t xml:space="preserve">, </w:t>
      </w:r>
      <w:r w:rsidRPr="00A62603">
        <w:t>http://epaper.stcn.com/paper/zqsb/html/2013-03/19/content_450723.htm</w:t>
      </w:r>
      <w:r w:rsidRPr="0068116F">
        <w:t>.</w:t>
      </w:r>
    </w:p>
  </w:endnote>
  <w:endnote w:id="5">
    <w:p w14:paraId="53C3AACA" w14:textId="5B1FE145" w:rsidR="00F07E0C" w:rsidRPr="0068116F" w:rsidRDefault="00F07E0C" w:rsidP="00E455F1">
      <w:pPr>
        <w:pStyle w:val="Footnote"/>
      </w:pPr>
      <w:r w:rsidRPr="0068116F">
        <w:rPr>
          <w:rStyle w:val="EndnoteReference"/>
        </w:rPr>
        <w:endnoteRef/>
      </w:r>
      <w:r w:rsidRPr="0068116F">
        <w:t xml:space="preserve"> A solar cell </w:t>
      </w:r>
      <w:r>
        <w:t>wa</w:t>
      </w:r>
      <w:r w:rsidRPr="0068116F">
        <w:t>s a device made from a silicon wafer that convert</w:t>
      </w:r>
      <w:r>
        <w:t>ed</w:t>
      </w:r>
      <w:r w:rsidRPr="0068116F">
        <w:t xml:space="preserve"> sunlight into electricity. As long as light flow</w:t>
      </w:r>
      <w:r>
        <w:t>ed</w:t>
      </w:r>
      <w:r w:rsidRPr="0068116F">
        <w:t xml:space="preserve"> into the solar cell, electricity w</w:t>
      </w:r>
      <w:r>
        <w:t>ould</w:t>
      </w:r>
      <w:r w:rsidRPr="0068116F">
        <w:t xml:space="preserve"> be generated. The solar cell </w:t>
      </w:r>
      <w:r>
        <w:t>did</w:t>
      </w:r>
      <w:r w:rsidRPr="0068116F">
        <w:t xml:space="preserve"> not lose its power as does a battery.</w:t>
      </w:r>
    </w:p>
  </w:endnote>
  <w:endnote w:id="6">
    <w:p w14:paraId="147BD9E2" w14:textId="66EDF143" w:rsidR="00F07E0C" w:rsidRPr="0068116F" w:rsidRDefault="00F07E0C" w:rsidP="00E455F1">
      <w:pPr>
        <w:pStyle w:val="Footnote"/>
      </w:pPr>
      <w:r w:rsidRPr="0068116F">
        <w:rPr>
          <w:rStyle w:val="EndnoteReference"/>
        </w:rPr>
        <w:endnoteRef/>
      </w:r>
      <w:r w:rsidRPr="0068116F">
        <w:t xml:space="preserve"> Conversion efficiency rates measure</w:t>
      </w:r>
      <w:r>
        <w:t>d</w:t>
      </w:r>
      <w:r w:rsidRPr="0068116F">
        <w:t xml:space="preserve"> the ability of solar cells to convert sunlight into electricity. </w:t>
      </w:r>
    </w:p>
  </w:endnote>
  <w:endnote w:id="7">
    <w:p w14:paraId="6E62660D" w14:textId="2B446114" w:rsidR="00F07E0C" w:rsidRPr="0068116F" w:rsidRDefault="00F07E0C" w:rsidP="00E455F1">
      <w:pPr>
        <w:pStyle w:val="Footnote"/>
      </w:pPr>
      <w:r w:rsidRPr="0068116F">
        <w:rPr>
          <w:rStyle w:val="EndnoteReference"/>
        </w:rPr>
        <w:endnoteRef/>
      </w:r>
      <w:r w:rsidRPr="0068116F">
        <w:t xml:space="preserve"> In 2005, the world average conversion efficiency rate of monocrystalline wafer solar cells ranged </w:t>
      </w:r>
      <w:r>
        <w:t>from</w:t>
      </w:r>
      <w:r w:rsidRPr="0068116F">
        <w:t xml:space="preserve"> 15 per cent to 18 per cent, and polycrystalline wafer solar cells had an efficiency of 14 per cent. By contrast, the average conversion efficiency for thin-film technology was only 7 per cent in 2010.</w:t>
      </w:r>
    </w:p>
  </w:endnote>
  <w:endnote w:id="8">
    <w:p w14:paraId="12501FD6" w14:textId="7111ECEE" w:rsidR="00F07E0C" w:rsidRPr="0068116F" w:rsidRDefault="00F07E0C" w:rsidP="00E455F1">
      <w:pPr>
        <w:pStyle w:val="Footnote"/>
      </w:pPr>
      <w:r w:rsidRPr="0068116F">
        <w:rPr>
          <w:rStyle w:val="EndnoteReference"/>
        </w:rPr>
        <w:endnoteRef/>
      </w:r>
      <w:r w:rsidRPr="0068116F">
        <w:t xml:space="preserve"> “Abandoning and Being Abandoned: Photovoltaic No.1 Rich Man Shi</w:t>
      </w:r>
      <w:r>
        <w:t xml:space="preserve"> </w:t>
      </w:r>
      <w:proofErr w:type="spellStart"/>
      <w:r>
        <w:t>Z</w:t>
      </w:r>
      <w:r w:rsidRPr="0068116F">
        <w:t>hengrong’s</w:t>
      </w:r>
      <w:proofErr w:type="spellEnd"/>
      <w:r w:rsidRPr="0068116F">
        <w:t xml:space="preserve"> Life Journey” </w:t>
      </w:r>
      <w:r>
        <w:t xml:space="preserve">[in Chinese], </w:t>
      </w:r>
      <w:r>
        <w:rPr>
          <w:rFonts w:eastAsiaTheme="minorEastAsia" w:hint="eastAsia"/>
          <w:i/>
          <w:lang w:eastAsia="zh-CN"/>
        </w:rPr>
        <w:t>Solarzoom.com</w:t>
      </w:r>
      <w:r w:rsidRPr="0068116F">
        <w:t xml:space="preserve">, April </w:t>
      </w:r>
      <w:r>
        <w:rPr>
          <w:rFonts w:eastAsiaTheme="minorEastAsia" w:hint="eastAsia"/>
          <w:lang w:eastAsia="zh-CN"/>
        </w:rPr>
        <w:t>7</w:t>
      </w:r>
      <w:r w:rsidRPr="0068116F">
        <w:t>, 2014, accessed June 1</w:t>
      </w:r>
      <w:r>
        <w:rPr>
          <w:rFonts w:eastAsiaTheme="minorEastAsia" w:hint="eastAsia"/>
          <w:lang w:eastAsia="zh-CN"/>
        </w:rPr>
        <w:t>2</w:t>
      </w:r>
      <w:r w:rsidRPr="0068116F">
        <w:t>, 201</w:t>
      </w:r>
      <w:r>
        <w:rPr>
          <w:rFonts w:eastAsiaTheme="minorEastAsia" w:hint="eastAsia"/>
          <w:lang w:eastAsia="zh-CN"/>
        </w:rPr>
        <w:t>7</w:t>
      </w:r>
      <w:r>
        <w:t xml:space="preserve">, </w:t>
      </w:r>
      <w:r w:rsidRPr="00F656C5">
        <w:t>www.solarzoom.com/article-27025-1.html</w:t>
      </w:r>
      <w:r w:rsidRPr="0068116F">
        <w:t>.</w:t>
      </w:r>
    </w:p>
  </w:endnote>
  <w:endnote w:id="9">
    <w:p w14:paraId="26E217E1" w14:textId="0FEC6CF4" w:rsidR="00F07E0C" w:rsidRPr="0068116F" w:rsidRDefault="00F07E0C" w:rsidP="00E455F1">
      <w:pPr>
        <w:pStyle w:val="Footnote"/>
      </w:pPr>
      <w:r w:rsidRPr="0068116F">
        <w:rPr>
          <w:rStyle w:val="EndnoteReference"/>
        </w:rPr>
        <w:endnoteRef/>
      </w:r>
      <w:r w:rsidRPr="0068116F">
        <w:t xml:space="preserve"> </w:t>
      </w:r>
      <w:r>
        <w:t xml:space="preserve">Adam Collins, “The Father of Photovoltaics—Martin Green Profile,” ABC </w:t>
      </w:r>
      <w:proofErr w:type="spellStart"/>
      <w:r>
        <w:t>iview</w:t>
      </w:r>
      <w:proofErr w:type="spellEnd"/>
      <w:r>
        <w:t xml:space="preserve">: Catalyst, </w:t>
      </w:r>
      <w:r w:rsidRPr="0068116F">
        <w:t>May 26, 2011, accessed June 17, 2014</w:t>
      </w:r>
      <w:r>
        <w:t xml:space="preserve">, </w:t>
      </w:r>
      <w:r w:rsidRPr="004F349E">
        <w:t>www.abc.net.au/catalyst/stories/3228140.htm.</w:t>
      </w:r>
      <w:r w:rsidRPr="0068116F">
        <w:t xml:space="preserve"> </w:t>
      </w:r>
    </w:p>
  </w:endnote>
  <w:endnote w:id="10">
    <w:p w14:paraId="4ABAE2FC" w14:textId="57BB50A2" w:rsidR="00F07E0C" w:rsidRPr="0068116F" w:rsidRDefault="00F07E0C" w:rsidP="00E455F1">
      <w:pPr>
        <w:pStyle w:val="Footnote"/>
      </w:pPr>
      <w:r w:rsidRPr="0068116F">
        <w:rPr>
          <w:rStyle w:val="EndnoteReference"/>
        </w:rPr>
        <w:endnoteRef/>
      </w:r>
      <w:r w:rsidRPr="0068116F">
        <w:t xml:space="preserve"> “</w:t>
      </w:r>
      <w:r>
        <w:t xml:space="preserve">Shi </w:t>
      </w:r>
      <w:proofErr w:type="spellStart"/>
      <w:r>
        <w:t>Zhengrong</w:t>
      </w:r>
      <w:proofErr w:type="spellEnd"/>
      <w:r>
        <w:t xml:space="preserve">: </w:t>
      </w:r>
      <w:proofErr w:type="spellStart"/>
      <w:r w:rsidRPr="0068116F">
        <w:t>Suntech</w:t>
      </w:r>
      <w:proofErr w:type="spellEnd"/>
      <w:r>
        <w:t xml:space="preserve"> Power</w:t>
      </w:r>
      <w:r w:rsidRPr="0068116F">
        <w:t xml:space="preserve"> will not </w:t>
      </w:r>
      <w:r>
        <w:t xml:space="preserve">Give </w:t>
      </w:r>
      <w:proofErr w:type="gramStart"/>
      <w:r>
        <w:t>Up</w:t>
      </w:r>
      <w:proofErr w:type="gramEnd"/>
      <w:r>
        <w:t xml:space="preserve"> </w:t>
      </w:r>
      <w:r w:rsidRPr="0068116F">
        <w:t xml:space="preserve">Any </w:t>
      </w:r>
      <w:r>
        <w:t xml:space="preserve">Chance of PV Mergers and Acquisitions” [in Chinese], ESCN, February 21, 2012, </w:t>
      </w:r>
      <w:r w:rsidRPr="00A62603">
        <w:t>accessed September 21, 2015, www.escn.com.cn/news/show-17428.html</w:t>
      </w:r>
      <w:r w:rsidRPr="0068116F">
        <w:t>.</w:t>
      </w:r>
    </w:p>
  </w:endnote>
  <w:endnote w:id="11">
    <w:p w14:paraId="7EA2CBFD" w14:textId="51DF434C" w:rsidR="00F07E0C" w:rsidRPr="0068116F" w:rsidRDefault="00F07E0C" w:rsidP="00E455F1">
      <w:pPr>
        <w:pStyle w:val="Footnote"/>
      </w:pPr>
      <w:r w:rsidRPr="009B51C7">
        <w:rPr>
          <w:rStyle w:val="EndnoteReference"/>
        </w:rPr>
        <w:endnoteRef/>
      </w:r>
      <w:r w:rsidRPr="009B51C7">
        <w:t xml:space="preserve"> </w:t>
      </w:r>
      <w:r>
        <w:rPr>
          <w:rFonts w:eastAsiaTheme="minorEastAsia" w:hint="eastAsia"/>
          <w:lang w:eastAsia="zh-CN"/>
        </w:rPr>
        <w:t xml:space="preserve">Hu </w:t>
      </w:r>
      <w:proofErr w:type="spellStart"/>
      <w:r>
        <w:rPr>
          <w:rFonts w:eastAsiaTheme="minorEastAsia" w:hint="eastAsia"/>
          <w:lang w:eastAsia="zh-CN"/>
        </w:rPr>
        <w:t>Erhuo</w:t>
      </w:r>
      <w:proofErr w:type="spellEnd"/>
      <w:r>
        <w:rPr>
          <w:rFonts w:eastAsiaTheme="minorEastAsia" w:hint="eastAsia"/>
          <w:lang w:eastAsia="zh-CN"/>
        </w:rPr>
        <w:t xml:space="preserve">, </w:t>
      </w:r>
      <w:r>
        <w:rPr>
          <w:rFonts w:eastAsiaTheme="minorEastAsia"/>
          <w:lang w:eastAsia="zh-CN"/>
        </w:rPr>
        <w:t>“</w:t>
      </w:r>
      <w:r>
        <w:rPr>
          <w:rFonts w:eastAsiaTheme="minorEastAsia" w:hint="eastAsia"/>
          <w:lang w:eastAsia="zh-CN"/>
        </w:rPr>
        <w:t xml:space="preserve">From </w:t>
      </w:r>
      <w:r>
        <w:rPr>
          <w:rFonts w:eastAsiaTheme="minorEastAsia"/>
          <w:lang w:eastAsia="zh-CN"/>
        </w:rPr>
        <w:t xml:space="preserve">18.6 </w:t>
      </w:r>
      <w:r>
        <w:rPr>
          <w:rFonts w:eastAsiaTheme="minorEastAsia" w:hint="eastAsia"/>
          <w:lang w:eastAsia="zh-CN"/>
        </w:rPr>
        <w:t xml:space="preserve">Billion to Nothing, How the </w:t>
      </w:r>
      <w:r>
        <w:rPr>
          <w:rFonts w:eastAsiaTheme="minorEastAsia"/>
          <w:lang w:eastAsia="zh-CN"/>
        </w:rPr>
        <w:t xml:space="preserve">Former </w:t>
      </w:r>
      <w:r>
        <w:rPr>
          <w:rFonts w:eastAsiaTheme="minorEastAsia" w:hint="eastAsia"/>
          <w:lang w:eastAsia="zh-CN"/>
        </w:rPr>
        <w:t xml:space="preserve">Richest Man </w:t>
      </w:r>
      <w:r>
        <w:rPr>
          <w:rFonts w:eastAsiaTheme="minorEastAsia"/>
          <w:lang w:eastAsia="zh-CN"/>
        </w:rPr>
        <w:t xml:space="preserve">Shi </w:t>
      </w:r>
      <w:proofErr w:type="spellStart"/>
      <w:r>
        <w:rPr>
          <w:rFonts w:eastAsiaTheme="minorEastAsia"/>
          <w:lang w:eastAsia="zh-CN"/>
        </w:rPr>
        <w:t>Zhengrong</w:t>
      </w:r>
      <w:proofErr w:type="spellEnd"/>
      <w:r>
        <w:rPr>
          <w:rFonts w:eastAsiaTheme="minorEastAsia"/>
          <w:lang w:eastAsia="zh-CN"/>
        </w:rPr>
        <w:t xml:space="preserve"> B</w:t>
      </w:r>
      <w:r>
        <w:rPr>
          <w:rFonts w:eastAsiaTheme="minorEastAsia" w:hint="eastAsia"/>
          <w:lang w:eastAsia="zh-CN"/>
        </w:rPr>
        <w:t>ankrupt</w:t>
      </w:r>
      <w:r>
        <w:rPr>
          <w:rFonts w:eastAsiaTheme="minorEastAsia"/>
          <w:lang w:eastAsia="zh-CN"/>
        </w:rPr>
        <w:t>cy</w:t>
      </w:r>
      <w:r>
        <w:rPr>
          <w:rFonts w:eastAsiaTheme="minorEastAsia" w:hint="eastAsia"/>
          <w:lang w:eastAsia="zh-CN"/>
        </w:rPr>
        <w:t>?</w:t>
      </w:r>
      <w:r>
        <w:rPr>
          <w:rFonts w:eastAsiaTheme="minorEastAsia"/>
          <w:lang w:eastAsia="zh-CN"/>
        </w:rPr>
        <w:t>”</w:t>
      </w:r>
      <w:r>
        <w:rPr>
          <w:rFonts w:eastAsiaTheme="minorEastAsia" w:hint="eastAsia"/>
          <w:lang w:eastAsia="zh-CN"/>
        </w:rPr>
        <w:t xml:space="preserve"> </w:t>
      </w:r>
      <w:r>
        <w:rPr>
          <w:rFonts w:eastAsiaTheme="minorEastAsia"/>
          <w:lang w:eastAsia="zh-CN"/>
        </w:rPr>
        <w:t>[</w:t>
      </w:r>
      <w:proofErr w:type="gramStart"/>
      <w:r>
        <w:rPr>
          <w:rFonts w:eastAsiaTheme="minorEastAsia"/>
          <w:lang w:eastAsia="zh-CN"/>
        </w:rPr>
        <w:t>in</w:t>
      </w:r>
      <w:proofErr w:type="gramEnd"/>
      <w:r>
        <w:rPr>
          <w:rFonts w:eastAsiaTheme="minorEastAsia"/>
          <w:lang w:eastAsia="zh-CN"/>
        </w:rPr>
        <w:t xml:space="preserve"> Chinese], </w:t>
      </w:r>
      <w:r w:rsidRPr="005B292C">
        <w:rPr>
          <w:rFonts w:eastAsiaTheme="minorEastAsia"/>
          <w:lang w:eastAsia="zh-CN"/>
        </w:rPr>
        <w:t>business.sohu.com</w:t>
      </w:r>
      <w:r>
        <w:rPr>
          <w:rFonts w:eastAsiaTheme="minorEastAsia" w:hint="eastAsia"/>
          <w:lang w:eastAsia="zh-CN"/>
        </w:rPr>
        <w:t xml:space="preserve">, October 27, 2016, accessed December 15, 2016, </w:t>
      </w:r>
      <w:r w:rsidRPr="007E3AD9">
        <w:rPr>
          <w:rFonts w:eastAsiaTheme="minorEastAsia"/>
          <w:lang w:eastAsia="zh-CN"/>
        </w:rPr>
        <w:t>http://business.sohu.com/20161027/n471563799.shtml</w:t>
      </w:r>
      <w:r>
        <w:rPr>
          <w:rFonts w:eastAsiaTheme="minorEastAsia" w:hint="eastAsia"/>
          <w:lang w:eastAsia="zh-CN"/>
        </w:rPr>
        <w:t xml:space="preserve">. </w:t>
      </w:r>
    </w:p>
  </w:endnote>
  <w:endnote w:id="12">
    <w:p w14:paraId="46789F12" w14:textId="48113F87" w:rsidR="00F07E0C" w:rsidRPr="008F3A57" w:rsidRDefault="00F07E0C" w:rsidP="00E455F1">
      <w:pPr>
        <w:pStyle w:val="Footnote"/>
        <w:rPr>
          <w:spacing w:val="-6"/>
          <w:kern w:val="17"/>
        </w:rPr>
      </w:pPr>
      <w:r w:rsidRPr="008F3A57">
        <w:rPr>
          <w:rStyle w:val="EndnoteReference"/>
          <w:spacing w:val="-6"/>
          <w:kern w:val="17"/>
        </w:rPr>
        <w:endnoteRef/>
      </w:r>
      <w:r w:rsidRPr="008F3A57">
        <w:rPr>
          <w:spacing w:val="-6"/>
          <w:kern w:val="17"/>
        </w:rPr>
        <w:t xml:space="preserve"> Guo Hang, “From the Richest Man to the Bankruptcy Shi </w:t>
      </w:r>
      <w:proofErr w:type="spellStart"/>
      <w:r w:rsidRPr="008F3A57">
        <w:rPr>
          <w:spacing w:val="-6"/>
          <w:kern w:val="17"/>
        </w:rPr>
        <w:t>Zhengrong</w:t>
      </w:r>
      <w:proofErr w:type="spellEnd"/>
      <w:r w:rsidRPr="008F3A57">
        <w:rPr>
          <w:spacing w:val="-6"/>
          <w:kern w:val="17"/>
        </w:rPr>
        <w:t xml:space="preserve">: Since then I Only Spend Money” [in Chinese], </w:t>
      </w:r>
      <w:proofErr w:type="spellStart"/>
      <w:r w:rsidRPr="008F3A57">
        <w:rPr>
          <w:spacing w:val="-6"/>
          <w:kern w:val="17"/>
        </w:rPr>
        <w:t>Eastmoney</w:t>
      </w:r>
      <w:proofErr w:type="spellEnd"/>
      <w:r w:rsidRPr="008F3A57">
        <w:rPr>
          <w:spacing w:val="-6"/>
          <w:kern w:val="17"/>
        </w:rPr>
        <w:t xml:space="preserve"> Securities, December 26, 2012, accessed September 18, 2015, http://finance.eastmoney.com/news/1376,20121226265493861.html.</w:t>
      </w:r>
    </w:p>
  </w:endnote>
  <w:endnote w:id="13">
    <w:p w14:paraId="1C7B609D" w14:textId="58BEEE5D" w:rsidR="00F07E0C" w:rsidRPr="0068116F" w:rsidRDefault="00F07E0C" w:rsidP="00E455F1">
      <w:pPr>
        <w:pStyle w:val="Footnote"/>
      </w:pPr>
      <w:r w:rsidRPr="0068116F">
        <w:rPr>
          <w:rStyle w:val="EndnoteReference"/>
        </w:rPr>
        <w:endnoteRef/>
      </w:r>
      <w:r w:rsidRPr="0068116F">
        <w:t xml:space="preserve"> He </w:t>
      </w:r>
      <w:proofErr w:type="spellStart"/>
      <w:r w:rsidRPr="0068116F">
        <w:t>Yifan</w:t>
      </w:r>
      <w:proofErr w:type="spellEnd"/>
      <w:r w:rsidRPr="0068116F">
        <w:t>, “</w:t>
      </w:r>
      <w:r>
        <w:t xml:space="preserve">Richest Man, </w:t>
      </w:r>
      <w:r w:rsidRPr="0068116F">
        <w:t>Government Ma</w:t>
      </w:r>
      <w:r>
        <w:t>de</w:t>
      </w:r>
      <w:r w:rsidRPr="0068116F">
        <w:t>”</w:t>
      </w:r>
      <w:r w:rsidRPr="00397FE9">
        <w:rPr>
          <w:i/>
        </w:rPr>
        <w:t xml:space="preserve"> </w:t>
      </w:r>
      <w:r w:rsidRPr="00F07E0C">
        <w:t>[in Chinese],</w:t>
      </w:r>
      <w:r>
        <w:rPr>
          <w:i/>
        </w:rPr>
        <w:t xml:space="preserve"> China Entrepreneur </w:t>
      </w:r>
      <w:r w:rsidRPr="006319C4">
        <w:t>6 (2006),</w:t>
      </w:r>
      <w:r w:rsidRPr="00716E22">
        <w:t xml:space="preserve"> accessed September 18, 2015, www.iceo.com.cn/renwu2013/2013/0321/265279.shtml</w:t>
      </w:r>
      <w:r w:rsidRPr="0068116F">
        <w:t>.</w:t>
      </w:r>
    </w:p>
  </w:endnote>
  <w:endnote w:id="14">
    <w:p w14:paraId="4436302A" w14:textId="2FCB5B33" w:rsidR="00F07E0C" w:rsidRPr="0068116F" w:rsidRDefault="00F07E0C" w:rsidP="00E455F1">
      <w:pPr>
        <w:pStyle w:val="Footnote"/>
      </w:pPr>
      <w:r w:rsidRPr="0068116F">
        <w:rPr>
          <w:rStyle w:val="EndnoteReference"/>
        </w:rPr>
        <w:endnoteRef/>
      </w:r>
      <w:r w:rsidRPr="0068116F">
        <w:t xml:space="preserve"> Wuxi, approximately 120 kilomet</w:t>
      </w:r>
      <w:r>
        <w:t>re</w:t>
      </w:r>
      <w:r w:rsidRPr="0068116F">
        <w:t>s west of Shanghai, was a city located in the southern Jiangsu province. It was recognized as one of the birthplaces of China</w:t>
      </w:r>
      <w:r>
        <w:t>’</w:t>
      </w:r>
      <w:r w:rsidRPr="0068116F">
        <w:t xml:space="preserve">s modern industry and ranks in the top 10 prefecture-level cities by </w:t>
      </w:r>
      <w:r>
        <w:t>gross domestic product (</w:t>
      </w:r>
      <w:r w:rsidRPr="0068116F">
        <w:t>GDP</w:t>
      </w:r>
      <w:r>
        <w:t>)</w:t>
      </w:r>
      <w:r w:rsidRPr="0068116F">
        <w:t xml:space="preserve"> per capita. </w:t>
      </w:r>
    </w:p>
  </w:endnote>
  <w:endnote w:id="15">
    <w:p w14:paraId="6DE29FE2" w14:textId="27767F35" w:rsidR="00F07E0C" w:rsidRPr="007D3D8D" w:rsidRDefault="00F07E0C" w:rsidP="00E455F1">
      <w:pPr>
        <w:pStyle w:val="Footnote"/>
      </w:pPr>
      <w:r w:rsidRPr="007D3D8D">
        <w:rPr>
          <w:rStyle w:val="EndnoteReference"/>
        </w:rPr>
        <w:endnoteRef/>
      </w:r>
      <w:r w:rsidRPr="007D3D8D">
        <w:t xml:space="preserve"> </w:t>
      </w:r>
      <w:r>
        <w:rPr>
          <w:rFonts w:eastAsiaTheme="minorEastAsia"/>
          <w:lang w:eastAsia="zh-CN"/>
        </w:rPr>
        <w:t>“</w:t>
      </w:r>
      <w:r>
        <w:rPr>
          <w:rFonts w:eastAsiaTheme="minorEastAsia" w:hint="eastAsia"/>
          <w:lang w:eastAsia="zh-CN"/>
        </w:rPr>
        <w:t xml:space="preserve">Shi </w:t>
      </w:r>
      <w:proofErr w:type="spellStart"/>
      <w:r>
        <w:rPr>
          <w:rFonts w:eastAsiaTheme="minorEastAsia" w:hint="eastAsia"/>
          <w:lang w:eastAsia="zh-CN"/>
        </w:rPr>
        <w:t>Zhengrong</w:t>
      </w:r>
      <w:r>
        <w:rPr>
          <w:rFonts w:eastAsiaTheme="minorEastAsia"/>
          <w:lang w:eastAsia="zh-CN"/>
        </w:rPr>
        <w:t>’</w:t>
      </w:r>
      <w:r>
        <w:rPr>
          <w:rFonts w:eastAsiaTheme="minorEastAsia" w:hint="eastAsia"/>
          <w:lang w:eastAsia="zh-CN"/>
        </w:rPr>
        <w:t>s</w:t>
      </w:r>
      <w:proofErr w:type="spellEnd"/>
      <w:r>
        <w:rPr>
          <w:rFonts w:eastAsiaTheme="minorEastAsia" w:hint="eastAsia"/>
          <w:lang w:eastAsia="zh-CN"/>
        </w:rPr>
        <w:t xml:space="preserve"> </w:t>
      </w:r>
      <w:r>
        <w:rPr>
          <w:rFonts w:eastAsiaTheme="minorEastAsia"/>
          <w:lang w:eastAsia="zh-CN"/>
        </w:rPr>
        <w:t xml:space="preserve">Fortune History: From the </w:t>
      </w:r>
      <w:r>
        <w:rPr>
          <w:rFonts w:eastAsiaTheme="minorEastAsia" w:hint="eastAsia"/>
          <w:lang w:eastAsia="zh-CN"/>
        </w:rPr>
        <w:t>Dish</w:t>
      </w:r>
      <w:r>
        <w:rPr>
          <w:rFonts w:eastAsiaTheme="minorEastAsia"/>
          <w:lang w:eastAsia="zh-CN"/>
        </w:rPr>
        <w:t>w</w:t>
      </w:r>
      <w:r>
        <w:rPr>
          <w:rFonts w:eastAsiaTheme="minorEastAsia" w:hint="eastAsia"/>
          <w:lang w:eastAsia="zh-CN"/>
        </w:rPr>
        <w:t xml:space="preserve">asher to </w:t>
      </w:r>
      <w:r>
        <w:rPr>
          <w:rFonts w:eastAsiaTheme="minorEastAsia"/>
          <w:lang w:eastAsia="zh-CN"/>
        </w:rPr>
        <w:t xml:space="preserve">the </w:t>
      </w:r>
      <w:r>
        <w:rPr>
          <w:rFonts w:eastAsiaTheme="minorEastAsia" w:hint="eastAsia"/>
          <w:lang w:eastAsia="zh-CN"/>
        </w:rPr>
        <w:t>Richest Man</w:t>
      </w:r>
      <w:r>
        <w:rPr>
          <w:rFonts w:eastAsiaTheme="minorEastAsia"/>
          <w:lang w:eastAsia="zh-CN"/>
        </w:rPr>
        <w:t xml:space="preserve"> in the </w:t>
      </w:r>
      <w:proofErr w:type="gramStart"/>
      <w:r>
        <w:rPr>
          <w:rFonts w:eastAsiaTheme="minorEastAsia"/>
          <w:lang w:eastAsia="zh-CN"/>
        </w:rPr>
        <w:t>PV(</w:t>
      </w:r>
      <w:proofErr w:type="gramEnd"/>
      <w:r>
        <w:rPr>
          <w:rFonts w:eastAsiaTheme="minorEastAsia"/>
          <w:lang w:eastAsia="zh-CN"/>
        </w:rPr>
        <w:t>2)”</w:t>
      </w:r>
      <w:r>
        <w:rPr>
          <w:rFonts w:eastAsiaTheme="minorEastAsia" w:hint="eastAsia"/>
          <w:lang w:eastAsia="zh-CN"/>
        </w:rPr>
        <w:t xml:space="preserve"> </w:t>
      </w:r>
      <w:r>
        <w:rPr>
          <w:rFonts w:eastAsiaTheme="minorEastAsia"/>
          <w:lang w:eastAsia="zh-CN"/>
        </w:rPr>
        <w:t xml:space="preserve">[in Chinese], </w:t>
      </w:r>
      <w:r>
        <w:rPr>
          <w:rFonts w:eastAsiaTheme="minorEastAsia" w:hint="eastAsia"/>
          <w:lang w:eastAsia="zh-CN"/>
        </w:rPr>
        <w:t xml:space="preserve">December 9, 2011, accessed December 15, 2016, </w:t>
      </w:r>
      <w:r w:rsidRPr="007E3AD9">
        <w:rPr>
          <w:rFonts w:eastAsiaTheme="minorEastAsia"/>
          <w:lang w:eastAsia="zh-CN"/>
        </w:rPr>
        <w:t>http://solar.cheaa.com/2011/1209/303512_2.shtml</w:t>
      </w:r>
      <w:r>
        <w:rPr>
          <w:rFonts w:eastAsiaTheme="minorEastAsia" w:hint="eastAsia"/>
          <w:lang w:eastAsia="zh-CN"/>
        </w:rPr>
        <w:t xml:space="preserve">. </w:t>
      </w:r>
    </w:p>
  </w:endnote>
  <w:endnote w:id="16">
    <w:p w14:paraId="2A1C9F22" w14:textId="07FAD944" w:rsidR="00F07E0C" w:rsidRPr="007D3D8D" w:rsidRDefault="00F07E0C" w:rsidP="00E455F1">
      <w:pPr>
        <w:pStyle w:val="Footnote"/>
        <w:rPr>
          <w:rFonts w:eastAsiaTheme="minorEastAsia"/>
          <w:lang w:eastAsia="zh-CN"/>
        </w:rPr>
      </w:pPr>
      <w:r w:rsidRPr="007D3D8D">
        <w:rPr>
          <w:rStyle w:val="EndnoteReference"/>
        </w:rPr>
        <w:endnoteRef/>
      </w:r>
      <w:r w:rsidRPr="007D3D8D">
        <w:t xml:space="preserve"> </w:t>
      </w:r>
      <w:r>
        <w:rPr>
          <w:rFonts w:eastAsiaTheme="minorEastAsia" w:hint="eastAsia"/>
          <w:lang w:eastAsia="zh-CN"/>
        </w:rPr>
        <w:t xml:space="preserve">Lai </w:t>
      </w:r>
      <w:proofErr w:type="spellStart"/>
      <w:r>
        <w:rPr>
          <w:rFonts w:eastAsiaTheme="minorEastAsia" w:hint="eastAsia"/>
          <w:lang w:eastAsia="zh-CN"/>
        </w:rPr>
        <w:t>Zhihui</w:t>
      </w:r>
      <w:proofErr w:type="spellEnd"/>
      <w:r>
        <w:rPr>
          <w:rFonts w:eastAsiaTheme="minorEastAsia" w:hint="eastAsia"/>
          <w:lang w:eastAsia="zh-CN"/>
        </w:rPr>
        <w:t xml:space="preserve">, </w:t>
      </w:r>
      <w:r>
        <w:rPr>
          <w:rFonts w:eastAsiaTheme="minorEastAsia"/>
          <w:lang w:eastAsia="zh-CN"/>
        </w:rPr>
        <w:t>“</w:t>
      </w:r>
      <w:r>
        <w:rPr>
          <w:rFonts w:eastAsiaTheme="minorEastAsia" w:hint="eastAsia"/>
          <w:lang w:eastAsia="zh-CN"/>
        </w:rPr>
        <w:t xml:space="preserve">Shi </w:t>
      </w:r>
      <w:proofErr w:type="spellStart"/>
      <w:r>
        <w:rPr>
          <w:rFonts w:eastAsiaTheme="minorEastAsia" w:hint="eastAsia"/>
          <w:lang w:eastAsia="zh-CN"/>
        </w:rPr>
        <w:t>Zhengrong</w:t>
      </w:r>
      <w:r>
        <w:rPr>
          <w:rFonts w:eastAsiaTheme="minorEastAsia"/>
          <w:lang w:eastAsia="zh-CN"/>
        </w:rPr>
        <w:t>’</w:t>
      </w:r>
      <w:r>
        <w:rPr>
          <w:rFonts w:eastAsiaTheme="minorEastAsia" w:hint="eastAsia"/>
          <w:lang w:eastAsia="zh-CN"/>
        </w:rPr>
        <w:t>s</w:t>
      </w:r>
      <w:proofErr w:type="spellEnd"/>
      <w:r>
        <w:rPr>
          <w:rFonts w:eastAsiaTheme="minorEastAsia" w:hint="eastAsia"/>
          <w:lang w:eastAsia="zh-CN"/>
        </w:rPr>
        <w:t xml:space="preserve"> Dream</w:t>
      </w:r>
      <w:r>
        <w:rPr>
          <w:rFonts w:eastAsiaTheme="minorEastAsia"/>
          <w:lang w:eastAsia="zh-CN"/>
        </w:rPr>
        <w:t xml:space="preserve"> off the Photovoltaic” [in Chinese], finance.ifeng.com, </w:t>
      </w:r>
      <w:r>
        <w:rPr>
          <w:rFonts w:eastAsiaTheme="minorEastAsia" w:hint="eastAsia"/>
          <w:lang w:eastAsia="zh-CN"/>
        </w:rPr>
        <w:t xml:space="preserve">May 8, 2013, accessed December 15, 2016, </w:t>
      </w:r>
      <w:r w:rsidRPr="007E3AD9">
        <w:rPr>
          <w:rFonts w:eastAsiaTheme="minorEastAsia"/>
          <w:lang w:eastAsia="zh-CN"/>
        </w:rPr>
        <w:t>http://finance.ifeng.com/business/renwu/20130508/8008482.shtml</w:t>
      </w:r>
      <w:r>
        <w:rPr>
          <w:rFonts w:eastAsiaTheme="minorEastAsia" w:hint="eastAsia"/>
          <w:lang w:eastAsia="zh-CN"/>
        </w:rPr>
        <w:t>.</w:t>
      </w:r>
    </w:p>
  </w:endnote>
  <w:endnote w:id="17">
    <w:p w14:paraId="1452E9AB" w14:textId="653535DF" w:rsidR="00F07E0C" w:rsidRPr="005B292C" w:rsidRDefault="00F07E0C" w:rsidP="00F07E0C">
      <w:pPr>
        <w:pStyle w:val="Footnote"/>
      </w:pPr>
      <w:r>
        <w:rPr>
          <w:rStyle w:val="EndnoteReference"/>
        </w:rPr>
        <w:endnoteRef/>
      </w:r>
      <w:r>
        <w:t xml:space="preserve"> </w:t>
      </w:r>
      <w:r w:rsidRPr="00CF316B">
        <w:t>¥</w:t>
      </w:r>
      <w:r w:rsidRPr="005B292C">
        <w:t>=</w:t>
      </w:r>
      <w:r>
        <w:t xml:space="preserve"> </w:t>
      </w:r>
      <w:r w:rsidRPr="005B292C">
        <w:t>CNY =</w:t>
      </w:r>
      <w:r>
        <w:t xml:space="preserve"> </w:t>
      </w:r>
      <w:r w:rsidRPr="005B292C">
        <w:t>China yuan re</w:t>
      </w:r>
      <w:r w:rsidRPr="006B064C">
        <w:t>nmi</w:t>
      </w:r>
      <w:r>
        <w:t>n</w:t>
      </w:r>
      <w:r w:rsidRPr="005B292C">
        <w:t>bi; US$1</w:t>
      </w:r>
      <w:r>
        <w:t>.00</w:t>
      </w:r>
      <w:r w:rsidRPr="005B292C">
        <w:t xml:space="preserve"> = </w:t>
      </w:r>
      <w:r w:rsidRPr="000A6415">
        <w:t>¥</w:t>
      </w:r>
      <w:r>
        <w:rPr>
          <w:rFonts w:eastAsiaTheme="minorEastAsia" w:hint="eastAsia"/>
          <w:lang w:eastAsia="zh-CN"/>
        </w:rPr>
        <w:t>8.28</w:t>
      </w:r>
      <w:r>
        <w:t xml:space="preserve"> </w:t>
      </w:r>
      <w:r>
        <w:rPr>
          <w:rFonts w:eastAsiaTheme="minorEastAsia" w:hint="eastAsia"/>
          <w:lang w:eastAsia="zh-CN"/>
        </w:rPr>
        <w:t>in 2003</w:t>
      </w:r>
      <w:r>
        <w:rPr>
          <w:rFonts w:eastAsiaTheme="minorEastAsia"/>
          <w:lang w:eastAsia="zh-CN"/>
        </w:rPr>
        <w:t>.</w:t>
      </w:r>
    </w:p>
  </w:endnote>
  <w:endnote w:id="18">
    <w:p w14:paraId="6AA38A07" w14:textId="0B6A4D34" w:rsidR="00F07E0C" w:rsidRPr="0068116F" w:rsidRDefault="00F07E0C" w:rsidP="00E455F1">
      <w:pPr>
        <w:pStyle w:val="Footnote"/>
      </w:pPr>
      <w:r w:rsidRPr="0068116F">
        <w:rPr>
          <w:rStyle w:val="EndnoteReference"/>
        </w:rPr>
        <w:endnoteRef/>
      </w:r>
      <w:r w:rsidR="006319C4">
        <w:t xml:space="preserve"> </w:t>
      </w:r>
      <w:proofErr w:type="spellStart"/>
      <w:r>
        <w:t>Zhong</w:t>
      </w:r>
      <w:proofErr w:type="spellEnd"/>
      <w:r>
        <w:t xml:space="preserve"> Ling Xiao,</w:t>
      </w:r>
      <w:r w:rsidRPr="0068116F">
        <w:t xml:space="preserve"> “Shi </w:t>
      </w:r>
      <w:proofErr w:type="spellStart"/>
      <w:r w:rsidRPr="0068116F">
        <w:t>Zhengrong</w:t>
      </w:r>
      <w:proofErr w:type="spellEnd"/>
      <w:r>
        <w:t>: ‘Minority’”</w:t>
      </w:r>
      <w:r w:rsidRPr="0068116F">
        <w:t xml:space="preserve"> </w:t>
      </w:r>
      <w:r>
        <w:t xml:space="preserve">[in Chinese], CEOCIO, </w:t>
      </w:r>
      <w:r w:rsidRPr="0068116F">
        <w:t>November 5, 2010, accessed September 1, 2014</w:t>
      </w:r>
      <w:r>
        <w:t xml:space="preserve">, </w:t>
      </w:r>
      <w:r w:rsidRPr="00A62603">
        <w:t>www.ceocio.com.cn/e/action/ShowInfo.php?classid=308&amp;id=127819</w:t>
      </w:r>
      <w:r w:rsidRPr="0068116F">
        <w:t xml:space="preserve">. </w:t>
      </w:r>
    </w:p>
  </w:endnote>
  <w:endnote w:id="19">
    <w:p w14:paraId="1EF31007" w14:textId="238B5525" w:rsidR="00F07E0C" w:rsidRPr="0030545B" w:rsidRDefault="00F07E0C" w:rsidP="00E455F1">
      <w:pPr>
        <w:pStyle w:val="Footnote"/>
        <w:rPr>
          <w:rFonts w:eastAsiaTheme="minorEastAsia"/>
          <w:lang w:eastAsia="zh-CN"/>
        </w:rPr>
      </w:pPr>
      <w:r w:rsidRPr="0068116F">
        <w:rPr>
          <w:rStyle w:val="EndnoteReference"/>
        </w:rPr>
        <w:endnoteRef/>
      </w:r>
      <w:r>
        <w:t xml:space="preserve"> Ibid.</w:t>
      </w:r>
    </w:p>
  </w:endnote>
  <w:endnote w:id="20">
    <w:p w14:paraId="6DBA9C14" w14:textId="3F0AD6EB" w:rsidR="00F07E0C" w:rsidRPr="0030545B" w:rsidRDefault="00F07E0C" w:rsidP="00E455F1">
      <w:pPr>
        <w:pStyle w:val="Footnote"/>
        <w:rPr>
          <w:rFonts w:eastAsiaTheme="minorEastAsia"/>
          <w:lang w:eastAsia="zh-CN"/>
        </w:rPr>
      </w:pPr>
      <w:r w:rsidRPr="0068116F">
        <w:rPr>
          <w:rStyle w:val="EndnoteReference"/>
        </w:rPr>
        <w:endnoteRef/>
      </w:r>
      <w:r w:rsidRPr="0068116F">
        <w:t xml:space="preserve"> </w:t>
      </w:r>
      <w:r>
        <w:rPr>
          <w:rFonts w:eastAsiaTheme="minorEastAsia" w:hint="eastAsia"/>
          <w:lang w:eastAsia="zh-CN"/>
        </w:rPr>
        <w:t>Guo, op.</w:t>
      </w:r>
      <w:r>
        <w:rPr>
          <w:rFonts w:eastAsiaTheme="minorEastAsia"/>
          <w:lang w:eastAsia="zh-CN"/>
        </w:rPr>
        <w:t xml:space="preserve"> </w:t>
      </w:r>
      <w:r>
        <w:rPr>
          <w:rFonts w:eastAsiaTheme="minorEastAsia" w:hint="eastAsia"/>
          <w:lang w:eastAsia="zh-CN"/>
        </w:rPr>
        <w:t xml:space="preserve">cit. </w:t>
      </w:r>
    </w:p>
  </w:endnote>
  <w:endnote w:id="21">
    <w:p w14:paraId="20A6EA46" w14:textId="2399E6C2" w:rsidR="00F07E0C" w:rsidRPr="0068116F" w:rsidRDefault="00F07E0C" w:rsidP="00E455F1">
      <w:pPr>
        <w:pStyle w:val="Footnote"/>
      </w:pPr>
      <w:r w:rsidRPr="0068116F">
        <w:rPr>
          <w:rStyle w:val="EndnoteReference"/>
        </w:rPr>
        <w:endnoteRef/>
      </w:r>
      <w:r w:rsidRPr="0068116F">
        <w:t xml:space="preserve"> “2006 </w:t>
      </w:r>
      <w:r>
        <w:t>‘</w:t>
      </w:r>
      <w:r w:rsidRPr="0068116F">
        <w:t>New Fortune</w:t>
      </w:r>
      <w:r>
        <w:t>’</w:t>
      </w:r>
      <w:r w:rsidRPr="0068116F">
        <w:t xml:space="preserve"> 500 </w:t>
      </w:r>
      <w:r>
        <w:t>Rich List Baked [sic]</w:t>
      </w:r>
      <w:r w:rsidRPr="0068116F">
        <w:t xml:space="preserve"> Shi </w:t>
      </w:r>
      <w:proofErr w:type="spellStart"/>
      <w:r w:rsidRPr="0068116F">
        <w:t>Zhengrong</w:t>
      </w:r>
      <w:proofErr w:type="spellEnd"/>
      <w:r>
        <w:t xml:space="preserve"> into </w:t>
      </w:r>
      <w:r w:rsidRPr="0068116F">
        <w:t xml:space="preserve">China’s </w:t>
      </w:r>
      <w:r>
        <w:t>New</w:t>
      </w:r>
      <w:r w:rsidRPr="0068116F">
        <w:t xml:space="preserve"> Rich</w:t>
      </w:r>
      <w:r>
        <w:t>est</w:t>
      </w:r>
      <w:r w:rsidRPr="0068116F">
        <w:t xml:space="preserve"> Man” </w:t>
      </w:r>
      <w:r>
        <w:t xml:space="preserve">[in Chinese], </w:t>
      </w:r>
      <w:r w:rsidRPr="00EE04CF">
        <w:rPr>
          <w:i/>
        </w:rPr>
        <w:t>QQ.com</w:t>
      </w:r>
      <w:r w:rsidRPr="0068116F">
        <w:t>, May 10, 2006, accessed June 17</w:t>
      </w:r>
      <w:r>
        <w:t xml:space="preserve">, </w:t>
      </w:r>
      <w:r w:rsidRPr="0068116F">
        <w:t>2014</w:t>
      </w:r>
      <w:r>
        <w:t xml:space="preserve">, </w:t>
      </w:r>
      <w:r w:rsidRPr="00A62603">
        <w:t>http://finance.qq.com/a/20060510/000770.htm</w:t>
      </w:r>
      <w:r w:rsidRPr="0068116F">
        <w:t xml:space="preserve">. </w:t>
      </w:r>
    </w:p>
  </w:endnote>
  <w:endnote w:id="22">
    <w:p w14:paraId="3E764437" w14:textId="62365706" w:rsidR="00F07E0C" w:rsidRPr="0068116F" w:rsidRDefault="00F07E0C" w:rsidP="00E455F1">
      <w:pPr>
        <w:pStyle w:val="Footnote"/>
      </w:pPr>
      <w:r w:rsidRPr="0068116F">
        <w:rPr>
          <w:rStyle w:val="EndnoteReference"/>
        </w:rPr>
        <w:endnoteRef/>
      </w:r>
      <w:r w:rsidRPr="0068116F">
        <w:t xml:space="preserve"> Kevin </w:t>
      </w:r>
      <w:proofErr w:type="spellStart"/>
      <w:r w:rsidRPr="0068116F">
        <w:t>Bullis</w:t>
      </w:r>
      <w:proofErr w:type="spellEnd"/>
      <w:r w:rsidRPr="0068116F">
        <w:t>, “</w:t>
      </w:r>
      <w:proofErr w:type="spellStart"/>
      <w:r w:rsidRPr="0068116F">
        <w:t>Solar’s</w:t>
      </w:r>
      <w:proofErr w:type="spellEnd"/>
      <w:r w:rsidRPr="0068116F">
        <w:t xml:space="preserve"> Great Leap Forward</w:t>
      </w:r>
      <w:r>
        <w:t>,</w:t>
      </w:r>
      <w:r w:rsidRPr="0068116F">
        <w:t xml:space="preserve">” </w:t>
      </w:r>
      <w:r w:rsidRPr="005B292C">
        <w:rPr>
          <w:i/>
        </w:rPr>
        <w:t xml:space="preserve">MIT </w:t>
      </w:r>
      <w:r w:rsidRPr="00EE04CF">
        <w:rPr>
          <w:i/>
        </w:rPr>
        <w:t>Technology Review</w:t>
      </w:r>
      <w:r w:rsidRPr="0068116F">
        <w:t>, June 22, 2010, accessed September 18, 2015</w:t>
      </w:r>
      <w:r>
        <w:t xml:space="preserve">, </w:t>
      </w:r>
      <w:r w:rsidRPr="00A62603">
        <w:t>www.technologyreview.com/featuredstory/419453/solars-great-leap-forward/</w:t>
      </w:r>
      <w:r>
        <w:t>.</w:t>
      </w:r>
    </w:p>
  </w:endnote>
  <w:endnote w:id="23">
    <w:p w14:paraId="5A23C214" w14:textId="5C2857AE" w:rsidR="00F07E0C" w:rsidRPr="0068116F" w:rsidRDefault="00F07E0C" w:rsidP="00E455F1">
      <w:pPr>
        <w:pStyle w:val="Footnote"/>
      </w:pPr>
      <w:r w:rsidRPr="0068116F">
        <w:rPr>
          <w:rStyle w:val="EndnoteReference"/>
        </w:rPr>
        <w:endnoteRef/>
      </w:r>
      <w:r w:rsidRPr="0068116F">
        <w:t xml:space="preserve"> By 2011, 31 out of 34 provinces, municipalities, autonomous regions,</w:t>
      </w:r>
      <w:r w:rsidRPr="0068116F">
        <w:rPr>
          <w:rStyle w:val="EndnoteReference"/>
        </w:rPr>
        <w:t xml:space="preserve"> </w:t>
      </w:r>
      <w:r w:rsidRPr="0068116F">
        <w:t>and special administrative units had prioritized the solar energy industry in terms of government support; 300 of China’s 600 cities</w:t>
      </w:r>
      <w:r>
        <w:t>—</w:t>
      </w:r>
      <w:r w:rsidRPr="0068116F">
        <w:t>over 100 of which had built industrial bases</w:t>
      </w:r>
      <w:r>
        <w:t>—</w:t>
      </w:r>
      <w:r w:rsidRPr="0068116F">
        <w:t>encouraged investments in the industry</w:t>
      </w:r>
      <w:r>
        <w:t xml:space="preserve">; He Yong, “How Can the Photovoltaic Industry Blossom Everywhere? 300 Cities to Support the Development of Priority, Has Built more than 100 Industrial Base [sic]” [in Chinese], Communist Party of China News, November 11, 2011, accessed June 17, 2014, </w:t>
      </w:r>
      <w:r w:rsidRPr="0068116F">
        <w:rPr>
          <w:rFonts w:eastAsiaTheme="majorEastAsia"/>
          <w:bCs/>
        </w:rPr>
        <w:t>http://cpc.people.com.cn/GB/</w:t>
      </w:r>
      <w:r>
        <w:rPr>
          <w:rFonts w:eastAsiaTheme="majorEastAsia"/>
          <w:bCs/>
        </w:rPr>
        <w:t>64093/82429/83083/16180356.html</w:t>
      </w:r>
      <w:r w:rsidRPr="0068116F">
        <w:t xml:space="preserve">. </w:t>
      </w:r>
    </w:p>
  </w:endnote>
  <w:endnote w:id="24">
    <w:p w14:paraId="39718C58" w14:textId="04E9B58D" w:rsidR="00F07E0C" w:rsidRPr="0068116F" w:rsidRDefault="00F07E0C" w:rsidP="00E455F1">
      <w:pPr>
        <w:pStyle w:val="Footnote"/>
      </w:pPr>
      <w:r w:rsidRPr="0068116F">
        <w:rPr>
          <w:rStyle w:val="EndnoteReference"/>
        </w:rPr>
        <w:endnoteRef/>
      </w:r>
      <w:r w:rsidRPr="0068116F">
        <w:t xml:space="preserve"> </w:t>
      </w:r>
      <w:proofErr w:type="spellStart"/>
      <w:r>
        <w:rPr>
          <w:rFonts w:eastAsiaTheme="minorEastAsia" w:hint="eastAsia"/>
          <w:lang w:eastAsia="zh-CN"/>
        </w:rPr>
        <w:t>Suntech</w:t>
      </w:r>
      <w:proofErr w:type="spellEnd"/>
      <w:r>
        <w:rPr>
          <w:rFonts w:eastAsiaTheme="minorEastAsia" w:hint="eastAsia"/>
          <w:lang w:eastAsia="zh-CN"/>
        </w:rPr>
        <w:t xml:space="preserve"> Power Holdings, Co.,</w:t>
      </w:r>
      <w:r>
        <w:rPr>
          <w:rFonts w:eastAsiaTheme="minorEastAsia"/>
          <w:lang w:eastAsia="zh-CN"/>
        </w:rPr>
        <w:t xml:space="preserve"> </w:t>
      </w:r>
      <w:r>
        <w:rPr>
          <w:rFonts w:eastAsiaTheme="minorEastAsia" w:hint="eastAsia"/>
          <w:lang w:eastAsia="zh-CN"/>
        </w:rPr>
        <w:t xml:space="preserve">Ltd., </w:t>
      </w:r>
      <w:r>
        <w:rPr>
          <w:rFonts w:eastAsiaTheme="minorEastAsia"/>
          <w:lang w:eastAsia="zh-CN"/>
        </w:rPr>
        <w:t>“</w:t>
      </w:r>
      <w:r>
        <w:rPr>
          <w:rFonts w:eastAsiaTheme="minorEastAsia" w:hint="eastAsia"/>
          <w:lang w:eastAsia="zh-CN"/>
        </w:rPr>
        <w:t>Form F-20</w:t>
      </w:r>
      <w:r>
        <w:rPr>
          <w:rFonts w:eastAsiaTheme="minorEastAsia"/>
          <w:lang w:eastAsia="zh-CN"/>
        </w:rPr>
        <w:t>,”</w:t>
      </w:r>
      <w:r>
        <w:rPr>
          <w:rFonts w:eastAsiaTheme="minorEastAsia" w:hint="eastAsia"/>
          <w:lang w:eastAsia="zh-CN"/>
        </w:rPr>
        <w:t xml:space="preserve"> EDGAR Online, accessed December 15, 2016. </w:t>
      </w:r>
    </w:p>
  </w:endnote>
  <w:endnote w:id="25">
    <w:p w14:paraId="5421D52C" w14:textId="12B88308" w:rsidR="00F07E0C" w:rsidRPr="0068116F" w:rsidRDefault="00F07E0C" w:rsidP="00E455F1">
      <w:pPr>
        <w:pStyle w:val="Footnote"/>
      </w:pPr>
      <w:r w:rsidRPr="0068116F">
        <w:rPr>
          <w:rStyle w:val="EndnoteReference"/>
        </w:rPr>
        <w:endnoteRef/>
      </w:r>
      <w:r w:rsidRPr="0068116F">
        <w:t xml:space="preserve"> “Twin </w:t>
      </w:r>
      <w:r>
        <w:t xml:space="preserve">Early Failure” [in Chinese], </w:t>
      </w:r>
      <w:r w:rsidRPr="0003249C">
        <w:rPr>
          <w:i/>
        </w:rPr>
        <w:t>China Entrepreneurs</w:t>
      </w:r>
      <w:r w:rsidRPr="0068116F">
        <w:t>, October 22, 2012, accessed September 18, 2015</w:t>
      </w:r>
      <w:r>
        <w:t xml:space="preserve">, </w:t>
      </w:r>
      <w:r w:rsidRPr="00A62603">
        <w:t>www.iceo.com.cn/shangye/36/2012/1022/258916.shtml</w:t>
      </w:r>
      <w:r w:rsidRPr="0068116F">
        <w:t>.</w:t>
      </w:r>
    </w:p>
  </w:endnote>
  <w:endnote w:id="26">
    <w:p w14:paraId="30FBE495" w14:textId="4B87950F" w:rsidR="00F07E0C" w:rsidRPr="004F349E" w:rsidRDefault="00F07E0C" w:rsidP="00E455F1">
      <w:pPr>
        <w:pStyle w:val="Footnote"/>
        <w:rPr>
          <w:spacing w:val="-8"/>
          <w:kern w:val="17"/>
        </w:rPr>
      </w:pPr>
      <w:r w:rsidRPr="004F349E">
        <w:rPr>
          <w:rStyle w:val="EndnoteReference"/>
          <w:spacing w:val="-8"/>
          <w:kern w:val="17"/>
        </w:rPr>
        <w:endnoteRef/>
      </w:r>
      <w:r w:rsidRPr="004F349E">
        <w:rPr>
          <w:spacing w:val="-8"/>
          <w:kern w:val="17"/>
        </w:rPr>
        <w:t xml:space="preserve"> “</w:t>
      </w:r>
      <w:proofErr w:type="spellStart"/>
      <w:r w:rsidRPr="004F349E">
        <w:rPr>
          <w:spacing w:val="-8"/>
          <w:kern w:val="17"/>
        </w:rPr>
        <w:t>Suntech</w:t>
      </w:r>
      <w:proofErr w:type="spellEnd"/>
      <w:r w:rsidRPr="004F349E">
        <w:rPr>
          <w:spacing w:val="-8"/>
          <w:kern w:val="17"/>
        </w:rPr>
        <w:t xml:space="preserve"> Died” </w:t>
      </w:r>
      <w:r>
        <w:rPr>
          <w:spacing w:val="-8"/>
          <w:kern w:val="17"/>
        </w:rPr>
        <w:t xml:space="preserve">[in Chinese], </w:t>
      </w:r>
      <w:proofErr w:type="spellStart"/>
      <w:r w:rsidRPr="004F349E">
        <w:rPr>
          <w:spacing w:val="-8"/>
          <w:kern w:val="17"/>
        </w:rPr>
        <w:t>Netease</w:t>
      </w:r>
      <w:proofErr w:type="spellEnd"/>
      <w:r w:rsidRPr="004F349E">
        <w:rPr>
          <w:spacing w:val="-8"/>
          <w:kern w:val="17"/>
        </w:rPr>
        <w:t>, September 7, 2012, accessed June 18, 2014, http://money.163.com/12/0907/08/8APLQJVO00253G87.html.</w:t>
      </w:r>
    </w:p>
  </w:endnote>
  <w:endnote w:id="27">
    <w:p w14:paraId="4A7CFBAC" w14:textId="2B6E4168" w:rsidR="00F07E0C" w:rsidRPr="0068116F" w:rsidRDefault="00F07E0C" w:rsidP="00E455F1">
      <w:pPr>
        <w:pStyle w:val="Footnote"/>
      </w:pPr>
      <w:r w:rsidRPr="0068116F">
        <w:rPr>
          <w:rStyle w:val="EndnoteReference"/>
        </w:rPr>
        <w:endnoteRef/>
      </w:r>
      <w:r w:rsidRPr="0068116F">
        <w:t xml:space="preserve"> Wuxi </w:t>
      </w:r>
      <w:proofErr w:type="spellStart"/>
      <w:r w:rsidRPr="0068116F">
        <w:t>Suntech</w:t>
      </w:r>
      <w:proofErr w:type="spellEnd"/>
      <w:r w:rsidRPr="0068116F">
        <w:t xml:space="preserve"> was the main entity </w:t>
      </w:r>
      <w:r w:rsidRPr="0068116F">
        <w:rPr>
          <w:rFonts w:eastAsiaTheme="minorEastAsia"/>
        </w:rPr>
        <w:t xml:space="preserve">used </w:t>
      </w:r>
      <w:r w:rsidRPr="0068116F">
        <w:t xml:space="preserve">in securing loans for the listed STP </w:t>
      </w:r>
      <w:r w:rsidRPr="0068116F">
        <w:rPr>
          <w:rFonts w:eastAsiaTheme="minorEastAsia"/>
        </w:rPr>
        <w:t xml:space="preserve">from major Chinese banks </w:t>
      </w:r>
      <w:r w:rsidRPr="0068116F">
        <w:t xml:space="preserve">because it </w:t>
      </w:r>
      <w:r w:rsidRPr="0068116F">
        <w:rPr>
          <w:rFonts w:eastAsiaTheme="minorEastAsia"/>
        </w:rPr>
        <w:t xml:space="preserve">controlled </w:t>
      </w:r>
      <w:r w:rsidRPr="0068116F">
        <w:t>over 95</w:t>
      </w:r>
      <w:r>
        <w:t xml:space="preserve"> per cent</w:t>
      </w:r>
      <w:r w:rsidRPr="0068116F">
        <w:t xml:space="preserve"> of STP’s operation</w:t>
      </w:r>
      <w:r w:rsidRPr="0068116F">
        <w:rPr>
          <w:rFonts w:eastAsiaTheme="minorEastAsia"/>
        </w:rPr>
        <w:t>al</w:t>
      </w:r>
      <w:r w:rsidRPr="0068116F">
        <w:t xml:space="preserve"> </w:t>
      </w:r>
      <w:r w:rsidRPr="0068116F">
        <w:rPr>
          <w:rFonts w:eastAsiaTheme="minorEastAsia"/>
        </w:rPr>
        <w:t xml:space="preserve">assets, which </w:t>
      </w:r>
      <w:r>
        <w:rPr>
          <w:rFonts w:eastAsiaTheme="minorEastAsia"/>
        </w:rPr>
        <w:t>were</w:t>
      </w:r>
      <w:r w:rsidRPr="0068116F">
        <w:rPr>
          <w:rFonts w:eastAsiaTheme="minorEastAsia"/>
        </w:rPr>
        <w:t xml:space="preserve"> used as collateral in China</w:t>
      </w:r>
      <w:r w:rsidRPr="0068116F">
        <w:t>.</w:t>
      </w:r>
    </w:p>
  </w:endnote>
  <w:endnote w:id="28">
    <w:p w14:paraId="62C2BCB9" w14:textId="2BC03E97" w:rsidR="00F07E0C" w:rsidRDefault="00F07E0C" w:rsidP="004F349E">
      <w:pPr>
        <w:pStyle w:val="Footnote"/>
      </w:pPr>
      <w:r>
        <w:rPr>
          <w:rStyle w:val="EndnoteReference"/>
        </w:rPr>
        <w:endnoteRef/>
      </w:r>
      <w:r>
        <w:t xml:space="preserve"> </w:t>
      </w:r>
      <w:r>
        <w:rPr>
          <w:rFonts w:eastAsiaTheme="minorEastAsia" w:hint="eastAsia"/>
          <w:lang w:eastAsia="zh-CN"/>
        </w:rPr>
        <w:t xml:space="preserve">Wang </w:t>
      </w:r>
      <w:proofErr w:type="spellStart"/>
      <w:r>
        <w:rPr>
          <w:rFonts w:eastAsiaTheme="minorEastAsia" w:hint="eastAsia"/>
          <w:lang w:eastAsia="zh-CN"/>
        </w:rPr>
        <w:t>Fangjie</w:t>
      </w:r>
      <w:proofErr w:type="spellEnd"/>
      <w:r>
        <w:rPr>
          <w:rFonts w:eastAsiaTheme="minorEastAsia" w:hint="eastAsia"/>
          <w:lang w:eastAsia="zh-CN"/>
        </w:rPr>
        <w:t xml:space="preserve">, </w:t>
      </w:r>
      <w:r>
        <w:rPr>
          <w:rFonts w:eastAsiaTheme="minorEastAsia"/>
          <w:lang w:eastAsia="zh-CN"/>
        </w:rPr>
        <w:t>“</w:t>
      </w:r>
      <w:proofErr w:type="spellStart"/>
      <w:r>
        <w:rPr>
          <w:rFonts w:eastAsiaTheme="minorEastAsia" w:hint="eastAsia"/>
          <w:lang w:eastAsia="zh-CN"/>
        </w:rPr>
        <w:t>Suntech</w:t>
      </w:r>
      <w:proofErr w:type="spellEnd"/>
      <w:r>
        <w:rPr>
          <w:rFonts w:eastAsiaTheme="minorEastAsia" w:hint="eastAsia"/>
          <w:lang w:eastAsia="zh-CN"/>
        </w:rPr>
        <w:t>: Between Life and Death</w:t>
      </w:r>
      <w:r>
        <w:rPr>
          <w:rFonts w:eastAsiaTheme="minorEastAsia"/>
          <w:lang w:eastAsia="zh-CN"/>
        </w:rPr>
        <w:t>”</w:t>
      </w:r>
      <w:r>
        <w:rPr>
          <w:rFonts w:eastAsiaTheme="minorEastAsia" w:hint="eastAsia"/>
          <w:lang w:eastAsia="zh-CN"/>
        </w:rPr>
        <w:t xml:space="preserve"> </w:t>
      </w:r>
      <w:r>
        <w:rPr>
          <w:rFonts w:eastAsiaTheme="minorEastAsia"/>
          <w:lang w:eastAsia="zh-CN"/>
        </w:rPr>
        <w:t xml:space="preserve">[in Chinese], </w:t>
      </w:r>
      <w:r w:rsidRPr="00DF4E22">
        <w:rPr>
          <w:rFonts w:eastAsiaTheme="minorEastAsia" w:hint="eastAsia"/>
          <w:i/>
          <w:lang w:eastAsia="zh-CN"/>
        </w:rPr>
        <w:t>capitalweek.com.cn</w:t>
      </w:r>
      <w:r>
        <w:rPr>
          <w:rFonts w:eastAsiaTheme="minorEastAsia" w:hint="eastAsia"/>
          <w:lang w:eastAsia="zh-CN"/>
        </w:rPr>
        <w:t xml:space="preserve">, December 10, 2012, accessed June 12, 2017, </w:t>
      </w:r>
      <w:r w:rsidRPr="00DF4E22">
        <w:rPr>
          <w:rFonts w:eastAsiaTheme="minorEastAsia"/>
          <w:lang w:eastAsia="zh-CN"/>
        </w:rPr>
        <w:t>www.capitalweek.com.cn/2012-12-10/1331190989.html</w:t>
      </w:r>
      <w:r>
        <w:rPr>
          <w:rFonts w:eastAsiaTheme="minorEastAsia" w:hint="eastAsia"/>
          <w:lang w:eastAsia="zh-CN"/>
        </w:rPr>
        <w:t>.</w:t>
      </w:r>
    </w:p>
  </w:endnote>
  <w:endnote w:id="29">
    <w:p w14:paraId="3D5C71C7" w14:textId="092DF250" w:rsidR="00F07E0C" w:rsidRPr="0068116F" w:rsidRDefault="00F07E0C" w:rsidP="00E455F1">
      <w:pPr>
        <w:pStyle w:val="Footnote"/>
      </w:pPr>
      <w:r w:rsidRPr="0068116F">
        <w:rPr>
          <w:rStyle w:val="EndnoteReference"/>
        </w:rPr>
        <w:endnoteRef/>
      </w:r>
      <w:r w:rsidRPr="0068116F">
        <w:t xml:space="preserve"> Li Xiang, “Shi </w:t>
      </w:r>
      <w:proofErr w:type="spellStart"/>
      <w:r w:rsidRPr="0068116F">
        <w:t>Zhengrong</w:t>
      </w:r>
      <w:proofErr w:type="spellEnd"/>
      <w:r w:rsidRPr="0068116F">
        <w:t xml:space="preserve"> Speaks” </w:t>
      </w:r>
      <w:r>
        <w:t xml:space="preserve">[in Chinese], </w:t>
      </w:r>
      <w:r w:rsidRPr="00BB4DD8">
        <w:rPr>
          <w:i/>
        </w:rPr>
        <w:t>The Economic Observer</w:t>
      </w:r>
      <w:r w:rsidRPr="0068116F">
        <w:t>, January 9, 2012</w:t>
      </w:r>
      <w:r>
        <w:rPr>
          <w:rFonts w:eastAsiaTheme="minorEastAsia" w:hint="eastAsia"/>
          <w:lang w:eastAsia="zh-CN"/>
        </w:rPr>
        <w:t xml:space="preserve">, accessed June 12, 2017, </w:t>
      </w:r>
      <w:r w:rsidRPr="00AC51CE">
        <w:rPr>
          <w:rFonts w:eastAsiaTheme="minorEastAsia"/>
          <w:lang w:eastAsia="zh-CN"/>
        </w:rPr>
        <w:t>www.eeo.com.cn/2012/0106/219273.shtml</w:t>
      </w:r>
      <w:r>
        <w:rPr>
          <w:rFonts w:eastAsiaTheme="minorEastAsia" w:hint="eastAsia"/>
          <w:lang w:eastAsia="zh-CN"/>
        </w:rPr>
        <w:t>.</w:t>
      </w:r>
    </w:p>
  </w:endnote>
  <w:endnote w:id="30">
    <w:p w14:paraId="1E85B46A" w14:textId="392BE503" w:rsidR="00F07E0C" w:rsidRPr="0068116F" w:rsidRDefault="00F07E0C" w:rsidP="00E455F1">
      <w:pPr>
        <w:pStyle w:val="Footnote"/>
      </w:pPr>
      <w:r w:rsidRPr="0068116F">
        <w:rPr>
          <w:rStyle w:val="EndnoteReference"/>
        </w:rPr>
        <w:endnoteRef/>
      </w:r>
      <w:r w:rsidRPr="0068116F">
        <w:t xml:space="preserve"> </w:t>
      </w:r>
      <w:r>
        <w:rPr>
          <w:rFonts w:eastAsiaTheme="minorEastAsia" w:hint="eastAsia"/>
          <w:lang w:eastAsia="zh-CN"/>
        </w:rPr>
        <w:t>Guo, op.</w:t>
      </w:r>
      <w:r>
        <w:rPr>
          <w:rFonts w:eastAsiaTheme="minorEastAsia"/>
          <w:lang w:eastAsia="zh-CN"/>
        </w:rPr>
        <w:t xml:space="preserve"> </w:t>
      </w:r>
      <w:r>
        <w:rPr>
          <w:rFonts w:eastAsiaTheme="minorEastAsia" w:hint="eastAsia"/>
          <w:lang w:eastAsia="zh-CN"/>
        </w:rPr>
        <w:t>cit.</w:t>
      </w:r>
    </w:p>
  </w:endnote>
  <w:endnote w:id="31">
    <w:p w14:paraId="0A67072D" w14:textId="489BE4A3" w:rsidR="00F07E0C" w:rsidRPr="0068116F" w:rsidRDefault="00F07E0C" w:rsidP="00E455F1">
      <w:pPr>
        <w:pStyle w:val="Footnote"/>
      </w:pPr>
      <w:r w:rsidRPr="0068116F">
        <w:rPr>
          <w:rStyle w:val="EndnoteReference"/>
        </w:rPr>
        <w:endnoteRef/>
      </w:r>
      <w:r>
        <w:t xml:space="preserve"> Ibid</w:t>
      </w:r>
      <w:r w:rsidRPr="0068116F">
        <w:t>.</w:t>
      </w:r>
    </w:p>
  </w:endnote>
  <w:endnote w:id="32">
    <w:p w14:paraId="2D8AF375" w14:textId="3553BFF7" w:rsidR="00F07E0C" w:rsidRPr="006319C4" w:rsidRDefault="00F07E0C" w:rsidP="00E455F1">
      <w:pPr>
        <w:pStyle w:val="Footnote"/>
      </w:pPr>
      <w:r w:rsidRPr="004F349E">
        <w:rPr>
          <w:rStyle w:val="EndnoteReference"/>
          <w:spacing w:val="-6"/>
          <w:kern w:val="17"/>
        </w:rPr>
        <w:endnoteRef/>
      </w:r>
      <w:r w:rsidRPr="004F349E">
        <w:rPr>
          <w:spacing w:val="-6"/>
          <w:kern w:val="17"/>
        </w:rPr>
        <w:t xml:space="preserve"> </w:t>
      </w:r>
      <w:r w:rsidRPr="006319C4">
        <w:t>Ibid.</w:t>
      </w:r>
    </w:p>
    <w:p w14:paraId="46AAAC7D" w14:textId="33B91DFA" w:rsidR="00F07E0C" w:rsidRPr="0068116F" w:rsidRDefault="00F07E0C" w:rsidP="00E455F1">
      <w:pPr>
        <w:pStyle w:val="Footnote"/>
      </w:pPr>
      <w:r w:rsidRPr="0068116F">
        <w:rPr>
          <w:rStyle w:val="EndnoteReference"/>
        </w:rPr>
        <w:endnoteRef/>
      </w:r>
      <w:r>
        <w:t xml:space="preserve"> “</w:t>
      </w:r>
      <w:r w:rsidRPr="0068116F">
        <w:t xml:space="preserve">2006 </w:t>
      </w:r>
      <w:r>
        <w:t>‘</w:t>
      </w:r>
      <w:r w:rsidRPr="0068116F">
        <w:t>New Fortune</w:t>
      </w:r>
      <w:r>
        <w:t xml:space="preserve">,’” op. cit. </w:t>
      </w:r>
    </w:p>
  </w:endnote>
  <w:endnote w:id="33">
    <w:p w14:paraId="06827557" w14:textId="68F8461D" w:rsidR="00F07E0C" w:rsidRPr="0034070A" w:rsidRDefault="00F07E0C" w:rsidP="00436D93">
      <w:pPr>
        <w:pStyle w:val="Footnote"/>
        <w:rPr>
          <w:rFonts w:eastAsiaTheme="minorEastAsia"/>
          <w:lang w:eastAsia="zh-CN"/>
        </w:rPr>
      </w:pPr>
      <w:r w:rsidRPr="0068116F">
        <w:rPr>
          <w:rStyle w:val="EndnoteReference"/>
        </w:rPr>
        <w:endnoteRef/>
      </w:r>
      <w:r w:rsidRPr="0068116F">
        <w:t xml:space="preserve"> Wang </w:t>
      </w:r>
      <w:proofErr w:type="spellStart"/>
      <w:r w:rsidRPr="0068116F">
        <w:t>Siyuan</w:t>
      </w:r>
      <w:proofErr w:type="spellEnd"/>
      <w:r w:rsidRPr="0068116F">
        <w:t>,</w:t>
      </w:r>
      <w:r>
        <w:rPr>
          <w:rFonts w:eastAsiaTheme="minorEastAsia" w:hint="eastAsia"/>
          <w:lang w:eastAsia="zh-CN"/>
        </w:rPr>
        <w:t xml:space="preserve"> </w:t>
      </w:r>
      <w:r>
        <w:rPr>
          <w:rFonts w:eastAsiaTheme="minorEastAsia"/>
          <w:lang w:eastAsia="zh-CN"/>
        </w:rPr>
        <w:t xml:space="preserve">“Shi </w:t>
      </w:r>
      <w:proofErr w:type="spellStart"/>
      <w:r>
        <w:rPr>
          <w:rFonts w:eastAsiaTheme="minorEastAsia"/>
          <w:lang w:eastAsia="zh-CN"/>
        </w:rPr>
        <w:t>Zhengrong</w:t>
      </w:r>
      <w:proofErr w:type="spellEnd"/>
      <w:r>
        <w:rPr>
          <w:rFonts w:eastAsiaTheme="minorEastAsia"/>
          <w:lang w:eastAsia="zh-CN"/>
        </w:rPr>
        <w:t xml:space="preserve"> Fall” [in Chinese], Global Entrepreneur, March 21, 2013, accessed September 18, 2015, </w:t>
      </w:r>
      <w:r w:rsidRPr="005B292C">
        <w:t>http://businessleaders.com.cn/8/31678_1.html</w:t>
      </w:r>
      <w:r>
        <w:t>.</w:t>
      </w:r>
    </w:p>
  </w:endnote>
  <w:endnote w:id="34">
    <w:p w14:paraId="1CA82136" w14:textId="3D0FD4F0" w:rsidR="00F07E0C" w:rsidRPr="0068116F" w:rsidRDefault="00F07E0C" w:rsidP="00E455F1">
      <w:pPr>
        <w:pStyle w:val="Footnote"/>
      </w:pPr>
      <w:r w:rsidRPr="0068116F">
        <w:rPr>
          <w:rStyle w:val="EndnoteReference"/>
        </w:rPr>
        <w:endnoteRef/>
      </w:r>
      <w:r w:rsidRPr="0068116F">
        <w:t xml:space="preserve"> </w:t>
      </w:r>
      <w:r>
        <w:rPr>
          <w:rFonts w:eastAsiaTheme="minorEastAsia" w:hint="eastAsia"/>
          <w:lang w:eastAsia="zh-CN"/>
        </w:rPr>
        <w:t>Guo, op.</w:t>
      </w:r>
      <w:r>
        <w:rPr>
          <w:rFonts w:eastAsiaTheme="minorEastAsia"/>
          <w:lang w:eastAsia="zh-CN"/>
        </w:rPr>
        <w:t xml:space="preserve"> </w:t>
      </w:r>
      <w:r>
        <w:rPr>
          <w:rFonts w:eastAsiaTheme="minorEastAsia" w:hint="eastAsia"/>
          <w:lang w:eastAsia="zh-CN"/>
        </w:rPr>
        <w:t>cit.</w:t>
      </w:r>
    </w:p>
  </w:endnote>
  <w:endnote w:id="35">
    <w:p w14:paraId="790EDA5F" w14:textId="1906C7E2" w:rsidR="00F07E0C" w:rsidRPr="00694545" w:rsidRDefault="00F07E0C" w:rsidP="00E455F1">
      <w:pPr>
        <w:pStyle w:val="Footnote"/>
        <w:rPr>
          <w:i/>
        </w:rPr>
      </w:pPr>
      <w:r w:rsidRPr="0068116F">
        <w:rPr>
          <w:rStyle w:val="EndnoteReference"/>
        </w:rPr>
        <w:endnoteRef/>
      </w:r>
      <w:r w:rsidRPr="0068116F">
        <w:t xml:space="preserve"> Wang</w:t>
      </w:r>
      <w:r>
        <w:t>, op. cit</w:t>
      </w:r>
      <w:r w:rsidRPr="00694545">
        <w:rPr>
          <w:i/>
        </w:rPr>
        <w:t>.</w:t>
      </w:r>
    </w:p>
  </w:endnote>
  <w:endnote w:id="36">
    <w:p w14:paraId="70541548" w14:textId="17A6A925" w:rsidR="00F07E0C" w:rsidRPr="0068116F" w:rsidRDefault="00F07E0C" w:rsidP="00E455F1">
      <w:pPr>
        <w:pStyle w:val="Footnote"/>
      </w:pPr>
      <w:r w:rsidRPr="0068116F">
        <w:rPr>
          <w:rStyle w:val="EndnoteReference"/>
        </w:rPr>
        <w:endnoteRef/>
      </w:r>
      <w:r w:rsidRPr="0068116F">
        <w:t xml:space="preserve"> “News Background: </w:t>
      </w:r>
      <w:r>
        <w:t xml:space="preserve">European Governments Bailout Measures at a Glance” [in Chinese], </w:t>
      </w:r>
      <w:r w:rsidRPr="004F349E">
        <w:rPr>
          <w:i/>
        </w:rPr>
        <w:t>WWW.News.CN: Xinhua Finance</w:t>
      </w:r>
      <w:r>
        <w:rPr>
          <w:i/>
        </w:rPr>
        <w:t xml:space="preserve">, </w:t>
      </w:r>
      <w:r w:rsidRPr="0068116F">
        <w:t>Oct</w:t>
      </w:r>
      <w:r>
        <w:t xml:space="preserve">ober </w:t>
      </w:r>
      <w:r w:rsidRPr="0068116F">
        <w:t>14</w:t>
      </w:r>
      <w:r>
        <w:t>, 2008, a</w:t>
      </w:r>
      <w:r w:rsidRPr="0068116F">
        <w:t>ccessed June 18</w:t>
      </w:r>
      <w:r>
        <w:t>,</w:t>
      </w:r>
      <w:r w:rsidRPr="0068116F">
        <w:t xml:space="preserve"> 2014</w:t>
      </w:r>
      <w:r>
        <w:t xml:space="preserve">, </w:t>
      </w:r>
      <w:r w:rsidRPr="0068116F">
        <w:t>http://news.xinhuanet.com/fortune/2008-10</w:t>
      </w:r>
      <w:r>
        <w:t>/14/content_10192013.htm.</w:t>
      </w:r>
    </w:p>
  </w:endnote>
  <w:endnote w:id="37">
    <w:p w14:paraId="64C16C1B" w14:textId="2ABA055A" w:rsidR="00F07E0C" w:rsidRPr="0068116F" w:rsidRDefault="00F07E0C" w:rsidP="00E455F1">
      <w:pPr>
        <w:pStyle w:val="Footnote"/>
      </w:pPr>
      <w:r w:rsidRPr="0068116F">
        <w:rPr>
          <w:rStyle w:val="EndnoteReference"/>
        </w:rPr>
        <w:endnoteRef/>
      </w:r>
      <w:r w:rsidRPr="0068116F">
        <w:t xml:space="preserve"> “Wuxi </w:t>
      </w:r>
      <w:proofErr w:type="spellStart"/>
      <w:r w:rsidRPr="0068116F">
        <w:t>Suntech</w:t>
      </w:r>
      <w:proofErr w:type="spellEnd"/>
      <w:r w:rsidRPr="0068116F">
        <w:t xml:space="preserve"> Shi </w:t>
      </w:r>
      <w:proofErr w:type="spellStart"/>
      <w:r w:rsidRPr="0068116F">
        <w:t>Zhengrong</w:t>
      </w:r>
      <w:proofErr w:type="spellEnd"/>
      <w:r w:rsidRPr="0068116F">
        <w:t xml:space="preserve">: </w:t>
      </w:r>
      <w:r>
        <w:t>T</w:t>
      </w:r>
      <w:r w:rsidRPr="0068116F">
        <w:t xml:space="preserve">he So-Called </w:t>
      </w:r>
      <w:r>
        <w:t xml:space="preserve">Solar Energy Surplus is Only Partial” [in Chinese], </w:t>
      </w:r>
      <w:proofErr w:type="spellStart"/>
      <w:r w:rsidRPr="00694545">
        <w:rPr>
          <w:i/>
        </w:rPr>
        <w:t>OFweek</w:t>
      </w:r>
      <w:proofErr w:type="spellEnd"/>
      <w:r>
        <w:rPr>
          <w:i/>
        </w:rPr>
        <w:t>: Solar.ofweek.com</w:t>
      </w:r>
      <w:r w:rsidRPr="0068116F">
        <w:t>, November 25, 2009, accessed September 1, 2014</w:t>
      </w:r>
      <w:r>
        <w:t xml:space="preserve">, </w:t>
      </w:r>
      <w:r w:rsidRPr="0068116F">
        <w:t xml:space="preserve">http://solar.ofweek.com/2009-11/ART-260005-8110-28419792.html. </w:t>
      </w:r>
    </w:p>
  </w:endnote>
  <w:endnote w:id="38">
    <w:p w14:paraId="6B5D38E0" w14:textId="3D6C0AFD" w:rsidR="00F07E0C" w:rsidRPr="0068116F" w:rsidRDefault="00F07E0C" w:rsidP="00E455F1">
      <w:pPr>
        <w:pStyle w:val="Footnote"/>
      </w:pPr>
      <w:r w:rsidRPr="0068116F">
        <w:rPr>
          <w:rStyle w:val="EndnoteReference"/>
        </w:rPr>
        <w:endnoteRef/>
      </w:r>
      <w:r w:rsidRPr="0068116F">
        <w:t xml:space="preserve"> “</w:t>
      </w:r>
      <w:r>
        <w:t xml:space="preserve">Solar Production </w:t>
      </w:r>
      <w:r w:rsidRPr="0068116F">
        <w:t>Expansions Cause Manufacturing Capacity to Surge 56</w:t>
      </w:r>
      <w:r>
        <w:t>%</w:t>
      </w:r>
      <w:r w:rsidRPr="0068116F">
        <w:t xml:space="preserve"> in 2009</w:t>
      </w:r>
      <w:r>
        <w:t>,”</w:t>
      </w:r>
      <w:r w:rsidRPr="0068116F">
        <w:t xml:space="preserve"> </w:t>
      </w:r>
      <w:r>
        <w:t xml:space="preserve">Renewable Energy World, </w:t>
      </w:r>
      <w:r w:rsidRPr="0068116F">
        <w:t xml:space="preserve">August </w:t>
      </w:r>
      <w:r>
        <w:t>14</w:t>
      </w:r>
      <w:r w:rsidRPr="0068116F">
        <w:t>, 2009</w:t>
      </w:r>
      <w:r>
        <w:t>, accessed</w:t>
      </w:r>
      <w:r>
        <w:rPr>
          <w:rFonts w:eastAsiaTheme="minorEastAsia" w:hint="eastAsia"/>
          <w:lang w:eastAsia="zh-CN"/>
        </w:rPr>
        <w:t xml:space="preserve"> June 12, 2017</w:t>
      </w:r>
      <w:r>
        <w:t xml:space="preserve">, </w:t>
      </w:r>
      <w:r w:rsidRPr="004224E1">
        <w:t>www.renewableenergyworld.com/articles/2009/08/solar-production-expansions-cause-manufacturing-capacity-to-surge-56-in-2009.html</w:t>
      </w:r>
      <w:r w:rsidRPr="0068116F">
        <w:t>.</w:t>
      </w:r>
    </w:p>
  </w:endnote>
  <w:endnote w:id="39">
    <w:p w14:paraId="725BC6E2" w14:textId="74EE55B6" w:rsidR="00F07E0C" w:rsidRPr="0068116F" w:rsidRDefault="00F07E0C" w:rsidP="00E455F1">
      <w:pPr>
        <w:pStyle w:val="Footnote"/>
      </w:pPr>
      <w:r w:rsidRPr="0068116F">
        <w:rPr>
          <w:rStyle w:val="EndnoteReference"/>
        </w:rPr>
        <w:endnoteRef/>
      </w:r>
      <w:r w:rsidRPr="0068116F">
        <w:t xml:space="preserve"> </w:t>
      </w:r>
      <w:proofErr w:type="spellStart"/>
      <w:r w:rsidRPr="0068116F">
        <w:t>Rietech</w:t>
      </w:r>
      <w:proofErr w:type="spellEnd"/>
      <w:r w:rsidRPr="0068116F">
        <w:t xml:space="preserve"> Solar was a spin-off from Glory Silicon</w:t>
      </w:r>
      <w:r>
        <w:t>,</w:t>
      </w:r>
      <w:r w:rsidRPr="0068116F">
        <w:t xml:space="preserve"> reportedly founded in 2006 and ultimately controlled by Shi </w:t>
      </w:r>
      <w:proofErr w:type="spellStart"/>
      <w:r w:rsidRPr="0068116F">
        <w:t>Zhengrong</w:t>
      </w:r>
      <w:proofErr w:type="spellEnd"/>
      <w:r w:rsidRPr="0068116F">
        <w:t xml:space="preserve"> and his wife.</w:t>
      </w:r>
    </w:p>
  </w:endnote>
  <w:endnote w:id="40">
    <w:p w14:paraId="45E9C051" w14:textId="765B2418" w:rsidR="00F07E0C" w:rsidRPr="0068116F" w:rsidRDefault="00F07E0C" w:rsidP="00E455F1">
      <w:pPr>
        <w:pStyle w:val="Footnote"/>
      </w:pPr>
      <w:r w:rsidRPr="0068116F">
        <w:rPr>
          <w:rStyle w:val="EndnoteReference"/>
        </w:rPr>
        <w:endnoteRef/>
      </w:r>
      <w:r w:rsidRPr="0068116F">
        <w:t xml:space="preserve"> </w:t>
      </w:r>
      <w:proofErr w:type="spellStart"/>
      <w:r w:rsidRPr="0068116F">
        <w:t>Hao</w:t>
      </w:r>
      <w:proofErr w:type="spellEnd"/>
      <w:r w:rsidRPr="0068116F">
        <w:t xml:space="preserve"> </w:t>
      </w:r>
      <w:proofErr w:type="spellStart"/>
      <w:r w:rsidRPr="0068116F">
        <w:t>Fengling</w:t>
      </w:r>
      <w:proofErr w:type="spellEnd"/>
      <w:r w:rsidRPr="0068116F">
        <w:t>, “</w:t>
      </w:r>
      <w:proofErr w:type="spellStart"/>
      <w:r w:rsidRPr="0068116F">
        <w:t>Suntech</w:t>
      </w:r>
      <w:proofErr w:type="spellEnd"/>
      <w:r>
        <w:t xml:space="preserve">” [in Chinese], </w:t>
      </w:r>
      <w:r w:rsidRPr="005B292C">
        <w:t>Hexun.com: 21 Century Business Review</w:t>
      </w:r>
      <w:r w:rsidRPr="0068116F">
        <w:t>, December 5, 2012, accessed September 1, 2014</w:t>
      </w:r>
      <w:r>
        <w:t xml:space="preserve">, </w:t>
      </w:r>
      <w:r w:rsidRPr="0068116F">
        <w:t xml:space="preserve">http://stock.hexun.com/2012-12-05/148704346.html. </w:t>
      </w:r>
    </w:p>
  </w:endnote>
  <w:endnote w:id="41">
    <w:p w14:paraId="3383B2C7" w14:textId="65CE646E" w:rsidR="00F07E0C" w:rsidRPr="009B51C7" w:rsidRDefault="00F07E0C" w:rsidP="00E455F1">
      <w:pPr>
        <w:pStyle w:val="Footnote"/>
        <w:rPr>
          <w:rFonts w:eastAsiaTheme="minorEastAsia"/>
          <w:lang w:eastAsia="zh-CN"/>
        </w:rPr>
      </w:pPr>
      <w:r w:rsidRPr="0068116F">
        <w:rPr>
          <w:rStyle w:val="EndnoteReference"/>
        </w:rPr>
        <w:endnoteRef/>
      </w:r>
      <w:r w:rsidRPr="0068116F">
        <w:t xml:space="preserve"> </w:t>
      </w:r>
      <w:r>
        <w:t xml:space="preserve">Ibid. </w:t>
      </w:r>
    </w:p>
  </w:endnote>
  <w:endnote w:id="42">
    <w:p w14:paraId="5E6E3D7B" w14:textId="2184AC06" w:rsidR="00F07E0C" w:rsidRPr="007C441D" w:rsidRDefault="00F07E0C" w:rsidP="00E455F1">
      <w:pPr>
        <w:pStyle w:val="Footnote"/>
        <w:rPr>
          <w:rFonts w:eastAsiaTheme="minorEastAsia"/>
          <w:lang w:eastAsia="zh-CN"/>
        </w:rPr>
      </w:pPr>
      <w:r w:rsidRPr="0068116F">
        <w:rPr>
          <w:rStyle w:val="EndnoteReference"/>
        </w:rPr>
        <w:endnoteRef/>
      </w:r>
      <w:r w:rsidRPr="0068116F">
        <w:t xml:space="preserve"> Wang </w:t>
      </w:r>
      <w:proofErr w:type="spellStart"/>
      <w:r w:rsidRPr="0068116F">
        <w:t>Fangjie</w:t>
      </w:r>
      <w:proofErr w:type="spellEnd"/>
      <w:r w:rsidRPr="0068116F">
        <w:t>, “</w:t>
      </w:r>
      <w:r>
        <w:t xml:space="preserve">Life </w:t>
      </w:r>
      <w:r w:rsidRPr="0068116F">
        <w:t>and Death</w:t>
      </w:r>
      <w:r>
        <w:t xml:space="preserve"> </w:t>
      </w:r>
      <w:proofErr w:type="spellStart"/>
      <w:r>
        <w:t>Suntech</w:t>
      </w:r>
      <w:proofErr w:type="spellEnd"/>
      <w:r w:rsidRPr="0068116F">
        <w:t xml:space="preserve">” </w:t>
      </w:r>
      <w:r>
        <w:t xml:space="preserve">[in Chinese], </w:t>
      </w:r>
      <w:r w:rsidRPr="005B292C">
        <w:t>Securities Market Weekly</w:t>
      </w:r>
      <w:r w:rsidRPr="0068116F">
        <w:t>, December 10, 2012, accessed September 18, 2015</w:t>
      </w:r>
      <w:r>
        <w:t xml:space="preserve">, </w:t>
      </w:r>
      <w:r w:rsidRPr="00A62603">
        <w:t>www.capitalweek.com.cn/2012-12-10/1331190989.html</w:t>
      </w:r>
      <w:r w:rsidRPr="0068116F">
        <w:t xml:space="preserve">. </w:t>
      </w:r>
    </w:p>
  </w:endnote>
  <w:endnote w:id="43">
    <w:p w14:paraId="46397292" w14:textId="3B63BE4F" w:rsidR="00F07E0C" w:rsidRPr="0068116F" w:rsidRDefault="00F07E0C" w:rsidP="00E455F1">
      <w:pPr>
        <w:pStyle w:val="Footnote"/>
      </w:pPr>
      <w:r w:rsidRPr="0068116F">
        <w:rPr>
          <w:rStyle w:val="EndnoteReference"/>
        </w:rPr>
        <w:endnoteRef/>
      </w:r>
      <w:r>
        <w:t xml:space="preserve"> “</w:t>
      </w:r>
      <w:proofErr w:type="spellStart"/>
      <w:r w:rsidRPr="0068116F">
        <w:t>Suntech</w:t>
      </w:r>
      <w:proofErr w:type="spellEnd"/>
      <w:r w:rsidRPr="0068116F">
        <w:t xml:space="preserve"> Reports First Quarter 2009 Financial Results</w:t>
      </w:r>
      <w:r>
        <w:t>,”</w:t>
      </w:r>
      <w:r w:rsidRPr="0068116F">
        <w:t xml:space="preserve"> </w:t>
      </w:r>
      <w:r w:rsidRPr="005B292C">
        <w:t>PR Newswire</w:t>
      </w:r>
      <w:r w:rsidRPr="0068116F">
        <w:rPr>
          <w:u w:val="single"/>
        </w:rPr>
        <w:t>,</w:t>
      </w:r>
      <w:r w:rsidRPr="0068116F">
        <w:t xml:space="preserve"> May 21 2009</w:t>
      </w:r>
      <w:r>
        <w:t>, accessed</w:t>
      </w:r>
      <w:r>
        <w:rPr>
          <w:rFonts w:eastAsiaTheme="minorEastAsia" w:hint="eastAsia"/>
          <w:lang w:eastAsia="zh-CN"/>
        </w:rPr>
        <w:t xml:space="preserve"> June 12, 2017,</w:t>
      </w:r>
      <w:r>
        <w:rPr>
          <w:rFonts w:eastAsiaTheme="minorEastAsia"/>
          <w:lang w:eastAsia="zh-CN"/>
        </w:rPr>
        <w:t xml:space="preserve"> </w:t>
      </w:r>
      <w:r w:rsidRPr="00E67248">
        <w:t>http://www.prnewswire.com/news-releases/suntech-reports-first-quarter-2009-financial-results-61937082.html</w:t>
      </w:r>
      <w:r w:rsidRPr="0068116F">
        <w:t>.</w:t>
      </w:r>
    </w:p>
  </w:endnote>
  <w:endnote w:id="44">
    <w:p w14:paraId="69CF70D7" w14:textId="3A1E2092" w:rsidR="00F07E0C" w:rsidRPr="00EF3563" w:rsidRDefault="00F07E0C">
      <w:pPr>
        <w:pStyle w:val="EndnoteText"/>
      </w:pPr>
      <w:r>
        <w:rPr>
          <w:rStyle w:val="EndnoteReference"/>
        </w:rPr>
        <w:endnoteRef/>
      </w:r>
      <w:r>
        <w:t xml:space="preserve"> </w:t>
      </w:r>
      <w:r w:rsidRPr="00E72D9C">
        <w:rPr>
          <w:rFonts w:ascii="Arial" w:hAnsi="Arial" w:cs="Arial"/>
          <w:sz w:val="17"/>
          <w:szCs w:val="17"/>
        </w:rPr>
        <w:t>€</w:t>
      </w:r>
      <w:r>
        <w:rPr>
          <w:rFonts w:ascii="Arial" w:hAnsi="Arial" w:cs="Arial"/>
          <w:sz w:val="17"/>
          <w:szCs w:val="17"/>
        </w:rPr>
        <w:t xml:space="preserve"> = EUR = European member countries euro; US$1.00 = </w:t>
      </w:r>
      <w:r w:rsidRPr="00E72D9C">
        <w:rPr>
          <w:rFonts w:ascii="Arial" w:hAnsi="Arial" w:cs="Arial"/>
          <w:sz w:val="17"/>
          <w:szCs w:val="17"/>
        </w:rPr>
        <w:t>€</w:t>
      </w:r>
      <w:r>
        <w:rPr>
          <w:rFonts w:ascii="Arial" w:eastAsiaTheme="minorEastAsia" w:hAnsi="Arial" w:cs="Arial" w:hint="eastAsia"/>
          <w:sz w:val="17"/>
          <w:szCs w:val="17"/>
          <w:lang w:eastAsia="zh-CN"/>
        </w:rPr>
        <w:t>0.6435</w:t>
      </w:r>
      <w:r>
        <w:rPr>
          <w:rFonts w:ascii="Arial" w:hAnsi="Arial" w:cs="Arial"/>
          <w:sz w:val="17"/>
          <w:szCs w:val="17"/>
        </w:rPr>
        <w:t xml:space="preserve"> </w:t>
      </w:r>
      <w:r>
        <w:rPr>
          <w:rFonts w:ascii="Arial" w:eastAsiaTheme="minorEastAsia" w:hAnsi="Arial" w:cs="Arial" w:hint="eastAsia"/>
          <w:sz w:val="17"/>
          <w:szCs w:val="17"/>
          <w:lang w:eastAsia="zh-CN"/>
        </w:rPr>
        <w:t>in 2008</w:t>
      </w:r>
      <w:r>
        <w:rPr>
          <w:rFonts w:ascii="Arial" w:hAnsi="Arial" w:cs="Arial"/>
          <w:sz w:val="17"/>
          <w:szCs w:val="17"/>
        </w:rPr>
        <w:t>.</w:t>
      </w:r>
    </w:p>
  </w:endnote>
  <w:endnote w:id="45">
    <w:p w14:paraId="24ED318B" w14:textId="4AF032E2" w:rsidR="00F07E0C" w:rsidRPr="00A43E95" w:rsidRDefault="00F07E0C" w:rsidP="00E455F1">
      <w:pPr>
        <w:pStyle w:val="Footnote"/>
      </w:pPr>
      <w:r w:rsidRPr="00A43E95">
        <w:rPr>
          <w:rStyle w:val="EndnoteReference"/>
        </w:rPr>
        <w:endnoteRef/>
      </w:r>
      <w:r w:rsidRPr="00A43E95">
        <w:t xml:space="preserve"> </w:t>
      </w:r>
      <w:r>
        <w:rPr>
          <w:rFonts w:eastAsiaTheme="minorEastAsia"/>
          <w:lang w:eastAsia="zh-CN"/>
        </w:rPr>
        <w:t>“</w:t>
      </w:r>
      <w:proofErr w:type="spellStart"/>
      <w:r>
        <w:rPr>
          <w:rFonts w:eastAsiaTheme="minorEastAsia" w:hint="eastAsia"/>
          <w:lang w:eastAsia="zh-CN"/>
        </w:rPr>
        <w:t>Suntech</w:t>
      </w:r>
      <w:r>
        <w:rPr>
          <w:rFonts w:eastAsiaTheme="minorEastAsia"/>
          <w:lang w:eastAsia="zh-CN"/>
        </w:rPr>
        <w:t>’</w:t>
      </w:r>
      <w:r>
        <w:rPr>
          <w:rFonts w:eastAsiaTheme="minorEastAsia" w:hint="eastAsia"/>
          <w:lang w:eastAsia="zh-CN"/>
        </w:rPr>
        <w:t>s</w:t>
      </w:r>
      <w:proofErr w:type="spellEnd"/>
      <w:r>
        <w:rPr>
          <w:rFonts w:eastAsiaTheme="minorEastAsia" w:hint="eastAsia"/>
          <w:lang w:eastAsia="zh-CN"/>
        </w:rPr>
        <w:t xml:space="preserve"> Overseas Fund Shows Suspected to be Fraudulent,</w:t>
      </w:r>
      <w:r>
        <w:rPr>
          <w:rFonts w:eastAsiaTheme="minorEastAsia"/>
          <w:lang w:eastAsia="zh-CN"/>
        </w:rPr>
        <w:t>”</w:t>
      </w:r>
      <w:r>
        <w:rPr>
          <w:rFonts w:eastAsiaTheme="minorEastAsia" w:hint="eastAsia"/>
          <w:lang w:eastAsia="zh-CN"/>
        </w:rPr>
        <w:t xml:space="preserve"> finance.sina.com, July 31, 2012, accessed June 12, 2017, </w:t>
      </w:r>
      <w:r w:rsidRPr="0095185A">
        <w:rPr>
          <w:rFonts w:eastAsiaTheme="minorEastAsia"/>
          <w:lang w:eastAsia="zh-CN"/>
        </w:rPr>
        <w:t>http://finance.sina.com.cn/roll/20120731/003412715254.shtml</w:t>
      </w:r>
      <w:r>
        <w:rPr>
          <w:rFonts w:eastAsiaTheme="minorEastAsia" w:hint="eastAsia"/>
          <w:lang w:eastAsia="zh-CN"/>
        </w:rPr>
        <w:t>.</w:t>
      </w:r>
    </w:p>
  </w:endnote>
  <w:endnote w:id="46">
    <w:p w14:paraId="3A92678E" w14:textId="5F6271E2" w:rsidR="00F07E0C" w:rsidRPr="00A43E95" w:rsidRDefault="00F07E0C" w:rsidP="00E455F1">
      <w:pPr>
        <w:pStyle w:val="Footnote"/>
      </w:pPr>
      <w:r w:rsidRPr="00A43E95">
        <w:rPr>
          <w:rStyle w:val="EndnoteReference"/>
        </w:rPr>
        <w:endnoteRef/>
      </w:r>
      <w:r w:rsidRPr="00A43E95">
        <w:t xml:space="preserve"> </w:t>
      </w:r>
      <w:r w:rsidRPr="008F3A57">
        <w:t>Paul Smith, “</w:t>
      </w:r>
      <w:proofErr w:type="spellStart"/>
      <w:r w:rsidRPr="008F3A57">
        <w:t>Suntech’s</w:t>
      </w:r>
      <w:proofErr w:type="spellEnd"/>
      <w:r w:rsidRPr="008F3A57">
        <w:t xml:space="preserve"> Reality GAAP</w:t>
      </w:r>
      <w:proofErr w:type="gramStart"/>
      <w:r w:rsidRPr="008F3A57">
        <w:t>?,</w:t>
      </w:r>
      <w:proofErr w:type="gramEnd"/>
      <w:r w:rsidRPr="008F3A57">
        <w:t xml:space="preserve">” </w:t>
      </w:r>
      <w:r w:rsidRPr="008F3A57">
        <w:rPr>
          <w:i/>
        </w:rPr>
        <w:t>Project Finance and Infrastructure Finance</w:t>
      </w:r>
      <w:r w:rsidRPr="008F3A57">
        <w:t>, June 2010.</w:t>
      </w:r>
      <w:r>
        <w:t xml:space="preserve"> </w:t>
      </w:r>
      <w:r>
        <w:rPr>
          <w:rFonts w:eastAsiaTheme="minorEastAsia" w:hint="eastAsia"/>
          <w:lang w:eastAsia="zh-CN"/>
        </w:rPr>
        <w:t xml:space="preserve"> </w:t>
      </w:r>
    </w:p>
  </w:endnote>
  <w:endnote w:id="47">
    <w:p w14:paraId="1D9B860F" w14:textId="086807ED" w:rsidR="00F07E0C" w:rsidRPr="00A43E95" w:rsidRDefault="00F07E0C" w:rsidP="00E455F1">
      <w:pPr>
        <w:pStyle w:val="Footnote"/>
      </w:pPr>
      <w:r w:rsidRPr="00A43E95">
        <w:rPr>
          <w:rStyle w:val="EndnoteReference"/>
        </w:rPr>
        <w:endnoteRef/>
      </w:r>
      <w:r w:rsidRPr="00A43E95">
        <w:t xml:space="preserve"> </w:t>
      </w:r>
      <w:proofErr w:type="spellStart"/>
      <w:r>
        <w:rPr>
          <w:rFonts w:eastAsiaTheme="minorEastAsia" w:hint="eastAsia"/>
          <w:lang w:eastAsia="zh-CN"/>
        </w:rPr>
        <w:t>Suntech</w:t>
      </w:r>
      <w:proofErr w:type="spellEnd"/>
      <w:r>
        <w:rPr>
          <w:rFonts w:eastAsiaTheme="minorEastAsia" w:hint="eastAsia"/>
          <w:lang w:eastAsia="zh-CN"/>
        </w:rPr>
        <w:t xml:space="preserve"> Power Holdings Co.,</w:t>
      </w:r>
      <w:r>
        <w:rPr>
          <w:rFonts w:eastAsiaTheme="minorEastAsia"/>
          <w:lang w:eastAsia="zh-CN"/>
        </w:rPr>
        <w:t xml:space="preserve"> </w:t>
      </w:r>
      <w:r>
        <w:rPr>
          <w:rFonts w:eastAsiaTheme="minorEastAsia" w:hint="eastAsia"/>
          <w:lang w:eastAsia="zh-CN"/>
        </w:rPr>
        <w:t xml:space="preserve">Ltd., </w:t>
      </w:r>
      <w:r>
        <w:rPr>
          <w:rFonts w:eastAsiaTheme="minorEastAsia"/>
          <w:lang w:eastAsia="zh-CN"/>
        </w:rPr>
        <w:t>“</w:t>
      </w:r>
      <w:r>
        <w:rPr>
          <w:rFonts w:eastAsiaTheme="minorEastAsia" w:hint="eastAsia"/>
          <w:lang w:eastAsia="zh-CN"/>
        </w:rPr>
        <w:t>Form 20-F</w:t>
      </w:r>
      <w:r>
        <w:rPr>
          <w:rFonts w:eastAsiaTheme="minorEastAsia"/>
          <w:lang w:eastAsia="zh-CN"/>
        </w:rPr>
        <w:t>,”</w:t>
      </w:r>
      <w:r>
        <w:rPr>
          <w:rFonts w:eastAsiaTheme="minorEastAsia" w:hint="eastAsia"/>
          <w:lang w:eastAsia="zh-CN"/>
        </w:rPr>
        <w:t xml:space="preserve"> EDGAR Online, accessed June 12, 2017, </w:t>
      </w:r>
      <w:r w:rsidRPr="004F349E">
        <w:rPr>
          <w:rFonts w:eastAsiaTheme="minorEastAsia"/>
          <w:lang w:eastAsia="zh-CN"/>
        </w:rPr>
        <w:t>https://www.sec.gov/Archives/edgar/data/1342803/000095012310047699/h04216e20vf.htm</w:t>
      </w:r>
      <w:r>
        <w:rPr>
          <w:rFonts w:eastAsiaTheme="minorEastAsia" w:hint="eastAsia"/>
          <w:lang w:eastAsia="zh-CN"/>
        </w:rPr>
        <w:t xml:space="preserve">. </w:t>
      </w:r>
    </w:p>
  </w:endnote>
  <w:endnote w:id="48">
    <w:p w14:paraId="7272AE42" w14:textId="3E683BE2" w:rsidR="00F07E0C" w:rsidRPr="00A43E95" w:rsidRDefault="00F07E0C" w:rsidP="00E455F1">
      <w:pPr>
        <w:pStyle w:val="Footnote"/>
      </w:pPr>
      <w:r w:rsidRPr="00A43E95">
        <w:rPr>
          <w:rStyle w:val="EndnoteReference"/>
        </w:rPr>
        <w:endnoteRef/>
      </w:r>
      <w:r w:rsidRPr="00A43E95">
        <w:t xml:space="preserve"> “</w:t>
      </w:r>
      <w:proofErr w:type="spellStart"/>
      <w:r w:rsidRPr="00A43E95">
        <w:t>Suntech</w:t>
      </w:r>
      <w:proofErr w:type="spellEnd"/>
      <w:r w:rsidRPr="00A43E95">
        <w:t xml:space="preserve"> Closes Follow-On Public Offering of 23,000,000 ADSs</w:t>
      </w:r>
      <w:r>
        <w:t>,</w:t>
      </w:r>
      <w:r w:rsidRPr="00A43E95">
        <w:t xml:space="preserve">” </w:t>
      </w:r>
      <w:r w:rsidRPr="005B292C">
        <w:t>PR Newswire</w:t>
      </w:r>
      <w:r w:rsidRPr="00A43E95">
        <w:t>, May 29, 2009</w:t>
      </w:r>
      <w:r>
        <w:t xml:space="preserve">, accessed </w:t>
      </w:r>
      <w:r>
        <w:rPr>
          <w:rFonts w:eastAsiaTheme="minorEastAsia" w:hint="eastAsia"/>
          <w:lang w:eastAsia="zh-CN"/>
        </w:rPr>
        <w:t>June 12, 2017</w:t>
      </w:r>
      <w:r>
        <w:t xml:space="preserve">, </w:t>
      </w:r>
      <w:r w:rsidRPr="002702B5">
        <w:t>www.prnewswire.com/news-releases/suntech-closes-follow-on-public-offering-of-23000000-adss-61646897.html</w:t>
      </w:r>
      <w:r>
        <w:t>.</w:t>
      </w:r>
    </w:p>
  </w:endnote>
  <w:endnote w:id="49">
    <w:p w14:paraId="34941EC0" w14:textId="79C82D08" w:rsidR="00F07E0C" w:rsidRPr="004F349E" w:rsidRDefault="00F07E0C" w:rsidP="00E455F1">
      <w:pPr>
        <w:pStyle w:val="Footnote"/>
        <w:rPr>
          <w:spacing w:val="-4"/>
          <w:kern w:val="17"/>
        </w:rPr>
      </w:pPr>
      <w:r w:rsidRPr="004F349E">
        <w:rPr>
          <w:rStyle w:val="EndnoteReference"/>
          <w:spacing w:val="-4"/>
          <w:kern w:val="17"/>
        </w:rPr>
        <w:endnoteRef/>
      </w:r>
      <w:r w:rsidRPr="004F349E">
        <w:rPr>
          <w:spacing w:val="-4"/>
          <w:kern w:val="17"/>
        </w:rPr>
        <w:t xml:space="preserve"> </w:t>
      </w:r>
      <w:proofErr w:type="spellStart"/>
      <w:r w:rsidRPr="004F349E">
        <w:rPr>
          <w:spacing w:val="-4"/>
          <w:kern w:val="17"/>
        </w:rPr>
        <w:t>Qiao</w:t>
      </w:r>
      <w:proofErr w:type="spellEnd"/>
      <w:r w:rsidRPr="004F349E">
        <w:rPr>
          <w:spacing w:val="-4"/>
          <w:kern w:val="17"/>
        </w:rPr>
        <w:t xml:space="preserve"> </w:t>
      </w:r>
      <w:proofErr w:type="spellStart"/>
      <w:r w:rsidRPr="004F349E">
        <w:rPr>
          <w:spacing w:val="-4"/>
          <w:kern w:val="17"/>
        </w:rPr>
        <w:t>Gaowei</w:t>
      </w:r>
      <w:proofErr w:type="spellEnd"/>
      <w:r w:rsidRPr="004F349E">
        <w:rPr>
          <w:spacing w:val="-4"/>
          <w:kern w:val="17"/>
        </w:rPr>
        <w:t>, “</w:t>
      </w:r>
      <w:proofErr w:type="spellStart"/>
      <w:r w:rsidRPr="004F349E">
        <w:rPr>
          <w:spacing w:val="-4"/>
          <w:kern w:val="17"/>
        </w:rPr>
        <w:t>Suntech</w:t>
      </w:r>
      <w:proofErr w:type="spellEnd"/>
      <w:r w:rsidRPr="004F349E">
        <w:rPr>
          <w:spacing w:val="-4"/>
          <w:kern w:val="17"/>
        </w:rPr>
        <w:t xml:space="preserve"> Bank Loans Increased by 30 Times the Amount of Credit Loans” </w:t>
      </w:r>
      <w:r>
        <w:rPr>
          <w:spacing w:val="-4"/>
          <w:kern w:val="17"/>
        </w:rPr>
        <w:t xml:space="preserve">[in Chinese], </w:t>
      </w:r>
      <w:proofErr w:type="spellStart"/>
      <w:proofErr w:type="gramStart"/>
      <w:r w:rsidRPr="004F349E">
        <w:rPr>
          <w:i/>
          <w:spacing w:val="-4"/>
          <w:kern w:val="17"/>
        </w:rPr>
        <w:t>Sina</w:t>
      </w:r>
      <w:proofErr w:type="spellEnd"/>
      <w:proofErr w:type="gramEnd"/>
      <w:r w:rsidRPr="004F349E">
        <w:rPr>
          <w:i/>
          <w:spacing w:val="-4"/>
          <w:kern w:val="17"/>
        </w:rPr>
        <w:t>: 21st Century Economic Report</w:t>
      </w:r>
      <w:r w:rsidRPr="004F349E">
        <w:rPr>
          <w:spacing w:val="-4"/>
          <w:kern w:val="17"/>
        </w:rPr>
        <w:t>, July 20, 2012, accessed September 18, 2015,</w:t>
      </w:r>
      <w:r w:rsidRPr="004F349E">
        <w:rPr>
          <w:i/>
          <w:spacing w:val="-4"/>
          <w:kern w:val="17"/>
        </w:rPr>
        <w:t xml:space="preserve"> </w:t>
      </w:r>
      <w:r w:rsidRPr="004F349E">
        <w:rPr>
          <w:spacing w:val="-4"/>
          <w:kern w:val="17"/>
        </w:rPr>
        <w:t>http://finance.sina.com.cn/chanjing/gsnews/20120720/031212620152.shtml.</w:t>
      </w:r>
    </w:p>
  </w:endnote>
  <w:endnote w:id="50">
    <w:p w14:paraId="316C807F" w14:textId="67F883CC" w:rsidR="00F07E0C" w:rsidRPr="00A43E95" w:rsidRDefault="00F07E0C" w:rsidP="00E455F1">
      <w:pPr>
        <w:pStyle w:val="Footnote"/>
      </w:pPr>
      <w:r w:rsidRPr="00A43E95">
        <w:rPr>
          <w:rStyle w:val="EndnoteReference"/>
        </w:rPr>
        <w:endnoteRef/>
      </w:r>
      <w:r w:rsidRPr="00A43E95">
        <w:t xml:space="preserve"> </w:t>
      </w:r>
      <w:r>
        <w:t xml:space="preserve">Diane Cardwell and Keith </w:t>
      </w:r>
      <w:proofErr w:type="spellStart"/>
      <w:r>
        <w:t>Bradsher</w:t>
      </w:r>
      <w:proofErr w:type="spellEnd"/>
      <w:r>
        <w:t>, “</w:t>
      </w:r>
      <w:r w:rsidRPr="00A43E95">
        <w:t>U</w:t>
      </w:r>
      <w:r>
        <w:t>.</w:t>
      </w:r>
      <w:r w:rsidRPr="00A43E95">
        <w:t>S</w:t>
      </w:r>
      <w:r>
        <w:t xml:space="preserve">. Will Place Tariffs on </w:t>
      </w:r>
      <w:r w:rsidRPr="00A43E95">
        <w:t xml:space="preserve">Chinese </w:t>
      </w:r>
      <w:r>
        <w:t>S</w:t>
      </w:r>
      <w:r w:rsidRPr="00A43E95">
        <w:t xml:space="preserve">olar </w:t>
      </w:r>
      <w:r>
        <w:t>P</w:t>
      </w:r>
      <w:r w:rsidRPr="00A43E95">
        <w:t>anels</w:t>
      </w:r>
      <w:r>
        <w:t>,”</w:t>
      </w:r>
      <w:r w:rsidRPr="00A43E95">
        <w:t xml:space="preserve"> </w:t>
      </w:r>
      <w:r w:rsidRPr="005B292C">
        <w:rPr>
          <w:i/>
        </w:rPr>
        <w:t>The New York Times</w:t>
      </w:r>
      <w:r>
        <w:t xml:space="preserve">, October 10, 2012, accessed </w:t>
      </w:r>
      <w:r>
        <w:rPr>
          <w:rFonts w:eastAsiaTheme="minorEastAsia" w:hint="eastAsia"/>
          <w:lang w:eastAsia="zh-CN"/>
        </w:rPr>
        <w:t>June 12, 2017</w:t>
      </w:r>
      <w:r>
        <w:t xml:space="preserve">, </w:t>
      </w:r>
      <w:r w:rsidRPr="006F0755">
        <w:t>www.nytimes.com/2012/10/11/business/global/us-sets-tariffs-on-chinese-solar-panels.html</w:t>
      </w:r>
      <w:r>
        <w:t>.</w:t>
      </w:r>
    </w:p>
  </w:endnote>
  <w:endnote w:id="51">
    <w:p w14:paraId="2A8A4C53" w14:textId="0F74775B" w:rsidR="00F07E0C" w:rsidRPr="00A43E95" w:rsidRDefault="00F07E0C" w:rsidP="00E455F1">
      <w:pPr>
        <w:pStyle w:val="Footnote"/>
      </w:pPr>
      <w:r w:rsidRPr="00A43E95">
        <w:rPr>
          <w:rStyle w:val="EndnoteReference"/>
        </w:rPr>
        <w:endnoteRef/>
      </w:r>
      <w:r w:rsidRPr="00A43E95">
        <w:t xml:space="preserve"> </w:t>
      </w:r>
      <w:proofErr w:type="spellStart"/>
      <w:r>
        <w:t>Tsvetomira</w:t>
      </w:r>
      <w:proofErr w:type="spellEnd"/>
      <w:r>
        <w:t xml:space="preserve"> </w:t>
      </w:r>
      <w:proofErr w:type="spellStart"/>
      <w:r>
        <w:t>Tsanova</w:t>
      </w:r>
      <w:proofErr w:type="spellEnd"/>
      <w:r>
        <w:t>, “</w:t>
      </w:r>
      <w:proofErr w:type="spellStart"/>
      <w:r w:rsidRPr="00A43E95">
        <w:t>Suntech</w:t>
      </w:r>
      <w:proofErr w:type="spellEnd"/>
      <w:r w:rsidRPr="00A43E95">
        <w:t xml:space="preserve"> Shuts </w:t>
      </w:r>
      <w:proofErr w:type="gramStart"/>
      <w:r w:rsidRPr="00A43E95">
        <w:t>Down</w:t>
      </w:r>
      <w:proofErr w:type="gramEnd"/>
      <w:r w:rsidRPr="00A43E95">
        <w:t xml:space="preserve"> Arizona Solar Panel Plant in Apr</w:t>
      </w:r>
      <w:r>
        <w:t>,</w:t>
      </w:r>
      <w:r w:rsidRPr="00A43E95">
        <w:t xml:space="preserve">” </w:t>
      </w:r>
      <w:r>
        <w:t>Renewables Now: Solar, Ma</w:t>
      </w:r>
      <w:r w:rsidRPr="00A43E95">
        <w:t>rch 12, 2013</w:t>
      </w:r>
      <w:r>
        <w:t>, accessed</w:t>
      </w:r>
      <w:r>
        <w:rPr>
          <w:rFonts w:eastAsiaTheme="minorEastAsia" w:hint="eastAsia"/>
          <w:lang w:eastAsia="zh-CN"/>
        </w:rPr>
        <w:t xml:space="preserve"> June 12, 2017</w:t>
      </w:r>
      <w:r>
        <w:t>,</w:t>
      </w:r>
      <w:r w:rsidRPr="006F0755">
        <w:t xml:space="preserve"> https://renewablesnow.com/news/suntech-shuts-down-arizona-solar-panel-plant-in-apr-340140/</w:t>
      </w:r>
      <w:r w:rsidRPr="00A43E95">
        <w:t>.</w:t>
      </w:r>
    </w:p>
  </w:endnote>
  <w:endnote w:id="52">
    <w:p w14:paraId="169ECADF" w14:textId="38379485" w:rsidR="00F07E0C" w:rsidRPr="00A43E95" w:rsidRDefault="00F07E0C" w:rsidP="00E455F1">
      <w:pPr>
        <w:pStyle w:val="Footnote"/>
      </w:pPr>
      <w:r w:rsidRPr="00A43E95">
        <w:rPr>
          <w:rStyle w:val="EndnoteReference"/>
        </w:rPr>
        <w:endnoteRef/>
      </w:r>
      <w:r w:rsidRPr="00A43E95">
        <w:t xml:space="preserve"> </w:t>
      </w:r>
      <w:r w:rsidRPr="0068116F">
        <w:t>“Twin</w:t>
      </w:r>
      <w:r>
        <w:t xml:space="preserve"> Early Failure,” op. cit. </w:t>
      </w:r>
    </w:p>
  </w:endnote>
  <w:endnote w:id="53">
    <w:p w14:paraId="148022EF" w14:textId="77777777" w:rsidR="008F3A57" w:rsidRPr="00A43E95" w:rsidRDefault="008F3A57" w:rsidP="008F3A57">
      <w:pPr>
        <w:pStyle w:val="Footnote"/>
      </w:pPr>
      <w:r w:rsidRPr="00A43E95">
        <w:rPr>
          <w:rStyle w:val="EndnoteReference"/>
        </w:rPr>
        <w:endnoteRef/>
      </w:r>
      <w:r w:rsidRPr="00A43E95">
        <w:t xml:space="preserve"> Wayne Ma, “The Man at </w:t>
      </w:r>
      <w:r>
        <w:t xml:space="preserve">the </w:t>
      </w:r>
      <w:proofErr w:type="spellStart"/>
      <w:r w:rsidRPr="00A43E95">
        <w:t>Center</w:t>
      </w:r>
      <w:proofErr w:type="spellEnd"/>
      <w:r w:rsidRPr="00A43E95">
        <w:t xml:space="preserve"> of S</w:t>
      </w:r>
      <w:r>
        <w:t xml:space="preserve">olar-Panel Maker </w:t>
      </w:r>
      <w:proofErr w:type="spellStart"/>
      <w:r>
        <w:t>S</w:t>
      </w:r>
      <w:r w:rsidRPr="00A43E95">
        <w:t>untech’s</w:t>
      </w:r>
      <w:proofErr w:type="spellEnd"/>
      <w:r w:rsidRPr="00A43E95">
        <w:t xml:space="preserve"> Fall</w:t>
      </w:r>
      <w:r>
        <w:t>,</w:t>
      </w:r>
      <w:r w:rsidRPr="00A43E95">
        <w:t xml:space="preserve">” </w:t>
      </w:r>
      <w:r w:rsidRPr="00694545">
        <w:rPr>
          <w:i/>
        </w:rPr>
        <w:t>Wall Street Journal</w:t>
      </w:r>
      <w:r>
        <w:rPr>
          <w:i/>
        </w:rPr>
        <w:t>: Asian Business News</w:t>
      </w:r>
      <w:r w:rsidRPr="00694545">
        <w:rPr>
          <w:i/>
        </w:rPr>
        <w:t>,</w:t>
      </w:r>
      <w:r w:rsidRPr="00A43E95">
        <w:t xml:space="preserve"> May </w:t>
      </w:r>
      <w:r>
        <w:t>3</w:t>
      </w:r>
      <w:r w:rsidRPr="00A43E95">
        <w:t>, 2013</w:t>
      </w:r>
      <w:r>
        <w:t xml:space="preserve">, accessed July 4, 2017, </w:t>
      </w:r>
      <w:r w:rsidRPr="006F0755">
        <w:t>https://www.wsj.com/articles/SB10001424127887324743704578442422720766046</w:t>
      </w:r>
      <w:r w:rsidRPr="00A43E95">
        <w:t>.</w:t>
      </w:r>
    </w:p>
  </w:endnote>
  <w:endnote w:id="54">
    <w:p w14:paraId="0753EAE3" w14:textId="505CE600" w:rsidR="00F07E0C" w:rsidRPr="00A43E95" w:rsidRDefault="00F07E0C" w:rsidP="00E455F1">
      <w:pPr>
        <w:pStyle w:val="Footnote"/>
      </w:pPr>
      <w:r w:rsidRPr="00A43E95">
        <w:rPr>
          <w:rStyle w:val="EndnoteReference"/>
        </w:rPr>
        <w:endnoteRef/>
      </w:r>
      <w:r w:rsidRPr="00A43E95">
        <w:t xml:space="preserve"> </w:t>
      </w:r>
      <w:r w:rsidRPr="00203B2A">
        <w:t xml:space="preserve">Steve Scherer and Stephen </w:t>
      </w:r>
      <w:proofErr w:type="spellStart"/>
      <w:r w:rsidRPr="00203B2A">
        <w:t>Jewkes</w:t>
      </w:r>
      <w:proofErr w:type="spellEnd"/>
      <w:r w:rsidRPr="00203B2A">
        <w:t xml:space="preserve">, “China’s Fraud-Hit </w:t>
      </w:r>
      <w:proofErr w:type="spellStart"/>
      <w:r w:rsidRPr="00203B2A">
        <w:t>Suntech</w:t>
      </w:r>
      <w:proofErr w:type="spellEnd"/>
      <w:r w:rsidRPr="00203B2A">
        <w:t xml:space="preserve"> Strikes More Trouble in Italy,” Reuters: Business News, August 29, 2012, acce</w:t>
      </w:r>
      <w:r w:rsidR="008F3A57">
        <w:t xml:space="preserve">ssed September 18, 2015, </w:t>
      </w:r>
      <w:r w:rsidRPr="00203B2A">
        <w:t>www.reuters.com/article/us-suntech-italy-idUSBRE87S0N420120829</w:t>
      </w:r>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IveyVHWLogos">
    <w:altName w:val="Courier New"/>
    <w:charset w:val="00"/>
    <w:family w:val="auto"/>
    <w:pitch w:val="variable"/>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E0AFC8" w14:textId="77777777" w:rsidR="00F07E0C" w:rsidRDefault="00F07E0C" w:rsidP="00D75295">
      <w:r>
        <w:separator/>
      </w:r>
    </w:p>
  </w:footnote>
  <w:footnote w:type="continuationSeparator" w:id="0">
    <w:p w14:paraId="1161E930" w14:textId="77777777" w:rsidR="00F07E0C" w:rsidRDefault="00F07E0C"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496C82" w14:textId="77620CBF" w:rsidR="00F07E0C" w:rsidRDefault="00F07E0C"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732055">
      <w:rPr>
        <w:rFonts w:ascii="Arial" w:hAnsi="Arial"/>
        <w:b/>
        <w:noProof/>
      </w:rPr>
      <w:t>15</w:t>
    </w:r>
    <w:r>
      <w:rPr>
        <w:rFonts w:ascii="Arial" w:hAnsi="Arial"/>
        <w:b/>
      </w:rPr>
      <w:fldChar w:fldCharType="end"/>
    </w:r>
    <w:r>
      <w:rPr>
        <w:rFonts w:ascii="Arial" w:hAnsi="Arial"/>
        <w:b/>
      </w:rPr>
      <w:tab/>
      <w:t>9B17M106</w:t>
    </w:r>
  </w:p>
  <w:p w14:paraId="4AD4C404" w14:textId="77777777" w:rsidR="00F07E0C" w:rsidRPr="00C92CC4" w:rsidRDefault="00F07E0C">
    <w:pPr>
      <w:pStyle w:val="Header"/>
      <w:rPr>
        <w:sz w:val="18"/>
        <w:szCs w:val="18"/>
      </w:rPr>
    </w:pPr>
  </w:p>
  <w:p w14:paraId="5F70B2FB" w14:textId="77777777" w:rsidR="00F07E0C" w:rsidRDefault="00F07E0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19"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1"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3"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2"/>
  </w:num>
  <w:num w:numId="14">
    <w:abstractNumId w:val="19"/>
  </w:num>
  <w:num w:numId="15">
    <w:abstractNumId w:val="20"/>
  </w:num>
  <w:num w:numId="16">
    <w:abstractNumId w:val="21"/>
  </w:num>
  <w:num w:numId="17">
    <w:abstractNumId w:val="15"/>
  </w:num>
  <w:num w:numId="18">
    <w:abstractNumId w:val="22"/>
  </w:num>
  <w:num w:numId="19">
    <w:abstractNumId w:val="11"/>
  </w:num>
  <w:num w:numId="20">
    <w:abstractNumId w:val="10"/>
  </w:num>
  <w:num w:numId="21">
    <w:abstractNumId w:val="23"/>
  </w:num>
  <w:num w:numId="22">
    <w:abstractNumId w:val="17"/>
  </w:num>
  <w:num w:numId="23">
    <w:abstractNumId w:val="24"/>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4"/>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4"/>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bordersDoNotSurroundHeader/>
  <w:bordersDoNotSurroundFooter/>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6385"/>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2C89"/>
    <w:rsid w:val="0000432D"/>
    <w:rsid w:val="0000605B"/>
    <w:rsid w:val="00013360"/>
    <w:rsid w:val="00017C74"/>
    <w:rsid w:val="00020233"/>
    <w:rsid w:val="000216CE"/>
    <w:rsid w:val="00021FC4"/>
    <w:rsid w:val="00025DC7"/>
    <w:rsid w:val="00026486"/>
    <w:rsid w:val="00027E0F"/>
    <w:rsid w:val="0003232C"/>
    <w:rsid w:val="0003249C"/>
    <w:rsid w:val="0003597C"/>
    <w:rsid w:val="00037717"/>
    <w:rsid w:val="00044ECC"/>
    <w:rsid w:val="00051D3B"/>
    <w:rsid w:val="000531D3"/>
    <w:rsid w:val="0005646B"/>
    <w:rsid w:val="00063467"/>
    <w:rsid w:val="00074508"/>
    <w:rsid w:val="0008102D"/>
    <w:rsid w:val="00094C0E"/>
    <w:rsid w:val="000A6415"/>
    <w:rsid w:val="000C12C9"/>
    <w:rsid w:val="000C24FA"/>
    <w:rsid w:val="000C3299"/>
    <w:rsid w:val="000C502E"/>
    <w:rsid w:val="000D3989"/>
    <w:rsid w:val="000D62F1"/>
    <w:rsid w:val="000D7F3D"/>
    <w:rsid w:val="000E056A"/>
    <w:rsid w:val="000E51C2"/>
    <w:rsid w:val="000F0C22"/>
    <w:rsid w:val="000F6B09"/>
    <w:rsid w:val="000F6FDC"/>
    <w:rsid w:val="00103DEF"/>
    <w:rsid w:val="00104567"/>
    <w:rsid w:val="001107FF"/>
    <w:rsid w:val="00121EF5"/>
    <w:rsid w:val="00123069"/>
    <w:rsid w:val="00124DA2"/>
    <w:rsid w:val="00125923"/>
    <w:rsid w:val="0012732D"/>
    <w:rsid w:val="00132293"/>
    <w:rsid w:val="0013303F"/>
    <w:rsid w:val="0014634F"/>
    <w:rsid w:val="00151508"/>
    <w:rsid w:val="00152DC4"/>
    <w:rsid w:val="00154FC9"/>
    <w:rsid w:val="00157D1D"/>
    <w:rsid w:val="001649C7"/>
    <w:rsid w:val="00176968"/>
    <w:rsid w:val="00187A1F"/>
    <w:rsid w:val="0019241A"/>
    <w:rsid w:val="00196890"/>
    <w:rsid w:val="001A0A6B"/>
    <w:rsid w:val="001A5335"/>
    <w:rsid w:val="001A752D"/>
    <w:rsid w:val="001B3AC4"/>
    <w:rsid w:val="001C2050"/>
    <w:rsid w:val="001E2D2E"/>
    <w:rsid w:val="001F62CE"/>
    <w:rsid w:val="001F7300"/>
    <w:rsid w:val="00203AA1"/>
    <w:rsid w:val="00203B2A"/>
    <w:rsid w:val="00204F7C"/>
    <w:rsid w:val="00213E98"/>
    <w:rsid w:val="00217EB5"/>
    <w:rsid w:val="00230350"/>
    <w:rsid w:val="00234C2D"/>
    <w:rsid w:val="0023511D"/>
    <w:rsid w:val="0023595F"/>
    <w:rsid w:val="0024180A"/>
    <w:rsid w:val="00241C22"/>
    <w:rsid w:val="00252A42"/>
    <w:rsid w:val="00262C67"/>
    <w:rsid w:val="00262DB8"/>
    <w:rsid w:val="002636A2"/>
    <w:rsid w:val="002702B5"/>
    <w:rsid w:val="002762E9"/>
    <w:rsid w:val="00282A8C"/>
    <w:rsid w:val="00283878"/>
    <w:rsid w:val="002A7342"/>
    <w:rsid w:val="002A75BD"/>
    <w:rsid w:val="002B33D0"/>
    <w:rsid w:val="002B4F63"/>
    <w:rsid w:val="002C10D1"/>
    <w:rsid w:val="002C4984"/>
    <w:rsid w:val="002E32F0"/>
    <w:rsid w:val="002F0418"/>
    <w:rsid w:val="002F0675"/>
    <w:rsid w:val="002F11D4"/>
    <w:rsid w:val="002F460C"/>
    <w:rsid w:val="002F4878"/>
    <w:rsid w:val="002F48D6"/>
    <w:rsid w:val="0030545B"/>
    <w:rsid w:val="00305858"/>
    <w:rsid w:val="0031228B"/>
    <w:rsid w:val="0031641F"/>
    <w:rsid w:val="00317471"/>
    <w:rsid w:val="00326DA7"/>
    <w:rsid w:val="00330E25"/>
    <w:rsid w:val="0034070A"/>
    <w:rsid w:val="00346470"/>
    <w:rsid w:val="00354899"/>
    <w:rsid w:val="00355FD6"/>
    <w:rsid w:val="00361C8E"/>
    <w:rsid w:val="00362219"/>
    <w:rsid w:val="00363E73"/>
    <w:rsid w:val="00364A5C"/>
    <w:rsid w:val="003656F1"/>
    <w:rsid w:val="0037143C"/>
    <w:rsid w:val="00372DD2"/>
    <w:rsid w:val="00373FB1"/>
    <w:rsid w:val="00384119"/>
    <w:rsid w:val="0038664D"/>
    <w:rsid w:val="0039075A"/>
    <w:rsid w:val="00397FE9"/>
    <w:rsid w:val="003A27D2"/>
    <w:rsid w:val="003A56B2"/>
    <w:rsid w:val="003B30D8"/>
    <w:rsid w:val="003B3D71"/>
    <w:rsid w:val="003B7EF2"/>
    <w:rsid w:val="003C3FA4"/>
    <w:rsid w:val="003C69BD"/>
    <w:rsid w:val="003D070A"/>
    <w:rsid w:val="003D0B66"/>
    <w:rsid w:val="003D7E0E"/>
    <w:rsid w:val="003E130B"/>
    <w:rsid w:val="003E13CC"/>
    <w:rsid w:val="003E2356"/>
    <w:rsid w:val="003F1FBC"/>
    <w:rsid w:val="003F2B0C"/>
    <w:rsid w:val="003F4ED0"/>
    <w:rsid w:val="00401214"/>
    <w:rsid w:val="00403E66"/>
    <w:rsid w:val="00405099"/>
    <w:rsid w:val="00406B8C"/>
    <w:rsid w:val="00414DED"/>
    <w:rsid w:val="004221E4"/>
    <w:rsid w:val="004224E1"/>
    <w:rsid w:val="004227C0"/>
    <w:rsid w:val="00426456"/>
    <w:rsid w:val="00436D93"/>
    <w:rsid w:val="00440918"/>
    <w:rsid w:val="00445944"/>
    <w:rsid w:val="0045432E"/>
    <w:rsid w:val="0046369B"/>
    <w:rsid w:val="00463D74"/>
    <w:rsid w:val="00471088"/>
    <w:rsid w:val="00476AA5"/>
    <w:rsid w:val="00481E3A"/>
    <w:rsid w:val="00483AF9"/>
    <w:rsid w:val="00486B4E"/>
    <w:rsid w:val="004907D5"/>
    <w:rsid w:val="004927FA"/>
    <w:rsid w:val="004954FD"/>
    <w:rsid w:val="00496C1E"/>
    <w:rsid w:val="004A2F43"/>
    <w:rsid w:val="004A75DC"/>
    <w:rsid w:val="004B1CCB"/>
    <w:rsid w:val="004C4690"/>
    <w:rsid w:val="004C479F"/>
    <w:rsid w:val="004D1E97"/>
    <w:rsid w:val="004D2E64"/>
    <w:rsid w:val="004D73A5"/>
    <w:rsid w:val="004E0993"/>
    <w:rsid w:val="004E2E22"/>
    <w:rsid w:val="004F349E"/>
    <w:rsid w:val="004F6C8E"/>
    <w:rsid w:val="004F7E06"/>
    <w:rsid w:val="0050210A"/>
    <w:rsid w:val="00532947"/>
    <w:rsid w:val="00532CF5"/>
    <w:rsid w:val="00533559"/>
    <w:rsid w:val="00533894"/>
    <w:rsid w:val="00546407"/>
    <w:rsid w:val="005528CB"/>
    <w:rsid w:val="005616D2"/>
    <w:rsid w:val="00565CC5"/>
    <w:rsid w:val="00566771"/>
    <w:rsid w:val="0057038C"/>
    <w:rsid w:val="00574C19"/>
    <w:rsid w:val="005778FE"/>
    <w:rsid w:val="00581E2E"/>
    <w:rsid w:val="00584F15"/>
    <w:rsid w:val="005A3FC8"/>
    <w:rsid w:val="005B292C"/>
    <w:rsid w:val="005B633C"/>
    <w:rsid w:val="005C541D"/>
    <w:rsid w:val="005C760B"/>
    <w:rsid w:val="005C76C9"/>
    <w:rsid w:val="005D0E59"/>
    <w:rsid w:val="005D2E34"/>
    <w:rsid w:val="005E6212"/>
    <w:rsid w:val="005F210F"/>
    <w:rsid w:val="005F3C47"/>
    <w:rsid w:val="005F405F"/>
    <w:rsid w:val="005F572B"/>
    <w:rsid w:val="0060272F"/>
    <w:rsid w:val="00604B3F"/>
    <w:rsid w:val="006144D2"/>
    <w:rsid w:val="006160C6"/>
    <w:rsid w:val="006163F7"/>
    <w:rsid w:val="0061726C"/>
    <w:rsid w:val="00623255"/>
    <w:rsid w:val="0062327A"/>
    <w:rsid w:val="00624D8C"/>
    <w:rsid w:val="006319C4"/>
    <w:rsid w:val="0065031E"/>
    <w:rsid w:val="00652606"/>
    <w:rsid w:val="00665ED9"/>
    <w:rsid w:val="00671181"/>
    <w:rsid w:val="00680BB8"/>
    <w:rsid w:val="00680EBE"/>
    <w:rsid w:val="0068116F"/>
    <w:rsid w:val="00682754"/>
    <w:rsid w:val="00691D80"/>
    <w:rsid w:val="00694545"/>
    <w:rsid w:val="006A458F"/>
    <w:rsid w:val="006A5750"/>
    <w:rsid w:val="006A58A9"/>
    <w:rsid w:val="006A606D"/>
    <w:rsid w:val="006A67B8"/>
    <w:rsid w:val="006B064C"/>
    <w:rsid w:val="006B32B5"/>
    <w:rsid w:val="006B7F7A"/>
    <w:rsid w:val="006C0371"/>
    <w:rsid w:val="006C08B6"/>
    <w:rsid w:val="006C0B1A"/>
    <w:rsid w:val="006C4384"/>
    <w:rsid w:val="006C4784"/>
    <w:rsid w:val="006C6065"/>
    <w:rsid w:val="006C7F9F"/>
    <w:rsid w:val="006E2F6D"/>
    <w:rsid w:val="006E4483"/>
    <w:rsid w:val="006E58F6"/>
    <w:rsid w:val="006E77E1"/>
    <w:rsid w:val="006F0755"/>
    <w:rsid w:val="006F131D"/>
    <w:rsid w:val="006F1D9E"/>
    <w:rsid w:val="00711191"/>
    <w:rsid w:val="00714398"/>
    <w:rsid w:val="00716E22"/>
    <w:rsid w:val="0072182A"/>
    <w:rsid w:val="00726381"/>
    <w:rsid w:val="0072770F"/>
    <w:rsid w:val="00732055"/>
    <w:rsid w:val="00736FA2"/>
    <w:rsid w:val="0074696C"/>
    <w:rsid w:val="00750F9F"/>
    <w:rsid w:val="00751B33"/>
    <w:rsid w:val="00751BF2"/>
    <w:rsid w:val="00752BCD"/>
    <w:rsid w:val="00761BA4"/>
    <w:rsid w:val="007642A4"/>
    <w:rsid w:val="00766DA1"/>
    <w:rsid w:val="00773287"/>
    <w:rsid w:val="00782007"/>
    <w:rsid w:val="007866A6"/>
    <w:rsid w:val="007868F5"/>
    <w:rsid w:val="00787687"/>
    <w:rsid w:val="00787A9D"/>
    <w:rsid w:val="00790CAA"/>
    <w:rsid w:val="007A130D"/>
    <w:rsid w:val="007A255E"/>
    <w:rsid w:val="007A5764"/>
    <w:rsid w:val="007C441D"/>
    <w:rsid w:val="007C6DCF"/>
    <w:rsid w:val="007D0ED8"/>
    <w:rsid w:val="007D1964"/>
    <w:rsid w:val="007D3D8D"/>
    <w:rsid w:val="007D4102"/>
    <w:rsid w:val="007D69D6"/>
    <w:rsid w:val="007E331F"/>
    <w:rsid w:val="007E3AD9"/>
    <w:rsid w:val="007E5921"/>
    <w:rsid w:val="007F4BFB"/>
    <w:rsid w:val="00801121"/>
    <w:rsid w:val="00803975"/>
    <w:rsid w:val="00811800"/>
    <w:rsid w:val="008149B0"/>
    <w:rsid w:val="00821FFC"/>
    <w:rsid w:val="008223E7"/>
    <w:rsid w:val="00823CBE"/>
    <w:rsid w:val="00824AD0"/>
    <w:rsid w:val="008271CA"/>
    <w:rsid w:val="008420E0"/>
    <w:rsid w:val="00843259"/>
    <w:rsid w:val="008436C0"/>
    <w:rsid w:val="00843E60"/>
    <w:rsid w:val="008467D5"/>
    <w:rsid w:val="00850464"/>
    <w:rsid w:val="008553E2"/>
    <w:rsid w:val="00855A38"/>
    <w:rsid w:val="00856D9F"/>
    <w:rsid w:val="008618F7"/>
    <w:rsid w:val="00862293"/>
    <w:rsid w:val="00864D1D"/>
    <w:rsid w:val="00866F6D"/>
    <w:rsid w:val="008917C5"/>
    <w:rsid w:val="00894F44"/>
    <w:rsid w:val="00895547"/>
    <w:rsid w:val="008A4DC4"/>
    <w:rsid w:val="008A504E"/>
    <w:rsid w:val="008A5781"/>
    <w:rsid w:val="008A7025"/>
    <w:rsid w:val="008B6EEF"/>
    <w:rsid w:val="008B7623"/>
    <w:rsid w:val="008D0D9F"/>
    <w:rsid w:val="008D2F92"/>
    <w:rsid w:val="008F3A57"/>
    <w:rsid w:val="008F3B5F"/>
    <w:rsid w:val="00903196"/>
    <w:rsid w:val="00903C28"/>
    <w:rsid w:val="009067A4"/>
    <w:rsid w:val="00906D1C"/>
    <w:rsid w:val="0090722E"/>
    <w:rsid w:val="0091469B"/>
    <w:rsid w:val="009340DB"/>
    <w:rsid w:val="009415F4"/>
    <w:rsid w:val="00945F9E"/>
    <w:rsid w:val="0095185A"/>
    <w:rsid w:val="00972498"/>
    <w:rsid w:val="009726CB"/>
    <w:rsid w:val="00974CC6"/>
    <w:rsid w:val="00975A60"/>
    <w:rsid w:val="00976AD4"/>
    <w:rsid w:val="00983A5E"/>
    <w:rsid w:val="00984CC9"/>
    <w:rsid w:val="00994E71"/>
    <w:rsid w:val="009A1638"/>
    <w:rsid w:val="009A312F"/>
    <w:rsid w:val="009A5348"/>
    <w:rsid w:val="009A67BB"/>
    <w:rsid w:val="009A6C9F"/>
    <w:rsid w:val="009A74E2"/>
    <w:rsid w:val="009B2A13"/>
    <w:rsid w:val="009B51C7"/>
    <w:rsid w:val="009B6021"/>
    <w:rsid w:val="009C5BC3"/>
    <w:rsid w:val="009C76D5"/>
    <w:rsid w:val="009D7898"/>
    <w:rsid w:val="009E0C02"/>
    <w:rsid w:val="009E461D"/>
    <w:rsid w:val="009E61F1"/>
    <w:rsid w:val="009E7ECB"/>
    <w:rsid w:val="009F1689"/>
    <w:rsid w:val="009F32F0"/>
    <w:rsid w:val="009F7AA4"/>
    <w:rsid w:val="009F7FD0"/>
    <w:rsid w:val="00A04795"/>
    <w:rsid w:val="00A21A6D"/>
    <w:rsid w:val="00A21B65"/>
    <w:rsid w:val="00A22F33"/>
    <w:rsid w:val="00A2489F"/>
    <w:rsid w:val="00A26845"/>
    <w:rsid w:val="00A33925"/>
    <w:rsid w:val="00A41F7B"/>
    <w:rsid w:val="00A43E95"/>
    <w:rsid w:val="00A45DCE"/>
    <w:rsid w:val="00A47046"/>
    <w:rsid w:val="00A51FD3"/>
    <w:rsid w:val="00A52D03"/>
    <w:rsid w:val="00A54C1B"/>
    <w:rsid w:val="00A559DB"/>
    <w:rsid w:val="00A57975"/>
    <w:rsid w:val="00A62603"/>
    <w:rsid w:val="00A71731"/>
    <w:rsid w:val="00A8559E"/>
    <w:rsid w:val="00A87FFC"/>
    <w:rsid w:val="00A9175E"/>
    <w:rsid w:val="00AA0DB7"/>
    <w:rsid w:val="00AB1C65"/>
    <w:rsid w:val="00AC51CE"/>
    <w:rsid w:val="00AD32E8"/>
    <w:rsid w:val="00AD4588"/>
    <w:rsid w:val="00AD6921"/>
    <w:rsid w:val="00AD76B9"/>
    <w:rsid w:val="00AE3927"/>
    <w:rsid w:val="00AE615A"/>
    <w:rsid w:val="00AF35FC"/>
    <w:rsid w:val="00AF430A"/>
    <w:rsid w:val="00B03639"/>
    <w:rsid w:val="00B0600B"/>
    <w:rsid w:val="00B0652A"/>
    <w:rsid w:val="00B10C99"/>
    <w:rsid w:val="00B1160B"/>
    <w:rsid w:val="00B2329F"/>
    <w:rsid w:val="00B25069"/>
    <w:rsid w:val="00B318DF"/>
    <w:rsid w:val="00B352B9"/>
    <w:rsid w:val="00B3757D"/>
    <w:rsid w:val="00B37BE4"/>
    <w:rsid w:val="00B40937"/>
    <w:rsid w:val="00B423EF"/>
    <w:rsid w:val="00B453DE"/>
    <w:rsid w:val="00B4742F"/>
    <w:rsid w:val="00B53F22"/>
    <w:rsid w:val="00B6503F"/>
    <w:rsid w:val="00B711B6"/>
    <w:rsid w:val="00B7308D"/>
    <w:rsid w:val="00B74AC0"/>
    <w:rsid w:val="00B80D74"/>
    <w:rsid w:val="00B819BF"/>
    <w:rsid w:val="00B86A36"/>
    <w:rsid w:val="00B901F9"/>
    <w:rsid w:val="00B96A2D"/>
    <w:rsid w:val="00B97748"/>
    <w:rsid w:val="00BB18F1"/>
    <w:rsid w:val="00BB4BE3"/>
    <w:rsid w:val="00BB4DD8"/>
    <w:rsid w:val="00BD2F40"/>
    <w:rsid w:val="00BD6EFB"/>
    <w:rsid w:val="00BF38F3"/>
    <w:rsid w:val="00C01022"/>
    <w:rsid w:val="00C15BE2"/>
    <w:rsid w:val="00C20386"/>
    <w:rsid w:val="00C2172F"/>
    <w:rsid w:val="00C22219"/>
    <w:rsid w:val="00C2677E"/>
    <w:rsid w:val="00C316BA"/>
    <w:rsid w:val="00C3447F"/>
    <w:rsid w:val="00C34B60"/>
    <w:rsid w:val="00C35B57"/>
    <w:rsid w:val="00C4497F"/>
    <w:rsid w:val="00C45CB6"/>
    <w:rsid w:val="00C507AB"/>
    <w:rsid w:val="00C52604"/>
    <w:rsid w:val="00C6228E"/>
    <w:rsid w:val="00C71257"/>
    <w:rsid w:val="00C71CCD"/>
    <w:rsid w:val="00C73A8B"/>
    <w:rsid w:val="00C81491"/>
    <w:rsid w:val="00C81676"/>
    <w:rsid w:val="00C86D0F"/>
    <w:rsid w:val="00C92CC4"/>
    <w:rsid w:val="00C935F9"/>
    <w:rsid w:val="00CA0AFB"/>
    <w:rsid w:val="00CA2CE1"/>
    <w:rsid w:val="00CA3976"/>
    <w:rsid w:val="00CA757B"/>
    <w:rsid w:val="00CB6B09"/>
    <w:rsid w:val="00CC1787"/>
    <w:rsid w:val="00CC182C"/>
    <w:rsid w:val="00CC3346"/>
    <w:rsid w:val="00CD0824"/>
    <w:rsid w:val="00CD1AC3"/>
    <w:rsid w:val="00CD1B39"/>
    <w:rsid w:val="00CD2908"/>
    <w:rsid w:val="00CE6517"/>
    <w:rsid w:val="00CF316B"/>
    <w:rsid w:val="00CF3280"/>
    <w:rsid w:val="00CF43CC"/>
    <w:rsid w:val="00D0218E"/>
    <w:rsid w:val="00D03A82"/>
    <w:rsid w:val="00D04E36"/>
    <w:rsid w:val="00D050AC"/>
    <w:rsid w:val="00D13A6A"/>
    <w:rsid w:val="00D13D22"/>
    <w:rsid w:val="00D15344"/>
    <w:rsid w:val="00D31BEC"/>
    <w:rsid w:val="00D33BCA"/>
    <w:rsid w:val="00D3633A"/>
    <w:rsid w:val="00D37673"/>
    <w:rsid w:val="00D52A86"/>
    <w:rsid w:val="00D53349"/>
    <w:rsid w:val="00D56BF0"/>
    <w:rsid w:val="00D63150"/>
    <w:rsid w:val="00D64A32"/>
    <w:rsid w:val="00D64EFC"/>
    <w:rsid w:val="00D65C55"/>
    <w:rsid w:val="00D713AB"/>
    <w:rsid w:val="00D73F8A"/>
    <w:rsid w:val="00D75295"/>
    <w:rsid w:val="00D7668B"/>
    <w:rsid w:val="00D76CE9"/>
    <w:rsid w:val="00D856C5"/>
    <w:rsid w:val="00D9182D"/>
    <w:rsid w:val="00D96FED"/>
    <w:rsid w:val="00D97F12"/>
    <w:rsid w:val="00DB22C9"/>
    <w:rsid w:val="00DB42E7"/>
    <w:rsid w:val="00DE1792"/>
    <w:rsid w:val="00DE2E6F"/>
    <w:rsid w:val="00DF09EB"/>
    <w:rsid w:val="00DF0A2F"/>
    <w:rsid w:val="00DF32C2"/>
    <w:rsid w:val="00DF4A89"/>
    <w:rsid w:val="00DF4E22"/>
    <w:rsid w:val="00E02E65"/>
    <w:rsid w:val="00E067F6"/>
    <w:rsid w:val="00E07F88"/>
    <w:rsid w:val="00E165A3"/>
    <w:rsid w:val="00E2736B"/>
    <w:rsid w:val="00E32694"/>
    <w:rsid w:val="00E35576"/>
    <w:rsid w:val="00E36D1E"/>
    <w:rsid w:val="00E44E71"/>
    <w:rsid w:val="00E455F1"/>
    <w:rsid w:val="00E471A7"/>
    <w:rsid w:val="00E472A8"/>
    <w:rsid w:val="00E635CF"/>
    <w:rsid w:val="00E6612F"/>
    <w:rsid w:val="00E67248"/>
    <w:rsid w:val="00E70E6C"/>
    <w:rsid w:val="00E91E47"/>
    <w:rsid w:val="00E95B46"/>
    <w:rsid w:val="00E95E99"/>
    <w:rsid w:val="00E97A33"/>
    <w:rsid w:val="00EB5410"/>
    <w:rsid w:val="00EB7981"/>
    <w:rsid w:val="00EC16DE"/>
    <w:rsid w:val="00EC6E0A"/>
    <w:rsid w:val="00ED0C9E"/>
    <w:rsid w:val="00ED3B1D"/>
    <w:rsid w:val="00ED4C5B"/>
    <w:rsid w:val="00ED4E18"/>
    <w:rsid w:val="00ED5B7B"/>
    <w:rsid w:val="00ED68B4"/>
    <w:rsid w:val="00ED6BF8"/>
    <w:rsid w:val="00EE04CF"/>
    <w:rsid w:val="00EE1F37"/>
    <w:rsid w:val="00EE3A5A"/>
    <w:rsid w:val="00EE49E4"/>
    <w:rsid w:val="00EF3563"/>
    <w:rsid w:val="00F0159C"/>
    <w:rsid w:val="00F07E0C"/>
    <w:rsid w:val="00F105B7"/>
    <w:rsid w:val="00F12D56"/>
    <w:rsid w:val="00F17A21"/>
    <w:rsid w:val="00F31D57"/>
    <w:rsid w:val="00F31F84"/>
    <w:rsid w:val="00F40CCE"/>
    <w:rsid w:val="00F43753"/>
    <w:rsid w:val="00F47B09"/>
    <w:rsid w:val="00F50E91"/>
    <w:rsid w:val="00F526CA"/>
    <w:rsid w:val="00F5456C"/>
    <w:rsid w:val="00F57D29"/>
    <w:rsid w:val="00F57D5B"/>
    <w:rsid w:val="00F656C5"/>
    <w:rsid w:val="00F87909"/>
    <w:rsid w:val="00F90823"/>
    <w:rsid w:val="00F92A99"/>
    <w:rsid w:val="00F95944"/>
    <w:rsid w:val="00F96201"/>
    <w:rsid w:val="00FA6D75"/>
    <w:rsid w:val="00FB4591"/>
    <w:rsid w:val="00FB5B9E"/>
    <w:rsid w:val="00FC2A27"/>
    <w:rsid w:val="00FC2C44"/>
    <w:rsid w:val="00FC30E9"/>
    <w:rsid w:val="00FC3C62"/>
    <w:rsid w:val="00FC7B2C"/>
    <w:rsid w:val="00FD0B18"/>
    <w:rsid w:val="00FD0F82"/>
    <w:rsid w:val="00FD51D8"/>
    <w:rsid w:val="00FD5642"/>
    <w:rsid w:val="00FD6057"/>
    <w:rsid w:val="00FE2516"/>
    <w:rsid w:val="00FE714F"/>
    <w:rsid w:val="00FE722C"/>
    <w:rsid w:val="00FF57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0A4CBDA0"/>
  <w15:docId w15:val="{33C8EECB-1F76-490A-9915-41A25C86B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F1D9E"/>
    <w:pPr>
      <w:jc w:val="both"/>
    </w:pPr>
    <w:rPr>
      <w:rFonts w:ascii="Arial" w:hAnsi="Arial" w:cs="Arial"/>
      <w:sz w:val="17"/>
      <w:szCs w:val="17"/>
    </w:rPr>
  </w:style>
  <w:style w:type="character" w:customStyle="1" w:styleId="FootnoteChar">
    <w:name w:val="Footnote Char"/>
    <w:basedOn w:val="FootnoteTextChar"/>
    <w:link w:val="Footnote"/>
    <w:rsid w:val="006F1D9E"/>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unhideWhenUsed/>
    <w:rsid w:val="00B4742F"/>
  </w:style>
  <w:style w:type="character" w:customStyle="1" w:styleId="EndnoteTextChar">
    <w:name w:val="Endnote Text Char"/>
    <w:basedOn w:val="DefaultParagraphFont"/>
    <w:link w:val="EndnoteText"/>
    <w:uiPriority w:val="99"/>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unhideWhenUsed/>
    <w:rsid w:val="00B4742F"/>
    <w:rPr>
      <w:vertAlign w:val="superscript"/>
    </w:rPr>
  </w:style>
  <w:style w:type="character" w:styleId="HTMLCite">
    <w:name w:val="HTML Cite"/>
    <w:basedOn w:val="DefaultParagraphFont"/>
    <w:rsid w:val="00903196"/>
    <w:rPr>
      <w:i/>
      <w:iCs/>
    </w:rPr>
  </w:style>
  <w:style w:type="character" w:styleId="FollowedHyperlink">
    <w:name w:val="FollowedHyperlink"/>
    <w:basedOn w:val="DefaultParagraphFont"/>
    <w:uiPriority w:val="99"/>
    <w:semiHidden/>
    <w:unhideWhenUsed/>
    <w:rsid w:val="000A64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8514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cases@ivey.c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D:\&#20013;&#27431;&#22269;&#38469;&#24037;&#21830;&#23398;&#38498;\&#26080;&#38177;&#23578;&#24503;\&#26032;&#24314;%20Microsoft%20Excel%20&#24037;&#20316;&#34920;.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20013;&#27431;&#22269;&#38469;&#24037;&#21830;&#23398;&#38498;\&#26080;&#38177;&#23578;&#24503;\&#26032;&#24314;%20Microsoft%20Excel%20&#24037;&#20316;&#34920;.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20013;&#27431;&#22269;&#38469;&#24037;&#21830;&#23398;&#38498;\&#26080;&#38177;&#23578;&#24503;\&#26032;&#24314;%20Microsoft%20Excel%20&#24037;&#20316;&#349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3175549906655371"/>
          <c:y val="0.14901353148550844"/>
          <c:w val="0.76254508509018482"/>
          <c:h val="0.74358700470752148"/>
        </c:manualLayout>
      </c:layout>
      <c:barChart>
        <c:barDir val="col"/>
        <c:grouping val="clustered"/>
        <c:varyColors val="0"/>
        <c:ser>
          <c:idx val="0"/>
          <c:order val="0"/>
          <c:invertIfNegative val="0"/>
          <c:dLbls>
            <c:spPr>
              <a:noFill/>
              <a:ln>
                <a:noFill/>
              </a:ln>
              <a:effectLst/>
            </c:spPr>
            <c:txPr>
              <a:bodyPr rot="0" vert="horz"/>
              <a:lstStyle/>
              <a:p>
                <a:pPr>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Sheet1!$A$8:$A$18</c:f>
              <c:numCache>
                <c:formatCode>General</c:formatCode>
                <c:ptCount val="11"/>
                <c:pt idx="0">
                  <c:v>2000</c:v>
                </c:pt>
                <c:pt idx="1">
                  <c:v>2001</c:v>
                </c:pt>
                <c:pt idx="2">
                  <c:v>2002</c:v>
                </c:pt>
                <c:pt idx="3">
                  <c:v>2003</c:v>
                </c:pt>
                <c:pt idx="4">
                  <c:v>2004</c:v>
                </c:pt>
                <c:pt idx="5">
                  <c:v>2005</c:v>
                </c:pt>
                <c:pt idx="6">
                  <c:v>2006</c:v>
                </c:pt>
                <c:pt idx="7">
                  <c:v>2007</c:v>
                </c:pt>
                <c:pt idx="8">
                  <c:v>2008</c:v>
                </c:pt>
                <c:pt idx="9">
                  <c:v>2009</c:v>
                </c:pt>
                <c:pt idx="10">
                  <c:v>2010</c:v>
                </c:pt>
              </c:numCache>
            </c:numRef>
          </c:cat>
          <c:val>
            <c:numRef>
              <c:f>Sheet1!$B$8:$B$18</c:f>
              <c:numCache>
                <c:formatCode>General</c:formatCode>
                <c:ptCount val="11"/>
                <c:pt idx="0">
                  <c:v>278</c:v>
                </c:pt>
                <c:pt idx="1">
                  <c:v>335</c:v>
                </c:pt>
                <c:pt idx="2">
                  <c:v>438</c:v>
                </c:pt>
                <c:pt idx="3">
                  <c:v>594</c:v>
                </c:pt>
                <c:pt idx="4">
                  <c:v>1051</c:v>
                </c:pt>
                <c:pt idx="5">
                  <c:v>1322</c:v>
                </c:pt>
                <c:pt idx="6">
                  <c:v>1603</c:v>
                </c:pt>
                <c:pt idx="7">
                  <c:v>2392</c:v>
                </c:pt>
                <c:pt idx="8">
                  <c:v>5560</c:v>
                </c:pt>
                <c:pt idx="9">
                  <c:v>6802</c:v>
                </c:pt>
                <c:pt idx="10">
                  <c:v>17500</c:v>
                </c:pt>
              </c:numCache>
            </c:numRef>
          </c:val>
        </c:ser>
        <c:dLbls>
          <c:showLegendKey val="0"/>
          <c:showVal val="0"/>
          <c:showCatName val="0"/>
          <c:showSerName val="0"/>
          <c:showPercent val="0"/>
          <c:showBubbleSize val="0"/>
        </c:dLbls>
        <c:gapWidth val="219"/>
        <c:overlap val="-27"/>
        <c:axId val="191795744"/>
        <c:axId val="191926888"/>
      </c:barChart>
      <c:catAx>
        <c:axId val="191795744"/>
        <c:scaling>
          <c:orientation val="minMax"/>
        </c:scaling>
        <c:delete val="0"/>
        <c:axPos val="b"/>
        <c:numFmt formatCode="General" sourceLinked="1"/>
        <c:majorTickMark val="in"/>
        <c:minorTickMark val="none"/>
        <c:tickLblPos val="nextTo"/>
        <c:txPr>
          <a:bodyPr rot="-60000000" vert="horz"/>
          <a:lstStyle/>
          <a:p>
            <a:pPr>
              <a:defRPr/>
            </a:pPr>
            <a:endParaRPr lang="en-US"/>
          </a:p>
        </c:txPr>
        <c:crossAx val="191926888"/>
        <c:crosses val="autoZero"/>
        <c:auto val="1"/>
        <c:lblAlgn val="ctr"/>
        <c:lblOffset val="100"/>
        <c:noMultiLvlLbl val="0"/>
      </c:catAx>
      <c:valAx>
        <c:axId val="191926888"/>
        <c:scaling>
          <c:orientation val="minMax"/>
        </c:scaling>
        <c:delete val="0"/>
        <c:axPos val="l"/>
        <c:numFmt formatCode="General" sourceLinked="1"/>
        <c:majorTickMark val="in"/>
        <c:minorTickMark val="none"/>
        <c:tickLblPos val="nextTo"/>
        <c:txPr>
          <a:bodyPr rot="-60000000" vert="horz"/>
          <a:lstStyle/>
          <a:p>
            <a:pPr>
              <a:defRPr/>
            </a:pPr>
            <a:endParaRPr lang="en-US"/>
          </a:p>
        </c:txPr>
        <c:crossAx val="191795744"/>
        <c:crosses val="autoZero"/>
        <c:crossBetween val="between"/>
      </c:valAx>
    </c:plotArea>
    <c:plotVisOnly val="1"/>
    <c:dispBlanksAs val="gap"/>
    <c:showDLblsOverMax val="0"/>
  </c:chart>
  <c:txPr>
    <a:bodyPr/>
    <a:lstStyle/>
    <a:p>
      <a:pPr>
        <a:defRPr sz="900">
          <a:latin typeface="Arial" panose="020B0604020202020204" pitchFamily="34" charset="0"/>
          <a:cs typeface="Arial" panose="020B0604020202020204" pitchFamily="34" charset="0"/>
        </a:defRPr>
      </a:pPr>
      <a:endParaRPr lang="en-US"/>
    </a:p>
  </c:tx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8.1106279625494576E-2"/>
          <c:y val="4.2452146296415506E-2"/>
          <c:w val="0.86543010481898719"/>
          <c:h val="0.80635339714973919"/>
        </c:manualLayout>
      </c:layout>
      <c:barChart>
        <c:barDir val="col"/>
        <c:grouping val="clustered"/>
        <c:varyColors val="0"/>
        <c:ser>
          <c:idx val="0"/>
          <c:order val="0"/>
          <c:invertIfNegative val="0"/>
          <c:dLbls>
            <c:spPr>
              <a:noFill/>
              <a:ln>
                <a:noFill/>
              </a:ln>
              <a:effectLst/>
            </c:spPr>
            <c:txPr>
              <a:bodyPr rot="0" vert="horz"/>
              <a:lstStyle/>
              <a:p>
                <a:pPr>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Sheet10!$A$10:$A$14</c:f>
              <c:strCache>
                <c:ptCount val="5"/>
                <c:pt idx="0">
                  <c:v>2004</c:v>
                </c:pt>
                <c:pt idx="1">
                  <c:v>2005</c:v>
                </c:pt>
                <c:pt idx="2">
                  <c:v>2006</c:v>
                </c:pt>
                <c:pt idx="3">
                  <c:v>2007</c:v>
                </c:pt>
                <c:pt idx="4">
                  <c:v>March-2008</c:v>
                </c:pt>
              </c:strCache>
            </c:strRef>
          </c:cat>
          <c:val>
            <c:numRef>
              <c:f>Sheet10!$B$3:$B$7</c:f>
              <c:numCache>
                <c:formatCode>General</c:formatCode>
                <c:ptCount val="5"/>
                <c:pt idx="0">
                  <c:v>90</c:v>
                </c:pt>
                <c:pt idx="1">
                  <c:v>110</c:v>
                </c:pt>
                <c:pt idx="2">
                  <c:v>230</c:v>
                </c:pt>
                <c:pt idx="3">
                  <c:v>350</c:v>
                </c:pt>
                <c:pt idx="4">
                  <c:v>475</c:v>
                </c:pt>
              </c:numCache>
            </c:numRef>
          </c:val>
        </c:ser>
        <c:dLbls>
          <c:showLegendKey val="0"/>
          <c:showVal val="0"/>
          <c:showCatName val="0"/>
          <c:showSerName val="0"/>
          <c:showPercent val="0"/>
          <c:showBubbleSize val="0"/>
        </c:dLbls>
        <c:gapWidth val="219"/>
        <c:overlap val="-27"/>
        <c:axId val="191954680"/>
        <c:axId val="192001464"/>
      </c:barChart>
      <c:catAx>
        <c:axId val="191954680"/>
        <c:scaling>
          <c:orientation val="minMax"/>
        </c:scaling>
        <c:delete val="0"/>
        <c:axPos val="b"/>
        <c:numFmt formatCode="General" sourceLinked="1"/>
        <c:majorTickMark val="none"/>
        <c:minorTickMark val="none"/>
        <c:tickLblPos val="nextTo"/>
        <c:txPr>
          <a:bodyPr rot="0" vert="horz"/>
          <a:lstStyle/>
          <a:p>
            <a:pPr>
              <a:defRPr/>
            </a:pPr>
            <a:endParaRPr lang="en-US"/>
          </a:p>
        </c:txPr>
        <c:crossAx val="192001464"/>
        <c:crosses val="autoZero"/>
        <c:auto val="1"/>
        <c:lblAlgn val="ctr"/>
        <c:lblOffset val="100"/>
        <c:noMultiLvlLbl val="0"/>
      </c:catAx>
      <c:valAx>
        <c:axId val="192001464"/>
        <c:scaling>
          <c:orientation val="minMax"/>
        </c:scaling>
        <c:delete val="0"/>
        <c:axPos val="l"/>
        <c:numFmt formatCode="General" sourceLinked="1"/>
        <c:majorTickMark val="in"/>
        <c:minorTickMark val="none"/>
        <c:tickLblPos val="nextTo"/>
        <c:txPr>
          <a:bodyPr rot="-60000000" vert="horz"/>
          <a:lstStyle/>
          <a:p>
            <a:pPr>
              <a:defRPr/>
            </a:pPr>
            <a:endParaRPr lang="en-US"/>
          </a:p>
        </c:txPr>
        <c:crossAx val="191954680"/>
        <c:crosses val="autoZero"/>
        <c:crossBetween val="between"/>
      </c:valAx>
    </c:plotArea>
    <c:plotVisOnly val="1"/>
    <c:dispBlanksAs val="gap"/>
    <c:showDLblsOverMax val="0"/>
  </c:chart>
  <c:txPr>
    <a:bodyPr/>
    <a:lstStyle/>
    <a:p>
      <a:pPr>
        <a:defRPr>
          <a:latin typeface="Arial" panose="020B0604020202020204" pitchFamily="34" charset="0"/>
          <a:cs typeface="Arial" panose="020B0604020202020204" pitchFamily="34" charset="0"/>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manualLayout>
          <c:layoutTarget val="inner"/>
          <c:xMode val="edge"/>
          <c:yMode val="edge"/>
          <c:x val="2.7045300878973541E-2"/>
          <c:y val="5.0793718581787432E-2"/>
          <c:w val="0.940500350737005"/>
          <c:h val="0.65550567196051013"/>
        </c:manualLayout>
      </c:layout>
      <c:barChart>
        <c:barDir val="col"/>
        <c:grouping val="clustered"/>
        <c:varyColors val="0"/>
        <c:ser>
          <c:idx val="0"/>
          <c:order val="0"/>
          <c:invertIfNegative val="0"/>
          <c:dLbls>
            <c:spPr>
              <a:noFill/>
              <a:ln>
                <a:noFill/>
              </a:ln>
              <a:effectLst/>
            </c:spPr>
            <c:txPr>
              <a:bodyPr rot="0" vert="horz"/>
              <a:lstStyle/>
              <a:p>
                <a:pPr>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Sheet11!$A$4:$A$20</c:f>
              <c:strCache>
                <c:ptCount val="17"/>
                <c:pt idx="0">
                  <c:v>Mar-08</c:v>
                </c:pt>
                <c:pt idx="1">
                  <c:v>Apr-08</c:v>
                </c:pt>
                <c:pt idx="2">
                  <c:v>May-08</c:v>
                </c:pt>
                <c:pt idx="3">
                  <c:v>Jun-08</c:v>
                </c:pt>
                <c:pt idx="4">
                  <c:v>Jul-08</c:v>
                </c:pt>
                <c:pt idx="5">
                  <c:v>Aug-08</c:v>
                </c:pt>
                <c:pt idx="6">
                  <c:v>Sep-08</c:v>
                </c:pt>
                <c:pt idx="7">
                  <c:v>Oct-08</c:v>
                </c:pt>
                <c:pt idx="8">
                  <c:v>Nov-08</c:v>
                </c:pt>
                <c:pt idx="9">
                  <c:v>Dec-08</c:v>
                </c:pt>
                <c:pt idx="10">
                  <c:v>Jan-09</c:v>
                </c:pt>
                <c:pt idx="11">
                  <c:v>Feb-09</c:v>
                </c:pt>
                <c:pt idx="12">
                  <c:v>Mar-09</c:v>
                </c:pt>
                <c:pt idx="13">
                  <c:v>Apr-09</c:v>
                </c:pt>
                <c:pt idx="14">
                  <c:v>2010</c:v>
                </c:pt>
                <c:pt idx="15">
                  <c:v>2011</c:v>
                </c:pt>
                <c:pt idx="16">
                  <c:v>2012</c:v>
                </c:pt>
              </c:strCache>
            </c:strRef>
          </c:cat>
          <c:val>
            <c:numRef>
              <c:f>Sheet11!$B$4:$B$20</c:f>
              <c:numCache>
                <c:formatCode>General</c:formatCode>
                <c:ptCount val="17"/>
                <c:pt idx="0">
                  <c:v>475</c:v>
                </c:pt>
                <c:pt idx="1">
                  <c:v>475</c:v>
                </c:pt>
                <c:pt idx="2">
                  <c:v>405</c:v>
                </c:pt>
                <c:pt idx="3">
                  <c:v>415</c:v>
                </c:pt>
                <c:pt idx="4">
                  <c:v>417</c:v>
                </c:pt>
                <c:pt idx="5">
                  <c:v>417</c:v>
                </c:pt>
                <c:pt idx="6">
                  <c:v>393</c:v>
                </c:pt>
                <c:pt idx="7">
                  <c:v>384</c:v>
                </c:pt>
                <c:pt idx="8">
                  <c:v>350</c:v>
                </c:pt>
                <c:pt idx="9">
                  <c:v>219</c:v>
                </c:pt>
                <c:pt idx="10">
                  <c:v>151</c:v>
                </c:pt>
                <c:pt idx="11">
                  <c:v>133</c:v>
                </c:pt>
                <c:pt idx="12">
                  <c:v>115</c:v>
                </c:pt>
                <c:pt idx="13">
                  <c:v>110</c:v>
                </c:pt>
                <c:pt idx="14">
                  <c:v>80</c:v>
                </c:pt>
                <c:pt idx="15">
                  <c:v>40</c:v>
                </c:pt>
                <c:pt idx="16">
                  <c:v>20</c:v>
                </c:pt>
              </c:numCache>
            </c:numRef>
          </c:val>
        </c:ser>
        <c:dLbls>
          <c:showLegendKey val="0"/>
          <c:showVal val="0"/>
          <c:showCatName val="0"/>
          <c:showSerName val="0"/>
          <c:showPercent val="0"/>
          <c:showBubbleSize val="0"/>
        </c:dLbls>
        <c:gapWidth val="219"/>
        <c:overlap val="-27"/>
        <c:axId val="191726416"/>
        <c:axId val="191755712"/>
      </c:barChart>
      <c:catAx>
        <c:axId val="191726416"/>
        <c:scaling>
          <c:orientation val="minMax"/>
        </c:scaling>
        <c:delete val="0"/>
        <c:axPos val="b"/>
        <c:numFmt formatCode="General" sourceLinked="1"/>
        <c:majorTickMark val="none"/>
        <c:minorTickMark val="none"/>
        <c:tickLblPos val="nextTo"/>
        <c:txPr>
          <a:bodyPr rot="-5400000"/>
          <a:lstStyle/>
          <a:p>
            <a:pPr>
              <a:defRPr/>
            </a:pPr>
            <a:endParaRPr lang="en-US"/>
          </a:p>
        </c:txPr>
        <c:crossAx val="191755712"/>
        <c:crosses val="autoZero"/>
        <c:auto val="1"/>
        <c:lblAlgn val="ctr"/>
        <c:lblOffset val="100"/>
        <c:noMultiLvlLbl val="0"/>
      </c:catAx>
      <c:valAx>
        <c:axId val="191755712"/>
        <c:scaling>
          <c:orientation val="minMax"/>
        </c:scaling>
        <c:delete val="1"/>
        <c:axPos val="l"/>
        <c:numFmt formatCode="General" sourceLinked="1"/>
        <c:majorTickMark val="none"/>
        <c:minorTickMark val="none"/>
        <c:tickLblPos val="none"/>
        <c:crossAx val="191726416"/>
        <c:crosses val="autoZero"/>
        <c:crossBetween val="between"/>
      </c:valAx>
    </c:plotArea>
    <c:plotVisOnly val="1"/>
    <c:dispBlanksAs val="gap"/>
    <c:showDLblsOverMax val="0"/>
  </c:chart>
  <c:spPr>
    <a:ln>
      <a:noFill/>
    </a:ln>
  </c:spPr>
  <c:txPr>
    <a:bodyPr/>
    <a:lstStyle/>
    <a:p>
      <a:pPr>
        <a:defRPr sz="950">
          <a:latin typeface="Arial" panose="020B0604020202020204" pitchFamily="34" charset="0"/>
          <a:cs typeface="Arial" panose="020B0604020202020204" pitchFamily="34" charset="0"/>
        </a:defRPr>
      </a:pPr>
      <a:endParaRPr lang="en-US"/>
    </a:p>
  </c:txPr>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0.01575</cdr:x>
      <cdr:y>0.09028</cdr:y>
    </cdr:from>
    <cdr:to>
      <cdr:x>0.12861</cdr:x>
      <cdr:y>0.1493</cdr:y>
    </cdr:to>
    <cdr:sp macro="" textlink="">
      <cdr:nvSpPr>
        <cdr:cNvPr id="2" name="文本框 1"/>
        <cdr:cNvSpPr txBox="1"/>
      </cdr:nvSpPr>
      <cdr:spPr>
        <a:xfrm xmlns:a="http://schemas.openxmlformats.org/drawingml/2006/main">
          <a:off x="57150" y="247644"/>
          <a:ext cx="409575" cy="1619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zh-CN" altLang="en-US" sz="1100"/>
        </a:p>
      </cdr:txBody>
    </cdr:sp>
  </cdr:relSizeAnchor>
  <cdr:relSizeAnchor xmlns:cdr="http://schemas.openxmlformats.org/drawingml/2006/chartDrawing">
    <cdr:from>
      <cdr:x>0.06451</cdr:x>
      <cdr:y>0.01659</cdr:y>
    </cdr:from>
    <cdr:to>
      <cdr:x>0.25046</cdr:x>
      <cdr:y>0.11511</cdr:y>
    </cdr:to>
    <cdr:sp macro="" textlink="">
      <cdr:nvSpPr>
        <cdr:cNvPr id="3" name="文本框 2"/>
        <cdr:cNvSpPr txBox="1"/>
      </cdr:nvSpPr>
      <cdr:spPr>
        <a:xfrm xmlns:a="http://schemas.openxmlformats.org/drawingml/2006/main">
          <a:off x="298217" y="39294"/>
          <a:ext cx="859627" cy="2333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ctr"/>
          <a:r>
            <a:rPr lang="en-US" altLang="zh-CN" sz="1000">
              <a:solidFill>
                <a:schemeClr val="tx1">
                  <a:lumMod val="65000"/>
                  <a:lumOff val="35000"/>
                </a:schemeClr>
              </a:solidFill>
              <a:latin typeface="Arial" panose="020B0604020202020204" pitchFamily="34" charset="0"/>
              <a:cs typeface="Arial" panose="020B0604020202020204" pitchFamily="34" charset="0"/>
            </a:rPr>
            <a:t>Megawatts</a:t>
          </a:r>
          <a:endParaRPr lang="zh-CN" altLang="en-US" sz="1000">
            <a:solidFill>
              <a:schemeClr val="tx1">
                <a:lumMod val="65000"/>
                <a:lumOff val="35000"/>
              </a:schemeClr>
            </a:solidFill>
            <a:latin typeface="Arial" panose="020B0604020202020204" pitchFamily="34" charset="0"/>
            <a:cs typeface="Arial" panose="020B0604020202020204" pitchFamily="34" charset="0"/>
          </a:endParaRPr>
        </a:p>
      </cdr:txBody>
    </cdr:sp>
  </cdr:relSizeAnchor>
  <cdr:relSizeAnchor xmlns:cdr="http://schemas.openxmlformats.org/drawingml/2006/chartDrawing">
    <cdr:from>
      <cdr:x>0.87702</cdr:x>
      <cdr:y>0.82804</cdr:y>
    </cdr:from>
    <cdr:to>
      <cdr:x>1</cdr:x>
      <cdr:y>0.91995</cdr:y>
    </cdr:to>
    <cdr:sp macro="" textlink="">
      <cdr:nvSpPr>
        <cdr:cNvPr id="4" name="文本框 3"/>
        <cdr:cNvSpPr txBox="1"/>
      </cdr:nvSpPr>
      <cdr:spPr>
        <a:xfrm xmlns:a="http://schemas.openxmlformats.org/drawingml/2006/main">
          <a:off x="4054288" y="1961247"/>
          <a:ext cx="568512" cy="21769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ctr"/>
          <a:r>
            <a:rPr lang="en-US" altLang="zh-CN" sz="1000">
              <a:solidFill>
                <a:schemeClr val="tx1">
                  <a:lumMod val="65000"/>
                  <a:lumOff val="35000"/>
                </a:schemeClr>
              </a:solidFill>
              <a:latin typeface="Times New Roman" panose="02020603050405020304" pitchFamily="18" charset="0"/>
              <a:cs typeface="Times New Roman" panose="02020603050405020304" pitchFamily="18" charset="0"/>
            </a:rPr>
            <a:t>Year</a:t>
          </a:r>
          <a:endParaRPr lang="zh-CN" altLang="en-US" sz="1000">
            <a:solidFill>
              <a:schemeClr val="tx1">
                <a:lumMod val="65000"/>
                <a:lumOff val="35000"/>
              </a:schemeClr>
            </a:solidFill>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 dockstate="right" visibility="0" width="350" row="8">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15A7B1BF-E3C8-414B-BDD6-D063AD93B8D6}">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C4876FB2-CF00-4689-BEA5-3DBDC7DA6198}">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A022E7-3D65-4AC2-AA7C-D783839F2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15</Pages>
  <Words>5379</Words>
  <Characters>30664</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35972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Anderson, Cassandra</cp:lastModifiedBy>
  <cp:revision>4</cp:revision>
  <cp:lastPrinted>2011-06-23T13:34:00Z</cp:lastPrinted>
  <dcterms:created xsi:type="dcterms:W3CDTF">2017-07-07T16:28:00Z</dcterms:created>
  <dcterms:modified xsi:type="dcterms:W3CDTF">2017-07-26T16:42:00Z</dcterms:modified>
</cp:coreProperties>
</file>