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F869F" w14:textId="7B23C0A2" w:rsidR="008467D5" w:rsidRPr="00C273FD" w:rsidRDefault="00D846EE" w:rsidP="00013360">
      <w:pPr>
        <w:tabs>
          <w:tab w:val="left" w:pos="-1440"/>
          <w:tab w:val="left" w:pos="-720"/>
          <w:tab w:val="left" w:pos="1"/>
          <w:tab w:val="right" w:pos="9360"/>
        </w:tabs>
        <w:jc w:val="both"/>
        <w:rPr>
          <w:rFonts w:ascii="Arial" w:hAnsi="Arial"/>
          <w:sz w:val="24"/>
          <w:lang w:val="en-GB"/>
        </w:rPr>
      </w:pPr>
      <w:r w:rsidRPr="00D846EE">
        <w:rPr>
          <w:rFonts w:ascii="Arial" w:hAnsi="Arial"/>
          <w:b/>
          <w:noProof/>
          <w:sz w:val="24"/>
          <w:lang w:val="en-GB" w:eastAsia="en-GB"/>
        </w:rPr>
        <w:drawing>
          <wp:inline distT="0" distB="0" distL="0" distR="0" wp14:anchorId="25A212D2" wp14:editId="55B8C174">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63C8E2E" w14:textId="77777777" w:rsidR="008467D5" w:rsidRPr="00C273FD" w:rsidRDefault="008467D5" w:rsidP="008467D5">
      <w:pPr>
        <w:pBdr>
          <w:bottom w:val="single" w:sz="18" w:space="1" w:color="auto"/>
        </w:pBdr>
        <w:tabs>
          <w:tab w:val="left" w:pos="-1440"/>
          <w:tab w:val="left" w:pos="-720"/>
          <w:tab w:val="left" w:pos="1"/>
        </w:tabs>
        <w:jc w:val="both"/>
        <w:rPr>
          <w:rFonts w:ascii="Arial" w:hAnsi="Arial"/>
          <w:b/>
          <w:sz w:val="24"/>
          <w:lang w:val="en-GB"/>
        </w:rPr>
      </w:pPr>
    </w:p>
    <w:p w14:paraId="039DA269" w14:textId="6C158A04" w:rsidR="00D75295" w:rsidRPr="00C273FD" w:rsidRDefault="00D846EE" w:rsidP="00F105B7">
      <w:pPr>
        <w:pStyle w:val="ProductNumber"/>
        <w:rPr>
          <w:lang w:val="en-GB"/>
        </w:rPr>
      </w:pPr>
      <w:r>
        <w:rPr>
          <w:lang w:val="en-GB"/>
        </w:rPr>
        <w:t>9B17M</w:t>
      </w:r>
      <w:r w:rsidR="009D10D4">
        <w:rPr>
          <w:lang w:val="en-GB"/>
        </w:rPr>
        <w:t>110</w:t>
      </w:r>
    </w:p>
    <w:p w14:paraId="516C4BA5" w14:textId="77777777" w:rsidR="00D75295" w:rsidRPr="00C273FD" w:rsidRDefault="00D75295" w:rsidP="00D75295">
      <w:pPr>
        <w:jc w:val="right"/>
        <w:rPr>
          <w:rFonts w:ascii="Arial" w:hAnsi="Arial"/>
          <w:b/>
          <w:sz w:val="28"/>
          <w:szCs w:val="28"/>
          <w:lang w:val="en-GB"/>
        </w:rPr>
      </w:pPr>
    </w:p>
    <w:p w14:paraId="429EC6F1" w14:textId="77777777" w:rsidR="00866F6D" w:rsidRPr="00C273FD" w:rsidRDefault="00866F6D" w:rsidP="00D75295">
      <w:pPr>
        <w:jc w:val="right"/>
        <w:rPr>
          <w:rFonts w:ascii="Arial" w:hAnsi="Arial"/>
          <w:b/>
          <w:sz w:val="28"/>
          <w:szCs w:val="28"/>
          <w:lang w:val="en-GB"/>
        </w:rPr>
      </w:pPr>
    </w:p>
    <w:p w14:paraId="6042E8C3" w14:textId="77777777" w:rsidR="00013360" w:rsidRPr="00C273FD" w:rsidRDefault="00F45F96" w:rsidP="00013360">
      <w:pPr>
        <w:pStyle w:val="CaseTitle"/>
        <w:spacing w:after="0" w:line="240" w:lineRule="auto"/>
        <w:rPr>
          <w:lang w:val="en-GB"/>
        </w:rPr>
      </w:pPr>
      <w:r w:rsidRPr="00C273FD">
        <w:rPr>
          <w:color w:val="1A1A1A"/>
          <w:lang w:val="en-GB"/>
        </w:rPr>
        <w:t>THE INDIAN ECONOMY: A MACROECONOMIC TURNAROUND</w:t>
      </w:r>
      <w:r w:rsidRPr="00C273FD">
        <w:rPr>
          <w:rStyle w:val="EndnoteReference"/>
          <w:color w:val="1A1A1A"/>
          <w:lang w:val="en-GB"/>
        </w:rPr>
        <w:endnoteReference w:id="1"/>
      </w:r>
    </w:p>
    <w:p w14:paraId="01E8592F" w14:textId="77777777" w:rsidR="00013360" w:rsidRPr="00C273FD" w:rsidRDefault="00013360" w:rsidP="00013360">
      <w:pPr>
        <w:pStyle w:val="CaseTitle"/>
        <w:spacing w:after="0" w:line="240" w:lineRule="auto"/>
        <w:rPr>
          <w:sz w:val="20"/>
          <w:szCs w:val="20"/>
          <w:lang w:val="en-GB"/>
        </w:rPr>
      </w:pPr>
    </w:p>
    <w:p w14:paraId="49B21978" w14:textId="77777777" w:rsidR="00CA3976" w:rsidRPr="00C273FD" w:rsidRDefault="00CA3976" w:rsidP="00013360">
      <w:pPr>
        <w:pStyle w:val="CaseTitle"/>
        <w:spacing w:after="0" w:line="240" w:lineRule="auto"/>
        <w:rPr>
          <w:sz w:val="20"/>
          <w:szCs w:val="20"/>
          <w:lang w:val="en-GB"/>
        </w:rPr>
      </w:pPr>
    </w:p>
    <w:p w14:paraId="5087EFAE" w14:textId="77777777" w:rsidR="00013360" w:rsidRPr="00C273FD" w:rsidRDefault="00013360" w:rsidP="00013360">
      <w:pPr>
        <w:pStyle w:val="CaseTitle"/>
        <w:spacing w:after="0" w:line="240" w:lineRule="auto"/>
        <w:rPr>
          <w:sz w:val="20"/>
          <w:szCs w:val="20"/>
          <w:lang w:val="en-GB"/>
        </w:rPr>
      </w:pPr>
    </w:p>
    <w:p w14:paraId="0A02C3F3" w14:textId="037E8750" w:rsidR="00013360" w:rsidRPr="00C273FD" w:rsidRDefault="00F45F96" w:rsidP="00104567">
      <w:pPr>
        <w:pStyle w:val="StyleCopyrightStatementAfter0ptBottomSinglesolidline1"/>
        <w:rPr>
          <w:lang w:val="en-GB"/>
        </w:rPr>
      </w:pPr>
      <w:r w:rsidRPr="00C273FD">
        <w:rPr>
          <w:lang w:val="en-GB"/>
        </w:rPr>
        <w:t xml:space="preserve">Tulsi Jayakumar </w:t>
      </w:r>
      <w:r w:rsidR="007E5921" w:rsidRPr="00C273FD">
        <w:rPr>
          <w:lang w:val="en-GB"/>
        </w:rPr>
        <w:t>wrote this case sol</w:t>
      </w:r>
      <w:r w:rsidR="00D75295" w:rsidRPr="00C273FD">
        <w:rPr>
          <w:lang w:val="en-GB"/>
        </w:rPr>
        <w:t>ely to provide material f</w:t>
      </w:r>
      <w:r w:rsidR="005F19E2">
        <w:rPr>
          <w:lang w:val="en-GB"/>
        </w:rPr>
        <w:t>or class discussion. The author</w:t>
      </w:r>
      <w:r w:rsidR="00D75295" w:rsidRPr="00C273FD">
        <w:rPr>
          <w:lang w:val="en-GB"/>
        </w:rPr>
        <w:t xml:space="preserve"> do</w:t>
      </w:r>
      <w:r w:rsidR="005F19E2">
        <w:rPr>
          <w:lang w:val="en-GB"/>
        </w:rPr>
        <w:t>es</w:t>
      </w:r>
      <w:r w:rsidR="00D75295" w:rsidRPr="00C273FD">
        <w:rPr>
          <w:lang w:val="en-GB"/>
        </w:rPr>
        <w:t xml:space="preserve"> not intend to illustrate either effective or ineffective handling of a managerial situation. Th</w:t>
      </w:r>
      <w:r w:rsidR="005F19E2">
        <w:rPr>
          <w:lang w:val="en-GB"/>
        </w:rPr>
        <w:t xml:space="preserve">e author </w:t>
      </w:r>
      <w:r w:rsidR="00D75295" w:rsidRPr="00C273FD">
        <w:rPr>
          <w:lang w:val="en-GB"/>
        </w:rPr>
        <w:t>may have disguised certain names and other identifying information to protect confidentiality.</w:t>
      </w:r>
    </w:p>
    <w:p w14:paraId="2723FDAC" w14:textId="77777777" w:rsidR="00013360" w:rsidRPr="00C273FD" w:rsidRDefault="00013360" w:rsidP="00104567">
      <w:pPr>
        <w:pStyle w:val="StyleCopyrightStatementAfter0ptBottomSinglesolidline1"/>
        <w:rPr>
          <w:lang w:val="en-GB"/>
        </w:rPr>
      </w:pPr>
    </w:p>
    <w:p w14:paraId="745ECC01" w14:textId="77777777" w:rsidR="00D846EE" w:rsidRDefault="00D846EE" w:rsidP="00D846EE">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3C548B5" w14:textId="77777777" w:rsidR="00D846EE" w:rsidRDefault="00D846EE" w:rsidP="00D846EE">
      <w:pPr>
        <w:pStyle w:val="StyleCopyrightStatementAfter0ptBottomSinglesolidline1"/>
        <w:pBdr>
          <w:top w:val="none" w:sz="0" w:space="0" w:color="auto"/>
        </w:pBdr>
      </w:pPr>
    </w:p>
    <w:p w14:paraId="601D1CF9" w14:textId="51E655E2" w:rsidR="003B7EF2" w:rsidRPr="00C273FD" w:rsidRDefault="00D846EE" w:rsidP="003B7EF2">
      <w:pPr>
        <w:pStyle w:val="StyleStyleCopyrightStatementAfter0ptBottomSinglesolid"/>
        <w:rPr>
          <w:lang w:val="en-GB"/>
        </w:rPr>
      </w:pPr>
      <w:r>
        <w:t>Copyright © 2017, Richard Ivey School of Business Foundation</w:t>
      </w:r>
      <w:r w:rsidR="003B7EF2" w:rsidRPr="00C273FD">
        <w:rPr>
          <w:lang w:val="en-GB"/>
        </w:rPr>
        <w:tab/>
        <w:t xml:space="preserve">Version: </w:t>
      </w:r>
      <w:r w:rsidR="00361C8E" w:rsidRPr="00C273FD">
        <w:rPr>
          <w:lang w:val="en-GB"/>
        </w:rPr>
        <w:t>201</w:t>
      </w:r>
      <w:r w:rsidR="00DC15D4" w:rsidRPr="00C273FD">
        <w:rPr>
          <w:lang w:val="en-GB"/>
        </w:rPr>
        <w:t>7</w:t>
      </w:r>
      <w:r w:rsidR="00361C8E" w:rsidRPr="00C273FD">
        <w:rPr>
          <w:lang w:val="en-GB"/>
        </w:rPr>
        <w:t>-</w:t>
      </w:r>
      <w:r w:rsidR="00F60503">
        <w:rPr>
          <w:lang w:val="en-GB"/>
        </w:rPr>
        <w:t>07-28</w:t>
      </w:r>
    </w:p>
    <w:p w14:paraId="57ED6E3C" w14:textId="77777777" w:rsidR="003B7EF2" w:rsidRPr="00C273FD" w:rsidRDefault="003B7EF2" w:rsidP="00104567">
      <w:pPr>
        <w:pStyle w:val="StyleCopyrightStatementAfter0ptBottomSinglesolidline1"/>
        <w:rPr>
          <w:rFonts w:ascii="Times New Roman" w:hAnsi="Times New Roman"/>
          <w:sz w:val="20"/>
          <w:lang w:val="en-GB"/>
        </w:rPr>
      </w:pPr>
    </w:p>
    <w:p w14:paraId="4AAADA00" w14:textId="77777777" w:rsidR="003B7EF2" w:rsidRPr="00C273FD" w:rsidRDefault="003B7EF2" w:rsidP="006F1D9E">
      <w:pPr>
        <w:pStyle w:val="Footnote"/>
        <w:rPr>
          <w:lang w:val="en-GB"/>
        </w:rPr>
      </w:pPr>
    </w:p>
    <w:p w14:paraId="177A028D" w14:textId="1825E34A"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In 2016, India celebrated the 25th anniversary of its economic reforms. Initiated in 1991 </w:t>
      </w:r>
      <w:proofErr w:type="gramStart"/>
      <w:r w:rsidRPr="00C273FD">
        <w:rPr>
          <w:color w:val="1A1A1A"/>
          <w:sz w:val="22"/>
          <w:szCs w:val="22"/>
          <w:lang w:val="en-GB"/>
        </w:rPr>
        <w:t>as a result</w:t>
      </w:r>
      <w:proofErr w:type="gramEnd"/>
      <w:r w:rsidRPr="00C273FD">
        <w:rPr>
          <w:color w:val="1A1A1A"/>
          <w:sz w:val="22"/>
          <w:szCs w:val="22"/>
          <w:lang w:val="en-GB"/>
        </w:rPr>
        <w:t xml:space="preserve"> of a severe fiscal deficit-driven </w:t>
      </w:r>
      <w:r w:rsidR="00C273FD">
        <w:rPr>
          <w:color w:val="1A1A1A"/>
          <w:sz w:val="22"/>
          <w:szCs w:val="22"/>
          <w:lang w:val="en-GB"/>
        </w:rPr>
        <w:t>b</w:t>
      </w:r>
      <w:r w:rsidRPr="00C273FD">
        <w:rPr>
          <w:color w:val="1A1A1A"/>
          <w:sz w:val="22"/>
          <w:szCs w:val="22"/>
          <w:lang w:val="en-GB"/>
        </w:rPr>
        <w:t xml:space="preserve">alance of </w:t>
      </w:r>
      <w:r w:rsidR="00C273FD">
        <w:rPr>
          <w:color w:val="1A1A1A"/>
          <w:sz w:val="22"/>
          <w:szCs w:val="22"/>
          <w:lang w:val="en-GB"/>
        </w:rPr>
        <w:t>p</w:t>
      </w:r>
      <w:r w:rsidRPr="00C273FD">
        <w:rPr>
          <w:color w:val="1A1A1A"/>
          <w:sz w:val="22"/>
          <w:szCs w:val="22"/>
          <w:lang w:val="en-GB"/>
        </w:rPr>
        <w:t>ayments (BOP) crisis, the economic reforms comprised three pillars: privatization, liberali</w:t>
      </w:r>
      <w:r w:rsidR="00C273FD">
        <w:rPr>
          <w:color w:val="1A1A1A"/>
          <w:sz w:val="22"/>
          <w:szCs w:val="22"/>
          <w:lang w:val="en-GB"/>
        </w:rPr>
        <w:t>z</w:t>
      </w:r>
      <w:r w:rsidRPr="00C273FD">
        <w:rPr>
          <w:color w:val="1A1A1A"/>
          <w:sz w:val="22"/>
          <w:szCs w:val="22"/>
          <w:lang w:val="en-GB"/>
        </w:rPr>
        <w:t>ation</w:t>
      </w:r>
      <w:r w:rsidR="00C273FD">
        <w:rPr>
          <w:color w:val="1A1A1A"/>
          <w:sz w:val="22"/>
          <w:szCs w:val="22"/>
          <w:lang w:val="en-GB"/>
        </w:rPr>
        <w:t>,</w:t>
      </w:r>
      <w:r w:rsidRPr="00C273FD">
        <w:rPr>
          <w:color w:val="1A1A1A"/>
          <w:sz w:val="22"/>
          <w:szCs w:val="22"/>
          <w:lang w:val="en-GB"/>
        </w:rPr>
        <w:t xml:space="preserve"> and globalization. The reforms saw India gradually break free of the low</w:t>
      </w:r>
      <w:r w:rsidR="00C273FD">
        <w:rPr>
          <w:color w:val="1A1A1A"/>
          <w:sz w:val="22"/>
          <w:szCs w:val="22"/>
          <w:lang w:val="en-GB"/>
        </w:rPr>
        <w:t>-</w:t>
      </w:r>
      <w:proofErr w:type="gramStart"/>
      <w:r w:rsidRPr="00C273FD">
        <w:rPr>
          <w:color w:val="1A1A1A"/>
          <w:sz w:val="22"/>
          <w:szCs w:val="22"/>
          <w:lang w:val="en-GB"/>
        </w:rPr>
        <w:t>growth</w:t>
      </w:r>
      <w:proofErr w:type="gramEnd"/>
      <w:r w:rsidRPr="00C273FD">
        <w:rPr>
          <w:color w:val="1A1A1A"/>
          <w:sz w:val="22"/>
          <w:szCs w:val="22"/>
          <w:lang w:val="en-GB"/>
        </w:rPr>
        <w:t xml:space="preserve"> trap</w:t>
      </w:r>
      <w:r w:rsidR="00260589">
        <w:rPr>
          <w:color w:val="1A1A1A"/>
          <w:sz w:val="22"/>
          <w:szCs w:val="22"/>
          <w:lang w:val="en-GB"/>
        </w:rPr>
        <w:t xml:space="preserve"> that </w:t>
      </w:r>
      <w:r w:rsidRPr="00C273FD">
        <w:rPr>
          <w:color w:val="1A1A1A"/>
          <w:sz w:val="22"/>
          <w:szCs w:val="22"/>
          <w:lang w:val="en-GB"/>
        </w:rPr>
        <w:t>had characteri</w:t>
      </w:r>
      <w:r w:rsidR="00C273FD">
        <w:rPr>
          <w:color w:val="1A1A1A"/>
          <w:sz w:val="22"/>
          <w:szCs w:val="22"/>
          <w:lang w:val="en-GB"/>
        </w:rPr>
        <w:t>z</w:t>
      </w:r>
      <w:r w:rsidRPr="00C273FD">
        <w:rPr>
          <w:color w:val="1A1A1A"/>
          <w:sz w:val="22"/>
          <w:szCs w:val="22"/>
          <w:lang w:val="en-GB"/>
        </w:rPr>
        <w:t>ed it up</w:t>
      </w:r>
      <w:r w:rsidR="00FA2BDD" w:rsidRPr="00C273FD">
        <w:rPr>
          <w:color w:val="1A1A1A"/>
          <w:sz w:val="22"/>
          <w:szCs w:val="22"/>
          <w:lang w:val="en-GB"/>
        </w:rPr>
        <w:t xml:space="preserve"> </w:t>
      </w:r>
      <w:r w:rsidRPr="00C273FD">
        <w:rPr>
          <w:color w:val="1A1A1A"/>
          <w:sz w:val="22"/>
          <w:szCs w:val="22"/>
          <w:lang w:val="en-GB"/>
        </w:rPr>
        <w:t>to the 1980s</w:t>
      </w:r>
      <w:r w:rsidR="00C273FD">
        <w:rPr>
          <w:color w:val="1A1A1A"/>
          <w:sz w:val="22"/>
          <w:szCs w:val="22"/>
          <w:lang w:val="en-GB"/>
        </w:rPr>
        <w:t>—</w:t>
      </w:r>
      <w:r w:rsidRPr="00C273FD">
        <w:rPr>
          <w:color w:val="1A1A1A"/>
          <w:sz w:val="22"/>
          <w:szCs w:val="22"/>
          <w:lang w:val="en-GB"/>
        </w:rPr>
        <w:t>euphemistically called the “Hindu growth rate”</w:t>
      </w:r>
      <w:r w:rsidRPr="00C273FD">
        <w:rPr>
          <w:rStyle w:val="EndnoteReference"/>
          <w:color w:val="1A1A1A"/>
          <w:sz w:val="22"/>
          <w:szCs w:val="22"/>
          <w:lang w:val="en-GB"/>
        </w:rPr>
        <w:endnoteReference w:id="2"/>
      </w:r>
      <w:r w:rsidR="00C273FD">
        <w:rPr>
          <w:color w:val="1A1A1A"/>
          <w:sz w:val="22"/>
          <w:szCs w:val="22"/>
          <w:lang w:val="en-GB"/>
        </w:rPr>
        <w:t>—</w:t>
      </w:r>
      <w:r w:rsidRPr="00C273FD">
        <w:rPr>
          <w:color w:val="1A1A1A"/>
          <w:sz w:val="22"/>
          <w:szCs w:val="22"/>
          <w:lang w:val="en-GB"/>
        </w:rPr>
        <w:t>and join the league of the fastest</w:t>
      </w:r>
      <w:r w:rsidR="00C273FD">
        <w:rPr>
          <w:color w:val="1A1A1A"/>
          <w:sz w:val="22"/>
          <w:szCs w:val="22"/>
          <w:lang w:val="en-GB"/>
        </w:rPr>
        <w:t>-</w:t>
      </w:r>
      <w:r w:rsidRPr="00C273FD">
        <w:rPr>
          <w:color w:val="1A1A1A"/>
          <w:sz w:val="22"/>
          <w:szCs w:val="22"/>
          <w:lang w:val="en-GB"/>
        </w:rPr>
        <w:t>growing nations of the world. In 2016, with a</w:t>
      </w:r>
      <w:r w:rsidR="00C067E1">
        <w:rPr>
          <w:color w:val="1A1A1A"/>
          <w:sz w:val="22"/>
          <w:szCs w:val="22"/>
          <w:lang w:val="en-GB"/>
        </w:rPr>
        <w:t>n annual</w:t>
      </w:r>
      <w:r w:rsidRPr="00C273FD">
        <w:rPr>
          <w:color w:val="1A1A1A"/>
          <w:sz w:val="22"/>
          <w:szCs w:val="22"/>
          <w:lang w:val="en-GB"/>
        </w:rPr>
        <w:t xml:space="preserve"> growth rate of 7.6 per cent, the Indian economy emerged as the fastest</w:t>
      </w:r>
      <w:r w:rsidR="00C273FD">
        <w:rPr>
          <w:color w:val="1A1A1A"/>
          <w:sz w:val="22"/>
          <w:szCs w:val="22"/>
          <w:lang w:val="en-GB"/>
        </w:rPr>
        <w:t>-</w:t>
      </w:r>
      <w:r w:rsidRPr="00C273FD">
        <w:rPr>
          <w:color w:val="1A1A1A"/>
          <w:sz w:val="22"/>
          <w:szCs w:val="22"/>
          <w:lang w:val="en-GB"/>
        </w:rPr>
        <w:t>growing economy in the world, outpacing China</w:t>
      </w:r>
      <w:r w:rsidR="00C273FD">
        <w:rPr>
          <w:color w:val="1A1A1A"/>
          <w:sz w:val="22"/>
          <w:szCs w:val="22"/>
          <w:lang w:val="en-GB"/>
        </w:rPr>
        <w:t>’s</w:t>
      </w:r>
      <w:r w:rsidRPr="00C273FD">
        <w:rPr>
          <w:color w:val="1A1A1A"/>
          <w:sz w:val="22"/>
          <w:szCs w:val="22"/>
          <w:lang w:val="en-GB"/>
        </w:rPr>
        <w:t xml:space="preserve"> 6.9 per cent </w:t>
      </w:r>
      <w:r w:rsidR="00C067E1">
        <w:rPr>
          <w:color w:val="1A1A1A"/>
          <w:sz w:val="22"/>
          <w:szCs w:val="22"/>
          <w:lang w:val="en-GB"/>
        </w:rPr>
        <w:t xml:space="preserve">annual </w:t>
      </w:r>
      <w:r w:rsidRPr="00C273FD">
        <w:rPr>
          <w:color w:val="1A1A1A"/>
          <w:sz w:val="22"/>
          <w:szCs w:val="22"/>
          <w:lang w:val="en-GB"/>
        </w:rPr>
        <w:t xml:space="preserve">growth rate. In April 2016, India’s </w:t>
      </w:r>
      <w:r w:rsidR="00C273FD">
        <w:rPr>
          <w:color w:val="1A1A1A"/>
          <w:sz w:val="22"/>
          <w:szCs w:val="22"/>
          <w:lang w:val="en-GB"/>
        </w:rPr>
        <w:t>f</w:t>
      </w:r>
      <w:r w:rsidRPr="00C273FD">
        <w:rPr>
          <w:color w:val="1A1A1A"/>
          <w:sz w:val="22"/>
          <w:szCs w:val="22"/>
          <w:lang w:val="en-GB"/>
        </w:rPr>
        <w:t xml:space="preserve">inance </w:t>
      </w:r>
      <w:r w:rsidR="00C273FD">
        <w:rPr>
          <w:color w:val="1A1A1A"/>
          <w:sz w:val="22"/>
          <w:szCs w:val="22"/>
          <w:lang w:val="en-GB"/>
        </w:rPr>
        <w:t>m</w:t>
      </w:r>
      <w:r w:rsidRPr="00C273FD">
        <w:rPr>
          <w:color w:val="1A1A1A"/>
          <w:sz w:val="22"/>
          <w:szCs w:val="22"/>
          <w:lang w:val="en-GB"/>
        </w:rPr>
        <w:t xml:space="preserve">inister </w:t>
      </w:r>
      <w:r w:rsidR="00C273FD" w:rsidRPr="00C273FD">
        <w:rPr>
          <w:color w:val="1A1A1A"/>
          <w:sz w:val="22"/>
          <w:szCs w:val="22"/>
          <w:lang w:val="en-GB"/>
        </w:rPr>
        <w:t>address</w:t>
      </w:r>
      <w:r w:rsidR="00C273FD">
        <w:rPr>
          <w:color w:val="1A1A1A"/>
          <w:sz w:val="22"/>
          <w:szCs w:val="22"/>
          <w:lang w:val="en-GB"/>
        </w:rPr>
        <w:t>ed</w:t>
      </w:r>
      <w:r w:rsidR="00C273FD" w:rsidRPr="00C273FD">
        <w:rPr>
          <w:color w:val="1A1A1A"/>
          <w:sz w:val="22"/>
          <w:szCs w:val="22"/>
          <w:lang w:val="en-GB"/>
        </w:rPr>
        <w:t xml:space="preserve"> </w:t>
      </w:r>
      <w:r w:rsidRPr="00C273FD">
        <w:rPr>
          <w:color w:val="1A1A1A"/>
          <w:sz w:val="22"/>
          <w:szCs w:val="22"/>
          <w:lang w:val="en-GB"/>
        </w:rPr>
        <w:t xml:space="preserve">a meeting of investors in New York </w:t>
      </w:r>
      <w:r w:rsidR="00C273FD">
        <w:rPr>
          <w:color w:val="1A1A1A"/>
          <w:sz w:val="22"/>
          <w:szCs w:val="22"/>
          <w:lang w:val="en-GB"/>
        </w:rPr>
        <w:t xml:space="preserve">and </w:t>
      </w:r>
      <w:r w:rsidRPr="00C273FD">
        <w:rPr>
          <w:color w:val="1A1A1A"/>
          <w:sz w:val="22"/>
          <w:szCs w:val="22"/>
          <w:lang w:val="en-GB"/>
        </w:rPr>
        <w:t>spoke of India achieving an 8.5</w:t>
      </w:r>
      <w:r w:rsidR="00B50E48" w:rsidRPr="00C273FD">
        <w:rPr>
          <w:color w:val="1A1A1A"/>
          <w:sz w:val="22"/>
          <w:szCs w:val="22"/>
          <w:lang w:val="en-GB"/>
        </w:rPr>
        <w:t xml:space="preserve"> per cent</w:t>
      </w:r>
      <w:r w:rsidRPr="00C273FD">
        <w:rPr>
          <w:color w:val="1A1A1A"/>
          <w:sz w:val="22"/>
          <w:szCs w:val="22"/>
          <w:lang w:val="en-GB"/>
        </w:rPr>
        <w:t xml:space="preserve"> </w:t>
      </w:r>
      <w:r w:rsidR="00C067E1">
        <w:rPr>
          <w:color w:val="1A1A1A"/>
          <w:sz w:val="22"/>
          <w:szCs w:val="22"/>
          <w:lang w:val="en-GB"/>
        </w:rPr>
        <w:t xml:space="preserve">annual </w:t>
      </w:r>
      <w:r w:rsidRPr="00C273FD">
        <w:rPr>
          <w:color w:val="1A1A1A"/>
          <w:sz w:val="22"/>
          <w:szCs w:val="22"/>
          <w:lang w:val="en-GB"/>
        </w:rPr>
        <w:t xml:space="preserve">growth </w:t>
      </w:r>
      <w:r w:rsidR="00C067E1">
        <w:rPr>
          <w:color w:val="1A1A1A"/>
          <w:sz w:val="22"/>
          <w:szCs w:val="22"/>
          <w:lang w:val="en-GB"/>
        </w:rPr>
        <w:t xml:space="preserve">rate </w:t>
      </w:r>
      <w:r w:rsidRPr="00C273FD">
        <w:rPr>
          <w:color w:val="1A1A1A"/>
          <w:sz w:val="22"/>
          <w:szCs w:val="22"/>
          <w:lang w:val="en-GB"/>
        </w:rPr>
        <w:t>in 2016/17</w:t>
      </w:r>
      <w:r w:rsidR="00FA2BDD" w:rsidRPr="00C273FD">
        <w:rPr>
          <w:color w:val="1A1A1A"/>
          <w:sz w:val="22"/>
          <w:szCs w:val="22"/>
          <w:lang w:val="en-GB"/>
        </w:rPr>
        <w:t>.</w:t>
      </w:r>
      <w:r w:rsidRPr="00C273FD">
        <w:rPr>
          <w:rStyle w:val="EndnoteReference"/>
          <w:color w:val="1A1A1A"/>
          <w:sz w:val="22"/>
          <w:szCs w:val="22"/>
          <w:lang w:val="en-GB"/>
        </w:rPr>
        <w:endnoteReference w:id="3"/>
      </w:r>
      <w:r w:rsidRPr="00C273FD">
        <w:rPr>
          <w:color w:val="1A1A1A"/>
          <w:sz w:val="22"/>
          <w:szCs w:val="22"/>
          <w:lang w:val="en-GB"/>
        </w:rPr>
        <w:t xml:space="preserve"> The movement in the country’s macroeconomic </w:t>
      </w:r>
      <w:r w:rsidR="002C6931">
        <w:rPr>
          <w:color w:val="1A1A1A"/>
          <w:sz w:val="22"/>
          <w:szCs w:val="22"/>
          <w:lang w:val="en-GB"/>
        </w:rPr>
        <w:t>indicators</w:t>
      </w:r>
      <w:r w:rsidR="002C6931" w:rsidRPr="00C273FD">
        <w:rPr>
          <w:color w:val="1A1A1A"/>
          <w:sz w:val="22"/>
          <w:szCs w:val="22"/>
          <w:lang w:val="en-GB"/>
        </w:rPr>
        <w:t xml:space="preserve"> </w:t>
      </w:r>
      <w:r w:rsidRPr="00C273FD">
        <w:rPr>
          <w:color w:val="1A1A1A"/>
          <w:sz w:val="22"/>
          <w:szCs w:val="22"/>
          <w:lang w:val="en-GB"/>
        </w:rPr>
        <w:t xml:space="preserve">in the </w:t>
      </w:r>
      <w:r w:rsidR="00C273FD">
        <w:rPr>
          <w:color w:val="1A1A1A"/>
          <w:sz w:val="22"/>
          <w:szCs w:val="22"/>
          <w:lang w:val="en-GB"/>
        </w:rPr>
        <w:t xml:space="preserve">past </w:t>
      </w:r>
      <w:r w:rsidRPr="00C273FD">
        <w:rPr>
          <w:color w:val="1A1A1A"/>
          <w:sz w:val="22"/>
          <w:szCs w:val="22"/>
          <w:lang w:val="en-GB"/>
        </w:rPr>
        <w:t xml:space="preserve">25 years pointed to a macroeconomic turnaround. What elements </w:t>
      </w:r>
      <w:r w:rsidR="00C273FD">
        <w:rPr>
          <w:color w:val="1A1A1A"/>
          <w:sz w:val="22"/>
          <w:szCs w:val="22"/>
          <w:lang w:val="en-GB"/>
        </w:rPr>
        <w:t>constituted</w:t>
      </w:r>
      <w:r w:rsidR="00C273FD" w:rsidRPr="00C273FD">
        <w:rPr>
          <w:color w:val="1A1A1A"/>
          <w:sz w:val="22"/>
          <w:szCs w:val="22"/>
          <w:lang w:val="en-GB"/>
        </w:rPr>
        <w:t xml:space="preserve"> </w:t>
      </w:r>
      <w:r w:rsidRPr="00C273FD">
        <w:rPr>
          <w:color w:val="1A1A1A"/>
          <w:sz w:val="22"/>
          <w:szCs w:val="22"/>
          <w:lang w:val="en-GB"/>
        </w:rPr>
        <w:t xml:space="preserve">this turnaround? How strong was this turnaround story? </w:t>
      </w:r>
      <w:r w:rsidR="002C6931">
        <w:rPr>
          <w:color w:val="1A1A1A"/>
          <w:sz w:val="22"/>
          <w:szCs w:val="22"/>
          <w:lang w:val="en-GB"/>
        </w:rPr>
        <w:t xml:space="preserve">Was it sustainable? </w:t>
      </w:r>
      <w:r w:rsidRPr="00C273FD">
        <w:rPr>
          <w:color w:val="1A1A1A"/>
          <w:sz w:val="22"/>
          <w:szCs w:val="22"/>
          <w:lang w:val="en-GB"/>
        </w:rPr>
        <w:t xml:space="preserve">Could </w:t>
      </w:r>
      <w:r w:rsidR="002C6931">
        <w:rPr>
          <w:color w:val="1A1A1A"/>
          <w:sz w:val="22"/>
          <w:szCs w:val="22"/>
          <w:lang w:val="en-GB"/>
        </w:rPr>
        <w:t>internal or external factors</w:t>
      </w:r>
      <w:r w:rsidR="002C6931" w:rsidRPr="00C273FD">
        <w:rPr>
          <w:color w:val="1A1A1A"/>
          <w:sz w:val="22"/>
          <w:szCs w:val="22"/>
          <w:lang w:val="en-GB"/>
        </w:rPr>
        <w:t xml:space="preserve"> </w:t>
      </w:r>
      <w:r w:rsidRPr="00C273FD">
        <w:rPr>
          <w:color w:val="1A1A1A"/>
          <w:sz w:val="22"/>
          <w:szCs w:val="22"/>
          <w:lang w:val="en-GB"/>
        </w:rPr>
        <w:t xml:space="preserve">affect the </w:t>
      </w:r>
      <w:proofErr w:type="gramStart"/>
      <w:r w:rsidR="002C6931">
        <w:rPr>
          <w:color w:val="1A1A1A"/>
          <w:sz w:val="22"/>
          <w:szCs w:val="22"/>
          <w:lang w:val="en-GB"/>
        </w:rPr>
        <w:t>positive growth</w:t>
      </w:r>
      <w:proofErr w:type="gramEnd"/>
      <w:r w:rsidRPr="00C273FD">
        <w:rPr>
          <w:color w:val="1A1A1A"/>
          <w:sz w:val="22"/>
          <w:szCs w:val="22"/>
          <w:lang w:val="en-GB"/>
        </w:rPr>
        <w:t>?</w:t>
      </w:r>
    </w:p>
    <w:p w14:paraId="3EC098D0" w14:textId="77777777" w:rsidR="00C80ACF" w:rsidRPr="00C273FD" w:rsidRDefault="00FB2874" w:rsidP="00FB2874">
      <w:pPr>
        <w:widowControl w:val="0"/>
        <w:tabs>
          <w:tab w:val="left" w:pos="5926"/>
        </w:tabs>
        <w:autoSpaceDE w:val="0"/>
        <w:autoSpaceDN w:val="0"/>
        <w:adjustRightInd w:val="0"/>
        <w:jc w:val="both"/>
        <w:rPr>
          <w:color w:val="1A1A1A"/>
          <w:sz w:val="22"/>
          <w:szCs w:val="22"/>
          <w:lang w:val="en-GB"/>
        </w:rPr>
      </w:pPr>
      <w:r w:rsidRPr="00C273FD">
        <w:rPr>
          <w:color w:val="1A1A1A"/>
          <w:sz w:val="22"/>
          <w:szCs w:val="22"/>
          <w:lang w:val="en-GB"/>
        </w:rPr>
        <w:tab/>
      </w:r>
    </w:p>
    <w:p w14:paraId="7DB3493D" w14:textId="77777777" w:rsidR="00DF428C" w:rsidRPr="00C273FD" w:rsidRDefault="00DF428C" w:rsidP="00C80ACF">
      <w:pPr>
        <w:widowControl w:val="0"/>
        <w:autoSpaceDE w:val="0"/>
        <w:autoSpaceDN w:val="0"/>
        <w:adjustRightInd w:val="0"/>
        <w:jc w:val="both"/>
        <w:rPr>
          <w:color w:val="1A1A1A"/>
          <w:sz w:val="22"/>
          <w:szCs w:val="22"/>
          <w:lang w:val="en-GB"/>
        </w:rPr>
      </w:pPr>
    </w:p>
    <w:p w14:paraId="620D95A8" w14:textId="77777777" w:rsidR="00C80ACF" w:rsidRPr="00C273FD" w:rsidRDefault="00C80ACF"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BACKGROUND</w:t>
      </w:r>
      <w:r w:rsidRPr="00C273FD">
        <w:rPr>
          <w:rStyle w:val="EndnoteReference"/>
          <w:rFonts w:ascii="Arial" w:hAnsi="Arial" w:cs="Arial"/>
          <w:b/>
          <w:color w:val="1A1A1A"/>
          <w:lang w:val="en-GB"/>
        </w:rPr>
        <w:endnoteReference w:id="4"/>
      </w:r>
    </w:p>
    <w:p w14:paraId="3E332878" w14:textId="77777777" w:rsidR="00C80ACF" w:rsidRPr="00C273FD" w:rsidRDefault="00C80ACF" w:rsidP="00C80ACF">
      <w:pPr>
        <w:widowControl w:val="0"/>
        <w:autoSpaceDE w:val="0"/>
        <w:autoSpaceDN w:val="0"/>
        <w:adjustRightInd w:val="0"/>
        <w:jc w:val="both"/>
        <w:rPr>
          <w:color w:val="1A1A1A"/>
          <w:sz w:val="22"/>
          <w:szCs w:val="22"/>
          <w:lang w:val="en-GB"/>
        </w:rPr>
      </w:pPr>
    </w:p>
    <w:p w14:paraId="4BA466A6" w14:textId="008D403E" w:rsidR="00C80ACF" w:rsidRPr="00C273FD" w:rsidRDefault="00C80ACF" w:rsidP="00C80ACF">
      <w:pPr>
        <w:widowControl w:val="0"/>
        <w:autoSpaceDE w:val="0"/>
        <w:autoSpaceDN w:val="0"/>
        <w:adjustRightInd w:val="0"/>
        <w:jc w:val="both"/>
        <w:rPr>
          <w:color w:val="1A1A1A"/>
          <w:spacing w:val="-2"/>
          <w:kern w:val="22"/>
          <w:sz w:val="22"/>
          <w:szCs w:val="22"/>
          <w:lang w:val="en-GB"/>
        </w:rPr>
      </w:pPr>
      <w:r w:rsidRPr="00C273FD">
        <w:rPr>
          <w:color w:val="1A1A1A"/>
          <w:spacing w:val="-2"/>
          <w:kern w:val="22"/>
          <w:sz w:val="22"/>
          <w:szCs w:val="22"/>
          <w:lang w:val="en-GB"/>
        </w:rPr>
        <w:t xml:space="preserve">India had remained a closed economy until 1990/91. A severe fiscal deficit-driven BOP crisis in 1991 </w:t>
      </w:r>
      <w:r w:rsidR="00C61D07">
        <w:rPr>
          <w:color w:val="1A1A1A"/>
          <w:spacing w:val="-2"/>
          <w:kern w:val="22"/>
          <w:sz w:val="22"/>
          <w:szCs w:val="22"/>
          <w:lang w:val="en-GB"/>
        </w:rPr>
        <w:t xml:space="preserve">had </w:t>
      </w:r>
      <w:r w:rsidRPr="00C273FD">
        <w:rPr>
          <w:color w:val="1A1A1A"/>
          <w:spacing w:val="-2"/>
          <w:kern w:val="22"/>
          <w:sz w:val="22"/>
          <w:szCs w:val="22"/>
          <w:lang w:val="en-GB"/>
        </w:rPr>
        <w:t>reduced India’s foreig</w:t>
      </w:r>
      <w:r w:rsidR="00B50E48" w:rsidRPr="00C273FD">
        <w:rPr>
          <w:color w:val="1A1A1A"/>
          <w:spacing w:val="-2"/>
          <w:kern w:val="22"/>
          <w:sz w:val="22"/>
          <w:szCs w:val="22"/>
          <w:lang w:val="en-GB"/>
        </w:rPr>
        <w:t>n</w:t>
      </w:r>
      <w:r w:rsidR="00260589">
        <w:rPr>
          <w:color w:val="1A1A1A"/>
          <w:spacing w:val="-2"/>
          <w:kern w:val="22"/>
          <w:sz w:val="22"/>
          <w:szCs w:val="22"/>
          <w:lang w:val="en-GB"/>
        </w:rPr>
        <w:t xml:space="preserve"> </w:t>
      </w:r>
      <w:r w:rsidR="00B50E48" w:rsidRPr="00C273FD">
        <w:rPr>
          <w:color w:val="1A1A1A"/>
          <w:spacing w:val="-2"/>
          <w:kern w:val="22"/>
          <w:sz w:val="22"/>
          <w:szCs w:val="22"/>
          <w:lang w:val="en-GB"/>
        </w:rPr>
        <w:t xml:space="preserve">exchange reserves to </w:t>
      </w:r>
      <w:r w:rsidR="00C067E1">
        <w:rPr>
          <w:color w:val="1A1A1A"/>
          <w:spacing w:val="-2"/>
          <w:kern w:val="22"/>
          <w:sz w:val="22"/>
          <w:szCs w:val="22"/>
          <w:lang w:val="en-GB"/>
        </w:rPr>
        <w:t>less than</w:t>
      </w:r>
      <w:r w:rsidR="00C067E1" w:rsidRPr="00C273FD">
        <w:rPr>
          <w:color w:val="1A1A1A"/>
          <w:spacing w:val="-2"/>
          <w:kern w:val="22"/>
          <w:sz w:val="22"/>
          <w:szCs w:val="22"/>
          <w:lang w:val="en-GB"/>
        </w:rPr>
        <w:t xml:space="preserve"> </w:t>
      </w:r>
      <w:r w:rsidR="00B50E48" w:rsidRPr="00C273FD">
        <w:rPr>
          <w:color w:val="1A1A1A"/>
          <w:spacing w:val="-2"/>
          <w:kern w:val="22"/>
          <w:sz w:val="22"/>
          <w:szCs w:val="22"/>
          <w:lang w:val="en-GB"/>
        </w:rPr>
        <w:t>US$</w:t>
      </w:r>
      <w:r w:rsidRPr="00C273FD">
        <w:rPr>
          <w:color w:val="1A1A1A"/>
          <w:spacing w:val="-2"/>
          <w:kern w:val="22"/>
          <w:sz w:val="22"/>
          <w:szCs w:val="22"/>
          <w:lang w:val="en-GB"/>
        </w:rPr>
        <w:t>1 billion</w:t>
      </w:r>
      <w:r w:rsidR="00C61D07">
        <w:rPr>
          <w:rStyle w:val="EndnoteReference"/>
          <w:color w:val="1A1A1A"/>
          <w:spacing w:val="-2"/>
          <w:kern w:val="22"/>
          <w:sz w:val="22"/>
          <w:szCs w:val="22"/>
          <w:lang w:val="en-GB"/>
        </w:rPr>
        <w:endnoteReference w:id="5"/>
      </w:r>
      <w:r w:rsidRPr="00C273FD">
        <w:rPr>
          <w:color w:val="1A1A1A"/>
          <w:spacing w:val="-2"/>
          <w:kern w:val="22"/>
          <w:sz w:val="22"/>
          <w:szCs w:val="22"/>
          <w:lang w:val="en-GB"/>
        </w:rPr>
        <w:t xml:space="preserve"> in July 1991</w:t>
      </w:r>
      <w:r w:rsidRPr="00C273FD">
        <w:rPr>
          <w:rStyle w:val="EndnoteReference"/>
          <w:color w:val="1A1A1A"/>
          <w:spacing w:val="-2"/>
          <w:kern w:val="22"/>
          <w:sz w:val="22"/>
          <w:szCs w:val="22"/>
          <w:lang w:val="en-GB"/>
        </w:rPr>
        <w:endnoteReference w:id="6"/>
      </w:r>
      <w:r w:rsidR="00C61D07">
        <w:rPr>
          <w:color w:val="1A1A1A"/>
          <w:spacing w:val="-2"/>
          <w:kern w:val="22"/>
          <w:sz w:val="22"/>
          <w:szCs w:val="22"/>
          <w:lang w:val="en-GB"/>
        </w:rPr>
        <w:t>—</w:t>
      </w:r>
      <w:r w:rsidRPr="00C273FD">
        <w:rPr>
          <w:color w:val="1A1A1A"/>
          <w:spacing w:val="-2"/>
          <w:kern w:val="22"/>
          <w:sz w:val="22"/>
          <w:szCs w:val="22"/>
          <w:lang w:val="en-GB"/>
        </w:rPr>
        <w:t xml:space="preserve">not enough to sustain </w:t>
      </w:r>
      <w:r w:rsidR="00C61D07">
        <w:rPr>
          <w:color w:val="1A1A1A"/>
          <w:spacing w:val="-2"/>
          <w:kern w:val="22"/>
          <w:sz w:val="22"/>
          <w:szCs w:val="22"/>
          <w:lang w:val="en-GB"/>
        </w:rPr>
        <w:t>two</w:t>
      </w:r>
      <w:r w:rsidR="00C61D07" w:rsidRPr="00C273FD">
        <w:rPr>
          <w:color w:val="1A1A1A"/>
          <w:spacing w:val="-2"/>
          <w:kern w:val="22"/>
          <w:sz w:val="22"/>
          <w:szCs w:val="22"/>
          <w:lang w:val="en-GB"/>
        </w:rPr>
        <w:t xml:space="preserve"> </w:t>
      </w:r>
      <w:r w:rsidRPr="00C273FD">
        <w:rPr>
          <w:color w:val="1A1A1A"/>
          <w:spacing w:val="-2"/>
          <w:kern w:val="22"/>
          <w:sz w:val="22"/>
          <w:szCs w:val="22"/>
          <w:lang w:val="en-GB"/>
        </w:rPr>
        <w:t>weeks of imports</w:t>
      </w:r>
      <w:r w:rsidRPr="00C273FD">
        <w:rPr>
          <w:rStyle w:val="EndnoteReference"/>
          <w:color w:val="1A1A1A"/>
          <w:spacing w:val="-2"/>
          <w:kern w:val="22"/>
          <w:sz w:val="22"/>
          <w:szCs w:val="22"/>
          <w:lang w:val="en-GB"/>
        </w:rPr>
        <w:endnoteReference w:id="7"/>
      </w:r>
      <w:r w:rsidR="00C61D07">
        <w:rPr>
          <w:color w:val="1A1A1A"/>
          <w:spacing w:val="-2"/>
          <w:kern w:val="22"/>
          <w:sz w:val="22"/>
          <w:szCs w:val="22"/>
          <w:lang w:val="en-GB"/>
        </w:rPr>
        <w:t>—</w:t>
      </w:r>
      <w:r w:rsidRPr="00C273FD">
        <w:rPr>
          <w:color w:val="1A1A1A"/>
          <w:spacing w:val="-2"/>
          <w:kern w:val="22"/>
          <w:sz w:val="22"/>
          <w:szCs w:val="22"/>
          <w:lang w:val="en-GB"/>
        </w:rPr>
        <w:t>and brought India to its knees</w:t>
      </w:r>
      <w:r w:rsidR="00C61D07">
        <w:rPr>
          <w:color w:val="1A1A1A"/>
          <w:spacing w:val="-2"/>
          <w:kern w:val="22"/>
          <w:sz w:val="22"/>
          <w:szCs w:val="22"/>
          <w:lang w:val="en-GB"/>
        </w:rPr>
        <w:t>.</w:t>
      </w:r>
      <w:r w:rsidRPr="00C273FD">
        <w:rPr>
          <w:rStyle w:val="EndnoteReference"/>
          <w:color w:val="1A1A1A"/>
          <w:spacing w:val="-2"/>
          <w:kern w:val="22"/>
          <w:sz w:val="22"/>
          <w:szCs w:val="22"/>
          <w:lang w:val="en-GB"/>
        </w:rPr>
        <w:endnoteReference w:id="8"/>
      </w:r>
      <w:r w:rsidRPr="00C273FD">
        <w:rPr>
          <w:color w:val="1A1A1A"/>
          <w:spacing w:val="-2"/>
          <w:kern w:val="22"/>
          <w:sz w:val="22"/>
          <w:szCs w:val="22"/>
          <w:lang w:val="en-GB"/>
        </w:rPr>
        <w:t xml:space="preserve"> The sharp increase in oil prices following the Gulf War led to the first signs of the crisis in the second half of 1990/91. The immediate cause for the decline in foreign exchange reserves from September 1990 arose from the current account side of the BOP. Oil import prices rose sharply from $287 million per month in June</w:t>
      </w:r>
      <w:r w:rsidR="00D14AA6">
        <w:rPr>
          <w:color w:val="1A1A1A"/>
          <w:spacing w:val="-2"/>
          <w:kern w:val="22"/>
          <w:sz w:val="22"/>
          <w:szCs w:val="22"/>
          <w:lang w:val="en-GB"/>
        </w:rPr>
        <w:t>–</w:t>
      </w:r>
      <w:r w:rsidRPr="00C273FD">
        <w:rPr>
          <w:color w:val="1A1A1A"/>
          <w:spacing w:val="-2"/>
          <w:kern w:val="22"/>
          <w:sz w:val="22"/>
          <w:szCs w:val="22"/>
          <w:lang w:val="en-GB"/>
        </w:rPr>
        <w:t xml:space="preserve">August 1990 to $671 million per month in the </w:t>
      </w:r>
      <w:r w:rsidR="00C067E1">
        <w:rPr>
          <w:color w:val="1A1A1A"/>
          <w:spacing w:val="-2"/>
          <w:kern w:val="22"/>
          <w:sz w:val="22"/>
          <w:szCs w:val="22"/>
          <w:lang w:val="en-GB"/>
        </w:rPr>
        <w:t xml:space="preserve">following </w:t>
      </w:r>
      <w:r w:rsidRPr="00C273FD">
        <w:rPr>
          <w:color w:val="1A1A1A"/>
          <w:spacing w:val="-2"/>
          <w:kern w:val="22"/>
          <w:sz w:val="22"/>
          <w:szCs w:val="22"/>
          <w:lang w:val="en-GB"/>
        </w:rPr>
        <w:t xml:space="preserve">six months, accounting for the rise in trade deficit from $356 million per month to $677 million per month over the same period. The rise in the cost of oil imports was aggravated by the cessation of exports to Iraq and Kuwait worth </w:t>
      </w:r>
      <w:r w:rsidR="00D14AA6">
        <w:rPr>
          <w:color w:val="1A1A1A"/>
          <w:spacing w:val="-2"/>
          <w:kern w:val="22"/>
          <w:sz w:val="22"/>
          <w:szCs w:val="22"/>
          <w:lang w:val="en-GB"/>
        </w:rPr>
        <w:t>more than</w:t>
      </w:r>
      <w:r w:rsidR="00D14AA6" w:rsidRPr="00C273FD">
        <w:rPr>
          <w:color w:val="1A1A1A"/>
          <w:spacing w:val="-2"/>
          <w:kern w:val="22"/>
          <w:sz w:val="22"/>
          <w:szCs w:val="22"/>
          <w:lang w:val="en-GB"/>
        </w:rPr>
        <w:t xml:space="preserve"> </w:t>
      </w:r>
      <w:r w:rsidRPr="00C273FD">
        <w:rPr>
          <w:color w:val="1A1A1A"/>
          <w:spacing w:val="-2"/>
          <w:kern w:val="22"/>
          <w:sz w:val="22"/>
          <w:szCs w:val="22"/>
          <w:lang w:val="en-GB"/>
        </w:rPr>
        <w:t>$280 million</w:t>
      </w:r>
      <w:r w:rsidR="00D14AA6">
        <w:rPr>
          <w:color w:val="1A1A1A"/>
          <w:spacing w:val="-2"/>
          <w:kern w:val="22"/>
          <w:sz w:val="22"/>
          <w:szCs w:val="22"/>
          <w:lang w:val="en-GB"/>
        </w:rPr>
        <w:t>,</w:t>
      </w:r>
      <w:r w:rsidRPr="00C273FD">
        <w:rPr>
          <w:color w:val="1A1A1A"/>
          <w:spacing w:val="-2"/>
          <w:kern w:val="22"/>
          <w:sz w:val="22"/>
          <w:szCs w:val="22"/>
          <w:lang w:val="en-GB"/>
        </w:rPr>
        <w:t xml:space="preserve"> following the United Nations trade embargo on Iraq, </w:t>
      </w:r>
      <w:r w:rsidR="00D14AA6">
        <w:rPr>
          <w:color w:val="1A1A1A"/>
          <w:spacing w:val="-2"/>
          <w:kern w:val="22"/>
          <w:sz w:val="22"/>
          <w:szCs w:val="22"/>
          <w:lang w:val="en-GB"/>
        </w:rPr>
        <w:t>and</w:t>
      </w:r>
      <w:r w:rsidRPr="00C273FD">
        <w:rPr>
          <w:color w:val="1A1A1A"/>
          <w:spacing w:val="-2"/>
          <w:kern w:val="22"/>
          <w:sz w:val="22"/>
          <w:szCs w:val="22"/>
          <w:lang w:val="en-GB"/>
        </w:rPr>
        <w:t xml:space="preserve"> the loss in remittance flows, as Indians working in Kuwait had to be </w:t>
      </w:r>
      <w:proofErr w:type="gramStart"/>
      <w:r w:rsidRPr="00C273FD">
        <w:rPr>
          <w:color w:val="1A1A1A"/>
          <w:spacing w:val="-2"/>
          <w:kern w:val="22"/>
          <w:sz w:val="22"/>
          <w:szCs w:val="22"/>
          <w:lang w:val="en-GB"/>
        </w:rPr>
        <w:t>air-lifted</w:t>
      </w:r>
      <w:proofErr w:type="gramEnd"/>
      <w:r w:rsidRPr="00C273FD">
        <w:rPr>
          <w:color w:val="1A1A1A"/>
          <w:spacing w:val="-2"/>
          <w:kern w:val="22"/>
          <w:sz w:val="22"/>
          <w:szCs w:val="22"/>
          <w:lang w:val="en-GB"/>
        </w:rPr>
        <w:t xml:space="preserve"> following developments in the region. </w:t>
      </w:r>
    </w:p>
    <w:p w14:paraId="7D02CD16" w14:textId="77777777" w:rsidR="00C80ACF" w:rsidRPr="00C273FD" w:rsidRDefault="00C80ACF" w:rsidP="00C80ACF">
      <w:pPr>
        <w:widowControl w:val="0"/>
        <w:autoSpaceDE w:val="0"/>
        <w:autoSpaceDN w:val="0"/>
        <w:adjustRightInd w:val="0"/>
        <w:jc w:val="both"/>
        <w:rPr>
          <w:color w:val="1A1A1A"/>
          <w:sz w:val="22"/>
          <w:szCs w:val="22"/>
          <w:lang w:val="en-GB"/>
        </w:rPr>
      </w:pPr>
    </w:p>
    <w:p w14:paraId="6F82BC93" w14:textId="35ED2DB3"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w:t>
      </w:r>
      <w:r w:rsidR="00C067E1">
        <w:rPr>
          <w:color w:val="1A1A1A"/>
          <w:sz w:val="22"/>
          <w:szCs w:val="22"/>
          <w:lang w:val="en-GB"/>
        </w:rPr>
        <w:t>changes to</w:t>
      </w:r>
      <w:r w:rsidRPr="00C273FD">
        <w:rPr>
          <w:color w:val="1A1A1A"/>
          <w:sz w:val="22"/>
          <w:szCs w:val="22"/>
          <w:lang w:val="en-GB"/>
        </w:rPr>
        <w:t xml:space="preserve"> the capital account, accompanying </w:t>
      </w:r>
      <w:r w:rsidR="00C067E1">
        <w:rPr>
          <w:color w:val="1A1A1A"/>
          <w:sz w:val="22"/>
          <w:szCs w:val="22"/>
          <w:lang w:val="en-GB"/>
        </w:rPr>
        <w:t>changes in</w:t>
      </w:r>
      <w:r w:rsidRPr="00C273FD">
        <w:rPr>
          <w:color w:val="1A1A1A"/>
          <w:sz w:val="22"/>
          <w:szCs w:val="22"/>
          <w:lang w:val="en-GB"/>
        </w:rPr>
        <w:t xml:space="preserve"> the trade account, exacerbated the situation and reflected a crisis of confidence in the government’s ability to manage the situation. </w:t>
      </w:r>
      <w:r w:rsidR="00D14AA6">
        <w:rPr>
          <w:color w:val="1A1A1A"/>
          <w:sz w:val="22"/>
          <w:szCs w:val="22"/>
          <w:lang w:val="en-GB"/>
        </w:rPr>
        <w:t>Both s</w:t>
      </w:r>
      <w:r w:rsidRPr="00C273FD">
        <w:rPr>
          <w:color w:val="1A1A1A"/>
          <w:sz w:val="22"/>
          <w:szCs w:val="22"/>
          <w:lang w:val="en-GB"/>
        </w:rPr>
        <w:t xml:space="preserve">hort-term credit </w:t>
      </w:r>
      <w:r w:rsidR="00D14AA6">
        <w:rPr>
          <w:color w:val="1A1A1A"/>
          <w:sz w:val="22"/>
          <w:szCs w:val="22"/>
          <w:lang w:val="en-GB"/>
        </w:rPr>
        <w:t xml:space="preserve">and </w:t>
      </w:r>
      <w:r w:rsidRPr="00C273FD">
        <w:rPr>
          <w:color w:val="1A1A1A"/>
          <w:sz w:val="22"/>
          <w:szCs w:val="22"/>
          <w:lang w:val="en-GB"/>
        </w:rPr>
        <w:t xml:space="preserve">medium-term commercial loans dried up and became costlier as India’s credit rating </w:t>
      </w:r>
      <w:r w:rsidR="00C067E1">
        <w:rPr>
          <w:color w:val="1A1A1A"/>
          <w:sz w:val="22"/>
          <w:szCs w:val="22"/>
          <w:lang w:val="en-GB"/>
        </w:rPr>
        <w:t>decreased</w:t>
      </w:r>
      <w:r w:rsidRPr="00C273FD">
        <w:rPr>
          <w:color w:val="1A1A1A"/>
          <w:sz w:val="22"/>
          <w:szCs w:val="22"/>
          <w:lang w:val="en-GB"/>
        </w:rPr>
        <w:t xml:space="preserve">. </w:t>
      </w:r>
      <w:r w:rsidR="00D14AA6">
        <w:rPr>
          <w:color w:val="1A1A1A"/>
          <w:sz w:val="22"/>
          <w:szCs w:val="22"/>
          <w:lang w:val="en-GB"/>
        </w:rPr>
        <w:t xml:space="preserve">April–June 1991 saw </w:t>
      </w:r>
      <w:r w:rsidRPr="00C273FD">
        <w:rPr>
          <w:color w:val="1A1A1A"/>
          <w:sz w:val="22"/>
          <w:szCs w:val="22"/>
          <w:lang w:val="en-GB"/>
        </w:rPr>
        <w:t xml:space="preserve">an outflow </w:t>
      </w:r>
      <w:r w:rsidR="00D14AA6">
        <w:rPr>
          <w:color w:val="1A1A1A"/>
          <w:sz w:val="22"/>
          <w:szCs w:val="22"/>
          <w:lang w:val="en-GB"/>
        </w:rPr>
        <w:t xml:space="preserve">from the country </w:t>
      </w:r>
      <w:r w:rsidRPr="00C273FD">
        <w:rPr>
          <w:color w:val="1A1A1A"/>
          <w:sz w:val="22"/>
          <w:szCs w:val="22"/>
          <w:lang w:val="en-GB"/>
        </w:rPr>
        <w:t xml:space="preserve">of </w:t>
      </w:r>
      <w:r w:rsidR="00D14AA6">
        <w:rPr>
          <w:color w:val="1A1A1A"/>
          <w:sz w:val="22"/>
          <w:szCs w:val="22"/>
          <w:lang w:val="en-GB"/>
        </w:rPr>
        <w:t>n</w:t>
      </w:r>
      <w:r w:rsidRPr="00C273FD">
        <w:rPr>
          <w:color w:val="1A1A1A"/>
          <w:sz w:val="22"/>
          <w:szCs w:val="22"/>
          <w:lang w:val="en-GB"/>
        </w:rPr>
        <w:t>on</w:t>
      </w:r>
      <w:r w:rsidR="00D14AA6">
        <w:rPr>
          <w:color w:val="1A1A1A"/>
          <w:sz w:val="22"/>
          <w:szCs w:val="22"/>
          <w:lang w:val="en-GB"/>
        </w:rPr>
        <w:t>-r</w:t>
      </w:r>
      <w:r w:rsidRPr="00C273FD">
        <w:rPr>
          <w:color w:val="1A1A1A"/>
          <w:sz w:val="22"/>
          <w:szCs w:val="22"/>
          <w:lang w:val="en-GB"/>
        </w:rPr>
        <w:t xml:space="preserve">esident Indian deposits worth $952 million. </w:t>
      </w:r>
    </w:p>
    <w:p w14:paraId="7FC3B9C7" w14:textId="5DAE288E"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lastRenderedPageBreak/>
        <w:t>The government undertook a series of policy counter-measures in the second half of 1990/91 to compress imports as a means of managing the BOP. However, these measures proved counter-productive, leading to a drastic decline in the Index of Industrial Production (IIP)</w:t>
      </w:r>
      <w:r w:rsidR="00D14AA6">
        <w:rPr>
          <w:color w:val="1A1A1A"/>
          <w:sz w:val="22"/>
          <w:szCs w:val="22"/>
          <w:lang w:val="en-GB"/>
        </w:rPr>
        <w:t>, which</w:t>
      </w:r>
      <w:r w:rsidRPr="00C273FD">
        <w:rPr>
          <w:color w:val="1A1A1A"/>
          <w:sz w:val="22"/>
          <w:szCs w:val="22"/>
          <w:lang w:val="en-GB"/>
        </w:rPr>
        <w:t xml:space="preserve"> decelerated by 3 per cent in June 1991/92, compared </w:t>
      </w:r>
      <w:r w:rsidR="00D14AA6">
        <w:rPr>
          <w:color w:val="1A1A1A"/>
          <w:sz w:val="22"/>
          <w:szCs w:val="22"/>
          <w:lang w:val="en-GB"/>
        </w:rPr>
        <w:t>with</w:t>
      </w:r>
      <w:r w:rsidR="00D14AA6" w:rsidRPr="00C273FD">
        <w:rPr>
          <w:color w:val="1A1A1A"/>
          <w:sz w:val="22"/>
          <w:szCs w:val="22"/>
          <w:lang w:val="en-GB"/>
        </w:rPr>
        <w:t xml:space="preserve"> </w:t>
      </w:r>
      <w:r w:rsidRPr="00C273FD">
        <w:rPr>
          <w:color w:val="1A1A1A"/>
          <w:sz w:val="22"/>
          <w:szCs w:val="22"/>
          <w:lang w:val="en-GB"/>
        </w:rPr>
        <w:t xml:space="preserve">a 12.1 per cent increase in June 1990/91. Such import compression </w:t>
      </w:r>
      <w:proofErr w:type="gramStart"/>
      <w:r w:rsidRPr="00C273FD">
        <w:rPr>
          <w:color w:val="1A1A1A"/>
          <w:sz w:val="22"/>
          <w:szCs w:val="22"/>
          <w:lang w:val="en-GB"/>
        </w:rPr>
        <w:t>could not have been sustained</w:t>
      </w:r>
      <w:proofErr w:type="gramEnd"/>
      <w:r w:rsidRPr="00C273FD">
        <w:rPr>
          <w:color w:val="1A1A1A"/>
          <w:sz w:val="22"/>
          <w:szCs w:val="22"/>
          <w:lang w:val="en-GB"/>
        </w:rPr>
        <w:t xml:space="preserve"> without a resultant loss in production and employment</w:t>
      </w:r>
      <w:r w:rsidR="00D14AA6">
        <w:rPr>
          <w:color w:val="1A1A1A"/>
          <w:sz w:val="22"/>
          <w:szCs w:val="22"/>
          <w:lang w:val="en-GB"/>
        </w:rPr>
        <w:t>,</w:t>
      </w:r>
      <w:r w:rsidRPr="00C273FD">
        <w:rPr>
          <w:color w:val="1A1A1A"/>
          <w:sz w:val="22"/>
          <w:szCs w:val="22"/>
          <w:lang w:val="en-GB"/>
        </w:rPr>
        <w:t xml:space="preserve"> and the consequent economic chaos. The </w:t>
      </w:r>
      <w:r w:rsidR="00D14AA6">
        <w:rPr>
          <w:color w:val="1A1A1A"/>
          <w:sz w:val="22"/>
          <w:szCs w:val="22"/>
          <w:lang w:val="en-GB"/>
        </w:rPr>
        <w:t xml:space="preserve">Government of India’s </w:t>
      </w:r>
      <w:r w:rsidRPr="00C273FD">
        <w:rPr>
          <w:color w:val="1A1A1A"/>
          <w:sz w:val="22"/>
          <w:szCs w:val="22"/>
          <w:lang w:val="en-GB"/>
        </w:rPr>
        <w:t>Econo</w:t>
      </w:r>
      <w:r w:rsidR="004E600B" w:rsidRPr="00C273FD">
        <w:rPr>
          <w:color w:val="1A1A1A"/>
          <w:sz w:val="22"/>
          <w:szCs w:val="22"/>
          <w:lang w:val="en-GB"/>
        </w:rPr>
        <w:t>mic Survey for 1991/92 noted, “</w:t>
      </w:r>
      <w:r w:rsidRPr="00C273FD">
        <w:rPr>
          <w:color w:val="1A1A1A"/>
          <w:sz w:val="22"/>
          <w:szCs w:val="22"/>
          <w:lang w:val="en-GB"/>
        </w:rPr>
        <w:t>A default on payment for the first time in our history had become a serious possibility in June 1991</w:t>
      </w:r>
      <w:r w:rsidR="00FA2BDD" w:rsidRPr="00C273FD">
        <w:rPr>
          <w:color w:val="1A1A1A"/>
          <w:sz w:val="22"/>
          <w:szCs w:val="22"/>
          <w:lang w:val="en-GB"/>
        </w:rPr>
        <w:t>.</w:t>
      </w:r>
      <w:r w:rsidRPr="00C273FD">
        <w:rPr>
          <w:color w:val="1A1A1A"/>
          <w:sz w:val="22"/>
          <w:szCs w:val="22"/>
          <w:lang w:val="en-GB"/>
        </w:rPr>
        <w:t>”</w:t>
      </w:r>
      <w:r w:rsidRPr="00C273FD">
        <w:rPr>
          <w:rStyle w:val="EndnoteReference"/>
          <w:color w:val="1A1A1A"/>
          <w:sz w:val="22"/>
          <w:szCs w:val="22"/>
          <w:lang w:val="en-GB"/>
        </w:rPr>
        <w:endnoteReference w:id="9"/>
      </w:r>
    </w:p>
    <w:p w14:paraId="12BAFE22" w14:textId="77777777" w:rsidR="00C80ACF" w:rsidRPr="00C273FD" w:rsidRDefault="00C80ACF" w:rsidP="00C80ACF">
      <w:pPr>
        <w:widowControl w:val="0"/>
        <w:autoSpaceDE w:val="0"/>
        <w:autoSpaceDN w:val="0"/>
        <w:adjustRightInd w:val="0"/>
        <w:jc w:val="both"/>
        <w:rPr>
          <w:color w:val="1A1A1A"/>
          <w:sz w:val="22"/>
          <w:szCs w:val="22"/>
          <w:lang w:val="en-GB"/>
        </w:rPr>
      </w:pPr>
    </w:p>
    <w:p w14:paraId="2AB41520" w14:textId="041B44D4"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A new government assumed office in June 1991</w:t>
      </w:r>
      <w:r w:rsidR="00FA2BDD" w:rsidRPr="00C273FD">
        <w:rPr>
          <w:color w:val="1A1A1A"/>
          <w:sz w:val="22"/>
          <w:szCs w:val="22"/>
          <w:lang w:val="en-GB"/>
        </w:rPr>
        <w:t>.</w:t>
      </w:r>
      <w:r w:rsidRPr="00C273FD">
        <w:rPr>
          <w:rStyle w:val="EndnoteReference"/>
          <w:color w:val="1A1A1A"/>
          <w:sz w:val="22"/>
          <w:szCs w:val="22"/>
          <w:lang w:val="en-GB"/>
        </w:rPr>
        <w:endnoteReference w:id="10"/>
      </w:r>
      <w:r w:rsidRPr="00C273FD">
        <w:rPr>
          <w:color w:val="1A1A1A"/>
          <w:sz w:val="22"/>
          <w:szCs w:val="22"/>
          <w:lang w:val="en-GB"/>
        </w:rPr>
        <w:t xml:space="preserve"> To restore confidence, the </w:t>
      </w:r>
      <w:r w:rsidR="00D14AA6">
        <w:rPr>
          <w:color w:val="1A1A1A"/>
          <w:sz w:val="22"/>
          <w:szCs w:val="22"/>
          <w:lang w:val="en-GB"/>
        </w:rPr>
        <w:t xml:space="preserve">government’s </w:t>
      </w:r>
      <w:r w:rsidRPr="00C273FD">
        <w:rPr>
          <w:color w:val="1A1A1A"/>
          <w:sz w:val="22"/>
          <w:szCs w:val="22"/>
          <w:lang w:val="en-GB"/>
        </w:rPr>
        <w:t>first step was to “lease 20 tonnes of gold out of its stock to the State Bank of India to enable it to sell the gold abroad with an option to repurchase it at the end of six months</w:t>
      </w:r>
      <w:r w:rsidR="00FA2BDD" w:rsidRPr="00C273FD">
        <w:rPr>
          <w:color w:val="1A1A1A"/>
          <w:sz w:val="22"/>
          <w:szCs w:val="22"/>
          <w:lang w:val="en-GB"/>
        </w:rPr>
        <w:t>.</w:t>
      </w:r>
      <w:r w:rsidR="00D14AA6">
        <w:rPr>
          <w:color w:val="1A1A1A"/>
          <w:sz w:val="22"/>
          <w:szCs w:val="22"/>
          <w:lang w:val="en-GB"/>
        </w:rPr>
        <w:t>”</w:t>
      </w:r>
      <w:r w:rsidRPr="00C273FD">
        <w:rPr>
          <w:rStyle w:val="EndnoteReference"/>
          <w:color w:val="1A1A1A"/>
          <w:sz w:val="22"/>
          <w:szCs w:val="22"/>
          <w:lang w:val="en-GB"/>
        </w:rPr>
        <w:endnoteReference w:id="11"/>
      </w:r>
      <w:r w:rsidRPr="00C273FD">
        <w:rPr>
          <w:color w:val="1A1A1A"/>
          <w:sz w:val="22"/>
          <w:szCs w:val="22"/>
          <w:lang w:val="en-GB"/>
        </w:rPr>
        <w:t xml:space="preserve"> In addition, it allowed the Reserve Bank of India (RBI) to ship 47 tonnes of gold to the Bank of England in July 1991 to raise $600 million.</w:t>
      </w:r>
    </w:p>
    <w:p w14:paraId="599B3DFF" w14:textId="77777777" w:rsidR="00C80ACF" w:rsidRPr="00C273FD" w:rsidRDefault="00C80ACF" w:rsidP="00C80ACF">
      <w:pPr>
        <w:widowControl w:val="0"/>
        <w:autoSpaceDE w:val="0"/>
        <w:autoSpaceDN w:val="0"/>
        <w:adjustRightInd w:val="0"/>
        <w:jc w:val="both"/>
        <w:rPr>
          <w:color w:val="1A1A1A"/>
          <w:sz w:val="22"/>
          <w:szCs w:val="22"/>
          <w:lang w:val="en-GB"/>
        </w:rPr>
      </w:pPr>
    </w:p>
    <w:p w14:paraId="33A64384" w14:textId="2AF40E0C"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To find a sustainable solution to the crisis, the government embarked on a </w:t>
      </w:r>
      <w:r w:rsidR="00C553D2">
        <w:rPr>
          <w:color w:val="1A1A1A"/>
          <w:sz w:val="22"/>
          <w:szCs w:val="22"/>
          <w:lang w:val="en-GB"/>
        </w:rPr>
        <w:t>n</w:t>
      </w:r>
      <w:r w:rsidRPr="00C273FD">
        <w:rPr>
          <w:color w:val="1A1A1A"/>
          <w:sz w:val="22"/>
          <w:szCs w:val="22"/>
          <w:lang w:val="en-GB"/>
        </w:rPr>
        <w:t xml:space="preserve">ew </w:t>
      </w:r>
      <w:r w:rsidR="00C553D2">
        <w:rPr>
          <w:color w:val="1A1A1A"/>
          <w:sz w:val="22"/>
          <w:szCs w:val="22"/>
          <w:lang w:val="en-GB"/>
        </w:rPr>
        <w:t>e</w:t>
      </w:r>
      <w:r w:rsidRPr="00C273FD">
        <w:rPr>
          <w:color w:val="1A1A1A"/>
          <w:sz w:val="22"/>
          <w:szCs w:val="22"/>
          <w:lang w:val="en-GB"/>
        </w:rPr>
        <w:t xml:space="preserve">conomic </w:t>
      </w:r>
      <w:r w:rsidR="00C553D2">
        <w:rPr>
          <w:color w:val="1A1A1A"/>
          <w:sz w:val="22"/>
          <w:szCs w:val="22"/>
          <w:lang w:val="en-GB"/>
        </w:rPr>
        <w:t>p</w:t>
      </w:r>
      <w:r w:rsidRPr="00C273FD">
        <w:rPr>
          <w:color w:val="1A1A1A"/>
          <w:sz w:val="22"/>
          <w:szCs w:val="22"/>
          <w:lang w:val="en-GB"/>
        </w:rPr>
        <w:t>olicy, comprising privati</w:t>
      </w:r>
      <w:r w:rsidR="00C553D2">
        <w:rPr>
          <w:color w:val="1A1A1A"/>
          <w:sz w:val="22"/>
          <w:szCs w:val="22"/>
          <w:lang w:val="en-GB"/>
        </w:rPr>
        <w:t>z</w:t>
      </w:r>
      <w:r w:rsidRPr="00C273FD">
        <w:rPr>
          <w:color w:val="1A1A1A"/>
          <w:sz w:val="22"/>
          <w:szCs w:val="22"/>
          <w:lang w:val="en-GB"/>
        </w:rPr>
        <w:t>ation, liberali</w:t>
      </w:r>
      <w:r w:rsidR="00C553D2">
        <w:rPr>
          <w:color w:val="1A1A1A"/>
          <w:sz w:val="22"/>
          <w:szCs w:val="22"/>
          <w:lang w:val="en-GB"/>
        </w:rPr>
        <w:t>z</w:t>
      </w:r>
      <w:r w:rsidRPr="00C273FD">
        <w:rPr>
          <w:color w:val="1A1A1A"/>
          <w:sz w:val="22"/>
          <w:szCs w:val="22"/>
          <w:lang w:val="en-GB"/>
        </w:rPr>
        <w:t>ation</w:t>
      </w:r>
      <w:r w:rsidR="00C553D2">
        <w:rPr>
          <w:color w:val="1A1A1A"/>
          <w:sz w:val="22"/>
          <w:szCs w:val="22"/>
          <w:lang w:val="en-GB"/>
        </w:rPr>
        <w:t>,</w:t>
      </w:r>
      <w:r w:rsidRPr="00C273FD">
        <w:rPr>
          <w:color w:val="1A1A1A"/>
          <w:sz w:val="22"/>
          <w:szCs w:val="22"/>
          <w:lang w:val="en-GB"/>
        </w:rPr>
        <w:t xml:space="preserve"> and globali</w:t>
      </w:r>
      <w:r w:rsidR="00C553D2">
        <w:rPr>
          <w:color w:val="1A1A1A"/>
          <w:sz w:val="22"/>
          <w:szCs w:val="22"/>
          <w:lang w:val="en-GB"/>
        </w:rPr>
        <w:t>z</w:t>
      </w:r>
      <w:r w:rsidRPr="00C273FD">
        <w:rPr>
          <w:color w:val="1A1A1A"/>
          <w:sz w:val="22"/>
          <w:szCs w:val="22"/>
          <w:lang w:val="en-GB"/>
        </w:rPr>
        <w:t xml:space="preserve">ation. The then finance minister had quoted the French novelist Victor Hugo when presenting the </w:t>
      </w:r>
      <w:r w:rsidR="00C553D2">
        <w:rPr>
          <w:color w:val="1A1A1A"/>
          <w:sz w:val="22"/>
          <w:szCs w:val="22"/>
          <w:lang w:val="en-GB"/>
        </w:rPr>
        <w:t>u</w:t>
      </w:r>
      <w:r w:rsidRPr="00C273FD">
        <w:rPr>
          <w:color w:val="1A1A1A"/>
          <w:sz w:val="22"/>
          <w:szCs w:val="22"/>
          <w:lang w:val="en-GB"/>
        </w:rPr>
        <w:t xml:space="preserve">nion </w:t>
      </w:r>
      <w:r w:rsidR="00C553D2">
        <w:rPr>
          <w:color w:val="1A1A1A"/>
          <w:sz w:val="22"/>
          <w:szCs w:val="22"/>
          <w:lang w:val="en-GB"/>
        </w:rPr>
        <w:t>b</w:t>
      </w:r>
      <w:r w:rsidRPr="00C273FD">
        <w:rPr>
          <w:color w:val="1A1A1A"/>
          <w:sz w:val="22"/>
          <w:szCs w:val="22"/>
          <w:lang w:val="en-GB"/>
        </w:rPr>
        <w:t xml:space="preserve">udget on July 24, 1991: “No power on earth can stop an idea whose time has come.” He concluded the budget with the declaration: “Let the whole world hear it loud and clear. India is now </w:t>
      </w:r>
      <w:proofErr w:type="gramStart"/>
      <w:r w:rsidRPr="00C273FD">
        <w:rPr>
          <w:color w:val="1A1A1A"/>
          <w:sz w:val="22"/>
          <w:szCs w:val="22"/>
          <w:lang w:val="en-GB"/>
        </w:rPr>
        <w:t>wide awake</w:t>
      </w:r>
      <w:proofErr w:type="gramEnd"/>
      <w:r w:rsidRPr="00C273FD">
        <w:rPr>
          <w:color w:val="1A1A1A"/>
          <w:sz w:val="22"/>
          <w:szCs w:val="22"/>
          <w:lang w:val="en-GB"/>
        </w:rPr>
        <w:t>. We shall prevail. We shall overcome.”</w:t>
      </w:r>
      <w:r w:rsidRPr="00C273FD">
        <w:rPr>
          <w:rStyle w:val="EndnoteReference"/>
          <w:color w:val="1A1A1A"/>
          <w:sz w:val="22"/>
          <w:szCs w:val="22"/>
          <w:lang w:val="en-GB"/>
        </w:rPr>
        <w:endnoteReference w:id="12"/>
      </w:r>
      <w:r w:rsidRPr="00C273FD">
        <w:rPr>
          <w:color w:val="1A1A1A"/>
          <w:sz w:val="22"/>
          <w:szCs w:val="22"/>
          <w:lang w:val="en-GB"/>
        </w:rPr>
        <w:t xml:space="preserve"> </w:t>
      </w:r>
    </w:p>
    <w:p w14:paraId="0C78FDAA" w14:textId="77777777" w:rsidR="00C80ACF" w:rsidRPr="00C273FD" w:rsidRDefault="00C80ACF" w:rsidP="00C80ACF">
      <w:pPr>
        <w:widowControl w:val="0"/>
        <w:autoSpaceDE w:val="0"/>
        <w:autoSpaceDN w:val="0"/>
        <w:adjustRightInd w:val="0"/>
        <w:jc w:val="both"/>
        <w:rPr>
          <w:color w:val="1A1A1A"/>
          <w:sz w:val="22"/>
          <w:szCs w:val="22"/>
          <w:lang w:val="en-GB"/>
        </w:rPr>
      </w:pPr>
    </w:p>
    <w:p w14:paraId="18A82D04" w14:textId="0F16EBFD" w:rsidR="00C80ACF" w:rsidRPr="00C273FD" w:rsidRDefault="00E91627" w:rsidP="00C80ACF">
      <w:pPr>
        <w:widowControl w:val="0"/>
        <w:autoSpaceDE w:val="0"/>
        <w:autoSpaceDN w:val="0"/>
        <w:adjustRightInd w:val="0"/>
        <w:jc w:val="both"/>
        <w:rPr>
          <w:color w:val="1A1A1A"/>
          <w:spacing w:val="-2"/>
          <w:kern w:val="22"/>
          <w:sz w:val="22"/>
          <w:szCs w:val="22"/>
          <w:lang w:val="en-GB"/>
        </w:rPr>
      </w:pPr>
      <w:r>
        <w:rPr>
          <w:color w:val="1A1A1A"/>
          <w:spacing w:val="-2"/>
          <w:kern w:val="22"/>
          <w:sz w:val="22"/>
          <w:szCs w:val="22"/>
          <w:lang w:val="en-GB"/>
        </w:rPr>
        <w:t>T</w:t>
      </w:r>
      <w:r w:rsidR="00C80ACF" w:rsidRPr="00C273FD">
        <w:rPr>
          <w:color w:val="1A1A1A"/>
          <w:spacing w:val="-2"/>
          <w:kern w:val="22"/>
          <w:sz w:val="22"/>
          <w:szCs w:val="22"/>
          <w:lang w:val="en-GB"/>
        </w:rPr>
        <w:t xml:space="preserve">he Government </w:t>
      </w:r>
      <w:r w:rsidR="00C907CF">
        <w:rPr>
          <w:color w:val="1A1A1A"/>
          <w:spacing w:val="-2"/>
          <w:kern w:val="22"/>
          <w:sz w:val="22"/>
          <w:szCs w:val="22"/>
          <w:lang w:val="en-GB"/>
        </w:rPr>
        <w:t xml:space="preserve">of India </w:t>
      </w:r>
      <w:r>
        <w:rPr>
          <w:color w:val="1A1A1A"/>
          <w:spacing w:val="-2"/>
          <w:kern w:val="22"/>
          <w:sz w:val="22"/>
          <w:szCs w:val="22"/>
          <w:lang w:val="en-GB"/>
        </w:rPr>
        <w:t xml:space="preserve">undertook four major policy initiatives </w:t>
      </w:r>
      <w:r w:rsidR="00C80ACF" w:rsidRPr="00C273FD">
        <w:rPr>
          <w:color w:val="1A1A1A"/>
          <w:spacing w:val="-2"/>
          <w:kern w:val="22"/>
          <w:sz w:val="22"/>
          <w:szCs w:val="22"/>
          <w:lang w:val="en-GB"/>
        </w:rPr>
        <w:t>to address the BOP problem and the structural rigidities</w:t>
      </w:r>
      <w:r>
        <w:rPr>
          <w:color w:val="1A1A1A"/>
          <w:spacing w:val="-2"/>
          <w:kern w:val="22"/>
          <w:sz w:val="22"/>
          <w:szCs w:val="22"/>
          <w:lang w:val="en-GB"/>
        </w:rPr>
        <w:t>:</w:t>
      </w:r>
      <w:r w:rsidR="00C80ACF" w:rsidRPr="00C273FD">
        <w:rPr>
          <w:color w:val="1A1A1A"/>
          <w:spacing w:val="-2"/>
          <w:kern w:val="22"/>
          <w:sz w:val="22"/>
          <w:szCs w:val="22"/>
          <w:lang w:val="en-GB"/>
        </w:rPr>
        <w:t xml:space="preserve"> </w:t>
      </w:r>
      <w:r w:rsidR="00C067E1">
        <w:rPr>
          <w:color w:val="1A1A1A"/>
          <w:spacing w:val="-2"/>
          <w:kern w:val="22"/>
          <w:sz w:val="22"/>
          <w:szCs w:val="22"/>
          <w:lang w:val="en-GB"/>
        </w:rPr>
        <w:t xml:space="preserve">a </w:t>
      </w:r>
      <w:r w:rsidR="00C80ACF" w:rsidRPr="00C273FD">
        <w:rPr>
          <w:color w:val="1A1A1A"/>
          <w:spacing w:val="-2"/>
          <w:kern w:val="22"/>
          <w:sz w:val="22"/>
          <w:szCs w:val="22"/>
          <w:lang w:val="en-GB"/>
        </w:rPr>
        <w:t>fiscal correction, trade policy reforms, industrial policy reforms</w:t>
      </w:r>
      <w:r w:rsidR="00C907CF">
        <w:rPr>
          <w:color w:val="1A1A1A"/>
          <w:spacing w:val="-2"/>
          <w:kern w:val="22"/>
          <w:sz w:val="22"/>
          <w:szCs w:val="22"/>
          <w:lang w:val="en-GB"/>
        </w:rPr>
        <w:t>,</w:t>
      </w:r>
      <w:r w:rsidR="00C80ACF" w:rsidRPr="00C273FD">
        <w:rPr>
          <w:color w:val="1A1A1A"/>
          <w:spacing w:val="-2"/>
          <w:kern w:val="22"/>
          <w:sz w:val="22"/>
          <w:szCs w:val="22"/>
          <w:lang w:val="en-GB"/>
        </w:rPr>
        <w:t xml:space="preserve"> and public sector reforms. </w:t>
      </w:r>
      <w:r w:rsidR="00C907CF">
        <w:rPr>
          <w:color w:val="1A1A1A"/>
          <w:spacing w:val="-2"/>
          <w:kern w:val="22"/>
          <w:sz w:val="22"/>
          <w:szCs w:val="22"/>
          <w:lang w:val="en-GB"/>
        </w:rPr>
        <w:t xml:space="preserve">To tide things over, </w:t>
      </w:r>
      <w:r w:rsidR="00C80ACF" w:rsidRPr="00C273FD">
        <w:rPr>
          <w:color w:val="1A1A1A"/>
          <w:spacing w:val="-2"/>
          <w:kern w:val="22"/>
          <w:sz w:val="22"/>
          <w:szCs w:val="22"/>
          <w:lang w:val="en-GB"/>
        </w:rPr>
        <w:t xml:space="preserve">the government </w:t>
      </w:r>
      <w:r w:rsidR="00C907CF">
        <w:rPr>
          <w:color w:val="1A1A1A"/>
          <w:spacing w:val="-2"/>
          <w:kern w:val="22"/>
          <w:sz w:val="22"/>
          <w:szCs w:val="22"/>
          <w:lang w:val="en-GB"/>
        </w:rPr>
        <w:t xml:space="preserve">simultaneously </w:t>
      </w:r>
      <w:r w:rsidR="00C80ACF" w:rsidRPr="00C273FD">
        <w:rPr>
          <w:color w:val="1A1A1A"/>
          <w:spacing w:val="-2"/>
          <w:kern w:val="22"/>
          <w:sz w:val="22"/>
          <w:szCs w:val="22"/>
          <w:lang w:val="en-GB"/>
        </w:rPr>
        <w:t>sought the support of multilateral financial institutions</w:t>
      </w:r>
      <w:r w:rsidR="00C907CF">
        <w:rPr>
          <w:color w:val="1A1A1A"/>
          <w:spacing w:val="-2"/>
          <w:kern w:val="22"/>
          <w:sz w:val="22"/>
          <w:szCs w:val="22"/>
          <w:lang w:val="en-GB"/>
        </w:rPr>
        <w:t>—</w:t>
      </w:r>
      <w:r w:rsidR="00C80ACF" w:rsidRPr="00C273FD">
        <w:rPr>
          <w:color w:val="1A1A1A"/>
          <w:spacing w:val="-2"/>
          <w:kern w:val="22"/>
          <w:sz w:val="22"/>
          <w:szCs w:val="22"/>
          <w:lang w:val="en-GB"/>
        </w:rPr>
        <w:t>the International Monetary Fund</w:t>
      </w:r>
      <w:r w:rsidR="00C907CF">
        <w:rPr>
          <w:color w:val="1A1A1A"/>
          <w:spacing w:val="-2"/>
          <w:kern w:val="22"/>
          <w:sz w:val="22"/>
          <w:szCs w:val="22"/>
          <w:lang w:val="en-GB"/>
        </w:rPr>
        <w:t xml:space="preserve"> (IMF)</w:t>
      </w:r>
      <w:r w:rsidR="00C80ACF" w:rsidRPr="00C273FD">
        <w:rPr>
          <w:color w:val="1A1A1A"/>
          <w:spacing w:val="-2"/>
          <w:kern w:val="22"/>
          <w:sz w:val="22"/>
          <w:szCs w:val="22"/>
          <w:lang w:val="en-GB"/>
        </w:rPr>
        <w:t>, the World Bank</w:t>
      </w:r>
      <w:r w:rsidR="00C907CF">
        <w:rPr>
          <w:color w:val="1A1A1A"/>
          <w:spacing w:val="-2"/>
          <w:kern w:val="22"/>
          <w:sz w:val="22"/>
          <w:szCs w:val="22"/>
          <w:lang w:val="en-GB"/>
        </w:rPr>
        <w:t>,</w:t>
      </w:r>
      <w:r w:rsidR="00C80ACF" w:rsidRPr="00C273FD">
        <w:rPr>
          <w:color w:val="1A1A1A"/>
          <w:spacing w:val="-2"/>
          <w:kern w:val="22"/>
          <w:sz w:val="22"/>
          <w:szCs w:val="22"/>
          <w:lang w:val="en-GB"/>
        </w:rPr>
        <w:t xml:space="preserve"> and the Asian Development Bank</w:t>
      </w:r>
      <w:r w:rsidR="00C907CF">
        <w:rPr>
          <w:color w:val="1A1A1A"/>
          <w:spacing w:val="-2"/>
          <w:kern w:val="22"/>
          <w:sz w:val="22"/>
          <w:szCs w:val="22"/>
          <w:lang w:val="en-GB"/>
        </w:rPr>
        <w:t>—</w:t>
      </w:r>
      <w:proofErr w:type="gramStart"/>
      <w:r w:rsidR="00C907CF" w:rsidRPr="00C273FD">
        <w:rPr>
          <w:color w:val="1A1A1A"/>
          <w:spacing w:val="-2"/>
          <w:kern w:val="22"/>
          <w:sz w:val="22"/>
          <w:szCs w:val="22"/>
          <w:lang w:val="en-GB"/>
        </w:rPr>
        <w:t>a</w:t>
      </w:r>
      <w:r w:rsidR="00C907CF">
        <w:rPr>
          <w:color w:val="1A1A1A"/>
          <w:spacing w:val="-2"/>
          <w:kern w:val="22"/>
          <w:sz w:val="22"/>
          <w:szCs w:val="22"/>
          <w:lang w:val="en-GB"/>
        </w:rPr>
        <w:t>nd</w:t>
      </w:r>
      <w:r w:rsidR="00C907CF" w:rsidRPr="00C273FD">
        <w:rPr>
          <w:color w:val="1A1A1A"/>
          <w:spacing w:val="-2"/>
          <w:kern w:val="22"/>
          <w:sz w:val="22"/>
          <w:szCs w:val="22"/>
          <w:lang w:val="en-GB"/>
        </w:rPr>
        <w:t xml:space="preserve"> </w:t>
      </w:r>
      <w:r w:rsidR="00C80ACF" w:rsidRPr="00C273FD">
        <w:rPr>
          <w:color w:val="1A1A1A"/>
          <w:spacing w:val="-2"/>
          <w:kern w:val="22"/>
          <w:sz w:val="22"/>
          <w:szCs w:val="22"/>
          <w:lang w:val="en-GB"/>
        </w:rPr>
        <w:t>also</w:t>
      </w:r>
      <w:proofErr w:type="gramEnd"/>
      <w:r w:rsidR="00C80ACF" w:rsidRPr="00C273FD">
        <w:rPr>
          <w:color w:val="1A1A1A"/>
          <w:spacing w:val="-2"/>
          <w:kern w:val="22"/>
          <w:sz w:val="22"/>
          <w:szCs w:val="22"/>
          <w:lang w:val="en-GB"/>
        </w:rPr>
        <w:t xml:space="preserve"> bilateral donors. The government took recourse to exceptional financing </w:t>
      </w:r>
      <w:r w:rsidR="00A8064F" w:rsidRPr="00C273FD">
        <w:rPr>
          <w:color w:val="1A1A1A"/>
          <w:spacing w:val="-2"/>
          <w:kern w:val="22"/>
          <w:sz w:val="22"/>
          <w:szCs w:val="22"/>
          <w:lang w:val="en-GB"/>
        </w:rPr>
        <w:t xml:space="preserve">of $2.3 billion </w:t>
      </w:r>
      <w:r w:rsidR="00C80ACF" w:rsidRPr="00C273FD">
        <w:rPr>
          <w:color w:val="1A1A1A"/>
          <w:spacing w:val="-2"/>
          <w:kern w:val="22"/>
          <w:sz w:val="22"/>
          <w:szCs w:val="22"/>
          <w:lang w:val="en-GB"/>
        </w:rPr>
        <w:t>from the IMF, besides negotiating a structural adjustment loan of $500 million with the World Bank</w:t>
      </w:r>
      <w:r w:rsidR="00FA2BDD" w:rsidRPr="00C273FD">
        <w:rPr>
          <w:color w:val="1A1A1A"/>
          <w:spacing w:val="-2"/>
          <w:kern w:val="22"/>
          <w:sz w:val="22"/>
          <w:szCs w:val="22"/>
          <w:lang w:val="en-GB"/>
        </w:rPr>
        <w:t>.</w:t>
      </w:r>
      <w:r w:rsidR="00C80ACF" w:rsidRPr="00C273FD">
        <w:rPr>
          <w:rStyle w:val="EndnoteReference"/>
          <w:color w:val="1A1A1A"/>
          <w:spacing w:val="-2"/>
          <w:kern w:val="22"/>
          <w:sz w:val="22"/>
          <w:szCs w:val="22"/>
          <w:lang w:val="en-GB"/>
        </w:rPr>
        <w:endnoteReference w:id="13"/>
      </w:r>
      <w:r w:rsidR="00C80ACF" w:rsidRPr="00C273FD">
        <w:rPr>
          <w:color w:val="1A1A1A"/>
          <w:spacing w:val="-2"/>
          <w:kern w:val="22"/>
          <w:sz w:val="22"/>
          <w:szCs w:val="22"/>
          <w:lang w:val="en-GB"/>
        </w:rPr>
        <w:t xml:space="preserve"> </w:t>
      </w:r>
    </w:p>
    <w:p w14:paraId="06D3A628" w14:textId="77777777" w:rsidR="00C80ACF" w:rsidRPr="00C273FD" w:rsidRDefault="00C80ACF" w:rsidP="00C80ACF">
      <w:pPr>
        <w:widowControl w:val="0"/>
        <w:autoSpaceDE w:val="0"/>
        <w:autoSpaceDN w:val="0"/>
        <w:adjustRightInd w:val="0"/>
        <w:jc w:val="both"/>
        <w:rPr>
          <w:color w:val="1A1A1A"/>
          <w:sz w:val="22"/>
          <w:szCs w:val="22"/>
          <w:lang w:val="en-GB"/>
        </w:rPr>
      </w:pPr>
    </w:p>
    <w:p w14:paraId="009A0CC0" w14:textId="0C67EFA1"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economic reforms began </w:t>
      </w:r>
      <w:r w:rsidR="00A8064F">
        <w:rPr>
          <w:color w:val="1A1A1A"/>
          <w:sz w:val="22"/>
          <w:szCs w:val="22"/>
          <w:lang w:val="en-GB"/>
        </w:rPr>
        <w:t xml:space="preserve">in July 1991 </w:t>
      </w:r>
      <w:r w:rsidRPr="00C273FD">
        <w:rPr>
          <w:color w:val="1A1A1A"/>
          <w:sz w:val="22"/>
          <w:szCs w:val="22"/>
          <w:lang w:val="en-GB"/>
        </w:rPr>
        <w:t xml:space="preserve">with a sharp </w:t>
      </w:r>
      <w:r w:rsidR="00E91627">
        <w:rPr>
          <w:color w:val="1A1A1A"/>
          <w:sz w:val="22"/>
          <w:szCs w:val="22"/>
          <w:lang w:val="en-GB"/>
        </w:rPr>
        <w:t xml:space="preserve">18 per cent </w:t>
      </w:r>
      <w:r w:rsidRPr="00C273FD">
        <w:rPr>
          <w:color w:val="1A1A1A"/>
          <w:sz w:val="22"/>
          <w:szCs w:val="22"/>
          <w:lang w:val="en-GB"/>
        </w:rPr>
        <w:t>devaluation of the rupee. At the same time, the restrictive covenants in the IMF package meant that the government pledged to cut the fiscal deficit from 8.4</w:t>
      </w:r>
      <w:r w:rsidR="00B50E48" w:rsidRPr="00C273FD">
        <w:rPr>
          <w:color w:val="1A1A1A"/>
          <w:sz w:val="22"/>
          <w:szCs w:val="22"/>
          <w:lang w:val="en-GB"/>
        </w:rPr>
        <w:t xml:space="preserve"> per cent</w:t>
      </w:r>
      <w:r w:rsidRPr="00C273FD">
        <w:rPr>
          <w:color w:val="1A1A1A"/>
          <w:sz w:val="22"/>
          <w:szCs w:val="22"/>
          <w:lang w:val="en-GB"/>
        </w:rPr>
        <w:t xml:space="preserve"> in 1990/91 to 6.5</w:t>
      </w:r>
      <w:r w:rsidR="00B50E48" w:rsidRPr="00C273FD">
        <w:rPr>
          <w:color w:val="1A1A1A"/>
          <w:sz w:val="22"/>
          <w:szCs w:val="22"/>
          <w:lang w:val="en-GB"/>
        </w:rPr>
        <w:t xml:space="preserve"> per cent</w:t>
      </w:r>
      <w:r w:rsidRPr="00C273FD">
        <w:rPr>
          <w:color w:val="1A1A1A"/>
          <w:sz w:val="22"/>
          <w:szCs w:val="22"/>
          <w:lang w:val="en-GB"/>
        </w:rPr>
        <w:t xml:space="preserve"> in 1991/92</w:t>
      </w:r>
      <w:r w:rsidR="00A8064F">
        <w:rPr>
          <w:color w:val="1A1A1A"/>
          <w:sz w:val="22"/>
          <w:szCs w:val="22"/>
          <w:lang w:val="en-GB"/>
        </w:rPr>
        <w:t>,</w:t>
      </w:r>
      <w:r w:rsidRPr="00C273FD">
        <w:rPr>
          <w:color w:val="1A1A1A"/>
          <w:sz w:val="22"/>
          <w:szCs w:val="22"/>
          <w:lang w:val="en-GB"/>
        </w:rPr>
        <w:t xml:space="preserve"> and to follow a restrictive monetary policy. </w:t>
      </w:r>
      <w:proofErr w:type="gramStart"/>
      <w:r w:rsidRPr="00C273FD">
        <w:rPr>
          <w:color w:val="1A1A1A"/>
          <w:sz w:val="22"/>
          <w:szCs w:val="22"/>
          <w:lang w:val="en-GB"/>
        </w:rPr>
        <w:t>As a result</w:t>
      </w:r>
      <w:proofErr w:type="gramEnd"/>
      <w:r w:rsidRPr="00C273FD">
        <w:rPr>
          <w:color w:val="1A1A1A"/>
          <w:sz w:val="22"/>
          <w:szCs w:val="22"/>
          <w:lang w:val="en-GB"/>
        </w:rPr>
        <w:t xml:space="preserve"> of the government policy interventions, foreign currency assets rose to </w:t>
      </w:r>
      <w:r w:rsidR="00A8064F">
        <w:rPr>
          <w:color w:val="1A1A1A"/>
          <w:sz w:val="22"/>
          <w:szCs w:val="22"/>
          <w:lang w:val="en-GB"/>
        </w:rPr>
        <w:t>approximately</w:t>
      </w:r>
      <w:r w:rsidR="00A8064F" w:rsidRPr="00C273FD">
        <w:rPr>
          <w:color w:val="1A1A1A"/>
          <w:sz w:val="22"/>
          <w:szCs w:val="22"/>
          <w:lang w:val="en-GB"/>
        </w:rPr>
        <w:t xml:space="preserve"> </w:t>
      </w:r>
      <w:r w:rsidRPr="00C273FD">
        <w:rPr>
          <w:color w:val="1A1A1A"/>
          <w:sz w:val="22"/>
          <w:szCs w:val="22"/>
          <w:lang w:val="en-GB"/>
        </w:rPr>
        <w:t>$4.2 billion by February 1992</w:t>
      </w:r>
      <w:r w:rsidR="00FA2BDD" w:rsidRPr="00C273FD">
        <w:rPr>
          <w:color w:val="1A1A1A"/>
          <w:sz w:val="22"/>
          <w:szCs w:val="22"/>
          <w:lang w:val="en-GB"/>
        </w:rPr>
        <w:t>.</w:t>
      </w:r>
      <w:r w:rsidRPr="00C273FD">
        <w:rPr>
          <w:rStyle w:val="EndnoteReference"/>
          <w:color w:val="1A1A1A"/>
          <w:sz w:val="22"/>
          <w:szCs w:val="22"/>
          <w:lang w:val="en-GB"/>
        </w:rPr>
        <w:endnoteReference w:id="14"/>
      </w:r>
      <w:r w:rsidRPr="00C273FD">
        <w:rPr>
          <w:color w:val="1A1A1A"/>
          <w:sz w:val="22"/>
          <w:szCs w:val="22"/>
          <w:lang w:val="en-GB"/>
        </w:rPr>
        <w:t xml:space="preserve"> Macroeconomic balance </w:t>
      </w:r>
      <w:proofErr w:type="gramStart"/>
      <w:r w:rsidRPr="00C273FD">
        <w:rPr>
          <w:color w:val="1A1A1A"/>
          <w:sz w:val="22"/>
          <w:szCs w:val="22"/>
          <w:lang w:val="en-GB"/>
        </w:rPr>
        <w:t>was restored</w:t>
      </w:r>
      <w:proofErr w:type="gramEnd"/>
      <w:r w:rsidRPr="00C273FD">
        <w:rPr>
          <w:color w:val="1A1A1A"/>
          <w:sz w:val="22"/>
          <w:szCs w:val="22"/>
          <w:lang w:val="en-GB"/>
        </w:rPr>
        <w:t xml:space="preserve"> by the mid-1990s, with a sharp correction in the fiscal deficit-</w:t>
      </w:r>
      <w:r w:rsidR="00E91627">
        <w:rPr>
          <w:color w:val="1A1A1A"/>
          <w:sz w:val="22"/>
          <w:szCs w:val="22"/>
          <w:lang w:val="en-GB"/>
        </w:rPr>
        <w:t>to-</w:t>
      </w:r>
      <w:r w:rsidRPr="00C273FD">
        <w:rPr>
          <w:color w:val="1A1A1A"/>
          <w:sz w:val="22"/>
          <w:szCs w:val="22"/>
          <w:lang w:val="en-GB"/>
        </w:rPr>
        <w:t>GDP ratio and the reduced moneti</w:t>
      </w:r>
      <w:r w:rsidR="00A8064F">
        <w:rPr>
          <w:color w:val="1A1A1A"/>
          <w:sz w:val="22"/>
          <w:szCs w:val="22"/>
          <w:lang w:val="en-GB"/>
        </w:rPr>
        <w:t>z</w:t>
      </w:r>
      <w:r w:rsidRPr="00C273FD">
        <w:rPr>
          <w:color w:val="1A1A1A"/>
          <w:sz w:val="22"/>
          <w:szCs w:val="22"/>
          <w:lang w:val="en-GB"/>
        </w:rPr>
        <w:t>ation of deficits</w:t>
      </w:r>
      <w:r w:rsidR="00FA2BDD" w:rsidRPr="00C273FD">
        <w:rPr>
          <w:color w:val="1A1A1A"/>
          <w:sz w:val="22"/>
          <w:szCs w:val="22"/>
          <w:lang w:val="en-GB"/>
        </w:rPr>
        <w:t>.</w:t>
      </w:r>
      <w:r w:rsidRPr="00C273FD">
        <w:rPr>
          <w:rStyle w:val="EndnoteReference"/>
          <w:color w:val="1A1A1A"/>
          <w:sz w:val="22"/>
          <w:szCs w:val="22"/>
          <w:lang w:val="en-GB"/>
        </w:rPr>
        <w:endnoteReference w:id="15"/>
      </w:r>
      <w:r w:rsidRPr="00C273FD">
        <w:rPr>
          <w:color w:val="1A1A1A"/>
          <w:sz w:val="22"/>
          <w:szCs w:val="22"/>
          <w:lang w:val="en-GB"/>
        </w:rPr>
        <w:t xml:space="preserve"> Simultaneously, the government undertook a wide range of structural reforms encompassing areas of trade, exchange rate management, industry, public finance</w:t>
      </w:r>
      <w:r w:rsidR="00A8064F">
        <w:rPr>
          <w:color w:val="1A1A1A"/>
          <w:sz w:val="22"/>
          <w:szCs w:val="22"/>
          <w:lang w:val="en-GB"/>
        </w:rPr>
        <w:t>,</w:t>
      </w:r>
      <w:r w:rsidRPr="00C273FD">
        <w:rPr>
          <w:color w:val="1A1A1A"/>
          <w:sz w:val="22"/>
          <w:szCs w:val="22"/>
          <w:lang w:val="en-GB"/>
        </w:rPr>
        <w:t xml:space="preserve"> and the financial sector</w:t>
      </w:r>
      <w:r w:rsidR="00FA2BDD" w:rsidRPr="00C273FD">
        <w:rPr>
          <w:color w:val="1A1A1A"/>
          <w:sz w:val="22"/>
          <w:szCs w:val="22"/>
          <w:lang w:val="en-GB"/>
        </w:rPr>
        <w:t>.</w:t>
      </w:r>
      <w:r w:rsidRPr="00C273FD">
        <w:rPr>
          <w:rStyle w:val="EndnoteReference"/>
          <w:color w:val="1A1A1A"/>
          <w:sz w:val="22"/>
          <w:szCs w:val="22"/>
          <w:lang w:val="en-GB"/>
        </w:rPr>
        <w:endnoteReference w:id="16"/>
      </w:r>
      <w:r w:rsidRPr="00C273FD">
        <w:rPr>
          <w:color w:val="1A1A1A"/>
          <w:sz w:val="22"/>
          <w:szCs w:val="22"/>
          <w:lang w:val="en-GB"/>
        </w:rPr>
        <w:t xml:space="preserve"> </w:t>
      </w:r>
    </w:p>
    <w:p w14:paraId="30E7C86A" w14:textId="77777777" w:rsidR="00C80ACF" w:rsidRPr="00C273FD" w:rsidRDefault="00C80ACF" w:rsidP="00AB18DE">
      <w:pPr>
        <w:pStyle w:val="BodyTextMain"/>
        <w:rPr>
          <w:lang w:val="en-GB"/>
        </w:rPr>
      </w:pPr>
    </w:p>
    <w:p w14:paraId="470059DC" w14:textId="77777777" w:rsidR="00C80ACF" w:rsidRPr="00C273FD" w:rsidRDefault="00C80ACF" w:rsidP="00AB18DE">
      <w:pPr>
        <w:pStyle w:val="BodyTextMain"/>
        <w:rPr>
          <w:lang w:val="en-GB"/>
        </w:rPr>
      </w:pPr>
    </w:p>
    <w:p w14:paraId="7384199C" w14:textId="0A60A877" w:rsidR="00C80ACF" w:rsidRPr="00C273FD" w:rsidRDefault="00C80ACF"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 xml:space="preserve">MACROECONOMIC </w:t>
      </w:r>
      <w:r w:rsidR="00E91627">
        <w:rPr>
          <w:rFonts w:ascii="Arial" w:hAnsi="Arial" w:cs="Arial"/>
          <w:b/>
          <w:color w:val="1A1A1A"/>
          <w:lang w:val="en-GB"/>
        </w:rPr>
        <w:t>INDICATORS</w:t>
      </w:r>
      <w:r w:rsidR="00E91627" w:rsidRPr="00C273FD">
        <w:rPr>
          <w:rFonts w:ascii="Arial" w:hAnsi="Arial" w:cs="Arial"/>
          <w:b/>
          <w:color w:val="1A1A1A"/>
          <w:lang w:val="en-GB"/>
        </w:rPr>
        <w:t xml:space="preserve"> </w:t>
      </w:r>
      <w:r w:rsidRPr="00C273FD">
        <w:rPr>
          <w:rFonts w:ascii="Arial" w:hAnsi="Arial" w:cs="Arial"/>
          <w:b/>
          <w:color w:val="1A1A1A"/>
          <w:lang w:val="en-GB"/>
        </w:rPr>
        <w:t>IN 25 YEARS</w:t>
      </w:r>
    </w:p>
    <w:p w14:paraId="2DD75F2C" w14:textId="77777777" w:rsidR="00C80ACF" w:rsidRPr="00C273FD" w:rsidRDefault="00C80ACF" w:rsidP="000E7321">
      <w:pPr>
        <w:pStyle w:val="BodyTextMain"/>
        <w:rPr>
          <w:lang w:val="en-GB"/>
        </w:rPr>
      </w:pPr>
    </w:p>
    <w:p w14:paraId="3A6AEB3C" w14:textId="77777777" w:rsidR="00C80ACF" w:rsidRPr="00C273FD" w:rsidRDefault="00C80ACF"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 xml:space="preserve">Growth </w:t>
      </w:r>
    </w:p>
    <w:p w14:paraId="32CF24E1" w14:textId="77777777" w:rsidR="00C80ACF" w:rsidRPr="00C273FD" w:rsidRDefault="00C80ACF" w:rsidP="00C80ACF">
      <w:pPr>
        <w:widowControl w:val="0"/>
        <w:autoSpaceDE w:val="0"/>
        <w:autoSpaceDN w:val="0"/>
        <w:adjustRightInd w:val="0"/>
        <w:jc w:val="both"/>
        <w:rPr>
          <w:color w:val="1A1A1A"/>
          <w:sz w:val="22"/>
          <w:szCs w:val="22"/>
          <w:lang w:val="en-GB"/>
        </w:rPr>
      </w:pPr>
    </w:p>
    <w:p w14:paraId="4FC69B89" w14:textId="3CD68B03"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w:t>
      </w:r>
      <w:r w:rsidR="00A8064F">
        <w:rPr>
          <w:color w:val="1A1A1A"/>
          <w:sz w:val="22"/>
          <w:szCs w:val="22"/>
          <w:lang w:val="en-GB"/>
        </w:rPr>
        <w:t>g</w:t>
      </w:r>
      <w:r w:rsidRPr="00C273FD">
        <w:rPr>
          <w:color w:val="1A1A1A"/>
          <w:sz w:val="22"/>
          <w:szCs w:val="22"/>
          <w:lang w:val="en-GB"/>
        </w:rPr>
        <w:t xml:space="preserve">ross </w:t>
      </w:r>
      <w:r w:rsidR="00A8064F">
        <w:rPr>
          <w:color w:val="1A1A1A"/>
          <w:sz w:val="22"/>
          <w:szCs w:val="22"/>
          <w:lang w:val="en-GB"/>
        </w:rPr>
        <w:t>d</w:t>
      </w:r>
      <w:r w:rsidRPr="00C273FD">
        <w:rPr>
          <w:color w:val="1A1A1A"/>
          <w:sz w:val="22"/>
          <w:szCs w:val="22"/>
          <w:lang w:val="en-GB"/>
        </w:rPr>
        <w:t xml:space="preserve">omestic </w:t>
      </w:r>
      <w:r w:rsidR="00A8064F">
        <w:rPr>
          <w:color w:val="1A1A1A"/>
          <w:sz w:val="22"/>
          <w:szCs w:val="22"/>
          <w:lang w:val="en-GB"/>
        </w:rPr>
        <w:t>p</w:t>
      </w:r>
      <w:r w:rsidRPr="00C273FD">
        <w:rPr>
          <w:color w:val="1A1A1A"/>
          <w:sz w:val="22"/>
          <w:szCs w:val="22"/>
          <w:lang w:val="en-GB"/>
        </w:rPr>
        <w:t xml:space="preserve">roduct (GDP) was the primary indicator of a country’s economic health and </w:t>
      </w:r>
      <w:proofErr w:type="gramStart"/>
      <w:r w:rsidRPr="00C273FD">
        <w:rPr>
          <w:color w:val="1A1A1A"/>
          <w:sz w:val="22"/>
          <w:szCs w:val="22"/>
          <w:lang w:val="en-GB"/>
        </w:rPr>
        <w:t>could be taken</w:t>
      </w:r>
      <w:proofErr w:type="gramEnd"/>
      <w:r w:rsidRPr="00C273FD">
        <w:rPr>
          <w:color w:val="1A1A1A"/>
          <w:sz w:val="22"/>
          <w:szCs w:val="22"/>
          <w:lang w:val="en-GB"/>
        </w:rPr>
        <w:t xml:space="preserve"> as the proxy for its economic strength. The larger the GDP, the larger the dollar value of the goods and services produced in the economy over a specific </w:t>
      </w:r>
      <w:proofErr w:type="gramStart"/>
      <w:r w:rsidRPr="00C273FD">
        <w:rPr>
          <w:color w:val="1A1A1A"/>
          <w:sz w:val="22"/>
          <w:szCs w:val="22"/>
          <w:lang w:val="en-GB"/>
        </w:rPr>
        <w:t>time period</w:t>
      </w:r>
      <w:proofErr w:type="gramEnd"/>
      <w:r w:rsidRPr="00C273FD">
        <w:rPr>
          <w:color w:val="1A1A1A"/>
          <w:sz w:val="22"/>
          <w:szCs w:val="22"/>
          <w:lang w:val="en-GB"/>
        </w:rPr>
        <w:t>. India’s nominal GDP (</w:t>
      </w:r>
      <w:r w:rsidR="00A8064F">
        <w:rPr>
          <w:color w:val="1A1A1A"/>
          <w:sz w:val="22"/>
          <w:szCs w:val="22"/>
          <w:lang w:val="en-GB"/>
        </w:rPr>
        <w:t xml:space="preserve">i.e., </w:t>
      </w:r>
      <w:r w:rsidRPr="00C273FD">
        <w:rPr>
          <w:color w:val="1A1A1A"/>
          <w:sz w:val="22"/>
          <w:szCs w:val="22"/>
          <w:lang w:val="en-GB"/>
        </w:rPr>
        <w:t>GDP at current prices)</w:t>
      </w:r>
      <w:r w:rsidR="00AB18DE" w:rsidRPr="00C273FD">
        <w:rPr>
          <w:color w:val="1A1A1A"/>
          <w:sz w:val="22"/>
          <w:szCs w:val="22"/>
          <w:lang w:val="en-GB"/>
        </w:rPr>
        <w:t xml:space="preserve"> </w:t>
      </w:r>
      <w:r w:rsidRPr="00C273FD">
        <w:rPr>
          <w:color w:val="1A1A1A"/>
          <w:sz w:val="22"/>
          <w:szCs w:val="22"/>
          <w:lang w:val="en-GB"/>
        </w:rPr>
        <w:t>grew from $280.8 billion in 1990/91 to $2</w:t>
      </w:r>
      <w:r w:rsidR="00A8064F">
        <w:rPr>
          <w:color w:val="1A1A1A"/>
          <w:sz w:val="22"/>
          <w:szCs w:val="22"/>
          <w:lang w:val="en-GB"/>
        </w:rPr>
        <w:t>,</w:t>
      </w:r>
      <w:r w:rsidRPr="00C273FD">
        <w:rPr>
          <w:color w:val="1A1A1A"/>
          <w:sz w:val="22"/>
          <w:szCs w:val="22"/>
          <w:lang w:val="en-GB"/>
        </w:rPr>
        <w:t>251 billion in 2015/16</w:t>
      </w:r>
      <w:r w:rsidR="00A8064F">
        <w:rPr>
          <w:color w:val="1A1A1A"/>
          <w:sz w:val="22"/>
          <w:szCs w:val="22"/>
          <w:lang w:val="en-GB"/>
        </w:rPr>
        <w:t>—</w:t>
      </w:r>
      <w:r w:rsidRPr="00C273FD">
        <w:rPr>
          <w:color w:val="1A1A1A"/>
          <w:sz w:val="22"/>
          <w:szCs w:val="22"/>
          <w:lang w:val="en-GB"/>
        </w:rPr>
        <w:t>a 702</w:t>
      </w:r>
      <w:r w:rsidR="00B50E48" w:rsidRPr="00C273FD">
        <w:rPr>
          <w:color w:val="1A1A1A"/>
          <w:sz w:val="22"/>
          <w:szCs w:val="22"/>
          <w:lang w:val="en-GB"/>
        </w:rPr>
        <w:t xml:space="preserve"> per cent</w:t>
      </w:r>
      <w:r w:rsidRPr="00C273FD">
        <w:rPr>
          <w:color w:val="1A1A1A"/>
          <w:sz w:val="22"/>
          <w:szCs w:val="22"/>
          <w:lang w:val="en-GB"/>
        </w:rPr>
        <w:t xml:space="preserve"> increase over the 25</w:t>
      </w:r>
      <w:r w:rsidR="00A8064F">
        <w:rPr>
          <w:color w:val="1A1A1A"/>
          <w:sz w:val="22"/>
          <w:szCs w:val="22"/>
          <w:lang w:val="en-GB"/>
        </w:rPr>
        <w:t>-</w:t>
      </w:r>
      <w:r w:rsidRPr="00C273FD">
        <w:rPr>
          <w:color w:val="1A1A1A"/>
          <w:sz w:val="22"/>
          <w:szCs w:val="22"/>
          <w:lang w:val="en-GB"/>
        </w:rPr>
        <w:t>year period</w:t>
      </w:r>
      <w:r w:rsidR="00FA2BDD" w:rsidRPr="00C273FD">
        <w:rPr>
          <w:color w:val="1A1A1A"/>
          <w:sz w:val="22"/>
          <w:szCs w:val="22"/>
          <w:lang w:val="en-GB"/>
        </w:rPr>
        <w:t>.</w:t>
      </w:r>
      <w:r w:rsidRPr="00C273FD">
        <w:rPr>
          <w:rStyle w:val="EndnoteReference"/>
          <w:color w:val="1A1A1A"/>
          <w:sz w:val="22"/>
          <w:szCs w:val="22"/>
          <w:lang w:val="en-GB"/>
        </w:rPr>
        <w:endnoteReference w:id="17"/>
      </w:r>
      <w:r w:rsidRPr="00C273FD">
        <w:rPr>
          <w:color w:val="1A1A1A"/>
          <w:sz w:val="22"/>
          <w:szCs w:val="22"/>
          <w:lang w:val="en-GB"/>
        </w:rPr>
        <w:t xml:space="preserve"> In dollar terms, India crossed the $2 trillion mark </w:t>
      </w:r>
      <w:r w:rsidR="00E810EF">
        <w:rPr>
          <w:color w:val="1A1A1A"/>
          <w:sz w:val="22"/>
          <w:szCs w:val="22"/>
          <w:lang w:val="en-GB"/>
        </w:rPr>
        <w:t xml:space="preserve">for nominal GDP </w:t>
      </w:r>
      <w:r w:rsidRPr="00C273FD">
        <w:rPr>
          <w:color w:val="1A1A1A"/>
          <w:sz w:val="22"/>
          <w:szCs w:val="22"/>
          <w:lang w:val="en-GB"/>
        </w:rPr>
        <w:t>in 201</w:t>
      </w:r>
      <w:r w:rsidR="009F2E20">
        <w:rPr>
          <w:color w:val="1A1A1A"/>
          <w:sz w:val="22"/>
          <w:szCs w:val="22"/>
          <w:lang w:val="en-GB"/>
        </w:rPr>
        <w:t>3</w:t>
      </w:r>
      <w:r w:rsidR="00C14FBD">
        <w:rPr>
          <w:color w:val="1A1A1A"/>
          <w:sz w:val="22"/>
          <w:szCs w:val="22"/>
          <w:lang w:val="en-GB"/>
        </w:rPr>
        <w:t>/</w:t>
      </w:r>
      <w:r w:rsidRPr="00C273FD">
        <w:rPr>
          <w:color w:val="1A1A1A"/>
          <w:sz w:val="22"/>
          <w:szCs w:val="22"/>
          <w:lang w:val="en-GB"/>
        </w:rPr>
        <w:t>1</w:t>
      </w:r>
      <w:r w:rsidR="009F2E20">
        <w:rPr>
          <w:color w:val="1A1A1A"/>
          <w:sz w:val="22"/>
          <w:szCs w:val="22"/>
          <w:lang w:val="en-GB"/>
        </w:rPr>
        <w:t>4</w:t>
      </w:r>
      <w:r w:rsidR="003E4E38">
        <w:rPr>
          <w:color w:val="1A1A1A"/>
          <w:sz w:val="22"/>
          <w:szCs w:val="22"/>
          <w:lang w:val="en-GB"/>
        </w:rPr>
        <w:t>,</w:t>
      </w:r>
      <w:r w:rsidRPr="00C273FD">
        <w:rPr>
          <w:color w:val="1A1A1A"/>
          <w:sz w:val="22"/>
          <w:szCs w:val="22"/>
          <w:lang w:val="en-GB"/>
        </w:rPr>
        <w:t xml:space="preserve"> and </w:t>
      </w:r>
      <w:r w:rsidR="009F2E20">
        <w:rPr>
          <w:color w:val="1A1A1A"/>
          <w:sz w:val="22"/>
          <w:szCs w:val="22"/>
          <w:lang w:val="en-GB"/>
        </w:rPr>
        <w:t xml:space="preserve">in 2015/16, it </w:t>
      </w:r>
      <w:r w:rsidRPr="00C273FD">
        <w:rPr>
          <w:color w:val="1A1A1A"/>
          <w:sz w:val="22"/>
          <w:szCs w:val="22"/>
          <w:lang w:val="en-GB"/>
        </w:rPr>
        <w:t>ranked seventh in the world</w:t>
      </w:r>
      <w:r w:rsidR="00FA2BDD" w:rsidRPr="00C273FD">
        <w:rPr>
          <w:color w:val="1A1A1A"/>
          <w:sz w:val="22"/>
          <w:szCs w:val="22"/>
          <w:lang w:val="en-GB"/>
        </w:rPr>
        <w:t xml:space="preserve"> </w:t>
      </w:r>
      <w:r w:rsidR="00E810EF">
        <w:rPr>
          <w:color w:val="1A1A1A"/>
          <w:sz w:val="22"/>
          <w:szCs w:val="22"/>
          <w:lang w:val="en-GB"/>
        </w:rPr>
        <w:t xml:space="preserve">in terms of nominal GDP </w:t>
      </w:r>
      <w:r w:rsidR="00B50E48" w:rsidRPr="00C273FD">
        <w:rPr>
          <w:color w:val="1A1A1A"/>
          <w:sz w:val="22"/>
          <w:szCs w:val="22"/>
          <w:lang w:val="en-GB"/>
        </w:rPr>
        <w:t>(s</w:t>
      </w:r>
      <w:r w:rsidRPr="00C273FD">
        <w:rPr>
          <w:color w:val="1A1A1A"/>
          <w:sz w:val="22"/>
          <w:szCs w:val="22"/>
          <w:lang w:val="en-GB"/>
        </w:rPr>
        <w:t>ee Exhibit 1)</w:t>
      </w:r>
      <w:r w:rsidR="00FA2BDD" w:rsidRPr="00C273FD">
        <w:rPr>
          <w:color w:val="1A1A1A"/>
          <w:sz w:val="22"/>
          <w:szCs w:val="22"/>
          <w:lang w:val="en-GB"/>
        </w:rPr>
        <w:t>.</w:t>
      </w:r>
      <w:r w:rsidR="00FA2BDD" w:rsidRPr="00C273FD">
        <w:rPr>
          <w:rStyle w:val="EndnoteReference"/>
          <w:color w:val="1A1A1A"/>
          <w:sz w:val="22"/>
          <w:szCs w:val="22"/>
          <w:lang w:val="en-GB"/>
        </w:rPr>
        <w:endnoteReference w:id="18"/>
      </w:r>
    </w:p>
    <w:p w14:paraId="1149C1C5" w14:textId="77777777" w:rsidR="00B50E48" w:rsidRPr="00C273FD" w:rsidRDefault="00B50E48" w:rsidP="00C80ACF">
      <w:pPr>
        <w:widowControl w:val="0"/>
        <w:autoSpaceDE w:val="0"/>
        <w:autoSpaceDN w:val="0"/>
        <w:adjustRightInd w:val="0"/>
        <w:jc w:val="both"/>
        <w:rPr>
          <w:color w:val="1A1A1A"/>
          <w:sz w:val="22"/>
          <w:szCs w:val="22"/>
          <w:lang w:val="en-GB"/>
        </w:rPr>
      </w:pPr>
    </w:p>
    <w:p w14:paraId="559B64BA" w14:textId="588C134A"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rate of growth of GDP demonstrated a sharper swing. </w:t>
      </w:r>
      <w:r w:rsidR="00C14FBD">
        <w:rPr>
          <w:color w:val="1A1A1A"/>
          <w:sz w:val="22"/>
          <w:szCs w:val="22"/>
          <w:lang w:val="en-GB"/>
        </w:rPr>
        <w:t>After the</w:t>
      </w:r>
      <w:r w:rsidR="00C14FBD" w:rsidRPr="00C273FD">
        <w:rPr>
          <w:color w:val="1A1A1A"/>
          <w:sz w:val="22"/>
          <w:szCs w:val="22"/>
          <w:lang w:val="en-GB"/>
        </w:rPr>
        <w:t xml:space="preserve"> </w:t>
      </w:r>
      <w:r w:rsidRPr="00C273FD">
        <w:rPr>
          <w:color w:val="1A1A1A"/>
          <w:sz w:val="22"/>
          <w:szCs w:val="22"/>
          <w:lang w:val="en-GB"/>
        </w:rPr>
        <w:t>reforms, India left behind its low economic growth trajectory of 3</w:t>
      </w:r>
      <w:r w:rsidR="003E4E38">
        <w:rPr>
          <w:color w:val="1A1A1A"/>
          <w:sz w:val="22"/>
          <w:szCs w:val="22"/>
          <w:lang w:val="en-GB"/>
        </w:rPr>
        <w:t>.0</w:t>
      </w:r>
      <w:r w:rsidR="00E810EF">
        <w:rPr>
          <w:color w:val="1A1A1A"/>
          <w:sz w:val="22"/>
          <w:szCs w:val="22"/>
          <w:lang w:val="en-GB"/>
        </w:rPr>
        <w:t>–</w:t>
      </w:r>
      <w:r w:rsidRPr="00C273FD">
        <w:rPr>
          <w:color w:val="1A1A1A"/>
          <w:sz w:val="22"/>
          <w:szCs w:val="22"/>
          <w:lang w:val="en-GB"/>
        </w:rPr>
        <w:t>3.5</w:t>
      </w:r>
      <w:r w:rsidR="00B50E48" w:rsidRPr="00C273FD">
        <w:rPr>
          <w:color w:val="1A1A1A"/>
          <w:sz w:val="22"/>
          <w:szCs w:val="22"/>
          <w:lang w:val="en-GB"/>
        </w:rPr>
        <w:t xml:space="preserve"> per cent</w:t>
      </w:r>
      <w:r w:rsidRPr="00C273FD">
        <w:rPr>
          <w:color w:val="1A1A1A"/>
          <w:sz w:val="22"/>
          <w:szCs w:val="22"/>
          <w:lang w:val="en-GB"/>
        </w:rPr>
        <w:t xml:space="preserve"> </w:t>
      </w:r>
      <w:r w:rsidR="00C14FBD">
        <w:rPr>
          <w:color w:val="1A1A1A"/>
          <w:sz w:val="22"/>
          <w:szCs w:val="22"/>
          <w:lang w:val="en-GB"/>
        </w:rPr>
        <w:t xml:space="preserve">annual </w:t>
      </w:r>
      <w:r w:rsidRPr="00C273FD">
        <w:rPr>
          <w:color w:val="1A1A1A"/>
          <w:sz w:val="22"/>
          <w:szCs w:val="22"/>
          <w:lang w:val="en-GB"/>
        </w:rPr>
        <w:t xml:space="preserve">growth rate and </w:t>
      </w:r>
      <w:r w:rsidR="00E810EF">
        <w:rPr>
          <w:color w:val="1A1A1A"/>
          <w:sz w:val="22"/>
          <w:szCs w:val="22"/>
          <w:lang w:val="en-GB"/>
        </w:rPr>
        <w:t>became one</w:t>
      </w:r>
      <w:r w:rsidRPr="00C273FD">
        <w:rPr>
          <w:color w:val="1A1A1A"/>
          <w:sz w:val="22"/>
          <w:szCs w:val="22"/>
          <w:lang w:val="en-GB"/>
        </w:rPr>
        <w:t xml:space="preserve"> of the fastest</w:t>
      </w:r>
      <w:r w:rsidR="00E810EF">
        <w:rPr>
          <w:color w:val="1A1A1A"/>
          <w:sz w:val="22"/>
          <w:szCs w:val="22"/>
          <w:lang w:val="en-GB"/>
        </w:rPr>
        <w:t>-</w:t>
      </w:r>
      <w:r w:rsidRPr="00C273FD">
        <w:rPr>
          <w:color w:val="1A1A1A"/>
          <w:sz w:val="22"/>
          <w:szCs w:val="22"/>
          <w:lang w:val="en-GB"/>
        </w:rPr>
        <w:t>growing economies in the world. Between 2005</w:t>
      </w:r>
      <w:r w:rsidR="00E810EF">
        <w:rPr>
          <w:color w:val="1A1A1A"/>
          <w:sz w:val="22"/>
          <w:szCs w:val="22"/>
          <w:lang w:val="en-GB"/>
        </w:rPr>
        <w:t xml:space="preserve"> and </w:t>
      </w:r>
      <w:r w:rsidRPr="00C273FD">
        <w:rPr>
          <w:color w:val="1A1A1A"/>
          <w:sz w:val="22"/>
          <w:szCs w:val="22"/>
          <w:lang w:val="en-GB"/>
        </w:rPr>
        <w:t xml:space="preserve">2008, India’s </w:t>
      </w:r>
      <w:r w:rsidR="00E810EF">
        <w:rPr>
          <w:color w:val="1A1A1A"/>
          <w:sz w:val="22"/>
          <w:szCs w:val="22"/>
          <w:lang w:val="en-GB"/>
        </w:rPr>
        <w:t>annual</w:t>
      </w:r>
      <w:r w:rsidR="00E810EF" w:rsidRPr="00C273FD">
        <w:rPr>
          <w:color w:val="1A1A1A"/>
          <w:sz w:val="22"/>
          <w:szCs w:val="22"/>
          <w:lang w:val="en-GB"/>
        </w:rPr>
        <w:t xml:space="preserve"> </w:t>
      </w:r>
      <w:r w:rsidRPr="00C273FD">
        <w:rPr>
          <w:color w:val="1A1A1A"/>
          <w:sz w:val="22"/>
          <w:szCs w:val="22"/>
          <w:lang w:val="en-GB"/>
        </w:rPr>
        <w:t xml:space="preserve">GDP growth rate exceeded 9 </w:t>
      </w:r>
      <w:r w:rsidR="00B50E48" w:rsidRPr="00C273FD">
        <w:rPr>
          <w:color w:val="1A1A1A"/>
          <w:sz w:val="22"/>
          <w:szCs w:val="22"/>
          <w:lang w:val="en-GB"/>
        </w:rPr>
        <w:t>per cent</w:t>
      </w:r>
      <w:r w:rsidRPr="00C273FD">
        <w:rPr>
          <w:color w:val="1A1A1A"/>
          <w:sz w:val="22"/>
          <w:szCs w:val="22"/>
          <w:lang w:val="en-GB"/>
        </w:rPr>
        <w:t xml:space="preserve"> </w:t>
      </w:r>
      <w:r w:rsidRPr="00C273FD">
        <w:rPr>
          <w:color w:val="1A1A1A"/>
          <w:sz w:val="22"/>
          <w:szCs w:val="22"/>
          <w:lang w:val="en-GB"/>
        </w:rPr>
        <w:lastRenderedPageBreak/>
        <w:t>before it experienced a decline. Despite the decline, India was the second</w:t>
      </w:r>
      <w:r w:rsidR="00E810EF">
        <w:rPr>
          <w:color w:val="1A1A1A"/>
          <w:sz w:val="22"/>
          <w:szCs w:val="22"/>
          <w:lang w:val="en-GB"/>
        </w:rPr>
        <w:t>-</w:t>
      </w:r>
      <w:r w:rsidRPr="00C273FD">
        <w:rPr>
          <w:color w:val="1A1A1A"/>
          <w:sz w:val="22"/>
          <w:szCs w:val="22"/>
          <w:lang w:val="en-GB"/>
        </w:rPr>
        <w:t>fastest</w:t>
      </w:r>
      <w:r w:rsidR="003E4E38">
        <w:rPr>
          <w:color w:val="1A1A1A"/>
          <w:sz w:val="22"/>
          <w:szCs w:val="22"/>
          <w:lang w:val="en-GB"/>
        </w:rPr>
        <w:t>-</w:t>
      </w:r>
      <w:r w:rsidRPr="00C273FD">
        <w:rPr>
          <w:color w:val="1A1A1A"/>
          <w:sz w:val="22"/>
          <w:szCs w:val="22"/>
          <w:lang w:val="en-GB"/>
        </w:rPr>
        <w:t>growing economy,</w:t>
      </w:r>
      <w:r w:rsidR="00FA2BDD" w:rsidRPr="00C273FD">
        <w:rPr>
          <w:color w:val="1A1A1A"/>
          <w:sz w:val="22"/>
          <w:szCs w:val="22"/>
          <w:lang w:val="en-GB"/>
        </w:rPr>
        <w:t xml:space="preserve"> next only to China </w:t>
      </w:r>
      <w:r w:rsidR="00E810EF">
        <w:rPr>
          <w:color w:val="1A1A1A"/>
          <w:sz w:val="22"/>
          <w:szCs w:val="22"/>
          <w:lang w:val="en-GB"/>
        </w:rPr>
        <w:t>until</w:t>
      </w:r>
      <w:r w:rsidR="00E810EF" w:rsidRPr="00C273FD">
        <w:rPr>
          <w:color w:val="1A1A1A"/>
          <w:sz w:val="22"/>
          <w:szCs w:val="22"/>
          <w:lang w:val="en-GB"/>
        </w:rPr>
        <w:t xml:space="preserve"> </w:t>
      </w:r>
      <w:r w:rsidR="00FA2BDD" w:rsidRPr="00C273FD">
        <w:rPr>
          <w:color w:val="1A1A1A"/>
          <w:sz w:val="22"/>
          <w:szCs w:val="22"/>
          <w:lang w:val="en-GB"/>
        </w:rPr>
        <w:t>2015</w:t>
      </w:r>
      <w:r w:rsidRPr="00C273FD">
        <w:rPr>
          <w:color w:val="1A1A1A"/>
          <w:sz w:val="22"/>
          <w:szCs w:val="22"/>
          <w:lang w:val="en-GB"/>
        </w:rPr>
        <w:t>. In January 2015, India introduced a new GDP series</w:t>
      </w:r>
      <w:r w:rsidR="00FA2BDD" w:rsidRPr="00C273FD">
        <w:rPr>
          <w:color w:val="1A1A1A"/>
          <w:sz w:val="22"/>
          <w:szCs w:val="22"/>
          <w:lang w:val="en-GB"/>
        </w:rPr>
        <w:t>,</w:t>
      </w:r>
      <w:r w:rsidRPr="00C273FD">
        <w:rPr>
          <w:rStyle w:val="EndnoteReference"/>
          <w:color w:val="1A1A1A"/>
          <w:sz w:val="22"/>
          <w:szCs w:val="22"/>
          <w:lang w:val="en-GB"/>
        </w:rPr>
        <w:endnoteReference w:id="19"/>
      </w:r>
      <w:r w:rsidRPr="00C273FD">
        <w:rPr>
          <w:color w:val="1A1A1A"/>
          <w:sz w:val="22"/>
          <w:szCs w:val="22"/>
          <w:lang w:val="en-GB"/>
        </w:rPr>
        <w:t xml:space="preserve"> which </w:t>
      </w:r>
      <w:r w:rsidR="00E91627">
        <w:rPr>
          <w:color w:val="1A1A1A"/>
          <w:sz w:val="22"/>
          <w:szCs w:val="22"/>
          <w:lang w:val="en-GB"/>
        </w:rPr>
        <w:t>increased</w:t>
      </w:r>
      <w:r w:rsidRPr="00C273FD">
        <w:rPr>
          <w:color w:val="1A1A1A"/>
          <w:sz w:val="22"/>
          <w:szCs w:val="22"/>
          <w:lang w:val="en-GB"/>
        </w:rPr>
        <w:t xml:space="preserve"> India’s growth rate considerably and revealed a perceptible improvement in the economy’s macro-aggregates in 2013/14 and 2014/15. The revised GDP series and the resultant higher growth rates, together with the slowdown experienced by the Chinese economy, led </w:t>
      </w:r>
      <w:r w:rsidR="00630438">
        <w:rPr>
          <w:color w:val="1A1A1A"/>
          <w:sz w:val="22"/>
          <w:szCs w:val="22"/>
          <w:lang w:val="en-GB"/>
        </w:rPr>
        <w:t xml:space="preserve">to </w:t>
      </w:r>
      <w:r w:rsidRPr="00C273FD">
        <w:rPr>
          <w:color w:val="1A1A1A"/>
          <w:sz w:val="22"/>
          <w:szCs w:val="22"/>
          <w:lang w:val="en-GB"/>
        </w:rPr>
        <w:t>India be</w:t>
      </w:r>
      <w:r w:rsidR="00630438">
        <w:rPr>
          <w:color w:val="1A1A1A"/>
          <w:sz w:val="22"/>
          <w:szCs w:val="22"/>
          <w:lang w:val="en-GB"/>
        </w:rPr>
        <w:t>ing</w:t>
      </w:r>
      <w:r w:rsidRPr="00C273FD">
        <w:rPr>
          <w:color w:val="1A1A1A"/>
          <w:sz w:val="22"/>
          <w:szCs w:val="22"/>
          <w:lang w:val="en-GB"/>
        </w:rPr>
        <w:t xml:space="preserve"> declared the fastest</w:t>
      </w:r>
      <w:r w:rsidR="00AF2F14">
        <w:rPr>
          <w:color w:val="1A1A1A"/>
          <w:sz w:val="22"/>
          <w:szCs w:val="22"/>
          <w:lang w:val="en-GB"/>
        </w:rPr>
        <w:t>-</w:t>
      </w:r>
      <w:r w:rsidRPr="00C273FD">
        <w:rPr>
          <w:color w:val="1A1A1A"/>
          <w:sz w:val="22"/>
          <w:szCs w:val="22"/>
          <w:lang w:val="en-GB"/>
        </w:rPr>
        <w:t xml:space="preserve">growing economy in the world, with a real GDP </w:t>
      </w:r>
      <w:r w:rsidR="00C14FBD">
        <w:rPr>
          <w:color w:val="1A1A1A"/>
          <w:sz w:val="22"/>
          <w:szCs w:val="22"/>
          <w:lang w:val="en-GB"/>
        </w:rPr>
        <w:t xml:space="preserve">annual </w:t>
      </w:r>
      <w:r w:rsidRPr="00C273FD">
        <w:rPr>
          <w:color w:val="1A1A1A"/>
          <w:sz w:val="22"/>
          <w:szCs w:val="22"/>
          <w:lang w:val="en-GB"/>
        </w:rPr>
        <w:t xml:space="preserve">growth rate of 7.6 </w:t>
      </w:r>
      <w:r w:rsidR="00B50E48" w:rsidRPr="00C273FD">
        <w:rPr>
          <w:color w:val="1A1A1A"/>
          <w:sz w:val="22"/>
          <w:szCs w:val="22"/>
          <w:lang w:val="en-GB"/>
        </w:rPr>
        <w:t>per cent</w:t>
      </w:r>
      <w:r w:rsidRPr="00C273FD">
        <w:rPr>
          <w:color w:val="1A1A1A"/>
          <w:sz w:val="22"/>
          <w:szCs w:val="22"/>
          <w:lang w:val="en-GB"/>
        </w:rPr>
        <w:t xml:space="preserve"> in </w:t>
      </w:r>
      <w:r w:rsidR="00AF2F14">
        <w:rPr>
          <w:color w:val="1A1A1A"/>
          <w:sz w:val="22"/>
          <w:szCs w:val="22"/>
          <w:lang w:val="en-GB"/>
        </w:rPr>
        <w:t>financial year (</w:t>
      </w:r>
      <w:r w:rsidRPr="00C273FD">
        <w:rPr>
          <w:color w:val="1A1A1A"/>
          <w:sz w:val="22"/>
          <w:szCs w:val="22"/>
          <w:lang w:val="en-GB"/>
        </w:rPr>
        <w:t>FY</w:t>
      </w:r>
      <w:r w:rsidR="00AF2F14">
        <w:rPr>
          <w:color w:val="1A1A1A"/>
          <w:sz w:val="22"/>
          <w:szCs w:val="22"/>
          <w:lang w:val="en-GB"/>
        </w:rPr>
        <w:t>)</w:t>
      </w:r>
      <w:r w:rsidRPr="00C273FD">
        <w:rPr>
          <w:color w:val="1A1A1A"/>
          <w:sz w:val="22"/>
          <w:szCs w:val="22"/>
          <w:lang w:val="en-GB"/>
        </w:rPr>
        <w:t xml:space="preserve"> 2015/16 (</w:t>
      </w:r>
      <w:r w:rsidR="00AF2F14">
        <w:rPr>
          <w:color w:val="1A1A1A"/>
          <w:sz w:val="22"/>
          <w:szCs w:val="22"/>
          <w:lang w:val="en-GB"/>
        </w:rPr>
        <w:t>s</w:t>
      </w:r>
      <w:r w:rsidRPr="00C273FD">
        <w:rPr>
          <w:color w:val="1A1A1A"/>
          <w:sz w:val="22"/>
          <w:szCs w:val="22"/>
          <w:lang w:val="en-GB"/>
        </w:rPr>
        <w:t>ee Exhibit</w:t>
      </w:r>
      <w:r w:rsidR="0009302E">
        <w:rPr>
          <w:color w:val="1A1A1A"/>
          <w:sz w:val="22"/>
          <w:szCs w:val="22"/>
          <w:lang w:val="en-GB"/>
        </w:rPr>
        <w:t> </w:t>
      </w:r>
      <w:r w:rsidRPr="00C273FD">
        <w:rPr>
          <w:color w:val="1A1A1A"/>
          <w:sz w:val="22"/>
          <w:szCs w:val="22"/>
          <w:lang w:val="en-GB"/>
        </w:rPr>
        <w:t>1).</w:t>
      </w:r>
      <w:r w:rsidR="00FA2BDD" w:rsidRPr="00C273FD">
        <w:rPr>
          <w:rStyle w:val="EndnoteReference"/>
          <w:color w:val="1A1A1A"/>
          <w:sz w:val="22"/>
          <w:szCs w:val="22"/>
          <w:lang w:val="en-GB"/>
        </w:rPr>
        <w:endnoteReference w:id="20"/>
      </w:r>
      <w:r w:rsidRPr="00C273FD">
        <w:rPr>
          <w:color w:val="1A1A1A"/>
          <w:sz w:val="22"/>
          <w:szCs w:val="22"/>
          <w:lang w:val="en-GB"/>
        </w:rPr>
        <w:t xml:space="preserve"> </w:t>
      </w:r>
      <w:r w:rsidR="00242AE5">
        <w:rPr>
          <w:color w:val="1A1A1A"/>
          <w:sz w:val="22"/>
          <w:szCs w:val="22"/>
          <w:lang w:val="en-GB"/>
        </w:rPr>
        <w:t>In 2016, amid a weakening global outlook, t</w:t>
      </w:r>
      <w:r w:rsidRPr="00C273FD">
        <w:rPr>
          <w:color w:val="1A1A1A"/>
          <w:sz w:val="22"/>
          <w:szCs w:val="22"/>
          <w:lang w:val="en-GB"/>
        </w:rPr>
        <w:t xml:space="preserve">he </w:t>
      </w:r>
      <w:r w:rsidR="00242AE5">
        <w:rPr>
          <w:color w:val="1A1A1A"/>
          <w:sz w:val="22"/>
          <w:szCs w:val="22"/>
          <w:lang w:val="en-GB"/>
        </w:rPr>
        <w:t>m</w:t>
      </w:r>
      <w:r w:rsidRPr="00C273FD">
        <w:rPr>
          <w:color w:val="1A1A1A"/>
          <w:sz w:val="22"/>
          <w:szCs w:val="22"/>
          <w:lang w:val="en-GB"/>
        </w:rPr>
        <w:t xml:space="preserve">anaging </w:t>
      </w:r>
      <w:r w:rsidR="00242AE5">
        <w:rPr>
          <w:color w:val="1A1A1A"/>
          <w:sz w:val="22"/>
          <w:szCs w:val="22"/>
          <w:lang w:val="en-GB"/>
        </w:rPr>
        <w:t>d</w:t>
      </w:r>
      <w:r w:rsidRPr="00C273FD">
        <w:rPr>
          <w:color w:val="1A1A1A"/>
          <w:sz w:val="22"/>
          <w:szCs w:val="22"/>
          <w:lang w:val="en-GB"/>
        </w:rPr>
        <w:t xml:space="preserve">irector of the International Monetary Fund, Christine </w:t>
      </w:r>
      <w:proofErr w:type="spellStart"/>
      <w:r w:rsidRPr="00C273FD">
        <w:rPr>
          <w:color w:val="1A1A1A"/>
          <w:sz w:val="22"/>
          <w:szCs w:val="22"/>
          <w:lang w:val="en-GB"/>
        </w:rPr>
        <w:t>Lagarde</w:t>
      </w:r>
      <w:proofErr w:type="spellEnd"/>
      <w:r w:rsidRPr="00C273FD">
        <w:rPr>
          <w:color w:val="1A1A1A"/>
          <w:sz w:val="22"/>
          <w:szCs w:val="22"/>
          <w:lang w:val="en-GB"/>
        </w:rPr>
        <w:t>, referred to India as the “bright spot in the global economy</w:t>
      </w:r>
      <w:r w:rsidR="00242AE5">
        <w:rPr>
          <w:color w:val="1A1A1A"/>
          <w:sz w:val="22"/>
          <w:szCs w:val="22"/>
          <w:lang w:val="en-GB"/>
        </w:rPr>
        <w:t>.</w:t>
      </w:r>
      <w:r w:rsidRPr="00C273FD">
        <w:rPr>
          <w:color w:val="1A1A1A"/>
          <w:sz w:val="22"/>
          <w:szCs w:val="22"/>
          <w:lang w:val="en-GB"/>
        </w:rPr>
        <w:t>”</w:t>
      </w:r>
      <w:r w:rsidRPr="00C273FD">
        <w:rPr>
          <w:rStyle w:val="EndnoteReference"/>
          <w:color w:val="1A1A1A"/>
          <w:sz w:val="22"/>
          <w:szCs w:val="22"/>
          <w:lang w:val="en-GB"/>
        </w:rPr>
        <w:endnoteReference w:id="21"/>
      </w:r>
    </w:p>
    <w:p w14:paraId="45741C52" w14:textId="77777777" w:rsidR="00C80ACF" w:rsidRPr="00C273FD" w:rsidRDefault="00C80ACF" w:rsidP="00C80ACF">
      <w:pPr>
        <w:widowControl w:val="0"/>
        <w:autoSpaceDE w:val="0"/>
        <w:autoSpaceDN w:val="0"/>
        <w:adjustRightInd w:val="0"/>
        <w:jc w:val="both"/>
        <w:rPr>
          <w:color w:val="1A1A1A"/>
          <w:sz w:val="22"/>
          <w:szCs w:val="22"/>
          <w:lang w:val="en-GB"/>
        </w:rPr>
      </w:pPr>
    </w:p>
    <w:p w14:paraId="126F4D15" w14:textId="5A15CEA9"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The growth dynamics altered the structure of the Indian economy, both on the supply and demand side</w:t>
      </w:r>
      <w:r w:rsidR="00177BFB">
        <w:rPr>
          <w:color w:val="1A1A1A"/>
          <w:sz w:val="22"/>
          <w:szCs w:val="22"/>
          <w:lang w:val="en-GB"/>
        </w:rPr>
        <w:t>s</w:t>
      </w:r>
      <w:r w:rsidR="00FA2BDD" w:rsidRPr="00C273FD">
        <w:rPr>
          <w:color w:val="1A1A1A"/>
          <w:sz w:val="22"/>
          <w:szCs w:val="22"/>
          <w:lang w:val="en-GB"/>
        </w:rPr>
        <w:t>.</w:t>
      </w:r>
      <w:r w:rsidRPr="00C273FD">
        <w:rPr>
          <w:rStyle w:val="EndnoteReference"/>
          <w:color w:val="1A1A1A"/>
          <w:sz w:val="22"/>
          <w:szCs w:val="22"/>
          <w:lang w:val="en-GB"/>
        </w:rPr>
        <w:endnoteReference w:id="22"/>
      </w:r>
      <w:r w:rsidRPr="00C273FD">
        <w:rPr>
          <w:color w:val="1A1A1A"/>
          <w:sz w:val="22"/>
          <w:szCs w:val="22"/>
          <w:lang w:val="en-GB"/>
        </w:rPr>
        <w:t xml:space="preserve"> In 2015/16, the service sector emerged as the largest contributor to GDP with a 61.</w:t>
      </w:r>
      <w:r w:rsidR="008B367B">
        <w:rPr>
          <w:color w:val="1A1A1A"/>
          <w:sz w:val="22"/>
          <w:szCs w:val="22"/>
          <w:lang w:val="en-GB"/>
        </w:rPr>
        <w:t>9</w:t>
      </w:r>
      <w:r w:rsidR="00630438" w:rsidRPr="00C273FD">
        <w:rPr>
          <w:color w:val="1A1A1A"/>
          <w:sz w:val="22"/>
          <w:szCs w:val="22"/>
          <w:lang w:val="en-GB"/>
        </w:rPr>
        <w:t xml:space="preserve"> </w:t>
      </w:r>
      <w:r w:rsidR="00B50E48" w:rsidRPr="00C273FD">
        <w:rPr>
          <w:color w:val="1A1A1A"/>
          <w:sz w:val="22"/>
          <w:szCs w:val="22"/>
          <w:lang w:val="en-GB"/>
        </w:rPr>
        <w:t>per cent</w:t>
      </w:r>
      <w:r w:rsidRPr="00C273FD">
        <w:rPr>
          <w:color w:val="1A1A1A"/>
          <w:sz w:val="22"/>
          <w:szCs w:val="22"/>
          <w:lang w:val="en-GB"/>
        </w:rPr>
        <w:t xml:space="preserve"> share. Agriculture and industry had shares of 15.</w:t>
      </w:r>
      <w:r w:rsidR="008B367B">
        <w:rPr>
          <w:color w:val="1A1A1A"/>
          <w:sz w:val="22"/>
          <w:szCs w:val="22"/>
          <w:lang w:val="en-GB"/>
        </w:rPr>
        <w:t>4</w:t>
      </w:r>
      <w:r w:rsidR="00B50E48" w:rsidRPr="00C273FD">
        <w:rPr>
          <w:color w:val="1A1A1A"/>
          <w:sz w:val="22"/>
          <w:szCs w:val="22"/>
          <w:lang w:val="en-GB"/>
        </w:rPr>
        <w:t xml:space="preserve"> per cent</w:t>
      </w:r>
      <w:r w:rsidRPr="00C273FD">
        <w:rPr>
          <w:color w:val="1A1A1A"/>
          <w:sz w:val="22"/>
          <w:szCs w:val="22"/>
          <w:lang w:val="en-GB"/>
        </w:rPr>
        <w:t xml:space="preserve"> and </w:t>
      </w:r>
      <w:r w:rsidR="00630438">
        <w:rPr>
          <w:color w:val="1A1A1A"/>
          <w:sz w:val="22"/>
          <w:szCs w:val="22"/>
          <w:lang w:val="en-GB"/>
        </w:rPr>
        <w:t>2</w:t>
      </w:r>
      <w:r w:rsidR="008B367B">
        <w:rPr>
          <w:color w:val="1A1A1A"/>
          <w:sz w:val="22"/>
          <w:szCs w:val="22"/>
          <w:lang w:val="en-GB"/>
        </w:rPr>
        <w:t>2.7</w:t>
      </w:r>
      <w:r w:rsidR="00B50E48" w:rsidRPr="00C273FD">
        <w:rPr>
          <w:color w:val="1A1A1A"/>
          <w:sz w:val="22"/>
          <w:szCs w:val="22"/>
          <w:lang w:val="en-GB"/>
        </w:rPr>
        <w:t xml:space="preserve"> per cent</w:t>
      </w:r>
      <w:r w:rsidR="00177BFB">
        <w:rPr>
          <w:color w:val="1A1A1A"/>
          <w:sz w:val="22"/>
          <w:szCs w:val="22"/>
          <w:lang w:val="en-GB"/>
        </w:rPr>
        <w:t>,</w:t>
      </w:r>
      <w:r w:rsidRPr="00C273FD">
        <w:rPr>
          <w:color w:val="1A1A1A"/>
          <w:sz w:val="22"/>
          <w:szCs w:val="22"/>
          <w:lang w:val="en-GB"/>
        </w:rPr>
        <w:t xml:space="preserve"> respectively</w:t>
      </w:r>
      <w:r w:rsidR="00FA2BDD" w:rsidRPr="00C273FD">
        <w:rPr>
          <w:color w:val="1A1A1A"/>
          <w:sz w:val="22"/>
          <w:szCs w:val="22"/>
          <w:lang w:val="en-GB"/>
        </w:rPr>
        <w:t>.</w:t>
      </w:r>
      <w:r w:rsidRPr="00C273FD">
        <w:rPr>
          <w:rStyle w:val="EndnoteReference"/>
          <w:color w:val="1A1A1A"/>
          <w:sz w:val="22"/>
          <w:szCs w:val="22"/>
          <w:lang w:val="en-GB"/>
        </w:rPr>
        <w:endnoteReference w:id="23"/>
      </w:r>
      <w:r w:rsidRPr="00C273FD">
        <w:rPr>
          <w:color w:val="1A1A1A"/>
          <w:sz w:val="22"/>
          <w:szCs w:val="22"/>
          <w:lang w:val="en-GB"/>
        </w:rPr>
        <w:t xml:space="preserve"> However, the share of these sectors in the overall employment </w:t>
      </w:r>
      <w:r w:rsidR="00177BFB">
        <w:rPr>
          <w:color w:val="1A1A1A"/>
          <w:sz w:val="22"/>
          <w:szCs w:val="22"/>
          <w:lang w:val="en-GB"/>
        </w:rPr>
        <w:t xml:space="preserve">in India </w:t>
      </w:r>
      <w:proofErr w:type="gramStart"/>
      <w:r w:rsidRPr="00C273FD">
        <w:rPr>
          <w:color w:val="1A1A1A"/>
          <w:sz w:val="22"/>
          <w:szCs w:val="22"/>
          <w:lang w:val="en-GB"/>
        </w:rPr>
        <w:t>was extremely skewed</w:t>
      </w:r>
      <w:proofErr w:type="gramEnd"/>
      <w:r w:rsidRPr="00C273FD">
        <w:rPr>
          <w:color w:val="1A1A1A"/>
          <w:sz w:val="22"/>
          <w:szCs w:val="22"/>
          <w:lang w:val="en-GB"/>
        </w:rPr>
        <w:t>, with agriculture accounting for 48.9</w:t>
      </w:r>
      <w:r w:rsidR="00B50E48" w:rsidRPr="00C273FD">
        <w:rPr>
          <w:color w:val="1A1A1A"/>
          <w:sz w:val="22"/>
          <w:szCs w:val="22"/>
          <w:lang w:val="en-GB"/>
        </w:rPr>
        <w:t xml:space="preserve"> per cent</w:t>
      </w:r>
      <w:r w:rsidRPr="00C273FD">
        <w:rPr>
          <w:color w:val="1A1A1A"/>
          <w:sz w:val="22"/>
          <w:szCs w:val="22"/>
          <w:lang w:val="en-GB"/>
        </w:rPr>
        <w:t>, industry 24.3</w:t>
      </w:r>
      <w:r w:rsidR="00B50E48" w:rsidRPr="00C273FD">
        <w:rPr>
          <w:color w:val="1A1A1A"/>
          <w:sz w:val="22"/>
          <w:szCs w:val="22"/>
          <w:lang w:val="en-GB"/>
        </w:rPr>
        <w:t xml:space="preserve"> per cent</w:t>
      </w:r>
      <w:r w:rsidR="00177BFB">
        <w:rPr>
          <w:color w:val="1A1A1A"/>
          <w:sz w:val="22"/>
          <w:szCs w:val="22"/>
          <w:lang w:val="en-GB"/>
        </w:rPr>
        <w:t>,</w:t>
      </w:r>
      <w:r w:rsidRPr="00C273FD">
        <w:rPr>
          <w:color w:val="1A1A1A"/>
          <w:sz w:val="22"/>
          <w:szCs w:val="22"/>
          <w:lang w:val="en-GB"/>
        </w:rPr>
        <w:t xml:space="preserve"> and </w:t>
      </w:r>
      <w:r w:rsidR="00177BFB">
        <w:rPr>
          <w:color w:val="1A1A1A"/>
          <w:sz w:val="22"/>
          <w:szCs w:val="22"/>
          <w:lang w:val="en-GB"/>
        </w:rPr>
        <w:t xml:space="preserve">the </w:t>
      </w:r>
      <w:r w:rsidRPr="00C273FD">
        <w:rPr>
          <w:color w:val="1A1A1A"/>
          <w:sz w:val="22"/>
          <w:szCs w:val="22"/>
          <w:lang w:val="en-GB"/>
        </w:rPr>
        <w:t>service sector 26.9</w:t>
      </w:r>
      <w:r w:rsidR="00B50E48" w:rsidRPr="00C273FD">
        <w:rPr>
          <w:color w:val="1A1A1A"/>
          <w:sz w:val="22"/>
          <w:szCs w:val="22"/>
          <w:lang w:val="en-GB"/>
        </w:rPr>
        <w:t xml:space="preserve"> per cent</w:t>
      </w:r>
      <w:r w:rsidR="00FA2BDD" w:rsidRPr="00C273FD">
        <w:rPr>
          <w:color w:val="1A1A1A"/>
          <w:sz w:val="22"/>
          <w:szCs w:val="22"/>
          <w:lang w:val="en-GB"/>
        </w:rPr>
        <w:t>.</w:t>
      </w:r>
      <w:r w:rsidRPr="00C273FD">
        <w:rPr>
          <w:rStyle w:val="EndnoteReference"/>
          <w:color w:val="1A1A1A"/>
          <w:sz w:val="22"/>
          <w:szCs w:val="22"/>
          <w:lang w:val="en-GB"/>
        </w:rPr>
        <w:endnoteReference w:id="24"/>
      </w:r>
      <w:r w:rsidRPr="00C273FD">
        <w:rPr>
          <w:color w:val="1A1A1A"/>
          <w:sz w:val="22"/>
          <w:szCs w:val="22"/>
          <w:lang w:val="en-GB"/>
        </w:rPr>
        <w:t xml:space="preserve"> </w:t>
      </w:r>
    </w:p>
    <w:p w14:paraId="52ECE98E" w14:textId="77777777" w:rsidR="00C80ACF" w:rsidRPr="00C273FD" w:rsidRDefault="00C80ACF" w:rsidP="00C80ACF">
      <w:pPr>
        <w:widowControl w:val="0"/>
        <w:autoSpaceDE w:val="0"/>
        <w:autoSpaceDN w:val="0"/>
        <w:adjustRightInd w:val="0"/>
        <w:jc w:val="both"/>
        <w:rPr>
          <w:color w:val="1A1A1A"/>
          <w:sz w:val="22"/>
          <w:szCs w:val="22"/>
          <w:lang w:val="en-GB"/>
        </w:rPr>
      </w:pPr>
    </w:p>
    <w:p w14:paraId="65C8DF00" w14:textId="57C79229" w:rsidR="00AB18DE" w:rsidRPr="00C273FD" w:rsidRDefault="00C80ACF" w:rsidP="00C80ACF">
      <w:pPr>
        <w:widowControl w:val="0"/>
        <w:autoSpaceDE w:val="0"/>
        <w:autoSpaceDN w:val="0"/>
        <w:adjustRightInd w:val="0"/>
        <w:jc w:val="both"/>
        <w:rPr>
          <w:color w:val="1A1A1A"/>
          <w:spacing w:val="-2"/>
          <w:kern w:val="22"/>
          <w:sz w:val="22"/>
          <w:szCs w:val="22"/>
          <w:lang w:val="en-GB"/>
        </w:rPr>
      </w:pPr>
      <w:r w:rsidRPr="00C273FD">
        <w:rPr>
          <w:color w:val="1A1A1A"/>
          <w:spacing w:val="-2"/>
          <w:kern w:val="22"/>
          <w:sz w:val="22"/>
          <w:szCs w:val="22"/>
          <w:lang w:val="en-GB"/>
        </w:rPr>
        <w:t xml:space="preserve">The employment-intensive agricultural sector, even in 2016, continued to depend on the vagaries of the monsoon, as noted by consecutive </w:t>
      </w:r>
      <w:r w:rsidR="00E32792">
        <w:rPr>
          <w:color w:val="1A1A1A"/>
          <w:spacing w:val="-2"/>
          <w:kern w:val="22"/>
          <w:sz w:val="22"/>
          <w:szCs w:val="22"/>
          <w:lang w:val="en-GB"/>
        </w:rPr>
        <w:t>e</w:t>
      </w:r>
      <w:r w:rsidRPr="00C273FD">
        <w:rPr>
          <w:color w:val="1A1A1A"/>
          <w:spacing w:val="-2"/>
          <w:kern w:val="22"/>
          <w:sz w:val="22"/>
          <w:szCs w:val="22"/>
          <w:lang w:val="en-GB"/>
        </w:rPr>
        <w:t xml:space="preserve">conomic </w:t>
      </w:r>
      <w:r w:rsidR="00E32792">
        <w:rPr>
          <w:color w:val="1A1A1A"/>
          <w:spacing w:val="-2"/>
          <w:kern w:val="22"/>
          <w:sz w:val="22"/>
          <w:szCs w:val="22"/>
          <w:lang w:val="en-GB"/>
        </w:rPr>
        <w:t>s</w:t>
      </w:r>
      <w:r w:rsidRPr="00C273FD">
        <w:rPr>
          <w:color w:val="1A1A1A"/>
          <w:spacing w:val="-2"/>
          <w:kern w:val="22"/>
          <w:sz w:val="22"/>
          <w:szCs w:val="22"/>
          <w:lang w:val="en-GB"/>
        </w:rPr>
        <w:t>urveys of the Government of India and annual reports of the RBI. The southwest monsoons</w:t>
      </w:r>
      <w:r w:rsidR="00E32792">
        <w:rPr>
          <w:color w:val="1A1A1A"/>
          <w:spacing w:val="-2"/>
          <w:kern w:val="22"/>
          <w:sz w:val="22"/>
          <w:szCs w:val="22"/>
          <w:lang w:val="en-GB"/>
        </w:rPr>
        <w:t xml:space="preserve">, which were </w:t>
      </w:r>
      <w:r w:rsidRPr="00C273FD">
        <w:rPr>
          <w:color w:val="1A1A1A"/>
          <w:spacing w:val="-2"/>
          <w:kern w:val="22"/>
          <w:sz w:val="22"/>
          <w:szCs w:val="22"/>
          <w:lang w:val="en-GB"/>
        </w:rPr>
        <w:t>the chief source of rainfall in the country</w:t>
      </w:r>
      <w:r w:rsidR="00E32792">
        <w:rPr>
          <w:color w:val="1A1A1A"/>
          <w:spacing w:val="-2"/>
          <w:kern w:val="22"/>
          <w:sz w:val="22"/>
          <w:szCs w:val="22"/>
          <w:lang w:val="en-GB"/>
        </w:rPr>
        <w:t xml:space="preserve">, </w:t>
      </w:r>
      <w:r w:rsidRPr="00C273FD">
        <w:rPr>
          <w:color w:val="1A1A1A"/>
          <w:spacing w:val="-2"/>
          <w:kern w:val="22"/>
          <w:sz w:val="22"/>
          <w:szCs w:val="22"/>
          <w:lang w:val="en-GB"/>
        </w:rPr>
        <w:t>determined the fate of the agricultural sector</w:t>
      </w:r>
      <w:r w:rsidR="00DF3625">
        <w:rPr>
          <w:color w:val="1A1A1A"/>
          <w:spacing w:val="-2"/>
          <w:kern w:val="22"/>
          <w:sz w:val="22"/>
          <w:szCs w:val="22"/>
          <w:lang w:val="en-GB"/>
        </w:rPr>
        <w:t>—</w:t>
      </w:r>
      <w:r w:rsidRPr="00C273FD">
        <w:rPr>
          <w:color w:val="1A1A1A"/>
          <w:spacing w:val="-2"/>
          <w:kern w:val="22"/>
          <w:sz w:val="22"/>
          <w:szCs w:val="22"/>
          <w:lang w:val="en-GB"/>
        </w:rPr>
        <w:t xml:space="preserve">and of the economy. Thus, </w:t>
      </w:r>
      <w:r w:rsidR="00E32792">
        <w:rPr>
          <w:color w:val="1A1A1A"/>
          <w:spacing w:val="-2"/>
          <w:kern w:val="22"/>
          <w:sz w:val="22"/>
          <w:szCs w:val="22"/>
          <w:lang w:val="en-GB"/>
        </w:rPr>
        <w:t>after</w:t>
      </w:r>
      <w:r w:rsidR="00E32792" w:rsidRPr="00C273FD">
        <w:rPr>
          <w:color w:val="1A1A1A"/>
          <w:spacing w:val="-2"/>
          <w:kern w:val="22"/>
          <w:sz w:val="22"/>
          <w:szCs w:val="22"/>
          <w:lang w:val="en-GB"/>
        </w:rPr>
        <w:t xml:space="preserve"> </w:t>
      </w:r>
      <w:r w:rsidRPr="00C273FD">
        <w:rPr>
          <w:color w:val="1A1A1A"/>
          <w:spacing w:val="-2"/>
          <w:kern w:val="22"/>
          <w:sz w:val="22"/>
          <w:szCs w:val="22"/>
          <w:lang w:val="en-GB"/>
        </w:rPr>
        <w:t xml:space="preserve">two consecutive subnormal monsoon years, </w:t>
      </w:r>
      <w:r w:rsidR="00DF3625">
        <w:rPr>
          <w:color w:val="1A1A1A"/>
          <w:spacing w:val="-2"/>
          <w:kern w:val="22"/>
          <w:sz w:val="22"/>
          <w:szCs w:val="22"/>
          <w:lang w:val="en-GB"/>
        </w:rPr>
        <w:t xml:space="preserve">the </w:t>
      </w:r>
      <w:r w:rsidRPr="00C273FD">
        <w:rPr>
          <w:color w:val="1A1A1A"/>
          <w:spacing w:val="-2"/>
          <w:kern w:val="22"/>
          <w:sz w:val="22"/>
          <w:szCs w:val="22"/>
          <w:lang w:val="en-GB"/>
        </w:rPr>
        <w:t xml:space="preserve">agricultural sector growth rate had faltered </w:t>
      </w:r>
      <w:r w:rsidR="00DF3625">
        <w:rPr>
          <w:color w:val="1A1A1A"/>
          <w:spacing w:val="-2"/>
          <w:kern w:val="22"/>
          <w:sz w:val="22"/>
          <w:szCs w:val="22"/>
          <w:lang w:val="en-GB"/>
        </w:rPr>
        <w:t>from</w:t>
      </w:r>
      <w:r w:rsidR="00DF3625" w:rsidRPr="00C273FD">
        <w:rPr>
          <w:color w:val="1A1A1A"/>
          <w:spacing w:val="-2"/>
          <w:kern w:val="22"/>
          <w:sz w:val="22"/>
          <w:szCs w:val="22"/>
          <w:lang w:val="en-GB"/>
        </w:rPr>
        <w:t xml:space="preserve"> </w:t>
      </w:r>
      <w:r w:rsidRPr="00C273FD">
        <w:rPr>
          <w:color w:val="1A1A1A"/>
          <w:spacing w:val="-2"/>
          <w:kern w:val="22"/>
          <w:sz w:val="22"/>
          <w:szCs w:val="22"/>
          <w:lang w:val="en-GB"/>
        </w:rPr>
        <w:t>2013/14 to 2015/16</w:t>
      </w:r>
      <w:r w:rsidR="00FA2BDD" w:rsidRPr="00C273FD">
        <w:rPr>
          <w:color w:val="1A1A1A"/>
          <w:spacing w:val="-2"/>
          <w:kern w:val="22"/>
          <w:sz w:val="22"/>
          <w:szCs w:val="22"/>
          <w:lang w:val="en-GB"/>
        </w:rPr>
        <w:t xml:space="preserve"> (s</w:t>
      </w:r>
      <w:r w:rsidRPr="00C273FD">
        <w:rPr>
          <w:color w:val="1A1A1A"/>
          <w:spacing w:val="-2"/>
          <w:kern w:val="22"/>
          <w:sz w:val="22"/>
          <w:szCs w:val="22"/>
          <w:lang w:val="en-GB"/>
        </w:rPr>
        <w:t>ee Exhibit 2).</w:t>
      </w:r>
      <w:r w:rsidR="00FA2BDD" w:rsidRPr="00C273FD">
        <w:rPr>
          <w:rStyle w:val="EndnoteReference"/>
          <w:color w:val="1A1A1A"/>
          <w:spacing w:val="-2"/>
          <w:kern w:val="22"/>
          <w:sz w:val="22"/>
          <w:szCs w:val="22"/>
          <w:lang w:val="en-GB"/>
        </w:rPr>
        <w:endnoteReference w:id="25"/>
      </w:r>
      <w:r w:rsidRPr="00C273FD">
        <w:rPr>
          <w:color w:val="1A1A1A"/>
          <w:spacing w:val="-2"/>
          <w:kern w:val="22"/>
          <w:sz w:val="22"/>
          <w:szCs w:val="22"/>
          <w:lang w:val="en-GB"/>
        </w:rPr>
        <w:t xml:space="preserve"> The industrial sector</w:t>
      </w:r>
      <w:r w:rsidR="00E32792">
        <w:rPr>
          <w:color w:val="1A1A1A"/>
          <w:spacing w:val="-2"/>
          <w:kern w:val="22"/>
          <w:sz w:val="22"/>
          <w:szCs w:val="22"/>
          <w:lang w:val="en-GB"/>
        </w:rPr>
        <w:t>’s</w:t>
      </w:r>
      <w:r w:rsidRPr="00C273FD">
        <w:rPr>
          <w:color w:val="1A1A1A"/>
          <w:spacing w:val="-2"/>
          <w:kern w:val="22"/>
          <w:sz w:val="22"/>
          <w:szCs w:val="22"/>
          <w:lang w:val="en-GB"/>
        </w:rPr>
        <w:t xml:space="preserve"> growth rate in 2015/16 marked an improvement over the previous two fiscal</w:t>
      </w:r>
      <w:r w:rsidR="00DF3625">
        <w:rPr>
          <w:color w:val="1A1A1A"/>
          <w:spacing w:val="-2"/>
          <w:kern w:val="22"/>
          <w:sz w:val="22"/>
          <w:szCs w:val="22"/>
          <w:lang w:val="en-GB"/>
        </w:rPr>
        <w:t xml:space="preserve"> years</w:t>
      </w:r>
      <w:r w:rsidRPr="00C273FD">
        <w:rPr>
          <w:color w:val="1A1A1A"/>
          <w:spacing w:val="-2"/>
          <w:kern w:val="22"/>
          <w:sz w:val="22"/>
          <w:szCs w:val="22"/>
          <w:lang w:val="en-GB"/>
        </w:rPr>
        <w:t>, with much of this improvement accounted for by manufacturing. However, ground</w:t>
      </w:r>
      <w:r w:rsidR="00DF3625">
        <w:rPr>
          <w:color w:val="1A1A1A"/>
          <w:spacing w:val="-2"/>
          <w:kern w:val="22"/>
          <w:sz w:val="22"/>
          <w:szCs w:val="22"/>
          <w:lang w:val="en-GB"/>
        </w:rPr>
        <w:t>-</w:t>
      </w:r>
      <w:r w:rsidRPr="00C273FD">
        <w:rPr>
          <w:color w:val="1A1A1A"/>
          <w:spacing w:val="-2"/>
          <w:kern w:val="22"/>
          <w:sz w:val="22"/>
          <w:szCs w:val="22"/>
          <w:lang w:val="en-GB"/>
        </w:rPr>
        <w:t>level data seemed to be at odds with such results. For instance, while the new GDP series showed 5.6 per cent growth in manufacturing in 2013/14, actual performance of manufacturing companies listed on the National Stock Exchange showed that earnings had actually declined by 4</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in 2013/14</w:t>
      </w:r>
      <w:r w:rsidR="00FA2BDD" w:rsidRPr="00C273FD">
        <w:rPr>
          <w:color w:val="1A1A1A"/>
          <w:spacing w:val="-2"/>
          <w:kern w:val="22"/>
          <w:sz w:val="22"/>
          <w:szCs w:val="22"/>
          <w:lang w:val="en-GB"/>
        </w:rPr>
        <w:t>.</w:t>
      </w:r>
      <w:r w:rsidRPr="00C273FD">
        <w:rPr>
          <w:rStyle w:val="EndnoteReference"/>
          <w:color w:val="1A1A1A"/>
          <w:spacing w:val="-2"/>
          <w:kern w:val="22"/>
          <w:sz w:val="22"/>
          <w:szCs w:val="22"/>
          <w:lang w:val="en-GB"/>
        </w:rPr>
        <w:endnoteReference w:id="26"/>
      </w:r>
      <w:r w:rsidR="00FA2BDD" w:rsidRPr="00C273FD">
        <w:rPr>
          <w:color w:val="1A1A1A"/>
          <w:spacing w:val="-2"/>
          <w:kern w:val="22"/>
          <w:sz w:val="22"/>
          <w:szCs w:val="22"/>
          <w:lang w:val="en-GB"/>
        </w:rPr>
        <w:t xml:space="preserve"> </w:t>
      </w:r>
      <w:r w:rsidRPr="00C273FD">
        <w:rPr>
          <w:color w:val="1A1A1A"/>
          <w:spacing w:val="-2"/>
          <w:kern w:val="22"/>
          <w:sz w:val="22"/>
          <w:szCs w:val="22"/>
          <w:lang w:val="en-GB"/>
        </w:rPr>
        <w:t>The stagnating IIP</w:t>
      </w:r>
      <w:r w:rsidR="00FA2BDD" w:rsidRPr="00C273FD">
        <w:rPr>
          <w:rStyle w:val="EndnoteReference"/>
          <w:color w:val="1A1A1A"/>
          <w:spacing w:val="-2"/>
          <w:kern w:val="22"/>
          <w:sz w:val="22"/>
          <w:szCs w:val="22"/>
          <w:lang w:val="en-GB"/>
        </w:rPr>
        <w:endnoteReference w:id="27"/>
      </w:r>
      <w:r w:rsidR="00AB18DE" w:rsidRPr="00C273FD">
        <w:rPr>
          <w:color w:val="1A1A1A"/>
          <w:spacing w:val="-2"/>
          <w:kern w:val="22"/>
          <w:sz w:val="22"/>
          <w:szCs w:val="22"/>
          <w:lang w:val="en-GB"/>
        </w:rPr>
        <w:t xml:space="preserve"> further raised questions regarding the veracity of the story of manufacturing growth</w:t>
      </w:r>
      <w:r w:rsidR="00FA2BDD" w:rsidRPr="00C273FD">
        <w:rPr>
          <w:color w:val="1A1A1A"/>
          <w:spacing w:val="-2"/>
          <w:kern w:val="22"/>
          <w:sz w:val="22"/>
          <w:szCs w:val="22"/>
          <w:lang w:val="en-GB"/>
        </w:rPr>
        <w:t xml:space="preserve"> (s</w:t>
      </w:r>
      <w:r w:rsidR="00AB18DE" w:rsidRPr="00C273FD">
        <w:rPr>
          <w:color w:val="1A1A1A"/>
          <w:spacing w:val="-2"/>
          <w:kern w:val="22"/>
          <w:sz w:val="22"/>
          <w:szCs w:val="22"/>
          <w:lang w:val="en-GB"/>
        </w:rPr>
        <w:t>ee Exhibit 3).</w:t>
      </w:r>
      <w:r w:rsidR="00FA2BDD" w:rsidRPr="00C273FD">
        <w:rPr>
          <w:rStyle w:val="EndnoteReference"/>
          <w:color w:val="1A1A1A"/>
          <w:spacing w:val="-2"/>
          <w:kern w:val="22"/>
          <w:sz w:val="22"/>
          <w:szCs w:val="22"/>
          <w:lang w:val="en-GB"/>
        </w:rPr>
        <w:endnoteReference w:id="28"/>
      </w:r>
      <w:r w:rsidR="00AB18DE" w:rsidRPr="00C273FD">
        <w:rPr>
          <w:color w:val="1A1A1A"/>
          <w:spacing w:val="-2"/>
          <w:kern w:val="22"/>
          <w:sz w:val="22"/>
          <w:szCs w:val="22"/>
          <w:lang w:val="en-GB"/>
        </w:rPr>
        <w:t xml:space="preserve"> The services sector</w:t>
      </w:r>
      <w:r w:rsidR="00DF3625">
        <w:rPr>
          <w:color w:val="1A1A1A"/>
          <w:spacing w:val="-2"/>
          <w:kern w:val="22"/>
          <w:sz w:val="22"/>
          <w:szCs w:val="22"/>
          <w:lang w:val="en-GB"/>
        </w:rPr>
        <w:t>—</w:t>
      </w:r>
      <w:r w:rsidR="00AB18DE" w:rsidRPr="00C273FD">
        <w:rPr>
          <w:color w:val="1A1A1A"/>
          <w:spacing w:val="-2"/>
          <w:kern w:val="22"/>
          <w:sz w:val="22"/>
          <w:szCs w:val="22"/>
          <w:lang w:val="en-GB"/>
        </w:rPr>
        <w:t>the largest contributor to GDP</w:t>
      </w:r>
      <w:r w:rsidR="00DF3625">
        <w:rPr>
          <w:color w:val="1A1A1A"/>
          <w:spacing w:val="-2"/>
          <w:kern w:val="22"/>
          <w:sz w:val="22"/>
          <w:szCs w:val="22"/>
          <w:lang w:val="en-GB"/>
        </w:rPr>
        <w:t>—</w:t>
      </w:r>
      <w:r w:rsidR="00AB18DE" w:rsidRPr="00C273FD">
        <w:rPr>
          <w:color w:val="1A1A1A"/>
          <w:spacing w:val="-2"/>
          <w:kern w:val="22"/>
          <w:sz w:val="22"/>
          <w:szCs w:val="22"/>
          <w:lang w:val="en-GB"/>
        </w:rPr>
        <w:t xml:space="preserve">had experienced declining growth rates </w:t>
      </w:r>
      <w:r w:rsidR="001752FE">
        <w:rPr>
          <w:color w:val="1A1A1A"/>
          <w:spacing w:val="-2"/>
          <w:kern w:val="22"/>
          <w:sz w:val="22"/>
          <w:szCs w:val="22"/>
          <w:lang w:val="en-GB"/>
        </w:rPr>
        <w:t xml:space="preserve">in </w:t>
      </w:r>
      <w:r w:rsidR="00AB18DE" w:rsidRPr="00C273FD">
        <w:rPr>
          <w:color w:val="1A1A1A"/>
          <w:spacing w:val="-2"/>
          <w:kern w:val="22"/>
          <w:sz w:val="22"/>
          <w:szCs w:val="22"/>
          <w:lang w:val="en-GB"/>
        </w:rPr>
        <w:t>2015/16, with the slowdown concentrated in public administration, defence</w:t>
      </w:r>
      <w:r w:rsidR="004630C9">
        <w:rPr>
          <w:color w:val="1A1A1A"/>
          <w:spacing w:val="-2"/>
          <w:kern w:val="22"/>
          <w:sz w:val="22"/>
          <w:szCs w:val="22"/>
          <w:lang w:val="en-GB"/>
        </w:rPr>
        <w:t>,</w:t>
      </w:r>
      <w:r w:rsidR="00AB18DE" w:rsidRPr="00C273FD">
        <w:rPr>
          <w:color w:val="1A1A1A"/>
          <w:spacing w:val="-2"/>
          <w:kern w:val="22"/>
          <w:sz w:val="22"/>
          <w:szCs w:val="22"/>
          <w:lang w:val="en-GB"/>
        </w:rPr>
        <w:t xml:space="preserve"> and other services on account of the restraints on public expenditure. Other components of the service sector, such as trade, hotels</w:t>
      </w:r>
      <w:r w:rsidR="00700C76">
        <w:rPr>
          <w:color w:val="1A1A1A"/>
          <w:spacing w:val="-2"/>
          <w:kern w:val="22"/>
          <w:sz w:val="22"/>
          <w:szCs w:val="22"/>
          <w:lang w:val="en-GB"/>
        </w:rPr>
        <w:t>,</w:t>
      </w:r>
      <w:r w:rsidR="00CF6210">
        <w:rPr>
          <w:color w:val="1A1A1A"/>
          <w:spacing w:val="-2"/>
          <w:kern w:val="22"/>
          <w:sz w:val="22"/>
          <w:szCs w:val="22"/>
          <w:lang w:val="en-GB"/>
        </w:rPr>
        <w:t xml:space="preserve"> transport, </w:t>
      </w:r>
      <w:r w:rsidR="00CF6210" w:rsidRPr="00C273FD">
        <w:rPr>
          <w:color w:val="1A1A1A"/>
          <w:spacing w:val="-2"/>
          <w:kern w:val="22"/>
          <w:sz w:val="22"/>
          <w:szCs w:val="22"/>
          <w:lang w:val="en-GB"/>
        </w:rPr>
        <w:t>communication</w:t>
      </w:r>
      <w:r w:rsidR="003E4E38">
        <w:rPr>
          <w:color w:val="1A1A1A"/>
          <w:spacing w:val="-2"/>
          <w:kern w:val="22"/>
          <w:sz w:val="22"/>
          <w:szCs w:val="22"/>
          <w:lang w:val="en-GB"/>
        </w:rPr>
        <w:t>,</w:t>
      </w:r>
      <w:r w:rsidR="00CF6210" w:rsidRPr="00C273FD">
        <w:rPr>
          <w:color w:val="1A1A1A"/>
          <w:spacing w:val="-2"/>
          <w:kern w:val="22"/>
          <w:sz w:val="22"/>
          <w:szCs w:val="22"/>
          <w:lang w:val="en-GB"/>
        </w:rPr>
        <w:t xml:space="preserve"> </w:t>
      </w:r>
      <w:r w:rsidR="00CF6210">
        <w:rPr>
          <w:color w:val="1A1A1A"/>
          <w:spacing w:val="-2"/>
          <w:kern w:val="22"/>
          <w:sz w:val="22"/>
          <w:szCs w:val="22"/>
          <w:lang w:val="en-GB"/>
        </w:rPr>
        <w:t>and services related to broadcasting</w:t>
      </w:r>
      <w:r w:rsidR="003E4E38">
        <w:rPr>
          <w:color w:val="1A1A1A"/>
          <w:spacing w:val="-2"/>
          <w:kern w:val="22"/>
          <w:sz w:val="22"/>
          <w:szCs w:val="22"/>
          <w:lang w:val="en-GB"/>
        </w:rPr>
        <w:t>,</w:t>
      </w:r>
      <w:r w:rsidR="00AB18DE" w:rsidRPr="00C273FD">
        <w:rPr>
          <w:color w:val="1A1A1A"/>
          <w:spacing w:val="-2"/>
          <w:kern w:val="22"/>
          <w:sz w:val="22"/>
          <w:szCs w:val="22"/>
          <w:lang w:val="en-GB"/>
        </w:rPr>
        <w:t xml:space="preserve"> </w:t>
      </w:r>
      <w:r w:rsidR="00CF6210">
        <w:rPr>
          <w:color w:val="1A1A1A"/>
          <w:spacing w:val="-2"/>
          <w:kern w:val="22"/>
          <w:sz w:val="22"/>
          <w:szCs w:val="22"/>
          <w:lang w:val="en-GB"/>
        </w:rPr>
        <w:t>also</w:t>
      </w:r>
      <w:r w:rsidR="00AB18DE" w:rsidRPr="00C273FD">
        <w:rPr>
          <w:color w:val="1A1A1A"/>
          <w:spacing w:val="-2"/>
          <w:kern w:val="22"/>
          <w:sz w:val="22"/>
          <w:szCs w:val="22"/>
          <w:lang w:val="en-GB"/>
        </w:rPr>
        <w:t xml:space="preserve"> decelerated</w:t>
      </w:r>
      <w:r w:rsidR="00FA2BDD" w:rsidRPr="00C273FD">
        <w:rPr>
          <w:color w:val="1A1A1A"/>
          <w:spacing w:val="-2"/>
          <w:kern w:val="22"/>
          <w:sz w:val="22"/>
          <w:szCs w:val="22"/>
          <w:lang w:val="en-GB"/>
        </w:rPr>
        <w:t>.</w:t>
      </w:r>
      <w:r w:rsidR="00AB18DE" w:rsidRPr="00C273FD">
        <w:rPr>
          <w:rStyle w:val="EndnoteReference"/>
          <w:color w:val="1A1A1A"/>
          <w:spacing w:val="-2"/>
          <w:kern w:val="22"/>
          <w:sz w:val="22"/>
          <w:szCs w:val="22"/>
          <w:lang w:val="en-GB"/>
        </w:rPr>
        <w:endnoteReference w:id="29"/>
      </w:r>
      <w:r w:rsidR="00AB18DE" w:rsidRPr="00C273FD">
        <w:rPr>
          <w:color w:val="1A1A1A"/>
          <w:spacing w:val="-2"/>
          <w:kern w:val="22"/>
          <w:sz w:val="22"/>
          <w:szCs w:val="22"/>
          <w:lang w:val="en-GB"/>
        </w:rPr>
        <w:t xml:space="preserve"> </w:t>
      </w:r>
    </w:p>
    <w:p w14:paraId="661FEAD9" w14:textId="77777777" w:rsidR="00AB18DE" w:rsidRPr="00C273FD" w:rsidRDefault="00AB18DE" w:rsidP="00C80ACF">
      <w:pPr>
        <w:widowControl w:val="0"/>
        <w:autoSpaceDE w:val="0"/>
        <w:autoSpaceDN w:val="0"/>
        <w:adjustRightInd w:val="0"/>
        <w:jc w:val="both"/>
        <w:rPr>
          <w:color w:val="1A1A1A"/>
          <w:sz w:val="22"/>
          <w:szCs w:val="22"/>
          <w:lang w:val="en-GB"/>
        </w:rPr>
      </w:pPr>
    </w:p>
    <w:p w14:paraId="71817D97" w14:textId="10CCD2DB"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On the expenditure side, with </w:t>
      </w:r>
      <w:r w:rsidR="00E2121A">
        <w:rPr>
          <w:color w:val="1A1A1A"/>
          <w:sz w:val="22"/>
          <w:szCs w:val="22"/>
          <w:lang w:val="en-GB"/>
        </w:rPr>
        <w:t xml:space="preserve">a </w:t>
      </w:r>
      <w:r w:rsidRPr="00C273FD">
        <w:rPr>
          <w:color w:val="1A1A1A"/>
          <w:sz w:val="22"/>
          <w:szCs w:val="22"/>
          <w:lang w:val="en-GB"/>
        </w:rPr>
        <w:t>private final consumption expenditure</w:t>
      </w:r>
      <w:r w:rsidR="00E2121A">
        <w:rPr>
          <w:color w:val="1A1A1A"/>
          <w:sz w:val="22"/>
          <w:szCs w:val="22"/>
          <w:lang w:val="en-GB"/>
        </w:rPr>
        <w:t>-</w:t>
      </w:r>
      <w:r w:rsidRPr="00C273FD">
        <w:rPr>
          <w:color w:val="1A1A1A"/>
          <w:sz w:val="22"/>
          <w:szCs w:val="22"/>
          <w:lang w:val="en-GB"/>
        </w:rPr>
        <w:t>to</w:t>
      </w:r>
      <w:r w:rsidR="00E2121A">
        <w:rPr>
          <w:color w:val="1A1A1A"/>
          <w:sz w:val="22"/>
          <w:szCs w:val="22"/>
          <w:lang w:val="en-GB"/>
        </w:rPr>
        <w:t>-</w:t>
      </w:r>
      <w:r w:rsidRPr="00C273FD">
        <w:rPr>
          <w:color w:val="1A1A1A"/>
          <w:sz w:val="22"/>
          <w:szCs w:val="22"/>
          <w:lang w:val="en-GB"/>
        </w:rPr>
        <w:t>GDP ratio of 58.</w:t>
      </w:r>
      <w:r w:rsidR="00700C76">
        <w:rPr>
          <w:color w:val="1A1A1A"/>
          <w:sz w:val="22"/>
          <w:szCs w:val="22"/>
          <w:lang w:val="en-GB"/>
        </w:rPr>
        <w:t>43</w:t>
      </w:r>
      <w:r w:rsidR="00B50E48" w:rsidRPr="00C273FD">
        <w:rPr>
          <w:color w:val="1A1A1A"/>
          <w:sz w:val="22"/>
          <w:szCs w:val="22"/>
          <w:lang w:val="en-GB"/>
        </w:rPr>
        <w:t xml:space="preserve"> per cent</w:t>
      </w:r>
      <w:r w:rsidRPr="00C273FD">
        <w:rPr>
          <w:rStyle w:val="EndnoteReference"/>
          <w:color w:val="1A1A1A"/>
          <w:sz w:val="22"/>
          <w:szCs w:val="22"/>
          <w:lang w:val="en-GB"/>
        </w:rPr>
        <w:endnoteReference w:id="30"/>
      </w:r>
      <w:r w:rsidRPr="00C273FD">
        <w:rPr>
          <w:color w:val="1A1A1A"/>
          <w:sz w:val="22"/>
          <w:szCs w:val="22"/>
          <w:lang w:val="en-GB"/>
        </w:rPr>
        <w:t xml:space="preserve"> in 2015/16, India continued to be largely a consumption</w:t>
      </w:r>
      <w:r w:rsidR="005A203F">
        <w:rPr>
          <w:color w:val="1A1A1A"/>
          <w:sz w:val="22"/>
          <w:szCs w:val="22"/>
          <w:lang w:val="en-GB"/>
        </w:rPr>
        <w:t>-</w:t>
      </w:r>
      <w:r w:rsidRPr="00C273FD">
        <w:rPr>
          <w:color w:val="1A1A1A"/>
          <w:sz w:val="22"/>
          <w:szCs w:val="22"/>
          <w:lang w:val="en-GB"/>
        </w:rPr>
        <w:t xml:space="preserve">driven economy. Several sectors gained from the rising prosperity of the middle class and </w:t>
      </w:r>
      <w:r w:rsidR="005A203F">
        <w:rPr>
          <w:color w:val="1A1A1A"/>
          <w:sz w:val="22"/>
          <w:szCs w:val="22"/>
          <w:lang w:val="en-GB"/>
        </w:rPr>
        <w:t>its</w:t>
      </w:r>
      <w:r w:rsidR="005A203F" w:rsidRPr="00C273FD">
        <w:rPr>
          <w:color w:val="1A1A1A"/>
          <w:sz w:val="22"/>
          <w:szCs w:val="22"/>
          <w:lang w:val="en-GB"/>
        </w:rPr>
        <w:t xml:space="preserve"> </w:t>
      </w:r>
      <w:r w:rsidRPr="00C273FD">
        <w:rPr>
          <w:color w:val="1A1A1A"/>
          <w:sz w:val="22"/>
          <w:szCs w:val="22"/>
          <w:lang w:val="en-GB"/>
        </w:rPr>
        <w:t>consequent accelerated consumption. Thus, the automobile sector witnessed rising sales, with the number of cars sold in India reaching 2.77 million by the end of 2015</w:t>
      </w:r>
      <w:r w:rsidR="00FA2BDD" w:rsidRPr="00C273FD">
        <w:rPr>
          <w:color w:val="1A1A1A"/>
          <w:sz w:val="22"/>
          <w:szCs w:val="22"/>
          <w:lang w:val="en-GB"/>
        </w:rPr>
        <w:t>.</w:t>
      </w:r>
      <w:r w:rsidRPr="00C273FD">
        <w:rPr>
          <w:rStyle w:val="EndnoteReference"/>
          <w:color w:val="1A1A1A"/>
          <w:sz w:val="22"/>
          <w:szCs w:val="22"/>
          <w:lang w:val="en-GB"/>
        </w:rPr>
        <w:endnoteReference w:id="31"/>
      </w:r>
      <w:r w:rsidRPr="00C273FD">
        <w:rPr>
          <w:color w:val="1A1A1A"/>
          <w:sz w:val="22"/>
          <w:szCs w:val="22"/>
          <w:lang w:val="en-GB"/>
        </w:rPr>
        <w:t xml:space="preserve"> However, the biggest legacy of the post-1991 economy was the </w:t>
      </w:r>
      <w:r w:rsidR="005A203F">
        <w:rPr>
          <w:color w:val="1A1A1A"/>
          <w:sz w:val="22"/>
          <w:szCs w:val="22"/>
          <w:lang w:val="en-GB"/>
        </w:rPr>
        <w:t xml:space="preserve">telecommunications </w:t>
      </w:r>
      <w:r w:rsidRPr="00C273FD">
        <w:rPr>
          <w:color w:val="1A1A1A"/>
          <w:sz w:val="22"/>
          <w:szCs w:val="22"/>
          <w:lang w:val="en-GB"/>
        </w:rPr>
        <w:t>revolution. In a country of 1.3 bil</w:t>
      </w:r>
      <w:r w:rsidR="005A203F">
        <w:rPr>
          <w:color w:val="1A1A1A"/>
          <w:sz w:val="22"/>
          <w:szCs w:val="22"/>
          <w:lang w:val="en-GB"/>
        </w:rPr>
        <w:t>l</w:t>
      </w:r>
      <w:r w:rsidRPr="00C273FD">
        <w:rPr>
          <w:color w:val="1A1A1A"/>
          <w:sz w:val="22"/>
          <w:szCs w:val="22"/>
          <w:lang w:val="en-GB"/>
        </w:rPr>
        <w:t xml:space="preserve">ion people, mobile phone subscriptions in India reached the 1 billion mark by January 2016. Buoyed by the advent of ultra-affordable devices and the world’s cheapest call </w:t>
      </w:r>
      <w:r w:rsidR="00F7014C" w:rsidRPr="00C273FD">
        <w:rPr>
          <w:color w:val="1A1A1A"/>
          <w:sz w:val="22"/>
          <w:szCs w:val="22"/>
          <w:lang w:val="en-GB"/>
        </w:rPr>
        <w:t>tariffs</w:t>
      </w:r>
      <w:r w:rsidRPr="00C273FD">
        <w:rPr>
          <w:color w:val="1A1A1A"/>
          <w:sz w:val="22"/>
          <w:szCs w:val="22"/>
          <w:lang w:val="en-GB"/>
        </w:rPr>
        <w:t>, India had become the second</w:t>
      </w:r>
      <w:r w:rsidR="003E4E38">
        <w:rPr>
          <w:color w:val="1A1A1A"/>
          <w:sz w:val="22"/>
          <w:szCs w:val="22"/>
          <w:lang w:val="en-GB"/>
        </w:rPr>
        <w:t xml:space="preserve"> </w:t>
      </w:r>
      <w:r w:rsidRPr="00C273FD">
        <w:rPr>
          <w:color w:val="1A1A1A"/>
          <w:sz w:val="22"/>
          <w:szCs w:val="22"/>
          <w:lang w:val="en-GB"/>
        </w:rPr>
        <w:t>largest mobile</w:t>
      </w:r>
      <w:r w:rsidR="005A203F">
        <w:rPr>
          <w:color w:val="1A1A1A"/>
          <w:sz w:val="22"/>
          <w:szCs w:val="22"/>
          <w:lang w:val="en-GB"/>
        </w:rPr>
        <w:t>-</w:t>
      </w:r>
      <w:r w:rsidRPr="00C273FD">
        <w:rPr>
          <w:color w:val="1A1A1A"/>
          <w:sz w:val="22"/>
          <w:szCs w:val="22"/>
          <w:lang w:val="en-GB"/>
        </w:rPr>
        <w:t>subscribing nation in the world, next only to China</w:t>
      </w:r>
      <w:r w:rsidR="00FA2BDD" w:rsidRPr="00C273FD">
        <w:rPr>
          <w:color w:val="1A1A1A"/>
          <w:sz w:val="22"/>
          <w:szCs w:val="22"/>
          <w:lang w:val="en-GB"/>
        </w:rPr>
        <w:t>.</w:t>
      </w:r>
      <w:r w:rsidRPr="00C273FD">
        <w:rPr>
          <w:rStyle w:val="EndnoteReference"/>
          <w:color w:val="1A1A1A"/>
          <w:sz w:val="22"/>
          <w:szCs w:val="22"/>
          <w:lang w:val="en-GB"/>
        </w:rPr>
        <w:endnoteReference w:id="32"/>
      </w:r>
      <w:r w:rsidRPr="00C273FD">
        <w:rPr>
          <w:color w:val="1A1A1A"/>
          <w:sz w:val="22"/>
          <w:szCs w:val="22"/>
          <w:lang w:val="en-GB"/>
        </w:rPr>
        <w:t xml:space="preserve"> </w:t>
      </w:r>
    </w:p>
    <w:p w14:paraId="0FBC063D" w14:textId="77777777" w:rsidR="00AB18DE" w:rsidRPr="00C273FD" w:rsidRDefault="00AB18DE" w:rsidP="00C80ACF">
      <w:pPr>
        <w:widowControl w:val="0"/>
        <w:autoSpaceDE w:val="0"/>
        <w:autoSpaceDN w:val="0"/>
        <w:adjustRightInd w:val="0"/>
        <w:jc w:val="both"/>
        <w:rPr>
          <w:color w:val="1A1A1A"/>
          <w:sz w:val="22"/>
          <w:szCs w:val="22"/>
          <w:lang w:val="en-GB"/>
        </w:rPr>
      </w:pPr>
    </w:p>
    <w:p w14:paraId="3B4819B8" w14:textId="1CC1D9C0"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share of </w:t>
      </w:r>
      <w:r w:rsidR="005A203F">
        <w:rPr>
          <w:color w:val="1A1A1A"/>
          <w:sz w:val="22"/>
          <w:szCs w:val="22"/>
          <w:lang w:val="en-GB"/>
        </w:rPr>
        <w:t>g</w:t>
      </w:r>
      <w:r w:rsidRPr="00C273FD">
        <w:rPr>
          <w:color w:val="1A1A1A"/>
          <w:sz w:val="22"/>
          <w:szCs w:val="22"/>
          <w:lang w:val="en-GB"/>
        </w:rPr>
        <w:t xml:space="preserve">ross </w:t>
      </w:r>
      <w:r w:rsidR="005A203F">
        <w:rPr>
          <w:color w:val="1A1A1A"/>
          <w:sz w:val="22"/>
          <w:szCs w:val="22"/>
          <w:lang w:val="en-GB"/>
        </w:rPr>
        <w:t>f</w:t>
      </w:r>
      <w:r w:rsidRPr="00C273FD">
        <w:rPr>
          <w:color w:val="1A1A1A"/>
          <w:sz w:val="22"/>
          <w:szCs w:val="22"/>
          <w:lang w:val="en-GB"/>
        </w:rPr>
        <w:t xml:space="preserve">ixed </w:t>
      </w:r>
      <w:r w:rsidR="005A203F">
        <w:rPr>
          <w:color w:val="1A1A1A"/>
          <w:sz w:val="22"/>
          <w:szCs w:val="22"/>
          <w:lang w:val="en-GB"/>
        </w:rPr>
        <w:t>c</w:t>
      </w:r>
      <w:r w:rsidRPr="00C273FD">
        <w:rPr>
          <w:color w:val="1A1A1A"/>
          <w:sz w:val="22"/>
          <w:szCs w:val="22"/>
          <w:lang w:val="en-GB"/>
        </w:rPr>
        <w:t xml:space="preserve">apital </w:t>
      </w:r>
      <w:r w:rsidR="005A203F">
        <w:rPr>
          <w:color w:val="1A1A1A"/>
          <w:sz w:val="22"/>
          <w:szCs w:val="22"/>
          <w:lang w:val="en-GB"/>
        </w:rPr>
        <w:t>f</w:t>
      </w:r>
      <w:r w:rsidRPr="00C273FD">
        <w:rPr>
          <w:color w:val="1A1A1A"/>
          <w:sz w:val="22"/>
          <w:szCs w:val="22"/>
          <w:lang w:val="en-GB"/>
        </w:rPr>
        <w:t>ormation</w:t>
      </w:r>
      <w:r w:rsidR="005A203F">
        <w:rPr>
          <w:color w:val="1A1A1A"/>
          <w:sz w:val="22"/>
          <w:szCs w:val="22"/>
          <w:lang w:val="en-GB"/>
        </w:rPr>
        <w:t>—</w:t>
      </w:r>
      <w:r w:rsidRPr="00C273FD">
        <w:rPr>
          <w:color w:val="1A1A1A"/>
          <w:sz w:val="22"/>
          <w:szCs w:val="22"/>
          <w:lang w:val="en-GB"/>
        </w:rPr>
        <w:t>a major component of the investment expenditure in the country</w:t>
      </w:r>
      <w:r w:rsidRPr="00C273FD">
        <w:rPr>
          <w:rStyle w:val="EndnoteReference"/>
          <w:color w:val="1A1A1A"/>
          <w:sz w:val="22"/>
          <w:szCs w:val="22"/>
          <w:lang w:val="en-GB"/>
        </w:rPr>
        <w:endnoteReference w:id="33"/>
      </w:r>
      <w:r w:rsidR="005A203F">
        <w:rPr>
          <w:color w:val="1A1A1A"/>
          <w:sz w:val="22"/>
          <w:szCs w:val="22"/>
          <w:lang w:val="en-GB"/>
        </w:rPr>
        <w:t>—increased</w:t>
      </w:r>
      <w:r w:rsidRPr="00C273FD">
        <w:rPr>
          <w:color w:val="1A1A1A"/>
          <w:sz w:val="22"/>
          <w:szCs w:val="22"/>
          <w:lang w:val="en-GB"/>
        </w:rPr>
        <w:t xml:space="preserve"> from 23.82</w:t>
      </w:r>
      <w:r w:rsidR="00B50E48" w:rsidRPr="00C273FD">
        <w:rPr>
          <w:color w:val="1A1A1A"/>
          <w:sz w:val="22"/>
          <w:szCs w:val="22"/>
          <w:lang w:val="en-GB"/>
        </w:rPr>
        <w:t xml:space="preserve"> per cent</w:t>
      </w:r>
      <w:r w:rsidRPr="00C273FD">
        <w:rPr>
          <w:color w:val="1A1A1A"/>
          <w:sz w:val="22"/>
          <w:szCs w:val="22"/>
          <w:lang w:val="en-GB"/>
        </w:rPr>
        <w:t xml:space="preserve"> of GDP to 29.</w:t>
      </w:r>
      <w:r w:rsidR="00700C76">
        <w:rPr>
          <w:color w:val="1A1A1A"/>
          <w:sz w:val="22"/>
          <w:szCs w:val="22"/>
          <w:lang w:val="en-GB"/>
        </w:rPr>
        <w:t>4</w:t>
      </w:r>
      <w:r w:rsidRPr="00C273FD">
        <w:rPr>
          <w:color w:val="1A1A1A"/>
          <w:sz w:val="22"/>
          <w:szCs w:val="22"/>
          <w:lang w:val="en-GB"/>
        </w:rPr>
        <w:t>8</w:t>
      </w:r>
      <w:r w:rsidR="00B50E48" w:rsidRPr="00C273FD">
        <w:rPr>
          <w:color w:val="1A1A1A"/>
          <w:sz w:val="22"/>
          <w:szCs w:val="22"/>
          <w:lang w:val="en-GB"/>
        </w:rPr>
        <w:t xml:space="preserve"> per cent</w:t>
      </w:r>
      <w:r w:rsidRPr="00C273FD">
        <w:rPr>
          <w:color w:val="1A1A1A"/>
          <w:sz w:val="22"/>
          <w:szCs w:val="22"/>
          <w:lang w:val="en-GB"/>
        </w:rPr>
        <w:t xml:space="preserve"> </w:t>
      </w:r>
      <w:r w:rsidR="005A203F">
        <w:rPr>
          <w:color w:val="1A1A1A"/>
          <w:sz w:val="22"/>
          <w:szCs w:val="22"/>
          <w:lang w:val="en-GB"/>
        </w:rPr>
        <w:t xml:space="preserve">of GDP </w:t>
      </w:r>
      <w:r w:rsidRPr="00C273FD">
        <w:rPr>
          <w:color w:val="1A1A1A"/>
          <w:sz w:val="22"/>
          <w:szCs w:val="22"/>
          <w:lang w:val="en-GB"/>
        </w:rPr>
        <w:t>over the 25-year period. However, the rate of growth of gross fixed capital formation, which more than doubled from an annual average of 7.2</w:t>
      </w:r>
      <w:r w:rsidR="00B50E48" w:rsidRPr="00C273FD">
        <w:rPr>
          <w:color w:val="1A1A1A"/>
          <w:sz w:val="22"/>
          <w:szCs w:val="22"/>
          <w:lang w:val="en-GB"/>
        </w:rPr>
        <w:t xml:space="preserve"> per cent</w:t>
      </w:r>
      <w:r w:rsidRPr="00C273FD">
        <w:rPr>
          <w:color w:val="1A1A1A"/>
          <w:sz w:val="22"/>
          <w:szCs w:val="22"/>
          <w:lang w:val="en-GB"/>
        </w:rPr>
        <w:t xml:space="preserve"> in the 1990s to 15.7</w:t>
      </w:r>
      <w:r w:rsidR="00B50E48" w:rsidRPr="00C273FD">
        <w:rPr>
          <w:color w:val="1A1A1A"/>
          <w:sz w:val="22"/>
          <w:szCs w:val="22"/>
          <w:lang w:val="en-GB"/>
        </w:rPr>
        <w:t xml:space="preserve"> per cent</w:t>
      </w:r>
      <w:r w:rsidRPr="00C273FD">
        <w:rPr>
          <w:color w:val="1A1A1A"/>
          <w:sz w:val="22"/>
          <w:szCs w:val="22"/>
          <w:lang w:val="en-GB"/>
        </w:rPr>
        <w:t xml:space="preserve"> in the high</w:t>
      </w:r>
      <w:r w:rsidR="005A203F">
        <w:rPr>
          <w:color w:val="1A1A1A"/>
          <w:sz w:val="22"/>
          <w:szCs w:val="22"/>
          <w:lang w:val="en-GB"/>
        </w:rPr>
        <w:t>-</w:t>
      </w:r>
      <w:r w:rsidRPr="00C273FD">
        <w:rPr>
          <w:color w:val="1A1A1A"/>
          <w:sz w:val="22"/>
          <w:szCs w:val="22"/>
          <w:lang w:val="en-GB"/>
        </w:rPr>
        <w:t>growth phase of 2004</w:t>
      </w:r>
      <w:r w:rsidR="005A203F">
        <w:rPr>
          <w:color w:val="1A1A1A"/>
          <w:sz w:val="22"/>
          <w:szCs w:val="22"/>
          <w:lang w:val="en-GB"/>
        </w:rPr>
        <w:t>–</w:t>
      </w:r>
      <w:r w:rsidRPr="00C273FD">
        <w:rPr>
          <w:color w:val="1A1A1A"/>
          <w:sz w:val="22"/>
          <w:szCs w:val="22"/>
          <w:lang w:val="en-GB"/>
        </w:rPr>
        <w:t>2008, dropped to 4.0</w:t>
      </w:r>
      <w:r w:rsidR="007E126E">
        <w:rPr>
          <w:color w:val="1A1A1A"/>
          <w:sz w:val="22"/>
          <w:szCs w:val="22"/>
          <w:lang w:val="en-GB"/>
        </w:rPr>
        <w:t>7</w:t>
      </w:r>
      <w:r w:rsidR="00B50E48" w:rsidRPr="00C273FD">
        <w:rPr>
          <w:color w:val="1A1A1A"/>
          <w:sz w:val="22"/>
          <w:szCs w:val="22"/>
          <w:lang w:val="en-GB"/>
        </w:rPr>
        <w:t xml:space="preserve"> per cent</w:t>
      </w:r>
      <w:r w:rsidRPr="00C273FD">
        <w:rPr>
          <w:color w:val="1A1A1A"/>
          <w:sz w:val="22"/>
          <w:szCs w:val="22"/>
          <w:lang w:val="en-GB"/>
        </w:rPr>
        <w:t xml:space="preserve"> </w:t>
      </w:r>
      <w:r w:rsidR="005A203F">
        <w:rPr>
          <w:color w:val="1A1A1A"/>
          <w:sz w:val="22"/>
          <w:szCs w:val="22"/>
          <w:lang w:val="en-GB"/>
        </w:rPr>
        <w:t>from</w:t>
      </w:r>
      <w:r w:rsidR="005A203F" w:rsidRPr="00C273FD">
        <w:rPr>
          <w:color w:val="1A1A1A"/>
          <w:sz w:val="22"/>
          <w:szCs w:val="22"/>
          <w:lang w:val="en-GB"/>
        </w:rPr>
        <w:t xml:space="preserve"> </w:t>
      </w:r>
      <w:r w:rsidRPr="00C273FD">
        <w:rPr>
          <w:color w:val="1A1A1A"/>
          <w:sz w:val="22"/>
          <w:szCs w:val="22"/>
          <w:lang w:val="en-GB"/>
        </w:rPr>
        <w:t xml:space="preserve">2013/14 to 2015/16. Government </w:t>
      </w:r>
      <w:r w:rsidR="005A203F">
        <w:rPr>
          <w:color w:val="1A1A1A"/>
          <w:sz w:val="22"/>
          <w:szCs w:val="22"/>
          <w:lang w:val="en-GB"/>
        </w:rPr>
        <w:t>f</w:t>
      </w:r>
      <w:r w:rsidRPr="00C273FD">
        <w:rPr>
          <w:color w:val="1A1A1A"/>
          <w:sz w:val="22"/>
          <w:szCs w:val="22"/>
          <w:lang w:val="en-GB"/>
        </w:rPr>
        <w:t xml:space="preserve">inal </w:t>
      </w:r>
      <w:r w:rsidR="005A203F">
        <w:rPr>
          <w:color w:val="1A1A1A"/>
          <w:sz w:val="22"/>
          <w:szCs w:val="22"/>
          <w:lang w:val="en-GB"/>
        </w:rPr>
        <w:t>c</w:t>
      </w:r>
      <w:r w:rsidRPr="00C273FD">
        <w:rPr>
          <w:color w:val="1A1A1A"/>
          <w:sz w:val="22"/>
          <w:szCs w:val="22"/>
          <w:lang w:val="en-GB"/>
        </w:rPr>
        <w:t xml:space="preserve">onsumption </w:t>
      </w:r>
      <w:r w:rsidR="005A203F">
        <w:rPr>
          <w:color w:val="1A1A1A"/>
          <w:sz w:val="22"/>
          <w:szCs w:val="22"/>
          <w:lang w:val="en-GB"/>
        </w:rPr>
        <w:t>e</w:t>
      </w:r>
      <w:r w:rsidRPr="00C273FD">
        <w:rPr>
          <w:color w:val="1A1A1A"/>
          <w:sz w:val="22"/>
          <w:szCs w:val="22"/>
          <w:lang w:val="en-GB"/>
        </w:rPr>
        <w:t>xpenditure exhibited a moderate reduction from 11.86</w:t>
      </w:r>
      <w:r w:rsidR="00B50E48" w:rsidRPr="00C273FD">
        <w:rPr>
          <w:color w:val="1A1A1A"/>
          <w:sz w:val="22"/>
          <w:szCs w:val="22"/>
          <w:lang w:val="en-GB"/>
        </w:rPr>
        <w:t xml:space="preserve"> per cent</w:t>
      </w:r>
      <w:r w:rsidRPr="00C273FD">
        <w:rPr>
          <w:color w:val="1A1A1A"/>
          <w:sz w:val="22"/>
          <w:szCs w:val="22"/>
          <w:lang w:val="en-GB"/>
        </w:rPr>
        <w:t xml:space="preserve"> </w:t>
      </w:r>
      <w:r w:rsidR="005A203F">
        <w:rPr>
          <w:color w:val="1A1A1A"/>
          <w:sz w:val="22"/>
          <w:szCs w:val="22"/>
          <w:lang w:val="en-GB"/>
        </w:rPr>
        <w:t xml:space="preserve">of GDP </w:t>
      </w:r>
      <w:r w:rsidRPr="00C273FD">
        <w:rPr>
          <w:color w:val="1A1A1A"/>
          <w:sz w:val="22"/>
          <w:szCs w:val="22"/>
          <w:lang w:val="en-GB"/>
        </w:rPr>
        <w:t>to 10.4</w:t>
      </w:r>
      <w:r w:rsidR="00B50E48" w:rsidRPr="00C273FD">
        <w:rPr>
          <w:color w:val="1A1A1A"/>
          <w:sz w:val="22"/>
          <w:szCs w:val="22"/>
          <w:lang w:val="en-GB"/>
        </w:rPr>
        <w:t xml:space="preserve"> per cent</w:t>
      </w:r>
      <w:r w:rsidRPr="00C273FD">
        <w:rPr>
          <w:color w:val="1A1A1A"/>
          <w:sz w:val="22"/>
          <w:szCs w:val="22"/>
          <w:lang w:val="en-GB"/>
        </w:rPr>
        <w:t xml:space="preserve"> of GDP over the </w:t>
      </w:r>
      <w:r w:rsidR="00815B96">
        <w:rPr>
          <w:color w:val="1A1A1A"/>
          <w:sz w:val="22"/>
          <w:szCs w:val="22"/>
          <w:lang w:val="en-GB"/>
        </w:rPr>
        <w:t xml:space="preserve">25-year </w:t>
      </w:r>
      <w:r w:rsidRPr="00C273FD">
        <w:rPr>
          <w:color w:val="1A1A1A"/>
          <w:sz w:val="22"/>
          <w:szCs w:val="22"/>
          <w:lang w:val="en-GB"/>
        </w:rPr>
        <w:t>period</w:t>
      </w:r>
      <w:r w:rsidR="00FA2BDD" w:rsidRPr="00C273FD">
        <w:rPr>
          <w:color w:val="1A1A1A"/>
          <w:sz w:val="22"/>
          <w:szCs w:val="22"/>
          <w:lang w:val="en-GB"/>
        </w:rPr>
        <w:t xml:space="preserve"> (s</w:t>
      </w:r>
      <w:r w:rsidRPr="00C273FD">
        <w:rPr>
          <w:color w:val="1A1A1A"/>
          <w:sz w:val="22"/>
          <w:szCs w:val="22"/>
          <w:lang w:val="en-GB"/>
        </w:rPr>
        <w:t>ee Exhibit 2).</w:t>
      </w:r>
      <w:r w:rsidR="00FA2BDD" w:rsidRPr="00C273FD">
        <w:rPr>
          <w:rStyle w:val="EndnoteReference"/>
          <w:color w:val="1A1A1A"/>
          <w:sz w:val="22"/>
          <w:szCs w:val="22"/>
          <w:lang w:val="en-GB"/>
        </w:rPr>
        <w:endnoteReference w:id="34"/>
      </w:r>
      <w:r w:rsidRPr="00C273FD">
        <w:rPr>
          <w:color w:val="1A1A1A"/>
          <w:sz w:val="22"/>
          <w:szCs w:val="22"/>
          <w:lang w:val="en-GB"/>
        </w:rPr>
        <w:t xml:space="preserve"> </w:t>
      </w:r>
    </w:p>
    <w:p w14:paraId="74477112" w14:textId="77777777" w:rsidR="003E4E38" w:rsidRDefault="003E4E38" w:rsidP="00C80ACF">
      <w:pPr>
        <w:widowControl w:val="0"/>
        <w:autoSpaceDE w:val="0"/>
        <w:autoSpaceDN w:val="0"/>
        <w:adjustRightInd w:val="0"/>
        <w:jc w:val="both"/>
        <w:rPr>
          <w:color w:val="1A1A1A"/>
          <w:sz w:val="22"/>
          <w:szCs w:val="22"/>
          <w:lang w:val="en-GB"/>
        </w:rPr>
      </w:pPr>
    </w:p>
    <w:p w14:paraId="7D1380AF" w14:textId="77777777" w:rsidR="0032504A" w:rsidRDefault="0032504A" w:rsidP="00C80ACF">
      <w:pPr>
        <w:widowControl w:val="0"/>
        <w:autoSpaceDE w:val="0"/>
        <w:autoSpaceDN w:val="0"/>
        <w:adjustRightInd w:val="0"/>
        <w:jc w:val="both"/>
        <w:rPr>
          <w:color w:val="1A1A1A"/>
          <w:sz w:val="22"/>
          <w:szCs w:val="22"/>
          <w:lang w:val="en-GB"/>
        </w:rPr>
      </w:pPr>
    </w:p>
    <w:p w14:paraId="703CAD1C" w14:textId="77777777" w:rsidR="0032504A" w:rsidRDefault="0032504A" w:rsidP="00C80ACF">
      <w:pPr>
        <w:widowControl w:val="0"/>
        <w:autoSpaceDE w:val="0"/>
        <w:autoSpaceDN w:val="0"/>
        <w:adjustRightInd w:val="0"/>
        <w:jc w:val="both"/>
        <w:rPr>
          <w:color w:val="1A1A1A"/>
          <w:sz w:val="22"/>
          <w:szCs w:val="22"/>
          <w:lang w:val="en-GB"/>
        </w:rPr>
      </w:pPr>
    </w:p>
    <w:p w14:paraId="7D49E508" w14:textId="6C667A53" w:rsidR="006A6107"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lastRenderedPageBreak/>
        <w:t>The per capita GDP figure (at constant 2010 prices) rose by 417</w:t>
      </w:r>
      <w:r w:rsidR="00B50E48" w:rsidRPr="00C273FD">
        <w:rPr>
          <w:color w:val="1A1A1A"/>
          <w:sz w:val="22"/>
          <w:szCs w:val="22"/>
          <w:lang w:val="en-GB"/>
        </w:rPr>
        <w:t xml:space="preserve"> per cent</w:t>
      </w:r>
      <w:r w:rsidR="006A6107">
        <w:rPr>
          <w:color w:val="1A1A1A"/>
          <w:sz w:val="22"/>
          <w:szCs w:val="22"/>
          <w:lang w:val="en-GB"/>
        </w:rPr>
        <w:t>—</w:t>
      </w:r>
      <w:r w:rsidRPr="00C273FD">
        <w:rPr>
          <w:color w:val="1A1A1A"/>
          <w:sz w:val="22"/>
          <w:szCs w:val="22"/>
          <w:lang w:val="en-GB"/>
        </w:rPr>
        <w:t>from $309 in 1991 to $1</w:t>
      </w:r>
      <w:r w:rsidR="006A6107">
        <w:rPr>
          <w:color w:val="1A1A1A"/>
          <w:sz w:val="22"/>
          <w:szCs w:val="22"/>
          <w:lang w:val="en-GB"/>
        </w:rPr>
        <w:t>,</w:t>
      </w:r>
      <w:r w:rsidRPr="00C273FD">
        <w:rPr>
          <w:color w:val="1A1A1A"/>
          <w:sz w:val="22"/>
          <w:szCs w:val="22"/>
          <w:lang w:val="en-GB"/>
        </w:rPr>
        <w:t>598 in 2015</w:t>
      </w:r>
      <w:r w:rsidRPr="00C273FD">
        <w:rPr>
          <w:rStyle w:val="EndnoteReference"/>
          <w:color w:val="1A1A1A"/>
          <w:sz w:val="22"/>
          <w:szCs w:val="22"/>
          <w:lang w:val="en-GB"/>
        </w:rPr>
        <w:endnoteReference w:id="35"/>
      </w:r>
      <w:r w:rsidRPr="00C273FD">
        <w:rPr>
          <w:color w:val="1A1A1A"/>
          <w:sz w:val="22"/>
          <w:szCs w:val="22"/>
          <w:lang w:val="en-GB"/>
        </w:rPr>
        <w:t xml:space="preserve"> (</w:t>
      </w:r>
      <w:r w:rsidR="006A6107">
        <w:rPr>
          <w:color w:val="1A1A1A"/>
          <w:sz w:val="22"/>
          <w:szCs w:val="22"/>
          <w:lang w:val="en-GB"/>
        </w:rPr>
        <w:t>s</w:t>
      </w:r>
      <w:r w:rsidRPr="00C273FD">
        <w:rPr>
          <w:color w:val="1A1A1A"/>
          <w:sz w:val="22"/>
          <w:szCs w:val="22"/>
          <w:lang w:val="en-GB"/>
        </w:rPr>
        <w:t xml:space="preserve">ee Exhibit 1). However, India could not be complacent with such growth in per capita income. As </w:t>
      </w:r>
      <w:proofErr w:type="spellStart"/>
      <w:r w:rsidRPr="00C273FD">
        <w:rPr>
          <w:color w:val="1A1A1A"/>
          <w:sz w:val="22"/>
          <w:szCs w:val="22"/>
          <w:lang w:val="en-GB"/>
        </w:rPr>
        <w:t>Raghuram</w:t>
      </w:r>
      <w:proofErr w:type="spellEnd"/>
      <w:r w:rsidRPr="00C273FD">
        <w:rPr>
          <w:color w:val="1A1A1A"/>
          <w:sz w:val="22"/>
          <w:szCs w:val="22"/>
          <w:lang w:val="en-GB"/>
        </w:rPr>
        <w:t xml:space="preserve"> </w:t>
      </w:r>
      <w:proofErr w:type="spellStart"/>
      <w:r w:rsidRPr="00C273FD">
        <w:rPr>
          <w:color w:val="1A1A1A"/>
          <w:sz w:val="22"/>
          <w:szCs w:val="22"/>
          <w:lang w:val="en-GB"/>
        </w:rPr>
        <w:t>Rajan</w:t>
      </w:r>
      <w:proofErr w:type="spellEnd"/>
      <w:r w:rsidRPr="00C273FD">
        <w:rPr>
          <w:color w:val="1A1A1A"/>
          <w:sz w:val="22"/>
          <w:szCs w:val="22"/>
          <w:lang w:val="en-GB"/>
        </w:rPr>
        <w:t>, the former Governor of the Reserve Bank of India, India’s central bank</w:t>
      </w:r>
      <w:r w:rsidR="006A6107">
        <w:rPr>
          <w:color w:val="1A1A1A"/>
          <w:sz w:val="22"/>
          <w:szCs w:val="22"/>
          <w:lang w:val="en-GB"/>
        </w:rPr>
        <w:t>,</w:t>
      </w:r>
      <w:r w:rsidRPr="00C273FD">
        <w:rPr>
          <w:color w:val="1A1A1A"/>
          <w:sz w:val="22"/>
          <w:szCs w:val="22"/>
          <w:lang w:val="en-GB"/>
        </w:rPr>
        <w:t xml:space="preserve"> stated: </w:t>
      </w:r>
    </w:p>
    <w:p w14:paraId="15E56CD2" w14:textId="77777777" w:rsidR="006A6107" w:rsidRDefault="006A6107" w:rsidP="00C80ACF">
      <w:pPr>
        <w:widowControl w:val="0"/>
        <w:autoSpaceDE w:val="0"/>
        <w:autoSpaceDN w:val="0"/>
        <w:adjustRightInd w:val="0"/>
        <w:jc w:val="both"/>
        <w:rPr>
          <w:color w:val="1A1A1A"/>
          <w:sz w:val="22"/>
          <w:szCs w:val="22"/>
          <w:lang w:val="en-GB"/>
        </w:rPr>
      </w:pPr>
    </w:p>
    <w:p w14:paraId="62DE2B8D" w14:textId="086B25B4" w:rsidR="00AB18DE" w:rsidRPr="00C273FD" w:rsidRDefault="00AB18DE" w:rsidP="006A6107">
      <w:pPr>
        <w:widowControl w:val="0"/>
        <w:autoSpaceDE w:val="0"/>
        <w:autoSpaceDN w:val="0"/>
        <w:adjustRightInd w:val="0"/>
        <w:ind w:left="567"/>
        <w:jc w:val="both"/>
        <w:rPr>
          <w:color w:val="1A1A1A"/>
          <w:sz w:val="22"/>
          <w:szCs w:val="22"/>
          <w:lang w:val="en-GB"/>
        </w:rPr>
      </w:pPr>
      <w:r w:rsidRPr="00C273FD">
        <w:rPr>
          <w:color w:val="1A1A1A"/>
          <w:sz w:val="22"/>
          <w:szCs w:val="22"/>
          <w:lang w:val="en-GB"/>
        </w:rPr>
        <w:t xml:space="preserve">At one level, we are still a $1,500 per capita economy. All the way from $1,500 per capita to $50,000, which is where Singapore is, there is </w:t>
      </w:r>
      <w:proofErr w:type="gramStart"/>
      <w:r w:rsidRPr="00C273FD">
        <w:rPr>
          <w:color w:val="1A1A1A"/>
          <w:sz w:val="22"/>
          <w:szCs w:val="22"/>
          <w:lang w:val="en-GB"/>
        </w:rPr>
        <w:t>a lot of</w:t>
      </w:r>
      <w:proofErr w:type="gramEnd"/>
      <w:r w:rsidRPr="00C273FD">
        <w:rPr>
          <w:color w:val="1A1A1A"/>
          <w:sz w:val="22"/>
          <w:szCs w:val="22"/>
          <w:lang w:val="en-GB"/>
        </w:rPr>
        <w:t xml:space="preserve"> things to do. We are still a relatively poor economy and to wipe the tear from every eye, one would at least want to be middle-income around $6,000</w:t>
      </w:r>
      <w:r w:rsidR="006A6107">
        <w:rPr>
          <w:color w:val="1A1A1A"/>
          <w:sz w:val="22"/>
          <w:szCs w:val="22"/>
          <w:lang w:val="en-GB"/>
        </w:rPr>
        <w:t>–$</w:t>
      </w:r>
      <w:r w:rsidRPr="00C273FD">
        <w:rPr>
          <w:color w:val="1A1A1A"/>
          <w:sz w:val="22"/>
          <w:szCs w:val="22"/>
          <w:lang w:val="en-GB"/>
        </w:rPr>
        <w:t xml:space="preserve">7,000, which, if reasonably distributed, will have dealt with extreme poverty. </w:t>
      </w:r>
      <w:proofErr w:type="gramStart"/>
      <w:r w:rsidRPr="00C273FD">
        <w:rPr>
          <w:color w:val="1A1A1A"/>
          <w:sz w:val="22"/>
          <w:szCs w:val="22"/>
          <w:lang w:val="en-GB"/>
        </w:rPr>
        <w:t>And that</w:t>
      </w:r>
      <w:proofErr w:type="gramEnd"/>
      <w:r w:rsidRPr="00C273FD">
        <w:rPr>
          <w:color w:val="1A1A1A"/>
          <w:sz w:val="22"/>
          <w:szCs w:val="22"/>
          <w:lang w:val="en-GB"/>
        </w:rPr>
        <w:t xml:space="preserve"> is two decades worth of work to be even moderately satisfied.</w:t>
      </w:r>
      <w:r w:rsidRPr="00C273FD">
        <w:rPr>
          <w:rStyle w:val="EndnoteReference"/>
          <w:color w:val="1A1A1A"/>
          <w:sz w:val="22"/>
          <w:szCs w:val="22"/>
          <w:lang w:val="en-GB"/>
        </w:rPr>
        <w:endnoteReference w:id="36"/>
      </w:r>
    </w:p>
    <w:p w14:paraId="0039A621" w14:textId="77777777" w:rsidR="00AB18DE" w:rsidRPr="00C273FD" w:rsidRDefault="00AB18DE" w:rsidP="00AB18DE">
      <w:pPr>
        <w:pStyle w:val="BodyTextMain"/>
        <w:rPr>
          <w:lang w:val="en-GB"/>
        </w:rPr>
      </w:pPr>
    </w:p>
    <w:p w14:paraId="3EA6F4AA" w14:textId="77777777" w:rsidR="00AB18DE" w:rsidRPr="00C273FD" w:rsidRDefault="00AB18DE" w:rsidP="00AB18DE">
      <w:pPr>
        <w:pStyle w:val="BodyTextMain"/>
        <w:rPr>
          <w:lang w:val="en-GB"/>
        </w:rPr>
      </w:pPr>
    </w:p>
    <w:p w14:paraId="2604EBD6" w14:textId="77777777" w:rsidR="00AB18DE" w:rsidRPr="00C273FD" w:rsidRDefault="00AB18DE"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Employment</w:t>
      </w:r>
    </w:p>
    <w:p w14:paraId="25D83CF2" w14:textId="77777777" w:rsidR="00AB18DE" w:rsidRPr="00C273FD" w:rsidRDefault="00AB18DE" w:rsidP="00C80ACF">
      <w:pPr>
        <w:widowControl w:val="0"/>
        <w:autoSpaceDE w:val="0"/>
        <w:autoSpaceDN w:val="0"/>
        <w:adjustRightInd w:val="0"/>
        <w:jc w:val="both"/>
        <w:rPr>
          <w:color w:val="1A1A1A"/>
          <w:sz w:val="22"/>
          <w:szCs w:val="22"/>
          <w:lang w:val="en-GB"/>
        </w:rPr>
      </w:pPr>
    </w:p>
    <w:p w14:paraId="73A6DF56" w14:textId="53CB6B72"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An important concern with regard to the India growth story was the “employment potential” of such growth</w:t>
      </w:r>
      <w:r w:rsidR="00FA2BDD" w:rsidRPr="00C273FD">
        <w:rPr>
          <w:color w:val="1A1A1A"/>
          <w:sz w:val="22"/>
          <w:szCs w:val="22"/>
          <w:lang w:val="en-GB"/>
        </w:rPr>
        <w:t>,</w:t>
      </w:r>
      <w:r w:rsidRPr="00C273FD">
        <w:rPr>
          <w:rStyle w:val="EndnoteReference"/>
          <w:color w:val="1A1A1A"/>
          <w:sz w:val="22"/>
          <w:szCs w:val="22"/>
          <w:lang w:val="en-GB"/>
        </w:rPr>
        <w:endnoteReference w:id="37"/>
      </w:r>
      <w:r w:rsidRPr="00C273FD">
        <w:rPr>
          <w:color w:val="1A1A1A"/>
          <w:sz w:val="22"/>
          <w:szCs w:val="22"/>
          <w:lang w:val="en-GB"/>
        </w:rPr>
        <w:t xml:space="preserve"> more so on account of the emergence of a “demographic dividend” for India, with a decrease in the dependency ratio and the median age of population estimated at 26.9</w:t>
      </w:r>
      <w:r w:rsidR="00FA2BDD" w:rsidRPr="00C273FD">
        <w:rPr>
          <w:color w:val="1A1A1A"/>
          <w:sz w:val="22"/>
          <w:szCs w:val="22"/>
          <w:lang w:val="en-GB"/>
        </w:rPr>
        <w:t>.</w:t>
      </w:r>
      <w:r w:rsidRPr="00C273FD">
        <w:rPr>
          <w:rStyle w:val="EndnoteReference"/>
          <w:color w:val="1A1A1A"/>
          <w:sz w:val="22"/>
          <w:szCs w:val="22"/>
          <w:lang w:val="en-GB"/>
        </w:rPr>
        <w:endnoteReference w:id="38"/>
      </w:r>
      <w:r w:rsidRPr="00C273FD">
        <w:rPr>
          <w:color w:val="1A1A1A"/>
          <w:sz w:val="22"/>
          <w:szCs w:val="22"/>
          <w:lang w:val="en-GB"/>
        </w:rPr>
        <w:t xml:space="preserve"> Such growth in GDP, without </w:t>
      </w:r>
      <w:r w:rsidR="00D71933">
        <w:rPr>
          <w:color w:val="1A1A1A"/>
          <w:sz w:val="22"/>
          <w:szCs w:val="22"/>
          <w:lang w:val="en-GB"/>
        </w:rPr>
        <w:t>similar</w:t>
      </w:r>
      <w:r w:rsidR="00D71933" w:rsidRPr="00C273FD">
        <w:rPr>
          <w:color w:val="1A1A1A"/>
          <w:sz w:val="22"/>
          <w:szCs w:val="22"/>
          <w:lang w:val="en-GB"/>
        </w:rPr>
        <w:t xml:space="preserve"> </w:t>
      </w:r>
      <w:r w:rsidRPr="00C273FD">
        <w:rPr>
          <w:color w:val="1A1A1A"/>
          <w:sz w:val="22"/>
          <w:szCs w:val="22"/>
          <w:lang w:val="en-GB"/>
        </w:rPr>
        <w:t xml:space="preserve">growth in jobs and income would put pressure on consumption as the </w:t>
      </w:r>
      <w:r w:rsidR="00E616D5">
        <w:rPr>
          <w:color w:val="1A1A1A"/>
          <w:sz w:val="22"/>
          <w:szCs w:val="22"/>
          <w:lang w:val="en-GB"/>
        </w:rPr>
        <w:t xml:space="preserve">driver </w:t>
      </w:r>
      <w:r w:rsidRPr="00C273FD">
        <w:rPr>
          <w:color w:val="1A1A1A"/>
          <w:sz w:val="22"/>
          <w:szCs w:val="22"/>
          <w:lang w:val="en-GB"/>
        </w:rPr>
        <w:t xml:space="preserve">of growth. The government could focus on making growth more employment-intensive. An alternative was to introduce employment generation schemes, with </w:t>
      </w:r>
      <w:r w:rsidR="000F3B40">
        <w:rPr>
          <w:color w:val="1A1A1A"/>
          <w:sz w:val="22"/>
          <w:szCs w:val="22"/>
          <w:lang w:val="en-GB"/>
        </w:rPr>
        <w:t>their</w:t>
      </w:r>
      <w:r w:rsidR="000F3B40" w:rsidRPr="00C273FD">
        <w:rPr>
          <w:color w:val="1A1A1A"/>
          <w:sz w:val="22"/>
          <w:szCs w:val="22"/>
          <w:lang w:val="en-GB"/>
        </w:rPr>
        <w:t xml:space="preserve"> </w:t>
      </w:r>
      <w:r w:rsidRPr="00C273FD">
        <w:rPr>
          <w:color w:val="1A1A1A"/>
          <w:sz w:val="22"/>
          <w:szCs w:val="22"/>
          <w:lang w:val="en-GB"/>
        </w:rPr>
        <w:t>attendant consequences on the fisc</w:t>
      </w:r>
      <w:r w:rsidR="00FA2BDD" w:rsidRPr="00C273FD">
        <w:rPr>
          <w:color w:val="1A1A1A"/>
          <w:sz w:val="22"/>
          <w:szCs w:val="22"/>
          <w:lang w:val="en-GB"/>
        </w:rPr>
        <w:t xml:space="preserve">al </w:t>
      </w:r>
      <w:r w:rsidR="00E616D5">
        <w:rPr>
          <w:color w:val="1A1A1A"/>
          <w:sz w:val="22"/>
          <w:szCs w:val="22"/>
          <w:lang w:val="en-GB"/>
        </w:rPr>
        <w:t>side</w:t>
      </w:r>
      <w:r w:rsidR="00FA2BDD" w:rsidRPr="00C273FD">
        <w:rPr>
          <w:color w:val="1A1A1A"/>
          <w:sz w:val="22"/>
          <w:szCs w:val="22"/>
          <w:lang w:val="en-GB"/>
        </w:rPr>
        <w:t>.</w:t>
      </w:r>
      <w:r w:rsidRPr="00C273FD">
        <w:rPr>
          <w:rStyle w:val="EndnoteReference"/>
          <w:color w:val="1A1A1A"/>
          <w:sz w:val="22"/>
          <w:szCs w:val="22"/>
          <w:lang w:val="en-GB"/>
        </w:rPr>
        <w:endnoteReference w:id="39"/>
      </w:r>
      <w:r w:rsidR="004E600B" w:rsidRPr="00C273FD">
        <w:rPr>
          <w:color w:val="1A1A1A"/>
          <w:sz w:val="22"/>
          <w:szCs w:val="22"/>
          <w:lang w:val="en-GB"/>
        </w:rPr>
        <w:t xml:space="preserve"> </w:t>
      </w:r>
    </w:p>
    <w:p w14:paraId="63D2D4C2" w14:textId="77777777" w:rsidR="00AB18DE" w:rsidRPr="00C273FD" w:rsidRDefault="00AB18DE" w:rsidP="00C80ACF">
      <w:pPr>
        <w:widowControl w:val="0"/>
        <w:autoSpaceDE w:val="0"/>
        <w:autoSpaceDN w:val="0"/>
        <w:adjustRightInd w:val="0"/>
        <w:jc w:val="both"/>
        <w:rPr>
          <w:color w:val="1A1A1A"/>
          <w:sz w:val="22"/>
          <w:szCs w:val="22"/>
          <w:lang w:val="en-GB"/>
        </w:rPr>
      </w:pPr>
    </w:p>
    <w:p w14:paraId="2A3913AF" w14:textId="73C9BAB8" w:rsidR="00AB18DE" w:rsidRPr="00C273FD" w:rsidRDefault="00AB18DE" w:rsidP="00C80ACF">
      <w:pPr>
        <w:widowControl w:val="0"/>
        <w:autoSpaceDE w:val="0"/>
        <w:autoSpaceDN w:val="0"/>
        <w:adjustRightInd w:val="0"/>
        <w:jc w:val="both"/>
        <w:rPr>
          <w:color w:val="1A1A1A"/>
          <w:spacing w:val="-4"/>
          <w:kern w:val="22"/>
          <w:sz w:val="22"/>
          <w:szCs w:val="22"/>
          <w:lang w:val="en-GB"/>
        </w:rPr>
      </w:pPr>
      <w:r w:rsidRPr="00C273FD">
        <w:rPr>
          <w:color w:val="1A1A1A"/>
          <w:spacing w:val="-4"/>
          <w:kern w:val="22"/>
          <w:sz w:val="22"/>
          <w:szCs w:val="22"/>
          <w:lang w:val="en-GB"/>
        </w:rPr>
        <w:t>The post-liberalization period</w:t>
      </w:r>
      <w:r w:rsidR="00510432">
        <w:rPr>
          <w:color w:val="1A1A1A"/>
          <w:spacing w:val="-4"/>
          <w:kern w:val="22"/>
          <w:sz w:val="22"/>
          <w:szCs w:val="22"/>
          <w:lang w:val="en-GB"/>
        </w:rPr>
        <w:t>,</w:t>
      </w:r>
      <w:r w:rsidRPr="00C273FD">
        <w:rPr>
          <w:color w:val="1A1A1A"/>
          <w:spacing w:val="-4"/>
          <w:kern w:val="22"/>
          <w:sz w:val="22"/>
          <w:szCs w:val="22"/>
          <w:lang w:val="en-GB"/>
        </w:rPr>
        <w:t xml:space="preserve"> 1993</w:t>
      </w:r>
      <w:r w:rsidR="00510432">
        <w:rPr>
          <w:color w:val="1A1A1A"/>
          <w:spacing w:val="-4"/>
          <w:kern w:val="22"/>
          <w:sz w:val="22"/>
          <w:szCs w:val="22"/>
          <w:lang w:val="en-GB"/>
        </w:rPr>
        <w:t>–</w:t>
      </w:r>
      <w:r w:rsidRPr="00C273FD">
        <w:rPr>
          <w:color w:val="1A1A1A"/>
          <w:spacing w:val="-4"/>
          <w:kern w:val="22"/>
          <w:sz w:val="22"/>
          <w:szCs w:val="22"/>
          <w:lang w:val="en-GB"/>
        </w:rPr>
        <w:t>2009</w:t>
      </w:r>
      <w:r w:rsidR="00510432">
        <w:rPr>
          <w:color w:val="1A1A1A"/>
          <w:spacing w:val="-4"/>
          <w:kern w:val="22"/>
          <w:sz w:val="22"/>
          <w:szCs w:val="22"/>
          <w:lang w:val="en-GB"/>
        </w:rPr>
        <w:t>,</w:t>
      </w:r>
      <w:r w:rsidRPr="00C273FD">
        <w:rPr>
          <w:color w:val="1A1A1A"/>
          <w:spacing w:val="-4"/>
          <w:kern w:val="22"/>
          <w:sz w:val="22"/>
          <w:szCs w:val="22"/>
          <w:lang w:val="en-GB"/>
        </w:rPr>
        <w:t xml:space="preserve"> witnessed a decline in the employment growth to 1.7</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compared </w:t>
      </w:r>
      <w:r w:rsidR="00510432">
        <w:rPr>
          <w:color w:val="1A1A1A"/>
          <w:spacing w:val="-4"/>
          <w:kern w:val="22"/>
          <w:sz w:val="22"/>
          <w:szCs w:val="22"/>
          <w:lang w:val="en-GB"/>
        </w:rPr>
        <w:t>with</w:t>
      </w:r>
      <w:r w:rsidR="00510432" w:rsidRPr="00C273FD">
        <w:rPr>
          <w:color w:val="1A1A1A"/>
          <w:spacing w:val="-4"/>
          <w:kern w:val="22"/>
          <w:sz w:val="22"/>
          <w:szCs w:val="22"/>
          <w:lang w:val="en-GB"/>
        </w:rPr>
        <w:t xml:space="preserve"> </w:t>
      </w:r>
      <w:r w:rsidRPr="00C273FD">
        <w:rPr>
          <w:color w:val="1A1A1A"/>
          <w:spacing w:val="-4"/>
          <w:kern w:val="22"/>
          <w:sz w:val="22"/>
          <w:szCs w:val="22"/>
          <w:lang w:val="en-GB"/>
        </w:rPr>
        <w:t>the 2.4</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achieved in 1972</w:t>
      </w:r>
      <w:r w:rsidR="00510432">
        <w:rPr>
          <w:color w:val="1A1A1A"/>
          <w:spacing w:val="-4"/>
          <w:kern w:val="22"/>
          <w:sz w:val="22"/>
          <w:szCs w:val="22"/>
          <w:lang w:val="en-GB"/>
        </w:rPr>
        <w:t>–</w:t>
      </w:r>
      <w:r w:rsidRPr="00C273FD">
        <w:rPr>
          <w:color w:val="1A1A1A"/>
          <w:spacing w:val="-4"/>
          <w:kern w:val="22"/>
          <w:sz w:val="22"/>
          <w:szCs w:val="22"/>
          <w:lang w:val="en-GB"/>
        </w:rPr>
        <w:t>1983 and 2</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growth rates achieved in 1983</w:t>
      </w:r>
      <w:r w:rsidR="00510432">
        <w:rPr>
          <w:color w:val="1A1A1A"/>
          <w:spacing w:val="-4"/>
          <w:kern w:val="22"/>
          <w:sz w:val="22"/>
          <w:szCs w:val="22"/>
          <w:lang w:val="en-GB"/>
        </w:rPr>
        <w:t>–</w:t>
      </w:r>
      <w:r w:rsidRPr="00C273FD">
        <w:rPr>
          <w:color w:val="1A1A1A"/>
          <w:spacing w:val="-4"/>
          <w:kern w:val="22"/>
          <w:sz w:val="22"/>
          <w:szCs w:val="22"/>
          <w:lang w:val="en-GB"/>
        </w:rPr>
        <w:t>1993</w:t>
      </w:r>
      <w:r w:rsidR="00FA2BDD" w:rsidRPr="00C273FD">
        <w:rPr>
          <w:color w:val="1A1A1A"/>
          <w:spacing w:val="-4"/>
          <w:kern w:val="22"/>
          <w:sz w:val="22"/>
          <w:szCs w:val="22"/>
          <w:lang w:val="en-GB"/>
        </w:rPr>
        <w:t>.</w:t>
      </w:r>
      <w:r w:rsidRPr="00C273FD">
        <w:rPr>
          <w:color w:val="1A1A1A"/>
          <w:spacing w:val="-4"/>
          <w:kern w:val="22"/>
          <w:sz w:val="22"/>
          <w:szCs w:val="22"/>
          <w:lang w:val="en-GB"/>
        </w:rPr>
        <w:t xml:space="preserve"> A growth in GDP, paradoxically, had a</w:t>
      </w:r>
      <w:r w:rsidR="000F3B40">
        <w:rPr>
          <w:color w:val="1A1A1A"/>
          <w:spacing w:val="-4"/>
          <w:kern w:val="22"/>
          <w:sz w:val="22"/>
          <w:szCs w:val="22"/>
          <w:lang w:val="en-GB"/>
        </w:rPr>
        <w:t>n</w:t>
      </w:r>
      <w:r w:rsidRPr="00C273FD">
        <w:rPr>
          <w:color w:val="1A1A1A"/>
          <w:spacing w:val="-4"/>
          <w:kern w:val="22"/>
          <w:sz w:val="22"/>
          <w:szCs w:val="22"/>
          <w:lang w:val="en-GB"/>
        </w:rPr>
        <w:t xml:space="preserve"> </w:t>
      </w:r>
      <w:r w:rsidR="000F3B40">
        <w:rPr>
          <w:color w:val="1A1A1A"/>
          <w:spacing w:val="-4"/>
          <w:kern w:val="22"/>
          <w:sz w:val="22"/>
          <w:szCs w:val="22"/>
          <w:lang w:val="en-GB"/>
        </w:rPr>
        <w:t>adverse</w:t>
      </w:r>
      <w:r w:rsidR="000F3B40" w:rsidRPr="00C273FD">
        <w:rPr>
          <w:color w:val="1A1A1A"/>
          <w:spacing w:val="-4"/>
          <w:kern w:val="22"/>
          <w:sz w:val="22"/>
          <w:szCs w:val="22"/>
          <w:lang w:val="en-GB"/>
        </w:rPr>
        <w:t xml:space="preserve"> </w:t>
      </w:r>
      <w:r w:rsidRPr="00C273FD">
        <w:rPr>
          <w:color w:val="1A1A1A"/>
          <w:spacing w:val="-4"/>
          <w:kern w:val="22"/>
          <w:sz w:val="22"/>
          <w:szCs w:val="22"/>
          <w:lang w:val="en-GB"/>
        </w:rPr>
        <w:t>effect on employment growth. In fact, commentators had termed the high</w:t>
      </w:r>
      <w:r w:rsidR="00510432">
        <w:rPr>
          <w:color w:val="1A1A1A"/>
          <w:spacing w:val="-4"/>
          <w:kern w:val="22"/>
          <w:sz w:val="22"/>
          <w:szCs w:val="22"/>
          <w:lang w:val="en-GB"/>
        </w:rPr>
        <w:t>-</w:t>
      </w:r>
      <w:r w:rsidRPr="00C273FD">
        <w:rPr>
          <w:color w:val="1A1A1A"/>
          <w:spacing w:val="-4"/>
          <w:kern w:val="22"/>
          <w:sz w:val="22"/>
          <w:szCs w:val="22"/>
          <w:lang w:val="en-GB"/>
        </w:rPr>
        <w:t>growth period of 2004/05</w:t>
      </w:r>
      <w:r w:rsidR="00510432">
        <w:rPr>
          <w:color w:val="1A1A1A"/>
          <w:spacing w:val="-4"/>
          <w:kern w:val="22"/>
          <w:sz w:val="22"/>
          <w:szCs w:val="22"/>
          <w:lang w:val="en-GB"/>
        </w:rPr>
        <w:t xml:space="preserve"> to</w:t>
      </w:r>
      <w:r w:rsidRPr="00C273FD">
        <w:rPr>
          <w:color w:val="1A1A1A"/>
          <w:spacing w:val="-4"/>
          <w:kern w:val="22"/>
          <w:sz w:val="22"/>
          <w:szCs w:val="22"/>
          <w:lang w:val="en-GB"/>
        </w:rPr>
        <w:t xml:space="preserve"> 2009/10 as the period of </w:t>
      </w:r>
      <w:r w:rsidR="00510432">
        <w:rPr>
          <w:color w:val="1A1A1A"/>
          <w:spacing w:val="-4"/>
          <w:kern w:val="22"/>
          <w:sz w:val="22"/>
          <w:szCs w:val="22"/>
          <w:lang w:val="en-GB"/>
        </w:rPr>
        <w:t>“</w:t>
      </w:r>
      <w:r w:rsidRPr="00C273FD">
        <w:rPr>
          <w:color w:val="1A1A1A"/>
          <w:spacing w:val="-4"/>
          <w:kern w:val="22"/>
          <w:sz w:val="22"/>
          <w:szCs w:val="22"/>
          <w:lang w:val="en-GB"/>
        </w:rPr>
        <w:t>jobless growth</w:t>
      </w:r>
      <w:r w:rsidR="00510432">
        <w:rPr>
          <w:color w:val="1A1A1A"/>
          <w:spacing w:val="-4"/>
          <w:kern w:val="22"/>
          <w:sz w:val="22"/>
          <w:szCs w:val="22"/>
          <w:lang w:val="en-GB"/>
        </w:rPr>
        <w:t>”—</w:t>
      </w:r>
      <w:r w:rsidRPr="00C273FD">
        <w:rPr>
          <w:color w:val="1A1A1A"/>
          <w:spacing w:val="-4"/>
          <w:kern w:val="22"/>
          <w:sz w:val="22"/>
          <w:szCs w:val="22"/>
          <w:lang w:val="en-GB"/>
        </w:rPr>
        <w:t>a period when “job growth collapsed virtually to zero</w:t>
      </w:r>
      <w:r w:rsidR="00510432">
        <w:rPr>
          <w:color w:val="1A1A1A"/>
          <w:spacing w:val="-4"/>
          <w:kern w:val="22"/>
          <w:sz w:val="22"/>
          <w:szCs w:val="22"/>
          <w:lang w:val="en-GB"/>
        </w:rPr>
        <w:t>,</w:t>
      </w:r>
      <w:r w:rsidRPr="00C273FD">
        <w:rPr>
          <w:color w:val="1A1A1A"/>
          <w:spacing w:val="-4"/>
          <w:kern w:val="22"/>
          <w:sz w:val="22"/>
          <w:szCs w:val="22"/>
          <w:lang w:val="en-GB"/>
        </w:rPr>
        <w:t>” with employment growth in the organi</w:t>
      </w:r>
      <w:r w:rsidR="00510432">
        <w:rPr>
          <w:color w:val="1A1A1A"/>
          <w:spacing w:val="-4"/>
          <w:kern w:val="22"/>
          <w:sz w:val="22"/>
          <w:szCs w:val="22"/>
          <w:lang w:val="en-GB"/>
        </w:rPr>
        <w:t>z</w:t>
      </w:r>
      <w:r w:rsidRPr="00C273FD">
        <w:rPr>
          <w:color w:val="1A1A1A"/>
          <w:spacing w:val="-4"/>
          <w:kern w:val="22"/>
          <w:sz w:val="22"/>
          <w:szCs w:val="22"/>
          <w:lang w:val="en-GB"/>
        </w:rPr>
        <w:t>ed sector faring worse</w:t>
      </w:r>
      <w:r w:rsidR="00F7014C" w:rsidRPr="00C273FD">
        <w:rPr>
          <w:color w:val="1A1A1A"/>
          <w:spacing w:val="-4"/>
          <w:kern w:val="22"/>
          <w:sz w:val="22"/>
          <w:szCs w:val="22"/>
          <w:lang w:val="en-GB"/>
        </w:rPr>
        <w:t>.</w:t>
      </w:r>
      <w:r w:rsidRPr="00C273FD">
        <w:rPr>
          <w:rStyle w:val="EndnoteReference"/>
          <w:color w:val="1A1A1A"/>
          <w:spacing w:val="-4"/>
          <w:kern w:val="22"/>
          <w:sz w:val="22"/>
          <w:szCs w:val="22"/>
          <w:lang w:val="en-GB"/>
        </w:rPr>
        <w:endnoteReference w:id="40"/>
      </w:r>
      <w:r w:rsidRPr="00C273FD">
        <w:rPr>
          <w:color w:val="1A1A1A"/>
          <w:spacing w:val="-4"/>
          <w:kern w:val="22"/>
          <w:sz w:val="22"/>
          <w:szCs w:val="22"/>
          <w:lang w:val="en-GB"/>
        </w:rPr>
        <w:t xml:space="preserve"> Aggregate employment elasticity calculated for the post-reform period indicated that a 10</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change in real GDP would change employment by 1.8 to 2</w:t>
      </w:r>
      <w:r w:rsidR="003E4E38">
        <w:rPr>
          <w:color w:val="1A1A1A"/>
          <w:spacing w:val="-4"/>
          <w:kern w:val="22"/>
          <w:sz w:val="22"/>
          <w:szCs w:val="22"/>
          <w:lang w:val="en-GB"/>
        </w:rPr>
        <w:t>.0</w:t>
      </w:r>
      <w:r w:rsidR="00B50E48" w:rsidRPr="00C273FD">
        <w:rPr>
          <w:color w:val="1A1A1A"/>
          <w:spacing w:val="-4"/>
          <w:kern w:val="22"/>
          <w:sz w:val="22"/>
          <w:szCs w:val="22"/>
          <w:lang w:val="en-GB"/>
        </w:rPr>
        <w:t xml:space="preserve"> per cent</w:t>
      </w:r>
      <w:r w:rsidR="00510432">
        <w:rPr>
          <w:color w:val="1A1A1A"/>
          <w:spacing w:val="-4"/>
          <w:kern w:val="22"/>
          <w:sz w:val="22"/>
          <w:szCs w:val="22"/>
          <w:lang w:val="en-GB"/>
        </w:rPr>
        <w:t>; however,</w:t>
      </w:r>
      <w:r w:rsidRPr="00C273FD">
        <w:rPr>
          <w:color w:val="1A1A1A"/>
          <w:spacing w:val="-4"/>
          <w:kern w:val="22"/>
          <w:sz w:val="22"/>
          <w:szCs w:val="22"/>
          <w:lang w:val="en-GB"/>
        </w:rPr>
        <w:t xml:space="preserve"> </w:t>
      </w:r>
      <w:r w:rsidR="00510432">
        <w:rPr>
          <w:color w:val="1A1A1A"/>
          <w:spacing w:val="-4"/>
          <w:kern w:val="22"/>
          <w:sz w:val="22"/>
          <w:szCs w:val="22"/>
          <w:lang w:val="en-GB"/>
        </w:rPr>
        <w:t>t</w:t>
      </w:r>
      <w:r w:rsidRPr="00C273FD">
        <w:rPr>
          <w:color w:val="1A1A1A"/>
          <w:spacing w:val="-4"/>
          <w:kern w:val="22"/>
          <w:sz w:val="22"/>
          <w:szCs w:val="22"/>
          <w:lang w:val="en-GB"/>
        </w:rPr>
        <w:t>here were inter-sectoral differences. Employment elasticity was negative for the agricultural sector, while it was largest for the organi</w:t>
      </w:r>
      <w:r w:rsidR="00510432">
        <w:rPr>
          <w:color w:val="1A1A1A"/>
          <w:spacing w:val="-4"/>
          <w:kern w:val="22"/>
          <w:sz w:val="22"/>
          <w:szCs w:val="22"/>
          <w:lang w:val="en-GB"/>
        </w:rPr>
        <w:t>z</w:t>
      </w:r>
      <w:r w:rsidRPr="00C273FD">
        <w:rPr>
          <w:color w:val="1A1A1A"/>
          <w:spacing w:val="-4"/>
          <w:kern w:val="22"/>
          <w:sz w:val="22"/>
          <w:szCs w:val="22"/>
          <w:lang w:val="en-GB"/>
        </w:rPr>
        <w:t>ed manufacturing sector, where a 10</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change in GDP growth would result in a 4.7 to 5.2</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w:t>
      </w:r>
      <w:r w:rsidR="00510432">
        <w:rPr>
          <w:color w:val="1A1A1A"/>
          <w:spacing w:val="-4"/>
          <w:kern w:val="22"/>
          <w:sz w:val="22"/>
          <w:szCs w:val="22"/>
          <w:lang w:val="en-GB"/>
        </w:rPr>
        <w:t xml:space="preserve">change in </w:t>
      </w:r>
      <w:r w:rsidRPr="00C273FD">
        <w:rPr>
          <w:color w:val="1A1A1A"/>
          <w:spacing w:val="-4"/>
          <w:kern w:val="22"/>
          <w:sz w:val="22"/>
          <w:szCs w:val="22"/>
          <w:lang w:val="en-GB"/>
        </w:rPr>
        <w:t>employment</w:t>
      </w:r>
      <w:r w:rsidR="00FA2BDD" w:rsidRPr="00C273FD">
        <w:rPr>
          <w:color w:val="1A1A1A"/>
          <w:spacing w:val="-4"/>
          <w:kern w:val="22"/>
          <w:sz w:val="22"/>
          <w:szCs w:val="22"/>
          <w:lang w:val="en-GB"/>
        </w:rPr>
        <w:t>.</w:t>
      </w:r>
      <w:r w:rsidRPr="00C273FD">
        <w:rPr>
          <w:rStyle w:val="EndnoteReference"/>
          <w:color w:val="1A1A1A"/>
          <w:spacing w:val="-4"/>
          <w:kern w:val="22"/>
          <w:sz w:val="22"/>
          <w:szCs w:val="22"/>
          <w:lang w:val="en-GB"/>
        </w:rPr>
        <w:endnoteReference w:id="41"/>
      </w:r>
      <w:r w:rsidRPr="00C273FD">
        <w:rPr>
          <w:color w:val="1A1A1A"/>
          <w:spacing w:val="-4"/>
          <w:kern w:val="22"/>
          <w:sz w:val="22"/>
          <w:szCs w:val="22"/>
          <w:lang w:val="en-GB"/>
        </w:rPr>
        <w:t xml:space="preserve"> </w:t>
      </w:r>
    </w:p>
    <w:p w14:paraId="6AB4E80E" w14:textId="77777777" w:rsidR="00AB18DE" w:rsidRPr="00C273FD" w:rsidRDefault="00AB18DE" w:rsidP="00C80ACF">
      <w:pPr>
        <w:widowControl w:val="0"/>
        <w:autoSpaceDE w:val="0"/>
        <w:autoSpaceDN w:val="0"/>
        <w:adjustRightInd w:val="0"/>
        <w:jc w:val="both"/>
        <w:rPr>
          <w:color w:val="1A1A1A"/>
          <w:sz w:val="22"/>
          <w:szCs w:val="22"/>
          <w:lang w:val="en-GB"/>
        </w:rPr>
      </w:pPr>
    </w:p>
    <w:p w14:paraId="393745DD" w14:textId="14614EA1"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Government data released in 2016 indicated that employment generation </w:t>
      </w:r>
      <w:r w:rsidR="000F3B40" w:rsidRPr="00C273FD">
        <w:rPr>
          <w:color w:val="1A1A1A"/>
          <w:sz w:val="22"/>
          <w:szCs w:val="22"/>
          <w:lang w:val="en-GB"/>
        </w:rPr>
        <w:t>had slowed to a seven-year low in 2015</w:t>
      </w:r>
      <w:r w:rsidR="000F3B40">
        <w:rPr>
          <w:color w:val="1A1A1A"/>
          <w:sz w:val="22"/>
          <w:szCs w:val="22"/>
          <w:lang w:val="en-GB"/>
        </w:rPr>
        <w:t xml:space="preserve"> </w:t>
      </w:r>
      <w:r w:rsidRPr="00C273FD">
        <w:rPr>
          <w:color w:val="1A1A1A"/>
          <w:sz w:val="22"/>
          <w:szCs w:val="22"/>
          <w:lang w:val="en-GB"/>
        </w:rPr>
        <w:t>in eight key sectors</w:t>
      </w:r>
      <w:r w:rsidR="000F3B40">
        <w:rPr>
          <w:color w:val="1A1A1A"/>
          <w:sz w:val="22"/>
          <w:szCs w:val="22"/>
          <w:lang w:val="en-GB"/>
        </w:rPr>
        <w:t>:</w:t>
      </w:r>
      <w:r w:rsidRPr="00C273FD">
        <w:rPr>
          <w:color w:val="1A1A1A"/>
          <w:sz w:val="22"/>
          <w:szCs w:val="22"/>
          <w:lang w:val="en-GB"/>
        </w:rPr>
        <w:t xml:space="preserve"> gems and jewellery, textiles, leather, metals, automobiles, transport, information technology</w:t>
      </w:r>
      <w:r w:rsidR="00510432">
        <w:rPr>
          <w:color w:val="1A1A1A"/>
          <w:sz w:val="22"/>
          <w:szCs w:val="22"/>
          <w:lang w:val="en-GB"/>
        </w:rPr>
        <w:t>,</w:t>
      </w:r>
      <w:r w:rsidRPr="00C273FD">
        <w:rPr>
          <w:color w:val="1A1A1A"/>
          <w:sz w:val="22"/>
          <w:szCs w:val="22"/>
          <w:lang w:val="en-GB"/>
        </w:rPr>
        <w:t xml:space="preserve"> and handloom</w:t>
      </w:r>
      <w:r w:rsidR="000F3B40">
        <w:rPr>
          <w:color w:val="1A1A1A"/>
          <w:sz w:val="22"/>
          <w:szCs w:val="22"/>
          <w:lang w:val="en-GB"/>
        </w:rPr>
        <w:t xml:space="preserve"> products</w:t>
      </w:r>
      <w:r w:rsidRPr="00C273FD">
        <w:rPr>
          <w:color w:val="1A1A1A"/>
          <w:sz w:val="22"/>
          <w:szCs w:val="22"/>
          <w:lang w:val="en-GB"/>
        </w:rPr>
        <w:t xml:space="preserve">. Worse still, </w:t>
      </w:r>
      <w:r w:rsidR="00510432">
        <w:rPr>
          <w:color w:val="1A1A1A"/>
          <w:sz w:val="22"/>
          <w:szCs w:val="22"/>
          <w:lang w:val="en-GB"/>
        </w:rPr>
        <w:t xml:space="preserve">from </w:t>
      </w:r>
      <w:r w:rsidRPr="00C273FD">
        <w:rPr>
          <w:color w:val="1A1A1A"/>
          <w:sz w:val="22"/>
          <w:szCs w:val="22"/>
          <w:lang w:val="en-GB"/>
        </w:rPr>
        <w:t>October</w:t>
      </w:r>
      <w:r w:rsidR="00510432">
        <w:rPr>
          <w:color w:val="1A1A1A"/>
          <w:sz w:val="22"/>
          <w:szCs w:val="22"/>
          <w:lang w:val="en-GB"/>
        </w:rPr>
        <w:t xml:space="preserve"> to </w:t>
      </w:r>
      <w:r w:rsidRPr="00C273FD">
        <w:rPr>
          <w:color w:val="1A1A1A"/>
          <w:sz w:val="22"/>
          <w:szCs w:val="22"/>
          <w:lang w:val="en-GB"/>
        </w:rPr>
        <w:t xml:space="preserve">December 2015, more than 20,000 people in these sectors had lost their jobs </w:t>
      </w:r>
      <w:proofErr w:type="gramStart"/>
      <w:r w:rsidR="000F3B40">
        <w:rPr>
          <w:color w:val="1A1A1A"/>
          <w:sz w:val="22"/>
          <w:szCs w:val="22"/>
          <w:lang w:val="en-GB"/>
        </w:rPr>
        <w:t>as a result</w:t>
      </w:r>
      <w:proofErr w:type="gramEnd"/>
      <w:r w:rsidRPr="00C273FD">
        <w:rPr>
          <w:color w:val="1A1A1A"/>
          <w:sz w:val="22"/>
          <w:szCs w:val="22"/>
          <w:lang w:val="en-GB"/>
        </w:rPr>
        <w:t xml:space="preserve"> of shrinking exports</w:t>
      </w:r>
      <w:r w:rsidR="00FA2BDD" w:rsidRPr="00C273FD">
        <w:rPr>
          <w:color w:val="1A1A1A"/>
          <w:sz w:val="22"/>
          <w:szCs w:val="22"/>
          <w:lang w:val="en-GB"/>
        </w:rPr>
        <w:t>.</w:t>
      </w:r>
      <w:r w:rsidRPr="00C273FD">
        <w:rPr>
          <w:rStyle w:val="EndnoteReference"/>
          <w:color w:val="1A1A1A"/>
          <w:sz w:val="22"/>
          <w:szCs w:val="22"/>
          <w:lang w:val="en-GB"/>
        </w:rPr>
        <w:endnoteReference w:id="42"/>
      </w:r>
      <w:r w:rsidRPr="00C273FD">
        <w:rPr>
          <w:color w:val="1A1A1A"/>
          <w:sz w:val="22"/>
          <w:szCs w:val="22"/>
          <w:lang w:val="en-GB"/>
        </w:rPr>
        <w:t xml:space="preserve"> The </w:t>
      </w:r>
      <w:r w:rsidR="00510432">
        <w:rPr>
          <w:color w:val="1A1A1A"/>
          <w:sz w:val="22"/>
          <w:szCs w:val="22"/>
          <w:lang w:val="en-GB"/>
        </w:rPr>
        <w:t xml:space="preserve">2014 </w:t>
      </w:r>
      <w:proofErr w:type="spellStart"/>
      <w:r w:rsidRPr="00C273FD">
        <w:rPr>
          <w:color w:val="1A1A1A"/>
          <w:sz w:val="22"/>
          <w:szCs w:val="22"/>
          <w:lang w:val="en-GB"/>
        </w:rPr>
        <w:t>Labor</w:t>
      </w:r>
      <w:proofErr w:type="spellEnd"/>
      <w:r w:rsidRPr="00C273FD">
        <w:rPr>
          <w:color w:val="1A1A1A"/>
          <w:sz w:val="22"/>
          <w:szCs w:val="22"/>
          <w:lang w:val="en-GB"/>
        </w:rPr>
        <w:t xml:space="preserve"> Bureau Survey reported a total unemployment rate of 4.9</w:t>
      </w:r>
      <w:r w:rsidR="00B50E48" w:rsidRPr="00C273FD">
        <w:rPr>
          <w:color w:val="1A1A1A"/>
          <w:sz w:val="22"/>
          <w:szCs w:val="22"/>
          <w:lang w:val="en-GB"/>
        </w:rPr>
        <w:t xml:space="preserve"> per cent</w:t>
      </w:r>
      <w:r w:rsidR="00EF24F1">
        <w:rPr>
          <w:color w:val="1A1A1A"/>
          <w:sz w:val="22"/>
          <w:szCs w:val="22"/>
          <w:lang w:val="en-GB"/>
        </w:rPr>
        <w:t>,</w:t>
      </w:r>
      <w:r w:rsidRPr="00C273FD">
        <w:rPr>
          <w:rStyle w:val="EndnoteReference"/>
          <w:color w:val="1A1A1A"/>
          <w:sz w:val="22"/>
          <w:szCs w:val="22"/>
          <w:lang w:val="en-GB"/>
        </w:rPr>
        <w:endnoteReference w:id="43"/>
      </w:r>
      <w:r w:rsidRPr="00C273FD">
        <w:rPr>
          <w:color w:val="1A1A1A"/>
          <w:sz w:val="22"/>
          <w:szCs w:val="22"/>
          <w:lang w:val="en-GB"/>
        </w:rPr>
        <w:t xml:space="preserve"> </w:t>
      </w:r>
      <w:r w:rsidR="00EF24F1">
        <w:rPr>
          <w:color w:val="1A1A1A"/>
          <w:sz w:val="22"/>
          <w:szCs w:val="22"/>
          <w:lang w:val="en-GB"/>
        </w:rPr>
        <w:t>which</w:t>
      </w:r>
      <w:r w:rsidR="00EF24F1" w:rsidRPr="00C273FD">
        <w:rPr>
          <w:color w:val="1A1A1A"/>
          <w:sz w:val="22"/>
          <w:szCs w:val="22"/>
          <w:lang w:val="en-GB"/>
        </w:rPr>
        <w:t xml:space="preserve"> </w:t>
      </w:r>
      <w:r w:rsidRPr="00C273FD">
        <w:rPr>
          <w:color w:val="1A1A1A"/>
          <w:sz w:val="22"/>
          <w:szCs w:val="22"/>
          <w:lang w:val="en-GB"/>
        </w:rPr>
        <w:t>was a clear deterioration from the 2.56</w:t>
      </w:r>
      <w:r w:rsidR="00B50E48" w:rsidRPr="00C273FD">
        <w:rPr>
          <w:color w:val="1A1A1A"/>
          <w:sz w:val="22"/>
          <w:szCs w:val="22"/>
          <w:lang w:val="en-GB"/>
        </w:rPr>
        <w:t xml:space="preserve"> per cent</w:t>
      </w:r>
      <w:r w:rsidRPr="00C273FD">
        <w:rPr>
          <w:color w:val="1A1A1A"/>
          <w:sz w:val="22"/>
          <w:szCs w:val="22"/>
          <w:lang w:val="en-GB"/>
        </w:rPr>
        <w:t xml:space="preserve"> and 2.81</w:t>
      </w:r>
      <w:r w:rsidR="00B50E48" w:rsidRPr="00C273FD">
        <w:rPr>
          <w:color w:val="1A1A1A"/>
          <w:sz w:val="22"/>
          <w:szCs w:val="22"/>
          <w:lang w:val="en-GB"/>
        </w:rPr>
        <w:t xml:space="preserve"> per cent</w:t>
      </w:r>
      <w:r w:rsidRPr="00C273FD">
        <w:rPr>
          <w:color w:val="1A1A1A"/>
          <w:sz w:val="22"/>
          <w:szCs w:val="22"/>
          <w:lang w:val="en-GB"/>
        </w:rPr>
        <w:t xml:space="preserve"> rates achieved in 1993/94 and 1999/2000</w:t>
      </w:r>
      <w:r w:rsidR="00686F9A">
        <w:rPr>
          <w:color w:val="1A1A1A"/>
          <w:sz w:val="22"/>
          <w:szCs w:val="22"/>
          <w:lang w:val="en-GB"/>
        </w:rPr>
        <w:t>,</w:t>
      </w:r>
      <w:r w:rsidRPr="00C273FD">
        <w:rPr>
          <w:color w:val="1A1A1A"/>
          <w:sz w:val="22"/>
          <w:szCs w:val="22"/>
          <w:lang w:val="en-GB"/>
        </w:rPr>
        <w:t xml:space="preserve"> respectively</w:t>
      </w:r>
      <w:r w:rsidR="00FA2BDD" w:rsidRPr="00C273FD">
        <w:rPr>
          <w:color w:val="1A1A1A"/>
          <w:sz w:val="22"/>
          <w:szCs w:val="22"/>
          <w:lang w:val="en-GB"/>
        </w:rPr>
        <w:t>.</w:t>
      </w:r>
      <w:r w:rsidRPr="00C273FD">
        <w:rPr>
          <w:rStyle w:val="EndnoteReference"/>
          <w:color w:val="1A1A1A"/>
          <w:sz w:val="22"/>
          <w:szCs w:val="22"/>
          <w:lang w:val="en-GB"/>
        </w:rPr>
        <w:endnoteReference w:id="44"/>
      </w:r>
      <w:r w:rsidRPr="00C273FD">
        <w:rPr>
          <w:color w:val="1A1A1A"/>
          <w:sz w:val="22"/>
          <w:szCs w:val="22"/>
          <w:lang w:val="en-GB"/>
        </w:rPr>
        <w:t xml:space="preserve"> Moreover, the youth unemployment rate was higher at 12.9</w:t>
      </w:r>
      <w:r w:rsidR="00B50E48" w:rsidRPr="00C273FD">
        <w:rPr>
          <w:color w:val="1A1A1A"/>
          <w:sz w:val="22"/>
          <w:szCs w:val="22"/>
          <w:lang w:val="en-GB"/>
        </w:rPr>
        <w:t xml:space="preserve"> per cent</w:t>
      </w:r>
      <w:r w:rsidR="00FA2BDD" w:rsidRPr="00C273FD">
        <w:rPr>
          <w:color w:val="1A1A1A"/>
          <w:sz w:val="22"/>
          <w:szCs w:val="22"/>
          <w:lang w:val="en-GB"/>
        </w:rPr>
        <w:t>.</w:t>
      </w:r>
      <w:r w:rsidRPr="00C273FD">
        <w:rPr>
          <w:rStyle w:val="EndnoteReference"/>
          <w:color w:val="1A1A1A"/>
          <w:sz w:val="22"/>
          <w:szCs w:val="22"/>
          <w:lang w:val="en-GB"/>
        </w:rPr>
        <w:endnoteReference w:id="45"/>
      </w:r>
      <w:r w:rsidRPr="00C273FD">
        <w:rPr>
          <w:color w:val="1A1A1A"/>
          <w:sz w:val="22"/>
          <w:szCs w:val="22"/>
          <w:lang w:val="en-GB"/>
        </w:rPr>
        <w:t xml:space="preserve"> </w:t>
      </w:r>
    </w:p>
    <w:p w14:paraId="188014E4" w14:textId="77777777" w:rsidR="00AB18DE" w:rsidRPr="00C273FD" w:rsidRDefault="00AB18DE" w:rsidP="00C80ACF">
      <w:pPr>
        <w:widowControl w:val="0"/>
        <w:autoSpaceDE w:val="0"/>
        <w:autoSpaceDN w:val="0"/>
        <w:adjustRightInd w:val="0"/>
        <w:jc w:val="both"/>
        <w:rPr>
          <w:color w:val="1A1A1A"/>
          <w:sz w:val="22"/>
          <w:szCs w:val="22"/>
          <w:lang w:val="en-GB"/>
        </w:rPr>
      </w:pPr>
    </w:p>
    <w:p w14:paraId="04AE2DFF" w14:textId="37C11BC6"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w:t>
      </w:r>
      <w:r w:rsidR="000F3B40">
        <w:rPr>
          <w:color w:val="1A1A1A"/>
          <w:sz w:val="22"/>
          <w:szCs w:val="22"/>
          <w:lang w:val="en-GB"/>
        </w:rPr>
        <w:t xml:space="preserve">Government of India’s </w:t>
      </w:r>
      <w:r w:rsidRPr="00C273FD">
        <w:rPr>
          <w:color w:val="1A1A1A"/>
          <w:sz w:val="22"/>
          <w:szCs w:val="22"/>
          <w:lang w:val="en-GB"/>
        </w:rPr>
        <w:t xml:space="preserve">Economic Survey noted, “To exploit its demographic dividend, India must create enough </w:t>
      </w:r>
      <w:r w:rsidR="00EF24F1">
        <w:rPr>
          <w:color w:val="1A1A1A"/>
          <w:sz w:val="22"/>
          <w:szCs w:val="22"/>
          <w:lang w:val="en-GB"/>
        </w:rPr>
        <w:t>‘</w:t>
      </w:r>
      <w:r w:rsidRPr="00C273FD">
        <w:rPr>
          <w:color w:val="1A1A1A"/>
          <w:sz w:val="22"/>
          <w:szCs w:val="22"/>
          <w:lang w:val="en-GB"/>
        </w:rPr>
        <w:t>good</w:t>
      </w:r>
      <w:r w:rsidR="00EF24F1">
        <w:rPr>
          <w:color w:val="1A1A1A"/>
          <w:sz w:val="22"/>
          <w:szCs w:val="22"/>
          <w:lang w:val="en-GB"/>
        </w:rPr>
        <w:t>’—</w:t>
      </w:r>
      <w:r w:rsidRPr="00C273FD">
        <w:rPr>
          <w:color w:val="1A1A1A"/>
          <w:sz w:val="22"/>
          <w:szCs w:val="22"/>
          <w:lang w:val="en-GB"/>
        </w:rPr>
        <w:t xml:space="preserve">safe, productive, </w:t>
      </w:r>
      <w:proofErr w:type="spellStart"/>
      <w:r w:rsidRPr="00C273FD">
        <w:rPr>
          <w:color w:val="1A1A1A"/>
          <w:sz w:val="22"/>
          <w:szCs w:val="22"/>
          <w:lang w:val="en-GB"/>
        </w:rPr>
        <w:t>well paying</w:t>
      </w:r>
      <w:proofErr w:type="spellEnd"/>
      <w:r w:rsidRPr="00C273FD">
        <w:rPr>
          <w:color w:val="1A1A1A"/>
          <w:sz w:val="22"/>
          <w:szCs w:val="22"/>
          <w:lang w:val="en-GB"/>
        </w:rPr>
        <w:t xml:space="preserve"> jobs</w:t>
      </w:r>
      <w:r w:rsidR="00F7014C" w:rsidRPr="00C273FD">
        <w:rPr>
          <w:color w:val="1A1A1A"/>
          <w:sz w:val="22"/>
          <w:szCs w:val="22"/>
          <w:lang w:val="en-GB"/>
        </w:rPr>
        <w:t>.</w:t>
      </w:r>
      <w:r w:rsidRPr="00C273FD">
        <w:rPr>
          <w:color w:val="1A1A1A"/>
          <w:sz w:val="22"/>
          <w:szCs w:val="22"/>
          <w:lang w:val="en-GB"/>
        </w:rPr>
        <w:t>”</w:t>
      </w:r>
      <w:r w:rsidR="003A0843">
        <w:rPr>
          <w:rStyle w:val="EndnoteReference"/>
          <w:color w:val="1A1A1A"/>
          <w:sz w:val="22"/>
          <w:szCs w:val="22"/>
          <w:lang w:val="en-GB"/>
        </w:rPr>
        <w:endnoteReference w:id="46"/>
      </w:r>
      <w:r w:rsidRPr="00C273FD">
        <w:rPr>
          <w:color w:val="1A1A1A"/>
          <w:sz w:val="22"/>
          <w:szCs w:val="22"/>
          <w:lang w:val="en-GB"/>
        </w:rPr>
        <w:t xml:space="preserve"> While such “good” jobs required a greater formali</w:t>
      </w:r>
      <w:r w:rsidR="00EF24F1">
        <w:rPr>
          <w:color w:val="1A1A1A"/>
          <w:sz w:val="22"/>
          <w:szCs w:val="22"/>
          <w:lang w:val="en-GB"/>
        </w:rPr>
        <w:t>z</w:t>
      </w:r>
      <w:r w:rsidRPr="00C273FD">
        <w:rPr>
          <w:color w:val="1A1A1A"/>
          <w:sz w:val="22"/>
          <w:szCs w:val="22"/>
          <w:lang w:val="en-GB"/>
        </w:rPr>
        <w:t>ation of the economy, most jobs in India in the 1989</w:t>
      </w:r>
      <w:r w:rsidR="00EF24F1">
        <w:rPr>
          <w:color w:val="1A1A1A"/>
          <w:sz w:val="22"/>
          <w:szCs w:val="22"/>
          <w:lang w:val="en-GB"/>
        </w:rPr>
        <w:t>–</w:t>
      </w:r>
      <w:r w:rsidRPr="00C273FD">
        <w:rPr>
          <w:color w:val="1A1A1A"/>
          <w:sz w:val="22"/>
          <w:szCs w:val="22"/>
          <w:lang w:val="en-GB"/>
        </w:rPr>
        <w:t xml:space="preserve">2010 period </w:t>
      </w:r>
      <w:proofErr w:type="gramStart"/>
      <w:r w:rsidRPr="00C273FD">
        <w:rPr>
          <w:color w:val="1A1A1A"/>
          <w:sz w:val="22"/>
          <w:szCs w:val="22"/>
          <w:lang w:val="en-GB"/>
        </w:rPr>
        <w:t>were created</w:t>
      </w:r>
      <w:proofErr w:type="gramEnd"/>
      <w:r w:rsidRPr="00C273FD">
        <w:rPr>
          <w:color w:val="1A1A1A"/>
          <w:sz w:val="22"/>
          <w:szCs w:val="22"/>
          <w:lang w:val="en-GB"/>
        </w:rPr>
        <w:t xml:space="preserve"> in the informal sector. Formal sector jobs offered pecuniary as well as non-pecuniary benefits for </w:t>
      </w:r>
      <w:r w:rsidR="00FA2BDD" w:rsidRPr="00C273FD">
        <w:rPr>
          <w:color w:val="1A1A1A"/>
          <w:sz w:val="22"/>
          <w:szCs w:val="22"/>
          <w:lang w:val="en-GB"/>
        </w:rPr>
        <w:t>labour</w:t>
      </w:r>
      <w:r w:rsidRPr="00C273FD">
        <w:rPr>
          <w:color w:val="1A1A1A"/>
          <w:sz w:val="22"/>
          <w:szCs w:val="22"/>
          <w:lang w:val="en-GB"/>
        </w:rPr>
        <w:t xml:space="preserve"> employed. Thus, the formal sector offered significantly higher wages compared </w:t>
      </w:r>
      <w:r w:rsidR="00EF24F1">
        <w:rPr>
          <w:color w:val="1A1A1A"/>
          <w:sz w:val="22"/>
          <w:szCs w:val="22"/>
          <w:lang w:val="en-GB"/>
        </w:rPr>
        <w:t>with</w:t>
      </w:r>
      <w:r w:rsidR="00EF24F1" w:rsidRPr="00C273FD">
        <w:rPr>
          <w:color w:val="1A1A1A"/>
          <w:sz w:val="22"/>
          <w:szCs w:val="22"/>
          <w:lang w:val="en-GB"/>
        </w:rPr>
        <w:t xml:space="preserve"> </w:t>
      </w:r>
      <w:r w:rsidRPr="00C273FD">
        <w:rPr>
          <w:color w:val="1A1A1A"/>
          <w:sz w:val="22"/>
          <w:szCs w:val="22"/>
          <w:lang w:val="en-GB"/>
        </w:rPr>
        <w:t>the informal sector. The average annual for</w:t>
      </w:r>
      <w:r w:rsidR="00B50E48" w:rsidRPr="00C273FD">
        <w:rPr>
          <w:color w:val="1A1A1A"/>
          <w:sz w:val="22"/>
          <w:szCs w:val="22"/>
          <w:lang w:val="en-GB"/>
        </w:rPr>
        <w:t xml:space="preserve">mal sector wage in 2010 was </w:t>
      </w:r>
      <w:r w:rsidR="00836610" w:rsidRPr="009D10D4">
        <w:rPr>
          <w:rStyle w:val="BodyTextMainChar"/>
          <w:rFonts w:ascii="Tahoma" w:hAnsi="Tahoma" w:cs="Tahoma"/>
        </w:rPr>
        <w:t>₹</w:t>
      </w:r>
      <w:r w:rsidRPr="00C273FD">
        <w:rPr>
          <w:color w:val="1A1A1A"/>
          <w:sz w:val="22"/>
          <w:szCs w:val="22"/>
          <w:lang w:val="en-GB"/>
        </w:rPr>
        <w:t>122,794 ($2</w:t>
      </w:r>
      <w:r w:rsidR="00B50E48" w:rsidRPr="00C273FD">
        <w:rPr>
          <w:color w:val="1A1A1A"/>
          <w:sz w:val="22"/>
          <w:szCs w:val="22"/>
          <w:lang w:val="en-GB"/>
        </w:rPr>
        <w:t>,</w:t>
      </w:r>
      <w:r w:rsidR="00825C6B">
        <w:rPr>
          <w:color w:val="1A1A1A"/>
          <w:sz w:val="22"/>
          <w:szCs w:val="22"/>
          <w:lang w:val="en-GB"/>
        </w:rPr>
        <w:t>695.2</w:t>
      </w:r>
      <w:r w:rsidRPr="00C273FD">
        <w:rPr>
          <w:color w:val="1A1A1A"/>
          <w:sz w:val="22"/>
          <w:szCs w:val="22"/>
          <w:lang w:val="en-GB"/>
        </w:rPr>
        <w:t>)</w:t>
      </w:r>
      <w:r w:rsidR="00836610">
        <w:rPr>
          <w:rStyle w:val="EndnoteReference"/>
          <w:color w:val="1A1A1A"/>
          <w:sz w:val="22"/>
          <w:szCs w:val="22"/>
          <w:lang w:val="en-GB"/>
        </w:rPr>
        <w:endnoteReference w:id="47"/>
      </w:r>
      <w:r w:rsidRPr="00C273FD">
        <w:rPr>
          <w:color w:val="1A1A1A"/>
          <w:sz w:val="22"/>
          <w:szCs w:val="22"/>
          <w:lang w:val="en-GB"/>
        </w:rPr>
        <w:t xml:space="preserve"> while the avera</w:t>
      </w:r>
      <w:r w:rsidR="00B50E48" w:rsidRPr="00C273FD">
        <w:rPr>
          <w:color w:val="1A1A1A"/>
          <w:sz w:val="22"/>
          <w:szCs w:val="22"/>
          <w:lang w:val="en-GB"/>
        </w:rPr>
        <w:t xml:space="preserve">ge informal sector wage was </w:t>
      </w:r>
      <w:r w:rsidR="00836610" w:rsidRPr="009D10D4">
        <w:rPr>
          <w:rStyle w:val="BodyTextMainChar"/>
          <w:rFonts w:ascii="Tahoma" w:hAnsi="Tahoma" w:cs="Tahoma"/>
        </w:rPr>
        <w:t>₹</w:t>
      </w:r>
      <w:r w:rsidRPr="00C273FD">
        <w:rPr>
          <w:color w:val="1A1A1A"/>
          <w:sz w:val="22"/>
          <w:szCs w:val="22"/>
          <w:lang w:val="en-GB"/>
        </w:rPr>
        <w:t>6</w:t>
      </w:r>
      <w:r w:rsidR="00B50E48" w:rsidRPr="00C273FD">
        <w:rPr>
          <w:color w:val="1A1A1A"/>
          <w:sz w:val="22"/>
          <w:szCs w:val="22"/>
          <w:lang w:val="en-GB"/>
        </w:rPr>
        <w:t>,</w:t>
      </w:r>
      <w:r w:rsidRPr="00C273FD">
        <w:rPr>
          <w:color w:val="1A1A1A"/>
          <w:sz w:val="22"/>
          <w:szCs w:val="22"/>
          <w:lang w:val="en-GB"/>
        </w:rPr>
        <w:t>058 ($1</w:t>
      </w:r>
      <w:r w:rsidR="00825C6B">
        <w:rPr>
          <w:color w:val="1A1A1A"/>
          <w:sz w:val="22"/>
          <w:szCs w:val="22"/>
          <w:lang w:val="en-GB"/>
        </w:rPr>
        <w:t>33</w:t>
      </w:r>
      <w:r w:rsidRPr="00C273FD">
        <w:rPr>
          <w:color w:val="1A1A1A"/>
          <w:sz w:val="22"/>
          <w:szCs w:val="22"/>
          <w:lang w:val="en-GB"/>
        </w:rPr>
        <w:t>). Moreover, being engaged in the formal sector also provided access to cheaper credit for workers</w:t>
      </w:r>
      <w:r w:rsidR="00FA2BDD" w:rsidRPr="00C273FD">
        <w:rPr>
          <w:color w:val="1A1A1A"/>
          <w:sz w:val="22"/>
          <w:szCs w:val="22"/>
          <w:lang w:val="en-GB"/>
        </w:rPr>
        <w:t>.</w:t>
      </w:r>
      <w:r w:rsidR="00F7014C" w:rsidRPr="00C273FD">
        <w:rPr>
          <w:rStyle w:val="EndnoteReference"/>
          <w:color w:val="1A1A1A"/>
          <w:sz w:val="22"/>
          <w:szCs w:val="22"/>
          <w:lang w:val="en-GB"/>
        </w:rPr>
        <w:endnoteReference w:id="48"/>
      </w:r>
      <w:r w:rsidRPr="00C273FD">
        <w:rPr>
          <w:color w:val="1A1A1A"/>
          <w:sz w:val="22"/>
          <w:szCs w:val="22"/>
          <w:lang w:val="en-GB"/>
        </w:rPr>
        <w:t xml:space="preserve"> </w:t>
      </w:r>
    </w:p>
    <w:p w14:paraId="292747D6" w14:textId="77777777" w:rsidR="00AB18DE" w:rsidRPr="00C273FD" w:rsidRDefault="00AB18DE" w:rsidP="00C80ACF">
      <w:pPr>
        <w:widowControl w:val="0"/>
        <w:autoSpaceDE w:val="0"/>
        <w:autoSpaceDN w:val="0"/>
        <w:adjustRightInd w:val="0"/>
        <w:jc w:val="both"/>
        <w:rPr>
          <w:color w:val="1A1A1A"/>
          <w:sz w:val="22"/>
          <w:szCs w:val="22"/>
          <w:lang w:val="en-GB"/>
        </w:rPr>
      </w:pPr>
    </w:p>
    <w:p w14:paraId="62FB990F" w14:textId="065341D1"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However, restrictive </w:t>
      </w:r>
      <w:r w:rsidR="00FA2BDD" w:rsidRPr="00C273FD">
        <w:rPr>
          <w:color w:val="1A1A1A"/>
          <w:sz w:val="22"/>
          <w:szCs w:val="22"/>
          <w:lang w:val="en-GB"/>
        </w:rPr>
        <w:t>labour</w:t>
      </w:r>
      <w:r w:rsidRPr="00C273FD">
        <w:rPr>
          <w:color w:val="1A1A1A"/>
          <w:sz w:val="22"/>
          <w:szCs w:val="22"/>
          <w:lang w:val="en-GB"/>
        </w:rPr>
        <w:t xml:space="preserve"> laws posed challenges to formali</w:t>
      </w:r>
      <w:r w:rsidR="00836610">
        <w:rPr>
          <w:color w:val="1A1A1A"/>
          <w:sz w:val="22"/>
          <w:szCs w:val="22"/>
          <w:lang w:val="en-GB"/>
        </w:rPr>
        <w:t>z</w:t>
      </w:r>
      <w:r w:rsidRPr="00C273FD">
        <w:rPr>
          <w:color w:val="1A1A1A"/>
          <w:sz w:val="22"/>
          <w:szCs w:val="22"/>
          <w:lang w:val="en-GB"/>
        </w:rPr>
        <w:t>ation in India</w:t>
      </w:r>
      <w:r w:rsidR="00836610">
        <w:rPr>
          <w:color w:val="1A1A1A"/>
          <w:sz w:val="22"/>
          <w:szCs w:val="22"/>
          <w:lang w:val="en-GB"/>
        </w:rPr>
        <w:t>,</w:t>
      </w:r>
      <w:r w:rsidRPr="00C273FD">
        <w:rPr>
          <w:color w:val="1A1A1A"/>
          <w:sz w:val="22"/>
          <w:szCs w:val="22"/>
          <w:lang w:val="en-GB"/>
        </w:rPr>
        <w:t xml:space="preserve"> even in 2016. Of particular significance was the </w:t>
      </w:r>
      <w:r w:rsidRPr="00640722">
        <w:rPr>
          <w:i/>
          <w:color w:val="1A1A1A"/>
          <w:sz w:val="22"/>
          <w:szCs w:val="22"/>
          <w:lang w:val="en-GB"/>
        </w:rPr>
        <w:t>Industrial Disputes Act</w:t>
      </w:r>
      <w:r w:rsidRPr="00C273FD">
        <w:rPr>
          <w:color w:val="1A1A1A"/>
          <w:sz w:val="22"/>
          <w:szCs w:val="22"/>
          <w:lang w:val="en-GB"/>
        </w:rPr>
        <w:t xml:space="preserve"> (IDA), which required firms with more than 100 employees to seek government approval for retrenching </w:t>
      </w:r>
      <w:r w:rsidR="00FA2BDD" w:rsidRPr="00C273FD">
        <w:rPr>
          <w:color w:val="1A1A1A"/>
          <w:sz w:val="22"/>
          <w:szCs w:val="22"/>
          <w:lang w:val="en-GB"/>
        </w:rPr>
        <w:t>labour</w:t>
      </w:r>
      <w:r w:rsidRPr="00C273FD">
        <w:rPr>
          <w:color w:val="1A1A1A"/>
          <w:sz w:val="22"/>
          <w:szCs w:val="22"/>
          <w:lang w:val="en-GB"/>
        </w:rPr>
        <w:t xml:space="preserve">. Most firms preferred to remain small, foregoing </w:t>
      </w:r>
      <w:r w:rsidRPr="00C273FD">
        <w:rPr>
          <w:color w:val="1A1A1A"/>
          <w:sz w:val="22"/>
          <w:szCs w:val="22"/>
          <w:lang w:val="en-GB"/>
        </w:rPr>
        <w:lastRenderedPageBreak/>
        <w:t>significant economies of scale to avoid such “regulatory cholesterol</w:t>
      </w:r>
      <w:r w:rsidR="00836610">
        <w:rPr>
          <w:color w:val="1A1A1A"/>
          <w:sz w:val="22"/>
          <w:szCs w:val="22"/>
          <w:lang w:val="en-GB"/>
        </w:rPr>
        <w:t>.</w:t>
      </w:r>
      <w:r w:rsidRPr="00C273FD">
        <w:rPr>
          <w:color w:val="1A1A1A"/>
          <w:sz w:val="22"/>
          <w:szCs w:val="22"/>
          <w:lang w:val="en-GB"/>
        </w:rPr>
        <w:t xml:space="preserve">” Further, firms sought to avoid cumbersome </w:t>
      </w:r>
      <w:r w:rsidR="00FA2BDD" w:rsidRPr="00C273FD">
        <w:rPr>
          <w:color w:val="1A1A1A"/>
          <w:sz w:val="22"/>
          <w:szCs w:val="22"/>
          <w:lang w:val="en-GB"/>
        </w:rPr>
        <w:t>labour</w:t>
      </w:r>
      <w:r w:rsidRPr="00C273FD">
        <w:rPr>
          <w:color w:val="1A1A1A"/>
          <w:sz w:val="22"/>
          <w:szCs w:val="22"/>
          <w:lang w:val="en-GB"/>
        </w:rPr>
        <w:t xml:space="preserve"> laws by hiring contract </w:t>
      </w:r>
      <w:r w:rsidR="00FA2BDD" w:rsidRPr="00C273FD">
        <w:rPr>
          <w:color w:val="1A1A1A"/>
          <w:sz w:val="22"/>
          <w:szCs w:val="22"/>
          <w:lang w:val="en-GB"/>
        </w:rPr>
        <w:t>labour</w:t>
      </w:r>
      <w:r w:rsidRPr="00C273FD">
        <w:rPr>
          <w:color w:val="1A1A1A"/>
          <w:sz w:val="22"/>
          <w:szCs w:val="22"/>
          <w:lang w:val="en-GB"/>
        </w:rPr>
        <w:t xml:space="preserve">, which had its own ramifications. Such contractual </w:t>
      </w:r>
      <w:r w:rsidR="00FA2BDD" w:rsidRPr="00C273FD">
        <w:rPr>
          <w:color w:val="1A1A1A"/>
          <w:sz w:val="22"/>
          <w:szCs w:val="22"/>
          <w:lang w:val="en-GB"/>
        </w:rPr>
        <w:t>labour</w:t>
      </w:r>
      <w:r w:rsidRPr="00C273FD">
        <w:rPr>
          <w:color w:val="1A1A1A"/>
          <w:sz w:val="22"/>
          <w:szCs w:val="22"/>
          <w:lang w:val="en-GB"/>
        </w:rPr>
        <w:t xml:space="preserve"> was not only more expensive than regular </w:t>
      </w:r>
      <w:r w:rsidR="00FA2BDD" w:rsidRPr="00C273FD">
        <w:rPr>
          <w:color w:val="1A1A1A"/>
          <w:sz w:val="22"/>
          <w:szCs w:val="22"/>
          <w:lang w:val="en-GB"/>
        </w:rPr>
        <w:t>labour</w:t>
      </w:r>
      <w:r w:rsidRPr="00C273FD">
        <w:rPr>
          <w:color w:val="1A1A1A"/>
          <w:sz w:val="22"/>
          <w:szCs w:val="22"/>
          <w:lang w:val="en-GB"/>
        </w:rPr>
        <w:t xml:space="preserve"> </w:t>
      </w:r>
      <w:r w:rsidR="00836610">
        <w:rPr>
          <w:color w:val="1A1A1A"/>
          <w:sz w:val="22"/>
          <w:szCs w:val="22"/>
          <w:lang w:val="en-GB"/>
        </w:rPr>
        <w:t>but</w:t>
      </w:r>
      <w:r w:rsidR="00836610" w:rsidRPr="00C273FD">
        <w:rPr>
          <w:color w:val="1A1A1A"/>
          <w:sz w:val="22"/>
          <w:szCs w:val="22"/>
          <w:lang w:val="en-GB"/>
        </w:rPr>
        <w:t xml:space="preserve"> </w:t>
      </w:r>
      <w:r w:rsidRPr="00C273FD">
        <w:rPr>
          <w:color w:val="1A1A1A"/>
          <w:sz w:val="22"/>
          <w:szCs w:val="22"/>
          <w:lang w:val="en-GB"/>
        </w:rPr>
        <w:t xml:space="preserve">also less loyal to the firm </w:t>
      </w:r>
      <w:r w:rsidR="00836610">
        <w:rPr>
          <w:color w:val="1A1A1A"/>
          <w:sz w:val="22"/>
          <w:szCs w:val="22"/>
          <w:lang w:val="en-GB"/>
        </w:rPr>
        <w:t>and less</w:t>
      </w:r>
      <w:r w:rsidRPr="00C273FD">
        <w:rPr>
          <w:color w:val="1A1A1A"/>
          <w:sz w:val="22"/>
          <w:szCs w:val="22"/>
          <w:lang w:val="en-GB"/>
        </w:rPr>
        <w:t xml:space="preserve"> </w:t>
      </w:r>
      <w:r w:rsidR="00836610" w:rsidRPr="00C273FD">
        <w:rPr>
          <w:color w:val="1A1A1A"/>
          <w:sz w:val="22"/>
          <w:szCs w:val="22"/>
          <w:lang w:val="en-GB"/>
        </w:rPr>
        <w:t>productiv</w:t>
      </w:r>
      <w:r w:rsidR="00836610">
        <w:rPr>
          <w:color w:val="1A1A1A"/>
          <w:sz w:val="22"/>
          <w:szCs w:val="22"/>
          <w:lang w:val="en-GB"/>
        </w:rPr>
        <w:t>e,</w:t>
      </w:r>
      <w:r w:rsidR="00836610" w:rsidRPr="00C273FD">
        <w:rPr>
          <w:color w:val="1A1A1A"/>
          <w:sz w:val="22"/>
          <w:szCs w:val="22"/>
          <w:lang w:val="en-GB"/>
        </w:rPr>
        <w:t xml:space="preserve"> </w:t>
      </w:r>
      <w:r w:rsidRPr="00C273FD">
        <w:rPr>
          <w:color w:val="1A1A1A"/>
          <w:sz w:val="22"/>
          <w:szCs w:val="22"/>
          <w:lang w:val="en-GB"/>
        </w:rPr>
        <w:t xml:space="preserve">due to </w:t>
      </w:r>
      <w:r w:rsidR="00836610">
        <w:rPr>
          <w:color w:val="1A1A1A"/>
          <w:sz w:val="22"/>
          <w:szCs w:val="22"/>
          <w:lang w:val="en-GB"/>
        </w:rPr>
        <w:t xml:space="preserve">a </w:t>
      </w:r>
      <w:r w:rsidRPr="00C273FD">
        <w:rPr>
          <w:color w:val="1A1A1A"/>
          <w:sz w:val="22"/>
          <w:szCs w:val="22"/>
          <w:lang w:val="en-GB"/>
        </w:rPr>
        <w:t>non-accumulation of “firm-specific human capital</w:t>
      </w:r>
      <w:r w:rsidR="00FA2BDD" w:rsidRPr="00C273FD">
        <w:rPr>
          <w:color w:val="1A1A1A"/>
          <w:sz w:val="22"/>
          <w:szCs w:val="22"/>
          <w:lang w:val="en-GB"/>
        </w:rPr>
        <w:t>.</w:t>
      </w:r>
      <w:r w:rsidRPr="00C273FD">
        <w:rPr>
          <w:color w:val="1A1A1A"/>
          <w:sz w:val="22"/>
          <w:szCs w:val="22"/>
          <w:lang w:val="en-GB"/>
        </w:rPr>
        <w:t>”</w:t>
      </w:r>
      <w:r w:rsidRPr="00C273FD">
        <w:rPr>
          <w:rStyle w:val="EndnoteReference"/>
          <w:color w:val="1A1A1A"/>
          <w:sz w:val="22"/>
          <w:szCs w:val="22"/>
          <w:lang w:val="en-GB"/>
        </w:rPr>
        <w:endnoteReference w:id="49"/>
      </w:r>
    </w:p>
    <w:p w14:paraId="692BB6C1" w14:textId="77777777" w:rsidR="00AB18DE" w:rsidRPr="00C273FD" w:rsidRDefault="00AB18DE" w:rsidP="00C80ACF">
      <w:pPr>
        <w:widowControl w:val="0"/>
        <w:autoSpaceDE w:val="0"/>
        <w:autoSpaceDN w:val="0"/>
        <w:adjustRightInd w:val="0"/>
        <w:jc w:val="both"/>
        <w:rPr>
          <w:color w:val="1A1A1A"/>
          <w:sz w:val="22"/>
          <w:szCs w:val="22"/>
          <w:lang w:val="en-GB"/>
        </w:rPr>
      </w:pPr>
    </w:p>
    <w:p w14:paraId="4D0EEFF1" w14:textId="77777777" w:rsidR="00AB18DE" w:rsidRPr="00C273FD" w:rsidRDefault="00AB18DE" w:rsidP="00C80ACF">
      <w:pPr>
        <w:widowControl w:val="0"/>
        <w:autoSpaceDE w:val="0"/>
        <w:autoSpaceDN w:val="0"/>
        <w:adjustRightInd w:val="0"/>
        <w:jc w:val="both"/>
        <w:rPr>
          <w:color w:val="1A1A1A"/>
          <w:sz w:val="22"/>
          <w:szCs w:val="22"/>
          <w:lang w:val="en-GB"/>
        </w:rPr>
      </w:pPr>
    </w:p>
    <w:p w14:paraId="5117C49F" w14:textId="77777777" w:rsidR="00AB18DE" w:rsidRPr="00C273FD" w:rsidRDefault="00AB18DE"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Savings and Investment</w:t>
      </w:r>
    </w:p>
    <w:p w14:paraId="17DED9F6" w14:textId="77777777" w:rsidR="00AB18DE" w:rsidRPr="00C273FD" w:rsidRDefault="00AB18DE" w:rsidP="00AB18DE">
      <w:pPr>
        <w:pStyle w:val="BodyTextMain"/>
        <w:rPr>
          <w:lang w:val="en-GB"/>
        </w:rPr>
      </w:pPr>
    </w:p>
    <w:p w14:paraId="5B5C6FCF" w14:textId="6F3BE636"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w:t>
      </w:r>
      <w:proofErr w:type="spellStart"/>
      <w:r w:rsidRPr="00C273FD">
        <w:rPr>
          <w:color w:val="1A1A1A"/>
          <w:sz w:val="22"/>
          <w:szCs w:val="22"/>
          <w:lang w:val="en-GB"/>
        </w:rPr>
        <w:t>Harrod-Domar</w:t>
      </w:r>
      <w:proofErr w:type="spellEnd"/>
      <w:r w:rsidRPr="00C273FD">
        <w:rPr>
          <w:color w:val="1A1A1A"/>
          <w:sz w:val="22"/>
          <w:szCs w:val="22"/>
          <w:lang w:val="en-GB"/>
        </w:rPr>
        <w:t xml:space="preserve"> Model was the theoretical model used to capture</w:t>
      </w:r>
      <w:r w:rsidR="000B1B70">
        <w:rPr>
          <w:color w:val="1A1A1A"/>
          <w:sz w:val="22"/>
          <w:szCs w:val="22"/>
          <w:lang w:val="en-GB"/>
        </w:rPr>
        <w:t>, for any economy,</w:t>
      </w:r>
      <w:r w:rsidRPr="00C273FD">
        <w:rPr>
          <w:color w:val="1A1A1A"/>
          <w:sz w:val="22"/>
          <w:szCs w:val="22"/>
          <w:lang w:val="en-GB"/>
        </w:rPr>
        <w:t xml:space="preserve"> the relationship</w:t>
      </w:r>
      <w:r w:rsidR="000B1B70">
        <w:rPr>
          <w:color w:val="1A1A1A"/>
          <w:sz w:val="22"/>
          <w:szCs w:val="22"/>
          <w:lang w:val="en-GB"/>
        </w:rPr>
        <w:t>s</w:t>
      </w:r>
      <w:r w:rsidRPr="00C273FD">
        <w:rPr>
          <w:color w:val="1A1A1A"/>
          <w:sz w:val="22"/>
          <w:szCs w:val="22"/>
          <w:lang w:val="en-GB"/>
        </w:rPr>
        <w:t xml:space="preserve"> </w:t>
      </w:r>
      <w:r w:rsidR="000B1B70">
        <w:rPr>
          <w:color w:val="1A1A1A"/>
          <w:sz w:val="22"/>
          <w:szCs w:val="22"/>
          <w:lang w:val="en-GB"/>
        </w:rPr>
        <w:t>among</w:t>
      </w:r>
      <w:r w:rsidR="000B1B70" w:rsidRPr="00C273FD">
        <w:rPr>
          <w:color w:val="1A1A1A"/>
          <w:sz w:val="22"/>
          <w:szCs w:val="22"/>
          <w:lang w:val="en-GB"/>
        </w:rPr>
        <w:t xml:space="preserve"> </w:t>
      </w:r>
      <w:r w:rsidRPr="00C273FD">
        <w:rPr>
          <w:color w:val="1A1A1A"/>
          <w:sz w:val="22"/>
          <w:szCs w:val="22"/>
          <w:lang w:val="en-GB"/>
        </w:rPr>
        <w:t>savings, investment</w:t>
      </w:r>
      <w:r w:rsidR="000B1B70">
        <w:rPr>
          <w:color w:val="1A1A1A"/>
          <w:sz w:val="22"/>
          <w:szCs w:val="22"/>
          <w:lang w:val="en-GB"/>
        </w:rPr>
        <w:t>,</w:t>
      </w:r>
      <w:r w:rsidRPr="00C273FD">
        <w:rPr>
          <w:color w:val="1A1A1A"/>
          <w:sz w:val="22"/>
          <w:szCs w:val="22"/>
          <w:lang w:val="en-GB"/>
        </w:rPr>
        <w:t xml:space="preserve"> and growth. </w:t>
      </w:r>
      <w:r w:rsidR="000B1B70">
        <w:rPr>
          <w:color w:val="1A1A1A"/>
          <w:sz w:val="22"/>
          <w:szCs w:val="22"/>
          <w:lang w:val="en-GB"/>
        </w:rPr>
        <w:t>According to this model, a</w:t>
      </w:r>
      <w:r w:rsidRPr="00C273FD">
        <w:rPr>
          <w:color w:val="1A1A1A"/>
          <w:sz w:val="22"/>
          <w:szCs w:val="22"/>
          <w:lang w:val="en-GB"/>
        </w:rPr>
        <w:t xml:space="preserve">n economy’s rate of growth depended on two factors: the economy’s level of national saving (S) and </w:t>
      </w:r>
      <w:r w:rsidR="003C4C3D">
        <w:rPr>
          <w:color w:val="1A1A1A"/>
          <w:sz w:val="22"/>
          <w:szCs w:val="22"/>
          <w:lang w:val="en-GB"/>
        </w:rPr>
        <w:t>its</w:t>
      </w:r>
      <w:r w:rsidR="003C4C3D" w:rsidRPr="00C273FD">
        <w:rPr>
          <w:color w:val="1A1A1A"/>
          <w:sz w:val="22"/>
          <w:szCs w:val="22"/>
          <w:lang w:val="en-GB"/>
        </w:rPr>
        <w:t xml:space="preserve"> </w:t>
      </w:r>
      <w:r w:rsidR="00AD47B6">
        <w:rPr>
          <w:color w:val="1A1A1A"/>
          <w:sz w:val="22"/>
          <w:szCs w:val="22"/>
          <w:lang w:val="en-GB"/>
        </w:rPr>
        <w:t>i</w:t>
      </w:r>
      <w:r w:rsidRPr="00C273FD">
        <w:rPr>
          <w:color w:val="1A1A1A"/>
          <w:sz w:val="22"/>
          <w:szCs w:val="22"/>
          <w:lang w:val="en-GB"/>
        </w:rPr>
        <w:t xml:space="preserve">ncremental </w:t>
      </w:r>
      <w:r w:rsidR="00AD47B6">
        <w:rPr>
          <w:color w:val="1A1A1A"/>
          <w:sz w:val="22"/>
          <w:szCs w:val="22"/>
          <w:lang w:val="en-GB"/>
        </w:rPr>
        <w:t>c</w:t>
      </w:r>
      <w:r w:rsidRPr="00C273FD">
        <w:rPr>
          <w:color w:val="1A1A1A"/>
          <w:sz w:val="22"/>
          <w:szCs w:val="22"/>
          <w:lang w:val="en-GB"/>
        </w:rPr>
        <w:t>apital–</w:t>
      </w:r>
      <w:r w:rsidR="00AD47B6">
        <w:rPr>
          <w:color w:val="1A1A1A"/>
          <w:sz w:val="22"/>
          <w:szCs w:val="22"/>
          <w:lang w:val="en-GB"/>
        </w:rPr>
        <w:t>o</w:t>
      </w:r>
      <w:r w:rsidRPr="00C273FD">
        <w:rPr>
          <w:color w:val="1A1A1A"/>
          <w:sz w:val="22"/>
          <w:szCs w:val="22"/>
          <w:lang w:val="en-GB"/>
        </w:rPr>
        <w:t xml:space="preserve">utput </w:t>
      </w:r>
      <w:r w:rsidR="00AD47B6">
        <w:rPr>
          <w:color w:val="1A1A1A"/>
          <w:sz w:val="22"/>
          <w:szCs w:val="22"/>
          <w:lang w:val="en-GB"/>
        </w:rPr>
        <w:t>r</w:t>
      </w:r>
      <w:r w:rsidRPr="00C273FD">
        <w:rPr>
          <w:color w:val="1A1A1A"/>
          <w:sz w:val="22"/>
          <w:szCs w:val="22"/>
          <w:lang w:val="en-GB"/>
        </w:rPr>
        <w:t>atio (ICOR)</w:t>
      </w:r>
      <w:r w:rsidR="000B1B70">
        <w:rPr>
          <w:color w:val="1A1A1A"/>
          <w:sz w:val="22"/>
          <w:szCs w:val="22"/>
          <w:lang w:val="en-GB"/>
        </w:rPr>
        <w:t>.</w:t>
      </w:r>
      <w:r w:rsidRPr="00C273FD">
        <w:rPr>
          <w:rStyle w:val="EndnoteReference"/>
          <w:color w:val="1A1A1A"/>
          <w:sz w:val="22"/>
          <w:szCs w:val="22"/>
          <w:lang w:val="en-GB"/>
        </w:rPr>
        <w:endnoteReference w:id="50"/>
      </w:r>
      <w:r w:rsidRPr="00C273FD">
        <w:rPr>
          <w:color w:val="1A1A1A"/>
          <w:sz w:val="22"/>
          <w:szCs w:val="22"/>
          <w:lang w:val="en-GB"/>
        </w:rPr>
        <w:t xml:space="preserve"> The rate of gross domestic savings in an economy</w:t>
      </w:r>
      <w:r w:rsidR="000B1B70">
        <w:rPr>
          <w:color w:val="1A1A1A"/>
          <w:sz w:val="22"/>
          <w:szCs w:val="22"/>
          <w:lang w:val="en-GB"/>
        </w:rPr>
        <w:t>—</w:t>
      </w:r>
      <w:r w:rsidRPr="00C273FD">
        <w:rPr>
          <w:color w:val="1A1A1A"/>
          <w:sz w:val="22"/>
          <w:szCs w:val="22"/>
          <w:lang w:val="en-GB"/>
        </w:rPr>
        <w:t>i.e.</w:t>
      </w:r>
      <w:r w:rsidR="000B1B70">
        <w:rPr>
          <w:color w:val="1A1A1A"/>
          <w:sz w:val="22"/>
          <w:szCs w:val="22"/>
          <w:lang w:val="en-GB"/>
        </w:rPr>
        <w:t>,</w:t>
      </w:r>
      <w:r w:rsidRPr="00C273FD">
        <w:rPr>
          <w:color w:val="1A1A1A"/>
          <w:sz w:val="22"/>
          <w:szCs w:val="22"/>
          <w:lang w:val="en-GB"/>
        </w:rPr>
        <w:t xml:space="preserve"> the savings by domestic households, </w:t>
      </w:r>
      <w:r w:rsidR="000B1B70">
        <w:rPr>
          <w:color w:val="1A1A1A"/>
          <w:sz w:val="22"/>
          <w:szCs w:val="22"/>
          <w:lang w:val="en-GB"/>
        </w:rPr>
        <w:t xml:space="preserve">the </w:t>
      </w:r>
      <w:r w:rsidRPr="00C273FD">
        <w:rPr>
          <w:color w:val="1A1A1A"/>
          <w:sz w:val="22"/>
          <w:szCs w:val="22"/>
          <w:lang w:val="en-GB"/>
        </w:rPr>
        <w:t xml:space="preserve">government, </w:t>
      </w:r>
      <w:r w:rsidR="000B1B70">
        <w:rPr>
          <w:color w:val="1A1A1A"/>
          <w:sz w:val="22"/>
          <w:szCs w:val="22"/>
          <w:lang w:val="en-GB"/>
        </w:rPr>
        <w:t xml:space="preserve">and </w:t>
      </w:r>
      <w:r w:rsidRPr="00C273FD">
        <w:rPr>
          <w:color w:val="1A1A1A"/>
          <w:sz w:val="22"/>
          <w:szCs w:val="22"/>
          <w:lang w:val="en-GB"/>
        </w:rPr>
        <w:t>corporations (both financial and non-financial)</w:t>
      </w:r>
      <w:r w:rsidR="000B1B70">
        <w:rPr>
          <w:color w:val="1A1A1A"/>
          <w:sz w:val="22"/>
          <w:szCs w:val="22"/>
          <w:lang w:val="en-GB"/>
        </w:rPr>
        <w:t>—</w:t>
      </w:r>
      <w:r w:rsidRPr="00C273FD">
        <w:rPr>
          <w:color w:val="1A1A1A"/>
          <w:sz w:val="22"/>
          <w:szCs w:val="22"/>
          <w:lang w:val="en-GB"/>
        </w:rPr>
        <w:t xml:space="preserve">determined the domestic investment rate. The lower the domestic savings rate, </w:t>
      </w:r>
      <w:r w:rsidR="00AD47B6">
        <w:rPr>
          <w:color w:val="1A1A1A"/>
          <w:sz w:val="22"/>
          <w:szCs w:val="22"/>
          <w:lang w:val="en-GB"/>
        </w:rPr>
        <w:t xml:space="preserve">the more </w:t>
      </w:r>
      <w:r w:rsidRPr="00C273FD">
        <w:rPr>
          <w:color w:val="1A1A1A"/>
          <w:sz w:val="22"/>
          <w:szCs w:val="22"/>
          <w:lang w:val="en-GB"/>
        </w:rPr>
        <w:t xml:space="preserve">the economy would need to depend on external savings to bridge the </w:t>
      </w:r>
      <w:r w:rsidR="00AD47B6">
        <w:rPr>
          <w:color w:val="1A1A1A"/>
          <w:sz w:val="22"/>
          <w:szCs w:val="22"/>
          <w:lang w:val="en-GB"/>
        </w:rPr>
        <w:t>s</w:t>
      </w:r>
      <w:r w:rsidRPr="00C273FD">
        <w:rPr>
          <w:color w:val="1A1A1A"/>
          <w:sz w:val="22"/>
          <w:szCs w:val="22"/>
          <w:lang w:val="en-GB"/>
        </w:rPr>
        <w:t>aving</w:t>
      </w:r>
      <w:r w:rsidR="00AD47B6">
        <w:rPr>
          <w:color w:val="1A1A1A"/>
          <w:sz w:val="22"/>
          <w:szCs w:val="22"/>
          <w:lang w:val="en-GB"/>
        </w:rPr>
        <w:t>s</w:t>
      </w:r>
      <w:r w:rsidR="003C4C3D">
        <w:rPr>
          <w:color w:val="1A1A1A"/>
          <w:sz w:val="22"/>
          <w:szCs w:val="22"/>
          <w:lang w:val="en-GB"/>
        </w:rPr>
        <w:t>–</w:t>
      </w:r>
      <w:r w:rsidR="00AD47B6">
        <w:rPr>
          <w:color w:val="1A1A1A"/>
          <w:sz w:val="22"/>
          <w:szCs w:val="22"/>
          <w:lang w:val="en-GB"/>
        </w:rPr>
        <w:t>i</w:t>
      </w:r>
      <w:r w:rsidRPr="00C273FD">
        <w:rPr>
          <w:color w:val="1A1A1A"/>
          <w:sz w:val="22"/>
          <w:szCs w:val="22"/>
          <w:lang w:val="en-GB"/>
        </w:rPr>
        <w:t xml:space="preserve">nvestment </w:t>
      </w:r>
      <w:r w:rsidR="00AD47B6">
        <w:rPr>
          <w:color w:val="1A1A1A"/>
          <w:sz w:val="22"/>
          <w:szCs w:val="22"/>
          <w:lang w:val="en-GB"/>
        </w:rPr>
        <w:t>(S</w:t>
      </w:r>
      <w:r w:rsidR="003C4C3D">
        <w:rPr>
          <w:color w:val="1A1A1A"/>
          <w:sz w:val="22"/>
          <w:szCs w:val="22"/>
          <w:lang w:val="en-GB"/>
        </w:rPr>
        <w:t>–</w:t>
      </w:r>
      <w:r w:rsidR="00AD47B6">
        <w:rPr>
          <w:color w:val="1A1A1A"/>
          <w:sz w:val="22"/>
          <w:szCs w:val="22"/>
          <w:lang w:val="en-GB"/>
        </w:rPr>
        <w:t xml:space="preserve">I) </w:t>
      </w:r>
      <w:r w:rsidRPr="00C273FD">
        <w:rPr>
          <w:color w:val="1A1A1A"/>
          <w:sz w:val="22"/>
          <w:szCs w:val="22"/>
          <w:lang w:val="en-GB"/>
        </w:rPr>
        <w:t xml:space="preserve">gap. A proxy for such external savings was the </w:t>
      </w:r>
      <w:r w:rsidR="00AD47B6">
        <w:rPr>
          <w:color w:val="1A1A1A"/>
          <w:sz w:val="22"/>
          <w:szCs w:val="22"/>
          <w:lang w:val="en-GB"/>
        </w:rPr>
        <w:t>c</w:t>
      </w:r>
      <w:r w:rsidRPr="00C273FD">
        <w:rPr>
          <w:color w:val="1A1A1A"/>
          <w:sz w:val="22"/>
          <w:szCs w:val="22"/>
          <w:lang w:val="en-GB"/>
        </w:rPr>
        <w:t xml:space="preserve">urrent </w:t>
      </w:r>
      <w:r w:rsidR="00AD47B6">
        <w:rPr>
          <w:color w:val="1A1A1A"/>
          <w:sz w:val="22"/>
          <w:szCs w:val="22"/>
          <w:lang w:val="en-GB"/>
        </w:rPr>
        <w:t>a</w:t>
      </w:r>
      <w:r w:rsidRPr="00C273FD">
        <w:rPr>
          <w:color w:val="1A1A1A"/>
          <w:sz w:val="22"/>
          <w:szCs w:val="22"/>
          <w:lang w:val="en-GB"/>
        </w:rPr>
        <w:t xml:space="preserve">ccount </w:t>
      </w:r>
      <w:r w:rsidR="00AD47B6">
        <w:rPr>
          <w:color w:val="1A1A1A"/>
          <w:sz w:val="22"/>
          <w:szCs w:val="22"/>
          <w:lang w:val="en-GB"/>
        </w:rPr>
        <w:t>d</w:t>
      </w:r>
      <w:r w:rsidR="000E7321" w:rsidRPr="00C273FD">
        <w:rPr>
          <w:color w:val="1A1A1A"/>
          <w:sz w:val="22"/>
          <w:szCs w:val="22"/>
          <w:lang w:val="en-GB"/>
        </w:rPr>
        <w:t xml:space="preserve">eficit. Thus, </w:t>
      </w:r>
      <w:r w:rsidRPr="00C273FD">
        <w:rPr>
          <w:color w:val="1A1A1A"/>
          <w:sz w:val="22"/>
          <w:szCs w:val="22"/>
          <w:lang w:val="en-GB"/>
        </w:rPr>
        <w:t>an economy</w:t>
      </w:r>
      <w:r w:rsidR="003E4E38">
        <w:rPr>
          <w:color w:val="1A1A1A"/>
          <w:sz w:val="22"/>
          <w:szCs w:val="22"/>
          <w:lang w:val="en-GB"/>
        </w:rPr>
        <w:t xml:space="preserve"> that</w:t>
      </w:r>
      <w:r w:rsidRPr="00C273FD">
        <w:rPr>
          <w:color w:val="1A1A1A"/>
          <w:sz w:val="22"/>
          <w:szCs w:val="22"/>
          <w:lang w:val="en-GB"/>
        </w:rPr>
        <w:t xml:space="preserve"> faced a higher S</w:t>
      </w:r>
      <w:r w:rsidR="003C4C3D">
        <w:rPr>
          <w:color w:val="1A1A1A"/>
          <w:sz w:val="22"/>
          <w:szCs w:val="22"/>
          <w:lang w:val="en-GB"/>
        </w:rPr>
        <w:t>–</w:t>
      </w:r>
      <w:r w:rsidRPr="00C273FD">
        <w:rPr>
          <w:color w:val="1A1A1A"/>
          <w:sz w:val="22"/>
          <w:szCs w:val="22"/>
          <w:lang w:val="en-GB"/>
        </w:rPr>
        <w:t xml:space="preserve">I gap would run a higher current account deficit. </w:t>
      </w:r>
      <w:r w:rsidRPr="00C273FD">
        <w:rPr>
          <w:sz w:val="22"/>
          <w:szCs w:val="22"/>
          <w:lang w:val="en-GB"/>
        </w:rPr>
        <w:t>The incremental capital-output ratio (ICOR) was “a summary expression for the existing technical conditions and structural configuration of the economy which captured the relationship between investment and additional output”</w:t>
      </w:r>
      <w:r w:rsidR="000B7854" w:rsidRPr="000B7854">
        <w:rPr>
          <w:rStyle w:val="EndnoteReference"/>
          <w:sz w:val="22"/>
          <w:szCs w:val="22"/>
        </w:rPr>
        <w:t xml:space="preserve"> </w:t>
      </w:r>
      <w:r w:rsidR="000B7854">
        <w:rPr>
          <w:rStyle w:val="EndnoteReference"/>
          <w:sz w:val="22"/>
          <w:szCs w:val="22"/>
        </w:rPr>
        <w:endnoteReference w:id="51"/>
      </w:r>
      <w:r w:rsidRPr="00C273FD">
        <w:rPr>
          <w:sz w:val="22"/>
          <w:szCs w:val="22"/>
          <w:lang w:val="en-GB"/>
        </w:rPr>
        <w:t xml:space="preserve"> and </w:t>
      </w:r>
      <w:r w:rsidR="00AD47B6">
        <w:rPr>
          <w:sz w:val="22"/>
          <w:szCs w:val="22"/>
          <w:lang w:val="en-GB"/>
        </w:rPr>
        <w:t>thus</w:t>
      </w:r>
      <w:r w:rsidR="00AD47B6" w:rsidRPr="00C273FD">
        <w:rPr>
          <w:sz w:val="22"/>
          <w:szCs w:val="22"/>
          <w:lang w:val="en-GB"/>
        </w:rPr>
        <w:t xml:space="preserve"> </w:t>
      </w:r>
      <w:r w:rsidRPr="00C273FD">
        <w:rPr>
          <w:sz w:val="22"/>
          <w:szCs w:val="22"/>
          <w:lang w:val="en-GB"/>
        </w:rPr>
        <w:t>measure</w:t>
      </w:r>
      <w:r w:rsidR="0047355A">
        <w:rPr>
          <w:sz w:val="22"/>
          <w:szCs w:val="22"/>
          <w:lang w:val="en-GB"/>
        </w:rPr>
        <w:t>d</w:t>
      </w:r>
      <w:r w:rsidRPr="00C273FD">
        <w:rPr>
          <w:sz w:val="22"/>
          <w:szCs w:val="22"/>
          <w:lang w:val="en-GB"/>
        </w:rPr>
        <w:t xml:space="preserve"> the productivity of investment in an economy. There were sectoral differences in ICORs, with the aggregate ICOR for the entire economy calculated as a weighted average of the sectoral ICORs. In turn, sectoral ICORs depended on the sectoral composition of investment and growth, with the latter depend</w:t>
      </w:r>
      <w:r w:rsidR="0047355A">
        <w:rPr>
          <w:sz w:val="22"/>
          <w:szCs w:val="22"/>
          <w:lang w:val="en-GB"/>
        </w:rPr>
        <w:t>ing</w:t>
      </w:r>
      <w:r w:rsidRPr="00C273FD">
        <w:rPr>
          <w:sz w:val="22"/>
          <w:szCs w:val="22"/>
          <w:lang w:val="en-GB"/>
        </w:rPr>
        <w:t xml:space="preserve"> on </w:t>
      </w:r>
      <w:r w:rsidR="0047355A">
        <w:rPr>
          <w:sz w:val="22"/>
          <w:szCs w:val="22"/>
          <w:lang w:val="en-GB"/>
        </w:rPr>
        <w:t>several</w:t>
      </w:r>
      <w:r w:rsidRPr="00C273FD">
        <w:rPr>
          <w:sz w:val="22"/>
          <w:szCs w:val="22"/>
          <w:lang w:val="en-GB"/>
        </w:rPr>
        <w:t xml:space="preserve"> factors such as “the pattern of demand, the nature of inter-sectoral linkages, and the possibilities of trade</w:t>
      </w:r>
      <w:r w:rsidR="00FA2BDD" w:rsidRPr="00C273FD">
        <w:rPr>
          <w:sz w:val="22"/>
          <w:szCs w:val="22"/>
          <w:lang w:val="en-GB"/>
        </w:rPr>
        <w:t>.</w:t>
      </w:r>
      <w:r w:rsidRPr="00C273FD">
        <w:rPr>
          <w:sz w:val="22"/>
          <w:szCs w:val="22"/>
          <w:lang w:val="en-GB"/>
        </w:rPr>
        <w:t>”</w:t>
      </w:r>
      <w:r w:rsidRPr="00C273FD">
        <w:rPr>
          <w:rStyle w:val="EndnoteReference"/>
          <w:sz w:val="22"/>
          <w:szCs w:val="22"/>
          <w:lang w:val="en-GB"/>
        </w:rPr>
        <w:endnoteReference w:id="52"/>
      </w:r>
      <w:r w:rsidRPr="00C273FD">
        <w:rPr>
          <w:sz w:val="22"/>
          <w:szCs w:val="22"/>
          <w:lang w:val="en-GB"/>
        </w:rPr>
        <w:t xml:space="preserve"> </w:t>
      </w:r>
    </w:p>
    <w:p w14:paraId="043A2FF2" w14:textId="77777777" w:rsidR="00AB18DE" w:rsidRPr="00C273FD" w:rsidRDefault="00AB18DE" w:rsidP="00AB18DE">
      <w:pPr>
        <w:pStyle w:val="BodyTextMain"/>
        <w:rPr>
          <w:lang w:val="en-GB"/>
        </w:rPr>
      </w:pPr>
    </w:p>
    <w:p w14:paraId="474DFEED" w14:textId="67FB8825"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India experienced a substantial increase in the average savings rate</w:t>
      </w:r>
      <w:r w:rsidR="0047355A">
        <w:rPr>
          <w:color w:val="1A1A1A"/>
          <w:sz w:val="22"/>
          <w:szCs w:val="22"/>
          <w:lang w:val="en-GB"/>
        </w:rPr>
        <w:t>,</w:t>
      </w:r>
      <w:r w:rsidRPr="00C273FD">
        <w:rPr>
          <w:color w:val="1A1A1A"/>
          <w:sz w:val="22"/>
          <w:szCs w:val="22"/>
          <w:lang w:val="en-GB"/>
        </w:rPr>
        <w:t xml:space="preserve"> from 22.9</w:t>
      </w:r>
      <w:r w:rsidR="00B50E48" w:rsidRPr="00C273FD">
        <w:rPr>
          <w:color w:val="1A1A1A"/>
          <w:sz w:val="22"/>
          <w:szCs w:val="22"/>
          <w:lang w:val="en-GB"/>
        </w:rPr>
        <w:t xml:space="preserve"> per cent</w:t>
      </w:r>
      <w:r w:rsidRPr="00C273FD">
        <w:rPr>
          <w:color w:val="1A1A1A"/>
          <w:sz w:val="22"/>
          <w:szCs w:val="22"/>
          <w:lang w:val="en-GB"/>
        </w:rPr>
        <w:t xml:space="preserve"> of GDP in 1990/91 to </w:t>
      </w:r>
      <w:r w:rsidR="00AD47B6">
        <w:rPr>
          <w:color w:val="1A1A1A"/>
          <w:sz w:val="22"/>
          <w:szCs w:val="22"/>
          <w:lang w:val="en-GB"/>
        </w:rPr>
        <w:t>approximately</w:t>
      </w:r>
      <w:r w:rsidR="00AD47B6" w:rsidRPr="00C273FD">
        <w:rPr>
          <w:color w:val="1A1A1A"/>
          <w:sz w:val="22"/>
          <w:szCs w:val="22"/>
          <w:lang w:val="en-GB"/>
        </w:rPr>
        <w:t xml:space="preserve"> </w:t>
      </w:r>
      <w:r w:rsidRPr="00C273FD">
        <w:rPr>
          <w:color w:val="1A1A1A"/>
          <w:sz w:val="22"/>
          <w:szCs w:val="22"/>
          <w:lang w:val="en-GB"/>
        </w:rPr>
        <w:t>31</w:t>
      </w:r>
      <w:r w:rsidR="00B50E48" w:rsidRPr="00C273FD">
        <w:rPr>
          <w:color w:val="1A1A1A"/>
          <w:sz w:val="22"/>
          <w:szCs w:val="22"/>
          <w:lang w:val="en-GB"/>
        </w:rPr>
        <w:t xml:space="preserve"> per cent</w:t>
      </w:r>
      <w:r w:rsidRPr="00C273FD">
        <w:rPr>
          <w:color w:val="1A1A1A"/>
          <w:sz w:val="22"/>
          <w:szCs w:val="22"/>
          <w:lang w:val="en-GB"/>
        </w:rPr>
        <w:t xml:space="preserve"> in the 2000s, with a peak saving rate of 36.8</w:t>
      </w:r>
      <w:r w:rsidR="00B50E48" w:rsidRPr="00C273FD">
        <w:rPr>
          <w:color w:val="1A1A1A"/>
          <w:sz w:val="22"/>
          <w:szCs w:val="22"/>
          <w:lang w:val="en-GB"/>
        </w:rPr>
        <w:t xml:space="preserve"> per cent</w:t>
      </w:r>
      <w:r w:rsidRPr="00C273FD">
        <w:rPr>
          <w:color w:val="1A1A1A"/>
          <w:sz w:val="22"/>
          <w:szCs w:val="22"/>
          <w:lang w:val="en-GB"/>
        </w:rPr>
        <w:t xml:space="preserve"> achieved during the high</w:t>
      </w:r>
      <w:r w:rsidR="00AD47B6">
        <w:rPr>
          <w:color w:val="1A1A1A"/>
          <w:sz w:val="22"/>
          <w:szCs w:val="22"/>
          <w:lang w:val="en-GB"/>
        </w:rPr>
        <w:t>-</w:t>
      </w:r>
      <w:r w:rsidRPr="00C273FD">
        <w:rPr>
          <w:color w:val="1A1A1A"/>
          <w:sz w:val="22"/>
          <w:szCs w:val="22"/>
          <w:lang w:val="en-GB"/>
        </w:rPr>
        <w:t xml:space="preserve">growth phase of 2007/08 </w:t>
      </w:r>
      <w:r w:rsidR="00FA2BDD" w:rsidRPr="00C273FD">
        <w:rPr>
          <w:sz w:val="22"/>
          <w:szCs w:val="22"/>
          <w:lang w:val="en-GB"/>
        </w:rPr>
        <w:t>(s</w:t>
      </w:r>
      <w:r w:rsidRPr="00C273FD">
        <w:rPr>
          <w:sz w:val="22"/>
          <w:szCs w:val="22"/>
          <w:lang w:val="en-GB"/>
        </w:rPr>
        <w:t>ee Exhibit 1). The government’s policy of fiscal consolidation increased public sector saving</w:t>
      </w:r>
      <w:r w:rsidR="003C4C3D">
        <w:rPr>
          <w:sz w:val="22"/>
          <w:szCs w:val="22"/>
          <w:lang w:val="en-GB"/>
        </w:rPr>
        <w:t>s</w:t>
      </w:r>
      <w:r w:rsidRPr="00C273FD">
        <w:rPr>
          <w:sz w:val="22"/>
          <w:szCs w:val="22"/>
          <w:lang w:val="en-GB"/>
        </w:rPr>
        <w:t xml:space="preserve"> significantly, and helped in increasin</w:t>
      </w:r>
      <w:r w:rsidRPr="00C273FD">
        <w:rPr>
          <w:color w:val="1A1A1A"/>
          <w:sz w:val="22"/>
          <w:szCs w:val="22"/>
          <w:lang w:val="en-GB"/>
        </w:rPr>
        <w:t xml:space="preserve">g the overall savings rate in this phase. </w:t>
      </w:r>
      <w:r w:rsidR="003E4E38">
        <w:rPr>
          <w:color w:val="1A1A1A"/>
          <w:sz w:val="22"/>
          <w:szCs w:val="22"/>
          <w:lang w:val="en-GB"/>
        </w:rPr>
        <w:t>H</w:t>
      </w:r>
      <w:r w:rsidRPr="00C273FD">
        <w:rPr>
          <w:color w:val="1A1A1A"/>
          <w:sz w:val="22"/>
          <w:szCs w:val="22"/>
          <w:lang w:val="en-GB"/>
        </w:rPr>
        <w:t>owever, in the post</w:t>
      </w:r>
      <w:r w:rsidR="00C14FBD">
        <w:rPr>
          <w:color w:val="1A1A1A"/>
          <w:sz w:val="22"/>
          <w:szCs w:val="22"/>
          <w:lang w:val="en-GB"/>
        </w:rPr>
        <w:t>-</w:t>
      </w:r>
      <w:r w:rsidRPr="00C273FD">
        <w:rPr>
          <w:color w:val="1A1A1A"/>
          <w:sz w:val="22"/>
          <w:szCs w:val="22"/>
          <w:lang w:val="en-GB"/>
        </w:rPr>
        <w:t>crisis period, the savings rate declined and stood at 31.1</w:t>
      </w:r>
      <w:r w:rsidR="00B50E48" w:rsidRPr="00C273FD">
        <w:rPr>
          <w:color w:val="1A1A1A"/>
          <w:sz w:val="22"/>
          <w:szCs w:val="22"/>
          <w:lang w:val="en-GB"/>
        </w:rPr>
        <w:t xml:space="preserve"> per cent</w:t>
      </w:r>
      <w:r w:rsidRPr="00C273FD">
        <w:rPr>
          <w:color w:val="1A1A1A"/>
          <w:sz w:val="22"/>
          <w:szCs w:val="22"/>
          <w:lang w:val="en-GB"/>
        </w:rPr>
        <w:t xml:space="preserve"> of GDP in 2015/16. While public sector savings decreased, the decline in household savings</w:t>
      </w:r>
      <w:r w:rsidR="00AD47B6">
        <w:rPr>
          <w:color w:val="1A1A1A"/>
          <w:sz w:val="22"/>
          <w:szCs w:val="22"/>
          <w:lang w:val="en-GB"/>
        </w:rPr>
        <w:t>—</w:t>
      </w:r>
      <w:r w:rsidRPr="00C273FD">
        <w:rPr>
          <w:color w:val="1A1A1A"/>
          <w:sz w:val="22"/>
          <w:szCs w:val="22"/>
          <w:lang w:val="en-GB"/>
        </w:rPr>
        <w:t>both physical and financial</w:t>
      </w:r>
      <w:r w:rsidR="00AD47B6">
        <w:rPr>
          <w:color w:val="1A1A1A"/>
          <w:sz w:val="22"/>
          <w:szCs w:val="22"/>
          <w:lang w:val="en-GB"/>
        </w:rPr>
        <w:t>—</w:t>
      </w:r>
      <w:r w:rsidRPr="00C273FD">
        <w:rPr>
          <w:color w:val="1A1A1A"/>
          <w:sz w:val="22"/>
          <w:szCs w:val="22"/>
          <w:lang w:val="en-GB"/>
        </w:rPr>
        <w:t xml:space="preserve">was the key factor responsible for the decline in </w:t>
      </w:r>
      <w:r w:rsidR="00AD47B6">
        <w:rPr>
          <w:color w:val="1A1A1A"/>
          <w:sz w:val="22"/>
          <w:szCs w:val="22"/>
          <w:lang w:val="en-GB"/>
        </w:rPr>
        <w:t>g</w:t>
      </w:r>
      <w:r w:rsidRPr="00C273FD">
        <w:rPr>
          <w:color w:val="1A1A1A"/>
          <w:sz w:val="22"/>
          <w:szCs w:val="22"/>
          <w:lang w:val="en-GB"/>
        </w:rPr>
        <w:t xml:space="preserve">ross </w:t>
      </w:r>
      <w:r w:rsidR="00AD47B6">
        <w:rPr>
          <w:color w:val="1A1A1A"/>
          <w:sz w:val="22"/>
          <w:szCs w:val="22"/>
          <w:lang w:val="en-GB"/>
        </w:rPr>
        <w:t>d</w:t>
      </w:r>
      <w:r w:rsidRPr="00C273FD">
        <w:rPr>
          <w:color w:val="1A1A1A"/>
          <w:sz w:val="22"/>
          <w:szCs w:val="22"/>
          <w:lang w:val="en-GB"/>
        </w:rPr>
        <w:t xml:space="preserve">omestic </w:t>
      </w:r>
      <w:r w:rsidR="00AD47B6">
        <w:rPr>
          <w:color w:val="1A1A1A"/>
          <w:sz w:val="22"/>
          <w:szCs w:val="22"/>
          <w:lang w:val="en-GB"/>
        </w:rPr>
        <w:t>s</w:t>
      </w:r>
      <w:r w:rsidRPr="00C273FD">
        <w:rPr>
          <w:color w:val="1A1A1A"/>
          <w:sz w:val="22"/>
          <w:szCs w:val="22"/>
          <w:lang w:val="en-GB"/>
        </w:rPr>
        <w:t>avings in the post</w:t>
      </w:r>
      <w:r w:rsidR="00AD47B6">
        <w:rPr>
          <w:color w:val="1A1A1A"/>
          <w:sz w:val="22"/>
          <w:szCs w:val="22"/>
          <w:lang w:val="en-GB"/>
        </w:rPr>
        <w:t>-</w:t>
      </w:r>
      <w:r w:rsidRPr="00C273FD">
        <w:rPr>
          <w:color w:val="1A1A1A"/>
          <w:sz w:val="22"/>
          <w:szCs w:val="22"/>
          <w:lang w:val="en-GB"/>
        </w:rPr>
        <w:t xml:space="preserve">crisis period. Overall household savings as a proportion of GDP at </w:t>
      </w:r>
      <w:r w:rsidR="00FA2BDD" w:rsidRPr="00C273FD">
        <w:rPr>
          <w:color w:val="1A1A1A"/>
          <w:sz w:val="22"/>
          <w:szCs w:val="22"/>
          <w:lang w:val="en-GB"/>
        </w:rPr>
        <w:t>current</w:t>
      </w:r>
      <w:r w:rsidRPr="00C273FD">
        <w:rPr>
          <w:color w:val="1A1A1A"/>
          <w:sz w:val="22"/>
          <w:szCs w:val="22"/>
          <w:lang w:val="en-GB"/>
        </w:rPr>
        <w:t xml:space="preserve"> market prices declined from an average of 23</w:t>
      </w:r>
      <w:r w:rsidR="007D5924">
        <w:rPr>
          <w:color w:val="1A1A1A"/>
          <w:sz w:val="22"/>
          <w:szCs w:val="22"/>
          <w:lang w:val="en-GB"/>
        </w:rPr>
        <w:t>.0</w:t>
      </w:r>
      <w:r w:rsidR="00B50E48" w:rsidRPr="00C273FD">
        <w:rPr>
          <w:color w:val="1A1A1A"/>
          <w:sz w:val="22"/>
          <w:szCs w:val="22"/>
          <w:lang w:val="en-GB"/>
        </w:rPr>
        <w:t xml:space="preserve"> per cent</w:t>
      </w:r>
      <w:r w:rsidRPr="00C273FD">
        <w:rPr>
          <w:color w:val="1A1A1A"/>
          <w:sz w:val="22"/>
          <w:szCs w:val="22"/>
          <w:lang w:val="en-GB"/>
        </w:rPr>
        <w:t xml:space="preserve"> over the period 2005/06 to 2007/08 to 18.7</w:t>
      </w:r>
      <w:r w:rsidR="00B50E48" w:rsidRPr="00C273FD">
        <w:rPr>
          <w:color w:val="1A1A1A"/>
          <w:sz w:val="22"/>
          <w:szCs w:val="22"/>
          <w:lang w:val="en-GB"/>
        </w:rPr>
        <w:t xml:space="preserve"> per cent</w:t>
      </w:r>
      <w:r w:rsidRPr="00C273FD">
        <w:rPr>
          <w:color w:val="1A1A1A"/>
          <w:sz w:val="22"/>
          <w:szCs w:val="22"/>
          <w:lang w:val="en-GB"/>
        </w:rPr>
        <w:t xml:space="preserve"> in 2014/15.</w:t>
      </w:r>
      <w:r w:rsidR="00C273FD" w:rsidRPr="00C273FD">
        <w:rPr>
          <w:color w:val="1A1A1A"/>
          <w:sz w:val="22"/>
          <w:szCs w:val="22"/>
          <w:lang w:val="en-GB"/>
        </w:rPr>
        <w:t xml:space="preserve"> </w:t>
      </w:r>
      <w:r w:rsidRPr="00C273FD">
        <w:rPr>
          <w:color w:val="1A1A1A"/>
          <w:sz w:val="22"/>
          <w:szCs w:val="22"/>
          <w:lang w:val="en-GB"/>
        </w:rPr>
        <w:t>Net household financial savings in particular dipped from a high of 12</w:t>
      </w:r>
      <w:r w:rsidR="007D5924">
        <w:rPr>
          <w:color w:val="1A1A1A"/>
          <w:sz w:val="22"/>
          <w:szCs w:val="22"/>
          <w:lang w:val="en-GB"/>
        </w:rPr>
        <w:t>.0</w:t>
      </w:r>
      <w:r w:rsidR="00B50E48" w:rsidRPr="00C273FD">
        <w:rPr>
          <w:color w:val="1A1A1A"/>
          <w:sz w:val="22"/>
          <w:szCs w:val="22"/>
          <w:lang w:val="en-GB"/>
        </w:rPr>
        <w:t xml:space="preserve"> per cent</w:t>
      </w:r>
      <w:r w:rsidRPr="00C273FD">
        <w:rPr>
          <w:color w:val="1A1A1A"/>
          <w:sz w:val="22"/>
          <w:szCs w:val="22"/>
          <w:lang w:val="en-GB"/>
        </w:rPr>
        <w:t xml:space="preserve"> of GDP in 2009/10 to 7.1</w:t>
      </w:r>
      <w:r w:rsidR="00B50E48" w:rsidRPr="00C273FD">
        <w:rPr>
          <w:color w:val="1A1A1A"/>
          <w:sz w:val="22"/>
          <w:szCs w:val="22"/>
          <w:lang w:val="en-GB"/>
        </w:rPr>
        <w:t xml:space="preserve"> per cent</w:t>
      </w:r>
      <w:r w:rsidRPr="00C273FD">
        <w:rPr>
          <w:color w:val="1A1A1A"/>
          <w:sz w:val="22"/>
          <w:szCs w:val="22"/>
          <w:lang w:val="en-GB"/>
        </w:rPr>
        <w:t xml:space="preserve"> </w:t>
      </w:r>
      <w:r w:rsidR="0047355A">
        <w:rPr>
          <w:color w:val="1A1A1A"/>
          <w:sz w:val="22"/>
          <w:szCs w:val="22"/>
          <w:lang w:val="en-GB"/>
        </w:rPr>
        <w:t xml:space="preserve">of GDP </w:t>
      </w:r>
      <w:r w:rsidRPr="00C273FD">
        <w:rPr>
          <w:color w:val="1A1A1A"/>
          <w:sz w:val="22"/>
          <w:szCs w:val="22"/>
          <w:lang w:val="en-GB"/>
        </w:rPr>
        <w:t xml:space="preserve">in 2012/13, due to </w:t>
      </w:r>
      <w:r w:rsidR="00BF622E">
        <w:rPr>
          <w:color w:val="1A1A1A"/>
          <w:sz w:val="22"/>
          <w:szCs w:val="22"/>
          <w:lang w:val="en-GB"/>
        </w:rPr>
        <w:t xml:space="preserve">lower economic activity and </w:t>
      </w:r>
      <w:r w:rsidRPr="00C273FD">
        <w:rPr>
          <w:color w:val="1A1A1A"/>
          <w:sz w:val="22"/>
          <w:szCs w:val="22"/>
          <w:lang w:val="en-GB"/>
        </w:rPr>
        <w:t xml:space="preserve">low or negative real returns during a period of high inflation. However, with the moderation in inflation </w:t>
      </w:r>
      <w:r w:rsidR="0047355A">
        <w:rPr>
          <w:color w:val="1A1A1A"/>
          <w:sz w:val="22"/>
          <w:szCs w:val="22"/>
          <w:lang w:val="en-GB"/>
        </w:rPr>
        <w:t xml:space="preserve">and </w:t>
      </w:r>
      <w:r w:rsidRPr="00C273FD">
        <w:rPr>
          <w:color w:val="1A1A1A"/>
          <w:sz w:val="22"/>
          <w:szCs w:val="22"/>
          <w:lang w:val="en-GB"/>
        </w:rPr>
        <w:t>a</w:t>
      </w:r>
      <w:r w:rsidR="0047355A">
        <w:rPr>
          <w:color w:val="1A1A1A"/>
          <w:sz w:val="22"/>
          <w:szCs w:val="22"/>
          <w:lang w:val="en-GB"/>
        </w:rPr>
        <w:t>n</w:t>
      </w:r>
      <w:r w:rsidRPr="00C273FD">
        <w:rPr>
          <w:color w:val="1A1A1A"/>
          <w:sz w:val="22"/>
          <w:szCs w:val="22"/>
          <w:lang w:val="en-GB"/>
        </w:rPr>
        <w:t xml:space="preserve"> </w:t>
      </w:r>
      <w:r w:rsidR="0047355A">
        <w:rPr>
          <w:color w:val="1A1A1A"/>
          <w:sz w:val="22"/>
          <w:szCs w:val="22"/>
          <w:lang w:val="en-GB"/>
        </w:rPr>
        <w:t>increase</w:t>
      </w:r>
      <w:r w:rsidRPr="00C273FD">
        <w:rPr>
          <w:color w:val="1A1A1A"/>
          <w:sz w:val="22"/>
          <w:szCs w:val="22"/>
          <w:lang w:val="en-GB"/>
        </w:rPr>
        <w:t xml:space="preserve"> in economic activity, the net financial savings of households improved to 7.7</w:t>
      </w:r>
      <w:r w:rsidR="00B50E48" w:rsidRPr="00C273FD">
        <w:rPr>
          <w:color w:val="1A1A1A"/>
          <w:sz w:val="22"/>
          <w:szCs w:val="22"/>
          <w:lang w:val="en-GB"/>
        </w:rPr>
        <w:t xml:space="preserve"> per cent</w:t>
      </w:r>
      <w:r w:rsidRPr="00C273FD">
        <w:rPr>
          <w:color w:val="1A1A1A"/>
          <w:sz w:val="22"/>
          <w:szCs w:val="22"/>
          <w:lang w:val="en-GB"/>
        </w:rPr>
        <w:t xml:space="preserve"> in 2015/16, although savings in physical assets and valuables </w:t>
      </w:r>
      <w:r w:rsidR="0047355A">
        <w:rPr>
          <w:color w:val="1A1A1A"/>
          <w:sz w:val="22"/>
          <w:szCs w:val="22"/>
          <w:lang w:val="en-GB"/>
        </w:rPr>
        <w:t>dropped</w:t>
      </w:r>
      <w:r w:rsidR="00FA2BDD" w:rsidRPr="00C273FD">
        <w:rPr>
          <w:color w:val="1A1A1A"/>
          <w:sz w:val="22"/>
          <w:szCs w:val="22"/>
          <w:lang w:val="en-GB"/>
        </w:rPr>
        <w:t>.</w:t>
      </w:r>
      <w:r w:rsidRPr="00C273FD">
        <w:rPr>
          <w:rStyle w:val="EndnoteReference"/>
          <w:color w:val="1A1A1A"/>
          <w:sz w:val="22"/>
          <w:szCs w:val="22"/>
          <w:lang w:val="en-GB"/>
        </w:rPr>
        <w:endnoteReference w:id="53"/>
      </w:r>
    </w:p>
    <w:p w14:paraId="1639A3CA" w14:textId="77777777" w:rsidR="00AB18DE" w:rsidRPr="00C273FD" w:rsidRDefault="00AB18DE" w:rsidP="00C80ACF">
      <w:pPr>
        <w:widowControl w:val="0"/>
        <w:autoSpaceDE w:val="0"/>
        <w:autoSpaceDN w:val="0"/>
        <w:adjustRightInd w:val="0"/>
        <w:jc w:val="both"/>
        <w:rPr>
          <w:color w:val="1A1A1A"/>
          <w:sz w:val="22"/>
          <w:szCs w:val="22"/>
          <w:lang w:val="en-GB"/>
        </w:rPr>
      </w:pPr>
    </w:p>
    <w:p w14:paraId="2A26431D" w14:textId="77777777" w:rsidR="009D10D4" w:rsidRDefault="00AB18DE" w:rsidP="00C80ACF">
      <w:pPr>
        <w:widowControl w:val="0"/>
        <w:autoSpaceDE w:val="0"/>
        <w:autoSpaceDN w:val="0"/>
        <w:adjustRightInd w:val="0"/>
        <w:jc w:val="both"/>
        <w:rPr>
          <w:color w:val="1A1A1A"/>
          <w:spacing w:val="-2"/>
          <w:kern w:val="22"/>
          <w:sz w:val="22"/>
          <w:szCs w:val="22"/>
          <w:lang w:val="en-GB"/>
        </w:rPr>
      </w:pPr>
      <w:r w:rsidRPr="00C273FD">
        <w:rPr>
          <w:color w:val="1A1A1A"/>
          <w:spacing w:val="-2"/>
          <w:kern w:val="22"/>
          <w:sz w:val="22"/>
          <w:szCs w:val="22"/>
          <w:lang w:val="en-GB"/>
        </w:rPr>
        <w:t>The efficiency of capital utili</w:t>
      </w:r>
      <w:r w:rsidR="00BF622E">
        <w:rPr>
          <w:color w:val="1A1A1A"/>
          <w:spacing w:val="-2"/>
          <w:kern w:val="22"/>
          <w:sz w:val="22"/>
          <w:szCs w:val="22"/>
          <w:lang w:val="en-GB"/>
        </w:rPr>
        <w:t>z</w:t>
      </w:r>
      <w:r w:rsidRPr="00C273FD">
        <w:rPr>
          <w:color w:val="1A1A1A"/>
          <w:spacing w:val="-2"/>
          <w:kern w:val="22"/>
          <w:sz w:val="22"/>
          <w:szCs w:val="22"/>
          <w:lang w:val="en-GB"/>
        </w:rPr>
        <w:t>ation (</w:t>
      </w:r>
      <w:r w:rsidR="00BF622E">
        <w:rPr>
          <w:color w:val="1A1A1A"/>
          <w:spacing w:val="-2"/>
          <w:kern w:val="22"/>
          <w:sz w:val="22"/>
          <w:szCs w:val="22"/>
          <w:lang w:val="en-GB"/>
        </w:rPr>
        <w:t xml:space="preserve">i.e., the </w:t>
      </w:r>
      <w:r w:rsidRPr="00C273FD">
        <w:rPr>
          <w:color w:val="1A1A1A"/>
          <w:spacing w:val="-2"/>
          <w:kern w:val="22"/>
          <w:sz w:val="22"/>
          <w:szCs w:val="22"/>
          <w:lang w:val="en-GB"/>
        </w:rPr>
        <w:t xml:space="preserve">productivity of capital) improved as the ICOR declined to 3.7 </w:t>
      </w:r>
      <w:r w:rsidR="00BF622E">
        <w:rPr>
          <w:color w:val="1A1A1A"/>
          <w:spacing w:val="-2"/>
          <w:kern w:val="22"/>
          <w:sz w:val="22"/>
          <w:szCs w:val="22"/>
          <w:lang w:val="en-GB"/>
        </w:rPr>
        <w:t xml:space="preserve">per cent </w:t>
      </w:r>
      <w:r w:rsidRPr="00C273FD">
        <w:rPr>
          <w:color w:val="1A1A1A"/>
          <w:spacing w:val="-2"/>
          <w:kern w:val="22"/>
          <w:sz w:val="22"/>
          <w:szCs w:val="22"/>
          <w:lang w:val="en-GB"/>
        </w:rPr>
        <w:t>during the high</w:t>
      </w:r>
      <w:r w:rsidR="00BF622E">
        <w:rPr>
          <w:color w:val="1A1A1A"/>
          <w:spacing w:val="-2"/>
          <w:kern w:val="22"/>
          <w:sz w:val="22"/>
          <w:szCs w:val="22"/>
          <w:lang w:val="en-GB"/>
        </w:rPr>
        <w:t>-</w:t>
      </w:r>
      <w:r w:rsidRPr="00C273FD">
        <w:rPr>
          <w:color w:val="1A1A1A"/>
          <w:spacing w:val="-2"/>
          <w:kern w:val="22"/>
          <w:sz w:val="22"/>
          <w:szCs w:val="22"/>
          <w:lang w:val="en-GB"/>
        </w:rPr>
        <w:t>growth phase of 2004-08 from 5</w:t>
      </w:r>
      <w:r w:rsidR="007D5924">
        <w:rPr>
          <w:color w:val="1A1A1A"/>
          <w:spacing w:val="-2"/>
          <w:kern w:val="22"/>
          <w:sz w:val="22"/>
          <w:szCs w:val="22"/>
          <w:lang w:val="en-GB"/>
        </w:rPr>
        <w:t>.0</w:t>
      </w:r>
      <w:r w:rsidRPr="00C273FD">
        <w:rPr>
          <w:color w:val="1A1A1A"/>
          <w:spacing w:val="-2"/>
          <w:kern w:val="22"/>
          <w:sz w:val="22"/>
          <w:szCs w:val="22"/>
          <w:lang w:val="en-GB"/>
        </w:rPr>
        <w:t xml:space="preserve"> </w:t>
      </w:r>
      <w:r w:rsidR="00BF622E">
        <w:rPr>
          <w:color w:val="1A1A1A"/>
          <w:spacing w:val="-2"/>
          <w:kern w:val="22"/>
          <w:sz w:val="22"/>
          <w:szCs w:val="22"/>
          <w:lang w:val="en-GB"/>
        </w:rPr>
        <w:t xml:space="preserve">per cent </w:t>
      </w:r>
      <w:r w:rsidRPr="00C273FD">
        <w:rPr>
          <w:color w:val="1A1A1A"/>
          <w:spacing w:val="-2"/>
          <w:kern w:val="22"/>
          <w:sz w:val="22"/>
          <w:szCs w:val="22"/>
          <w:lang w:val="en-GB"/>
        </w:rPr>
        <w:t>in the 1990s</w:t>
      </w:r>
      <w:r w:rsidR="00FA2BDD" w:rsidRPr="00C273FD">
        <w:rPr>
          <w:color w:val="1A1A1A"/>
          <w:spacing w:val="-2"/>
          <w:kern w:val="22"/>
          <w:sz w:val="22"/>
          <w:szCs w:val="22"/>
          <w:lang w:val="en-GB"/>
        </w:rPr>
        <w:t>.</w:t>
      </w:r>
      <w:r w:rsidRPr="00C273FD">
        <w:rPr>
          <w:rStyle w:val="EndnoteReference"/>
          <w:color w:val="1A1A1A"/>
          <w:spacing w:val="-2"/>
          <w:kern w:val="22"/>
          <w:sz w:val="22"/>
          <w:szCs w:val="22"/>
          <w:lang w:val="en-GB"/>
        </w:rPr>
        <w:endnoteReference w:id="54"/>
      </w:r>
      <w:r w:rsidRPr="00C273FD">
        <w:rPr>
          <w:color w:val="1A1A1A"/>
          <w:spacing w:val="-2"/>
          <w:kern w:val="22"/>
          <w:sz w:val="22"/>
          <w:szCs w:val="22"/>
          <w:lang w:val="en-GB"/>
        </w:rPr>
        <w:t xml:space="preserve"> A large part of this rise in productivity was </w:t>
      </w:r>
      <w:r w:rsidR="0047355A">
        <w:rPr>
          <w:color w:val="1A1A1A"/>
          <w:spacing w:val="-2"/>
          <w:kern w:val="22"/>
          <w:sz w:val="22"/>
          <w:szCs w:val="22"/>
          <w:lang w:val="en-GB"/>
        </w:rPr>
        <w:t>a result of the</w:t>
      </w:r>
      <w:r w:rsidRPr="00C273FD">
        <w:rPr>
          <w:color w:val="1A1A1A"/>
          <w:spacing w:val="-2"/>
          <w:kern w:val="22"/>
          <w:sz w:val="22"/>
          <w:szCs w:val="22"/>
          <w:lang w:val="en-GB"/>
        </w:rPr>
        <w:t xml:space="preserve"> rising productivity of both the manufacturing and the services sector</w:t>
      </w:r>
      <w:r w:rsidR="0047355A">
        <w:rPr>
          <w:color w:val="1A1A1A"/>
          <w:spacing w:val="-2"/>
          <w:kern w:val="22"/>
          <w:sz w:val="22"/>
          <w:szCs w:val="22"/>
          <w:lang w:val="en-GB"/>
        </w:rPr>
        <w:t>s</w:t>
      </w:r>
      <w:r w:rsidRPr="00C273FD">
        <w:rPr>
          <w:color w:val="1A1A1A"/>
          <w:spacing w:val="-2"/>
          <w:kern w:val="22"/>
          <w:sz w:val="22"/>
          <w:szCs w:val="22"/>
          <w:lang w:val="en-GB"/>
        </w:rPr>
        <w:t xml:space="preserve"> in the post-1991 period, due to the liberal market reforms and </w:t>
      </w:r>
      <w:r w:rsidR="00BF622E">
        <w:rPr>
          <w:color w:val="1A1A1A"/>
          <w:spacing w:val="-2"/>
          <w:kern w:val="22"/>
          <w:sz w:val="22"/>
          <w:szCs w:val="22"/>
          <w:lang w:val="en-GB"/>
        </w:rPr>
        <w:t xml:space="preserve">the </w:t>
      </w:r>
      <w:r w:rsidRPr="00C273FD">
        <w:rPr>
          <w:color w:val="1A1A1A"/>
          <w:spacing w:val="-2"/>
          <w:kern w:val="22"/>
          <w:sz w:val="22"/>
          <w:szCs w:val="22"/>
          <w:lang w:val="en-GB"/>
        </w:rPr>
        <w:t>opening up of the economy</w:t>
      </w:r>
      <w:r w:rsidR="00FA2BDD" w:rsidRPr="00C273FD">
        <w:rPr>
          <w:color w:val="1A1A1A"/>
          <w:spacing w:val="-2"/>
          <w:kern w:val="22"/>
          <w:sz w:val="22"/>
          <w:szCs w:val="22"/>
          <w:lang w:val="en-GB"/>
        </w:rPr>
        <w:t>.</w:t>
      </w:r>
      <w:r w:rsidRPr="00C273FD">
        <w:rPr>
          <w:rStyle w:val="EndnoteReference"/>
          <w:color w:val="1A1A1A"/>
          <w:spacing w:val="-2"/>
          <w:kern w:val="22"/>
          <w:sz w:val="22"/>
          <w:szCs w:val="22"/>
          <w:lang w:val="en-GB"/>
        </w:rPr>
        <w:endnoteReference w:id="55"/>
      </w:r>
      <w:r w:rsidR="00FA2BDD" w:rsidRPr="00C273FD">
        <w:rPr>
          <w:color w:val="1A1A1A"/>
          <w:spacing w:val="-2"/>
          <w:kern w:val="22"/>
          <w:sz w:val="22"/>
          <w:szCs w:val="22"/>
          <w:lang w:val="en-GB"/>
        </w:rPr>
        <w:t xml:space="preserve"> </w:t>
      </w:r>
      <w:r w:rsidR="007D5924">
        <w:rPr>
          <w:color w:val="1A1A1A"/>
          <w:spacing w:val="-2"/>
          <w:kern w:val="22"/>
          <w:sz w:val="22"/>
          <w:szCs w:val="22"/>
          <w:lang w:val="en-GB"/>
        </w:rPr>
        <w:t>H</w:t>
      </w:r>
      <w:r w:rsidRPr="00C273FD">
        <w:rPr>
          <w:color w:val="1A1A1A"/>
          <w:spacing w:val="-2"/>
          <w:kern w:val="22"/>
          <w:sz w:val="22"/>
          <w:szCs w:val="22"/>
          <w:lang w:val="en-GB"/>
        </w:rPr>
        <w:t>owever, capital efficiency declined in the post-crisis period</w:t>
      </w:r>
      <w:r w:rsidR="005F4E36">
        <w:rPr>
          <w:color w:val="1A1A1A"/>
          <w:spacing w:val="-2"/>
          <w:kern w:val="22"/>
          <w:sz w:val="22"/>
          <w:szCs w:val="22"/>
          <w:lang w:val="en-GB"/>
        </w:rPr>
        <w:t>,</w:t>
      </w:r>
      <w:r w:rsidRPr="00C273FD">
        <w:rPr>
          <w:color w:val="1A1A1A"/>
          <w:spacing w:val="-2"/>
          <w:kern w:val="22"/>
          <w:sz w:val="22"/>
          <w:szCs w:val="22"/>
          <w:lang w:val="en-GB"/>
        </w:rPr>
        <w:t xml:space="preserve"> and </w:t>
      </w:r>
      <w:r w:rsidR="00BF622E">
        <w:rPr>
          <w:color w:val="1A1A1A"/>
          <w:spacing w:val="-2"/>
          <w:kern w:val="22"/>
          <w:sz w:val="22"/>
          <w:szCs w:val="22"/>
          <w:lang w:val="en-GB"/>
        </w:rPr>
        <w:t xml:space="preserve">the </w:t>
      </w:r>
      <w:r w:rsidRPr="00C273FD">
        <w:rPr>
          <w:color w:val="1A1A1A"/>
          <w:spacing w:val="-2"/>
          <w:kern w:val="22"/>
          <w:sz w:val="22"/>
          <w:szCs w:val="22"/>
          <w:lang w:val="en-GB"/>
        </w:rPr>
        <w:t xml:space="preserve">ICOR rose. The rise in </w:t>
      </w:r>
      <w:r w:rsidR="00BF622E">
        <w:rPr>
          <w:color w:val="1A1A1A"/>
          <w:spacing w:val="-2"/>
          <w:kern w:val="22"/>
          <w:sz w:val="22"/>
          <w:szCs w:val="22"/>
          <w:lang w:val="en-GB"/>
        </w:rPr>
        <w:t xml:space="preserve">the </w:t>
      </w:r>
      <w:r w:rsidRPr="00C273FD">
        <w:rPr>
          <w:color w:val="1A1A1A"/>
          <w:spacing w:val="-2"/>
          <w:kern w:val="22"/>
          <w:sz w:val="22"/>
          <w:szCs w:val="22"/>
          <w:lang w:val="en-GB"/>
        </w:rPr>
        <w:t xml:space="preserve">ICOR </w:t>
      </w:r>
      <w:r w:rsidR="0047355A">
        <w:rPr>
          <w:color w:val="1A1A1A"/>
          <w:spacing w:val="-2"/>
          <w:kern w:val="22"/>
          <w:sz w:val="22"/>
          <w:szCs w:val="22"/>
          <w:lang w:val="en-GB"/>
        </w:rPr>
        <w:t>resulted from</w:t>
      </w:r>
      <w:r w:rsidRPr="00C273FD">
        <w:rPr>
          <w:color w:val="1A1A1A"/>
          <w:spacing w:val="-2"/>
          <w:kern w:val="22"/>
          <w:sz w:val="22"/>
          <w:szCs w:val="22"/>
          <w:lang w:val="en-GB"/>
        </w:rPr>
        <w:t xml:space="preserve"> factors such as stalled projects</w:t>
      </w:r>
      <w:r w:rsidR="00BF622E">
        <w:rPr>
          <w:color w:val="1A1A1A"/>
          <w:spacing w:val="-2"/>
          <w:kern w:val="22"/>
          <w:sz w:val="22"/>
          <w:szCs w:val="22"/>
          <w:lang w:val="en-GB"/>
        </w:rPr>
        <w:t>,</w:t>
      </w:r>
      <w:r w:rsidRPr="00C273FD">
        <w:rPr>
          <w:color w:val="1A1A1A"/>
          <w:spacing w:val="-2"/>
          <w:kern w:val="22"/>
          <w:sz w:val="22"/>
          <w:szCs w:val="22"/>
          <w:lang w:val="en-GB"/>
        </w:rPr>
        <w:t xml:space="preserve"> due in turn to land acquisition and environmental clearance issues, lack of complementary investments, </w:t>
      </w:r>
      <w:r w:rsidR="00BF622E">
        <w:rPr>
          <w:color w:val="1A1A1A"/>
          <w:spacing w:val="-2"/>
          <w:kern w:val="22"/>
          <w:sz w:val="22"/>
          <w:szCs w:val="22"/>
          <w:lang w:val="en-GB"/>
        </w:rPr>
        <w:t>and the</w:t>
      </w:r>
      <w:r w:rsidRPr="00C273FD">
        <w:rPr>
          <w:color w:val="1A1A1A"/>
          <w:spacing w:val="-2"/>
          <w:kern w:val="22"/>
          <w:sz w:val="22"/>
          <w:szCs w:val="22"/>
          <w:lang w:val="en-GB"/>
        </w:rPr>
        <w:t xml:space="preserve"> non-availability of critical inputs</w:t>
      </w:r>
      <w:r w:rsidR="00FA2BDD" w:rsidRPr="00C273FD">
        <w:rPr>
          <w:color w:val="1A1A1A"/>
          <w:spacing w:val="-2"/>
          <w:kern w:val="22"/>
          <w:sz w:val="22"/>
          <w:szCs w:val="22"/>
          <w:lang w:val="en-GB"/>
        </w:rPr>
        <w:t>.</w:t>
      </w:r>
      <w:r w:rsidRPr="00C273FD">
        <w:rPr>
          <w:rStyle w:val="EndnoteReference"/>
          <w:color w:val="1A1A1A"/>
          <w:spacing w:val="-2"/>
          <w:kern w:val="22"/>
          <w:sz w:val="22"/>
          <w:szCs w:val="22"/>
          <w:lang w:val="en-GB"/>
        </w:rPr>
        <w:endnoteReference w:id="56"/>
      </w:r>
      <w:r w:rsidRPr="00C273FD">
        <w:rPr>
          <w:color w:val="1A1A1A"/>
          <w:spacing w:val="-2"/>
          <w:kern w:val="22"/>
          <w:sz w:val="22"/>
          <w:szCs w:val="22"/>
          <w:lang w:val="en-GB"/>
        </w:rPr>
        <w:t xml:space="preserve"> </w:t>
      </w:r>
    </w:p>
    <w:p w14:paraId="51D4FEB8" w14:textId="77777777" w:rsidR="009D10D4" w:rsidRDefault="009D10D4" w:rsidP="00C80ACF">
      <w:pPr>
        <w:widowControl w:val="0"/>
        <w:autoSpaceDE w:val="0"/>
        <w:autoSpaceDN w:val="0"/>
        <w:adjustRightInd w:val="0"/>
        <w:jc w:val="both"/>
        <w:rPr>
          <w:color w:val="1A1A1A"/>
          <w:spacing w:val="-2"/>
          <w:kern w:val="22"/>
          <w:sz w:val="22"/>
          <w:szCs w:val="22"/>
          <w:lang w:val="en-GB"/>
        </w:rPr>
      </w:pPr>
    </w:p>
    <w:p w14:paraId="3C4D401E" w14:textId="18E98661" w:rsidR="00AB18DE" w:rsidRPr="00C273FD" w:rsidRDefault="00AB18DE" w:rsidP="00C80ACF">
      <w:pPr>
        <w:widowControl w:val="0"/>
        <w:autoSpaceDE w:val="0"/>
        <w:autoSpaceDN w:val="0"/>
        <w:adjustRightInd w:val="0"/>
        <w:jc w:val="both"/>
        <w:rPr>
          <w:color w:val="1A1A1A"/>
          <w:spacing w:val="-2"/>
          <w:kern w:val="22"/>
          <w:sz w:val="22"/>
          <w:szCs w:val="22"/>
          <w:lang w:val="en-GB"/>
        </w:rPr>
      </w:pPr>
      <w:proofErr w:type="gramStart"/>
      <w:r w:rsidRPr="00C273FD">
        <w:rPr>
          <w:color w:val="1A1A1A"/>
          <w:spacing w:val="-2"/>
          <w:kern w:val="22"/>
          <w:sz w:val="22"/>
          <w:szCs w:val="22"/>
          <w:lang w:val="en-GB"/>
        </w:rPr>
        <w:t>The Centre for Monitoring the Indian Economy</w:t>
      </w:r>
      <w:r w:rsidR="00BF622E">
        <w:rPr>
          <w:color w:val="1A1A1A"/>
          <w:spacing w:val="-2"/>
          <w:kern w:val="22"/>
          <w:sz w:val="22"/>
          <w:szCs w:val="22"/>
          <w:lang w:val="en-GB"/>
        </w:rPr>
        <w:t>,</w:t>
      </w:r>
      <w:r w:rsidRPr="00C273FD">
        <w:rPr>
          <w:color w:val="1A1A1A"/>
          <w:spacing w:val="-2"/>
          <w:kern w:val="22"/>
          <w:sz w:val="22"/>
          <w:szCs w:val="22"/>
          <w:lang w:val="en-GB"/>
        </w:rPr>
        <w:t xml:space="preserve"> an Indian think</w:t>
      </w:r>
      <w:r w:rsidR="00BF622E">
        <w:rPr>
          <w:color w:val="1A1A1A"/>
          <w:spacing w:val="-2"/>
          <w:kern w:val="22"/>
          <w:sz w:val="22"/>
          <w:szCs w:val="22"/>
          <w:lang w:val="en-GB"/>
        </w:rPr>
        <w:t xml:space="preserve"> </w:t>
      </w:r>
      <w:r w:rsidRPr="00C273FD">
        <w:rPr>
          <w:color w:val="1A1A1A"/>
          <w:spacing w:val="-2"/>
          <w:kern w:val="22"/>
          <w:sz w:val="22"/>
          <w:szCs w:val="22"/>
          <w:lang w:val="en-GB"/>
        </w:rPr>
        <w:t>tank, estimated that the proportion of stalled projects to the projects under implementation had increased from 11.91</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in June 2014 to 12.73</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in March 2016, with nearly </w:t>
      </w:r>
      <w:r w:rsidR="00BF622E">
        <w:rPr>
          <w:color w:val="1A1A1A"/>
          <w:spacing w:val="-2"/>
          <w:kern w:val="22"/>
          <w:sz w:val="22"/>
          <w:szCs w:val="22"/>
          <w:lang w:val="en-GB"/>
        </w:rPr>
        <w:t>20 per cent</w:t>
      </w:r>
      <w:r w:rsidRPr="00C273FD">
        <w:rPr>
          <w:color w:val="1A1A1A"/>
          <w:spacing w:val="-2"/>
          <w:kern w:val="22"/>
          <w:sz w:val="22"/>
          <w:szCs w:val="22"/>
          <w:lang w:val="en-GB"/>
        </w:rPr>
        <w:t xml:space="preserve"> of all private sector projects and 6</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of all government </w:t>
      </w:r>
      <w:r w:rsidRPr="00C273FD">
        <w:rPr>
          <w:color w:val="1A1A1A"/>
          <w:spacing w:val="-2"/>
          <w:kern w:val="22"/>
          <w:sz w:val="22"/>
          <w:szCs w:val="22"/>
          <w:lang w:val="en-GB"/>
        </w:rPr>
        <w:lastRenderedPageBreak/>
        <w:t>projects under implementation being stalled.</w:t>
      </w:r>
      <w:proofErr w:type="gramEnd"/>
      <w:r w:rsidRPr="00C273FD">
        <w:rPr>
          <w:color w:val="1A1A1A"/>
          <w:spacing w:val="-2"/>
          <w:kern w:val="22"/>
          <w:sz w:val="22"/>
          <w:szCs w:val="22"/>
          <w:lang w:val="en-GB"/>
        </w:rPr>
        <w:t xml:space="preserve"> Sector-wise, power and manufacturing sector projects accounted for more than half of the total stalled projects, with services (other than financial) accounting for another 24</w:t>
      </w:r>
      <w:r w:rsidR="00B50E48" w:rsidRPr="00C273FD">
        <w:rPr>
          <w:color w:val="1A1A1A"/>
          <w:spacing w:val="-2"/>
          <w:kern w:val="22"/>
          <w:sz w:val="22"/>
          <w:szCs w:val="22"/>
          <w:lang w:val="en-GB"/>
        </w:rPr>
        <w:t xml:space="preserve"> per cent</w:t>
      </w:r>
      <w:r w:rsidR="00FA2BDD" w:rsidRPr="00C273FD">
        <w:rPr>
          <w:color w:val="1A1A1A"/>
          <w:spacing w:val="-2"/>
          <w:kern w:val="22"/>
          <w:sz w:val="22"/>
          <w:szCs w:val="22"/>
          <w:lang w:val="en-GB"/>
        </w:rPr>
        <w:t>.</w:t>
      </w:r>
      <w:r w:rsidRPr="00C273FD">
        <w:rPr>
          <w:rStyle w:val="EndnoteReference"/>
          <w:color w:val="1A1A1A"/>
          <w:spacing w:val="-2"/>
          <w:kern w:val="22"/>
          <w:sz w:val="22"/>
          <w:szCs w:val="22"/>
          <w:lang w:val="en-GB"/>
        </w:rPr>
        <w:endnoteReference w:id="57"/>
      </w:r>
      <w:r w:rsidRPr="00C273FD">
        <w:rPr>
          <w:color w:val="1A1A1A"/>
          <w:spacing w:val="-2"/>
          <w:kern w:val="22"/>
          <w:sz w:val="22"/>
          <w:szCs w:val="22"/>
          <w:lang w:val="en-GB"/>
        </w:rPr>
        <w:t xml:space="preserve"> With </w:t>
      </w:r>
      <w:r w:rsidR="00325CBE">
        <w:rPr>
          <w:color w:val="1A1A1A"/>
          <w:spacing w:val="-2"/>
          <w:kern w:val="22"/>
          <w:sz w:val="22"/>
          <w:szCs w:val="22"/>
          <w:lang w:val="en-GB"/>
        </w:rPr>
        <w:t xml:space="preserve">the </w:t>
      </w:r>
      <w:r w:rsidRPr="00C273FD">
        <w:rPr>
          <w:color w:val="1A1A1A"/>
          <w:spacing w:val="-2"/>
          <w:kern w:val="22"/>
          <w:sz w:val="22"/>
          <w:szCs w:val="22"/>
          <w:lang w:val="en-GB"/>
        </w:rPr>
        <w:t xml:space="preserve">ICOR depending on a host of factors, including technology, </w:t>
      </w:r>
      <w:r w:rsidR="00325CBE">
        <w:rPr>
          <w:color w:val="1A1A1A"/>
          <w:spacing w:val="-2"/>
          <w:kern w:val="22"/>
          <w:sz w:val="22"/>
          <w:szCs w:val="22"/>
          <w:lang w:val="en-GB"/>
        </w:rPr>
        <w:t xml:space="preserve">the </w:t>
      </w:r>
      <w:r w:rsidRPr="00C273FD">
        <w:rPr>
          <w:color w:val="1A1A1A"/>
          <w:spacing w:val="-2"/>
          <w:kern w:val="22"/>
          <w:sz w:val="22"/>
          <w:szCs w:val="22"/>
          <w:lang w:val="en-GB"/>
        </w:rPr>
        <w:t xml:space="preserve">availability of skilled </w:t>
      </w:r>
      <w:r w:rsidR="00FA2BDD" w:rsidRPr="00C273FD">
        <w:rPr>
          <w:color w:val="1A1A1A"/>
          <w:spacing w:val="-2"/>
          <w:kern w:val="22"/>
          <w:sz w:val="22"/>
          <w:szCs w:val="22"/>
          <w:lang w:val="en-GB"/>
        </w:rPr>
        <w:t>labour</w:t>
      </w:r>
      <w:r w:rsidRPr="00C273FD">
        <w:rPr>
          <w:color w:val="1A1A1A"/>
          <w:spacing w:val="-2"/>
          <w:kern w:val="22"/>
          <w:sz w:val="22"/>
          <w:szCs w:val="22"/>
          <w:lang w:val="en-GB"/>
        </w:rPr>
        <w:t xml:space="preserve">, </w:t>
      </w:r>
      <w:r w:rsidR="00BF622E">
        <w:rPr>
          <w:color w:val="1A1A1A"/>
          <w:spacing w:val="-2"/>
          <w:kern w:val="22"/>
          <w:sz w:val="22"/>
          <w:szCs w:val="22"/>
          <w:lang w:val="en-GB"/>
        </w:rPr>
        <w:t>and the</w:t>
      </w:r>
      <w:r w:rsidRPr="00C273FD">
        <w:rPr>
          <w:color w:val="1A1A1A"/>
          <w:spacing w:val="-2"/>
          <w:kern w:val="22"/>
          <w:sz w:val="22"/>
          <w:szCs w:val="22"/>
          <w:lang w:val="en-GB"/>
        </w:rPr>
        <w:t xml:space="preserve"> ease of doing business</w:t>
      </w:r>
      <w:r w:rsidR="00325CBE">
        <w:rPr>
          <w:color w:val="1A1A1A"/>
          <w:spacing w:val="-2"/>
          <w:kern w:val="22"/>
          <w:sz w:val="22"/>
          <w:szCs w:val="22"/>
          <w:lang w:val="en-GB"/>
        </w:rPr>
        <w:t xml:space="preserve"> (compared with others in the region and with the best performers globally)</w:t>
      </w:r>
      <w:r w:rsidR="00BF622E">
        <w:rPr>
          <w:color w:val="1A1A1A"/>
          <w:spacing w:val="-2"/>
          <w:kern w:val="22"/>
          <w:sz w:val="22"/>
          <w:szCs w:val="22"/>
          <w:lang w:val="en-GB"/>
        </w:rPr>
        <w:t>,</w:t>
      </w:r>
      <w:r w:rsidRPr="00C273FD">
        <w:rPr>
          <w:rStyle w:val="EndnoteReference"/>
          <w:color w:val="1A1A1A"/>
          <w:spacing w:val="-2"/>
          <w:kern w:val="22"/>
          <w:sz w:val="22"/>
          <w:szCs w:val="22"/>
          <w:lang w:val="en-GB"/>
        </w:rPr>
        <w:endnoteReference w:id="58"/>
      </w:r>
      <w:r w:rsidRPr="00C273FD">
        <w:rPr>
          <w:color w:val="1A1A1A"/>
          <w:spacing w:val="-2"/>
          <w:kern w:val="22"/>
          <w:sz w:val="22"/>
          <w:szCs w:val="22"/>
          <w:lang w:val="en-GB"/>
        </w:rPr>
        <w:t xml:space="preserve"> action would need to </w:t>
      </w:r>
      <w:proofErr w:type="gramStart"/>
      <w:r w:rsidRPr="00C273FD">
        <w:rPr>
          <w:color w:val="1A1A1A"/>
          <w:spacing w:val="-2"/>
          <w:kern w:val="22"/>
          <w:sz w:val="22"/>
          <w:szCs w:val="22"/>
          <w:lang w:val="en-GB"/>
        </w:rPr>
        <w:t>be taken</w:t>
      </w:r>
      <w:proofErr w:type="gramEnd"/>
      <w:r w:rsidRPr="00C273FD">
        <w:rPr>
          <w:color w:val="1A1A1A"/>
          <w:spacing w:val="-2"/>
          <w:kern w:val="22"/>
          <w:sz w:val="22"/>
          <w:szCs w:val="22"/>
          <w:lang w:val="en-GB"/>
        </w:rPr>
        <w:t xml:space="preserve"> on multiple fronts.</w:t>
      </w:r>
    </w:p>
    <w:p w14:paraId="7AA1A087" w14:textId="77777777" w:rsidR="00AB18DE" w:rsidRPr="00C273FD" w:rsidRDefault="00AB18DE" w:rsidP="00C80ACF">
      <w:pPr>
        <w:widowControl w:val="0"/>
        <w:autoSpaceDE w:val="0"/>
        <w:autoSpaceDN w:val="0"/>
        <w:adjustRightInd w:val="0"/>
        <w:jc w:val="both"/>
        <w:rPr>
          <w:color w:val="1A1A1A"/>
          <w:sz w:val="22"/>
          <w:szCs w:val="22"/>
          <w:lang w:val="en-GB"/>
        </w:rPr>
      </w:pPr>
    </w:p>
    <w:p w14:paraId="25984EE2" w14:textId="7E48144C"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rate of </w:t>
      </w:r>
      <w:r w:rsidR="00325CBE">
        <w:rPr>
          <w:color w:val="1A1A1A"/>
          <w:sz w:val="22"/>
          <w:szCs w:val="22"/>
          <w:lang w:val="en-GB"/>
        </w:rPr>
        <w:t>g</w:t>
      </w:r>
      <w:r w:rsidRPr="00C273FD">
        <w:rPr>
          <w:color w:val="1A1A1A"/>
          <w:sz w:val="22"/>
          <w:szCs w:val="22"/>
          <w:lang w:val="en-GB"/>
        </w:rPr>
        <w:t xml:space="preserve">ross </w:t>
      </w:r>
      <w:r w:rsidR="00325CBE">
        <w:rPr>
          <w:color w:val="1A1A1A"/>
          <w:sz w:val="22"/>
          <w:szCs w:val="22"/>
          <w:lang w:val="en-GB"/>
        </w:rPr>
        <w:t>d</w:t>
      </w:r>
      <w:r w:rsidRPr="00C273FD">
        <w:rPr>
          <w:color w:val="1A1A1A"/>
          <w:sz w:val="22"/>
          <w:szCs w:val="22"/>
          <w:lang w:val="en-GB"/>
        </w:rPr>
        <w:t xml:space="preserve">omestic </w:t>
      </w:r>
      <w:r w:rsidR="00325CBE">
        <w:rPr>
          <w:color w:val="1A1A1A"/>
          <w:sz w:val="22"/>
          <w:szCs w:val="22"/>
          <w:lang w:val="en-GB"/>
        </w:rPr>
        <w:t>c</w:t>
      </w:r>
      <w:r w:rsidRPr="00C273FD">
        <w:rPr>
          <w:color w:val="1A1A1A"/>
          <w:sz w:val="22"/>
          <w:szCs w:val="22"/>
          <w:lang w:val="en-GB"/>
        </w:rPr>
        <w:t xml:space="preserve">apital </w:t>
      </w:r>
      <w:r w:rsidR="00325CBE">
        <w:rPr>
          <w:color w:val="1A1A1A"/>
          <w:sz w:val="22"/>
          <w:szCs w:val="22"/>
          <w:lang w:val="en-GB"/>
        </w:rPr>
        <w:t>f</w:t>
      </w:r>
      <w:r w:rsidRPr="00C273FD">
        <w:rPr>
          <w:color w:val="1A1A1A"/>
          <w:sz w:val="22"/>
          <w:szCs w:val="22"/>
          <w:lang w:val="en-GB"/>
        </w:rPr>
        <w:t>ormation (</w:t>
      </w:r>
      <w:r w:rsidR="00325CBE">
        <w:rPr>
          <w:color w:val="1A1A1A"/>
          <w:sz w:val="22"/>
          <w:szCs w:val="22"/>
          <w:lang w:val="en-GB"/>
        </w:rPr>
        <w:t xml:space="preserve">i.e., </w:t>
      </w:r>
      <w:r w:rsidRPr="00C273FD">
        <w:rPr>
          <w:color w:val="1A1A1A"/>
          <w:sz w:val="22"/>
          <w:szCs w:val="22"/>
          <w:lang w:val="en-GB"/>
        </w:rPr>
        <w:t xml:space="preserve">investment rates) fell from their peak </w:t>
      </w:r>
      <w:r w:rsidR="00325CBE">
        <w:rPr>
          <w:color w:val="1A1A1A"/>
          <w:sz w:val="22"/>
          <w:szCs w:val="22"/>
          <w:lang w:val="en-GB"/>
        </w:rPr>
        <w:t xml:space="preserve">of 39 per cent </w:t>
      </w:r>
      <w:r w:rsidRPr="00C273FD">
        <w:rPr>
          <w:color w:val="1A1A1A"/>
          <w:sz w:val="22"/>
          <w:szCs w:val="22"/>
          <w:lang w:val="en-GB"/>
        </w:rPr>
        <w:t>achieved in 2011/12 to 32.98</w:t>
      </w:r>
      <w:r w:rsidR="00B50E48" w:rsidRPr="00C273FD">
        <w:rPr>
          <w:color w:val="1A1A1A"/>
          <w:sz w:val="22"/>
          <w:szCs w:val="22"/>
          <w:lang w:val="en-GB"/>
        </w:rPr>
        <w:t xml:space="preserve"> per cent</w:t>
      </w:r>
      <w:r w:rsidR="00FA2BDD" w:rsidRPr="00C273FD">
        <w:rPr>
          <w:color w:val="1A1A1A"/>
          <w:sz w:val="22"/>
          <w:szCs w:val="22"/>
          <w:lang w:val="en-GB"/>
        </w:rPr>
        <w:t xml:space="preserve"> in 201</w:t>
      </w:r>
      <w:r w:rsidR="00333656">
        <w:rPr>
          <w:color w:val="1A1A1A"/>
          <w:sz w:val="22"/>
          <w:szCs w:val="22"/>
          <w:lang w:val="en-GB"/>
        </w:rPr>
        <w:t>5/16</w:t>
      </w:r>
      <w:r w:rsidR="00FA2BDD" w:rsidRPr="00C273FD">
        <w:rPr>
          <w:color w:val="1A1A1A"/>
          <w:sz w:val="22"/>
          <w:szCs w:val="22"/>
          <w:lang w:val="en-GB"/>
        </w:rPr>
        <w:t xml:space="preserve"> (s</w:t>
      </w:r>
      <w:r w:rsidRPr="00C273FD">
        <w:rPr>
          <w:color w:val="1A1A1A"/>
          <w:sz w:val="22"/>
          <w:szCs w:val="22"/>
          <w:lang w:val="en-GB"/>
        </w:rPr>
        <w:t xml:space="preserve">ee Exhibit 1). </w:t>
      </w:r>
      <w:r w:rsidR="0047355A">
        <w:rPr>
          <w:color w:val="1A1A1A"/>
          <w:sz w:val="22"/>
          <w:szCs w:val="22"/>
          <w:lang w:val="en-GB"/>
        </w:rPr>
        <w:t>Some of the</w:t>
      </w:r>
      <w:r w:rsidRPr="00C273FD">
        <w:rPr>
          <w:color w:val="1A1A1A"/>
          <w:sz w:val="22"/>
          <w:szCs w:val="22"/>
          <w:lang w:val="en-GB"/>
        </w:rPr>
        <w:t xml:space="preserve"> decline in investment rates </w:t>
      </w:r>
      <w:r w:rsidR="0047355A">
        <w:rPr>
          <w:color w:val="1A1A1A"/>
          <w:sz w:val="22"/>
          <w:szCs w:val="22"/>
          <w:lang w:val="en-GB"/>
        </w:rPr>
        <w:t>could</w:t>
      </w:r>
      <w:r w:rsidR="0047355A" w:rsidRPr="00C273FD">
        <w:rPr>
          <w:color w:val="1A1A1A"/>
          <w:sz w:val="22"/>
          <w:szCs w:val="22"/>
          <w:lang w:val="en-GB"/>
        </w:rPr>
        <w:t xml:space="preserve"> </w:t>
      </w:r>
      <w:r w:rsidRPr="00C273FD">
        <w:rPr>
          <w:color w:val="1A1A1A"/>
          <w:sz w:val="22"/>
          <w:szCs w:val="22"/>
          <w:lang w:val="en-GB"/>
        </w:rPr>
        <w:t xml:space="preserve">be attributed to the high cost of capital </w:t>
      </w:r>
      <w:proofErr w:type="gramStart"/>
      <w:r w:rsidR="0047355A">
        <w:rPr>
          <w:color w:val="1A1A1A"/>
          <w:sz w:val="22"/>
          <w:szCs w:val="22"/>
          <w:lang w:val="en-GB"/>
        </w:rPr>
        <w:t>as a result</w:t>
      </w:r>
      <w:proofErr w:type="gramEnd"/>
      <w:r w:rsidR="0047355A">
        <w:rPr>
          <w:color w:val="1A1A1A"/>
          <w:sz w:val="22"/>
          <w:szCs w:val="22"/>
          <w:lang w:val="en-GB"/>
        </w:rPr>
        <w:t xml:space="preserve"> </w:t>
      </w:r>
      <w:r w:rsidRPr="00C273FD">
        <w:rPr>
          <w:color w:val="1A1A1A"/>
          <w:sz w:val="22"/>
          <w:szCs w:val="22"/>
          <w:lang w:val="en-GB"/>
        </w:rPr>
        <w:t>of contractionary monetary policies. However, as noted by the R</w:t>
      </w:r>
      <w:r w:rsidR="00325CBE">
        <w:rPr>
          <w:color w:val="1A1A1A"/>
          <w:sz w:val="22"/>
          <w:szCs w:val="22"/>
          <w:lang w:val="en-GB"/>
        </w:rPr>
        <w:t xml:space="preserve">eserve </w:t>
      </w:r>
      <w:r w:rsidRPr="00C273FD">
        <w:rPr>
          <w:color w:val="1A1A1A"/>
          <w:sz w:val="22"/>
          <w:szCs w:val="22"/>
          <w:lang w:val="en-GB"/>
        </w:rPr>
        <w:t>B</w:t>
      </w:r>
      <w:r w:rsidR="00325CBE">
        <w:rPr>
          <w:color w:val="1A1A1A"/>
          <w:sz w:val="22"/>
          <w:szCs w:val="22"/>
          <w:lang w:val="en-GB"/>
        </w:rPr>
        <w:t xml:space="preserve">ank of </w:t>
      </w:r>
      <w:r w:rsidRPr="00C273FD">
        <w:rPr>
          <w:color w:val="1A1A1A"/>
          <w:sz w:val="22"/>
          <w:szCs w:val="22"/>
          <w:lang w:val="en-GB"/>
        </w:rPr>
        <w:t>I</w:t>
      </w:r>
      <w:r w:rsidR="00325CBE">
        <w:rPr>
          <w:color w:val="1A1A1A"/>
          <w:sz w:val="22"/>
          <w:szCs w:val="22"/>
          <w:lang w:val="en-GB"/>
        </w:rPr>
        <w:t>ndia</w:t>
      </w:r>
      <w:r w:rsidRPr="00C273FD">
        <w:rPr>
          <w:color w:val="1A1A1A"/>
          <w:sz w:val="22"/>
          <w:szCs w:val="22"/>
          <w:lang w:val="en-GB"/>
        </w:rPr>
        <w:t xml:space="preserve"> in its </w:t>
      </w:r>
      <w:r w:rsidR="00325CBE">
        <w:rPr>
          <w:color w:val="1A1A1A"/>
          <w:sz w:val="22"/>
          <w:szCs w:val="22"/>
          <w:lang w:val="en-GB"/>
        </w:rPr>
        <w:t>a</w:t>
      </w:r>
      <w:r w:rsidRPr="00C273FD">
        <w:rPr>
          <w:color w:val="1A1A1A"/>
          <w:sz w:val="22"/>
          <w:szCs w:val="22"/>
          <w:lang w:val="en-GB"/>
        </w:rPr>
        <w:t xml:space="preserve">nnual </w:t>
      </w:r>
      <w:r w:rsidR="00325CBE">
        <w:rPr>
          <w:color w:val="1A1A1A"/>
          <w:sz w:val="22"/>
          <w:szCs w:val="22"/>
          <w:lang w:val="en-GB"/>
        </w:rPr>
        <w:t>r</w:t>
      </w:r>
      <w:r w:rsidRPr="00C273FD">
        <w:rPr>
          <w:color w:val="1A1A1A"/>
          <w:sz w:val="22"/>
          <w:szCs w:val="22"/>
          <w:lang w:val="en-GB"/>
        </w:rPr>
        <w:t xml:space="preserve">eport, the decline in investment rates </w:t>
      </w:r>
      <w:r w:rsidR="00325CBE">
        <w:rPr>
          <w:color w:val="1A1A1A"/>
          <w:sz w:val="22"/>
          <w:szCs w:val="22"/>
          <w:lang w:val="en-GB"/>
        </w:rPr>
        <w:t>was</w:t>
      </w:r>
      <w:r w:rsidRPr="00C273FD">
        <w:rPr>
          <w:color w:val="1A1A1A"/>
          <w:sz w:val="22"/>
          <w:szCs w:val="22"/>
          <w:lang w:val="en-GB"/>
        </w:rPr>
        <w:t xml:space="preserve"> due </w:t>
      </w:r>
      <w:r w:rsidR="00325CBE">
        <w:rPr>
          <w:color w:val="1A1A1A"/>
          <w:sz w:val="22"/>
          <w:szCs w:val="22"/>
          <w:lang w:val="en-GB"/>
        </w:rPr>
        <w:t xml:space="preserve">more </w:t>
      </w:r>
      <w:r w:rsidRPr="00C273FD">
        <w:rPr>
          <w:color w:val="1A1A1A"/>
          <w:sz w:val="22"/>
          <w:szCs w:val="22"/>
          <w:lang w:val="en-GB"/>
        </w:rPr>
        <w:t>to the delays in land acquisitions and environmental clearances, economic policy uncertainty</w:t>
      </w:r>
      <w:r w:rsidR="00325CBE">
        <w:rPr>
          <w:color w:val="1A1A1A"/>
          <w:sz w:val="22"/>
          <w:szCs w:val="22"/>
          <w:lang w:val="en-GB"/>
        </w:rPr>
        <w:t>,</w:t>
      </w:r>
      <w:r w:rsidRPr="00C273FD">
        <w:rPr>
          <w:color w:val="1A1A1A"/>
          <w:sz w:val="22"/>
          <w:szCs w:val="22"/>
          <w:lang w:val="en-GB"/>
        </w:rPr>
        <w:t xml:space="preserve"> and decline in business confidence, rather than to the rising interest rates</w:t>
      </w:r>
      <w:r w:rsidR="00FA2BDD" w:rsidRPr="00C273FD">
        <w:rPr>
          <w:color w:val="1A1A1A"/>
          <w:sz w:val="22"/>
          <w:szCs w:val="22"/>
          <w:lang w:val="en-GB"/>
        </w:rPr>
        <w:t>.</w:t>
      </w:r>
      <w:r w:rsidRPr="00C273FD">
        <w:rPr>
          <w:rStyle w:val="EndnoteReference"/>
          <w:color w:val="1A1A1A"/>
          <w:sz w:val="22"/>
          <w:szCs w:val="22"/>
          <w:lang w:val="en-GB"/>
        </w:rPr>
        <w:endnoteReference w:id="59"/>
      </w:r>
      <w:r w:rsidRPr="00C273FD">
        <w:rPr>
          <w:color w:val="1A1A1A"/>
          <w:sz w:val="22"/>
          <w:szCs w:val="22"/>
          <w:lang w:val="en-GB"/>
        </w:rPr>
        <w:t xml:space="preserve"> </w:t>
      </w:r>
    </w:p>
    <w:p w14:paraId="5F17070C" w14:textId="77777777" w:rsidR="00AB18DE" w:rsidRPr="00C273FD" w:rsidRDefault="00AB18DE" w:rsidP="00C80ACF">
      <w:pPr>
        <w:widowControl w:val="0"/>
        <w:autoSpaceDE w:val="0"/>
        <w:autoSpaceDN w:val="0"/>
        <w:adjustRightInd w:val="0"/>
        <w:jc w:val="both"/>
        <w:rPr>
          <w:color w:val="1A1A1A"/>
          <w:sz w:val="22"/>
          <w:szCs w:val="22"/>
          <w:lang w:val="en-GB"/>
        </w:rPr>
      </w:pPr>
    </w:p>
    <w:p w14:paraId="11763420" w14:textId="77777777" w:rsidR="00AB18DE" w:rsidRPr="00C273FD" w:rsidRDefault="00AB18DE" w:rsidP="00C80ACF">
      <w:pPr>
        <w:widowControl w:val="0"/>
        <w:autoSpaceDE w:val="0"/>
        <w:autoSpaceDN w:val="0"/>
        <w:adjustRightInd w:val="0"/>
        <w:jc w:val="both"/>
        <w:rPr>
          <w:color w:val="1A1A1A"/>
          <w:sz w:val="22"/>
          <w:szCs w:val="22"/>
          <w:lang w:val="en-GB"/>
        </w:rPr>
      </w:pPr>
    </w:p>
    <w:p w14:paraId="7EBA5E27" w14:textId="31FC974A" w:rsidR="00AB18DE" w:rsidRPr="00C273FD" w:rsidRDefault="00AB18DE"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 xml:space="preserve">Inflation </w:t>
      </w:r>
    </w:p>
    <w:p w14:paraId="4EBAF6A7" w14:textId="77777777" w:rsidR="00AB18DE" w:rsidRPr="00C273FD" w:rsidRDefault="00AB18DE" w:rsidP="00C80ACF">
      <w:pPr>
        <w:widowControl w:val="0"/>
        <w:autoSpaceDE w:val="0"/>
        <w:autoSpaceDN w:val="0"/>
        <w:adjustRightInd w:val="0"/>
        <w:jc w:val="both"/>
        <w:rPr>
          <w:color w:val="1A1A1A"/>
          <w:sz w:val="22"/>
          <w:szCs w:val="22"/>
          <w:lang w:val="en-GB"/>
        </w:rPr>
      </w:pPr>
    </w:p>
    <w:p w14:paraId="75954180" w14:textId="4F34415F" w:rsidR="00AB18DE" w:rsidRPr="00C273FD" w:rsidRDefault="00AB18DE" w:rsidP="00C80ACF">
      <w:pPr>
        <w:widowControl w:val="0"/>
        <w:autoSpaceDE w:val="0"/>
        <w:autoSpaceDN w:val="0"/>
        <w:adjustRightInd w:val="0"/>
        <w:jc w:val="both"/>
        <w:rPr>
          <w:color w:val="1A1A1A"/>
          <w:spacing w:val="-2"/>
          <w:kern w:val="22"/>
          <w:sz w:val="22"/>
          <w:szCs w:val="22"/>
          <w:lang w:val="en-GB"/>
        </w:rPr>
      </w:pPr>
      <w:r w:rsidRPr="00C273FD">
        <w:rPr>
          <w:color w:val="1A1A1A"/>
          <w:spacing w:val="-2"/>
          <w:kern w:val="22"/>
          <w:sz w:val="22"/>
          <w:szCs w:val="22"/>
          <w:lang w:val="en-GB"/>
        </w:rPr>
        <w:t>An important macroeconomic objective was price stability</w:t>
      </w:r>
      <w:r w:rsidR="00F95997">
        <w:rPr>
          <w:color w:val="1A1A1A"/>
          <w:spacing w:val="-2"/>
          <w:kern w:val="22"/>
          <w:sz w:val="22"/>
          <w:szCs w:val="22"/>
          <w:lang w:val="en-GB"/>
        </w:rPr>
        <w:t>—</w:t>
      </w:r>
      <w:r w:rsidRPr="00C273FD">
        <w:rPr>
          <w:color w:val="1A1A1A"/>
          <w:spacing w:val="-2"/>
          <w:kern w:val="22"/>
          <w:sz w:val="22"/>
          <w:szCs w:val="22"/>
          <w:lang w:val="en-GB"/>
        </w:rPr>
        <w:t>i.e.</w:t>
      </w:r>
      <w:r w:rsidR="00F95997">
        <w:rPr>
          <w:color w:val="1A1A1A"/>
          <w:spacing w:val="-2"/>
          <w:kern w:val="22"/>
          <w:sz w:val="22"/>
          <w:szCs w:val="22"/>
          <w:lang w:val="en-GB"/>
        </w:rPr>
        <w:t>,</w:t>
      </w:r>
      <w:r w:rsidRPr="00C273FD">
        <w:rPr>
          <w:color w:val="1A1A1A"/>
          <w:spacing w:val="-2"/>
          <w:kern w:val="22"/>
          <w:sz w:val="22"/>
          <w:szCs w:val="22"/>
          <w:lang w:val="en-GB"/>
        </w:rPr>
        <w:t xml:space="preserve"> having a low, stable</w:t>
      </w:r>
      <w:r w:rsidR="00F95997">
        <w:rPr>
          <w:color w:val="1A1A1A"/>
          <w:spacing w:val="-2"/>
          <w:kern w:val="22"/>
          <w:sz w:val="22"/>
          <w:szCs w:val="22"/>
          <w:lang w:val="en-GB"/>
        </w:rPr>
        <w:t>,</w:t>
      </w:r>
      <w:r w:rsidRPr="00C273FD">
        <w:rPr>
          <w:color w:val="1A1A1A"/>
          <w:spacing w:val="-2"/>
          <w:kern w:val="22"/>
          <w:sz w:val="22"/>
          <w:szCs w:val="22"/>
          <w:lang w:val="en-GB"/>
        </w:rPr>
        <w:t xml:space="preserve"> and sustainable rate of inflation. India achieved high growth in an environment of relative price stability as headline wholesale price index (WPI) inflation dropped to an annual average of 5.5</w:t>
      </w:r>
      <w:r w:rsidR="00C273FD" w:rsidRPr="00C273FD">
        <w:rPr>
          <w:color w:val="1A1A1A"/>
          <w:spacing w:val="-2"/>
          <w:kern w:val="22"/>
          <w:sz w:val="22"/>
          <w:szCs w:val="22"/>
          <w:lang w:val="en-GB"/>
        </w:rPr>
        <w:t xml:space="preserve"> </w:t>
      </w:r>
      <w:r w:rsidR="00B50E48" w:rsidRPr="00C273FD">
        <w:rPr>
          <w:color w:val="1A1A1A"/>
          <w:spacing w:val="-2"/>
          <w:kern w:val="22"/>
          <w:sz w:val="22"/>
          <w:szCs w:val="22"/>
          <w:lang w:val="en-GB"/>
        </w:rPr>
        <w:t>per cent</w:t>
      </w:r>
      <w:r w:rsidRPr="00C273FD">
        <w:rPr>
          <w:color w:val="1A1A1A"/>
          <w:spacing w:val="-2"/>
          <w:kern w:val="22"/>
          <w:sz w:val="22"/>
          <w:szCs w:val="22"/>
          <w:lang w:val="en-GB"/>
        </w:rPr>
        <w:t xml:space="preserve"> in the 2000s from 10.3</w:t>
      </w:r>
      <w:r w:rsidR="00C273FD" w:rsidRPr="00C273FD">
        <w:rPr>
          <w:color w:val="1A1A1A"/>
          <w:spacing w:val="-2"/>
          <w:kern w:val="22"/>
          <w:sz w:val="22"/>
          <w:szCs w:val="22"/>
          <w:lang w:val="en-GB"/>
        </w:rPr>
        <w:t xml:space="preserve"> </w:t>
      </w:r>
      <w:r w:rsidR="00B50E48" w:rsidRPr="00C273FD">
        <w:rPr>
          <w:color w:val="1A1A1A"/>
          <w:spacing w:val="-2"/>
          <w:kern w:val="22"/>
          <w:sz w:val="22"/>
          <w:szCs w:val="22"/>
          <w:lang w:val="en-GB"/>
        </w:rPr>
        <w:t>per cent</w:t>
      </w:r>
      <w:r w:rsidRPr="00C273FD">
        <w:rPr>
          <w:color w:val="1A1A1A"/>
          <w:spacing w:val="-2"/>
          <w:kern w:val="22"/>
          <w:sz w:val="22"/>
          <w:szCs w:val="22"/>
          <w:lang w:val="en-GB"/>
        </w:rPr>
        <w:t xml:space="preserve"> and 13.7</w:t>
      </w:r>
      <w:r w:rsidR="00B50E48" w:rsidRPr="00C273FD">
        <w:rPr>
          <w:color w:val="1A1A1A"/>
          <w:spacing w:val="-2"/>
          <w:kern w:val="22"/>
          <w:sz w:val="22"/>
          <w:szCs w:val="22"/>
          <w:lang w:val="en-GB"/>
        </w:rPr>
        <w:t xml:space="preserve"> per cent</w:t>
      </w:r>
      <w:r w:rsidR="00843EC9">
        <w:rPr>
          <w:color w:val="1A1A1A"/>
          <w:spacing w:val="-2"/>
          <w:kern w:val="22"/>
          <w:sz w:val="22"/>
          <w:szCs w:val="22"/>
          <w:lang w:val="en-GB"/>
        </w:rPr>
        <w:t>,</w:t>
      </w:r>
      <w:r w:rsidRPr="00C273FD">
        <w:rPr>
          <w:color w:val="1A1A1A"/>
          <w:spacing w:val="-2"/>
          <w:kern w:val="22"/>
          <w:sz w:val="22"/>
          <w:szCs w:val="22"/>
          <w:lang w:val="en-GB"/>
        </w:rPr>
        <w:t xml:space="preserve"> respectively</w:t>
      </w:r>
      <w:r w:rsidR="00843EC9">
        <w:rPr>
          <w:color w:val="1A1A1A"/>
          <w:spacing w:val="-2"/>
          <w:kern w:val="22"/>
          <w:sz w:val="22"/>
          <w:szCs w:val="22"/>
          <w:lang w:val="en-GB"/>
        </w:rPr>
        <w:t>,</w:t>
      </w:r>
      <w:r w:rsidRPr="00C273FD">
        <w:rPr>
          <w:color w:val="1A1A1A"/>
          <w:spacing w:val="-2"/>
          <w:kern w:val="22"/>
          <w:sz w:val="22"/>
          <w:szCs w:val="22"/>
          <w:lang w:val="en-GB"/>
        </w:rPr>
        <w:t xml:space="preserve"> in 1990/91 and 1991/92. Consumer price inflation also dropped. The trends reversed in the post-crisis period, with headline WPI inflation averaging </w:t>
      </w:r>
      <w:r w:rsidR="00F95997">
        <w:rPr>
          <w:color w:val="1A1A1A"/>
          <w:spacing w:val="-2"/>
          <w:kern w:val="22"/>
          <w:sz w:val="22"/>
          <w:szCs w:val="22"/>
          <w:lang w:val="en-GB"/>
        </w:rPr>
        <w:t>more than</w:t>
      </w:r>
      <w:r w:rsidR="00F95997" w:rsidRPr="00C273FD">
        <w:rPr>
          <w:color w:val="1A1A1A"/>
          <w:spacing w:val="-2"/>
          <w:kern w:val="22"/>
          <w:sz w:val="22"/>
          <w:szCs w:val="22"/>
          <w:lang w:val="en-GB"/>
        </w:rPr>
        <w:t xml:space="preserve"> </w:t>
      </w:r>
      <w:r w:rsidRPr="00C273FD">
        <w:rPr>
          <w:color w:val="1A1A1A"/>
          <w:spacing w:val="-2"/>
          <w:kern w:val="22"/>
          <w:sz w:val="22"/>
          <w:szCs w:val="22"/>
          <w:lang w:val="en-GB"/>
        </w:rPr>
        <w:t xml:space="preserve">7 </w:t>
      </w:r>
      <w:r w:rsidR="00B50E48" w:rsidRPr="00C273FD">
        <w:rPr>
          <w:color w:val="1A1A1A"/>
          <w:spacing w:val="-2"/>
          <w:kern w:val="22"/>
          <w:sz w:val="22"/>
          <w:szCs w:val="22"/>
          <w:lang w:val="en-GB"/>
        </w:rPr>
        <w:t>per cent</w:t>
      </w:r>
      <w:r w:rsidRPr="00C273FD">
        <w:rPr>
          <w:color w:val="1A1A1A"/>
          <w:spacing w:val="-2"/>
          <w:kern w:val="22"/>
          <w:sz w:val="22"/>
          <w:szCs w:val="22"/>
          <w:lang w:val="en-GB"/>
        </w:rPr>
        <w:t xml:space="preserve"> and the consumer price inflation crossing double digits during 2009</w:t>
      </w:r>
      <w:r w:rsidR="007D5924">
        <w:rPr>
          <w:color w:val="1A1A1A"/>
          <w:spacing w:val="-2"/>
          <w:kern w:val="22"/>
          <w:sz w:val="22"/>
          <w:szCs w:val="22"/>
          <w:lang w:val="en-GB"/>
        </w:rPr>
        <w:t>–</w:t>
      </w:r>
      <w:r w:rsidR="00333656">
        <w:rPr>
          <w:color w:val="1A1A1A"/>
          <w:spacing w:val="-2"/>
          <w:kern w:val="22"/>
          <w:sz w:val="22"/>
          <w:szCs w:val="22"/>
          <w:lang w:val="en-GB"/>
        </w:rPr>
        <w:t>20</w:t>
      </w:r>
      <w:r w:rsidRPr="00C273FD">
        <w:rPr>
          <w:color w:val="1A1A1A"/>
          <w:spacing w:val="-2"/>
          <w:kern w:val="22"/>
          <w:sz w:val="22"/>
          <w:szCs w:val="22"/>
          <w:lang w:val="en-GB"/>
        </w:rPr>
        <w:t>11</w:t>
      </w:r>
      <w:r w:rsidR="00FA2BDD" w:rsidRPr="00C273FD">
        <w:rPr>
          <w:color w:val="1A1A1A"/>
          <w:spacing w:val="-2"/>
          <w:kern w:val="22"/>
          <w:sz w:val="22"/>
          <w:szCs w:val="22"/>
          <w:lang w:val="en-GB"/>
        </w:rPr>
        <w:t>.</w:t>
      </w:r>
      <w:r w:rsidRPr="00C273FD">
        <w:rPr>
          <w:color w:val="1A1A1A"/>
          <w:spacing w:val="-2"/>
          <w:kern w:val="22"/>
          <w:sz w:val="22"/>
          <w:szCs w:val="22"/>
          <w:lang w:val="en-GB"/>
        </w:rPr>
        <w:t xml:space="preserve"> Much of the inflation </w:t>
      </w:r>
      <w:proofErr w:type="gramStart"/>
      <w:r w:rsidRPr="00C273FD">
        <w:rPr>
          <w:color w:val="1A1A1A"/>
          <w:spacing w:val="-2"/>
          <w:kern w:val="22"/>
          <w:sz w:val="22"/>
          <w:szCs w:val="22"/>
          <w:lang w:val="en-GB"/>
        </w:rPr>
        <w:t>was driven</w:t>
      </w:r>
      <w:proofErr w:type="gramEnd"/>
      <w:r w:rsidRPr="00C273FD">
        <w:rPr>
          <w:color w:val="1A1A1A"/>
          <w:spacing w:val="-2"/>
          <w:kern w:val="22"/>
          <w:sz w:val="22"/>
          <w:szCs w:val="22"/>
          <w:lang w:val="en-GB"/>
        </w:rPr>
        <w:t xml:space="preserve"> by food inflation, with the rate of growth in </w:t>
      </w:r>
      <w:r w:rsidR="00C13548">
        <w:rPr>
          <w:color w:val="1A1A1A"/>
          <w:spacing w:val="-2"/>
          <w:kern w:val="22"/>
          <w:sz w:val="22"/>
          <w:szCs w:val="22"/>
          <w:lang w:val="en-GB"/>
        </w:rPr>
        <w:t>food</w:t>
      </w:r>
      <w:r w:rsidR="00C13548" w:rsidRPr="00C273FD">
        <w:rPr>
          <w:color w:val="1A1A1A"/>
          <w:spacing w:val="-2"/>
          <w:kern w:val="22"/>
          <w:sz w:val="22"/>
          <w:szCs w:val="22"/>
          <w:lang w:val="en-GB"/>
        </w:rPr>
        <w:t xml:space="preserve"> </w:t>
      </w:r>
      <w:r w:rsidRPr="00C273FD">
        <w:rPr>
          <w:color w:val="1A1A1A"/>
          <w:spacing w:val="-2"/>
          <w:kern w:val="22"/>
          <w:sz w:val="22"/>
          <w:szCs w:val="22"/>
          <w:lang w:val="en-GB"/>
        </w:rPr>
        <w:t>prices</w:t>
      </w:r>
      <w:r w:rsidR="007D5924">
        <w:rPr>
          <w:color w:val="1A1A1A"/>
          <w:spacing w:val="-2"/>
          <w:kern w:val="22"/>
          <w:sz w:val="22"/>
          <w:szCs w:val="22"/>
          <w:lang w:val="en-GB"/>
        </w:rPr>
        <w:t xml:space="preserve"> </w:t>
      </w:r>
      <w:r w:rsidR="005F4E36">
        <w:rPr>
          <w:color w:val="1A1A1A"/>
          <w:spacing w:val="-2"/>
          <w:kern w:val="22"/>
          <w:sz w:val="22"/>
          <w:szCs w:val="22"/>
          <w:lang w:val="en-GB"/>
        </w:rPr>
        <w:t xml:space="preserve">at </w:t>
      </w:r>
      <w:r w:rsidR="00C13548">
        <w:rPr>
          <w:color w:val="1A1A1A"/>
          <w:spacing w:val="-2"/>
          <w:kern w:val="22"/>
          <w:sz w:val="22"/>
          <w:szCs w:val="22"/>
          <w:lang w:val="en-GB"/>
        </w:rPr>
        <w:t xml:space="preserve">almost 15.5 per cent </w:t>
      </w:r>
      <w:r w:rsidRPr="00C273FD">
        <w:rPr>
          <w:color w:val="1A1A1A"/>
          <w:spacing w:val="-2"/>
          <w:kern w:val="22"/>
          <w:sz w:val="22"/>
          <w:szCs w:val="22"/>
          <w:lang w:val="en-GB"/>
        </w:rPr>
        <w:t>during 2009</w:t>
      </w:r>
      <w:r w:rsidR="00333656">
        <w:rPr>
          <w:color w:val="1A1A1A"/>
          <w:spacing w:val="-2"/>
          <w:kern w:val="22"/>
          <w:sz w:val="22"/>
          <w:szCs w:val="22"/>
          <w:lang w:val="en-GB"/>
        </w:rPr>
        <w:t>-20</w:t>
      </w:r>
      <w:r w:rsidRPr="00C273FD">
        <w:rPr>
          <w:color w:val="1A1A1A"/>
          <w:spacing w:val="-2"/>
          <w:kern w:val="22"/>
          <w:sz w:val="22"/>
          <w:szCs w:val="22"/>
          <w:lang w:val="en-GB"/>
        </w:rPr>
        <w:t>11</w:t>
      </w:r>
      <w:r w:rsidR="00FA2BDD" w:rsidRPr="00C273FD">
        <w:rPr>
          <w:color w:val="1A1A1A"/>
          <w:spacing w:val="-2"/>
          <w:kern w:val="22"/>
          <w:sz w:val="22"/>
          <w:szCs w:val="22"/>
          <w:lang w:val="en-GB"/>
        </w:rPr>
        <w:t>.</w:t>
      </w:r>
      <w:r w:rsidR="00F7014C" w:rsidRPr="00C273FD">
        <w:rPr>
          <w:rStyle w:val="EndnoteReference"/>
          <w:color w:val="1A1A1A"/>
          <w:spacing w:val="-2"/>
          <w:kern w:val="22"/>
          <w:sz w:val="22"/>
          <w:szCs w:val="22"/>
          <w:lang w:val="en-GB"/>
        </w:rPr>
        <w:endnoteReference w:id="60"/>
      </w:r>
    </w:p>
    <w:p w14:paraId="79FECDB9" w14:textId="77777777" w:rsidR="00AB18DE" w:rsidRPr="00C273FD" w:rsidRDefault="00AB18DE" w:rsidP="00C80ACF">
      <w:pPr>
        <w:widowControl w:val="0"/>
        <w:autoSpaceDE w:val="0"/>
        <w:autoSpaceDN w:val="0"/>
        <w:adjustRightInd w:val="0"/>
        <w:jc w:val="both"/>
        <w:rPr>
          <w:color w:val="1A1A1A"/>
          <w:sz w:val="22"/>
          <w:szCs w:val="22"/>
          <w:lang w:val="en-GB"/>
        </w:rPr>
      </w:pPr>
    </w:p>
    <w:p w14:paraId="3F2726B9" w14:textId="738E1B0B" w:rsidR="00AB18DE" w:rsidRPr="00C273FD" w:rsidRDefault="00AB18DE"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In early 2011, </w:t>
      </w:r>
      <w:r w:rsidR="00843EC9">
        <w:rPr>
          <w:color w:val="1A1A1A"/>
          <w:sz w:val="22"/>
          <w:szCs w:val="22"/>
          <w:lang w:val="en-GB"/>
        </w:rPr>
        <w:t>India’s</w:t>
      </w:r>
      <w:r w:rsidR="00843EC9" w:rsidRPr="00C273FD">
        <w:rPr>
          <w:color w:val="1A1A1A"/>
          <w:sz w:val="22"/>
          <w:szCs w:val="22"/>
          <w:lang w:val="en-GB"/>
        </w:rPr>
        <w:t xml:space="preserve"> </w:t>
      </w:r>
      <w:r w:rsidRPr="00C273FD">
        <w:rPr>
          <w:color w:val="1A1A1A"/>
          <w:sz w:val="22"/>
          <w:szCs w:val="22"/>
          <w:lang w:val="en-GB"/>
        </w:rPr>
        <w:t xml:space="preserve">Central </w:t>
      </w:r>
      <w:r w:rsidR="00C13548" w:rsidRPr="00C273FD">
        <w:rPr>
          <w:color w:val="1A1A1A"/>
          <w:sz w:val="22"/>
          <w:szCs w:val="22"/>
          <w:lang w:val="en-GB"/>
        </w:rPr>
        <w:t>Statistic</w:t>
      </w:r>
      <w:r w:rsidR="00C13548">
        <w:rPr>
          <w:color w:val="1A1A1A"/>
          <w:sz w:val="22"/>
          <w:szCs w:val="22"/>
          <w:lang w:val="en-GB"/>
        </w:rPr>
        <w:t>s</w:t>
      </w:r>
      <w:r w:rsidR="00C13548" w:rsidRPr="00C273FD">
        <w:rPr>
          <w:color w:val="1A1A1A"/>
          <w:sz w:val="22"/>
          <w:szCs w:val="22"/>
          <w:lang w:val="en-GB"/>
        </w:rPr>
        <w:t xml:space="preserve"> </w:t>
      </w:r>
      <w:r w:rsidR="00C13548">
        <w:rPr>
          <w:color w:val="1A1A1A"/>
          <w:sz w:val="22"/>
          <w:szCs w:val="22"/>
          <w:lang w:val="en-GB"/>
        </w:rPr>
        <w:t>Office</w:t>
      </w:r>
      <w:r w:rsidR="00C13548" w:rsidRPr="00C273FD">
        <w:rPr>
          <w:color w:val="1A1A1A"/>
          <w:sz w:val="22"/>
          <w:szCs w:val="22"/>
          <w:lang w:val="en-GB"/>
        </w:rPr>
        <w:t xml:space="preserve"> </w:t>
      </w:r>
      <w:r w:rsidRPr="00C273FD">
        <w:rPr>
          <w:color w:val="1A1A1A"/>
          <w:sz w:val="22"/>
          <w:szCs w:val="22"/>
          <w:lang w:val="en-GB"/>
        </w:rPr>
        <w:t>(CSO) introduced a new series of national, monthly inflation measure</w:t>
      </w:r>
      <w:r w:rsidR="00C13548">
        <w:rPr>
          <w:color w:val="1A1A1A"/>
          <w:sz w:val="22"/>
          <w:szCs w:val="22"/>
          <w:lang w:val="en-GB"/>
        </w:rPr>
        <w:t>s</w:t>
      </w:r>
      <w:r w:rsidRPr="00C273FD">
        <w:rPr>
          <w:color w:val="1A1A1A"/>
          <w:sz w:val="22"/>
          <w:szCs w:val="22"/>
          <w:lang w:val="en-GB"/>
        </w:rPr>
        <w:t>, called the C</w:t>
      </w:r>
      <w:r w:rsidR="00804932">
        <w:rPr>
          <w:color w:val="1A1A1A"/>
          <w:sz w:val="22"/>
          <w:szCs w:val="22"/>
          <w:lang w:val="en-GB"/>
        </w:rPr>
        <w:t xml:space="preserve">onsumer </w:t>
      </w:r>
      <w:r w:rsidRPr="00C273FD">
        <w:rPr>
          <w:color w:val="1A1A1A"/>
          <w:sz w:val="22"/>
          <w:szCs w:val="22"/>
          <w:lang w:val="en-GB"/>
        </w:rPr>
        <w:t>P</w:t>
      </w:r>
      <w:r w:rsidR="00804932">
        <w:rPr>
          <w:color w:val="1A1A1A"/>
          <w:sz w:val="22"/>
          <w:szCs w:val="22"/>
          <w:lang w:val="en-GB"/>
        </w:rPr>
        <w:t xml:space="preserve">rice </w:t>
      </w:r>
      <w:r w:rsidRPr="00C273FD">
        <w:rPr>
          <w:color w:val="1A1A1A"/>
          <w:sz w:val="22"/>
          <w:szCs w:val="22"/>
          <w:lang w:val="en-GB"/>
        </w:rPr>
        <w:t>I</w:t>
      </w:r>
      <w:r w:rsidR="00804932">
        <w:rPr>
          <w:color w:val="1A1A1A"/>
          <w:sz w:val="22"/>
          <w:szCs w:val="22"/>
          <w:lang w:val="en-GB"/>
        </w:rPr>
        <w:t>ndex</w:t>
      </w:r>
      <w:r w:rsidRPr="00C273FD">
        <w:rPr>
          <w:color w:val="1A1A1A"/>
          <w:sz w:val="22"/>
          <w:szCs w:val="22"/>
          <w:lang w:val="en-GB"/>
        </w:rPr>
        <w:t>-Combined (CPI-C)</w:t>
      </w:r>
      <w:r w:rsidR="00E2275D" w:rsidRPr="00C273FD">
        <w:rPr>
          <w:color w:val="1A1A1A"/>
          <w:sz w:val="22"/>
          <w:szCs w:val="22"/>
          <w:lang w:val="en-GB"/>
        </w:rPr>
        <w:t>.</w:t>
      </w:r>
      <w:r w:rsidRPr="00C273FD">
        <w:rPr>
          <w:rStyle w:val="EndnoteReference"/>
          <w:color w:val="1A1A1A"/>
          <w:sz w:val="22"/>
          <w:szCs w:val="22"/>
          <w:lang w:val="en-GB"/>
        </w:rPr>
        <w:endnoteReference w:id="61"/>
      </w:r>
      <w:r w:rsidRPr="00C273FD">
        <w:rPr>
          <w:color w:val="1A1A1A"/>
          <w:sz w:val="22"/>
          <w:szCs w:val="22"/>
          <w:lang w:val="en-GB"/>
        </w:rPr>
        <w:t xml:space="preserve"> The RBI adopted the CPI-C as the headline measure of inflation in India in 2014</w:t>
      </w:r>
      <w:r w:rsidR="00E2275D" w:rsidRPr="00C273FD">
        <w:rPr>
          <w:color w:val="1A1A1A"/>
          <w:sz w:val="22"/>
          <w:szCs w:val="22"/>
          <w:lang w:val="en-GB"/>
        </w:rPr>
        <w:t>.</w:t>
      </w:r>
      <w:r w:rsidRPr="00C273FD">
        <w:rPr>
          <w:rStyle w:val="EndnoteReference"/>
          <w:color w:val="1A1A1A"/>
          <w:sz w:val="22"/>
          <w:szCs w:val="22"/>
          <w:lang w:val="en-GB"/>
        </w:rPr>
        <w:endnoteReference w:id="62"/>
      </w:r>
      <w:r w:rsidRPr="00C273FD">
        <w:rPr>
          <w:color w:val="1A1A1A"/>
          <w:sz w:val="22"/>
          <w:szCs w:val="22"/>
          <w:lang w:val="en-GB"/>
        </w:rPr>
        <w:t xml:space="preserve"> Food and beverages accounted for the highest weightage in </w:t>
      </w:r>
      <w:r w:rsidR="00804932">
        <w:rPr>
          <w:color w:val="1A1A1A"/>
          <w:sz w:val="22"/>
          <w:szCs w:val="22"/>
          <w:lang w:val="en-GB"/>
        </w:rPr>
        <w:t xml:space="preserve">the </w:t>
      </w:r>
      <w:r w:rsidRPr="00C273FD">
        <w:rPr>
          <w:color w:val="1A1A1A"/>
          <w:sz w:val="22"/>
          <w:szCs w:val="22"/>
          <w:lang w:val="en-GB"/>
        </w:rPr>
        <w:t>CPI-C</w:t>
      </w:r>
      <w:r w:rsidR="00804932">
        <w:rPr>
          <w:color w:val="1A1A1A"/>
          <w:sz w:val="22"/>
          <w:szCs w:val="22"/>
          <w:lang w:val="en-GB"/>
        </w:rPr>
        <w:t>,</w:t>
      </w:r>
      <w:r w:rsidRPr="00C273FD">
        <w:rPr>
          <w:color w:val="1A1A1A"/>
          <w:sz w:val="22"/>
          <w:szCs w:val="22"/>
          <w:lang w:val="en-GB"/>
        </w:rPr>
        <w:t xml:space="preserve"> </w:t>
      </w:r>
      <w:r w:rsidR="00804932">
        <w:rPr>
          <w:color w:val="1A1A1A"/>
          <w:sz w:val="22"/>
          <w:szCs w:val="22"/>
          <w:lang w:val="en-GB"/>
        </w:rPr>
        <w:t>at</w:t>
      </w:r>
      <w:r w:rsidRPr="00C273FD">
        <w:rPr>
          <w:color w:val="1A1A1A"/>
          <w:sz w:val="22"/>
          <w:szCs w:val="22"/>
          <w:lang w:val="en-GB"/>
        </w:rPr>
        <w:t xml:space="preserve"> 45.86</w:t>
      </w:r>
      <w:r w:rsidR="00B50E48" w:rsidRPr="00C273FD">
        <w:rPr>
          <w:color w:val="1A1A1A"/>
          <w:sz w:val="22"/>
          <w:szCs w:val="22"/>
          <w:lang w:val="en-GB"/>
        </w:rPr>
        <w:t xml:space="preserve"> per cent</w:t>
      </w:r>
      <w:r w:rsidRPr="00C273FD">
        <w:rPr>
          <w:color w:val="1A1A1A"/>
          <w:sz w:val="22"/>
          <w:szCs w:val="22"/>
          <w:lang w:val="en-GB"/>
        </w:rPr>
        <w:t>, and</w:t>
      </w:r>
      <w:r w:rsidR="00804932">
        <w:rPr>
          <w:color w:val="1A1A1A"/>
          <w:sz w:val="22"/>
          <w:szCs w:val="22"/>
          <w:lang w:val="en-GB"/>
        </w:rPr>
        <w:t>,</w:t>
      </w:r>
      <w:r w:rsidRPr="00C273FD">
        <w:rPr>
          <w:color w:val="1A1A1A"/>
          <w:sz w:val="22"/>
          <w:szCs w:val="22"/>
          <w:lang w:val="en-GB"/>
        </w:rPr>
        <w:t xml:space="preserve"> as such</w:t>
      </w:r>
      <w:r w:rsidR="00804932">
        <w:rPr>
          <w:color w:val="1A1A1A"/>
          <w:sz w:val="22"/>
          <w:szCs w:val="22"/>
          <w:lang w:val="en-GB"/>
        </w:rPr>
        <w:t>,</w:t>
      </w:r>
      <w:r w:rsidRPr="00C273FD">
        <w:rPr>
          <w:color w:val="1A1A1A"/>
          <w:sz w:val="22"/>
          <w:szCs w:val="22"/>
          <w:lang w:val="en-GB"/>
        </w:rPr>
        <w:t xml:space="preserve"> contributed to a major proportion of headline inflation</w:t>
      </w:r>
      <w:r w:rsidR="00E2275D" w:rsidRPr="00C273FD">
        <w:rPr>
          <w:color w:val="1A1A1A"/>
          <w:sz w:val="22"/>
          <w:szCs w:val="22"/>
          <w:lang w:val="en-GB"/>
        </w:rPr>
        <w:t>.</w:t>
      </w:r>
      <w:r w:rsidRPr="00C273FD">
        <w:rPr>
          <w:rStyle w:val="EndnoteReference"/>
          <w:color w:val="1A1A1A"/>
          <w:sz w:val="22"/>
          <w:szCs w:val="22"/>
          <w:lang w:val="en-GB"/>
        </w:rPr>
        <w:endnoteReference w:id="63"/>
      </w:r>
      <w:r w:rsidR="00C273FD" w:rsidRPr="00C273FD">
        <w:rPr>
          <w:color w:val="1A1A1A"/>
          <w:sz w:val="22"/>
          <w:szCs w:val="22"/>
          <w:lang w:val="en-GB"/>
        </w:rPr>
        <w:t xml:space="preserve"> </w:t>
      </w:r>
      <w:r w:rsidRPr="00C273FD">
        <w:rPr>
          <w:color w:val="1A1A1A"/>
          <w:sz w:val="22"/>
          <w:szCs w:val="22"/>
          <w:lang w:val="en-GB"/>
        </w:rPr>
        <w:t xml:space="preserve">However, the contributors to food inflation itself changed over time. For instance, in 2012/13, the spike in cereal prices was responsible for food inflation, while the 2013/14 inflation </w:t>
      </w:r>
      <w:r w:rsidR="00843EC9">
        <w:rPr>
          <w:color w:val="1A1A1A"/>
          <w:sz w:val="22"/>
          <w:szCs w:val="22"/>
          <w:lang w:val="en-GB"/>
        </w:rPr>
        <w:t xml:space="preserve">in food prices </w:t>
      </w:r>
      <w:r w:rsidR="00804932">
        <w:rPr>
          <w:color w:val="1A1A1A"/>
          <w:sz w:val="22"/>
          <w:szCs w:val="22"/>
          <w:lang w:val="en-GB"/>
        </w:rPr>
        <w:t>resulted from</w:t>
      </w:r>
      <w:r w:rsidRPr="00C273FD">
        <w:rPr>
          <w:color w:val="1A1A1A"/>
          <w:sz w:val="22"/>
          <w:szCs w:val="22"/>
          <w:lang w:val="en-GB"/>
        </w:rPr>
        <w:t xml:space="preserve"> a spike in vegetable prices</w:t>
      </w:r>
      <w:r w:rsidR="00E2275D" w:rsidRPr="00C273FD">
        <w:rPr>
          <w:color w:val="1A1A1A"/>
          <w:sz w:val="22"/>
          <w:szCs w:val="22"/>
          <w:lang w:val="en-GB"/>
        </w:rPr>
        <w:t>.</w:t>
      </w:r>
      <w:r w:rsidRPr="00C273FD">
        <w:rPr>
          <w:rStyle w:val="EndnoteReference"/>
          <w:color w:val="1A1A1A"/>
          <w:sz w:val="22"/>
          <w:szCs w:val="22"/>
          <w:lang w:val="en-GB"/>
        </w:rPr>
        <w:endnoteReference w:id="64"/>
      </w:r>
      <w:r w:rsidRPr="00C273FD">
        <w:rPr>
          <w:color w:val="1A1A1A"/>
          <w:sz w:val="22"/>
          <w:szCs w:val="22"/>
          <w:lang w:val="en-GB"/>
        </w:rPr>
        <w:t xml:space="preserve"> </w:t>
      </w:r>
    </w:p>
    <w:p w14:paraId="5C054C11" w14:textId="77777777" w:rsidR="00AB18DE" w:rsidRPr="00C273FD" w:rsidRDefault="00AB18DE" w:rsidP="00C80ACF">
      <w:pPr>
        <w:widowControl w:val="0"/>
        <w:autoSpaceDE w:val="0"/>
        <w:autoSpaceDN w:val="0"/>
        <w:adjustRightInd w:val="0"/>
        <w:jc w:val="both"/>
        <w:rPr>
          <w:color w:val="1A1A1A"/>
          <w:sz w:val="22"/>
          <w:szCs w:val="22"/>
          <w:lang w:val="en-GB"/>
        </w:rPr>
      </w:pPr>
    </w:p>
    <w:p w14:paraId="5243FF3E" w14:textId="0A4E34E4" w:rsidR="00C80ACF" w:rsidRPr="00C273FD" w:rsidRDefault="00AB18DE" w:rsidP="00C80ACF">
      <w:pPr>
        <w:widowControl w:val="0"/>
        <w:autoSpaceDE w:val="0"/>
        <w:autoSpaceDN w:val="0"/>
        <w:adjustRightInd w:val="0"/>
        <w:jc w:val="both"/>
        <w:rPr>
          <w:color w:val="1A1A1A"/>
          <w:sz w:val="22"/>
          <w:szCs w:val="22"/>
          <w:lang w:val="en-GB"/>
        </w:rPr>
      </w:pPr>
      <w:proofErr w:type="gramStart"/>
      <w:r w:rsidRPr="00C273FD">
        <w:rPr>
          <w:color w:val="1A1A1A"/>
          <w:sz w:val="22"/>
          <w:szCs w:val="22"/>
          <w:lang w:val="en-GB"/>
        </w:rPr>
        <w:t>In January 2014, the Expert Committee to Revise and Strengthen the Monetary Policy Framework (</w:t>
      </w:r>
      <w:r w:rsidR="00C13548">
        <w:rPr>
          <w:color w:val="1A1A1A"/>
          <w:sz w:val="22"/>
          <w:szCs w:val="22"/>
          <w:lang w:val="en-GB"/>
        </w:rPr>
        <w:t>also c</w:t>
      </w:r>
      <w:r w:rsidRPr="00C273FD">
        <w:rPr>
          <w:color w:val="1A1A1A"/>
          <w:sz w:val="22"/>
          <w:szCs w:val="22"/>
          <w:lang w:val="en-GB"/>
        </w:rPr>
        <w:t xml:space="preserve">alled the </w:t>
      </w:r>
      <w:proofErr w:type="spellStart"/>
      <w:r w:rsidRPr="00C273FD">
        <w:rPr>
          <w:color w:val="1A1A1A"/>
          <w:sz w:val="22"/>
          <w:szCs w:val="22"/>
          <w:lang w:val="en-GB"/>
        </w:rPr>
        <w:t>Urjit</w:t>
      </w:r>
      <w:proofErr w:type="spellEnd"/>
      <w:r w:rsidRPr="00C273FD">
        <w:rPr>
          <w:color w:val="1A1A1A"/>
          <w:sz w:val="22"/>
          <w:szCs w:val="22"/>
          <w:lang w:val="en-GB"/>
        </w:rPr>
        <w:t xml:space="preserve"> Patel Committee) recommended a monetary policy fram</w:t>
      </w:r>
      <w:r w:rsidR="00281542" w:rsidRPr="00C273FD">
        <w:rPr>
          <w:color w:val="1A1A1A"/>
          <w:sz w:val="22"/>
          <w:szCs w:val="22"/>
          <w:lang w:val="en-GB"/>
        </w:rPr>
        <w:t>e</w:t>
      </w:r>
      <w:r w:rsidRPr="00C273FD">
        <w:rPr>
          <w:color w:val="1A1A1A"/>
          <w:sz w:val="22"/>
          <w:szCs w:val="22"/>
          <w:lang w:val="en-GB"/>
        </w:rPr>
        <w:t xml:space="preserve">work based on </w:t>
      </w:r>
      <w:r w:rsidR="00804932">
        <w:rPr>
          <w:color w:val="1A1A1A"/>
          <w:sz w:val="22"/>
          <w:szCs w:val="22"/>
          <w:lang w:val="en-GB"/>
        </w:rPr>
        <w:t>f</w:t>
      </w:r>
      <w:r w:rsidRPr="00C273FD">
        <w:rPr>
          <w:color w:val="1A1A1A"/>
          <w:sz w:val="22"/>
          <w:szCs w:val="22"/>
          <w:lang w:val="en-GB"/>
        </w:rPr>
        <w:t xml:space="preserve">lexible </w:t>
      </w:r>
      <w:r w:rsidR="00804932">
        <w:rPr>
          <w:color w:val="1A1A1A"/>
          <w:sz w:val="22"/>
          <w:szCs w:val="22"/>
          <w:lang w:val="en-GB"/>
        </w:rPr>
        <w:t>i</w:t>
      </w:r>
      <w:r w:rsidRPr="00C273FD">
        <w:rPr>
          <w:color w:val="1A1A1A"/>
          <w:sz w:val="22"/>
          <w:szCs w:val="22"/>
          <w:lang w:val="en-GB"/>
        </w:rPr>
        <w:t xml:space="preserve">nflation </w:t>
      </w:r>
      <w:r w:rsidR="00804932">
        <w:rPr>
          <w:color w:val="1A1A1A"/>
          <w:sz w:val="22"/>
          <w:szCs w:val="22"/>
          <w:lang w:val="en-GB"/>
        </w:rPr>
        <w:t>t</w:t>
      </w:r>
      <w:r w:rsidRPr="00C273FD">
        <w:rPr>
          <w:color w:val="1A1A1A"/>
          <w:sz w:val="22"/>
          <w:szCs w:val="22"/>
          <w:lang w:val="en-GB"/>
        </w:rPr>
        <w:t>argeting</w:t>
      </w:r>
      <w:r w:rsidRPr="00C273FD">
        <w:rPr>
          <w:rStyle w:val="EndnoteReference"/>
          <w:color w:val="1A1A1A"/>
          <w:sz w:val="22"/>
          <w:szCs w:val="22"/>
          <w:lang w:val="en-GB"/>
        </w:rPr>
        <w:endnoteReference w:id="65"/>
      </w:r>
      <w:r w:rsidR="00C80ACF" w:rsidRPr="00C273FD">
        <w:rPr>
          <w:color w:val="1A1A1A"/>
          <w:sz w:val="22"/>
          <w:szCs w:val="22"/>
          <w:lang w:val="en-GB"/>
        </w:rPr>
        <w:t xml:space="preserve"> </w:t>
      </w:r>
      <w:r w:rsidR="00137F95">
        <w:rPr>
          <w:color w:val="1A1A1A"/>
          <w:sz w:val="22"/>
          <w:szCs w:val="22"/>
          <w:lang w:val="en-GB"/>
        </w:rPr>
        <w:t>and</w:t>
      </w:r>
      <w:r w:rsidR="00C80ACF" w:rsidRPr="00C273FD">
        <w:rPr>
          <w:color w:val="1A1A1A"/>
          <w:sz w:val="22"/>
          <w:szCs w:val="22"/>
          <w:lang w:val="en-GB"/>
        </w:rPr>
        <w:t xml:space="preserve"> a disinflationary glide path of reducing CPI inflation gradually from 10</w:t>
      </w:r>
      <w:r w:rsidR="00B50E48" w:rsidRPr="00C273FD">
        <w:rPr>
          <w:color w:val="1A1A1A"/>
          <w:sz w:val="22"/>
          <w:szCs w:val="22"/>
          <w:lang w:val="en-GB"/>
        </w:rPr>
        <w:t xml:space="preserve"> per cent</w:t>
      </w:r>
      <w:r w:rsidR="00C80ACF" w:rsidRPr="00C273FD">
        <w:rPr>
          <w:color w:val="1A1A1A"/>
          <w:sz w:val="22"/>
          <w:szCs w:val="22"/>
          <w:lang w:val="en-GB"/>
        </w:rPr>
        <w:t xml:space="preserve"> in January 2014 to 8</w:t>
      </w:r>
      <w:r w:rsidR="00B50E48" w:rsidRPr="00C273FD">
        <w:rPr>
          <w:color w:val="1A1A1A"/>
          <w:sz w:val="22"/>
          <w:szCs w:val="22"/>
          <w:lang w:val="en-GB"/>
        </w:rPr>
        <w:t xml:space="preserve"> per cent</w:t>
      </w:r>
      <w:r w:rsidR="00C80ACF" w:rsidRPr="00C273FD">
        <w:rPr>
          <w:color w:val="1A1A1A"/>
          <w:sz w:val="22"/>
          <w:szCs w:val="22"/>
          <w:lang w:val="en-GB"/>
        </w:rPr>
        <w:t xml:space="preserve"> in January 2015 and 6</w:t>
      </w:r>
      <w:r w:rsidR="00B50E48" w:rsidRPr="00C273FD">
        <w:rPr>
          <w:color w:val="1A1A1A"/>
          <w:sz w:val="22"/>
          <w:szCs w:val="22"/>
          <w:lang w:val="en-GB"/>
        </w:rPr>
        <w:t xml:space="preserve"> per cent</w:t>
      </w:r>
      <w:r w:rsidR="00C80ACF" w:rsidRPr="00C273FD">
        <w:rPr>
          <w:color w:val="1A1A1A"/>
          <w:sz w:val="22"/>
          <w:szCs w:val="22"/>
          <w:lang w:val="en-GB"/>
        </w:rPr>
        <w:t xml:space="preserve"> in January 2016.</w:t>
      </w:r>
      <w:proofErr w:type="gramEnd"/>
      <w:r w:rsidR="00C80ACF" w:rsidRPr="00C273FD">
        <w:rPr>
          <w:color w:val="1A1A1A"/>
          <w:sz w:val="22"/>
          <w:szCs w:val="22"/>
          <w:lang w:val="en-GB"/>
        </w:rPr>
        <w:t xml:space="preserve"> Subsequently, </w:t>
      </w:r>
      <w:r w:rsidR="00137F95">
        <w:rPr>
          <w:color w:val="1A1A1A"/>
          <w:sz w:val="22"/>
          <w:szCs w:val="22"/>
          <w:lang w:val="en-GB"/>
        </w:rPr>
        <w:t>CPI inflation</w:t>
      </w:r>
      <w:r w:rsidR="00137F95" w:rsidRPr="00C273FD">
        <w:rPr>
          <w:color w:val="1A1A1A"/>
          <w:sz w:val="22"/>
          <w:szCs w:val="22"/>
          <w:lang w:val="en-GB"/>
        </w:rPr>
        <w:t xml:space="preserve"> </w:t>
      </w:r>
      <w:proofErr w:type="gramStart"/>
      <w:r w:rsidR="00C80ACF" w:rsidRPr="00C273FD">
        <w:rPr>
          <w:color w:val="1A1A1A"/>
          <w:sz w:val="22"/>
          <w:szCs w:val="22"/>
          <w:lang w:val="en-GB"/>
        </w:rPr>
        <w:t>would be kept</w:t>
      </w:r>
      <w:proofErr w:type="gramEnd"/>
      <w:r w:rsidR="00C80ACF" w:rsidRPr="00C273FD">
        <w:rPr>
          <w:color w:val="1A1A1A"/>
          <w:sz w:val="22"/>
          <w:szCs w:val="22"/>
          <w:lang w:val="en-GB"/>
        </w:rPr>
        <w:t xml:space="preserve"> at 4</w:t>
      </w:r>
      <w:r w:rsidR="00B50E48" w:rsidRPr="00C273FD">
        <w:rPr>
          <w:color w:val="1A1A1A"/>
          <w:sz w:val="22"/>
          <w:szCs w:val="22"/>
          <w:lang w:val="en-GB"/>
        </w:rPr>
        <w:t xml:space="preserve"> per cent</w:t>
      </w:r>
      <w:r w:rsidR="00C80ACF" w:rsidRPr="00C273FD">
        <w:rPr>
          <w:color w:val="1A1A1A"/>
          <w:sz w:val="22"/>
          <w:szCs w:val="22"/>
          <w:lang w:val="en-GB"/>
        </w:rPr>
        <w:t>, with a band of +/</w:t>
      </w:r>
      <w:r w:rsidR="00137F95">
        <w:rPr>
          <w:color w:val="1A1A1A"/>
          <w:sz w:val="22"/>
          <w:szCs w:val="22"/>
          <w:lang w:val="en-GB"/>
        </w:rPr>
        <w:t>−</w:t>
      </w:r>
      <w:r w:rsidR="00C80ACF" w:rsidRPr="00C273FD">
        <w:rPr>
          <w:color w:val="1A1A1A"/>
          <w:sz w:val="22"/>
          <w:szCs w:val="22"/>
          <w:lang w:val="en-GB"/>
        </w:rPr>
        <w:t>2</w:t>
      </w:r>
      <w:r w:rsidR="00B50E48" w:rsidRPr="00C273FD">
        <w:rPr>
          <w:color w:val="1A1A1A"/>
          <w:sz w:val="22"/>
          <w:szCs w:val="22"/>
          <w:lang w:val="en-GB"/>
        </w:rPr>
        <w:t xml:space="preserve"> per cent</w:t>
      </w:r>
      <w:r w:rsidR="00E2275D" w:rsidRPr="00C273FD">
        <w:rPr>
          <w:color w:val="1A1A1A"/>
          <w:sz w:val="22"/>
          <w:szCs w:val="22"/>
          <w:lang w:val="en-GB"/>
        </w:rPr>
        <w:t>.</w:t>
      </w:r>
      <w:r w:rsidR="00C80ACF" w:rsidRPr="00C273FD">
        <w:rPr>
          <w:rStyle w:val="EndnoteReference"/>
          <w:color w:val="1A1A1A"/>
          <w:sz w:val="22"/>
          <w:szCs w:val="22"/>
          <w:lang w:val="en-GB"/>
        </w:rPr>
        <w:endnoteReference w:id="66"/>
      </w:r>
      <w:r w:rsidR="00C80ACF" w:rsidRPr="00C273FD">
        <w:rPr>
          <w:color w:val="1A1A1A"/>
          <w:sz w:val="22"/>
          <w:szCs w:val="22"/>
          <w:lang w:val="en-GB"/>
        </w:rPr>
        <w:t xml:space="preserve"> On February 20, 2015, the government and the RBI signed a Monetary Policy Framework Agreement </w:t>
      </w:r>
      <w:r w:rsidR="00137F95">
        <w:rPr>
          <w:color w:val="1A1A1A"/>
          <w:sz w:val="22"/>
          <w:szCs w:val="22"/>
          <w:lang w:val="en-GB"/>
        </w:rPr>
        <w:t>that</w:t>
      </w:r>
      <w:r w:rsidR="00137F95" w:rsidRPr="00C273FD">
        <w:rPr>
          <w:color w:val="1A1A1A"/>
          <w:sz w:val="22"/>
          <w:szCs w:val="22"/>
          <w:lang w:val="en-GB"/>
        </w:rPr>
        <w:t xml:space="preserve"> </w:t>
      </w:r>
      <w:r w:rsidR="00C80ACF" w:rsidRPr="00C273FD">
        <w:rPr>
          <w:color w:val="1A1A1A"/>
          <w:sz w:val="22"/>
          <w:szCs w:val="22"/>
          <w:lang w:val="en-GB"/>
        </w:rPr>
        <w:t>formali</w:t>
      </w:r>
      <w:r w:rsidR="00137F95">
        <w:rPr>
          <w:color w:val="1A1A1A"/>
          <w:sz w:val="22"/>
          <w:szCs w:val="22"/>
          <w:lang w:val="en-GB"/>
        </w:rPr>
        <w:t>z</w:t>
      </w:r>
      <w:r w:rsidR="00C80ACF" w:rsidRPr="00C273FD">
        <w:rPr>
          <w:color w:val="1A1A1A"/>
          <w:sz w:val="22"/>
          <w:szCs w:val="22"/>
          <w:lang w:val="en-GB"/>
        </w:rPr>
        <w:t>ed this framework for inflationary targeting</w:t>
      </w:r>
      <w:r w:rsidR="00E2275D" w:rsidRPr="00C273FD">
        <w:rPr>
          <w:color w:val="1A1A1A"/>
          <w:sz w:val="22"/>
          <w:szCs w:val="22"/>
          <w:lang w:val="en-GB"/>
        </w:rPr>
        <w:t>.</w:t>
      </w:r>
      <w:r w:rsidR="00C80ACF" w:rsidRPr="00C273FD">
        <w:rPr>
          <w:rStyle w:val="EndnoteReference"/>
          <w:color w:val="1A1A1A"/>
          <w:sz w:val="22"/>
          <w:szCs w:val="22"/>
          <w:lang w:val="en-GB"/>
        </w:rPr>
        <w:endnoteReference w:id="67"/>
      </w:r>
      <w:r w:rsidR="00E2275D" w:rsidRPr="00C273FD">
        <w:rPr>
          <w:color w:val="1A1A1A"/>
          <w:sz w:val="22"/>
          <w:szCs w:val="22"/>
          <w:lang w:val="en-GB"/>
        </w:rPr>
        <w:t xml:space="preserve"> </w:t>
      </w:r>
      <w:r w:rsidR="00C62EB2">
        <w:rPr>
          <w:color w:val="1A1A1A"/>
          <w:sz w:val="22"/>
          <w:szCs w:val="22"/>
          <w:lang w:val="en-GB"/>
        </w:rPr>
        <w:t xml:space="preserve">Inflation moderated from April 2014 to December 2015, mainly </w:t>
      </w:r>
      <w:proofErr w:type="gramStart"/>
      <w:r w:rsidR="00C62EB2">
        <w:rPr>
          <w:color w:val="1A1A1A"/>
          <w:sz w:val="22"/>
          <w:szCs w:val="22"/>
          <w:lang w:val="en-GB"/>
        </w:rPr>
        <w:t>as a result</w:t>
      </w:r>
      <w:proofErr w:type="gramEnd"/>
      <w:r w:rsidR="00C62EB2">
        <w:rPr>
          <w:color w:val="1A1A1A"/>
          <w:sz w:val="22"/>
          <w:szCs w:val="22"/>
          <w:lang w:val="en-GB"/>
        </w:rPr>
        <w:t xml:space="preserve"> of three factors: t</w:t>
      </w:r>
      <w:r w:rsidR="00C80ACF" w:rsidRPr="00C273FD">
        <w:rPr>
          <w:color w:val="1A1A1A"/>
          <w:sz w:val="22"/>
          <w:szCs w:val="22"/>
          <w:lang w:val="en-GB"/>
        </w:rPr>
        <w:t xml:space="preserve">he fall in global commodity prices, the government’s supply side measures to ease food inflation, </w:t>
      </w:r>
      <w:r w:rsidR="00C62EB2">
        <w:rPr>
          <w:color w:val="1A1A1A"/>
          <w:sz w:val="22"/>
          <w:szCs w:val="22"/>
          <w:lang w:val="en-GB"/>
        </w:rPr>
        <w:t>and</w:t>
      </w:r>
      <w:r w:rsidR="00C80ACF" w:rsidRPr="00C273FD">
        <w:rPr>
          <w:color w:val="1A1A1A"/>
          <w:sz w:val="22"/>
          <w:szCs w:val="22"/>
          <w:lang w:val="en-GB"/>
        </w:rPr>
        <w:t xml:space="preserve"> the anti-inflationary monetary policy stance of the RBI as part of its new </w:t>
      </w:r>
      <w:r w:rsidR="00C62EB2">
        <w:rPr>
          <w:color w:val="1A1A1A"/>
          <w:sz w:val="22"/>
          <w:szCs w:val="22"/>
          <w:lang w:val="en-GB"/>
        </w:rPr>
        <w:t>i</w:t>
      </w:r>
      <w:r w:rsidR="00C80ACF" w:rsidRPr="00C273FD">
        <w:rPr>
          <w:color w:val="1A1A1A"/>
          <w:sz w:val="22"/>
          <w:szCs w:val="22"/>
          <w:lang w:val="en-GB"/>
        </w:rPr>
        <w:t xml:space="preserve">nflationary </w:t>
      </w:r>
      <w:r w:rsidR="00C62EB2">
        <w:rPr>
          <w:color w:val="1A1A1A"/>
          <w:sz w:val="22"/>
          <w:szCs w:val="22"/>
          <w:lang w:val="en-GB"/>
        </w:rPr>
        <w:t>t</w:t>
      </w:r>
      <w:r w:rsidR="00C80ACF" w:rsidRPr="00C273FD">
        <w:rPr>
          <w:color w:val="1A1A1A"/>
          <w:sz w:val="22"/>
          <w:szCs w:val="22"/>
          <w:lang w:val="en-GB"/>
        </w:rPr>
        <w:t xml:space="preserve">argeting regime. </w:t>
      </w:r>
    </w:p>
    <w:p w14:paraId="15A3C9EA" w14:textId="77777777" w:rsidR="00C80ACF" w:rsidRPr="00C273FD" w:rsidRDefault="00C80ACF" w:rsidP="00C80ACF">
      <w:pPr>
        <w:widowControl w:val="0"/>
        <w:autoSpaceDE w:val="0"/>
        <w:autoSpaceDN w:val="0"/>
        <w:adjustRightInd w:val="0"/>
        <w:jc w:val="both"/>
        <w:rPr>
          <w:color w:val="1A1A1A"/>
          <w:sz w:val="22"/>
          <w:szCs w:val="22"/>
          <w:lang w:val="en-GB"/>
        </w:rPr>
      </w:pPr>
    </w:p>
    <w:p w14:paraId="4785C80F" w14:textId="020EB4E6"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The CPI-C declined from 9.4</w:t>
      </w:r>
      <w:r w:rsidR="00B50E48" w:rsidRPr="00C273FD">
        <w:rPr>
          <w:color w:val="1A1A1A"/>
          <w:sz w:val="22"/>
          <w:szCs w:val="22"/>
          <w:lang w:val="en-GB"/>
        </w:rPr>
        <w:t xml:space="preserve"> per cent</w:t>
      </w:r>
      <w:r w:rsidRPr="00C273FD">
        <w:rPr>
          <w:color w:val="1A1A1A"/>
          <w:sz w:val="22"/>
          <w:szCs w:val="22"/>
          <w:lang w:val="en-GB"/>
        </w:rPr>
        <w:t xml:space="preserve"> in 2013/14 to 4.9</w:t>
      </w:r>
      <w:r w:rsidR="00B50E48" w:rsidRPr="00C273FD">
        <w:rPr>
          <w:color w:val="1A1A1A"/>
          <w:sz w:val="22"/>
          <w:szCs w:val="22"/>
          <w:lang w:val="en-GB"/>
        </w:rPr>
        <w:t xml:space="preserve"> per cent</w:t>
      </w:r>
      <w:r w:rsidR="00E2275D" w:rsidRPr="00C273FD">
        <w:rPr>
          <w:color w:val="1A1A1A"/>
          <w:sz w:val="22"/>
          <w:szCs w:val="22"/>
          <w:lang w:val="en-GB"/>
        </w:rPr>
        <w:t xml:space="preserve"> in 2015/16 (s</w:t>
      </w:r>
      <w:r w:rsidRPr="00C273FD">
        <w:rPr>
          <w:color w:val="1A1A1A"/>
          <w:sz w:val="22"/>
          <w:szCs w:val="22"/>
          <w:lang w:val="en-GB"/>
        </w:rPr>
        <w:t xml:space="preserve">ee Exhibit 4). </w:t>
      </w:r>
      <w:r w:rsidR="00C62EB2">
        <w:rPr>
          <w:color w:val="1A1A1A"/>
          <w:sz w:val="22"/>
          <w:szCs w:val="22"/>
          <w:lang w:val="en-GB"/>
        </w:rPr>
        <w:t>From</w:t>
      </w:r>
      <w:r w:rsidR="00C62EB2" w:rsidRPr="00C273FD">
        <w:rPr>
          <w:color w:val="1A1A1A"/>
          <w:sz w:val="22"/>
          <w:szCs w:val="22"/>
          <w:lang w:val="en-GB"/>
        </w:rPr>
        <w:t xml:space="preserve"> </w:t>
      </w:r>
      <w:r w:rsidRPr="00C273FD">
        <w:rPr>
          <w:color w:val="1A1A1A"/>
          <w:sz w:val="22"/>
          <w:szCs w:val="22"/>
          <w:lang w:val="en-GB"/>
        </w:rPr>
        <w:t>September 2015</w:t>
      </w:r>
      <w:r w:rsidR="00C62EB2">
        <w:rPr>
          <w:color w:val="1A1A1A"/>
          <w:sz w:val="22"/>
          <w:szCs w:val="22"/>
          <w:lang w:val="en-GB"/>
        </w:rPr>
        <w:t xml:space="preserve"> to</w:t>
      </w:r>
      <w:r w:rsidRPr="00C273FD">
        <w:rPr>
          <w:color w:val="1A1A1A"/>
          <w:sz w:val="22"/>
          <w:szCs w:val="22"/>
          <w:lang w:val="en-GB"/>
        </w:rPr>
        <w:t xml:space="preserve"> January 2016, </w:t>
      </w:r>
      <w:r w:rsidR="00C62EB2">
        <w:rPr>
          <w:color w:val="1A1A1A"/>
          <w:sz w:val="22"/>
          <w:szCs w:val="22"/>
          <w:lang w:val="en-GB"/>
        </w:rPr>
        <w:t xml:space="preserve">the </w:t>
      </w:r>
      <w:r w:rsidRPr="00C273FD">
        <w:rPr>
          <w:color w:val="1A1A1A"/>
          <w:sz w:val="22"/>
          <w:szCs w:val="22"/>
          <w:lang w:val="en-GB"/>
        </w:rPr>
        <w:t>price of pulses rose</w:t>
      </w:r>
      <w:r w:rsidR="00C62EB2">
        <w:rPr>
          <w:color w:val="1A1A1A"/>
          <w:sz w:val="22"/>
          <w:szCs w:val="22"/>
          <w:lang w:val="en-GB"/>
        </w:rPr>
        <w:t>,</w:t>
      </w:r>
      <w:r w:rsidRPr="00C273FD">
        <w:rPr>
          <w:color w:val="1A1A1A"/>
          <w:sz w:val="22"/>
          <w:szCs w:val="22"/>
          <w:lang w:val="en-GB"/>
        </w:rPr>
        <w:t xml:space="preserve"> </w:t>
      </w:r>
      <w:r w:rsidR="00C62EB2">
        <w:rPr>
          <w:color w:val="1A1A1A"/>
          <w:sz w:val="22"/>
          <w:szCs w:val="22"/>
          <w:lang w:val="en-GB"/>
        </w:rPr>
        <w:t>which</w:t>
      </w:r>
      <w:r w:rsidR="00C62EB2" w:rsidRPr="00C273FD">
        <w:rPr>
          <w:color w:val="1A1A1A"/>
          <w:sz w:val="22"/>
          <w:szCs w:val="22"/>
          <w:lang w:val="en-GB"/>
        </w:rPr>
        <w:t xml:space="preserve"> </w:t>
      </w:r>
      <w:r w:rsidRPr="00C273FD">
        <w:rPr>
          <w:color w:val="1A1A1A"/>
          <w:sz w:val="22"/>
          <w:szCs w:val="22"/>
          <w:lang w:val="en-GB"/>
        </w:rPr>
        <w:t>led to the headline inflation reaching 5.7</w:t>
      </w:r>
      <w:r w:rsidR="00B50E48" w:rsidRPr="00C273FD">
        <w:rPr>
          <w:color w:val="1A1A1A"/>
          <w:sz w:val="22"/>
          <w:szCs w:val="22"/>
          <w:lang w:val="en-GB"/>
        </w:rPr>
        <w:t xml:space="preserve"> per cent</w:t>
      </w:r>
      <w:r w:rsidRPr="00C273FD">
        <w:rPr>
          <w:color w:val="1A1A1A"/>
          <w:sz w:val="22"/>
          <w:szCs w:val="22"/>
          <w:lang w:val="en-GB"/>
        </w:rPr>
        <w:t xml:space="preserve"> in January 2016</w:t>
      </w:r>
      <w:r w:rsidR="00E2275D" w:rsidRPr="00C273FD">
        <w:rPr>
          <w:color w:val="1A1A1A"/>
          <w:sz w:val="22"/>
          <w:szCs w:val="22"/>
          <w:lang w:val="en-GB"/>
        </w:rPr>
        <w:t>.</w:t>
      </w:r>
      <w:r w:rsidRPr="00C273FD">
        <w:rPr>
          <w:color w:val="1A1A1A"/>
          <w:sz w:val="22"/>
          <w:szCs w:val="22"/>
          <w:lang w:val="en-GB"/>
        </w:rPr>
        <w:t xml:space="preserve"> In the first quarter of 2016/17, prices </w:t>
      </w:r>
      <w:r w:rsidR="00624112">
        <w:rPr>
          <w:color w:val="1A1A1A"/>
          <w:sz w:val="22"/>
          <w:szCs w:val="22"/>
          <w:lang w:val="en-GB"/>
        </w:rPr>
        <w:t>rose for</w:t>
      </w:r>
      <w:r w:rsidR="00624112" w:rsidRPr="00C273FD">
        <w:rPr>
          <w:color w:val="1A1A1A"/>
          <w:sz w:val="22"/>
          <w:szCs w:val="22"/>
          <w:lang w:val="en-GB"/>
        </w:rPr>
        <w:t xml:space="preserve"> </w:t>
      </w:r>
      <w:r w:rsidRPr="00C273FD">
        <w:rPr>
          <w:color w:val="1A1A1A"/>
          <w:sz w:val="22"/>
          <w:szCs w:val="22"/>
          <w:lang w:val="en-GB"/>
        </w:rPr>
        <w:t>vegetables, sugar, protein-rich items</w:t>
      </w:r>
      <w:r w:rsidR="00624112">
        <w:rPr>
          <w:color w:val="1A1A1A"/>
          <w:sz w:val="22"/>
          <w:szCs w:val="22"/>
          <w:lang w:val="en-GB"/>
        </w:rPr>
        <w:t>,</w:t>
      </w:r>
      <w:r w:rsidRPr="00C273FD">
        <w:rPr>
          <w:color w:val="1A1A1A"/>
          <w:sz w:val="22"/>
          <w:szCs w:val="22"/>
          <w:lang w:val="en-GB"/>
        </w:rPr>
        <w:t xml:space="preserve"> and fruits. </w:t>
      </w:r>
      <w:r w:rsidR="00624112">
        <w:rPr>
          <w:color w:val="1A1A1A"/>
          <w:sz w:val="22"/>
          <w:szCs w:val="22"/>
          <w:lang w:val="en-GB"/>
        </w:rPr>
        <w:t>These price increases</w:t>
      </w:r>
      <w:r w:rsidR="00624112" w:rsidRPr="00C273FD">
        <w:rPr>
          <w:color w:val="1A1A1A"/>
          <w:sz w:val="22"/>
          <w:szCs w:val="22"/>
          <w:lang w:val="en-GB"/>
        </w:rPr>
        <w:t xml:space="preserve"> </w:t>
      </w:r>
      <w:proofErr w:type="gramStart"/>
      <w:r w:rsidR="00624112" w:rsidRPr="00C273FD">
        <w:rPr>
          <w:color w:val="1A1A1A"/>
          <w:sz w:val="22"/>
          <w:szCs w:val="22"/>
          <w:lang w:val="en-GB"/>
        </w:rPr>
        <w:t>w</w:t>
      </w:r>
      <w:r w:rsidR="00624112">
        <w:rPr>
          <w:color w:val="1A1A1A"/>
          <w:sz w:val="22"/>
          <w:szCs w:val="22"/>
          <w:lang w:val="en-GB"/>
        </w:rPr>
        <w:t>ere</w:t>
      </w:r>
      <w:r w:rsidR="00624112" w:rsidRPr="00C273FD">
        <w:rPr>
          <w:color w:val="1A1A1A"/>
          <w:sz w:val="22"/>
          <w:szCs w:val="22"/>
          <w:lang w:val="en-GB"/>
        </w:rPr>
        <w:t xml:space="preserve"> </w:t>
      </w:r>
      <w:r w:rsidRPr="00C273FD">
        <w:rPr>
          <w:color w:val="1A1A1A"/>
          <w:sz w:val="22"/>
          <w:szCs w:val="22"/>
          <w:lang w:val="en-GB"/>
        </w:rPr>
        <w:t>accompanied</w:t>
      </w:r>
      <w:proofErr w:type="gramEnd"/>
      <w:r w:rsidRPr="00C273FD">
        <w:rPr>
          <w:color w:val="1A1A1A"/>
          <w:sz w:val="22"/>
          <w:szCs w:val="22"/>
          <w:lang w:val="en-GB"/>
        </w:rPr>
        <w:t xml:space="preserve"> by the pass-through of higher global crude oil prices to the prices of petrol and diesel. Consequently, inflation recorded a 23-month high at 6.1 per cent in July 2016</w:t>
      </w:r>
      <w:r w:rsidR="00E2275D" w:rsidRPr="00C273FD">
        <w:rPr>
          <w:color w:val="1A1A1A"/>
          <w:sz w:val="22"/>
          <w:szCs w:val="22"/>
          <w:lang w:val="en-GB"/>
        </w:rPr>
        <w:t>.</w:t>
      </w:r>
    </w:p>
    <w:p w14:paraId="7203BD4C" w14:textId="77777777" w:rsidR="007D5924" w:rsidRDefault="007D5924" w:rsidP="00AB18DE">
      <w:pPr>
        <w:keepNext/>
        <w:widowControl w:val="0"/>
        <w:autoSpaceDE w:val="0"/>
        <w:autoSpaceDN w:val="0"/>
        <w:adjustRightInd w:val="0"/>
        <w:jc w:val="both"/>
        <w:rPr>
          <w:rFonts w:ascii="Arial" w:hAnsi="Arial" w:cs="Arial"/>
          <w:b/>
          <w:color w:val="1A1A1A"/>
          <w:lang w:val="en-GB"/>
        </w:rPr>
      </w:pPr>
    </w:p>
    <w:p w14:paraId="7CAD2D69" w14:textId="77777777" w:rsidR="0032504A" w:rsidRDefault="0032504A">
      <w:pPr>
        <w:spacing w:after="200" w:line="276" w:lineRule="auto"/>
        <w:rPr>
          <w:rFonts w:ascii="Arial" w:hAnsi="Arial" w:cs="Arial"/>
          <w:b/>
          <w:color w:val="1A1A1A"/>
          <w:lang w:val="en-GB"/>
        </w:rPr>
      </w:pPr>
      <w:r>
        <w:rPr>
          <w:rFonts w:ascii="Arial" w:hAnsi="Arial" w:cs="Arial"/>
          <w:b/>
          <w:color w:val="1A1A1A"/>
          <w:lang w:val="en-GB"/>
        </w:rPr>
        <w:br w:type="page"/>
      </w:r>
    </w:p>
    <w:p w14:paraId="63BD1751" w14:textId="62CA0EF8" w:rsidR="00C80ACF" w:rsidRPr="00C273FD" w:rsidRDefault="00624112" w:rsidP="00AB18DE">
      <w:pPr>
        <w:keepNext/>
        <w:widowControl w:val="0"/>
        <w:autoSpaceDE w:val="0"/>
        <w:autoSpaceDN w:val="0"/>
        <w:adjustRightInd w:val="0"/>
        <w:jc w:val="both"/>
        <w:rPr>
          <w:rFonts w:ascii="Arial" w:hAnsi="Arial" w:cs="Arial"/>
          <w:b/>
          <w:color w:val="1A1A1A"/>
          <w:lang w:val="en-GB"/>
        </w:rPr>
      </w:pPr>
      <w:r>
        <w:rPr>
          <w:rFonts w:ascii="Arial" w:hAnsi="Arial" w:cs="Arial"/>
          <w:b/>
          <w:color w:val="1A1A1A"/>
          <w:lang w:val="en-GB"/>
        </w:rPr>
        <w:lastRenderedPageBreak/>
        <w:t xml:space="preserve">The </w:t>
      </w:r>
      <w:r w:rsidR="00C80ACF" w:rsidRPr="00C273FD">
        <w:rPr>
          <w:rFonts w:ascii="Arial" w:hAnsi="Arial" w:cs="Arial"/>
          <w:b/>
          <w:color w:val="1A1A1A"/>
          <w:lang w:val="en-GB"/>
        </w:rPr>
        <w:t xml:space="preserve">External </w:t>
      </w:r>
      <w:r>
        <w:rPr>
          <w:rFonts w:ascii="Arial" w:hAnsi="Arial" w:cs="Arial"/>
          <w:b/>
          <w:color w:val="1A1A1A"/>
          <w:lang w:val="en-GB"/>
        </w:rPr>
        <w:t>S</w:t>
      </w:r>
      <w:r w:rsidR="00C80ACF" w:rsidRPr="00C273FD">
        <w:rPr>
          <w:rFonts w:ascii="Arial" w:hAnsi="Arial" w:cs="Arial"/>
          <w:b/>
          <w:color w:val="1A1A1A"/>
          <w:lang w:val="en-GB"/>
        </w:rPr>
        <w:t>ector</w:t>
      </w:r>
    </w:p>
    <w:p w14:paraId="683474A9" w14:textId="77777777" w:rsidR="00C80ACF" w:rsidRPr="00C273FD" w:rsidRDefault="00C80ACF" w:rsidP="00AB18DE">
      <w:pPr>
        <w:keepNext/>
        <w:widowControl w:val="0"/>
        <w:autoSpaceDE w:val="0"/>
        <w:autoSpaceDN w:val="0"/>
        <w:adjustRightInd w:val="0"/>
        <w:jc w:val="both"/>
        <w:rPr>
          <w:color w:val="1A1A1A"/>
          <w:sz w:val="22"/>
          <w:szCs w:val="22"/>
          <w:lang w:val="en-GB"/>
        </w:rPr>
      </w:pPr>
    </w:p>
    <w:p w14:paraId="3F6C695C" w14:textId="025B4264" w:rsidR="00C80ACF" w:rsidRPr="00C273FD" w:rsidRDefault="00C80ACF" w:rsidP="00AB18DE">
      <w:pPr>
        <w:keepNext/>
        <w:widowControl w:val="0"/>
        <w:autoSpaceDE w:val="0"/>
        <w:autoSpaceDN w:val="0"/>
        <w:adjustRightInd w:val="0"/>
        <w:jc w:val="both"/>
        <w:rPr>
          <w:color w:val="1A1A1A"/>
          <w:sz w:val="22"/>
          <w:szCs w:val="22"/>
          <w:lang w:val="en-GB"/>
        </w:rPr>
      </w:pPr>
      <w:r w:rsidRPr="00C273FD">
        <w:rPr>
          <w:color w:val="1A1A1A"/>
          <w:sz w:val="22"/>
          <w:szCs w:val="22"/>
          <w:lang w:val="en-GB"/>
        </w:rPr>
        <w:t xml:space="preserve">India also underwent a change during this period in terms of openness. India had been a closed economy prior to 1990/91, with exports and imports of goods and services accounting for 15.24 </w:t>
      </w:r>
      <w:r w:rsidR="00B50E48" w:rsidRPr="00C273FD">
        <w:rPr>
          <w:color w:val="1A1A1A"/>
          <w:sz w:val="22"/>
          <w:szCs w:val="22"/>
          <w:lang w:val="en-GB"/>
        </w:rPr>
        <w:t>per cent</w:t>
      </w:r>
      <w:r w:rsidRPr="00C273FD">
        <w:rPr>
          <w:color w:val="1A1A1A"/>
          <w:sz w:val="22"/>
          <w:szCs w:val="22"/>
          <w:lang w:val="en-GB"/>
        </w:rPr>
        <w:t xml:space="preserve"> of GDP (of which exports were 6.93</w:t>
      </w:r>
      <w:r w:rsidR="00B50E48" w:rsidRPr="00C273FD">
        <w:rPr>
          <w:color w:val="1A1A1A"/>
          <w:sz w:val="22"/>
          <w:szCs w:val="22"/>
          <w:lang w:val="en-GB"/>
        </w:rPr>
        <w:t xml:space="preserve"> per cent</w:t>
      </w:r>
      <w:r w:rsidRPr="00C273FD">
        <w:rPr>
          <w:color w:val="1A1A1A"/>
          <w:sz w:val="22"/>
          <w:szCs w:val="22"/>
          <w:lang w:val="en-GB"/>
        </w:rPr>
        <w:t xml:space="preserve">). This </w:t>
      </w:r>
      <w:r w:rsidR="009D3241">
        <w:rPr>
          <w:color w:val="1A1A1A"/>
          <w:sz w:val="22"/>
          <w:szCs w:val="22"/>
          <w:lang w:val="en-GB"/>
        </w:rPr>
        <w:t>share</w:t>
      </w:r>
      <w:r w:rsidR="009D3241" w:rsidRPr="00C273FD">
        <w:rPr>
          <w:color w:val="1A1A1A"/>
          <w:sz w:val="22"/>
          <w:szCs w:val="22"/>
          <w:lang w:val="en-GB"/>
        </w:rPr>
        <w:t xml:space="preserve"> </w:t>
      </w:r>
      <w:r w:rsidRPr="00C273FD">
        <w:rPr>
          <w:color w:val="1A1A1A"/>
          <w:sz w:val="22"/>
          <w:szCs w:val="22"/>
          <w:lang w:val="en-GB"/>
        </w:rPr>
        <w:t>rose to 56.4</w:t>
      </w:r>
      <w:r w:rsidR="00B50E48" w:rsidRPr="00C273FD">
        <w:rPr>
          <w:color w:val="1A1A1A"/>
          <w:sz w:val="22"/>
          <w:szCs w:val="22"/>
          <w:lang w:val="en-GB"/>
        </w:rPr>
        <w:t xml:space="preserve"> per cent</w:t>
      </w:r>
      <w:r w:rsidRPr="00C273FD">
        <w:rPr>
          <w:color w:val="1A1A1A"/>
          <w:sz w:val="22"/>
          <w:szCs w:val="22"/>
          <w:lang w:val="en-GB"/>
        </w:rPr>
        <w:t xml:space="preserve"> in 2012/13, before reducing to 43.5</w:t>
      </w:r>
      <w:r w:rsidR="00B50E48" w:rsidRPr="00C273FD">
        <w:rPr>
          <w:color w:val="1A1A1A"/>
          <w:sz w:val="22"/>
          <w:szCs w:val="22"/>
          <w:lang w:val="en-GB"/>
        </w:rPr>
        <w:t xml:space="preserve"> per cent</w:t>
      </w:r>
      <w:r w:rsidRPr="00C273FD">
        <w:rPr>
          <w:color w:val="1A1A1A"/>
          <w:sz w:val="22"/>
          <w:szCs w:val="22"/>
          <w:lang w:val="en-GB"/>
        </w:rPr>
        <w:t xml:space="preserve"> in 2015/16. The rise in openness (measured as current receipts and payments</w:t>
      </w:r>
      <w:r w:rsidR="00E2275D" w:rsidRPr="00C273FD">
        <w:rPr>
          <w:color w:val="1A1A1A"/>
          <w:sz w:val="22"/>
          <w:szCs w:val="22"/>
          <w:lang w:val="en-GB"/>
        </w:rPr>
        <w:t xml:space="preserve"> </w:t>
      </w:r>
      <w:r w:rsidRPr="00C273FD">
        <w:rPr>
          <w:i/>
          <w:iCs/>
          <w:color w:val="1A1A1A"/>
          <w:sz w:val="22"/>
          <w:szCs w:val="22"/>
          <w:lang w:val="en-GB"/>
        </w:rPr>
        <w:t>plus</w:t>
      </w:r>
      <w:r w:rsidR="00E2275D" w:rsidRPr="00C273FD">
        <w:rPr>
          <w:color w:val="1A1A1A"/>
          <w:sz w:val="22"/>
          <w:szCs w:val="22"/>
          <w:lang w:val="en-GB"/>
        </w:rPr>
        <w:t xml:space="preserve"> </w:t>
      </w:r>
      <w:r w:rsidRPr="00C273FD">
        <w:rPr>
          <w:color w:val="1A1A1A"/>
          <w:sz w:val="22"/>
          <w:szCs w:val="22"/>
          <w:lang w:val="en-GB"/>
        </w:rPr>
        <w:t>capital receipts and payments to GDP) was more dramatic</w:t>
      </w:r>
      <w:r w:rsidR="00624112">
        <w:rPr>
          <w:color w:val="1A1A1A"/>
          <w:sz w:val="22"/>
          <w:szCs w:val="22"/>
          <w:lang w:val="en-GB"/>
        </w:rPr>
        <w:t>,</w:t>
      </w:r>
      <w:r w:rsidRPr="00C273FD">
        <w:rPr>
          <w:color w:val="1A1A1A"/>
          <w:sz w:val="22"/>
          <w:szCs w:val="22"/>
          <w:lang w:val="en-GB"/>
        </w:rPr>
        <w:t xml:space="preserve"> </w:t>
      </w:r>
      <w:r w:rsidR="00C35849">
        <w:rPr>
          <w:color w:val="1A1A1A"/>
          <w:sz w:val="22"/>
          <w:szCs w:val="22"/>
          <w:lang w:val="en-GB"/>
        </w:rPr>
        <w:t xml:space="preserve">increasing </w:t>
      </w:r>
      <w:r w:rsidRPr="00C273FD">
        <w:rPr>
          <w:color w:val="1A1A1A"/>
          <w:sz w:val="22"/>
          <w:szCs w:val="22"/>
          <w:lang w:val="en-GB"/>
        </w:rPr>
        <w:t>from 42</w:t>
      </w:r>
      <w:r w:rsidR="007D5924">
        <w:rPr>
          <w:color w:val="1A1A1A"/>
          <w:sz w:val="22"/>
          <w:szCs w:val="22"/>
          <w:lang w:val="en-GB"/>
        </w:rPr>
        <w:t>.0</w:t>
      </w:r>
      <w:r w:rsidRPr="00C273FD">
        <w:rPr>
          <w:color w:val="1A1A1A"/>
          <w:sz w:val="22"/>
          <w:szCs w:val="22"/>
          <w:lang w:val="en-GB"/>
        </w:rPr>
        <w:t xml:space="preserve"> </w:t>
      </w:r>
      <w:r w:rsidR="00B50E48" w:rsidRPr="00C273FD">
        <w:rPr>
          <w:color w:val="1A1A1A"/>
          <w:sz w:val="22"/>
          <w:szCs w:val="22"/>
          <w:lang w:val="en-GB"/>
        </w:rPr>
        <w:t>per cent</w:t>
      </w:r>
      <w:r w:rsidRPr="00C273FD">
        <w:rPr>
          <w:color w:val="1A1A1A"/>
          <w:sz w:val="22"/>
          <w:szCs w:val="22"/>
          <w:lang w:val="en-GB"/>
        </w:rPr>
        <w:t xml:space="preserve"> of GDP in the 1990s to 113.3 </w:t>
      </w:r>
      <w:r w:rsidR="00B50E48" w:rsidRPr="00C273FD">
        <w:rPr>
          <w:color w:val="1A1A1A"/>
          <w:sz w:val="22"/>
          <w:szCs w:val="22"/>
          <w:lang w:val="en-GB"/>
        </w:rPr>
        <w:t>per cent</w:t>
      </w:r>
      <w:r w:rsidRPr="00C273FD">
        <w:rPr>
          <w:color w:val="1A1A1A"/>
          <w:sz w:val="22"/>
          <w:szCs w:val="22"/>
          <w:lang w:val="en-GB"/>
        </w:rPr>
        <w:t xml:space="preserve"> in 2013</w:t>
      </w:r>
      <w:r w:rsidR="00624112">
        <w:rPr>
          <w:color w:val="1A1A1A"/>
          <w:sz w:val="22"/>
          <w:szCs w:val="22"/>
          <w:lang w:val="en-GB"/>
        </w:rPr>
        <w:t>/</w:t>
      </w:r>
      <w:r w:rsidRPr="00C273FD">
        <w:rPr>
          <w:color w:val="1A1A1A"/>
          <w:sz w:val="22"/>
          <w:szCs w:val="22"/>
          <w:lang w:val="en-GB"/>
        </w:rPr>
        <w:t xml:space="preserve">14, when the trade flows </w:t>
      </w:r>
      <w:proofErr w:type="gramStart"/>
      <w:r w:rsidRPr="00C273FD">
        <w:rPr>
          <w:color w:val="1A1A1A"/>
          <w:sz w:val="22"/>
          <w:szCs w:val="22"/>
          <w:lang w:val="en-GB"/>
        </w:rPr>
        <w:t>were considered</w:t>
      </w:r>
      <w:proofErr w:type="gramEnd"/>
      <w:r w:rsidRPr="00C273FD">
        <w:rPr>
          <w:color w:val="1A1A1A"/>
          <w:sz w:val="22"/>
          <w:szCs w:val="22"/>
          <w:lang w:val="en-GB"/>
        </w:rPr>
        <w:t xml:space="preserve"> along</w:t>
      </w:r>
      <w:r w:rsidR="00E2275D" w:rsidRPr="00C273FD">
        <w:rPr>
          <w:color w:val="1A1A1A"/>
          <w:sz w:val="22"/>
          <w:szCs w:val="22"/>
          <w:lang w:val="en-GB"/>
        </w:rPr>
        <w:t xml:space="preserve"> </w:t>
      </w:r>
      <w:r w:rsidRPr="00C273FD">
        <w:rPr>
          <w:color w:val="1A1A1A"/>
          <w:sz w:val="22"/>
          <w:szCs w:val="22"/>
          <w:lang w:val="en-GB"/>
        </w:rPr>
        <w:t>with the capital flows</w:t>
      </w:r>
      <w:r w:rsidR="00E2275D" w:rsidRPr="00C273FD">
        <w:rPr>
          <w:color w:val="1A1A1A"/>
          <w:sz w:val="22"/>
          <w:szCs w:val="22"/>
          <w:lang w:val="en-GB"/>
        </w:rPr>
        <w:t>.</w:t>
      </w:r>
      <w:r w:rsidR="00841825" w:rsidRPr="00C273FD">
        <w:rPr>
          <w:rStyle w:val="EndnoteReference"/>
          <w:color w:val="1A1A1A"/>
          <w:sz w:val="22"/>
          <w:szCs w:val="22"/>
          <w:lang w:val="en-GB"/>
        </w:rPr>
        <w:endnoteReference w:id="68"/>
      </w:r>
      <w:r w:rsidRPr="00C273FD">
        <w:rPr>
          <w:color w:val="1A1A1A"/>
          <w:sz w:val="22"/>
          <w:szCs w:val="22"/>
          <w:lang w:val="en-GB"/>
        </w:rPr>
        <w:t xml:space="preserve"> Such increased openness of the Indian economy led to </w:t>
      </w:r>
      <w:r w:rsidR="00C35849">
        <w:rPr>
          <w:color w:val="1A1A1A"/>
          <w:sz w:val="22"/>
          <w:szCs w:val="22"/>
          <w:lang w:val="en-GB"/>
        </w:rPr>
        <w:t>India’s</w:t>
      </w:r>
      <w:r w:rsidR="00C35849" w:rsidRPr="00C273FD">
        <w:rPr>
          <w:color w:val="1A1A1A"/>
          <w:sz w:val="22"/>
          <w:szCs w:val="22"/>
          <w:lang w:val="en-GB"/>
        </w:rPr>
        <w:t xml:space="preserve"> </w:t>
      </w:r>
      <w:r w:rsidRPr="00C273FD">
        <w:rPr>
          <w:color w:val="1A1A1A"/>
          <w:sz w:val="22"/>
          <w:szCs w:val="22"/>
          <w:lang w:val="en-GB"/>
        </w:rPr>
        <w:t xml:space="preserve">trade and industrial cycles </w:t>
      </w:r>
      <w:proofErr w:type="gramStart"/>
      <w:r w:rsidR="00624112">
        <w:rPr>
          <w:color w:val="1A1A1A"/>
          <w:sz w:val="22"/>
          <w:szCs w:val="22"/>
          <w:lang w:val="en-GB"/>
        </w:rPr>
        <w:t>becoming</w:t>
      </w:r>
      <w:r w:rsidR="00624112" w:rsidRPr="00C273FD">
        <w:rPr>
          <w:color w:val="1A1A1A"/>
          <w:sz w:val="22"/>
          <w:szCs w:val="22"/>
          <w:lang w:val="en-GB"/>
        </w:rPr>
        <w:t xml:space="preserve"> </w:t>
      </w:r>
      <w:r w:rsidRPr="00C273FD">
        <w:rPr>
          <w:color w:val="1A1A1A"/>
          <w:sz w:val="22"/>
          <w:szCs w:val="22"/>
          <w:lang w:val="en-GB"/>
        </w:rPr>
        <w:t>more synchroni</w:t>
      </w:r>
      <w:r w:rsidR="00624112">
        <w:rPr>
          <w:color w:val="1A1A1A"/>
          <w:sz w:val="22"/>
          <w:szCs w:val="22"/>
          <w:lang w:val="en-GB"/>
        </w:rPr>
        <w:t>z</w:t>
      </w:r>
      <w:r w:rsidRPr="00C273FD">
        <w:rPr>
          <w:color w:val="1A1A1A"/>
          <w:sz w:val="22"/>
          <w:szCs w:val="22"/>
          <w:lang w:val="en-GB"/>
        </w:rPr>
        <w:t>ed</w:t>
      </w:r>
      <w:proofErr w:type="gramEnd"/>
      <w:r w:rsidRPr="00C273FD">
        <w:rPr>
          <w:color w:val="1A1A1A"/>
          <w:sz w:val="22"/>
          <w:szCs w:val="22"/>
          <w:lang w:val="en-GB"/>
        </w:rPr>
        <w:t xml:space="preserve"> with the global business cycle</w:t>
      </w:r>
      <w:r w:rsidR="00E2275D" w:rsidRPr="00C273FD">
        <w:rPr>
          <w:color w:val="1A1A1A"/>
          <w:sz w:val="22"/>
          <w:szCs w:val="22"/>
          <w:lang w:val="en-GB"/>
        </w:rPr>
        <w:t>.</w:t>
      </w:r>
      <w:r w:rsidRPr="00C273FD">
        <w:rPr>
          <w:rStyle w:val="EndnoteReference"/>
          <w:color w:val="1A1A1A"/>
          <w:sz w:val="22"/>
          <w:szCs w:val="22"/>
          <w:lang w:val="en-GB"/>
        </w:rPr>
        <w:endnoteReference w:id="69"/>
      </w:r>
    </w:p>
    <w:p w14:paraId="3D12D2D4" w14:textId="77777777" w:rsidR="00C80ACF" w:rsidRPr="00C273FD" w:rsidRDefault="00C80ACF" w:rsidP="00C80ACF">
      <w:pPr>
        <w:widowControl w:val="0"/>
        <w:autoSpaceDE w:val="0"/>
        <w:autoSpaceDN w:val="0"/>
        <w:adjustRightInd w:val="0"/>
        <w:jc w:val="both"/>
        <w:rPr>
          <w:color w:val="1A1A1A"/>
          <w:sz w:val="22"/>
          <w:szCs w:val="22"/>
          <w:lang w:val="en-GB"/>
        </w:rPr>
      </w:pPr>
    </w:p>
    <w:p w14:paraId="162ED1C8" w14:textId="1BFEF216" w:rsidR="00C80ACF" w:rsidRPr="00C273FD" w:rsidRDefault="00C80ACF" w:rsidP="00C80ACF">
      <w:pPr>
        <w:widowControl w:val="0"/>
        <w:autoSpaceDE w:val="0"/>
        <w:autoSpaceDN w:val="0"/>
        <w:adjustRightInd w:val="0"/>
        <w:jc w:val="both"/>
        <w:rPr>
          <w:color w:val="1A1A1A"/>
          <w:spacing w:val="-2"/>
          <w:kern w:val="22"/>
          <w:sz w:val="22"/>
          <w:szCs w:val="22"/>
          <w:lang w:val="en-GB"/>
        </w:rPr>
      </w:pPr>
      <w:r w:rsidRPr="00C273FD">
        <w:rPr>
          <w:color w:val="1A1A1A"/>
          <w:spacing w:val="-2"/>
          <w:kern w:val="22"/>
          <w:sz w:val="22"/>
          <w:szCs w:val="22"/>
          <w:lang w:val="en-GB"/>
        </w:rPr>
        <w:t xml:space="preserve">In 2015/16, </w:t>
      </w:r>
      <w:r w:rsidR="00C35849">
        <w:rPr>
          <w:color w:val="1A1A1A"/>
          <w:spacing w:val="-2"/>
          <w:kern w:val="22"/>
          <w:sz w:val="22"/>
          <w:szCs w:val="22"/>
          <w:lang w:val="en-GB"/>
        </w:rPr>
        <w:t>India’s</w:t>
      </w:r>
      <w:r w:rsidR="00C35849" w:rsidRPr="00C273FD">
        <w:rPr>
          <w:color w:val="1A1A1A"/>
          <w:spacing w:val="-2"/>
          <w:kern w:val="22"/>
          <w:sz w:val="22"/>
          <w:szCs w:val="22"/>
          <w:lang w:val="en-GB"/>
        </w:rPr>
        <w:t xml:space="preserve"> </w:t>
      </w:r>
      <w:r w:rsidRPr="00C273FD">
        <w:rPr>
          <w:color w:val="1A1A1A"/>
          <w:spacing w:val="-2"/>
          <w:kern w:val="22"/>
          <w:sz w:val="22"/>
          <w:szCs w:val="22"/>
          <w:lang w:val="en-GB"/>
        </w:rPr>
        <w:t>greater integration with the global economy manifested itself in a contraction of merchandise exports</w:t>
      </w:r>
      <w:r w:rsidR="00624112">
        <w:rPr>
          <w:color w:val="1A1A1A"/>
          <w:spacing w:val="-2"/>
          <w:kern w:val="22"/>
          <w:sz w:val="22"/>
          <w:szCs w:val="22"/>
          <w:lang w:val="en-GB"/>
        </w:rPr>
        <w:t>,</w:t>
      </w:r>
      <w:r w:rsidRPr="00C273FD">
        <w:rPr>
          <w:color w:val="1A1A1A"/>
          <w:spacing w:val="-2"/>
          <w:kern w:val="22"/>
          <w:sz w:val="22"/>
          <w:szCs w:val="22"/>
          <w:lang w:val="en-GB"/>
        </w:rPr>
        <w:t xml:space="preserve"> as the global economy witnessed a slump in commodity prices, weak global demand</w:t>
      </w:r>
      <w:r w:rsidR="00624112">
        <w:rPr>
          <w:color w:val="1A1A1A"/>
          <w:spacing w:val="-2"/>
          <w:kern w:val="22"/>
          <w:sz w:val="22"/>
          <w:szCs w:val="22"/>
          <w:lang w:val="en-GB"/>
        </w:rPr>
        <w:t>,</w:t>
      </w:r>
      <w:r w:rsidRPr="00C273FD">
        <w:rPr>
          <w:color w:val="1A1A1A"/>
          <w:spacing w:val="-2"/>
          <w:kern w:val="22"/>
          <w:sz w:val="22"/>
          <w:szCs w:val="22"/>
          <w:lang w:val="en-GB"/>
        </w:rPr>
        <w:t xml:space="preserve"> and a surge in protectionist measures across advanced and emerging economies. With several key exports experiencing a decline in </w:t>
      </w:r>
      <w:r w:rsidR="00624112">
        <w:rPr>
          <w:color w:val="1A1A1A"/>
          <w:spacing w:val="-2"/>
          <w:kern w:val="22"/>
          <w:sz w:val="22"/>
          <w:szCs w:val="22"/>
          <w:lang w:val="en-GB"/>
        </w:rPr>
        <w:t xml:space="preserve">terms of </w:t>
      </w:r>
      <w:r w:rsidRPr="00C273FD">
        <w:rPr>
          <w:color w:val="1A1A1A"/>
          <w:spacing w:val="-2"/>
          <w:kern w:val="22"/>
          <w:sz w:val="22"/>
          <w:szCs w:val="22"/>
          <w:lang w:val="en-GB"/>
        </w:rPr>
        <w:t>both value and volume, overall exports d</w:t>
      </w:r>
      <w:r w:rsidR="00E2275D" w:rsidRPr="00C273FD">
        <w:rPr>
          <w:color w:val="1A1A1A"/>
          <w:spacing w:val="-2"/>
          <w:kern w:val="22"/>
          <w:sz w:val="22"/>
          <w:szCs w:val="22"/>
          <w:lang w:val="en-GB"/>
        </w:rPr>
        <w:t>eclined by 15.5 per cent to $</w:t>
      </w:r>
      <w:r w:rsidRPr="00C273FD">
        <w:rPr>
          <w:color w:val="1A1A1A"/>
          <w:spacing w:val="-2"/>
          <w:kern w:val="22"/>
          <w:sz w:val="22"/>
          <w:szCs w:val="22"/>
          <w:lang w:val="en-GB"/>
        </w:rPr>
        <w:t>262.3 billion. With global oil prices declining, refined petroleum exports, accounting for about 11.6</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of India’s exports, shrunk by </w:t>
      </w:r>
      <w:r w:rsidR="00DE1E17" w:rsidRPr="00C273FD">
        <w:rPr>
          <w:color w:val="1A1A1A"/>
          <w:spacing w:val="-2"/>
          <w:kern w:val="22"/>
          <w:sz w:val="22"/>
          <w:szCs w:val="22"/>
          <w:lang w:val="en-GB"/>
        </w:rPr>
        <w:t>a</w:t>
      </w:r>
      <w:r w:rsidR="00DE1E17">
        <w:rPr>
          <w:color w:val="1A1A1A"/>
          <w:spacing w:val="-2"/>
          <w:kern w:val="22"/>
          <w:sz w:val="22"/>
          <w:szCs w:val="22"/>
          <w:lang w:val="en-GB"/>
        </w:rPr>
        <w:t>pproximately</w:t>
      </w:r>
      <w:r w:rsidR="00DE1E17" w:rsidRPr="00C273FD">
        <w:rPr>
          <w:color w:val="1A1A1A"/>
          <w:spacing w:val="-2"/>
          <w:kern w:val="22"/>
          <w:sz w:val="22"/>
          <w:szCs w:val="22"/>
          <w:lang w:val="en-GB"/>
        </w:rPr>
        <w:t xml:space="preserve"> </w:t>
      </w:r>
      <w:r w:rsidRPr="00C273FD">
        <w:rPr>
          <w:color w:val="1A1A1A"/>
          <w:spacing w:val="-2"/>
          <w:kern w:val="22"/>
          <w:sz w:val="22"/>
          <w:szCs w:val="22"/>
          <w:lang w:val="en-GB"/>
        </w:rPr>
        <w:t>50</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Similarly, weakening demand in key markets led to a decline in other key non-oil exports, </w:t>
      </w:r>
      <w:r w:rsidR="00624112">
        <w:rPr>
          <w:color w:val="1A1A1A"/>
          <w:spacing w:val="-2"/>
          <w:kern w:val="22"/>
          <w:sz w:val="22"/>
          <w:szCs w:val="22"/>
          <w:lang w:val="en-GB"/>
        </w:rPr>
        <w:t>such as</w:t>
      </w:r>
      <w:r w:rsidRPr="00C273FD">
        <w:rPr>
          <w:color w:val="1A1A1A"/>
          <w:spacing w:val="-2"/>
          <w:kern w:val="22"/>
          <w:sz w:val="22"/>
          <w:szCs w:val="22"/>
          <w:lang w:val="en-GB"/>
        </w:rPr>
        <w:t xml:space="preserve"> engineering </w:t>
      </w:r>
      <w:proofErr w:type="gramStart"/>
      <w:r w:rsidRPr="00C273FD">
        <w:rPr>
          <w:color w:val="1A1A1A"/>
          <w:spacing w:val="-2"/>
          <w:kern w:val="22"/>
          <w:sz w:val="22"/>
          <w:szCs w:val="22"/>
          <w:lang w:val="en-GB"/>
        </w:rPr>
        <w:t>goods and gems</w:t>
      </w:r>
      <w:proofErr w:type="gramEnd"/>
      <w:r w:rsidRPr="00C273FD">
        <w:rPr>
          <w:color w:val="1A1A1A"/>
          <w:spacing w:val="-2"/>
          <w:kern w:val="22"/>
          <w:sz w:val="22"/>
          <w:szCs w:val="22"/>
          <w:lang w:val="en-GB"/>
        </w:rPr>
        <w:t xml:space="preserve"> and jewellery</w:t>
      </w:r>
      <w:r w:rsidR="00624112">
        <w:rPr>
          <w:color w:val="1A1A1A"/>
          <w:spacing w:val="-2"/>
          <w:kern w:val="22"/>
          <w:sz w:val="22"/>
          <w:szCs w:val="22"/>
          <w:lang w:val="en-GB"/>
        </w:rPr>
        <w:t>,</w:t>
      </w:r>
      <w:r w:rsidRPr="00C273FD">
        <w:rPr>
          <w:color w:val="1A1A1A"/>
          <w:spacing w:val="-2"/>
          <w:kern w:val="22"/>
          <w:sz w:val="22"/>
          <w:szCs w:val="22"/>
          <w:lang w:val="en-GB"/>
        </w:rPr>
        <w:t xml:space="preserve"> with shares of 23.1</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and 15</w:t>
      </w:r>
      <w:r w:rsidR="00B50E48" w:rsidRPr="00C273FD">
        <w:rPr>
          <w:color w:val="1A1A1A"/>
          <w:spacing w:val="-2"/>
          <w:kern w:val="22"/>
          <w:sz w:val="22"/>
          <w:szCs w:val="22"/>
          <w:lang w:val="en-GB"/>
        </w:rPr>
        <w:t xml:space="preserve"> per cent</w:t>
      </w:r>
      <w:r w:rsidR="00624112">
        <w:rPr>
          <w:color w:val="1A1A1A"/>
          <w:spacing w:val="-2"/>
          <w:kern w:val="22"/>
          <w:sz w:val="22"/>
          <w:szCs w:val="22"/>
          <w:lang w:val="en-GB"/>
        </w:rPr>
        <w:t>, respectively,</w:t>
      </w:r>
      <w:r w:rsidRPr="00C273FD">
        <w:rPr>
          <w:color w:val="1A1A1A"/>
          <w:spacing w:val="-2"/>
          <w:kern w:val="22"/>
          <w:sz w:val="22"/>
          <w:szCs w:val="22"/>
          <w:lang w:val="en-GB"/>
        </w:rPr>
        <w:t xml:space="preserve"> in India’s total exports. These sectors experienced declines of about 18</w:t>
      </w:r>
      <w:r w:rsidR="00B50E48" w:rsidRPr="00C273FD">
        <w:rPr>
          <w:color w:val="1A1A1A"/>
          <w:spacing w:val="-2"/>
          <w:kern w:val="22"/>
          <w:sz w:val="22"/>
          <w:szCs w:val="22"/>
          <w:lang w:val="en-GB"/>
        </w:rPr>
        <w:t xml:space="preserve"> per cent</w:t>
      </w:r>
      <w:r w:rsidRPr="00C273FD">
        <w:rPr>
          <w:color w:val="1A1A1A"/>
          <w:spacing w:val="-2"/>
          <w:kern w:val="22"/>
          <w:sz w:val="22"/>
          <w:szCs w:val="22"/>
          <w:lang w:val="en-GB"/>
        </w:rPr>
        <w:t xml:space="preserve"> and 5</w:t>
      </w:r>
      <w:r w:rsidR="00B50E48" w:rsidRPr="00C273FD">
        <w:rPr>
          <w:color w:val="1A1A1A"/>
          <w:spacing w:val="-2"/>
          <w:kern w:val="22"/>
          <w:sz w:val="22"/>
          <w:szCs w:val="22"/>
          <w:lang w:val="en-GB"/>
        </w:rPr>
        <w:t xml:space="preserve"> per cent</w:t>
      </w:r>
      <w:r w:rsidR="0053346E">
        <w:rPr>
          <w:color w:val="1A1A1A"/>
          <w:spacing w:val="-2"/>
          <w:kern w:val="22"/>
          <w:sz w:val="22"/>
          <w:szCs w:val="22"/>
          <w:lang w:val="en-GB"/>
        </w:rPr>
        <w:t>,</w:t>
      </w:r>
      <w:r w:rsidRPr="00C273FD">
        <w:rPr>
          <w:color w:val="1A1A1A"/>
          <w:spacing w:val="-2"/>
          <w:kern w:val="22"/>
          <w:sz w:val="22"/>
          <w:szCs w:val="22"/>
          <w:lang w:val="en-GB"/>
        </w:rPr>
        <w:t xml:space="preserve"> respectively. Exports, which expanded for the first time in 19 months in June 2016</w:t>
      </w:r>
      <w:r w:rsidR="00624112">
        <w:rPr>
          <w:color w:val="1A1A1A"/>
          <w:spacing w:val="-2"/>
          <w:kern w:val="22"/>
          <w:sz w:val="22"/>
          <w:szCs w:val="22"/>
          <w:lang w:val="en-GB"/>
        </w:rPr>
        <w:t>,</w:t>
      </w:r>
      <w:r w:rsidRPr="00C273FD">
        <w:rPr>
          <w:color w:val="1A1A1A"/>
          <w:spacing w:val="-2"/>
          <w:kern w:val="22"/>
          <w:sz w:val="22"/>
          <w:szCs w:val="22"/>
          <w:lang w:val="en-GB"/>
        </w:rPr>
        <w:t xml:space="preserve"> again declined in July 2016</w:t>
      </w:r>
      <w:r w:rsidR="00E2275D" w:rsidRPr="00C273FD">
        <w:rPr>
          <w:color w:val="1A1A1A"/>
          <w:spacing w:val="-2"/>
          <w:kern w:val="22"/>
          <w:sz w:val="22"/>
          <w:szCs w:val="22"/>
          <w:lang w:val="en-GB"/>
        </w:rPr>
        <w:t>.</w:t>
      </w:r>
      <w:r w:rsidRPr="00C273FD">
        <w:rPr>
          <w:rStyle w:val="EndnoteReference"/>
          <w:color w:val="1A1A1A"/>
          <w:spacing w:val="-2"/>
          <w:kern w:val="22"/>
          <w:sz w:val="22"/>
          <w:szCs w:val="22"/>
          <w:lang w:val="en-GB"/>
        </w:rPr>
        <w:endnoteReference w:id="70"/>
      </w:r>
      <w:r w:rsidRPr="00C273FD">
        <w:rPr>
          <w:color w:val="1A1A1A"/>
          <w:spacing w:val="-2"/>
          <w:kern w:val="22"/>
          <w:sz w:val="22"/>
          <w:szCs w:val="22"/>
          <w:lang w:val="en-GB"/>
        </w:rPr>
        <w:t xml:space="preserve"> </w:t>
      </w:r>
    </w:p>
    <w:p w14:paraId="1D329311" w14:textId="77777777" w:rsidR="00C80ACF" w:rsidRPr="00C273FD" w:rsidRDefault="00C80ACF" w:rsidP="00C80ACF">
      <w:pPr>
        <w:widowControl w:val="0"/>
        <w:autoSpaceDE w:val="0"/>
        <w:autoSpaceDN w:val="0"/>
        <w:adjustRightInd w:val="0"/>
        <w:jc w:val="both"/>
        <w:rPr>
          <w:color w:val="1A1A1A"/>
          <w:sz w:val="22"/>
          <w:szCs w:val="22"/>
          <w:lang w:val="en-GB"/>
        </w:rPr>
      </w:pPr>
    </w:p>
    <w:p w14:paraId="3840A980" w14:textId="3CC90EE7"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The price of imported crude oil</w:t>
      </w:r>
      <w:r w:rsidR="00624112">
        <w:rPr>
          <w:color w:val="1A1A1A"/>
          <w:sz w:val="22"/>
          <w:szCs w:val="22"/>
          <w:lang w:val="en-GB"/>
        </w:rPr>
        <w:t>—</w:t>
      </w:r>
      <w:r w:rsidRPr="00C273FD">
        <w:rPr>
          <w:color w:val="1A1A1A"/>
          <w:sz w:val="22"/>
          <w:szCs w:val="22"/>
          <w:lang w:val="en-GB"/>
        </w:rPr>
        <w:t>the key component of India’s merchandise imports</w:t>
      </w:r>
      <w:r w:rsidR="00624112">
        <w:rPr>
          <w:color w:val="1A1A1A"/>
          <w:sz w:val="22"/>
          <w:szCs w:val="22"/>
          <w:lang w:val="en-GB"/>
        </w:rPr>
        <w:t>—</w:t>
      </w:r>
      <w:r w:rsidRPr="00C273FD">
        <w:rPr>
          <w:color w:val="1A1A1A"/>
          <w:sz w:val="22"/>
          <w:szCs w:val="22"/>
          <w:lang w:val="en-GB"/>
        </w:rPr>
        <w:t>reduced sharply by 45</w:t>
      </w:r>
      <w:r w:rsidR="00B50E48" w:rsidRPr="00C273FD">
        <w:rPr>
          <w:color w:val="1A1A1A"/>
          <w:sz w:val="22"/>
          <w:szCs w:val="22"/>
          <w:lang w:val="en-GB"/>
        </w:rPr>
        <w:t xml:space="preserve"> per cent</w:t>
      </w:r>
      <w:r w:rsidRPr="00C273FD">
        <w:rPr>
          <w:color w:val="1A1A1A"/>
          <w:sz w:val="22"/>
          <w:szCs w:val="22"/>
          <w:lang w:val="en-GB"/>
        </w:rPr>
        <w:t xml:space="preserve"> in 2015/16, leading to a reduction in the oil import bill. India’s merchandise imports thus contracted by 15</w:t>
      </w:r>
      <w:r w:rsidR="00B50E48" w:rsidRPr="00C273FD">
        <w:rPr>
          <w:color w:val="1A1A1A"/>
          <w:sz w:val="22"/>
          <w:szCs w:val="22"/>
          <w:lang w:val="en-GB"/>
        </w:rPr>
        <w:t xml:space="preserve"> per cent</w:t>
      </w:r>
      <w:r w:rsidR="00E2275D" w:rsidRPr="00C273FD">
        <w:rPr>
          <w:color w:val="1A1A1A"/>
          <w:sz w:val="22"/>
          <w:szCs w:val="22"/>
          <w:lang w:val="en-GB"/>
        </w:rPr>
        <w:t xml:space="preserve"> to $</w:t>
      </w:r>
      <w:r w:rsidRPr="00C273FD">
        <w:rPr>
          <w:color w:val="1A1A1A"/>
          <w:sz w:val="22"/>
          <w:szCs w:val="22"/>
          <w:lang w:val="en-GB"/>
        </w:rPr>
        <w:t>381.0 billion in 2015/16</w:t>
      </w:r>
      <w:r w:rsidR="00E2275D" w:rsidRPr="00C273FD">
        <w:rPr>
          <w:color w:val="1A1A1A"/>
          <w:sz w:val="22"/>
          <w:szCs w:val="22"/>
          <w:lang w:val="en-GB"/>
        </w:rPr>
        <w:t>.</w:t>
      </w:r>
      <w:r w:rsidRPr="00C273FD">
        <w:rPr>
          <w:rStyle w:val="EndnoteReference"/>
          <w:color w:val="1A1A1A"/>
          <w:sz w:val="22"/>
          <w:szCs w:val="22"/>
          <w:lang w:val="en-GB"/>
        </w:rPr>
        <w:endnoteReference w:id="71"/>
      </w:r>
      <w:r w:rsidRPr="00C273FD">
        <w:rPr>
          <w:color w:val="1A1A1A"/>
          <w:sz w:val="22"/>
          <w:szCs w:val="22"/>
          <w:lang w:val="en-GB"/>
        </w:rPr>
        <w:t xml:space="preserve"> The other major component of imports</w:t>
      </w:r>
      <w:r w:rsidR="00624112">
        <w:rPr>
          <w:color w:val="1A1A1A"/>
          <w:sz w:val="22"/>
          <w:szCs w:val="22"/>
          <w:lang w:val="en-GB"/>
        </w:rPr>
        <w:t>—</w:t>
      </w:r>
      <w:r w:rsidRPr="00C273FD">
        <w:rPr>
          <w:color w:val="1A1A1A"/>
          <w:sz w:val="22"/>
          <w:szCs w:val="22"/>
          <w:lang w:val="en-GB"/>
        </w:rPr>
        <w:t>gold</w:t>
      </w:r>
      <w:r w:rsidR="00624112">
        <w:rPr>
          <w:color w:val="1A1A1A"/>
          <w:sz w:val="22"/>
          <w:szCs w:val="22"/>
          <w:lang w:val="en-GB"/>
        </w:rPr>
        <w:t>—</w:t>
      </w:r>
      <w:r w:rsidRPr="00C273FD">
        <w:rPr>
          <w:color w:val="1A1A1A"/>
          <w:sz w:val="22"/>
          <w:szCs w:val="22"/>
          <w:lang w:val="en-GB"/>
        </w:rPr>
        <w:t>fell by 16</w:t>
      </w:r>
      <w:r w:rsidR="00B50E48" w:rsidRPr="00C273FD">
        <w:rPr>
          <w:color w:val="1A1A1A"/>
          <w:sz w:val="22"/>
          <w:szCs w:val="22"/>
          <w:lang w:val="en-GB"/>
        </w:rPr>
        <w:t xml:space="preserve"> per cent</w:t>
      </w:r>
      <w:r w:rsidR="00624112">
        <w:rPr>
          <w:color w:val="1A1A1A"/>
          <w:sz w:val="22"/>
          <w:szCs w:val="22"/>
          <w:lang w:val="en-GB"/>
        </w:rPr>
        <w:t>,</w:t>
      </w:r>
      <w:r w:rsidRPr="00C273FD">
        <w:rPr>
          <w:color w:val="1A1A1A"/>
          <w:sz w:val="22"/>
          <w:szCs w:val="22"/>
          <w:lang w:val="en-GB"/>
        </w:rPr>
        <w:t xml:space="preserve"> owing to higher gold prices </w:t>
      </w:r>
      <w:r w:rsidR="00624112">
        <w:rPr>
          <w:color w:val="1A1A1A"/>
          <w:sz w:val="22"/>
          <w:szCs w:val="22"/>
          <w:lang w:val="en-GB"/>
        </w:rPr>
        <w:t xml:space="preserve">and </w:t>
      </w:r>
      <w:r w:rsidRPr="00C273FD">
        <w:rPr>
          <w:color w:val="1A1A1A"/>
          <w:sz w:val="22"/>
          <w:szCs w:val="22"/>
          <w:lang w:val="en-GB"/>
        </w:rPr>
        <w:t xml:space="preserve">a strike by Indian </w:t>
      </w:r>
      <w:r w:rsidR="00E2275D" w:rsidRPr="00C273FD">
        <w:rPr>
          <w:color w:val="1A1A1A"/>
          <w:sz w:val="22"/>
          <w:szCs w:val="22"/>
          <w:lang w:val="en-GB"/>
        </w:rPr>
        <w:t>jewellers</w:t>
      </w:r>
      <w:r w:rsidRPr="00C273FD">
        <w:rPr>
          <w:color w:val="1A1A1A"/>
          <w:sz w:val="22"/>
          <w:szCs w:val="22"/>
          <w:lang w:val="en-GB"/>
        </w:rPr>
        <w:t xml:space="preserve"> to protest the reintroduction of </w:t>
      </w:r>
      <w:r w:rsidR="0053346E">
        <w:rPr>
          <w:color w:val="1A1A1A"/>
          <w:sz w:val="22"/>
          <w:szCs w:val="22"/>
          <w:lang w:val="en-GB"/>
        </w:rPr>
        <w:t xml:space="preserve">the </w:t>
      </w:r>
      <w:r w:rsidRPr="00C273FD">
        <w:rPr>
          <w:color w:val="1A1A1A"/>
          <w:sz w:val="22"/>
          <w:szCs w:val="22"/>
          <w:lang w:val="en-GB"/>
        </w:rPr>
        <w:t>excise duty on gold jewellery</w:t>
      </w:r>
      <w:r w:rsidR="00624112">
        <w:rPr>
          <w:color w:val="1A1A1A"/>
          <w:sz w:val="22"/>
          <w:szCs w:val="22"/>
          <w:lang w:val="en-GB"/>
        </w:rPr>
        <w:t>.</w:t>
      </w:r>
      <w:r w:rsidRPr="00C273FD">
        <w:rPr>
          <w:rStyle w:val="EndnoteReference"/>
          <w:color w:val="1A1A1A"/>
          <w:sz w:val="22"/>
          <w:szCs w:val="22"/>
          <w:lang w:val="en-GB"/>
        </w:rPr>
        <w:endnoteReference w:id="72"/>
      </w:r>
      <w:r w:rsidRPr="00C273FD">
        <w:rPr>
          <w:color w:val="1A1A1A"/>
          <w:sz w:val="22"/>
          <w:szCs w:val="22"/>
          <w:lang w:val="en-GB"/>
        </w:rPr>
        <w:t xml:space="preserve"> Non-oil</w:t>
      </w:r>
      <w:r w:rsidR="0053346E">
        <w:rPr>
          <w:color w:val="1A1A1A"/>
          <w:sz w:val="22"/>
          <w:szCs w:val="22"/>
          <w:lang w:val="en-GB"/>
        </w:rPr>
        <w:t>,</w:t>
      </w:r>
      <w:r w:rsidRPr="00C273FD">
        <w:rPr>
          <w:color w:val="1A1A1A"/>
          <w:sz w:val="22"/>
          <w:szCs w:val="22"/>
          <w:lang w:val="en-GB"/>
        </w:rPr>
        <w:t xml:space="preserve"> non-gold imports, including project goods, transport equipment, iron and steel, chemicals, pearls and stone, </w:t>
      </w:r>
      <w:r w:rsidR="0011387F">
        <w:rPr>
          <w:color w:val="1A1A1A"/>
          <w:sz w:val="22"/>
          <w:szCs w:val="22"/>
          <w:lang w:val="en-GB"/>
        </w:rPr>
        <w:t xml:space="preserve">and </w:t>
      </w:r>
      <w:r w:rsidRPr="00C273FD">
        <w:rPr>
          <w:color w:val="1A1A1A"/>
          <w:sz w:val="22"/>
          <w:szCs w:val="22"/>
          <w:lang w:val="en-GB"/>
        </w:rPr>
        <w:t>ores and coal, recorded a broad-based decline. Net invisibles</w:t>
      </w:r>
      <w:r w:rsidR="002201D2">
        <w:rPr>
          <w:color w:val="1A1A1A"/>
          <w:sz w:val="22"/>
          <w:szCs w:val="22"/>
          <w:lang w:val="en-GB"/>
        </w:rPr>
        <w:t xml:space="preserve"> (i.e.</w:t>
      </w:r>
      <w:r w:rsidR="007D5924">
        <w:rPr>
          <w:color w:val="1A1A1A"/>
          <w:sz w:val="22"/>
          <w:szCs w:val="22"/>
          <w:lang w:val="en-GB"/>
        </w:rPr>
        <w:t>,</w:t>
      </w:r>
      <w:r w:rsidR="002201D2">
        <w:rPr>
          <w:color w:val="1A1A1A"/>
          <w:sz w:val="22"/>
          <w:szCs w:val="22"/>
          <w:lang w:val="en-GB"/>
        </w:rPr>
        <w:t xml:space="preserve"> transactions that did</w:t>
      </w:r>
      <w:r w:rsidR="00E53098">
        <w:rPr>
          <w:color w:val="1A1A1A"/>
          <w:sz w:val="22"/>
          <w:szCs w:val="22"/>
          <w:lang w:val="en-GB"/>
        </w:rPr>
        <w:t xml:space="preserve"> not involve the transfer of tangible goods, such as services, primary income, a</w:t>
      </w:r>
      <w:r w:rsidR="007D5924">
        <w:rPr>
          <w:color w:val="1A1A1A"/>
          <w:sz w:val="22"/>
          <w:szCs w:val="22"/>
          <w:lang w:val="en-GB"/>
        </w:rPr>
        <w:t>nd</w:t>
      </w:r>
      <w:r w:rsidR="00E53098">
        <w:rPr>
          <w:color w:val="1A1A1A"/>
          <w:sz w:val="22"/>
          <w:szCs w:val="22"/>
          <w:lang w:val="en-GB"/>
        </w:rPr>
        <w:t xml:space="preserve"> remittances)</w:t>
      </w:r>
      <w:r w:rsidRPr="00C273FD">
        <w:rPr>
          <w:color w:val="1A1A1A"/>
          <w:sz w:val="22"/>
          <w:szCs w:val="22"/>
          <w:lang w:val="en-GB"/>
        </w:rPr>
        <w:t xml:space="preserve"> witnessed a decline, partly </w:t>
      </w:r>
      <w:proofErr w:type="gramStart"/>
      <w:r w:rsidR="0053346E">
        <w:rPr>
          <w:color w:val="1A1A1A"/>
          <w:sz w:val="22"/>
          <w:szCs w:val="22"/>
          <w:lang w:val="en-GB"/>
        </w:rPr>
        <w:t>as a result</w:t>
      </w:r>
      <w:proofErr w:type="gramEnd"/>
      <w:r w:rsidR="0053346E">
        <w:rPr>
          <w:color w:val="1A1A1A"/>
          <w:sz w:val="22"/>
          <w:szCs w:val="22"/>
          <w:lang w:val="en-GB"/>
        </w:rPr>
        <w:t xml:space="preserve"> </w:t>
      </w:r>
      <w:r w:rsidRPr="00C273FD">
        <w:rPr>
          <w:color w:val="1A1A1A"/>
          <w:sz w:val="22"/>
          <w:szCs w:val="22"/>
          <w:lang w:val="en-GB"/>
        </w:rPr>
        <w:t>of a fall in the remittances</w:t>
      </w:r>
      <w:r w:rsidR="00E2275D" w:rsidRPr="00C273FD">
        <w:rPr>
          <w:color w:val="1A1A1A"/>
          <w:sz w:val="22"/>
          <w:szCs w:val="22"/>
          <w:lang w:val="en-GB"/>
        </w:rPr>
        <w:t>.</w:t>
      </w:r>
      <w:r w:rsidRPr="00C273FD">
        <w:rPr>
          <w:color w:val="1A1A1A"/>
          <w:sz w:val="22"/>
          <w:szCs w:val="22"/>
          <w:lang w:val="en-GB"/>
        </w:rPr>
        <w:t xml:space="preserve"> However, </w:t>
      </w:r>
      <w:proofErr w:type="gramStart"/>
      <w:r w:rsidR="0011387F">
        <w:rPr>
          <w:color w:val="1A1A1A"/>
          <w:sz w:val="22"/>
          <w:szCs w:val="22"/>
          <w:lang w:val="en-GB"/>
        </w:rPr>
        <w:t>as a result</w:t>
      </w:r>
      <w:proofErr w:type="gramEnd"/>
      <w:r w:rsidR="0011387F" w:rsidRPr="00C273FD">
        <w:rPr>
          <w:color w:val="1A1A1A"/>
          <w:sz w:val="22"/>
          <w:szCs w:val="22"/>
          <w:lang w:val="en-GB"/>
        </w:rPr>
        <w:t xml:space="preserve"> of the sharp fall in the merchandise trade deficit</w:t>
      </w:r>
      <w:r w:rsidR="0011387F">
        <w:rPr>
          <w:color w:val="1A1A1A"/>
          <w:sz w:val="22"/>
          <w:szCs w:val="22"/>
          <w:lang w:val="en-GB"/>
        </w:rPr>
        <w:t>,</w:t>
      </w:r>
      <w:r w:rsidR="0011387F" w:rsidRPr="00C273FD">
        <w:rPr>
          <w:color w:val="1A1A1A"/>
          <w:sz w:val="22"/>
          <w:szCs w:val="22"/>
          <w:lang w:val="en-GB"/>
        </w:rPr>
        <w:t xml:space="preserve"> </w:t>
      </w:r>
      <w:r w:rsidRPr="00C273FD">
        <w:rPr>
          <w:color w:val="1A1A1A"/>
          <w:sz w:val="22"/>
          <w:szCs w:val="22"/>
          <w:lang w:val="en-GB"/>
        </w:rPr>
        <w:t xml:space="preserve">India’s </w:t>
      </w:r>
      <w:r w:rsidR="0011387F">
        <w:rPr>
          <w:color w:val="1A1A1A"/>
          <w:sz w:val="22"/>
          <w:szCs w:val="22"/>
          <w:lang w:val="en-GB"/>
        </w:rPr>
        <w:t>c</w:t>
      </w:r>
      <w:r w:rsidRPr="00C273FD">
        <w:rPr>
          <w:color w:val="1A1A1A"/>
          <w:sz w:val="22"/>
          <w:szCs w:val="22"/>
          <w:lang w:val="en-GB"/>
        </w:rPr>
        <w:t xml:space="preserve">urrent </w:t>
      </w:r>
      <w:r w:rsidR="0011387F">
        <w:rPr>
          <w:color w:val="1A1A1A"/>
          <w:sz w:val="22"/>
          <w:szCs w:val="22"/>
          <w:lang w:val="en-GB"/>
        </w:rPr>
        <w:t>a</w:t>
      </w:r>
      <w:r w:rsidRPr="00C273FD">
        <w:rPr>
          <w:color w:val="1A1A1A"/>
          <w:sz w:val="22"/>
          <w:szCs w:val="22"/>
          <w:lang w:val="en-GB"/>
        </w:rPr>
        <w:t xml:space="preserve">ccount </w:t>
      </w:r>
      <w:r w:rsidR="0011387F">
        <w:rPr>
          <w:color w:val="1A1A1A"/>
          <w:sz w:val="22"/>
          <w:szCs w:val="22"/>
          <w:lang w:val="en-GB"/>
        </w:rPr>
        <w:t>d</w:t>
      </w:r>
      <w:r w:rsidRPr="00C273FD">
        <w:rPr>
          <w:color w:val="1A1A1A"/>
          <w:sz w:val="22"/>
          <w:szCs w:val="22"/>
          <w:lang w:val="en-GB"/>
        </w:rPr>
        <w:t>eficit (CAD) narrowed to 1.1</w:t>
      </w:r>
      <w:r w:rsidR="00B50E48" w:rsidRPr="00C273FD">
        <w:rPr>
          <w:color w:val="1A1A1A"/>
          <w:sz w:val="22"/>
          <w:szCs w:val="22"/>
          <w:lang w:val="en-GB"/>
        </w:rPr>
        <w:t xml:space="preserve"> per cent</w:t>
      </w:r>
      <w:r w:rsidRPr="00C273FD">
        <w:rPr>
          <w:color w:val="1A1A1A"/>
          <w:sz w:val="22"/>
          <w:szCs w:val="22"/>
          <w:lang w:val="en-GB"/>
        </w:rPr>
        <w:t xml:space="preserve"> of the GDP in 2015/16, the lowest since 2007/08</w:t>
      </w:r>
      <w:r w:rsidR="00E2275D" w:rsidRPr="00C273FD">
        <w:rPr>
          <w:color w:val="1A1A1A"/>
          <w:sz w:val="22"/>
          <w:szCs w:val="22"/>
          <w:lang w:val="en-GB"/>
        </w:rPr>
        <w:t>.</w:t>
      </w:r>
      <w:r w:rsidR="00F7014C" w:rsidRPr="00C273FD">
        <w:rPr>
          <w:rStyle w:val="EndnoteReference"/>
          <w:color w:val="1A1A1A"/>
          <w:sz w:val="22"/>
          <w:szCs w:val="22"/>
          <w:lang w:val="en-GB"/>
        </w:rPr>
        <w:t xml:space="preserve"> </w:t>
      </w:r>
      <w:r w:rsidR="00F7014C" w:rsidRPr="00C273FD">
        <w:rPr>
          <w:rStyle w:val="EndnoteReference"/>
          <w:color w:val="1A1A1A"/>
          <w:sz w:val="22"/>
          <w:szCs w:val="22"/>
          <w:lang w:val="en-GB"/>
        </w:rPr>
        <w:endnoteReference w:id="73"/>
      </w:r>
      <w:r w:rsidRPr="00C273FD">
        <w:rPr>
          <w:color w:val="1A1A1A"/>
          <w:sz w:val="22"/>
          <w:szCs w:val="22"/>
          <w:lang w:val="en-GB"/>
        </w:rPr>
        <w:t xml:space="preserve"> </w:t>
      </w:r>
    </w:p>
    <w:p w14:paraId="23B3616D" w14:textId="77777777" w:rsidR="00C80ACF" w:rsidRPr="00C273FD" w:rsidRDefault="00C80ACF" w:rsidP="00C80ACF">
      <w:pPr>
        <w:widowControl w:val="0"/>
        <w:autoSpaceDE w:val="0"/>
        <w:autoSpaceDN w:val="0"/>
        <w:adjustRightInd w:val="0"/>
        <w:jc w:val="both"/>
        <w:rPr>
          <w:color w:val="1A1A1A"/>
          <w:sz w:val="22"/>
          <w:szCs w:val="22"/>
          <w:lang w:val="en-GB"/>
        </w:rPr>
      </w:pPr>
    </w:p>
    <w:p w14:paraId="33AD68D7" w14:textId="4FB0FA41" w:rsidR="00C80ACF" w:rsidRPr="00C273FD" w:rsidRDefault="00DE1E17" w:rsidP="00C80ACF">
      <w:pPr>
        <w:widowControl w:val="0"/>
        <w:autoSpaceDE w:val="0"/>
        <w:autoSpaceDN w:val="0"/>
        <w:adjustRightInd w:val="0"/>
        <w:jc w:val="both"/>
        <w:rPr>
          <w:color w:val="1A1A1A"/>
          <w:sz w:val="22"/>
          <w:szCs w:val="22"/>
          <w:lang w:val="en-GB"/>
        </w:rPr>
      </w:pPr>
      <w:r>
        <w:rPr>
          <w:color w:val="1A1A1A"/>
          <w:sz w:val="22"/>
          <w:szCs w:val="22"/>
          <w:lang w:val="en-GB"/>
        </w:rPr>
        <w:t>As</w:t>
      </w:r>
      <w:r w:rsidRPr="00C273FD">
        <w:rPr>
          <w:color w:val="1A1A1A"/>
          <w:sz w:val="22"/>
          <w:szCs w:val="22"/>
          <w:lang w:val="en-GB"/>
        </w:rPr>
        <w:t xml:space="preserve"> </w:t>
      </w:r>
      <w:r w:rsidR="00C80ACF" w:rsidRPr="00C273FD">
        <w:rPr>
          <w:color w:val="1A1A1A"/>
          <w:sz w:val="22"/>
          <w:szCs w:val="22"/>
          <w:lang w:val="en-GB"/>
        </w:rPr>
        <w:t xml:space="preserve">a closed economy, </w:t>
      </w:r>
      <w:r w:rsidR="0011387F">
        <w:rPr>
          <w:color w:val="1A1A1A"/>
          <w:sz w:val="22"/>
          <w:szCs w:val="22"/>
          <w:lang w:val="en-GB"/>
        </w:rPr>
        <w:t xml:space="preserve">India had negligible </w:t>
      </w:r>
      <w:r w:rsidR="00C80ACF" w:rsidRPr="00C273FD">
        <w:rPr>
          <w:color w:val="1A1A1A"/>
          <w:sz w:val="22"/>
          <w:szCs w:val="22"/>
          <w:lang w:val="en-GB"/>
        </w:rPr>
        <w:t>foreign investment prior to 1991. The first year of reform saw a total foreign investment of only $103 million</w:t>
      </w:r>
      <w:r w:rsidR="00E2275D" w:rsidRPr="00C273FD">
        <w:rPr>
          <w:color w:val="1A1A1A"/>
          <w:sz w:val="22"/>
          <w:szCs w:val="22"/>
          <w:lang w:val="en-GB"/>
        </w:rPr>
        <w:t>.</w:t>
      </w:r>
      <w:r w:rsidR="00C80ACF" w:rsidRPr="00C273FD">
        <w:rPr>
          <w:rStyle w:val="EndnoteReference"/>
          <w:color w:val="1A1A1A"/>
          <w:sz w:val="22"/>
          <w:szCs w:val="22"/>
          <w:lang w:val="en-GB"/>
        </w:rPr>
        <w:endnoteReference w:id="74"/>
      </w:r>
      <w:r w:rsidR="00C80ACF" w:rsidRPr="00C273FD">
        <w:rPr>
          <w:color w:val="1A1A1A"/>
          <w:sz w:val="22"/>
          <w:szCs w:val="22"/>
          <w:lang w:val="en-GB"/>
        </w:rPr>
        <w:t xml:space="preserve"> However, investments rose steadily after the initial years, except for occasional blips between 1997 and 2000</w:t>
      </w:r>
      <w:r w:rsidR="0053346E">
        <w:rPr>
          <w:color w:val="1A1A1A"/>
          <w:sz w:val="22"/>
          <w:szCs w:val="22"/>
          <w:lang w:val="en-GB"/>
        </w:rPr>
        <w:t>,</w:t>
      </w:r>
      <w:r w:rsidR="00C80ACF" w:rsidRPr="00C273FD">
        <w:rPr>
          <w:color w:val="1A1A1A"/>
          <w:sz w:val="22"/>
          <w:szCs w:val="22"/>
          <w:lang w:val="en-GB"/>
        </w:rPr>
        <w:t xml:space="preserve"> and </w:t>
      </w:r>
      <w:r w:rsidR="0053346E">
        <w:rPr>
          <w:color w:val="1A1A1A"/>
          <w:sz w:val="22"/>
          <w:szCs w:val="22"/>
          <w:lang w:val="en-GB"/>
        </w:rPr>
        <w:t xml:space="preserve">between </w:t>
      </w:r>
      <w:r w:rsidR="00C80ACF" w:rsidRPr="00C273FD">
        <w:rPr>
          <w:color w:val="1A1A1A"/>
          <w:sz w:val="22"/>
          <w:szCs w:val="22"/>
          <w:lang w:val="en-GB"/>
        </w:rPr>
        <w:t>2008 and 2012</w:t>
      </w:r>
      <w:r w:rsidR="0011387F">
        <w:rPr>
          <w:color w:val="1A1A1A"/>
          <w:sz w:val="22"/>
          <w:szCs w:val="22"/>
          <w:lang w:val="en-GB"/>
        </w:rPr>
        <w:t>—</w:t>
      </w:r>
      <w:proofErr w:type="gramStart"/>
      <w:r w:rsidR="0011387F">
        <w:rPr>
          <w:color w:val="1A1A1A"/>
          <w:sz w:val="22"/>
          <w:szCs w:val="22"/>
          <w:lang w:val="en-GB"/>
        </w:rPr>
        <w:t>as a result</w:t>
      </w:r>
      <w:proofErr w:type="gramEnd"/>
      <w:r w:rsidR="0011387F">
        <w:rPr>
          <w:color w:val="1A1A1A"/>
          <w:sz w:val="22"/>
          <w:szCs w:val="22"/>
          <w:lang w:val="en-GB"/>
        </w:rPr>
        <w:t xml:space="preserve"> of</w:t>
      </w:r>
      <w:r w:rsidR="00C80ACF" w:rsidRPr="00C273FD">
        <w:rPr>
          <w:color w:val="1A1A1A"/>
          <w:sz w:val="22"/>
          <w:szCs w:val="22"/>
          <w:lang w:val="en-GB"/>
        </w:rPr>
        <w:t xml:space="preserve"> the global economic slowdown. Between 2000 and </w:t>
      </w:r>
      <w:r w:rsidR="00427A14">
        <w:rPr>
          <w:color w:val="1A1A1A"/>
          <w:sz w:val="22"/>
          <w:szCs w:val="22"/>
          <w:lang w:val="en-GB"/>
        </w:rPr>
        <w:t>March</w:t>
      </w:r>
      <w:r w:rsidR="00C80ACF" w:rsidRPr="00C273FD">
        <w:rPr>
          <w:color w:val="1A1A1A"/>
          <w:sz w:val="22"/>
          <w:szCs w:val="22"/>
          <w:lang w:val="en-GB"/>
        </w:rPr>
        <w:t xml:space="preserve"> 2016, India received total </w:t>
      </w:r>
      <w:r w:rsidR="0011387F">
        <w:rPr>
          <w:color w:val="1A1A1A"/>
          <w:sz w:val="22"/>
          <w:szCs w:val="22"/>
          <w:lang w:val="en-GB"/>
        </w:rPr>
        <w:t>f</w:t>
      </w:r>
      <w:r w:rsidR="00C80ACF" w:rsidRPr="00C273FD">
        <w:rPr>
          <w:color w:val="1A1A1A"/>
          <w:sz w:val="22"/>
          <w:szCs w:val="22"/>
          <w:lang w:val="en-GB"/>
        </w:rPr>
        <w:t xml:space="preserve">oreign </w:t>
      </w:r>
      <w:r w:rsidR="0011387F">
        <w:rPr>
          <w:color w:val="1A1A1A"/>
          <w:sz w:val="22"/>
          <w:szCs w:val="22"/>
          <w:lang w:val="en-GB"/>
        </w:rPr>
        <w:t>d</w:t>
      </w:r>
      <w:r w:rsidR="00C80ACF" w:rsidRPr="00C273FD">
        <w:rPr>
          <w:color w:val="1A1A1A"/>
          <w:sz w:val="22"/>
          <w:szCs w:val="22"/>
          <w:lang w:val="en-GB"/>
        </w:rPr>
        <w:t xml:space="preserve">irect </w:t>
      </w:r>
      <w:r w:rsidR="0011387F">
        <w:rPr>
          <w:color w:val="1A1A1A"/>
          <w:sz w:val="22"/>
          <w:szCs w:val="22"/>
          <w:lang w:val="en-GB"/>
        </w:rPr>
        <w:t>i</w:t>
      </w:r>
      <w:r w:rsidR="00C80ACF" w:rsidRPr="00C273FD">
        <w:rPr>
          <w:color w:val="1A1A1A"/>
          <w:sz w:val="22"/>
          <w:szCs w:val="22"/>
          <w:lang w:val="en-GB"/>
        </w:rPr>
        <w:t>nvestment (FDI) inflows of $4</w:t>
      </w:r>
      <w:r w:rsidR="00427A14">
        <w:rPr>
          <w:color w:val="1A1A1A"/>
          <w:sz w:val="22"/>
          <w:szCs w:val="22"/>
          <w:lang w:val="en-GB"/>
        </w:rPr>
        <w:t>24</w:t>
      </w:r>
      <w:r w:rsidR="00C80ACF" w:rsidRPr="00C273FD">
        <w:rPr>
          <w:color w:val="1A1A1A"/>
          <w:sz w:val="22"/>
          <w:szCs w:val="22"/>
          <w:lang w:val="en-GB"/>
        </w:rPr>
        <w:t>.1</w:t>
      </w:r>
      <w:r w:rsidR="00427A14">
        <w:rPr>
          <w:color w:val="1A1A1A"/>
          <w:sz w:val="22"/>
          <w:szCs w:val="22"/>
          <w:lang w:val="en-GB"/>
        </w:rPr>
        <w:t>7</w:t>
      </w:r>
      <w:r w:rsidR="00C80ACF" w:rsidRPr="00C273FD">
        <w:rPr>
          <w:color w:val="1A1A1A"/>
          <w:sz w:val="22"/>
          <w:szCs w:val="22"/>
          <w:lang w:val="en-GB"/>
        </w:rPr>
        <w:t xml:space="preserve"> billion</w:t>
      </w:r>
      <w:r w:rsidR="00F7014C" w:rsidRPr="00C273FD">
        <w:rPr>
          <w:color w:val="1A1A1A"/>
          <w:sz w:val="22"/>
          <w:szCs w:val="22"/>
          <w:lang w:val="en-GB"/>
        </w:rPr>
        <w:t>.</w:t>
      </w:r>
      <w:r w:rsidR="00C80ACF" w:rsidRPr="00C273FD">
        <w:rPr>
          <w:color w:val="1A1A1A"/>
          <w:sz w:val="22"/>
          <w:szCs w:val="22"/>
          <w:lang w:val="en-GB"/>
        </w:rPr>
        <w:t xml:space="preserve"> These </w:t>
      </w:r>
      <w:r w:rsidR="0011387F">
        <w:rPr>
          <w:color w:val="1A1A1A"/>
          <w:sz w:val="22"/>
          <w:szCs w:val="22"/>
          <w:lang w:val="en-GB"/>
        </w:rPr>
        <w:t xml:space="preserve">payments </w:t>
      </w:r>
      <w:r w:rsidR="00C80ACF" w:rsidRPr="00C273FD">
        <w:rPr>
          <w:color w:val="1A1A1A"/>
          <w:sz w:val="22"/>
          <w:szCs w:val="22"/>
          <w:lang w:val="en-GB"/>
        </w:rPr>
        <w:t xml:space="preserve">were in addition to the inflows </w:t>
      </w:r>
      <w:r w:rsidR="0011387F">
        <w:rPr>
          <w:color w:val="1A1A1A"/>
          <w:sz w:val="22"/>
          <w:szCs w:val="22"/>
          <w:lang w:val="en-GB"/>
        </w:rPr>
        <w:t>from</w:t>
      </w:r>
      <w:r w:rsidR="00C80ACF" w:rsidRPr="00C273FD">
        <w:rPr>
          <w:color w:val="1A1A1A"/>
          <w:sz w:val="22"/>
          <w:szCs w:val="22"/>
          <w:lang w:val="en-GB"/>
        </w:rPr>
        <w:t xml:space="preserve"> foreign institutional i</w:t>
      </w:r>
      <w:r w:rsidR="00F7014C" w:rsidRPr="00C273FD">
        <w:rPr>
          <w:color w:val="1A1A1A"/>
          <w:sz w:val="22"/>
          <w:szCs w:val="22"/>
          <w:lang w:val="en-GB"/>
        </w:rPr>
        <w:t>nvestors, which amounted to $</w:t>
      </w:r>
      <w:r w:rsidR="00C80ACF" w:rsidRPr="00C273FD">
        <w:rPr>
          <w:color w:val="1A1A1A"/>
          <w:sz w:val="22"/>
          <w:szCs w:val="22"/>
          <w:lang w:val="en-GB"/>
        </w:rPr>
        <w:t>1</w:t>
      </w:r>
      <w:r w:rsidR="00427A14">
        <w:rPr>
          <w:color w:val="1A1A1A"/>
          <w:sz w:val="22"/>
          <w:szCs w:val="22"/>
          <w:lang w:val="en-GB"/>
        </w:rPr>
        <w:t>87</w:t>
      </w:r>
      <w:r w:rsidR="00C80ACF" w:rsidRPr="00C273FD">
        <w:rPr>
          <w:color w:val="1A1A1A"/>
          <w:sz w:val="22"/>
          <w:szCs w:val="22"/>
          <w:lang w:val="en-GB"/>
        </w:rPr>
        <w:t>.0</w:t>
      </w:r>
      <w:r w:rsidR="00427A14">
        <w:rPr>
          <w:color w:val="1A1A1A"/>
          <w:sz w:val="22"/>
          <w:szCs w:val="22"/>
          <w:lang w:val="en-GB"/>
        </w:rPr>
        <w:t>7</w:t>
      </w:r>
      <w:r w:rsidR="00C80ACF" w:rsidRPr="00C273FD">
        <w:rPr>
          <w:color w:val="1A1A1A"/>
          <w:sz w:val="22"/>
          <w:szCs w:val="22"/>
          <w:lang w:val="en-GB"/>
        </w:rPr>
        <w:t xml:space="preserve"> billion over the same period</w:t>
      </w:r>
      <w:r w:rsidR="00E2275D" w:rsidRPr="00C273FD">
        <w:rPr>
          <w:color w:val="1A1A1A"/>
          <w:sz w:val="22"/>
          <w:szCs w:val="22"/>
          <w:lang w:val="en-GB"/>
        </w:rPr>
        <w:t xml:space="preserve"> </w:t>
      </w:r>
      <w:r w:rsidR="00C80ACF" w:rsidRPr="00C273FD">
        <w:rPr>
          <w:color w:val="1A1A1A"/>
          <w:sz w:val="22"/>
          <w:szCs w:val="22"/>
          <w:lang w:val="en-GB"/>
        </w:rPr>
        <w:t>(</w:t>
      </w:r>
      <w:r w:rsidR="00E2275D" w:rsidRPr="00C273FD">
        <w:rPr>
          <w:color w:val="1A1A1A"/>
          <w:sz w:val="22"/>
          <w:szCs w:val="22"/>
          <w:lang w:val="en-GB"/>
        </w:rPr>
        <w:t xml:space="preserve">see </w:t>
      </w:r>
      <w:r w:rsidR="00C80ACF" w:rsidRPr="00C273FD">
        <w:rPr>
          <w:color w:val="1A1A1A"/>
          <w:sz w:val="22"/>
          <w:szCs w:val="22"/>
          <w:lang w:val="en-GB"/>
        </w:rPr>
        <w:t>Exhibit 5).</w:t>
      </w:r>
      <w:r w:rsidR="00F7014C" w:rsidRPr="00C273FD">
        <w:rPr>
          <w:rStyle w:val="EndnoteReference"/>
          <w:color w:val="1A1A1A"/>
          <w:sz w:val="22"/>
          <w:szCs w:val="22"/>
          <w:lang w:val="en-GB"/>
        </w:rPr>
        <w:endnoteReference w:id="75"/>
      </w:r>
      <w:r w:rsidR="00C80ACF" w:rsidRPr="00C273FD">
        <w:rPr>
          <w:color w:val="1A1A1A"/>
          <w:sz w:val="22"/>
          <w:szCs w:val="22"/>
          <w:lang w:val="en-GB"/>
        </w:rPr>
        <w:t xml:space="preserve"> </w:t>
      </w:r>
    </w:p>
    <w:p w14:paraId="1E9BDC92" w14:textId="77777777" w:rsidR="00C80ACF" w:rsidRPr="00C273FD" w:rsidRDefault="00C80ACF" w:rsidP="00C80ACF">
      <w:pPr>
        <w:widowControl w:val="0"/>
        <w:autoSpaceDE w:val="0"/>
        <w:autoSpaceDN w:val="0"/>
        <w:adjustRightInd w:val="0"/>
        <w:jc w:val="both"/>
        <w:rPr>
          <w:color w:val="1A1A1A"/>
          <w:sz w:val="22"/>
          <w:szCs w:val="22"/>
          <w:lang w:val="en-GB"/>
        </w:rPr>
      </w:pPr>
    </w:p>
    <w:p w14:paraId="5748D00E" w14:textId="2010B680"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pacing w:val="-2"/>
          <w:kern w:val="22"/>
          <w:sz w:val="22"/>
          <w:szCs w:val="22"/>
          <w:lang w:val="en-GB"/>
        </w:rPr>
        <w:t>In 2015/16, India witnessed net FDI inflows of $36 billion in response to governmental measures such as raising the ceiling for FDI investment in several important sectors, rationali</w:t>
      </w:r>
      <w:r w:rsidR="005272C8">
        <w:rPr>
          <w:color w:val="1A1A1A"/>
          <w:spacing w:val="-2"/>
          <w:kern w:val="22"/>
          <w:sz w:val="22"/>
          <w:szCs w:val="22"/>
          <w:lang w:val="en-GB"/>
        </w:rPr>
        <w:t>z</w:t>
      </w:r>
      <w:r w:rsidRPr="00C273FD">
        <w:rPr>
          <w:color w:val="1A1A1A"/>
          <w:spacing w:val="-2"/>
          <w:kern w:val="22"/>
          <w:sz w:val="22"/>
          <w:szCs w:val="22"/>
          <w:lang w:val="en-GB"/>
        </w:rPr>
        <w:t>ing and simplifying procedures</w:t>
      </w:r>
      <w:r w:rsidR="005272C8">
        <w:rPr>
          <w:color w:val="1A1A1A"/>
          <w:spacing w:val="-2"/>
          <w:kern w:val="22"/>
          <w:sz w:val="22"/>
          <w:szCs w:val="22"/>
          <w:lang w:val="en-GB"/>
        </w:rPr>
        <w:t>,</w:t>
      </w:r>
      <w:r w:rsidRPr="00C273FD">
        <w:rPr>
          <w:color w:val="1A1A1A"/>
          <w:spacing w:val="-2"/>
          <w:kern w:val="22"/>
          <w:sz w:val="22"/>
          <w:szCs w:val="22"/>
          <w:lang w:val="en-GB"/>
        </w:rPr>
        <w:t xml:space="preserve"> and the Make in India initiative. However, net portfolio flows</w:t>
      </w:r>
      <w:r w:rsidR="005272C8">
        <w:rPr>
          <w:color w:val="1A1A1A"/>
          <w:spacing w:val="-2"/>
          <w:kern w:val="22"/>
          <w:sz w:val="22"/>
          <w:szCs w:val="22"/>
          <w:lang w:val="en-GB"/>
        </w:rPr>
        <w:t>—</w:t>
      </w:r>
      <w:r w:rsidRPr="00C273FD">
        <w:rPr>
          <w:color w:val="1A1A1A"/>
          <w:spacing w:val="-2"/>
          <w:kern w:val="22"/>
          <w:sz w:val="22"/>
          <w:szCs w:val="22"/>
          <w:lang w:val="en-GB"/>
        </w:rPr>
        <w:t xml:space="preserve">a key component of the </w:t>
      </w:r>
      <w:r w:rsidR="005272C8">
        <w:rPr>
          <w:color w:val="1A1A1A"/>
          <w:spacing w:val="-2"/>
          <w:kern w:val="22"/>
          <w:sz w:val="22"/>
          <w:szCs w:val="22"/>
          <w:lang w:val="en-GB"/>
        </w:rPr>
        <w:t>f</w:t>
      </w:r>
      <w:r w:rsidRPr="00C273FD">
        <w:rPr>
          <w:color w:val="1A1A1A"/>
          <w:spacing w:val="-2"/>
          <w:kern w:val="22"/>
          <w:sz w:val="22"/>
          <w:szCs w:val="22"/>
          <w:lang w:val="en-GB"/>
        </w:rPr>
        <w:t xml:space="preserve">inancial </w:t>
      </w:r>
      <w:r w:rsidR="005272C8">
        <w:rPr>
          <w:color w:val="1A1A1A"/>
          <w:spacing w:val="-2"/>
          <w:kern w:val="22"/>
          <w:sz w:val="22"/>
          <w:szCs w:val="22"/>
          <w:lang w:val="en-GB"/>
        </w:rPr>
        <w:t>a</w:t>
      </w:r>
      <w:r w:rsidRPr="00C273FD">
        <w:rPr>
          <w:color w:val="1A1A1A"/>
          <w:spacing w:val="-2"/>
          <w:kern w:val="22"/>
          <w:sz w:val="22"/>
          <w:szCs w:val="22"/>
          <w:lang w:val="en-GB"/>
        </w:rPr>
        <w:t xml:space="preserve">ccount of the </w:t>
      </w:r>
      <w:r w:rsidR="005272C8">
        <w:rPr>
          <w:color w:val="1A1A1A"/>
          <w:spacing w:val="-2"/>
          <w:kern w:val="22"/>
          <w:sz w:val="22"/>
          <w:szCs w:val="22"/>
          <w:lang w:val="en-GB"/>
        </w:rPr>
        <w:t>b</w:t>
      </w:r>
      <w:r w:rsidRPr="00C273FD">
        <w:rPr>
          <w:color w:val="1A1A1A"/>
          <w:spacing w:val="-2"/>
          <w:kern w:val="22"/>
          <w:sz w:val="22"/>
          <w:szCs w:val="22"/>
          <w:lang w:val="en-GB"/>
        </w:rPr>
        <w:t xml:space="preserve">alance of </w:t>
      </w:r>
      <w:r w:rsidR="005272C8">
        <w:rPr>
          <w:color w:val="1A1A1A"/>
          <w:spacing w:val="-2"/>
          <w:kern w:val="22"/>
          <w:sz w:val="22"/>
          <w:szCs w:val="22"/>
          <w:lang w:val="en-GB"/>
        </w:rPr>
        <w:t>p</w:t>
      </w:r>
      <w:r w:rsidRPr="00C273FD">
        <w:rPr>
          <w:color w:val="1A1A1A"/>
          <w:spacing w:val="-2"/>
          <w:kern w:val="22"/>
          <w:sz w:val="22"/>
          <w:szCs w:val="22"/>
          <w:lang w:val="en-GB"/>
        </w:rPr>
        <w:t>ayments</w:t>
      </w:r>
      <w:r w:rsidR="005272C8">
        <w:rPr>
          <w:color w:val="1A1A1A"/>
          <w:spacing w:val="-2"/>
          <w:kern w:val="22"/>
          <w:sz w:val="22"/>
          <w:szCs w:val="22"/>
          <w:lang w:val="en-GB"/>
        </w:rPr>
        <w:t>—</w:t>
      </w:r>
      <w:r w:rsidRPr="00C273FD">
        <w:rPr>
          <w:color w:val="1A1A1A"/>
          <w:spacing w:val="-2"/>
          <w:kern w:val="22"/>
          <w:sz w:val="22"/>
          <w:szCs w:val="22"/>
          <w:lang w:val="en-GB"/>
        </w:rPr>
        <w:t xml:space="preserve">turned negative during the year. India was no different from other emerging markets, which experienced </w:t>
      </w:r>
      <w:r w:rsidR="005272C8">
        <w:rPr>
          <w:color w:val="1A1A1A"/>
          <w:spacing w:val="-2"/>
          <w:kern w:val="22"/>
          <w:sz w:val="22"/>
          <w:szCs w:val="22"/>
          <w:lang w:val="en-GB"/>
        </w:rPr>
        <w:t xml:space="preserve">a </w:t>
      </w:r>
      <w:r w:rsidRPr="00C273FD">
        <w:rPr>
          <w:color w:val="1A1A1A"/>
          <w:spacing w:val="-2"/>
          <w:kern w:val="22"/>
          <w:sz w:val="22"/>
          <w:szCs w:val="22"/>
          <w:lang w:val="en-GB"/>
        </w:rPr>
        <w:t>sell-off of portfolio investments due to “concerns about interest rates rising in the US and diverging monetary policy stances in other advanced economies, the slowdown in key emerging markets and heightened geo-political tensions</w:t>
      </w:r>
      <w:r w:rsidR="005272C8">
        <w:rPr>
          <w:color w:val="1A1A1A"/>
          <w:spacing w:val="-2"/>
          <w:kern w:val="22"/>
          <w:sz w:val="22"/>
          <w:szCs w:val="22"/>
          <w:lang w:val="en-GB"/>
        </w:rPr>
        <w:t>.</w:t>
      </w:r>
      <w:r w:rsidRPr="00C273FD">
        <w:rPr>
          <w:color w:val="1A1A1A"/>
          <w:spacing w:val="-2"/>
          <w:kern w:val="22"/>
          <w:sz w:val="22"/>
          <w:szCs w:val="22"/>
          <w:lang w:val="en-GB"/>
        </w:rPr>
        <w:t>”</w:t>
      </w:r>
      <w:r w:rsidRPr="00C273FD">
        <w:rPr>
          <w:rStyle w:val="EndnoteReference"/>
          <w:color w:val="1A1A1A"/>
          <w:spacing w:val="-2"/>
          <w:kern w:val="22"/>
          <w:sz w:val="22"/>
          <w:szCs w:val="22"/>
          <w:lang w:val="en-GB"/>
        </w:rPr>
        <w:endnoteReference w:id="76"/>
      </w:r>
      <w:r w:rsidRPr="00C273FD">
        <w:rPr>
          <w:color w:val="1A1A1A"/>
          <w:spacing w:val="-2"/>
          <w:kern w:val="22"/>
          <w:sz w:val="22"/>
          <w:szCs w:val="22"/>
          <w:lang w:val="en-GB"/>
        </w:rPr>
        <w:t xml:space="preserve"> </w:t>
      </w:r>
      <w:r w:rsidR="00720DE5">
        <w:rPr>
          <w:color w:val="1A1A1A"/>
          <w:spacing w:val="-2"/>
          <w:kern w:val="22"/>
          <w:sz w:val="22"/>
          <w:szCs w:val="22"/>
          <w:lang w:val="en-GB"/>
        </w:rPr>
        <w:t xml:space="preserve">Questions regarding the financing of the CAD arose </w:t>
      </w:r>
      <w:proofErr w:type="gramStart"/>
      <w:r w:rsidR="00720DE5">
        <w:rPr>
          <w:color w:val="1A1A1A"/>
          <w:spacing w:val="-2"/>
          <w:kern w:val="22"/>
          <w:sz w:val="22"/>
          <w:szCs w:val="22"/>
          <w:lang w:val="en-GB"/>
        </w:rPr>
        <w:t>as a result</w:t>
      </w:r>
      <w:proofErr w:type="gramEnd"/>
      <w:r w:rsidR="00720DE5">
        <w:rPr>
          <w:color w:val="1A1A1A"/>
          <w:spacing w:val="-2"/>
          <w:kern w:val="22"/>
          <w:sz w:val="22"/>
          <w:szCs w:val="22"/>
          <w:lang w:val="en-GB"/>
        </w:rPr>
        <w:t xml:space="preserve"> of e</w:t>
      </w:r>
      <w:r w:rsidRPr="00C273FD">
        <w:rPr>
          <w:color w:val="1A1A1A"/>
          <w:spacing w:val="-2"/>
          <w:kern w:val="22"/>
          <w:sz w:val="22"/>
          <w:szCs w:val="22"/>
          <w:lang w:val="en-GB"/>
        </w:rPr>
        <w:t xml:space="preserve">stimated net outflows </w:t>
      </w:r>
      <w:r w:rsidR="00E2275D" w:rsidRPr="00C273FD">
        <w:rPr>
          <w:color w:val="1A1A1A"/>
          <w:spacing w:val="-2"/>
          <w:kern w:val="22"/>
          <w:sz w:val="22"/>
          <w:szCs w:val="22"/>
          <w:lang w:val="en-GB"/>
        </w:rPr>
        <w:t>of portfolio investments of $</w:t>
      </w:r>
      <w:r w:rsidRPr="00C273FD">
        <w:rPr>
          <w:color w:val="1A1A1A"/>
          <w:spacing w:val="-2"/>
          <w:kern w:val="22"/>
          <w:sz w:val="22"/>
          <w:szCs w:val="22"/>
          <w:lang w:val="en-GB"/>
        </w:rPr>
        <w:t>3.5 billion</w:t>
      </w:r>
      <w:r w:rsidR="00E2275D" w:rsidRPr="00C273FD">
        <w:rPr>
          <w:color w:val="1A1A1A"/>
          <w:spacing w:val="-2"/>
          <w:kern w:val="22"/>
          <w:sz w:val="22"/>
          <w:szCs w:val="22"/>
          <w:lang w:val="en-GB"/>
        </w:rPr>
        <w:t xml:space="preserve"> from the equity market and </w:t>
      </w:r>
      <w:r w:rsidR="00720DE5">
        <w:rPr>
          <w:color w:val="1A1A1A"/>
          <w:spacing w:val="-2"/>
          <w:kern w:val="22"/>
          <w:sz w:val="22"/>
          <w:szCs w:val="22"/>
          <w:lang w:val="en-GB"/>
        </w:rPr>
        <w:t xml:space="preserve">of </w:t>
      </w:r>
      <w:r w:rsidR="00E2275D" w:rsidRPr="00C273FD">
        <w:rPr>
          <w:color w:val="1A1A1A"/>
          <w:spacing w:val="-2"/>
          <w:kern w:val="22"/>
          <w:sz w:val="22"/>
          <w:szCs w:val="22"/>
          <w:lang w:val="en-GB"/>
        </w:rPr>
        <w:t>$</w:t>
      </w:r>
      <w:r w:rsidRPr="00C273FD">
        <w:rPr>
          <w:color w:val="1A1A1A"/>
          <w:spacing w:val="-2"/>
          <w:kern w:val="22"/>
          <w:sz w:val="22"/>
          <w:szCs w:val="22"/>
          <w:lang w:val="en-GB"/>
        </w:rPr>
        <w:t xml:space="preserve">0.5 billion from debt markets. At the same time, other debt-creating flows such as </w:t>
      </w:r>
      <w:r w:rsidR="00720DE5">
        <w:rPr>
          <w:color w:val="1A1A1A"/>
          <w:spacing w:val="-2"/>
          <w:kern w:val="22"/>
          <w:sz w:val="22"/>
          <w:szCs w:val="22"/>
          <w:lang w:val="en-GB"/>
        </w:rPr>
        <w:t>e</w:t>
      </w:r>
      <w:r w:rsidRPr="00C273FD">
        <w:rPr>
          <w:color w:val="1A1A1A"/>
          <w:spacing w:val="-2"/>
          <w:kern w:val="22"/>
          <w:sz w:val="22"/>
          <w:szCs w:val="22"/>
          <w:lang w:val="en-GB"/>
        </w:rPr>
        <w:t xml:space="preserve">xternal </w:t>
      </w:r>
      <w:r w:rsidR="00720DE5">
        <w:rPr>
          <w:color w:val="1A1A1A"/>
          <w:spacing w:val="-2"/>
          <w:kern w:val="22"/>
          <w:sz w:val="22"/>
          <w:szCs w:val="22"/>
          <w:lang w:val="en-GB"/>
        </w:rPr>
        <w:t>c</w:t>
      </w:r>
      <w:r w:rsidRPr="00C273FD">
        <w:rPr>
          <w:color w:val="1A1A1A"/>
          <w:spacing w:val="-2"/>
          <w:kern w:val="22"/>
          <w:sz w:val="22"/>
          <w:szCs w:val="22"/>
          <w:lang w:val="en-GB"/>
        </w:rPr>
        <w:t xml:space="preserve">ommercial </w:t>
      </w:r>
      <w:r w:rsidR="00DE1E17">
        <w:rPr>
          <w:color w:val="1A1A1A"/>
          <w:spacing w:val="-2"/>
          <w:kern w:val="22"/>
          <w:sz w:val="22"/>
          <w:szCs w:val="22"/>
          <w:lang w:val="en-GB"/>
        </w:rPr>
        <w:t>b</w:t>
      </w:r>
      <w:r w:rsidRPr="00C273FD">
        <w:rPr>
          <w:color w:val="1A1A1A"/>
          <w:spacing w:val="-2"/>
          <w:kern w:val="22"/>
          <w:sz w:val="22"/>
          <w:szCs w:val="22"/>
          <w:lang w:val="en-GB"/>
        </w:rPr>
        <w:t xml:space="preserve">orrowings </w:t>
      </w:r>
      <w:r w:rsidRPr="00C273FD">
        <w:rPr>
          <w:color w:val="1A1A1A"/>
          <w:spacing w:val="-2"/>
          <w:kern w:val="22"/>
          <w:sz w:val="22"/>
          <w:szCs w:val="22"/>
          <w:lang w:val="en-GB"/>
        </w:rPr>
        <w:lastRenderedPageBreak/>
        <w:t>and trade credits were also negative, although deposits by non-resident Indians increased by $16 billion during the year.</w:t>
      </w:r>
    </w:p>
    <w:p w14:paraId="6E1D12EF" w14:textId="77777777" w:rsidR="007D5924" w:rsidRDefault="007D5924" w:rsidP="00C80ACF">
      <w:pPr>
        <w:widowControl w:val="0"/>
        <w:autoSpaceDE w:val="0"/>
        <w:autoSpaceDN w:val="0"/>
        <w:adjustRightInd w:val="0"/>
        <w:jc w:val="both"/>
        <w:rPr>
          <w:color w:val="1A1A1A"/>
          <w:sz w:val="22"/>
          <w:szCs w:val="22"/>
          <w:lang w:val="en-GB"/>
        </w:rPr>
      </w:pPr>
    </w:p>
    <w:p w14:paraId="1F62846D" w14:textId="3C3601A0" w:rsidR="00C80ACF" w:rsidRPr="009D10D4" w:rsidRDefault="00C80ACF" w:rsidP="00C80ACF">
      <w:pPr>
        <w:widowControl w:val="0"/>
        <w:autoSpaceDE w:val="0"/>
        <w:autoSpaceDN w:val="0"/>
        <w:adjustRightInd w:val="0"/>
        <w:jc w:val="both"/>
        <w:rPr>
          <w:color w:val="1A1A1A"/>
          <w:spacing w:val="-2"/>
          <w:kern w:val="2"/>
          <w:sz w:val="22"/>
          <w:szCs w:val="22"/>
          <w:lang w:val="en-GB"/>
        </w:rPr>
      </w:pPr>
      <w:r w:rsidRPr="009D10D4">
        <w:rPr>
          <w:color w:val="1A1A1A"/>
          <w:spacing w:val="-2"/>
          <w:kern w:val="2"/>
          <w:sz w:val="22"/>
          <w:szCs w:val="22"/>
          <w:lang w:val="en-GB"/>
        </w:rPr>
        <w:t>India’s foreign exchange reserves had been the immediate trigger for the new economic policy of 1991. The reserves, which stood at $5.834 billion in 1990</w:t>
      </w:r>
      <w:r w:rsidR="00720DE5" w:rsidRPr="009D10D4">
        <w:rPr>
          <w:color w:val="1A1A1A"/>
          <w:spacing w:val="-2"/>
          <w:kern w:val="2"/>
          <w:sz w:val="22"/>
          <w:szCs w:val="22"/>
          <w:lang w:val="en-GB"/>
        </w:rPr>
        <w:t>/</w:t>
      </w:r>
      <w:r w:rsidRPr="009D10D4">
        <w:rPr>
          <w:color w:val="1A1A1A"/>
          <w:spacing w:val="-2"/>
          <w:kern w:val="2"/>
          <w:sz w:val="22"/>
          <w:szCs w:val="22"/>
          <w:lang w:val="en-GB"/>
        </w:rPr>
        <w:t>91, had increased to $360.18 billion in 2015</w:t>
      </w:r>
      <w:r w:rsidR="00720DE5" w:rsidRPr="009D10D4">
        <w:rPr>
          <w:color w:val="1A1A1A"/>
          <w:spacing w:val="-2"/>
          <w:kern w:val="2"/>
          <w:sz w:val="22"/>
          <w:szCs w:val="22"/>
          <w:lang w:val="en-GB"/>
        </w:rPr>
        <w:t>/</w:t>
      </w:r>
      <w:r w:rsidRPr="009D10D4">
        <w:rPr>
          <w:color w:val="1A1A1A"/>
          <w:spacing w:val="-2"/>
          <w:kern w:val="2"/>
          <w:sz w:val="22"/>
          <w:szCs w:val="22"/>
          <w:lang w:val="en-GB"/>
        </w:rPr>
        <w:t>16</w:t>
      </w:r>
      <w:r w:rsidR="00E2275D" w:rsidRPr="009D10D4">
        <w:rPr>
          <w:color w:val="1A1A1A"/>
          <w:spacing w:val="-2"/>
          <w:kern w:val="2"/>
          <w:sz w:val="22"/>
          <w:szCs w:val="22"/>
          <w:lang w:val="en-GB"/>
        </w:rPr>
        <w:t>.</w:t>
      </w:r>
      <w:r w:rsidRPr="009D10D4">
        <w:rPr>
          <w:rStyle w:val="EndnoteReference"/>
          <w:color w:val="1A1A1A"/>
          <w:spacing w:val="-2"/>
          <w:kern w:val="2"/>
          <w:sz w:val="22"/>
          <w:szCs w:val="22"/>
          <w:lang w:val="en-GB"/>
        </w:rPr>
        <w:endnoteReference w:id="77"/>
      </w:r>
      <w:r w:rsidRPr="009D10D4">
        <w:rPr>
          <w:color w:val="1A1A1A"/>
          <w:spacing w:val="-2"/>
          <w:kern w:val="2"/>
          <w:sz w:val="22"/>
          <w:szCs w:val="22"/>
          <w:lang w:val="en-GB"/>
        </w:rPr>
        <w:t xml:space="preserve"> An important indicator of the stability of currency was the import cover</w:t>
      </w:r>
      <w:r w:rsidR="00DE1E17" w:rsidRPr="009D10D4">
        <w:rPr>
          <w:color w:val="1A1A1A"/>
          <w:spacing w:val="-2"/>
          <w:kern w:val="2"/>
          <w:sz w:val="22"/>
          <w:szCs w:val="22"/>
          <w:lang w:val="en-GB"/>
        </w:rPr>
        <w:t xml:space="preserve"> (</w:t>
      </w:r>
      <w:r w:rsidR="00720DE5" w:rsidRPr="009D10D4">
        <w:rPr>
          <w:color w:val="1A1A1A"/>
          <w:spacing w:val="-2"/>
          <w:kern w:val="2"/>
          <w:sz w:val="22"/>
          <w:szCs w:val="22"/>
          <w:lang w:val="en-GB"/>
        </w:rPr>
        <w:t>i.e</w:t>
      </w:r>
      <w:r w:rsidRPr="009D10D4">
        <w:rPr>
          <w:color w:val="1A1A1A"/>
          <w:spacing w:val="-2"/>
          <w:kern w:val="2"/>
          <w:sz w:val="22"/>
          <w:szCs w:val="22"/>
          <w:lang w:val="en-GB"/>
        </w:rPr>
        <w:t>.</w:t>
      </w:r>
      <w:r w:rsidR="00720DE5" w:rsidRPr="009D10D4">
        <w:rPr>
          <w:color w:val="1A1A1A"/>
          <w:spacing w:val="-2"/>
          <w:kern w:val="2"/>
          <w:sz w:val="22"/>
          <w:szCs w:val="22"/>
          <w:lang w:val="en-GB"/>
        </w:rPr>
        <w:t>,</w:t>
      </w:r>
      <w:r w:rsidRPr="009D10D4">
        <w:rPr>
          <w:color w:val="1A1A1A"/>
          <w:spacing w:val="-2"/>
          <w:kern w:val="2"/>
          <w:sz w:val="22"/>
          <w:szCs w:val="22"/>
          <w:lang w:val="en-GB"/>
        </w:rPr>
        <w:t xml:space="preserve"> the number of months of imports that such reserves could cover</w:t>
      </w:r>
      <w:r w:rsidR="00DE1E17" w:rsidRPr="009D10D4">
        <w:rPr>
          <w:color w:val="1A1A1A"/>
          <w:spacing w:val="-2"/>
          <w:kern w:val="2"/>
          <w:sz w:val="22"/>
          <w:szCs w:val="22"/>
          <w:lang w:val="en-GB"/>
        </w:rPr>
        <w:t>)</w:t>
      </w:r>
      <w:r w:rsidRPr="009D10D4">
        <w:rPr>
          <w:color w:val="1A1A1A"/>
          <w:spacing w:val="-2"/>
          <w:kern w:val="2"/>
          <w:sz w:val="22"/>
          <w:szCs w:val="22"/>
          <w:lang w:val="en-GB"/>
        </w:rPr>
        <w:t>. The import cover of reserves increased from 2.5 months in 1990/91 to 16.9 months in 2003</w:t>
      </w:r>
      <w:r w:rsidR="00720DE5" w:rsidRPr="009D10D4">
        <w:rPr>
          <w:color w:val="1A1A1A"/>
          <w:spacing w:val="-2"/>
          <w:kern w:val="2"/>
          <w:sz w:val="22"/>
          <w:szCs w:val="22"/>
          <w:lang w:val="en-GB"/>
        </w:rPr>
        <w:t>/</w:t>
      </w:r>
      <w:r w:rsidR="00E2275D" w:rsidRPr="009D10D4">
        <w:rPr>
          <w:color w:val="1A1A1A"/>
          <w:spacing w:val="-2"/>
          <w:kern w:val="2"/>
          <w:sz w:val="22"/>
          <w:szCs w:val="22"/>
          <w:lang w:val="en-GB"/>
        </w:rPr>
        <w:t>04</w:t>
      </w:r>
      <w:r w:rsidR="00036E22" w:rsidRPr="009D10D4">
        <w:rPr>
          <w:color w:val="1A1A1A"/>
          <w:spacing w:val="-2"/>
          <w:kern w:val="2"/>
          <w:sz w:val="22"/>
          <w:szCs w:val="22"/>
          <w:lang w:val="en-GB"/>
        </w:rPr>
        <w:t>,</w:t>
      </w:r>
      <w:r w:rsidR="00E2275D" w:rsidRPr="009D10D4">
        <w:rPr>
          <w:color w:val="1A1A1A"/>
          <w:spacing w:val="-2"/>
          <w:kern w:val="2"/>
          <w:sz w:val="22"/>
          <w:szCs w:val="22"/>
          <w:lang w:val="en-GB"/>
        </w:rPr>
        <w:t xml:space="preserve"> </w:t>
      </w:r>
      <w:proofErr w:type="gramStart"/>
      <w:r w:rsidR="00036E22" w:rsidRPr="009D10D4">
        <w:rPr>
          <w:color w:val="1A1A1A"/>
          <w:spacing w:val="-2"/>
          <w:kern w:val="2"/>
          <w:sz w:val="22"/>
          <w:szCs w:val="22"/>
          <w:lang w:val="en-GB"/>
        </w:rPr>
        <w:t>then</w:t>
      </w:r>
      <w:proofErr w:type="gramEnd"/>
      <w:r w:rsidR="00036E22" w:rsidRPr="009D10D4">
        <w:rPr>
          <w:color w:val="1A1A1A"/>
          <w:spacing w:val="-2"/>
          <w:kern w:val="2"/>
          <w:sz w:val="22"/>
          <w:szCs w:val="22"/>
          <w:lang w:val="en-GB"/>
        </w:rPr>
        <w:t xml:space="preserve"> </w:t>
      </w:r>
      <w:r w:rsidR="00E2275D" w:rsidRPr="009D10D4">
        <w:rPr>
          <w:color w:val="1A1A1A"/>
          <w:spacing w:val="-2"/>
          <w:kern w:val="2"/>
          <w:sz w:val="22"/>
          <w:szCs w:val="22"/>
          <w:lang w:val="en-GB"/>
        </w:rPr>
        <w:t>reduced to seven</w:t>
      </w:r>
      <w:r w:rsidRPr="009D10D4">
        <w:rPr>
          <w:color w:val="1A1A1A"/>
          <w:spacing w:val="-2"/>
          <w:kern w:val="2"/>
          <w:sz w:val="22"/>
          <w:szCs w:val="22"/>
          <w:lang w:val="en-GB"/>
        </w:rPr>
        <w:t xml:space="preserve"> months in 2012/13 during the currency crisis, before finally rising to 10.9 months in 2015</w:t>
      </w:r>
      <w:r w:rsidR="00720DE5" w:rsidRPr="009D10D4">
        <w:rPr>
          <w:color w:val="1A1A1A"/>
          <w:spacing w:val="-2"/>
          <w:kern w:val="2"/>
          <w:sz w:val="22"/>
          <w:szCs w:val="22"/>
          <w:lang w:val="en-GB"/>
        </w:rPr>
        <w:t>/</w:t>
      </w:r>
      <w:r w:rsidRPr="009D10D4">
        <w:rPr>
          <w:color w:val="1A1A1A"/>
          <w:spacing w:val="-2"/>
          <w:kern w:val="2"/>
          <w:sz w:val="22"/>
          <w:szCs w:val="22"/>
          <w:lang w:val="en-GB"/>
        </w:rPr>
        <w:t xml:space="preserve">16. The rupee had witnessed a steep depreciation from </w:t>
      </w:r>
      <w:r w:rsidRPr="009D10D4">
        <w:rPr>
          <w:rStyle w:val="BodyTextMainChar"/>
          <w:rFonts w:ascii="Tahoma" w:hAnsi="Tahoma" w:cs="Tahoma"/>
          <w:spacing w:val="-2"/>
          <w:kern w:val="2"/>
        </w:rPr>
        <w:t>₹</w:t>
      </w:r>
      <w:r w:rsidRPr="009D10D4">
        <w:rPr>
          <w:color w:val="1A1A1A"/>
          <w:spacing w:val="-2"/>
          <w:kern w:val="2"/>
          <w:sz w:val="22"/>
          <w:szCs w:val="22"/>
          <w:lang w:val="en-GB"/>
        </w:rPr>
        <w:t xml:space="preserve">17.9 to a </w:t>
      </w:r>
      <w:r w:rsidR="00720DE5" w:rsidRPr="009D10D4">
        <w:rPr>
          <w:color w:val="1A1A1A"/>
          <w:spacing w:val="-2"/>
          <w:kern w:val="2"/>
          <w:sz w:val="22"/>
          <w:szCs w:val="22"/>
          <w:lang w:val="en-GB"/>
        </w:rPr>
        <w:t xml:space="preserve">U.S. </w:t>
      </w:r>
      <w:r w:rsidRPr="009D10D4">
        <w:rPr>
          <w:color w:val="1A1A1A"/>
          <w:spacing w:val="-2"/>
          <w:kern w:val="2"/>
          <w:sz w:val="22"/>
          <w:szCs w:val="22"/>
          <w:lang w:val="en-GB"/>
        </w:rPr>
        <w:t xml:space="preserve">dollar in 1990/91 to </w:t>
      </w:r>
      <w:r w:rsidRPr="009D10D4">
        <w:rPr>
          <w:rStyle w:val="BodyTextMainChar"/>
          <w:rFonts w:ascii="Tahoma" w:hAnsi="Tahoma" w:cs="Tahoma"/>
          <w:spacing w:val="-2"/>
          <w:kern w:val="2"/>
        </w:rPr>
        <w:t>₹</w:t>
      </w:r>
      <w:r w:rsidRPr="009D10D4">
        <w:rPr>
          <w:color w:val="1A1A1A"/>
          <w:spacing w:val="-2"/>
          <w:kern w:val="2"/>
          <w:sz w:val="22"/>
          <w:szCs w:val="22"/>
          <w:lang w:val="en-GB"/>
        </w:rPr>
        <w:t>65.5 in 2015</w:t>
      </w:r>
      <w:r w:rsidR="00720DE5" w:rsidRPr="009D10D4">
        <w:rPr>
          <w:color w:val="1A1A1A"/>
          <w:spacing w:val="-2"/>
          <w:kern w:val="2"/>
          <w:sz w:val="22"/>
          <w:szCs w:val="22"/>
          <w:lang w:val="en-GB"/>
        </w:rPr>
        <w:t>/</w:t>
      </w:r>
      <w:r w:rsidRPr="009D10D4">
        <w:rPr>
          <w:color w:val="1A1A1A"/>
          <w:spacing w:val="-2"/>
          <w:kern w:val="2"/>
          <w:sz w:val="22"/>
          <w:szCs w:val="22"/>
          <w:lang w:val="en-GB"/>
        </w:rPr>
        <w:t>16 (</w:t>
      </w:r>
      <w:r w:rsidR="00E2275D" w:rsidRPr="009D10D4">
        <w:rPr>
          <w:color w:val="1A1A1A"/>
          <w:spacing w:val="-2"/>
          <w:kern w:val="2"/>
          <w:sz w:val="22"/>
          <w:szCs w:val="22"/>
          <w:lang w:val="en-GB"/>
        </w:rPr>
        <w:t xml:space="preserve">see </w:t>
      </w:r>
      <w:r w:rsidRPr="009D10D4">
        <w:rPr>
          <w:color w:val="1A1A1A"/>
          <w:spacing w:val="-2"/>
          <w:kern w:val="2"/>
          <w:sz w:val="22"/>
          <w:szCs w:val="22"/>
          <w:lang w:val="en-GB"/>
        </w:rPr>
        <w:t xml:space="preserve">Exhibit 5). As the economy expanded, so did the country’s external debt. Thus, </w:t>
      </w:r>
      <w:r w:rsidR="00720DE5" w:rsidRPr="009D10D4">
        <w:rPr>
          <w:color w:val="1A1A1A"/>
          <w:spacing w:val="-2"/>
          <w:kern w:val="2"/>
          <w:sz w:val="22"/>
          <w:szCs w:val="22"/>
          <w:lang w:val="en-GB"/>
        </w:rPr>
        <w:t xml:space="preserve">external debt of </w:t>
      </w:r>
      <w:r w:rsidRPr="009D10D4">
        <w:rPr>
          <w:color w:val="1A1A1A"/>
          <w:spacing w:val="-2"/>
          <w:kern w:val="2"/>
          <w:sz w:val="22"/>
          <w:szCs w:val="22"/>
          <w:lang w:val="en-GB"/>
        </w:rPr>
        <w:t>$20.9 billion in 1991 rose to $53.96 billion in absolute terms in 2016, although the external debt</w:t>
      </w:r>
      <w:r w:rsidR="00DE1E17" w:rsidRPr="009D10D4">
        <w:rPr>
          <w:color w:val="1A1A1A"/>
          <w:spacing w:val="-2"/>
          <w:kern w:val="2"/>
          <w:sz w:val="22"/>
          <w:szCs w:val="22"/>
          <w:lang w:val="en-GB"/>
        </w:rPr>
        <w:t>-to-</w:t>
      </w:r>
      <w:r w:rsidRPr="009D10D4">
        <w:rPr>
          <w:color w:val="1A1A1A"/>
          <w:spacing w:val="-2"/>
          <w:kern w:val="2"/>
          <w:sz w:val="22"/>
          <w:szCs w:val="22"/>
          <w:lang w:val="en-GB"/>
        </w:rPr>
        <w:t>GDP ratio had actually declined, from 30.4</w:t>
      </w:r>
      <w:r w:rsidR="00B50E48" w:rsidRPr="009D10D4">
        <w:rPr>
          <w:color w:val="1A1A1A"/>
          <w:spacing w:val="-2"/>
          <w:kern w:val="2"/>
          <w:sz w:val="22"/>
          <w:szCs w:val="22"/>
          <w:lang w:val="en-GB"/>
        </w:rPr>
        <w:t xml:space="preserve"> per cent</w:t>
      </w:r>
      <w:r w:rsidRPr="009D10D4">
        <w:rPr>
          <w:color w:val="1A1A1A"/>
          <w:spacing w:val="-2"/>
          <w:kern w:val="2"/>
          <w:sz w:val="22"/>
          <w:szCs w:val="22"/>
          <w:lang w:val="en-GB"/>
        </w:rPr>
        <w:t xml:space="preserve"> in 1991 to 23.7</w:t>
      </w:r>
      <w:r w:rsidR="00B50E48" w:rsidRPr="009D10D4">
        <w:rPr>
          <w:color w:val="1A1A1A"/>
          <w:spacing w:val="-2"/>
          <w:kern w:val="2"/>
          <w:sz w:val="22"/>
          <w:szCs w:val="22"/>
          <w:lang w:val="en-GB"/>
        </w:rPr>
        <w:t xml:space="preserve"> per cent</w:t>
      </w:r>
      <w:r w:rsidRPr="009D10D4">
        <w:rPr>
          <w:color w:val="1A1A1A"/>
          <w:spacing w:val="-2"/>
          <w:kern w:val="2"/>
          <w:sz w:val="22"/>
          <w:szCs w:val="22"/>
          <w:lang w:val="en-GB"/>
        </w:rPr>
        <w:t xml:space="preserve"> in March 2016</w:t>
      </w:r>
      <w:r w:rsidR="00E2275D" w:rsidRPr="009D10D4">
        <w:rPr>
          <w:color w:val="1A1A1A"/>
          <w:spacing w:val="-2"/>
          <w:kern w:val="2"/>
          <w:sz w:val="22"/>
          <w:szCs w:val="22"/>
          <w:lang w:val="en-GB"/>
        </w:rPr>
        <w:t>.</w:t>
      </w:r>
      <w:r w:rsidRPr="009D10D4">
        <w:rPr>
          <w:rStyle w:val="EndnoteReference"/>
          <w:color w:val="1A1A1A"/>
          <w:spacing w:val="-2"/>
          <w:kern w:val="2"/>
          <w:sz w:val="22"/>
          <w:szCs w:val="22"/>
          <w:lang w:val="en-GB"/>
        </w:rPr>
        <w:endnoteReference w:id="78"/>
      </w:r>
    </w:p>
    <w:p w14:paraId="217F0D2F" w14:textId="77777777" w:rsidR="00C80ACF" w:rsidRPr="00C273FD" w:rsidRDefault="00C80ACF" w:rsidP="00C80ACF">
      <w:pPr>
        <w:widowControl w:val="0"/>
        <w:autoSpaceDE w:val="0"/>
        <w:autoSpaceDN w:val="0"/>
        <w:adjustRightInd w:val="0"/>
        <w:jc w:val="both"/>
        <w:rPr>
          <w:color w:val="1A1A1A"/>
          <w:sz w:val="22"/>
          <w:szCs w:val="22"/>
          <w:lang w:val="en-GB"/>
        </w:rPr>
      </w:pPr>
    </w:p>
    <w:p w14:paraId="222997C5" w14:textId="77777777" w:rsidR="00AB18DE" w:rsidRPr="00C273FD" w:rsidRDefault="00AB18DE" w:rsidP="00C80ACF">
      <w:pPr>
        <w:widowControl w:val="0"/>
        <w:autoSpaceDE w:val="0"/>
        <w:autoSpaceDN w:val="0"/>
        <w:adjustRightInd w:val="0"/>
        <w:jc w:val="both"/>
        <w:rPr>
          <w:color w:val="1A1A1A"/>
          <w:sz w:val="22"/>
          <w:szCs w:val="22"/>
          <w:lang w:val="en-GB"/>
        </w:rPr>
      </w:pPr>
    </w:p>
    <w:p w14:paraId="30B03649" w14:textId="1506F162" w:rsidR="00C80ACF" w:rsidRPr="00C273FD" w:rsidRDefault="00C80ACF"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 xml:space="preserve">Fiscal and </w:t>
      </w:r>
      <w:r w:rsidR="00720DE5">
        <w:rPr>
          <w:rFonts w:ascii="Arial" w:hAnsi="Arial" w:cs="Arial"/>
          <w:b/>
          <w:color w:val="1A1A1A"/>
          <w:lang w:val="en-GB"/>
        </w:rPr>
        <w:t>O</w:t>
      </w:r>
      <w:r w:rsidRPr="00C273FD">
        <w:rPr>
          <w:rFonts w:ascii="Arial" w:hAnsi="Arial" w:cs="Arial"/>
          <w:b/>
          <w:color w:val="1A1A1A"/>
          <w:lang w:val="en-GB"/>
        </w:rPr>
        <w:t xml:space="preserve">ther </w:t>
      </w:r>
      <w:r w:rsidR="00720DE5">
        <w:rPr>
          <w:rFonts w:ascii="Arial" w:hAnsi="Arial" w:cs="Arial"/>
          <w:b/>
          <w:color w:val="1A1A1A"/>
          <w:lang w:val="en-GB"/>
        </w:rPr>
        <w:t>D</w:t>
      </w:r>
      <w:r w:rsidRPr="00C273FD">
        <w:rPr>
          <w:rFonts w:ascii="Arial" w:hAnsi="Arial" w:cs="Arial"/>
          <w:b/>
          <w:color w:val="1A1A1A"/>
          <w:lang w:val="en-GB"/>
        </w:rPr>
        <w:t xml:space="preserve">eficit </w:t>
      </w:r>
      <w:r w:rsidR="00720DE5">
        <w:rPr>
          <w:rFonts w:ascii="Arial" w:hAnsi="Arial" w:cs="Arial"/>
          <w:b/>
          <w:color w:val="1A1A1A"/>
          <w:lang w:val="en-GB"/>
        </w:rPr>
        <w:t>I</w:t>
      </w:r>
      <w:r w:rsidRPr="00C273FD">
        <w:rPr>
          <w:rFonts w:ascii="Arial" w:hAnsi="Arial" w:cs="Arial"/>
          <w:b/>
          <w:color w:val="1A1A1A"/>
          <w:lang w:val="en-GB"/>
        </w:rPr>
        <w:t>ndicators</w:t>
      </w:r>
    </w:p>
    <w:p w14:paraId="731F6090" w14:textId="77777777" w:rsidR="00C80ACF" w:rsidRPr="00C273FD" w:rsidRDefault="00C80ACF" w:rsidP="00AB18DE">
      <w:pPr>
        <w:pStyle w:val="BodyTextMain"/>
        <w:rPr>
          <w:lang w:val="en-GB"/>
        </w:rPr>
      </w:pPr>
    </w:p>
    <w:p w14:paraId="15C8708C" w14:textId="7EE928A5"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The Union Budget in India, which outlined the central government’s fiscal operations, documented the various heads of government revenues and expenditures</w:t>
      </w:r>
      <w:r w:rsidR="006541C7">
        <w:rPr>
          <w:color w:val="1A1A1A"/>
          <w:sz w:val="22"/>
          <w:szCs w:val="22"/>
          <w:lang w:val="en-GB"/>
        </w:rPr>
        <w:t>,</w:t>
      </w:r>
      <w:r w:rsidRPr="00C273FD">
        <w:rPr>
          <w:color w:val="1A1A1A"/>
          <w:sz w:val="22"/>
          <w:szCs w:val="22"/>
          <w:lang w:val="en-GB"/>
        </w:rPr>
        <w:t xml:space="preserve"> and the deficit indicators arising from the government’s operations. Three key deficit indicators attested to the health of the government finances: </w:t>
      </w:r>
      <w:r w:rsidR="006541C7">
        <w:rPr>
          <w:color w:val="1A1A1A"/>
          <w:sz w:val="22"/>
          <w:szCs w:val="22"/>
          <w:lang w:val="en-GB"/>
        </w:rPr>
        <w:t>f</w:t>
      </w:r>
      <w:r w:rsidRPr="00C273FD">
        <w:rPr>
          <w:color w:val="1A1A1A"/>
          <w:sz w:val="22"/>
          <w:szCs w:val="22"/>
          <w:lang w:val="en-GB"/>
        </w:rPr>
        <w:t xml:space="preserve">iscal </w:t>
      </w:r>
      <w:r w:rsidR="006541C7">
        <w:rPr>
          <w:color w:val="1A1A1A"/>
          <w:sz w:val="22"/>
          <w:szCs w:val="22"/>
          <w:lang w:val="en-GB"/>
        </w:rPr>
        <w:t>d</w:t>
      </w:r>
      <w:r w:rsidRPr="00C273FD">
        <w:rPr>
          <w:color w:val="1A1A1A"/>
          <w:sz w:val="22"/>
          <w:szCs w:val="22"/>
          <w:lang w:val="en-GB"/>
        </w:rPr>
        <w:t xml:space="preserve">eficit, </w:t>
      </w:r>
      <w:r w:rsidR="006541C7">
        <w:rPr>
          <w:color w:val="1A1A1A"/>
          <w:sz w:val="22"/>
          <w:szCs w:val="22"/>
          <w:lang w:val="en-GB"/>
        </w:rPr>
        <w:t>r</w:t>
      </w:r>
      <w:r w:rsidRPr="00C273FD">
        <w:rPr>
          <w:color w:val="1A1A1A"/>
          <w:sz w:val="22"/>
          <w:szCs w:val="22"/>
          <w:lang w:val="en-GB"/>
        </w:rPr>
        <w:t xml:space="preserve">evenue </w:t>
      </w:r>
      <w:r w:rsidR="006541C7">
        <w:rPr>
          <w:color w:val="1A1A1A"/>
          <w:sz w:val="22"/>
          <w:szCs w:val="22"/>
          <w:lang w:val="en-GB"/>
        </w:rPr>
        <w:t>d</w:t>
      </w:r>
      <w:r w:rsidRPr="00C273FD">
        <w:rPr>
          <w:color w:val="1A1A1A"/>
          <w:sz w:val="22"/>
          <w:szCs w:val="22"/>
          <w:lang w:val="en-GB"/>
        </w:rPr>
        <w:t>eficit</w:t>
      </w:r>
      <w:r w:rsidR="006541C7">
        <w:rPr>
          <w:color w:val="1A1A1A"/>
          <w:sz w:val="22"/>
          <w:szCs w:val="22"/>
          <w:lang w:val="en-GB"/>
        </w:rPr>
        <w:t>,</w:t>
      </w:r>
      <w:r w:rsidRPr="00C273FD">
        <w:rPr>
          <w:color w:val="1A1A1A"/>
          <w:sz w:val="22"/>
          <w:szCs w:val="22"/>
          <w:lang w:val="en-GB"/>
        </w:rPr>
        <w:t xml:space="preserve"> and </w:t>
      </w:r>
      <w:r w:rsidR="006541C7">
        <w:rPr>
          <w:color w:val="1A1A1A"/>
          <w:sz w:val="22"/>
          <w:szCs w:val="22"/>
          <w:lang w:val="en-GB"/>
        </w:rPr>
        <w:t>p</w:t>
      </w:r>
      <w:r w:rsidRPr="00C273FD">
        <w:rPr>
          <w:color w:val="1A1A1A"/>
          <w:sz w:val="22"/>
          <w:szCs w:val="22"/>
          <w:lang w:val="en-GB"/>
        </w:rPr>
        <w:t xml:space="preserve">rimary </w:t>
      </w:r>
      <w:r w:rsidR="006541C7">
        <w:rPr>
          <w:color w:val="1A1A1A"/>
          <w:sz w:val="22"/>
          <w:szCs w:val="22"/>
          <w:lang w:val="en-GB"/>
        </w:rPr>
        <w:t>d</w:t>
      </w:r>
      <w:r w:rsidRPr="00C273FD">
        <w:rPr>
          <w:color w:val="1A1A1A"/>
          <w:sz w:val="22"/>
          <w:szCs w:val="22"/>
          <w:lang w:val="en-GB"/>
        </w:rPr>
        <w:t xml:space="preserve">eficit. The </w:t>
      </w:r>
      <w:r w:rsidR="006541C7">
        <w:rPr>
          <w:color w:val="1A1A1A"/>
          <w:sz w:val="22"/>
          <w:szCs w:val="22"/>
          <w:lang w:val="en-GB"/>
        </w:rPr>
        <w:t>f</w:t>
      </w:r>
      <w:r w:rsidRPr="00C273FD">
        <w:rPr>
          <w:color w:val="1A1A1A"/>
          <w:sz w:val="22"/>
          <w:szCs w:val="22"/>
          <w:lang w:val="en-GB"/>
        </w:rPr>
        <w:t xml:space="preserve">iscal </w:t>
      </w:r>
      <w:r w:rsidR="006541C7">
        <w:rPr>
          <w:color w:val="1A1A1A"/>
          <w:sz w:val="22"/>
          <w:szCs w:val="22"/>
          <w:lang w:val="en-GB"/>
        </w:rPr>
        <w:t>d</w:t>
      </w:r>
      <w:r w:rsidRPr="00C273FD">
        <w:rPr>
          <w:color w:val="1A1A1A"/>
          <w:sz w:val="22"/>
          <w:szCs w:val="22"/>
          <w:lang w:val="en-GB"/>
        </w:rPr>
        <w:t xml:space="preserve">eficit referred to the difference between the revenue receipts plus the non-debt capital receipts and the total expenditure, to </w:t>
      </w:r>
      <w:proofErr w:type="gramStart"/>
      <w:r w:rsidRPr="00C273FD">
        <w:rPr>
          <w:color w:val="1A1A1A"/>
          <w:sz w:val="22"/>
          <w:szCs w:val="22"/>
          <w:lang w:val="en-GB"/>
        </w:rPr>
        <w:t>be bridged</w:t>
      </w:r>
      <w:proofErr w:type="gramEnd"/>
      <w:r w:rsidRPr="00C273FD">
        <w:rPr>
          <w:color w:val="1A1A1A"/>
          <w:sz w:val="22"/>
          <w:szCs w:val="22"/>
          <w:lang w:val="en-GB"/>
        </w:rPr>
        <w:t xml:space="preserve"> through borrowings and other liabilities. Accumulated fiscal deficit led to government debt and raised issues of financing. A high fiscal deficit</w:t>
      </w:r>
      <w:r w:rsidR="00EC6E5D">
        <w:rPr>
          <w:color w:val="1A1A1A"/>
          <w:sz w:val="22"/>
          <w:szCs w:val="22"/>
          <w:lang w:val="en-GB"/>
        </w:rPr>
        <w:t>,</w:t>
      </w:r>
      <w:r w:rsidRPr="00C273FD">
        <w:rPr>
          <w:color w:val="1A1A1A"/>
          <w:sz w:val="22"/>
          <w:szCs w:val="22"/>
          <w:lang w:val="en-GB"/>
        </w:rPr>
        <w:t xml:space="preserve"> when financed through government borrowings</w:t>
      </w:r>
      <w:r w:rsidR="00EC6E5D">
        <w:rPr>
          <w:color w:val="1A1A1A"/>
          <w:sz w:val="22"/>
          <w:szCs w:val="22"/>
          <w:lang w:val="en-GB"/>
        </w:rPr>
        <w:t>,</w:t>
      </w:r>
      <w:r w:rsidRPr="00C273FD">
        <w:rPr>
          <w:color w:val="1A1A1A"/>
          <w:sz w:val="22"/>
          <w:szCs w:val="22"/>
          <w:lang w:val="en-GB"/>
        </w:rPr>
        <w:t xml:space="preserve"> led to a crowding out of the private sector borrowings</w:t>
      </w:r>
      <w:r w:rsidR="00E2275D" w:rsidRPr="00C273FD">
        <w:rPr>
          <w:color w:val="1A1A1A"/>
          <w:sz w:val="22"/>
          <w:szCs w:val="22"/>
          <w:lang w:val="en-GB"/>
        </w:rPr>
        <w:t>,</w:t>
      </w:r>
      <w:r w:rsidRPr="00C273FD">
        <w:rPr>
          <w:rStyle w:val="EndnoteReference"/>
          <w:color w:val="1A1A1A"/>
          <w:sz w:val="22"/>
          <w:szCs w:val="22"/>
          <w:lang w:val="en-GB"/>
        </w:rPr>
        <w:endnoteReference w:id="79"/>
      </w:r>
      <w:r w:rsidRPr="00C273FD">
        <w:rPr>
          <w:color w:val="1A1A1A"/>
          <w:sz w:val="22"/>
          <w:szCs w:val="22"/>
          <w:lang w:val="en-GB"/>
        </w:rPr>
        <w:t xml:space="preserve"> while moneti</w:t>
      </w:r>
      <w:r w:rsidR="006541C7">
        <w:rPr>
          <w:color w:val="1A1A1A"/>
          <w:sz w:val="22"/>
          <w:szCs w:val="22"/>
          <w:lang w:val="en-GB"/>
        </w:rPr>
        <w:t>z</w:t>
      </w:r>
      <w:r w:rsidRPr="00C273FD">
        <w:rPr>
          <w:color w:val="1A1A1A"/>
          <w:sz w:val="22"/>
          <w:szCs w:val="22"/>
          <w:lang w:val="en-GB"/>
        </w:rPr>
        <w:t xml:space="preserve">ation of deficits had an inflationary impact. </w:t>
      </w:r>
      <w:r w:rsidRPr="00C273FD">
        <w:rPr>
          <w:bCs/>
          <w:color w:val="1A1A1A"/>
          <w:sz w:val="22"/>
          <w:szCs w:val="22"/>
          <w:lang w:val="en-GB"/>
        </w:rPr>
        <w:t xml:space="preserve">Revenue </w:t>
      </w:r>
      <w:r w:rsidR="006541C7">
        <w:rPr>
          <w:bCs/>
          <w:color w:val="1A1A1A"/>
          <w:sz w:val="22"/>
          <w:szCs w:val="22"/>
          <w:lang w:val="en-GB"/>
        </w:rPr>
        <w:t>d</w:t>
      </w:r>
      <w:r w:rsidRPr="00C273FD">
        <w:rPr>
          <w:bCs/>
          <w:color w:val="1A1A1A"/>
          <w:sz w:val="22"/>
          <w:szCs w:val="22"/>
          <w:lang w:val="en-GB"/>
        </w:rPr>
        <w:t xml:space="preserve">eficit </w:t>
      </w:r>
      <w:r w:rsidRPr="00C273FD">
        <w:rPr>
          <w:color w:val="1A1A1A"/>
          <w:sz w:val="22"/>
          <w:szCs w:val="22"/>
          <w:lang w:val="en-GB"/>
        </w:rPr>
        <w:t xml:space="preserve">referred to the excess of revenue expenditure over revenue receipts, and was a measure of the </w:t>
      </w:r>
      <w:r w:rsidR="00036E22">
        <w:rPr>
          <w:color w:val="1A1A1A"/>
          <w:sz w:val="22"/>
          <w:szCs w:val="22"/>
          <w:lang w:val="en-GB"/>
        </w:rPr>
        <w:t xml:space="preserve">government’s </w:t>
      </w:r>
      <w:proofErr w:type="spellStart"/>
      <w:r w:rsidRPr="00C273FD">
        <w:rPr>
          <w:color w:val="1A1A1A"/>
          <w:sz w:val="22"/>
          <w:szCs w:val="22"/>
          <w:lang w:val="en-GB"/>
        </w:rPr>
        <w:t>dissavings</w:t>
      </w:r>
      <w:proofErr w:type="spellEnd"/>
      <w:r w:rsidRPr="00C273FD">
        <w:rPr>
          <w:color w:val="1A1A1A"/>
          <w:sz w:val="22"/>
          <w:szCs w:val="22"/>
          <w:lang w:val="en-GB"/>
        </w:rPr>
        <w:t xml:space="preserve">. </w:t>
      </w:r>
      <w:r w:rsidRPr="00C273FD">
        <w:rPr>
          <w:bCs/>
          <w:color w:val="1A1A1A"/>
          <w:sz w:val="22"/>
          <w:szCs w:val="22"/>
          <w:lang w:val="en-GB"/>
        </w:rPr>
        <w:t xml:space="preserve">Primary </w:t>
      </w:r>
      <w:r w:rsidR="006541C7">
        <w:rPr>
          <w:bCs/>
          <w:color w:val="1A1A1A"/>
          <w:sz w:val="22"/>
          <w:szCs w:val="22"/>
          <w:lang w:val="en-GB"/>
        </w:rPr>
        <w:t>d</w:t>
      </w:r>
      <w:r w:rsidRPr="00C273FD">
        <w:rPr>
          <w:bCs/>
          <w:color w:val="1A1A1A"/>
          <w:sz w:val="22"/>
          <w:szCs w:val="22"/>
          <w:lang w:val="en-GB"/>
        </w:rPr>
        <w:t>eficit,</w:t>
      </w:r>
      <w:r w:rsidRPr="00C273FD">
        <w:rPr>
          <w:color w:val="1A1A1A"/>
          <w:sz w:val="22"/>
          <w:szCs w:val="22"/>
          <w:lang w:val="en-GB"/>
        </w:rPr>
        <w:t xml:space="preserve"> measured by </w:t>
      </w:r>
      <w:r w:rsidR="006541C7">
        <w:rPr>
          <w:color w:val="1A1A1A"/>
          <w:sz w:val="22"/>
          <w:szCs w:val="22"/>
          <w:lang w:val="en-GB"/>
        </w:rPr>
        <w:t>f</w:t>
      </w:r>
      <w:r w:rsidRPr="00C273FD">
        <w:rPr>
          <w:color w:val="1A1A1A"/>
          <w:sz w:val="22"/>
          <w:szCs w:val="22"/>
          <w:lang w:val="en-GB"/>
        </w:rPr>
        <w:t xml:space="preserve">iscal </w:t>
      </w:r>
      <w:r w:rsidR="006541C7">
        <w:rPr>
          <w:color w:val="1A1A1A"/>
          <w:sz w:val="22"/>
          <w:szCs w:val="22"/>
          <w:lang w:val="en-GB"/>
        </w:rPr>
        <w:t>d</w:t>
      </w:r>
      <w:r w:rsidRPr="00C273FD">
        <w:rPr>
          <w:color w:val="1A1A1A"/>
          <w:sz w:val="22"/>
          <w:szCs w:val="22"/>
          <w:lang w:val="en-GB"/>
        </w:rPr>
        <w:t xml:space="preserve">eficit less interest payments, was a measure of the </w:t>
      </w:r>
      <w:r w:rsidR="00036E22">
        <w:rPr>
          <w:color w:val="1A1A1A"/>
          <w:sz w:val="22"/>
          <w:szCs w:val="22"/>
          <w:lang w:val="en-GB"/>
        </w:rPr>
        <w:t xml:space="preserve">government’s </w:t>
      </w:r>
      <w:r w:rsidRPr="00C273FD">
        <w:rPr>
          <w:color w:val="1A1A1A"/>
          <w:sz w:val="22"/>
          <w:szCs w:val="22"/>
          <w:lang w:val="en-GB"/>
        </w:rPr>
        <w:t>debt sustainability</w:t>
      </w:r>
      <w:r w:rsidR="00E2275D" w:rsidRPr="00C273FD">
        <w:rPr>
          <w:color w:val="1A1A1A"/>
          <w:sz w:val="22"/>
          <w:szCs w:val="22"/>
          <w:lang w:val="en-GB"/>
        </w:rPr>
        <w:t>.</w:t>
      </w:r>
      <w:r w:rsidRPr="00C273FD">
        <w:rPr>
          <w:rStyle w:val="EndnoteReference"/>
          <w:color w:val="1A1A1A"/>
          <w:sz w:val="22"/>
          <w:szCs w:val="22"/>
          <w:lang w:val="en-GB"/>
        </w:rPr>
        <w:endnoteReference w:id="80"/>
      </w:r>
      <w:r w:rsidRPr="00C273FD">
        <w:rPr>
          <w:color w:val="1A1A1A"/>
          <w:sz w:val="22"/>
          <w:szCs w:val="22"/>
          <w:lang w:val="en-GB"/>
        </w:rPr>
        <w:t xml:space="preserve"> </w:t>
      </w:r>
    </w:p>
    <w:p w14:paraId="459264A1" w14:textId="77777777" w:rsidR="00C80ACF" w:rsidRPr="00C273FD" w:rsidRDefault="00C80ACF" w:rsidP="00C80ACF">
      <w:pPr>
        <w:widowControl w:val="0"/>
        <w:autoSpaceDE w:val="0"/>
        <w:autoSpaceDN w:val="0"/>
        <w:adjustRightInd w:val="0"/>
        <w:jc w:val="both"/>
        <w:rPr>
          <w:color w:val="1A1A1A"/>
          <w:sz w:val="22"/>
          <w:szCs w:val="22"/>
          <w:lang w:val="en-GB"/>
        </w:rPr>
      </w:pPr>
    </w:p>
    <w:p w14:paraId="1C2B500E" w14:textId="68B7F954"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Prudent fiscal management required paying attention not only to the </w:t>
      </w:r>
      <w:r w:rsidR="00036E22">
        <w:rPr>
          <w:color w:val="1A1A1A"/>
          <w:sz w:val="22"/>
          <w:szCs w:val="22"/>
          <w:lang w:val="en-GB"/>
        </w:rPr>
        <w:t>quantity</w:t>
      </w:r>
      <w:r w:rsidR="00036E22" w:rsidRPr="00C273FD">
        <w:rPr>
          <w:color w:val="1A1A1A"/>
          <w:sz w:val="22"/>
          <w:szCs w:val="22"/>
          <w:lang w:val="en-GB"/>
        </w:rPr>
        <w:t xml:space="preserve"> </w:t>
      </w:r>
      <w:r w:rsidRPr="00C273FD">
        <w:rPr>
          <w:color w:val="1A1A1A"/>
          <w:sz w:val="22"/>
          <w:szCs w:val="22"/>
          <w:lang w:val="en-GB"/>
        </w:rPr>
        <w:t xml:space="preserve">of fiscal deficit but also to the quality of financing the deficit. The latter required greater recourse to direct tax receipts </w:t>
      </w:r>
      <w:r w:rsidR="006541C7">
        <w:rPr>
          <w:color w:val="1A1A1A"/>
          <w:sz w:val="22"/>
          <w:szCs w:val="22"/>
          <w:lang w:val="en-GB"/>
        </w:rPr>
        <w:t xml:space="preserve">and </w:t>
      </w:r>
      <w:r w:rsidRPr="00C273FD">
        <w:rPr>
          <w:color w:val="1A1A1A"/>
          <w:sz w:val="22"/>
          <w:szCs w:val="22"/>
          <w:lang w:val="en-GB"/>
        </w:rPr>
        <w:t>a greater proportion of expenditure on productive capital outlays rather than the unproductive and short-term revenue expenditure. Moreover, fiscal prudence required adherence to the “</w:t>
      </w:r>
      <w:r w:rsidR="006541C7">
        <w:rPr>
          <w:color w:val="1A1A1A"/>
          <w:sz w:val="22"/>
          <w:szCs w:val="22"/>
          <w:lang w:val="en-GB"/>
        </w:rPr>
        <w:t>g</w:t>
      </w:r>
      <w:r w:rsidRPr="00C273FD">
        <w:rPr>
          <w:color w:val="1A1A1A"/>
          <w:sz w:val="22"/>
          <w:szCs w:val="22"/>
          <w:lang w:val="en-GB"/>
        </w:rPr>
        <w:t xml:space="preserve">olden </w:t>
      </w:r>
      <w:r w:rsidR="006541C7">
        <w:rPr>
          <w:color w:val="1A1A1A"/>
          <w:sz w:val="22"/>
          <w:szCs w:val="22"/>
          <w:lang w:val="en-GB"/>
        </w:rPr>
        <w:t>r</w:t>
      </w:r>
      <w:r w:rsidRPr="00C273FD">
        <w:rPr>
          <w:color w:val="1A1A1A"/>
          <w:sz w:val="22"/>
          <w:szCs w:val="22"/>
          <w:lang w:val="en-GB"/>
        </w:rPr>
        <w:t>ule” of eliminating the revenue deficit and ensuring that borrowing over the fiscal cycle was only for capital formation</w:t>
      </w:r>
      <w:r w:rsidR="00E2275D" w:rsidRPr="00C273FD">
        <w:rPr>
          <w:color w:val="1A1A1A"/>
          <w:sz w:val="22"/>
          <w:szCs w:val="22"/>
          <w:lang w:val="en-GB"/>
        </w:rPr>
        <w:t>.</w:t>
      </w:r>
      <w:r w:rsidRPr="00C273FD">
        <w:rPr>
          <w:rStyle w:val="EndnoteReference"/>
          <w:color w:val="1A1A1A"/>
          <w:sz w:val="22"/>
          <w:szCs w:val="22"/>
          <w:lang w:val="en-GB"/>
        </w:rPr>
        <w:endnoteReference w:id="81"/>
      </w:r>
      <w:r w:rsidRPr="00C273FD">
        <w:rPr>
          <w:color w:val="1A1A1A"/>
          <w:sz w:val="22"/>
          <w:szCs w:val="22"/>
          <w:lang w:val="en-GB"/>
        </w:rPr>
        <w:t xml:space="preserve"> It further required eliminating the primary deficit and moving toward a scenario of a primary surplus.</w:t>
      </w:r>
      <w:r w:rsidR="00C273FD" w:rsidRPr="00C273FD">
        <w:rPr>
          <w:color w:val="1A1A1A"/>
          <w:sz w:val="22"/>
          <w:szCs w:val="22"/>
          <w:lang w:val="en-GB"/>
        </w:rPr>
        <w:t xml:space="preserve"> </w:t>
      </w:r>
    </w:p>
    <w:p w14:paraId="44AADB37" w14:textId="77777777" w:rsidR="00C80ACF" w:rsidRPr="00C273FD" w:rsidRDefault="00C80ACF" w:rsidP="00C80ACF">
      <w:pPr>
        <w:widowControl w:val="0"/>
        <w:autoSpaceDE w:val="0"/>
        <w:autoSpaceDN w:val="0"/>
        <w:adjustRightInd w:val="0"/>
        <w:jc w:val="both"/>
        <w:rPr>
          <w:color w:val="1A1A1A"/>
          <w:sz w:val="22"/>
          <w:szCs w:val="22"/>
          <w:lang w:val="en-GB"/>
        </w:rPr>
      </w:pPr>
    </w:p>
    <w:p w14:paraId="69A8944F" w14:textId="3D232B6B" w:rsidR="00C80ACF" w:rsidRPr="00C273FD" w:rsidRDefault="00C80ACF" w:rsidP="00C80ACF">
      <w:pPr>
        <w:widowControl w:val="0"/>
        <w:autoSpaceDE w:val="0"/>
        <w:autoSpaceDN w:val="0"/>
        <w:adjustRightInd w:val="0"/>
        <w:jc w:val="both"/>
        <w:rPr>
          <w:color w:val="1A1A1A"/>
          <w:spacing w:val="-4"/>
          <w:kern w:val="22"/>
          <w:sz w:val="22"/>
          <w:szCs w:val="22"/>
          <w:lang w:val="en-GB"/>
        </w:rPr>
      </w:pPr>
      <w:r w:rsidRPr="00C273FD">
        <w:rPr>
          <w:color w:val="1A1A1A"/>
          <w:spacing w:val="-4"/>
          <w:kern w:val="22"/>
          <w:sz w:val="22"/>
          <w:szCs w:val="22"/>
          <w:lang w:val="en-GB"/>
        </w:rPr>
        <w:t>The 25</w:t>
      </w:r>
      <w:r w:rsidR="006541C7">
        <w:rPr>
          <w:color w:val="1A1A1A"/>
          <w:spacing w:val="-4"/>
          <w:kern w:val="22"/>
          <w:sz w:val="22"/>
          <w:szCs w:val="22"/>
          <w:lang w:val="en-GB"/>
        </w:rPr>
        <w:t>-</w:t>
      </w:r>
      <w:r w:rsidRPr="00C273FD">
        <w:rPr>
          <w:color w:val="1A1A1A"/>
          <w:spacing w:val="-4"/>
          <w:kern w:val="22"/>
          <w:sz w:val="22"/>
          <w:szCs w:val="22"/>
          <w:lang w:val="en-GB"/>
        </w:rPr>
        <w:t>year period witnessed a gradual improvement in the fiscal position. Starting with a high fiscal deficit of 7.61</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of GDP in 1990</w:t>
      </w:r>
      <w:r w:rsidR="006541C7">
        <w:rPr>
          <w:color w:val="1A1A1A"/>
          <w:spacing w:val="-4"/>
          <w:kern w:val="22"/>
          <w:sz w:val="22"/>
          <w:szCs w:val="22"/>
          <w:lang w:val="en-GB"/>
        </w:rPr>
        <w:t>/</w:t>
      </w:r>
      <w:r w:rsidRPr="00C273FD">
        <w:rPr>
          <w:color w:val="1A1A1A"/>
          <w:spacing w:val="-4"/>
          <w:kern w:val="22"/>
          <w:sz w:val="22"/>
          <w:szCs w:val="22"/>
          <w:lang w:val="en-GB"/>
        </w:rPr>
        <w:t>91, the fiscal deficit sharply moderated during the high</w:t>
      </w:r>
      <w:r w:rsidR="006541C7">
        <w:rPr>
          <w:color w:val="1A1A1A"/>
          <w:spacing w:val="-4"/>
          <w:kern w:val="22"/>
          <w:sz w:val="22"/>
          <w:szCs w:val="22"/>
          <w:lang w:val="en-GB"/>
        </w:rPr>
        <w:t>-</w:t>
      </w:r>
      <w:r w:rsidRPr="00C273FD">
        <w:rPr>
          <w:color w:val="1A1A1A"/>
          <w:spacing w:val="-4"/>
          <w:kern w:val="22"/>
          <w:sz w:val="22"/>
          <w:szCs w:val="22"/>
          <w:lang w:val="en-GB"/>
        </w:rPr>
        <w:t>growth phase of 2004</w:t>
      </w:r>
      <w:r w:rsidR="006541C7">
        <w:rPr>
          <w:color w:val="1A1A1A"/>
          <w:spacing w:val="-4"/>
          <w:kern w:val="22"/>
          <w:sz w:val="22"/>
          <w:szCs w:val="22"/>
          <w:lang w:val="en-GB"/>
        </w:rPr>
        <w:t>–</w:t>
      </w:r>
      <w:r w:rsidRPr="00C273FD">
        <w:rPr>
          <w:color w:val="1A1A1A"/>
          <w:spacing w:val="-4"/>
          <w:kern w:val="22"/>
          <w:sz w:val="22"/>
          <w:szCs w:val="22"/>
          <w:lang w:val="en-GB"/>
        </w:rPr>
        <w:t xml:space="preserve">08. The government committed itself to a rule-based fiscal consolidation process with the enactment of the </w:t>
      </w:r>
      <w:r w:rsidRPr="00640722">
        <w:rPr>
          <w:i/>
          <w:color w:val="1A1A1A"/>
          <w:spacing w:val="-4"/>
          <w:kern w:val="22"/>
          <w:sz w:val="22"/>
          <w:szCs w:val="22"/>
          <w:lang w:val="en-GB"/>
        </w:rPr>
        <w:t>Fiscal Responsibility and Budget Management (FRBM) Act, 2003</w:t>
      </w:r>
      <w:r w:rsidRPr="00C273FD">
        <w:rPr>
          <w:color w:val="1A1A1A"/>
          <w:spacing w:val="-4"/>
          <w:kern w:val="22"/>
          <w:sz w:val="22"/>
          <w:szCs w:val="22"/>
          <w:lang w:val="en-GB"/>
        </w:rPr>
        <w:t>. The post-2008 period witnessed significant fiscal expansion to avoid the negative impact of the global financial crisis, which led to a worsening of the fiscal deficit, revenue deficit</w:t>
      </w:r>
      <w:r w:rsidR="00EC6E5D">
        <w:rPr>
          <w:color w:val="1A1A1A"/>
          <w:spacing w:val="-4"/>
          <w:kern w:val="22"/>
          <w:sz w:val="22"/>
          <w:szCs w:val="22"/>
          <w:lang w:val="en-GB"/>
        </w:rPr>
        <w:t>,</w:t>
      </w:r>
      <w:r w:rsidRPr="00C273FD">
        <w:rPr>
          <w:color w:val="1A1A1A"/>
          <w:spacing w:val="-4"/>
          <w:kern w:val="22"/>
          <w:sz w:val="22"/>
          <w:szCs w:val="22"/>
          <w:lang w:val="en-GB"/>
        </w:rPr>
        <w:t xml:space="preserve"> a</w:t>
      </w:r>
      <w:r w:rsidR="00E2275D" w:rsidRPr="00C273FD">
        <w:rPr>
          <w:color w:val="1A1A1A"/>
          <w:spacing w:val="-4"/>
          <w:kern w:val="22"/>
          <w:sz w:val="22"/>
          <w:szCs w:val="22"/>
          <w:lang w:val="en-GB"/>
        </w:rPr>
        <w:t>nd primary deficit indicators (s</w:t>
      </w:r>
      <w:r w:rsidRPr="00C273FD">
        <w:rPr>
          <w:color w:val="1A1A1A"/>
          <w:spacing w:val="-4"/>
          <w:kern w:val="22"/>
          <w:sz w:val="22"/>
          <w:szCs w:val="22"/>
          <w:lang w:val="en-GB"/>
        </w:rPr>
        <w:t>ee Exhibit 4). In 2015</w:t>
      </w:r>
      <w:r w:rsidR="006541C7">
        <w:rPr>
          <w:color w:val="1A1A1A"/>
          <w:spacing w:val="-4"/>
          <w:kern w:val="22"/>
          <w:sz w:val="22"/>
          <w:szCs w:val="22"/>
          <w:lang w:val="en-GB"/>
        </w:rPr>
        <w:t>/</w:t>
      </w:r>
      <w:r w:rsidRPr="00C273FD">
        <w:rPr>
          <w:color w:val="1A1A1A"/>
          <w:spacing w:val="-4"/>
          <w:kern w:val="22"/>
          <w:sz w:val="22"/>
          <w:szCs w:val="22"/>
          <w:lang w:val="en-GB"/>
        </w:rPr>
        <w:t xml:space="preserve">16, the fiscal deficit </w:t>
      </w:r>
      <w:proofErr w:type="gramStart"/>
      <w:r w:rsidRPr="00C273FD">
        <w:rPr>
          <w:color w:val="1A1A1A"/>
          <w:spacing w:val="-4"/>
          <w:kern w:val="22"/>
          <w:sz w:val="22"/>
          <w:szCs w:val="22"/>
          <w:lang w:val="en-GB"/>
        </w:rPr>
        <w:t>had been reduced</w:t>
      </w:r>
      <w:proofErr w:type="gramEnd"/>
      <w:r w:rsidRPr="00C273FD">
        <w:rPr>
          <w:color w:val="1A1A1A"/>
          <w:spacing w:val="-4"/>
          <w:kern w:val="22"/>
          <w:sz w:val="22"/>
          <w:szCs w:val="22"/>
          <w:lang w:val="en-GB"/>
        </w:rPr>
        <w:t xml:space="preserve"> to 3.94</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However, the growth in tax revenues as a percentage of GDP </w:t>
      </w:r>
      <w:r w:rsidR="006541C7">
        <w:rPr>
          <w:color w:val="1A1A1A"/>
          <w:spacing w:val="-4"/>
          <w:kern w:val="22"/>
          <w:sz w:val="22"/>
          <w:szCs w:val="22"/>
          <w:lang w:val="en-GB"/>
        </w:rPr>
        <w:t>and</w:t>
      </w:r>
      <w:r w:rsidRPr="00C273FD">
        <w:rPr>
          <w:color w:val="1A1A1A"/>
          <w:spacing w:val="-4"/>
          <w:kern w:val="22"/>
          <w:sz w:val="22"/>
          <w:szCs w:val="22"/>
          <w:lang w:val="en-GB"/>
        </w:rPr>
        <w:t xml:space="preserve"> the relative proportion of capital to revenue expenditures raised questions regarding the quality of such fiscal deficit. </w:t>
      </w:r>
    </w:p>
    <w:p w14:paraId="034E97E9" w14:textId="77777777" w:rsidR="00C80ACF" w:rsidRPr="00C273FD" w:rsidRDefault="00C80ACF" w:rsidP="00C80ACF">
      <w:pPr>
        <w:widowControl w:val="0"/>
        <w:autoSpaceDE w:val="0"/>
        <w:autoSpaceDN w:val="0"/>
        <w:adjustRightInd w:val="0"/>
        <w:jc w:val="both"/>
        <w:rPr>
          <w:color w:val="1A1A1A"/>
          <w:spacing w:val="-4"/>
          <w:sz w:val="22"/>
          <w:szCs w:val="22"/>
          <w:lang w:val="en-GB"/>
        </w:rPr>
      </w:pPr>
    </w:p>
    <w:p w14:paraId="792666C2" w14:textId="426D5AA9" w:rsidR="00C80ACF" w:rsidRPr="00C273FD" w:rsidRDefault="00C80ACF" w:rsidP="00C80ACF">
      <w:pPr>
        <w:widowControl w:val="0"/>
        <w:autoSpaceDE w:val="0"/>
        <w:autoSpaceDN w:val="0"/>
        <w:adjustRightInd w:val="0"/>
        <w:jc w:val="both"/>
        <w:rPr>
          <w:color w:val="1A1A1A"/>
          <w:spacing w:val="-4"/>
          <w:kern w:val="22"/>
          <w:sz w:val="22"/>
          <w:szCs w:val="22"/>
          <w:lang w:val="en-GB"/>
        </w:rPr>
      </w:pPr>
      <w:r w:rsidRPr="00C273FD">
        <w:rPr>
          <w:color w:val="1A1A1A"/>
          <w:spacing w:val="-4"/>
          <w:kern w:val="22"/>
          <w:sz w:val="22"/>
          <w:szCs w:val="22"/>
          <w:lang w:val="en-GB"/>
        </w:rPr>
        <w:t>More importantly, India’s general government fiscal deficit ratio of 6.6</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in 2014 and debt of 67.1</w:t>
      </w:r>
      <w:r w:rsidR="00B50E48" w:rsidRPr="00C273FD">
        <w:rPr>
          <w:color w:val="1A1A1A"/>
          <w:spacing w:val="-4"/>
          <w:kern w:val="22"/>
          <w:sz w:val="22"/>
          <w:szCs w:val="22"/>
          <w:lang w:val="en-GB"/>
        </w:rPr>
        <w:t xml:space="preserve"> per cent</w:t>
      </w:r>
      <w:r w:rsidRPr="00C273FD">
        <w:rPr>
          <w:color w:val="1A1A1A"/>
          <w:spacing w:val="-4"/>
          <w:kern w:val="22"/>
          <w:sz w:val="22"/>
          <w:szCs w:val="22"/>
          <w:lang w:val="en-GB"/>
        </w:rPr>
        <w:t xml:space="preserve"> were considered relatively high and out of line w</w:t>
      </w:r>
      <w:r w:rsidR="00E2275D" w:rsidRPr="00C273FD">
        <w:rPr>
          <w:color w:val="1A1A1A"/>
          <w:spacing w:val="-4"/>
          <w:kern w:val="22"/>
          <w:sz w:val="22"/>
          <w:szCs w:val="22"/>
          <w:lang w:val="en-GB"/>
        </w:rPr>
        <w:t>ith its emerging market “peers,”</w:t>
      </w:r>
      <w:r w:rsidRPr="00C273FD">
        <w:rPr>
          <w:color w:val="1A1A1A"/>
          <w:spacing w:val="-4"/>
          <w:kern w:val="22"/>
          <w:sz w:val="22"/>
          <w:szCs w:val="22"/>
          <w:lang w:val="en-GB"/>
        </w:rPr>
        <w:t xml:space="preserve"> leading to Standard &amp; Poor</w:t>
      </w:r>
      <w:r w:rsidR="00036E22">
        <w:rPr>
          <w:color w:val="1A1A1A"/>
          <w:spacing w:val="-4"/>
          <w:kern w:val="22"/>
          <w:sz w:val="22"/>
          <w:szCs w:val="22"/>
          <w:lang w:val="en-GB"/>
        </w:rPr>
        <w:t>’s</w:t>
      </w:r>
      <w:r w:rsidRPr="00C273FD">
        <w:rPr>
          <w:color w:val="1A1A1A"/>
          <w:spacing w:val="-4"/>
          <w:kern w:val="22"/>
          <w:sz w:val="22"/>
          <w:szCs w:val="22"/>
          <w:lang w:val="en-GB"/>
        </w:rPr>
        <w:t xml:space="preserve"> rating India as BBB</w:t>
      </w:r>
      <w:r w:rsidR="00037C6D">
        <w:rPr>
          <w:color w:val="1A1A1A"/>
          <w:spacing w:val="-4"/>
          <w:kern w:val="22"/>
          <w:sz w:val="22"/>
          <w:szCs w:val="22"/>
          <w:vertAlign w:val="superscript"/>
          <w:lang w:val="en-GB"/>
        </w:rPr>
        <w:t>–</w:t>
      </w:r>
      <w:r w:rsidRPr="00C273FD">
        <w:rPr>
          <w:color w:val="1A1A1A"/>
          <w:spacing w:val="-4"/>
          <w:kern w:val="22"/>
          <w:sz w:val="22"/>
          <w:szCs w:val="22"/>
          <w:lang w:val="en-GB"/>
        </w:rPr>
        <w:t>, despite its dramatic improvement in growth and macroeconomic stability since 2014</w:t>
      </w:r>
      <w:r w:rsidR="00E2275D" w:rsidRPr="00C273FD">
        <w:rPr>
          <w:color w:val="1A1A1A"/>
          <w:spacing w:val="-4"/>
          <w:kern w:val="22"/>
          <w:sz w:val="22"/>
          <w:szCs w:val="22"/>
          <w:lang w:val="en-GB"/>
        </w:rPr>
        <w:t>.</w:t>
      </w:r>
      <w:r w:rsidRPr="00C273FD">
        <w:rPr>
          <w:rStyle w:val="EndnoteReference"/>
          <w:color w:val="1A1A1A"/>
          <w:spacing w:val="-4"/>
          <w:kern w:val="22"/>
          <w:sz w:val="22"/>
          <w:szCs w:val="22"/>
          <w:lang w:val="en-GB"/>
        </w:rPr>
        <w:endnoteReference w:id="82"/>
      </w:r>
      <w:r w:rsidRPr="00C273FD">
        <w:rPr>
          <w:color w:val="1A1A1A"/>
          <w:spacing w:val="-4"/>
          <w:kern w:val="22"/>
          <w:sz w:val="22"/>
          <w:szCs w:val="22"/>
          <w:lang w:val="en-GB"/>
        </w:rPr>
        <w:t xml:space="preserve"> </w:t>
      </w:r>
    </w:p>
    <w:p w14:paraId="0E2D6EC8" w14:textId="77777777" w:rsidR="00EC6E5D" w:rsidRDefault="00EC6E5D" w:rsidP="00AB18DE">
      <w:pPr>
        <w:keepNext/>
        <w:widowControl w:val="0"/>
        <w:autoSpaceDE w:val="0"/>
        <w:autoSpaceDN w:val="0"/>
        <w:adjustRightInd w:val="0"/>
        <w:jc w:val="both"/>
        <w:rPr>
          <w:rFonts w:ascii="Arial" w:hAnsi="Arial" w:cs="Arial"/>
          <w:b/>
          <w:color w:val="1A1A1A"/>
          <w:lang w:val="en-GB"/>
        </w:rPr>
      </w:pPr>
    </w:p>
    <w:p w14:paraId="65DA18FC" w14:textId="77777777" w:rsidR="00B97D5A" w:rsidRDefault="00B97D5A" w:rsidP="009D10D4">
      <w:pPr>
        <w:spacing w:after="200" w:line="276" w:lineRule="auto"/>
        <w:rPr>
          <w:rFonts w:ascii="Arial" w:hAnsi="Arial" w:cs="Arial"/>
          <w:b/>
          <w:color w:val="1A1A1A"/>
          <w:lang w:val="en-GB"/>
        </w:rPr>
      </w:pPr>
    </w:p>
    <w:p w14:paraId="055B890A" w14:textId="51C933C2" w:rsidR="00C80ACF" w:rsidRPr="00C273FD" w:rsidRDefault="00BC7178" w:rsidP="009D10D4">
      <w:pPr>
        <w:spacing w:after="200" w:line="276" w:lineRule="auto"/>
        <w:rPr>
          <w:lang w:val="en-GB"/>
        </w:rPr>
      </w:pPr>
      <w:r>
        <w:rPr>
          <w:rFonts w:ascii="Arial" w:hAnsi="Arial" w:cs="Arial"/>
          <w:b/>
          <w:color w:val="1A1A1A"/>
          <w:lang w:val="en-GB"/>
        </w:rPr>
        <w:lastRenderedPageBreak/>
        <w:t xml:space="preserve">The </w:t>
      </w:r>
      <w:r w:rsidR="00C80ACF" w:rsidRPr="00C273FD">
        <w:rPr>
          <w:rFonts w:ascii="Arial" w:hAnsi="Arial" w:cs="Arial"/>
          <w:b/>
          <w:color w:val="1A1A1A"/>
          <w:lang w:val="en-GB"/>
        </w:rPr>
        <w:t>Financial Sector</w:t>
      </w:r>
    </w:p>
    <w:p w14:paraId="23A500E1" w14:textId="6051B148" w:rsidR="00C80ACF" w:rsidRPr="00C273FD" w:rsidRDefault="00037C6D" w:rsidP="00AB18DE">
      <w:pPr>
        <w:keepNext/>
        <w:widowControl w:val="0"/>
        <w:autoSpaceDE w:val="0"/>
        <w:autoSpaceDN w:val="0"/>
        <w:adjustRightInd w:val="0"/>
        <w:jc w:val="both"/>
        <w:rPr>
          <w:color w:val="1A1A1A"/>
          <w:sz w:val="22"/>
          <w:szCs w:val="22"/>
          <w:lang w:val="en-GB"/>
        </w:rPr>
      </w:pPr>
      <w:r>
        <w:rPr>
          <w:color w:val="1A1A1A"/>
          <w:sz w:val="22"/>
          <w:szCs w:val="22"/>
          <w:lang w:val="en-GB"/>
        </w:rPr>
        <w:t>Alt</w:t>
      </w:r>
      <w:r w:rsidRPr="00C273FD">
        <w:rPr>
          <w:color w:val="1A1A1A"/>
          <w:sz w:val="22"/>
          <w:szCs w:val="22"/>
          <w:lang w:val="en-GB"/>
        </w:rPr>
        <w:t xml:space="preserve">hough </w:t>
      </w:r>
      <w:r w:rsidR="00C80ACF" w:rsidRPr="00C273FD">
        <w:rPr>
          <w:color w:val="1A1A1A"/>
          <w:sz w:val="22"/>
          <w:szCs w:val="22"/>
          <w:lang w:val="en-GB"/>
        </w:rPr>
        <w:t xml:space="preserve">the proportion of Indian population operating in the share market was small, the volatility in the Bombay Stock Exchange (BSE) </w:t>
      </w:r>
      <w:r>
        <w:rPr>
          <w:color w:val="1A1A1A"/>
          <w:sz w:val="22"/>
          <w:szCs w:val="22"/>
          <w:lang w:val="en-GB"/>
        </w:rPr>
        <w:t>Sensitive Index (</w:t>
      </w:r>
      <w:r w:rsidR="00C80ACF" w:rsidRPr="00C273FD">
        <w:rPr>
          <w:color w:val="1A1A1A"/>
          <w:sz w:val="22"/>
          <w:szCs w:val="22"/>
          <w:lang w:val="en-GB"/>
        </w:rPr>
        <w:t>Sensex</w:t>
      </w:r>
      <w:r w:rsidR="005F4E36">
        <w:rPr>
          <w:color w:val="1A1A1A"/>
          <w:sz w:val="22"/>
          <w:szCs w:val="22"/>
          <w:lang w:val="en-GB"/>
        </w:rPr>
        <w:t>,</w:t>
      </w:r>
      <w:r>
        <w:rPr>
          <w:color w:val="1A1A1A"/>
          <w:sz w:val="22"/>
          <w:szCs w:val="22"/>
          <w:lang w:val="en-GB"/>
        </w:rPr>
        <w:t xml:space="preserve"> also called the BSE 30)</w:t>
      </w:r>
      <w:r w:rsidR="00C80ACF" w:rsidRPr="00C273FD">
        <w:rPr>
          <w:color w:val="1A1A1A"/>
          <w:sz w:val="22"/>
          <w:szCs w:val="22"/>
          <w:lang w:val="en-GB"/>
        </w:rPr>
        <w:t xml:space="preserve"> reflected the economic and political scenario prevailing in the country. The 30-share BSE Sensex was at </w:t>
      </w:r>
      <w:r w:rsidR="00BC7178">
        <w:rPr>
          <w:color w:val="1A1A1A"/>
          <w:sz w:val="22"/>
          <w:szCs w:val="22"/>
          <w:lang w:val="en-GB"/>
        </w:rPr>
        <w:t>approximately</w:t>
      </w:r>
      <w:r w:rsidR="00BC7178" w:rsidRPr="00C273FD">
        <w:rPr>
          <w:color w:val="1A1A1A"/>
          <w:sz w:val="22"/>
          <w:szCs w:val="22"/>
          <w:lang w:val="en-GB"/>
        </w:rPr>
        <w:t xml:space="preserve"> </w:t>
      </w:r>
      <w:r w:rsidR="00C80ACF" w:rsidRPr="00C273FD">
        <w:rPr>
          <w:color w:val="1A1A1A"/>
          <w:sz w:val="22"/>
          <w:szCs w:val="22"/>
          <w:lang w:val="en-GB"/>
        </w:rPr>
        <w:t>the 1</w:t>
      </w:r>
      <w:r>
        <w:rPr>
          <w:color w:val="1A1A1A"/>
          <w:sz w:val="22"/>
          <w:szCs w:val="22"/>
          <w:lang w:val="en-GB"/>
        </w:rPr>
        <w:t>,</w:t>
      </w:r>
      <w:r w:rsidR="00C80ACF" w:rsidRPr="00C273FD">
        <w:rPr>
          <w:color w:val="1A1A1A"/>
          <w:sz w:val="22"/>
          <w:szCs w:val="22"/>
          <w:lang w:val="en-GB"/>
        </w:rPr>
        <w:t>000</w:t>
      </w:r>
      <w:r w:rsidR="005F4E36">
        <w:rPr>
          <w:color w:val="1A1A1A"/>
          <w:sz w:val="22"/>
          <w:szCs w:val="22"/>
          <w:lang w:val="en-GB"/>
        </w:rPr>
        <w:noBreakHyphen/>
      </w:r>
      <w:r w:rsidR="00C80ACF" w:rsidRPr="00C273FD">
        <w:rPr>
          <w:color w:val="1A1A1A"/>
          <w:sz w:val="22"/>
          <w:szCs w:val="22"/>
          <w:lang w:val="en-GB"/>
        </w:rPr>
        <w:t xml:space="preserve">level mark in 1991, before crossing the 4,000 mark in 1992. However, the stock market </w:t>
      </w:r>
      <w:proofErr w:type="gramStart"/>
      <w:r w:rsidR="00C80ACF" w:rsidRPr="00C273FD">
        <w:rPr>
          <w:color w:val="1A1A1A"/>
          <w:sz w:val="22"/>
          <w:szCs w:val="22"/>
          <w:lang w:val="en-GB"/>
        </w:rPr>
        <w:t>scam</w:t>
      </w:r>
      <w:proofErr w:type="gramEnd"/>
      <w:r w:rsidR="00C80ACF" w:rsidRPr="00C273FD">
        <w:rPr>
          <w:color w:val="1A1A1A"/>
          <w:sz w:val="22"/>
          <w:szCs w:val="22"/>
          <w:lang w:val="en-GB"/>
        </w:rPr>
        <w:t xml:space="preserve"> in 1992 brought about a downturn, with markets ending 1992</w:t>
      </w:r>
      <w:r>
        <w:rPr>
          <w:color w:val="1A1A1A"/>
          <w:sz w:val="22"/>
          <w:szCs w:val="22"/>
          <w:lang w:val="en-GB"/>
        </w:rPr>
        <w:t>/</w:t>
      </w:r>
      <w:r w:rsidR="00C80ACF" w:rsidRPr="00C273FD">
        <w:rPr>
          <w:color w:val="1A1A1A"/>
          <w:sz w:val="22"/>
          <w:szCs w:val="22"/>
          <w:lang w:val="en-GB"/>
        </w:rPr>
        <w:t>93 below the 4,000 mark. After reaching a high point of 15,644 by the end of 2007</w:t>
      </w:r>
      <w:r>
        <w:rPr>
          <w:color w:val="1A1A1A"/>
          <w:sz w:val="22"/>
          <w:szCs w:val="22"/>
          <w:lang w:val="en-GB"/>
        </w:rPr>
        <w:t>/</w:t>
      </w:r>
      <w:r w:rsidR="00C80ACF" w:rsidRPr="00C273FD">
        <w:rPr>
          <w:color w:val="1A1A1A"/>
          <w:sz w:val="22"/>
          <w:szCs w:val="22"/>
          <w:lang w:val="en-GB"/>
        </w:rPr>
        <w:t>08, the Sensex fell 38 per</w:t>
      </w:r>
      <w:r>
        <w:rPr>
          <w:color w:val="1A1A1A"/>
          <w:sz w:val="22"/>
          <w:szCs w:val="22"/>
          <w:lang w:val="en-GB"/>
        </w:rPr>
        <w:t xml:space="preserve"> </w:t>
      </w:r>
      <w:r w:rsidR="00C80ACF" w:rsidRPr="00C273FD">
        <w:rPr>
          <w:color w:val="1A1A1A"/>
          <w:sz w:val="22"/>
          <w:szCs w:val="22"/>
          <w:lang w:val="en-GB"/>
        </w:rPr>
        <w:t>cent to 9,708.50 points by the end of 2008</w:t>
      </w:r>
      <w:r>
        <w:rPr>
          <w:color w:val="1A1A1A"/>
          <w:sz w:val="22"/>
          <w:szCs w:val="22"/>
          <w:lang w:val="en-GB"/>
        </w:rPr>
        <w:t>/</w:t>
      </w:r>
      <w:r w:rsidR="00C80ACF" w:rsidRPr="00C273FD">
        <w:rPr>
          <w:color w:val="1A1A1A"/>
          <w:sz w:val="22"/>
          <w:szCs w:val="22"/>
          <w:lang w:val="en-GB"/>
        </w:rPr>
        <w:t xml:space="preserve">09. Since then, the Sensex </w:t>
      </w:r>
      <w:r w:rsidR="00EC6E5D">
        <w:rPr>
          <w:color w:val="1A1A1A"/>
          <w:sz w:val="22"/>
          <w:szCs w:val="22"/>
          <w:lang w:val="en-GB"/>
        </w:rPr>
        <w:t>rose</w:t>
      </w:r>
      <w:r w:rsidR="00C80ACF" w:rsidRPr="00C273FD">
        <w:rPr>
          <w:color w:val="1A1A1A"/>
          <w:sz w:val="22"/>
          <w:szCs w:val="22"/>
          <w:lang w:val="en-GB"/>
        </w:rPr>
        <w:t xml:space="preserve"> steadily to reach 25,341.86 points by the end of 2016</w:t>
      </w:r>
      <w:r w:rsidR="00E2275D" w:rsidRPr="00C273FD">
        <w:rPr>
          <w:color w:val="1A1A1A"/>
          <w:sz w:val="22"/>
          <w:szCs w:val="22"/>
          <w:lang w:val="en-GB"/>
        </w:rPr>
        <w:t>.</w:t>
      </w:r>
      <w:r w:rsidR="00C80ACF" w:rsidRPr="00C273FD">
        <w:rPr>
          <w:rStyle w:val="EndnoteReference"/>
          <w:color w:val="1A1A1A"/>
          <w:sz w:val="22"/>
          <w:szCs w:val="22"/>
          <w:lang w:val="en-GB"/>
        </w:rPr>
        <w:endnoteReference w:id="83"/>
      </w:r>
      <w:r w:rsidR="00C80ACF" w:rsidRPr="00C273FD">
        <w:rPr>
          <w:color w:val="1A1A1A"/>
          <w:sz w:val="22"/>
          <w:szCs w:val="22"/>
          <w:lang w:val="en-GB"/>
        </w:rPr>
        <w:t xml:space="preserve"> </w:t>
      </w:r>
    </w:p>
    <w:p w14:paraId="0C1F6CB7" w14:textId="77777777" w:rsidR="00C80ACF" w:rsidRPr="00C273FD" w:rsidRDefault="00C80ACF" w:rsidP="00C80ACF">
      <w:pPr>
        <w:widowControl w:val="0"/>
        <w:autoSpaceDE w:val="0"/>
        <w:autoSpaceDN w:val="0"/>
        <w:adjustRightInd w:val="0"/>
        <w:jc w:val="both"/>
        <w:rPr>
          <w:color w:val="1A1A1A"/>
          <w:sz w:val="22"/>
          <w:szCs w:val="22"/>
          <w:lang w:val="en-GB"/>
        </w:rPr>
      </w:pPr>
    </w:p>
    <w:p w14:paraId="2C9A6C11" w14:textId="390AFB43"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The 25</w:t>
      </w:r>
      <w:r w:rsidR="00037C6D">
        <w:rPr>
          <w:color w:val="1A1A1A"/>
          <w:sz w:val="22"/>
          <w:szCs w:val="22"/>
          <w:lang w:val="en-GB"/>
        </w:rPr>
        <w:t>-</w:t>
      </w:r>
      <w:r w:rsidRPr="00C273FD">
        <w:rPr>
          <w:color w:val="1A1A1A"/>
          <w:sz w:val="22"/>
          <w:szCs w:val="22"/>
          <w:lang w:val="en-GB"/>
        </w:rPr>
        <w:t>year period witnessed a financial deepening of the economy. One measure of such deepening was the rise in the ratio of broad money (M3) to GDP from 49.9</w:t>
      </w:r>
      <w:r w:rsidR="00EC6E5D">
        <w:rPr>
          <w:color w:val="1A1A1A"/>
          <w:sz w:val="22"/>
          <w:szCs w:val="22"/>
          <w:lang w:val="en-GB"/>
        </w:rPr>
        <w:t>0</w:t>
      </w:r>
      <w:r w:rsidR="00B50E48" w:rsidRPr="00C273FD">
        <w:rPr>
          <w:color w:val="1A1A1A"/>
          <w:sz w:val="22"/>
          <w:szCs w:val="22"/>
          <w:lang w:val="en-GB"/>
        </w:rPr>
        <w:t xml:space="preserve"> per cent</w:t>
      </w:r>
      <w:r w:rsidRPr="00C273FD">
        <w:rPr>
          <w:color w:val="1A1A1A"/>
          <w:sz w:val="22"/>
          <w:szCs w:val="22"/>
          <w:lang w:val="en-GB"/>
        </w:rPr>
        <w:t xml:space="preserve"> in 1990/91 to 85.84</w:t>
      </w:r>
      <w:r w:rsidR="00B50E48" w:rsidRPr="00C273FD">
        <w:rPr>
          <w:color w:val="1A1A1A"/>
          <w:sz w:val="22"/>
          <w:szCs w:val="22"/>
          <w:lang w:val="en-GB"/>
        </w:rPr>
        <w:t xml:space="preserve"> per cent</w:t>
      </w:r>
      <w:r w:rsidRPr="00C273FD">
        <w:rPr>
          <w:color w:val="1A1A1A"/>
          <w:sz w:val="22"/>
          <w:szCs w:val="22"/>
          <w:lang w:val="en-GB"/>
        </w:rPr>
        <w:t xml:space="preserve"> in 2015/16</w:t>
      </w:r>
      <w:r w:rsidR="00E2275D" w:rsidRPr="00C273FD">
        <w:rPr>
          <w:color w:val="1A1A1A"/>
          <w:sz w:val="22"/>
          <w:szCs w:val="22"/>
          <w:lang w:val="en-GB"/>
        </w:rPr>
        <w:t>.</w:t>
      </w:r>
      <w:r w:rsidRPr="00C273FD">
        <w:rPr>
          <w:rStyle w:val="EndnoteReference"/>
          <w:color w:val="1A1A1A"/>
          <w:sz w:val="22"/>
          <w:szCs w:val="22"/>
          <w:lang w:val="en-GB"/>
        </w:rPr>
        <w:endnoteReference w:id="84"/>
      </w:r>
      <w:r w:rsidRPr="00C273FD">
        <w:rPr>
          <w:color w:val="1A1A1A"/>
          <w:sz w:val="22"/>
          <w:szCs w:val="22"/>
          <w:lang w:val="en-GB"/>
        </w:rPr>
        <w:t xml:space="preserve"> The increase in money supply had remained contained during the 2001</w:t>
      </w:r>
      <w:r w:rsidR="00EF6DAD">
        <w:rPr>
          <w:color w:val="1A1A1A"/>
          <w:sz w:val="22"/>
          <w:szCs w:val="22"/>
          <w:lang w:val="en-GB"/>
        </w:rPr>
        <w:t>–</w:t>
      </w:r>
      <w:r w:rsidRPr="00C273FD">
        <w:rPr>
          <w:color w:val="1A1A1A"/>
          <w:sz w:val="22"/>
          <w:szCs w:val="22"/>
          <w:lang w:val="en-GB"/>
        </w:rPr>
        <w:t>2010 period, with the ratio at 74.3</w:t>
      </w:r>
      <w:r w:rsidR="00B50E48" w:rsidRPr="00C273FD">
        <w:rPr>
          <w:color w:val="1A1A1A"/>
          <w:sz w:val="22"/>
          <w:szCs w:val="22"/>
          <w:lang w:val="en-GB"/>
        </w:rPr>
        <w:t xml:space="preserve"> per cent</w:t>
      </w:r>
      <w:r w:rsidRPr="00C273FD">
        <w:rPr>
          <w:color w:val="1A1A1A"/>
          <w:sz w:val="22"/>
          <w:szCs w:val="22"/>
          <w:lang w:val="en-GB"/>
        </w:rPr>
        <w:t xml:space="preserve"> even during the high growth phase of 2004</w:t>
      </w:r>
      <w:r w:rsidR="00EF6DAD">
        <w:rPr>
          <w:color w:val="1A1A1A"/>
          <w:sz w:val="22"/>
          <w:szCs w:val="22"/>
          <w:lang w:val="en-GB"/>
        </w:rPr>
        <w:t>–</w:t>
      </w:r>
      <w:r w:rsidRPr="00C273FD">
        <w:rPr>
          <w:color w:val="1A1A1A"/>
          <w:sz w:val="22"/>
          <w:szCs w:val="22"/>
          <w:lang w:val="en-GB"/>
        </w:rPr>
        <w:t>2008. The monetary easing post-2008 pushed the average M3</w:t>
      </w:r>
      <w:r w:rsidR="00BC7178">
        <w:rPr>
          <w:color w:val="1A1A1A"/>
          <w:sz w:val="22"/>
          <w:szCs w:val="22"/>
          <w:lang w:val="en-GB"/>
        </w:rPr>
        <w:t>-to-</w:t>
      </w:r>
      <w:r w:rsidRPr="00C273FD">
        <w:rPr>
          <w:color w:val="1A1A1A"/>
          <w:sz w:val="22"/>
          <w:szCs w:val="22"/>
          <w:lang w:val="en-GB"/>
        </w:rPr>
        <w:t>GDP ratio to 85</w:t>
      </w:r>
      <w:r w:rsidR="00B50E48" w:rsidRPr="00C273FD">
        <w:rPr>
          <w:color w:val="1A1A1A"/>
          <w:sz w:val="22"/>
          <w:szCs w:val="22"/>
          <w:lang w:val="en-GB"/>
        </w:rPr>
        <w:t xml:space="preserve"> per cent</w:t>
      </w:r>
      <w:r w:rsidR="00E2275D" w:rsidRPr="00C273FD">
        <w:rPr>
          <w:color w:val="1A1A1A"/>
          <w:sz w:val="22"/>
          <w:szCs w:val="22"/>
          <w:lang w:val="en-GB"/>
        </w:rPr>
        <w:t>,</w:t>
      </w:r>
      <w:r w:rsidRPr="00C273FD">
        <w:rPr>
          <w:rStyle w:val="EndnoteReference"/>
          <w:color w:val="1A1A1A"/>
          <w:sz w:val="22"/>
          <w:szCs w:val="22"/>
          <w:lang w:val="en-GB"/>
        </w:rPr>
        <w:endnoteReference w:id="85"/>
      </w:r>
      <w:r w:rsidRPr="00C273FD">
        <w:rPr>
          <w:color w:val="1A1A1A"/>
          <w:sz w:val="22"/>
          <w:szCs w:val="22"/>
          <w:lang w:val="en-GB"/>
        </w:rPr>
        <w:t xml:space="preserve"> which in turn affected the price stability (</w:t>
      </w:r>
      <w:r w:rsidR="00E2275D" w:rsidRPr="00C273FD">
        <w:rPr>
          <w:color w:val="1A1A1A"/>
          <w:sz w:val="22"/>
          <w:szCs w:val="22"/>
          <w:lang w:val="en-GB"/>
        </w:rPr>
        <w:t xml:space="preserve">see </w:t>
      </w:r>
      <w:r w:rsidRPr="00C273FD">
        <w:rPr>
          <w:color w:val="1A1A1A"/>
          <w:sz w:val="22"/>
          <w:szCs w:val="22"/>
          <w:lang w:val="en-GB"/>
        </w:rPr>
        <w:t>Exhibit</w:t>
      </w:r>
      <w:r w:rsidR="00726F5A">
        <w:rPr>
          <w:color w:val="1A1A1A"/>
          <w:sz w:val="22"/>
          <w:szCs w:val="22"/>
          <w:lang w:val="en-GB"/>
        </w:rPr>
        <w:t> </w:t>
      </w:r>
      <w:r w:rsidRPr="00C273FD">
        <w:rPr>
          <w:color w:val="1A1A1A"/>
          <w:sz w:val="22"/>
          <w:szCs w:val="22"/>
          <w:lang w:val="en-GB"/>
        </w:rPr>
        <w:t xml:space="preserve">4). </w:t>
      </w:r>
    </w:p>
    <w:p w14:paraId="3B309BDF" w14:textId="77777777" w:rsidR="00C80ACF" w:rsidRPr="00C273FD" w:rsidRDefault="00C80ACF" w:rsidP="00C80ACF">
      <w:pPr>
        <w:widowControl w:val="0"/>
        <w:autoSpaceDE w:val="0"/>
        <w:autoSpaceDN w:val="0"/>
        <w:adjustRightInd w:val="0"/>
        <w:jc w:val="both"/>
        <w:rPr>
          <w:color w:val="1A1A1A"/>
          <w:sz w:val="22"/>
          <w:szCs w:val="22"/>
          <w:lang w:val="en-GB"/>
        </w:rPr>
      </w:pPr>
    </w:p>
    <w:p w14:paraId="52D88FBB" w14:textId="6FD9C856"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The spread of the bank branch network after bank nationali</w:t>
      </w:r>
      <w:r w:rsidR="00EF6DAD">
        <w:rPr>
          <w:color w:val="1A1A1A"/>
          <w:sz w:val="22"/>
          <w:szCs w:val="22"/>
          <w:lang w:val="en-GB"/>
        </w:rPr>
        <w:t>z</w:t>
      </w:r>
      <w:r w:rsidRPr="00C273FD">
        <w:rPr>
          <w:color w:val="1A1A1A"/>
          <w:sz w:val="22"/>
          <w:szCs w:val="22"/>
          <w:lang w:val="en-GB"/>
        </w:rPr>
        <w:t>ation in two rounds</w:t>
      </w:r>
      <w:r w:rsidR="00EF6DAD">
        <w:rPr>
          <w:color w:val="1A1A1A"/>
          <w:sz w:val="22"/>
          <w:szCs w:val="22"/>
          <w:lang w:val="en-GB"/>
        </w:rPr>
        <w:t>,</w:t>
      </w:r>
      <w:r w:rsidRPr="00C273FD">
        <w:rPr>
          <w:color w:val="1A1A1A"/>
          <w:sz w:val="22"/>
          <w:szCs w:val="22"/>
          <w:lang w:val="en-GB"/>
        </w:rPr>
        <w:t xml:space="preserve"> in 1969 and 1980</w:t>
      </w:r>
      <w:r w:rsidR="00EF6DAD">
        <w:rPr>
          <w:color w:val="1A1A1A"/>
          <w:sz w:val="22"/>
          <w:szCs w:val="22"/>
          <w:lang w:val="en-GB"/>
        </w:rPr>
        <w:t>,</w:t>
      </w:r>
      <w:r w:rsidRPr="00C273FD">
        <w:rPr>
          <w:color w:val="1A1A1A"/>
          <w:sz w:val="22"/>
          <w:szCs w:val="22"/>
          <w:lang w:val="en-GB"/>
        </w:rPr>
        <w:t xml:space="preserve"> led to a decline in the share of currency in broad money during 1970</w:t>
      </w:r>
      <w:r w:rsidR="00EF6DAD">
        <w:rPr>
          <w:color w:val="1A1A1A"/>
          <w:sz w:val="22"/>
          <w:szCs w:val="22"/>
          <w:lang w:val="en-GB"/>
        </w:rPr>
        <w:t>–</w:t>
      </w:r>
      <w:r w:rsidRPr="00C273FD">
        <w:rPr>
          <w:color w:val="1A1A1A"/>
          <w:sz w:val="22"/>
          <w:szCs w:val="22"/>
          <w:lang w:val="en-GB"/>
        </w:rPr>
        <w:t>2000</w:t>
      </w:r>
      <w:r w:rsidR="00E2275D" w:rsidRPr="00C273FD">
        <w:rPr>
          <w:color w:val="1A1A1A"/>
          <w:sz w:val="22"/>
          <w:szCs w:val="22"/>
          <w:lang w:val="en-GB"/>
        </w:rPr>
        <w:t>,</w:t>
      </w:r>
      <w:r w:rsidRPr="00C273FD">
        <w:rPr>
          <w:rStyle w:val="EndnoteReference"/>
          <w:color w:val="1A1A1A"/>
          <w:sz w:val="22"/>
          <w:szCs w:val="22"/>
          <w:lang w:val="en-GB"/>
        </w:rPr>
        <w:endnoteReference w:id="86"/>
      </w:r>
      <w:r w:rsidRPr="00C273FD">
        <w:rPr>
          <w:color w:val="1A1A1A"/>
          <w:sz w:val="22"/>
          <w:szCs w:val="22"/>
          <w:lang w:val="en-GB"/>
        </w:rPr>
        <w:t xml:space="preserve"> and a concomitant rise in the share of bank deposits. Despite this</w:t>
      </w:r>
      <w:r w:rsidR="00EF6DAD">
        <w:rPr>
          <w:color w:val="1A1A1A"/>
          <w:sz w:val="22"/>
          <w:szCs w:val="22"/>
          <w:lang w:val="en-GB"/>
        </w:rPr>
        <w:t xml:space="preserve"> situation</w:t>
      </w:r>
      <w:r w:rsidRPr="00C273FD">
        <w:rPr>
          <w:color w:val="1A1A1A"/>
          <w:sz w:val="22"/>
          <w:szCs w:val="22"/>
          <w:lang w:val="en-GB"/>
        </w:rPr>
        <w:t>, cash remained an important mode of payment in the Indian economy, especially in rural India. Thus, the ratio of currency to GDP at current market prices (C</w:t>
      </w:r>
      <w:r w:rsidR="00BC7178">
        <w:rPr>
          <w:color w:val="1A1A1A"/>
          <w:sz w:val="22"/>
          <w:szCs w:val="22"/>
          <w:lang w:val="en-GB"/>
        </w:rPr>
        <w:t xml:space="preserve"> ÷ </w:t>
      </w:r>
      <w:r w:rsidRPr="00C273FD">
        <w:rPr>
          <w:color w:val="1A1A1A"/>
          <w:sz w:val="22"/>
          <w:szCs w:val="22"/>
          <w:lang w:val="en-GB"/>
        </w:rPr>
        <w:t>GDP)</w:t>
      </w:r>
      <w:r w:rsidR="00EF6DAD">
        <w:rPr>
          <w:color w:val="1A1A1A"/>
          <w:sz w:val="22"/>
          <w:szCs w:val="22"/>
          <w:lang w:val="en-GB"/>
        </w:rPr>
        <w:t xml:space="preserve">, which was </w:t>
      </w:r>
      <w:r w:rsidRPr="00C273FD">
        <w:rPr>
          <w:color w:val="1A1A1A"/>
          <w:sz w:val="22"/>
          <w:szCs w:val="22"/>
          <w:lang w:val="en-GB"/>
        </w:rPr>
        <w:t>an indicator of the role of currency in economic activity, increased from 10.3</w:t>
      </w:r>
      <w:r w:rsidR="00EC6E5D">
        <w:rPr>
          <w:color w:val="1A1A1A"/>
          <w:sz w:val="22"/>
          <w:szCs w:val="22"/>
          <w:lang w:val="en-GB"/>
        </w:rPr>
        <w:t>0</w:t>
      </w:r>
      <w:r w:rsidR="00B50E48" w:rsidRPr="00C273FD">
        <w:rPr>
          <w:color w:val="1A1A1A"/>
          <w:sz w:val="22"/>
          <w:szCs w:val="22"/>
          <w:lang w:val="en-GB"/>
        </w:rPr>
        <w:t xml:space="preserve"> per cent</w:t>
      </w:r>
      <w:r w:rsidRPr="00C273FD">
        <w:rPr>
          <w:color w:val="1A1A1A"/>
          <w:sz w:val="22"/>
          <w:szCs w:val="22"/>
          <w:lang w:val="en-GB"/>
        </w:rPr>
        <w:t xml:space="preserve"> in 1990</w:t>
      </w:r>
      <w:r w:rsidR="00EF6DAD">
        <w:rPr>
          <w:color w:val="1A1A1A"/>
          <w:sz w:val="22"/>
          <w:szCs w:val="22"/>
          <w:lang w:val="en-GB"/>
        </w:rPr>
        <w:t>/9</w:t>
      </w:r>
      <w:r w:rsidRPr="00C273FD">
        <w:rPr>
          <w:color w:val="1A1A1A"/>
          <w:sz w:val="22"/>
          <w:szCs w:val="22"/>
          <w:lang w:val="en-GB"/>
        </w:rPr>
        <w:t>1 to 12.25</w:t>
      </w:r>
      <w:r w:rsidR="00B50E48" w:rsidRPr="00C273FD">
        <w:rPr>
          <w:color w:val="1A1A1A"/>
          <w:sz w:val="22"/>
          <w:szCs w:val="22"/>
          <w:lang w:val="en-GB"/>
        </w:rPr>
        <w:t xml:space="preserve"> per cent</w:t>
      </w:r>
      <w:r w:rsidRPr="00C273FD">
        <w:rPr>
          <w:color w:val="1A1A1A"/>
          <w:sz w:val="22"/>
          <w:szCs w:val="22"/>
          <w:lang w:val="en-GB"/>
        </w:rPr>
        <w:t xml:space="preserve"> in 2015</w:t>
      </w:r>
      <w:r w:rsidR="00EF6DAD">
        <w:rPr>
          <w:color w:val="1A1A1A"/>
          <w:sz w:val="22"/>
          <w:szCs w:val="22"/>
          <w:lang w:val="en-GB"/>
        </w:rPr>
        <w:t>/</w:t>
      </w:r>
      <w:r w:rsidRPr="00C273FD">
        <w:rPr>
          <w:color w:val="1A1A1A"/>
          <w:sz w:val="22"/>
          <w:szCs w:val="22"/>
          <w:lang w:val="en-GB"/>
        </w:rPr>
        <w:t>16</w:t>
      </w:r>
      <w:r w:rsidR="00E2275D" w:rsidRPr="00C273FD">
        <w:rPr>
          <w:color w:val="1A1A1A"/>
          <w:sz w:val="22"/>
          <w:szCs w:val="22"/>
          <w:lang w:val="en-GB"/>
        </w:rPr>
        <w:t>.</w:t>
      </w:r>
      <w:r w:rsidRPr="00C273FD">
        <w:rPr>
          <w:rStyle w:val="EndnoteReference"/>
          <w:color w:val="1A1A1A"/>
          <w:sz w:val="22"/>
          <w:szCs w:val="22"/>
          <w:lang w:val="en-GB"/>
        </w:rPr>
        <w:endnoteReference w:id="87"/>
      </w:r>
      <w:r w:rsidRPr="00C273FD">
        <w:rPr>
          <w:color w:val="1A1A1A"/>
          <w:sz w:val="22"/>
          <w:szCs w:val="22"/>
          <w:lang w:val="en-GB"/>
        </w:rPr>
        <w:t xml:space="preserve"> At </w:t>
      </w:r>
      <w:r w:rsidR="00EF6DAD">
        <w:rPr>
          <w:color w:val="1A1A1A"/>
          <w:sz w:val="22"/>
          <w:szCs w:val="22"/>
          <w:lang w:val="en-GB"/>
        </w:rPr>
        <w:t xml:space="preserve">the </w:t>
      </w:r>
      <w:r w:rsidRPr="00C273FD">
        <w:rPr>
          <w:color w:val="1A1A1A"/>
          <w:sz w:val="22"/>
          <w:szCs w:val="22"/>
          <w:lang w:val="en-GB"/>
        </w:rPr>
        <w:t>end</w:t>
      </w:r>
      <w:r w:rsidR="00EF6DAD">
        <w:rPr>
          <w:color w:val="1A1A1A"/>
          <w:sz w:val="22"/>
          <w:szCs w:val="22"/>
          <w:lang w:val="en-GB"/>
        </w:rPr>
        <w:t xml:space="preserve"> of </w:t>
      </w:r>
      <w:r w:rsidRPr="00C273FD">
        <w:rPr>
          <w:color w:val="1A1A1A"/>
          <w:sz w:val="22"/>
          <w:szCs w:val="22"/>
          <w:lang w:val="en-GB"/>
        </w:rPr>
        <w:t xml:space="preserve">March 2016, the value of banknotes in circulation was </w:t>
      </w:r>
      <w:r w:rsidRPr="00640722">
        <w:rPr>
          <w:color w:val="1A1A1A"/>
          <w:sz w:val="22"/>
          <w:szCs w:val="22"/>
          <w:lang w:val="en-GB"/>
        </w:rPr>
        <w:t>₹</w:t>
      </w:r>
      <w:r w:rsidRPr="00C273FD">
        <w:rPr>
          <w:color w:val="1A1A1A"/>
          <w:sz w:val="22"/>
          <w:szCs w:val="22"/>
          <w:lang w:val="en-GB"/>
        </w:rPr>
        <w:t xml:space="preserve">16,415 billion. In value terms, </w:t>
      </w:r>
      <w:r w:rsidRPr="00640722">
        <w:rPr>
          <w:color w:val="1A1A1A"/>
          <w:sz w:val="22"/>
          <w:szCs w:val="22"/>
          <w:lang w:val="en-GB"/>
        </w:rPr>
        <w:t>₹</w:t>
      </w:r>
      <w:r w:rsidRPr="00C273FD">
        <w:rPr>
          <w:color w:val="1A1A1A"/>
          <w:sz w:val="22"/>
          <w:szCs w:val="22"/>
          <w:lang w:val="en-GB"/>
        </w:rPr>
        <w:t xml:space="preserve">500 and </w:t>
      </w:r>
      <w:r w:rsidRPr="00640722">
        <w:rPr>
          <w:color w:val="1A1A1A"/>
          <w:sz w:val="22"/>
          <w:szCs w:val="22"/>
          <w:lang w:val="en-GB"/>
        </w:rPr>
        <w:t>₹</w:t>
      </w:r>
      <w:r w:rsidRPr="00C273FD">
        <w:rPr>
          <w:color w:val="1A1A1A"/>
          <w:sz w:val="22"/>
          <w:szCs w:val="22"/>
          <w:lang w:val="en-GB"/>
        </w:rPr>
        <w:t xml:space="preserve">1,000 banknotes together accounted for 86.4 </w:t>
      </w:r>
      <w:r w:rsidR="00B50E48" w:rsidRPr="00C273FD">
        <w:rPr>
          <w:color w:val="1A1A1A"/>
          <w:sz w:val="22"/>
          <w:szCs w:val="22"/>
          <w:lang w:val="en-GB"/>
        </w:rPr>
        <w:t>per cent</w:t>
      </w:r>
      <w:r w:rsidRPr="00C273FD">
        <w:rPr>
          <w:color w:val="1A1A1A"/>
          <w:sz w:val="22"/>
          <w:szCs w:val="22"/>
          <w:lang w:val="en-GB"/>
        </w:rPr>
        <w:t xml:space="preserve"> of the total value of banknotes in circulation</w:t>
      </w:r>
      <w:proofErr w:type="gramStart"/>
      <w:r w:rsidRPr="00C273FD">
        <w:rPr>
          <w:color w:val="1A1A1A"/>
          <w:sz w:val="22"/>
          <w:szCs w:val="22"/>
          <w:lang w:val="en-GB"/>
        </w:rPr>
        <w:t>;</w:t>
      </w:r>
      <w:proofErr w:type="gramEnd"/>
      <w:r w:rsidRPr="00C273FD">
        <w:rPr>
          <w:color w:val="1A1A1A"/>
          <w:sz w:val="22"/>
          <w:szCs w:val="22"/>
          <w:lang w:val="en-GB"/>
        </w:rPr>
        <w:t xml:space="preserve"> by volume, </w:t>
      </w:r>
      <w:r w:rsidRPr="00640722">
        <w:rPr>
          <w:color w:val="1A1A1A"/>
          <w:sz w:val="22"/>
          <w:szCs w:val="22"/>
          <w:lang w:val="en-GB"/>
        </w:rPr>
        <w:t>₹</w:t>
      </w:r>
      <w:r w:rsidRPr="00C273FD">
        <w:rPr>
          <w:color w:val="1A1A1A"/>
          <w:sz w:val="22"/>
          <w:szCs w:val="22"/>
          <w:lang w:val="en-GB"/>
        </w:rPr>
        <w:t xml:space="preserve">10 and </w:t>
      </w:r>
      <w:r w:rsidRPr="00640722">
        <w:rPr>
          <w:color w:val="1A1A1A"/>
          <w:sz w:val="22"/>
          <w:szCs w:val="22"/>
          <w:lang w:val="en-GB"/>
        </w:rPr>
        <w:t>₹</w:t>
      </w:r>
      <w:r w:rsidRPr="00C273FD">
        <w:rPr>
          <w:color w:val="1A1A1A"/>
          <w:sz w:val="22"/>
          <w:szCs w:val="22"/>
          <w:lang w:val="en-GB"/>
        </w:rPr>
        <w:t xml:space="preserve">100 banknotes constituted 53 </w:t>
      </w:r>
      <w:r w:rsidR="00B50E48" w:rsidRPr="00C273FD">
        <w:rPr>
          <w:color w:val="1A1A1A"/>
          <w:sz w:val="22"/>
          <w:szCs w:val="22"/>
          <w:lang w:val="en-GB"/>
        </w:rPr>
        <w:t>per cent</w:t>
      </w:r>
      <w:r w:rsidRPr="00C273FD">
        <w:rPr>
          <w:color w:val="1A1A1A"/>
          <w:sz w:val="22"/>
          <w:szCs w:val="22"/>
          <w:lang w:val="en-GB"/>
        </w:rPr>
        <w:t xml:space="preserve"> of the total banknotes in circulation.</w:t>
      </w:r>
    </w:p>
    <w:p w14:paraId="590ECAFB" w14:textId="77777777" w:rsidR="00C80ACF" w:rsidRPr="00C273FD" w:rsidRDefault="00C80ACF" w:rsidP="00C80ACF">
      <w:pPr>
        <w:widowControl w:val="0"/>
        <w:autoSpaceDE w:val="0"/>
        <w:autoSpaceDN w:val="0"/>
        <w:adjustRightInd w:val="0"/>
        <w:jc w:val="both"/>
        <w:rPr>
          <w:color w:val="1A1A1A"/>
          <w:sz w:val="22"/>
          <w:szCs w:val="22"/>
          <w:lang w:val="en-GB"/>
        </w:rPr>
      </w:pPr>
    </w:p>
    <w:p w14:paraId="278DD50E" w14:textId="01FF7F54"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The high volume of cash transactions </w:t>
      </w:r>
      <w:proofErr w:type="gramStart"/>
      <w:r w:rsidRPr="00C273FD">
        <w:rPr>
          <w:color w:val="1A1A1A"/>
          <w:sz w:val="22"/>
          <w:szCs w:val="22"/>
          <w:lang w:val="en-GB"/>
        </w:rPr>
        <w:t>was cited</w:t>
      </w:r>
      <w:proofErr w:type="gramEnd"/>
      <w:r w:rsidRPr="00C273FD">
        <w:rPr>
          <w:color w:val="1A1A1A"/>
          <w:sz w:val="22"/>
          <w:szCs w:val="22"/>
          <w:lang w:val="en-GB"/>
        </w:rPr>
        <w:t xml:space="preserve"> as the primary reason for the presence of a black economy in India. Various studies, including those by McKinsey and the Bank of America-Merrill Lynch study</w:t>
      </w:r>
      <w:r w:rsidR="00EC6E5D">
        <w:rPr>
          <w:color w:val="1A1A1A"/>
          <w:sz w:val="22"/>
          <w:szCs w:val="22"/>
          <w:lang w:val="en-GB"/>
        </w:rPr>
        <w:t>,</w:t>
      </w:r>
      <w:r w:rsidRPr="00C273FD">
        <w:rPr>
          <w:color w:val="1A1A1A"/>
          <w:sz w:val="22"/>
          <w:szCs w:val="22"/>
          <w:lang w:val="en-GB"/>
        </w:rPr>
        <w:t xml:space="preserve"> estimated the share of the black economy in India as </w:t>
      </w:r>
      <w:r w:rsidR="00EF6DAD">
        <w:rPr>
          <w:color w:val="1A1A1A"/>
          <w:sz w:val="22"/>
          <w:szCs w:val="22"/>
          <w:lang w:val="en-GB"/>
        </w:rPr>
        <w:t xml:space="preserve">representing </w:t>
      </w:r>
      <w:r w:rsidRPr="00C273FD">
        <w:rPr>
          <w:color w:val="1A1A1A"/>
          <w:sz w:val="22"/>
          <w:szCs w:val="22"/>
          <w:lang w:val="en-GB"/>
        </w:rPr>
        <w:t>roughly a quarter of</w:t>
      </w:r>
      <w:r w:rsidR="00C273FD" w:rsidRPr="00C273FD">
        <w:rPr>
          <w:color w:val="1A1A1A"/>
          <w:sz w:val="22"/>
          <w:szCs w:val="22"/>
          <w:lang w:val="en-GB"/>
        </w:rPr>
        <w:t xml:space="preserve"> </w:t>
      </w:r>
      <w:r w:rsidRPr="00C273FD">
        <w:rPr>
          <w:color w:val="1A1A1A"/>
          <w:sz w:val="22"/>
          <w:szCs w:val="22"/>
          <w:lang w:val="en-GB"/>
        </w:rPr>
        <w:t>India’s GDP</w:t>
      </w:r>
      <w:r w:rsidR="00E2275D" w:rsidRPr="00C273FD">
        <w:rPr>
          <w:color w:val="1A1A1A"/>
          <w:sz w:val="22"/>
          <w:szCs w:val="22"/>
          <w:lang w:val="en-GB"/>
        </w:rPr>
        <w:t>.</w:t>
      </w:r>
      <w:r w:rsidRPr="00C273FD">
        <w:rPr>
          <w:rStyle w:val="EndnoteReference"/>
          <w:color w:val="1A1A1A"/>
          <w:sz w:val="22"/>
          <w:szCs w:val="22"/>
          <w:lang w:val="en-GB"/>
        </w:rPr>
        <w:endnoteReference w:id="88"/>
      </w:r>
      <w:r w:rsidRPr="00C273FD">
        <w:rPr>
          <w:color w:val="1A1A1A"/>
          <w:sz w:val="22"/>
          <w:szCs w:val="22"/>
          <w:lang w:val="en-GB"/>
        </w:rPr>
        <w:t xml:space="preserve"> Corruption was rampant</w:t>
      </w:r>
      <w:r w:rsidR="00EF6DAD">
        <w:rPr>
          <w:color w:val="1A1A1A"/>
          <w:sz w:val="22"/>
          <w:szCs w:val="22"/>
          <w:lang w:val="en-GB"/>
        </w:rPr>
        <w:t>,</w:t>
      </w:r>
      <w:r w:rsidRPr="00C273FD">
        <w:rPr>
          <w:color w:val="1A1A1A"/>
          <w:sz w:val="22"/>
          <w:szCs w:val="22"/>
          <w:lang w:val="en-GB"/>
        </w:rPr>
        <w:t xml:space="preserve"> and the Transparency International’s Corruption Perception Index ranked India </w:t>
      </w:r>
      <w:r w:rsidR="00BC7178">
        <w:rPr>
          <w:color w:val="1A1A1A"/>
          <w:sz w:val="22"/>
          <w:szCs w:val="22"/>
          <w:lang w:val="en-GB"/>
        </w:rPr>
        <w:t xml:space="preserve">as </w:t>
      </w:r>
      <w:r w:rsidRPr="00C273FD">
        <w:rPr>
          <w:color w:val="1A1A1A"/>
          <w:sz w:val="22"/>
          <w:szCs w:val="22"/>
          <w:lang w:val="en-GB"/>
        </w:rPr>
        <w:t>79</w:t>
      </w:r>
      <w:r w:rsidR="00BC7178">
        <w:rPr>
          <w:color w:val="1A1A1A"/>
          <w:sz w:val="22"/>
          <w:szCs w:val="22"/>
          <w:lang w:val="en-GB"/>
        </w:rPr>
        <w:t>th</w:t>
      </w:r>
      <w:r w:rsidRPr="00C273FD">
        <w:rPr>
          <w:color w:val="1A1A1A"/>
          <w:sz w:val="22"/>
          <w:szCs w:val="22"/>
          <w:lang w:val="en-GB"/>
        </w:rPr>
        <w:t xml:space="preserve"> among 176 countries in terms of corruption perception, with a score of 40</w:t>
      </w:r>
      <w:r w:rsidR="00E2275D" w:rsidRPr="00C273FD">
        <w:rPr>
          <w:color w:val="1A1A1A"/>
          <w:sz w:val="22"/>
          <w:szCs w:val="22"/>
          <w:lang w:val="en-GB"/>
        </w:rPr>
        <w:t>.</w:t>
      </w:r>
      <w:r w:rsidRPr="00C273FD">
        <w:rPr>
          <w:color w:val="1A1A1A"/>
          <w:sz w:val="22"/>
          <w:szCs w:val="22"/>
          <w:lang w:val="en-GB"/>
        </w:rPr>
        <w:t xml:space="preserve"> Such corruption and inequality </w:t>
      </w:r>
      <w:proofErr w:type="gramStart"/>
      <w:r w:rsidRPr="00C273FD">
        <w:rPr>
          <w:color w:val="1A1A1A"/>
          <w:sz w:val="22"/>
          <w:szCs w:val="22"/>
          <w:lang w:val="en-GB"/>
        </w:rPr>
        <w:t>were found to be linked</w:t>
      </w:r>
      <w:proofErr w:type="gramEnd"/>
      <w:r w:rsidRPr="00C273FD">
        <w:rPr>
          <w:color w:val="1A1A1A"/>
          <w:sz w:val="22"/>
          <w:szCs w:val="22"/>
          <w:lang w:val="en-GB"/>
        </w:rPr>
        <w:t xml:space="preserve"> in a vicious circle</w:t>
      </w:r>
      <w:r w:rsidR="00E2275D" w:rsidRPr="00C273FD">
        <w:rPr>
          <w:color w:val="1A1A1A"/>
          <w:sz w:val="22"/>
          <w:szCs w:val="22"/>
          <w:lang w:val="en-GB"/>
        </w:rPr>
        <w:t>.</w:t>
      </w:r>
      <w:r w:rsidR="00F7014C" w:rsidRPr="00C273FD">
        <w:rPr>
          <w:rStyle w:val="EndnoteReference"/>
          <w:color w:val="1A1A1A"/>
          <w:sz w:val="22"/>
          <w:szCs w:val="22"/>
          <w:lang w:val="en-GB"/>
        </w:rPr>
        <w:endnoteReference w:id="89"/>
      </w:r>
    </w:p>
    <w:p w14:paraId="073333B6" w14:textId="77777777" w:rsidR="00C80ACF" w:rsidRPr="00C273FD" w:rsidRDefault="00C80ACF" w:rsidP="00C80ACF">
      <w:pPr>
        <w:widowControl w:val="0"/>
        <w:autoSpaceDE w:val="0"/>
        <w:autoSpaceDN w:val="0"/>
        <w:adjustRightInd w:val="0"/>
        <w:jc w:val="both"/>
        <w:rPr>
          <w:color w:val="1A1A1A"/>
          <w:sz w:val="22"/>
          <w:szCs w:val="22"/>
          <w:lang w:val="en-GB"/>
        </w:rPr>
      </w:pPr>
    </w:p>
    <w:p w14:paraId="52537461" w14:textId="1AB82E5D" w:rsidR="00C80ACF" w:rsidRPr="00C273FD" w:rsidRDefault="00C80ACF" w:rsidP="00C80ACF">
      <w:pPr>
        <w:widowControl w:val="0"/>
        <w:autoSpaceDE w:val="0"/>
        <w:autoSpaceDN w:val="0"/>
        <w:adjustRightInd w:val="0"/>
        <w:jc w:val="both"/>
        <w:rPr>
          <w:color w:val="1A1A1A"/>
          <w:sz w:val="22"/>
          <w:szCs w:val="22"/>
          <w:lang w:val="en-GB"/>
        </w:rPr>
      </w:pPr>
      <w:r w:rsidRPr="00C273FD">
        <w:rPr>
          <w:color w:val="1A1A1A"/>
          <w:sz w:val="22"/>
          <w:szCs w:val="22"/>
          <w:lang w:val="en-GB"/>
        </w:rPr>
        <w:t xml:space="preserve">An important development in the Indian financial sector in 2016 was the emergence of the </w:t>
      </w:r>
      <w:r w:rsidR="00B5365D">
        <w:rPr>
          <w:color w:val="1A1A1A"/>
          <w:sz w:val="22"/>
          <w:szCs w:val="22"/>
          <w:lang w:val="en-GB"/>
        </w:rPr>
        <w:t>“t</w:t>
      </w:r>
      <w:r w:rsidRPr="00C273FD">
        <w:rPr>
          <w:color w:val="1A1A1A"/>
          <w:sz w:val="22"/>
          <w:szCs w:val="22"/>
          <w:lang w:val="en-GB"/>
        </w:rPr>
        <w:t xml:space="preserve">win </w:t>
      </w:r>
      <w:r w:rsidR="00B5365D">
        <w:rPr>
          <w:color w:val="1A1A1A"/>
          <w:sz w:val="22"/>
          <w:szCs w:val="22"/>
          <w:lang w:val="en-GB"/>
        </w:rPr>
        <w:t>b</w:t>
      </w:r>
      <w:r w:rsidRPr="00C273FD">
        <w:rPr>
          <w:color w:val="1A1A1A"/>
          <w:sz w:val="22"/>
          <w:szCs w:val="22"/>
          <w:lang w:val="en-GB"/>
        </w:rPr>
        <w:t xml:space="preserve">alance </w:t>
      </w:r>
      <w:r w:rsidR="00B5365D">
        <w:rPr>
          <w:color w:val="1A1A1A"/>
          <w:sz w:val="22"/>
          <w:szCs w:val="22"/>
          <w:lang w:val="en-GB"/>
        </w:rPr>
        <w:t>s</w:t>
      </w:r>
      <w:r w:rsidRPr="00C273FD">
        <w:rPr>
          <w:color w:val="1A1A1A"/>
          <w:sz w:val="22"/>
          <w:szCs w:val="22"/>
          <w:lang w:val="en-GB"/>
        </w:rPr>
        <w:t>heet</w:t>
      </w:r>
      <w:r w:rsidR="00B5365D">
        <w:rPr>
          <w:color w:val="1A1A1A"/>
          <w:sz w:val="22"/>
          <w:szCs w:val="22"/>
          <w:lang w:val="en-GB"/>
        </w:rPr>
        <w:t>”</w:t>
      </w:r>
      <w:r w:rsidRPr="00C273FD">
        <w:rPr>
          <w:color w:val="1A1A1A"/>
          <w:sz w:val="22"/>
          <w:szCs w:val="22"/>
          <w:lang w:val="en-GB"/>
        </w:rPr>
        <w:t xml:space="preserve"> problem</w:t>
      </w:r>
      <w:r w:rsidR="00B5365D">
        <w:rPr>
          <w:color w:val="1A1A1A"/>
          <w:sz w:val="22"/>
          <w:szCs w:val="22"/>
          <w:lang w:val="en-GB"/>
        </w:rPr>
        <w:t>,</w:t>
      </w:r>
      <w:r w:rsidRPr="00C273FD">
        <w:rPr>
          <w:color w:val="1A1A1A"/>
          <w:sz w:val="22"/>
          <w:szCs w:val="22"/>
          <w:lang w:val="en-GB"/>
        </w:rPr>
        <w:t xml:space="preserve"> where the balance sheets of both the banking and corporate sectors </w:t>
      </w:r>
      <w:proofErr w:type="gramStart"/>
      <w:r w:rsidR="00B5365D">
        <w:rPr>
          <w:color w:val="1A1A1A"/>
          <w:sz w:val="22"/>
          <w:szCs w:val="22"/>
          <w:lang w:val="en-GB"/>
        </w:rPr>
        <w:t>were stressed</w:t>
      </w:r>
      <w:proofErr w:type="gramEnd"/>
      <w:r w:rsidR="00B5365D">
        <w:rPr>
          <w:color w:val="1A1A1A"/>
          <w:sz w:val="22"/>
          <w:szCs w:val="22"/>
          <w:lang w:val="en-GB"/>
        </w:rPr>
        <w:t xml:space="preserve"> because they </w:t>
      </w:r>
      <w:r w:rsidRPr="00C273FD">
        <w:rPr>
          <w:color w:val="1A1A1A"/>
          <w:sz w:val="22"/>
          <w:szCs w:val="22"/>
          <w:lang w:val="en-GB"/>
        </w:rPr>
        <w:t>contained a high proportion of non-</w:t>
      </w:r>
      <w:r w:rsidR="00E2275D" w:rsidRPr="00C273FD">
        <w:rPr>
          <w:color w:val="1A1A1A"/>
          <w:sz w:val="22"/>
          <w:szCs w:val="22"/>
          <w:lang w:val="en-GB"/>
        </w:rPr>
        <w:t>performing</w:t>
      </w:r>
      <w:r w:rsidRPr="00C273FD">
        <w:rPr>
          <w:color w:val="1A1A1A"/>
          <w:sz w:val="22"/>
          <w:szCs w:val="22"/>
          <w:lang w:val="en-GB"/>
        </w:rPr>
        <w:t xml:space="preserve"> assets. The </w:t>
      </w:r>
      <w:r w:rsidR="00B5365D">
        <w:rPr>
          <w:color w:val="1A1A1A"/>
          <w:sz w:val="22"/>
          <w:szCs w:val="22"/>
          <w:lang w:val="en-GB"/>
        </w:rPr>
        <w:t xml:space="preserve">Indian </w:t>
      </w:r>
      <w:r w:rsidRPr="00C273FD">
        <w:rPr>
          <w:color w:val="1A1A1A"/>
          <w:sz w:val="22"/>
          <w:szCs w:val="22"/>
          <w:lang w:val="en-GB"/>
        </w:rPr>
        <w:t>Economic Survey noted that India demon</w:t>
      </w:r>
      <w:r w:rsidR="00E2275D" w:rsidRPr="00C273FD">
        <w:rPr>
          <w:color w:val="1A1A1A"/>
          <w:sz w:val="22"/>
          <w:szCs w:val="22"/>
          <w:lang w:val="en-GB"/>
        </w:rPr>
        <w:t>strated “the highest degree of stress in the world.”</w:t>
      </w:r>
      <w:r w:rsidR="00A93104">
        <w:rPr>
          <w:rStyle w:val="EndnoteReference"/>
          <w:color w:val="1A1A1A"/>
          <w:sz w:val="22"/>
          <w:szCs w:val="22"/>
          <w:lang w:val="en-GB"/>
        </w:rPr>
        <w:endnoteReference w:id="90"/>
      </w:r>
      <w:r w:rsidRPr="00C273FD">
        <w:rPr>
          <w:color w:val="1A1A1A"/>
          <w:sz w:val="22"/>
          <w:szCs w:val="22"/>
          <w:lang w:val="en-GB"/>
        </w:rPr>
        <w:t xml:space="preserve"> Thus, India’s </w:t>
      </w:r>
      <w:r w:rsidR="00B5365D">
        <w:rPr>
          <w:color w:val="1A1A1A"/>
          <w:sz w:val="22"/>
          <w:szCs w:val="22"/>
          <w:lang w:val="en-GB"/>
        </w:rPr>
        <w:t>n</w:t>
      </w:r>
      <w:r w:rsidRPr="00C273FD">
        <w:rPr>
          <w:color w:val="1A1A1A"/>
          <w:sz w:val="22"/>
          <w:szCs w:val="22"/>
          <w:lang w:val="en-GB"/>
        </w:rPr>
        <w:t>on</w:t>
      </w:r>
      <w:r w:rsidR="00B5365D">
        <w:rPr>
          <w:color w:val="1A1A1A"/>
          <w:sz w:val="22"/>
          <w:szCs w:val="22"/>
          <w:lang w:val="en-GB"/>
        </w:rPr>
        <w:t>-p</w:t>
      </w:r>
      <w:r w:rsidRPr="00C273FD">
        <w:rPr>
          <w:color w:val="1A1A1A"/>
          <w:sz w:val="22"/>
          <w:szCs w:val="22"/>
          <w:lang w:val="en-GB"/>
        </w:rPr>
        <w:t xml:space="preserve">erforming </w:t>
      </w:r>
      <w:r w:rsidR="00B5365D">
        <w:rPr>
          <w:color w:val="1A1A1A"/>
          <w:sz w:val="22"/>
          <w:szCs w:val="22"/>
          <w:lang w:val="en-GB"/>
        </w:rPr>
        <w:t>a</w:t>
      </w:r>
      <w:r w:rsidRPr="00C273FD">
        <w:rPr>
          <w:color w:val="1A1A1A"/>
          <w:sz w:val="22"/>
          <w:szCs w:val="22"/>
          <w:lang w:val="en-GB"/>
        </w:rPr>
        <w:t xml:space="preserve">sset (NPA) ratio </w:t>
      </w:r>
      <w:r w:rsidR="00B5365D">
        <w:rPr>
          <w:color w:val="1A1A1A"/>
          <w:sz w:val="22"/>
          <w:szCs w:val="22"/>
          <w:lang w:val="en-GB"/>
        </w:rPr>
        <w:t xml:space="preserve">of 9.1 per cent of gross loans </w:t>
      </w:r>
      <w:r w:rsidRPr="00C273FD">
        <w:rPr>
          <w:color w:val="1A1A1A"/>
          <w:sz w:val="22"/>
          <w:szCs w:val="22"/>
          <w:lang w:val="en-GB"/>
        </w:rPr>
        <w:t xml:space="preserve">was higher than any other major emerging market (except Russia). More than </w:t>
      </w:r>
      <w:r w:rsidR="00B5365D">
        <w:rPr>
          <w:color w:val="1A1A1A"/>
          <w:sz w:val="22"/>
          <w:szCs w:val="22"/>
          <w:lang w:val="en-GB"/>
        </w:rPr>
        <w:t>80 per cent</w:t>
      </w:r>
      <w:r w:rsidRPr="00C273FD">
        <w:rPr>
          <w:color w:val="1A1A1A"/>
          <w:sz w:val="22"/>
          <w:szCs w:val="22"/>
          <w:lang w:val="en-GB"/>
        </w:rPr>
        <w:t xml:space="preserve"> of the non-performing assets were in the public sector banks, where the NPA ratio had reached almost 12 per</w:t>
      </w:r>
      <w:r w:rsidR="00E2275D" w:rsidRPr="00C273FD">
        <w:rPr>
          <w:color w:val="1A1A1A"/>
          <w:sz w:val="22"/>
          <w:szCs w:val="22"/>
          <w:lang w:val="en-GB"/>
        </w:rPr>
        <w:t xml:space="preserve"> cent</w:t>
      </w:r>
      <w:r w:rsidRPr="00C273FD">
        <w:rPr>
          <w:color w:val="1A1A1A"/>
          <w:sz w:val="22"/>
          <w:szCs w:val="22"/>
          <w:lang w:val="en-GB"/>
        </w:rPr>
        <w:t xml:space="preserve">. At the same time, </w:t>
      </w:r>
      <w:proofErr w:type="gramStart"/>
      <w:r w:rsidR="00B5365D">
        <w:rPr>
          <w:color w:val="1A1A1A"/>
          <w:sz w:val="22"/>
          <w:szCs w:val="22"/>
          <w:lang w:val="en-GB"/>
        </w:rPr>
        <w:t>approximately</w:t>
      </w:r>
      <w:r w:rsidR="00B5365D" w:rsidRPr="00C273FD">
        <w:rPr>
          <w:color w:val="1A1A1A"/>
          <w:sz w:val="22"/>
          <w:szCs w:val="22"/>
          <w:lang w:val="en-GB"/>
        </w:rPr>
        <w:t xml:space="preserve"> </w:t>
      </w:r>
      <w:r w:rsidRPr="00C273FD">
        <w:rPr>
          <w:color w:val="1A1A1A"/>
          <w:sz w:val="22"/>
          <w:szCs w:val="22"/>
          <w:lang w:val="en-GB"/>
        </w:rPr>
        <w:t>40 per</w:t>
      </w:r>
      <w:r w:rsidR="00B5365D">
        <w:rPr>
          <w:color w:val="1A1A1A"/>
          <w:sz w:val="22"/>
          <w:szCs w:val="22"/>
          <w:lang w:val="en-GB"/>
        </w:rPr>
        <w:t xml:space="preserve"> </w:t>
      </w:r>
      <w:r w:rsidRPr="00C273FD">
        <w:rPr>
          <w:color w:val="1A1A1A"/>
          <w:sz w:val="22"/>
          <w:szCs w:val="22"/>
          <w:lang w:val="en-GB"/>
        </w:rPr>
        <w:t xml:space="preserve">cent of the corporate debt was owed by companies </w:t>
      </w:r>
      <w:r w:rsidR="00B5365D">
        <w:rPr>
          <w:color w:val="1A1A1A"/>
          <w:sz w:val="22"/>
          <w:szCs w:val="22"/>
          <w:lang w:val="en-GB"/>
        </w:rPr>
        <w:t>that</w:t>
      </w:r>
      <w:r w:rsidR="00B5365D" w:rsidRPr="00C273FD">
        <w:rPr>
          <w:color w:val="1A1A1A"/>
          <w:sz w:val="22"/>
          <w:szCs w:val="22"/>
          <w:lang w:val="en-GB"/>
        </w:rPr>
        <w:t xml:space="preserve"> </w:t>
      </w:r>
      <w:r w:rsidRPr="00C273FD">
        <w:rPr>
          <w:color w:val="1A1A1A"/>
          <w:sz w:val="22"/>
          <w:szCs w:val="22"/>
          <w:lang w:val="en-GB"/>
        </w:rPr>
        <w:t xml:space="preserve">had an interest coverage ratio </w:t>
      </w:r>
      <w:r w:rsidR="00EC6E5D">
        <w:rPr>
          <w:color w:val="1A1A1A"/>
          <w:sz w:val="22"/>
          <w:szCs w:val="22"/>
          <w:lang w:val="en-GB"/>
        </w:rPr>
        <w:t xml:space="preserve">of </w:t>
      </w:r>
      <w:r w:rsidRPr="00C273FD">
        <w:rPr>
          <w:color w:val="1A1A1A"/>
          <w:sz w:val="22"/>
          <w:szCs w:val="22"/>
          <w:lang w:val="en-GB"/>
        </w:rPr>
        <w:t xml:space="preserve">less than </w:t>
      </w:r>
      <w:r w:rsidR="00B5365D">
        <w:rPr>
          <w:color w:val="1A1A1A"/>
          <w:sz w:val="22"/>
          <w:szCs w:val="22"/>
          <w:lang w:val="en-GB"/>
        </w:rPr>
        <w:t>one</w:t>
      </w:r>
      <w:r w:rsidRPr="00C273FD">
        <w:rPr>
          <w:color w:val="1A1A1A"/>
          <w:sz w:val="22"/>
          <w:szCs w:val="22"/>
          <w:lang w:val="en-GB"/>
        </w:rPr>
        <w:t>, meaning they did not earn enough to pay the interest obligations on their loans</w:t>
      </w:r>
      <w:proofErr w:type="gramEnd"/>
      <w:r w:rsidR="00E2275D" w:rsidRPr="00C273FD">
        <w:rPr>
          <w:color w:val="1A1A1A"/>
          <w:sz w:val="22"/>
          <w:szCs w:val="22"/>
          <w:lang w:val="en-GB"/>
        </w:rPr>
        <w:t>.</w:t>
      </w:r>
      <w:r w:rsidRPr="00C273FD">
        <w:rPr>
          <w:rStyle w:val="EndnoteReference"/>
          <w:color w:val="1A1A1A"/>
          <w:sz w:val="22"/>
          <w:szCs w:val="22"/>
          <w:lang w:val="en-GB"/>
        </w:rPr>
        <w:endnoteReference w:id="91"/>
      </w:r>
    </w:p>
    <w:p w14:paraId="66A48DF8" w14:textId="77777777" w:rsidR="00C80ACF" w:rsidRPr="00C273FD" w:rsidRDefault="00C80ACF" w:rsidP="00C80ACF">
      <w:pPr>
        <w:widowControl w:val="0"/>
        <w:autoSpaceDE w:val="0"/>
        <w:autoSpaceDN w:val="0"/>
        <w:adjustRightInd w:val="0"/>
        <w:jc w:val="both"/>
        <w:rPr>
          <w:color w:val="1A1A1A"/>
          <w:sz w:val="22"/>
          <w:szCs w:val="22"/>
          <w:lang w:val="en-GB"/>
        </w:rPr>
      </w:pPr>
    </w:p>
    <w:p w14:paraId="51E7500A" w14:textId="77777777" w:rsidR="00AB18DE" w:rsidRPr="00C273FD" w:rsidRDefault="00AB18DE" w:rsidP="00C80ACF">
      <w:pPr>
        <w:widowControl w:val="0"/>
        <w:autoSpaceDE w:val="0"/>
        <w:autoSpaceDN w:val="0"/>
        <w:adjustRightInd w:val="0"/>
        <w:jc w:val="both"/>
        <w:rPr>
          <w:color w:val="1A1A1A"/>
          <w:sz w:val="22"/>
          <w:szCs w:val="22"/>
          <w:lang w:val="en-GB"/>
        </w:rPr>
      </w:pPr>
    </w:p>
    <w:p w14:paraId="31F66D85" w14:textId="77777777" w:rsidR="00C80ACF" w:rsidRPr="00C273FD" w:rsidRDefault="00C80ACF" w:rsidP="00C80ACF">
      <w:pPr>
        <w:widowControl w:val="0"/>
        <w:autoSpaceDE w:val="0"/>
        <w:autoSpaceDN w:val="0"/>
        <w:adjustRightInd w:val="0"/>
        <w:jc w:val="both"/>
        <w:rPr>
          <w:rFonts w:ascii="Arial" w:hAnsi="Arial" w:cs="Arial"/>
          <w:b/>
          <w:color w:val="1A1A1A"/>
          <w:lang w:val="en-GB"/>
        </w:rPr>
      </w:pPr>
      <w:r w:rsidRPr="00C273FD">
        <w:rPr>
          <w:rFonts w:ascii="Arial" w:hAnsi="Arial" w:cs="Arial"/>
          <w:b/>
          <w:color w:val="1A1A1A"/>
          <w:lang w:val="en-GB"/>
        </w:rPr>
        <w:t>LOOKING AHEAD</w:t>
      </w:r>
    </w:p>
    <w:p w14:paraId="55D451A5" w14:textId="77777777" w:rsidR="00C80ACF" w:rsidRPr="00C273FD" w:rsidRDefault="00C80ACF" w:rsidP="00C80ACF">
      <w:pPr>
        <w:widowControl w:val="0"/>
        <w:autoSpaceDE w:val="0"/>
        <w:autoSpaceDN w:val="0"/>
        <w:adjustRightInd w:val="0"/>
        <w:jc w:val="both"/>
        <w:rPr>
          <w:color w:val="1A1A1A"/>
          <w:sz w:val="22"/>
          <w:szCs w:val="22"/>
          <w:lang w:val="en-GB"/>
        </w:rPr>
      </w:pPr>
    </w:p>
    <w:p w14:paraId="4D4D07F9" w14:textId="34265B7F" w:rsidR="00C80ACF" w:rsidRPr="00C273FD" w:rsidRDefault="00C80ACF" w:rsidP="00C80ACF">
      <w:pPr>
        <w:widowControl w:val="0"/>
        <w:autoSpaceDE w:val="0"/>
        <w:autoSpaceDN w:val="0"/>
        <w:adjustRightInd w:val="0"/>
        <w:jc w:val="both"/>
        <w:rPr>
          <w:color w:val="1A1A1A"/>
          <w:spacing w:val="-2"/>
          <w:kern w:val="22"/>
          <w:sz w:val="22"/>
          <w:szCs w:val="22"/>
          <w:lang w:val="en-GB"/>
        </w:rPr>
      </w:pPr>
      <w:r w:rsidRPr="00C273FD">
        <w:rPr>
          <w:color w:val="1A1A1A"/>
          <w:spacing w:val="-2"/>
          <w:kern w:val="22"/>
          <w:sz w:val="22"/>
          <w:szCs w:val="22"/>
          <w:lang w:val="en-GB"/>
        </w:rPr>
        <w:t>The 25 years of Indian reforms coincided with internat</w:t>
      </w:r>
      <w:r w:rsidR="004E600B" w:rsidRPr="00C273FD">
        <w:rPr>
          <w:color w:val="1A1A1A"/>
          <w:spacing w:val="-2"/>
          <w:kern w:val="22"/>
          <w:sz w:val="22"/>
          <w:szCs w:val="22"/>
          <w:lang w:val="en-GB"/>
        </w:rPr>
        <w:t>ional geopolitical developments</w:t>
      </w:r>
      <w:r w:rsidRPr="00C273FD">
        <w:rPr>
          <w:color w:val="1A1A1A"/>
          <w:spacing w:val="-2"/>
          <w:kern w:val="22"/>
          <w:sz w:val="22"/>
          <w:szCs w:val="22"/>
          <w:lang w:val="en-GB"/>
        </w:rPr>
        <w:t xml:space="preserve">, including the </w:t>
      </w:r>
      <w:r w:rsidR="00B5365D">
        <w:rPr>
          <w:color w:val="1A1A1A"/>
          <w:spacing w:val="-2"/>
          <w:kern w:val="22"/>
          <w:sz w:val="22"/>
          <w:szCs w:val="22"/>
          <w:lang w:val="en-GB"/>
        </w:rPr>
        <w:t>economic</w:t>
      </w:r>
      <w:r w:rsidR="00B5365D" w:rsidRPr="00C273FD">
        <w:rPr>
          <w:color w:val="1A1A1A"/>
          <w:spacing w:val="-2"/>
          <w:kern w:val="22"/>
          <w:sz w:val="22"/>
          <w:szCs w:val="22"/>
          <w:lang w:val="en-GB"/>
        </w:rPr>
        <w:t xml:space="preserve"> </w:t>
      </w:r>
      <w:r w:rsidRPr="00C273FD">
        <w:rPr>
          <w:color w:val="1A1A1A"/>
          <w:spacing w:val="-2"/>
          <w:kern w:val="22"/>
          <w:sz w:val="22"/>
          <w:szCs w:val="22"/>
          <w:lang w:val="en-GB"/>
        </w:rPr>
        <w:t>slowdown</w:t>
      </w:r>
      <w:r w:rsidR="00B5365D">
        <w:rPr>
          <w:color w:val="1A1A1A"/>
          <w:spacing w:val="-2"/>
          <w:kern w:val="22"/>
          <w:sz w:val="22"/>
          <w:szCs w:val="22"/>
          <w:lang w:val="en-GB"/>
        </w:rPr>
        <w:t xml:space="preserve"> in China</w:t>
      </w:r>
      <w:r w:rsidRPr="00C273FD">
        <w:rPr>
          <w:color w:val="1A1A1A"/>
          <w:spacing w:val="-2"/>
          <w:kern w:val="22"/>
          <w:sz w:val="22"/>
          <w:szCs w:val="22"/>
          <w:lang w:val="en-GB"/>
        </w:rPr>
        <w:t xml:space="preserve">, </w:t>
      </w:r>
      <w:r w:rsidR="00B5365D">
        <w:rPr>
          <w:color w:val="1A1A1A"/>
          <w:spacing w:val="-2"/>
          <w:kern w:val="22"/>
          <w:sz w:val="22"/>
          <w:szCs w:val="22"/>
          <w:lang w:val="en-GB"/>
        </w:rPr>
        <w:t xml:space="preserve">the </w:t>
      </w:r>
      <w:r w:rsidRPr="00C273FD">
        <w:rPr>
          <w:color w:val="1A1A1A"/>
          <w:spacing w:val="-2"/>
          <w:kern w:val="22"/>
          <w:sz w:val="22"/>
          <w:szCs w:val="22"/>
          <w:lang w:val="en-GB"/>
        </w:rPr>
        <w:t>weakening of the European Union, Brexit</w:t>
      </w:r>
      <w:r w:rsidR="00B5365D">
        <w:rPr>
          <w:color w:val="1A1A1A"/>
          <w:spacing w:val="-2"/>
          <w:kern w:val="22"/>
          <w:sz w:val="22"/>
          <w:szCs w:val="22"/>
          <w:lang w:val="en-GB"/>
        </w:rPr>
        <w:t>,</w:t>
      </w:r>
      <w:r w:rsidRPr="00C273FD">
        <w:rPr>
          <w:color w:val="1A1A1A"/>
          <w:spacing w:val="-2"/>
          <w:kern w:val="22"/>
          <w:sz w:val="22"/>
          <w:szCs w:val="22"/>
          <w:lang w:val="en-GB"/>
        </w:rPr>
        <w:t xml:space="preserve"> and the advanced economies slowly losing their </w:t>
      </w:r>
      <w:proofErr w:type="gramStart"/>
      <w:r w:rsidRPr="00C273FD">
        <w:rPr>
          <w:color w:val="1A1A1A"/>
          <w:spacing w:val="-2"/>
          <w:kern w:val="22"/>
          <w:sz w:val="22"/>
          <w:szCs w:val="22"/>
          <w:lang w:val="en-GB"/>
        </w:rPr>
        <w:t>clout</w:t>
      </w:r>
      <w:proofErr w:type="gramEnd"/>
      <w:r w:rsidRPr="00C273FD">
        <w:rPr>
          <w:color w:val="1A1A1A"/>
          <w:spacing w:val="-2"/>
          <w:kern w:val="22"/>
          <w:sz w:val="22"/>
          <w:szCs w:val="22"/>
          <w:lang w:val="en-GB"/>
        </w:rPr>
        <w:t xml:space="preserve">. </w:t>
      </w:r>
      <w:r w:rsidR="006366F9">
        <w:rPr>
          <w:color w:val="1A1A1A"/>
          <w:spacing w:val="-2"/>
          <w:kern w:val="22"/>
          <w:sz w:val="22"/>
          <w:szCs w:val="22"/>
          <w:lang w:val="en-GB"/>
        </w:rPr>
        <w:t>In 2016, t</w:t>
      </w:r>
      <w:r w:rsidRPr="00C273FD">
        <w:rPr>
          <w:color w:val="1A1A1A"/>
          <w:spacing w:val="-2"/>
          <w:kern w:val="22"/>
          <w:sz w:val="22"/>
          <w:szCs w:val="22"/>
          <w:lang w:val="en-GB"/>
        </w:rPr>
        <w:t xml:space="preserve">he Indian economy thus seemed better placed to reach new heights. </w:t>
      </w:r>
      <w:r w:rsidRPr="00C273FD">
        <w:rPr>
          <w:color w:val="1A1A1A"/>
          <w:spacing w:val="-2"/>
          <w:kern w:val="22"/>
          <w:sz w:val="22"/>
          <w:szCs w:val="22"/>
          <w:lang w:val="en-GB"/>
        </w:rPr>
        <w:lastRenderedPageBreak/>
        <w:t>However, domestic structural challenges</w:t>
      </w:r>
      <w:r w:rsidR="00B5365D">
        <w:rPr>
          <w:color w:val="1A1A1A"/>
          <w:spacing w:val="-2"/>
          <w:kern w:val="22"/>
          <w:sz w:val="22"/>
          <w:szCs w:val="22"/>
          <w:lang w:val="en-GB"/>
        </w:rPr>
        <w:t xml:space="preserve"> remained</w:t>
      </w:r>
      <w:r w:rsidRPr="00C273FD">
        <w:rPr>
          <w:color w:val="1A1A1A"/>
          <w:spacing w:val="-2"/>
          <w:kern w:val="22"/>
          <w:sz w:val="22"/>
          <w:szCs w:val="22"/>
          <w:lang w:val="en-GB"/>
        </w:rPr>
        <w:t xml:space="preserve">, as </w:t>
      </w:r>
      <w:r w:rsidR="00B5365D">
        <w:rPr>
          <w:color w:val="1A1A1A"/>
          <w:spacing w:val="-2"/>
          <w:kern w:val="22"/>
          <w:sz w:val="22"/>
          <w:szCs w:val="22"/>
          <w:lang w:val="en-GB"/>
        </w:rPr>
        <w:t>did</w:t>
      </w:r>
      <w:r w:rsidR="00B5365D" w:rsidRPr="00C273FD">
        <w:rPr>
          <w:color w:val="1A1A1A"/>
          <w:spacing w:val="-2"/>
          <w:kern w:val="22"/>
          <w:sz w:val="22"/>
          <w:szCs w:val="22"/>
          <w:lang w:val="en-GB"/>
        </w:rPr>
        <w:t xml:space="preserve"> </w:t>
      </w:r>
      <w:r w:rsidRPr="00C273FD">
        <w:rPr>
          <w:color w:val="1A1A1A"/>
          <w:spacing w:val="-2"/>
          <w:kern w:val="22"/>
          <w:sz w:val="22"/>
          <w:szCs w:val="22"/>
          <w:lang w:val="en-GB"/>
        </w:rPr>
        <w:t xml:space="preserve">challenges </w:t>
      </w:r>
      <w:r w:rsidR="00B5365D">
        <w:rPr>
          <w:color w:val="1A1A1A"/>
          <w:spacing w:val="-2"/>
          <w:kern w:val="22"/>
          <w:sz w:val="22"/>
          <w:szCs w:val="22"/>
          <w:lang w:val="en-GB"/>
        </w:rPr>
        <w:t>from</w:t>
      </w:r>
      <w:r w:rsidRPr="00C273FD">
        <w:rPr>
          <w:color w:val="1A1A1A"/>
          <w:spacing w:val="-2"/>
          <w:kern w:val="22"/>
          <w:sz w:val="22"/>
          <w:szCs w:val="22"/>
          <w:lang w:val="en-GB"/>
        </w:rPr>
        <w:t xml:space="preserve"> external sector developments. Domestic structural challenges revolved around reducing the scope of the state</w:t>
      </w:r>
      <w:r w:rsidR="00686F9A">
        <w:rPr>
          <w:color w:val="1A1A1A"/>
          <w:spacing w:val="-2"/>
          <w:kern w:val="22"/>
          <w:sz w:val="22"/>
          <w:szCs w:val="22"/>
          <w:lang w:val="en-GB"/>
        </w:rPr>
        <w:t>,</w:t>
      </w:r>
      <w:r w:rsidRPr="00C273FD">
        <w:rPr>
          <w:color w:val="1A1A1A"/>
          <w:spacing w:val="-2"/>
          <w:kern w:val="22"/>
          <w:sz w:val="22"/>
          <w:szCs w:val="22"/>
          <w:lang w:val="en-GB"/>
        </w:rPr>
        <w:t xml:space="preserve"> increasing the “embrace of the markets</w:t>
      </w:r>
      <w:r w:rsidR="00686F9A">
        <w:rPr>
          <w:color w:val="1A1A1A"/>
          <w:spacing w:val="-2"/>
          <w:kern w:val="22"/>
          <w:sz w:val="22"/>
          <w:szCs w:val="22"/>
          <w:lang w:val="en-GB"/>
        </w:rPr>
        <w:t>,</w:t>
      </w:r>
      <w:r w:rsidRPr="00C273FD">
        <w:rPr>
          <w:color w:val="1A1A1A"/>
          <w:spacing w:val="-2"/>
          <w:kern w:val="22"/>
          <w:sz w:val="22"/>
          <w:szCs w:val="22"/>
          <w:lang w:val="en-GB"/>
        </w:rPr>
        <w:t xml:space="preserve">” </w:t>
      </w:r>
      <w:r w:rsidR="00686F9A">
        <w:rPr>
          <w:color w:val="1A1A1A"/>
          <w:spacing w:val="-2"/>
          <w:kern w:val="22"/>
          <w:sz w:val="22"/>
          <w:szCs w:val="22"/>
          <w:lang w:val="en-GB"/>
        </w:rPr>
        <w:t>and</w:t>
      </w:r>
      <w:r w:rsidRPr="00C273FD">
        <w:rPr>
          <w:color w:val="1A1A1A"/>
          <w:spacing w:val="-2"/>
          <w:kern w:val="22"/>
          <w:sz w:val="22"/>
          <w:szCs w:val="22"/>
          <w:lang w:val="en-GB"/>
        </w:rPr>
        <w:t xml:space="preserve"> </w:t>
      </w:r>
      <w:r w:rsidR="006366F9">
        <w:rPr>
          <w:color w:val="1A1A1A"/>
          <w:spacing w:val="-2"/>
          <w:kern w:val="22"/>
          <w:sz w:val="22"/>
          <w:szCs w:val="22"/>
          <w:lang w:val="en-GB"/>
        </w:rPr>
        <w:t xml:space="preserve">managing </w:t>
      </w:r>
      <w:r w:rsidR="005F4E36">
        <w:rPr>
          <w:color w:val="1A1A1A"/>
          <w:spacing w:val="-2"/>
          <w:kern w:val="22"/>
          <w:sz w:val="22"/>
          <w:szCs w:val="22"/>
          <w:lang w:val="en-GB"/>
        </w:rPr>
        <w:t xml:space="preserve">the </w:t>
      </w:r>
      <w:r w:rsidRPr="00C273FD">
        <w:rPr>
          <w:color w:val="1A1A1A"/>
          <w:spacing w:val="-2"/>
          <w:kern w:val="22"/>
          <w:sz w:val="22"/>
          <w:szCs w:val="22"/>
          <w:lang w:val="en-GB"/>
        </w:rPr>
        <w:t xml:space="preserve">trade-off between growth and inflation. At the same time, </w:t>
      </w:r>
      <w:r w:rsidR="00B5365D">
        <w:rPr>
          <w:color w:val="1A1A1A"/>
          <w:spacing w:val="-2"/>
          <w:kern w:val="22"/>
          <w:sz w:val="22"/>
          <w:szCs w:val="22"/>
          <w:lang w:val="en-GB"/>
        </w:rPr>
        <w:t xml:space="preserve">the global context led to cautionary developments, including </w:t>
      </w:r>
      <w:r w:rsidRPr="00C273FD">
        <w:rPr>
          <w:color w:val="1A1A1A"/>
          <w:spacing w:val="-2"/>
          <w:kern w:val="22"/>
          <w:sz w:val="22"/>
          <w:szCs w:val="22"/>
          <w:lang w:val="en-GB"/>
        </w:rPr>
        <w:t>higher interest rates in the United States, a lower “political carrying capacity for globalization</w:t>
      </w:r>
      <w:r w:rsidR="00B5365D">
        <w:rPr>
          <w:color w:val="1A1A1A"/>
          <w:spacing w:val="-2"/>
          <w:kern w:val="22"/>
          <w:sz w:val="22"/>
          <w:szCs w:val="22"/>
          <w:lang w:val="en-GB"/>
        </w:rPr>
        <w:t>”</w:t>
      </w:r>
      <w:r w:rsidRPr="00C273FD">
        <w:rPr>
          <w:color w:val="1A1A1A"/>
          <w:spacing w:val="-2"/>
          <w:kern w:val="22"/>
          <w:sz w:val="22"/>
          <w:szCs w:val="22"/>
          <w:lang w:val="en-GB"/>
        </w:rPr>
        <w:t xml:space="preserve"> and the resultant protectionist policies, </w:t>
      </w:r>
      <w:r w:rsidR="00B5365D">
        <w:rPr>
          <w:color w:val="1A1A1A"/>
          <w:spacing w:val="-2"/>
          <w:kern w:val="22"/>
          <w:sz w:val="22"/>
          <w:szCs w:val="22"/>
          <w:lang w:val="en-GB"/>
        </w:rPr>
        <w:t>and</w:t>
      </w:r>
      <w:r w:rsidRPr="00C273FD">
        <w:rPr>
          <w:color w:val="1A1A1A"/>
          <w:spacing w:val="-2"/>
          <w:kern w:val="22"/>
          <w:sz w:val="22"/>
          <w:szCs w:val="22"/>
          <w:lang w:val="en-GB"/>
        </w:rPr>
        <w:t xml:space="preserve"> a successful rebalancing </w:t>
      </w:r>
      <w:r w:rsidR="00681001">
        <w:rPr>
          <w:color w:val="1A1A1A"/>
          <w:spacing w:val="-2"/>
          <w:kern w:val="22"/>
          <w:sz w:val="22"/>
          <w:szCs w:val="22"/>
          <w:lang w:val="en-GB"/>
        </w:rPr>
        <w:t>in China</w:t>
      </w:r>
      <w:r w:rsidRPr="00C273FD">
        <w:rPr>
          <w:color w:val="1A1A1A"/>
          <w:spacing w:val="-2"/>
          <w:kern w:val="22"/>
          <w:sz w:val="22"/>
          <w:szCs w:val="22"/>
          <w:lang w:val="en-GB"/>
        </w:rPr>
        <w:t xml:space="preserve">. What did the 25th year of turnaround bode for India? Were the macroeconomic </w:t>
      </w:r>
      <w:r w:rsidR="002C6931">
        <w:rPr>
          <w:color w:val="1A1A1A"/>
          <w:spacing w:val="-2"/>
          <w:kern w:val="22"/>
          <w:sz w:val="22"/>
          <w:szCs w:val="22"/>
          <w:lang w:val="en-GB"/>
        </w:rPr>
        <w:t>indicators</w:t>
      </w:r>
      <w:r w:rsidR="002C6931" w:rsidRPr="00C273FD">
        <w:rPr>
          <w:color w:val="1A1A1A"/>
          <w:spacing w:val="-2"/>
          <w:kern w:val="22"/>
          <w:sz w:val="22"/>
          <w:szCs w:val="22"/>
          <w:lang w:val="en-GB"/>
        </w:rPr>
        <w:t xml:space="preserve"> </w:t>
      </w:r>
      <w:r w:rsidRPr="00C273FD">
        <w:rPr>
          <w:color w:val="1A1A1A"/>
          <w:spacing w:val="-2"/>
          <w:kern w:val="22"/>
          <w:sz w:val="22"/>
          <w:szCs w:val="22"/>
          <w:lang w:val="en-GB"/>
        </w:rPr>
        <w:t xml:space="preserve">strong enough to </w:t>
      </w:r>
      <w:r w:rsidR="002C6931">
        <w:rPr>
          <w:color w:val="1A1A1A"/>
          <w:spacing w:val="-2"/>
          <w:kern w:val="22"/>
          <w:sz w:val="22"/>
          <w:szCs w:val="22"/>
          <w:lang w:val="en-GB"/>
        </w:rPr>
        <w:t xml:space="preserve">be </w:t>
      </w:r>
      <w:r w:rsidRPr="00C273FD">
        <w:rPr>
          <w:color w:val="1A1A1A"/>
          <w:spacing w:val="-2"/>
          <w:kern w:val="22"/>
          <w:sz w:val="22"/>
          <w:szCs w:val="22"/>
          <w:lang w:val="en-GB"/>
        </w:rPr>
        <w:t>sustain</w:t>
      </w:r>
      <w:r w:rsidR="002C6931">
        <w:rPr>
          <w:color w:val="1A1A1A"/>
          <w:spacing w:val="-2"/>
          <w:kern w:val="22"/>
          <w:sz w:val="22"/>
          <w:szCs w:val="22"/>
          <w:lang w:val="en-GB"/>
        </w:rPr>
        <w:t>able</w:t>
      </w:r>
      <w:r w:rsidRPr="00C273FD">
        <w:rPr>
          <w:color w:val="1A1A1A"/>
          <w:spacing w:val="-2"/>
          <w:kern w:val="22"/>
          <w:sz w:val="22"/>
          <w:szCs w:val="22"/>
          <w:lang w:val="en-GB"/>
        </w:rPr>
        <w:t xml:space="preserve">? How should one interpret the increase in GDP growth rates, the reduction in </w:t>
      </w:r>
      <w:r w:rsidR="00BC7178">
        <w:rPr>
          <w:color w:val="1A1A1A"/>
          <w:spacing w:val="-2"/>
          <w:kern w:val="22"/>
          <w:sz w:val="22"/>
          <w:szCs w:val="22"/>
          <w:lang w:val="en-GB"/>
        </w:rPr>
        <w:t xml:space="preserve">the </w:t>
      </w:r>
      <w:r w:rsidRPr="00C273FD">
        <w:rPr>
          <w:color w:val="1A1A1A"/>
          <w:spacing w:val="-2"/>
          <w:kern w:val="22"/>
          <w:sz w:val="22"/>
          <w:szCs w:val="22"/>
          <w:lang w:val="en-GB"/>
        </w:rPr>
        <w:t>CAD</w:t>
      </w:r>
      <w:r w:rsidR="00681001">
        <w:rPr>
          <w:color w:val="1A1A1A"/>
          <w:spacing w:val="-2"/>
          <w:kern w:val="22"/>
          <w:sz w:val="22"/>
          <w:szCs w:val="22"/>
          <w:lang w:val="en-GB"/>
        </w:rPr>
        <w:t>,</w:t>
      </w:r>
      <w:r w:rsidRPr="00C273FD">
        <w:rPr>
          <w:color w:val="1A1A1A"/>
          <w:spacing w:val="-2"/>
          <w:kern w:val="22"/>
          <w:sz w:val="22"/>
          <w:szCs w:val="22"/>
          <w:lang w:val="en-GB"/>
        </w:rPr>
        <w:t xml:space="preserve"> and the reduction in the </w:t>
      </w:r>
      <w:r w:rsidR="00681001">
        <w:rPr>
          <w:color w:val="1A1A1A"/>
          <w:spacing w:val="-2"/>
          <w:kern w:val="22"/>
          <w:sz w:val="22"/>
          <w:szCs w:val="22"/>
          <w:lang w:val="en-GB"/>
        </w:rPr>
        <w:t>f</w:t>
      </w:r>
      <w:r w:rsidRPr="00C273FD">
        <w:rPr>
          <w:color w:val="1A1A1A"/>
          <w:spacing w:val="-2"/>
          <w:kern w:val="22"/>
          <w:sz w:val="22"/>
          <w:szCs w:val="22"/>
          <w:lang w:val="en-GB"/>
        </w:rPr>
        <w:t xml:space="preserve">iscal </w:t>
      </w:r>
      <w:r w:rsidR="00681001">
        <w:rPr>
          <w:color w:val="1A1A1A"/>
          <w:spacing w:val="-2"/>
          <w:kern w:val="22"/>
          <w:sz w:val="22"/>
          <w:szCs w:val="22"/>
          <w:lang w:val="en-GB"/>
        </w:rPr>
        <w:t>d</w:t>
      </w:r>
      <w:r w:rsidRPr="00C273FD">
        <w:rPr>
          <w:color w:val="1A1A1A"/>
          <w:spacing w:val="-2"/>
          <w:kern w:val="22"/>
          <w:sz w:val="22"/>
          <w:szCs w:val="22"/>
          <w:lang w:val="en-GB"/>
        </w:rPr>
        <w:t xml:space="preserve">eficit? Should investors </w:t>
      </w:r>
      <w:r w:rsidR="002C6931">
        <w:rPr>
          <w:color w:val="1A1A1A"/>
          <w:spacing w:val="-2"/>
          <w:kern w:val="22"/>
          <w:sz w:val="22"/>
          <w:szCs w:val="22"/>
          <w:lang w:val="en-GB"/>
        </w:rPr>
        <w:t>be confident about</w:t>
      </w:r>
      <w:r w:rsidRPr="00C273FD">
        <w:rPr>
          <w:color w:val="1A1A1A"/>
          <w:spacing w:val="-2"/>
          <w:kern w:val="22"/>
          <w:sz w:val="22"/>
          <w:szCs w:val="22"/>
          <w:lang w:val="en-GB"/>
        </w:rPr>
        <w:t xml:space="preserve"> India</w:t>
      </w:r>
      <w:r w:rsidR="002C6931">
        <w:rPr>
          <w:color w:val="1A1A1A"/>
          <w:spacing w:val="-2"/>
          <w:kern w:val="22"/>
          <w:sz w:val="22"/>
          <w:szCs w:val="22"/>
          <w:lang w:val="en-GB"/>
        </w:rPr>
        <w:t>’s</w:t>
      </w:r>
      <w:r w:rsidRPr="00C273FD">
        <w:rPr>
          <w:color w:val="1A1A1A"/>
          <w:spacing w:val="-2"/>
          <w:kern w:val="22"/>
          <w:sz w:val="22"/>
          <w:szCs w:val="22"/>
          <w:lang w:val="en-GB"/>
        </w:rPr>
        <w:t xml:space="preserve"> growth story in 2016?</w:t>
      </w:r>
    </w:p>
    <w:p w14:paraId="1F37BDEA" w14:textId="77777777" w:rsidR="00C80ACF" w:rsidRPr="00C273FD" w:rsidRDefault="00C80ACF">
      <w:pPr>
        <w:spacing w:after="200" w:line="276" w:lineRule="auto"/>
        <w:rPr>
          <w:lang w:val="en-GB"/>
        </w:rPr>
      </w:pPr>
      <w:r w:rsidRPr="00C273FD">
        <w:rPr>
          <w:lang w:val="en-GB"/>
        </w:rPr>
        <w:br w:type="page"/>
      </w:r>
    </w:p>
    <w:p w14:paraId="387D8769" w14:textId="40723CDA" w:rsidR="00221CD1" w:rsidRPr="00C273FD" w:rsidRDefault="00221CD1" w:rsidP="006B2FB6">
      <w:pPr>
        <w:pStyle w:val="ExhibitHeading"/>
        <w:rPr>
          <w:lang w:val="en-GB"/>
        </w:rPr>
      </w:pPr>
      <w:r w:rsidRPr="00C273FD">
        <w:rPr>
          <w:lang w:val="en-GB"/>
        </w:rPr>
        <w:lastRenderedPageBreak/>
        <w:t xml:space="preserve">EXHIBIT 1: </w:t>
      </w:r>
      <w:r w:rsidR="007D47A9">
        <w:rPr>
          <w:lang w:val="en-GB"/>
        </w:rPr>
        <w:t xml:space="preserve">india’s </w:t>
      </w:r>
      <w:r w:rsidRPr="00C273FD">
        <w:rPr>
          <w:lang w:val="en-GB"/>
        </w:rPr>
        <w:t>NATIONAL INCOME ACCOUNTS</w:t>
      </w:r>
      <w:r w:rsidR="007D47A9">
        <w:rPr>
          <w:lang w:val="en-GB"/>
        </w:rPr>
        <w:t>,</w:t>
      </w:r>
      <w:r w:rsidRPr="00C273FD">
        <w:rPr>
          <w:lang w:val="en-GB"/>
        </w:rPr>
        <w:t xml:space="preserve"> </w:t>
      </w:r>
      <w:r w:rsidR="00A63F93">
        <w:rPr>
          <w:lang w:val="en-GB"/>
        </w:rPr>
        <w:t xml:space="preserve">selected years, </w:t>
      </w:r>
      <w:r w:rsidRPr="00C273FD">
        <w:rPr>
          <w:lang w:val="en-GB"/>
        </w:rPr>
        <w:t xml:space="preserve">1990/91 </w:t>
      </w:r>
      <w:r w:rsidR="007D47A9">
        <w:rPr>
          <w:lang w:val="en-GB"/>
        </w:rPr>
        <w:t xml:space="preserve">to </w:t>
      </w:r>
      <w:r w:rsidR="009D10D4">
        <w:rPr>
          <w:lang w:val="en-GB"/>
        </w:rPr>
        <w:t>2015/16</w:t>
      </w:r>
    </w:p>
    <w:p w14:paraId="42C092F9" w14:textId="77777777" w:rsidR="00221CD1" w:rsidRPr="00C273FD" w:rsidRDefault="00221CD1" w:rsidP="00221CD1">
      <w:pPr>
        <w:widowControl w:val="0"/>
        <w:autoSpaceDE w:val="0"/>
        <w:autoSpaceDN w:val="0"/>
        <w:adjustRightInd w:val="0"/>
        <w:rPr>
          <w:rFonts w:ascii="Arial" w:hAnsi="Arial" w:cs="Arial"/>
          <w:b/>
          <w:color w:val="1A1A1A"/>
          <w:lang w:val="en-GB"/>
        </w:rPr>
      </w:pP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gridCol w:w="1300"/>
        <w:gridCol w:w="1300"/>
      </w:tblGrid>
      <w:tr w:rsidR="00221CD1" w:rsidRPr="00C273FD" w14:paraId="06658E40" w14:textId="77777777" w:rsidTr="00E2275D">
        <w:trPr>
          <w:trHeight w:val="300"/>
          <w:jc w:val="center"/>
        </w:trPr>
        <w:tc>
          <w:tcPr>
            <w:tcW w:w="1300" w:type="dxa"/>
            <w:vMerge w:val="restart"/>
            <w:shd w:val="clear" w:color="auto" w:fill="auto"/>
            <w:noWrap/>
            <w:vAlign w:val="center"/>
            <w:hideMark/>
          </w:tcPr>
          <w:p w14:paraId="70D32D66" w14:textId="77777777" w:rsidR="00221CD1" w:rsidRPr="00C273FD" w:rsidRDefault="00221CD1"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Year</w:t>
            </w:r>
          </w:p>
        </w:tc>
        <w:tc>
          <w:tcPr>
            <w:tcW w:w="3900" w:type="dxa"/>
            <w:gridSpan w:val="3"/>
            <w:shd w:val="clear" w:color="auto" w:fill="auto"/>
            <w:noWrap/>
            <w:vAlign w:val="center"/>
            <w:hideMark/>
          </w:tcPr>
          <w:p w14:paraId="7081A52D" w14:textId="77777777" w:rsidR="00221CD1" w:rsidRPr="00C273FD" w:rsidRDefault="00221CD1"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GROWTH INDICATORS</w:t>
            </w:r>
          </w:p>
        </w:tc>
        <w:tc>
          <w:tcPr>
            <w:tcW w:w="3900" w:type="dxa"/>
            <w:gridSpan w:val="3"/>
            <w:shd w:val="clear" w:color="auto" w:fill="auto"/>
            <w:noWrap/>
            <w:vAlign w:val="center"/>
            <w:hideMark/>
          </w:tcPr>
          <w:p w14:paraId="38AAAAC1" w14:textId="69911EC6" w:rsidR="00221CD1" w:rsidRPr="00C273FD"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SAVING</w:t>
            </w:r>
            <w:r w:rsidR="00A63F93">
              <w:rPr>
                <w:rFonts w:ascii="Arial" w:hAnsi="Arial" w:cs="Arial"/>
                <w:b/>
                <w:bCs/>
                <w:color w:val="000000"/>
                <w:sz w:val="18"/>
                <w:szCs w:val="18"/>
                <w:lang w:val="en-GB"/>
              </w:rPr>
              <w:t>–</w:t>
            </w:r>
            <w:r w:rsidRPr="00C273FD">
              <w:rPr>
                <w:rFonts w:ascii="Arial" w:hAnsi="Arial" w:cs="Arial"/>
                <w:b/>
                <w:bCs/>
                <w:color w:val="000000"/>
                <w:sz w:val="18"/>
                <w:szCs w:val="18"/>
                <w:lang w:val="en-GB"/>
              </w:rPr>
              <w:t>INVESTMENT</w:t>
            </w:r>
            <w:r w:rsidR="00A63F93">
              <w:rPr>
                <w:rFonts w:ascii="Arial" w:hAnsi="Arial" w:cs="Arial"/>
                <w:b/>
                <w:bCs/>
                <w:color w:val="000000"/>
                <w:sz w:val="18"/>
                <w:szCs w:val="18"/>
                <w:lang w:val="en-GB"/>
              </w:rPr>
              <w:t xml:space="preserve"> INDICATORS</w:t>
            </w:r>
          </w:p>
        </w:tc>
      </w:tr>
      <w:tr w:rsidR="00221CD1" w:rsidRPr="00C273FD" w14:paraId="2804B702" w14:textId="77777777" w:rsidTr="00E2275D">
        <w:trPr>
          <w:trHeight w:val="904"/>
          <w:jc w:val="center"/>
        </w:trPr>
        <w:tc>
          <w:tcPr>
            <w:tcW w:w="1300" w:type="dxa"/>
            <w:vMerge/>
            <w:vAlign w:val="center"/>
            <w:hideMark/>
          </w:tcPr>
          <w:p w14:paraId="010EE274" w14:textId="77777777" w:rsidR="00221CD1" w:rsidRPr="00C273FD" w:rsidRDefault="00221CD1" w:rsidP="00AB18DE">
            <w:pPr>
              <w:rPr>
                <w:rFonts w:ascii="Arial" w:hAnsi="Arial" w:cs="Arial"/>
                <w:b/>
                <w:bCs/>
                <w:color w:val="000000"/>
                <w:sz w:val="18"/>
                <w:szCs w:val="18"/>
                <w:lang w:val="en-GB"/>
              </w:rPr>
            </w:pPr>
          </w:p>
        </w:tc>
        <w:tc>
          <w:tcPr>
            <w:tcW w:w="1300" w:type="dxa"/>
            <w:shd w:val="clear" w:color="auto" w:fill="auto"/>
            <w:vAlign w:val="center"/>
            <w:hideMark/>
          </w:tcPr>
          <w:p w14:paraId="5B7D6725" w14:textId="372E1427" w:rsidR="00A63F93"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Nominal GDP at </w:t>
            </w:r>
            <w:r w:rsidR="00A63F93">
              <w:rPr>
                <w:rFonts w:ascii="Arial" w:hAnsi="Arial" w:cs="Arial"/>
                <w:b/>
                <w:bCs/>
                <w:color w:val="000000"/>
                <w:sz w:val="18"/>
                <w:szCs w:val="18"/>
                <w:lang w:val="en-GB"/>
              </w:rPr>
              <w:t>C</w:t>
            </w:r>
            <w:r w:rsidRPr="00C273FD">
              <w:rPr>
                <w:rFonts w:ascii="Arial" w:hAnsi="Arial" w:cs="Arial"/>
                <w:b/>
                <w:bCs/>
                <w:color w:val="000000"/>
                <w:sz w:val="18"/>
                <w:szCs w:val="18"/>
                <w:lang w:val="en-GB"/>
              </w:rPr>
              <w:t xml:space="preserve">urrent </w:t>
            </w:r>
            <w:r w:rsidR="00A63F93">
              <w:rPr>
                <w:rFonts w:ascii="Arial" w:hAnsi="Arial" w:cs="Arial"/>
                <w:b/>
                <w:bCs/>
                <w:color w:val="000000"/>
                <w:sz w:val="18"/>
                <w:szCs w:val="18"/>
                <w:lang w:val="en-GB"/>
              </w:rPr>
              <w:t>P</w:t>
            </w:r>
            <w:r w:rsidRPr="00C273FD">
              <w:rPr>
                <w:rFonts w:ascii="Arial" w:hAnsi="Arial" w:cs="Arial"/>
                <w:b/>
                <w:bCs/>
                <w:color w:val="000000"/>
                <w:sz w:val="18"/>
                <w:szCs w:val="18"/>
                <w:lang w:val="en-GB"/>
              </w:rPr>
              <w:t xml:space="preserve">rices </w:t>
            </w:r>
          </w:p>
          <w:p w14:paraId="33122E45" w14:textId="7DC7F9C0" w:rsidR="00221CD1" w:rsidRPr="00C273FD"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(in US</w:t>
            </w:r>
            <w:r w:rsidR="00A63F93">
              <w:rPr>
                <w:rFonts w:ascii="Arial" w:hAnsi="Arial" w:cs="Arial"/>
                <w:b/>
                <w:bCs/>
                <w:color w:val="000000"/>
                <w:sz w:val="18"/>
                <w:szCs w:val="18"/>
                <w:lang w:val="en-GB"/>
              </w:rPr>
              <w:t>$</w:t>
            </w:r>
            <w:r w:rsidRPr="00C273FD">
              <w:rPr>
                <w:rFonts w:ascii="Arial" w:hAnsi="Arial" w:cs="Arial"/>
                <w:b/>
                <w:bCs/>
                <w:color w:val="000000"/>
                <w:sz w:val="18"/>
                <w:szCs w:val="18"/>
                <w:lang w:val="en-GB"/>
              </w:rPr>
              <w:t xml:space="preserve"> billion</w:t>
            </w:r>
            <w:r w:rsidR="00A63F93">
              <w:rPr>
                <w:rFonts w:ascii="Arial" w:hAnsi="Arial" w:cs="Arial"/>
                <w:b/>
                <w:bCs/>
                <w:color w:val="000000"/>
                <w:sz w:val="18"/>
                <w:szCs w:val="18"/>
                <w:lang w:val="en-GB"/>
              </w:rPr>
              <w:t>s</w:t>
            </w:r>
            <w:r w:rsidRPr="00C273FD">
              <w:rPr>
                <w:rFonts w:ascii="Arial" w:hAnsi="Arial" w:cs="Arial"/>
                <w:b/>
                <w:bCs/>
                <w:color w:val="000000"/>
                <w:sz w:val="18"/>
                <w:szCs w:val="18"/>
                <w:lang w:val="en-GB"/>
              </w:rPr>
              <w:t>)</w:t>
            </w:r>
          </w:p>
        </w:tc>
        <w:tc>
          <w:tcPr>
            <w:tcW w:w="1300" w:type="dxa"/>
            <w:shd w:val="clear" w:color="000000" w:fill="FFFFFF"/>
            <w:vAlign w:val="center"/>
            <w:hideMark/>
          </w:tcPr>
          <w:p w14:paraId="5B85D466" w14:textId="57B2DCFA" w:rsidR="00221CD1" w:rsidRPr="00C273FD"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Annual </w:t>
            </w:r>
            <w:r w:rsidR="00A63F93">
              <w:rPr>
                <w:rFonts w:ascii="Arial" w:hAnsi="Arial" w:cs="Arial"/>
                <w:b/>
                <w:bCs/>
                <w:color w:val="000000"/>
                <w:sz w:val="18"/>
                <w:szCs w:val="18"/>
                <w:lang w:val="en-GB"/>
              </w:rPr>
              <w:t xml:space="preserve">GDP </w:t>
            </w:r>
            <w:r w:rsidRPr="00C273FD">
              <w:rPr>
                <w:rFonts w:ascii="Arial" w:hAnsi="Arial" w:cs="Arial"/>
                <w:b/>
                <w:bCs/>
                <w:color w:val="000000"/>
                <w:sz w:val="18"/>
                <w:szCs w:val="18"/>
                <w:lang w:val="en-GB"/>
              </w:rPr>
              <w:t>Growth Rate (</w:t>
            </w:r>
            <w:r w:rsidR="00B50E48" w:rsidRPr="00C273FD">
              <w:rPr>
                <w:rFonts w:ascii="Arial" w:hAnsi="Arial" w:cs="Arial"/>
                <w:b/>
                <w:bCs/>
                <w:color w:val="000000"/>
                <w:sz w:val="18"/>
                <w:szCs w:val="18"/>
                <w:lang w:val="en-GB"/>
              </w:rPr>
              <w:t>per cent</w:t>
            </w:r>
            <w:r w:rsidRPr="00C273FD">
              <w:rPr>
                <w:rFonts w:ascii="Arial" w:hAnsi="Arial" w:cs="Arial"/>
                <w:b/>
                <w:bCs/>
                <w:color w:val="000000"/>
                <w:sz w:val="18"/>
                <w:szCs w:val="18"/>
                <w:lang w:val="en-GB"/>
              </w:rPr>
              <w:t>)</w:t>
            </w:r>
          </w:p>
        </w:tc>
        <w:tc>
          <w:tcPr>
            <w:tcW w:w="1300" w:type="dxa"/>
            <w:shd w:val="clear" w:color="auto" w:fill="auto"/>
            <w:vAlign w:val="center"/>
            <w:hideMark/>
          </w:tcPr>
          <w:p w14:paraId="66DAA62B" w14:textId="03D443DB" w:rsidR="00A63F93"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 GDP per </w:t>
            </w:r>
            <w:r w:rsidR="00A63F93">
              <w:rPr>
                <w:rFonts w:ascii="Arial" w:hAnsi="Arial" w:cs="Arial"/>
                <w:b/>
                <w:bCs/>
                <w:color w:val="000000"/>
                <w:sz w:val="18"/>
                <w:szCs w:val="18"/>
                <w:lang w:val="en-GB"/>
              </w:rPr>
              <w:t>C</w:t>
            </w:r>
            <w:r w:rsidRPr="00C273FD">
              <w:rPr>
                <w:rFonts w:ascii="Arial" w:hAnsi="Arial" w:cs="Arial"/>
                <w:b/>
                <w:bCs/>
                <w:color w:val="000000"/>
                <w:sz w:val="18"/>
                <w:szCs w:val="18"/>
                <w:lang w:val="en-GB"/>
              </w:rPr>
              <w:t xml:space="preserve">apita </w:t>
            </w:r>
          </w:p>
          <w:p w14:paraId="38322F66" w14:textId="013BE4A8" w:rsidR="00221CD1" w:rsidRPr="00C273FD"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w:t>
            </w:r>
            <w:r w:rsidR="00A63F93">
              <w:rPr>
                <w:rFonts w:ascii="Arial" w:hAnsi="Arial" w:cs="Arial"/>
                <w:b/>
                <w:bCs/>
                <w:color w:val="000000"/>
                <w:sz w:val="18"/>
                <w:szCs w:val="18"/>
                <w:lang w:val="en-GB"/>
              </w:rPr>
              <w:t xml:space="preserve">in </w:t>
            </w:r>
            <w:r w:rsidRPr="00C273FD">
              <w:rPr>
                <w:rFonts w:ascii="Arial" w:hAnsi="Arial" w:cs="Arial"/>
                <w:b/>
                <w:bCs/>
                <w:color w:val="000000"/>
                <w:sz w:val="18"/>
                <w:szCs w:val="18"/>
                <w:lang w:val="en-GB"/>
              </w:rPr>
              <w:t>current US</w:t>
            </w:r>
            <w:r w:rsidR="00A63F93">
              <w:rPr>
                <w:rFonts w:ascii="Arial" w:hAnsi="Arial" w:cs="Arial"/>
                <w:b/>
                <w:bCs/>
                <w:color w:val="000000"/>
                <w:sz w:val="18"/>
                <w:szCs w:val="18"/>
                <w:lang w:val="en-GB"/>
              </w:rPr>
              <w:t>$</w:t>
            </w:r>
            <w:r w:rsidRPr="00C273FD">
              <w:rPr>
                <w:rFonts w:ascii="Arial" w:hAnsi="Arial" w:cs="Arial"/>
                <w:b/>
                <w:bCs/>
                <w:color w:val="000000"/>
                <w:sz w:val="18"/>
                <w:szCs w:val="18"/>
                <w:lang w:val="en-GB"/>
              </w:rPr>
              <w:t>)</w:t>
            </w:r>
          </w:p>
        </w:tc>
        <w:tc>
          <w:tcPr>
            <w:tcW w:w="1300" w:type="dxa"/>
            <w:shd w:val="clear" w:color="auto" w:fill="auto"/>
            <w:vAlign w:val="center"/>
            <w:hideMark/>
          </w:tcPr>
          <w:p w14:paraId="6F5A1799" w14:textId="77777777" w:rsidR="00E810EF" w:rsidRDefault="00221CD1"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Rate of Gross Domestic Savings </w:t>
            </w:r>
          </w:p>
          <w:p w14:paraId="78513238" w14:textId="71BFA811" w:rsidR="00221CD1" w:rsidRPr="00C273FD" w:rsidRDefault="00221CD1"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w:t>
            </w:r>
            <w:r w:rsidR="00B50E48" w:rsidRPr="00C273FD">
              <w:rPr>
                <w:rFonts w:ascii="Arial" w:hAnsi="Arial" w:cs="Arial"/>
                <w:b/>
                <w:bCs/>
                <w:color w:val="000000"/>
                <w:sz w:val="18"/>
                <w:szCs w:val="18"/>
                <w:lang w:val="en-GB"/>
              </w:rPr>
              <w:t>per cent</w:t>
            </w:r>
            <w:r w:rsidRPr="00C273FD">
              <w:rPr>
                <w:rFonts w:ascii="Arial" w:hAnsi="Arial" w:cs="Arial"/>
                <w:b/>
                <w:bCs/>
                <w:color w:val="000000"/>
                <w:sz w:val="18"/>
                <w:szCs w:val="18"/>
                <w:lang w:val="en-GB"/>
              </w:rPr>
              <w:t>)</w:t>
            </w:r>
          </w:p>
        </w:tc>
        <w:tc>
          <w:tcPr>
            <w:tcW w:w="1300" w:type="dxa"/>
            <w:shd w:val="clear" w:color="auto" w:fill="auto"/>
            <w:vAlign w:val="center"/>
            <w:hideMark/>
          </w:tcPr>
          <w:p w14:paraId="5E008A33" w14:textId="2AC706BE" w:rsidR="00221CD1" w:rsidRPr="00C273FD"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Rate of Gross </w:t>
            </w:r>
            <w:r w:rsidR="00A63F93">
              <w:rPr>
                <w:rFonts w:ascii="Arial" w:hAnsi="Arial" w:cs="Arial"/>
                <w:b/>
                <w:bCs/>
                <w:color w:val="000000"/>
                <w:sz w:val="18"/>
                <w:szCs w:val="18"/>
                <w:lang w:val="en-GB"/>
              </w:rPr>
              <w:t>D</w:t>
            </w:r>
            <w:r w:rsidRPr="00C273FD">
              <w:rPr>
                <w:rFonts w:ascii="Arial" w:hAnsi="Arial" w:cs="Arial"/>
                <w:b/>
                <w:bCs/>
                <w:color w:val="000000"/>
                <w:sz w:val="18"/>
                <w:szCs w:val="18"/>
                <w:lang w:val="en-GB"/>
              </w:rPr>
              <w:t xml:space="preserve">omestic </w:t>
            </w:r>
            <w:r w:rsidR="00A63F93">
              <w:rPr>
                <w:rFonts w:ascii="Arial" w:hAnsi="Arial" w:cs="Arial"/>
                <w:b/>
                <w:bCs/>
                <w:color w:val="000000"/>
                <w:sz w:val="18"/>
                <w:szCs w:val="18"/>
                <w:lang w:val="en-GB"/>
              </w:rPr>
              <w:t>C</w:t>
            </w:r>
            <w:r w:rsidRPr="00C273FD">
              <w:rPr>
                <w:rFonts w:ascii="Arial" w:hAnsi="Arial" w:cs="Arial"/>
                <w:b/>
                <w:bCs/>
                <w:color w:val="000000"/>
                <w:sz w:val="18"/>
                <w:szCs w:val="18"/>
                <w:lang w:val="en-GB"/>
              </w:rPr>
              <w:t xml:space="preserve">apital </w:t>
            </w:r>
            <w:r w:rsidR="00A63F93">
              <w:rPr>
                <w:rFonts w:ascii="Arial" w:hAnsi="Arial" w:cs="Arial"/>
                <w:b/>
                <w:bCs/>
                <w:color w:val="000000"/>
                <w:sz w:val="18"/>
                <w:szCs w:val="18"/>
                <w:lang w:val="en-GB"/>
              </w:rPr>
              <w:t>F</w:t>
            </w:r>
            <w:r w:rsidRPr="00C273FD">
              <w:rPr>
                <w:rFonts w:ascii="Arial" w:hAnsi="Arial" w:cs="Arial"/>
                <w:b/>
                <w:bCs/>
                <w:color w:val="000000"/>
                <w:sz w:val="18"/>
                <w:szCs w:val="18"/>
                <w:lang w:val="en-GB"/>
              </w:rPr>
              <w:t>ormation (Investment) (</w:t>
            </w:r>
            <w:r w:rsidR="00B50E48" w:rsidRPr="00C273FD">
              <w:rPr>
                <w:rFonts w:ascii="Arial" w:hAnsi="Arial" w:cs="Arial"/>
                <w:b/>
                <w:bCs/>
                <w:color w:val="000000"/>
                <w:sz w:val="18"/>
                <w:szCs w:val="18"/>
                <w:lang w:val="en-GB"/>
              </w:rPr>
              <w:t>per cent</w:t>
            </w:r>
            <w:r w:rsidRPr="00C273FD">
              <w:rPr>
                <w:rFonts w:ascii="Arial" w:hAnsi="Arial" w:cs="Arial"/>
                <w:b/>
                <w:bCs/>
                <w:color w:val="000000"/>
                <w:sz w:val="18"/>
                <w:szCs w:val="18"/>
                <w:lang w:val="en-GB"/>
              </w:rPr>
              <w:t>)</w:t>
            </w:r>
          </w:p>
        </w:tc>
        <w:tc>
          <w:tcPr>
            <w:tcW w:w="1300" w:type="dxa"/>
            <w:shd w:val="clear" w:color="auto" w:fill="auto"/>
            <w:noWrap/>
            <w:vAlign w:val="center"/>
            <w:hideMark/>
          </w:tcPr>
          <w:p w14:paraId="55C2AA1B" w14:textId="170C3E21" w:rsidR="00221CD1" w:rsidRPr="00C273FD" w:rsidRDefault="00221CD1" w:rsidP="00A63F9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S</w:t>
            </w:r>
            <w:r w:rsidR="00A63F93">
              <w:rPr>
                <w:rFonts w:ascii="Arial" w:hAnsi="Arial" w:cs="Arial"/>
                <w:b/>
                <w:bCs/>
                <w:color w:val="000000"/>
                <w:sz w:val="18"/>
                <w:szCs w:val="18"/>
                <w:lang w:val="en-GB"/>
              </w:rPr>
              <w:t>–</w:t>
            </w:r>
            <w:r w:rsidRPr="00C273FD">
              <w:rPr>
                <w:rFonts w:ascii="Arial" w:hAnsi="Arial" w:cs="Arial"/>
                <w:b/>
                <w:bCs/>
                <w:color w:val="000000"/>
                <w:sz w:val="18"/>
                <w:szCs w:val="18"/>
                <w:lang w:val="en-GB"/>
              </w:rPr>
              <w:t xml:space="preserve">I </w:t>
            </w:r>
            <w:r w:rsidR="00A63F93">
              <w:rPr>
                <w:rFonts w:ascii="Arial" w:hAnsi="Arial" w:cs="Arial"/>
                <w:b/>
                <w:bCs/>
                <w:color w:val="000000"/>
                <w:sz w:val="18"/>
                <w:szCs w:val="18"/>
                <w:lang w:val="en-GB"/>
              </w:rPr>
              <w:t>G</w:t>
            </w:r>
            <w:r w:rsidRPr="00C273FD">
              <w:rPr>
                <w:rFonts w:ascii="Arial" w:hAnsi="Arial" w:cs="Arial"/>
                <w:b/>
                <w:bCs/>
                <w:color w:val="000000"/>
                <w:sz w:val="18"/>
                <w:szCs w:val="18"/>
                <w:lang w:val="en-GB"/>
              </w:rPr>
              <w:t>ap</w:t>
            </w:r>
          </w:p>
        </w:tc>
      </w:tr>
      <w:tr w:rsidR="00221CD1" w:rsidRPr="00C273FD" w14:paraId="6B864860" w14:textId="77777777" w:rsidTr="00E2275D">
        <w:trPr>
          <w:trHeight w:val="170"/>
          <w:jc w:val="center"/>
        </w:trPr>
        <w:tc>
          <w:tcPr>
            <w:tcW w:w="1300" w:type="dxa"/>
            <w:shd w:val="clear" w:color="000000" w:fill="FFFFFF"/>
            <w:vAlign w:val="center"/>
            <w:hideMark/>
          </w:tcPr>
          <w:p w14:paraId="57EDA277" w14:textId="4BB8386D"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1990</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91</w:t>
            </w:r>
          </w:p>
        </w:tc>
        <w:tc>
          <w:tcPr>
            <w:tcW w:w="1300" w:type="dxa"/>
            <w:shd w:val="clear" w:color="auto" w:fill="auto"/>
            <w:noWrap/>
            <w:vAlign w:val="center"/>
            <w:hideMark/>
          </w:tcPr>
          <w:p w14:paraId="527E87CB"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280.88</w:t>
            </w:r>
          </w:p>
        </w:tc>
        <w:tc>
          <w:tcPr>
            <w:tcW w:w="1300" w:type="dxa"/>
            <w:shd w:val="clear" w:color="000000" w:fill="FFFFFF"/>
            <w:noWrap/>
            <w:vAlign w:val="center"/>
            <w:hideMark/>
          </w:tcPr>
          <w:p w14:paraId="5B2C6B68"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5.3</w:t>
            </w:r>
          </w:p>
        </w:tc>
        <w:tc>
          <w:tcPr>
            <w:tcW w:w="1300" w:type="dxa"/>
            <w:shd w:val="clear" w:color="auto" w:fill="auto"/>
            <w:noWrap/>
            <w:vAlign w:val="center"/>
            <w:hideMark/>
          </w:tcPr>
          <w:p w14:paraId="52216DDD"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309.33</w:t>
            </w:r>
          </w:p>
        </w:tc>
        <w:tc>
          <w:tcPr>
            <w:tcW w:w="1300" w:type="dxa"/>
            <w:shd w:val="clear" w:color="auto" w:fill="auto"/>
            <w:noWrap/>
            <w:vAlign w:val="center"/>
            <w:hideMark/>
          </w:tcPr>
          <w:p w14:paraId="6780A581"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22.9</w:t>
            </w:r>
          </w:p>
        </w:tc>
        <w:tc>
          <w:tcPr>
            <w:tcW w:w="1300" w:type="dxa"/>
            <w:shd w:val="clear" w:color="auto" w:fill="auto"/>
            <w:noWrap/>
            <w:vAlign w:val="center"/>
            <w:hideMark/>
          </w:tcPr>
          <w:p w14:paraId="4D5A271F" w14:textId="7B61CCB9"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26</w:t>
            </w:r>
            <w:r w:rsidR="005F4E36">
              <w:rPr>
                <w:rFonts w:ascii="Arial" w:hAnsi="Arial" w:cs="Arial"/>
                <w:color w:val="000000"/>
                <w:sz w:val="18"/>
                <w:szCs w:val="18"/>
                <w:lang w:val="en-GB"/>
              </w:rPr>
              <w:t>.0</w:t>
            </w:r>
          </w:p>
        </w:tc>
        <w:tc>
          <w:tcPr>
            <w:tcW w:w="1300" w:type="dxa"/>
            <w:shd w:val="clear" w:color="auto" w:fill="auto"/>
            <w:noWrap/>
            <w:vAlign w:val="center"/>
            <w:hideMark/>
          </w:tcPr>
          <w:p w14:paraId="169BA143" w14:textId="75598F87"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3.1</w:t>
            </w:r>
          </w:p>
        </w:tc>
      </w:tr>
      <w:tr w:rsidR="00221CD1" w:rsidRPr="00C273FD" w14:paraId="4582536D" w14:textId="77777777" w:rsidTr="00E2275D">
        <w:trPr>
          <w:trHeight w:val="102"/>
          <w:jc w:val="center"/>
        </w:trPr>
        <w:tc>
          <w:tcPr>
            <w:tcW w:w="1300" w:type="dxa"/>
            <w:shd w:val="clear" w:color="000000" w:fill="FFFFFF"/>
            <w:vAlign w:val="center"/>
            <w:hideMark/>
          </w:tcPr>
          <w:p w14:paraId="19937E31" w14:textId="07E41765"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1991</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92</w:t>
            </w:r>
          </w:p>
        </w:tc>
        <w:tc>
          <w:tcPr>
            <w:tcW w:w="1300" w:type="dxa"/>
            <w:shd w:val="clear" w:color="auto" w:fill="auto"/>
            <w:noWrap/>
            <w:vAlign w:val="center"/>
            <w:hideMark/>
          </w:tcPr>
          <w:p w14:paraId="4A5CE642"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282.08</w:t>
            </w:r>
          </w:p>
        </w:tc>
        <w:tc>
          <w:tcPr>
            <w:tcW w:w="1300" w:type="dxa"/>
            <w:shd w:val="clear" w:color="000000" w:fill="FFFFFF"/>
            <w:noWrap/>
            <w:vAlign w:val="center"/>
            <w:hideMark/>
          </w:tcPr>
          <w:p w14:paraId="68FA3E40"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1.4</w:t>
            </w:r>
          </w:p>
        </w:tc>
        <w:tc>
          <w:tcPr>
            <w:tcW w:w="1300" w:type="dxa"/>
            <w:shd w:val="clear" w:color="auto" w:fill="auto"/>
            <w:noWrap/>
            <w:vAlign w:val="center"/>
            <w:hideMark/>
          </w:tcPr>
          <w:p w14:paraId="63331A01"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323.53</w:t>
            </w:r>
          </w:p>
        </w:tc>
        <w:tc>
          <w:tcPr>
            <w:tcW w:w="1300" w:type="dxa"/>
            <w:shd w:val="clear" w:color="auto" w:fill="auto"/>
            <w:noWrap/>
            <w:vAlign w:val="center"/>
            <w:hideMark/>
          </w:tcPr>
          <w:p w14:paraId="3A7982C3"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21.3</w:t>
            </w:r>
          </w:p>
        </w:tc>
        <w:tc>
          <w:tcPr>
            <w:tcW w:w="1300" w:type="dxa"/>
            <w:shd w:val="clear" w:color="auto" w:fill="auto"/>
            <w:noWrap/>
            <w:vAlign w:val="center"/>
            <w:hideMark/>
          </w:tcPr>
          <w:p w14:paraId="629A49FB"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21.8</w:t>
            </w:r>
          </w:p>
        </w:tc>
        <w:tc>
          <w:tcPr>
            <w:tcW w:w="1300" w:type="dxa"/>
            <w:shd w:val="clear" w:color="auto" w:fill="auto"/>
            <w:noWrap/>
            <w:vAlign w:val="center"/>
            <w:hideMark/>
          </w:tcPr>
          <w:p w14:paraId="5415058A" w14:textId="54624027"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0.5</w:t>
            </w:r>
          </w:p>
        </w:tc>
      </w:tr>
      <w:tr w:rsidR="00221CD1" w:rsidRPr="00C273FD" w14:paraId="1F51924F" w14:textId="77777777" w:rsidTr="00E2275D">
        <w:trPr>
          <w:trHeight w:val="40"/>
          <w:jc w:val="center"/>
        </w:trPr>
        <w:tc>
          <w:tcPr>
            <w:tcW w:w="1300" w:type="dxa"/>
            <w:shd w:val="clear" w:color="000000" w:fill="FFFFFF"/>
            <w:vAlign w:val="center"/>
            <w:hideMark/>
          </w:tcPr>
          <w:p w14:paraId="33C763B3" w14:textId="5843F66D"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2000</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01</w:t>
            </w:r>
          </w:p>
        </w:tc>
        <w:tc>
          <w:tcPr>
            <w:tcW w:w="1300" w:type="dxa"/>
            <w:shd w:val="clear" w:color="auto" w:fill="auto"/>
            <w:noWrap/>
            <w:vAlign w:val="center"/>
            <w:hideMark/>
          </w:tcPr>
          <w:p w14:paraId="0348A179" w14:textId="71F7D748"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468.3</w:t>
            </w:r>
            <w:r w:rsidR="005F4E36">
              <w:rPr>
                <w:rFonts w:ascii="Arial" w:hAnsi="Arial" w:cs="Arial"/>
                <w:color w:val="000000"/>
                <w:sz w:val="18"/>
                <w:szCs w:val="18"/>
                <w:lang w:val="en-GB"/>
              </w:rPr>
              <w:t>0</w:t>
            </w:r>
          </w:p>
        </w:tc>
        <w:tc>
          <w:tcPr>
            <w:tcW w:w="1300" w:type="dxa"/>
            <w:shd w:val="clear" w:color="000000" w:fill="FFFFFF"/>
            <w:noWrap/>
            <w:vAlign w:val="center"/>
            <w:hideMark/>
          </w:tcPr>
          <w:p w14:paraId="14675176"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4.1</w:t>
            </w:r>
          </w:p>
        </w:tc>
        <w:tc>
          <w:tcPr>
            <w:tcW w:w="1300" w:type="dxa"/>
            <w:shd w:val="clear" w:color="auto" w:fill="auto"/>
            <w:noWrap/>
            <w:vAlign w:val="center"/>
            <w:hideMark/>
          </w:tcPr>
          <w:p w14:paraId="5AACDFAE"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460.83</w:t>
            </w:r>
          </w:p>
        </w:tc>
        <w:tc>
          <w:tcPr>
            <w:tcW w:w="1300" w:type="dxa"/>
            <w:shd w:val="clear" w:color="auto" w:fill="auto"/>
            <w:noWrap/>
            <w:vAlign w:val="center"/>
            <w:hideMark/>
          </w:tcPr>
          <w:p w14:paraId="350DEF74"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23.7</w:t>
            </w:r>
          </w:p>
        </w:tc>
        <w:tc>
          <w:tcPr>
            <w:tcW w:w="1300" w:type="dxa"/>
            <w:shd w:val="clear" w:color="auto" w:fill="auto"/>
            <w:noWrap/>
            <w:vAlign w:val="center"/>
            <w:hideMark/>
          </w:tcPr>
          <w:p w14:paraId="72A7F56D"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24.3</w:t>
            </w:r>
          </w:p>
        </w:tc>
        <w:tc>
          <w:tcPr>
            <w:tcW w:w="1300" w:type="dxa"/>
            <w:shd w:val="clear" w:color="auto" w:fill="auto"/>
            <w:noWrap/>
            <w:vAlign w:val="center"/>
            <w:hideMark/>
          </w:tcPr>
          <w:p w14:paraId="307F50F5" w14:textId="4251A0C5"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0.6</w:t>
            </w:r>
          </w:p>
        </w:tc>
      </w:tr>
      <w:tr w:rsidR="00221CD1" w:rsidRPr="00C273FD" w14:paraId="1CC907A4" w14:textId="77777777" w:rsidTr="00E2275D">
        <w:trPr>
          <w:trHeight w:val="94"/>
          <w:jc w:val="center"/>
        </w:trPr>
        <w:tc>
          <w:tcPr>
            <w:tcW w:w="1300" w:type="dxa"/>
            <w:shd w:val="clear" w:color="000000" w:fill="FFFFFF"/>
            <w:vAlign w:val="center"/>
            <w:hideMark/>
          </w:tcPr>
          <w:p w14:paraId="1766A93C" w14:textId="509171FE"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2001</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02</w:t>
            </w:r>
          </w:p>
        </w:tc>
        <w:tc>
          <w:tcPr>
            <w:tcW w:w="1300" w:type="dxa"/>
            <w:shd w:val="clear" w:color="auto" w:fill="auto"/>
            <w:noWrap/>
            <w:vAlign w:val="center"/>
            <w:hideMark/>
          </w:tcPr>
          <w:p w14:paraId="58770FAE"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489.61</w:t>
            </w:r>
          </w:p>
        </w:tc>
        <w:tc>
          <w:tcPr>
            <w:tcW w:w="1300" w:type="dxa"/>
            <w:shd w:val="clear" w:color="000000" w:fill="FFFFFF"/>
            <w:noWrap/>
            <w:vAlign w:val="center"/>
            <w:hideMark/>
          </w:tcPr>
          <w:p w14:paraId="6AA1587B"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5.4</w:t>
            </w:r>
          </w:p>
        </w:tc>
        <w:tc>
          <w:tcPr>
            <w:tcW w:w="1300" w:type="dxa"/>
            <w:shd w:val="clear" w:color="auto" w:fill="auto"/>
            <w:noWrap/>
            <w:vAlign w:val="center"/>
            <w:hideMark/>
          </w:tcPr>
          <w:p w14:paraId="4ACC5175"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480.26</w:t>
            </w:r>
          </w:p>
        </w:tc>
        <w:tc>
          <w:tcPr>
            <w:tcW w:w="1300" w:type="dxa"/>
            <w:shd w:val="clear" w:color="auto" w:fill="auto"/>
            <w:noWrap/>
            <w:vAlign w:val="center"/>
            <w:hideMark/>
          </w:tcPr>
          <w:p w14:paraId="1B5DC920"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24.8</w:t>
            </w:r>
          </w:p>
        </w:tc>
        <w:tc>
          <w:tcPr>
            <w:tcW w:w="1300" w:type="dxa"/>
            <w:shd w:val="clear" w:color="auto" w:fill="auto"/>
            <w:noWrap/>
            <w:vAlign w:val="center"/>
            <w:hideMark/>
          </w:tcPr>
          <w:p w14:paraId="77F99F5F"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24.2</w:t>
            </w:r>
          </w:p>
        </w:tc>
        <w:tc>
          <w:tcPr>
            <w:tcW w:w="1300" w:type="dxa"/>
            <w:shd w:val="clear" w:color="auto" w:fill="auto"/>
            <w:noWrap/>
            <w:vAlign w:val="center"/>
            <w:hideMark/>
          </w:tcPr>
          <w:p w14:paraId="3E63FC0B" w14:textId="77777777" w:rsidR="00221CD1" w:rsidRPr="00C273FD" w:rsidRDefault="00221CD1" w:rsidP="00640722">
            <w:pPr>
              <w:tabs>
                <w:tab w:val="decimal" w:pos="609"/>
              </w:tabs>
              <w:rPr>
                <w:rFonts w:ascii="Arial" w:hAnsi="Arial" w:cs="Arial"/>
                <w:color w:val="000000"/>
                <w:sz w:val="18"/>
                <w:szCs w:val="18"/>
                <w:lang w:val="en-GB"/>
              </w:rPr>
            </w:pPr>
            <w:r w:rsidRPr="00C273FD">
              <w:rPr>
                <w:rFonts w:ascii="Arial" w:hAnsi="Arial" w:cs="Arial"/>
                <w:color w:val="000000"/>
                <w:sz w:val="18"/>
                <w:szCs w:val="18"/>
                <w:lang w:val="en-GB"/>
              </w:rPr>
              <w:t>0.6</w:t>
            </w:r>
          </w:p>
        </w:tc>
      </w:tr>
      <w:tr w:rsidR="00221CD1" w:rsidRPr="00C273FD" w14:paraId="5D8B8155" w14:textId="77777777" w:rsidTr="00E2275D">
        <w:trPr>
          <w:trHeight w:val="154"/>
          <w:jc w:val="center"/>
        </w:trPr>
        <w:tc>
          <w:tcPr>
            <w:tcW w:w="1300" w:type="dxa"/>
            <w:shd w:val="clear" w:color="000000" w:fill="FFFFFF"/>
            <w:vAlign w:val="center"/>
            <w:hideMark/>
          </w:tcPr>
          <w:p w14:paraId="6736E9A7" w14:textId="76CF0199"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2002</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03</w:t>
            </w:r>
          </w:p>
        </w:tc>
        <w:tc>
          <w:tcPr>
            <w:tcW w:w="1300" w:type="dxa"/>
            <w:shd w:val="clear" w:color="auto" w:fill="auto"/>
            <w:noWrap/>
            <w:vAlign w:val="center"/>
            <w:hideMark/>
          </w:tcPr>
          <w:p w14:paraId="40AEAC05"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573.37</w:t>
            </w:r>
          </w:p>
        </w:tc>
        <w:tc>
          <w:tcPr>
            <w:tcW w:w="1300" w:type="dxa"/>
            <w:shd w:val="clear" w:color="000000" w:fill="FFFFFF"/>
            <w:noWrap/>
            <w:vAlign w:val="center"/>
            <w:hideMark/>
          </w:tcPr>
          <w:p w14:paraId="080A1B6E"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3.9</w:t>
            </w:r>
          </w:p>
        </w:tc>
        <w:tc>
          <w:tcPr>
            <w:tcW w:w="1300" w:type="dxa"/>
            <w:shd w:val="clear" w:color="auto" w:fill="auto"/>
            <w:noWrap/>
            <w:vAlign w:val="center"/>
            <w:hideMark/>
          </w:tcPr>
          <w:p w14:paraId="06CAF5C0" w14:textId="6EA0D0C5"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557.9</w:t>
            </w:r>
            <w:r w:rsidR="005F4E36">
              <w:rPr>
                <w:rFonts w:ascii="Arial" w:hAnsi="Arial" w:cs="Arial"/>
                <w:color w:val="000000"/>
                <w:sz w:val="18"/>
                <w:szCs w:val="18"/>
                <w:lang w:val="en-GB"/>
              </w:rPr>
              <w:t>0</w:t>
            </w:r>
          </w:p>
        </w:tc>
        <w:tc>
          <w:tcPr>
            <w:tcW w:w="1300" w:type="dxa"/>
            <w:shd w:val="clear" w:color="auto" w:fill="auto"/>
            <w:noWrap/>
            <w:vAlign w:val="center"/>
            <w:hideMark/>
          </w:tcPr>
          <w:p w14:paraId="33426F5D"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25.9</w:t>
            </w:r>
          </w:p>
        </w:tc>
        <w:tc>
          <w:tcPr>
            <w:tcW w:w="1300" w:type="dxa"/>
            <w:shd w:val="clear" w:color="auto" w:fill="auto"/>
            <w:noWrap/>
            <w:vAlign w:val="center"/>
            <w:hideMark/>
          </w:tcPr>
          <w:p w14:paraId="16B7077F"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24.8</w:t>
            </w:r>
          </w:p>
        </w:tc>
        <w:tc>
          <w:tcPr>
            <w:tcW w:w="1300" w:type="dxa"/>
            <w:shd w:val="clear" w:color="auto" w:fill="auto"/>
            <w:noWrap/>
            <w:vAlign w:val="center"/>
            <w:hideMark/>
          </w:tcPr>
          <w:p w14:paraId="06A75C45" w14:textId="77777777" w:rsidR="00221CD1" w:rsidRPr="00C273FD" w:rsidRDefault="00221CD1" w:rsidP="00640722">
            <w:pPr>
              <w:tabs>
                <w:tab w:val="decimal" w:pos="609"/>
              </w:tabs>
              <w:rPr>
                <w:rFonts w:ascii="Arial" w:hAnsi="Arial" w:cs="Arial"/>
                <w:color w:val="000000"/>
                <w:sz w:val="18"/>
                <w:szCs w:val="18"/>
                <w:lang w:val="en-GB"/>
              </w:rPr>
            </w:pPr>
            <w:r w:rsidRPr="00C273FD">
              <w:rPr>
                <w:rFonts w:ascii="Arial" w:hAnsi="Arial" w:cs="Arial"/>
                <w:color w:val="000000"/>
                <w:sz w:val="18"/>
                <w:szCs w:val="18"/>
                <w:lang w:val="en-GB"/>
              </w:rPr>
              <w:t>1.1</w:t>
            </w:r>
          </w:p>
        </w:tc>
      </w:tr>
      <w:tr w:rsidR="00221CD1" w:rsidRPr="00C273FD" w14:paraId="0AE99063" w14:textId="77777777" w:rsidTr="00E2275D">
        <w:trPr>
          <w:trHeight w:val="86"/>
          <w:jc w:val="center"/>
        </w:trPr>
        <w:tc>
          <w:tcPr>
            <w:tcW w:w="1300" w:type="dxa"/>
            <w:shd w:val="clear" w:color="000000" w:fill="FFFFFF"/>
            <w:vAlign w:val="center"/>
            <w:hideMark/>
          </w:tcPr>
          <w:p w14:paraId="4BED718B" w14:textId="7E7D5319" w:rsidR="00221CD1" w:rsidRPr="00C273FD" w:rsidRDefault="00C273FD"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2003</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04</w:t>
            </w:r>
          </w:p>
        </w:tc>
        <w:tc>
          <w:tcPr>
            <w:tcW w:w="1300" w:type="dxa"/>
            <w:shd w:val="clear" w:color="auto" w:fill="auto"/>
            <w:noWrap/>
            <w:vAlign w:val="center"/>
            <w:hideMark/>
          </w:tcPr>
          <w:p w14:paraId="6F29CF43"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693.73</w:t>
            </w:r>
          </w:p>
        </w:tc>
        <w:tc>
          <w:tcPr>
            <w:tcW w:w="1300" w:type="dxa"/>
            <w:shd w:val="clear" w:color="000000" w:fill="FFFFFF"/>
            <w:noWrap/>
            <w:vAlign w:val="center"/>
            <w:hideMark/>
          </w:tcPr>
          <w:p w14:paraId="32014184" w14:textId="74635435"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8</w:t>
            </w:r>
            <w:r w:rsidR="005F4E36">
              <w:rPr>
                <w:rFonts w:ascii="Arial" w:hAnsi="Arial" w:cs="Arial"/>
                <w:color w:val="000000"/>
                <w:sz w:val="18"/>
                <w:szCs w:val="18"/>
                <w:lang w:val="en-GB"/>
              </w:rPr>
              <w:t>.0</w:t>
            </w:r>
          </w:p>
        </w:tc>
        <w:tc>
          <w:tcPr>
            <w:tcW w:w="1300" w:type="dxa"/>
            <w:shd w:val="clear" w:color="auto" w:fill="auto"/>
            <w:noWrap/>
            <w:vAlign w:val="center"/>
            <w:hideMark/>
          </w:tcPr>
          <w:p w14:paraId="753B2850" w14:textId="2A7612FF"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640.6</w:t>
            </w:r>
            <w:r w:rsidR="005F4E36">
              <w:rPr>
                <w:rFonts w:ascii="Arial" w:hAnsi="Arial" w:cs="Arial"/>
                <w:color w:val="000000"/>
                <w:sz w:val="18"/>
                <w:szCs w:val="18"/>
                <w:lang w:val="en-GB"/>
              </w:rPr>
              <w:t>0</w:t>
            </w:r>
          </w:p>
        </w:tc>
        <w:tc>
          <w:tcPr>
            <w:tcW w:w="1300" w:type="dxa"/>
            <w:shd w:val="clear" w:color="auto" w:fill="auto"/>
            <w:noWrap/>
            <w:vAlign w:val="center"/>
            <w:hideMark/>
          </w:tcPr>
          <w:p w14:paraId="79866A36" w14:textId="0171875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29</w:t>
            </w:r>
            <w:r w:rsidR="005F4E36">
              <w:rPr>
                <w:rFonts w:ascii="Arial" w:hAnsi="Arial" w:cs="Arial"/>
                <w:color w:val="000000"/>
                <w:sz w:val="18"/>
                <w:szCs w:val="18"/>
                <w:lang w:val="en-GB"/>
              </w:rPr>
              <w:t>.0</w:t>
            </w:r>
          </w:p>
        </w:tc>
        <w:tc>
          <w:tcPr>
            <w:tcW w:w="1300" w:type="dxa"/>
            <w:shd w:val="clear" w:color="auto" w:fill="auto"/>
            <w:noWrap/>
            <w:vAlign w:val="center"/>
            <w:hideMark/>
          </w:tcPr>
          <w:p w14:paraId="34A5A236"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26.8</w:t>
            </w:r>
          </w:p>
        </w:tc>
        <w:tc>
          <w:tcPr>
            <w:tcW w:w="1300" w:type="dxa"/>
            <w:shd w:val="clear" w:color="auto" w:fill="auto"/>
            <w:noWrap/>
            <w:vAlign w:val="center"/>
            <w:hideMark/>
          </w:tcPr>
          <w:p w14:paraId="514CD08D" w14:textId="77777777" w:rsidR="00221CD1" w:rsidRPr="00C273FD" w:rsidRDefault="00221CD1" w:rsidP="00640722">
            <w:pPr>
              <w:tabs>
                <w:tab w:val="decimal" w:pos="609"/>
              </w:tabs>
              <w:rPr>
                <w:rFonts w:ascii="Arial" w:hAnsi="Arial" w:cs="Arial"/>
                <w:color w:val="000000"/>
                <w:sz w:val="18"/>
                <w:szCs w:val="18"/>
                <w:lang w:val="en-GB"/>
              </w:rPr>
            </w:pPr>
            <w:r w:rsidRPr="00C273FD">
              <w:rPr>
                <w:rFonts w:ascii="Arial" w:hAnsi="Arial" w:cs="Arial"/>
                <w:color w:val="000000"/>
                <w:sz w:val="18"/>
                <w:szCs w:val="18"/>
                <w:lang w:val="en-GB"/>
              </w:rPr>
              <w:t>2.2</w:t>
            </w:r>
          </w:p>
        </w:tc>
      </w:tr>
      <w:tr w:rsidR="00221CD1" w:rsidRPr="00C273FD" w14:paraId="69354C80" w14:textId="77777777" w:rsidTr="00E2275D">
        <w:trPr>
          <w:trHeight w:val="146"/>
          <w:jc w:val="center"/>
        </w:trPr>
        <w:tc>
          <w:tcPr>
            <w:tcW w:w="1300" w:type="dxa"/>
            <w:shd w:val="clear" w:color="000000" w:fill="FFFFFF"/>
            <w:vAlign w:val="center"/>
            <w:hideMark/>
          </w:tcPr>
          <w:p w14:paraId="3D54CD4D" w14:textId="28E9E47D"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2004</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05</w:t>
            </w:r>
          </w:p>
        </w:tc>
        <w:tc>
          <w:tcPr>
            <w:tcW w:w="1300" w:type="dxa"/>
            <w:shd w:val="clear" w:color="auto" w:fill="auto"/>
            <w:noWrap/>
            <w:vAlign w:val="center"/>
            <w:hideMark/>
          </w:tcPr>
          <w:p w14:paraId="7954EAAC"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812.06</w:t>
            </w:r>
          </w:p>
        </w:tc>
        <w:tc>
          <w:tcPr>
            <w:tcW w:w="1300" w:type="dxa"/>
            <w:shd w:val="clear" w:color="000000" w:fill="FFFFFF"/>
            <w:noWrap/>
            <w:vAlign w:val="center"/>
            <w:hideMark/>
          </w:tcPr>
          <w:p w14:paraId="49BBB14F"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7.1</w:t>
            </w:r>
          </w:p>
        </w:tc>
        <w:tc>
          <w:tcPr>
            <w:tcW w:w="1300" w:type="dxa"/>
            <w:shd w:val="clear" w:color="auto" w:fill="auto"/>
            <w:noWrap/>
            <w:vAlign w:val="center"/>
            <w:hideMark/>
          </w:tcPr>
          <w:p w14:paraId="408E0209" w14:textId="21A268F2"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729</w:t>
            </w:r>
            <w:r w:rsidR="005F4E36">
              <w:rPr>
                <w:rFonts w:ascii="Arial" w:hAnsi="Arial" w:cs="Arial"/>
                <w:color w:val="000000"/>
                <w:sz w:val="18"/>
                <w:szCs w:val="18"/>
                <w:lang w:val="en-GB"/>
              </w:rPr>
              <w:t>.00</w:t>
            </w:r>
          </w:p>
        </w:tc>
        <w:tc>
          <w:tcPr>
            <w:tcW w:w="1300" w:type="dxa"/>
            <w:shd w:val="clear" w:color="auto" w:fill="auto"/>
            <w:noWrap/>
            <w:vAlign w:val="center"/>
            <w:hideMark/>
          </w:tcPr>
          <w:p w14:paraId="22F0E10C"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32.4</w:t>
            </w:r>
          </w:p>
        </w:tc>
        <w:tc>
          <w:tcPr>
            <w:tcW w:w="1300" w:type="dxa"/>
            <w:shd w:val="clear" w:color="auto" w:fill="auto"/>
            <w:noWrap/>
            <w:vAlign w:val="center"/>
            <w:hideMark/>
          </w:tcPr>
          <w:p w14:paraId="0DF651AB"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32.8</w:t>
            </w:r>
          </w:p>
        </w:tc>
        <w:tc>
          <w:tcPr>
            <w:tcW w:w="1300" w:type="dxa"/>
            <w:shd w:val="clear" w:color="auto" w:fill="auto"/>
            <w:noWrap/>
            <w:vAlign w:val="center"/>
            <w:hideMark/>
          </w:tcPr>
          <w:p w14:paraId="3DA7CB76" w14:textId="2FEF535F"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0.4</w:t>
            </w:r>
          </w:p>
        </w:tc>
      </w:tr>
      <w:tr w:rsidR="00221CD1" w:rsidRPr="00C273FD" w14:paraId="00805899" w14:textId="77777777" w:rsidTr="00E2275D">
        <w:trPr>
          <w:trHeight w:val="64"/>
          <w:jc w:val="center"/>
        </w:trPr>
        <w:tc>
          <w:tcPr>
            <w:tcW w:w="1300" w:type="dxa"/>
            <w:shd w:val="clear" w:color="000000" w:fill="FFFFFF"/>
            <w:vAlign w:val="center"/>
            <w:hideMark/>
          </w:tcPr>
          <w:p w14:paraId="3CC4B426" w14:textId="0B5E33B0"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2007</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08</w:t>
            </w:r>
          </w:p>
        </w:tc>
        <w:tc>
          <w:tcPr>
            <w:tcW w:w="1300" w:type="dxa"/>
            <w:shd w:val="clear" w:color="auto" w:fill="auto"/>
            <w:noWrap/>
            <w:vAlign w:val="center"/>
            <w:hideMark/>
          </w:tcPr>
          <w:p w14:paraId="613FF3FD" w14:textId="4C0AD71F"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1</w:t>
            </w:r>
            <w:r w:rsidR="007D47A9">
              <w:rPr>
                <w:rFonts w:ascii="Arial" w:hAnsi="Arial" w:cs="Arial"/>
                <w:color w:val="000000"/>
                <w:sz w:val="18"/>
                <w:szCs w:val="18"/>
                <w:lang w:val="en-GB"/>
              </w:rPr>
              <w:t>,</w:t>
            </w:r>
            <w:r w:rsidRPr="00C273FD">
              <w:rPr>
                <w:rFonts w:ascii="Arial" w:hAnsi="Arial" w:cs="Arial"/>
                <w:color w:val="000000"/>
                <w:sz w:val="18"/>
                <w:szCs w:val="18"/>
                <w:lang w:val="en-GB"/>
              </w:rPr>
              <w:t>254.8</w:t>
            </w:r>
            <w:r w:rsidR="005F4E36">
              <w:rPr>
                <w:rFonts w:ascii="Arial" w:hAnsi="Arial" w:cs="Arial"/>
                <w:color w:val="000000"/>
                <w:sz w:val="18"/>
                <w:szCs w:val="18"/>
                <w:lang w:val="en-GB"/>
              </w:rPr>
              <w:t>0</w:t>
            </w:r>
          </w:p>
        </w:tc>
        <w:tc>
          <w:tcPr>
            <w:tcW w:w="1300" w:type="dxa"/>
            <w:shd w:val="clear" w:color="000000" w:fill="FFFFFF"/>
            <w:noWrap/>
            <w:vAlign w:val="center"/>
            <w:hideMark/>
          </w:tcPr>
          <w:p w14:paraId="6D80171C"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9.3</w:t>
            </w:r>
          </w:p>
        </w:tc>
        <w:tc>
          <w:tcPr>
            <w:tcW w:w="1300" w:type="dxa"/>
            <w:shd w:val="clear" w:color="auto" w:fill="auto"/>
            <w:noWrap/>
            <w:vAlign w:val="center"/>
            <w:hideMark/>
          </w:tcPr>
          <w:p w14:paraId="66038415"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991.52</w:t>
            </w:r>
          </w:p>
        </w:tc>
        <w:tc>
          <w:tcPr>
            <w:tcW w:w="1300" w:type="dxa"/>
            <w:shd w:val="clear" w:color="auto" w:fill="auto"/>
            <w:noWrap/>
            <w:vAlign w:val="center"/>
            <w:hideMark/>
          </w:tcPr>
          <w:p w14:paraId="2FEEFDA9"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36.8</w:t>
            </w:r>
          </w:p>
        </w:tc>
        <w:tc>
          <w:tcPr>
            <w:tcW w:w="1300" w:type="dxa"/>
            <w:shd w:val="clear" w:color="auto" w:fill="auto"/>
            <w:noWrap/>
            <w:vAlign w:val="center"/>
            <w:hideMark/>
          </w:tcPr>
          <w:p w14:paraId="7E8602AC"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38.1</w:t>
            </w:r>
          </w:p>
        </w:tc>
        <w:tc>
          <w:tcPr>
            <w:tcW w:w="1300" w:type="dxa"/>
            <w:shd w:val="clear" w:color="auto" w:fill="auto"/>
            <w:noWrap/>
            <w:vAlign w:val="center"/>
            <w:hideMark/>
          </w:tcPr>
          <w:p w14:paraId="76218F38" w14:textId="37F1A80D"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1.3</w:t>
            </w:r>
          </w:p>
        </w:tc>
      </w:tr>
      <w:tr w:rsidR="00221CD1" w:rsidRPr="00C273FD" w14:paraId="54DA7E73" w14:textId="77777777" w:rsidTr="00E2275D">
        <w:trPr>
          <w:trHeight w:val="138"/>
          <w:jc w:val="center"/>
        </w:trPr>
        <w:tc>
          <w:tcPr>
            <w:tcW w:w="1300" w:type="dxa"/>
            <w:shd w:val="clear" w:color="000000" w:fill="FFFFFF"/>
            <w:vAlign w:val="center"/>
            <w:hideMark/>
          </w:tcPr>
          <w:p w14:paraId="56D3A5CB" w14:textId="4CC8CEA4"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2010</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11</w:t>
            </w:r>
          </w:p>
        </w:tc>
        <w:tc>
          <w:tcPr>
            <w:tcW w:w="1300" w:type="dxa"/>
            <w:shd w:val="clear" w:color="auto" w:fill="auto"/>
            <w:noWrap/>
            <w:vAlign w:val="center"/>
            <w:hideMark/>
          </w:tcPr>
          <w:p w14:paraId="108C5024"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1</w:t>
            </w:r>
            <w:r w:rsidR="00E2275D" w:rsidRPr="00C273FD">
              <w:rPr>
                <w:rFonts w:ascii="Arial" w:hAnsi="Arial" w:cs="Arial"/>
                <w:color w:val="000000"/>
                <w:sz w:val="18"/>
                <w:szCs w:val="18"/>
                <w:lang w:val="en-GB"/>
              </w:rPr>
              <w:t>,</w:t>
            </w:r>
            <w:r w:rsidRPr="00C273FD">
              <w:rPr>
                <w:rFonts w:ascii="Arial" w:hAnsi="Arial" w:cs="Arial"/>
                <w:color w:val="000000"/>
                <w:sz w:val="18"/>
                <w:szCs w:val="18"/>
                <w:lang w:val="en-GB"/>
              </w:rPr>
              <w:t>871.86</w:t>
            </w:r>
          </w:p>
        </w:tc>
        <w:tc>
          <w:tcPr>
            <w:tcW w:w="1300" w:type="dxa"/>
            <w:shd w:val="clear" w:color="000000" w:fill="FFFFFF"/>
            <w:noWrap/>
            <w:vAlign w:val="center"/>
            <w:hideMark/>
          </w:tcPr>
          <w:p w14:paraId="71EB2986"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8.9</w:t>
            </w:r>
          </w:p>
        </w:tc>
        <w:tc>
          <w:tcPr>
            <w:tcW w:w="1300" w:type="dxa"/>
            <w:shd w:val="clear" w:color="auto" w:fill="auto"/>
            <w:noWrap/>
            <w:vAlign w:val="center"/>
            <w:hideMark/>
          </w:tcPr>
          <w:p w14:paraId="65A4FF93"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1</w:t>
            </w:r>
            <w:r w:rsidR="00E2275D" w:rsidRPr="00C273FD">
              <w:rPr>
                <w:rFonts w:ascii="Arial" w:hAnsi="Arial" w:cs="Arial"/>
                <w:color w:val="000000"/>
                <w:sz w:val="18"/>
                <w:szCs w:val="18"/>
                <w:lang w:val="en-GB"/>
              </w:rPr>
              <w:t>,</w:t>
            </w:r>
            <w:r w:rsidRPr="00C273FD">
              <w:rPr>
                <w:rFonts w:ascii="Arial" w:hAnsi="Arial" w:cs="Arial"/>
                <w:color w:val="000000"/>
                <w:sz w:val="18"/>
                <w:szCs w:val="18"/>
                <w:lang w:val="en-GB"/>
              </w:rPr>
              <w:t>461.38</w:t>
            </w:r>
          </w:p>
        </w:tc>
        <w:tc>
          <w:tcPr>
            <w:tcW w:w="1300" w:type="dxa"/>
            <w:shd w:val="clear" w:color="auto" w:fill="auto"/>
            <w:noWrap/>
            <w:vAlign w:val="center"/>
            <w:hideMark/>
          </w:tcPr>
          <w:p w14:paraId="05ED9B06"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33.7</w:t>
            </w:r>
          </w:p>
        </w:tc>
        <w:tc>
          <w:tcPr>
            <w:tcW w:w="1300" w:type="dxa"/>
            <w:shd w:val="clear" w:color="auto" w:fill="auto"/>
            <w:noWrap/>
            <w:vAlign w:val="center"/>
            <w:hideMark/>
          </w:tcPr>
          <w:p w14:paraId="0760E8E2"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36.5</w:t>
            </w:r>
          </w:p>
        </w:tc>
        <w:tc>
          <w:tcPr>
            <w:tcW w:w="1300" w:type="dxa"/>
            <w:shd w:val="clear" w:color="auto" w:fill="auto"/>
            <w:noWrap/>
            <w:vAlign w:val="center"/>
            <w:hideMark/>
          </w:tcPr>
          <w:p w14:paraId="2BD2E651" w14:textId="4EAC5433"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2.8</w:t>
            </w:r>
          </w:p>
        </w:tc>
      </w:tr>
      <w:tr w:rsidR="00221CD1" w:rsidRPr="00C273FD" w14:paraId="46696583" w14:textId="77777777" w:rsidTr="00E2275D">
        <w:trPr>
          <w:trHeight w:val="56"/>
          <w:jc w:val="center"/>
        </w:trPr>
        <w:tc>
          <w:tcPr>
            <w:tcW w:w="1300" w:type="dxa"/>
            <w:shd w:val="clear" w:color="000000" w:fill="FFFFFF"/>
            <w:noWrap/>
            <w:vAlign w:val="center"/>
            <w:hideMark/>
          </w:tcPr>
          <w:p w14:paraId="5D31F77D" w14:textId="44271493"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2013</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14</w:t>
            </w:r>
          </w:p>
        </w:tc>
        <w:tc>
          <w:tcPr>
            <w:tcW w:w="1300" w:type="dxa"/>
            <w:shd w:val="clear" w:color="auto" w:fill="auto"/>
            <w:noWrap/>
            <w:vAlign w:val="center"/>
            <w:hideMark/>
          </w:tcPr>
          <w:p w14:paraId="60F05DF6"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2</w:t>
            </w:r>
            <w:r w:rsidR="00E2275D" w:rsidRPr="00C273FD">
              <w:rPr>
                <w:rFonts w:ascii="Arial" w:hAnsi="Arial" w:cs="Arial"/>
                <w:color w:val="000000"/>
                <w:sz w:val="18"/>
                <w:szCs w:val="18"/>
                <w:lang w:val="en-GB"/>
              </w:rPr>
              <w:t>,</w:t>
            </w:r>
            <w:r w:rsidRPr="00C273FD">
              <w:rPr>
                <w:rFonts w:ascii="Arial" w:hAnsi="Arial" w:cs="Arial"/>
                <w:color w:val="000000"/>
                <w:sz w:val="18"/>
                <w:szCs w:val="18"/>
                <w:lang w:val="en-GB"/>
              </w:rPr>
              <w:t>046.26</w:t>
            </w:r>
          </w:p>
        </w:tc>
        <w:tc>
          <w:tcPr>
            <w:tcW w:w="1300" w:type="dxa"/>
            <w:shd w:val="clear" w:color="000000" w:fill="FFFFFF"/>
            <w:noWrap/>
            <w:vAlign w:val="center"/>
            <w:hideMark/>
          </w:tcPr>
          <w:p w14:paraId="00518142"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6.6</w:t>
            </w:r>
          </w:p>
        </w:tc>
        <w:tc>
          <w:tcPr>
            <w:tcW w:w="1300" w:type="dxa"/>
            <w:shd w:val="clear" w:color="auto" w:fill="auto"/>
            <w:noWrap/>
            <w:vAlign w:val="center"/>
            <w:hideMark/>
          </w:tcPr>
          <w:p w14:paraId="51D8811D"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1</w:t>
            </w:r>
            <w:r w:rsidR="00E2275D" w:rsidRPr="00C273FD">
              <w:rPr>
                <w:rFonts w:ascii="Arial" w:hAnsi="Arial" w:cs="Arial"/>
                <w:color w:val="000000"/>
                <w:sz w:val="18"/>
                <w:szCs w:val="18"/>
                <w:lang w:val="en-GB"/>
              </w:rPr>
              <w:t>,</w:t>
            </w:r>
            <w:r w:rsidRPr="00C273FD">
              <w:rPr>
                <w:rFonts w:ascii="Arial" w:hAnsi="Arial" w:cs="Arial"/>
                <w:color w:val="000000"/>
                <w:sz w:val="18"/>
                <w:szCs w:val="18"/>
                <w:lang w:val="en-GB"/>
              </w:rPr>
              <w:t>576.82</w:t>
            </w:r>
          </w:p>
        </w:tc>
        <w:tc>
          <w:tcPr>
            <w:tcW w:w="1300" w:type="dxa"/>
            <w:shd w:val="clear" w:color="000000" w:fill="FFFFFF"/>
            <w:noWrap/>
            <w:vAlign w:val="center"/>
            <w:hideMark/>
          </w:tcPr>
          <w:p w14:paraId="79DE21F4"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32.1</w:t>
            </w:r>
          </w:p>
        </w:tc>
        <w:tc>
          <w:tcPr>
            <w:tcW w:w="1300" w:type="dxa"/>
            <w:shd w:val="clear" w:color="auto" w:fill="auto"/>
            <w:noWrap/>
            <w:vAlign w:val="center"/>
            <w:hideMark/>
          </w:tcPr>
          <w:p w14:paraId="59C995DC"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34.7</w:t>
            </w:r>
          </w:p>
        </w:tc>
        <w:tc>
          <w:tcPr>
            <w:tcW w:w="1300" w:type="dxa"/>
            <w:shd w:val="clear" w:color="auto" w:fill="auto"/>
            <w:noWrap/>
            <w:vAlign w:val="center"/>
            <w:hideMark/>
          </w:tcPr>
          <w:p w14:paraId="2586FB74" w14:textId="2A4D2265"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2.6</w:t>
            </w:r>
          </w:p>
        </w:tc>
      </w:tr>
      <w:tr w:rsidR="00221CD1" w:rsidRPr="00C273FD" w14:paraId="4C604D0A" w14:textId="77777777" w:rsidTr="00E2275D">
        <w:trPr>
          <w:trHeight w:val="40"/>
          <w:jc w:val="center"/>
        </w:trPr>
        <w:tc>
          <w:tcPr>
            <w:tcW w:w="1300" w:type="dxa"/>
            <w:shd w:val="clear" w:color="000000" w:fill="FFFFFF"/>
            <w:noWrap/>
            <w:vAlign w:val="center"/>
            <w:hideMark/>
          </w:tcPr>
          <w:p w14:paraId="54681A4C" w14:textId="6C2D521B"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2014</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15</w:t>
            </w:r>
          </w:p>
        </w:tc>
        <w:tc>
          <w:tcPr>
            <w:tcW w:w="1300" w:type="dxa"/>
            <w:shd w:val="clear" w:color="auto" w:fill="auto"/>
            <w:noWrap/>
            <w:vAlign w:val="center"/>
            <w:hideMark/>
          </w:tcPr>
          <w:p w14:paraId="38C5A8EE" w14:textId="77777777"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2</w:t>
            </w:r>
            <w:r w:rsidR="00E2275D" w:rsidRPr="00C273FD">
              <w:rPr>
                <w:rFonts w:ascii="Arial" w:hAnsi="Arial" w:cs="Arial"/>
                <w:color w:val="000000"/>
                <w:sz w:val="18"/>
                <w:szCs w:val="18"/>
                <w:lang w:val="en-GB"/>
              </w:rPr>
              <w:t>,</w:t>
            </w:r>
            <w:r w:rsidRPr="00C273FD">
              <w:rPr>
                <w:rFonts w:ascii="Arial" w:hAnsi="Arial" w:cs="Arial"/>
                <w:color w:val="000000"/>
                <w:sz w:val="18"/>
                <w:szCs w:val="18"/>
                <w:lang w:val="en-GB"/>
              </w:rPr>
              <w:t>116.24</w:t>
            </w:r>
          </w:p>
        </w:tc>
        <w:tc>
          <w:tcPr>
            <w:tcW w:w="1300" w:type="dxa"/>
            <w:shd w:val="clear" w:color="000000" w:fill="FFFFFF"/>
            <w:noWrap/>
            <w:vAlign w:val="center"/>
            <w:hideMark/>
          </w:tcPr>
          <w:p w14:paraId="11EE8BB4"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7.2</w:t>
            </w:r>
          </w:p>
        </w:tc>
        <w:tc>
          <w:tcPr>
            <w:tcW w:w="1300" w:type="dxa"/>
            <w:shd w:val="clear" w:color="auto" w:fill="auto"/>
            <w:noWrap/>
            <w:vAlign w:val="center"/>
            <w:hideMark/>
          </w:tcPr>
          <w:p w14:paraId="077238AF" w14:textId="77777777" w:rsidR="00221CD1" w:rsidRPr="00C273FD" w:rsidRDefault="00221CD1" w:rsidP="00640722">
            <w:pPr>
              <w:tabs>
                <w:tab w:val="decimal" w:pos="682"/>
              </w:tabs>
              <w:rPr>
                <w:rFonts w:ascii="Arial" w:hAnsi="Arial" w:cs="Arial"/>
                <w:color w:val="000000"/>
                <w:sz w:val="18"/>
                <w:szCs w:val="18"/>
                <w:lang w:val="en-GB"/>
              </w:rPr>
            </w:pPr>
            <w:r w:rsidRPr="00C273FD">
              <w:rPr>
                <w:rFonts w:ascii="Arial" w:hAnsi="Arial" w:cs="Arial"/>
                <w:color w:val="000000"/>
                <w:sz w:val="18"/>
                <w:szCs w:val="18"/>
                <w:lang w:val="en-GB"/>
              </w:rPr>
              <w:t>1</w:t>
            </w:r>
            <w:r w:rsidR="00E2275D" w:rsidRPr="00C273FD">
              <w:rPr>
                <w:rFonts w:ascii="Arial" w:hAnsi="Arial" w:cs="Arial"/>
                <w:color w:val="000000"/>
                <w:sz w:val="18"/>
                <w:szCs w:val="18"/>
                <w:lang w:val="en-GB"/>
              </w:rPr>
              <w:t>,</w:t>
            </w:r>
            <w:r w:rsidRPr="00C273FD">
              <w:rPr>
                <w:rFonts w:ascii="Arial" w:hAnsi="Arial" w:cs="Arial"/>
                <w:color w:val="000000"/>
                <w:sz w:val="18"/>
                <w:szCs w:val="18"/>
                <w:lang w:val="en-GB"/>
              </w:rPr>
              <w:t>598.26</w:t>
            </w:r>
          </w:p>
        </w:tc>
        <w:tc>
          <w:tcPr>
            <w:tcW w:w="1300" w:type="dxa"/>
            <w:shd w:val="clear" w:color="000000" w:fill="FFFFFF"/>
            <w:noWrap/>
            <w:vAlign w:val="center"/>
            <w:hideMark/>
          </w:tcPr>
          <w:p w14:paraId="43F53F35" w14:textId="0EC39D2D"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33</w:t>
            </w:r>
            <w:r w:rsidR="005F4E36">
              <w:rPr>
                <w:rFonts w:ascii="Arial" w:hAnsi="Arial" w:cs="Arial"/>
                <w:color w:val="000000"/>
                <w:sz w:val="18"/>
                <w:szCs w:val="18"/>
                <w:lang w:val="en-GB"/>
              </w:rPr>
              <w:t>.0</w:t>
            </w:r>
          </w:p>
        </w:tc>
        <w:tc>
          <w:tcPr>
            <w:tcW w:w="1300" w:type="dxa"/>
            <w:shd w:val="clear" w:color="auto" w:fill="auto"/>
            <w:noWrap/>
            <w:vAlign w:val="center"/>
            <w:hideMark/>
          </w:tcPr>
          <w:p w14:paraId="32869F7C"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34.2</w:t>
            </w:r>
          </w:p>
        </w:tc>
        <w:tc>
          <w:tcPr>
            <w:tcW w:w="1300" w:type="dxa"/>
            <w:shd w:val="clear" w:color="auto" w:fill="auto"/>
            <w:noWrap/>
            <w:vAlign w:val="center"/>
            <w:hideMark/>
          </w:tcPr>
          <w:p w14:paraId="71A1199B" w14:textId="21B3D8B6" w:rsidR="00221CD1" w:rsidRPr="00C273FD" w:rsidRDefault="00A63F93" w:rsidP="00640722">
            <w:pPr>
              <w:tabs>
                <w:tab w:val="decimal" w:pos="609"/>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1.2</w:t>
            </w:r>
          </w:p>
        </w:tc>
      </w:tr>
      <w:tr w:rsidR="00221CD1" w:rsidRPr="00C273FD" w14:paraId="2D640855" w14:textId="77777777" w:rsidTr="00E2275D">
        <w:trPr>
          <w:trHeight w:val="40"/>
          <w:jc w:val="center"/>
        </w:trPr>
        <w:tc>
          <w:tcPr>
            <w:tcW w:w="1300" w:type="dxa"/>
            <w:shd w:val="clear" w:color="auto" w:fill="auto"/>
            <w:noWrap/>
            <w:vAlign w:val="center"/>
            <w:hideMark/>
          </w:tcPr>
          <w:p w14:paraId="25784AAE" w14:textId="0B8D7E2F"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2015</w:t>
            </w:r>
            <w:r w:rsidR="007D47A9">
              <w:rPr>
                <w:rFonts w:ascii="Arial" w:hAnsi="Arial" w:cs="Arial"/>
                <w:b/>
                <w:bCs/>
                <w:color w:val="000000"/>
                <w:sz w:val="18"/>
                <w:szCs w:val="18"/>
                <w:lang w:val="en-GB"/>
              </w:rPr>
              <w:t>/</w:t>
            </w:r>
            <w:r w:rsidRPr="00C273FD">
              <w:rPr>
                <w:rFonts w:ascii="Arial" w:hAnsi="Arial" w:cs="Arial"/>
                <w:b/>
                <w:bCs/>
                <w:color w:val="000000"/>
                <w:sz w:val="18"/>
                <w:szCs w:val="18"/>
                <w:lang w:val="en-GB"/>
              </w:rPr>
              <w:t>16</w:t>
            </w:r>
          </w:p>
        </w:tc>
        <w:tc>
          <w:tcPr>
            <w:tcW w:w="1300" w:type="dxa"/>
            <w:shd w:val="clear" w:color="auto" w:fill="auto"/>
            <w:noWrap/>
            <w:vAlign w:val="center"/>
            <w:hideMark/>
          </w:tcPr>
          <w:p w14:paraId="12D5CB15" w14:textId="4E2E902A" w:rsidR="00221CD1" w:rsidRPr="00C273FD" w:rsidRDefault="00221CD1" w:rsidP="00640722">
            <w:pPr>
              <w:tabs>
                <w:tab w:val="decimal" w:pos="730"/>
              </w:tabs>
              <w:rPr>
                <w:rFonts w:ascii="Arial" w:hAnsi="Arial" w:cs="Arial"/>
                <w:color w:val="000000"/>
                <w:sz w:val="18"/>
                <w:szCs w:val="18"/>
                <w:lang w:val="en-GB"/>
              </w:rPr>
            </w:pPr>
            <w:r w:rsidRPr="00C273FD">
              <w:rPr>
                <w:rFonts w:ascii="Arial" w:hAnsi="Arial" w:cs="Arial"/>
                <w:color w:val="000000"/>
                <w:sz w:val="18"/>
                <w:szCs w:val="18"/>
                <w:lang w:val="en-GB"/>
              </w:rPr>
              <w:t>2</w:t>
            </w:r>
            <w:r w:rsidR="00E2275D" w:rsidRPr="00C273FD">
              <w:rPr>
                <w:rFonts w:ascii="Arial" w:hAnsi="Arial" w:cs="Arial"/>
                <w:color w:val="000000"/>
                <w:sz w:val="18"/>
                <w:szCs w:val="18"/>
                <w:lang w:val="en-GB"/>
              </w:rPr>
              <w:t>,</w:t>
            </w:r>
            <w:r w:rsidRPr="00C273FD">
              <w:rPr>
                <w:rFonts w:ascii="Arial" w:hAnsi="Arial" w:cs="Arial"/>
                <w:color w:val="000000"/>
                <w:sz w:val="18"/>
                <w:szCs w:val="18"/>
                <w:lang w:val="en-GB"/>
              </w:rPr>
              <w:t>251.00</w:t>
            </w:r>
          </w:p>
        </w:tc>
        <w:tc>
          <w:tcPr>
            <w:tcW w:w="1300" w:type="dxa"/>
            <w:shd w:val="clear" w:color="000000" w:fill="FFFFFF"/>
            <w:noWrap/>
            <w:vAlign w:val="center"/>
            <w:hideMark/>
          </w:tcPr>
          <w:p w14:paraId="2EDC9E40"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7.6</w:t>
            </w:r>
          </w:p>
        </w:tc>
        <w:tc>
          <w:tcPr>
            <w:tcW w:w="1300" w:type="dxa"/>
            <w:shd w:val="clear" w:color="auto" w:fill="auto"/>
            <w:noWrap/>
            <w:vAlign w:val="center"/>
            <w:hideMark/>
          </w:tcPr>
          <w:p w14:paraId="60AFCAE0" w14:textId="7B0BD5A1" w:rsidR="00221CD1" w:rsidRPr="00C273FD" w:rsidRDefault="00221CD1" w:rsidP="00640722">
            <w:pPr>
              <w:jc w:val="center"/>
              <w:rPr>
                <w:rFonts w:ascii="Arial" w:hAnsi="Arial" w:cs="Arial"/>
                <w:color w:val="000000"/>
                <w:sz w:val="18"/>
                <w:szCs w:val="18"/>
                <w:lang w:val="en-GB"/>
              </w:rPr>
            </w:pPr>
            <w:r w:rsidRPr="00C273FD">
              <w:rPr>
                <w:rFonts w:ascii="Arial" w:hAnsi="Arial" w:cs="Arial"/>
                <w:color w:val="000000"/>
                <w:sz w:val="18"/>
                <w:szCs w:val="18"/>
                <w:lang w:val="en-GB"/>
              </w:rPr>
              <w:t>NA</w:t>
            </w:r>
          </w:p>
        </w:tc>
        <w:tc>
          <w:tcPr>
            <w:tcW w:w="1300" w:type="dxa"/>
            <w:shd w:val="clear" w:color="000000" w:fill="FFFFFF"/>
            <w:noWrap/>
            <w:vAlign w:val="center"/>
            <w:hideMark/>
          </w:tcPr>
          <w:p w14:paraId="5306D41B"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31.1</w:t>
            </w:r>
          </w:p>
        </w:tc>
        <w:tc>
          <w:tcPr>
            <w:tcW w:w="1300" w:type="dxa"/>
            <w:shd w:val="clear" w:color="auto" w:fill="auto"/>
            <w:noWrap/>
            <w:vAlign w:val="center"/>
            <w:hideMark/>
          </w:tcPr>
          <w:p w14:paraId="4803FCC1"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32.9 </w:t>
            </w:r>
          </w:p>
        </w:tc>
        <w:tc>
          <w:tcPr>
            <w:tcW w:w="1300" w:type="dxa"/>
            <w:shd w:val="clear" w:color="auto" w:fill="auto"/>
            <w:noWrap/>
            <w:vAlign w:val="center"/>
            <w:hideMark/>
          </w:tcPr>
          <w:p w14:paraId="5C0455FF" w14:textId="100F89C9" w:rsidR="00221CD1" w:rsidRPr="00C273FD" w:rsidRDefault="00221CD1" w:rsidP="00640722">
            <w:pPr>
              <w:tabs>
                <w:tab w:val="decimal" w:pos="609"/>
              </w:tabs>
              <w:rPr>
                <w:rFonts w:ascii="Arial" w:hAnsi="Arial" w:cs="Arial"/>
                <w:color w:val="000000"/>
                <w:sz w:val="18"/>
                <w:szCs w:val="18"/>
                <w:lang w:val="en-GB"/>
              </w:rPr>
            </w:pPr>
            <w:r w:rsidRPr="00C273FD">
              <w:rPr>
                <w:rFonts w:ascii="Arial" w:hAnsi="Arial" w:cs="Arial"/>
                <w:color w:val="000000"/>
                <w:sz w:val="18"/>
                <w:szCs w:val="18"/>
                <w:lang w:val="en-GB"/>
              </w:rPr>
              <w:t> </w:t>
            </w:r>
            <w:r w:rsidR="00A63F93">
              <w:rPr>
                <w:rFonts w:ascii="Arial" w:hAnsi="Arial" w:cs="Arial"/>
                <w:color w:val="000000"/>
                <w:sz w:val="18"/>
                <w:szCs w:val="18"/>
                <w:lang w:val="en-GB"/>
              </w:rPr>
              <w:t>–</w:t>
            </w:r>
            <w:r w:rsidRPr="00C273FD">
              <w:rPr>
                <w:rFonts w:ascii="Arial" w:hAnsi="Arial" w:cs="Arial"/>
                <w:color w:val="000000"/>
                <w:sz w:val="18"/>
                <w:szCs w:val="18"/>
                <w:lang w:val="en-GB"/>
              </w:rPr>
              <w:t>1.8</w:t>
            </w:r>
          </w:p>
        </w:tc>
      </w:tr>
    </w:tbl>
    <w:p w14:paraId="71A05F8C" w14:textId="77777777" w:rsidR="00221CD1" w:rsidRPr="00C273FD" w:rsidRDefault="00221CD1" w:rsidP="006B2FB6">
      <w:pPr>
        <w:pStyle w:val="Footnote"/>
        <w:rPr>
          <w:lang w:val="en-GB"/>
        </w:rPr>
      </w:pPr>
    </w:p>
    <w:p w14:paraId="7B41D0F9" w14:textId="16DF33D3" w:rsidR="00221CD1" w:rsidRPr="00D846EE" w:rsidRDefault="00221CD1" w:rsidP="006B2FB6">
      <w:pPr>
        <w:pStyle w:val="Footnote"/>
        <w:rPr>
          <w:lang w:val="en-GB"/>
        </w:rPr>
      </w:pPr>
      <w:proofErr w:type="gramStart"/>
      <w:r w:rsidRPr="00C273FD">
        <w:rPr>
          <w:lang w:val="en-GB"/>
        </w:rPr>
        <w:t xml:space="preserve">Note: </w:t>
      </w:r>
      <w:r w:rsidR="00A63F93">
        <w:rPr>
          <w:lang w:val="en-GB"/>
        </w:rPr>
        <w:t xml:space="preserve">GDP = gross domestic product; S–I = savings–investment; NA = not applicable; </w:t>
      </w:r>
      <w:r w:rsidR="00EB3F06">
        <w:rPr>
          <w:lang w:val="en-GB"/>
        </w:rPr>
        <w:t>t</w:t>
      </w:r>
      <w:r w:rsidRPr="00C273FD">
        <w:rPr>
          <w:lang w:val="en-GB"/>
        </w:rPr>
        <w:t xml:space="preserve">he GDP growth rates and the rate of </w:t>
      </w:r>
      <w:r w:rsidR="00A63F93" w:rsidRPr="00D846EE">
        <w:rPr>
          <w:lang w:val="en-GB"/>
        </w:rPr>
        <w:t>g</w:t>
      </w:r>
      <w:r w:rsidRPr="00D846EE">
        <w:rPr>
          <w:lang w:val="en-GB"/>
        </w:rPr>
        <w:t xml:space="preserve">ross </w:t>
      </w:r>
      <w:r w:rsidR="00A63F93" w:rsidRPr="00D846EE">
        <w:rPr>
          <w:lang w:val="en-GB"/>
        </w:rPr>
        <w:t>d</w:t>
      </w:r>
      <w:r w:rsidRPr="00D846EE">
        <w:rPr>
          <w:lang w:val="en-GB"/>
        </w:rPr>
        <w:t xml:space="preserve">omestic </w:t>
      </w:r>
      <w:r w:rsidR="00A63F93" w:rsidRPr="00D846EE">
        <w:rPr>
          <w:lang w:val="en-GB"/>
        </w:rPr>
        <w:t>s</w:t>
      </w:r>
      <w:r w:rsidRPr="00D846EE">
        <w:rPr>
          <w:lang w:val="en-GB"/>
        </w:rPr>
        <w:t xml:space="preserve">avings for years 1990/91 to 2012/13 are </w:t>
      </w:r>
      <w:r w:rsidR="00A63F93" w:rsidRPr="00D846EE">
        <w:rPr>
          <w:lang w:val="en-GB"/>
        </w:rPr>
        <w:t xml:space="preserve">calculated on a </w:t>
      </w:r>
      <w:r w:rsidRPr="00D846EE">
        <w:rPr>
          <w:lang w:val="en-GB"/>
        </w:rPr>
        <w:t xml:space="preserve">base year </w:t>
      </w:r>
      <w:r w:rsidR="00A63F93" w:rsidRPr="00D846EE">
        <w:rPr>
          <w:lang w:val="en-GB"/>
        </w:rPr>
        <w:t xml:space="preserve">of </w:t>
      </w:r>
      <w:r w:rsidRPr="00D846EE">
        <w:rPr>
          <w:lang w:val="en-GB"/>
        </w:rPr>
        <w:t>2004/05</w:t>
      </w:r>
      <w:r w:rsidR="00224021" w:rsidRPr="00D846EE">
        <w:rPr>
          <w:lang w:val="en-GB"/>
        </w:rPr>
        <w:t>;</w:t>
      </w:r>
      <w:r w:rsidRPr="00D846EE">
        <w:rPr>
          <w:lang w:val="en-GB"/>
        </w:rPr>
        <w:t xml:space="preserve"> </w:t>
      </w:r>
      <w:r w:rsidR="00EB3F06">
        <w:rPr>
          <w:lang w:val="en-GB"/>
        </w:rPr>
        <w:t>t</w:t>
      </w:r>
      <w:r w:rsidRPr="00D846EE">
        <w:rPr>
          <w:lang w:val="en-GB"/>
        </w:rPr>
        <w:t xml:space="preserve">he figures for 2013/14 onward are </w:t>
      </w:r>
      <w:r w:rsidR="00A63F93" w:rsidRPr="00D846EE">
        <w:rPr>
          <w:lang w:val="en-GB"/>
        </w:rPr>
        <w:t xml:space="preserve">calculated on a </w:t>
      </w:r>
      <w:r w:rsidRPr="00D846EE">
        <w:rPr>
          <w:lang w:val="en-GB"/>
        </w:rPr>
        <w:t xml:space="preserve">base year </w:t>
      </w:r>
      <w:r w:rsidR="00A63F93" w:rsidRPr="00D846EE">
        <w:rPr>
          <w:lang w:val="en-GB"/>
        </w:rPr>
        <w:t xml:space="preserve">of </w:t>
      </w:r>
      <w:r w:rsidRPr="00D846EE">
        <w:rPr>
          <w:lang w:val="en-GB"/>
        </w:rPr>
        <w:t>2011/12</w:t>
      </w:r>
      <w:r w:rsidR="00A63F93" w:rsidRPr="00D846EE">
        <w:rPr>
          <w:lang w:val="en-GB"/>
        </w:rPr>
        <w:t xml:space="preserve">; </w:t>
      </w:r>
      <w:r w:rsidR="005F4E36">
        <w:rPr>
          <w:lang w:val="en-GB"/>
        </w:rPr>
        <w:t>t</w:t>
      </w:r>
      <w:r w:rsidRPr="00D846EE">
        <w:rPr>
          <w:lang w:val="en-GB"/>
        </w:rPr>
        <w:t>he S</w:t>
      </w:r>
      <w:r w:rsidR="00A63F93" w:rsidRPr="00D846EE">
        <w:rPr>
          <w:lang w:val="en-GB"/>
        </w:rPr>
        <w:t>–</w:t>
      </w:r>
      <w:r w:rsidRPr="00D846EE">
        <w:rPr>
          <w:lang w:val="en-GB"/>
        </w:rPr>
        <w:t xml:space="preserve">I gap is based on </w:t>
      </w:r>
      <w:r w:rsidR="00A63F93" w:rsidRPr="00D846EE">
        <w:rPr>
          <w:lang w:val="en-GB"/>
        </w:rPr>
        <w:t xml:space="preserve">the </w:t>
      </w:r>
      <w:r w:rsidRPr="00D846EE">
        <w:rPr>
          <w:lang w:val="en-GB"/>
        </w:rPr>
        <w:t>author</w:t>
      </w:r>
      <w:r w:rsidR="00A63F93" w:rsidRPr="00D846EE">
        <w:rPr>
          <w:lang w:val="en-GB"/>
        </w:rPr>
        <w:t>’s</w:t>
      </w:r>
      <w:r w:rsidRPr="00D846EE">
        <w:rPr>
          <w:lang w:val="en-GB"/>
        </w:rPr>
        <w:t xml:space="preserve"> calculations</w:t>
      </w:r>
      <w:r w:rsidR="00EB3F06">
        <w:rPr>
          <w:lang w:val="en-GB"/>
        </w:rPr>
        <w:t>.</w:t>
      </w:r>
      <w:proofErr w:type="gramEnd"/>
    </w:p>
    <w:p w14:paraId="26FAE096" w14:textId="7466B3BC" w:rsidR="00221CD1" w:rsidRPr="00C273FD" w:rsidRDefault="00221CD1" w:rsidP="006B2FB6">
      <w:pPr>
        <w:pStyle w:val="Footnote"/>
        <w:rPr>
          <w:spacing w:val="-4"/>
          <w:kern w:val="17"/>
          <w:lang w:val="en-GB"/>
        </w:rPr>
      </w:pPr>
      <w:proofErr w:type="gramStart"/>
      <w:r w:rsidRPr="00D846EE">
        <w:rPr>
          <w:spacing w:val="-4"/>
          <w:kern w:val="17"/>
          <w:lang w:val="en-GB"/>
        </w:rPr>
        <w:t xml:space="preserve">Source: </w:t>
      </w:r>
      <w:r w:rsidR="000E1524" w:rsidRPr="00D846EE">
        <w:rPr>
          <w:spacing w:val="-4"/>
          <w:kern w:val="17"/>
          <w:lang w:val="en-GB"/>
        </w:rPr>
        <w:t>“National Accounts Main Aggregates Database</w:t>
      </w:r>
      <w:r w:rsidR="00F5233F" w:rsidRPr="00D846EE">
        <w:rPr>
          <w:spacing w:val="-4"/>
          <w:kern w:val="17"/>
          <w:lang w:val="en-GB"/>
        </w:rPr>
        <w:t>, Country Profile India, 1990-2015</w:t>
      </w:r>
      <w:r w:rsidR="0062341F" w:rsidRPr="00D846EE">
        <w:rPr>
          <w:spacing w:val="-4"/>
          <w:kern w:val="17"/>
          <w:lang w:val="en-GB"/>
        </w:rPr>
        <w:t>,</w:t>
      </w:r>
      <w:r w:rsidR="000E1524" w:rsidRPr="00D846EE">
        <w:rPr>
          <w:spacing w:val="-4"/>
          <w:kern w:val="17"/>
          <w:lang w:val="en-GB"/>
        </w:rPr>
        <w:t xml:space="preserve">” </w:t>
      </w:r>
      <w:r w:rsidR="00782BD3">
        <w:rPr>
          <w:spacing w:val="-4"/>
          <w:kern w:val="17"/>
          <w:lang w:val="en-GB"/>
        </w:rPr>
        <w:t xml:space="preserve">United Nations, </w:t>
      </w:r>
      <w:r w:rsidR="000E1524" w:rsidRPr="00D846EE">
        <w:rPr>
          <w:spacing w:val="-4"/>
          <w:kern w:val="17"/>
          <w:lang w:val="en-GB"/>
        </w:rPr>
        <w:t xml:space="preserve">accessed </w:t>
      </w:r>
      <w:r w:rsidR="00F5233F" w:rsidRPr="00D846EE">
        <w:rPr>
          <w:spacing w:val="-4"/>
          <w:kern w:val="17"/>
          <w:lang w:val="en-GB"/>
        </w:rPr>
        <w:t>January 25, 2017</w:t>
      </w:r>
      <w:r w:rsidR="00782BD3">
        <w:rPr>
          <w:spacing w:val="-4"/>
          <w:kern w:val="17"/>
          <w:lang w:val="en-GB"/>
        </w:rPr>
        <w:t>,</w:t>
      </w:r>
      <w:r w:rsidR="000E1524" w:rsidRPr="00D846EE">
        <w:rPr>
          <w:spacing w:val="-4"/>
          <w:kern w:val="17"/>
          <w:lang w:val="en-GB"/>
        </w:rPr>
        <w:t xml:space="preserve"> </w:t>
      </w:r>
      <w:r w:rsidR="00782BD3" w:rsidRPr="009D10D4">
        <w:t>https://unstats.un.org/unsd/snaama/resQuery.asp</w:t>
      </w:r>
      <w:r w:rsidRPr="00D846EE">
        <w:rPr>
          <w:spacing w:val="-4"/>
          <w:kern w:val="17"/>
          <w:lang w:val="en-GB"/>
        </w:rPr>
        <w:t>;</w:t>
      </w:r>
      <w:r w:rsidR="00782BD3">
        <w:rPr>
          <w:spacing w:val="-4"/>
          <w:kern w:val="17"/>
          <w:lang w:val="en-GB"/>
        </w:rPr>
        <w:t xml:space="preserve"> </w:t>
      </w:r>
      <w:r w:rsidR="000E1524" w:rsidRPr="00D846EE">
        <w:rPr>
          <w:spacing w:val="-4"/>
          <w:kern w:val="17"/>
          <w:lang w:val="en-GB"/>
        </w:rPr>
        <w:t xml:space="preserve">“GDP per Capita (Current US$), 1960–2015,” </w:t>
      </w:r>
      <w:r w:rsidR="00782BD3">
        <w:rPr>
          <w:spacing w:val="-4"/>
          <w:kern w:val="17"/>
          <w:lang w:val="en-GB"/>
        </w:rPr>
        <w:t xml:space="preserve">The World Bank, </w:t>
      </w:r>
      <w:r w:rsidR="000E1524" w:rsidRPr="00D846EE">
        <w:rPr>
          <w:spacing w:val="-4"/>
          <w:kern w:val="17"/>
          <w:lang w:val="en-GB"/>
        </w:rPr>
        <w:t xml:space="preserve">accessed </w:t>
      </w:r>
      <w:r w:rsidR="00F5233F" w:rsidRPr="00D846EE">
        <w:rPr>
          <w:spacing w:val="-4"/>
          <w:kern w:val="17"/>
          <w:lang w:val="en-GB"/>
        </w:rPr>
        <w:t>January 27,</w:t>
      </w:r>
      <w:r w:rsidR="00790F9D" w:rsidRPr="00D846EE">
        <w:rPr>
          <w:spacing w:val="-4"/>
          <w:kern w:val="17"/>
          <w:lang w:val="en-GB"/>
        </w:rPr>
        <w:t xml:space="preserve"> </w:t>
      </w:r>
      <w:r w:rsidR="00F5233F" w:rsidRPr="00D846EE">
        <w:rPr>
          <w:spacing w:val="-4"/>
          <w:kern w:val="17"/>
          <w:lang w:val="en-GB"/>
        </w:rPr>
        <w:t>2017</w:t>
      </w:r>
      <w:r w:rsidR="000E1524" w:rsidRPr="00D846EE">
        <w:rPr>
          <w:spacing w:val="-4"/>
          <w:kern w:val="17"/>
          <w:lang w:val="en-GB"/>
        </w:rPr>
        <w:t xml:space="preserve">, </w:t>
      </w:r>
      <w:hyperlink r:id="rId11" w:history="1">
        <w:r w:rsidRPr="00D846EE">
          <w:rPr>
            <w:rStyle w:val="Hyperlink"/>
            <w:color w:val="auto"/>
            <w:spacing w:val="-4"/>
            <w:kern w:val="17"/>
            <w:u w:val="none"/>
            <w:lang w:val="en-GB"/>
          </w:rPr>
          <w:t>http://data.worldbank.org/indicator/NY.GDP.PCAP.CD?locations=IN</w:t>
        </w:r>
      </w:hyperlink>
      <w:r w:rsidRPr="00D846EE">
        <w:rPr>
          <w:spacing w:val="-4"/>
          <w:kern w:val="17"/>
          <w:lang w:val="en-GB"/>
        </w:rPr>
        <w:t xml:space="preserve">; </w:t>
      </w:r>
      <w:r w:rsidR="004C50ED" w:rsidRPr="00D846EE">
        <w:rPr>
          <w:spacing w:val="-4"/>
          <w:kern w:val="17"/>
          <w:lang w:val="en-GB"/>
        </w:rPr>
        <w:t xml:space="preserve">“Database on Indian Economy,” </w:t>
      </w:r>
      <w:r w:rsidR="00782BD3">
        <w:rPr>
          <w:spacing w:val="-4"/>
          <w:kern w:val="17"/>
          <w:lang w:val="en-GB"/>
        </w:rPr>
        <w:t xml:space="preserve">Reserve Bank of India, </w:t>
      </w:r>
      <w:r w:rsidR="004C50ED" w:rsidRPr="00D846EE">
        <w:rPr>
          <w:spacing w:val="-4"/>
          <w:kern w:val="17"/>
          <w:lang w:val="en-GB"/>
        </w:rPr>
        <w:t>accessed</w:t>
      </w:r>
      <w:r w:rsidR="00790F9D" w:rsidRPr="00D846EE">
        <w:rPr>
          <w:spacing w:val="-4"/>
          <w:kern w:val="17"/>
          <w:lang w:val="en-GB"/>
        </w:rPr>
        <w:t xml:space="preserve"> January 5, 2017</w:t>
      </w:r>
      <w:r w:rsidR="004C50ED" w:rsidRPr="00D846EE">
        <w:rPr>
          <w:spacing w:val="-4"/>
          <w:kern w:val="17"/>
          <w:lang w:val="en-GB"/>
        </w:rPr>
        <w:t xml:space="preserve">, </w:t>
      </w:r>
      <w:hyperlink r:id="rId12" w:history="1">
        <w:r w:rsidRPr="00D846EE">
          <w:rPr>
            <w:rStyle w:val="Hyperlink"/>
            <w:color w:val="auto"/>
            <w:spacing w:val="-4"/>
            <w:kern w:val="17"/>
            <w:u w:val="none"/>
            <w:lang w:val="en-GB"/>
          </w:rPr>
          <w:t>https://dbie.rbi.org.in/DBIE/dbie.rbi?site=publications</w:t>
        </w:r>
      </w:hyperlink>
      <w:r w:rsidR="006B2FB6" w:rsidRPr="00D846EE">
        <w:rPr>
          <w:rStyle w:val="Hyperlink"/>
          <w:color w:val="auto"/>
          <w:spacing w:val="-4"/>
          <w:kern w:val="17"/>
          <w:u w:val="none"/>
          <w:lang w:val="en-GB"/>
        </w:rPr>
        <w:t xml:space="preserve">; </w:t>
      </w:r>
      <w:r w:rsidR="0062341F" w:rsidRPr="00D846EE">
        <w:rPr>
          <w:rStyle w:val="Hyperlink"/>
          <w:color w:val="auto"/>
          <w:spacing w:val="-4"/>
          <w:kern w:val="17"/>
          <w:u w:val="none"/>
          <w:lang w:val="en-GB"/>
        </w:rPr>
        <w:t xml:space="preserve">Government of India, Central Statistics Office, Ministry of Statistics &amp; Programme Implementation, </w:t>
      </w:r>
      <w:r w:rsidR="0062341F" w:rsidRPr="009D10D4">
        <w:rPr>
          <w:rStyle w:val="Hyperlink"/>
          <w:i/>
          <w:color w:val="auto"/>
          <w:spacing w:val="-4"/>
          <w:kern w:val="17"/>
          <w:u w:val="none"/>
          <w:lang w:val="en-GB"/>
        </w:rPr>
        <w:t>Press Note on First Revised Estimates of National Income, Consumption expenditure, Saving, and Capital Formation, 2015–16</w:t>
      </w:r>
      <w:r w:rsidR="0062341F" w:rsidRPr="00D846EE">
        <w:rPr>
          <w:rStyle w:val="Hyperlink"/>
          <w:color w:val="auto"/>
          <w:spacing w:val="-4"/>
          <w:kern w:val="17"/>
          <w:u w:val="none"/>
          <w:lang w:val="en-GB"/>
        </w:rPr>
        <w:t xml:space="preserve"> press release, January 31, 2017, accessed </w:t>
      </w:r>
      <w:r w:rsidR="00790F9D" w:rsidRPr="00D846EE">
        <w:rPr>
          <w:rStyle w:val="Hyperlink"/>
          <w:color w:val="auto"/>
          <w:spacing w:val="-4"/>
          <w:kern w:val="17"/>
          <w:u w:val="none"/>
          <w:lang w:val="en-GB"/>
        </w:rPr>
        <w:t>February 3, 2017</w:t>
      </w:r>
      <w:r w:rsidR="0062341F" w:rsidRPr="00D846EE">
        <w:rPr>
          <w:rStyle w:val="Hyperlink"/>
          <w:color w:val="auto"/>
          <w:spacing w:val="-4"/>
          <w:kern w:val="17"/>
          <w:u w:val="none"/>
          <w:lang w:val="en-GB"/>
        </w:rPr>
        <w:t xml:space="preserve">, </w:t>
      </w:r>
      <w:r w:rsidR="006B2FB6" w:rsidRPr="00D846EE">
        <w:rPr>
          <w:spacing w:val="-4"/>
          <w:kern w:val="17"/>
          <w:lang w:val="en-GB"/>
        </w:rPr>
        <w:t>www.mospi.gov.in/sites/default/files/press_release/nad_PR_31jan17.pdf</w:t>
      </w:r>
      <w:r w:rsidR="006B2FB6" w:rsidRPr="00D846EE">
        <w:rPr>
          <w:rStyle w:val="Hyperlink"/>
          <w:color w:val="auto"/>
          <w:spacing w:val="-4"/>
          <w:kern w:val="17"/>
          <w:u w:val="none"/>
          <w:lang w:val="en-GB"/>
        </w:rPr>
        <w:t>.</w:t>
      </w:r>
      <w:proofErr w:type="gramEnd"/>
    </w:p>
    <w:p w14:paraId="0186A55A" w14:textId="77777777" w:rsidR="00221CD1" w:rsidRPr="00C273FD" w:rsidRDefault="00221CD1" w:rsidP="006B2FB6">
      <w:pPr>
        <w:pStyle w:val="BodyTextMain"/>
        <w:rPr>
          <w:lang w:val="en-GB"/>
        </w:rPr>
      </w:pPr>
    </w:p>
    <w:p w14:paraId="25820C6B" w14:textId="77777777" w:rsidR="008B1CAF" w:rsidRPr="00C273FD" w:rsidRDefault="008B1CAF">
      <w:pPr>
        <w:spacing w:after="200" w:line="276" w:lineRule="auto"/>
        <w:rPr>
          <w:sz w:val="22"/>
          <w:szCs w:val="22"/>
          <w:lang w:val="en-GB"/>
        </w:rPr>
      </w:pPr>
      <w:r w:rsidRPr="00C273FD">
        <w:rPr>
          <w:lang w:val="en-GB"/>
        </w:rPr>
        <w:br w:type="page"/>
      </w:r>
    </w:p>
    <w:p w14:paraId="09232A7C" w14:textId="142D115D" w:rsidR="00221CD1" w:rsidRPr="00C273FD" w:rsidRDefault="00221CD1" w:rsidP="006B2FB6">
      <w:pPr>
        <w:pStyle w:val="ExhibitHeading"/>
        <w:rPr>
          <w:lang w:val="en-GB"/>
        </w:rPr>
      </w:pPr>
      <w:r w:rsidRPr="00C273FD">
        <w:rPr>
          <w:lang w:val="en-GB"/>
        </w:rPr>
        <w:lastRenderedPageBreak/>
        <w:t xml:space="preserve">EXHIBIT 2: GROWTH RATES AND COMPOSITION OF </w:t>
      </w:r>
      <w:r w:rsidR="0062341F">
        <w:rPr>
          <w:lang w:val="en-GB"/>
        </w:rPr>
        <w:t xml:space="preserve">india’s </w:t>
      </w:r>
      <w:r w:rsidRPr="00C273FD">
        <w:rPr>
          <w:lang w:val="en-GB"/>
        </w:rPr>
        <w:t>REAL GROSS DOMESTIC PRODUCT</w:t>
      </w:r>
      <w:r w:rsidR="0062341F">
        <w:rPr>
          <w:lang w:val="en-GB"/>
        </w:rPr>
        <w:t>, selected years, 1990/91 to 2015/16</w:t>
      </w:r>
      <w:r w:rsidRPr="00C273FD">
        <w:rPr>
          <w:lang w:val="en-GB"/>
        </w:rPr>
        <w:t xml:space="preserve"> (</w:t>
      </w:r>
      <w:r w:rsidR="0062341F">
        <w:rPr>
          <w:lang w:val="en-GB"/>
        </w:rPr>
        <w:t xml:space="preserve">by </w:t>
      </w:r>
      <w:r w:rsidR="00F60503">
        <w:rPr>
          <w:lang w:val="en-GB"/>
        </w:rPr>
        <w:t>%</w:t>
      </w:r>
      <w:r w:rsidRPr="00C273FD">
        <w:rPr>
          <w:lang w:val="en-GB"/>
        </w:rPr>
        <w:t>)</w:t>
      </w:r>
    </w:p>
    <w:p w14:paraId="25218C36" w14:textId="77777777" w:rsidR="00221CD1" w:rsidRPr="00C273FD" w:rsidRDefault="00221CD1" w:rsidP="00221CD1">
      <w:pPr>
        <w:widowControl w:val="0"/>
        <w:autoSpaceDE w:val="0"/>
        <w:autoSpaceDN w:val="0"/>
        <w:adjustRightInd w:val="0"/>
        <w:jc w:val="both"/>
        <w:rPr>
          <w:rFonts w:ascii="Arial" w:hAnsi="Arial" w:cs="Arial"/>
          <w:color w:val="1A1A1A"/>
          <w:lang w:val="en-GB"/>
        </w:rPr>
      </w:pPr>
    </w:p>
    <w:tbl>
      <w:tblPr>
        <w:tblStyle w:val="TableGrid"/>
        <w:tblW w:w="5000" w:type="pct"/>
        <w:tblLook w:val="04A0" w:firstRow="1" w:lastRow="0" w:firstColumn="1" w:lastColumn="0" w:noHBand="0" w:noVBand="1"/>
      </w:tblPr>
      <w:tblGrid>
        <w:gridCol w:w="1499"/>
        <w:gridCol w:w="651"/>
        <w:gridCol w:w="806"/>
        <w:gridCol w:w="671"/>
        <w:gridCol w:w="671"/>
        <w:gridCol w:w="1279"/>
        <w:gridCol w:w="754"/>
        <w:gridCol w:w="754"/>
        <w:gridCol w:w="754"/>
        <w:gridCol w:w="754"/>
        <w:gridCol w:w="757"/>
      </w:tblGrid>
      <w:tr w:rsidR="00643E39" w:rsidRPr="009D10D4" w14:paraId="6935EC63" w14:textId="77777777" w:rsidTr="009D10D4">
        <w:trPr>
          <w:trHeight w:val="300"/>
        </w:trPr>
        <w:tc>
          <w:tcPr>
            <w:tcW w:w="802" w:type="pct"/>
            <w:vMerge w:val="restart"/>
            <w:hideMark/>
          </w:tcPr>
          <w:p w14:paraId="130CB572" w14:textId="77777777" w:rsidR="00643E39" w:rsidRPr="009D10D4" w:rsidRDefault="00643E39"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Sector</w:t>
            </w:r>
          </w:p>
        </w:tc>
        <w:tc>
          <w:tcPr>
            <w:tcW w:w="2181" w:type="pct"/>
            <w:gridSpan w:val="5"/>
          </w:tcPr>
          <w:p w14:paraId="42B4ACC8" w14:textId="1139ACCA" w:rsidR="00643E39" w:rsidRPr="009D10D4" w:rsidRDefault="00643E39" w:rsidP="009D10D4">
            <w:pPr>
              <w:widowControl w:val="0"/>
              <w:autoSpaceDE w:val="0"/>
              <w:autoSpaceDN w:val="0"/>
              <w:adjustRightInd w:val="0"/>
              <w:spacing w:before="40"/>
              <w:jc w:val="center"/>
              <w:rPr>
                <w:rFonts w:ascii="Arial" w:hAnsi="Arial" w:cs="Arial"/>
                <w:b/>
                <w:bCs/>
                <w:color w:val="1A1A1A"/>
                <w:sz w:val="16"/>
                <w:szCs w:val="18"/>
                <w:lang w:val="en-GB"/>
              </w:rPr>
            </w:pPr>
            <w:r w:rsidRPr="009D10D4">
              <w:rPr>
                <w:rFonts w:ascii="Arial" w:hAnsi="Arial" w:cs="Arial"/>
                <w:b/>
                <w:bCs/>
                <w:color w:val="1A1A1A"/>
                <w:sz w:val="16"/>
                <w:szCs w:val="18"/>
                <w:lang w:val="en-GB"/>
              </w:rPr>
              <w:t>Growth Rate at Constant Prices</w:t>
            </w:r>
          </w:p>
        </w:tc>
        <w:tc>
          <w:tcPr>
            <w:tcW w:w="2017" w:type="pct"/>
            <w:gridSpan w:val="5"/>
          </w:tcPr>
          <w:p w14:paraId="28553DF0" w14:textId="4B61D0A0" w:rsidR="00643E39" w:rsidRPr="009D10D4" w:rsidRDefault="00643E39" w:rsidP="009D10D4">
            <w:pPr>
              <w:widowControl w:val="0"/>
              <w:autoSpaceDE w:val="0"/>
              <w:autoSpaceDN w:val="0"/>
              <w:adjustRightInd w:val="0"/>
              <w:spacing w:before="40"/>
              <w:jc w:val="center"/>
              <w:rPr>
                <w:rFonts w:ascii="Arial" w:hAnsi="Arial" w:cs="Arial"/>
                <w:b/>
                <w:bCs/>
                <w:color w:val="1A1A1A"/>
                <w:sz w:val="16"/>
                <w:szCs w:val="18"/>
                <w:lang w:val="en-GB"/>
              </w:rPr>
            </w:pPr>
            <w:r w:rsidRPr="009D10D4">
              <w:rPr>
                <w:rFonts w:ascii="Arial" w:hAnsi="Arial" w:cs="Arial"/>
                <w:b/>
                <w:bCs/>
                <w:color w:val="1A1A1A"/>
                <w:sz w:val="16"/>
                <w:szCs w:val="18"/>
                <w:lang w:val="en-GB"/>
              </w:rPr>
              <w:t>Share in GDP at Current Prices</w:t>
            </w:r>
          </w:p>
        </w:tc>
      </w:tr>
      <w:tr w:rsidR="00221CD1" w:rsidRPr="009D10D4" w14:paraId="45C36D56" w14:textId="77777777" w:rsidTr="009D10D4">
        <w:trPr>
          <w:trHeight w:val="389"/>
        </w:trPr>
        <w:tc>
          <w:tcPr>
            <w:tcW w:w="802" w:type="pct"/>
            <w:vMerge/>
            <w:hideMark/>
          </w:tcPr>
          <w:p w14:paraId="54BA87C0" w14:textId="77777777" w:rsidR="00221CD1" w:rsidRPr="009D10D4" w:rsidRDefault="00221CD1" w:rsidP="00640722">
            <w:pPr>
              <w:widowControl w:val="0"/>
              <w:autoSpaceDE w:val="0"/>
              <w:autoSpaceDN w:val="0"/>
              <w:adjustRightInd w:val="0"/>
              <w:jc w:val="center"/>
              <w:rPr>
                <w:rFonts w:ascii="Arial" w:hAnsi="Arial" w:cs="Arial"/>
                <w:b/>
                <w:bCs/>
                <w:color w:val="1A1A1A"/>
                <w:sz w:val="16"/>
                <w:szCs w:val="18"/>
                <w:lang w:val="en-GB"/>
              </w:rPr>
            </w:pPr>
          </w:p>
        </w:tc>
        <w:tc>
          <w:tcPr>
            <w:tcW w:w="348" w:type="pct"/>
          </w:tcPr>
          <w:p w14:paraId="0205F492"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1990</w:t>
            </w:r>
            <w:r w:rsidR="0062341F" w:rsidRPr="009D10D4">
              <w:rPr>
                <w:rFonts w:ascii="Arial" w:hAnsi="Arial" w:cs="Arial"/>
                <w:b/>
                <w:bCs/>
                <w:color w:val="1A1A1A"/>
                <w:sz w:val="16"/>
                <w:szCs w:val="18"/>
                <w:lang w:val="en-GB"/>
              </w:rPr>
              <w:t>/</w:t>
            </w:r>
          </w:p>
          <w:p w14:paraId="12F6BF46" w14:textId="39842F13" w:rsidR="00221CD1" w:rsidRPr="009D10D4" w:rsidRDefault="00221CD1" w:rsidP="00640722">
            <w:pPr>
              <w:widowControl w:val="0"/>
              <w:autoSpaceDE w:val="0"/>
              <w:autoSpaceDN w:val="0"/>
              <w:adjustRightInd w:val="0"/>
              <w:jc w:val="center"/>
              <w:rPr>
                <w:rFonts w:ascii="Arial" w:hAnsi="Arial" w:cs="Arial"/>
                <w:b/>
                <w:bCs/>
                <w:color w:val="1A1A1A"/>
                <w:sz w:val="16"/>
                <w:szCs w:val="18"/>
                <w:vertAlign w:val="superscript"/>
                <w:lang w:val="en-GB"/>
              </w:rPr>
            </w:pPr>
            <w:r w:rsidRPr="009D10D4">
              <w:rPr>
                <w:rFonts w:ascii="Arial" w:hAnsi="Arial" w:cs="Arial"/>
                <w:b/>
                <w:bCs/>
                <w:color w:val="1A1A1A"/>
                <w:sz w:val="16"/>
                <w:szCs w:val="18"/>
                <w:lang w:val="en-GB"/>
              </w:rPr>
              <w:t>91</w:t>
            </w:r>
            <w:r w:rsidR="00122FEC" w:rsidRPr="009D10D4">
              <w:rPr>
                <w:rFonts w:ascii="Arial" w:hAnsi="Arial" w:cs="Arial"/>
                <w:b/>
                <w:bCs/>
                <w:color w:val="1A1A1A"/>
                <w:sz w:val="16"/>
                <w:szCs w:val="18"/>
                <w:vertAlign w:val="superscript"/>
                <w:lang w:val="en-GB"/>
              </w:rPr>
              <w:t>*</w:t>
            </w:r>
          </w:p>
        </w:tc>
        <w:tc>
          <w:tcPr>
            <w:tcW w:w="431" w:type="pct"/>
            <w:hideMark/>
          </w:tcPr>
          <w:p w14:paraId="1F0EC1ED"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2007</w:t>
            </w:r>
            <w:r w:rsidR="0062341F" w:rsidRPr="009D10D4">
              <w:rPr>
                <w:rFonts w:ascii="Arial" w:hAnsi="Arial" w:cs="Arial"/>
                <w:b/>
                <w:bCs/>
                <w:color w:val="1A1A1A"/>
                <w:sz w:val="16"/>
                <w:szCs w:val="18"/>
                <w:lang w:val="en-GB"/>
              </w:rPr>
              <w:t>/</w:t>
            </w:r>
          </w:p>
          <w:p w14:paraId="1F1490D6" w14:textId="1432594C" w:rsidR="00221CD1"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08</w:t>
            </w:r>
            <w:r w:rsidR="00122FEC" w:rsidRPr="009D10D4">
              <w:rPr>
                <w:rFonts w:ascii="Arial" w:hAnsi="Arial" w:cs="Arial"/>
                <w:b/>
                <w:bCs/>
                <w:color w:val="1A1A1A"/>
                <w:sz w:val="16"/>
                <w:szCs w:val="18"/>
                <w:vertAlign w:val="superscript"/>
                <w:lang w:val="en-GB"/>
              </w:rPr>
              <w:t>*</w:t>
            </w:r>
          </w:p>
        </w:tc>
        <w:tc>
          <w:tcPr>
            <w:tcW w:w="359" w:type="pct"/>
            <w:hideMark/>
          </w:tcPr>
          <w:p w14:paraId="6A9874ED"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2013</w:t>
            </w:r>
            <w:r w:rsidR="0062341F" w:rsidRPr="009D10D4">
              <w:rPr>
                <w:rFonts w:ascii="Arial" w:hAnsi="Arial" w:cs="Arial"/>
                <w:b/>
                <w:bCs/>
                <w:color w:val="1A1A1A"/>
                <w:sz w:val="16"/>
                <w:szCs w:val="18"/>
                <w:lang w:val="en-GB"/>
              </w:rPr>
              <w:t>/</w:t>
            </w:r>
          </w:p>
          <w:p w14:paraId="73052241" w14:textId="75CA8A67" w:rsidR="00221CD1" w:rsidRPr="009D10D4" w:rsidRDefault="00221CD1" w:rsidP="00640722">
            <w:pPr>
              <w:widowControl w:val="0"/>
              <w:autoSpaceDE w:val="0"/>
              <w:autoSpaceDN w:val="0"/>
              <w:adjustRightInd w:val="0"/>
              <w:jc w:val="center"/>
              <w:rPr>
                <w:rFonts w:ascii="Arial" w:hAnsi="Arial" w:cs="Arial"/>
                <w:b/>
                <w:bCs/>
                <w:color w:val="1A1A1A"/>
                <w:sz w:val="16"/>
                <w:szCs w:val="18"/>
                <w:vertAlign w:val="superscript"/>
                <w:lang w:val="en-GB"/>
              </w:rPr>
            </w:pPr>
            <w:r w:rsidRPr="009D10D4">
              <w:rPr>
                <w:rFonts w:ascii="Arial" w:hAnsi="Arial" w:cs="Arial"/>
                <w:b/>
                <w:bCs/>
                <w:color w:val="1A1A1A"/>
                <w:sz w:val="16"/>
                <w:szCs w:val="18"/>
                <w:lang w:val="en-GB"/>
              </w:rPr>
              <w:t>14</w:t>
            </w:r>
            <w:r w:rsidR="00775312" w:rsidRPr="009D10D4">
              <w:rPr>
                <w:rFonts w:ascii="Arial" w:hAnsi="Arial" w:cs="Arial"/>
                <w:b/>
                <w:bCs/>
                <w:color w:val="1A1A1A"/>
                <w:sz w:val="16"/>
                <w:szCs w:val="18"/>
                <w:vertAlign w:val="superscript"/>
                <w:lang w:val="en-GB"/>
              </w:rPr>
              <w:t>*</w:t>
            </w:r>
            <w:r w:rsidR="00122FEC" w:rsidRPr="009D10D4">
              <w:rPr>
                <w:rFonts w:ascii="Arial" w:hAnsi="Arial" w:cs="Arial"/>
                <w:b/>
                <w:bCs/>
                <w:color w:val="1A1A1A"/>
                <w:sz w:val="16"/>
                <w:szCs w:val="18"/>
                <w:vertAlign w:val="superscript"/>
                <w:lang w:val="en-GB"/>
              </w:rPr>
              <w:t>*</w:t>
            </w:r>
          </w:p>
        </w:tc>
        <w:tc>
          <w:tcPr>
            <w:tcW w:w="359" w:type="pct"/>
            <w:hideMark/>
          </w:tcPr>
          <w:p w14:paraId="762C773E"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2014</w:t>
            </w:r>
            <w:r w:rsidR="0062341F" w:rsidRPr="009D10D4">
              <w:rPr>
                <w:rFonts w:ascii="Arial" w:hAnsi="Arial" w:cs="Arial"/>
                <w:b/>
                <w:bCs/>
                <w:color w:val="1A1A1A"/>
                <w:sz w:val="16"/>
                <w:szCs w:val="18"/>
                <w:lang w:val="en-GB"/>
              </w:rPr>
              <w:t>/</w:t>
            </w:r>
          </w:p>
          <w:p w14:paraId="27000084" w14:textId="22E78009" w:rsidR="00221CD1" w:rsidRPr="009D10D4" w:rsidRDefault="00221CD1" w:rsidP="00640722">
            <w:pPr>
              <w:widowControl w:val="0"/>
              <w:autoSpaceDE w:val="0"/>
              <w:autoSpaceDN w:val="0"/>
              <w:adjustRightInd w:val="0"/>
              <w:jc w:val="center"/>
              <w:rPr>
                <w:rFonts w:ascii="Arial" w:hAnsi="Arial" w:cs="Arial"/>
                <w:b/>
                <w:bCs/>
                <w:color w:val="1A1A1A"/>
                <w:sz w:val="16"/>
                <w:szCs w:val="18"/>
                <w:vertAlign w:val="superscript"/>
                <w:lang w:val="en-GB"/>
              </w:rPr>
            </w:pPr>
            <w:r w:rsidRPr="009D10D4">
              <w:rPr>
                <w:rFonts w:ascii="Arial" w:hAnsi="Arial" w:cs="Arial"/>
                <w:b/>
                <w:bCs/>
                <w:color w:val="1A1A1A"/>
                <w:sz w:val="16"/>
                <w:szCs w:val="18"/>
                <w:lang w:val="en-GB"/>
              </w:rPr>
              <w:t>15</w:t>
            </w:r>
            <w:r w:rsidR="00775312" w:rsidRPr="009D10D4">
              <w:rPr>
                <w:rFonts w:ascii="Arial" w:hAnsi="Arial" w:cs="Arial"/>
                <w:b/>
                <w:bCs/>
                <w:color w:val="1A1A1A"/>
                <w:sz w:val="16"/>
                <w:szCs w:val="18"/>
                <w:vertAlign w:val="superscript"/>
                <w:lang w:val="en-GB"/>
              </w:rPr>
              <w:t>*</w:t>
            </w:r>
            <w:r w:rsidR="00122FEC" w:rsidRPr="009D10D4">
              <w:rPr>
                <w:rFonts w:ascii="Arial" w:hAnsi="Arial" w:cs="Arial"/>
                <w:b/>
                <w:bCs/>
                <w:color w:val="1A1A1A"/>
                <w:sz w:val="16"/>
                <w:szCs w:val="18"/>
                <w:vertAlign w:val="superscript"/>
                <w:lang w:val="en-GB"/>
              </w:rPr>
              <w:t>*</w:t>
            </w:r>
          </w:p>
        </w:tc>
        <w:tc>
          <w:tcPr>
            <w:tcW w:w="683" w:type="pct"/>
            <w:hideMark/>
          </w:tcPr>
          <w:p w14:paraId="26278C26"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2015</w:t>
            </w:r>
            <w:r w:rsidR="0062341F" w:rsidRPr="009D10D4">
              <w:rPr>
                <w:rFonts w:ascii="Arial" w:hAnsi="Arial" w:cs="Arial"/>
                <w:b/>
                <w:bCs/>
                <w:color w:val="1A1A1A"/>
                <w:sz w:val="16"/>
                <w:szCs w:val="18"/>
                <w:lang w:val="en-GB"/>
              </w:rPr>
              <w:t>/</w:t>
            </w:r>
          </w:p>
          <w:p w14:paraId="462086D1" w14:textId="56384E18" w:rsidR="00221CD1" w:rsidRPr="009D10D4" w:rsidRDefault="00221CD1" w:rsidP="00640722">
            <w:pPr>
              <w:widowControl w:val="0"/>
              <w:autoSpaceDE w:val="0"/>
              <w:autoSpaceDN w:val="0"/>
              <w:adjustRightInd w:val="0"/>
              <w:jc w:val="center"/>
              <w:rPr>
                <w:rFonts w:ascii="Arial" w:hAnsi="Arial" w:cs="Arial"/>
                <w:b/>
                <w:bCs/>
                <w:color w:val="1A1A1A"/>
                <w:sz w:val="16"/>
                <w:szCs w:val="18"/>
                <w:vertAlign w:val="superscript"/>
                <w:lang w:val="en-GB"/>
              </w:rPr>
            </w:pPr>
            <w:r w:rsidRPr="009D10D4">
              <w:rPr>
                <w:rFonts w:ascii="Arial" w:hAnsi="Arial" w:cs="Arial"/>
                <w:b/>
                <w:bCs/>
                <w:color w:val="1A1A1A"/>
                <w:sz w:val="16"/>
                <w:szCs w:val="18"/>
                <w:lang w:val="en-GB"/>
              </w:rPr>
              <w:t>16</w:t>
            </w:r>
            <w:r w:rsidR="00775312" w:rsidRPr="009D10D4">
              <w:rPr>
                <w:rFonts w:ascii="Arial" w:hAnsi="Arial" w:cs="Arial"/>
                <w:b/>
                <w:bCs/>
                <w:color w:val="1A1A1A"/>
                <w:sz w:val="16"/>
                <w:szCs w:val="18"/>
                <w:vertAlign w:val="superscript"/>
                <w:lang w:val="en-GB"/>
              </w:rPr>
              <w:t>*</w:t>
            </w:r>
            <w:r w:rsidR="00122FEC" w:rsidRPr="009D10D4">
              <w:rPr>
                <w:rFonts w:ascii="Arial" w:hAnsi="Arial" w:cs="Arial"/>
                <w:b/>
                <w:bCs/>
                <w:color w:val="1A1A1A"/>
                <w:sz w:val="16"/>
                <w:szCs w:val="18"/>
                <w:vertAlign w:val="superscript"/>
                <w:lang w:val="en-GB"/>
              </w:rPr>
              <w:t>*</w:t>
            </w:r>
          </w:p>
        </w:tc>
        <w:tc>
          <w:tcPr>
            <w:tcW w:w="403" w:type="pct"/>
          </w:tcPr>
          <w:p w14:paraId="4918C2B7"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1990</w:t>
            </w:r>
            <w:r w:rsidR="0062341F" w:rsidRPr="009D10D4">
              <w:rPr>
                <w:rFonts w:ascii="Arial" w:hAnsi="Arial" w:cs="Arial"/>
                <w:b/>
                <w:bCs/>
                <w:color w:val="1A1A1A"/>
                <w:sz w:val="16"/>
                <w:szCs w:val="18"/>
                <w:lang w:val="en-GB"/>
              </w:rPr>
              <w:t>/</w:t>
            </w:r>
          </w:p>
          <w:p w14:paraId="68E0E8F9" w14:textId="55F2B1B5" w:rsidR="00221CD1"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91</w:t>
            </w:r>
          </w:p>
        </w:tc>
        <w:tc>
          <w:tcPr>
            <w:tcW w:w="403" w:type="pct"/>
          </w:tcPr>
          <w:p w14:paraId="5A9854AE"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2007</w:t>
            </w:r>
            <w:r w:rsidR="0062341F" w:rsidRPr="009D10D4">
              <w:rPr>
                <w:rFonts w:ascii="Arial" w:hAnsi="Arial" w:cs="Arial"/>
                <w:b/>
                <w:bCs/>
                <w:color w:val="1A1A1A"/>
                <w:sz w:val="16"/>
                <w:szCs w:val="18"/>
                <w:lang w:val="en-GB"/>
              </w:rPr>
              <w:t>/</w:t>
            </w:r>
          </w:p>
          <w:p w14:paraId="17568BA0" w14:textId="20F56E94" w:rsidR="00221CD1"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08</w:t>
            </w:r>
          </w:p>
        </w:tc>
        <w:tc>
          <w:tcPr>
            <w:tcW w:w="403" w:type="pct"/>
            <w:hideMark/>
          </w:tcPr>
          <w:p w14:paraId="029FF5AB"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2013</w:t>
            </w:r>
            <w:r w:rsidR="0062341F" w:rsidRPr="009D10D4">
              <w:rPr>
                <w:rFonts w:ascii="Arial" w:hAnsi="Arial" w:cs="Arial"/>
                <w:b/>
                <w:bCs/>
                <w:color w:val="1A1A1A"/>
                <w:sz w:val="16"/>
                <w:szCs w:val="18"/>
                <w:lang w:val="en-GB"/>
              </w:rPr>
              <w:t>/</w:t>
            </w:r>
          </w:p>
          <w:p w14:paraId="6E373391" w14:textId="4DA042B0" w:rsidR="00221CD1"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14</w:t>
            </w:r>
          </w:p>
        </w:tc>
        <w:tc>
          <w:tcPr>
            <w:tcW w:w="403" w:type="pct"/>
            <w:hideMark/>
          </w:tcPr>
          <w:p w14:paraId="182B422B"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2014</w:t>
            </w:r>
            <w:r w:rsidR="0062341F" w:rsidRPr="009D10D4">
              <w:rPr>
                <w:rFonts w:ascii="Arial" w:hAnsi="Arial" w:cs="Arial"/>
                <w:b/>
                <w:bCs/>
                <w:color w:val="1A1A1A"/>
                <w:sz w:val="16"/>
                <w:szCs w:val="18"/>
                <w:lang w:val="en-GB"/>
              </w:rPr>
              <w:t>/</w:t>
            </w:r>
          </w:p>
          <w:p w14:paraId="56C23597" w14:textId="4E962923" w:rsidR="00221CD1"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15</w:t>
            </w:r>
          </w:p>
        </w:tc>
        <w:tc>
          <w:tcPr>
            <w:tcW w:w="403" w:type="pct"/>
            <w:hideMark/>
          </w:tcPr>
          <w:p w14:paraId="71B5026C" w14:textId="77777777" w:rsidR="00EB3F06"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2015</w:t>
            </w:r>
            <w:r w:rsidR="0062341F" w:rsidRPr="009D10D4">
              <w:rPr>
                <w:rFonts w:ascii="Arial" w:hAnsi="Arial" w:cs="Arial"/>
                <w:b/>
                <w:bCs/>
                <w:color w:val="1A1A1A"/>
                <w:sz w:val="16"/>
                <w:szCs w:val="18"/>
                <w:lang w:val="en-GB"/>
              </w:rPr>
              <w:t>/</w:t>
            </w:r>
          </w:p>
          <w:p w14:paraId="738EBBB1" w14:textId="482AD9DA" w:rsidR="00221CD1" w:rsidRPr="009D10D4" w:rsidRDefault="00221CD1" w:rsidP="00640722">
            <w:pPr>
              <w:widowControl w:val="0"/>
              <w:autoSpaceDE w:val="0"/>
              <w:autoSpaceDN w:val="0"/>
              <w:adjustRightInd w:val="0"/>
              <w:jc w:val="center"/>
              <w:rPr>
                <w:rFonts w:ascii="Arial" w:hAnsi="Arial" w:cs="Arial"/>
                <w:b/>
                <w:bCs/>
                <w:color w:val="1A1A1A"/>
                <w:sz w:val="16"/>
                <w:szCs w:val="18"/>
                <w:lang w:val="en-GB"/>
              </w:rPr>
            </w:pPr>
            <w:r w:rsidRPr="009D10D4">
              <w:rPr>
                <w:rFonts w:ascii="Arial" w:hAnsi="Arial" w:cs="Arial"/>
                <w:b/>
                <w:bCs/>
                <w:color w:val="1A1A1A"/>
                <w:sz w:val="16"/>
                <w:szCs w:val="18"/>
                <w:lang w:val="en-GB"/>
              </w:rPr>
              <w:t>16</w:t>
            </w:r>
          </w:p>
        </w:tc>
      </w:tr>
      <w:tr w:rsidR="00221CD1" w:rsidRPr="009D10D4" w14:paraId="412CFCF3" w14:textId="77777777" w:rsidTr="009D10D4">
        <w:trPr>
          <w:trHeight w:val="40"/>
        </w:trPr>
        <w:tc>
          <w:tcPr>
            <w:tcW w:w="802" w:type="pct"/>
          </w:tcPr>
          <w:p w14:paraId="754655C7" w14:textId="77777777" w:rsidR="00221CD1" w:rsidRPr="009D10D4" w:rsidRDefault="00221CD1" w:rsidP="00AB18DE">
            <w:pPr>
              <w:widowControl w:val="0"/>
              <w:autoSpaceDE w:val="0"/>
              <w:autoSpaceDN w:val="0"/>
              <w:adjustRightInd w:val="0"/>
              <w:jc w:val="center"/>
              <w:rPr>
                <w:rFonts w:ascii="Arial" w:hAnsi="Arial" w:cs="Arial"/>
                <w:b/>
                <w:bCs/>
                <w:color w:val="1A1A1A"/>
                <w:sz w:val="16"/>
                <w:szCs w:val="18"/>
                <w:lang w:val="en-GB"/>
              </w:rPr>
            </w:pPr>
          </w:p>
        </w:tc>
        <w:tc>
          <w:tcPr>
            <w:tcW w:w="4198" w:type="pct"/>
            <w:gridSpan w:val="10"/>
          </w:tcPr>
          <w:p w14:paraId="2655B5D2" w14:textId="618132F4" w:rsidR="00221CD1" w:rsidRPr="009D10D4" w:rsidRDefault="00221CD1" w:rsidP="009D10D4">
            <w:pPr>
              <w:widowControl w:val="0"/>
              <w:autoSpaceDE w:val="0"/>
              <w:autoSpaceDN w:val="0"/>
              <w:adjustRightInd w:val="0"/>
              <w:spacing w:before="40" w:after="40"/>
              <w:jc w:val="center"/>
              <w:rPr>
                <w:rFonts w:ascii="Arial" w:hAnsi="Arial" w:cs="Arial"/>
                <w:b/>
                <w:bCs/>
                <w:color w:val="1A1A1A"/>
                <w:sz w:val="16"/>
                <w:szCs w:val="18"/>
                <w:lang w:val="en-GB"/>
              </w:rPr>
            </w:pPr>
            <w:r w:rsidRPr="009D10D4">
              <w:rPr>
                <w:rFonts w:ascii="Arial" w:hAnsi="Arial" w:cs="Arial"/>
                <w:b/>
                <w:bCs/>
                <w:color w:val="1A1A1A"/>
                <w:sz w:val="16"/>
                <w:szCs w:val="18"/>
                <w:lang w:val="en-GB"/>
              </w:rPr>
              <w:t>Expenditure</w:t>
            </w:r>
            <w:r w:rsidR="00B31DC6" w:rsidRPr="009D10D4">
              <w:rPr>
                <w:rFonts w:ascii="Arial" w:hAnsi="Arial" w:cs="Arial"/>
                <w:b/>
                <w:bCs/>
                <w:color w:val="1A1A1A"/>
                <w:sz w:val="16"/>
                <w:szCs w:val="18"/>
                <w:lang w:val="en-GB"/>
              </w:rPr>
              <w:t>-</w:t>
            </w:r>
            <w:r w:rsidRPr="009D10D4">
              <w:rPr>
                <w:rFonts w:ascii="Arial" w:hAnsi="Arial" w:cs="Arial"/>
                <w:b/>
                <w:bCs/>
                <w:color w:val="1A1A1A"/>
                <w:sz w:val="16"/>
                <w:szCs w:val="18"/>
                <w:lang w:val="en-GB"/>
              </w:rPr>
              <w:t>Side GDP</w:t>
            </w:r>
          </w:p>
        </w:tc>
      </w:tr>
      <w:tr w:rsidR="00221CD1" w:rsidRPr="009D10D4" w14:paraId="27F64CA7" w14:textId="77777777" w:rsidTr="009D10D4">
        <w:trPr>
          <w:trHeight w:val="332"/>
        </w:trPr>
        <w:tc>
          <w:tcPr>
            <w:tcW w:w="802" w:type="pct"/>
            <w:hideMark/>
          </w:tcPr>
          <w:p w14:paraId="75F0D0F0" w14:textId="77777777" w:rsidR="00221CD1" w:rsidRPr="009D10D4" w:rsidRDefault="00221CD1" w:rsidP="00B97D5A">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1. Private Final Consumption Expenditure</w:t>
            </w:r>
          </w:p>
        </w:tc>
        <w:tc>
          <w:tcPr>
            <w:tcW w:w="348" w:type="pct"/>
          </w:tcPr>
          <w:p w14:paraId="328C7F26"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4.47</w:t>
            </w:r>
          </w:p>
        </w:tc>
        <w:tc>
          <w:tcPr>
            <w:tcW w:w="431" w:type="pct"/>
            <w:hideMark/>
          </w:tcPr>
          <w:p w14:paraId="52F6A74D"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9.36</w:t>
            </w:r>
          </w:p>
        </w:tc>
        <w:tc>
          <w:tcPr>
            <w:tcW w:w="359" w:type="pct"/>
            <w:hideMark/>
          </w:tcPr>
          <w:p w14:paraId="5B7D0E49" w14:textId="04E02A92" w:rsidR="00221CD1" w:rsidRPr="009D10D4" w:rsidRDefault="00807B0E"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6.8</w:t>
            </w:r>
          </w:p>
        </w:tc>
        <w:tc>
          <w:tcPr>
            <w:tcW w:w="359" w:type="pct"/>
            <w:hideMark/>
          </w:tcPr>
          <w:p w14:paraId="6799F423" w14:textId="26CDE1C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w:t>
            </w:r>
            <w:r w:rsidR="00807B0E" w:rsidRPr="009D10D4">
              <w:rPr>
                <w:rFonts w:ascii="Arial" w:hAnsi="Arial" w:cs="Arial"/>
                <w:color w:val="1A1A1A"/>
                <w:sz w:val="16"/>
                <w:szCs w:val="18"/>
                <w:lang w:val="en-GB"/>
              </w:rPr>
              <w:t>2</w:t>
            </w:r>
          </w:p>
        </w:tc>
        <w:tc>
          <w:tcPr>
            <w:tcW w:w="683" w:type="pct"/>
            <w:hideMark/>
          </w:tcPr>
          <w:p w14:paraId="1837D8F4" w14:textId="435A843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7.</w:t>
            </w:r>
            <w:r w:rsidR="00807B0E" w:rsidRPr="009D10D4">
              <w:rPr>
                <w:rFonts w:ascii="Arial" w:hAnsi="Arial" w:cs="Arial"/>
                <w:color w:val="1A1A1A"/>
                <w:sz w:val="16"/>
                <w:szCs w:val="18"/>
                <w:lang w:val="en-GB"/>
              </w:rPr>
              <w:t>4</w:t>
            </w:r>
          </w:p>
        </w:tc>
        <w:tc>
          <w:tcPr>
            <w:tcW w:w="403" w:type="pct"/>
          </w:tcPr>
          <w:p w14:paraId="318AD43F"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67.98</w:t>
            </w:r>
          </w:p>
        </w:tc>
        <w:tc>
          <w:tcPr>
            <w:tcW w:w="403" w:type="pct"/>
          </w:tcPr>
          <w:p w14:paraId="35FD32EE"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56.96</w:t>
            </w:r>
          </w:p>
        </w:tc>
        <w:tc>
          <w:tcPr>
            <w:tcW w:w="403" w:type="pct"/>
            <w:hideMark/>
          </w:tcPr>
          <w:p w14:paraId="4D979739" w14:textId="4ED1E14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58</w:t>
            </w:r>
            <w:r w:rsidR="005F4E36" w:rsidRPr="009D10D4">
              <w:rPr>
                <w:rFonts w:ascii="Arial" w:hAnsi="Arial" w:cs="Arial"/>
                <w:color w:val="1A1A1A"/>
                <w:sz w:val="16"/>
                <w:szCs w:val="18"/>
                <w:lang w:val="en-GB"/>
              </w:rPr>
              <w:t>.00</w:t>
            </w:r>
          </w:p>
        </w:tc>
        <w:tc>
          <w:tcPr>
            <w:tcW w:w="403" w:type="pct"/>
            <w:hideMark/>
          </w:tcPr>
          <w:p w14:paraId="4B91397A" w14:textId="028F7A1E"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w:t>
            </w:r>
            <w:r w:rsidR="00EE7DF4" w:rsidRPr="009D10D4">
              <w:rPr>
                <w:rFonts w:ascii="Arial" w:hAnsi="Arial" w:cs="Arial"/>
                <w:color w:val="1A1A1A"/>
                <w:sz w:val="16"/>
                <w:szCs w:val="18"/>
                <w:lang w:val="en-GB"/>
              </w:rPr>
              <w:t>7.92</w:t>
            </w:r>
          </w:p>
        </w:tc>
        <w:tc>
          <w:tcPr>
            <w:tcW w:w="403" w:type="pct"/>
            <w:hideMark/>
          </w:tcPr>
          <w:p w14:paraId="1D56DA02" w14:textId="554C8A98"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58.</w:t>
            </w:r>
            <w:r w:rsidR="00EE7DF4" w:rsidRPr="009D10D4">
              <w:rPr>
                <w:rFonts w:ascii="Arial" w:hAnsi="Arial" w:cs="Arial"/>
                <w:color w:val="1A1A1A"/>
                <w:sz w:val="16"/>
                <w:szCs w:val="18"/>
                <w:lang w:val="en-GB"/>
              </w:rPr>
              <w:t>43</w:t>
            </w:r>
          </w:p>
        </w:tc>
      </w:tr>
      <w:tr w:rsidR="00221CD1" w:rsidRPr="009D10D4" w14:paraId="51E8C259" w14:textId="77777777" w:rsidTr="009D10D4">
        <w:trPr>
          <w:trHeight w:val="195"/>
        </w:trPr>
        <w:tc>
          <w:tcPr>
            <w:tcW w:w="802" w:type="pct"/>
            <w:hideMark/>
          </w:tcPr>
          <w:p w14:paraId="2EE778E9" w14:textId="77777777" w:rsidR="00221CD1" w:rsidRPr="009D10D4" w:rsidRDefault="00221CD1" w:rsidP="00B97D5A">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2. Government Final Consumption Expenditure</w:t>
            </w:r>
          </w:p>
        </w:tc>
        <w:tc>
          <w:tcPr>
            <w:tcW w:w="348" w:type="pct"/>
          </w:tcPr>
          <w:p w14:paraId="01165F1C" w14:textId="59CCBD3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3.4</w:t>
            </w:r>
            <w:r w:rsidR="005F4E36" w:rsidRPr="009D10D4">
              <w:rPr>
                <w:rFonts w:ascii="Arial" w:hAnsi="Arial" w:cs="Arial"/>
                <w:color w:val="1A1A1A"/>
                <w:sz w:val="16"/>
                <w:szCs w:val="18"/>
                <w:lang w:val="en-GB"/>
              </w:rPr>
              <w:t>0</w:t>
            </w:r>
          </w:p>
        </w:tc>
        <w:tc>
          <w:tcPr>
            <w:tcW w:w="431" w:type="pct"/>
            <w:hideMark/>
          </w:tcPr>
          <w:p w14:paraId="524B6E31"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9.57</w:t>
            </w:r>
          </w:p>
        </w:tc>
        <w:tc>
          <w:tcPr>
            <w:tcW w:w="359" w:type="pct"/>
            <w:hideMark/>
          </w:tcPr>
          <w:p w14:paraId="32CF3069" w14:textId="746DBDD0"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0.</w:t>
            </w:r>
            <w:r w:rsidR="00807B0E" w:rsidRPr="009D10D4">
              <w:rPr>
                <w:rFonts w:ascii="Arial" w:hAnsi="Arial" w:cs="Arial"/>
                <w:color w:val="1A1A1A"/>
                <w:sz w:val="16"/>
                <w:szCs w:val="18"/>
                <w:lang w:val="en-GB"/>
              </w:rPr>
              <w:t>4</w:t>
            </w:r>
          </w:p>
        </w:tc>
        <w:tc>
          <w:tcPr>
            <w:tcW w:w="359" w:type="pct"/>
            <w:hideMark/>
          </w:tcPr>
          <w:p w14:paraId="5180EC95" w14:textId="3117C82E" w:rsidR="00221CD1" w:rsidRPr="009D10D4" w:rsidRDefault="00807B0E"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12.8</w:t>
            </w:r>
          </w:p>
        </w:tc>
        <w:tc>
          <w:tcPr>
            <w:tcW w:w="683" w:type="pct"/>
            <w:hideMark/>
          </w:tcPr>
          <w:p w14:paraId="5A00F20F" w14:textId="78674AA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807B0E" w:rsidRPr="009D10D4">
              <w:rPr>
                <w:rFonts w:ascii="Arial" w:hAnsi="Arial" w:cs="Arial"/>
                <w:color w:val="1A1A1A"/>
                <w:sz w:val="16"/>
                <w:szCs w:val="18"/>
                <w:lang w:val="en-GB"/>
              </w:rPr>
              <w:t>2</w:t>
            </w:r>
          </w:p>
        </w:tc>
        <w:tc>
          <w:tcPr>
            <w:tcW w:w="403" w:type="pct"/>
          </w:tcPr>
          <w:p w14:paraId="715312CC"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11.86</w:t>
            </w:r>
          </w:p>
        </w:tc>
        <w:tc>
          <w:tcPr>
            <w:tcW w:w="403" w:type="pct"/>
          </w:tcPr>
          <w:p w14:paraId="1B0504C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10.29</w:t>
            </w:r>
          </w:p>
        </w:tc>
        <w:tc>
          <w:tcPr>
            <w:tcW w:w="403" w:type="pct"/>
            <w:hideMark/>
          </w:tcPr>
          <w:p w14:paraId="2A95636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10.25</w:t>
            </w:r>
          </w:p>
        </w:tc>
        <w:tc>
          <w:tcPr>
            <w:tcW w:w="403" w:type="pct"/>
            <w:hideMark/>
          </w:tcPr>
          <w:p w14:paraId="4013D5E4" w14:textId="4314461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w:t>
            </w:r>
            <w:r w:rsidR="00EE7DF4" w:rsidRPr="009D10D4">
              <w:rPr>
                <w:rFonts w:ascii="Arial" w:hAnsi="Arial" w:cs="Arial"/>
                <w:color w:val="1A1A1A"/>
                <w:sz w:val="16"/>
                <w:szCs w:val="18"/>
                <w:lang w:val="en-GB"/>
              </w:rPr>
              <w:t>4</w:t>
            </w:r>
            <w:r w:rsidR="005F4E36" w:rsidRPr="009D10D4">
              <w:rPr>
                <w:rFonts w:ascii="Arial" w:hAnsi="Arial" w:cs="Arial"/>
                <w:color w:val="1A1A1A"/>
                <w:sz w:val="16"/>
                <w:szCs w:val="18"/>
                <w:lang w:val="en-GB"/>
              </w:rPr>
              <w:t>0</w:t>
            </w:r>
          </w:p>
        </w:tc>
        <w:tc>
          <w:tcPr>
            <w:tcW w:w="403" w:type="pct"/>
            <w:hideMark/>
          </w:tcPr>
          <w:p w14:paraId="54015362" w14:textId="4A65EFE8"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10.4</w:t>
            </w:r>
            <w:r w:rsidR="005F4E36" w:rsidRPr="009D10D4">
              <w:rPr>
                <w:rFonts w:ascii="Arial" w:hAnsi="Arial" w:cs="Arial"/>
                <w:color w:val="1A1A1A"/>
                <w:sz w:val="16"/>
                <w:szCs w:val="18"/>
                <w:lang w:val="en-GB"/>
              </w:rPr>
              <w:t>0</w:t>
            </w:r>
          </w:p>
        </w:tc>
      </w:tr>
      <w:tr w:rsidR="00221CD1" w:rsidRPr="009D10D4" w14:paraId="7635D625" w14:textId="77777777" w:rsidTr="009D10D4">
        <w:trPr>
          <w:trHeight w:val="201"/>
        </w:trPr>
        <w:tc>
          <w:tcPr>
            <w:tcW w:w="802" w:type="pct"/>
            <w:hideMark/>
          </w:tcPr>
          <w:p w14:paraId="6974B1D0" w14:textId="77777777" w:rsidR="00221CD1" w:rsidRPr="009D10D4" w:rsidRDefault="00221CD1" w:rsidP="00B97D5A">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3. Gross Fixed Capital Formation</w:t>
            </w:r>
          </w:p>
        </w:tc>
        <w:tc>
          <w:tcPr>
            <w:tcW w:w="348" w:type="pct"/>
          </w:tcPr>
          <w:p w14:paraId="3CD65E77" w14:textId="1E844E36"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13.6</w:t>
            </w:r>
            <w:r w:rsidR="005F4E36" w:rsidRPr="009D10D4">
              <w:rPr>
                <w:rFonts w:ascii="Arial" w:hAnsi="Arial" w:cs="Arial"/>
                <w:color w:val="1A1A1A"/>
                <w:sz w:val="16"/>
                <w:szCs w:val="18"/>
                <w:lang w:val="en-GB"/>
              </w:rPr>
              <w:t>0</w:t>
            </w:r>
          </w:p>
        </w:tc>
        <w:tc>
          <w:tcPr>
            <w:tcW w:w="431" w:type="pct"/>
            <w:hideMark/>
          </w:tcPr>
          <w:p w14:paraId="06F2D646" w14:textId="60568370"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16.2</w:t>
            </w:r>
            <w:r w:rsidR="005F4E36" w:rsidRPr="009D10D4">
              <w:rPr>
                <w:rFonts w:ascii="Arial" w:hAnsi="Arial" w:cs="Arial"/>
                <w:color w:val="1A1A1A"/>
                <w:sz w:val="16"/>
                <w:szCs w:val="18"/>
                <w:lang w:val="en-GB"/>
              </w:rPr>
              <w:t>0</w:t>
            </w:r>
          </w:p>
        </w:tc>
        <w:tc>
          <w:tcPr>
            <w:tcW w:w="359" w:type="pct"/>
            <w:hideMark/>
          </w:tcPr>
          <w:p w14:paraId="2D12E325" w14:textId="3B9B4B68" w:rsidR="00221CD1" w:rsidRPr="009D10D4" w:rsidRDefault="00775312"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3.4</w:t>
            </w:r>
          </w:p>
        </w:tc>
        <w:tc>
          <w:tcPr>
            <w:tcW w:w="359" w:type="pct"/>
            <w:hideMark/>
          </w:tcPr>
          <w:p w14:paraId="48A0C042" w14:textId="4FA898A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w:t>
            </w:r>
            <w:r w:rsidR="00775312" w:rsidRPr="009D10D4">
              <w:rPr>
                <w:rFonts w:ascii="Arial" w:hAnsi="Arial" w:cs="Arial"/>
                <w:color w:val="1A1A1A"/>
                <w:sz w:val="16"/>
                <w:szCs w:val="18"/>
                <w:lang w:val="en-GB"/>
              </w:rPr>
              <w:t>9</w:t>
            </w:r>
          </w:p>
        </w:tc>
        <w:tc>
          <w:tcPr>
            <w:tcW w:w="683" w:type="pct"/>
            <w:hideMark/>
          </w:tcPr>
          <w:p w14:paraId="59FC7832" w14:textId="11F5A154" w:rsidR="00221CD1" w:rsidRPr="009D10D4" w:rsidRDefault="00775312"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3.9</w:t>
            </w:r>
          </w:p>
        </w:tc>
        <w:tc>
          <w:tcPr>
            <w:tcW w:w="403" w:type="pct"/>
          </w:tcPr>
          <w:p w14:paraId="459BF64C"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23.82</w:t>
            </w:r>
          </w:p>
        </w:tc>
        <w:tc>
          <w:tcPr>
            <w:tcW w:w="403" w:type="pct"/>
          </w:tcPr>
          <w:p w14:paraId="0B449D2D"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32.92</w:t>
            </w:r>
          </w:p>
        </w:tc>
        <w:tc>
          <w:tcPr>
            <w:tcW w:w="403" w:type="pct"/>
            <w:hideMark/>
          </w:tcPr>
          <w:p w14:paraId="624E797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31.15</w:t>
            </w:r>
          </w:p>
        </w:tc>
        <w:tc>
          <w:tcPr>
            <w:tcW w:w="403" w:type="pct"/>
            <w:hideMark/>
          </w:tcPr>
          <w:p w14:paraId="779704A6" w14:textId="7BD22AB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30.3</w:t>
            </w:r>
            <w:r w:rsidR="005F4E36" w:rsidRPr="009D10D4">
              <w:rPr>
                <w:rFonts w:ascii="Arial" w:hAnsi="Arial" w:cs="Arial"/>
                <w:color w:val="1A1A1A"/>
                <w:sz w:val="16"/>
                <w:szCs w:val="18"/>
                <w:lang w:val="en-GB"/>
              </w:rPr>
              <w:t>0</w:t>
            </w:r>
          </w:p>
        </w:tc>
        <w:tc>
          <w:tcPr>
            <w:tcW w:w="403" w:type="pct"/>
            <w:hideMark/>
          </w:tcPr>
          <w:p w14:paraId="779A5182" w14:textId="479A114B"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29.</w:t>
            </w:r>
            <w:r w:rsidR="00EE7DF4" w:rsidRPr="009D10D4">
              <w:rPr>
                <w:rFonts w:ascii="Arial" w:hAnsi="Arial" w:cs="Arial"/>
                <w:color w:val="1A1A1A"/>
                <w:sz w:val="16"/>
                <w:szCs w:val="18"/>
                <w:lang w:val="en-GB"/>
              </w:rPr>
              <w:t>4</w:t>
            </w:r>
            <w:r w:rsidRPr="009D10D4">
              <w:rPr>
                <w:rFonts w:ascii="Arial" w:hAnsi="Arial" w:cs="Arial"/>
                <w:color w:val="1A1A1A"/>
                <w:sz w:val="16"/>
                <w:szCs w:val="18"/>
                <w:lang w:val="en-GB"/>
              </w:rPr>
              <w:t>8</w:t>
            </w:r>
          </w:p>
        </w:tc>
      </w:tr>
      <w:tr w:rsidR="00221CD1" w:rsidRPr="009D10D4" w14:paraId="084FBC4D" w14:textId="77777777" w:rsidTr="009D10D4">
        <w:trPr>
          <w:trHeight w:val="52"/>
        </w:trPr>
        <w:tc>
          <w:tcPr>
            <w:tcW w:w="802" w:type="pct"/>
            <w:hideMark/>
          </w:tcPr>
          <w:p w14:paraId="0A653544" w14:textId="77777777" w:rsidR="00221CD1" w:rsidRPr="009D10D4" w:rsidRDefault="00221CD1"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4. Change in Stocks</w:t>
            </w:r>
          </w:p>
        </w:tc>
        <w:tc>
          <w:tcPr>
            <w:tcW w:w="348" w:type="pct"/>
          </w:tcPr>
          <w:p w14:paraId="67B933DD" w14:textId="348CA8F0"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6.21</w:t>
            </w:r>
          </w:p>
        </w:tc>
        <w:tc>
          <w:tcPr>
            <w:tcW w:w="431" w:type="pct"/>
            <w:hideMark/>
          </w:tcPr>
          <w:p w14:paraId="47078E0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31.34</w:t>
            </w:r>
          </w:p>
        </w:tc>
        <w:tc>
          <w:tcPr>
            <w:tcW w:w="359" w:type="pct"/>
            <w:hideMark/>
          </w:tcPr>
          <w:p w14:paraId="07E0C691" w14:textId="7C965863"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775312" w:rsidRPr="009D10D4">
              <w:rPr>
                <w:rFonts w:ascii="Arial" w:hAnsi="Arial" w:cs="Arial"/>
                <w:color w:val="1A1A1A"/>
                <w:sz w:val="16"/>
                <w:szCs w:val="18"/>
                <w:lang w:val="en-GB"/>
              </w:rPr>
              <w:t>18.6</w:t>
            </w:r>
          </w:p>
        </w:tc>
        <w:tc>
          <w:tcPr>
            <w:tcW w:w="359" w:type="pct"/>
            <w:hideMark/>
          </w:tcPr>
          <w:p w14:paraId="552E4D3D" w14:textId="2EC9CE9E" w:rsidR="00221CD1" w:rsidRPr="009D10D4" w:rsidRDefault="00775312"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20.3</w:t>
            </w:r>
          </w:p>
        </w:tc>
        <w:tc>
          <w:tcPr>
            <w:tcW w:w="683" w:type="pct"/>
            <w:hideMark/>
          </w:tcPr>
          <w:p w14:paraId="6C560F93" w14:textId="0F085898" w:rsidR="00221CD1" w:rsidRPr="009D10D4" w:rsidRDefault="00775312"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5.5</w:t>
            </w:r>
          </w:p>
        </w:tc>
        <w:tc>
          <w:tcPr>
            <w:tcW w:w="403" w:type="pct"/>
          </w:tcPr>
          <w:p w14:paraId="3CA06241"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1.08</w:t>
            </w:r>
          </w:p>
        </w:tc>
        <w:tc>
          <w:tcPr>
            <w:tcW w:w="403" w:type="pct"/>
          </w:tcPr>
          <w:p w14:paraId="6FE6282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4.04</w:t>
            </w:r>
          </w:p>
        </w:tc>
        <w:tc>
          <w:tcPr>
            <w:tcW w:w="403" w:type="pct"/>
            <w:hideMark/>
          </w:tcPr>
          <w:p w14:paraId="6B9F90D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1.51</w:t>
            </w:r>
          </w:p>
        </w:tc>
        <w:tc>
          <w:tcPr>
            <w:tcW w:w="403" w:type="pct"/>
            <w:hideMark/>
          </w:tcPr>
          <w:p w14:paraId="6384BAA8" w14:textId="4E3B86D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EE7DF4" w:rsidRPr="009D10D4">
              <w:rPr>
                <w:rFonts w:ascii="Arial" w:hAnsi="Arial" w:cs="Arial"/>
                <w:color w:val="1A1A1A"/>
                <w:sz w:val="16"/>
                <w:szCs w:val="18"/>
                <w:lang w:val="en-GB"/>
              </w:rPr>
              <w:t>47</w:t>
            </w:r>
          </w:p>
        </w:tc>
        <w:tc>
          <w:tcPr>
            <w:tcW w:w="403" w:type="pct"/>
            <w:hideMark/>
          </w:tcPr>
          <w:p w14:paraId="75F9B989" w14:textId="5CB1258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EE7DF4" w:rsidRPr="009D10D4">
              <w:rPr>
                <w:rFonts w:ascii="Arial" w:hAnsi="Arial" w:cs="Arial"/>
                <w:color w:val="1A1A1A"/>
                <w:sz w:val="16"/>
                <w:szCs w:val="18"/>
                <w:lang w:val="en-GB"/>
              </w:rPr>
              <w:t>22</w:t>
            </w:r>
          </w:p>
        </w:tc>
      </w:tr>
      <w:tr w:rsidR="00221CD1" w:rsidRPr="009D10D4" w14:paraId="39E86627" w14:textId="77777777" w:rsidTr="009D10D4">
        <w:trPr>
          <w:trHeight w:val="125"/>
        </w:trPr>
        <w:tc>
          <w:tcPr>
            <w:tcW w:w="802" w:type="pct"/>
            <w:hideMark/>
          </w:tcPr>
          <w:p w14:paraId="75F78F71" w14:textId="77777777" w:rsidR="00221CD1" w:rsidRPr="009D10D4" w:rsidRDefault="00221CD1"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5. Valuables</w:t>
            </w:r>
          </w:p>
        </w:tc>
        <w:tc>
          <w:tcPr>
            <w:tcW w:w="348" w:type="pct"/>
          </w:tcPr>
          <w:p w14:paraId="3546C81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NA</w:t>
            </w:r>
          </w:p>
        </w:tc>
        <w:tc>
          <w:tcPr>
            <w:tcW w:w="431" w:type="pct"/>
            <w:hideMark/>
          </w:tcPr>
          <w:p w14:paraId="77777691" w14:textId="71FD3E5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2.9</w:t>
            </w:r>
            <w:r w:rsidR="005F4E36" w:rsidRPr="009D10D4">
              <w:rPr>
                <w:rFonts w:ascii="Arial" w:hAnsi="Arial" w:cs="Arial"/>
                <w:color w:val="1A1A1A"/>
                <w:sz w:val="16"/>
                <w:szCs w:val="18"/>
                <w:lang w:val="en-GB"/>
              </w:rPr>
              <w:t>0</w:t>
            </w:r>
          </w:p>
        </w:tc>
        <w:tc>
          <w:tcPr>
            <w:tcW w:w="359" w:type="pct"/>
            <w:hideMark/>
          </w:tcPr>
          <w:p w14:paraId="3D0C92CF" w14:textId="12FA4939"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42.</w:t>
            </w:r>
            <w:r w:rsidR="00775312" w:rsidRPr="009D10D4">
              <w:rPr>
                <w:rFonts w:ascii="Arial" w:hAnsi="Arial" w:cs="Arial"/>
                <w:color w:val="1A1A1A"/>
                <w:sz w:val="16"/>
                <w:szCs w:val="18"/>
                <w:lang w:val="en-GB"/>
              </w:rPr>
              <w:t>2</w:t>
            </w:r>
          </w:p>
        </w:tc>
        <w:tc>
          <w:tcPr>
            <w:tcW w:w="359" w:type="pct"/>
            <w:hideMark/>
          </w:tcPr>
          <w:p w14:paraId="2668EC0A" w14:textId="230A3C0B" w:rsidR="00221CD1" w:rsidRPr="009D10D4" w:rsidRDefault="00775312"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15.</w:t>
            </w:r>
            <w:r w:rsidR="00221CD1" w:rsidRPr="009D10D4">
              <w:rPr>
                <w:rFonts w:ascii="Arial" w:hAnsi="Arial" w:cs="Arial"/>
                <w:color w:val="1A1A1A"/>
                <w:sz w:val="16"/>
                <w:szCs w:val="18"/>
                <w:lang w:val="en-GB"/>
              </w:rPr>
              <w:t>4</w:t>
            </w:r>
          </w:p>
        </w:tc>
        <w:tc>
          <w:tcPr>
            <w:tcW w:w="683" w:type="pct"/>
            <w:hideMark/>
          </w:tcPr>
          <w:p w14:paraId="2233F122" w14:textId="2D1029A1" w:rsidR="00221CD1" w:rsidRPr="009D10D4" w:rsidRDefault="00775312"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0.3</w:t>
            </w:r>
          </w:p>
        </w:tc>
        <w:tc>
          <w:tcPr>
            <w:tcW w:w="403" w:type="pct"/>
          </w:tcPr>
          <w:p w14:paraId="3DB6735A"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0</w:t>
            </w:r>
          </w:p>
        </w:tc>
        <w:tc>
          <w:tcPr>
            <w:tcW w:w="403" w:type="pct"/>
          </w:tcPr>
          <w:p w14:paraId="1B7420E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1.07</w:t>
            </w:r>
          </w:p>
        </w:tc>
        <w:tc>
          <w:tcPr>
            <w:tcW w:w="403" w:type="pct"/>
            <w:hideMark/>
          </w:tcPr>
          <w:p w14:paraId="511F3C9F"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1.43</w:t>
            </w:r>
          </w:p>
        </w:tc>
        <w:tc>
          <w:tcPr>
            <w:tcW w:w="403" w:type="pct"/>
            <w:hideMark/>
          </w:tcPr>
          <w:p w14:paraId="36657F85"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1.68</w:t>
            </w:r>
          </w:p>
        </w:tc>
        <w:tc>
          <w:tcPr>
            <w:tcW w:w="403" w:type="pct"/>
            <w:hideMark/>
          </w:tcPr>
          <w:p w14:paraId="6ED9F066"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1.45</w:t>
            </w:r>
          </w:p>
        </w:tc>
      </w:tr>
      <w:tr w:rsidR="00221CD1" w:rsidRPr="009D10D4" w14:paraId="335F3358" w14:textId="77777777" w:rsidTr="009D10D4">
        <w:trPr>
          <w:trHeight w:val="44"/>
        </w:trPr>
        <w:tc>
          <w:tcPr>
            <w:tcW w:w="802" w:type="pct"/>
            <w:hideMark/>
          </w:tcPr>
          <w:p w14:paraId="23A3ABA1" w14:textId="77777777" w:rsidR="00221CD1" w:rsidRPr="009D10D4" w:rsidRDefault="00221CD1"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6. a) Exports</w:t>
            </w:r>
          </w:p>
        </w:tc>
        <w:tc>
          <w:tcPr>
            <w:tcW w:w="348" w:type="pct"/>
          </w:tcPr>
          <w:p w14:paraId="58FC0193" w14:textId="54B935E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11.1</w:t>
            </w:r>
            <w:r w:rsidR="005F4E36" w:rsidRPr="009D10D4">
              <w:rPr>
                <w:rFonts w:ascii="Arial" w:hAnsi="Arial" w:cs="Arial"/>
                <w:color w:val="1A1A1A"/>
                <w:sz w:val="16"/>
                <w:szCs w:val="18"/>
                <w:lang w:val="en-GB"/>
              </w:rPr>
              <w:t>0</w:t>
            </w:r>
          </w:p>
        </w:tc>
        <w:tc>
          <w:tcPr>
            <w:tcW w:w="431" w:type="pct"/>
            <w:hideMark/>
          </w:tcPr>
          <w:p w14:paraId="56D5462F"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5.93</w:t>
            </w:r>
          </w:p>
        </w:tc>
        <w:tc>
          <w:tcPr>
            <w:tcW w:w="359" w:type="pct"/>
            <w:hideMark/>
          </w:tcPr>
          <w:p w14:paraId="4EF2547C"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7.8</w:t>
            </w:r>
          </w:p>
        </w:tc>
        <w:tc>
          <w:tcPr>
            <w:tcW w:w="359" w:type="pct"/>
            <w:hideMark/>
          </w:tcPr>
          <w:p w14:paraId="41A009F7"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1.7</w:t>
            </w:r>
          </w:p>
        </w:tc>
        <w:tc>
          <w:tcPr>
            <w:tcW w:w="683" w:type="pct"/>
            <w:hideMark/>
          </w:tcPr>
          <w:p w14:paraId="33AB184E" w14:textId="6019C52D"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5.</w:t>
            </w:r>
            <w:r w:rsidR="00B87241" w:rsidRPr="009D10D4">
              <w:rPr>
                <w:rFonts w:ascii="Arial" w:hAnsi="Arial" w:cs="Arial"/>
                <w:color w:val="1A1A1A"/>
                <w:sz w:val="16"/>
                <w:szCs w:val="18"/>
                <w:lang w:val="en-GB"/>
              </w:rPr>
              <w:t>2</w:t>
            </w:r>
          </w:p>
        </w:tc>
        <w:tc>
          <w:tcPr>
            <w:tcW w:w="403" w:type="pct"/>
          </w:tcPr>
          <w:p w14:paraId="45D03E6E"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6.93</w:t>
            </w:r>
          </w:p>
        </w:tc>
        <w:tc>
          <w:tcPr>
            <w:tcW w:w="403" w:type="pct"/>
          </w:tcPr>
          <w:p w14:paraId="60F7D07C"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20.43</w:t>
            </w:r>
          </w:p>
        </w:tc>
        <w:tc>
          <w:tcPr>
            <w:tcW w:w="403" w:type="pct"/>
            <w:hideMark/>
          </w:tcPr>
          <w:p w14:paraId="1E060CAD"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25.34</w:t>
            </w:r>
          </w:p>
        </w:tc>
        <w:tc>
          <w:tcPr>
            <w:tcW w:w="403" w:type="pct"/>
            <w:hideMark/>
          </w:tcPr>
          <w:p w14:paraId="69210457"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22.93</w:t>
            </w:r>
          </w:p>
        </w:tc>
        <w:tc>
          <w:tcPr>
            <w:tcW w:w="403" w:type="pct"/>
            <w:hideMark/>
          </w:tcPr>
          <w:p w14:paraId="32B05FFD" w14:textId="43B17F2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20.1</w:t>
            </w:r>
            <w:r w:rsidR="005F4E36" w:rsidRPr="009D10D4">
              <w:rPr>
                <w:rFonts w:ascii="Arial" w:hAnsi="Arial" w:cs="Arial"/>
                <w:color w:val="1A1A1A"/>
                <w:sz w:val="16"/>
                <w:szCs w:val="18"/>
                <w:lang w:val="en-GB"/>
              </w:rPr>
              <w:t>0</w:t>
            </w:r>
          </w:p>
        </w:tc>
      </w:tr>
      <w:tr w:rsidR="00221CD1" w:rsidRPr="009D10D4" w14:paraId="3419692B" w14:textId="77777777" w:rsidTr="009D10D4">
        <w:trPr>
          <w:trHeight w:val="40"/>
        </w:trPr>
        <w:tc>
          <w:tcPr>
            <w:tcW w:w="802" w:type="pct"/>
            <w:hideMark/>
          </w:tcPr>
          <w:p w14:paraId="664186EA" w14:textId="77777777" w:rsidR="00221CD1" w:rsidRPr="009D10D4" w:rsidRDefault="00221CD1" w:rsidP="00F60503">
            <w:pPr>
              <w:widowControl w:val="0"/>
              <w:autoSpaceDE w:val="0"/>
              <w:autoSpaceDN w:val="0"/>
              <w:adjustRightInd w:val="0"/>
              <w:ind w:left="313" w:hanging="142"/>
              <w:rPr>
                <w:rFonts w:ascii="Arial" w:hAnsi="Arial" w:cs="Arial"/>
                <w:color w:val="1A1A1A"/>
                <w:sz w:val="16"/>
                <w:szCs w:val="18"/>
                <w:lang w:val="en-GB"/>
              </w:rPr>
            </w:pPr>
            <w:r w:rsidRPr="009D10D4">
              <w:rPr>
                <w:rFonts w:ascii="Arial" w:hAnsi="Arial" w:cs="Arial"/>
                <w:color w:val="1A1A1A"/>
                <w:sz w:val="16"/>
                <w:szCs w:val="18"/>
                <w:lang w:val="en-GB"/>
              </w:rPr>
              <w:t>b) Less Imports</w:t>
            </w:r>
          </w:p>
        </w:tc>
        <w:tc>
          <w:tcPr>
            <w:tcW w:w="348" w:type="pct"/>
          </w:tcPr>
          <w:p w14:paraId="7AE1B7F0"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3.37</w:t>
            </w:r>
          </w:p>
        </w:tc>
        <w:tc>
          <w:tcPr>
            <w:tcW w:w="431" w:type="pct"/>
            <w:hideMark/>
          </w:tcPr>
          <w:p w14:paraId="405A78D5"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10.19</w:t>
            </w:r>
          </w:p>
        </w:tc>
        <w:tc>
          <w:tcPr>
            <w:tcW w:w="359" w:type="pct"/>
            <w:hideMark/>
          </w:tcPr>
          <w:p w14:paraId="69DA6CF3" w14:textId="57AE3852"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8.</w:t>
            </w:r>
            <w:r w:rsidR="00B87241" w:rsidRPr="009D10D4">
              <w:rPr>
                <w:rFonts w:ascii="Arial" w:hAnsi="Arial" w:cs="Arial"/>
                <w:color w:val="1A1A1A"/>
                <w:sz w:val="16"/>
                <w:szCs w:val="18"/>
                <w:lang w:val="en-GB"/>
              </w:rPr>
              <w:t>2</w:t>
            </w:r>
          </w:p>
        </w:tc>
        <w:tc>
          <w:tcPr>
            <w:tcW w:w="359" w:type="pct"/>
            <w:hideMark/>
          </w:tcPr>
          <w:p w14:paraId="7B92A3D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0.8</w:t>
            </w:r>
          </w:p>
        </w:tc>
        <w:tc>
          <w:tcPr>
            <w:tcW w:w="683" w:type="pct"/>
            <w:hideMark/>
          </w:tcPr>
          <w:p w14:paraId="43A4F2E2" w14:textId="51B38DFC"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B87241" w:rsidRPr="009D10D4">
              <w:rPr>
                <w:rFonts w:ascii="Arial" w:hAnsi="Arial" w:cs="Arial"/>
                <w:color w:val="1A1A1A"/>
                <w:sz w:val="16"/>
                <w:szCs w:val="18"/>
                <w:lang w:val="en-GB"/>
              </w:rPr>
              <w:t>2.8</w:t>
            </w:r>
          </w:p>
        </w:tc>
        <w:tc>
          <w:tcPr>
            <w:tcW w:w="403" w:type="pct"/>
          </w:tcPr>
          <w:p w14:paraId="2A06985A"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8.31</w:t>
            </w:r>
          </w:p>
        </w:tc>
        <w:tc>
          <w:tcPr>
            <w:tcW w:w="403" w:type="pct"/>
          </w:tcPr>
          <w:p w14:paraId="5A0F7CC6"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24.45</w:t>
            </w:r>
          </w:p>
        </w:tc>
        <w:tc>
          <w:tcPr>
            <w:tcW w:w="403" w:type="pct"/>
            <w:hideMark/>
          </w:tcPr>
          <w:p w14:paraId="1F32AE18"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28.31</w:t>
            </w:r>
          </w:p>
        </w:tc>
        <w:tc>
          <w:tcPr>
            <w:tcW w:w="403" w:type="pct"/>
            <w:hideMark/>
          </w:tcPr>
          <w:p w14:paraId="764D935A"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25.91</w:t>
            </w:r>
          </w:p>
        </w:tc>
        <w:tc>
          <w:tcPr>
            <w:tcW w:w="403" w:type="pct"/>
            <w:hideMark/>
          </w:tcPr>
          <w:p w14:paraId="191ACC3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22.43</w:t>
            </w:r>
          </w:p>
        </w:tc>
      </w:tr>
      <w:tr w:rsidR="00221CD1" w:rsidRPr="009D10D4" w14:paraId="7ECF3A67" w14:textId="77777777" w:rsidTr="009D10D4">
        <w:trPr>
          <w:trHeight w:val="178"/>
        </w:trPr>
        <w:tc>
          <w:tcPr>
            <w:tcW w:w="802" w:type="pct"/>
            <w:hideMark/>
          </w:tcPr>
          <w:p w14:paraId="4DE474E1" w14:textId="77777777" w:rsidR="00221CD1" w:rsidRPr="009D10D4" w:rsidRDefault="00221CD1"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7. Discrepancies</w:t>
            </w:r>
          </w:p>
        </w:tc>
        <w:tc>
          <w:tcPr>
            <w:tcW w:w="348" w:type="pct"/>
          </w:tcPr>
          <w:p w14:paraId="5064C8E8"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64.20</w:t>
            </w:r>
          </w:p>
        </w:tc>
        <w:tc>
          <w:tcPr>
            <w:tcW w:w="431" w:type="pct"/>
            <w:hideMark/>
          </w:tcPr>
          <w:p w14:paraId="457C5F12"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111.77</w:t>
            </w:r>
          </w:p>
        </w:tc>
        <w:tc>
          <w:tcPr>
            <w:tcW w:w="359" w:type="pct"/>
            <w:hideMark/>
          </w:tcPr>
          <w:p w14:paraId="4F5819DE" w14:textId="705AE179"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B87241" w:rsidRPr="009D10D4">
              <w:rPr>
                <w:rFonts w:ascii="Arial" w:hAnsi="Arial" w:cs="Arial"/>
                <w:color w:val="1A1A1A"/>
                <w:sz w:val="16"/>
                <w:szCs w:val="18"/>
                <w:lang w:val="en-GB"/>
              </w:rPr>
              <w:t>162.5</w:t>
            </w:r>
          </w:p>
        </w:tc>
        <w:tc>
          <w:tcPr>
            <w:tcW w:w="359" w:type="pct"/>
            <w:hideMark/>
          </w:tcPr>
          <w:p w14:paraId="01E53BCF" w14:textId="5AAE3881" w:rsidR="00221CD1" w:rsidRPr="009D10D4" w:rsidRDefault="00EB3F0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B87241" w:rsidRPr="009D10D4">
              <w:rPr>
                <w:rFonts w:ascii="Arial" w:hAnsi="Arial" w:cs="Arial"/>
                <w:color w:val="1A1A1A"/>
                <w:sz w:val="16"/>
                <w:szCs w:val="18"/>
                <w:lang w:val="en-GB"/>
              </w:rPr>
              <w:t>20</w:t>
            </w:r>
            <w:r w:rsidR="005F4E36" w:rsidRPr="009D10D4">
              <w:rPr>
                <w:rFonts w:ascii="Arial" w:hAnsi="Arial" w:cs="Arial"/>
                <w:color w:val="1A1A1A"/>
                <w:sz w:val="16"/>
                <w:szCs w:val="18"/>
                <w:lang w:val="en-GB"/>
              </w:rPr>
              <w:t>.0</w:t>
            </w:r>
          </w:p>
        </w:tc>
        <w:tc>
          <w:tcPr>
            <w:tcW w:w="683" w:type="pct"/>
            <w:hideMark/>
          </w:tcPr>
          <w:p w14:paraId="523425BA" w14:textId="41002F93"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B87241" w:rsidRPr="009D10D4">
              <w:rPr>
                <w:rFonts w:ascii="Arial" w:hAnsi="Arial" w:cs="Arial"/>
                <w:color w:val="1A1A1A"/>
                <w:sz w:val="16"/>
                <w:szCs w:val="18"/>
                <w:lang w:val="en-GB"/>
              </w:rPr>
              <w:t>708.9</w:t>
            </w:r>
          </w:p>
        </w:tc>
        <w:tc>
          <w:tcPr>
            <w:tcW w:w="403" w:type="pct"/>
          </w:tcPr>
          <w:p w14:paraId="35982CE3" w14:textId="302BFA78"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3.38</w:t>
            </w:r>
          </w:p>
        </w:tc>
        <w:tc>
          <w:tcPr>
            <w:tcW w:w="403" w:type="pct"/>
          </w:tcPr>
          <w:p w14:paraId="29FEC28E" w14:textId="2234881D"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1.27</w:t>
            </w:r>
          </w:p>
        </w:tc>
        <w:tc>
          <w:tcPr>
            <w:tcW w:w="403" w:type="pct"/>
            <w:hideMark/>
          </w:tcPr>
          <w:p w14:paraId="2D7A7D01" w14:textId="64BD092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0.3</w:t>
            </w:r>
            <w:r w:rsidR="005F4E36" w:rsidRPr="009D10D4">
              <w:rPr>
                <w:rFonts w:ascii="Arial" w:hAnsi="Arial" w:cs="Arial"/>
                <w:color w:val="1A1A1A"/>
                <w:sz w:val="16"/>
                <w:szCs w:val="18"/>
                <w:lang w:val="en-GB"/>
              </w:rPr>
              <w:t>0</w:t>
            </w:r>
          </w:p>
        </w:tc>
        <w:tc>
          <w:tcPr>
            <w:tcW w:w="403" w:type="pct"/>
            <w:hideMark/>
          </w:tcPr>
          <w:p w14:paraId="4F1A6AC6" w14:textId="3F2DE149"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0.1</w:t>
            </w:r>
            <w:r w:rsidR="00EE7DF4" w:rsidRPr="009D10D4">
              <w:rPr>
                <w:rFonts w:ascii="Arial" w:hAnsi="Arial" w:cs="Arial"/>
                <w:color w:val="1A1A1A"/>
                <w:sz w:val="16"/>
                <w:szCs w:val="18"/>
                <w:lang w:val="en-GB"/>
              </w:rPr>
              <w:t>3</w:t>
            </w:r>
          </w:p>
        </w:tc>
        <w:tc>
          <w:tcPr>
            <w:tcW w:w="403" w:type="pct"/>
            <w:hideMark/>
          </w:tcPr>
          <w:p w14:paraId="437F1ED9" w14:textId="5E2880E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w:t>
            </w:r>
            <w:r w:rsidR="00EE7DF4" w:rsidRPr="009D10D4">
              <w:rPr>
                <w:rFonts w:ascii="Arial" w:hAnsi="Arial" w:cs="Arial"/>
                <w:color w:val="1A1A1A"/>
                <w:sz w:val="16"/>
                <w:szCs w:val="18"/>
                <w:lang w:val="en-GB"/>
              </w:rPr>
              <w:t>12</w:t>
            </w:r>
          </w:p>
        </w:tc>
      </w:tr>
      <w:tr w:rsidR="00221CD1" w:rsidRPr="009D10D4" w14:paraId="28EE7FE1" w14:textId="77777777" w:rsidTr="009D10D4">
        <w:trPr>
          <w:trHeight w:val="300"/>
        </w:trPr>
        <w:tc>
          <w:tcPr>
            <w:tcW w:w="802" w:type="pct"/>
            <w:hideMark/>
          </w:tcPr>
          <w:p w14:paraId="6F007DDF" w14:textId="776F0113" w:rsidR="00221CD1" w:rsidRPr="009D10D4" w:rsidRDefault="00221CD1" w:rsidP="00B97D5A">
            <w:pPr>
              <w:widowControl w:val="0"/>
              <w:autoSpaceDE w:val="0"/>
              <w:autoSpaceDN w:val="0"/>
              <w:adjustRightInd w:val="0"/>
              <w:rPr>
                <w:rFonts w:ascii="Arial" w:hAnsi="Arial" w:cs="Arial"/>
                <w:b/>
                <w:color w:val="1A1A1A"/>
                <w:sz w:val="16"/>
                <w:szCs w:val="18"/>
                <w:lang w:val="en-GB"/>
              </w:rPr>
            </w:pPr>
            <w:r w:rsidRPr="009D10D4">
              <w:rPr>
                <w:rFonts w:ascii="Arial" w:hAnsi="Arial" w:cs="Arial"/>
                <w:b/>
                <w:color w:val="1A1A1A"/>
                <w:sz w:val="16"/>
                <w:szCs w:val="18"/>
                <w:lang w:val="en-GB"/>
              </w:rPr>
              <w:t xml:space="preserve">8. GDP at </w:t>
            </w:r>
            <w:r w:rsidR="004C50ED" w:rsidRPr="009D10D4">
              <w:rPr>
                <w:rFonts w:ascii="Arial" w:hAnsi="Arial" w:cs="Arial"/>
                <w:b/>
                <w:color w:val="1A1A1A"/>
                <w:sz w:val="16"/>
                <w:szCs w:val="18"/>
                <w:lang w:val="en-GB"/>
              </w:rPr>
              <w:t>C</w:t>
            </w:r>
            <w:r w:rsidRPr="009D10D4">
              <w:rPr>
                <w:rFonts w:ascii="Arial" w:hAnsi="Arial" w:cs="Arial"/>
                <w:b/>
                <w:color w:val="1A1A1A"/>
                <w:sz w:val="16"/>
                <w:szCs w:val="18"/>
                <w:lang w:val="en-GB"/>
              </w:rPr>
              <w:t xml:space="preserve">onstant </w:t>
            </w:r>
            <w:r w:rsidR="004C50ED" w:rsidRPr="009D10D4">
              <w:rPr>
                <w:rFonts w:ascii="Arial" w:hAnsi="Arial" w:cs="Arial"/>
                <w:b/>
                <w:color w:val="1A1A1A"/>
                <w:sz w:val="16"/>
                <w:szCs w:val="18"/>
                <w:lang w:val="en-GB"/>
              </w:rPr>
              <w:t>M</w:t>
            </w:r>
            <w:r w:rsidRPr="009D10D4">
              <w:rPr>
                <w:rFonts w:ascii="Arial" w:hAnsi="Arial" w:cs="Arial"/>
                <w:b/>
                <w:color w:val="1A1A1A"/>
                <w:sz w:val="16"/>
                <w:szCs w:val="18"/>
                <w:lang w:val="en-GB"/>
              </w:rPr>
              <w:t xml:space="preserve">arket </w:t>
            </w:r>
            <w:r w:rsidR="004C50ED" w:rsidRPr="009D10D4">
              <w:rPr>
                <w:rFonts w:ascii="Arial" w:hAnsi="Arial" w:cs="Arial"/>
                <w:b/>
                <w:color w:val="1A1A1A"/>
                <w:sz w:val="16"/>
                <w:szCs w:val="18"/>
                <w:lang w:val="en-GB"/>
              </w:rPr>
              <w:t>P</w:t>
            </w:r>
            <w:r w:rsidRPr="009D10D4">
              <w:rPr>
                <w:rFonts w:ascii="Arial" w:hAnsi="Arial" w:cs="Arial"/>
                <w:b/>
                <w:color w:val="1A1A1A"/>
                <w:sz w:val="16"/>
                <w:szCs w:val="18"/>
                <w:lang w:val="en-GB"/>
              </w:rPr>
              <w:t>rices</w:t>
            </w:r>
          </w:p>
        </w:tc>
        <w:tc>
          <w:tcPr>
            <w:tcW w:w="348" w:type="pct"/>
          </w:tcPr>
          <w:p w14:paraId="00E9C8FB" w14:textId="77777777"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5.53</w:t>
            </w:r>
          </w:p>
        </w:tc>
        <w:tc>
          <w:tcPr>
            <w:tcW w:w="431" w:type="pct"/>
            <w:hideMark/>
          </w:tcPr>
          <w:p w14:paraId="23CFE721" w14:textId="1B4CB971"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9.8</w:t>
            </w:r>
            <w:r w:rsidR="005F4E36" w:rsidRPr="009D10D4">
              <w:rPr>
                <w:rFonts w:ascii="Arial" w:hAnsi="Arial" w:cs="Arial"/>
                <w:b/>
                <w:color w:val="1A1A1A"/>
                <w:sz w:val="16"/>
                <w:szCs w:val="18"/>
                <w:lang w:val="en-GB"/>
              </w:rPr>
              <w:t>0</w:t>
            </w:r>
          </w:p>
        </w:tc>
        <w:tc>
          <w:tcPr>
            <w:tcW w:w="359" w:type="pct"/>
            <w:hideMark/>
          </w:tcPr>
          <w:p w14:paraId="79E29B54" w14:textId="77777777"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6.6</w:t>
            </w:r>
          </w:p>
        </w:tc>
        <w:tc>
          <w:tcPr>
            <w:tcW w:w="359" w:type="pct"/>
            <w:hideMark/>
          </w:tcPr>
          <w:p w14:paraId="056DCFA8" w14:textId="77777777"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7.2</w:t>
            </w:r>
          </w:p>
        </w:tc>
        <w:tc>
          <w:tcPr>
            <w:tcW w:w="683" w:type="pct"/>
            <w:hideMark/>
          </w:tcPr>
          <w:p w14:paraId="60C40BB6" w14:textId="77777777"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7.6</w:t>
            </w:r>
          </w:p>
        </w:tc>
        <w:tc>
          <w:tcPr>
            <w:tcW w:w="403" w:type="pct"/>
          </w:tcPr>
          <w:p w14:paraId="5C024159" w14:textId="0B3A9AC5"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w:t>
            </w:r>
            <w:r w:rsidR="005F4E36" w:rsidRPr="009D10D4">
              <w:rPr>
                <w:rFonts w:ascii="Arial" w:hAnsi="Arial" w:cs="Arial"/>
                <w:b/>
                <w:color w:val="1A1A1A"/>
                <w:sz w:val="16"/>
                <w:szCs w:val="18"/>
                <w:lang w:val="en-GB"/>
              </w:rPr>
              <w:t>.00</w:t>
            </w:r>
          </w:p>
        </w:tc>
        <w:tc>
          <w:tcPr>
            <w:tcW w:w="403" w:type="pct"/>
          </w:tcPr>
          <w:p w14:paraId="5D91D350" w14:textId="62503F1F"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w:t>
            </w:r>
            <w:r w:rsidR="005F4E36" w:rsidRPr="009D10D4">
              <w:rPr>
                <w:rFonts w:ascii="Arial" w:hAnsi="Arial" w:cs="Arial"/>
                <w:b/>
                <w:color w:val="1A1A1A"/>
                <w:sz w:val="16"/>
                <w:szCs w:val="18"/>
                <w:lang w:val="en-GB"/>
              </w:rPr>
              <w:t>.00</w:t>
            </w:r>
          </w:p>
        </w:tc>
        <w:tc>
          <w:tcPr>
            <w:tcW w:w="403" w:type="pct"/>
            <w:hideMark/>
          </w:tcPr>
          <w:p w14:paraId="3E64980D" w14:textId="3B927402"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100.0</w:t>
            </w:r>
            <w:r w:rsidR="005F4E36" w:rsidRPr="009D10D4">
              <w:rPr>
                <w:rFonts w:ascii="Arial" w:hAnsi="Arial" w:cs="Arial"/>
                <w:b/>
                <w:color w:val="1A1A1A"/>
                <w:sz w:val="16"/>
                <w:szCs w:val="18"/>
                <w:lang w:val="en-GB"/>
              </w:rPr>
              <w:t>0</w:t>
            </w:r>
          </w:p>
        </w:tc>
        <w:tc>
          <w:tcPr>
            <w:tcW w:w="403" w:type="pct"/>
            <w:hideMark/>
          </w:tcPr>
          <w:p w14:paraId="342A0B75" w14:textId="48BE5F97"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100.0</w:t>
            </w:r>
            <w:r w:rsidR="005F4E36" w:rsidRPr="009D10D4">
              <w:rPr>
                <w:rFonts w:ascii="Arial" w:hAnsi="Arial" w:cs="Arial"/>
                <w:b/>
                <w:color w:val="1A1A1A"/>
                <w:sz w:val="16"/>
                <w:szCs w:val="18"/>
                <w:lang w:val="en-GB"/>
              </w:rPr>
              <w:t>0</w:t>
            </w:r>
          </w:p>
        </w:tc>
        <w:tc>
          <w:tcPr>
            <w:tcW w:w="403" w:type="pct"/>
            <w:hideMark/>
          </w:tcPr>
          <w:p w14:paraId="4C064E16" w14:textId="0B670BC1"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100.0</w:t>
            </w:r>
            <w:r w:rsidR="005F4E36" w:rsidRPr="009D10D4">
              <w:rPr>
                <w:rFonts w:ascii="Arial" w:hAnsi="Arial" w:cs="Arial"/>
                <w:b/>
                <w:color w:val="1A1A1A"/>
                <w:sz w:val="16"/>
                <w:szCs w:val="18"/>
                <w:lang w:val="en-GB"/>
              </w:rPr>
              <w:t>0</w:t>
            </w:r>
          </w:p>
        </w:tc>
      </w:tr>
    </w:tbl>
    <w:p w14:paraId="4910540E" w14:textId="6870ABBD" w:rsidR="00D846EE" w:rsidRDefault="00D846EE"/>
    <w:p w14:paraId="45797097" w14:textId="77777777" w:rsidR="00D846EE" w:rsidRDefault="00D846EE">
      <w:pPr>
        <w:spacing w:after="200" w:line="276" w:lineRule="auto"/>
      </w:pPr>
      <w:r>
        <w:br w:type="page"/>
      </w:r>
    </w:p>
    <w:p w14:paraId="40D5E2F5" w14:textId="10D71911" w:rsidR="00D846EE" w:rsidRDefault="00D846EE" w:rsidP="00D846EE">
      <w:pPr>
        <w:pStyle w:val="ExhibitHeading"/>
      </w:pPr>
      <w:r>
        <w:lastRenderedPageBreak/>
        <w:t>EXHIBIT 2 (Continued)</w:t>
      </w:r>
    </w:p>
    <w:p w14:paraId="1C12D46A" w14:textId="77777777" w:rsidR="00D846EE" w:rsidRDefault="00D846EE" w:rsidP="009D10D4">
      <w:pPr>
        <w:pStyle w:val="ExhibitHeading"/>
        <w:jc w:val="left"/>
      </w:pPr>
    </w:p>
    <w:tbl>
      <w:tblPr>
        <w:tblStyle w:val="TableGrid"/>
        <w:tblW w:w="5000" w:type="pct"/>
        <w:tblLook w:val="04A0" w:firstRow="1" w:lastRow="0" w:firstColumn="1" w:lastColumn="0" w:noHBand="0" w:noVBand="1"/>
      </w:tblPr>
      <w:tblGrid>
        <w:gridCol w:w="1508"/>
        <w:gridCol w:w="753"/>
        <w:gridCol w:w="753"/>
        <w:gridCol w:w="810"/>
        <w:gridCol w:w="858"/>
        <w:gridCol w:w="901"/>
        <w:gridCol w:w="753"/>
        <w:gridCol w:w="753"/>
        <w:gridCol w:w="754"/>
        <w:gridCol w:w="754"/>
        <w:gridCol w:w="753"/>
      </w:tblGrid>
      <w:tr w:rsidR="00221CD1" w:rsidRPr="009D10D4" w14:paraId="5A455E35" w14:textId="77777777" w:rsidTr="009D10D4">
        <w:trPr>
          <w:trHeight w:val="260"/>
        </w:trPr>
        <w:tc>
          <w:tcPr>
            <w:tcW w:w="5000" w:type="pct"/>
            <w:gridSpan w:val="11"/>
          </w:tcPr>
          <w:p w14:paraId="60ACA511" w14:textId="77777777" w:rsidR="00221CD1" w:rsidRPr="009D10D4" w:rsidRDefault="00221CD1" w:rsidP="009D10D4">
            <w:pPr>
              <w:widowControl w:val="0"/>
              <w:autoSpaceDE w:val="0"/>
              <w:autoSpaceDN w:val="0"/>
              <w:adjustRightInd w:val="0"/>
              <w:spacing w:before="40" w:after="40"/>
              <w:jc w:val="center"/>
              <w:rPr>
                <w:rFonts w:ascii="Arial" w:hAnsi="Arial" w:cs="Arial"/>
                <w:b/>
                <w:bCs/>
                <w:color w:val="1A1A1A"/>
                <w:sz w:val="16"/>
                <w:szCs w:val="18"/>
                <w:lang w:val="en-GB"/>
              </w:rPr>
            </w:pPr>
            <w:r w:rsidRPr="009D10D4">
              <w:rPr>
                <w:rFonts w:ascii="Arial" w:hAnsi="Arial" w:cs="Arial"/>
                <w:b/>
                <w:bCs/>
                <w:color w:val="1A1A1A"/>
                <w:sz w:val="16"/>
                <w:szCs w:val="18"/>
                <w:lang w:val="en-GB"/>
              </w:rPr>
              <w:t>GVA at Basic Prices (Supply Side)</w:t>
            </w:r>
          </w:p>
        </w:tc>
      </w:tr>
      <w:tr w:rsidR="00221CD1" w:rsidRPr="009D10D4" w14:paraId="77C3B862" w14:textId="77777777" w:rsidTr="009D10D4">
        <w:trPr>
          <w:trHeight w:val="431"/>
        </w:trPr>
        <w:tc>
          <w:tcPr>
            <w:tcW w:w="796" w:type="pct"/>
          </w:tcPr>
          <w:p w14:paraId="323BF9B6" w14:textId="77777777" w:rsidR="00221CD1" w:rsidRPr="009D10D4" w:rsidRDefault="00221CD1" w:rsidP="00AB18DE">
            <w:pPr>
              <w:widowControl w:val="0"/>
              <w:autoSpaceDE w:val="0"/>
              <w:autoSpaceDN w:val="0"/>
              <w:adjustRightInd w:val="0"/>
              <w:jc w:val="both"/>
              <w:rPr>
                <w:rFonts w:ascii="Arial" w:hAnsi="Arial" w:cs="Arial"/>
                <w:color w:val="1A1A1A"/>
                <w:sz w:val="16"/>
                <w:szCs w:val="18"/>
                <w:lang w:val="en-GB"/>
              </w:rPr>
            </w:pPr>
          </w:p>
        </w:tc>
        <w:tc>
          <w:tcPr>
            <w:tcW w:w="2184" w:type="pct"/>
            <w:gridSpan w:val="5"/>
          </w:tcPr>
          <w:p w14:paraId="41E78885" w14:textId="451E1A7E" w:rsidR="00221CD1" w:rsidRPr="009D10D4" w:rsidRDefault="00221CD1" w:rsidP="009D10D4">
            <w:pPr>
              <w:widowControl w:val="0"/>
              <w:autoSpaceDE w:val="0"/>
              <w:autoSpaceDN w:val="0"/>
              <w:adjustRightInd w:val="0"/>
              <w:spacing w:before="40"/>
              <w:jc w:val="center"/>
              <w:rPr>
                <w:rFonts w:ascii="Arial" w:hAnsi="Arial" w:cs="Arial"/>
                <w:b/>
                <w:color w:val="1A1A1A"/>
                <w:sz w:val="16"/>
                <w:szCs w:val="18"/>
                <w:lang w:val="en-GB"/>
              </w:rPr>
            </w:pPr>
            <w:r w:rsidRPr="009D10D4">
              <w:rPr>
                <w:rFonts w:ascii="Arial" w:hAnsi="Arial" w:cs="Arial"/>
                <w:b/>
                <w:color w:val="1A1A1A"/>
                <w:sz w:val="16"/>
                <w:szCs w:val="18"/>
                <w:lang w:val="en-GB"/>
              </w:rPr>
              <w:t xml:space="preserve">Growth </w:t>
            </w:r>
            <w:r w:rsidR="00B31DC6" w:rsidRPr="009D10D4">
              <w:rPr>
                <w:rFonts w:ascii="Arial" w:hAnsi="Arial" w:cs="Arial"/>
                <w:b/>
                <w:color w:val="1A1A1A"/>
                <w:sz w:val="16"/>
                <w:szCs w:val="18"/>
                <w:lang w:val="en-GB"/>
              </w:rPr>
              <w:t>R</w:t>
            </w:r>
            <w:r w:rsidRPr="009D10D4">
              <w:rPr>
                <w:rFonts w:ascii="Arial" w:hAnsi="Arial" w:cs="Arial"/>
                <w:b/>
                <w:color w:val="1A1A1A"/>
                <w:sz w:val="16"/>
                <w:szCs w:val="18"/>
                <w:lang w:val="en-GB"/>
              </w:rPr>
              <w:t xml:space="preserve">ate at </w:t>
            </w:r>
            <w:r w:rsidR="00B31DC6" w:rsidRPr="009D10D4">
              <w:rPr>
                <w:rFonts w:ascii="Arial" w:hAnsi="Arial" w:cs="Arial"/>
                <w:b/>
                <w:color w:val="1A1A1A"/>
                <w:sz w:val="16"/>
                <w:szCs w:val="18"/>
                <w:lang w:val="en-GB"/>
              </w:rPr>
              <w:t>C</w:t>
            </w:r>
            <w:r w:rsidRPr="009D10D4">
              <w:rPr>
                <w:rFonts w:ascii="Arial" w:hAnsi="Arial" w:cs="Arial"/>
                <w:b/>
                <w:color w:val="1A1A1A"/>
                <w:sz w:val="16"/>
                <w:szCs w:val="18"/>
                <w:lang w:val="en-GB"/>
              </w:rPr>
              <w:t xml:space="preserve">onstant </w:t>
            </w:r>
            <w:r w:rsidR="00B31DC6" w:rsidRPr="009D10D4">
              <w:rPr>
                <w:rFonts w:ascii="Arial" w:hAnsi="Arial" w:cs="Arial"/>
                <w:b/>
                <w:color w:val="1A1A1A"/>
                <w:sz w:val="16"/>
                <w:szCs w:val="18"/>
                <w:lang w:val="en-GB"/>
              </w:rPr>
              <w:t>P</w:t>
            </w:r>
            <w:r w:rsidRPr="009D10D4">
              <w:rPr>
                <w:rFonts w:ascii="Arial" w:hAnsi="Arial" w:cs="Arial"/>
                <w:b/>
                <w:color w:val="1A1A1A"/>
                <w:sz w:val="16"/>
                <w:szCs w:val="18"/>
                <w:lang w:val="en-GB"/>
              </w:rPr>
              <w:t>rices</w:t>
            </w:r>
          </w:p>
        </w:tc>
        <w:tc>
          <w:tcPr>
            <w:tcW w:w="2020" w:type="pct"/>
            <w:gridSpan w:val="5"/>
          </w:tcPr>
          <w:p w14:paraId="6A6D2224" w14:textId="5C8FE734" w:rsidR="00221CD1" w:rsidRPr="009D10D4" w:rsidRDefault="00221CD1" w:rsidP="009D10D4">
            <w:pPr>
              <w:widowControl w:val="0"/>
              <w:autoSpaceDE w:val="0"/>
              <w:autoSpaceDN w:val="0"/>
              <w:adjustRightInd w:val="0"/>
              <w:spacing w:before="40"/>
              <w:jc w:val="center"/>
              <w:rPr>
                <w:rFonts w:ascii="Arial" w:hAnsi="Arial" w:cs="Arial"/>
                <w:b/>
                <w:color w:val="1A1A1A"/>
                <w:sz w:val="16"/>
                <w:szCs w:val="18"/>
                <w:lang w:val="en-GB"/>
              </w:rPr>
            </w:pPr>
            <w:r w:rsidRPr="009D10D4">
              <w:rPr>
                <w:rFonts w:ascii="Arial" w:hAnsi="Arial" w:cs="Arial"/>
                <w:b/>
                <w:color w:val="1A1A1A"/>
                <w:sz w:val="16"/>
                <w:szCs w:val="18"/>
                <w:lang w:val="en-GB"/>
              </w:rPr>
              <w:t xml:space="preserve">Share </w:t>
            </w:r>
            <w:r w:rsidR="004C50ED" w:rsidRPr="009D10D4">
              <w:rPr>
                <w:rFonts w:ascii="Arial" w:hAnsi="Arial" w:cs="Arial"/>
                <w:b/>
                <w:color w:val="1A1A1A"/>
                <w:sz w:val="16"/>
                <w:szCs w:val="18"/>
                <w:lang w:val="en-GB"/>
              </w:rPr>
              <w:t xml:space="preserve">of </w:t>
            </w:r>
            <w:r w:rsidRPr="009D10D4">
              <w:rPr>
                <w:rFonts w:ascii="Arial" w:hAnsi="Arial" w:cs="Arial"/>
                <w:b/>
                <w:color w:val="1A1A1A"/>
                <w:sz w:val="16"/>
                <w:szCs w:val="18"/>
                <w:lang w:val="en-GB"/>
              </w:rPr>
              <w:t xml:space="preserve">GDP at </w:t>
            </w:r>
            <w:r w:rsidR="00B31DC6" w:rsidRPr="009D10D4">
              <w:rPr>
                <w:rFonts w:ascii="Arial" w:hAnsi="Arial" w:cs="Arial"/>
                <w:b/>
                <w:color w:val="1A1A1A"/>
                <w:sz w:val="16"/>
                <w:szCs w:val="18"/>
                <w:lang w:val="en-GB"/>
              </w:rPr>
              <w:t>C</w:t>
            </w:r>
            <w:r w:rsidRPr="009D10D4">
              <w:rPr>
                <w:rFonts w:ascii="Arial" w:hAnsi="Arial" w:cs="Arial"/>
                <w:b/>
                <w:color w:val="1A1A1A"/>
                <w:sz w:val="16"/>
                <w:szCs w:val="18"/>
                <w:lang w:val="en-GB"/>
              </w:rPr>
              <w:t xml:space="preserve">onstant </w:t>
            </w:r>
            <w:r w:rsidR="00B31DC6" w:rsidRPr="009D10D4">
              <w:rPr>
                <w:rFonts w:ascii="Arial" w:hAnsi="Arial" w:cs="Arial"/>
                <w:b/>
                <w:color w:val="1A1A1A"/>
                <w:sz w:val="16"/>
                <w:szCs w:val="18"/>
                <w:lang w:val="en-GB"/>
              </w:rPr>
              <w:t>M</w:t>
            </w:r>
            <w:r w:rsidRPr="009D10D4">
              <w:rPr>
                <w:rFonts w:ascii="Arial" w:hAnsi="Arial" w:cs="Arial"/>
                <w:b/>
                <w:color w:val="1A1A1A"/>
                <w:sz w:val="16"/>
                <w:szCs w:val="18"/>
                <w:lang w:val="en-GB"/>
              </w:rPr>
              <w:t xml:space="preserve">arket </w:t>
            </w:r>
            <w:r w:rsidR="00B31DC6" w:rsidRPr="009D10D4">
              <w:rPr>
                <w:rFonts w:ascii="Arial" w:hAnsi="Arial" w:cs="Arial"/>
                <w:b/>
                <w:color w:val="1A1A1A"/>
                <w:sz w:val="16"/>
                <w:szCs w:val="18"/>
                <w:lang w:val="en-GB"/>
              </w:rPr>
              <w:t>P</w:t>
            </w:r>
            <w:r w:rsidRPr="009D10D4">
              <w:rPr>
                <w:rFonts w:ascii="Arial" w:hAnsi="Arial" w:cs="Arial"/>
                <w:b/>
                <w:color w:val="1A1A1A"/>
                <w:sz w:val="16"/>
                <w:szCs w:val="18"/>
                <w:lang w:val="en-GB"/>
              </w:rPr>
              <w:t>rices</w:t>
            </w:r>
          </w:p>
        </w:tc>
      </w:tr>
      <w:tr w:rsidR="00221CD1" w:rsidRPr="009D10D4" w14:paraId="70E72096" w14:textId="77777777" w:rsidTr="009D10D4">
        <w:trPr>
          <w:trHeight w:val="112"/>
        </w:trPr>
        <w:tc>
          <w:tcPr>
            <w:tcW w:w="796" w:type="pct"/>
            <w:hideMark/>
          </w:tcPr>
          <w:p w14:paraId="2A858ABA" w14:textId="607373A8" w:rsidR="00221CD1" w:rsidRPr="009D10D4" w:rsidRDefault="00221CD1"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1. Agriculture, forestry</w:t>
            </w:r>
            <w:r w:rsidR="006B6FF7" w:rsidRPr="009D10D4">
              <w:rPr>
                <w:rFonts w:ascii="Arial" w:hAnsi="Arial" w:cs="Arial"/>
                <w:color w:val="1A1A1A"/>
                <w:sz w:val="16"/>
                <w:szCs w:val="18"/>
                <w:lang w:val="en-GB"/>
              </w:rPr>
              <w:t>,</w:t>
            </w:r>
            <w:r w:rsidRPr="009D10D4">
              <w:rPr>
                <w:rFonts w:ascii="Arial" w:hAnsi="Arial" w:cs="Arial"/>
                <w:color w:val="1A1A1A"/>
                <w:sz w:val="16"/>
                <w:szCs w:val="18"/>
                <w:lang w:val="en-GB"/>
              </w:rPr>
              <w:t xml:space="preserve"> and fishing</w:t>
            </w:r>
          </w:p>
        </w:tc>
        <w:tc>
          <w:tcPr>
            <w:tcW w:w="404" w:type="pct"/>
          </w:tcPr>
          <w:p w14:paraId="6027D69D"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4.02</w:t>
            </w:r>
          </w:p>
        </w:tc>
        <w:tc>
          <w:tcPr>
            <w:tcW w:w="404" w:type="pct"/>
            <w:hideMark/>
          </w:tcPr>
          <w:p w14:paraId="73612517" w14:textId="1B39E58F"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5.8</w:t>
            </w:r>
            <w:r w:rsidR="008B39E7" w:rsidRPr="009D10D4">
              <w:rPr>
                <w:rFonts w:ascii="Arial" w:hAnsi="Arial" w:cs="Arial"/>
                <w:color w:val="1A1A1A"/>
                <w:sz w:val="16"/>
                <w:szCs w:val="18"/>
                <w:lang w:val="en-GB"/>
              </w:rPr>
              <w:t>0</w:t>
            </w:r>
          </w:p>
        </w:tc>
        <w:tc>
          <w:tcPr>
            <w:tcW w:w="434" w:type="pct"/>
            <w:hideMark/>
          </w:tcPr>
          <w:p w14:paraId="70D8DE4F" w14:textId="2CBE74F1" w:rsidR="00221CD1" w:rsidRPr="009D10D4" w:rsidRDefault="00302149"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4.2</w:t>
            </w:r>
            <w:r w:rsidR="008B39E7" w:rsidRPr="009D10D4">
              <w:rPr>
                <w:rFonts w:ascii="Arial" w:hAnsi="Arial" w:cs="Arial"/>
                <w:color w:val="1A1A1A"/>
                <w:sz w:val="16"/>
                <w:szCs w:val="18"/>
                <w:lang w:val="en-GB"/>
              </w:rPr>
              <w:t>0</w:t>
            </w:r>
          </w:p>
        </w:tc>
        <w:tc>
          <w:tcPr>
            <w:tcW w:w="460" w:type="pct"/>
            <w:hideMark/>
          </w:tcPr>
          <w:p w14:paraId="4AD57FC0" w14:textId="710FB696"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r w:rsidR="00221CD1" w:rsidRPr="009D10D4">
              <w:rPr>
                <w:rFonts w:ascii="Arial" w:hAnsi="Arial" w:cs="Arial"/>
                <w:color w:val="1A1A1A"/>
                <w:sz w:val="16"/>
                <w:szCs w:val="18"/>
                <w:lang w:val="en-GB"/>
              </w:rPr>
              <w:t>0.</w:t>
            </w:r>
            <w:r w:rsidR="00302149" w:rsidRPr="009D10D4">
              <w:rPr>
                <w:rFonts w:ascii="Arial" w:hAnsi="Arial" w:cs="Arial"/>
                <w:color w:val="1A1A1A"/>
                <w:sz w:val="16"/>
                <w:szCs w:val="18"/>
                <w:lang w:val="en-GB"/>
              </w:rPr>
              <w:t>2</w:t>
            </w:r>
            <w:r w:rsidR="008B39E7" w:rsidRPr="009D10D4">
              <w:rPr>
                <w:rFonts w:ascii="Arial" w:hAnsi="Arial" w:cs="Arial"/>
                <w:color w:val="1A1A1A"/>
                <w:sz w:val="16"/>
                <w:szCs w:val="18"/>
                <w:lang w:val="en-GB"/>
              </w:rPr>
              <w:t>0</w:t>
            </w:r>
          </w:p>
        </w:tc>
        <w:tc>
          <w:tcPr>
            <w:tcW w:w="483" w:type="pct"/>
            <w:hideMark/>
          </w:tcPr>
          <w:p w14:paraId="7B92B6BF" w14:textId="039B5BB4" w:rsidR="00221CD1" w:rsidRPr="009D10D4" w:rsidRDefault="00302149"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1.2</w:t>
            </w:r>
            <w:r w:rsidR="008B39E7" w:rsidRPr="009D10D4">
              <w:rPr>
                <w:rFonts w:ascii="Arial" w:hAnsi="Arial" w:cs="Arial"/>
                <w:color w:val="1A1A1A"/>
                <w:sz w:val="16"/>
                <w:szCs w:val="18"/>
                <w:lang w:val="en-GB"/>
              </w:rPr>
              <w:t>0</w:t>
            </w:r>
          </w:p>
        </w:tc>
        <w:tc>
          <w:tcPr>
            <w:tcW w:w="404" w:type="pct"/>
          </w:tcPr>
          <w:p w14:paraId="4679C0F6"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29.53</w:t>
            </w:r>
          </w:p>
        </w:tc>
        <w:tc>
          <w:tcPr>
            <w:tcW w:w="404" w:type="pct"/>
          </w:tcPr>
          <w:p w14:paraId="47EC75B5"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16.81</w:t>
            </w:r>
          </w:p>
        </w:tc>
        <w:tc>
          <w:tcPr>
            <w:tcW w:w="404" w:type="pct"/>
            <w:hideMark/>
          </w:tcPr>
          <w:p w14:paraId="556C8083" w14:textId="4A9265D1"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17.</w:t>
            </w:r>
            <w:r w:rsidR="00B87241" w:rsidRPr="009D10D4">
              <w:rPr>
                <w:rFonts w:ascii="Arial" w:hAnsi="Arial" w:cs="Arial"/>
                <w:color w:val="1A1A1A"/>
                <w:sz w:val="16"/>
                <w:szCs w:val="18"/>
                <w:lang w:val="en-GB"/>
              </w:rPr>
              <w:t>5</w:t>
            </w:r>
            <w:r w:rsidR="008B39E7" w:rsidRPr="009D10D4">
              <w:rPr>
                <w:rFonts w:ascii="Arial" w:hAnsi="Arial" w:cs="Arial"/>
                <w:color w:val="1A1A1A"/>
                <w:sz w:val="16"/>
                <w:szCs w:val="18"/>
                <w:lang w:val="en-GB"/>
              </w:rPr>
              <w:t>0</w:t>
            </w:r>
          </w:p>
        </w:tc>
        <w:tc>
          <w:tcPr>
            <w:tcW w:w="404" w:type="pct"/>
            <w:hideMark/>
          </w:tcPr>
          <w:p w14:paraId="3E8B00AD" w14:textId="6EE11834"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16.</w:t>
            </w:r>
            <w:r w:rsidR="00B87241" w:rsidRPr="009D10D4">
              <w:rPr>
                <w:rFonts w:ascii="Arial" w:hAnsi="Arial" w:cs="Arial"/>
                <w:color w:val="1A1A1A"/>
                <w:sz w:val="16"/>
                <w:szCs w:val="18"/>
                <w:lang w:val="en-GB"/>
              </w:rPr>
              <w:t>3</w:t>
            </w:r>
            <w:r w:rsidR="008B39E7" w:rsidRPr="009D10D4">
              <w:rPr>
                <w:rFonts w:ascii="Arial" w:hAnsi="Arial" w:cs="Arial"/>
                <w:color w:val="1A1A1A"/>
                <w:sz w:val="16"/>
                <w:szCs w:val="18"/>
                <w:lang w:val="en-GB"/>
              </w:rPr>
              <w:t>0</w:t>
            </w:r>
          </w:p>
        </w:tc>
        <w:tc>
          <w:tcPr>
            <w:tcW w:w="404" w:type="pct"/>
            <w:hideMark/>
          </w:tcPr>
          <w:p w14:paraId="75A5B394" w14:textId="4A0B1FC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15.</w:t>
            </w:r>
            <w:r w:rsidR="00B87241" w:rsidRPr="009D10D4">
              <w:rPr>
                <w:rFonts w:ascii="Arial" w:hAnsi="Arial" w:cs="Arial"/>
                <w:color w:val="1A1A1A"/>
                <w:sz w:val="16"/>
                <w:szCs w:val="18"/>
                <w:lang w:val="en-GB"/>
              </w:rPr>
              <w:t>4</w:t>
            </w:r>
            <w:r w:rsidR="008B39E7" w:rsidRPr="009D10D4">
              <w:rPr>
                <w:rFonts w:ascii="Arial" w:hAnsi="Arial" w:cs="Arial"/>
                <w:color w:val="1A1A1A"/>
                <w:sz w:val="16"/>
                <w:szCs w:val="18"/>
                <w:lang w:val="en-GB"/>
              </w:rPr>
              <w:t>0</w:t>
            </w:r>
          </w:p>
        </w:tc>
      </w:tr>
      <w:tr w:rsidR="00221CD1" w:rsidRPr="009D10D4" w14:paraId="13A48A4E" w14:textId="77777777" w:rsidTr="009D10D4">
        <w:trPr>
          <w:trHeight w:val="170"/>
        </w:trPr>
        <w:tc>
          <w:tcPr>
            <w:tcW w:w="796" w:type="pct"/>
            <w:hideMark/>
          </w:tcPr>
          <w:p w14:paraId="6DDA0304" w14:textId="77777777" w:rsidR="00221CD1" w:rsidRPr="009D10D4" w:rsidRDefault="00221CD1"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2. Industry</w:t>
            </w:r>
          </w:p>
        </w:tc>
        <w:tc>
          <w:tcPr>
            <w:tcW w:w="404" w:type="pct"/>
          </w:tcPr>
          <w:p w14:paraId="5FB29947"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5.88</w:t>
            </w:r>
          </w:p>
        </w:tc>
        <w:tc>
          <w:tcPr>
            <w:tcW w:w="404" w:type="pct"/>
            <w:hideMark/>
          </w:tcPr>
          <w:p w14:paraId="61AF1720"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9.25</w:t>
            </w:r>
          </w:p>
        </w:tc>
        <w:tc>
          <w:tcPr>
            <w:tcW w:w="434" w:type="pct"/>
            <w:hideMark/>
          </w:tcPr>
          <w:p w14:paraId="15171AC4" w14:textId="21991313"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5.2</w:t>
            </w:r>
            <w:r w:rsidR="008B39E7" w:rsidRPr="009D10D4">
              <w:rPr>
                <w:rFonts w:ascii="Arial" w:hAnsi="Arial" w:cs="Arial"/>
                <w:color w:val="1A1A1A"/>
                <w:sz w:val="16"/>
                <w:szCs w:val="18"/>
                <w:lang w:val="en-GB"/>
              </w:rPr>
              <w:t>0</w:t>
            </w:r>
          </w:p>
        </w:tc>
        <w:tc>
          <w:tcPr>
            <w:tcW w:w="460" w:type="pct"/>
            <w:hideMark/>
          </w:tcPr>
          <w:p w14:paraId="326A9983" w14:textId="02DC8A03"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6.5</w:t>
            </w:r>
            <w:r w:rsidR="008B39E7" w:rsidRPr="009D10D4">
              <w:rPr>
                <w:rFonts w:ascii="Arial" w:hAnsi="Arial" w:cs="Arial"/>
                <w:color w:val="1A1A1A"/>
                <w:sz w:val="16"/>
                <w:szCs w:val="18"/>
                <w:lang w:val="en-GB"/>
              </w:rPr>
              <w:t>0</w:t>
            </w:r>
          </w:p>
        </w:tc>
        <w:tc>
          <w:tcPr>
            <w:tcW w:w="483" w:type="pct"/>
            <w:hideMark/>
          </w:tcPr>
          <w:p w14:paraId="3E8FF4EE" w14:textId="7A19C873"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8.8</w:t>
            </w:r>
            <w:r w:rsidR="008B39E7" w:rsidRPr="009D10D4">
              <w:rPr>
                <w:rFonts w:ascii="Arial" w:hAnsi="Arial" w:cs="Arial"/>
                <w:color w:val="1A1A1A"/>
                <w:sz w:val="16"/>
                <w:szCs w:val="18"/>
                <w:lang w:val="en-GB"/>
              </w:rPr>
              <w:t>0</w:t>
            </w:r>
          </w:p>
        </w:tc>
        <w:tc>
          <w:tcPr>
            <w:tcW w:w="404" w:type="pct"/>
          </w:tcPr>
          <w:p w14:paraId="33B42D1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20.56</w:t>
            </w:r>
          </w:p>
        </w:tc>
        <w:tc>
          <w:tcPr>
            <w:tcW w:w="404" w:type="pct"/>
          </w:tcPr>
          <w:p w14:paraId="2232DB5F"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20.65</w:t>
            </w:r>
          </w:p>
        </w:tc>
        <w:tc>
          <w:tcPr>
            <w:tcW w:w="404" w:type="pct"/>
            <w:hideMark/>
          </w:tcPr>
          <w:p w14:paraId="14168356" w14:textId="6D58E1A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22.</w:t>
            </w:r>
            <w:r w:rsidR="00B87241" w:rsidRPr="009D10D4">
              <w:rPr>
                <w:rFonts w:ascii="Arial" w:hAnsi="Arial" w:cs="Arial"/>
                <w:color w:val="1A1A1A"/>
                <w:sz w:val="16"/>
                <w:szCs w:val="18"/>
                <w:lang w:val="en-GB"/>
              </w:rPr>
              <w:t>5</w:t>
            </w:r>
            <w:r w:rsidR="008B39E7" w:rsidRPr="009D10D4">
              <w:rPr>
                <w:rFonts w:ascii="Arial" w:hAnsi="Arial" w:cs="Arial"/>
                <w:color w:val="1A1A1A"/>
                <w:sz w:val="16"/>
                <w:szCs w:val="18"/>
                <w:lang w:val="en-GB"/>
              </w:rPr>
              <w:t>0</w:t>
            </w:r>
          </w:p>
        </w:tc>
        <w:tc>
          <w:tcPr>
            <w:tcW w:w="404" w:type="pct"/>
            <w:hideMark/>
          </w:tcPr>
          <w:p w14:paraId="3EB93A15" w14:textId="4C6A626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22.</w:t>
            </w:r>
            <w:r w:rsidR="00B87241" w:rsidRPr="009D10D4">
              <w:rPr>
                <w:rFonts w:ascii="Arial" w:hAnsi="Arial" w:cs="Arial"/>
                <w:color w:val="1A1A1A"/>
                <w:sz w:val="16"/>
                <w:szCs w:val="18"/>
                <w:lang w:val="en-GB"/>
              </w:rPr>
              <w:t>4</w:t>
            </w:r>
            <w:r w:rsidR="008B39E7" w:rsidRPr="009D10D4">
              <w:rPr>
                <w:rFonts w:ascii="Arial" w:hAnsi="Arial" w:cs="Arial"/>
                <w:color w:val="1A1A1A"/>
                <w:sz w:val="16"/>
                <w:szCs w:val="18"/>
                <w:lang w:val="en-GB"/>
              </w:rPr>
              <w:t>0</w:t>
            </w:r>
          </w:p>
        </w:tc>
        <w:tc>
          <w:tcPr>
            <w:tcW w:w="404" w:type="pct"/>
            <w:hideMark/>
          </w:tcPr>
          <w:p w14:paraId="62F6082D" w14:textId="27CFAAAE"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B87241" w:rsidRPr="009D10D4">
              <w:rPr>
                <w:rFonts w:ascii="Arial" w:hAnsi="Arial" w:cs="Arial"/>
                <w:color w:val="1A1A1A"/>
                <w:sz w:val="16"/>
                <w:szCs w:val="18"/>
                <w:lang w:val="en-GB"/>
              </w:rPr>
              <w:t>2.7</w:t>
            </w:r>
            <w:r w:rsidR="008B39E7" w:rsidRPr="009D10D4">
              <w:rPr>
                <w:rFonts w:ascii="Arial" w:hAnsi="Arial" w:cs="Arial"/>
                <w:color w:val="1A1A1A"/>
                <w:sz w:val="16"/>
                <w:szCs w:val="18"/>
                <w:lang w:val="en-GB"/>
              </w:rPr>
              <w:t>0</w:t>
            </w:r>
          </w:p>
        </w:tc>
      </w:tr>
      <w:tr w:rsidR="00221CD1" w:rsidRPr="009D10D4" w14:paraId="054C3F43" w14:textId="77777777" w:rsidTr="009D10D4">
        <w:trPr>
          <w:trHeight w:val="215"/>
        </w:trPr>
        <w:tc>
          <w:tcPr>
            <w:tcW w:w="796" w:type="pct"/>
            <w:hideMark/>
          </w:tcPr>
          <w:p w14:paraId="2A5A91A7" w14:textId="2A52118E" w:rsidR="00221CD1" w:rsidRPr="009D10D4" w:rsidRDefault="00B31DC6"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comprising</w:t>
            </w:r>
            <w:r w:rsidR="00221CD1" w:rsidRPr="009D10D4">
              <w:rPr>
                <w:rFonts w:ascii="Arial" w:hAnsi="Arial" w:cs="Arial"/>
                <w:color w:val="1A1A1A"/>
                <w:sz w:val="16"/>
                <w:szCs w:val="18"/>
                <w:lang w:val="en-GB"/>
              </w:rPr>
              <w:t>:</w:t>
            </w:r>
          </w:p>
        </w:tc>
        <w:tc>
          <w:tcPr>
            <w:tcW w:w="404" w:type="pct"/>
          </w:tcPr>
          <w:p w14:paraId="6F9279CC"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p>
        </w:tc>
        <w:tc>
          <w:tcPr>
            <w:tcW w:w="404" w:type="pct"/>
            <w:hideMark/>
          </w:tcPr>
          <w:p w14:paraId="615787E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34" w:type="pct"/>
            <w:hideMark/>
          </w:tcPr>
          <w:p w14:paraId="7605D8C6"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60" w:type="pct"/>
            <w:hideMark/>
          </w:tcPr>
          <w:p w14:paraId="595A09AE"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83" w:type="pct"/>
            <w:hideMark/>
          </w:tcPr>
          <w:p w14:paraId="6E324BD3"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04" w:type="pct"/>
          </w:tcPr>
          <w:p w14:paraId="1A93C1E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p>
        </w:tc>
        <w:tc>
          <w:tcPr>
            <w:tcW w:w="404" w:type="pct"/>
          </w:tcPr>
          <w:p w14:paraId="3182BC9F"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p>
        </w:tc>
        <w:tc>
          <w:tcPr>
            <w:tcW w:w="404" w:type="pct"/>
            <w:hideMark/>
          </w:tcPr>
          <w:p w14:paraId="7F8AE358"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04" w:type="pct"/>
            <w:hideMark/>
          </w:tcPr>
          <w:p w14:paraId="0E40A108"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04" w:type="pct"/>
            <w:hideMark/>
          </w:tcPr>
          <w:p w14:paraId="606E5F56"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r>
      <w:tr w:rsidR="00221CD1" w:rsidRPr="009D10D4" w14:paraId="3661F609" w14:textId="77777777" w:rsidTr="009D10D4">
        <w:trPr>
          <w:trHeight w:val="82"/>
        </w:trPr>
        <w:tc>
          <w:tcPr>
            <w:tcW w:w="796" w:type="pct"/>
            <w:hideMark/>
          </w:tcPr>
          <w:p w14:paraId="592398B9" w14:textId="77777777" w:rsidR="00221CD1" w:rsidRPr="009D10D4" w:rsidRDefault="00221CD1" w:rsidP="00F60503">
            <w:pPr>
              <w:widowControl w:val="0"/>
              <w:autoSpaceDE w:val="0"/>
              <w:autoSpaceDN w:val="0"/>
              <w:adjustRightInd w:val="0"/>
              <w:ind w:left="171"/>
              <w:rPr>
                <w:rFonts w:ascii="Arial" w:hAnsi="Arial" w:cs="Arial"/>
                <w:color w:val="1A1A1A"/>
                <w:sz w:val="16"/>
                <w:szCs w:val="18"/>
                <w:lang w:val="en-GB"/>
              </w:rPr>
            </w:pPr>
            <w:r w:rsidRPr="009D10D4">
              <w:rPr>
                <w:rFonts w:ascii="Arial" w:hAnsi="Arial" w:cs="Arial"/>
                <w:color w:val="1A1A1A"/>
                <w:sz w:val="16"/>
                <w:szCs w:val="18"/>
                <w:lang w:val="en-GB"/>
              </w:rPr>
              <w:t>a) Mining and quarrying</w:t>
            </w:r>
          </w:p>
        </w:tc>
        <w:tc>
          <w:tcPr>
            <w:tcW w:w="404" w:type="pct"/>
          </w:tcPr>
          <w:p w14:paraId="45A6D191"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10.46</w:t>
            </w:r>
          </w:p>
        </w:tc>
        <w:tc>
          <w:tcPr>
            <w:tcW w:w="404" w:type="pct"/>
            <w:hideMark/>
          </w:tcPr>
          <w:p w14:paraId="2BC271C8"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3.69</w:t>
            </w:r>
          </w:p>
        </w:tc>
        <w:tc>
          <w:tcPr>
            <w:tcW w:w="434" w:type="pct"/>
            <w:hideMark/>
          </w:tcPr>
          <w:p w14:paraId="5D93D1C8" w14:textId="087D8B5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w:t>
            </w:r>
            <w:r w:rsidR="00023598" w:rsidRPr="009D10D4">
              <w:rPr>
                <w:rFonts w:ascii="Arial" w:hAnsi="Arial" w:cs="Arial"/>
                <w:color w:val="1A1A1A"/>
                <w:sz w:val="16"/>
                <w:szCs w:val="18"/>
                <w:lang w:val="en-GB"/>
              </w:rPr>
              <w:t>0</w:t>
            </w:r>
            <w:r w:rsidR="008B39E7" w:rsidRPr="009D10D4">
              <w:rPr>
                <w:rFonts w:ascii="Arial" w:hAnsi="Arial" w:cs="Arial"/>
                <w:color w:val="1A1A1A"/>
                <w:sz w:val="16"/>
                <w:szCs w:val="18"/>
                <w:lang w:val="en-GB"/>
              </w:rPr>
              <w:t>0</w:t>
            </w:r>
          </w:p>
        </w:tc>
        <w:tc>
          <w:tcPr>
            <w:tcW w:w="460" w:type="pct"/>
            <w:hideMark/>
          </w:tcPr>
          <w:p w14:paraId="0AE3D47B" w14:textId="61A74FC2"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10.8</w:t>
            </w:r>
            <w:r w:rsidR="008B39E7" w:rsidRPr="009D10D4">
              <w:rPr>
                <w:rFonts w:ascii="Arial" w:hAnsi="Arial" w:cs="Arial"/>
                <w:color w:val="1A1A1A"/>
                <w:sz w:val="16"/>
                <w:szCs w:val="18"/>
                <w:lang w:val="en-GB"/>
              </w:rPr>
              <w:t>0</w:t>
            </w:r>
          </w:p>
        </w:tc>
        <w:tc>
          <w:tcPr>
            <w:tcW w:w="483" w:type="pct"/>
            <w:hideMark/>
          </w:tcPr>
          <w:p w14:paraId="615B1898" w14:textId="4A2BEF98"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7.4</w:t>
            </w:r>
            <w:r w:rsidR="008B39E7" w:rsidRPr="009D10D4">
              <w:rPr>
                <w:rFonts w:ascii="Arial" w:hAnsi="Arial" w:cs="Arial"/>
                <w:color w:val="1A1A1A"/>
                <w:sz w:val="16"/>
                <w:szCs w:val="18"/>
                <w:lang w:val="en-GB"/>
              </w:rPr>
              <w:t>0</w:t>
            </w:r>
          </w:p>
        </w:tc>
        <w:tc>
          <w:tcPr>
            <w:tcW w:w="404" w:type="pct"/>
          </w:tcPr>
          <w:p w14:paraId="7ECB7BF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3.48</w:t>
            </w:r>
          </w:p>
        </w:tc>
        <w:tc>
          <w:tcPr>
            <w:tcW w:w="404" w:type="pct"/>
          </w:tcPr>
          <w:p w14:paraId="5F5FE9D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2.46</w:t>
            </w:r>
          </w:p>
        </w:tc>
        <w:tc>
          <w:tcPr>
            <w:tcW w:w="404" w:type="pct"/>
            <w:hideMark/>
          </w:tcPr>
          <w:p w14:paraId="7D9B4DB2" w14:textId="3B650004"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2.9</w:t>
            </w:r>
            <w:r w:rsidR="008B39E7" w:rsidRPr="009D10D4">
              <w:rPr>
                <w:rFonts w:ascii="Arial" w:hAnsi="Arial" w:cs="Arial"/>
                <w:color w:val="1A1A1A"/>
                <w:sz w:val="16"/>
                <w:szCs w:val="18"/>
                <w:lang w:val="en-GB"/>
              </w:rPr>
              <w:t>0</w:t>
            </w:r>
          </w:p>
        </w:tc>
        <w:tc>
          <w:tcPr>
            <w:tcW w:w="404" w:type="pct"/>
            <w:hideMark/>
          </w:tcPr>
          <w:p w14:paraId="4A00AF62" w14:textId="284EB9D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w:t>
            </w:r>
            <w:r w:rsidR="00B87241" w:rsidRPr="009D10D4">
              <w:rPr>
                <w:rFonts w:ascii="Arial" w:hAnsi="Arial" w:cs="Arial"/>
                <w:color w:val="1A1A1A"/>
                <w:sz w:val="16"/>
                <w:szCs w:val="18"/>
                <w:lang w:val="en-GB"/>
              </w:rPr>
              <w:t>0</w:t>
            </w:r>
            <w:r w:rsidR="008B39E7" w:rsidRPr="009D10D4">
              <w:rPr>
                <w:rFonts w:ascii="Arial" w:hAnsi="Arial" w:cs="Arial"/>
                <w:color w:val="1A1A1A"/>
                <w:sz w:val="16"/>
                <w:szCs w:val="18"/>
                <w:lang w:val="en-GB"/>
              </w:rPr>
              <w:t>0</w:t>
            </w:r>
          </w:p>
        </w:tc>
        <w:tc>
          <w:tcPr>
            <w:tcW w:w="404" w:type="pct"/>
            <w:hideMark/>
          </w:tcPr>
          <w:p w14:paraId="1755170C" w14:textId="64D3995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3.1</w:t>
            </w:r>
            <w:r w:rsidR="008B39E7" w:rsidRPr="009D10D4">
              <w:rPr>
                <w:rFonts w:ascii="Arial" w:hAnsi="Arial" w:cs="Arial"/>
                <w:color w:val="1A1A1A"/>
                <w:sz w:val="16"/>
                <w:szCs w:val="18"/>
                <w:lang w:val="en-GB"/>
              </w:rPr>
              <w:t>0</w:t>
            </w:r>
          </w:p>
        </w:tc>
      </w:tr>
      <w:tr w:rsidR="00221CD1" w:rsidRPr="009D10D4" w14:paraId="02BBDF32" w14:textId="77777777" w:rsidTr="009D10D4">
        <w:trPr>
          <w:trHeight w:val="40"/>
        </w:trPr>
        <w:tc>
          <w:tcPr>
            <w:tcW w:w="796" w:type="pct"/>
            <w:hideMark/>
          </w:tcPr>
          <w:p w14:paraId="67288677" w14:textId="77777777" w:rsidR="00221CD1" w:rsidRPr="00F60503" w:rsidRDefault="00221CD1" w:rsidP="00F60503">
            <w:pPr>
              <w:widowControl w:val="0"/>
              <w:autoSpaceDE w:val="0"/>
              <w:autoSpaceDN w:val="0"/>
              <w:adjustRightInd w:val="0"/>
              <w:ind w:left="171"/>
              <w:rPr>
                <w:rFonts w:ascii="Arial" w:hAnsi="Arial" w:cs="Arial"/>
                <w:color w:val="1A1A1A"/>
                <w:spacing w:val="-8"/>
                <w:kern w:val="16"/>
                <w:sz w:val="16"/>
                <w:szCs w:val="18"/>
                <w:lang w:val="en-GB"/>
              </w:rPr>
            </w:pPr>
            <w:r w:rsidRPr="00F60503">
              <w:rPr>
                <w:rFonts w:ascii="Arial" w:hAnsi="Arial" w:cs="Arial"/>
                <w:color w:val="1A1A1A"/>
                <w:spacing w:val="-8"/>
                <w:kern w:val="16"/>
                <w:sz w:val="16"/>
                <w:szCs w:val="18"/>
                <w:lang w:val="en-GB"/>
              </w:rPr>
              <w:t>b) Manufacturing</w:t>
            </w:r>
          </w:p>
        </w:tc>
        <w:tc>
          <w:tcPr>
            <w:tcW w:w="404" w:type="pct"/>
          </w:tcPr>
          <w:p w14:paraId="18BB8336"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4.77</w:t>
            </w:r>
          </w:p>
        </w:tc>
        <w:tc>
          <w:tcPr>
            <w:tcW w:w="404" w:type="pct"/>
            <w:hideMark/>
          </w:tcPr>
          <w:p w14:paraId="6CA56B62"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10.28</w:t>
            </w:r>
          </w:p>
        </w:tc>
        <w:tc>
          <w:tcPr>
            <w:tcW w:w="434" w:type="pct"/>
            <w:hideMark/>
          </w:tcPr>
          <w:p w14:paraId="2115745B" w14:textId="5357F886"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w:t>
            </w:r>
            <w:r w:rsidR="00023598" w:rsidRPr="009D10D4">
              <w:rPr>
                <w:rFonts w:ascii="Arial" w:hAnsi="Arial" w:cs="Arial"/>
                <w:color w:val="1A1A1A"/>
                <w:sz w:val="16"/>
                <w:szCs w:val="18"/>
                <w:lang w:val="en-GB"/>
              </w:rPr>
              <w:t>6</w:t>
            </w:r>
            <w:r w:rsidR="008B39E7" w:rsidRPr="009D10D4">
              <w:rPr>
                <w:rFonts w:ascii="Arial" w:hAnsi="Arial" w:cs="Arial"/>
                <w:color w:val="1A1A1A"/>
                <w:sz w:val="16"/>
                <w:szCs w:val="18"/>
                <w:lang w:val="en-GB"/>
              </w:rPr>
              <w:t>0</w:t>
            </w:r>
          </w:p>
        </w:tc>
        <w:tc>
          <w:tcPr>
            <w:tcW w:w="460" w:type="pct"/>
            <w:hideMark/>
          </w:tcPr>
          <w:p w14:paraId="4F1D944F" w14:textId="6AABA7EF"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5.5</w:t>
            </w:r>
            <w:r w:rsidR="008B39E7" w:rsidRPr="009D10D4">
              <w:rPr>
                <w:rFonts w:ascii="Arial" w:hAnsi="Arial" w:cs="Arial"/>
                <w:color w:val="1A1A1A"/>
                <w:sz w:val="16"/>
                <w:szCs w:val="18"/>
                <w:lang w:val="en-GB"/>
              </w:rPr>
              <w:t>0</w:t>
            </w:r>
          </w:p>
        </w:tc>
        <w:tc>
          <w:tcPr>
            <w:tcW w:w="483" w:type="pct"/>
            <w:hideMark/>
          </w:tcPr>
          <w:p w14:paraId="3CCF7EF4" w14:textId="129371F6"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9.3</w:t>
            </w:r>
            <w:r w:rsidR="008B39E7" w:rsidRPr="009D10D4">
              <w:rPr>
                <w:rFonts w:ascii="Arial" w:hAnsi="Arial" w:cs="Arial"/>
                <w:color w:val="1A1A1A"/>
                <w:sz w:val="16"/>
                <w:szCs w:val="18"/>
                <w:lang w:val="en-GB"/>
              </w:rPr>
              <w:t>0</w:t>
            </w:r>
          </w:p>
        </w:tc>
        <w:tc>
          <w:tcPr>
            <w:tcW w:w="404" w:type="pct"/>
          </w:tcPr>
          <w:p w14:paraId="7F4631D3"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15.08</w:t>
            </w:r>
          </w:p>
        </w:tc>
        <w:tc>
          <w:tcPr>
            <w:tcW w:w="404" w:type="pct"/>
          </w:tcPr>
          <w:p w14:paraId="42F26E07"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16.14</w:t>
            </w:r>
          </w:p>
        </w:tc>
        <w:tc>
          <w:tcPr>
            <w:tcW w:w="404" w:type="pct"/>
            <w:hideMark/>
          </w:tcPr>
          <w:p w14:paraId="6973DE7A" w14:textId="05D4F479"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17.</w:t>
            </w:r>
            <w:r w:rsidR="00B87241" w:rsidRPr="009D10D4">
              <w:rPr>
                <w:rFonts w:ascii="Arial" w:hAnsi="Arial" w:cs="Arial"/>
                <w:color w:val="1A1A1A"/>
                <w:sz w:val="16"/>
                <w:szCs w:val="18"/>
                <w:lang w:val="en-GB"/>
              </w:rPr>
              <w:t>4</w:t>
            </w:r>
            <w:r w:rsidR="008B39E7" w:rsidRPr="009D10D4">
              <w:rPr>
                <w:rFonts w:ascii="Arial" w:hAnsi="Arial" w:cs="Arial"/>
                <w:color w:val="1A1A1A"/>
                <w:sz w:val="16"/>
                <w:szCs w:val="18"/>
                <w:lang w:val="en-GB"/>
              </w:rPr>
              <w:t>0</w:t>
            </w:r>
          </w:p>
        </w:tc>
        <w:tc>
          <w:tcPr>
            <w:tcW w:w="404" w:type="pct"/>
            <w:hideMark/>
          </w:tcPr>
          <w:p w14:paraId="1D2AE9A8" w14:textId="6F3CBA4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17.</w:t>
            </w:r>
            <w:r w:rsidR="00B87241" w:rsidRPr="009D10D4">
              <w:rPr>
                <w:rFonts w:ascii="Arial" w:hAnsi="Arial" w:cs="Arial"/>
                <w:color w:val="1A1A1A"/>
                <w:sz w:val="16"/>
                <w:szCs w:val="18"/>
                <w:lang w:val="en-GB"/>
              </w:rPr>
              <w:t>1</w:t>
            </w:r>
            <w:r w:rsidR="008B39E7" w:rsidRPr="009D10D4">
              <w:rPr>
                <w:rFonts w:ascii="Arial" w:hAnsi="Arial" w:cs="Arial"/>
                <w:color w:val="1A1A1A"/>
                <w:sz w:val="16"/>
                <w:szCs w:val="18"/>
                <w:lang w:val="en-GB"/>
              </w:rPr>
              <w:t>0</w:t>
            </w:r>
          </w:p>
        </w:tc>
        <w:tc>
          <w:tcPr>
            <w:tcW w:w="404" w:type="pct"/>
            <w:hideMark/>
          </w:tcPr>
          <w:p w14:paraId="125284C3" w14:textId="24ADBCE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17.</w:t>
            </w:r>
            <w:r w:rsidR="00B87241" w:rsidRPr="009D10D4">
              <w:rPr>
                <w:rFonts w:ascii="Arial" w:hAnsi="Arial" w:cs="Arial"/>
                <w:color w:val="1A1A1A"/>
                <w:sz w:val="16"/>
                <w:szCs w:val="18"/>
                <w:lang w:val="en-GB"/>
              </w:rPr>
              <w:t>5</w:t>
            </w:r>
            <w:r w:rsidR="008B39E7" w:rsidRPr="009D10D4">
              <w:rPr>
                <w:rFonts w:ascii="Arial" w:hAnsi="Arial" w:cs="Arial"/>
                <w:color w:val="1A1A1A"/>
                <w:sz w:val="16"/>
                <w:szCs w:val="18"/>
                <w:lang w:val="en-GB"/>
              </w:rPr>
              <w:t>0</w:t>
            </w:r>
          </w:p>
        </w:tc>
      </w:tr>
      <w:tr w:rsidR="00221CD1" w:rsidRPr="009D10D4" w14:paraId="7ED63EDE" w14:textId="77777777" w:rsidTr="009D10D4">
        <w:trPr>
          <w:trHeight w:val="529"/>
        </w:trPr>
        <w:tc>
          <w:tcPr>
            <w:tcW w:w="796" w:type="pct"/>
            <w:hideMark/>
          </w:tcPr>
          <w:p w14:paraId="7C6E3709" w14:textId="4828E82C" w:rsidR="00221CD1" w:rsidRPr="009D10D4" w:rsidRDefault="00221CD1" w:rsidP="00F60503">
            <w:pPr>
              <w:widowControl w:val="0"/>
              <w:autoSpaceDE w:val="0"/>
              <w:autoSpaceDN w:val="0"/>
              <w:adjustRightInd w:val="0"/>
              <w:ind w:left="171"/>
              <w:rPr>
                <w:rFonts w:ascii="Arial" w:hAnsi="Arial" w:cs="Arial"/>
                <w:color w:val="1A1A1A"/>
                <w:sz w:val="16"/>
                <w:szCs w:val="18"/>
                <w:lang w:val="en-GB"/>
              </w:rPr>
            </w:pPr>
            <w:r w:rsidRPr="009D10D4">
              <w:rPr>
                <w:rFonts w:ascii="Arial" w:hAnsi="Arial" w:cs="Arial"/>
                <w:color w:val="1A1A1A"/>
                <w:sz w:val="16"/>
                <w:szCs w:val="18"/>
                <w:lang w:val="en-GB"/>
              </w:rPr>
              <w:t>c) Electricity, gas, water supply</w:t>
            </w:r>
            <w:r w:rsidR="006B6FF7" w:rsidRPr="009D10D4">
              <w:rPr>
                <w:rFonts w:ascii="Arial" w:hAnsi="Arial" w:cs="Arial"/>
                <w:color w:val="1A1A1A"/>
                <w:sz w:val="16"/>
                <w:szCs w:val="18"/>
                <w:lang w:val="en-GB"/>
              </w:rPr>
              <w:t>,</w:t>
            </w:r>
            <w:r w:rsidRPr="009D10D4">
              <w:rPr>
                <w:rFonts w:ascii="Arial" w:hAnsi="Arial" w:cs="Arial"/>
                <w:color w:val="1A1A1A"/>
                <w:sz w:val="16"/>
                <w:szCs w:val="18"/>
                <w:lang w:val="en-GB"/>
              </w:rPr>
              <w:t xml:space="preserve"> &amp; other utility services</w:t>
            </w:r>
          </w:p>
        </w:tc>
        <w:tc>
          <w:tcPr>
            <w:tcW w:w="404" w:type="pct"/>
          </w:tcPr>
          <w:p w14:paraId="2B42451E"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6.68</w:t>
            </w:r>
          </w:p>
        </w:tc>
        <w:tc>
          <w:tcPr>
            <w:tcW w:w="404" w:type="pct"/>
            <w:hideMark/>
          </w:tcPr>
          <w:p w14:paraId="28624938"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8.27</w:t>
            </w:r>
          </w:p>
        </w:tc>
        <w:tc>
          <w:tcPr>
            <w:tcW w:w="434" w:type="pct"/>
            <w:hideMark/>
          </w:tcPr>
          <w:p w14:paraId="5D9FC175" w14:textId="70E61E0B"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w:t>
            </w:r>
            <w:r w:rsidR="00023598" w:rsidRPr="009D10D4">
              <w:rPr>
                <w:rFonts w:ascii="Arial" w:hAnsi="Arial" w:cs="Arial"/>
                <w:color w:val="1A1A1A"/>
                <w:sz w:val="16"/>
                <w:szCs w:val="18"/>
                <w:lang w:val="en-GB"/>
              </w:rPr>
              <w:t>7</w:t>
            </w:r>
            <w:r w:rsidR="008B39E7" w:rsidRPr="009D10D4">
              <w:rPr>
                <w:rFonts w:ascii="Arial" w:hAnsi="Arial" w:cs="Arial"/>
                <w:color w:val="1A1A1A"/>
                <w:sz w:val="16"/>
                <w:szCs w:val="18"/>
                <w:lang w:val="en-GB"/>
              </w:rPr>
              <w:t>0</w:t>
            </w:r>
          </w:p>
        </w:tc>
        <w:tc>
          <w:tcPr>
            <w:tcW w:w="460" w:type="pct"/>
            <w:hideMark/>
          </w:tcPr>
          <w:p w14:paraId="54CD96B8" w14:textId="3C2D927E"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8.0</w:t>
            </w:r>
            <w:r w:rsidR="00EA5396" w:rsidRPr="009D10D4">
              <w:rPr>
                <w:rFonts w:ascii="Arial" w:hAnsi="Arial" w:cs="Arial"/>
                <w:color w:val="1A1A1A"/>
                <w:sz w:val="16"/>
                <w:szCs w:val="18"/>
                <w:lang w:val="en-GB"/>
              </w:rPr>
              <w:t>0</w:t>
            </w:r>
          </w:p>
        </w:tc>
        <w:tc>
          <w:tcPr>
            <w:tcW w:w="483" w:type="pct"/>
            <w:hideMark/>
          </w:tcPr>
          <w:p w14:paraId="6E1BFC4A" w14:textId="3D87B8BE"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6.6</w:t>
            </w:r>
            <w:r w:rsidR="008B39E7" w:rsidRPr="009D10D4">
              <w:rPr>
                <w:rFonts w:ascii="Arial" w:hAnsi="Arial" w:cs="Arial"/>
                <w:color w:val="1A1A1A"/>
                <w:sz w:val="16"/>
                <w:szCs w:val="18"/>
                <w:lang w:val="en-GB"/>
              </w:rPr>
              <w:t>0</w:t>
            </w:r>
          </w:p>
        </w:tc>
        <w:tc>
          <w:tcPr>
            <w:tcW w:w="404" w:type="pct"/>
          </w:tcPr>
          <w:p w14:paraId="42AA8EDB" w14:textId="35E86AC4"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8B39E7" w:rsidRPr="009D10D4">
              <w:rPr>
                <w:rFonts w:ascii="Arial" w:hAnsi="Arial" w:cs="Arial"/>
                <w:color w:val="1A1A1A"/>
                <w:sz w:val="16"/>
                <w:szCs w:val="18"/>
                <w:lang w:val="en-GB"/>
              </w:rPr>
              <w:t>.00</w:t>
            </w:r>
          </w:p>
        </w:tc>
        <w:tc>
          <w:tcPr>
            <w:tcW w:w="404" w:type="pct"/>
          </w:tcPr>
          <w:p w14:paraId="243737A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2.04</w:t>
            </w:r>
          </w:p>
        </w:tc>
        <w:tc>
          <w:tcPr>
            <w:tcW w:w="404" w:type="pct"/>
            <w:hideMark/>
          </w:tcPr>
          <w:p w14:paraId="755F0889" w14:textId="55B379BB"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B87241" w:rsidRPr="009D10D4">
              <w:rPr>
                <w:rFonts w:ascii="Arial" w:hAnsi="Arial" w:cs="Arial"/>
                <w:color w:val="1A1A1A"/>
                <w:sz w:val="16"/>
                <w:szCs w:val="18"/>
                <w:lang w:val="en-GB"/>
              </w:rPr>
              <w:t>2</w:t>
            </w:r>
            <w:r w:rsidR="008B39E7" w:rsidRPr="009D10D4">
              <w:rPr>
                <w:rFonts w:ascii="Arial" w:hAnsi="Arial" w:cs="Arial"/>
                <w:color w:val="1A1A1A"/>
                <w:sz w:val="16"/>
                <w:szCs w:val="18"/>
                <w:lang w:val="en-GB"/>
              </w:rPr>
              <w:t>0</w:t>
            </w:r>
          </w:p>
        </w:tc>
        <w:tc>
          <w:tcPr>
            <w:tcW w:w="404" w:type="pct"/>
            <w:hideMark/>
          </w:tcPr>
          <w:p w14:paraId="59D76E2C" w14:textId="07C25C8F"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B87241" w:rsidRPr="009D10D4">
              <w:rPr>
                <w:rFonts w:ascii="Arial" w:hAnsi="Arial" w:cs="Arial"/>
                <w:color w:val="1A1A1A"/>
                <w:sz w:val="16"/>
                <w:szCs w:val="18"/>
                <w:lang w:val="en-GB"/>
              </w:rPr>
              <w:t>2</w:t>
            </w:r>
            <w:r w:rsidR="008B39E7" w:rsidRPr="009D10D4">
              <w:rPr>
                <w:rFonts w:ascii="Arial" w:hAnsi="Arial" w:cs="Arial"/>
                <w:color w:val="1A1A1A"/>
                <w:sz w:val="16"/>
                <w:szCs w:val="18"/>
                <w:lang w:val="en-GB"/>
              </w:rPr>
              <w:t>0</w:t>
            </w:r>
          </w:p>
        </w:tc>
        <w:tc>
          <w:tcPr>
            <w:tcW w:w="404" w:type="pct"/>
            <w:hideMark/>
          </w:tcPr>
          <w:p w14:paraId="38AA784F" w14:textId="3834A2C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B87241" w:rsidRPr="009D10D4">
              <w:rPr>
                <w:rFonts w:ascii="Arial" w:hAnsi="Arial" w:cs="Arial"/>
                <w:color w:val="1A1A1A"/>
                <w:sz w:val="16"/>
                <w:szCs w:val="18"/>
                <w:lang w:val="en-GB"/>
              </w:rPr>
              <w:t>2</w:t>
            </w:r>
            <w:r w:rsidR="008B39E7" w:rsidRPr="009D10D4">
              <w:rPr>
                <w:rFonts w:ascii="Arial" w:hAnsi="Arial" w:cs="Arial"/>
                <w:color w:val="1A1A1A"/>
                <w:sz w:val="16"/>
                <w:szCs w:val="18"/>
                <w:lang w:val="en-GB"/>
              </w:rPr>
              <w:t>0</w:t>
            </w:r>
          </w:p>
        </w:tc>
      </w:tr>
      <w:tr w:rsidR="00221CD1" w:rsidRPr="009D10D4" w14:paraId="60BBADE5" w14:textId="77777777" w:rsidTr="009D10D4">
        <w:trPr>
          <w:trHeight w:val="40"/>
        </w:trPr>
        <w:tc>
          <w:tcPr>
            <w:tcW w:w="796" w:type="pct"/>
            <w:hideMark/>
          </w:tcPr>
          <w:p w14:paraId="7C36D87C" w14:textId="77777777" w:rsidR="00221CD1" w:rsidRPr="009D10D4" w:rsidRDefault="00221CD1"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3. Services</w:t>
            </w:r>
          </w:p>
        </w:tc>
        <w:tc>
          <w:tcPr>
            <w:tcW w:w="404" w:type="pct"/>
          </w:tcPr>
          <w:p w14:paraId="5F1C0767"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6.08</w:t>
            </w:r>
          </w:p>
        </w:tc>
        <w:tc>
          <w:tcPr>
            <w:tcW w:w="404" w:type="pct"/>
            <w:hideMark/>
          </w:tcPr>
          <w:p w14:paraId="5154EC15"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10.34</w:t>
            </w:r>
          </w:p>
        </w:tc>
        <w:tc>
          <w:tcPr>
            <w:tcW w:w="434" w:type="pct"/>
            <w:hideMark/>
          </w:tcPr>
          <w:p w14:paraId="41F1D086" w14:textId="471B8561"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7.3</w:t>
            </w:r>
            <w:r w:rsidR="008B39E7" w:rsidRPr="009D10D4">
              <w:rPr>
                <w:rFonts w:ascii="Arial" w:hAnsi="Arial" w:cs="Arial"/>
                <w:color w:val="1A1A1A"/>
                <w:sz w:val="16"/>
                <w:szCs w:val="18"/>
                <w:lang w:val="en-GB"/>
              </w:rPr>
              <w:t>0</w:t>
            </w:r>
          </w:p>
        </w:tc>
        <w:tc>
          <w:tcPr>
            <w:tcW w:w="460" w:type="pct"/>
            <w:hideMark/>
          </w:tcPr>
          <w:p w14:paraId="74D977EC" w14:textId="5656603A"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9.4</w:t>
            </w:r>
            <w:r w:rsidR="008B39E7" w:rsidRPr="009D10D4">
              <w:rPr>
                <w:rFonts w:ascii="Arial" w:hAnsi="Arial" w:cs="Arial"/>
                <w:color w:val="1A1A1A"/>
                <w:sz w:val="16"/>
                <w:szCs w:val="18"/>
                <w:lang w:val="en-GB"/>
              </w:rPr>
              <w:t>0</w:t>
            </w:r>
          </w:p>
        </w:tc>
        <w:tc>
          <w:tcPr>
            <w:tcW w:w="483" w:type="pct"/>
            <w:hideMark/>
          </w:tcPr>
          <w:p w14:paraId="55DA915E" w14:textId="1AC72AB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w:t>
            </w:r>
            <w:r w:rsidR="00023598" w:rsidRPr="009D10D4">
              <w:rPr>
                <w:rFonts w:ascii="Arial" w:hAnsi="Arial" w:cs="Arial"/>
                <w:color w:val="1A1A1A"/>
                <w:sz w:val="16"/>
                <w:szCs w:val="18"/>
                <w:lang w:val="en-GB"/>
              </w:rPr>
              <w:t>2</w:t>
            </w:r>
            <w:r w:rsidR="008B39E7" w:rsidRPr="009D10D4">
              <w:rPr>
                <w:rFonts w:ascii="Arial" w:hAnsi="Arial" w:cs="Arial"/>
                <w:color w:val="1A1A1A"/>
                <w:sz w:val="16"/>
                <w:szCs w:val="18"/>
                <w:lang w:val="en-GB"/>
              </w:rPr>
              <w:t>0</w:t>
            </w:r>
          </w:p>
        </w:tc>
        <w:tc>
          <w:tcPr>
            <w:tcW w:w="404" w:type="pct"/>
          </w:tcPr>
          <w:p w14:paraId="3D07AE12"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49.61</w:t>
            </w:r>
          </w:p>
        </w:tc>
        <w:tc>
          <w:tcPr>
            <w:tcW w:w="404" w:type="pct"/>
          </w:tcPr>
          <w:p w14:paraId="6AADCA18"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62.54</w:t>
            </w:r>
          </w:p>
        </w:tc>
        <w:tc>
          <w:tcPr>
            <w:tcW w:w="404" w:type="pct"/>
            <w:hideMark/>
          </w:tcPr>
          <w:p w14:paraId="282EE797" w14:textId="6151E87A" w:rsidR="00221CD1" w:rsidRPr="009D10D4" w:rsidRDefault="00F30B5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60</w:t>
            </w:r>
            <w:r w:rsidR="008B39E7" w:rsidRPr="009D10D4">
              <w:rPr>
                <w:rFonts w:ascii="Arial" w:hAnsi="Arial" w:cs="Arial"/>
                <w:color w:val="1A1A1A"/>
                <w:sz w:val="16"/>
                <w:szCs w:val="18"/>
                <w:lang w:val="en-GB"/>
              </w:rPr>
              <w:t>.00</w:t>
            </w:r>
          </w:p>
        </w:tc>
        <w:tc>
          <w:tcPr>
            <w:tcW w:w="404" w:type="pct"/>
            <w:hideMark/>
          </w:tcPr>
          <w:p w14:paraId="2A7762C6" w14:textId="466580B0" w:rsidR="00221CD1" w:rsidRPr="009D10D4" w:rsidRDefault="00F30B5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61.3</w:t>
            </w:r>
            <w:r w:rsidR="008B39E7" w:rsidRPr="009D10D4">
              <w:rPr>
                <w:rFonts w:ascii="Arial" w:hAnsi="Arial" w:cs="Arial"/>
                <w:color w:val="1A1A1A"/>
                <w:sz w:val="16"/>
                <w:szCs w:val="18"/>
                <w:lang w:val="en-GB"/>
              </w:rPr>
              <w:t>0</w:t>
            </w:r>
          </w:p>
        </w:tc>
        <w:tc>
          <w:tcPr>
            <w:tcW w:w="404" w:type="pct"/>
            <w:hideMark/>
          </w:tcPr>
          <w:p w14:paraId="41151461" w14:textId="0B976505"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61.</w:t>
            </w:r>
            <w:r w:rsidR="00F30B51" w:rsidRPr="009D10D4">
              <w:rPr>
                <w:rFonts w:ascii="Arial" w:hAnsi="Arial" w:cs="Arial"/>
                <w:color w:val="1A1A1A"/>
                <w:sz w:val="16"/>
                <w:szCs w:val="18"/>
                <w:lang w:val="en-GB"/>
              </w:rPr>
              <w:t>9</w:t>
            </w:r>
            <w:r w:rsidR="008B39E7" w:rsidRPr="009D10D4">
              <w:rPr>
                <w:rFonts w:ascii="Arial" w:hAnsi="Arial" w:cs="Arial"/>
                <w:color w:val="1A1A1A"/>
                <w:sz w:val="16"/>
                <w:szCs w:val="18"/>
                <w:lang w:val="en-GB"/>
              </w:rPr>
              <w:t>0</w:t>
            </w:r>
          </w:p>
        </w:tc>
      </w:tr>
      <w:tr w:rsidR="00221CD1" w:rsidRPr="009D10D4" w14:paraId="4AE475E7" w14:textId="77777777" w:rsidTr="009D10D4">
        <w:trPr>
          <w:trHeight w:val="170"/>
        </w:trPr>
        <w:tc>
          <w:tcPr>
            <w:tcW w:w="796" w:type="pct"/>
            <w:hideMark/>
          </w:tcPr>
          <w:p w14:paraId="1B0B102C" w14:textId="04EA39DB" w:rsidR="00221CD1" w:rsidRPr="009D10D4" w:rsidRDefault="00B31DC6" w:rsidP="009D10D4">
            <w:pPr>
              <w:widowControl w:val="0"/>
              <w:autoSpaceDE w:val="0"/>
              <w:autoSpaceDN w:val="0"/>
              <w:adjustRightInd w:val="0"/>
              <w:rPr>
                <w:rFonts w:ascii="Arial" w:hAnsi="Arial" w:cs="Arial"/>
                <w:color w:val="1A1A1A"/>
                <w:sz w:val="16"/>
                <w:szCs w:val="18"/>
                <w:lang w:val="en-GB"/>
              </w:rPr>
            </w:pPr>
            <w:r w:rsidRPr="009D10D4">
              <w:rPr>
                <w:rFonts w:ascii="Arial" w:hAnsi="Arial" w:cs="Arial"/>
                <w:color w:val="1A1A1A"/>
                <w:sz w:val="16"/>
                <w:szCs w:val="18"/>
                <w:lang w:val="en-GB"/>
              </w:rPr>
              <w:t>comprising</w:t>
            </w:r>
            <w:r w:rsidR="00221CD1" w:rsidRPr="009D10D4">
              <w:rPr>
                <w:rFonts w:ascii="Arial" w:hAnsi="Arial" w:cs="Arial"/>
                <w:color w:val="1A1A1A"/>
                <w:sz w:val="16"/>
                <w:szCs w:val="18"/>
                <w:lang w:val="en-GB"/>
              </w:rPr>
              <w:t>:</w:t>
            </w:r>
          </w:p>
        </w:tc>
        <w:tc>
          <w:tcPr>
            <w:tcW w:w="404" w:type="pct"/>
          </w:tcPr>
          <w:p w14:paraId="127823A1"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p>
        </w:tc>
        <w:tc>
          <w:tcPr>
            <w:tcW w:w="404" w:type="pct"/>
            <w:hideMark/>
          </w:tcPr>
          <w:p w14:paraId="25FBA172"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34" w:type="pct"/>
            <w:hideMark/>
          </w:tcPr>
          <w:p w14:paraId="416D509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60" w:type="pct"/>
            <w:hideMark/>
          </w:tcPr>
          <w:p w14:paraId="19BA1B02"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83" w:type="pct"/>
            <w:hideMark/>
          </w:tcPr>
          <w:p w14:paraId="13AAE742"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04" w:type="pct"/>
          </w:tcPr>
          <w:p w14:paraId="1E76860D"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p>
        </w:tc>
        <w:tc>
          <w:tcPr>
            <w:tcW w:w="404" w:type="pct"/>
          </w:tcPr>
          <w:p w14:paraId="4401679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p>
        </w:tc>
        <w:tc>
          <w:tcPr>
            <w:tcW w:w="404" w:type="pct"/>
            <w:hideMark/>
          </w:tcPr>
          <w:p w14:paraId="04F078B5"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04" w:type="pct"/>
            <w:hideMark/>
          </w:tcPr>
          <w:p w14:paraId="1853719A"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c>
          <w:tcPr>
            <w:tcW w:w="404" w:type="pct"/>
            <w:hideMark/>
          </w:tcPr>
          <w:p w14:paraId="5439DD1D"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 </w:t>
            </w:r>
          </w:p>
        </w:tc>
      </w:tr>
      <w:tr w:rsidR="00221CD1" w:rsidRPr="009D10D4" w14:paraId="2933510E" w14:textId="77777777" w:rsidTr="009D10D4">
        <w:trPr>
          <w:trHeight w:val="215"/>
        </w:trPr>
        <w:tc>
          <w:tcPr>
            <w:tcW w:w="796" w:type="pct"/>
            <w:hideMark/>
          </w:tcPr>
          <w:p w14:paraId="398C0CFD" w14:textId="77777777" w:rsidR="00221CD1" w:rsidRPr="009D10D4" w:rsidRDefault="00221CD1" w:rsidP="00F60503">
            <w:pPr>
              <w:widowControl w:val="0"/>
              <w:autoSpaceDE w:val="0"/>
              <w:autoSpaceDN w:val="0"/>
              <w:adjustRightInd w:val="0"/>
              <w:ind w:left="171"/>
              <w:rPr>
                <w:rFonts w:ascii="Arial" w:hAnsi="Arial" w:cs="Arial"/>
                <w:color w:val="1A1A1A"/>
                <w:sz w:val="16"/>
                <w:szCs w:val="18"/>
                <w:lang w:val="en-GB"/>
              </w:rPr>
            </w:pPr>
            <w:r w:rsidRPr="009D10D4">
              <w:rPr>
                <w:rFonts w:ascii="Arial" w:hAnsi="Arial" w:cs="Arial"/>
                <w:color w:val="1A1A1A"/>
                <w:sz w:val="16"/>
                <w:szCs w:val="18"/>
                <w:lang w:val="en-GB"/>
              </w:rPr>
              <w:t>a) Construction</w:t>
            </w:r>
          </w:p>
        </w:tc>
        <w:tc>
          <w:tcPr>
            <w:tcW w:w="404" w:type="pct"/>
          </w:tcPr>
          <w:p w14:paraId="4CDB193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11.79</w:t>
            </w:r>
          </w:p>
        </w:tc>
        <w:tc>
          <w:tcPr>
            <w:tcW w:w="404" w:type="pct"/>
            <w:hideMark/>
          </w:tcPr>
          <w:p w14:paraId="0C63C5AD"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10.78</w:t>
            </w:r>
          </w:p>
        </w:tc>
        <w:tc>
          <w:tcPr>
            <w:tcW w:w="434" w:type="pct"/>
            <w:hideMark/>
          </w:tcPr>
          <w:p w14:paraId="6AA33E22" w14:textId="05D8BDF9"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4.6</w:t>
            </w:r>
            <w:r w:rsidR="008B39E7" w:rsidRPr="009D10D4">
              <w:rPr>
                <w:rFonts w:ascii="Arial" w:hAnsi="Arial" w:cs="Arial"/>
                <w:color w:val="1A1A1A"/>
                <w:sz w:val="16"/>
                <w:szCs w:val="18"/>
                <w:lang w:val="en-GB"/>
              </w:rPr>
              <w:t>0</w:t>
            </w:r>
          </w:p>
        </w:tc>
        <w:tc>
          <w:tcPr>
            <w:tcW w:w="460" w:type="pct"/>
            <w:hideMark/>
          </w:tcPr>
          <w:p w14:paraId="139398B6" w14:textId="4AB67A32"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4.4</w:t>
            </w:r>
            <w:r w:rsidR="008B39E7" w:rsidRPr="009D10D4">
              <w:rPr>
                <w:rFonts w:ascii="Arial" w:hAnsi="Arial" w:cs="Arial"/>
                <w:color w:val="1A1A1A"/>
                <w:sz w:val="16"/>
                <w:szCs w:val="18"/>
                <w:lang w:val="en-GB"/>
              </w:rPr>
              <w:t>0</w:t>
            </w:r>
          </w:p>
        </w:tc>
        <w:tc>
          <w:tcPr>
            <w:tcW w:w="483" w:type="pct"/>
            <w:hideMark/>
          </w:tcPr>
          <w:p w14:paraId="20564959" w14:textId="65BE7237"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3.9</w:t>
            </w:r>
            <w:r w:rsidR="008B39E7" w:rsidRPr="009D10D4">
              <w:rPr>
                <w:rFonts w:ascii="Arial" w:hAnsi="Arial" w:cs="Arial"/>
                <w:color w:val="1A1A1A"/>
                <w:sz w:val="16"/>
                <w:szCs w:val="18"/>
                <w:lang w:val="en-GB"/>
              </w:rPr>
              <w:t>0</w:t>
            </w:r>
          </w:p>
        </w:tc>
        <w:tc>
          <w:tcPr>
            <w:tcW w:w="404" w:type="pct"/>
          </w:tcPr>
          <w:p w14:paraId="29489CE5"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7.06</w:t>
            </w:r>
          </w:p>
        </w:tc>
        <w:tc>
          <w:tcPr>
            <w:tcW w:w="404" w:type="pct"/>
          </w:tcPr>
          <w:p w14:paraId="61B7D48E" w14:textId="3054AC5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8.1</w:t>
            </w:r>
            <w:r w:rsidR="008B39E7" w:rsidRPr="009D10D4">
              <w:rPr>
                <w:rFonts w:ascii="Arial" w:hAnsi="Arial" w:cs="Arial"/>
                <w:color w:val="1A1A1A"/>
                <w:sz w:val="16"/>
                <w:szCs w:val="18"/>
                <w:lang w:val="en-GB"/>
              </w:rPr>
              <w:t>0</w:t>
            </w:r>
          </w:p>
        </w:tc>
        <w:tc>
          <w:tcPr>
            <w:tcW w:w="404" w:type="pct"/>
            <w:hideMark/>
          </w:tcPr>
          <w:p w14:paraId="646243D8" w14:textId="1E507F97" w:rsidR="00221CD1" w:rsidRPr="009D10D4" w:rsidRDefault="003D075C"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9.0</w:t>
            </w:r>
            <w:r w:rsidR="008B39E7" w:rsidRPr="009D10D4">
              <w:rPr>
                <w:rFonts w:ascii="Arial" w:hAnsi="Arial" w:cs="Arial"/>
                <w:color w:val="1A1A1A"/>
                <w:sz w:val="16"/>
                <w:szCs w:val="18"/>
                <w:lang w:val="en-GB"/>
              </w:rPr>
              <w:t>0</w:t>
            </w:r>
          </w:p>
        </w:tc>
        <w:tc>
          <w:tcPr>
            <w:tcW w:w="404" w:type="pct"/>
            <w:hideMark/>
          </w:tcPr>
          <w:p w14:paraId="28D1A3C4" w14:textId="3F06B641"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w:t>
            </w:r>
            <w:r w:rsidR="003D075C" w:rsidRPr="009D10D4">
              <w:rPr>
                <w:rFonts w:ascii="Arial" w:hAnsi="Arial" w:cs="Arial"/>
                <w:color w:val="1A1A1A"/>
                <w:sz w:val="16"/>
                <w:szCs w:val="18"/>
                <w:lang w:val="en-GB"/>
              </w:rPr>
              <w:t>8</w:t>
            </w:r>
            <w:r w:rsidR="008B39E7" w:rsidRPr="009D10D4">
              <w:rPr>
                <w:rFonts w:ascii="Arial" w:hAnsi="Arial" w:cs="Arial"/>
                <w:color w:val="1A1A1A"/>
                <w:sz w:val="16"/>
                <w:szCs w:val="18"/>
                <w:lang w:val="en-GB"/>
              </w:rPr>
              <w:t>0</w:t>
            </w:r>
          </w:p>
        </w:tc>
        <w:tc>
          <w:tcPr>
            <w:tcW w:w="404" w:type="pct"/>
            <w:hideMark/>
          </w:tcPr>
          <w:p w14:paraId="0D845812" w14:textId="735128CE"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8.</w:t>
            </w:r>
            <w:r w:rsidR="003D075C" w:rsidRPr="009D10D4">
              <w:rPr>
                <w:rFonts w:ascii="Arial" w:hAnsi="Arial" w:cs="Arial"/>
                <w:color w:val="1A1A1A"/>
                <w:sz w:val="16"/>
                <w:szCs w:val="18"/>
                <w:lang w:val="en-GB"/>
              </w:rPr>
              <w:t>5</w:t>
            </w:r>
            <w:r w:rsidR="008B39E7" w:rsidRPr="009D10D4">
              <w:rPr>
                <w:rFonts w:ascii="Arial" w:hAnsi="Arial" w:cs="Arial"/>
                <w:color w:val="1A1A1A"/>
                <w:sz w:val="16"/>
                <w:szCs w:val="18"/>
                <w:lang w:val="en-GB"/>
              </w:rPr>
              <w:t>0</w:t>
            </w:r>
          </w:p>
        </w:tc>
      </w:tr>
      <w:tr w:rsidR="00221CD1" w:rsidRPr="009D10D4" w14:paraId="7D1DBEE8" w14:textId="77777777" w:rsidTr="009D10D4">
        <w:trPr>
          <w:trHeight w:val="631"/>
        </w:trPr>
        <w:tc>
          <w:tcPr>
            <w:tcW w:w="796" w:type="pct"/>
            <w:hideMark/>
          </w:tcPr>
          <w:p w14:paraId="30B94780" w14:textId="645FA84A" w:rsidR="00221CD1" w:rsidRPr="009D10D4" w:rsidRDefault="00221CD1" w:rsidP="00B97D5A">
            <w:pPr>
              <w:widowControl w:val="0"/>
              <w:autoSpaceDE w:val="0"/>
              <w:autoSpaceDN w:val="0"/>
              <w:adjustRightInd w:val="0"/>
              <w:ind w:left="171"/>
              <w:rPr>
                <w:rFonts w:ascii="Arial" w:hAnsi="Arial" w:cs="Arial"/>
                <w:color w:val="1A1A1A"/>
                <w:sz w:val="16"/>
                <w:szCs w:val="18"/>
                <w:lang w:val="en-GB"/>
              </w:rPr>
            </w:pPr>
            <w:r w:rsidRPr="009D10D4">
              <w:rPr>
                <w:rFonts w:ascii="Arial" w:hAnsi="Arial" w:cs="Arial"/>
                <w:color w:val="1A1A1A"/>
                <w:sz w:val="16"/>
                <w:szCs w:val="18"/>
                <w:lang w:val="en-GB"/>
              </w:rPr>
              <w:t>b) Trade, hotels, transport, communication</w:t>
            </w:r>
            <w:r w:rsidR="006B6FF7" w:rsidRPr="009D10D4">
              <w:rPr>
                <w:rFonts w:ascii="Arial" w:hAnsi="Arial" w:cs="Arial"/>
                <w:color w:val="1A1A1A"/>
                <w:sz w:val="16"/>
                <w:szCs w:val="18"/>
                <w:lang w:val="en-GB"/>
              </w:rPr>
              <w:t>,</w:t>
            </w:r>
            <w:r w:rsidRPr="009D10D4">
              <w:rPr>
                <w:rFonts w:ascii="Arial" w:hAnsi="Arial" w:cs="Arial"/>
                <w:color w:val="1A1A1A"/>
                <w:sz w:val="16"/>
                <w:szCs w:val="18"/>
                <w:lang w:val="en-GB"/>
              </w:rPr>
              <w:t xml:space="preserve"> and services related to broadcasting</w:t>
            </w:r>
          </w:p>
        </w:tc>
        <w:tc>
          <w:tcPr>
            <w:tcW w:w="404" w:type="pct"/>
          </w:tcPr>
          <w:p w14:paraId="4EF8C2EE"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5.16</w:t>
            </w:r>
          </w:p>
        </w:tc>
        <w:tc>
          <w:tcPr>
            <w:tcW w:w="404" w:type="pct"/>
            <w:hideMark/>
          </w:tcPr>
          <w:p w14:paraId="385AFE9A"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10.93</w:t>
            </w:r>
          </w:p>
        </w:tc>
        <w:tc>
          <w:tcPr>
            <w:tcW w:w="434" w:type="pct"/>
            <w:hideMark/>
          </w:tcPr>
          <w:p w14:paraId="15E62121" w14:textId="66FCA3DD"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7.</w:t>
            </w:r>
            <w:r w:rsidR="00023598" w:rsidRPr="009D10D4">
              <w:rPr>
                <w:rFonts w:ascii="Arial" w:hAnsi="Arial" w:cs="Arial"/>
                <w:color w:val="1A1A1A"/>
                <w:sz w:val="16"/>
                <w:szCs w:val="18"/>
                <w:lang w:val="en-GB"/>
              </w:rPr>
              <w:t>8</w:t>
            </w:r>
            <w:r w:rsidR="008B39E7" w:rsidRPr="009D10D4">
              <w:rPr>
                <w:rFonts w:ascii="Arial" w:hAnsi="Arial" w:cs="Arial"/>
                <w:color w:val="1A1A1A"/>
                <w:sz w:val="16"/>
                <w:szCs w:val="18"/>
                <w:lang w:val="en-GB"/>
              </w:rPr>
              <w:t>0</w:t>
            </w:r>
          </w:p>
        </w:tc>
        <w:tc>
          <w:tcPr>
            <w:tcW w:w="460" w:type="pct"/>
            <w:hideMark/>
          </w:tcPr>
          <w:p w14:paraId="3891B7E5" w14:textId="557AA3EF"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9.8</w:t>
            </w:r>
            <w:r w:rsidR="008B39E7" w:rsidRPr="009D10D4">
              <w:rPr>
                <w:rFonts w:ascii="Arial" w:hAnsi="Arial" w:cs="Arial"/>
                <w:color w:val="1A1A1A"/>
                <w:sz w:val="16"/>
                <w:szCs w:val="18"/>
                <w:lang w:val="en-GB"/>
              </w:rPr>
              <w:t>0</w:t>
            </w:r>
          </w:p>
        </w:tc>
        <w:tc>
          <w:tcPr>
            <w:tcW w:w="483" w:type="pct"/>
            <w:hideMark/>
          </w:tcPr>
          <w:p w14:paraId="49489BEA" w14:textId="5630899C"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9.0</w:t>
            </w:r>
            <w:r w:rsidR="008B39E7" w:rsidRPr="009D10D4">
              <w:rPr>
                <w:rFonts w:ascii="Arial" w:hAnsi="Arial" w:cs="Arial"/>
                <w:color w:val="1A1A1A"/>
                <w:sz w:val="16"/>
                <w:szCs w:val="18"/>
                <w:lang w:val="en-GB"/>
              </w:rPr>
              <w:t>0</w:t>
            </w:r>
          </w:p>
        </w:tc>
        <w:tc>
          <w:tcPr>
            <w:tcW w:w="404" w:type="pct"/>
          </w:tcPr>
          <w:p w14:paraId="0192440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17.64</w:t>
            </w:r>
          </w:p>
        </w:tc>
        <w:tc>
          <w:tcPr>
            <w:tcW w:w="404" w:type="pct"/>
          </w:tcPr>
          <w:p w14:paraId="6348F9EA"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25.91</w:t>
            </w:r>
          </w:p>
        </w:tc>
        <w:tc>
          <w:tcPr>
            <w:tcW w:w="404" w:type="pct"/>
            <w:hideMark/>
          </w:tcPr>
          <w:p w14:paraId="01A86E63" w14:textId="113B9395"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18.4</w:t>
            </w:r>
            <w:r w:rsidR="008B39E7" w:rsidRPr="009D10D4">
              <w:rPr>
                <w:rFonts w:ascii="Arial" w:hAnsi="Arial" w:cs="Arial"/>
                <w:color w:val="1A1A1A"/>
                <w:sz w:val="16"/>
                <w:szCs w:val="18"/>
                <w:lang w:val="en-GB"/>
              </w:rPr>
              <w:t>0</w:t>
            </w:r>
          </w:p>
        </w:tc>
        <w:tc>
          <w:tcPr>
            <w:tcW w:w="404" w:type="pct"/>
            <w:hideMark/>
          </w:tcPr>
          <w:p w14:paraId="359F8BE1" w14:textId="7F8ABF0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18.</w:t>
            </w:r>
            <w:r w:rsidR="003D075C" w:rsidRPr="009D10D4">
              <w:rPr>
                <w:rFonts w:ascii="Arial" w:hAnsi="Arial" w:cs="Arial"/>
                <w:color w:val="1A1A1A"/>
                <w:sz w:val="16"/>
                <w:szCs w:val="18"/>
                <w:lang w:val="en-GB"/>
              </w:rPr>
              <w:t>9</w:t>
            </w:r>
            <w:r w:rsidR="008B39E7" w:rsidRPr="009D10D4">
              <w:rPr>
                <w:rFonts w:ascii="Arial" w:hAnsi="Arial" w:cs="Arial"/>
                <w:color w:val="1A1A1A"/>
                <w:sz w:val="16"/>
                <w:szCs w:val="18"/>
                <w:lang w:val="en-GB"/>
              </w:rPr>
              <w:t>0</w:t>
            </w:r>
          </w:p>
        </w:tc>
        <w:tc>
          <w:tcPr>
            <w:tcW w:w="404" w:type="pct"/>
            <w:hideMark/>
          </w:tcPr>
          <w:p w14:paraId="44C60E41" w14:textId="04F2D7E5"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19.</w:t>
            </w:r>
            <w:r w:rsidR="003D075C" w:rsidRPr="009D10D4">
              <w:rPr>
                <w:rFonts w:ascii="Arial" w:hAnsi="Arial" w:cs="Arial"/>
                <w:color w:val="1A1A1A"/>
                <w:sz w:val="16"/>
                <w:szCs w:val="18"/>
                <w:lang w:val="en-GB"/>
              </w:rPr>
              <w:t>2</w:t>
            </w:r>
            <w:r w:rsidR="008B39E7" w:rsidRPr="009D10D4">
              <w:rPr>
                <w:rFonts w:ascii="Arial" w:hAnsi="Arial" w:cs="Arial"/>
                <w:color w:val="1A1A1A"/>
                <w:sz w:val="16"/>
                <w:szCs w:val="18"/>
                <w:lang w:val="en-GB"/>
              </w:rPr>
              <w:t>0</w:t>
            </w:r>
          </w:p>
        </w:tc>
      </w:tr>
      <w:tr w:rsidR="00221CD1" w:rsidRPr="009D10D4" w14:paraId="61E03AAD" w14:textId="77777777" w:rsidTr="009D10D4">
        <w:trPr>
          <w:trHeight w:val="218"/>
        </w:trPr>
        <w:tc>
          <w:tcPr>
            <w:tcW w:w="796" w:type="pct"/>
            <w:hideMark/>
          </w:tcPr>
          <w:p w14:paraId="7931CEAD" w14:textId="44C80396" w:rsidR="00221CD1" w:rsidRPr="009D10D4" w:rsidRDefault="00221CD1" w:rsidP="00F60503">
            <w:pPr>
              <w:widowControl w:val="0"/>
              <w:autoSpaceDE w:val="0"/>
              <w:autoSpaceDN w:val="0"/>
              <w:adjustRightInd w:val="0"/>
              <w:ind w:left="171"/>
              <w:rPr>
                <w:rFonts w:ascii="Arial" w:hAnsi="Arial" w:cs="Arial"/>
                <w:color w:val="1A1A1A"/>
                <w:sz w:val="16"/>
                <w:szCs w:val="18"/>
                <w:lang w:val="en-GB"/>
              </w:rPr>
            </w:pPr>
            <w:r w:rsidRPr="009D10D4">
              <w:rPr>
                <w:rFonts w:ascii="Arial" w:hAnsi="Arial" w:cs="Arial"/>
                <w:color w:val="1A1A1A"/>
                <w:sz w:val="16"/>
                <w:szCs w:val="18"/>
                <w:lang w:val="en-GB"/>
              </w:rPr>
              <w:t>c) Financial, real estate</w:t>
            </w:r>
            <w:r w:rsidR="006B6FF7" w:rsidRPr="009D10D4">
              <w:rPr>
                <w:rFonts w:ascii="Arial" w:hAnsi="Arial" w:cs="Arial"/>
                <w:color w:val="1A1A1A"/>
                <w:sz w:val="16"/>
                <w:szCs w:val="18"/>
                <w:lang w:val="en-GB"/>
              </w:rPr>
              <w:t>,</w:t>
            </w:r>
            <w:r w:rsidRPr="009D10D4">
              <w:rPr>
                <w:rFonts w:ascii="Arial" w:hAnsi="Arial" w:cs="Arial"/>
                <w:color w:val="1A1A1A"/>
                <w:sz w:val="16"/>
                <w:szCs w:val="18"/>
                <w:lang w:val="en-GB"/>
              </w:rPr>
              <w:t xml:space="preserve"> &amp; professional services</w:t>
            </w:r>
          </w:p>
        </w:tc>
        <w:tc>
          <w:tcPr>
            <w:tcW w:w="404" w:type="pct"/>
          </w:tcPr>
          <w:p w14:paraId="06D2C18E"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6.21</w:t>
            </w:r>
          </w:p>
        </w:tc>
        <w:tc>
          <w:tcPr>
            <w:tcW w:w="404" w:type="pct"/>
            <w:hideMark/>
          </w:tcPr>
          <w:p w14:paraId="5E581E0E"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11.95</w:t>
            </w:r>
          </w:p>
        </w:tc>
        <w:tc>
          <w:tcPr>
            <w:tcW w:w="434" w:type="pct"/>
            <w:hideMark/>
          </w:tcPr>
          <w:p w14:paraId="7585E523" w14:textId="05274E26"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w:t>
            </w:r>
            <w:r w:rsidR="00023598" w:rsidRPr="009D10D4">
              <w:rPr>
                <w:rFonts w:ascii="Arial" w:hAnsi="Arial" w:cs="Arial"/>
                <w:color w:val="1A1A1A"/>
                <w:sz w:val="16"/>
                <w:szCs w:val="18"/>
                <w:lang w:val="en-GB"/>
              </w:rPr>
              <w:t>0.1</w:t>
            </w:r>
            <w:r w:rsidR="008B39E7" w:rsidRPr="009D10D4">
              <w:rPr>
                <w:rFonts w:ascii="Arial" w:hAnsi="Arial" w:cs="Arial"/>
                <w:color w:val="1A1A1A"/>
                <w:sz w:val="16"/>
                <w:szCs w:val="18"/>
                <w:lang w:val="en-GB"/>
              </w:rPr>
              <w:t>0</w:t>
            </w:r>
          </w:p>
        </w:tc>
        <w:tc>
          <w:tcPr>
            <w:tcW w:w="460" w:type="pct"/>
            <w:hideMark/>
          </w:tcPr>
          <w:p w14:paraId="2CB458B1" w14:textId="5CEFE482"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w:t>
            </w:r>
            <w:r w:rsidR="00023598" w:rsidRPr="009D10D4">
              <w:rPr>
                <w:rFonts w:ascii="Arial" w:hAnsi="Arial" w:cs="Arial"/>
                <w:color w:val="1A1A1A"/>
                <w:sz w:val="16"/>
                <w:szCs w:val="18"/>
                <w:lang w:val="en-GB"/>
              </w:rPr>
              <w:t>0.6</w:t>
            </w:r>
            <w:r w:rsidR="008B39E7" w:rsidRPr="009D10D4">
              <w:rPr>
                <w:rFonts w:ascii="Arial" w:hAnsi="Arial" w:cs="Arial"/>
                <w:color w:val="1A1A1A"/>
                <w:sz w:val="16"/>
                <w:szCs w:val="18"/>
                <w:lang w:val="en-GB"/>
              </w:rPr>
              <w:t>0</w:t>
            </w:r>
          </w:p>
        </w:tc>
        <w:tc>
          <w:tcPr>
            <w:tcW w:w="483" w:type="pct"/>
            <w:hideMark/>
          </w:tcPr>
          <w:p w14:paraId="1DBB4436" w14:textId="1F1C1983"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w:t>
            </w:r>
            <w:r w:rsidR="00023598" w:rsidRPr="009D10D4">
              <w:rPr>
                <w:rFonts w:ascii="Arial" w:hAnsi="Arial" w:cs="Arial"/>
                <w:color w:val="1A1A1A"/>
                <w:sz w:val="16"/>
                <w:szCs w:val="18"/>
                <w:lang w:val="en-GB"/>
              </w:rPr>
              <w:t>3</w:t>
            </w:r>
            <w:r w:rsidR="008B39E7" w:rsidRPr="009D10D4">
              <w:rPr>
                <w:rFonts w:ascii="Arial" w:hAnsi="Arial" w:cs="Arial"/>
                <w:color w:val="1A1A1A"/>
                <w:sz w:val="16"/>
                <w:szCs w:val="18"/>
                <w:lang w:val="en-GB"/>
              </w:rPr>
              <w:t>0</w:t>
            </w:r>
          </w:p>
        </w:tc>
        <w:tc>
          <w:tcPr>
            <w:tcW w:w="404" w:type="pct"/>
          </w:tcPr>
          <w:p w14:paraId="34349127"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11.51</w:t>
            </w:r>
          </w:p>
        </w:tc>
        <w:tc>
          <w:tcPr>
            <w:tcW w:w="404" w:type="pct"/>
          </w:tcPr>
          <w:p w14:paraId="5FB14E39"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16.12</w:t>
            </w:r>
          </w:p>
        </w:tc>
        <w:tc>
          <w:tcPr>
            <w:tcW w:w="404" w:type="pct"/>
            <w:hideMark/>
          </w:tcPr>
          <w:p w14:paraId="3012BE5E" w14:textId="359978C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w:t>
            </w:r>
            <w:r w:rsidR="003D075C" w:rsidRPr="009D10D4">
              <w:rPr>
                <w:rFonts w:ascii="Arial" w:hAnsi="Arial" w:cs="Arial"/>
                <w:color w:val="1A1A1A"/>
                <w:sz w:val="16"/>
                <w:szCs w:val="18"/>
                <w:lang w:val="en-GB"/>
              </w:rPr>
              <w:t>3</w:t>
            </w:r>
            <w:r w:rsidR="008B39E7" w:rsidRPr="009D10D4">
              <w:rPr>
                <w:rFonts w:ascii="Arial" w:hAnsi="Arial" w:cs="Arial"/>
                <w:color w:val="1A1A1A"/>
                <w:sz w:val="16"/>
                <w:szCs w:val="18"/>
                <w:lang w:val="en-GB"/>
              </w:rPr>
              <w:t>0</w:t>
            </w:r>
          </w:p>
        </w:tc>
        <w:tc>
          <w:tcPr>
            <w:tcW w:w="404" w:type="pct"/>
            <w:hideMark/>
          </w:tcPr>
          <w:p w14:paraId="5A1DF7EF" w14:textId="08CFE443"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21.</w:t>
            </w:r>
            <w:r w:rsidR="003D075C" w:rsidRPr="009D10D4">
              <w:rPr>
                <w:rFonts w:ascii="Arial" w:hAnsi="Arial" w:cs="Arial"/>
                <w:color w:val="1A1A1A"/>
                <w:sz w:val="16"/>
                <w:szCs w:val="18"/>
                <w:lang w:val="en-GB"/>
              </w:rPr>
              <w:t>0</w:t>
            </w:r>
            <w:r w:rsidR="008B39E7" w:rsidRPr="009D10D4">
              <w:rPr>
                <w:rFonts w:ascii="Arial" w:hAnsi="Arial" w:cs="Arial"/>
                <w:color w:val="1A1A1A"/>
                <w:sz w:val="16"/>
                <w:szCs w:val="18"/>
                <w:lang w:val="en-GB"/>
              </w:rPr>
              <w:t>0</w:t>
            </w:r>
          </w:p>
        </w:tc>
        <w:tc>
          <w:tcPr>
            <w:tcW w:w="404" w:type="pct"/>
            <w:hideMark/>
          </w:tcPr>
          <w:p w14:paraId="4ABD7938" w14:textId="20B2C316"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w:t>
            </w:r>
            <w:r w:rsidR="003D075C" w:rsidRPr="009D10D4">
              <w:rPr>
                <w:rFonts w:ascii="Arial" w:hAnsi="Arial" w:cs="Arial"/>
                <w:color w:val="1A1A1A"/>
                <w:sz w:val="16"/>
                <w:szCs w:val="18"/>
                <w:lang w:val="en-GB"/>
              </w:rPr>
              <w:t>1.6</w:t>
            </w:r>
            <w:r w:rsidR="008B39E7" w:rsidRPr="009D10D4">
              <w:rPr>
                <w:rFonts w:ascii="Arial" w:hAnsi="Arial" w:cs="Arial"/>
                <w:color w:val="1A1A1A"/>
                <w:sz w:val="16"/>
                <w:szCs w:val="18"/>
                <w:lang w:val="en-GB"/>
              </w:rPr>
              <w:t>0</w:t>
            </w:r>
          </w:p>
        </w:tc>
      </w:tr>
      <w:tr w:rsidR="00221CD1" w:rsidRPr="009D10D4" w14:paraId="73F63A38" w14:textId="77777777" w:rsidTr="009D10D4">
        <w:trPr>
          <w:trHeight w:val="224"/>
        </w:trPr>
        <w:tc>
          <w:tcPr>
            <w:tcW w:w="796" w:type="pct"/>
            <w:hideMark/>
          </w:tcPr>
          <w:p w14:paraId="7237D6D0" w14:textId="483E7020" w:rsidR="00221CD1" w:rsidRPr="009D10D4" w:rsidRDefault="00221CD1" w:rsidP="00F60503">
            <w:pPr>
              <w:widowControl w:val="0"/>
              <w:autoSpaceDE w:val="0"/>
              <w:autoSpaceDN w:val="0"/>
              <w:adjustRightInd w:val="0"/>
              <w:ind w:left="171"/>
              <w:rPr>
                <w:rFonts w:ascii="Arial" w:hAnsi="Arial" w:cs="Arial"/>
                <w:color w:val="1A1A1A"/>
                <w:sz w:val="16"/>
                <w:szCs w:val="18"/>
                <w:lang w:val="en-GB"/>
              </w:rPr>
            </w:pPr>
            <w:r w:rsidRPr="009D10D4">
              <w:rPr>
                <w:rFonts w:ascii="Arial" w:hAnsi="Arial" w:cs="Arial"/>
                <w:color w:val="1A1A1A"/>
                <w:sz w:val="16"/>
                <w:szCs w:val="18"/>
                <w:lang w:val="en-GB"/>
              </w:rPr>
              <w:t>d) Public administration, defence</w:t>
            </w:r>
            <w:r w:rsidR="006B6FF7" w:rsidRPr="009D10D4">
              <w:rPr>
                <w:rFonts w:ascii="Arial" w:hAnsi="Arial" w:cs="Arial"/>
                <w:color w:val="1A1A1A"/>
                <w:sz w:val="16"/>
                <w:szCs w:val="18"/>
                <w:lang w:val="en-GB"/>
              </w:rPr>
              <w:t>,</w:t>
            </w:r>
            <w:r w:rsidRPr="009D10D4">
              <w:rPr>
                <w:rFonts w:ascii="Arial" w:hAnsi="Arial" w:cs="Arial"/>
                <w:color w:val="1A1A1A"/>
                <w:sz w:val="16"/>
                <w:szCs w:val="18"/>
                <w:lang w:val="en-GB"/>
              </w:rPr>
              <w:t xml:space="preserve"> and other services</w:t>
            </w:r>
          </w:p>
        </w:tc>
        <w:tc>
          <w:tcPr>
            <w:tcW w:w="404" w:type="pct"/>
          </w:tcPr>
          <w:p w14:paraId="6338CCD7" w14:textId="28BA2F9F"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p>
        </w:tc>
        <w:tc>
          <w:tcPr>
            <w:tcW w:w="404" w:type="pct"/>
            <w:hideMark/>
          </w:tcPr>
          <w:p w14:paraId="151747DF" w14:textId="09C1AEEC"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p>
        </w:tc>
        <w:tc>
          <w:tcPr>
            <w:tcW w:w="434" w:type="pct"/>
            <w:hideMark/>
          </w:tcPr>
          <w:p w14:paraId="392D01D7" w14:textId="4FEDBAC1"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4.5</w:t>
            </w:r>
            <w:r w:rsidR="008B39E7" w:rsidRPr="009D10D4">
              <w:rPr>
                <w:rFonts w:ascii="Arial" w:hAnsi="Arial" w:cs="Arial"/>
                <w:color w:val="1A1A1A"/>
                <w:sz w:val="16"/>
                <w:szCs w:val="18"/>
                <w:lang w:val="en-GB"/>
              </w:rPr>
              <w:t>0</w:t>
            </w:r>
          </w:p>
        </w:tc>
        <w:tc>
          <w:tcPr>
            <w:tcW w:w="460" w:type="pct"/>
            <w:hideMark/>
          </w:tcPr>
          <w:p w14:paraId="0EAC680E" w14:textId="7A1E4383" w:rsidR="00221CD1" w:rsidRPr="009D10D4" w:rsidRDefault="00023598"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10.7</w:t>
            </w:r>
            <w:r w:rsidR="008B39E7" w:rsidRPr="009D10D4">
              <w:rPr>
                <w:rFonts w:ascii="Arial" w:hAnsi="Arial" w:cs="Arial"/>
                <w:color w:val="1A1A1A"/>
                <w:sz w:val="16"/>
                <w:szCs w:val="18"/>
                <w:lang w:val="en-GB"/>
              </w:rPr>
              <w:t>0</w:t>
            </w:r>
          </w:p>
        </w:tc>
        <w:tc>
          <w:tcPr>
            <w:tcW w:w="483" w:type="pct"/>
            <w:hideMark/>
          </w:tcPr>
          <w:p w14:paraId="0720977D" w14:textId="140B8963"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w:t>
            </w:r>
            <w:r w:rsidR="00023598" w:rsidRPr="009D10D4">
              <w:rPr>
                <w:rFonts w:ascii="Arial" w:hAnsi="Arial" w:cs="Arial"/>
                <w:color w:val="1A1A1A"/>
                <w:sz w:val="16"/>
                <w:szCs w:val="18"/>
                <w:lang w:val="en-GB"/>
              </w:rPr>
              <w:t>6</w:t>
            </w:r>
            <w:r w:rsidR="008B39E7" w:rsidRPr="009D10D4">
              <w:rPr>
                <w:rFonts w:ascii="Arial" w:hAnsi="Arial" w:cs="Arial"/>
                <w:color w:val="1A1A1A"/>
                <w:sz w:val="16"/>
                <w:szCs w:val="18"/>
                <w:lang w:val="en-GB"/>
              </w:rPr>
              <w:t>0</w:t>
            </w:r>
          </w:p>
        </w:tc>
        <w:tc>
          <w:tcPr>
            <w:tcW w:w="404" w:type="pct"/>
          </w:tcPr>
          <w:p w14:paraId="086044F2" w14:textId="66604423"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p>
        </w:tc>
        <w:tc>
          <w:tcPr>
            <w:tcW w:w="404" w:type="pct"/>
          </w:tcPr>
          <w:p w14:paraId="7041A3AB" w14:textId="1622D998" w:rsidR="00221CD1" w:rsidRPr="009D10D4" w:rsidRDefault="00B31DC6"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w:t>
            </w:r>
          </w:p>
        </w:tc>
        <w:tc>
          <w:tcPr>
            <w:tcW w:w="404" w:type="pct"/>
            <w:hideMark/>
          </w:tcPr>
          <w:p w14:paraId="2130DA53" w14:textId="5BBBF064"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12.</w:t>
            </w:r>
            <w:r w:rsidR="003D075C" w:rsidRPr="009D10D4">
              <w:rPr>
                <w:rFonts w:ascii="Arial" w:hAnsi="Arial" w:cs="Arial"/>
                <w:color w:val="1A1A1A"/>
                <w:sz w:val="16"/>
                <w:szCs w:val="18"/>
                <w:lang w:val="en-GB"/>
              </w:rPr>
              <w:t>3</w:t>
            </w:r>
            <w:r w:rsidR="008B39E7" w:rsidRPr="009D10D4">
              <w:rPr>
                <w:rFonts w:ascii="Arial" w:hAnsi="Arial" w:cs="Arial"/>
                <w:color w:val="1A1A1A"/>
                <w:sz w:val="16"/>
                <w:szCs w:val="18"/>
                <w:lang w:val="en-GB"/>
              </w:rPr>
              <w:t>0</w:t>
            </w:r>
          </w:p>
        </w:tc>
        <w:tc>
          <w:tcPr>
            <w:tcW w:w="404" w:type="pct"/>
            <w:hideMark/>
          </w:tcPr>
          <w:p w14:paraId="6A3457B9" w14:textId="2A749B1C"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12.</w:t>
            </w:r>
            <w:r w:rsidR="003D075C" w:rsidRPr="009D10D4">
              <w:rPr>
                <w:rFonts w:ascii="Arial" w:hAnsi="Arial" w:cs="Arial"/>
                <w:color w:val="1A1A1A"/>
                <w:sz w:val="16"/>
                <w:szCs w:val="18"/>
                <w:lang w:val="en-GB"/>
              </w:rPr>
              <w:t>7</w:t>
            </w:r>
            <w:r w:rsidR="008B39E7" w:rsidRPr="009D10D4">
              <w:rPr>
                <w:rFonts w:ascii="Arial" w:hAnsi="Arial" w:cs="Arial"/>
                <w:color w:val="1A1A1A"/>
                <w:sz w:val="16"/>
                <w:szCs w:val="18"/>
                <w:lang w:val="en-GB"/>
              </w:rPr>
              <w:t>0</w:t>
            </w:r>
          </w:p>
        </w:tc>
        <w:tc>
          <w:tcPr>
            <w:tcW w:w="404" w:type="pct"/>
            <w:hideMark/>
          </w:tcPr>
          <w:p w14:paraId="75164F89" w14:textId="509935D3"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12.</w:t>
            </w:r>
            <w:r w:rsidR="003D075C" w:rsidRPr="009D10D4">
              <w:rPr>
                <w:rFonts w:ascii="Arial" w:hAnsi="Arial" w:cs="Arial"/>
                <w:color w:val="1A1A1A"/>
                <w:sz w:val="16"/>
                <w:szCs w:val="18"/>
                <w:lang w:val="en-GB"/>
              </w:rPr>
              <w:t>6</w:t>
            </w:r>
            <w:r w:rsidR="008B39E7" w:rsidRPr="009D10D4">
              <w:rPr>
                <w:rFonts w:ascii="Arial" w:hAnsi="Arial" w:cs="Arial"/>
                <w:color w:val="1A1A1A"/>
                <w:sz w:val="16"/>
                <w:szCs w:val="18"/>
                <w:lang w:val="en-GB"/>
              </w:rPr>
              <w:t>0</w:t>
            </w:r>
          </w:p>
        </w:tc>
      </w:tr>
      <w:tr w:rsidR="00221CD1" w:rsidRPr="009D10D4" w14:paraId="22910027" w14:textId="77777777" w:rsidTr="009D10D4">
        <w:trPr>
          <w:trHeight w:val="162"/>
        </w:trPr>
        <w:tc>
          <w:tcPr>
            <w:tcW w:w="796" w:type="pct"/>
          </w:tcPr>
          <w:p w14:paraId="4824757F" w14:textId="68BA83C7" w:rsidR="00221CD1" w:rsidRPr="009D10D4" w:rsidRDefault="00221CD1" w:rsidP="00F60503">
            <w:pPr>
              <w:widowControl w:val="0"/>
              <w:autoSpaceDE w:val="0"/>
              <w:autoSpaceDN w:val="0"/>
              <w:adjustRightInd w:val="0"/>
              <w:ind w:left="171"/>
              <w:rPr>
                <w:rFonts w:ascii="Arial" w:hAnsi="Arial" w:cs="Arial"/>
                <w:color w:val="1A1A1A"/>
                <w:sz w:val="16"/>
                <w:szCs w:val="18"/>
                <w:lang w:val="en-GB"/>
              </w:rPr>
            </w:pPr>
            <w:r w:rsidRPr="009D10D4">
              <w:rPr>
                <w:rFonts w:ascii="Arial" w:hAnsi="Arial" w:cs="Arial"/>
                <w:color w:val="1A1A1A"/>
                <w:sz w:val="16"/>
                <w:szCs w:val="18"/>
                <w:lang w:val="en-GB"/>
              </w:rPr>
              <w:t>e) Community, social</w:t>
            </w:r>
            <w:r w:rsidR="006B6FF7" w:rsidRPr="009D10D4">
              <w:rPr>
                <w:rFonts w:ascii="Arial" w:hAnsi="Arial" w:cs="Arial"/>
                <w:color w:val="1A1A1A"/>
                <w:sz w:val="16"/>
                <w:szCs w:val="18"/>
                <w:lang w:val="en-GB"/>
              </w:rPr>
              <w:t>,</w:t>
            </w:r>
            <w:r w:rsidRPr="009D10D4">
              <w:rPr>
                <w:rFonts w:ascii="Arial" w:hAnsi="Arial" w:cs="Arial"/>
                <w:color w:val="1A1A1A"/>
                <w:sz w:val="16"/>
                <w:szCs w:val="18"/>
                <w:lang w:val="en-GB"/>
              </w:rPr>
              <w:t xml:space="preserve"> &amp; </w:t>
            </w:r>
            <w:r w:rsidR="006B6FF7" w:rsidRPr="009D10D4">
              <w:rPr>
                <w:rFonts w:ascii="Arial" w:hAnsi="Arial" w:cs="Arial"/>
                <w:color w:val="1A1A1A"/>
                <w:sz w:val="16"/>
                <w:szCs w:val="18"/>
                <w:lang w:val="en-GB"/>
              </w:rPr>
              <w:t>p</w:t>
            </w:r>
            <w:r w:rsidRPr="009D10D4">
              <w:rPr>
                <w:rFonts w:ascii="Arial" w:hAnsi="Arial" w:cs="Arial"/>
                <w:color w:val="1A1A1A"/>
                <w:sz w:val="16"/>
                <w:szCs w:val="18"/>
                <w:lang w:val="en-GB"/>
              </w:rPr>
              <w:t>ersonal services</w:t>
            </w:r>
          </w:p>
        </w:tc>
        <w:tc>
          <w:tcPr>
            <w:tcW w:w="404" w:type="pct"/>
          </w:tcPr>
          <w:p w14:paraId="39BC6C6B"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4.36</w:t>
            </w:r>
          </w:p>
        </w:tc>
        <w:tc>
          <w:tcPr>
            <w:tcW w:w="404" w:type="pct"/>
          </w:tcPr>
          <w:p w14:paraId="0C981233"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6.87</w:t>
            </w:r>
          </w:p>
        </w:tc>
        <w:tc>
          <w:tcPr>
            <w:tcW w:w="434" w:type="pct"/>
          </w:tcPr>
          <w:p w14:paraId="40FEF363"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11.03</w:t>
            </w:r>
          </w:p>
        </w:tc>
        <w:tc>
          <w:tcPr>
            <w:tcW w:w="460" w:type="pct"/>
          </w:tcPr>
          <w:p w14:paraId="0FCBF409" w14:textId="5FC7DA5F"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11.</w:t>
            </w:r>
            <w:r w:rsidR="00023598" w:rsidRPr="009D10D4">
              <w:rPr>
                <w:rFonts w:ascii="Arial" w:hAnsi="Arial" w:cs="Arial"/>
                <w:color w:val="1A1A1A"/>
                <w:sz w:val="16"/>
                <w:szCs w:val="18"/>
                <w:lang w:val="en-GB"/>
              </w:rPr>
              <w:t>33</w:t>
            </w:r>
          </w:p>
        </w:tc>
        <w:tc>
          <w:tcPr>
            <w:tcW w:w="483" w:type="pct"/>
          </w:tcPr>
          <w:p w14:paraId="1E5DB34C" w14:textId="111159E3"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w:t>
            </w:r>
            <w:r w:rsidR="00023598" w:rsidRPr="009D10D4">
              <w:rPr>
                <w:rFonts w:ascii="Arial" w:hAnsi="Arial" w:cs="Arial"/>
                <w:color w:val="1A1A1A"/>
                <w:sz w:val="16"/>
                <w:szCs w:val="18"/>
                <w:lang w:val="en-GB"/>
              </w:rPr>
              <w:t>0.76</w:t>
            </w:r>
          </w:p>
        </w:tc>
        <w:tc>
          <w:tcPr>
            <w:tcW w:w="404" w:type="pct"/>
          </w:tcPr>
          <w:p w14:paraId="0BB41CAA" w14:textId="044A6A9B"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13.4</w:t>
            </w:r>
            <w:r w:rsidR="008B39E7" w:rsidRPr="009D10D4">
              <w:rPr>
                <w:rFonts w:ascii="Arial" w:hAnsi="Arial" w:cs="Arial"/>
                <w:color w:val="1A1A1A"/>
                <w:sz w:val="16"/>
                <w:szCs w:val="18"/>
                <w:lang w:val="en-GB"/>
              </w:rPr>
              <w:t>0</w:t>
            </w:r>
          </w:p>
        </w:tc>
        <w:tc>
          <w:tcPr>
            <w:tcW w:w="404" w:type="pct"/>
          </w:tcPr>
          <w:p w14:paraId="17BC6620"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12.42</w:t>
            </w:r>
          </w:p>
        </w:tc>
        <w:tc>
          <w:tcPr>
            <w:tcW w:w="404" w:type="pct"/>
          </w:tcPr>
          <w:p w14:paraId="31A68E3A" w14:textId="7777777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20.52</w:t>
            </w:r>
          </w:p>
        </w:tc>
        <w:tc>
          <w:tcPr>
            <w:tcW w:w="404" w:type="pct"/>
          </w:tcPr>
          <w:p w14:paraId="5DAB0E2D" w14:textId="61B2181A"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21.</w:t>
            </w:r>
            <w:r w:rsidR="003D075C" w:rsidRPr="009D10D4">
              <w:rPr>
                <w:rFonts w:ascii="Arial" w:hAnsi="Arial" w:cs="Arial"/>
                <w:color w:val="1A1A1A"/>
                <w:sz w:val="16"/>
                <w:szCs w:val="18"/>
                <w:lang w:val="en-GB"/>
              </w:rPr>
              <w:t>34</w:t>
            </w:r>
          </w:p>
        </w:tc>
        <w:tc>
          <w:tcPr>
            <w:tcW w:w="404" w:type="pct"/>
          </w:tcPr>
          <w:p w14:paraId="064BBCA7" w14:textId="7FCB4CB7" w:rsidR="00221CD1" w:rsidRPr="009D10D4" w:rsidRDefault="00221CD1" w:rsidP="00E342FC">
            <w:pPr>
              <w:widowControl w:val="0"/>
              <w:autoSpaceDE w:val="0"/>
              <w:autoSpaceDN w:val="0"/>
              <w:adjustRightInd w:val="0"/>
              <w:jc w:val="right"/>
              <w:rPr>
                <w:rFonts w:ascii="Arial" w:hAnsi="Arial" w:cs="Arial"/>
                <w:color w:val="1A1A1A"/>
                <w:sz w:val="16"/>
                <w:szCs w:val="18"/>
                <w:lang w:val="en-GB"/>
              </w:rPr>
            </w:pPr>
            <w:r w:rsidRPr="009D10D4">
              <w:rPr>
                <w:rFonts w:ascii="Arial" w:hAnsi="Arial" w:cs="Arial"/>
                <w:color w:val="1A1A1A"/>
                <w:sz w:val="16"/>
                <w:szCs w:val="18"/>
                <w:lang w:val="en-GB"/>
              </w:rPr>
              <w:t>22</w:t>
            </w:r>
            <w:r w:rsidR="003D075C" w:rsidRPr="009D10D4">
              <w:rPr>
                <w:rFonts w:ascii="Arial" w:hAnsi="Arial" w:cs="Arial"/>
                <w:color w:val="1A1A1A"/>
                <w:sz w:val="16"/>
                <w:szCs w:val="18"/>
                <w:lang w:val="en-GB"/>
              </w:rPr>
              <w:t>.05</w:t>
            </w:r>
          </w:p>
        </w:tc>
      </w:tr>
      <w:tr w:rsidR="00221CD1" w:rsidRPr="009D10D4" w14:paraId="7A5E1E45" w14:textId="77777777" w:rsidTr="009D10D4">
        <w:trPr>
          <w:trHeight w:val="154"/>
        </w:trPr>
        <w:tc>
          <w:tcPr>
            <w:tcW w:w="796" w:type="pct"/>
          </w:tcPr>
          <w:p w14:paraId="2FBF9576" w14:textId="77777777" w:rsidR="00221CD1" w:rsidRPr="009D10D4" w:rsidRDefault="00221CD1" w:rsidP="00B97D5A">
            <w:pPr>
              <w:widowControl w:val="0"/>
              <w:autoSpaceDE w:val="0"/>
              <w:autoSpaceDN w:val="0"/>
              <w:adjustRightInd w:val="0"/>
              <w:rPr>
                <w:rFonts w:ascii="Arial" w:hAnsi="Arial" w:cs="Arial"/>
                <w:b/>
                <w:color w:val="1A1A1A"/>
                <w:sz w:val="16"/>
                <w:szCs w:val="18"/>
                <w:lang w:val="en-GB"/>
              </w:rPr>
            </w:pPr>
            <w:r w:rsidRPr="009D10D4">
              <w:rPr>
                <w:rFonts w:ascii="Arial" w:hAnsi="Arial" w:cs="Arial"/>
                <w:b/>
                <w:color w:val="1A1A1A"/>
                <w:sz w:val="16"/>
                <w:szCs w:val="18"/>
                <w:lang w:val="en-GB"/>
              </w:rPr>
              <w:t>5. GDP at constant market prices</w:t>
            </w:r>
          </w:p>
        </w:tc>
        <w:tc>
          <w:tcPr>
            <w:tcW w:w="404" w:type="pct"/>
          </w:tcPr>
          <w:p w14:paraId="63D599AB" w14:textId="77777777"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5.29</w:t>
            </w:r>
          </w:p>
        </w:tc>
        <w:tc>
          <w:tcPr>
            <w:tcW w:w="404" w:type="pct"/>
          </w:tcPr>
          <w:p w14:paraId="1475321B" w14:textId="172868D5"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6.8</w:t>
            </w:r>
            <w:r w:rsidR="008B39E7" w:rsidRPr="009D10D4">
              <w:rPr>
                <w:rFonts w:ascii="Arial" w:hAnsi="Arial" w:cs="Arial"/>
                <w:b/>
                <w:color w:val="1A1A1A"/>
                <w:sz w:val="16"/>
                <w:szCs w:val="18"/>
                <w:lang w:val="en-GB"/>
              </w:rPr>
              <w:t>0</w:t>
            </w:r>
          </w:p>
        </w:tc>
        <w:tc>
          <w:tcPr>
            <w:tcW w:w="434" w:type="pct"/>
          </w:tcPr>
          <w:p w14:paraId="6F0FE862" w14:textId="6E226BBB"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6.</w:t>
            </w:r>
            <w:r w:rsidR="00807B0E" w:rsidRPr="009D10D4">
              <w:rPr>
                <w:rFonts w:ascii="Arial" w:hAnsi="Arial" w:cs="Arial"/>
                <w:b/>
                <w:color w:val="1A1A1A"/>
                <w:sz w:val="16"/>
                <w:szCs w:val="18"/>
                <w:lang w:val="en-GB"/>
              </w:rPr>
              <w:t>3</w:t>
            </w:r>
            <w:r w:rsidR="008B39E7" w:rsidRPr="009D10D4">
              <w:rPr>
                <w:rFonts w:ascii="Arial" w:hAnsi="Arial" w:cs="Arial"/>
                <w:b/>
                <w:color w:val="1A1A1A"/>
                <w:sz w:val="16"/>
                <w:szCs w:val="18"/>
                <w:lang w:val="en-GB"/>
              </w:rPr>
              <w:t>0</w:t>
            </w:r>
          </w:p>
        </w:tc>
        <w:tc>
          <w:tcPr>
            <w:tcW w:w="460" w:type="pct"/>
          </w:tcPr>
          <w:p w14:paraId="5052E8BE" w14:textId="7610F531"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7.</w:t>
            </w:r>
            <w:r w:rsidR="00807B0E" w:rsidRPr="009D10D4">
              <w:rPr>
                <w:rFonts w:ascii="Arial" w:hAnsi="Arial" w:cs="Arial"/>
                <w:b/>
                <w:color w:val="1A1A1A"/>
                <w:sz w:val="16"/>
                <w:szCs w:val="18"/>
                <w:lang w:val="en-GB"/>
              </w:rPr>
              <w:t>1</w:t>
            </w:r>
            <w:r w:rsidR="008B39E7" w:rsidRPr="009D10D4">
              <w:rPr>
                <w:rFonts w:ascii="Arial" w:hAnsi="Arial" w:cs="Arial"/>
                <w:b/>
                <w:color w:val="1A1A1A"/>
                <w:sz w:val="16"/>
                <w:szCs w:val="18"/>
                <w:lang w:val="en-GB"/>
              </w:rPr>
              <w:t>0</w:t>
            </w:r>
          </w:p>
        </w:tc>
        <w:tc>
          <w:tcPr>
            <w:tcW w:w="483" w:type="pct"/>
          </w:tcPr>
          <w:p w14:paraId="17B7A5A8" w14:textId="19A269CB"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7.</w:t>
            </w:r>
            <w:r w:rsidR="00807B0E" w:rsidRPr="009D10D4">
              <w:rPr>
                <w:rFonts w:ascii="Arial" w:hAnsi="Arial" w:cs="Arial"/>
                <w:b/>
                <w:color w:val="1A1A1A"/>
                <w:sz w:val="16"/>
                <w:szCs w:val="18"/>
                <w:lang w:val="en-GB"/>
              </w:rPr>
              <w:t>2</w:t>
            </w:r>
            <w:r w:rsidR="008B39E7" w:rsidRPr="009D10D4">
              <w:rPr>
                <w:rFonts w:ascii="Arial" w:hAnsi="Arial" w:cs="Arial"/>
                <w:b/>
                <w:color w:val="1A1A1A"/>
                <w:sz w:val="16"/>
                <w:szCs w:val="18"/>
                <w:lang w:val="en-GB"/>
              </w:rPr>
              <w:t>0</w:t>
            </w:r>
          </w:p>
        </w:tc>
        <w:tc>
          <w:tcPr>
            <w:tcW w:w="404" w:type="pct"/>
          </w:tcPr>
          <w:p w14:paraId="7B5ACF55" w14:textId="06C14786"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w:t>
            </w:r>
            <w:r w:rsidR="008B39E7" w:rsidRPr="009D10D4">
              <w:rPr>
                <w:rFonts w:ascii="Arial" w:hAnsi="Arial" w:cs="Arial"/>
                <w:b/>
                <w:color w:val="1A1A1A"/>
                <w:sz w:val="16"/>
                <w:szCs w:val="18"/>
                <w:lang w:val="en-GB"/>
              </w:rPr>
              <w:t>.00</w:t>
            </w:r>
          </w:p>
        </w:tc>
        <w:tc>
          <w:tcPr>
            <w:tcW w:w="404" w:type="pct"/>
          </w:tcPr>
          <w:p w14:paraId="65D0DDA6" w14:textId="3FE18AB0"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w:t>
            </w:r>
            <w:r w:rsidR="008B39E7" w:rsidRPr="009D10D4">
              <w:rPr>
                <w:rFonts w:ascii="Arial" w:hAnsi="Arial" w:cs="Arial"/>
                <w:b/>
                <w:color w:val="1A1A1A"/>
                <w:sz w:val="16"/>
                <w:szCs w:val="18"/>
                <w:lang w:val="en-GB"/>
              </w:rPr>
              <w:t>.00</w:t>
            </w:r>
          </w:p>
        </w:tc>
        <w:tc>
          <w:tcPr>
            <w:tcW w:w="404" w:type="pct"/>
          </w:tcPr>
          <w:p w14:paraId="18D40731" w14:textId="540214B4"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w:t>
            </w:r>
            <w:r w:rsidR="008B39E7" w:rsidRPr="009D10D4">
              <w:rPr>
                <w:rFonts w:ascii="Arial" w:hAnsi="Arial" w:cs="Arial"/>
                <w:b/>
                <w:color w:val="1A1A1A"/>
                <w:sz w:val="16"/>
                <w:szCs w:val="18"/>
                <w:lang w:val="en-GB"/>
              </w:rPr>
              <w:t>.00</w:t>
            </w:r>
          </w:p>
        </w:tc>
        <w:tc>
          <w:tcPr>
            <w:tcW w:w="404" w:type="pct"/>
          </w:tcPr>
          <w:p w14:paraId="1924AD22" w14:textId="566F408F"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w:t>
            </w:r>
            <w:r w:rsidR="008B39E7" w:rsidRPr="009D10D4">
              <w:rPr>
                <w:rFonts w:ascii="Arial" w:hAnsi="Arial" w:cs="Arial"/>
                <w:b/>
                <w:color w:val="1A1A1A"/>
                <w:sz w:val="16"/>
                <w:szCs w:val="18"/>
                <w:lang w:val="en-GB"/>
              </w:rPr>
              <w:t>.00</w:t>
            </w:r>
          </w:p>
        </w:tc>
        <w:tc>
          <w:tcPr>
            <w:tcW w:w="404" w:type="pct"/>
          </w:tcPr>
          <w:p w14:paraId="2F12AC06" w14:textId="050CA16B" w:rsidR="00221CD1" w:rsidRPr="009D10D4" w:rsidRDefault="00221CD1" w:rsidP="00E342FC">
            <w:pPr>
              <w:widowControl w:val="0"/>
              <w:autoSpaceDE w:val="0"/>
              <w:autoSpaceDN w:val="0"/>
              <w:adjustRightInd w:val="0"/>
              <w:jc w:val="right"/>
              <w:rPr>
                <w:rFonts w:ascii="Arial" w:hAnsi="Arial" w:cs="Arial"/>
                <w:b/>
                <w:color w:val="1A1A1A"/>
                <w:sz w:val="16"/>
                <w:szCs w:val="18"/>
                <w:lang w:val="en-GB"/>
              </w:rPr>
            </w:pPr>
            <w:r w:rsidRPr="009D10D4">
              <w:rPr>
                <w:rFonts w:ascii="Arial" w:hAnsi="Arial" w:cs="Arial"/>
                <w:b/>
                <w:color w:val="1A1A1A"/>
                <w:sz w:val="16"/>
                <w:szCs w:val="18"/>
                <w:lang w:val="en-GB"/>
              </w:rPr>
              <w:t>100</w:t>
            </w:r>
            <w:r w:rsidR="008B39E7" w:rsidRPr="009D10D4">
              <w:rPr>
                <w:rFonts w:ascii="Arial" w:hAnsi="Arial" w:cs="Arial"/>
                <w:b/>
                <w:color w:val="1A1A1A"/>
                <w:sz w:val="16"/>
                <w:szCs w:val="18"/>
                <w:lang w:val="en-GB"/>
              </w:rPr>
              <w:t>.00</w:t>
            </w:r>
          </w:p>
        </w:tc>
      </w:tr>
    </w:tbl>
    <w:p w14:paraId="07BC30D6" w14:textId="77777777" w:rsidR="00221CD1" w:rsidRPr="00C273FD" w:rsidRDefault="00221CD1" w:rsidP="005446A9">
      <w:pPr>
        <w:pStyle w:val="Footnote"/>
        <w:rPr>
          <w:lang w:val="en-GB"/>
        </w:rPr>
      </w:pPr>
    </w:p>
    <w:p w14:paraId="1C744522" w14:textId="3A10C771" w:rsidR="00775312" w:rsidRPr="009D10D4" w:rsidRDefault="00B31DC6" w:rsidP="005446A9">
      <w:pPr>
        <w:pStyle w:val="Footnote"/>
        <w:rPr>
          <w:spacing w:val="-2"/>
          <w:kern w:val="17"/>
          <w:lang w:val="en-GB"/>
        </w:rPr>
      </w:pPr>
      <w:r w:rsidRPr="009D10D4">
        <w:rPr>
          <w:spacing w:val="-2"/>
          <w:kern w:val="17"/>
          <w:lang w:val="en-GB"/>
        </w:rPr>
        <w:t>Note: GDP = gross domestic product; NA =</w:t>
      </w:r>
      <w:r w:rsidR="00CE2BFF" w:rsidRPr="009D10D4">
        <w:rPr>
          <w:spacing w:val="-2"/>
          <w:kern w:val="17"/>
          <w:lang w:val="en-GB"/>
        </w:rPr>
        <w:t xml:space="preserve"> </w:t>
      </w:r>
      <w:r w:rsidRPr="009D10D4">
        <w:rPr>
          <w:spacing w:val="-2"/>
          <w:kern w:val="17"/>
          <w:lang w:val="en-GB"/>
        </w:rPr>
        <w:t xml:space="preserve">not applicable; GVA = </w:t>
      </w:r>
      <w:r w:rsidR="00F60503">
        <w:rPr>
          <w:spacing w:val="-2"/>
          <w:kern w:val="17"/>
          <w:lang w:val="en-GB"/>
        </w:rPr>
        <w:t>gross value added</w:t>
      </w:r>
      <w:r w:rsidR="00C606B9" w:rsidRPr="009D10D4">
        <w:rPr>
          <w:spacing w:val="-2"/>
          <w:kern w:val="17"/>
          <w:lang w:val="en-GB"/>
        </w:rPr>
        <w:t xml:space="preserve"> </w:t>
      </w:r>
    </w:p>
    <w:p w14:paraId="6FB1CF11" w14:textId="044DBD88" w:rsidR="008B1CAF" w:rsidRPr="00D846EE" w:rsidRDefault="00221CD1" w:rsidP="00D846EE">
      <w:pPr>
        <w:pStyle w:val="Footnote"/>
        <w:rPr>
          <w:lang w:val="en-GB"/>
        </w:rPr>
      </w:pPr>
      <w:proofErr w:type="gramStart"/>
      <w:r w:rsidRPr="00C273FD">
        <w:rPr>
          <w:lang w:val="en-GB"/>
        </w:rPr>
        <w:t>Source:</w:t>
      </w:r>
      <w:proofErr w:type="gramEnd"/>
      <w:r w:rsidRPr="00C273FD">
        <w:rPr>
          <w:lang w:val="en-GB"/>
        </w:rPr>
        <w:t xml:space="preserve"> Reserve Bank of India, </w:t>
      </w:r>
      <w:r w:rsidRPr="00640722">
        <w:rPr>
          <w:i/>
          <w:lang w:val="en-GB"/>
        </w:rPr>
        <w:t>Handbook of Statistics on the Indian Economy</w:t>
      </w:r>
      <w:r w:rsidR="00502B48">
        <w:rPr>
          <w:lang w:val="en-GB"/>
        </w:rPr>
        <w:t xml:space="preserve">, accessed June 27, 2017, </w:t>
      </w:r>
      <w:r w:rsidR="00502B48" w:rsidRPr="00502B48">
        <w:rPr>
          <w:lang w:val="en-GB"/>
        </w:rPr>
        <w:t>https://dbie.rbi.org.in/DBIE/dbie.rbi?site=publications</w:t>
      </w:r>
      <w:r w:rsidR="00502B48">
        <w:rPr>
          <w:lang w:val="en-GB"/>
        </w:rPr>
        <w:t>;</w:t>
      </w:r>
      <w:r w:rsidR="00122FEC">
        <w:rPr>
          <w:lang w:val="en-GB"/>
        </w:rPr>
        <w:t xml:space="preserve"> Reserve Bank of India</w:t>
      </w:r>
      <w:r w:rsidR="00F77347">
        <w:rPr>
          <w:lang w:val="en-GB"/>
        </w:rPr>
        <w:t xml:space="preserve">, </w:t>
      </w:r>
      <w:r w:rsidR="00F60503">
        <w:rPr>
          <w:lang w:val="en-GB"/>
        </w:rPr>
        <w:t>“</w:t>
      </w:r>
      <w:r w:rsidR="00F77347">
        <w:rPr>
          <w:lang w:val="en-GB"/>
        </w:rPr>
        <w:t>Annual Report</w:t>
      </w:r>
      <w:r w:rsidR="00334374">
        <w:rPr>
          <w:lang w:val="en-GB"/>
        </w:rPr>
        <w:t xml:space="preserve"> </w:t>
      </w:r>
      <w:r w:rsidR="00790F9D">
        <w:rPr>
          <w:lang w:val="en-GB"/>
        </w:rPr>
        <w:t>2015</w:t>
      </w:r>
      <w:r w:rsidR="00162F20">
        <w:rPr>
          <w:lang w:val="en-GB"/>
        </w:rPr>
        <w:t>–</w:t>
      </w:r>
      <w:r w:rsidR="00790F9D">
        <w:rPr>
          <w:lang w:val="en-GB"/>
        </w:rPr>
        <w:t>16</w:t>
      </w:r>
      <w:r w:rsidR="00F77347">
        <w:rPr>
          <w:lang w:val="en-GB"/>
        </w:rPr>
        <w:t>,</w:t>
      </w:r>
      <w:r w:rsidR="00F60503">
        <w:rPr>
          <w:lang w:val="en-GB"/>
        </w:rPr>
        <w:t>”</w:t>
      </w:r>
      <w:r w:rsidR="00F77347">
        <w:rPr>
          <w:lang w:val="en-GB"/>
        </w:rPr>
        <w:t xml:space="preserve"> Aug</w:t>
      </w:r>
      <w:r w:rsidR="00790F9D">
        <w:rPr>
          <w:lang w:val="en-GB"/>
        </w:rPr>
        <w:t>ust</w:t>
      </w:r>
      <w:r w:rsidR="00F77347">
        <w:rPr>
          <w:lang w:val="en-GB"/>
        </w:rPr>
        <w:t xml:space="preserve"> 29, 2016, accessed June 27, 2017, </w:t>
      </w:r>
      <w:r w:rsidR="00F77347" w:rsidRPr="00D846EE">
        <w:rPr>
          <w:lang w:val="en-GB"/>
        </w:rPr>
        <w:t>https://www.rbi.org.in/scripts/AnnualReportPublications.aspx?Id=1187</w:t>
      </w:r>
      <w:r w:rsidR="00F77347">
        <w:rPr>
          <w:lang w:val="en-GB"/>
        </w:rPr>
        <w:t>.</w:t>
      </w:r>
      <w:r w:rsidR="008B1CAF" w:rsidRPr="00C273FD">
        <w:rPr>
          <w:color w:val="1A1A1A"/>
          <w:sz w:val="22"/>
          <w:szCs w:val="22"/>
          <w:lang w:val="en-GB"/>
        </w:rPr>
        <w:br w:type="page"/>
      </w:r>
    </w:p>
    <w:p w14:paraId="1361BE2F" w14:textId="62DB1707" w:rsidR="00221CD1" w:rsidRPr="00C273FD" w:rsidRDefault="00221CD1" w:rsidP="004E7F6B">
      <w:pPr>
        <w:pStyle w:val="ExhibitHeading"/>
        <w:rPr>
          <w:lang w:val="en-GB"/>
        </w:rPr>
      </w:pPr>
      <w:r w:rsidRPr="00C273FD">
        <w:rPr>
          <w:lang w:val="en-GB"/>
        </w:rPr>
        <w:lastRenderedPageBreak/>
        <w:t xml:space="preserve">EXHIBIT 3: </w:t>
      </w:r>
      <w:r w:rsidR="0017349A">
        <w:rPr>
          <w:lang w:val="en-GB"/>
        </w:rPr>
        <w:t xml:space="preserve">india’s </w:t>
      </w:r>
      <w:r w:rsidRPr="00C273FD">
        <w:rPr>
          <w:lang w:val="en-GB"/>
        </w:rPr>
        <w:t>INDEX OF INDUSTRIAL PRODUCTION</w:t>
      </w:r>
      <w:r w:rsidR="0017349A">
        <w:rPr>
          <w:lang w:val="en-GB"/>
        </w:rPr>
        <w:t xml:space="preserve">, 2012/13 to 2015/16 </w:t>
      </w:r>
    </w:p>
    <w:p w14:paraId="27C9C00E" w14:textId="77777777" w:rsidR="00221CD1" w:rsidRPr="00C273FD" w:rsidRDefault="00221CD1" w:rsidP="00221CD1">
      <w:pPr>
        <w:widowControl w:val="0"/>
        <w:autoSpaceDE w:val="0"/>
        <w:autoSpaceDN w:val="0"/>
        <w:adjustRightInd w:val="0"/>
        <w:jc w:val="both"/>
        <w:rPr>
          <w:rFonts w:ascii="Arial" w:hAnsi="Arial" w:cs="Arial"/>
          <w:b/>
          <w:color w:val="1A1A1A"/>
          <w:lang w:val="en-GB"/>
        </w:rPr>
      </w:pPr>
    </w:p>
    <w:tbl>
      <w:tblPr>
        <w:tblW w:w="0" w:type="auto"/>
        <w:jc w:val="center"/>
        <w:tblLook w:val="04A0" w:firstRow="1" w:lastRow="0" w:firstColumn="1" w:lastColumn="0" w:noHBand="0" w:noVBand="1"/>
      </w:tblPr>
      <w:tblGrid>
        <w:gridCol w:w="2421"/>
        <w:gridCol w:w="1431"/>
        <w:gridCol w:w="949"/>
        <w:gridCol w:w="949"/>
        <w:gridCol w:w="949"/>
        <w:gridCol w:w="949"/>
        <w:gridCol w:w="820"/>
        <w:gridCol w:w="725"/>
      </w:tblGrid>
      <w:tr w:rsidR="00221CD1" w:rsidRPr="00C273FD" w14:paraId="4FCF4173" w14:textId="77777777" w:rsidTr="00F60503">
        <w:trPr>
          <w:trHeight w:val="229"/>
          <w:tblHeade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D9AEA8" w14:textId="77777777" w:rsidR="00221CD1" w:rsidRPr="00C273FD" w:rsidRDefault="00221CD1" w:rsidP="00F60503">
            <w:pPr>
              <w:jc w:val="center"/>
              <w:rPr>
                <w:rFonts w:ascii="Arial" w:hAnsi="Arial" w:cs="Arial"/>
                <w:b/>
                <w:color w:val="000000"/>
                <w:lang w:val="en-GB"/>
              </w:rPr>
            </w:pPr>
            <w:r w:rsidRPr="00C273FD">
              <w:rPr>
                <w:rFonts w:ascii="Arial" w:hAnsi="Arial" w:cs="Arial"/>
                <w:b/>
                <w:color w:val="000000"/>
                <w:lang w:val="en-GB"/>
              </w:rPr>
              <w:t>Industry Group</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0E2725" w14:textId="77777777" w:rsidR="00221CD1" w:rsidRPr="00C273FD" w:rsidRDefault="00221CD1" w:rsidP="00F60503">
            <w:pPr>
              <w:jc w:val="center"/>
              <w:rPr>
                <w:rFonts w:ascii="Arial" w:hAnsi="Arial" w:cs="Arial"/>
                <w:b/>
                <w:color w:val="000000"/>
                <w:lang w:val="en-GB"/>
              </w:rPr>
            </w:pPr>
            <w:r w:rsidRPr="00C273FD">
              <w:rPr>
                <w:rFonts w:ascii="Arial" w:hAnsi="Arial" w:cs="Arial"/>
                <w:b/>
                <w:color w:val="000000"/>
                <w:lang w:val="en-GB"/>
              </w:rPr>
              <w:t>Weight in IIP</w:t>
            </w:r>
          </w:p>
        </w:tc>
        <w:tc>
          <w:tcPr>
            <w:tcW w:w="0" w:type="auto"/>
            <w:gridSpan w:val="4"/>
            <w:tcBorders>
              <w:top w:val="single" w:sz="4" w:space="0" w:color="auto"/>
              <w:left w:val="nil"/>
              <w:bottom w:val="single" w:sz="4" w:space="0" w:color="auto"/>
              <w:right w:val="single" w:sz="4" w:space="0" w:color="auto"/>
            </w:tcBorders>
            <w:shd w:val="clear" w:color="auto" w:fill="auto"/>
            <w:vAlign w:val="bottom"/>
            <w:hideMark/>
          </w:tcPr>
          <w:p w14:paraId="15006E31" w14:textId="52025EC1" w:rsidR="00221CD1" w:rsidRPr="00C273FD" w:rsidRDefault="00221CD1" w:rsidP="00AB18DE">
            <w:pPr>
              <w:jc w:val="center"/>
              <w:rPr>
                <w:rFonts w:ascii="Arial" w:hAnsi="Arial" w:cs="Arial"/>
                <w:b/>
                <w:color w:val="000000"/>
                <w:lang w:val="en-GB"/>
              </w:rPr>
            </w:pPr>
            <w:r w:rsidRPr="00C273FD">
              <w:rPr>
                <w:rFonts w:ascii="Arial" w:hAnsi="Arial" w:cs="Arial"/>
                <w:b/>
                <w:color w:val="000000"/>
                <w:lang w:val="en-GB"/>
              </w:rPr>
              <w:t>Growth Rate (</w:t>
            </w:r>
            <w:r w:rsidR="00B50E48" w:rsidRPr="00C273FD">
              <w:rPr>
                <w:rFonts w:ascii="Arial" w:hAnsi="Arial" w:cs="Arial"/>
                <w:b/>
                <w:color w:val="000000"/>
                <w:lang w:val="en-GB"/>
              </w:rPr>
              <w:t>per cent</w:t>
            </w:r>
            <w:r w:rsidRPr="00C273FD">
              <w:rPr>
                <w:rFonts w:ascii="Arial" w:hAnsi="Arial" w:cs="Arial"/>
                <w:b/>
                <w:color w:val="000000"/>
                <w:lang w:val="en-GB"/>
              </w:rPr>
              <w:t>)</w:t>
            </w:r>
          </w:p>
        </w:tc>
        <w:tc>
          <w:tcPr>
            <w:tcW w:w="1513" w:type="dxa"/>
            <w:gridSpan w:val="2"/>
            <w:tcBorders>
              <w:top w:val="single" w:sz="4" w:space="0" w:color="auto"/>
              <w:left w:val="nil"/>
              <w:bottom w:val="single" w:sz="4" w:space="0" w:color="auto"/>
              <w:right w:val="single" w:sz="4" w:space="0" w:color="auto"/>
            </w:tcBorders>
            <w:shd w:val="clear" w:color="auto" w:fill="auto"/>
            <w:vAlign w:val="bottom"/>
            <w:hideMark/>
          </w:tcPr>
          <w:p w14:paraId="4C901DAD" w14:textId="3FF9F757" w:rsidR="00221CD1" w:rsidRPr="00C273FD" w:rsidRDefault="00221CD1" w:rsidP="00AB18DE">
            <w:pPr>
              <w:jc w:val="center"/>
              <w:rPr>
                <w:rFonts w:ascii="Arial" w:hAnsi="Arial" w:cs="Arial"/>
                <w:b/>
                <w:color w:val="000000"/>
                <w:lang w:val="en-GB"/>
              </w:rPr>
            </w:pPr>
            <w:r w:rsidRPr="00C273FD">
              <w:rPr>
                <w:rFonts w:ascii="Arial" w:hAnsi="Arial" w:cs="Arial"/>
                <w:b/>
                <w:color w:val="000000"/>
                <w:lang w:val="en-GB"/>
              </w:rPr>
              <w:t>April</w:t>
            </w:r>
            <w:r w:rsidR="00B31DC6">
              <w:rPr>
                <w:rFonts w:ascii="Arial" w:hAnsi="Arial" w:cs="Arial"/>
                <w:b/>
                <w:color w:val="000000"/>
                <w:lang w:val="en-GB"/>
              </w:rPr>
              <w:t>–</w:t>
            </w:r>
            <w:r w:rsidRPr="00C273FD">
              <w:rPr>
                <w:rFonts w:ascii="Arial" w:hAnsi="Arial" w:cs="Arial"/>
                <w:b/>
                <w:color w:val="000000"/>
                <w:lang w:val="en-GB"/>
              </w:rPr>
              <w:t>June</w:t>
            </w:r>
          </w:p>
        </w:tc>
      </w:tr>
      <w:tr w:rsidR="00221CD1" w:rsidRPr="00C273FD" w14:paraId="0116FB4A" w14:textId="77777777" w:rsidTr="00640722">
        <w:trPr>
          <w:trHeight w:val="148"/>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EBD2E" w14:textId="77777777" w:rsidR="00221CD1" w:rsidRPr="00C273FD" w:rsidRDefault="00221CD1" w:rsidP="00AB18DE">
            <w:pPr>
              <w:rPr>
                <w:rFonts w:ascii="Arial" w:hAnsi="Arial" w:cs="Arial"/>
                <w:b/>
                <w:color w:val="000000"/>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C76D7" w14:textId="77777777" w:rsidR="00221CD1" w:rsidRPr="00C273FD" w:rsidRDefault="00221CD1" w:rsidP="00AB18DE">
            <w:pPr>
              <w:rPr>
                <w:rFonts w:ascii="Arial" w:hAnsi="Arial" w:cs="Arial"/>
                <w:b/>
                <w:color w:val="000000"/>
                <w:lang w:val="en-GB"/>
              </w:rPr>
            </w:pPr>
          </w:p>
        </w:tc>
        <w:tc>
          <w:tcPr>
            <w:tcW w:w="0" w:type="auto"/>
            <w:tcBorders>
              <w:top w:val="nil"/>
              <w:left w:val="nil"/>
              <w:bottom w:val="single" w:sz="4" w:space="0" w:color="auto"/>
              <w:right w:val="single" w:sz="4" w:space="0" w:color="auto"/>
            </w:tcBorders>
            <w:shd w:val="clear" w:color="auto" w:fill="auto"/>
            <w:vAlign w:val="bottom"/>
            <w:hideMark/>
          </w:tcPr>
          <w:p w14:paraId="56E7C383" w14:textId="77777777" w:rsidR="00221CD1" w:rsidRPr="00C273FD" w:rsidRDefault="00221CD1" w:rsidP="00AB18DE">
            <w:pPr>
              <w:rPr>
                <w:rFonts w:ascii="Arial" w:hAnsi="Arial" w:cs="Arial"/>
                <w:b/>
                <w:color w:val="000000"/>
                <w:lang w:val="en-GB"/>
              </w:rPr>
            </w:pPr>
            <w:r w:rsidRPr="00C273FD">
              <w:rPr>
                <w:rFonts w:ascii="Arial" w:hAnsi="Arial" w:cs="Arial"/>
                <w:b/>
                <w:color w:val="000000"/>
                <w:lang w:val="en-GB"/>
              </w:rPr>
              <w:t>2012/13</w:t>
            </w:r>
          </w:p>
        </w:tc>
        <w:tc>
          <w:tcPr>
            <w:tcW w:w="0" w:type="auto"/>
            <w:tcBorders>
              <w:top w:val="nil"/>
              <w:left w:val="nil"/>
              <w:bottom w:val="single" w:sz="4" w:space="0" w:color="auto"/>
              <w:right w:val="single" w:sz="4" w:space="0" w:color="auto"/>
            </w:tcBorders>
            <w:shd w:val="clear" w:color="auto" w:fill="auto"/>
            <w:vAlign w:val="bottom"/>
            <w:hideMark/>
          </w:tcPr>
          <w:p w14:paraId="14445547" w14:textId="77777777" w:rsidR="00221CD1" w:rsidRPr="00C273FD" w:rsidRDefault="00221CD1" w:rsidP="00AB18DE">
            <w:pPr>
              <w:rPr>
                <w:rFonts w:ascii="Arial" w:hAnsi="Arial" w:cs="Arial"/>
                <w:b/>
                <w:color w:val="000000"/>
                <w:lang w:val="en-GB"/>
              </w:rPr>
            </w:pPr>
            <w:r w:rsidRPr="00C273FD">
              <w:rPr>
                <w:rFonts w:ascii="Arial" w:hAnsi="Arial" w:cs="Arial"/>
                <w:b/>
                <w:color w:val="000000"/>
                <w:lang w:val="en-GB"/>
              </w:rPr>
              <w:t>2013/14</w:t>
            </w:r>
          </w:p>
        </w:tc>
        <w:tc>
          <w:tcPr>
            <w:tcW w:w="0" w:type="auto"/>
            <w:tcBorders>
              <w:top w:val="nil"/>
              <w:left w:val="nil"/>
              <w:bottom w:val="single" w:sz="4" w:space="0" w:color="auto"/>
              <w:right w:val="single" w:sz="4" w:space="0" w:color="auto"/>
            </w:tcBorders>
            <w:shd w:val="clear" w:color="auto" w:fill="auto"/>
            <w:vAlign w:val="bottom"/>
            <w:hideMark/>
          </w:tcPr>
          <w:p w14:paraId="1C8852B9" w14:textId="77777777" w:rsidR="00221CD1" w:rsidRPr="00C273FD" w:rsidRDefault="00221CD1" w:rsidP="00AB18DE">
            <w:pPr>
              <w:rPr>
                <w:rFonts w:ascii="Arial" w:hAnsi="Arial" w:cs="Arial"/>
                <w:b/>
                <w:color w:val="000000"/>
                <w:lang w:val="en-GB"/>
              </w:rPr>
            </w:pPr>
            <w:r w:rsidRPr="00C273FD">
              <w:rPr>
                <w:rFonts w:ascii="Arial" w:hAnsi="Arial" w:cs="Arial"/>
                <w:b/>
                <w:color w:val="000000"/>
                <w:lang w:val="en-GB"/>
              </w:rPr>
              <w:t>2014/15</w:t>
            </w:r>
          </w:p>
        </w:tc>
        <w:tc>
          <w:tcPr>
            <w:tcW w:w="0" w:type="auto"/>
            <w:tcBorders>
              <w:top w:val="nil"/>
              <w:left w:val="nil"/>
              <w:bottom w:val="single" w:sz="4" w:space="0" w:color="auto"/>
              <w:right w:val="single" w:sz="4" w:space="0" w:color="auto"/>
            </w:tcBorders>
            <w:shd w:val="clear" w:color="auto" w:fill="auto"/>
            <w:vAlign w:val="bottom"/>
            <w:hideMark/>
          </w:tcPr>
          <w:p w14:paraId="34DA3316" w14:textId="77777777" w:rsidR="00221CD1" w:rsidRPr="00C273FD" w:rsidRDefault="00221CD1" w:rsidP="00AB18DE">
            <w:pPr>
              <w:rPr>
                <w:rFonts w:ascii="Arial" w:hAnsi="Arial" w:cs="Arial"/>
                <w:b/>
                <w:color w:val="000000"/>
                <w:lang w:val="en-GB"/>
              </w:rPr>
            </w:pPr>
            <w:r w:rsidRPr="00C273FD">
              <w:rPr>
                <w:rFonts w:ascii="Arial" w:hAnsi="Arial" w:cs="Arial"/>
                <w:b/>
                <w:color w:val="000000"/>
                <w:lang w:val="en-GB"/>
              </w:rPr>
              <w:t>2015/16</w:t>
            </w:r>
          </w:p>
        </w:tc>
        <w:tc>
          <w:tcPr>
            <w:tcW w:w="811" w:type="dxa"/>
            <w:tcBorders>
              <w:top w:val="nil"/>
              <w:left w:val="nil"/>
              <w:bottom w:val="single" w:sz="4" w:space="0" w:color="auto"/>
              <w:right w:val="single" w:sz="4" w:space="0" w:color="auto"/>
            </w:tcBorders>
            <w:shd w:val="clear" w:color="auto" w:fill="auto"/>
            <w:vAlign w:val="bottom"/>
            <w:hideMark/>
          </w:tcPr>
          <w:p w14:paraId="31E6AF74" w14:textId="77777777" w:rsidR="00221CD1" w:rsidRPr="00C273FD" w:rsidRDefault="00221CD1" w:rsidP="00AB18DE">
            <w:pPr>
              <w:jc w:val="right"/>
              <w:rPr>
                <w:rFonts w:ascii="Arial" w:hAnsi="Arial" w:cs="Arial"/>
                <w:b/>
                <w:color w:val="000000"/>
                <w:lang w:val="en-GB"/>
              </w:rPr>
            </w:pPr>
            <w:r w:rsidRPr="00C273FD">
              <w:rPr>
                <w:rFonts w:ascii="Arial" w:hAnsi="Arial" w:cs="Arial"/>
                <w:b/>
                <w:color w:val="000000"/>
                <w:lang w:val="en-GB"/>
              </w:rPr>
              <w:t>2015</w:t>
            </w:r>
          </w:p>
        </w:tc>
        <w:tc>
          <w:tcPr>
            <w:tcW w:w="0" w:type="auto"/>
            <w:tcBorders>
              <w:top w:val="nil"/>
              <w:left w:val="nil"/>
              <w:bottom w:val="single" w:sz="4" w:space="0" w:color="auto"/>
              <w:right w:val="single" w:sz="4" w:space="0" w:color="auto"/>
            </w:tcBorders>
            <w:shd w:val="clear" w:color="auto" w:fill="auto"/>
            <w:vAlign w:val="bottom"/>
            <w:hideMark/>
          </w:tcPr>
          <w:p w14:paraId="79E5D485" w14:textId="77777777" w:rsidR="00221CD1" w:rsidRPr="00C273FD" w:rsidRDefault="00221CD1" w:rsidP="00AB18DE">
            <w:pPr>
              <w:jc w:val="right"/>
              <w:rPr>
                <w:rFonts w:ascii="Arial" w:hAnsi="Arial" w:cs="Arial"/>
                <w:b/>
                <w:color w:val="000000"/>
                <w:lang w:val="en-GB"/>
              </w:rPr>
            </w:pPr>
            <w:r w:rsidRPr="00C273FD">
              <w:rPr>
                <w:rFonts w:ascii="Arial" w:hAnsi="Arial" w:cs="Arial"/>
                <w:b/>
                <w:color w:val="000000"/>
                <w:lang w:val="en-GB"/>
              </w:rPr>
              <w:t>2016</w:t>
            </w:r>
          </w:p>
        </w:tc>
      </w:tr>
      <w:tr w:rsidR="00221CD1" w:rsidRPr="00C273FD" w14:paraId="35A402E0" w14:textId="77777777" w:rsidTr="00640722">
        <w:trPr>
          <w:trHeight w:val="51"/>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9B2FADB"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Overall IIP</w:t>
            </w:r>
          </w:p>
        </w:tc>
        <w:tc>
          <w:tcPr>
            <w:tcW w:w="0" w:type="auto"/>
            <w:tcBorders>
              <w:top w:val="nil"/>
              <w:left w:val="nil"/>
              <w:bottom w:val="single" w:sz="4" w:space="0" w:color="auto"/>
              <w:right w:val="single" w:sz="4" w:space="0" w:color="auto"/>
            </w:tcBorders>
            <w:shd w:val="clear" w:color="auto" w:fill="auto"/>
            <w:noWrap/>
            <w:vAlign w:val="bottom"/>
            <w:hideMark/>
          </w:tcPr>
          <w:p w14:paraId="124E8D83" w14:textId="1129561D"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100</w:t>
            </w:r>
            <w:r w:rsidR="00334374">
              <w:rPr>
                <w:rFonts w:ascii="Arial" w:hAnsi="Arial" w:cs="Arial"/>
                <w:color w:val="000000"/>
                <w:lang w:val="en-GB"/>
              </w:rPr>
              <w:t>.0</w:t>
            </w:r>
          </w:p>
        </w:tc>
        <w:tc>
          <w:tcPr>
            <w:tcW w:w="0" w:type="auto"/>
            <w:tcBorders>
              <w:top w:val="nil"/>
              <w:left w:val="nil"/>
              <w:bottom w:val="single" w:sz="4" w:space="0" w:color="auto"/>
              <w:right w:val="single" w:sz="4" w:space="0" w:color="auto"/>
            </w:tcBorders>
            <w:shd w:val="clear" w:color="auto" w:fill="auto"/>
            <w:noWrap/>
            <w:vAlign w:val="bottom"/>
            <w:hideMark/>
          </w:tcPr>
          <w:p w14:paraId="6A979362" w14:textId="77777777"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1.1</w:t>
            </w:r>
          </w:p>
        </w:tc>
        <w:tc>
          <w:tcPr>
            <w:tcW w:w="0" w:type="auto"/>
            <w:tcBorders>
              <w:top w:val="nil"/>
              <w:left w:val="nil"/>
              <w:bottom w:val="single" w:sz="4" w:space="0" w:color="auto"/>
              <w:right w:val="single" w:sz="4" w:space="0" w:color="auto"/>
            </w:tcBorders>
            <w:shd w:val="clear" w:color="auto" w:fill="auto"/>
            <w:noWrap/>
            <w:vAlign w:val="bottom"/>
            <w:hideMark/>
          </w:tcPr>
          <w:p w14:paraId="53FE0AAA" w14:textId="7392ADA7" w:rsidR="00221CD1" w:rsidRPr="00C273FD" w:rsidRDefault="00B31DC6" w:rsidP="00640722">
            <w:pPr>
              <w:tabs>
                <w:tab w:val="decimal" w:pos="385"/>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0.1</w:t>
            </w:r>
          </w:p>
        </w:tc>
        <w:tc>
          <w:tcPr>
            <w:tcW w:w="0" w:type="auto"/>
            <w:tcBorders>
              <w:top w:val="nil"/>
              <w:left w:val="nil"/>
              <w:bottom w:val="single" w:sz="4" w:space="0" w:color="auto"/>
              <w:right w:val="single" w:sz="4" w:space="0" w:color="auto"/>
            </w:tcBorders>
            <w:shd w:val="clear" w:color="auto" w:fill="auto"/>
            <w:noWrap/>
            <w:vAlign w:val="bottom"/>
            <w:hideMark/>
          </w:tcPr>
          <w:p w14:paraId="53EC0375" w14:textId="77777777"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2.8</w:t>
            </w:r>
          </w:p>
        </w:tc>
        <w:tc>
          <w:tcPr>
            <w:tcW w:w="0" w:type="auto"/>
            <w:tcBorders>
              <w:top w:val="nil"/>
              <w:left w:val="nil"/>
              <w:bottom w:val="single" w:sz="4" w:space="0" w:color="auto"/>
              <w:right w:val="single" w:sz="4" w:space="0" w:color="auto"/>
            </w:tcBorders>
            <w:shd w:val="clear" w:color="auto" w:fill="auto"/>
            <w:noWrap/>
            <w:vAlign w:val="bottom"/>
            <w:hideMark/>
          </w:tcPr>
          <w:p w14:paraId="204D8855" w14:textId="77777777" w:rsidR="00221CD1" w:rsidRPr="00C273FD" w:rsidRDefault="00221CD1" w:rsidP="00640722">
            <w:pPr>
              <w:tabs>
                <w:tab w:val="decimal" w:pos="491"/>
              </w:tabs>
              <w:rPr>
                <w:rFonts w:ascii="Arial" w:hAnsi="Arial" w:cs="Arial"/>
                <w:color w:val="000000"/>
                <w:lang w:val="en-GB"/>
              </w:rPr>
            </w:pPr>
            <w:r w:rsidRPr="00C273FD">
              <w:rPr>
                <w:rFonts w:ascii="Arial" w:hAnsi="Arial" w:cs="Arial"/>
                <w:color w:val="000000"/>
                <w:lang w:val="en-GB"/>
              </w:rPr>
              <w:t>2.4</w:t>
            </w:r>
          </w:p>
        </w:tc>
        <w:tc>
          <w:tcPr>
            <w:tcW w:w="811" w:type="dxa"/>
            <w:tcBorders>
              <w:top w:val="nil"/>
              <w:left w:val="nil"/>
              <w:bottom w:val="single" w:sz="4" w:space="0" w:color="auto"/>
              <w:right w:val="single" w:sz="4" w:space="0" w:color="auto"/>
            </w:tcBorders>
            <w:shd w:val="clear" w:color="auto" w:fill="auto"/>
            <w:noWrap/>
            <w:vAlign w:val="bottom"/>
            <w:hideMark/>
          </w:tcPr>
          <w:p w14:paraId="5973DCC6"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3.3</w:t>
            </w:r>
          </w:p>
        </w:tc>
        <w:tc>
          <w:tcPr>
            <w:tcW w:w="0" w:type="auto"/>
            <w:tcBorders>
              <w:top w:val="nil"/>
              <w:left w:val="nil"/>
              <w:bottom w:val="single" w:sz="4" w:space="0" w:color="auto"/>
              <w:right w:val="single" w:sz="4" w:space="0" w:color="auto"/>
            </w:tcBorders>
            <w:shd w:val="clear" w:color="auto" w:fill="auto"/>
            <w:noWrap/>
            <w:vAlign w:val="bottom"/>
            <w:hideMark/>
          </w:tcPr>
          <w:p w14:paraId="4CE9851A" w14:textId="77777777" w:rsidR="00221CD1" w:rsidRPr="00C273FD" w:rsidRDefault="00221CD1" w:rsidP="00640722">
            <w:pPr>
              <w:tabs>
                <w:tab w:val="decimal" w:pos="319"/>
              </w:tabs>
              <w:rPr>
                <w:rFonts w:ascii="Arial" w:hAnsi="Arial" w:cs="Arial"/>
                <w:color w:val="000000"/>
                <w:lang w:val="en-GB"/>
              </w:rPr>
            </w:pPr>
            <w:r w:rsidRPr="00C273FD">
              <w:rPr>
                <w:rFonts w:ascii="Arial" w:hAnsi="Arial" w:cs="Arial"/>
                <w:color w:val="000000"/>
                <w:lang w:val="en-GB"/>
              </w:rPr>
              <w:t>0.6</w:t>
            </w:r>
          </w:p>
        </w:tc>
      </w:tr>
      <w:tr w:rsidR="00221CD1" w:rsidRPr="00C273FD" w14:paraId="57422788" w14:textId="77777777" w:rsidTr="00640722">
        <w:trPr>
          <w:trHeight w:val="98"/>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00F0957"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Mining</w:t>
            </w:r>
          </w:p>
        </w:tc>
        <w:tc>
          <w:tcPr>
            <w:tcW w:w="0" w:type="auto"/>
            <w:tcBorders>
              <w:top w:val="nil"/>
              <w:left w:val="nil"/>
              <w:bottom w:val="single" w:sz="4" w:space="0" w:color="auto"/>
              <w:right w:val="single" w:sz="4" w:space="0" w:color="auto"/>
            </w:tcBorders>
            <w:shd w:val="clear" w:color="auto" w:fill="auto"/>
            <w:noWrap/>
            <w:vAlign w:val="bottom"/>
            <w:hideMark/>
          </w:tcPr>
          <w:p w14:paraId="0BE630C4"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14.2</w:t>
            </w:r>
          </w:p>
        </w:tc>
        <w:tc>
          <w:tcPr>
            <w:tcW w:w="0" w:type="auto"/>
            <w:tcBorders>
              <w:top w:val="nil"/>
              <w:left w:val="nil"/>
              <w:bottom w:val="single" w:sz="4" w:space="0" w:color="auto"/>
              <w:right w:val="single" w:sz="4" w:space="0" w:color="auto"/>
            </w:tcBorders>
            <w:shd w:val="clear" w:color="auto" w:fill="auto"/>
            <w:noWrap/>
            <w:vAlign w:val="bottom"/>
            <w:hideMark/>
          </w:tcPr>
          <w:p w14:paraId="18E980E2" w14:textId="5D1CD2D5" w:rsidR="00221CD1" w:rsidRPr="00C273FD" w:rsidRDefault="00B31DC6" w:rsidP="00640722">
            <w:pPr>
              <w:tabs>
                <w:tab w:val="decimal" w:pos="473"/>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2.3</w:t>
            </w:r>
          </w:p>
        </w:tc>
        <w:tc>
          <w:tcPr>
            <w:tcW w:w="0" w:type="auto"/>
            <w:tcBorders>
              <w:top w:val="nil"/>
              <w:left w:val="nil"/>
              <w:bottom w:val="single" w:sz="4" w:space="0" w:color="auto"/>
              <w:right w:val="single" w:sz="4" w:space="0" w:color="auto"/>
            </w:tcBorders>
            <w:shd w:val="clear" w:color="auto" w:fill="auto"/>
            <w:noWrap/>
            <w:vAlign w:val="bottom"/>
            <w:hideMark/>
          </w:tcPr>
          <w:p w14:paraId="510221FC" w14:textId="35D11643" w:rsidR="00221CD1" w:rsidRPr="00C273FD" w:rsidRDefault="00B31DC6" w:rsidP="00640722">
            <w:pPr>
              <w:tabs>
                <w:tab w:val="decimal" w:pos="385"/>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0.6</w:t>
            </w:r>
          </w:p>
        </w:tc>
        <w:tc>
          <w:tcPr>
            <w:tcW w:w="0" w:type="auto"/>
            <w:tcBorders>
              <w:top w:val="nil"/>
              <w:left w:val="nil"/>
              <w:bottom w:val="single" w:sz="4" w:space="0" w:color="auto"/>
              <w:right w:val="single" w:sz="4" w:space="0" w:color="auto"/>
            </w:tcBorders>
            <w:shd w:val="clear" w:color="auto" w:fill="auto"/>
            <w:noWrap/>
            <w:vAlign w:val="bottom"/>
            <w:hideMark/>
          </w:tcPr>
          <w:p w14:paraId="59DEB01D" w14:textId="77777777"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1.5</w:t>
            </w:r>
          </w:p>
        </w:tc>
        <w:tc>
          <w:tcPr>
            <w:tcW w:w="0" w:type="auto"/>
            <w:tcBorders>
              <w:top w:val="nil"/>
              <w:left w:val="nil"/>
              <w:bottom w:val="single" w:sz="4" w:space="0" w:color="auto"/>
              <w:right w:val="single" w:sz="4" w:space="0" w:color="auto"/>
            </w:tcBorders>
            <w:shd w:val="clear" w:color="auto" w:fill="auto"/>
            <w:noWrap/>
            <w:vAlign w:val="bottom"/>
            <w:hideMark/>
          </w:tcPr>
          <w:p w14:paraId="4F173422" w14:textId="77777777" w:rsidR="00221CD1" w:rsidRPr="00C273FD" w:rsidRDefault="00221CD1" w:rsidP="00640722">
            <w:pPr>
              <w:tabs>
                <w:tab w:val="decimal" w:pos="491"/>
              </w:tabs>
              <w:rPr>
                <w:rFonts w:ascii="Arial" w:hAnsi="Arial" w:cs="Arial"/>
                <w:color w:val="000000"/>
                <w:lang w:val="en-GB"/>
              </w:rPr>
            </w:pPr>
            <w:r w:rsidRPr="00C273FD">
              <w:rPr>
                <w:rFonts w:ascii="Arial" w:hAnsi="Arial" w:cs="Arial"/>
                <w:color w:val="000000"/>
                <w:lang w:val="en-GB"/>
              </w:rPr>
              <w:t>2.2</w:t>
            </w:r>
          </w:p>
        </w:tc>
        <w:tc>
          <w:tcPr>
            <w:tcW w:w="811" w:type="dxa"/>
            <w:tcBorders>
              <w:top w:val="nil"/>
              <w:left w:val="nil"/>
              <w:bottom w:val="single" w:sz="4" w:space="0" w:color="auto"/>
              <w:right w:val="single" w:sz="4" w:space="0" w:color="auto"/>
            </w:tcBorders>
            <w:shd w:val="clear" w:color="auto" w:fill="auto"/>
            <w:noWrap/>
            <w:vAlign w:val="bottom"/>
            <w:hideMark/>
          </w:tcPr>
          <w:p w14:paraId="4837CFE5"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0.4</w:t>
            </w:r>
          </w:p>
        </w:tc>
        <w:tc>
          <w:tcPr>
            <w:tcW w:w="0" w:type="auto"/>
            <w:tcBorders>
              <w:top w:val="nil"/>
              <w:left w:val="nil"/>
              <w:bottom w:val="single" w:sz="4" w:space="0" w:color="auto"/>
              <w:right w:val="single" w:sz="4" w:space="0" w:color="auto"/>
            </w:tcBorders>
            <w:shd w:val="clear" w:color="auto" w:fill="auto"/>
            <w:noWrap/>
            <w:vAlign w:val="bottom"/>
            <w:hideMark/>
          </w:tcPr>
          <w:p w14:paraId="202F7257" w14:textId="77777777" w:rsidR="00221CD1" w:rsidRPr="00C273FD" w:rsidRDefault="00221CD1" w:rsidP="00640722">
            <w:pPr>
              <w:tabs>
                <w:tab w:val="decimal" w:pos="319"/>
              </w:tabs>
              <w:rPr>
                <w:rFonts w:ascii="Arial" w:hAnsi="Arial" w:cs="Arial"/>
                <w:color w:val="000000"/>
                <w:lang w:val="en-GB"/>
              </w:rPr>
            </w:pPr>
            <w:r w:rsidRPr="00C273FD">
              <w:rPr>
                <w:rFonts w:ascii="Arial" w:hAnsi="Arial" w:cs="Arial"/>
                <w:color w:val="000000"/>
                <w:lang w:val="en-GB"/>
              </w:rPr>
              <w:t>2.3</w:t>
            </w:r>
          </w:p>
        </w:tc>
      </w:tr>
      <w:tr w:rsidR="00221CD1" w:rsidRPr="00C273FD" w14:paraId="190E8427" w14:textId="77777777" w:rsidTr="00640722">
        <w:trPr>
          <w:trHeight w:val="249"/>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FF36187"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Manufacturing</w:t>
            </w:r>
          </w:p>
        </w:tc>
        <w:tc>
          <w:tcPr>
            <w:tcW w:w="0" w:type="auto"/>
            <w:tcBorders>
              <w:top w:val="nil"/>
              <w:left w:val="nil"/>
              <w:bottom w:val="single" w:sz="4" w:space="0" w:color="auto"/>
              <w:right w:val="single" w:sz="4" w:space="0" w:color="auto"/>
            </w:tcBorders>
            <w:shd w:val="clear" w:color="auto" w:fill="auto"/>
            <w:noWrap/>
            <w:vAlign w:val="bottom"/>
            <w:hideMark/>
          </w:tcPr>
          <w:p w14:paraId="56F138B4"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75.5</w:t>
            </w:r>
          </w:p>
        </w:tc>
        <w:tc>
          <w:tcPr>
            <w:tcW w:w="0" w:type="auto"/>
            <w:tcBorders>
              <w:top w:val="nil"/>
              <w:left w:val="nil"/>
              <w:bottom w:val="single" w:sz="4" w:space="0" w:color="auto"/>
              <w:right w:val="single" w:sz="4" w:space="0" w:color="auto"/>
            </w:tcBorders>
            <w:shd w:val="clear" w:color="auto" w:fill="auto"/>
            <w:noWrap/>
            <w:vAlign w:val="bottom"/>
            <w:hideMark/>
          </w:tcPr>
          <w:p w14:paraId="7F194839" w14:textId="77777777"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1.3</w:t>
            </w:r>
          </w:p>
        </w:tc>
        <w:tc>
          <w:tcPr>
            <w:tcW w:w="0" w:type="auto"/>
            <w:tcBorders>
              <w:top w:val="nil"/>
              <w:left w:val="nil"/>
              <w:bottom w:val="single" w:sz="4" w:space="0" w:color="auto"/>
              <w:right w:val="single" w:sz="4" w:space="0" w:color="auto"/>
            </w:tcBorders>
            <w:shd w:val="clear" w:color="auto" w:fill="auto"/>
            <w:noWrap/>
            <w:vAlign w:val="bottom"/>
            <w:hideMark/>
          </w:tcPr>
          <w:p w14:paraId="07F4B60F" w14:textId="314FDCDC" w:rsidR="00221CD1" w:rsidRPr="00C273FD" w:rsidRDefault="00B31DC6" w:rsidP="00640722">
            <w:pPr>
              <w:tabs>
                <w:tab w:val="decimal" w:pos="385"/>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0.8</w:t>
            </w:r>
          </w:p>
        </w:tc>
        <w:tc>
          <w:tcPr>
            <w:tcW w:w="0" w:type="auto"/>
            <w:tcBorders>
              <w:top w:val="nil"/>
              <w:left w:val="nil"/>
              <w:bottom w:val="single" w:sz="4" w:space="0" w:color="auto"/>
              <w:right w:val="single" w:sz="4" w:space="0" w:color="auto"/>
            </w:tcBorders>
            <w:shd w:val="clear" w:color="auto" w:fill="auto"/>
            <w:noWrap/>
            <w:vAlign w:val="bottom"/>
            <w:hideMark/>
          </w:tcPr>
          <w:p w14:paraId="51F920F5" w14:textId="77777777"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2.3</w:t>
            </w:r>
          </w:p>
        </w:tc>
        <w:tc>
          <w:tcPr>
            <w:tcW w:w="0" w:type="auto"/>
            <w:tcBorders>
              <w:top w:val="nil"/>
              <w:left w:val="nil"/>
              <w:bottom w:val="single" w:sz="4" w:space="0" w:color="auto"/>
              <w:right w:val="single" w:sz="4" w:space="0" w:color="auto"/>
            </w:tcBorders>
            <w:shd w:val="clear" w:color="auto" w:fill="auto"/>
            <w:noWrap/>
            <w:vAlign w:val="bottom"/>
            <w:hideMark/>
          </w:tcPr>
          <w:p w14:paraId="5D724A18" w14:textId="5B9F42CA" w:rsidR="00221CD1" w:rsidRPr="00C273FD" w:rsidRDefault="00221CD1" w:rsidP="00640722">
            <w:pPr>
              <w:tabs>
                <w:tab w:val="decimal" w:pos="491"/>
              </w:tabs>
              <w:rPr>
                <w:rFonts w:ascii="Arial" w:hAnsi="Arial" w:cs="Arial"/>
                <w:color w:val="000000"/>
                <w:lang w:val="en-GB"/>
              </w:rPr>
            </w:pPr>
            <w:r w:rsidRPr="00C273FD">
              <w:rPr>
                <w:rFonts w:ascii="Arial" w:hAnsi="Arial" w:cs="Arial"/>
                <w:color w:val="000000"/>
                <w:lang w:val="en-GB"/>
              </w:rPr>
              <w:t>2</w:t>
            </w:r>
            <w:r w:rsidR="00334374">
              <w:rPr>
                <w:rFonts w:ascii="Arial" w:hAnsi="Arial" w:cs="Arial"/>
                <w:color w:val="000000"/>
                <w:lang w:val="en-GB"/>
              </w:rPr>
              <w:t>.0</w:t>
            </w:r>
          </w:p>
        </w:tc>
        <w:tc>
          <w:tcPr>
            <w:tcW w:w="811" w:type="dxa"/>
            <w:tcBorders>
              <w:top w:val="nil"/>
              <w:left w:val="nil"/>
              <w:bottom w:val="single" w:sz="4" w:space="0" w:color="auto"/>
              <w:right w:val="single" w:sz="4" w:space="0" w:color="auto"/>
            </w:tcBorders>
            <w:shd w:val="clear" w:color="auto" w:fill="auto"/>
            <w:noWrap/>
            <w:vAlign w:val="bottom"/>
            <w:hideMark/>
          </w:tcPr>
          <w:p w14:paraId="04915490"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3.7</w:t>
            </w:r>
          </w:p>
        </w:tc>
        <w:tc>
          <w:tcPr>
            <w:tcW w:w="0" w:type="auto"/>
            <w:tcBorders>
              <w:top w:val="nil"/>
              <w:left w:val="nil"/>
              <w:bottom w:val="single" w:sz="4" w:space="0" w:color="auto"/>
              <w:right w:val="single" w:sz="4" w:space="0" w:color="auto"/>
            </w:tcBorders>
            <w:shd w:val="clear" w:color="auto" w:fill="auto"/>
            <w:noWrap/>
            <w:vAlign w:val="bottom"/>
            <w:hideMark/>
          </w:tcPr>
          <w:p w14:paraId="5665C39F" w14:textId="5FD8B990" w:rsidR="00221CD1" w:rsidRPr="00C273FD" w:rsidRDefault="00B31DC6" w:rsidP="00640722">
            <w:pPr>
              <w:tabs>
                <w:tab w:val="decimal" w:pos="319"/>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0.7</w:t>
            </w:r>
          </w:p>
        </w:tc>
      </w:tr>
      <w:tr w:rsidR="00221CD1" w:rsidRPr="00C273FD" w14:paraId="21E7B905" w14:textId="77777777" w:rsidTr="00640722">
        <w:trPr>
          <w:trHeight w:val="4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CF09A64"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Electricity</w:t>
            </w:r>
          </w:p>
        </w:tc>
        <w:tc>
          <w:tcPr>
            <w:tcW w:w="0" w:type="auto"/>
            <w:tcBorders>
              <w:top w:val="nil"/>
              <w:left w:val="nil"/>
              <w:bottom w:val="single" w:sz="4" w:space="0" w:color="auto"/>
              <w:right w:val="single" w:sz="4" w:space="0" w:color="auto"/>
            </w:tcBorders>
            <w:shd w:val="clear" w:color="auto" w:fill="auto"/>
            <w:noWrap/>
            <w:vAlign w:val="bottom"/>
            <w:hideMark/>
          </w:tcPr>
          <w:p w14:paraId="155FE072"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10.3</w:t>
            </w:r>
          </w:p>
        </w:tc>
        <w:tc>
          <w:tcPr>
            <w:tcW w:w="0" w:type="auto"/>
            <w:tcBorders>
              <w:top w:val="nil"/>
              <w:left w:val="nil"/>
              <w:bottom w:val="single" w:sz="4" w:space="0" w:color="auto"/>
              <w:right w:val="single" w:sz="4" w:space="0" w:color="auto"/>
            </w:tcBorders>
            <w:shd w:val="clear" w:color="auto" w:fill="auto"/>
            <w:noWrap/>
            <w:vAlign w:val="bottom"/>
            <w:hideMark/>
          </w:tcPr>
          <w:p w14:paraId="1A324165" w14:textId="79D946A3"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4</w:t>
            </w:r>
            <w:r w:rsidR="00334374">
              <w:rPr>
                <w:rFonts w:ascii="Arial" w:hAnsi="Arial" w:cs="Arial"/>
                <w:color w:val="000000"/>
                <w:lang w:val="en-GB"/>
              </w:rPr>
              <w:t>.0</w:t>
            </w:r>
          </w:p>
        </w:tc>
        <w:tc>
          <w:tcPr>
            <w:tcW w:w="0" w:type="auto"/>
            <w:tcBorders>
              <w:top w:val="nil"/>
              <w:left w:val="nil"/>
              <w:bottom w:val="single" w:sz="4" w:space="0" w:color="auto"/>
              <w:right w:val="single" w:sz="4" w:space="0" w:color="auto"/>
            </w:tcBorders>
            <w:shd w:val="clear" w:color="auto" w:fill="auto"/>
            <w:noWrap/>
            <w:vAlign w:val="bottom"/>
            <w:hideMark/>
          </w:tcPr>
          <w:p w14:paraId="15037A37" w14:textId="77777777" w:rsidR="00221CD1" w:rsidRPr="00C273FD" w:rsidRDefault="00221CD1" w:rsidP="00640722">
            <w:pPr>
              <w:tabs>
                <w:tab w:val="decimal" w:pos="385"/>
              </w:tabs>
              <w:rPr>
                <w:rFonts w:ascii="Arial" w:hAnsi="Arial" w:cs="Arial"/>
                <w:color w:val="000000"/>
                <w:lang w:val="en-GB"/>
              </w:rPr>
            </w:pPr>
            <w:r w:rsidRPr="00C273FD">
              <w:rPr>
                <w:rFonts w:ascii="Arial" w:hAnsi="Arial" w:cs="Arial"/>
                <w:color w:val="000000"/>
                <w:lang w:val="en-GB"/>
              </w:rPr>
              <w:t>6.1</w:t>
            </w:r>
          </w:p>
        </w:tc>
        <w:tc>
          <w:tcPr>
            <w:tcW w:w="0" w:type="auto"/>
            <w:tcBorders>
              <w:top w:val="nil"/>
              <w:left w:val="nil"/>
              <w:bottom w:val="single" w:sz="4" w:space="0" w:color="auto"/>
              <w:right w:val="single" w:sz="4" w:space="0" w:color="auto"/>
            </w:tcBorders>
            <w:shd w:val="clear" w:color="auto" w:fill="auto"/>
            <w:noWrap/>
            <w:vAlign w:val="bottom"/>
            <w:hideMark/>
          </w:tcPr>
          <w:p w14:paraId="41743E23" w14:textId="77777777"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8.4</w:t>
            </w:r>
          </w:p>
        </w:tc>
        <w:tc>
          <w:tcPr>
            <w:tcW w:w="0" w:type="auto"/>
            <w:tcBorders>
              <w:top w:val="nil"/>
              <w:left w:val="nil"/>
              <w:bottom w:val="single" w:sz="4" w:space="0" w:color="auto"/>
              <w:right w:val="single" w:sz="4" w:space="0" w:color="auto"/>
            </w:tcBorders>
            <w:shd w:val="clear" w:color="auto" w:fill="auto"/>
            <w:noWrap/>
            <w:vAlign w:val="bottom"/>
            <w:hideMark/>
          </w:tcPr>
          <w:p w14:paraId="23809A5C" w14:textId="77777777" w:rsidR="00221CD1" w:rsidRPr="00C273FD" w:rsidRDefault="00221CD1" w:rsidP="00640722">
            <w:pPr>
              <w:tabs>
                <w:tab w:val="decimal" w:pos="491"/>
              </w:tabs>
              <w:rPr>
                <w:rFonts w:ascii="Arial" w:hAnsi="Arial" w:cs="Arial"/>
                <w:color w:val="000000"/>
                <w:lang w:val="en-GB"/>
              </w:rPr>
            </w:pPr>
            <w:r w:rsidRPr="00C273FD">
              <w:rPr>
                <w:rFonts w:ascii="Arial" w:hAnsi="Arial" w:cs="Arial"/>
                <w:color w:val="000000"/>
                <w:lang w:val="en-GB"/>
              </w:rPr>
              <w:t>5.7</w:t>
            </w:r>
          </w:p>
        </w:tc>
        <w:tc>
          <w:tcPr>
            <w:tcW w:w="811" w:type="dxa"/>
            <w:tcBorders>
              <w:top w:val="nil"/>
              <w:left w:val="nil"/>
              <w:bottom w:val="single" w:sz="4" w:space="0" w:color="auto"/>
              <w:right w:val="single" w:sz="4" w:space="0" w:color="auto"/>
            </w:tcBorders>
            <w:shd w:val="clear" w:color="auto" w:fill="auto"/>
            <w:noWrap/>
            <w:vAlign w:val="bottom"/>
            <w:hideMark/>
          </w:tcPr>
          <w:p w14:paraId="17AE8681"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2.3</w:t>
            </w:r>
          </w:p>
        </w:tc>
        <w:tc>
          <w:tcPr>
            <w:tcW w:w="0" w:type="auto"/>
            <w:tcBorders>
              <w:top w:val="nil"/>
              <w:left w:val="nil"/>
              <w:bottom w:val="single" w:sz="4" w:space="0" w:color="auto"/>
              <w:right w:val="single" w:sz="4" w:space="0" w:color="auto"/>
            </w:tcBorders>
            <w:shd w:val="clear" w:color="auto" w:fill="auto"/>
            <w:noWrap/>
            <w:vAlign w:val="bottom"/>
            <w:hideMark/>
          </w:tcPr>
          <w:p w14:paraId="1D6AB67E" w14:textId="39A7D2CD" w:rsidR="00221CD1" w:rsidRPr="00C273FD" w:rsidRDefault="00221CD1" w:rsidP="00640722">
            <w:pPr>
              <w:tabs>
                <w:tab w:val="decimal" w:pos="319"/>
              </w:tabs>
              <w:rPr>
                <w:rFonts w:ascii="Arial" w:hAnsi="Arial" w:cs="Arial"/>
                <w:color w:val="000000"/>
                <w:lang w:val="en-GB"/>
              </w:rPr>
            </w:pPr>
            <w:r w:rsidRPr="00C273FD">
              <w:rPr>
                <w:rFonts w:ascii="Arial" w:hAnsi="Arial" w:cs="Arial"/>
                <w:color w:val="000000"/>
                <w:lang w:val="en-GB"/>
              </w:rPr>
              <w:t>9</w:t>
            </w:r>
            <w:r w:rsidR="00334374">
              <w:rPr>
                <w:rFonts w:ascii="Arial" w:hAnsi="Arial" w:cs="Arial"/>
                <w:color w:val="000000"/>
                <w:lang w:val="en-GB"/>
              </w:rPr>
              <w:t>.0</w:t>
            </w:r>
          </w:p>
        </w:tc>
      </w:tr>
      <w:tr w:rsidR="00221CD1" w:rsidRPr="00C273FD" w14:paraId="2C0463B5" w14:textId="77777777" w:rsidTr="00640722">
        <w:trPr>
          <w:trHeight w:val="115"/>
          <w:jc w:val="center"/>
        </w:trPr>
        <w:tc>
          <w:tcPr>
            <w:tcW w:w="9192" w:type="dxa"/>
            <w:gridSpan w:val="8"/>
            <w:tcBorders>
              <w:top w:val="single" w:sz="4" w:space="0" w:color="auto"/>
              <w:left w:val="single" w:sz="4" w:space="0" w:color="auto"/>
              <w:bottom w:val="single" w:sz="4" w:space="0" w:color="auto"/>
              <w:right w:val="single" w:sz="4" w:space="0" w:color="000000"/>
            </w:tcBorders>
            <w:shd w:val="clear" w:color="auto" w:fill="auto"/>
            <w:vAlign w:val="bottom"/>
            <w:hideMark/>
          </w:tcPr>
          <w:p w14:paraId="51B1C5F7" w14:textId="5F6D4BD5" w:rsidR="00221CD1" w:rsidRPr="00C273FD" w:rsidRDefault="00221CD1" w:rsidP="00640722">
            <w:pPr>
              <w:tabs>
                <w:tab w:val="decimal" w:pos="261"/>
                <w:tab w:val="decimal" w:pos="319"/>
                <w:tab w:val="decimal" w:pos="385"/>
                <w:tab w:val="decimal" w:pos="438"/>
                <w:tab w:val="decimal" w:pos="491"/>
                <w:tab w:val="decimal" w:pos="755"/>
              </w:tabs>
              <w:jc w:val="center"/>
              <w:rPr>
                <w:rFonts w:ascii="Arial" w:hAnsi="Arial" w:cs="Arial"/>
                <w:b/>
                <w:bCs/>
                <w:color w:val="000000"/>
                <w:lang w:val="en-GB"/>
              </w:rPr>
            </w:pPr>
            <w:r w:rsidRPr="00C273FD">
              <w:rPr>
                <w:rFonts w:ascii="Arial" w:hAnsi="Arial" w:cs="Arial"/>
                <w:b/>
                <w:bCs/>
                <w:color w:val="000000"/>
                <w:lang w:val="en-GB"/>
              </w:rPr>
              <w:t>Use-Based</w:t>
            </w:r>
          </w:p>
        </w:tc>
      </w:tr>
      <w:tr w:rsidR="00221CD1" w:rsidRPr="00C273FD" w14:paraId="2E36312E" w14:textId="77777777" w:rsidTr="00640722">
        <w:trPr>
          <w:trHeight w:val="4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F71DB77"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Basic Goods</w:t>
            </w:r>
          </w:p>
        </w:tc>
        <w:tc>
          <w:tcPr>
            <w:tcW w:w="0" w:type="auto"/>
            <w:tcBorders>
              <w:top w:val="nil"/>
              <w:left w:val="nil"/>
              <w:bottom w:val="single" w:sz="4" w:space="0" w:color="auto"/>
              <w:right w:val="single" w:sz="4" w:space="0" w:color="auto"/>
            </w:tcBorders>
            <w:shd w:val="clear" w:color="auto" w:fill="auto"/>
            <w:noWrap/>
            <w:vAlign w:val="bottom"/>
            <w:hideMark/>
          </w:tcPr>
          <w:p w14:paraId="0DFD2D5D"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45.7</w:t>
            </w:r>
          </w:p>
        </w:tc>
        <w:tc>
          <w:tcPr>
            <w:tcW w:w="0" w:type="auto"/>
            <w:tcBorders>
              <w:top w:val="nil"/>
              <w:left w:val="nil"/>
              <w:bottom w:val="single" w:sz="4" w:space="0" w:color="auto"/>
              <w:right w:val="single" w:sz="4" w:space="0" w:color="auto"/>
            </w:tcBorders>
            <w:shd w:val="clear" w:color="auto" w:fill="auto"/>
            <w:noWrap/>
            <w:vAlign w:val="bottom"/>
            <w:hideMark/>
          </w:tcPr>
          <w:p w14:paraId="44C2070D" w14:textId="77777777"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2.5</w:t>
            </w:r>
          </w:p>
        </w:tc>
        <w:tc>
          <w:tcPr>
            <w:tcW w:w="0" w:type="auto"/>
            <w:tcBorders>
              <w:top w:val="nil"/>
              <w:left w:val="nil"/>
              <w:bottom w:val="single" w:sz="4" w:space="0" w:color="auto"/>
              <w:right w:val="single" w:sz="4" w:space="0" w:color="auto"/>
            </w:tcBorders>
            <w:shd w:val="clear" w:color="auto" w:fill="auto"/>
            <w:noWrap/>
            <w:vAlign w:val="bottom"/>
            <w:hideMark/>
          </w:tcPr>
          <w:p w14:paraId="62955563" w14:textId="77777777" w:rsidR="00221CD1" w:rsidRPr="00C273FD" w:rsidRDefault="00221CD1" w:rsidP="00640722">
            <w:pPr>
              <w:tabs>
                <w:tab w:val="decimal" w:pos="385"/>
              </w:tabs>
              <w:rPr>
                <w:rFonts w:ascii="Arial" w:hAnsi="Arial" w:cs="Arial"/>
                <w:color w:val="000000"/>
                <w:lang w:val="en-GB"/>
              </w:rPr>
            </w:pPr>
            <w:r w:rsidRPr="00C273FD">
              <w:rPr>
                <w:rFonts w:ascii="Arial" w:hAnsi="Arial" w:cs="Arial"/>
                <w:color w:val="000000"/>
                <w:lang w:val="en-GB"/>
              </w:rPr>
              <w:t>2.1</w:t>
            </w:r>
          </w:p>
        </w:tc>
        <w:tc>
          <w:tcPr>
            <w:tcW w:w="0" w:type="auto"/>
            <w:tcBorders>
              <w:top w:val="nil"/>
              <w:left w:val="nil"/>
              <w:bottom w:val="single" w:sz="4" w:space="0" w:color="auto"/>
              <w:right w:val="single" w:sz="4" w:space="0" w:color="auto"/>
            </w:tcBorders>
            <w:shd w:val="clear" w:color="auto" w:fill="auto"/>
            <w:noWrap/>
            <w:vAlign w:val="bottom"/>
            <w:hideMark/>
          </w:tcPr>
          <w:p w14:paraId="15F9A4BD" w14:textId="47BDE8F8"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7</w:t>
            </w:r>
            <w:r w:rsidR="00334374">
              <w:rPr>
                <w:rFonts w:ascii="Arial" w:hAnsi="Arial" w:cs="Arial"/>
                <w:color w:val="000000"/>
                <w:lang w:val="en-GB"/>
              </w:rPr>
              <w:t>.0</w:t>
            </w:r>
          </w:p>
        </w:tc>
        <w:tc>
          <w:tcPr>
            <w:tcW w:w="0" w:type="auto"/>
            <w:tcBorders>
              <w:top w:val="nil"/>
              <w:left w:val="nil"/>
              <w:bottom w:val="single" w:sz="4" w:space="0" w:color="auto"/>
              <w:right w:val="single" w:sz="4" w:space="0" w:color="auto"/>
            </w:tcBorders>
            <w:shd w:val="clear" w:color="auto" w:fill="auto"/>
            <w:noWrap/>
            <w:vAlign w:val="bottom"/>
            <w:hideMark/>
          </w:tcPr>
          <w:p w14:paraId="25319E1C" w14:textId="77777777" w:rsidR="00221CD1" w:rsidRPr="00C273FD" w:rsidRDefault="00221CD1" w:rsidP="00640722">
            <w:pPr>
              <w:tabs>
                <w:tab w:val="decimal" w:pos="491"/>
              </w:tabs>
              <w:rPr>
                <w:rFonts w:ascii="Arial" w:hAnsi="Arial" w:cs="Arial"/>
                <w:color w:val="000000"/>
                <w:lang w:val="en-GB"/>
              </w:rPr>
            </w:pPr>
            <w:r w:rsidRPr="00C273FD">
              <w:rPr>
                <w:rFonts w:ascii="Arial" w:hAnsi="Arial" w:cs="Arial"/>
                <w:color w:val="000000"/>
                <w:lang w:val="en-GB"/>
              </w:rPr>
              <w:t>3.6</w:t>
            </w:r>
          </w:p>
        </w:tc>
        <w:tc>
          <w:tcPr>
            <w:tcW w:w="811" w:type="dxa"/>
            <w:tcBorders>
              <w:top w:val="nil"/>
              <w:left w:val="nil"/>
              <w:bottom w:val="single" w:sz="4" w:space="0" w:color="auto"/>
              <w:right w:val="single" w:sz="4" w:space="0" w:color="auto"/>
            </w:tcBorders>
            <w:shd w:val="clear" w:color="auto" w:fill="auto"/>
            <w:noWrap/>
            <w:vAlign w:val="bottom"/>
            <w:hideMark/>
          </w:tcPr>
          <w:p w14:paraId="7B8B5B87"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4.7</w:t>
            </w:r>
          </w:p>
        </w:tc>
        <w:tc>
          <w:tcPr>
            <w:tcW w:w="0" w:type="auto"/>
            <w:tcBorders>
              <w:top w:val="nil"/>
              <w:left w:val="nil"/>
              <w:bottom w:val="single" w:sz="4" w:space="0" w:color="auto"/>
              <w:right w:val="single" w:sz="4" w:space="0" w:color="auto"/>
            </w:tcBorders>
            <w:shd w:val="clear" w:color="auto" w:fill="auto"/>
            <w:noWrap/>
            <w:vAlign w:val="bottom"/>
            <w:hideMark/>
          </w:tcPr>
          <w:p w14:paraId="2C435590" w14:textId="77777777" w:rsidR="00221CD1" w:rsidRPr="00C273FD" w:rsidRDefault="00221CD1" w:rsidP="00640722">
            <w:pPr>
              <w:tabs>
                <w:tab w:val="decimal" w:pos="319"/>
              </w:tabs>
              <w:rPr>
                <w:rFonts w:ascii="Arial" w:hAnsi="Arial" w:cs="Arial"/>
                <w:color w:val="000000"/>
                <w:lang w:val="en-GB"/>
              </w:rPr>
            </w:pPr>
            <w:r w:rsidRPr="00C273FD">
              <w:rPr>
                <w:rFonts w:ascii="Arial" w:hAnsi="Arial" w:cs="Arial"/>
                <w:color w:val="000000"/>
                <w:lang w:val="en-GB"/>
              </w:rPr>
              <w:t>4.8</w:t>
            </w:r>
          </w:p>
        </w:tc>
      </w:tr>
      <w:tr w:rsidR="00221CD1" w:rsidRPr="00C273FD" w14:paraId="6780B4FC" w14:textId="77777777" w:rsidTr="00640722">
        <w:trPr>
          <w:trHeight w:val="4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0099091"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Capital Goods</w:t>
            </w:r>
          </w:p>
        </w:tc>
        <w:tc>
          <w:tcPr>
            <w:tcW w:w="0" w:type="auto"/>
            <w:tcBorders>
              <w:top w:val="nil"/>
              <w:left w:val="nil"/>
              <w:bottom w:val="single" w:sz="4" w:space="0" w:color="auto"/>
              <w:right w:val="single" w:sz="4" w:space="0" w:color="auto"/>
            </w:tcBorders>
            <w:shd w:val="clear" w:color="auto" w:fill="auto"/>
            <w:noWrap/>
            <w:vAlign w:val="bottom"/>
            <w:hideMark/>
          </w:tcPr>
          <w:p w14:paraId="39FC093B"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8.8</w:t>
            </w:r>
          </w:p>
        </w:tc>
        <w:tc>
          <w:tcPr>
            <w:tcW w:w="0" w:type="auto"/>
            <w:tcBorders>
              <w:top w:val="nil"/>
              <w:left w:val="nil"/>
              <w:bottom w:val="single" w:sz="4" w:space="0" w:color="auto"/>
              <w:right w:val="single" w:sz="4" w:space="0" w:color="auto"/>
            </w:tcBorders>
            <w:shd w:val="clear" w:color="auto" w:fill="auto"/>
            <w:noWrap/>
            <w:vAlign w:val="bottom"/>
            <w:hideMark/>
          </w:tcPr>
          <w:p w14:paraId="14FAEE55" w14:textId="1F77E396" w:rsidR="00221CD1" w:rsidRPr="00C273FD" w:rsidRDefault="00B31DC6" w:rsidP="00640722">
            <w:pPr>
              <w:tabs>
                <w:tab w:val="decimal" w:pos="473"/>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6</w:t>
            </w:r>
            <w:r w:rsidR="00334374">
              <w:rPr>
                <w:rFonts w:ascii="Arial" w:hAnsi="Arial" w:cs="Arial"/>
                <w:color w:val="000000"/>
                <w:lang w:val="en-GB"/>
              </w:rPr>
              <w:t>.0</w:t>
            </w:r>
          </w:p>
        </w:tc>
        <w:tc>
          <w:tcPr>
            <w:tcW w:w="0" w:type="auto"/>
            <w:tcBorders>
              <w:top w:val="nil"/>
              <w:left w:val="nil"/>
              <w:bottom w:val="single" w:sz="4" w:space="0" w:color="auto"/>
              <w:right w:val="single" w:sz="4" w:space="0" w:color="auto"/>
            </w:tcBorders>
            <w:shd w:val="clear" w:color="auto" w:fill="auto"/>
            <w:noWrap/>
            <w:vAlign w:val="bottom"/>
            <w:hideMark/>
          </w:tcPr>
          <w:p w14:paraId="7995FACF" w14:textId="5F30581A" w:rsidR="00221CD1" w:rsidRPr="00C273FD" w:rsidRDefault="00B31DC6" w:rsidP="00640722">
            <w:pPr>
              <w:tabs>
                <w:tab w:val="decimal" w:pos="385"/>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3.6</w:t>
            </w:r>
          </w:p>
        </w:tc>
        <w:tc>
          <w:tcPr>
            <w:tcW w:w="0" w:type="auto"/>
            <w:tcBorders>
              <w:top w:val="nil"/>
              <w:left w:val="nil"/>
              <w:bottom w:val="single" w:sz="4" w:space="0" w:color="auto"/>
              <w:right w:val="single" w:sz="4" w:space="0" w:color="auto"/>
            </w:tcBorders>
            <w:shd w:val="clear" w:color="auto" w:fill="auto"/>
            <w:noWrap/>
            <w:vAlign w:val="bottom"/>
            <w:hideMark/>
          </w:tcPr>
          <w:p w14:paraId="09C3BF6E" w14:textId="77777777"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6.4</w:t>
            </w:r>
          </w:p>
        </w:tc>
        <w:tc>
          <w:tcPr>
            <w:tcW w:w="0" w:type="auto"/>
            <w:tcBorders>
              <w:top w:val="nil"/>
              <w:left w:val="nil"/>
              <w:bottom w:val="single" w:sz="4" w:space="0" w:color="auto"/>
              <w:right w:val="single" w:sz="4" w:space="0" w:color="auto"/>
            </w:tcBorders>
            <w:shd w:val="clear" w:color="auto" w:fill="auto"/>
            <w:noWrap/>
            <w:vAlign w:val="bottom"/>
            <w:hideMark/>
          </w:tcPr>
          <w:p w14:paraId="3593858D" w14:textId="5CB0BD0D" w:rsidR="00221CD1" w:rsidRPr="00C273FD" w:rsidRDefault="00B31DC6" w:rsidP="00640722">
            <w:pPr>
              <w:tabs>
                <w:tab w:val="decimal" w:pos="491"/>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2.9</w:t>
            </w:r>
          </w:p>
        </w:tc>
        <w:tc>
          <w:tcPr>
            <w:tcW w:w="811" w:type="dxa"/>
            <w:tcBorders>
              <w:top w:val="nil"/>
              <w:left w:val="nil"/>
              <w:bottom w:val="single" w:sz="4" w:space="0" w:color="auto"/>
              <w:right w:val="single" w:sz="4" w:space="0" w:color="auto"/>
            </w:tcBorders>
            <w:shd w:val="clear" w:color="auto" w:fill="auto"/>
            <w:noWrap/>
            <w:vAlign w:val="bottom"/>
            <w:hideMark/>
          </w:tcPr>
          <w:p w14:paraId="77773A9A" w14:textId="25B927DE"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2</w:t>
            </w:r>
            <w:r w:rsidR="00334374">
              <w:rPr>
                <w:rFonts w:ascii="Arial" w:hAnsi="Arial" w:cs="Arial"/>
                <w:color w:val="000000"/>
                <w:lang w:val="en-GB"/>
              </w:rPr>
              <w:t>.0</w:t>
            </w:r>
          </w:p>
        </w:tc>
        <w:tc>
          <w:tcPr>
            <w:tcW w:w="0" w:type="auto"/>
            <w:tcBorders>
              <w:top w:val="nil"/>
              <w:left w:val="nil"/>
              <w:bottom w:val="single" w:sz="4" w:space="0" w:color="auto"/>
              <w:right w:val="single" w:sz="4" w:space="0" w:color="auto"/>
            </w:tcBorders>
            <w:shd w:val="clear" w:color="auto" w:fill="auto"/>
            <w:noWrap/>
            <w:vAlign w:val="bottom"/>
            <w:hideMark/>
          </w:tcPr>
          <w:p w14:paraId="3410119E" w14:textId="4B3B3688" w:rsidR="00221CD1" w:rsidRPr="00C273FD" w:rsidRDefault="00B31DC6" w:rsidP="00640722">
            <w:pPr>
              <w:tabs>
                <w:tab w:val="decimal" w:pos="319"/>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18</w:t>
            </w:r>
            <w:r w:rsidR="00334374">
              <w:rPr>
                <w:rFonts w:ascii="Arial" w:hAnsi="Arial" w:cs="Arial"/>
                <w:color w:val="000000"/>
                <w:lang w:val="en-GB"/>
              </w:rPr>
              <w:t>.0</w:t>
            </w:r>
          </w:p>
        </w:tc>
      </w:tr>
      <w:tr w:rsidR="00221CD1" w:rsidRPr="00C273FD" w14:paraId="11906296" w14:textId="77777777" w:rsidTr="00640722">
        <w:trPr>
          <w:trHeight w:val="48"/>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FAC188A"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Intermediate Goods</w:t>
            </w:r>
          </w:p>
        </w:tc>
        <w:tc>
          <w:tcPr>
            <w:tcW w:w="0" w:type="auto"/>
            <w:tcBorders>
              <w:top w:val="nil"/>
              <w:left w:val="nil"/>
              <w:bottom w:val="single" w:sz="4" w:space="0" w:color="auto"/>
              <w:right w:val="single" w:sz="4" w:space="0" w:color="auto"/>
            </w:tcBorders>
            <w:shd w:val="clear" w:color="auto" w:fill="auto"/>
            <w:noWrap/>
            <w:vAlign w:val="bottom"/>
            <w:hideMark/>
          </w:tcPr>
          <w:p w14:paraId="18363CAE"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15.7</w:t>
            </w:r>
          </w:p>
        </w:tc>
        <w:tc>
          <w:tcPr>
            <w:tcW w:w="0" w:type="auto"/>
            <w:tcBorders>
              <w:top w:val="nil"/>
              <w:left w:val="nil"/>
              <w:bottom w:val="single" w:sz="4" w:space="0" w:color="auto"/>
              <w:right w:val="single" w:sz="4" w:space="0" w:color="auto"/>
            </w:tcBorders>
            <w:shd w:val="clear" w:color="auto" w:fill="auto"/>
            <w:noWrap/>
            <w:vAlign w:val="bottom"/>
            <w:hideMark/>
          </w:tcPr>
          <w:p w14:paraId="73C28AD1" w14:textId="77777777"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1.6</w:t>
            </w:r>
          </w:p>
        </w:tc>
        <w:tc>
          <w:tcPr>
            <w:tcW w:w="0" w:type="auto"/>
            <w:tcBorders>
              <w:top w:val="nil"/>
              <w:left w:val="nil"/>
              <w:bottom w:val="single" w:sz="4" w:space="0" w:color="auto"/>
              <w:right w:val="single" w:sz="4" w:space="0" w:color="auto"/>
            </w:tcBorders>
            <w:shd w:val="clear" w:color="auto" w:fill="auto"/>
            <w:noWrap/>
            <w:vAlign w:val="bottom"/>
            <w:hideMark/>
          </w:tcPr>
          <w:p w14:paraId="09546931" w14:textId="77777777" w:rsidR="00221CD1" w:rsidRPr="00C273FD" w:rsidRDefault="00221CD1" w:rsidP="00640722">
            <w:pPr>
              <w:tabs>
                <w:tab w:val="decimal" w:pos="385"/>
              </w:tabs>
              <w:rPr>
                <w:rFonts w:ascii="Arial" w:hAnsi="Arial" w:cs="Arial"/>
                <w:color w:val="000000"/>
                <w:lang w:val="en-GB"/>
              </w:rPr>
            </w:pPr>
            <w:r w:rsidRPr="00C273FD">
              <w:rPr>
                <w:rFonts w:ascii="Arial" w:hAnsi="Arial" w:cs="Arial"/>
                <w:color w:val="000000"/>
                <w:lang w:val="en-GB"/>
              </w:rPr>
              <w:t>3.1</w:t>
            </w:r>
          </w:p>
        </w:tc>
        <w:tc>
          <w:tcPr>
            <w:tcW w:w="0" w:type="auto"/>
            <w:tcBorders>
              <w:top w:val="nil"/>
              <w:left w:val="nil"/>
              <w:bottom w:val="single" w:sz="4" w:space="0" w:color="auto"/>
              <w:right w:val="single" w:sz="4" w:space="0" w:color="auto"/>
            </w:tcBorders>
            <w:shd w:val="clear" w:color="auto" w:fill="auto"/>
            <w:noWrap/>
            <w:vAlign w:val="bottom"/>
            <w:hideMark/>
          </w:tcPr>
          <w:p w14:paraId="06543A9F" w14:textId="77777777"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1.7</w:t>
            </w:r>
          </w:p>
        </w:tc>
        <w:tc>
          <w:tcPr>
            <w:tcW w:w="0" w:type="auto"/>
            <w:tcBorders>
              <w:top w:val="nil"/>
              <w:left w:val="nil"/>
              <w:bottom w:val="single" w:sz="4" w:space="0" w:color="auto"/>
              <w:right w:val="single" w:sz="4" w:space="0" w:color="auto"/>
            </w:tcBorders>
            <w:shd w:val="clear" w:color="auto" w:fill="auto"/>
            <w:noWrap/>
            <w:vAlign w:val="bottom"/>
            <w:hideMark/>
          </w:tcPr>
          <w:p w14:paraId="6859939E" w14:textId="77777777" w:rsidR="00221CD1" w:rsidRPr="00C273FD" w:rsidRDefault="00221CD1" w:rsidP="00640722">
            <w:pPr>
              <w:tabs>
                <w:tab w:val="decimal" w:pos="491"/>
              </w:tabs>
              <w:rPr>
                <w:rFonts w:ascii="Arial" w:hAnsi="Arial" w:cs="Arial"/>
                <w:color w:val="000000"/>
                <w:lang w:val="en-GB"/>
              </w:rPr>
            </w:pPr>
            <w:r w:rsidRPr="00C273FD">
              <w:rPr>
                <w:rFonts w:ascii="Arial" w:hAnsi="Arial" w:cs="Arial"/>
                <w:color w:val="000000"/>
                <w:lang w:val="en-GB"/>
              </w:rPr>
              <w:t>2.5</w:t>
            </w:r>
          </w:p>
        </w:tc>
        <w:tc>
          <w:tcPr>
            <w:tcW w:w="811" w:type="dxa"/>
            <w:tcBorders>
              <w:top w:val="nil"/>
              <w:left w:val="nil"/>
              <w:bottom w:val="single" w:sz="4" w:space="0" w:color="auto"/>
              <w:right w:val="single" w:sz="4" w:space="0" w:color="auto"/>
            </w:tcBorders>
            <w:shd w:val="clear" w:color="auto" w:fill="auto"/>
            <w:noWrap/>
            <w:vAlign w:val="bottom"/>
            <w:hideMark/>
          </w:tcPr>
          <w:p w14:paraId="4F80F488"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1.6</w:t>
            </w:r>
          </w:p>
        </w:tc>
        <w:tc>
          <w:tcPr>
            <w:tcW w:w="0" w:type="auto"/>
            <w:tcBorders>
              <w:top w:val="nil"/>
              <w:left w:val="nil"/>
              <w:bottom w:val="single" w:sz="4" w:space="0" w:color="auto"/>
              <w:right w:val="single" w:sz="4" w:space="0" w:color="auto"/>
            </w:tcBorders>
            <w:shd w:val="clear" w:color="auto" w:fill="auto"/>
            <w:noWrap/>
            <w:vAlign w:val="bottom"/>
            <w:hideMark/>
          </w:tcPr>
          <w:p w14:paraId="2131E0F9" w14:textId="77777777" w:rsidR="00221CD1" w:rsidRPr="00C273FD" w:rsidRDefault="00221CD1" w:rsidP="00640722">
            <w:pPr>
              <w:tabs>
                <w:tab w:val="decimal" w:pos="319"/>
              </w:tabs>
              <w:rPr>
                <w:rFonts w:ascii="Arial" w:hAnsi="Arial" w:cs="Arial"/>
                <w:color w:val="000000"/>
                <w:lang w:val="en-GB"/>
              </w:rPr>
            </w:pPr>
            <w:r w:rsidRPr="00C273FD">
              <w:rPr>
                <w:rFonts w:ascii="Arial" w:hAnsi="Arial" w:cs="Arial"/>
                <w:color w:val="000000"/>
                <w:lang w:val="en-GB"/>
              </w:rPr>
              <w:t>4.1</w:t>
            </w:r>
          </w:p>
        </w:tc>
      </w:tr>
      <w:tr w:rsidR="00221CD1" w:rsidRPr="00C273FD" w14:paraId="6B66B82C" w14:textId="77777777" w:rsidTr="00640722">
        <w:trPr>
          <w:trHeight w:val="4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B22DBD2"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Consumer Goods</w:t>
            </w:r>
          </w:p>
        </w:tc>
        <w:tc>
          <w:tcPr>
            <w:tcW w:w="0" w:type="auto"/>
            <w:tcBorders>
              <w:top w:val="nil"/>
              <w:left w:val="nil"/>
              <w:bottom w:val="single" w:sz="4" w:space="0" w:color="auto"/>
              <w:right w:val="single" w:sz="4" w:space="0" w:color="auto"/>
            </w:tcBorders>
            <w:shd w:val="clear" w:color="auto" w:fill="auto"/>
            <w:noWrap/>
            <w:vAlign w:val="bottom"/>
            <w:hideMark/>
          </w:tcPr>
          <w:p w14:paraId="3358047F"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29.8</w:t>
            </w:r>
          </w:p>
        </w:tc>
        <w:tc>
          <w:tcPr>
            <w:tcW w:w="0" w:type="auto"/>
            <w:tcBorders>
              <w:top w:val="nil"/>
              <w:left w:val="nil"/>
              <w:bottom w:val="single" w:sz="4" w:space="0" w:color="auto"/>
              <w:right w:val="single" w:sz="4" w:space="0" w:color="auto"/>
            </w:tcBorders>
            <w:shd w:val="clear" w:color="auto" w:fill="auto"/>
            <w:noWrap/>
            <w:vAlign w:val="bottom"/>
            <w:hideMark/>
          </w:tcPr>
          <w:p w14:paraId="52B143B1" w14:textId="77777777"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2.4</w:t>
            </w:r>
          </w:p>
        </w:tc>
        <w:tc>
          <w:tcPr>
            <w:tcW w:w="0" w:type="auto"/>
            <w:tcBorders>
              <w:top w:val="nil"/>
              <w:left w:val="nil"/>
              <w:bottom w:val="single" w:sz="4" w:space="0" w:color="auto"/>
              <w:right w:val="single" w:sz="4" w:space="0" w:color="auto"/>
            </w:tcBorders>
            <w:shd w:val="clear" w:color="auto" w:fill="auto"/>
            <w:noWrap/>
            <w:vAlign w:val="bottom"/>
            <w:hideMark/>
          </w:tcPr>
          <w:p w14:paraId="757EC90B" w14:textId="6B8A33C5" w:rsidR="00221CD1" w:rsidRPr="00C273FD" w:rsidRDefault="00B31DC6" w:rsidP="00640722">
            <w:pPr>
              <w:tabs>
                <w:tab w:val="decimal" w:pos="385"/>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2.8</w:t>
            </w:r>
          </w:p>
        </w:tc>
        <w:tc>
          <w:tcPr>
            <w:tcW w:w="0" w:type="auto"/>
            <w:tcBorders>
              <w:top w:val="nil"/>
              <w:left w:val="nil"/>
              <w:bottom w:val="single" w:sz="4" w:space="0" w:color="auto"/>
              <w:right w:val="single" w:sz="4" w:space="0" w:color="auto"/>
            </w:tcBorders>
            <w:shd w:val="clear" w:color="auto" w:fill="auto"/>
            <w:noWrap/>
            <w:vAlign w:val="bottom"/>
            <w:hideMark/>
          </w:tcPr>
          <w:p w14:paraId="1BF3B2D8" w14:textId="2FF0F7A5" w:rsidR="00221CD1" w:rsidRPr="00C273FD" w:rsidRDefault="00B31DC6" w:rsidP="00640722">
            <w:pPr>
              <w:tabs>
                <w:tab w:val="decimal" w:pos="438"/>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3.4</w:t>
            </w:r>
          </w:p>
        </w:tc>
        <w:tc>
          <w:tcPr>
            <w:tcW w:w="0" w:type="auto"/>
            <w:tcBorders>
              <w:top w:val="nil"/>
              <w:left w:val="nil"/>
              <w:bottom w:val="single" w:sz="4" w:space="0" w:color="auto"/>
              <w:right w:val="single" w:sz="4" w:space="0" w:color="auto"/>
            </w:tcBorders>
            <w:shd w:val="clear" w:color="auto" w:fill="auto"/>
            <w:noWrap/>
            <w:vAlign w:val="bottom"/>
            <w:hideMark/>
          </w:tcPr>
          <w:p w14:paraId="6F20C815" w14:textId="07D23147" w:rsidR="00221CD1" w:rsidRPr="00C273FD" w:rsidRDefault="00221CD1" w:rsidP="00640722">
            <w:pPr>
              <w:tabs>
                <w:tab w:val="decimal" w:pos="491"/>
              </w:tabs>
              <w:rPr>
                <w:rFonts w:ascii="Arial" w:hAnsi="Arial" w:cs="Arial"/>
                <w:color w:val="000000"/>
                <w:lang w:val="en-GB"/>
              </w:rPr>
            </w:pPr>
            <w:r w:rsidRPr="00C273FD">
              <w:rPr>
                <w:rFonts w:ascii="Arial" w:hAnsi="Arial" w:cs="Arial"/>
                <w:color w:val="000000"/>
                <w:lang w:val="en-GB"/>
              </w:rPr>
              <w:t>3</w:t>
            </w:r>
            <w:r w:rsidR="00334374">
              <w:rPr>
                <w:rFonts w:ascii="Arial" w:hAnsi="Arial" w:cs="Arial"/>
                <w:color w:val="000000"/>
                <w:lang w:val="en-GB"/>
              </w:rPr>
              <w:t>.0</w:t>
            </w:r>
          </w:p>
        </w:tc>
        <w:tc>
          <w:tcPr>
            <w:tcW w:w="811" w:type="dxa"/>
            <w:tcBorders>
              <w:top w:val="nil"/>
              <w:left w:val="nil"/>
              <w:bottom w:val="single" w:sz="4" w:space="0" w:color="auto"/>
              <w:right w:val="single" w:sz="4" w:space="0" w:color="auto"/>
            </w:tcBorders>
            <w:shd w:val="clear" w:color="auto" w:fill="auto"/>
            <w:noWrap/>
            <w:vAlign w:val="bottom"/>
            <w:hideMark/>
          </w:tcPr>
          <w:p w14:paraId="57A8AFA2"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2.5</w:t>
            </w:r>
          </w:p>
        </w:tc>
        <w:tc>
          <w:tcPr>
            <w:tcW w:w="0" w:type="auto"/>
            <w:tcBorders>
              <w:top w:val="nil"/>
              <w:left w:val="nil"/>
              <w:bottom w:val="single" w:sz="4" w:space="0" w:color="auto"/>
              <w:right w:val="single" w:sz="4" w:space="0" w:color="auto"/>
            </w:tcBorders>
            <w:shd w:val="clear" w:color="auto" w:fill="auto"/>
            <w:noWrap/>
            <w:vAlign w:val="bottom"/>
            <w:hideMark/>
          </w:tcPr>
          <w:p w14:paraId="7D66CA2A" w14:textId="77777777" w:rsidR="00221CD1" w:rsidRPr="00C273FD" w:rsidRDefault="00221CD1" w:rsidP="00640722">
            <w:pPr>
              <w:tabs>
                <w:tab w:val="decimal" w:pos="319"/>
              </w:tabs>
              <w:jc w:val="center"/>
              <w:rPr>
                <w:rFonts w:ascii="Arial" w:hAnsi="Arial" w:cs="Arial"/>
                <w:color w:val="000000"/>
                <w:lang w:val="en-GB"/>
              </w:rPr>
            </w:pPr>
            <w:r w:rsidRPr="00C273FD">
              <w:rPr>
                <w:rFonts w:ascii="Arial" w:hAnsi="Arial" w:cs="Arial"/>
                <w:color w:val="000000"/>
                <w:lang w:val="en-GB"/>
              </w:rPr>
              <w:t>0.6</w:t>
            </w:r>
          </w:p>
        </w:tc>
      </w:tr>
      <w:tr w:rsidR="00221CD1" w:rsidRPr="00C273FD" w14:paraId="6C61C7CB" w14:textId="77777777" w:rsidTr="00640722">
        <w:trPr>
          <w:trHeight w:val="4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EB46732" w14:textId="77777777" w:rsidR="00221CD1" w:rsidRPr="00C273FD" w:rsidRDefault="00221CD1" w:rsidP="00AB18DE">
            <w:pPr>
              <w:rPr>
                <w:rFonts w:ascii="Arial" w:hAnsi="Arial" w:cs="Arial"/>
                <w:color w:val="000000"/>
                <w:lang w:val="en-GB"/>
              </w:rPr>
            </w:pPr>
            <w:r w:rsidRPr="00C273FD">
              <w:rPr>
                <w:rFonts w:ascii="Arial" w:hAnsi="Arial" w:cs="Arial"/>
                <w:color w:val="000000"/>
                <w:lang w:val="en-GB"/>
              </w:rPr>
              <w:t>Consumer Durables</w:t>
            </w:r>
          </w:p>
        </w:tc>
        <w:tc>
          <w:tcPr>
            <w:tcW w:w="0" w:type="auto"/>
            <w:tcBorders>
              <w:top w:val="nil"/>
              <w:left w:val="nil"/>
              <w:bottom w:val="single" w:sz="4" w:space="0" w:color="auto"/>
              <w:right w:val="single" w:sz="4" w:space="0" w:color="auto"/>
            </w:tcBorders>
            <w:shd w:val="clear" w:color="auto" w:fill="auto"/>
            <w:noWrap/>
            <w:vAlign w:val="bottom"/>
            <w:hideMark/>
          </w:tcPr>
          <w:p w14:paraId="49E7C2B4"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8.5</w:t>
            </w:r>
          </w:p>
        </w:tc>
        <w:tc>
          <w:tcPr>
            <w:tcW w:w="0" w:type="auto"/>
            <w:tcBorders>
              <w:top w:val="nil"/>
              <w:left w:val="nil"/>
              <w:bottom w:val="single" w:sz="4" w:space="0" w:color="auto"/>
              <w:right w:val="single" w:sz="4" w:space="0" w:color="auto"/>
            </w:tcBorders>
            <w:shd w:val="clear" w:color="auto" w:fill="auto"/>
            <w:noWrap/>
            <w:vAlign w:val="bottom"/>
            <w:hideMark/>
          </w:tcPr>
          <w:p w14:paraId="5B254F8D" w14:textId="5562BB72"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2</w:t>
            </w:r>
            <w:r w:rsidR="00334374">
              <w:rPr>
                <w:rFonts w:ascii="Arial" w:hAnsi="Arial" w:cs="Arial"/>
                <w:color w:val="000000"/>
                <w:lang w:val="en-GB"/>
              </w:rPr>
              <w:t>.0</w:t>
            </w:r>
          </w:p>
        </w:tc>
        <w:tc>
          <w:tcPr>
            <w:tcW w:w="0" w:type="auto"/>
            <w:tcBorders>
              <w:top w:val="nil"/>
              <w:left w:val="nil"/>
              <w:bottom w:val="single" w:sz="4" w:space="0" w:color="auto"/>
              <w:right w:val="single" w:sz="4" w:space="0" w:color="auto"/>
            </w:tcBorders>
            <w:shd w:val="clear" w:color="auto" w:fill="auto"/>
            <w:noWrap/>
            <w:vAlign w:val="bottom"/>
            <w:hideMark/>
          </w:tcPr>
          <w:p w14:paraId="4169BE19" w14:textId="4A592EB6" w:rsidR="00221CD1" w:rsidRPr="00C273FD" w:rsidRDefault="00B31DC6" w:rsidP="00640722">
            <w:pPr>
              <w:tabs>
                <w:tab w:val="decimal" w:pos="385"/>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12.2</w:t>
            </w:r>
          </w:p>
        </w:tc>
        <w:tc>
          <w:tcPr>
            <w:tcW w:w="0" w:type="auto"/>
            <w:tcBorders>
              <w:top w:val="nil"/>
              <w:left w:val="nil"/>
              <w:bottom w:val="single" w:sz="4" w:space="0" w:color="auto"/>
              <w:right w:val="single" w:sz="4" w:space="0" w:color="auto"/>
            </w:tcBorders>
            <w:shd w:val="clear" w:color="auto" w:fill="auto"/>
            <w:noWrap/>
            <w:vAlign w:val="bottom"/>
            <w:hideMark/>
          </w:tcPr>
          <w:p w14:paraId="10AE91D0" w14:textId="5A61D7AE" w:rsidR="00221CD1" w:rsidRPr="00C273FD" w:rsidRDefault="00B31DC6" w:rsidP="00640722">
            <w:pPr>
              <w:tabs>
                <w:tab w:val="decimal" w:pos="438"/>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12.6</w:t>
            </w:r>
          </w:p>
        </w:tc>
        <w:tc>
          <w:tcPr>
            <w:tcW w:w="0" w:type="auto"/>
            <w:tcBorders>
              <w:top w:val="nil"/>
              <w:left w:val="nil"/>
              <w:bottom w:val="single" w:sz="4" w:space="0" w:color="auto"/>
              <w:right w:val="single" w:sz="4" w:space="0" w:color="auto"/>
            </w:tcBorders>
            <w:shd w:val="clear" w:color="auto" w:fill="auto"/>
            <w:noWrap/>
            <w:vAlign w:val="bottom"/>
            <w:hideMark/>
          </w:tcPr>
          <w:p w14:paraId="141C8C0B" w14:textId="77777777" w:rsidR="00221CD1" w:rsidRPr="00C273FD" w:rsidRDefault="00221CD1" w:rsidP="00640722">
            <w:pPr>
              <w:tabs>
                <w:tab w:val="decimal" w:pos="491"/>
              </w:tabs>
              <w:jc w:val="center"/>
              <w:rPr>
                <w:rFonts w:ascii="Arial" w:hAnsi="Arial" w:cs="Arial"/>
                <w:color w:val="000000"/>
                <w:lang w:val="en-GB"/>
              </w:rPr>
            </w:pPr>
            <w:r w:rsidRPr="00C273FD">
              <w:rPr>
                <w:rFonts w:ascii="Arial" w:hAnsi="Arial" w:cs="Arial"/>
                <w:color w:val="000000"/>
                <w:lang w:val="en-GB"/>
              </w:rPr>
              <w:t>11.3</w:t>
            </w:r>
          </w:p>
        </w:tc>
        <w:tc>
          <w:tcPr>
            <w:tcW w:w="811" w:type="dxa"/>
            <w:tcBorders>
              <w:top w:val="nil"/>
              <w:left w:val="nil"/>
              <w:bottom w:val="single" w:sz="4" w:space="0" w:color="auto"/>
              <w:right w:val="single" w:sz="4" w:space="0" w:color="auto"/>
            </w:tcBorders>
            <w:shd w:val="clear" w:color="auto" w:fill="auto"/>
            <w:noWrap/>
            <w:vAlign w:val="bottom"/>
            <w:hideMark/>
          </w:tcPr>
          <w:p w14:paraId="26352D4E"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3.7</w:t>
            </w:r>
          </w:p>
        </w:tc>
        <w:tc>
          <w:tcPr>
            <w:tcW w:w="0" w:type="auto"/>
            <w:tcBorders>
              <w:top w:val="nil"/>
              <w:left w:val="nil"/>
              <w:bottom w:val="single" w:sz="4" w:space="0" w:color="auto"/>
              <w:right w:val="single" w:sz="4" w:space="0" w:color="auto"/>
            </w:tcBorders>
            <w:shd w:val="clear" w:color="auto" w:fill="auto"/>
            <w:noWrap/>
            <w:vAlign w:val="bottom"/>
            <w:hideMark/>
          </w:tcPr>
          <w:p w14:paraId="6117E2B9" w14:textId="77777777" w:rsidR="00221CD1" w:rsidRPr="00C273FD" w:rsidRDefault="00221CD1" w:rsidP="00640722">
            <w:pPr>
              <w:tabs>
                <w:tab w:val="decimal" w:pos="319"/>
              </w:tabs>
              <w:rPr>
                <w:rFonts w:ascii="Arial" w:hAnsi="Arial" w:cs="Arial"/>
                <w:color w:val="000000"/>
                <w:lang w:val="en-GB"/>
              </w:rPr>
            </w:pPr>
            <w:r w:rsidRPr="00C273FD">
              <w:rPr>
                <w:rFonts w:ascii="Arial" w:hAnsi="Arial" w:cs="Arial"/>
                <w:color w:val="000000"/>
                <w:lang w:val="en-GB"/>
              </w:rPr>
              <w:t>7.8</w:t>
            </w:r>
          </w:p>
        </w:tc>
      </w:tr>
      <w:tr w:rsidR="00221CD1" w:rsidRPr="00C273FD" w14:paraId="4673528C" w14:textId="77777777" w:rsidTr="00640722">
        <w:trPr>
          <w:trHeight w:val="4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E3AA8DC" w14:textId="0D1D93B2" w:rsidR="00221CD1" w:rsidRPr="00C273FD" w:rsidRDefault="00221CD1" w:rsidP="00AB18DE">
            <w:pPr>
              <w:rPr>
                <w:rFonts w:ascii="Arial" w:hAnsi="Arial" w:cs="Arial"/>
                <w:color w:val="000000"/>
                <w:lang w:val="en-GB"/>
              </w:rPr>
            </w:pPr>
            <w:r w:rsidRPr="00C273FD">
              <w:rPr>
                <w:rFonts w:ascii="Arial" w:hAnsi="Arial" w:cs="Arial"/>
                <w:color w:val="000000"/>
                <w:lang w:val="en-GB"/>
              </w:rPr>
              <w:t>Consumer Non</w:t>
            </w:r>
            <w:r w:rsidR="006B6FF7">
              <w:rPr>
                <w:rFonts w:ascii="Arial" w:hAnsi="Arial" w:cs="Arial"/>
                <w:color w:val="000000"/>
                <w:lang w:val="en-GB"/>
              </w:rPr>
              <w:t>-</w:t>
            </w:r>
            <w:r w:rsidRPr="00C273FD">
              <w:rPr>
                <w:rFonts w:ascii="Arial" w:hAnsi="Arial" w:cs="Arial"/>
                <w:color w:val="000000"/>
                <w:lang w:val="en-GB"/>
              </w:rPr>
              <w:t>durables</w:t>
            </w:r>
          </w:p>
        </w:tc>
        <w:tc>
          <w:tcPr>
            <w:tcW w:w="0" w:type="auto"/>
            <w:tcBorders>
              <w:top w:val="nil"/>
              <w:left w:val="nil"/>
              <w:bottom w:val="single" w:sz="4" w:space="0" w:color="auto"/>
              <w:right w:val="single" w:sz="4" w:space="0" w:color="auto"/>
            </w:tcBorders>
            <w:shd w:val="clear" w:color="auto" w:fill="auto"/>
            <w:noWrap/>
            <w:vAlign w:val="bottom"/>
            <w:hideMark/>
          </w:tcPr>
          <w:p w14:paraId="2B6CF257" w14:textId="77777777" w:rsidR="00221CD1" w:rsidRPr="00C273FD" w:rsidRDefault="00221CD1" w:rsidP="00640722">
            <w:pPr>
              <w:tabs>
                <w:tab w:val="decimal" w:pos="755"/>
              </w:tabs>
              <w:rPr>
                <w:rFonts w:ascii="Arial" w:hAnsi="Arial" w:cs="Arial"/>
                <w:color w:val="000000"/>
                <w:lang w:val="en-GB"/>
              </w:rPr>
            </w:pPr>
            <w:r w:rsidRPr="00C273FD">
              <w:rPr>
                <w:rFonts w:ascii="Arial" w:hAnsi="Arial" w:cs="Arial"/>
                <w:color w:val="000000"/>
                <w:lang w:val="en-GB"/>
              </w:rPr>
              <w:t>21.3</w:t>
            </w:r>
          </w:p>
        </w:tc>
        <w:tc>
          <w:tcPr>
            <w:tcW w:w="0" w:type="auto"/>
            <w:tcBorders>
              <w:top w:val="nil"/>
              <w:left w:val="nil"/>
              <w:bottom w:val="single" w:sz="4" w:space="0" w:color="auto"/>
              <w:right w:val="single" w:sz="4" w:space="0" w:color="auto"/>
            </w:tcBorders>
            <w:shd w:val="clear" w:color="auto" w:fill="auto"/>
            <w:noWrap/>
            <w:vAlign w:val="bottom"/>
            <w:hideMark/>
          </w:tcPr>
          <w:p w14:paraId="0D99B52C" w14:textId="77777777" w:rsidR="00221CD1" w:rsidRPr="00C273FD" w:rsidRDefault="00221CD1" w:rsidP="00640722">
            <w:pPr>
              <w:tabs>
                <w:tab w:val="decimal" w:pos="473"/>
              </w:tabs>
              <w:rPr>
                <w:rFonts w:ascii="Arial" w:hAnsi="Arial" w:cs="Arial"/>
                <w:color w:val="000000"/>
                <w:lang w:val="en-GB"/>
              </w:rPr>
            </w:pPr>
            <w:r w:rsidRPr="00C273FD">
              <w:rPr>
                <w:rFonts w:ascii="Arial" w:hAnsi="Arial" w:cs="Arial"/>
                <w:color w:val="000000"/>
                <w:lang w:val="en-GB"/>
              </w:rPr>
              <w:t>2.8</w:t>
            </w:r>
          </w:p>
        </w:tc>
        <w:tc>
          <w:tcPr>
            <w:tcW w:w="0" w:type="auto"/>
            <w:tcBorders>
              <w:top w:val="nil"/>
              <w:left w:val="nil"/>
              <w:bottom w:val="single" w:sz="4" w:space="0" w:color="auto"/>
              <w:right w:val="single" w:sz="4" w:space="0" w:color="auto"/>
            </w:tcBorders>
            <w:shd w:val="clear" w:color="auto" w:fill="auto"/>
            <w:noWrap/>
            <w:vAlign w:val="bottom"/>
            <w:hideMark/>
          </w:tcPr>
          <w:p w14:paraId="5CC809FC" w14:textId="77777777" w:rsidR="00221CD1" w:rsidRPr="00C273FD" w:rsidRDefault="00221CD1" w:rsidP="00640722">
            <w:pPr>
              <w:tabs>
                <w:tab w:val="decimal" w:pos="385"/>
              </w:tabs>
              <w:rPr>
                <w:rFonts w:ascii="Arial" w:hAnsi="Arial" w:cs="Arial"/>
                <w:color w:val="000000"/>
                <w:lang w:val="en-GB"/>
              </w:rPr>
            </w:pPr>
            <w:r w:rsidRPr="00C273FD">
              <w:rPr>
                <w:rFonts w:ascii="Arial" w:hAnsi="Arial" w:cs="Arial"/>
                <w:color w:val="000000"/>
                <w:lang w:val="en-GB"/>
              </w:rPr>
              <w:t>4.8</w:t>
            </w:r>
          </w:p>
        </w:tc>
        <w:tc>
          <w:tcPr>
            <w:tcW w:w="0" w:type="auto"/>
            <w:tcBorders>
              <w:top w:val="nil"/>
              <w:left w:val="nil"/>
              <w:bottom w:val="single" w:sz="4" w:space="0" w:color="auto"/>
              <w:right w:val="single" w:sz="4" w:space="0" w:color="auto"/>
            </w:tcBorders>
            <w:shd w:val="clear" w:color="auto" w:fill="auto"/>
            <w:noWrap/>
            <w:vAlign w:val="bottom"/>
            <w:hideMark/>
          </w:tcPr>
          <w:p w14:paraId="013400D0" w14:textId="77777777" w:rsidR="00221CD1" w:rsidRPr="00C273FD" w:rsidRDefault="00221CD1" w:rsidP="00640722">
            <w:pPr>
              <w:tabs>
                <w:tab w:val="decimal" w:pos="438"/>
              </w:tabs>
              <w:rPr>
                <w:rFonts w:ascii="Arial" w:hAnsi="Arial" w:cs="Arial"/>
                <w:color w:val="000000"/>
                <w:lang w:val="en-GB"/>
              </w:rPr>
            </w:pPr>
            <w:r w:rsidRPr="00C273FD">
              <w:rPr>
                <w:rFonts w:ascii="Arial" w:hAnsi="Arial" w:cs="Arial"/>
                <w:color w:val="000000"/>
                <w:lang w:val="en-GB"/>
              </w:rPr>
              <w:t>2.8</w:t>
            </w:r>
          </w:p>
        </w:tc>
        <w:tc>
          <w:tcPr>
            <w:tcW w:w="0" w:type="auto"/>
            <w:tcBorders>
              <w:top w:val="nil"/>
              <w:left w:val="nil"/>
              <w:bottom w:val="single" w:sz="4" w:space="0" w:color="auto"/>
              <w:right w:val="single" w:sz="4" w:space="0" w:color="auto"/>
            </w:tcBorders>
            <w:shd w:val="clear" w:color="auto" w:fill="auto"/>
            <w:noWrap/>
            <w:vAlign w:val="bottom"/>
            <w:hideMark/>
          </w:tcPr>
          <w:p w14:paraId="430FCD21" w14:textId="5AB9EEB9" w:rsidR="00221CD1" w:rsidRPr="00C273FD" w:rsidRDefault="00B31DC6" w:rsidP="00640722">
            <w:pPr>
              <w:tabs>
                <w:tab w:val="decimal" w:pos="491"/>
              </w:tabs>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1.8</w:t>
            </w:r>
          </w:p>
        </w:tc>
        <w:tc>
          <w:tcPr>
            <w:tcW w:w="811" w:type="dxa"/>
            <w:tcBorders>
              <w:top w:val="nil"/>
              <w:left w:val="nil"/>
              <w:bottom w:val="single" w:sz="4" w:space="0" w:color="auto"/>
              <w:right w:val="single" w:sz="4" w:space="0" w:color="auto"/>
            </w:tcBorders>
            <w:shd w:val="clear" w:color="auto" w:fill="auto"/>
            <w:noWrap/>
            <w:vAlign w:val="bottom"/>
            <w:hideMark/>
          </w:tcPr>
          <w:p w14:paraId="503D5337" w14:textId="77777777" w:rsidR="00221CD1" w:rsidRPr="00C273FD" w:rsidRDefault="00221CD1" w:rsidP="00640722">
            <w:pPr>
              <w:tabs>
                <w:tab w:val="decimal" w:pos="261"/>
              </w:tabs>
              <w:rPr>
                <w:rFonts w:ascii="Arial" w:hAnsi="Arial" w:cs="Arial"/>
                <w:color w:val="000000"/>
                <w:lang w:val="en-GB"/>
              </w:rPr>
            </w:pPr>
            <w:r w:rsidRPr="00C273FD">
              <w:rPr>
                <w:rFonts w:ascii="Arial" w:hAnsi="Arial" w:cs="Arial"/>
                <w:color w:val="000000"/>
                <w:lang w:val="en-GB"/>
              </w:rPr>
              <w:t>1.7</w:t>
            </w:r>
          </w:p>
        </w:tc>
        <w:tc>
          <w:tcPr>
            <w:tcW w:w="0" w:type="auto"/>
            <w:tcBorders>
              <w:top w:val="nil"/>
              <w:left w:val="nil"/>
              <w:bottom w:val="single" w:sz="4" w:space="0" w:color="auto"/>
              <w:right w:val="single" w:sz="4" w:space="0" w:color="auto"/>
            </w:tcBorders>
            <w:shd w:val="clear" w:color="auto" w:fill="auto"/>
            <w:noWrap/>
            <w:vAlign w:val="bottom"/>
            <w:hideMark/>
          </w:tcPr>
          <w:p w14:paraId="5BAE3D52" w14:textId="2A08060D" w:rsidR="00221CD1" w:rsidRPr="00C273FD" w:rsidRDefault="00B31DC6" w:rsidP="00640722">
            <w:pPr>
              <w:tabs>
                <w:tab w:val="decimal" w:pos="319"/>
              </w:tabs>
              <w:jc w:val="right"/>
              <w:rPr>
                <w:rFonts w:ascii="Arial" w:hAnsi="Arial" w:cs="Arial"/>
                <w:color w:val="000000"/>
                <w:lang w:val="en-GB"/>
              </w:rPr>
            </w:pPr>
            <w:r>
              <w:rPr>
                <w:rFonts w:ascii="Arial" w:hAnsi="Arial" w:cs="Arial"/>
                <w:color w:val="000000"/>
                <w:lang w:val="en-GB"/>
              </w:rPr>
              <w:t>–</w:t>
            </w:r>
            <w:r w:rsidR="00221CD1" w:rsidRPr="00C273FD">
              <w:rPr>
                <w:rFonts w:ascii="Arial" w:hAnsi="Arial" w:cs="Arial"/>
                <w:color w:val="000000"/>
                <w:lang w:val="en-GB"/>
              </w:rPr>
              <w:t>4.1</w:t>
            </w:r>
          </w:p>
        </w:tc>
      </w:tr>
    </w:tbl>
    <w:p w14:paraId="5132A3F1" w14:textId="77777777" w:rsidR="00221CD1" w:rsidRPr="00C273FD" w:rsidRDefault="00221CD1" w:rsidP="005F78E0">
      <w:pPr>
        <w:pStyle w:val="Footnote"/>
        <w:rPr>
          <w:lang w:val="en-GB"/>
        </w:rPr>
      </w:pPr>
    </w:p>
    <w:p w14:paraId="2CB2E75C" w14:textId="00D7F736" w:rsidR="001A04E9" w:rsidRDefault="001A04E9" w:rsidP="005F78E0">
      <w:pPr>
        <w:pStyle w:val="Footnote"/>
        <w:rPr>
          <w:lang w:val="en-GB"/>
        </w:rPr>
      </w:pPr>
      <w:r>
        <w:rPr>
          <w:lang w:val="en-GB"/>
        </w:rPr>
        <w:t>Note: IIP = Index of Industrial Production</w:t>
      </w:r>
      <w:r w:rsidR="006B6FF7">
        <w:rPr>
          <w:lang w:val="en-GB"/>
        </w:rPr>
        <w:t>.</w:t>
      </w:r>
    </w:p>
    <w:p w14:paraId="1EC841A6" w14:textId="3105DD2E" w:rsidR="00221CD1" w:rsidRPr="00C273FD" w:rsidRDefault="00221CD1" w:rsidP="005F78E0">
      <w:pPr>
        <w:pStyle w:val="Footnote"/>
        <w:rPr>
          <w:lang w:val="en-GB"/>
        </w:rPr>
      </w:pPr>
      <w:r w:rsidRPr="00C273FD">
        <w:rPr>
          <w:lang w:val="en-GB"/>
        </w:rPr>
        <w:t>Source: R</w:t>
      </w:r>
      <w:r w:rsidR="005A3088">
        <w:rPr>
          <w:lang w:val="en-GB"/>
        </w:rPr>
        <w:t xml:space="preserve">eserve </w:t>
      </w:r>
      <w:r w:rsidRPr="00C273FD">
        <w:rPr>
          <w:lang w:val="en-GB"/>
        </w:rPr>
        <w:t>B</w:t>
      </w:r>
      <w:r w:rsidR="005A3088">
        <w:rPr>
          <w:lang w:val="en-GB"/>
        </w:rPr>
        <w:t xml:space="preserve">ank of </w:t>
      </w:r>
      <w:r w:rsidRPr="00C273FD">
        <w:rPr>
          <w:lang w:val="en-GB"/>
        </w:rPr>
        <w:t>I</w:t>
      </w:r>
      <w:r w:rsidR="005A3088">
        <w:rPr>
          <w:lang w:val="en-GB"/>
        </w:rPr>
        <w:t>ndia</w:t>
      </w:r>
      <w:r w:rsidRPr="00C273FD">
        <w:rPr>
          <w:lang w:val="en-GB"/>
        </w:rPr>
        <w:t>, Annual Report (2015</w:t>
      </w:r>
      <w:r w:rsidR="00B31DC6">
        <w:rPr>
          <w:lang w:val="en-GB"/>
        </w:rPr>
        <w:t>–</w:t>
      </w:r>
      <w:r w:rsidRPr="00C273FD">
        <w:rPr>
          <w:lang w:val="en-GB"/>
        </w:rPr>
        <w:t>16), August 29, 2016</w:t>
      </w:r>
      <w:r w:rsidR="00B85950">
        <w:rPr>
          <w:lang w:val="en-GB"/>
        </w:rPr>
        <w:t xml:space="preserve">, accessed February 2, 2017, </w:t>
      </w:r>
      <w:r w:rsidR="00B85950" w:rsidRPr="00B85950">
        <w:rPr>
          <w:lang w:val="en-GB"/>
        </w:rPr>
        <w:t>https://www.rbi.org.in/scripts/AnnualReportPublications.aspx?year=2016</w:t>
      </w:r>
      <w:r w:rsidR="00B85950">
        <w:rPr>
          <w:lang w:val="en-GB"/>
        </w:rPr>
        <w:t>.</w:t>
      </w:r>
    </w:p>
    <w:p w14:paraId="038B42C4" w14:textId="77777777" w:rsidR="00221CD1" w:rsidRPr="00C273FD" w:rsidRDefault="00221CD1" w:rsidP="00221CD1">
      <w:pPr>
        <w:widowControl w:val="0"/>
        <w:autoSpaceDE w:val="0"/>
        <w:autoSpaceDN w:val="0"/>
        <w:adjustRightInd w:val="0"/>
        <w:jc w:val="both"/>
        <w:rPr>
          <w:rFonts w:ascii="Arial" w:hAnsi="Arial" w:cs="Arial"/>
          <w:color w:val="1A1A1A"/>
          <w:lang w:val="en-GB"/>
        </w:rPr>
      </w:pPr>
    </w:p>
    <w:p w14:paraId="108D1B4B" w14:textId="77777777" w:rsidR="00221CD1" w:rsidRPr="00C273FD" w:rsidRDefault="00221CD1" w:rsidP="00221CD1">
      <w:pPr>
        <w:widowControl w:val="0"/>
        <w:autoSpaceDE w:val="0"/>
        <w:autoSpaceDN w:val="0"/>
        <w:adjustRightInd w:val="0"/>
        <w:jc w:val="both"/>
        <w:rPr>
          <w:rFonts w:ascii="Arial" w:hAnsi="Arial" w:cs="Arial"/>
          <w:color w:val="1A1A1A"/>
          <w:lang w:val="en-GB"/>
        </w:rPr>
      </w:pPr>
    </w:p>
    <w:p w14:paraId="105CC7AB" w14:textId="42B7BE60" w:rsidR="00221CD1" w:rsidRPr="00C273FD" w:rsidRDefault="00221CD1" w:rsidP="00CC04B7">
      <w:pPr>
        <w:pStyle w:val="ExhibitHeading"/>
        <w:rPr>
          <w:lang w:val="en-GB"/>
        </w:rPr>
      </w:pPr>
      <w:r w:rsidRPr="00C273FD">
        <w:rPr>
          <w:lang w:val="en-GB"/>
        </w:rPr>
        <w:t>EXHIBIT 4: PRICES, MONETARY</w:t>
      </w:r>
      <w:r w:rsidR="00037C6D">
        <w:rPr>
          <w:lang w:val="en-GB"/>
        </w:rPr>
        <w:t>,</w:t>
      </w:r>
      <w:r w:rsidRPr="00C273FD">
        <w:rPr>
          <w:lang w:val="en-GB"/>
        </w:rPr>
        <w:t xml:space="preserve"> AND FINANCIAL SECTOR VARIABLES</w:t>
      </w:r>
      <w:r w:rsidR="005A3088">
        <w:rPr>
          <w:lang w:val="en-GB"/>
        </w:rPr>
        <w:t xml:space="preserve"> in the indian</w:t>
      </w:r>
      <w:r w:rsidR="00334374">
        <w:rPr>
          <w:lang w:val="en-GB"/>
        </w:rPr>
        <w:t> </w:t>
      </w:r>
      <w:r w:rsidR="005A3088">
        <w:rPr>
          <w:lang w:val="en-GB"/>
        </w:rPr>
        <w:t>economy, selected years, 1990/91 to 2015/16</w:t>
      </w:r>
    </w:p>
    <w:p w14:paraId="5264A02B" w14:textId="77777777" w:rsidR="00221CD1" w:rsidRPr="00C273FD" w:rsidRDefault="00221CD1" w:rsidP="00221CD1">
      <w:pPr>
        <w:widowControl w:val="0"/>
        <w:autoSpaceDE w:val="0"/>
        <w:autoSpaceDN w:val="0"/>
        <w:adjustRightInd w:val="0"/>
        <w:jc w:val="both"/>
        <w:rPr>
          <w:rFonts w:ascii="Arial" w:hAnsi="Arial" w:cs="Arial"/>
          <w:b/>
          <w:color w:val="1A1A1A"/>
          <w:lang w:val="en-GB"/>
        </w:rPr>
      </w:pPr>
    </w:p>
    <w:tbl>
      <w:tblPr>
        <w:tblW w:w="6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tblGrid>
      <w:tr w:rsidR="00F60503" w:rsidRPr="00C273FD" w14:paraId="694C38D5" w14:textId="77777777" w:rsidTr="00485DDB">
        <w:trPr>
          <w:trHeight w:val="517"/>
          <w:jc w:val="center"/>
        </w:trPr>
        <w:tc>
          <w:tcPr>
            <w:tcW w:w="1300" w:type="dxa"/>
            <w:vMerge w:val="restart"/>
            <w:shd w:val="clear" w:color="auto" w:fill="auto"/>
            <w:vAlign w:val="center"/>
            <w:hideMark/>
          </w:tcPr>
          <w:p w14:paraId="2CD9B7B5" w14:textId="17A85D2E" w:rsidR="00F60503" w:rsidRPr="00C273FD" w:rsidRDefault="00F60503" w:rsidP="00F6050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Year</w:t>
            </w:r>
          </w:p>
        </w:tc>
        <w:tc>
          <w:tcPr>
            <w:tcW w:w="1300" w:type="dxa"/>
            <w:vMerge w:val="restart"/>
            <w:shd w:val="clear" w:color="auto" w:fill="auto"/>
            <w:vAlign w:val="center"/>
            <w:hideMark/>
          </w:tcPr>
          <w:p w14:paraId="0C8DDFA1" w14:textId="77777777" w:rsidR="00F60503" w:rsidRDefault="00F60503"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M1/GDP </w:t>
            </w:r>
          </w:p>
          <w:p w14:paraId="376970FF" w14:textId="05C4F7AC" w:rsidR="00F60503" w:rsidRPr="00C273FD" w:rsidRDefault="00F60503" w:rsidP="005A3088">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(per cent)</w:t>
            </w:r>
          </w:p>
        </w:tc>
        <w:tc>
          <w:tcPr>
            <w:tcW w:w="1300" w:type="dxa"/>
            <w:vMerge w:val="restart"/>
            <w:shd w:val="clear" w:color="auto" w:fill="auto"/>
            <w:vAlign w:val="center"/>
            <w:hideMark/>
          </w:tcPr>
          <w:p w14:paraId="28F7A861" w14:textId="77777777" w:rsidR="00F60503" w:rsidRDefault="00F60503"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M3/GDP </w:t>
            </w:r>
          </w:p>
          <w:p w14:paraId="6320C319" w14:textId="705E40B9" w:rsidR="00F60503" w:rsidRPr="00C273FD" w:rsidRDefault="00F60503"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(per cent)</w:t>
            </w:r>
          </w:p>
        </w:tc>
        <w:tc>
          <w:tcPr>
            <w:tcW w:w="2600" w:type="dxa"/>
            <w:gridSpan w:val="2"/>
            <w:shd w:val="clear" w:color="auto" w:fill="auto"/>
            <w:noWrap/>
            <w:vAlign w:val="center"/>
            <w:hideMark/>
          </w:tcPr>
          <w:p w14:paraId="7AE97576" w14:textId="77777777" w:rsidR="00F60503" w:rsidRPr="00640722" w:rsidRDefault="00F60503" w:rsidP="00AB18DE">
            <w:pPr>
              <w:jc w:val="center"/>
              <w:rPr>
                <w:rFonts w:ascii="Arial" w:hAnsi="Arial" w:cs="Arial"/>
                <w:b/>
                <w:color w:val="000000"/>
                <w:sz w:val="18"/>
                <w:szCs w:val="18"/>
                <w:lang w:val="en-GB"/>
              </w:rPr>
            </w:pPr>
            <w:r w:rsidRPr="00640722">
              <w:rPr>
                <w:rFonts w:ascii="Arial" w:hAnsi="Arial" w:cs="Arial"/>
                <w:b/>
                <w:color w:val="000000"/>
                <w:sz w:val="18"/>
                <w:szCs w:val="18"/>
                <w:lang w:val="en-GB"/>
              </w:rPr>
              <w:t>INFLATION INDICATORS</w:t>
            </w:r>
          </w:p>
        </w:tc>
      </w:tr>
      <w:tr w:rsidR="00F60503" w:rsidRPr="00C273FD" w14:paraId="6D282C13" w14:textId="77777777" w:rsidTr="00E2275D">
        <w:trPr>
          <w:trHeight w:val="40"/>
          <w:jc w:val="center"/>
        </w:trPr>
        <w:tc>
          <w:tcPr>
            <w:tcW w:w="1300" w:type="dxa"/>
            <w:vMerge/>
            <w:shd w:val="clear" w:color="auto" w:fill="auto"/>
            <w:vAlign w:val="center"/>
            <w:hideMark/>
          </w:tcPr>
          <w:p w14:paraId="2C2D4515" w14:textId="70BD5492" w:rsidR="00F60503" w:rsidRPr="00C273FD" w:rsidRDefault="00F60503" w:rsidP="00AB18DE">
            <w:pPr>
              <w:jc w:val="center"/>
              <w:rPr>
                <w:rFonts w:ascii="Arial" w:hAnsi="Arial" w:cs="Arial"/>
                <w:b/>
                <w:bCs/>
                <w:color w:val="000000"/>
                <w:sz w:val="18"/>
                <w:szCs w:val="18"/>
                <w:lang w:val="en-GB"/>
              </w:rPr>
            </w:pPr>
          </w:p>
        </w:tc>
        <w:tc>
          <w:tcPr>
            <w:tcW w:w="1300" w:type="dxa"/>
            <w:vMerge/>
            <w:vAlign w:val="center"/>
            <w:hideMark/>
          </w:tcPr>
          <w:p w14:paraId="5FBFFA36" w14:textId="77777777" w:rsidR="00F60503" w:rsidRPr="00C273FD" w:rsidRDefault="00F60503" w:rsidP="00AB18DE">
            <w:pPr>
              <w:rPr>
                <w:rFonts w:ascii="Arial" w:hAnsi="Arial" w:cs="Arial"/>
                <w:b/>
                <w:bCs/>
                <w:color w:val="000000"/>
                <w:sz w:val="18"/>
                <w:szCs w:val="18"/>
                <w:lang w:val="en-GB"/>
              </w:rPr>
            </w:pPr>
          </w:p>
        </w:tc>
        <w:tc>
          <w:tcPr>
            <w:tcW w:w="1300" w:type="dxa"/>
            <w:vMerge/>
            <w:vAlign w:val="center"/>
            <w:hideMark/>
          </w:tcPr>
          <w:p w14:paraId="62EEE3AC" w14:textId="77777777" w:rsidR="00F60503" w:rsidRPr="00C273FD" w:rsidRDefault="00F60503" w:rsidP="00AB18DE">
            <w:pPr>
              <w:rPr>
                <w:rFonts w:ascii="Arial" w:hAnsi="Arial" w:cs="Arial"/>
                <w:b/>
                <w:bCs/>
                <w:color w:val="000000"/>
                <w:sz w:val="18"/>
                <w:szCs w:val="18"/>
                <w:lang w:val="en-GB"/>
              </w:rPr>
            </w:pPr>
          </w:p>
        </w:tc>
        <w:tc>
          <w:tcPr>
            <w:tcW w:w="1300" w:type="dxa"/>
            <w:shd w:val="clear" w:color="auto" w:fill="auto"/>
            <w:noWrap/>
            <w:vAlign w:val="center"/>
            <w:hideMark/>
          </w:tcPr>
          <w:p w14:paraId="01A13992" w14:textId="77777777" w:rsidR="00F60503" w:rsidRPr="00640722" w:rsidRDefault="00F60503" w:rsidP="00AB18DE">
            <w:pPr>
              <w:jc w:val="center"/>
              <w:rPr>
                <w:rFonts w:ascii="Arial" w:hAnsi="Arial" w:cs="Arial"/>
                <w:b/>
                <w:color w:val="000000"/>
                <w:sz w:val="18"/>
                <w:szCs w:val="18"/>
                <w:lang w:val="en-GB"/>
              </w:rPr>
            </w:pPr>
            <w:r w:rsidRPr="00640722">
              <w:rPr>
                <w:rFonts w:ascii="Arial" w:hAnsi="Arial" w:cs="Arial"/>
                <w:b/>
                <w:color w:val="000000"/>
                <w:sz w:val="18"/>
                <w:szCs w:val="18"/>
                <w:lang w:val="en-GB"/>
              </w:rPr>
              <w:t>WPI</w:t>
            </w:r>
          </w:p>
        </w:tc>
        <w:tc>
          <w:tcPr>
            <w:tcW w:w="1300" w:type="dxa"/>
            <w:shd w:val="clear" w:color="auto" w:fill="auto"/>
            <w:noWrap/>
            <w:vAlign w:val="center"/>
            <w:hideMark/>
          </w:tcPr>
          <w:p w14:paraId="212A41B9" w14:textId="77777777" w:rsidR="00F60503" w:rsidRPr="00640722" w:rsidRDefault="00F60503" w:rsidP="00AB18DE">
            <w:pPr>
              <w:jc w:val="center"/>
              <w:rPr>
                <w:rFonts w:ascii="Arial" w:hAnsi="Arial" w:cs="Arial"/>
                <w:b/>
                <w:color w:val="000000"/>
                <w:sz w:val="18"/>
                <w:szCs w:val="18"/>
                <w:lang w:val="en-GB"/>
              </w:rPr>
            </w:pPr>
            <w:r w:rsidRPr="00640722">
              <w:rPr>
                <w:rFonts w:ascii="Arial" w:hAnsi="Arial" w:cs="Arial"/>
                <w:b/>
                <w:color w:val="000000"/>
                <w:sz w:val="18"/>
                <w:szCs w:val="18"/>
                <w:lang w:val="en-GB"/>
              </w:rPr>
              <w:t>CPI</w:t>
            </w:r>
          </w:p>
        </w:tc>
      </w:tr>
      <w:tr w:rsidR="00221CD1" w:rsidRPr="00C273FD" w14:paraId="79FEF24A" w14:textId="77777777" w:rsidTr="00E2275D">
        <w:trPr>
          <w:trHeight w:val="40"/>
          <w:jc w:val="center"/>
        </w:trPr>
        <w:tc>
          <w:tcPr>
            <w:tcW w:w="1300" w:type="dxa"/>
            <w:shd w:val="clear" w:color="auto" w:fill="auto"/>
            <w:vAlign w:val="center"/>
            <w:hideMark/>
          </w:tcPr>
          <w:p w14:paraId="392FC063" w14:textId="6AE5DEBC"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1990</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91</w:t>
            </w:r>
          </w:p>
        </w:tc>
        <w:tc>
          <w:tcPr>
            <w:tcW w:w="1300" w:type="dxa"/>
            <w:shd w:val="clear" w:color="auto" w:fill="auto"/>
            <w:noWrap/>
            <w:vAlign w:val="center"/>
            <w:hideMark/>
          </w:tcPr>
          <w:p w14:paraId="77F47259"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17.47</w:t>
            </w:r>
          </w:p>
        </w:tc>
        <w:tc>
          <w:tcPr>
            <w:tcW w:w="1300" w:type="dxa"/>
            <w:shd w:val="clear" w:color="auto" w:fill="auto"/>
            <w:noWrap/>
            <w:vAlign w:val="center"/>
            <w:hideMark/>
          </w:tcPr>
          <w:p w14:paraId="77D3BF1C"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49.99</w:t>
            </w:r>
          </w:p>
        </w:tc>
        <w:tc>
          <w:tcPr>
            <w:tcW w:w="1300" w:type="dxa"/>
            <w:shd w:val="clear" w:color="auto" w:fill="auto"/>
            <w:noWrap/>
            <w:vAlign w:val="center"/>
            <w:hideMark/>
          </w:tcPr>
          <w:p w14:paraId="11577BE7"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10.3</w:t>
            </w:r>
          </w:p>
        </w:tc>
        <w:tc>
          <w:tcPr>
            <w:tcW w:w="1300" w:type="dxa"/>
            <w:shd w:val="clear" w:color="auto" w:fill="auto"/>
            <w:noWrap/>
            <w:vAlign w:val="center"/>
            <w:hideMark/>
          </w:tcPr>
          <w:p w14:paraId="64390197"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11.6</w:t>
            </w:r>
          </w:p>
        </w:tc>
      </w:tr>
      <w:tr w:rsidR="00221CD1" w:rsidRPr="00C273FD" w14:paraId="40D81DD5" w14:textId="77777777" w:rsidTr="00E2275D">
        <w:trPr>
          <w:trHeight w:val="40"/>
          <w:jc w:val="center"/>
        </w:trPr>
        <w:tc>
          <w:tcPr>
            <w:tcW w:w="1300" w:type="dxa"/>
            <w:shd w:val="clear" w:color="auto" w:fill="auto"/>
            <w:vAlign w:val="center"/>
            <w:hideMark/>
          </w:tcPr>
          <w:p w14:paraId="44A20B6D" w14:textId="0F9EB0EF"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1991</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92</w:t>
            </w:r>
          </w:p>
        </w:tc>
        <w:tc>
          <w:tcPr>
            <w:tcW w:w="1300" w:type="dxa"/>
            <w:shd w:val="clear" w:color="auto" w:fill="auto"/>
            <w:noWrap/>
            <w:vAlign w:val="center"/>
            <w:hideMark/>
          </w:tcPr>
          <w:p w14:paraId="179D28E5"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18.65</w:t>
            </w:r>
          </w:p>
        </w:tc>
        <w:tc>
          <w:tcPr>
            <w:tcW w:w="1300" w:type="dxa"/>
            <w:shd w:val="clear" w:color="auto" w:fill="auto"/>
            <w:noWrap/>
            <w:vAlign w:val="center"/>
            <w:hideMark/>
          </w:tcPr>
          <w:p w14:paraId="033699EF"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51.68</w:t>
            </w:r>
          </w:p>
        </w:tc>
        <w:tc>
          <w:tcPr>
            <w:tcW w:w="1300" w:type="dxa"/>
            <w:shd w:val="clear" w:color="auto" w:fill="auto"/>
            <w:noWrap/>
            <w:vAlign w:val="center"/>
            <w:hideMark/>
          </w:tcPr>
          <w:p w14:paraId="60BC16E7"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13.7</w:t>
            </w:r>
          </w:p>
        </w:tc>
        <w:tc>
          <w:tcPr>
            <w:tcW w:w="1300" w:type="dxa"/>
            <w:shd w:val="clear" w:color="auto" w:fill="auto"/>
            <w:noWrap/>
            <w:vAlign w:val="center"/>
            <w:hideMark/>
          </w:tcPr>
          <w:p w14:paraId="2AC774C9"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13.5</w:t>
            </w:r>
          </w:p>
        </w:tc>
      </w:tr>
      <w:tr w:rsidR="00221CD1" w:rsidRPr="00C273FD" w14:paraId="26BA5BBD" w14:textId="77777777" w:rsidTr="00E2275D">
        <w:trPr>
          <w:trHeight w:val="40"/>
          <w:jc w:val="center"/>
        </w:trPr>
        <w:tc>
          <w:tcPr>
            <w:tcW w:w="1300" w:type="dxa"/>
            <w:shd w:val="clear" w:color="auto" w:fill="auto"/>
            <w:vAlign w:val="center"/>
            <w:hideMark/>
          </w:tcPr>
          <w:p w14:paraId="3DFD53EA" w14:textId="55F6842F"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1995</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96</w:t>
            </w:r>
          </w:p>
        </w:tc>
        <w:tc>
          <w:tcPr>
            <w:tcW w:w="1300" w:type="dxa"/>
            <w:shd w:val="clear" w:color="auto" w:fill="auto"/>
            <w:noWrap/>
            <w:vAlign w:val="center"/>
            <w:hideMark/>
          </w:tcPr>
          <w:p w14:paraId="3A890230"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19.21</w:t>
            </w:r>
          </w:p>
        </w:tc>
        <w:tc>
          <w:tcPr>
            <w:tcW w:w="1300" w:type="dxa"/>
            <w:shd w:val="clear" w:color="auto" w:fill="auto"/>
            <w:noWrap/>
            <w:vAlign w:val="center"/>
            <w:hideMark/>
          </w:tcPr>
          <w:p w14:paraId="3525BE89"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53.57</w:t>
            </w:r>
          </w:p>
        </w:tc>
        <w:tc>
          <w:tcPr>
            <w:tcW w:w="1300" w:type="dxa"/>
            <w:shd w:val="clear" w:color="auto" w:fill="auto"/>
            <w:noWrap/>
            <w:vAlign w:val="center"/>
            <w:hideMark/>
          </w:tcPr>
          <w:p w14:paraId="040B521C" w14:textId="69CEF20E"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8</w:t>
            </w:r>
            <w:r w:rsidR="00334374">
              <w:rPr>
                <w:rFonts w:ascii="Arial" w:hAnsi="Arial" w:cs="Arial"/>
                <w:color w:val="000000"/>
                <w:sz w:val="18"/>
                <w:szCs w:val="18"/>
                <w:lang w:val="en-GB"/>
              </w:rPr>
              <w:t>.0</w:t>
            </w:r>
          </w:p>
        </w:tc>
        <w:tc>
          <w:tcPr>
            <w:tcW w:w="1300" w:type="dxa"/>
            <w:shd w:val="clear" w:color="auto" w:fill="auto"/>
            <w:noWrap/>
            <w:vAlign w:val="center"/>
            <w:hideMark/>
          </w:tcPr>
          <w:p w14:paraId="4159A276"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10.2</w:t>
            </w:r>
          </w:p>
        </w:tc>
      </w:tr>
      <w:tr w:rsidR="00221CD1" w:rsidRPr="00C273FD" w14:paraId="1FFF579A" w14:textId="77777777" w:rsidTr="00E2275D">
        <w:trPr>
          <w:trHeight w:val="58"/>
          <w:jc w:val="center"/>
        </w:trPr>
        <w:tc>
          <w:tcPr>
            <w:tcW w:w="1300" w:type="dxa"/>
            <w:shd w:val="clear" w:color="auto" w:fill="auto"/>
            <w:vAlign w:val="center"/>
            <w:hideMark/>
          </w:tcPr>
          <w:p w14:paraId="565E3774" w14:textId="6D39E43A"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2000</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01</w:t>
            </w:r>
          </w:p>
        </w:tc>
        <w:tc>
          <w:tcPr>
            <w:tcW w:w="1300" w:type="dxa"/>
            <w:shd w:val="clear" w:color="auto" w:fill="auto"/>
            <w:noWrap/>
            <w:vAlign w:val="center"/>
            <w:hideMark/>
          </w:tcPr>
          <w:p w14:paraId="77823627"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18.96</w:t>
            </w:r>
          </w:p>
        </w:tc>
        <w:tc>
          <w:tcPr>
            <w:tcW w:w="1300" w:type="dxa"/>
            <w:shd w:val="clear" w:color="auto" w:fill="auto"/>
            <w:noWrap/>
            <w:vAlign w:val="center"/>
            <w:hideMark/>
          </w:tcPr>
          <w:p w14:paraId="59646E47"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65.64</w:t>
            </w:r>
          </w:p>
        </w:tc>
        <w:tc>
          <w:tcPr>
            <w:tcW w:w="1300" w:type="dxa"/>
            <w:shd w:val="clear" w:color="auto" w:fill="auto"/>
            <w:noWrap/>
            <w:vAlign w:val="center"/>
            <w:hideMark/>
          </w:tcPr>
          <w:p w14:paraId="7CE77A39"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7.2</w:t>
            </w:r>
          </w:p>
        </w:tc>
        <w:tc>
          <w:tcPr>
            <w:tcW w:w="1300" w:type="dxa"/>
            <w:shd w:val="clear" w:color="auto" w:fill="auto"/>
            <w:noWrap/>
            <w:vAlign w:val="center"/>
            <w:hideMark/>
          </w:tcPr>
          <w:p w14:paraId="5748D424"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3.8</w:t>
            </w:r>
          </w:p>
        </w:tc>
      </w:tr>
      <w:tr w:rsidR="00221CD1" w:rsidRPr="00C273FD" w14:paraId="6C95ABF9" w14:textId="77777777" w:rsidTr="00E2275D">
        <w:trPr>
          <w:trHeight w:val="40"/>
          <w:jc w:val="center"/>
        </w:trPr>
        <w:tc>
          <w:tcPr>
            <w:tcW w:w="1300" w:type="dxa"/>
            <w:shd w:val="clear" w:color="auto" w:fill="auto"/>
            <w:vAlign w:val="center"/>
            <w:hideMark/>
          </w:tcPr>
          <w:p w14:paraId="21D05F5A" w14:textId="60F56726"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2007</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08</w:t>
            </w:r>
          </w:p>
        </w:tc>
        <w:tc>
          <w:tcPr>
            <w:tcW w:w="1300" w:type="dxa"/>
            <w:shd w:val="clear" w:color="auto" w:fill="auto"/>
            <w:noWrap/>
            <w:vAlign w:val="center"/>
            <w:hideMark/>
          </w:tcPr>
          <w:p w14:paraId="51E6C035"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25.22</w:t>
            </w:r>
          </w:p>
        </w:tc>
        <w:tc>
          <w:tcPr>
            <w:tcW w:w="1300" w:type="dxa"/>
            <w:shd w:val="clear" w:color="auto" w:fill="auto"/>
            <w:noWrap/>
            <w:vAlign w:val="center"/>
            <w:hideMark/>
          </w:tcPr>
          <w:p w14:paraId="1C689A28"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87.69</w:t>
            </w:r>
          </w:p>
        </w:tc>
        <w:tc>
          <w:tcPr>
            <w:tcW w:w="1300" w:type="dxa"/>
            <w:shd w:val="clear" w:color="auto" w:fill="auto"/>
            <w:noWrap/>
            <w:vAlign w:val="center"/>
            <w:hideMark/>
          </w:tcPr>
          <w:p w14:paraId="73EEAF65"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4.7</w:t>
            </w:r>
          </w:p>
        </w:tc>
        <w:tc>
          <w:tcPr>
            <w:tcW w:w="1300" w:type="dxa"/>
            <w:shd w:val="clear" w:color="auto" w:fill="auto"/>
            <w:noWrap/>
            <w:vAlign w:val="center"/>
            <w:hideMark/>
          </w:tcPr>
          <w:p w14:paraId="26CB9EBE"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6.2</w:t>
            </w:r>
          </w:p>
        </w:tc>
      </w:tr>
      <w:tr w:rsidR="00DE1ECD" w:rsidRPr="00C273FD" w14:paraId="115B07A9" w14:textId="77777777" w:rsidTr="00E2275D">
        <w:trPr>
          <w:trHeight w:val="40"/>
          <w:jc w:val="center"/>
        </w:trPr>
        <w:tc>
          <w:tcPr>
            <w:tcW w:w="1300" w:type="dxa"/>
            <w:shd w:val="clear" w:color="auto" w:fill="auto"/>
            <w:vAlign w:val="center"/>
          </w:tcPr>
          <w:p w14:paraId="34A68AD3" w14:textId="6C419624" w:rsidR="00DE1ECD" w:rsidRPr="00C273FD" w:rsidRDefault="00DE1ECD" w:rsidP="00640722">
            <w:pPr>
              <w:jc w:val="center"/>
              <w:rPr>
                <w:rFonts w:ascii="Arial" w:hAnsi="Arial" w:cs="Arial"/>
                <w:b/>
                <w:bCs/>
                <w:color w:val="000000"/>
                <w:sz w:val="18"/>
                <w:szCs w:val="18"/>
                <w:lang w:val="en-GB"/>
              </w:rPr>
            </w:pPr>
            <w:r>
              <w:rPr>
                <w:rFonts w:ascii="Arial" w:hAnsi="Arial" w:cs="Arial"/>
                <w:b/>
                <w:bCs/>
                <w:color w:val="000000"/>
                <w:sz w:val="18"/>
                <w:szCs w:val="18"/>
                <w:lang w:val="en-GB"/>
              </w:rPr>
              <w:t>2008/09</w:t>
            </w:r>
          </w:p>
        </w:tc>
        <w:tc>
          <w:tcPr>
            <w:tcW w:w="1300" w:type="dxa"/>
            <w:shd w:val="clear" w:color="auto" w:fill="auto"/>
            <w:noWrap/>
            <w:vAlign w:val="center"/>
          </w:tcPr>
          <w:p w14:paraId="74287D44" w14:textId="72256CF7" w:rsidR="00DE1ECD" w:rsidRPr="00C273FD" w:rsidRDefault="004343B4" w:rsidP="00640722">
            <w:pPr>
              <w:tabs>
                <w:tab w:val="decimal" w:pos="564"/>
              </w:tabs>
              <w:rPr>
                <w:rFonts w:ascii="Arial" w:hAnsi="Arial" w:cs="Arial"/>
                <w:color w:val="000000"/>
                <w:sz w:val="18"/>
                <w:szCs w:val="18"/>
                <w:lang w:val="en-GB"/>
              </w:rPr>
            </w:pPr>
            <w:r>
              <w:rPr>
                <w:rFonts w:ascii="Arial" w:hAnsi="Arial" w:cs="Arial"/>
                <w:color w:val="000000"/>
                <w:sz w:val="18"/>
                <w:szCs w:val="18"/>
                <w:lang w:val="en-GB"/>
              </w:rPr>
              <w:t>23.75</w:t>
            </w:r>
          </w:p>
        </w:tc>
        <w:tc>
          <w:tcPr>
            <w:tcW w:w="1300" w:type="dxa"/>
            <w:shd w:val="clear" w:color="auto" w:fill="auto"/>
            <w:noWrap/>
            <w:vAlign w:val="center"/>
          </w:tcPr>
          <w:p w14:paraId="505A97E2" w14:textId="3CDA4659" w:rsidR="00DE1ECD" w:rsidRPr="00C273FD" w:rsidRDefault="004343B4" w:rsidP="00640722">
            <w:pPr>
              <w:tabs>
                <w:tab w:val="decimal" w:pos="540"/>
              </w:tabs>
              <w:rPr>
                <w:rFonts w:ascii="Arial" w:hAnsi="Arial" w:cs="Arial"/>
                <w:color w:val="000000"/>
                <w:sz w:val="18"/>
                <w:szCs w:val="18"/>
                <w:lang w:val="en-GB"/>
              </w:rPr>
            </w:pPr>
            <w:r>
              <w:rPr>
                <w:rFonts w:ascii="Arial" w:hAnsi="Arial" w:cs="Arial"/>
                <w:color w:val="000000"/>
                <w:sz w:val="18"/>
                <w:szCs w:val="18"/>
                <w:lang w:val="en-GB"/>
              </w:rPr>
              <w:t>90.41</w:t>
            </w:r>
          </w:p>
        </w:tc>
        <w:tc>
          <w:tcPr>
            <w:tcW w:w="1300" w:type="dxa"/>
            <w:shd w:val="clear" w:color="auto" w:fill="auto"/>
            <w:noWrap/>
            <w:vAlign w:val="center"/>
          </w:tcPr>
          <w:p w14:paraId="3E818E72" w14:textId="0D31612A" w:rsidR="00DE1ECD" w:rsidRPr="00C273FD" w:rsidRDefault="004343B4" w:rsidP="00640722">
            <w:pPr>
              <w:tabs>
                <w:tab w:val="decimal" w:pos="658"/>
              </w:tabs>
              <w:rPr>
                <w:rFonts w:ascii="Arial" w:hAnsi="Arial" w:cs="Arial"/>
                <w:color w:val="000000"/>
                <w:sz w:val="18"/>
                <w:szCs w:val="18"/>
                <w:lang w:val="en-GB"/>
              </w:rPr>
            </w:pPr>
            <w:r>
              <w:rPr>
                <w:rFonts w:ascii="Arial" w:hAnsi="Arial" w:cs="Arial"/>
                <w:color w:val="000000"/>
                <w:sz w:val="18"/>
                <w:szCs w:val="18"/>
                <w:lang w:val="en-GB"/>
              </w:rPr>
              <w:t>8.1</w:t>
            </w:r>
          </w:p>
        </w:tc>
        <w:tc>
          <w:tcPr>
            <w:tcW w:w="1300" w:type="dxa"/>
            <w:shd w:val="clear" w:color="auto" w:fill="auto"/>
            <w:noWrap/>
            <w:vAlign w:val="center"/>
          </w:tcPr>
          <w:p w14:paraId="0B4280FC" w14:textId="76D41C5D" w:rsidR="00DE1ECD" w:rsidRPr="00C273FD" w:rsidRDefault="00DE1ECD" w:rsidP="00640722">
            <w:pPr>
              <w:tabs>
                <w:tab w:val="decimal" w:pos="633"/>
              </w:tabs>
              <w:rPr>
                <w:rFonts w:ascii="Arial" w:hAnsi="Arial" w:cs="Arial"/>
                <w:color w:val="000000"/>
                <w:sz w:val="18"/>
                <w:szCs w:val="18"/>
                <w:lang w:val="en-GB"/>
              </w:rPr>
            </w:pPr>
            <w:r>
              <w:rPr>
                <w:rFonts w:ascii="Arial" w:hAnsi="Arial" w:cs="Arial"/>
                <w:color w:val="000000"/>
                <w:sz w:val="18"/>
                <w:szCs w:val="18"/>
                <w:lang w:val="en-GB"/>
              </w:rPr>
              <w:t>9.1</w:t>
            </w:r>
          </w:p>
        </w:tc>
      </w:tr>
      <w:tr w:rsidR="00DE1ECD" w:rsidRPr="00C273FD" w14:paraId="18091DFE" w14:textId="77777777" w:rsidTr="00E2275D">
        <w:trPr>
          <w:trHeight w:val="40"/>
          <w:jc w:val="center"/>
        </w:trPr>
        <w:tc>
          <w:tcPr>
            <w:tcW w:w="1300" w:type="dxa"/>
            <w:shd w:val="clear" w:color="auto" w:fill="auto"/>
            <w:vAlign w:val="center"/>
          </w:tcPr>
          <w:p w14:paraId="4C66EAFA" w14:textId="30D05E0F" w:rsidR="00DE1ECD" w:rsidRDefault="00DE1ECD" w:rsidP="00640722">
            <w:pPr>
              <w:jc w:val="center"/>
              <w:rPr>
                <w:rFonts w:ascii="Arial" w:hAnsi="Arial" w:cs="Arial"/>
                <w:b/>
                <w:bCs/>
                <w:color w:val="000000"/>
                <w:sz w:val="18"/>
                <w:szCs w:val="18"/>
                <w:lang w:val="en-GB"/>
              </w:rPr>
            </w:pPr>
            <w:r>
              <w:rPr>
                <w:rFonts w:ascii="Arial" w:hAnsi="Arial" w:cs="Arial"/>
                <w:b/>
                <w:bCs/>
                <w:color w:val="000000"/>
                <w:sz w:val="18"/>
                <w:szCs w:val="18"/>
                <w:lang w:val="en-GB"/>
              </w:rPr>
              <w:t>2009/10</w:t>
            </w:r>
          </w:p>
        </w:tc>
        <w:tc>
          <w:tcPr>
            <w:tcW w:w="1300" w:type="dxa"/>
            <w:shd w:val="clear" w:color="auto" w:fill="auto"/>
            <w:noWrap/>
            <w:vAlign w:val="center"/>
          </w:tcPr>
          <w:p w14:paraId="235159A1" w14:textId="20D23F7C" w:rsidR="00DE1ECD" w:rsidRPr="00C273FD" w:rsidRDefault="004343B4" w:rsidP="00640722">
            <w:pPr>
              <w:tabs>
                <w:tab w:val="decimal" w:pos="564"/>
              </w:tabs>
              <w:rPr>
                <w:rFonts w:ascii="Arial" w:hAnsi="Arial" w:cs="Arial"/>
                <w:color w:val="000000"/>
                <w:sz w:val="18"/>
                <w:szCs w:val="18"/>
                <w:lang w:val="en-GB"/>
              </w:rPr>
            </w:pPr>
            <w:r>
              <w:rPr>
                <w:rFonts w:ascii="Arial" w:hAnsi="Arial" w:cs="Arial"/>
                <w:color w:val="000000"/>
                <w:sz w:val="18"/>
                <w:szCs w:val="18"/>
                <w:lang w:val="en-GB"/>
              </w:rPr>
              <w:t>24.38</w:t>
            </w:r>
          </w:p>
        </w:tc>
        <w:tc>
          <w:tcPr>
            <w:tcW w:w="1300" w:type="dxa"/>
            <w:shd w:val="clear" w:color="auto" w:fill="auto"/>
            <w:noWrap/>
            <w:vAlign w:val="center"/>
          </w:tcPr>
          <w:p w14:paraId="02E8430B" w14:textId="1CC9970E" w:rsidR="00DE1ECD" w:rsidRPr="00C273FD" w:rsidRDefault="004343B4" w:rsidP="00640722">
            <w:pPr>
              <w:tabs>
                <w:tab w:val="decimal" w:pos="540"/>
              </w:tabs>
              <w:rPr>
                <w:rFonts w:ascii="Arial" w:hAnsi="Arial" w:cs="Arial"/>
                <w:color w:val="000000"/>
                <w:sz w:val="18"/>
                <w:szCs w:val="18"/>
                <w:lang w:val="en-GB"/>
              </w:rPr>
            </w:pPr>
            <w:r>
              <w:rPr>
                <w:rFonts w:ascii="Arial" w:hAnsi="Arial" w:cs="Arial"/>
                <w:color w:val="000000"/>
                <w:sz w:val="18"/>
                <w:szCs w:val="18"/>
                <w:lang w:val="en-GB"/>
              </w:rPr>
              <w:t>91.71</w:t>
            </w:r>
          </w:p>
        </w:tc>
        <w:tc>
          <w:tcPr>
            <w:tcW w:w="1300" w:type="dxa"/>
            <w:shd w:val="clear" w:color="auto" w:fill="auto"/>
            <w:noWrap/>
            <w:vAlign w:val="center"/>
          </w:tcPr>
          <w:p w14:paraId="2360B066" w14:textId="3A693BBC" w:rsidR="00DE1ECD" w:rsidRPr="00C273FD" w:rsidRDefault="004343B4" w:rsidP="00640722">
            <w:pPr>
              <w:tabs>
                <w:tab w:val="decimal" w:pos="658"/>
              </w:tabs>
              <w:rPr>
                <w:rFonts w:ascii="Arial" w:hAnsi="Arial" w:cs="Arial"/>
                <w:color w:val="000000"/>
                <w:sz w:val="18"/>
                <w:szCs w:val="18"/>
                <w:lang w:val="en-GB"/>
              </w:rPr>
            </w:pPr>
            <w:r>
              <w:rPr>
                <w:rFonts w:ascii="Arial" w:hAnsi="Arial" w:cs="Arial"/>
                <w:color w:val="000000"/>
                <w:sz w:val="18"/>
                <w:szCs w:val="18"/>
                <w:lang w:val="en-GB"/>
              </w:rPr>
              <w:t>3.8</w:t>
            </w:r>
          </w:p>
        </w:tc>
        <w:tc>
          <w:tcPr>
            <w:tcW w:w="1300" w:type="dxa"/>
            <w:shd w:val="clear" w:color="auto" w:fill="auto"/>
            <w:noWrap/>
            <w:vAlign w:val="center"/>
          </w:tcPr>
          <w:p w14:paraId="4F5C03C3" w14:textId="44B5358C" w:rsidR="00DE1ECD" w:rsidRPr="00C273FD" w:rsidRDefault="00DE1ECD" w:rsidP="00640722">
            <w:pPr>
              <w:tabs>
                <w:tab w:val="decimal" w:pos="633"/>
              </w:tabs>
              <w:rPr>
                <w:rFonts w:ascii="Arial" w:hAnsi="Arial" w:cs="Arial"/>
                <w:color w:val="000000"/>
                <w:sz w:val="18"/>
                <w:szCs w:val="18"/>
                <w:lang w:val="en-GB"/>
              </w:rPr>
            </w:pPr>
            <w:r>
              <w:rPr>
                <w:rFonts w:ascii="Arial" w:hAnsi="Arial" w:cs="Arial"/>
                <w:color w:val="000000"/>
                <w:sz w:val="18"/>
                <w:szCs w:val="18"/>
                <w:lang w:val="en-GB"/>
              </w:rPr>
              <w:t>12.2</w:t>
            </w:r>
          </w:p>
        </w:tc>
      </w:tr>
      <w:tr w:rsidR="00221CD1" w:rsidRPr="00C273FD" w14:paraId="6ECA19DE" w14:textId="77777777" w:rsidTr="00E2275D">
        <w:trPr>
          <w:trHeight w:val="50"/>
          <w:jc w:val="center"/>
        </w:trPr>
        <w:tc>
          <w:tcPr>
            <w:tcW w:w="1300" w:type="dxa"/>
            <w:shd w:val="clear" w:color="auto" w:fill="auto"/>
            <w:vAlign w:val="center"/>
            <w:hideMark/>
          </w:tcPr>
          <w:p w14:paraId="44F35E33" w14:textId="4183142A"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2010</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11</w:t>
            </w:r>
          </w:p>
        </w:tc>
        <w:tc>
          <w:tcPr>
            <w:tcW w:w="1300" w:type="dxa"/>
            <w:shd w:val="clear" w:color="auto" w:fill="auto"/>
            <w:noWrap/>
            <w:vAlign w:val="center"/>
            <w:hideMark/>
          </w:tcPr>
          <w:p w14:paraId="4771B659" w14:textId="16AD6F3D"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22.6</w:t>
            </w:r>
            <w:r w:rsidR="00334374">
              <w:rPr>
                <w:rFonts w:ascii="Arial" w:hAnsi="Arial" w:cs="Arial"/>
                <w:color w:val="000000"/>
                <w:sz w:val="18"/>
                <w:szCs w:val="18"/>
                <w:lang w:val="en-GB"/>
              </w:rPr>
              <w:t>0</w:t>
            </w:r>
          </w:p>
        </w:tc>
        <w:tc>
          <w:tcPr>
            <w:tcW w:w="1300" w:type="dxa"/>
            <w:shd w:val="clear" w:color="auto" w:fill="auto"/>
            <w:noWrap/>
            <w:vAlign w:val="center"/>
            <w:hideMark/>
          </w:tcPr>
          <w:p w14:paraId="706D5CC8"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89.73</w:t>
            </w:r>
          </w:p>
        </w:tc>
        <w:tc>
          <w:tcPr>
            <w:tcW w:w="1300" w:type="dxa"/>
            <w:shd w:val="clear" w:color="auto" w:fill="auto"/>
            <w:noWrap/>
            <w:vAlign w:val="center"/>
            <w:hideMark/>
          </w:tcPr>
          <w:p w14:paraId="2E8D4670"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9.6</w:t>
            </w:r>
          </w:p>
        </w:tc>
        <w:tc>
          <w:tcPr>
            <w:tcW w:w="1300" w:type="dxa"/>
            <w:shd w:val="clear" w:color="auto" w:fill="auto"/>
            <w:noWrap/>
            <w:vAlign w:val="center"/>
            <w:hideMark/>
          </w:tcPr>
          <w:p w14:paraId="7CD4122C"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10.4</w:t>
            </w:r>
          </w:p>
        </w:tc>
      </w:tr>
      <w:tr w:rsidR="00221CD1" w:rsidRPr="00C273FD" w14:paraId="64E8E528" w14:textId="77777777" w:rsidTr="00E2275D">
        <w:trPr>
          <w:trHeight w:val="40"/>
          <w:jc w:val="center"/>
        </w:trPr>
        <w:tc>
          <w:tcPr>
            <w:tcW w:w="1300" w:type="dxa"/>
            <w:shd w:val="clear" w:color="auto" w:fill="auto"/>
            <w:vAlign w:val="center"/>
            <w:hideMark/>
          </w:tcPr>
          <w:p w14:paraId="5A4F4B77" w14:textId="5CA976A8"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2011</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12</w:t>
            </w:r>
          </w:p>
        </w:tc>
        <w:tc>
          <w:tcPr>
            <w:tcW w:w="1300" w:type="dxa"/>
            <w:shd w:val="clear" w:color="auto" w:fill="auto"/>
            <w:noWrap/>
            <w:vAlign w:val="center"/>
            <w:hideMark/>
          </w:tcPr>
          <w:p w14:paraId="2F0EEAC6"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19.89</w:t>
            </w:r>
          </w:p>
        </w:tc>
        <w:tc>
          <w:tcPr>
            <w:tcW w:w="1300" w:type="dxa"/>
            <w:shd w:val="clear" w:color="auto" w:fill="auto"/>
            <w:noWrap/>
            <w:vAlign w:val="center"/>
            <w:hideMark/>
          </w:tcPr>
          <w:p w14:paraId="6A517FE6"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84.53</w:t>
            </w:r>
          </w:p>
        </w:tc>
        <w:tc>
          <w:tcPr>
            <w:tcW w:w="1300" w:type="dxa"/>
            <w:shd w:val="clear" w:color="auto" w:fill="auto"/>
            <w:noWrap/>
            <w:vAlign w:val="center"/>
            <w:hideMark/>
          </w:tcPr>
          <w:p w14:paraId="53A48FD1"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8.9</w:t>
            </w:r>
          </w:p>
        </w:tc>
        <w:tc>
          <w:tcPr>
            <w:tcW w:w="1300" w:type="dxa"/>
            <w:shd w:val="clear" w:color="auto" w:fill="auto"/>
            <w:noWrap/>
            <w:vAlign w:val="center"/>
            <w:hideMark/>
          </w:tcPr>
          <w:p w14:paraId="6B2E2907"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8.4</w:t>
            </w:r>
          </w:p>
        </w:tc>
      </w:tr>
      <w:tr w:rsidR="00221CD1" w:rsidRPr="00C273FD" w14:paraId="1A00FCDC" w14:textId="77777777" w:rsidTr="00E2275D">
        <w:trPr>
          <w:trHeight w:val="43"/>
          <w:jc w:val="center"/>
        </w:trPr>
        <w:tc>
          <w:tcPr>
            <w:tcW w:w="1300" w:type="dxa"/>
            <w:shd w:val="clear" w:color="auto" w:fill="auto"/>
            <w:vAlign w:val="center"/>
            <w:hideMark/>
          </w:tcPr>
          <w:p w14:paraId="55AC13DC" w14:textId="6C39FE58"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2012</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13</w:t>
            </w:r>
          </w:p>
        </w:tc>
        <w:tc>
          <w:tcPr>
            <w:tcW w:w="1300" w:type="dxa"/>
            <w:shd w:val="clear" w:color="auto" w:fill="auto"/>
            <w:noWrap/>
            <w:vAlign w:val="center"/>
            <w:hideMark/>
          </w:tcPr>
          <w:p w14:paraId="4582C114"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19.08</w:t>
            </w:r>
          </w:p>
        </w:tc>
        <w:tc>
          <w:tcPr>
            <w:tcW w:w="1300" w:type="dxa"/>
            <w:shd w:val="clear" w:color="auto" w:fill="auto"/>
            <w:noWrap/>
            <w:vAlign w:val="center"/>
            <w:hideMark/>
          </w:tcPr>
          <w:p w14:paraId="4435F428"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84.35</w:t>
            </w:r>
          </w:p>
        </w:tc>
        <w:tc>
          <w:tcPr>
            <w:tcW w:w="1300" w:type="dxa"/>
            <w:shd w:val="clear" w:color="auto" w:fill="auto"/>
            <w:noWrap/>
            <w:vAlign w:val="center"/>
            <w:hideMark/>
          </w:tcPr>
          <w:p w14:paraId="64E47ED7" w14:textId="777777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7.4</w:t>
            </w:r>
          </w:p>
        </w:tc>
        <w:tc>
          <w:tcPr>
            <w:tcW w:w="1300" w:type="dxa"/>
            <w:shd w:val="clear" w:color="000000" w:fill="FFFFFF"/>
            <w:noWrap/>
            <w:vAlign w:val="center"/>
            <w:hideMark/>
          </w:tcPr>
          <w:p w14:paraId="2CE2F5EB" w14:textId="4508486A"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10</w:t>
            </w:r>
            <w:r w:rsidR="00334374">
              <w:rPr>
                <w:rFonts w:ascii="Arial" w:hAnsi="Arial" w:cs="Arial"/>
                <w:color w:val="000000"/>
                <w:sz w:val="18"/>
                <w:szCs w:val="18"/>
                <w:lang w:val="en-GB"/>
              </w:rPr>
              <w:t>.0</w:t>
            </w:r>
          </w:p>
        </w:tc>
      </w:tr>
      <w:tr w:rsidR="00221CD1" w:rsidRPr="00C273FD" w14:paraId="7AF42D63" w14:textId="77777777" w:rsidTr="00E2275D">
        <w:trPr>
          <w:trHeight w:val="40"/>
          <w:jc w:val="center"/>
        </w:trPr>
        <w:tc>
          <w:tcPr>
            <w:tcW w:w="1300" w:type="dxa"/>
            <w:shd w:val="clear" w:color="auto" w:fill="auto"/>
            <w:vAlign w:val="center"/>
            <w:hideMark/>
          </w:tcPr>
          <w:p w14:paraId="32F13826" w14:textId="07DF64B7"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2013</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14</w:t>
            </w:r>
          </w:p>
        </w:tc>
        <w:tc>
          <w:tcPr>
            <w:tcW w:w="1300" w:type="dxa"/>
            <w:shd w:val="clear" w:color="auto" w:fill="auto"/>
            <w:noWrap/>
            <w:vAlign w:val="center"/>
            <w:hideMark/>
          </w:tcPr>
          <w:p w14:paraId="6B03D46E"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18.33</w:t>
            </w:r>
          </w:p>
        </w:tc>
        <w:tc>
          <w:tcPr>
            <w:tcW w:w="1300" w:type="dxa"/>
            <w:shd w:val="clear" w:color="auto" w:fill="auto"/>
            <w:noWrap/>
            <w:vAlign w:val="center"/>
            <w:hideMark/>
          </w:tcPr>
          <w:p w14:paraId="0CF97CDF" w14:textId="1691302F"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84.7</w:t>
            </w:r>
            <w:r w:rsidR="00334374">
              <w:rPr>
                <w:rFonts w:ascii="Arial" w:hAnsi="Arial" w:cs="Arial"/>
                <w:color w:val="000000"/>
                <w:sz w:val="18"/>
                <w:szCs w:val="18"/>
                <w:lang w:val="en-GB"/>
              </w:rPr>
              <w:t>0</w:t>
            </w:r>
          </w:p>
        </w:tc>
        <w:tc>
          <w:tcPr>
            <w:tcW w:w="1300" w:type="dxa"/>
            <w:shd w:val="clear" w:color="auto" w:fill="auto"/>
            <w:noWrap/>
            <w:vAlign w:val="center"/>
            <w:hideMark/>
          </w:tcPr>
          <w:p w14:paraId="5A3822B2" w14:textId="7F77C077"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6</w:t>
            </w:r>
            <w:r w:rsidR="00334374">
              <w:rPr>
                <w:rFonts w:ascii="Arial" w:hAnsi="Arial" w:cs="Arial"/>
                <w:color w:val="000000"/>
                <w:sz w:val="18"/>
                <w:szCs w:val="18"/>
                <w:lang w:val="en-GB"/>
              </w:rPr>
              <w:t>.0</w:t>
            </w:r>
          </w:p>
        </w:tc>
        <w:tc>
          <w:tcPr>
            <w:tcW w:w="1300" w:type="dxa"/>
            <w:shd w:val="clear" w:color="000000" w:fill="FFFFFF"/>
            <w:noWrap/>
            <w:vAlign w:val="center"/>
            <w:hideMark/>
          </w:tcPr>
          <w:p w14:paraId="3697DC88"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9.4</w:t>
            </w:r>
          </w:p>
        </w:tc>
      </w:tr>
      <w:tr w:rsidR="00221CD1" w:rsidRPr="00C273FD" w14:paraId="6E7B6DD8" w14:textId="77777777" w:rsidTr="00E2275D">
        <w:trPr>
          <w:trHeight w:val="40"/>
          <w:jc w:val="center"/>
        </w:trPr>
        <w:tc>
          <w:tcPr>
            <w:tcW w:w="1300" w:type="dxa"/>
            <w:shd w:val="clear" w:color="auto" w:fill="auto"/>
            <w:vAlign w:val="center"/>
            <w:hideMark/>
          </w:tcPr>
          <w:p w14:paraId="047E22F5" w14:textId="202785F1"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2014</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15</w:t>
            </w:r>
          </w:p>
        </w:tc>
        <w:tc>
          <w:tcPr>
            <w:tcW w:w="1300" w:type="dxa"/>
            <w:shd w:val="clear" w:color="auto" w:fill="auto"/>
            <w:noWrap/>
            <w:vAlign w:val="center"/>
            <w:hideMark/>
          </w:tcPr>
          <w:p w14:paraId="760FCB5F"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18.44</w:t>
            </w:r>
          </w:p>
        </w:tc>
        <w:tc>
          <w:tcPr>
            <w:tcW w:w="1300" w:type="dxa"/>
            <w:shd w:val="clear" w:color="auto" w:fill="auto"/>
            <w:noWrap/>
            <w:vAlign w:val="center"/>
            <w:hideMark/>
          </w:tcPr>
          <w:p w14:paraId="56F9E875"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84.85</w:t>
            </w:r>
          </w:p>
        </w:tc>
        <w:tc>
          <w:tcPr>
            <w:tcW w:w="1300" w:type="dxa"/>
            <w:shd w:val="clear" w:color="auto" w:fill="auto"/>
            <w:noWrap/>
            <w:vAlign w:val="center"/>
            <w:hideMark/>
          </w:tcPr>
          <w:p w14:paraId="4C57AE8A" w14:textId="301F8A45" w:rsidR="00221CD1" w:rsidRPr="00C273FD" w:rsidRDefault="00221CD1" w:rsidP="00640722">
            <w:pPr>
              <w:tabs>
                <w:tab w:val="decimal" w:pos="658"/>
              </w:tabs>
              <w:rPr>
                <w:rFonts w:ascii="Arial" w:hAnsi="Arial" w:cs="Arial"/>
                <w:color w:val="000000"/>
                <w:sz w:val="18"/>
                <w:szCs w:val="18"/>
                <w:lang w:val="en-GB"/>
              </w:rPr>
            </w:pPr>
            <w:r w:rsidRPr="00C273FD">
              <w:rPr>
                <w:rFonts w:ascii="Arial" w:hAnsi="Arial" w:cs="Arial"/>
                <w:color w:val="000000"/>
                <w:sz w:val="18"/>
                <w:szCs w:val="18"/>
                <w:lang w:val="en-GB"/>
              </w:rPr>
              <w:t>2</w:t>
            </w:r>
            <w:r w:rsidR="00334374">
              <w:rPr>
                <w:rFonts w:ascii="Arial" w:hAnsi="Arial" w:cs="Arial"/>
                <w:color w:val="000000"/>
                <w:sz w:val="18"/>
                <w:szCs w:val="18"/>
                <w:lang w:val="en-GB"/>
              </w:rPr>
              <w:t>.0</w:t>
            </w:r>
          </w:p>
        </w:tc>
        <w:tc>
          <w:tcPr>
            <w:tcW w:w="1300" w:type="dxa"/>
            <w:shd w:val="clear" w:color="000000" w:fill="FFFFFF"/>
            <w:noWrap/>
            <w:vAlign w:val="center"/>
            <w:hideMark/>
          </w:tcPr>
          <w:p w14:paraId="5ACFBC66"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5.8</w:t>
            </w:r>
          </w:p>
        </w:tc>
      </w:tr>
      <w:tr w:rsidR="00221CD1" w:rsidRPr="00C273FD" w14:paraId="1DD16A73" w14:textId="77777777" w:rsidTr="00E2275D">
        <w:trPr>
          <w:trHeight w:val="40"/>
          <w:jc w:val="center"/>
        </w:trPr>
        <w:tc>
          <w:tcPr>
            <w:tcW w:w="1300" w:type="dxa"/>
            <w:shd w:val="clear" w:color="auto" w:fill="auto"/>
            <w:vAlign w:val="center"/>
            <w:hideMark/>
          </w:tcPr>
          <w:p w14:paraId="1031DAAD" w14:textId="274A30A4"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2015</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16</w:t>
            </w:r>
          </w:p>
        </w:tc>
        <w:tc>
          <w:tcPr>
            <w:tcW w:w="1300" w:type="dxa"/>
            <w:shd w:val="clear" w:color="auto" w:fill="auto"/>
            <w:noWrap/>
            <w:vAlign w:val="center"/>
            <w:hideMark/>
          </w:tcPr>
          <w:p w14:paraId="639EE534" w14:textId="77777777" w:rsidR="00221CD1" w:rsidRPr="00C273FD" w:rsidRDefault="00221CD1" w:rsidP="00640722">
            <w:pPr>
              <w:tabs>
                <w:tab w:val="decimal" w:pos="564"/>
              </w:tabs>
              <w:rPr>
                <w:rFonts w:ascii="Arial" w:hAnsi="Arial" w:cs="Arial"/>
                <w:color w:val="000000"/>
                <w:sz w:val="18"/>
                <w:szCs w:val="18"/>
                <w:lang w:val="en-GB"/>
              </w:rPr>
            </w:pPr>
            <w:r w:rsidRPr="00C273FD">
              <w:rPr>
                <w:rFonts w:ascii="Arial" w:hAnsi="Arial" w:cs="Arial"/>
                <w:color w:val="000000"/>
                <w:sz w:val="18"/>
                <w:szCs w:val="18"/>
                <w:lang w:val="en-GB"/>
              </w:rPr>
              <w:t>19.03</w:t>
            </w:r>
          </w:p>
        </w:tc>
        <w:tc>
          <w:tcPr>
            <w:tcW w:w="1300" w:type="dxa"/>
            <w:shd w:val="clear" w:color="auto" w:fill="auto"/>
            <w:noWrap/>
            <w:vAlign w:val="center"/>
            <w:hideMark/>
          </w:tcPr>
          <w:p w14:paraId="61CBEB3B" w14:textId="77777777" w:rsidR="00221CD1" w:rsidRPr="00C273FD" w:rsidRDefault="00221CD1" w:rsidP="00640722">
            <w:pPr>
              <w:tabs>
                <w:tab w:val="decimal" w:pos="540"/>
              </w:tabs>
              <w:rPr>
                <w:rFonts w:ascii="Arial" w:hAnsi="Arial" w:cs="Arial"/>
                <w:color w:val="000000"/>
                <w:sz w:val="18"/>
                <w:szCs w:val="18"/>
                <w:lang w:val="en-GB"/>
              </w:rPr>
            </w:pPr>
            <w:r w:rsidRPr="00C273FD">
              <w:rPr>
                <w:rFonts w:ascii="Arial" w:hAnsi="Arial" w:cs="Arial"/>
                <w:color w:val="000000"/>
                <w:sz w:val="18"/>
                <w:szCs w:val="18"/>
                <w:lang w:val="en-GB"/>
              </w:rPr>
              <w:t>84.95</w:t>
            </w:r>
          </w:p>
        </w:tc>
        <w:tc>
          <w:tcPr>
            <w:tcW w:w="1300" w:type="dxa"/>
            <w:shd w:val="clear" w:color="auto" w:fill="auto"/>
            <w:noWrap/>
            <w:vAlign w:val="center"/>
            <w:hideMark/>
          </w:tcPr>
          <w:p w14:paraId="670C337D" w14:textId="6438BEFF" w:rsidR="00221CD1" w:rsidRPr="00C273FD" w:rsidRDefault="00B31DC6" w:rsidP="00640722">
            <w:pPr>
              <w:tabs>
                <w:tab w:val="decimal" w:pos="658"/>
              </w:tabs>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2.5</w:t>
            </w:r>
          </w:p>
        </w:tc>
        <w:tc>
          <w:tcPr>
            <w:tcW w:w="1300" w:type="dxa"/>
            <w:shd w:val="clear" w:color="000000" w:fill="FFFFFF"/>
            <w:noWrap/>
            <w:vAlign w:val="center"/>
            <w:hideMark/>
          </w:tcPr>
          <w:p w14:paraId="5A202251" w14:textId="77777777" w:rsidR="00221CD1" w:rsidRPr="00C273FD" w:rsidRDefault="00221CD1" w:rsidP="00640722">
            <w:pPr>
              <w:tabs>
                <w:tab w:val="decimal" w:pos="633"/>
              </w:tabs>
              <w:rPr>
                <w:rFonts w:ascii="Arial" w:hAnsi="Arial" w:cs="Arial"/>
                <w:color w:val="000000"/>
                <w:sz w:val="18"/>
                <w:szCs w:val="18"/>
                <w:lang w:val="en-GB"/>
              </w:rPr>
            </w:pPr>
            <w:r w:rsidRPr="00C273FD">
              <w:rPr>
                <w:rFonts w:ascii="Arial" w:hAnsi="Arial" w:cs="Arial"/>
                <w:color w:val="000000"/>
                <w:sz w:val="18"/>
                <w:szCs w:val="18"/>
                <w:lang w:val="en-GB"/>
              </w:rPr>
              <w:t>4.9</w:t>
            </w:r>
          </w:p>
        </w:tc>
      </w:tr>
    </w:tbl>
    <w:p w14:paraId="05ED7C45" w14:textId="77777777" w:rsidR="00221CD1" w:rsidRPr="00C273FD" w:rsidRDefault="00221CD1" w:rsidP="00221CD1">
      <w:pPr>
        <w:widowControl w:val="0"/>
        <w:autoSpaceDE w:val="0"/>
        <w:autoSpaceDN w:val="0"/>
        <w:adjustRightInd w:val="0"/>
        <w:jc w:val="both"/>
        <w:rPr>
          <w:rFonts w:ascii="Arial" w:hAnsi="Arial" w:cs="Arial"/>
          <w:color w:val="1A1A1A"/>
          <w:lang w:val="en-GB"/>
        </w:rPr>
      </w:pPr>
    </w:p>
    <w:p w14:paraId="30704272" w14:textId="63D4D1FF" w:rsidR="005A3088" w:rsidRDefault="005A3088" w:rsidP="00886EEF">
      <w:pPr>
        <w:pStyle w:val="Footnote"/>
        <w:rPr>
          <w:lang w:val="en-GB"/>
        </w:rPr>
      </w:pPr>
      <w:r>
        <w:rPr>
          <w:lang w:val="en-GB"/>
        </w:rPr>
        <w:t xml:space="preserve">Note: M1 = </w:t>
      </w:r>
      <w:r w:rsidR="00CE4DB9">
        <w:rPr>
          <w:lang w:val="en-GB"/>
        </w:rPr>
        <w:t>currency held by the public</w:t>
      </w:r>
      <w:r>
        <w:rPr>
          <w:lang w:val="en-GB"/>
        </w:rPr>
        <w:t xml:space="preserve"> </w:t>
      </w:r>
      <w:r w:rsidR="00CE4DB9">
        <w:rPr>
          <w:lang w:val="en-GB"/>
        </w:rPr>
        <w:t xml:space="preserve">+ </w:t>
      </w:r>
      <w:r>
        <w:rPr>
          <w:lang w:val="en-GB"/>
        </w:rPr>
        <w:t xml:space="preserve">chequing accounts </w:t>
      </w:r>
      <w:r w:rsidR="00CE4DB9">
        <w:rPr>
          <w:lang w:val="en-GB"/>
        </w:rPr>
        <w:t>+</w:t>
      </w:r>
      <w:r>
        <w:rPr>
          <w:lang w:val="en-GB"/>
        </w:rPr>
        <w:t xml:space="preserve"> demand deposits (the narrowest measure of the money supply); GDP = gross domestic product; M3 = </w:t>
      </w:r>
      <w:r w:rsidR="002C65C3">
        <w:rPr>
          <w:lang w:val="en-GB"/>
        </w:rPr>
        <w:t xml:space="preserve">M1 + savings deposits + certificates of deposit + </w:t>
      </w:r>
      <w:r w:rsidR="00CE4DB9">
        <w:rPr>
          <w:lang w:val="en-GB"/>
        </w:rPr>
        <w:t>time deposits</w:t>
      </w:r>
      <w:r w:rsidR="002C65C3">
        <w:rPr>
          <w:lang w:val="en-GB"/>
        </w:rPr>
        <w:t xml:space="preserve"> (the broadest measure of the money supply); WPI = wholesale price index; CPI = consumer price index</w:t>
      </w:r>
    </w:p>
    <w:p w14:paraId="02C52947" w14:textId="0BA6B440" w:rsidR="00221CD1" w:rsidRPr="00B97D5A" w:rsidRDefault="00221CD1" w:rsidP="00886EEF">
      <w:pPr>
        <w:pStyle w:val="Footnote"/>
        <w:rPr>
          <w:lang w:val="en-GB"/>
        </w:rPr>
      </w:pPr>
      <w:r w:rsidRPr="00C273FD">
        <w:rPr>
          <w:lang w:val="en-GB"/>
        </w:rPr>
        <w:t>Source: R</w:t>
      </w:r>
      <w:r w:rsidR="002C65C3">
        <w:rPr>
          <w:lang w:val="en-GB"/>
        </w:rPr>
        <w:t xml:space="preserve">eserve </w:t>
      </w:r>
      <w:r w:rsidRPr="00C273FD">
        <w:rPr>
          <w:lang w:val="en-GB"/>
        </w:rPr>
        <w:t>B</w:t>
      </w:r>
      <w:r w:rsidR="002C65C3">
        <w:rPr>
          <w:lang w:val="en-GB"/>
        </w:rPr>
        <w:t xml:space="preserve">ank of </w:t>
      </w:r>
      <w:r w:rsidRPr="00C273FD">
        <w:rPr>
          <w:lang w:val="en-GB"/>
        </w:rPr>
        <w:t>I</w:t>
      </w:r>
      <w:r w:rsidR="002C65C3">
        <w:rPr>
          <w:lang w:val="en-GB"/>
        </w:rPr>
        <w:t>ndia</w:t>
      </w:r>
      <w:r w:rsidRPr="00C273FD">
        <w:rPr>
          <w:lang w:val="en-GB"/>
        </w:rPr>
        <w:t xml:space="preserve">, </w:t>
      </w:r>
      <w:r w:rsidRPr="00640722">
        <w:rPr>
          <w:i/>
          <w:lang w:val="en-GB"/>
        </w:rPr>
        <w:t>Handbook of Statistics on the Indian Economy</w:t>
      </w:r>
      <w:r w:rsidR="004578EE">
        <w:rPr>
          <w:i/>
          <w:lang w:val="en-GB"/>
        </w:rPr>
        <w:t xml:space="preserve">, </w:t>
      </w:r>
      <w:r w:rsidR="004578EE" w:rsidRPr="009D10D4">
        <w:rPr>
          <w:lang w:val="en-GB"/>
        </w:rPr>
        <w:t xml:space="preserve">accessed </w:t>
      </w:r>
      <w:r w:rsidR="00C91B02" w:rsidRPr="009D10D4">
        <w:rPr>
          <w:lang w:val="en-GB"/>
        </w:rPr>
        <w:t>February 5, 2017, https://dbie.rbi.org.in/DBIE/dbie.rbi?site=publications</w:t>
      </w:r>
      <w:r w:rsidRPr="00B97D5A">
        <w:rPr>
          <w:lang w:val="en-GB"/>
        </w:rPr>
        <w:t>.</w:t>
      </w:r>
    </w:p>
    <w:p w14:paraId="58A482AF" w14:textId="179BDF82" w:rsidR="00CE4DB9" w:rsidRPr="00C273FD" w:rsidRDefault="00CE4DB9" w:rsidP="00886EEF">
      <w:pPr>
        <w:pStyle w:val="Footnote"/>
        <w:rPr>
          <w:lang w:val="en-GB"/>
        </w:rPr>
      </w:pPr>
    </w:p>
    <w:p w14:paraId="60CD43D6" w14:textId="77777777" w:rsidR="00886EEF" w:rsidRPr="00C273FD" w:rsidRDefault="00886EEF">
      <w:pPr>
        <w:spacing w:after="200" w:line="276" w:lineRule="auto"/>
        <w:rPr>
          <w:rFonts w:ascii="Arial" w:hAnsi="Arial" w:cs="Arial"/>
          <w:sz w:val="17"/>
          <w:szCs w:val="17"/>
          <w:lang w:val="en-GB"/>
        </w:rPr>
      </w:pPr>
      <w:r w:rsidRPr="00C273FD">
        <w:rPr>
          <w:lang w:val="en-GB"/>
        </w:rPr>
        <w:br w:type="page"/>
      </w:r>
    </w:p>
    <w:p w14:paraId="3DB047AE" w14:textId="16C1B263" w:rsidR="00221CD1" w:rsidRPr="00C273FD" w:rsidRDefault="00221CD1" w:rsidP="00886EEF">
      <w:pPr>
        <w:pStyle w:val="ExhibitHeading"/>
        <w:rPr>
          <w:lang w:val="en-GB"/>
        </w:rPr>
      </w:pPr>
      <w:r w:rsidRPr="00C273FD">
        <w:rPr>
          <w:lang w:val="en-GB"/>
        </w:rPr>
        <w:lastRenderedPageBreak/>
        <w:t xml:space="preserve">EXHIBIT 5: </w:t>
      </w:r>
      <w:r w:rsidR="002C65C3">
        <w:rPr>
          <w:lang w:val="en-GB"/>
        </w:rPr>
        <w:t xml:space="preserve">The Indian economy’s </w:t>
      </w:r>
      <w:r w:rsidRPr="00C273FD">
        <w:rPr>
          <w:lang w:val="en-GB"/>
        </w:rPr>
        <w:t>EXTERNAL SECTOR INDICATORS</w:t>
      </w:r>
      <w:r w:rsidR="002C65C3">
        <w:rPr>
          <w:lang w:val="en-GB"/>
        </w:rPr>
        <w:t>, selected years, 1990/91 to 2015/16</w:t>
      </w:r>
    </w:p>
    <w:p w14:paraId="2EBAAE03" w14:textId="77777777" w:rsidR="00221CD1" w:rsidRPr="00C273FD" w:rsidRDefault="00221CD1" w:rsidP="00221CD1">
      <w:pPr>
        <w:widowControl w:val="0"/>
        <w:autoSpaceDE w:val="0"/>
        <w:autoSpaceDN w:val="0"/>
        <w:adjustRightInd w:val="0"/>
        <w:jc w:val="both"/>
        <w:rPr>
          <w:rFonts w:ascii="Arial" w:hAnsi="Arial" w:cs="Arial"/>
          <w:color w:val="1A1A1A"/>
          <w:lang w:val="en-GB"/>
        </w:rPr>
      </w:pPr>
    </w:p>
    <w:tbl>
      <w:tblPr>
        <w:tblW w:w="8423" w:type="dxa"/>
        <w:jc w:val="center"/>
        <w:tblLook w:val="04A0" w:firstRow="1" w:lastRow="0" w:firstColumn="1" w:lastColumn="0" w:noHBand="0" w:noVBand="1"/>
      </w:tblPr>
      <w:tblGrid>
        <w:gridCol w:w="1300"/>
        <w:gridCol w:w="1300"/>
        <w:gridCol w:w="1300"/>
        <w:gridCol w:w="1495"/>
        <w:gridCol w:w="1229"/>
        <w:gridCol w:w="1067"/>
        <w:gridCol w:w="732"/>
      </w:tblGrid>
      <w:tr w:rsidR="00221CD1" w:rsidRPr="00C273FD" w14:paraId="51EE7A60" w14:textId="77777777" w:rsidTr="00F60503">
        <w:trPr>
          <w:trHeight w:val="1120"/>
          <w:tblHeader/>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3FB0DF94" w14:textId="77777777" w:rsidR="00221CD1" w:rsidRPr="00C273FD" w:rsidRDefault="00221CD1" w:rsidP="00F6050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Year</w:t>
            </w:r>
          </w:p>
        </w:tc>
        <w:tc>
          <w:tcPr>
            <w:tcW w:w="1300" w:type="dxa"/>
            <w:tcBorders>
              <w:top w:val="single" w:sz="4" w:space="0" w:color="auto"/>
              <w:left w:val="nil"/>
              <w:bottom w:val="single" w:sz="4" w:space="0" w:color="auto"/>
              <w:right w:val="single" w:sz="4" w:space="0" w:color="auto"/>
            </w:tcBorders>
            <w:shd w:val="clear" w:color="000000" w:fill="FFFFFF"/>
            <w:vAlign w:val="bottom"/>
            <w:hideMark/>
          </w:tcPr>
          <w:p w14:paraId="7F7DFCD0" w14:textId="77777777" w:rsidR="00221CD1" w:rsidRPr="00C273FD" w:rsidRDefault="00221CD1"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Total FDI Flows</w:t>
            </w:r>
          </w:p>
        </w:tc>
        <w:tc>
          <w:tcPr>
            <w:tcW w:w="1300" w:type="dxa"/>
            <w:tcBorders>
              <w:top w:val="single" w:sz="4" w:space="0" w:color="auto"/>
              <w:left w:val="nil"/>
              <w:bottom w:val="single" w:sz="4" w:space="0" w:color="auto"/>
              <w:right w:val="single" w:sz="4" w:space="0" w:color="auto"/>
            </w:tcBorders>
            <w:shd w:val="clear" w:color="000000" w:fill="FFFFFF"/>
            <w:vAlign w:val="bottom"/>
            <w:hideMark/>
          </w:tcPr>
          <w:p w14:paraId="1F58C5C7" w14:textId="77777777" w:rsidR="00221CD1" w:rsidRPr="00C273FD" w:rsidRDefault="00221CD1"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Investment by FIIs</w:t>
            </w:r>
          </w:p>
        </w:tc>
        <w:tc>
          <w:tcPr>
            <w:tcW w:w="1495" w:type="dxa"/>
            <w:tcBorders>
              <w:top w:val="single" w:sz="4" w:space="0" w:color="auto"/>
              <w:left w:val="nil"/>
              <w:bottom w:val="single" w:sz="4" w:space="0" w:color="auto"/>
              <w:right w:val="single" w:sz="4" w:space="0" w:color="auto"/>
            </w:tcBorders>
            <w:shd w:val="clear" w:color="000000" w:fill="FFFFFF"/>
            <w:vAlign w:val="bottom"/>
            <w:hideMark/>
          </w:tcPr>
          <w:p w14:paraId="320BD838" w14:textId="77777777" w:rsidR="00B65E7F" w:rsidRDefault="00221CD1" w:rsidP="004C50ED">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 xml:space="preserve">Total Foreign Exchange </w:t>
            </w:r>
            <w:r w:rsidR="004C50ED">
              <w:rPr>
                <w:rFonts w:ascii="Arial" w:hAnsi="Arial" w:cs="Arial"/>
                <w:b/>
                <w:bCs/>
                <w:color w:val="000000"/>
                <w:sz w:val="18"/>
                <w:szCs w:val="18"/>
                <w:lang w:val="en-GB"/>
              </w:rPr>
              <w:t>R</w:t>
            </w:r>
            <w:r w:rsidRPr="00C273FD">
              <w:rPr>
                <w:rFonts w:ascii="Arial" w:hAnsi="Arial" w:cs="Arial"/>
                <w:b/>
                <w:bCs/>
                <w:color w:val="000000"/>
                <w:sz w:val="18"/>
                <w:szCs w:val="18"/>
                <w:lang w:val="en-GB"/>
              </w:rPr>
              <w:t xml:space="preserve">eserves </w:t>
            </w:r>
          </w:p>
          <w:p w14:paraId="2BA833D8" w14:textId="0B729CEF" w:rsidR="00221CD1" w:rsidRPr="00C273FD" w:rsidRDefault="00221CD1" w:rsidP="004C50ED">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(US</w:t>
            </w:r>
            <w:r w:rsidR="004C50ED">
              <w:rPr>
                <w:rFonts w:ascii="Arial" w:hAnsi="Arial" w:cs="Arial"/>
                <w:b/>
                <w:bCs/>
                <w:color w:val="000000"/>
                <w:sz w:val="18"/>
                <w:szCs w:val="18"/>
                <w:lang w:val="en-GB"/>
              </w:rPr>
              <w:t>$</w:t>
            </w:r>
            <w:r w:rsidRPr="00C273FD">
              <w:rPr>
                <w:rFonts w:ascii="Arial" w:hAnsi="Arial" w:cs="Arial"/>
                <w:b/>
                <w:bCs/>
                <w:color w:val="000000"/>
                <w:sz w:val="18"/>
                <w:szCs w:val="18"/>
                <w:lang w:val="en-GB"/>
              </w:rPr>
              <w:t xml:space="preserve"> </w:t>
            </w:r>
            <w:r w:rsidR="004C50ED">
              <w:rPr>
                <w:rFonts w:ascii="Arial" w:hAnsi="Arial" w:cs="Arial"/>
                <w:b/>
                <w:bCs/>
                <w:color w:val="000000"/>
                <w:sz w:val="18"/>
                <w:szCs w:val="18"/>
                <w:lang w:val="en-GB"/>
              </w:rPr>
              <w:t>m</w:t>
            </w:r>
            <w:r w:rsidRPr="00C273FD">
              <w:rPr>
                <w:rFonts w:ascii="Arial" w:hAnsi="Arial" w:cs="Arial"/>
                <w:b/>
                <w:bCs/>
                <w:color w:val="000000"/>
                <w:sz w:val="18"/>
                <w:szCs w:val="18"/>
                <w:lang w:val="en-GB"/>
              </w:rPr>
              <w:t>illion</w:t>
            </w:r>
            <w:r w:rsidR="004C50ED">
              <w:rPr>
                <w:rFonts w:ascii="Arial" w:hAnsi="Arial" w:cs="Arial"/>
                <w:b/>
                <w:bCs/>
                <w:color w:val="000000"/>
                <w:sz w:val="18"/>
                <w:szCs w:val="18"/>
                <w:lang w:val="en-GB"/>
              </w:rPr>
              <w:t>s</w:t>
            </w:r>
            <w:r w:rsidRPr="00C273FD">
              <w:rPr>
                <w:rFonts w:ascii="Arial" w:hAnsi="Arial" w:cs="Arial"/>
                <w:b/>
                <w:bCs/>
                <w:color w:val="000000"/>
                <w:sz w:val="18"/>
                <w:szCs w:val="18"/>
                <w:lang w:val="en-GB"/>
              </w:rPr>
              <w:t>)</w:t>
            </w:r>
          </w:p>
        </w:tc>
        <w:tc>
          <w:tcPr>
            <w:tcW w:w="1229" w:type="dxa"/>
            <w:tcBorders>
              <w:top w:val="single" w:sz="4" w:space="0" w:color="auto"/>
              <w:left w:val="nil"/>
              <w:bottom w:val="single" w:sz="4" w:space="0" w:color="auto"/>
              <w:right w:val="single" w:sz="4" w:space="0" w:color="000000"/>
            </w:tcBorders>
            <w:shd w:val="clear" w:color="FFFFFF" w:fill="FFFFFF"/>
            <w:vAlign w:val="center"/>
            <w:hideMark/>
          </w:tcPr>
          <w:p w14:paraId="6ED9A30F" w14:textId="1E0F30E2" w:rsidR="00221CD1" w:rsidRPr="00C273FD" w:rsidRDefault="00221CD1" w:rsidP="00AB18DE">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Import Cover of Reserves (</w:t>
            </w:r>
            <w:r w:rsidR="006B6FF7">
              <w:rPr>
                <w:rFonts w:ascii="Arial" w:hAnsi="Arial" w:cs="Arial"/>
                <w:b/>
                <w:bCs/>
                <w:color w:val="000000"/>
                <w:sz w:val="18"/>
                <w:szCs w:val="18"/>
                <w:lang w:val="en-GB"/>
              </w:rPr>
              <w:t>i</w:t>
            </w:r>
            <w:r w:rsidRPr="00C273FD">
              <w:rPr>
                <w:rFonts w:ascii="Arial" w:hAnsi="Arial" w:cs="Arial"/>
                <w:b/>
                <w:bCs/>
                <w:color w:val="000000"/>
                <w:sz w:val="18"/>
                <w:szCs w:val="18"/>
                <w:lang w:val="en-GB"/>
              </w:rPr>
              <w:t>n months)</w:t>
            </w:r>
          </w:p>
        </w:tc>
        <w:tc>
          <w:tcPr>
            <w:tcW w:w="1047" w:type="dxa"/>
            <w:tcBorders>
              <w:top w:val="single" w:sz="4" w:space="0" w:color="auto"/>
              <w:left w:val="nil"/>
              <w:bottom w:val="single" w:sz="4" w:space="0" w:color="auto"/>
              <w:right w:val="single" w:sz="4" w:space="0" w:color="000000"/>
            </w:tcBorders>
            <w:shd w:val="clear" w:color="FFFFFF" w:fill="FFFFFF"/>
          </w:tcPr>
          <w:p w14:paraId="2E515C21" w14:textId="77777777" w:rsidR="00221CD1" w:rsidRPr="00C273FD" w:rsidRDefault="00221CD1" w:rsidP="00AB18DE">
            <w:pPr>
              <w:jc w:val="center"/>
              <w:rPr>
                <w:rFonts w:ascii="Arial" w:hAnsi="Arial" w:cs="Arial"/>
                <w:b/>
                <w:bCs/>
                <w:color w:val="000000"/>
                <w:sz w:val="18"/>
                <w:szCs w:val="18"/>
                <w:lang w:val="en-GB"/>
              </w:rPr>
            </w:pPr>
          </w:p>
          <w:p w14:paraId="02482433" w14:textId="77777777" w:rsidR="00221CD1" w:rsidRPr="00C273FD" w:rsidRDefault="00221CD1" w:rsidP="00AB18DE">
            <w:pPr>
              <w:jc w:val="center"/>
              <w:rPr>
                <w:rFonts w:ascii="Arial" w:hAnsi="Arial" w:cs="Arial"/>
                <w:b/>
                <w:bCs/>
                <w:color w:val="000000"/>
                <w:sz w:val="18"/>
                <w:szCs w:val="18"/>
                <w:lang w:val="en-GB"/>
              </w:rPr>
            </w:pPr>
          </w:p>
          <w:p w14:paraId="24A17393" w14:textId="4B1576EF" w:rsidR="00221CD1" w:rsidRPr="00C273FD" w:rsidRDefault="00846415" w:rsidP="00AB18DE">
            <w:pPr>
              <w:jc w:val="center"/>
              <w:rPr>
                <w:rFonts w:ascii="Arial" w:hAnsi="Arial" w:cs="Arial"/>
                <w:b/>
                <w:bCs/>
                <w:color w:val="000000"/>
                <w:sz w:val="18"/>
                <w:szCs w:val="18"/>
                <w:lang w:val="en-GB"/>
              </w:rPr>
            </w:pPr>
            <w:r>
              <w:rPr>
                <w:rFonts w:ascii="Arial" w:hAnsi="Arial" w:cs="Arial"/>
                <w:b/>
                <w:bCs/>
                <w:color w:val="222222"/>
                <w:shd w:val="clear" w:color="auto" w:fill="FFFFFF"/>
              </w:rPr>
              <w:t>₹</w:t>
            </w:r>
            <w:r w:rsidR="00221CD1" w:rsidRPr="00C273FD">
              <w:rPr>
                <w:rFonts w:ascii="Arial" w:hAnsi="Arial" w:cs="Arial"/>
                <w:b/>
                <w:bCs/>
                <w:color w:val="000000"/>
                <w:sz w:val="18"/>
                <w:szCs w:val="18"/>
                <w:lang w:val="en-GB"/>
              </w:rPr>
              <w:t xml:space="preserve">/$ </w:t>
            </w:r>
            <w:r w:rsidR="00B65E7F">
              <w:rPr>
                <w:rFonts w:ascii="Arial" w:hAnsi="Arial" w:cs="Arial"/>
                <w:b/>
                <w:bCs/>
                <w:color w:val="000000"/>
                <w:sz w:val="18"/>
                <w:szCs w:val="18"/>
                <w:lang w:val="en-GB"/>
              </w:rPr>
              <w:t>E</w:t>
            </w:r>
            <w:r w:rsidR="00221CD1" w:rsidRPr="00C273FD">
              <w:rPr>
                <w:rFonts w:ascii="Arial" w:hAnsi="Arial" w:cs="Arial"/>
                <w:b/>
                <w:bCs/>
                <w:color w:val="000000"/>
                <w:sz w:val="18"/>
                <w:szCs w:val="18"/>
                <w:lang w:val="en-GB"/>
              </w:rPr>
              <w:t xml:space="preserve">xchange </w:t>
            </w:r>
            <w:r w:rsidR="00B65E7F">
              <w:rPr>
                <w:rFonts w:ascii="Arial" w:hAnsi="Arial" w:cs="Arial"/>
                <w:b/>
                <w:bCs/>
                <w:color w:val="000000"/>
                <w:sz w:val="18"/>
                <w:szCs w:val="18"/>
                <w:lang w:val="en-GB"/>
              </w:rPr>
              <w:t>R</w:t>
            </w:r>
            <w:r w:rsidR="00221CD1" w:rsidRPr="00C273FD">
              <w:rPr>
                <w:rFonts w:ascii="Arial" w:hAnsi="Arial" w:cs="Arial"/>
                <w:b/>
                <w:bCs/>
                <w:color w:val="000000"/>
                <w:sz w:val="18"/>
                <w:szCs w:val="18"/>
                <w:lang w:val="en-GB"/>
              </w:rPr>
              <w:t>ate</w:t>
            </w:r>
          </w:p>
        </w:tc>
        <w:tc>
          <w:tcPr>
            <w:tcW w:w="752" w:type="dxa"/>
            <w:tcBorders>
              <w:top w:val="single" w:sz="4" w:space="0" w:color="auto"/>
              <w:left w:val="nil"/>
              <w:bottom w:val="single" w:sz="4" w:space="0" w:color="auto"/>
              <w:right w:val="single" w:sz="4" w:space="0" w:color="000000"/>
            </w:tcBorders>
            <w:shd w:val="clear" w:color="FFFFFF" w:fill="FFFFFF"/>
            <w:vAlign w:val="center"/>
          </w:tcPr>
          <w:p w14:paraId="00A841BC" w14:textId="77777777" w:rsidR="00221CD1" w:rsidRPr="00C273FD" w:rsidRDefault="00221CD1" w:rsidP="00F60503">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CAD</w:t>
            </w:r>
          </w:p>
        </w:tc>
      </w:tr>
      <w:tr w:rsidR="00221CD1" w:rsidRPr="00C273FD" w14:paraId="0CEE6B0D" w14:textId="77777777" w:rsidTr="009D10D4">
        <w:trPr>
          <w:trHeight w:val="104"/>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44D98DBE" w14:textId="006EF472"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1990</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91</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691F814C"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97</w:t>
            </w:r>
          </w:p>
        </w:tc>
        <w:tc>
          <w:tcPr>
            <w:tcW w:w="1300" w:type="dxa"/>
            <w:tcBorders>
              <w:top w:val="single" w:sz="4" w:space="0" w:color="auto"/>
              <w:left w:val="nil"/>
              <w:bottom w:val="single" w:sz="4" w:space="0" w:color="auto"/>
              <w:right w:val="single" w:sz="4" w:space="0" w:color="auto"/>
            </w:tcBorders>
            <w:shd w:val="clear" w:color="FFFFFF" w:fill="FFFFFF"/>
            <w:noWrap/>
            <w:vAlign w:val="bottom"/>
            <w:hideMark/>
          </w:tcPr>
          <w:p w14:paraId="78B02130"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6</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17F633D0"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5</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834</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5B2E7253"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2.5</w:t>
            </w:r>
          </w:p>
        </w:tc>
        <w:tc>
          <w:tcPr>
            <w:tcW w:w="1047" w:type="dxa"/>
            <w:tcBorders>
              <w:top w:val="single" w:sz="4" w:space="0" w:color="auto"/>
              <w:left w:val="nil"/>
              <w:bottom w:val="single" w:sz="4" w:space="0" w:color="auto"/>
              <w:right w:val="single" w:sz="4" w:space="0" w:color="000000"/>
            </w:tcBorders>
            <w:shd w:val="clear" w:color="FFFFFF" w:fill="FFFFFF"/>
          </w:tcPr>
          <w:p w14:paraId="1FE4CA19"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17.94</w:t>
            </w:r>
          </w:p>
        </w:tc>
        <w:tc>
          <w:tcPr>
            <w:tcW w:w="752" w:type="dxa"/>
            <w:tcBorders>
              <w:top w:val="single" w:sz="4" w:space="0" w:color="auto"/>
              <w:left w:val="nil"/>
              <w:bottom w:val="single" w:sz="4" w:space="0" w:color="auto"/>
              <w:right w:val="single" w:sz="4" w:space="0" w:color="000000"/>
            </w:tcBorders>
            <w:shd w:val="clear" w:color="FFFFFF" w:fill="FFFFFF"/>
          </w:tcPr>
          <w:p w14:paraId="2729E2CC" w14:textId="3BA4701D"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3.0</w:t>
            </w:r>
          </w:p>
        </w:tc>
      </w:tr>
      <w:tr w:rsidR="00221CD1" w:rsidRPr="00C273FD" w14:paraId="2546C8D4" w14:textId="77777777" w:rsidTr="009D10D4">
        <w:trPr>
          <w:trHeight w:val="137"/>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318D9B61" w14:textId="2E6DD2F1"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1991</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92</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208EA0EC"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129</w:t>
            </w:r>
          </w:p>
        </w:tc>
        <w:tc>
          <w:tcPr>
            <w:tcW w:w="1300" w:type="dxa"/>
            <w:tcBorders>
              <w:top w:val="single" w:sz="4" w:space="0" w:color="auto"/>
              <w:left w:val="nil"/>
              <w:bottom w:val="single" w:sz="4" w:space="0" w:color="auto"/>
              <w:right w:val="single" w:sz="4" w:space="0" w:color="auto"/>
            </w:tcBorders>
            <w:shd w:val="clear" w:color="FFFFFF" w:fill="FFFFFF"/>
            <w:noWrap/>
            <w:vAlign w:val="bottom"/>
            <w:hideMark/>
          </w:tcPr>
          <w:p w14:paraId="1AC0388E"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4</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5B46699D"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9</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220</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374E978F"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5.3</w:t>
            </w:r>
          </w:p>
        </w:tc>
        <w:tc>
          <w:tcPr>
            <w:tcW w:w="1047" w:type="dxa"/>
            <w:tcBorders>
              <w:top w:val="single" w:sz="4" w:space="0" w:color="auto"/>
              <w:left w:val="nil"/>
              <w:bottom w:val="single" w:sz="4" w:space="0" w:color="auto"/>
              <w:right w:val="single" w:sz="4" w:space="0" w:color="000000"/>
            </w:tcBorders>
            <w:shd w:val="clear" w:color="FFFFFF" w:fill="FFFFFF"/>
          </w:tcPr>
          <w:p w14:paraId="5D191586"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24.47</w:t>
            </w:r>
          </w:p>
        </w:tc>
        <w:tc>
          <w:tcPr>
            <w:tcW w:w="752" w:type="dxa"/>
            <w:tcBorders>
              <w:top w:val="single" w:sz="4" w:space="0" w:color="auto"/>
              <w:left w:val="nil"/>
              <w:bottom w:val="single" w:sz="4" w:space="0" w:color="auto"/>
              <w:right w:val="single" w:sz="4" w:space="0" w:color="000000"/>
            </w:tcBorders>
            <w:shd w:val="clear" w:color="FFFFFF" w:fill="FFFFFF"/>
          </w:tcPr>
          <w:p w14:paraId="265BA7F2" w14:textId="464234A7"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0.4</w:t>
            </w:r>
          </w:p>
        </w:tc>
      </w:tr>
      <w:tr w:rsidR="00221CD1" w:rsidRPr="00C273FD" w14:paraId="5B67C39A" w14:textId="77777777" w:rsidTr="009D10D4">
        <w:trPr>
          <w:trHeight w:val="96"/>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279345A8" w14:textId="74EAC0FC"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1995</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96</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57E4134C"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144</w:t>
            </w:r>
          </w:p>
        </w:tc>
        <w:tc>
          <w:tcPr>
            <w:tcW w:w="1300" w:type="dxa"/>
            <w:tcBorders>
              <w:top w:val="single" w:sz="4" w:space="0" w:color="auto"/>
              <w:left w:val="nil"/>
              <w:bottom w:val="single" w:sz="4" w:space="0" w:color="auto"/>
              <w:right w:val="single" w:sz="4" w:space="0" w:color="auto"/>
            </w:tcBorders>
            <w:shd w:val="clear" w:color="FFFFFF" w:fill="FFFFFF"/>
            <w:noWrap/>
            <w:vAlign w:val="bottom"/>
            <w:hideMark/>
          </w:tcPr>
          <w:p w14:paraId="63C53F92"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748</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2124B2A3"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21</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687</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17E5CE97"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6.0</w:t>
            </w:r>
          </w:p>
        </w:tc>
        <w:tc>
          <w:tcPr>
            <w:tcW w:w="1047" w:type="dxa"/>
            <w:tcBorders>
              <w:top w:val="single" w:sz="4" w:space="0" w:color="auto"/>
              <w:left w:val="nil"/>
              <w:bottom w:val="single" w:sz="4" w:space="0" w:color="auto"/>
              <w:right w:val="single" w:sz="4" w:space="0" w:color="000000"/>
            </w:tcBorders>
            <w:shd w:val="clear" w:color="FFFFFF" w:fill="FFFFFF"/>
          </w:tcPr>
          <w:p w14:paraId="6633333F"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33.45</w:t>
            </w:r>
          </w:p>
        </w:tc>
        <w:tc>
          <w:tcPr>
            <w:tcW w:w="752" w:type="dxa"/>
            <w:tcBorders>
              <w:top w:val="single" w:sz="4" w:space="0" w:color="auto"/>
              <w:left w:val="nil"/>
              <w:bottom w:val="single" w:sz="4" w:space="0" w:color="auto"/>
              <w:right w:val="single" w:sz="4" w:space="0" w:color="000000"/>
            </w:tcBorders>
            <w:shd w:val="clear" w:color="FFFFFF" w:fill="FFFFFF"/>
          </w:tcPr>
          <w:p w14:paraId="5541E129" w14:textId="6CFA66F9"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1.7</w:t>
            </w:r>
          </w:p>
        </w:tc>
      </w:tr>
      <w:tr w:rsidR="00221CD1" w:rsidRPr="00C273FD" w14:paraId="7724B66D"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36C7BF64" w14:textId="5D4D6028"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2000</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01</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28062E01"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029</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101FAB91"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1</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847</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2A058CEE"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42</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281</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31FC433B"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8.8</w:t>
            </w:r>
          </w:p>
        </w:tc>
        <w:tc>
          <w:tcPr>
            <w:tcW w:w="1047" w:type="dxa"/>
            <w:tcBorders>
              <w:top w:val="single" w:sz="4" w:space="0" w:color="auto"/>
              <w:left w:val="nil"/>
              <w:bottom w:val="single" w:sz="4" w:space="0" w:color="auto"/>
              <w:right w:val="single" w:sz="4" w:space="0" w:color="000000"/>
            </w:tcBorders>
            <w:shd w:val="clear" w:color="FFFFFF" w:fill="FFFFFF"/>
          </w:tcPr>
          <w:p w14:paraId="35ABEDD3"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45.68</w:t>
            </w:r>
          </w:p>
        </w:tc>
        <w:tc>
          <w:tcPr>
            <w:tcW w:w="752" w:type="dxa"/>
            <w:tcBorders>
              <w:top w:val="single" w:sz="4" w:space="0" w:color="auto"/>
              <w:left w:val="nil"/>
              <w:bottom w:val="single" w:sz="4" w:space="0" w:color="auto"/>
              <w:right w:val="single" w:sz="4" w:space="0" w:color="000000"/>
            </w:tcBorders>
            <w:shd w:val="clear" w:color="FFFFFF" w:fill="FFFFFF"/>
          </w:tcPr>
          <w:p w14:paraId="1FCF84C1" w14:textId="7C6EC88D"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0.6</w:t>
            </w:r>
          </w:p>
        </w:tc>
      </w:tr>
      <w:tr w:rsidR="00221CD1" w:rsidRPr="00C273FD" w14:paraId="7E76E0A0"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tcPr>
          <w:p w14:paraId="56777D64" w14:textId="4110CA40"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2001</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02</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411240AA"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6</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130</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7447A3B4"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1</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505</w:t>
            </w:r>
          </w:p>
        </w:tc>
        <w:tc>
          <w:tcPr>
            <w:tcW w:w="1495" w:type="dxa"/>
            <w:tcBorders>
              <w:top w:val="single" w:sz="4" w:space="0" w:color="auto"/>
              <w:left w:val="nil"/>
              <w:bottom w:val="single" w:sz="4" w:space="0" w:color="auto"/>
              <w:right w:val="single" w:sz="4" w:space="0" w:color="auto"/>
            </w:tcBorders>
            <w:shd w:val="clear" w:color="FFFFFF" w:fill="FFFFFF"/>
            <w:noWrap/>
            <w:vAlign w:val="center"/>
          </w:tcPr>
          <w:p w14:paraId="7B602A72"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54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106</w:t>
            </w:r>
          </w:p>
        </w:tc>
        <w:tc>
          <w:tcPr>
            <w:tcW w:w="1229" w:type="dxa"/>
            <w:tcBorders>
              <w:top w:val="single" w:sz="4" w:space="0" w:color="auto"/>
              <w:left w:val="nil"/>
              <w:bottom w:val="single" w:sz="4" w:space="0" w:color="auto"/>
              <w:right w:val="single" w:sz="4" w:space="0" w:color="000000"/>
            </w:tcBorders>
            <w:shd w:val="clear" w:color="FFFFFF" w:fill="FFFFFF"/>
            <w:noWrap/>
            <w:vAlign w:val="center"/>
          </w:tcPr>
          <w:p w14:paraId="33495392"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11.5</w:t>
            </w:r>
          </w:p>
        </w:tc>
        <w:tc>
          <w:tcPr>
            <w:tcW w:w="1047" w:type="dxa"/>
            <w:tcBorders>
              <w:top w:val="single" w:sz="4" w:space="0" w:color="auto"/>
              <w:left w:val="nil"/>
              <w:bottom w:val="single" w:sz="4" w:space="0" w:color="auto"/>
              <w:right w:val="single" w:sz="4" w:space="0" w:color="000000"/>
            </w:tcBorders>
            <w:shd w:val="clear" w:color="FFFFFF" w:fill="FFFFFF"/>
          </w:tcPr>
          <w:p w14:paraId="1F17E122"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47.69</w:t>
            </w:r>
          </w:p>
        </w:tc>
        <w:tc>
          <w:tcPr>
            <w:tcW w:w="752" w:type="dxa"/>
            <w:tcBorders>
              <w:top w:val="single" w:sz="4" w:space="0" w:color="auto"/>
              <w:left w:val="nil"/>
              <w:bottom w:val="single" w:sz="4" w:space="0" w:color="auto"/>
              <w:right w:val="single" w:sz="4" w:space="0" w:color="000000"/>
            </w:tcBorders>
            <w:shd w:val="clear" w:color="FFFFFF" w:fill="FFFFFF"/>
          </w:tcPr>
          <w:p w14:paraId="722487B3"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0.7</w:t>
            </w:r>
          </w:p>
        </w:tc>
      </w:tr>
      <w:tr w:rsidR="00221CD1" w:rsidRPr="00C273FD" w14:paraId="7EDEC656" w14:textId="77777777" w:rsidTr="009D10D4">
        <w:trPr>
          <w:trHeight w:val="148"/>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tcPr>
          <w:p w14:paraId="31944B0B" w14:textId="3C2BCAFF"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2002</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03</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210FB4A6"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5</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035</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7291FB00"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377</w:t>
            </w:r>
          </w:p>
        </w:tc>
        <w:tc>
          <w:tcPr>
            <w:tcW w:w="1495" w:type="dxa"/>
            <w:tcBorders>
              <w:top w:val="single" w:sz="4" w:space="0" w:color="auto"/>
              <w:left w:val="nil"/>
              <w:bottom w:val="single" w:sz="4" w:space="0" w:color="auto"/>
              <w:right w:val="single" w:sz="4" w:space="0" w:color="auto"/>
            </w:tcBorders>
            <w:shd w:val="clear" w:color="FFFFFF" w:fill="FFFFFF"/>
            <w:noWrap/>
            <w:vAlign w:val="center"/>
          </w:tcPr>
          <w:p w14:paraId="65571FC4"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76</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100</w:t>
            </w:r>
          </w:p>
        </w:tc>
        <w:tc>
          <w:tcPr>
            <w:tcW w:w="1229" w:type="dxa"/>
            <w:tcBorders>
              <w:top w:val="single" w:sz="4" w:space="0" w:color="auto"/>
              <w:left w:val="nil"/>
              <w:bottom w:val="single" w:sz="4" w:space="0" w:color="auto"/>
              <w:right w:val="single" w:sz="4" w:space="0" w:color="000000"/>
            </w:tcBorders>
            <w:shd w:val="clear" w:color="FFFFFF" w:fill="FFFFFF"/>
            <w:noWrap/>
            <w:vAlign w:val="center"/>
          </w:tcPr>
          <w:p w14:paraId="5A6A8A47"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14.2</w:t>
            </w:r>
          </w:p>
        </w:tc>
        <w:tc>
          <w:tcPr>
            <w:tcW w:w="1047" w:type="dxa"/>
            <w:tcBorders>
              <w:top w:val="single" w:sz="4" w:space="0" w:color="auto"/>
              <w:left w:val="nil"/>
              <w:bottom w:val="single" w:sz="4" w:space="0" w:color="auto"/>
              <w:right w:val="single" w:sz="4" w:space="0" w:color="000000"/>
            </w:tcBorders>
            <w:shd w:val="clear" w:color="FFFFFF" w:fill="FFFFFF"/>
          </w:tcPr>
          <w:p w14:paraId="4447AB19"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48.39</w:t>
            </w:r>
          </w:p>
        </w:tc>
        <w:tc>
          <w:tcPr>
            <w:tcW w:w="752" w:type="dxa"/>
            <w:tcBorders>
              <w:top w:val="single" w:sz="4" w:space="0" w:color="auto"/>
              <w:left w:val="nil"/>
              <w:bottom w:val="single" w:sz="4" w:space="0" w:color="auto"/>
              <w:right w:val="single" w:sz="4" w:space="0" w:color="000000"/>
            </w:tcBorders>
            <w:shd w:val="clear" w:color="FFFFFF" w:fill="FFFFFF"/>
          </w:tcPr>
          <w:p w14:paraId="0C7BA7BD"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1.3</w:t>
            </w:r>
          </w:p>
        </w:tc>
      </w:tr>
      <w:tr w:rsidR="00221CD1" w:rsidRPr="00C273FD" w14:paraId="597F7C60"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tcPr>
          <w:p w14:paraId="436BD8CA" w14:textId="771778FE"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2003</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04</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1B68877D"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322</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1422928A"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10</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918</w:t>
            </w:r>
          </w:p>
        </w:tc>
        <w:tc>
          <w:tcPr>
            <w:tcW w:w="1495" w:type="dxa"/>
            <w:tcBorders>
              <w:top w:val="single" w:sz="4" w:space="0" w:color="auto"/>
              <w:left w:val="nil"/>
              <w:bottom w:val="single" w:sz="4" w:space="0" w:color="auto"/>
              <w:right w:val="single" w:sz="4" w:space="0" w:color="auto"/>
            </w:tcBorders>
            <w:shd w:val="clear" w:color="FFFFFF" w:fill="FFFFFF"/>
            <w:noWrap/>
            <w:vAlign w:val="center"/>
          </w:tcPr>
          <w:p w14:paraId="0D5C8098"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112</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959</w:t>
            </w:r>
          </w:p>
        </w:tc>
        <w:tc>
          <w:tcPr>
            <w:tcW w:w="1229" w:type="dxa"/>
            <w:tcBorders>
              <w:top w:val="single" w:sz="4" w:space="0" w:color="auto"/>
              <w:left w:val="nil"/>
              <w:bottom w:val="single" w:sz="4" w:space="0" w:color="auto"/>
              <w:right w:val="single" w:sz="4" w:space="0" w:color="000000"/>
            </w:tcBorders>
            <w:shd w:val="clear" w:color="FFFFFF" w:fill="FFFFFF"/>
            <w:noWrap/>
            <w:vAlign w:val="center"/>
          </w:tcPr>
          <w:p w14:paraId="30BDED22"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16.9</w:t>
            </w:r>
          </w:p>
        </w:tc>
        <w:tc>
          <w:tcPr>
            <w:tcW w:w="1047" w:type="dxa"/>
            <w:tcBorders>
              <w:top w:val="single" w:sz="4" w:space="0" w:color="auto"/>
              <w:left w:val="nil"/>
              <w:bottom w:val="single" w:sz="4" w:space="0" w:color="auto"/>
              <w:right w:val="single" w:sz="4" w:space="0" w:color="000000"/>
            </w:tcBorders>
            <w:shd w:val="clear" w:color="FFFFFF" w:fill="FFFFFF"/>
          </w:tcPr>
          <w:p w14:paraId="013F07BF"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45.95</w:t>
            </w:r>
          </w:p>
        </w:tc>
        <w:tc>
          <w:tcPr>
            <w:tcW w:w="752" w:type="dxa"/>
            <w:tcBorders>
              <w:top w:val="single" w:sz="4" w:space="0" w:color="auto"/>
              <w:left w:val="nil"/>
              <w:bottom w:val="single" w:sz="4" w:space="0" w:color="auto"/>
              <w:right w:val="single" w:sz="4" w:space="0" w:color="000000"/>
            </w:tcBorders>
            <w:shd w:val="clear" w:color="FFFFFF" w:fill="FFFFFF"/>
          </w:tcPr>
          <w:p w14:paraId="6A18EE6B"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2.3</w:t>
            </w:r>
          </w:p>
        </w:tc>
      </w:tr>
      <w:tr w:rsidR="00221CD1" w:rsidRPr="00C273FD" w14:paraId="345ABFE3"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tcPr>
          <w:p w14:paraId="0AD35DB3" w14:textId="5A8998BD"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2004</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05</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69BE41F0"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6</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051</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42F490F1"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8</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686</w:t>
            </w:r>
          </w:p>
        </w:tc>
        <w:tc>
          <w:tcPr>
            <w:tcW w:w="1495" w:type="dxa"/>
            <w:tcBorders>
              <w:top w:val="single" w:sz="4" w:space="0" w:color="auto"/>
              <w:left w:val="nil"/>
              <w:bottom w:val="single" w:sz="4" w:space="0" w:color="auto"/>
              <w:right w:val="single" w:sz="4" w:space="0" w:color="auto"/>
            </w:tcBorders>
            <w:shd w:val="clear" w:color="FFFFFF" w:fill="FFFFFF"/>
            <w:noWrap/>
            <w:vAlign w:val="center"/>
          </w:tcPr>
          <w:p w14:paraId="3B6957F3"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141</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514</w:t>
            </w:r>
          </w:p>
        </w:tc>
        <w:tc>
          <w:tcPr>
            <w:tcW w:w="1229" w:type="dxa"/>
            <w:tcBorders>
              <w:top w:val="single" w:sz="4" w:space="0" w:color="auto"/>
              <w:left w:val="nil"/>
              <w:bottom w:val="single" w:sz="4" w:space="0" w:color="auto"/>
              <w:right w:val="single" w:sz="4" w:space="0" w:color="000000"/>
            </w:tcBorders>
            <w:shd w:val="clear" w:color="FFFFFF" w:fill="FFFFFF"/>
            <w:noWrap/>
            <w:vAlign w:val="center"/>
          </w:tcPr>
          <w:p w14:paraId="535FDC6B"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14.3</w:t>
            </w:r>
          </w:p>
        </w:tc>
        <w:tc>
          <w:tcPr>
            <w:tcW w:w="1047" w:type="dxa"/>
            <w:tcBorders>
              <w:top w:val="single" w:sz="4" w:space="0" w:color="auto"/>
              <w:left w:val="nil"/>
              <w:bottom w:val="single" w:sz="4" w:space="0" w:color="auto"/>
              <w:right w:val="single" w:sz="4" w:space="0" w:color="000000"/>
            </w:tcBorders>
            <w:shd w:val="clear" w:color="FFFFFF" w:fill="FFFFFF"/>
          </w:tcPr>
          <w:p w14:paraId="1F97D83A"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44.93</w:t>
            </w:r>
          </w:p>
        </w:tc>
        <w:tc>
          <w:tcPr>
            <w:tcW w:w="752" w:type="dxa"/>
            <w:tcBorders>
              <w:top w:val="single" w:sz="4" w:space="0" w:color="auto"/>
              <w:left w:val="nil"/>
              <w:bottom w:val="single" w:sz="4" w:space="0" w:color="auto"/>
              <w:right w:val="single" w:sz="4" w:space="0" w:color="000000"/>
            </w:tcBorders>
            <w:shd w:val="clear" w:color="FFFFFF" w:fill="FFFFFF"/>
          </w:tcPr>
          <w:p w14:paraId="1F4EFD5E" w14:textId="6BB57D39"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0.3</w:t>
            </w:r>
          </w:p>
        </w:tc>
      </w:tr>
      <w:tr w:rsidR="00221CD1" w:rsidRPr="00C273FD" w14:paraId="33A6FD44" w14:textId="77777777" w:rsidTr="009D10D4">
        <w:trPr>
          <w:trHeight w:val="72"/>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18803EE9" w14:textId="2C91E97F"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2007</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08</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0AFA2326"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843</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39232C9E"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20</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328</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15736BA3"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309</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723</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07F51593"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14.4</w:t>
            </w:r>
          </w:p>
        </w:tc>
        <w:tc>
          <w:tcPr>
            <w:tcW w:w="1047" w:type="dxa"/>
            <w:tcBorders>
              <w:top w:val="single" w:sz="4" w:space="0" w:color="auto"/>
              <w:left w:val="nil"/>
              <w:bottom w:val="single" w:sz="4" w:space="0" w:color="auto"/>
              <w:right w:val="single" w:sz="4" w:space="0" w:color="000000"/>
            </w:tcBorders>
            <w:shd w:val="clear" w:color="FFFFFF" w:fill="FFFFFF"/>
          </w:tcPr>
          <w:p w14:paraId="60495535"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40.26</w:t>
            </w:r>
          </w:p>
        </w:tc>
        <w:tc>
          <w:tcPr>
            <w:tcW w:w="752" w:type="dxa"/>
            <w:tcBorders>
              <w:top w:val="single" w:sz="4" w:space="0" w:color="auto"/>
              <w:left w:val="nil"/>
              <w:bottom w:val="single" w:sz="4" w:space="0" w:color="auto"/>
              <w:right w:val="single" w:sz="4" w:space="0" w:color="000000"/>
            </w:tcBorders>
            <w:shd w:val="clear" w:color="FFFFFF" w:fill="FFFFFF"/>
          </w:tcPr>
          <w:p w14:paraId="7856C3EB" w14:textId="74B7754A"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1.3</w:t>
            </w:r>
          </w:p>
        </w:tc>
      </w:tr>
      <w:tr w:rsidR="00221CD1" w:rsidRPr="00C273FD" w14:paraId="474F72F2"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284EECF3" w14:textId="3D1B9503" w:rsidR="00221CD1" w:rsidRPr="00C273FD" w:rsidRDefault="00C273FD"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2008</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09</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76E4F88C"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41</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873</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491FFDA2" w14:textId="66307B1D"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15</w:t>
            </w:r>
            <w:r w:rsidR="004F1485" w:rsidRPr="00C273FD">
              <w:rPr>
                <w:rFonts w:ascii="Arial" w:hAnsi="Arial" w:cs="Arial"/>
                <w:color w:val="000000"/>
                <w:sz w:val="18"/>
                <w:szCs w:val="18"/>
                <w:lang w:val="en-GB"/>
              </w:rPr>
              <w:t>,</w:t>
            </w:r>
            <w:r w:rsidR="00221CD1" w:rsidRPr="00C273FD">
              <w:rPr>
                <w:rFonts w:ascii="Arial" w:hAnsi="Arial" w:cs="Arial"/>
                <w:color w:val="000000"/>
                <w:sz w:val="18"/>
                <w:szCs w:val="18"/>
                <w:lang w:val="en-GB"/>
              </w:rPr>
              <w:t>017</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6B52038B"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251</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985</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445EE794"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9.8</w:t>
            </w:r>
          </w:p>
        </w:tc>
        <w:tc>
          <w:tcPr>
            <w:tcW w:w="1047" w:type="dxa"/>
            <w:tcBorders>
              <w:top w:val="single" w:sz="4" w:space="0" w:color="auto"/>
              <w:left w:val="nil"/>
              <w:bottom w:val="single" w:sz="4" w:space="0" w:color="auto"/>
              <w:right w:val="single" w:sz="4" w:space="0" w:color="000000"/>
            </w:tcBorders>
            <w:shd w:val="clear" w:color="FFFFFF" w:fill="FFFFFF"/>
          </w:tcPr>
          <w:p w14:paraId="07E6EAD1"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45.99</w:t>
            </w:r>
          </w:p>
        </w:tc>
        <w:tc>
          <w:tcPr>
            <w:tcW w:w="752" w:type="dxa"/>
            <w:tcBorders>
              <w:top w:val="single" w:sz="4" w:space="0" w:color="auto"/>
              <w:left w:val="nil"/>
              <w:bottom w:val="single" w:sz="4" w:space="0" w:color="auto"/>
              <w:right w:val="single" w:sz="4" w:space="0" w:color="000000"/>
            </w:tcBorders>
            <w:shd w:val="clear" w:color="FFFFFF" w:fill="FFFFFF"/>
          </w:tcPr>
          <w:p w14:paraId="40CB036E" w14:textId="6CEFFE5E"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2.3</w:t>
            </w:r>
          </w:p>
        </w:tc>
      </w:tr>
      <w:tr w:rsidR="001906DC" w:rsidRPr="00C273FD" w14:paraId="763E9EC2"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tcPr>
          <w:p w14:paraId="2EE3279D" w14:textId="5D1B045C" w:rsidR="001906DC" w:rsidRPr="00C273FD" w:rsidRDefault="001906DC" w:rsidP="00640722">
            <w:pPr>
              <w:jc w:val="center"/>
              <w:rPr>
                <w:rFonts w:ascii="Arial" w:hAnsi="Arial" w:cs="Arial"/>
                <w:b/>
                <w:bCs/>
                <w:color w:val="000000"/>
                <w:sz w:val="18"/>
                <w:szCs w:val="18"/>
                <w:lang w:val="en-GB"/>
              </w:rPr>
            </w:pPr>
            <w:r>
              <w:rPr>
                <w:rFonts w:ascii="Arial" w:hAnsi="Arial" w:cs="Arial"/>
                <w:b/>
                <w:bCs/>
                <w:color w:val="000000"/>
                <w:sz w:val="18"/>
                <w:szCs w:val="18"/>
                <w:lang w:val="en-GB"/>
              </w:rPr>
              <w:t>2009/10</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5B73735F" w14:textId="2C4CF092" w:rsidR="001906DC" w:rsidRPr="00C273FD" w:rsidRDefault="001906DC" w:rsidP="00AB18DE">
            <w:pPr>
              <w:jc w:val="right"/>
              <w:rPr>
                <w:rFonts w:ascii="Arial" w:hAnsi="Arial" w:cs="Arial"/>
                <w:color w:val="000000"/>
                <w:sz w:val="18"/>
                <w:szCs w:val="18"/>
                <w:lang w:val="en-GB"/>
              </w:rPr>
            </w:pPr>
            <w:r>
              <w:rPr>
                <w:rFonts w:ascii="Arial" w:hAnsi="Arial" w:cs="Arial"/>
                <w:color w:val="000000"/>
                <w:sz w:val="18"/>
                <w:szCs w:val="18"/>
                <w:lang w:val="en-GB"/>
              </w:rPr>
              <w:t>37745</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771DEC55" w14:textId="4D234739" w:rsidR="001906DC" w:rsidRDefault="001906DC" w:rsidP="00AB18DE">
            <w:pPr>
              <w:jc w:val="right"/>
              <w:rPr>
                <w:rFonts w:ascii="Arial" w:hAnsi="Arial" w:cs="Arial"/>
                <w:color w:val="000000"/>
                <w:sz w:val="18"/>
                <w:szCs w:val="18"/>
                <w:lang w:val="en-GB"/>
              </w:rPr>
            </w:pPr>
            <w:r>
              <w:rPr>
                <w:rFonts w:ascii="Arial" w:hAnsi="Arial" w:cs="Arial"/>
                <w:color w:val="000000"/>
                <w:sz w:val="18"/>
                <w:szCs w:val="18"/>
                <w:lang w:val="en-GB"/>
              </w:rPr>
              <w:t>29048</w:t>
            </w:r>
          </w:p>
        </w:tc>
        <w:tc>
          <w:tcPr>
            <w:tcW w:w="1495" w:type="dxa"/>
            <w:tcBorders>
              <w:top w:val="single" w:sz="4" w:space="0" w:color="auto"/>
              <w:left w:val="nil"/>
              <w:bottom w:val="single" w:sz="4" w:space="0" w:color="auto"/>
              <w:right w:val="single" w:sz="4" w:space="0" w:color="auto"/>
            </w:tcBorders>
            <w:shd w:val="clear" w:color="FFFFFF" w:fill="FFFFFF"/>
            <w:noWrap/>
            <w:vAlign w:val="center"/>
          </w:tcPr>
          <w:p w14:paraId="52007D80" w14:textId="6B2BD83C" w:rsidR="001906DC" w:rsidRPr="00C273FD" w:rsidRDefault="001906DC" w:rsidP="00AB18DE">
            <w:pPr>
              <w:jc w:val="right"/>
              <w:rPr>
                <w:rFonts w:ascii="Arial" w:hAnsi="Arial" w:cs="Arial"/>
                <w:color w:val="000000"/>
                <w:sz w:val="18"/>
                <w:szCs w:val="18"/>
                <w:lang w:val="en-GB"/>
              </w:rPr>
            </w:pPr>
            <w:r>
              <w:rPr>
                <w:rFonts w:ascii="Arial" w:hAnsi="Arial" w:cs="Arial"/>
                <w:color w:val="000000"/>
                <w:sz w:val="18"/>
                <w:szCs w:val="18"/>
                <w:lang w:val="en-GB"/>
              </w:rPr>
              <w:t>279057</w:t>
            </w:r>
          </w:p>
        </w:tc>
        <w:tc>
          <w:tcPr>
            <w:tcW w:w="1229" w:type="dxa"/>
            <w:tcBorders>
              <w:top w:val="single" w:sz="4" w:space="0" w:color="auto"/>
              <w:left w:val="nil"/>
              <w:bottom w:val="single" w:sz="4" w:space="0" w:color="auto"/>
              <w:right w:val="single" w:sz="4" w:space="0" w:color="000000"/>
            </w:tcBorders>
            <w:shd w:val="clear" w:color="FFFFFF" w:fill="FFFFFF"/>
            <w:noWrap/>
            <w:vAlign w:val="center"/>
          </w:tcPr>
          <w:p w14:paraId="77DB84D1" w14:textId="7E415475" w:rsidR="001906DC" w:rsidRPr="00C273FD" w:rsidRDefault="00F67ADF" w:rsidP="00640722">
            <w:pPr>
              <w:tabs>
                <w:tab w:val="decimal" w:pos="603"/>
              </w:tabs>
              <w:rPr>
                <w:rFonts w:ascii="Arial" w:hAnsi="Arial" w:cs="Arial"/>
                <w:color w:val="000000"/>
                <w:sz w:val="18"/>
                <w:szCs w:val="18"/>
                <w:lang w:val="en-GB"/>
              </w:rPr>
            </w:pPr>
            <w:r>
              <w:rPr>
                <w:rFonts w:ascii="Arial" w:hAnsi="Arial" w:cs="Arial"/>
                <w:color w:val="000000"/>
                <w:sz w:val="18"/>
                <w:szCs w:val="18"/>
                <w:lang w:val="en-GB"/>
              </w:rPr>
              <w:t>11.1</w:t>
            </w:r>
          </w:p>
        </w:tc>
        <w:tc>
          <w:tcPr>
            <w:tcW w:w="1047" w:type="dxa"/>
            <w:tcBorders>
              <w:top w:val="single" w:sz="4" w:space="0" w:color="auto"/>
              <w:left w:val="nil"/>
              <w:bottom w:val="single" w:sz="4" w:space="0" w:color="auto"/>
              <w:right w:val="single" w:sz="4" w:space="0" w:color="000000"/>
            </w:tcBorders>
            <w:shd w:val="clear" w:color="FFFFFF" w:fill="FFFFFF"/>
          </w:tcPr>
          <w:p w14:paraId="3B8346A7" w14:textId="62C20072" w:rsidR="001906DC" w:rsidRPr="00C273FD" w:rsidRDefault="00F67ADF" w:rsidP="00640722">
            <w:pPr>
              <w:tabs>
                <w:tab w:val="decimal" w:pos="579"/>
              </w:tabs>
              <w:rPr>
                <w:rFonts w:ascii="Arial" w:hAnsi="Arial" w:cs="Arial"/>
                <w:color w:val="000000"/>
                <w:sz w:val="18"/>
                <w:szCs w:val="18"/>
                <w:lang w:val="en-GB"/>
              </w:rPr>
            </w:pPr>
            <w:r>
              <w:rPr>
                <w:rFonts w:ascii="Arial" w:hAnsi="Arial" w:cs="Arial"/>
                <w:color w:val="000000"/>
                <w:sz w:val="18"/>
                <w:szCs w:val="18"/>
                <w:lang w:val="en-GB"/>
              </w:rPr>
              <w:t>47.44</w:t>
            </w:r>
          </w:p>
        </w:tc>
        <w:tc>
          <w:tcPr>
            <w:tcW w:w="752" w:type="dxa"/>
            <w:tcBorders>
              <w:top w:val="single" w:sz="4" w:space="0" w:color="auto"/>
              <w:left w:val="nil"/>
              <w:bottom w:val="single" w:sz="4" w:space="0" w:color="auto"/>
              <w:right w:val="single" w:sz="4" w:space="0" w:color="000000"/>
            </w:tcBorders>
            <w:shd w:val="clear" w:color="FFFFFF" w:fill="FFFFFF"/>
          </w:tcPr>
          <w:p w14:paraId="363A50E8" w14:textId="7E579F1B" w:rsidR="001906DC" w:rsidRDefault="00F67ADF" w:rsidP="00AB18DE">
            <w:pPr>
              <w:jc w:val="right"/>
              <w:rPr>
                <w:rFonts w:ascii="Arial" w:hAnsi="Arial" w:cs="Arial"/>
                <w:color w:val="000000"/>
                <w:sz w:val="18"/>
                <w:szCs w:val="18"/>
                <w:lang w:val="en-GB"/>
              </w:rPr>
            </w:pPr>
            <w:r>
              <w:rPr>
                <w:rFonts w:ascii="Arial" w:hAnsi="Arial" w:cs="Arial"/>
                <w:color w:val="000000"/>
                <w:sz w:val="18"/>
                <w:szCs w:val="18"/>
                <w:lang w:val="en-GB"/>
              </w:rPr>
              <w:t>-2.8</w:t>
            </w:r>
          </w:p>
        </w:tc>
      </w:tr>
      <w:tr w:rsidR="00221CD1" w:rsidRPr="00C273FD" w14:paraId="4C137382"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4DF97B8A" w14:textId="4DFE5F7F"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2010</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11</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77053DDD"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847</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1F23343C"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29</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422</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24979978"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304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818</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66E768DB"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9.5</w:t>
            </w:r>
          </w:p>
        </w:tc>
        <w:tc>
          <w:tcPr>
            <w:tcW w:w="1047" w:type="dxa"/>
            <w:tcBorders>
              <w:top w:val="single" w:sz="4" w:space="0" w:color="auto"/>
              <w:left w:val="nil"/>
              <w:bottom w:val="single" w:sz="4" w:space="0" w:color="auto"/>
              <w:right w:val="single" w:sz="4" w:space="0" w:color="000000"/>
            </w:tcBorders>
            <w:shd w:val="clear" w:color="FFFFFF" w:fill="FFFFFF"/>
          </w:tcPr>
          <w:p w14:paraId="56AE98B6"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45.56</w:t>
            </w:r>
          </w:p>
        </w:tc>
        <w:tc>
          <w:tcPr>
            <w:tcW w:w="752" w:type="dxa"/>
            <w:tcBorders>
              <w:top w:val="single" w:sz="4" w:space="0" w:color="auto"/>
              <w:left w:val="nil"/>
              <w:bottom w:val="single" w:sz="4" w:space="0" w:color="auto"/>
              <w:right w:val="single" w:sz="4" w:space="0" w:color="000000"/>
            </w:tcBorders>
            <w:shd w:val="clear" w:color="FFFFFF" w:fill="FFFFFF"/>
          </w:tcPr>
          <w:p w14:paraId="03256154" w14:textId="32A27503"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2.8</w:t>
            </w:r>
          </w:p>
        </w:tc>
      </w:tr>
      <w:tr w:rsidR="00221CD1" w:rsidRPr="00C273FD" w14:paraId="4C100639"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tcPr>
          <w:p w14:paraId="21433193" w14:textId="1D6FC0D2"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2012</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13</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29D19BBC"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298</w:t>
            </w:r>
          </w:p>
        </w:tc>
        <w:tc>
          <w:tcPr>
            <w:tcW w:w="1300" w:type="dxa"/>
            <w:tcBorders>
              <w:top w:val="single" w:sz="4" w:space="0" w:color="auto"/>
              <w:left w:val="nil"/>
              <w:bottom w:val="single" w:sz="4" w:space="0" w:color="auto"/>
              <w:right w:val="single" w:sz="4" w:space="0" w:color="auto"/>
            </w:tcBorders>
            <w:shd w:val="clear" w:color="000000" w:fill="FFFFFF"/>
            <w:noWrap/>
            <w:vAlign w:val="bottom"/>
          </w:tcPr>
          <w:p w14:paraId="69505223"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27</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582</w:t>
            </w:r>
          </w:p>
        </w:tc>
        <w:tc>
          <w:tcPr>
            <w:tcW w:w="1495" w:type="dxa"/>
            <w:tcBorders>
              <w:top w:val="single" w:sz="4" w:space="0" w:color="auto"/>
              <w:left w:val="nil"/>
              <w:bottom w:val="single" w:sz="4" w:space="0" w:color="auto"/>
              <w:right w:val="single" w:sz="4" w:space="0" w:color="auto"/>
            </w:tcBorders>
            <w:shd w:val="clear" w:color="FFFFFF" w:fill="FFFFFF"/>
            <w:noWrap/>
            <w:vAlign w:val="center"/>
          </w:tcPr>
          <w:p w14:paraId="496BF68F"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292</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046</w:t>
            </w:r>
          </w:p>
        </w:tc>
        <w:tc>
          <w:tcPr>
            <w:tcW w:w="1229" w:type="dxa"/>
            <w:tcBorders>
              <w:top w:val="single" w:sz="4" w:space="0" w:color="auto"/>
              <w:left w:val="nil"/>
              <w:bottom w:val="single" w:sz="4" w:space="0" w:color="auto"/>
              <w:right w:val="single" w:sz="4" w:space="0" w:color="000000"/>
            </w:tcBorders>
            <w:shd w:val="clear" w:color="FFFFFF" w:fill="FFFFFF"/>
            <w:noWrap/>
            <w:vAlign w:val="center"/>
          </w:tcPr>
          <w:p w14:paraId="4DDEB0BA"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7.0</w:t>
            </w:r>
          </w:p>
        </w:tc>
        <w:tc>
          <w:tcPr>
            <w:tcW w:w="1047" w:type="dxa"/>
            <w:tcBorders>
              <w:top w:val="single" w:sz="4" w:space="0" w:color="auto"/>
              <w:left w:val="nil"/>
              <w:bottom w:val="single" w:sz="4" w:space="0" w:color="auto"/>
              <w:right w:val="single" w:sz="4" w:space="0" w:color="000000"/>
            </w:tcBorders>
            <w:shd w:val="clear" w:color="FFFFFF" w:fill="FFFFFF"/>
          </w:tcPr>
          <w:p w14:paraId="732EB52C" w14:textId="11864C88"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54.4</w:t>
            </w:r>
            <w:r w:rsidR="006B6FF7">
              <w:rPr>
                <w:rFonts w:ascii="Arial" w:hAnsi="Arial" w:cs="Arial"/>
                <w:color w:val="000000"/>
                <w:sz w:val="18"/>
                <w:szCs w:val="18"/>
                <w:lang w:val="en-GB"/>
              </w:rPr>
              <w:t>0</w:t>
            </w:r>
          </w:p>
        </w:tc>
        <w:tc>
          <w:tcPr>
            <w:tcW w:w="752" w:type="dxa"/>
            <w:tcBorders>
              <w:top w:val="single" w:sz="4" w:space="0" w:color="auto"/>
              <w:left w:val="nil"/>
              <w:bottom w:val="single" w:sz="4" w:space="0" w:color="auto"/>
              <w:right w:val="single" w:sz="4" w:space="0" w:color="000000"/>
            </w:tcBorders>
            <w:shd w:val="clear" w:color="FFFFFF" w:fill="FFFFFF"/>
          </w:tcPr>
          <w:p w14:paraId="61E93E83" w14:textId="6344EBC3"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4.8</w:t>
            </w:r>
          </w:p>
        </w:tc>
      </w:tr>
      <w:tr w:rsidR="00221CD1" w:rsidRPr="00C273FD" w14:paraId="31143DDE" w14:textId="77777777" w:rsidTr="009D10D4">
        <w:trPr>
          <w:trHeight w:val="56"/>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1DCBA25C" w14:textId="66158FDF"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2013</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14</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28205B3F"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36</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046</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7C593FB9"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5</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009</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06EE931F"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304</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223</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098EC9EE"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7.8</w:t>
            </w:r>
          </w:p>
        </w:tc>
        <w:tc>
          <w:tcPr>
            <w:tcW w:w="1047" w:type="dxa"/>
            <w:tcBorders>
              <w:top w:val="single" w:sz="4" w:space="0" w:color="auto"/>
              <w:left w:val="nil"/>
              <w:bottom w:val="single" w:sz="4" w:space="0" w:color="auto"/>
              <w:right w:val="single" w:sz="4" w:space="0" w:color="000000"/>
            </w:tcBorders>
            <w:shd w:val="clear" w:color="FFFFFF" w:fill="FFFFFF"/>
          </w:tcPr>
          <w:p w14:paraId="45E575BE"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60.50</w:t>
            </w:r>
          </w:p>
        </w:tc>
        <w:tc>
          <w:tcPr>
            <w:tcW w:w="752" w:type="dxa"/>
            <w:tcBorders>
              <w:top w:val="single" w:sz="4" w:space="0" w:color="auto"/>
              <w:left w:val="nil"/>
              <w:bottom w:val="single" w:sz="4" w:space="0" w:color="auto"/>
              <w:right w:val="single" w:sz="4" w:space="0" w:color="000000"/>
            </w:tcBorders>
            <w:shd w:val="clear" w:color="FFFFFF" w:fill="FFFFFF"/>
          </w:tcPr>
          <w:p w14:paraId="0EE2E267" w14:textId="643D5DC3"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1.7</w:t>
            </w:r>
          </w:p>
        </w:tc>
      </w:tr>
      <w:tr w:rsidR="00221CD1" w:rsidRPr="00C273FD" w14:paraId="134779A2"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70964D2E" w14:textId="2142F66E" w:rsidR="00221CD1" w:rsidRPr="00C273FD" w:rsidRDefault="00221CD1"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2014</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15</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511BCE41"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45</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148</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32C466DC"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40</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923</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33AAD832"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341</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638</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3C34BA93"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8.9</w:t>
            </w:r>
          </w:p>
        </w:tc>
        <w:tc>
          <w:tcPr>
            <w:tcW w:w="1047" w:type="dxa"/>
            <w:tcBorders>
              <w:top w:val="single" w:sz="4" w:space="0" w:color="auto"/>
              <w:left w:val="nil"/>
              <w:bottom w:val="single" w:sz="4" w:space="0" w:color="auto"/>
              <w:right w:val="single" w:sz="4" w:space="0" w:color="000000"/>
            </w:tcBorders>
            <w:shd w:val="clear" w:color="FFFFFF" w:fill="FFFFFF"/>
          </w:tcPr>
          <w:p w14:paraId="4DE66D06"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61.14</w:t>
            </w:r>
          </w:p>
        </w:tc>
        <w:tc>
          <w:tcPr>
            <w:tcW w:w="752" w:type="dxa"/>
            <w:tcBorders>
              <w:top w:val="single" w:sz="4" w:space="0" w:color="auto"/>
              <w:left w:val="nil"/>
              <w:bottom w:val="single" w:sz="4" w:space="0" w:color="auto"/>
              <w:right w:val="single" w:sz="4" w:space="0" w:color="000000"/>
            </w:tcBorders>
            <w:shd w:val="clear" w:color="FFFFFF" w:fill="FFFFFF"/>
          </w:tcPr>
          <w:p w14:paraId="1BF14DEF" w14:textId="20F4A5B7"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1.3</w:t>
            </w:r>
          </w:p>
        </w:tc>
      </w:tr>
      <w:tr w:rsidR="00221CD1" w:rsidRPr="00C273FD" w14:paraId="18B68DC2" w14:textId="77777777" w:rsidTr="009D10D4">
        <w:trPr>
          <w:trHeight w:val="40"/>
          <w:jc w:val="center"/>
        </w:trPr>
        <w:tc>
          <w:tcPr>
            <w:tcW w:w="1300" w:type="dxa"/>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3811EAFB" w14:textId="64862975" w:rsidR="00221CD1" w:rsidRPr="00C273FD" w:rsidRDefault="00C273FD" w:rsidP="00640722">
            <w:pPr>
              <w:jc w:val="center"/>
              <w:rPr>
                <w:rFonts w:ascii="Arial" w:hAnsi="Arial" w:cs="Arial"/>
                <w:b/>
                <w:bCs/>
                <w:color w:val="000000"/>
                <w:sz w:val="18"/>
                <w:szCs w:val="18"/>
                <w:lang w:val="en-GB"/>
              </w:rPr>
            </w:pPr>
            <w:r w:rsidRPr="00C273FD">
              <w:rPr>
                <w:rFonts w:ascii="Arial" w:hAnsi="Arial" w:cs="Arial"/>
                <w:b/>
                <w:bCs/>
                <w:color w:val="000000"/>
                <w:sz w:val="18"/>
                <w:szCs w:val="18"/>
                <w:lang w:val="en-GB"/>
              </w:rPr>
              <w:t>2015</w:t>
            </w:r>
            <w:r w:rsidR="00B31DC6">
              <w:rPr>
                <w:rFonts w:ascii="Arial" w:hAnsi="Arial" w:cs="Arial"/>
                <w:b/>
                <w:bCs/>
                <w:color w:val="000000"/>
                <w:sz w:val="18"/>
                <w:szCs w:val="18"/>
                <w:lang w:val="en-GB"/>
              </w:rPr>
              <w:t>/</w:t>
            </w:r>
            <w:r w:rsidRPr="00C273FD">
              <w:rPr>
                <w:rFonts w:ascii="Arial" w:hAnsi="Arial" w:cs="Arial"/>
                <w:b/>
                <w:bCs/>
                <w:color w:val="000000"/>
                <w:sz w:val="18"/>
                <w:szCs w:val="18"/>
                <w:lang w:val="en-GB"/>
              </w:rPr>
              <w:t>16</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227082B1"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55</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457</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14:paraId="51527C2B" w14:textId="09F14E64"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3</w:t>
            </w:r>
            <w:r w:rsidR="004F1485" w:rsidRPr="00C273FD">
              <w:rPr>
                <w:rFonts w:ascii="Arial" w:hAnsi="Arial" w:cs="Arial"/>
                <w:color w:val="000000"/>
                <w:sz w:val="18"/>
                <w:szCs w:val="18"/>
                <w:lang w:val="en-GB"/>
              </w:rPr>
              <w:t>,</w:t>
            </w:r>
            <w:r w:rsidR="00221CD1" w:rsidRPr="00C273FD">
              <w:rPr>
                <w:rFonts w:ascii="Arial" w:hAnsi="Arial" w:cs="Arial"/>
                <w:color w:val="000000"/>
                <w:sz w:val="18"/>
                <w:szCs w:val="18"/>
                <w:lang w:val="en-GB"/>
              </w:rPr>
              <w:t>516</w:t>
            </w:r>
          </w:p>
        </w:tc>
        <w:tc>
          <w:tcPr>
            <w:tcW w:w="1495" w:type="dxa"/>
            <w:tcBorders>
              <w:top w:val="single" w:sz="4" w:space="0" w:color="auto"/>
              <w:left w:val="nil"/>
              <w:bottom w:val="single" w:sz="4" w:space="0" w:color="auto"/>
              <w:right w:val="single" w:sz="4" w:space="0" w:color="auto"/>
            </w:tcBorders>
            <w:shd w:val="clear" w:color="FFFFFF" w:fill="FFFFFF"/>
            <w:noWrap/>
            <w:vAlign w:val="center"/>
            <w:hideMark/>
          </w:tcPr>
          <w:p w14:paraId="64725C7A" w14:textId="77777777" w:rsidR="00221CD1" w:rsidRPr="00C273FD" w:rsidRDefault="00221CD1" w:rsidP="00AB18DE">
            <w:pPr>
              <w:jc w:val="right"/>
              <w:rPr>
                <w:rFonts w:ascii="Arial" w:hAnsi="Arial" w:cs="Arial"/>
                <w:color w:val="000000"/>
                <w:sz w:val="18"/>
                <w:szCs w:val="18"/>
                <w:lang w:val="en-GB"/>
              </w:rPr>
            </w:pPr>
            <w:r w:rsidRPr="00C273FD">
              <w:rPr>
                <w:rFonts w:ascii="Arial" w:hAnsi="Arial" w:cs="Arial"/>
                <w:color w:val="000000"/>
                <w:sz w:val="18"/>
                <w:szCs w:val="18"/>
                <w:lang w:val="en-GB"/>
              </w:rPr>
              <w:t>360</w:t>
            </w:r>
            <w:r w:rsidR="004F1485" w:rsidRPr="00C273FD">
              <w:rPr>
                <w:rFonts w:ascii="Arial" w:hAnsi="Arial" w:cs="Arial"/>
                <w:color w:val="000000"/>
                <w:sz w:val="18"/>
                <w:szCs w:val="18"/>
                <w:lang w:val="en-GB"/>
              </w:rPr>
              <w:t>,</w:t>
            </w:r>
            <w:r w:rsidRPr="00C273FD">
              <w:rPr>
                <w:rFonts w:ascii="Arial" w:hAnsi="Arial" w:cs="Arial"/>
                <w:color w:val="000000"/>
                <w:sz w:val="18"/>
                <w:szCs w:val="18"/>
                <w:lang w:val="en-GB"/>
              </w:rPr>
              <w:t>176</w:t>
            </w:r>
          </w:p>
        </w:tc>
        <w:tc>
          <w:tcPr>
            <w:tcW w:w="1229" w:type="dxa"/>
            <w:tcBorders>
              <w:top w:val="single" w:sz="4" w:space="0" w:color="auto"/>
              <w:left w:val="nil"/>
              <w:bottom w:val="single" w:sz="4" w:space="0" w:color="auto"/>
              <w:right w:val="single" w:sz="4" w:space="0" w:color="000000"/>
            </w:tcBorders>
            <w:shd w:val="clear" w:color="FFFFFF" w:fill="FFFFFF"/>
            <w:noWrap/>
            <w:vAlign w:val="center"/>
            <w:hideMark/>
          </w:tcPr>
          <w:p w14:paraId="1252B2E1" w14:textId="77777777" w:rsidR="00221CD1" w:rsidRPr="00C273FD" w:rsidRDefault="00221CD1" w:rsidP="00640722">
            <w:pPr>
              <w:tabs>
                <w:tab w:val="decimal" w:pos="603"/>
              </w:tabs>
              <w:rPr>
                <w:rFonts w:ascii="Arial" w:hAnsi="Arial" w:cs="Arial"/>
                <w:color w:val="000000"/>
                <w:sz w:val="18"/>
                <w:szCs w:val="18"/>
                <w:lang w:val="en-GB"/>
              </w:rPr>
            </w:pPr>
            <w:r w:rsidRPr="00C273FD">
              <w:rPr>
                <w:rFonts w:ascii="Arial" w:hAnsi="Arial" w:cs="Arial"/>
                <w:color w:val="000000"/>
                <w:sz w:val="18"/>
                <w:szCs w:val="18"/>
                <w:lang w:val="en-GB"/>
              </w:rPr>
              <w:t>10.9</w:t>
            </w:r>
          </w:p>
        </w:tc>
        <w:tc>
          <w:tcPr>
            <w:tcW w:w="1047" w:type="dxa"/>
            <w:tcBorders>
              <w:top w:val="single" w:sz="4" w:space="0" w:color="auto"/>
              <w:left w:val="nil"/>
              <w:bottom w:val="single" w:sz="4" w:space="0" w:color="auto"/>
              <w:right w:val="single" w:sz="4" w:space="0" w:color="000000"/>
            </w:tcBorders>
            <w:shd w:val="clear" w:color="FFFFFF" w:fill="FFFFFF"/>
          </w:tcPr>
          <w:p w14:paraId="09A50D33" w14:textId="77777777" w:rsidR="00221CD1" w:rsidRPr="00C273FD" w:rsidRDefault="00221CD1" w:rsidP="00640722">
            <w:pPr>
              <w:tabs>
                <w:tab w:val="decimal" w:pos="579"/>
              </w:tabs>
              <w:rPr>
                <w:rFonts w:ascii="Arial" w:hAnsi="Arial" w:cs="Arial"/>
                <w:color w:val="000000"/>
                <w:sz w:val="18"/>
                <w:szCs w:val="18"/>
                <w:lang w:val="en-GB"/>
              </w:rPr>
            </w:pPr>
            <w:r w:rsidRPr="00C273FD">
              <w:rPr>
                <w:rFonts w:ascii="Arial" w:hAnsi="Arial" w:cs="Arial"/>
                <w:color w:val="000000"/>
                <w:sz w:val="18"/>
                <w:szCs w:val="18"/>
                <w:lang w:val="en-GB"/>
              </w:rPr>
              <w:t>65.47</w:t>
            </w:r>
          </w:p>
        </w:tc>
        <w:tc>
          <w:tcPr>
            <w:tcW w:w="752" w:type="dxa"/>
            <w:tcBorders>
              <w:top w:val="single" w:sz="4" w:space="0" w:color="auto"/>
              <w:left w:val="nil"/>
              <w:bottom w:val="single" w:sz="4" w:space="0" w:color="auto"/>
              <w:right w:val="single" w:sz="4" w:space="0" w:color="000000"/>
            </w:tcBorders>
            <w:shd w:val="clear" w:color="FFFFFF" w:fill="FFFFFF"/>
          </w:tcPr>
          <w:p w14:paraId="1BF81E7E" w14:textId="0959007D" w:rsidR="00221CD1" w:rsidRPr="00C273FD" w:rsidRDefault="00B31DC6" w:rsidP="00AB18DE">
            <w:pPr>
              <w:jc w:val="right"/>
              <w:rPr>
                <w:rFonts w:ascii="Arial" w:hAnsi="Arial" w:cs="Arial"/>
                <w:color w:val="000000"/>
                <w:sz w:val="18"/>
                <w:szCs w:val="18"/>
                <w:lang w:val="en-GB"/>
              </w:rPr>
            </w:pPr>
            <w:r>
              <w:rPr>
                <w:rFonts w:ascii="Arial" w:hAnsi="Arial" w:cs="Arial"/>
                <w:color w:val="000000"/>
                <w:sz w:val="18"/>
                <w:szCs w:val="18"/>
                <w:lang w:val="en-GB"/>
              </w:rPr>
              <w:t>–</w:t>
            </w:r>
            <w:r w:rsidR="00221CD1" w:rsidRPr="00C273FD">
              <w:rPr>
                <w:rFonts w:ascii="Arial" w:hAnsi="Arial" w:cs="Arial"/>
                <w:color w:val="000000"/>
                <w:sz w:val="18"/>
                <w:szCs w:val="18"/>
                <w:lang w:val="en-GB"/>
              </w:rPr>
              <w:t>1.1</w:t>
            </w:r>
          </w:p>
        </w:tc>
      </w:tr>
    </w:tbl>
    <w:p w14:paraId="2E6917FB" w14:textId="77777777" w:rsidR="00221CD1" w:rsidRPr="00C273FD" w:rsidRDefault="00221CD1" w:rsidP="00221CD1">
      <w:pPr>
        <w:widowControl w:val="0"/>
        <w:autoSpaceDE w:val="0"/>
        <w:autoSpaceDN w:val="0"/>
        <w:adjustRightInd w:val="0"/>
        <w:jc w:val="both"/>
        <w:rPr>
          <w:rFonts w:ascii="Arial" w:hAnsi="Arial" w:cs="Arial"/>
          <w:color w:val="1A1A1A"/>
          <w:lang w:val="en-GB"/>
        </w:rPr>
      </w:pPr>
    </w:p>
    <w:p w14:paraId="1A655608" w14:textId="2F90EB26" w:rsidR="00A218D7" w:rsidRDefault="00A218D7" w:rsidP="00886EEF">
      <w:pPr>
        <w:pStyle w:val="Footnote"/>
        <w:rPr>
          <w:lang w:val="en-GB"/>
        </w:rPr>
      </w:pPr>
      <w:r>
        <w:rPr>
          <w:lang w:val="en-GB"/>
        </w:rPr>
        <w:t xml:space="preserve">Note: </w:t>
      </w:r>
      <w:r w:rsidR="00F51465">
        <w:rPr>
          <w:lang w:val="en-GB"/>
        </w:rPr>
        <w:t>FDI = foreign direct investment; FIIs = f</w:t>
      </w:r>
      <w:r>
        <w:rPr>
          <w:lang w:val="en-GB"/>
        </w:rPr>
        <w:t>oreign institutional investors</w:t>
      </w:r>
      <w:r w:rsidR="00CE2BFF">
        <w:rPr>
          <w:lang w:val="en-GB"/>
        </w:rPr>
        <w:t xml:space="preserve">; </w:t>
      </w:r>
      <w:r w:rsidR="00846415" w:rsidRPr="00846415">
        <w:t>₹</w:t>
      </w:r>
      <w:r w:rsidR="00CE2BFF">
        <w:rPr>
          <w:lang w:val="en-GB"/>
        </w:rPr>
        <w:t xml:space="preserve"> = rupees; CAD = current account deficit</w:t>
      </w:r>
    </w:p>
    <w:p w14:paraId="10C9BD1F" w14:textId="7F792D47" w:rsidR="00221CD1" w:rsidRPr="00640722" w:rsidRDefault="00221CD1" w:rsidP="00886EEF">
      <w:pPr>
        <w:pStyle w:val="Footnote"/>
        <w:rPr>
          <w:b/>
          <w:lang w:val="en-GB"/>
        </w:rPr>
      </w:pPr>
      <w:r w:rsidRPr="00C273FD">
        <w:rPr>
          <w:lang w:val="en-GB"/>
        </w:rPr>
        <w:t>Source: R</w:t>
      </w:r>
      <w:r w:rsidR="0011387F">
        <w:rPr>
          <w:lang w:val="en-GB"/>
        </w:rPr>
        <w:t xml:space="preserve">eserve </w:t>
      </w:r>
      <w:r w:rsidRPr="00C273FD">
        <w:rPr>
          <w:lang w:val="en-GB"/>
        </w:rPr>
        <w:t>B</w:t>
      </w:r>
      <w:r w:rsidR="0011387F">
        <w:rPr>
          <w:lang w:val="en-GB"/>
        </w:rPr>
        <w:t xml:space="preserve">ank of </w:t>
      </w:r>
      <w:r w:rsidRPr="00C273FD">
        <w:rPr>
          <w:lang w:val="en-GB"/>
        </w:rPr>
        <w:t>I</w:t>
      </w:r>
      <w:r w:rsidR="0011387F">
        <w:rPr>
          <w:lang w:val="en-GB"/>
        </w:rPr>
        <w:t>ndia</w:t>
      </w:r>
      <w:r w:rsidRPr="00C273FD">
        <w:rPr>
          <w:lang w:val="en-GB"/>
        </w:rPr>
        <w:t xml:space="preserve">, </w:t>
      </w:r>
      <w:r w:rsidRPr="00640722">
        <w:rPr>
          <w:i/>
          <w:lang w:val="en-GB"/>
        </w:rPr>
        <w:t>Handbook of Statistics on the Indian Economy</w:t>
      </w:r>
      <w:r w:rsidR="00F67ADF">
        <w:rPr>
          <w:lang w:val="en-GB"/>
        </w:rPr>
        <w:t xml:space="preserve">, accessed January 2, 2017, </w:t>
      </w:r>
      <w:r w:rsidR="00F67ADF" w:rsidRPr="00D846EE">
        <w:rPr>
          <w:lang w:val="en-GB"/>
        </w:rPr>
        <w:t>https://dbie.rbi.org.in/DBIE/dbie.rbi?site=publications</w:t>
      </w:r>
      <w:r w:rsidR="006B6FF7">
        <w:rPr>
          <w:lang w:val="en-GB"/>
        </w:rPr>
        <w:t>.</w:t>
      </w:r>
      <w:r w:rsidR="00F67ADF">
        <w:rPr>
          <w:lang w:val="en-GB"/>
        </w:rPr>
        <w:t xml:space="preserve"> </w:t>
      </w:r>
      <w:r w:rsidRPr="00C273FD">
        <w:rPr>
          <w:lang w:val="en-GB"/>
        </w:rPr>
        <w:t xml:space="preserve"> </w:t>
      </w:r>
    </w:p>
    <w:p w14:paraId="266905EF" w14:textId="77777777" w:rsidR="00886EEF" w:rsidRPr="00C273FD" w:rsidRDefault="00886EEF" w:rsidP="00221CD1">
      <w:pPr>
        <w:pStyle w:val="EndnoteText"/>
        <w:rPr>
          <w:rFonts w:ascii="Arial" w:hAnsi="Arial" w:cs="Arial"/>
          <w:sz w:val="18"/>
          <w:szCs w:val="18"/>
          <w:lang w:val="en-GB"/>
        </w:rPr>
      </w:pPr>
    </w:p>
    <w:p w14:paraId="26157A17" w14:textId="77777777" w:rsidR="00886EEF" w:rsidRPr="00C273FD" w:rsidRDefault="00886EEF" w:rsidP="00221CD1">
      <w:pPr>
        <w:pStyle w:val="EndnoteText"/>
        <w:rPr>
          <w:rFonts w:ascii="Arial" w:hAnsi="Arial" w:cs="Arial"/>
          <w:sz w:val="18"/>
          <w:szCs w:val="18"/>
          <w:lang w:val="en-GB"/>
        </w:rPr>
      </w:pPr>
    </w:p>
    <w:p w14:paraId="51823935" w14:textId="77777777" w:rsidR="006B6FF7" w:rsidRDefault="00221CD1" w:rsidP="00735AF5">
      <w:pPr>
        <w:pStyle w:val="ExhibitHeading"/>
        <w:rPr>
          <w:lang w:val="en-GB"/>
        </w:rPr>
      </w:pPr>
      <w:r w:rsidRPr="00C273FD">
        <w:rPr>
          <w:lang w:val="en-GB"/>
        </w:rPr>
        <w:t xml:space="preserve">EXHIBIT 6: SELECT FISCAL INDICATORS OF THE </w:t>
      </w:r>
      <w:r w:rsidR="00CE2BFF">
        <w:rPr>
          <w:lang w:val="en-GB"/>
        </w:rPr>
        <w:t xml:space="preserve">indian </w:t>
      </w:r>
      <w:r w:rsidRPr="00C273FD">
        <w:rPr>
          <w:lang w:val="en-GB"/>
        </w:rPr>
        <w:t>CENTRAL GOVERNMENT</w:t>
      </w:r>
      <w:r w:rsidR="00CE2BFF">
        <w:rPr>
          <w:lang w:val="en-GB"/>
        </w:rPr>
        <w:t xml:space="preserve">, </w:t>
      </w:r>
    </w:p>
    <w:p w14:paraId="20F99D26" w14:textId="52B5337C" w:rsidR="00221CD1" w:rsidRPr="00C273FD" w:rsidRDefault="00CE2BFF" w:rsidP="00735AF5">
      <w:pPr>
        <w:pStyle w:val="ExhibitHeading"/>
        <w:rPr>
          <w:lang w:val="en-GB"/>
        </w:rPr>
      </w:pPr>
      <w:r>
        <w:rPr>
          <w:lang w:val="en-GB"/>
        </w:rPr>
        <w:t>selected years, 1990/91 to 2015/16</w:t>
      </w:r>
      <w:r w:rsidR="00221CD1" w:rsidRPr="00C273FD">
        <w:rPr>
          <w:lang w:val="en-GB"/>
        </w:rPr>
        <w:t xml:space="preserve"> (AS A</w:t>
      </w:r>
      <w:r w:rsidR="00C273FD" w:rsidRPr="00C273FD">
        <w:rPr>
          <w:lang w:val="en-GB"/>
        </w:rPr>
        <w:t xml:space="preserve"> </w:t>
      </w:r>
      <w:r w:rsidR="00F60503">
        <w:rPr>
          <w:lang w:val="en-GB"/>
        </w:rPr>
        <w:t xml:space="preserve">% </w:t>
      </w:r>
      <w:r w:rsidR="00221CD1" w:rsidRPr="00C273FD">
        <w:rPr>
          <w:lang w:val="en-GB"/>
        </w:rPr>
        <w:t>OF GDP)</w:t>
      </w:r>
    </w:p>
    <w:p w14:paraId="230E77A6" w14:textId="77777777" w:rsidR="00221CD1" w:rsidRPr="00C273FD" w:rsidRDefault="00221CD1" w:rsidP="00221CD1">
      <w:pPr>
        <w:widowControl w:val="0"/>
        <w:autoSpaceDE w:val="0"/>
        <w:autoSpaceDN w:val="0"/>
        <w:adjustRightInd w:val="0"/>
        <w:jc w:val="both"/>
        <w:rPr>
          <w:rFonts w:ascii="Arial" w:hAnsi="Arial" w:cs="Arial"/>
          <w:color w:val="1A1A1A"/>
          <w:lang w:val="en-GB"/>
        </w:rPr>
      </w:pPr>
    </w:p>
    <w:tbl>
      <w:tblPr>
        <w:tblW w:w="0" w:type="auto"/>
        <w:jc w:val="center"/>
        <w:tblLayout w:type="fixed"/>
        <w:tblCellMar>
          <w:left w:w="0" w:type="dxa"/>
          <w:right w:w="0" w:type="dxa"/>
        </w:tblCellMar>
        <w:tblLook w:val="04A0" w:firstRow="1" w:lastRow="0" w:firstColumn="1" w:lastColumn="0" w:noHBand="0" w:noVBand="1"/>
      </w:tblPr>
      <w:tblGrid>
        <w:gridCol w:w="562"/>
        <w:gridCol w:w="567"/>
        <w:gridCol w:w="709"/>
        <w:gridCol w:w="709"/>
        <w:gridCol w:w="567"/>
        <w:gridCol w:w="567"/>
        <w:gridCol w:w="567"/>
        <w:gridCol w:w="709"/>
        <w:gridCol w:w="992"/>
        <w:gridCol w:w="850"/>
        <w:gridCol w:w="907"/>
        <w:gridCol w:w="612"/>
        <w:gridCol w:w="850"/>
      </w:tblGrid>
      <w:tr w:rsidR="00F60503" w:rsidRPr="00F60503" w14:paraId="694C7350" w14:textId="77777777" w:rsidTr="00F60503">
        <w:trPr>
          <w:trHeight w:val="300"/>
          <w:tblHeader/>
          <w:jc w:val="center"/>
        </w:trPr>
        <w:tc>
          <w:tcPr>
            <w:tcW w:w="56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D10E1A9" w14:textId="77777777" w:rsidR="00221CD1" w:rsidRPr="00F60503" w:rsidRDefault="00221CD1" w:rsidP="00AB18DE">
            <w:pPr>
              <w:jc w:val="center"/>
              <w:rPr>
                <w:rFonts w:ascii="Arial" w:hAnsi="Arial" w:cs="Arial"/>
                <w:b/>
                <w:color w:val="000000"/>
                <w:sz w:val="14"/>
                <w:szCs w:val="16"/>
                <w:lang w:val="en-GB"/>
              </w:rPr>
            </w:pPr>
            <w:r w:rsidRPr="00F60503">
              <w:rPr>
                <w:rFonts w:ascii="Arial" w:hAnsi="Arial" w:cs="Arial"/>
                <w:b/>
                <w:color w:val="000000"/>
                <w:sz w:val="14"/>
                <w:szCs w:val="16"/>
                <w:lang w:val="en-GB"/>
              </w:rPr>
              <w:t>Year</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BADFFBE"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Gross Fiscal Deficit</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D38CC81" w14:textId="36746AB1" w:rsidR="00221CD1" w:rsidRPr="00F60503" w:rsidRDefault="00221CD1" w:rsidP="00CE2BFF">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 xml:space="preserve">Revenue </w:t>
            </w:r>
            <w:r w:rsidR="00CE2BFF" w:rsidRPr="00F60503">
              <w:rPr>
                <w:rFonts w:ascii="Arial" w:hAnsi="Arial" w:cs="Arial"/>
                <w:b/>
                <w:bCs/>
                <w:color w:val="000000"/>
                <w:sz w:val="14"/>
                <w:szCs w:val="16"/>
                <w:lang w:val="en-GB"/>
              </w:rPr>
              <w:t>D</w:t>
            </w:r>
            <w:r w:rsidRPr="00F60503">
              <w:rPr>
                <w:rFonts w:ascii="Arial" w:hAnsi="Arial" w:cs="Arial"/>
                <w:b/>
                <w:bCs/>
                <w:color w:val="000000"/>
                <w:sz w:val="14"/>
                <w:szCs w:val="16"/>
                <w:lang w:val="en-GB"/>
              </w:rPr>
              <w:t>eficit</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70A3858"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Gross Primary Deficit</w:t>
            </w:r>
          </w:p>
        </w:tc>
        <w:tc>
          <w:tcPr>
            <w:tcW w:w="1701" w:type="dxa"/>
            <w:gridSpan w:val="3"/>
            <w:tcBorders>
              <w:top w:val="single" w:sz="4" w:space="0" w:color="auto"/>
              <w:left w:val="nil"/>
              <w:bottom w:val="single" w:sz="4" w:space="0" w:color="auto"/>
              <w:right w:val="single" w:sz="4" w:space="0" w:color="auto"/>
            </w:tcBorders>
            <w:shd w:val="clear" w:color="auto" w:fill="auto"/>
            <w:vAlign w:val="center"/>
            <w:hideMark/>
          </w:tcPr>
          <w:p w14:paraId="5E206CBF" w14:textId="2B2DD361" w:rsidR="00221CD1" w:rsidRPr="00F60503" w:rsidRDefault="00221CD1" w:rsidP="00CE2BFF">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 xml:space="preserve">Gross </w:t>
            </w:r>
            <w:r w:rsidR="00CE2BFF" w:rsidRPr="00F60503">
              <w:rPr>
                <w:rFonts w:ascii="Arial" w:hAnsi="Arial" w:cs="Arial"/>
                <w:b/>
                <w:bCs/>
                <w:color w:val="000000"/>
                <w:sz w:val="14"/>
                <w:szCs w:val="16"/>
                <w:lang w:val="en-GB"/>
              </w:rPr>
              <w:t>T</w:t>
            </w:r>
            <w:r w:rsidRPr="00F60503">
              <w:rPr>
                <w:rFonts w:ascii="Arial" w:hAnsi="Arial" w:cs="Arial"/>
                <w:b/>
                <w:bCs/>
                <w:color w:val="000000"/>
                <w:sz w:val="14"/>
                <w:szCs w:val="16"/>
                <w:lang w:val="en-GB"/>
              </w:rPr>
              <w:t>ax</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F8C111"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Tax Revenue Net</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136F50"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Revenue Expenditure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A20424"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Interest Payments</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8595C5"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Capital Expenditure</w:t>
            </w:r>
          </w:p>
        </w:tc>
        <w:tc>
          <w:tcPr>
            <w:tcW w:w="6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CF855A"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Capital Outlay</w:t>
            </w:r>
          </w:p>
        </w:tc>
        <w:tc>
          <w:tcPr>
            <w:tcW w:w="850" w:type="dxa"/>
            <w:vMerge w:val="restart"/>
            <w:tcBorders>
              <w:top w:val="single" w:sz="4" w:space="0" w:color="auto"/>
              <w:left w:val="single" w:sz="4" w:space="0" w:color="auto"/>
              <w:bottom w:val="single" w:sz="4" w:space="0" w:color="auto"/>
              <w:right w:val="single" w:sz="4" w:space="0" w:color="000000"/>
            </w:tcBorders>
            <w:shd w:val="clear" w:color="auto" w:fill="auto"/>
            <w:vAlign w:val="center"/>
            <w:hideMark/>
          </w:tcPr>
          <w:p w14:paraId="6B3B9EEA"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Total Expenditure</w:t>
            </w:r>
          </w:p>
        </w:tc>
      </w:tr>
      <w:tr w:rsidR="00F60503" w:rsidRPr="00F60503" w14:paraId="4D77D9B2" w14:textId="77777777" w:rsidTr="00F60503">
        <w:trPr>
          <w:trHeight w:val="463"/>
          <w:tblHeader/>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4F0AB17" w14:textId="77777777" w:rsidR="00221CD1" w:rsidRPr="00F60503" w:rsidRDefault="00221CD1" w:rsidP="00AB18DE">
            <w:pPr>
              <w:rPr>
                <w:rFonts w:ascii="Arial" w:hAnsi="Arial" w:cs="Arial"/>
                <w:color w:val="000000"/>
                <w:sz w:val="14"/>
                <w:szCs w:val="16"/>
                <w:lang w:val="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FE061D5" w14:textId="77777777" w:rsidR="00221CD1" w:rsidRPr="00F60503" w:rsidRDefault="00221CD1" w:rsidP="00AB18DE">
            <w:pPr>
              <w:rPr>
                <w:rFonts w:ascii="Arial" w:hAnsi="Arial" w:cs="Arial"/>
                <w:b/>
                <w:bCs/>
                <w:color w:val="000000"/>
                <w:sz w:val="14"/>
                <w:szCs w:val="16"/>
                <w:lang w:val="en-GB"/>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E15DF01" w14:textId="77777777" w:rsidR="00221CD1" w:rsidRPr="00F60503" w:rsidRDefault="00221CD1" w:rsidP="00AB18DE">
            <w:pPr>
              <w:rPr>
                <w:rFonts w:ascii="Arial" w:hAnsi="Arial" w:cs="Arial"/>
                <w:b/>
                <w:bCs/>
                <w:color w:val="000000"/>
                <w:sz w:val="14"/>
                <w:szCs w:val="16"/>
                <w:lang w:val="en-GB"/>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818ECCD" w14:textId="77777777" w:rsidR="00221CD1" w:rsidRPr="00F60503" w:rsidRDefault="00221CD1" w:rsidP="00AB18DE">
            <w:pPr>
              <w:rPr>
                <w:rFonts w:ascii="Arial" w:hAnsi="Arial" w:cs="Arial"/>
                <w:b/>
                <w:bCs/>
                <w:color w:val="000000"/>
                <w:sz w:val="14"/>
                <w:szCs w:val="16"/>
                <w:lang w:val="en-GB"/>
              </w:rPr>
            </w:pPr>
          </w:p>
        </w:tc>
        <w:tc>
          <w:tcPr>
            <w:tcW w:w="567" w:type="dxa"/>
            <w:tcBorders>
              <w:top w:val="nil"/>
              <w:left w:val="nil"/>
              <w:bottom w:val="single" w:sz="4" w:space="0" w:color="auto"/>
              <w:right w:val="single" w:sz="4" w:space="0" w:color="auto"/>
            </w:tcBorders>
            <w:shd w:val="clear" w:color="auto" w:fill="auto"/>
            <w:vAlign w:val="center"/>
            <w:hideMark/>
          </w:tcPr>
          <w:p w14:paraId="0F413A3C"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Direct</w:t>
            </w:r>
          </w:p>
        </w:tc>
        <w:tc>
          <w:tcPr>
            <w:tcW w:w="567" w:type="dxa"/>
            <w:tcBorders>
              <w:top w:val="nil"/>
              <w:left w:val="nil"/>
              <w:bottom w:val="single" w:sz="4" w:space="0" w:color="auto"/>
              <w:right w:val="single" w:sz="4" w:space="0" w:color="auto"/>
            </w:tcBorders>
            <w:shd w:val="clear" w:color="auto" w:fill="auto"/>
            <w:vAlign w:val="center"/>
            <w:hideMark/>
          </w:tcPr>
          <w:p w14:paraId="5463C765"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Indirect</w:t>
            </w:r>
          </w:p>
        </w:tc>
        <w:tc>
          <w:tcPr>
            <w:tcW w:w="567" w:type="dxa"/>
            <w:tcBorders>
              <w:top w:val="nil"/>
              <w:left w:val="nil"/>
              <w:bottom w:val="single" w:sz="4" w:space="0" w:color="auto"/>
              <w:right w:val="single" w:sz="4" w:space="0" w:color="auto"/>
            </w:tcBorders>
            <w:shd w:val="clear" w:color="auto" w:fill="auto"/>
            <w:vAlign w:val="center"/>
            <w:hideMark/>
          </w:tcPr>
          <w:p w14:paraId="12E53EFE" w14:textId="77777777" w:rsidR="00221CD1" w:rsidRPr="00F60503" w:rsidRDefault="00221CD1" w:rsidP="00AB18DE">
            <w:pPr>
              <w:jc w:val="center"/>
              <w:rPr>
                <w:rFonts w:ascii="Arial" w:hAnsi="Arial" w:cs="Arial"/>
                <w:b/>
                <w:bCs/>
                <w:color w:val="000000"/>
                <w:sz w:val="14"/>
                <w:szCs w:val="16"/>
                <w:lang w:val="en-GB"/>
              </w:rPr>
            </w:pPr>
            <w:r w:rsidRPr="00F60503">
              <w:rPr>
                <w:rFonts w:ascii="Arial" w:hAnsi="Arial" w:cs="Arial"/>
                <w:b/>
                <w:bCs/>
                <w:color w:val="000000"/>
                <w:sz w:val="14"/>
                <w:szCs w:val="16"/>
                <w:lang w:val="en-GB"/>
              </w:rPr>
              <w:t>Total</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FAE4CD1" w14:textId="77777777" w:rsidR="00221CD1" w:rsidRPr="00F60503" w:rsidRDefault="00221CD1" w:rsidP="00AB18DE">
            <w:pPr>
              <w:rPr>
                <w:rFonts w:ascii="Arial" w:hAnsi="Arial" w:cs="Arial"/>
                <w:b/>
                <w:bCs/>
                <w:color w:val="000000"/>
                <w:sz w:val="14"/>
                <w:szCs w:val="16"/>
                <w:lang w:val="en-GB"/>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CC5F71E" w14:textId="77777777" w:rsidR="00221CD1" w:rsidRPr="00F60503" w:rsidRDefault="00221CD1" w:rsidP="00AB18DE">
            <w:pPr>
              <w:rPr>
                <w:rFonts w:ascii="Arial" w:hAnsi="Arial" w:cs="Arial"/>
                <w:b/>
                <w:bCs/>
                <w:color w:val="000000"/>
                <w:sz w:val="14"/>
                <w:szCs w:val="16"/>
                <w:lang w:val="en-GB"/>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31A62A38" w14:textId="77777777" w:rsidR="00221CD1" w:rsidRPr="00F60503" w:rsidRDefault="00221CD1" w:rsidP="00AB18DE">
            <w:pPr>
              <w:rPr>
                <w:rFonts w:ascii="Arial" w:hAnsi="Arial" w:cs="Arial"/>
                <w:b/>
                <w:bCs/>
                <w:color w:val="000000"/>
                <w:sz w:val="14"/>
                <w:szCs w:val="16"/>
                <w:lang w:val="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EAE6489" w14:textId="77777777" w:rsidR="00221CD1" w:rsidRPr="00F60503" w:rsidRDefault="00221CD1" w:rsidP="00AB18DE">
            <w:pPr>
              <w:rPr>
                <w:rFonts w:ascii="Arial" w:hAnsi="Arial" w:cs="Arial"/>
                <w:b/>
                <w:bCs/>
                <w:color w:val="000000"/>
                <w:sz w:val="14"/>
                <w:szCs w:val="16"/>
                <w:lang w:val="en-GB"/>
              </w:rPr>
            </w:pPr>
          </w:p>
        </w:tc>
        <w:tc>
          <w:tcPr>
            <w:tcW w:w="612" w:type="dxa"/>
            <w:vMerge/>
            <w:tcBorders>
              <w:top w:val="single" w:sz="4" w:space="0" w:color="auto"/>
              <w:left w:val="single" w:sz="4" w:space="0" w:color="auto"/>
              <w:bottom w:val="single" w:sz="4" w:space="0" w:color="auto"/>
              <w:right w:val="single" w:sz="4" w:space="0" w:color="auto"/>
            </w:tcBorders>
            <w:vAlign w:val="center"/>
            <w:hideMark/>
          </w:tcPr>
          <w:p w14:paraId="1353AC78" w14:textId="77777777" w:rsidR="00221CD1" w:rsidRPr="00F60503" w:rsidRDefault="00221CD1" w:rsidP="00AB18DE">
            <w:pPr>
              <w:rPr>
                <w:rFonts w:ascii="Arial" w:hAnsi="Arial" w:cs="Arial"/>
                <w:b/>
                <w:bCs/>
                <w:color w:val="000000"/>
                <w:sz w:val="14"/>
                <w:szCs w:val="16"/>
                <w:lang w:val="en-GB"/>
              </w:rPr>
            </w:pPr>
          </w:p>
        </w:tc>
        <w:tc>
          <w:tcPr>
            <w:tcW w:w="850" w:type="dxa"/>
            <w:vMerge/>
            <w:tcBorders>
              <w:top w:val="single" w:sz="4" w:space="0" w:color="auto"/>
              <w:left w:val="single" w:sz="4" w:space="0" w:color="auto"/>
              <w:bottom w:val="single" w:sz="4" w:space="0" w:color="auto"/>
              <w:right w:val="single" w:sz="4" w:space="0" w:color="000000"/>
            </w:tcBorders>
            <w:vAlign w:val="center"/>
            <w:hideMark/>
          </w:tcPr>
          <w:p w14:paraId="0C0C4320" w14:textId="77777777" w:rsidR="00221CD1" w:rsidRPr="00F60503" w:rsidRDefault="00221CD1" w:rsidP="00AB18DE">
            <w:pPr>
              <w:rPr>
                <w:rFonts w:ascii="Arial" w:hAnsi="Arial" w:cs="Arial"/>
                <w:b/>
                <w:bCs/>
                <w:color w:val="000000"/>
                <w:sz w:val="14"/>
                <w:szCs w:val="16"/>
                <w:lang w:val="en-GB"/>
              </w:rPr>
            </w:pPr>
          </w:p>
        </w:tc>
      </w:tr>
      <w:tr w:rsidR="00F60503" w:rsidRPr="00F60503" w14:paraId="49002E02" w14:textId="77777777" w:rsidTr="00F60503">
        <w:trPr>
          <w:trHeight w:val="4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09E76EEA" w14:textId="18130A3B"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1990</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 xml:space="preserve">91 </w:t>
            </w:r>
          </w:p>
        </w:tc>
        <w:tc>
          <w:tcPr>
            <w:tcW w:w="567" w:type="dxa"/>
            <w:tcBorders>
              <w:top w:val="nil"/>
              <w:left w:val="nil"/>
              <w:bottom w:val="single" w:sz="4" w:space="0" w:color="auto"/>
              <w:right w:val="single" w:sz="4" w:space="0" w:color="auto"/>
            </w:tcBorders>
            <w:shd w:val="clear" w:color="auto" w:fill="auto"/>
            <w:vAlign w:val="bottom"/>
            <w:hideMark/>
          </w:tcPr>
          <w:p w14:paraId="0E96B40B"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7.61</w:t>
            </w:r>
          </w:p>
        </w:tc>
        <w:tc>
          <w:tcPr>
            <w:tcW w:w="709" w:type="dxa"/>
            <w:tcBorders>
              <w:top w:val="nil"/>
              <w:left w:val="nil"/>
              <w:bottom w:val="single" w:sz="4" w:space="0" w:color="auto"/>
              <w:right w:val="single" w:sz="4" w:space="0" w:color="auto"/>
            </w:tcBorders>
            <w:shd w:val="clear" w:color="auto" w:fill="auto"/>
            <w:vAlign w:val="bottom"/>
            <w:hideMark/>
          </w:tcPr>
          <w:p w14:paraId="4685C3D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3.17</w:t>
            </w:r>
          </w:p>
        </w:tc>
        <w:tc>
          <w:tcPr>
            <w:tcW w:w="709" w:type="dxa"/>
            <w:tcBorders>
              <w:top w:val="nil"/>
              <w:left w:val="nil"/>
              <w:bottom w:val="single" w:sz="4" w:space="0" w:color="auto"/>
              <w:right w:val="single" w:sz="4" w:space="0" w:color="auto"/>
            </w:tcBorders>
            <w:shd w:val="clear" w:color="auto" w:fill="auto"/>
            <w:vAlign w:val="bottom"/>
            <w:hideMark/>
          </w:tcPr>
          <w:p w14:paraId="14B6F1A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3.95</w:t>
            </w:r>
          </w:p>
        </w:tc>
        <w:tc>
          <w:tcPr>
            <w:tcW w:w="567" w:type="dxa"/>
            <w:tcBorders>
              <w:top w:val="nil"/>
              <w:left w:val="nil"/>
              <w:bottom w:val="single" w:sz="4" w:space="0" w:color="auto"/>
              <w:right w:val="single" w:sz="4" w:space="0" w:color="auto"/>
            </w:tcBorders>
            <w:shd w:val="clear" w:color="auto" w:fill="auto"/>
            <w:noWrap/>
            <w:vAlign w:val="bottom"/>
            <w:hideMark/>
          </w:tcPr>
          <w:p w14:paraId="4960CE95"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1.88</w:t>
            </w:r>
          </w:p>
        </w:tc>
        <w:tc>
          <w:tcPr>
            <w:tcW w:w="567" w:type="dxa"/>
            <w:tcBorders>
              <w:top w:val="nil"/>
              <w:left w:val="nil"/>
              <w:bottom w:val="single" w:sz="4" w:space="0" w:color="auto"/>
              <w:right w:val="single" w:sz="4" w:space="0" w:color="auto"/>
            </w:tcBorders>
            <w:shd w:val="clear" w:color="auto" w:fill="auto"/>
            <w:noWrap/>
            <w:vAlign w:val="bottom"/>
            <w:hideMark/>
          </w:tcPr>
          <w:p w14:paraId="21E21833"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7.94</w:t>
            </w:r>
          </w:p>
        </w:tc>
        <w:tc>
          <w:tcPr>
            <w:tcW w:w="567" w:type="dxa"/>
            <w:tcBorders>
              <w:top w:val="nil"/>
              <w:left w:val="nil"/>
              <w:bottom w:val="single" w:sz="4" w:space="0" w:color="auto"/>
              <w:right w:val="single" w:sz="4" w:space="0" w:color="auto"/>
            </w:tcBorders>
            <w:shd w:val="clear" w:color="auto" w:fill="auto"/>
            <w:noWrap/>
            <w:vAlign w:val="bottom"/>
            <w:hideMark/>
          </w:tcPr>
          <w:p w14:paraId="79C72FD8"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9.82</w:t>
            </w:r>
          </w:p>
        </w:tc>
        <w:tc>
          <w:tcPr>
            <w:tcW w:w="709" w:type="dxa"/>
            <w:tcBorders>
              <w:top w:val="nil"/>
              <w:left w:val="nil"/>
              <w:bottom w:val="single" w:sz="4" w:space="0" w:color="auto"/>
              <w:right w:val="single" w:sz="4" w:space="0" w:color="auto"/>
            </w:tcBorders>
            <w:shd w:val="clear" w:color="auto" w:fill="auto"/>
            <w:noWrap/>
            <w:vAlign w:val="bottom"/>
            <w:hideMark/>
          </w:tcPr>
          <w:p w14:paraId="69837112"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7.33</w:t>
            </w:r>
          </w:p>
        </w:tc>
        <w:tc>
          <w:tcPr>
            <w:tcW w:w="992" w:type="dxa"/>
            <w:tcBorders>
              <w:top w:val="nil"/>
              <w:left w:val="nil"/>
              <w:bottom w:val="single" w:sz="4" w:space="0" w:color="auto"/>
              <w:right w:val="single" w:sz="4" w:space="0" w:color="auto"/>
            </w:tcBorders>
            <w:shd w:val="clear" w:color="auto" w:fill="auto"/>
            <w:noWrap/>
            <w:vAlign w:val="bottom"/>
            <w:hideMark/>
          </w:tcPr>
          <w:p w14:paraId="7295A643"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12.54</w:t>
            </w:r>
          </w:p>
        </w:tc>
        <w:tc>
          <w:tcPr>
            <w:tcW w:w="850" w:type="dxa"/>
            <w:tcBorders>
              <w:top w:val="nil"/>
              <w:left w:val="nil"/>
              <w:bottom w:val="single" w:sz="4" w:space="0" w:color="auto"/>
              <w:right w:val="single" w:sz="4" w:space="0" w:color="auto"/>
            </w:tcBorders>
            <w:shd w:val="clear" w:color="auto" w:fill="auto"/>
            <w:noWrap/>
            <w:vAlign w:val="bottom"/>
            <w:hideMark/>
          </w:tcPr>
          <w:p w14:paraId="721859A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3.67</w:t>
            </w:r>
          </w:p>
        </w:tc>
        <w:tc>
          <w:tcPr>
            <w:tcW w:w="907" w:type="dxa"/>
            <w:tcBorders>
              <w:top w:val="nil"/>
              <w:left w:val="nil"/>
              <w:bottom w:val="single" w:sz="4" w:space="0" w:color="auto"/>
              <w:right w:val="single" w:sz="4" w:space="0" w:color="auto"/>
            </w:tcBorders>
            <w:shd w:val="clear" w:color="auto" w:fill="auto"/>
            <w:noWrap/>
            <w:vAlign w:val="bottom"/>
            <w:hideMark/>
          </w:tcPr>
          <w:p w14:paraId="2B34BC6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5.42</w:t>
            </w:r>
          </w:p>
        </w:tc>
        <w:tc>
          <w:tcPr>
            <w:tcW w:w="612" w:type="dxa"/>
            <w:tcBorders>
              <w:top w:val="nil"/>
              <w:left w:val="nil"/>
              <w:bottom w:val="single" w:sz="4" w:space="0" w:color="auto"/>
              <w:right w:val="single" w:sz="4" w:space="0" w:color="auto"/>
            </w:tcBorders>
            <w:shd w:val="clear" w:color="auto" w:fill="auto"/>
            <w:noWrap/>
            <w:vAlign w:val="bottom"/>
            <w:hideMark/>
          </w:tcPr>
          <w:p w14:paraId="212BA530"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2.07</w:t>
            </w:r>
          </w:p>
        </w:tc>
        <w:tc>
          <w:tcPr>
            <w:tcW w:w="850" w:type="dxa"/>
            <w:tcBorders>
              <w:top w:val="nil"/>
              <w:left w:val="nil"/>
              <w:bottom w:val="single" w:sz="4" w:space="0" w:color="auto"/>
              <w:right w:val="single" w:sz="4" w:space="0" w:color="000000"/>
            </w:tcBorders>
            <w:shd w:val="clear" w:color="auto" w:fill="auto"/>
            <w:noWrap/>
            <w:vAlign w:val="bottom"/>
            <w:hideMark/>
          </w:tcPr>
          <w:p w14:paraId="226CF503"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17.96</w:t>
            </w:r>
          </w:p>
        </w:tc>
      </w:tr>
      <w:tr w:rsidR="00F60503" w:rsidRPr="00F60503" w14:paraId="730F416D" w14:textId="77777777" w:rsidTr="00F60503">
        <w:trPr>
          <w:trHeight w:val="68"/>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26F1EC3A" w14:textId="2D7C32AE"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1991</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 xml:space="preserve">92 </w:t>
            </w:r>
          </w:p>
        </w:tc>
        <w:tc>
          <w:tcPr>
            <w:tcW w:w="567" w:type="dxa"/>
            <w:tcBorders>
              <w:top w:val="nil"/>
              <w:left w:val="nil"/>
              <w:bottom w:val="single" w:sz="4" w:space="0" w:color="auto"/>
              <w:right w:val="single" w:sz="4" w:space="0" w:color="auto"/>
            </w:tcBorders>
            <w:shd w:val="clear" w:color="auto" w:fill="auto"/>
            <w:vAlign w:val="bottom"/>
            <w:hideMark/>
          </w:tcPr>
          <w:p w14:paraId="2A003D52"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5.39</w:t>
            </w:r>
          </w:p>
        </w:tc>
        <w:tc>
          <w:tcPr>
            <w:tcW w:w="709" w:type="dxa"/>
            <w:tcBorders>
              <w:top w:val="nil"/>
              <w:left w:val="nil"/>
              <w:bottom w:val="single" w:sz="4" w:space="0" w:color="auto"/>
              <w:right w:val="single" w:sz="4" w:space="0" w:color="auto"/>
            </w:tcBorders>
            <w:shd w:val="clear" w:color="auto" w:fill="auto"/>
            <w:vAlign w:val="bottom"/>
            <w:hideMark/>
          </w:tcPr>
          <w:p w14:paraId="663D3ADE"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2.41</w:t>
            </w:r>
          </w:p>
        </w:tc>
        <w:tc>
          <w:tcPr>
            <w:tcW w:w="709" w:type="dxa"/>
            <w:tcBorders>
              <w:top w:val="nil"/>
              <w:left w:val="nil"/>
              <w:bottom w:val="single" w:sz="4" w:space="0" w:color="auto"/>
              <w:right w:val="single" w:sz="4" w:space="0" w:color="auto"/>
            </w:tcBorders>
            <w:shd w:val="clear" w:color="auto" w:fill="auto"/>
            <w:vAlign w:val="bottom"/>
            <w:hideMark/>
          </w:tcPr>
          <w:p w14:paraId="56084CCF"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1.44</w:t>
            </w:r>
          </w:p>
        </w:tc>
        <w:tc>
          <w:tcPr>
            <w:tcW w:w="567" w:type="dxa"/>
            <w:tcBorders>
              <w:top w:val="nil"/>
              <w:left w:val="nil"/>
              <w:bottom w:val="single" w:sz="4" w:space="0" w:color="auto"/>
              <w:right w:val="single" w:sz="4" w:space="0" w:color="auto"/>
            </w:tcBorders>
            <w:shd w:val="clear" w:color="auto" w:fill="auto"/>
            <w:noWrap/>
            <w:vAlign w:val="bottom"/>
            <w:hideMark/>
          </w:tcPr>
          <w:p w14:paraId="17778C33"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2.26</w:t>
            </w:r>
          </w:p>
        </w:tc>
        <w:tc>
          <w:tcPr>
            <w:tcW w:w="567" w:type="dxa"/>
            <w:tcBorders>
              <w:top w:val="nil"/>
              <w:left w:val="nil"/>
              <w:bottom w:val="single" w:sz="4" w:space="0" w:color="auto"/>
              <w:right w:val="single" w:sz="4" w:space="0" w:color="auto"/>
            </w:tcBorders>
            <w:shd w:val="clear" w:color="auto" w:fill="auto"/>
            <w:noWrap/>
            <w:vAlign w:val="bottom"/>
            <w:hideMark/>
          </w:tcPr>
          <w:p w14:paraId="604A42B0"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7.74</w:t>
            </w:r>
          </w:p>
        </w:tc>
        <w:tc>
          <w:tcPr>
            <w:tcW w:w="567" w:type="dxa"/>
            <w:tcBorders>
              <w:top w:val="nil"/>
              <w:left w:val="nil"/>
              <w:bottom w:val="single" w:sz="4" w:space="0" w:color="auto"/>
              <w:right w:val="single" w:sz="4" w:space="0" w:color="auto"/>
            </w:tcBorders>
            <w:shd w:val="clear" w:color="auto" w:fill="auto"/>
            <w:noWrap/>
            <w:vAlign w:val="bottom"/>
            <w:hideMark/>
          </w:tcPr>
          <w:p w14:paraId="1BED42B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10.00</w:t>
            </w:r>
          </w:p>
        </w:tc>
        <w:tc>
          <w:tcPr>
            <w:tcW w:w="709" w:type="dxa"/>
            <w:tcBorders>
              <w:top w:val="nil"/>
              <w:left w:val="nil"/>
              <w:bottom w:val="single" w:sz="4" w:space="0" w:color="auto"/>
              <w:right w:val="single" w:sz="4" w:space="0" w:color="auto"/>
            </w:tcBorders>
            <w:shd w:val="clear" w:color="auto" w:fill="auto"/>
            <w:noWrap/>
            <w:vAlign w:val="bottom"/>
            <w:hideMark/>
          </w:tcPr>
          <w:p w14:paraId="7824313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7.43</w:t>
            </w:r>
          </w:p>
        </w:tc>
        <w:tc>
          <w:tcPr>
            <w:tcW w:w="992" w:type="dxa"/>
            <w:tcBorders>
              <w:top w:val="nil"/>
              <w:left w:val="nil"/>
              <w:bottom w:val="single" w:sz="4" w:space="0" w:color="auto"/>
              <w:right w:val="single" w:sz="4" w:space="0" w:color="auto"/>
            </w:tcBorders>
            <w:shd w:val="clear" w:color="auto" w:fill="auto"/>
            <w:noWrap/>
            <w:vAlign w:val="bottom"/>
            <w:hideMark/>
          </w:tcPr>
          <w:p w14:paraId="1F816F5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12.21</w:t>
            </w:r>
          </w:p>
        </w:tc>
        <w:tc>
          <w:tcPr>
            <w:tcW w:w="850" w:type="dxa"/>
            <w:tcBorders>
              <w:top w:val="nil"/>
              <w:left w:val="nil"/>
              <w:bottom w:val="single" w:sz="4" w:space="0" w:color="auto"/>
              <w:right w:val="single" w:sz="4" w:space="0" w:color="auto"/>
            </w:tcBorders>
            <w:shd w:val="clear" w:color="auto" w:fill="auto"/>
            <w:noWrap/>
            <w:vAlign w:val="bottom"/>
            <w:hideMark/>
          </w:tcPr>
          <w:p w14:paraId="439A0ED6"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3.95</w:t>
            </w:r>
          </w:p>
        </w:tc>
        <w:tc>
          <w:tcPr>
            <w:tcW w:w="907" w:type="dxa"/>
            <w:tcBorders>
              <w:top w:val="nil"/>
              <w:left w:val="nil"/>
              <w:bottom w:val="single" w:sz="4" w:space="0" w:color="auto"/>
              <w:right w:val="single" w:sz="4" w:space="0" w:color="auto"/>
            </w:tcBorders>
            <w:shd w:val="clear" w:color="auto" w:fill="auto"/>
            <w:noWrap/>
            <w:vAlign w:val="bottom"/>
            <w:hideMark/>
          </w:tcPr>
          <w:p w14:paraId="08380F99"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4.32</w:t>
            </w:r>
          </w:p>
        </w:tc>
        <w:tc>
          <w:tcPr>
            <w:tcW w:w="612" w:type="dxa"/>
            <w:tcBorders>
              <w:top w:val="nil"/>
              <w:left w:val="nil"/>
              <w:bottom w:val="single" w:sz="4" w:space="0" w:color="auto"/>
              <w:right w:val="single" w:sz="4" w:space="0" w:color="auto"/>
            </w:tcBorders>
            <w:shd w:val="clear" w:color="auto" w:fill="auto"/>
            <w:noWrap/>
            <w:vAlign w:val="bottom"/>
            <w:hideMark/>
          </w:tcPr>
          <w:p w14:paraId="69BB0A9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1.64</w:t>
            </w:r>
          </w:p>
        </w:tc>
        <w:tc>
          <w:tcPr>
            <w:tcW w:w="850" w:type="dxa"/>
            <w:tcBorders>
              <w:top w:val="nil"/>
              <w:left w:val="nil"/>
              <w:bottom w:val="single" w:sz="4" w:space="0" w:color="auto"/>
              <w:right w:val="single" w:sz="4" w:space="0" w:color="000000"/>
            </w:tcBorders>
            <w:shd w:val="clear" w:color="auto" w:fill="auto"/>
            <w:noWrap/>
            <w:vAlign w:val="bottom"/>
            <w:hideMark/>
          </w:tcPr>
          <w:p w14:paraId="4793256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16.53</w:t>
            </w:r>
          </w:p>
        </w:tc>
      </w:tr>
      <w:tr w:rsidR="00F60503" w:rsidRPr="00F60503" w14:paraId="2896FC58" w14:textId="77777777" w:rsidTr="00F60503">
        <w:trPr>
          <w:trHeight w:val="4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2B4DDE59" w14:textId="10B10E5D"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1995</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 xml:space="preserve">96 </w:t>
            </w:r>
          </w:p>
        </w:tc>
        <w:tc>
          <w:tcPr>
            <w:tcW w:w="567" w:type="dxa"/>
            <w:tcBorders>
              <w:top w:val="nil"/>
              <w:left w:val="nil"/>
              <w:bottom w:val="single" w:sz="4" w:space="0" w:color="auto"/>
              <w:right w:val="single" w:sz="4" w:space="0" w:color="auto"/>
            </w:tcBorders>
            <w:shd w:val="clear" w:color="auto" w:fill="auto"/>
            <w:vAlign w:val="bottom"/>
            <w:hideMark/>
          </w:tcPr>
          <w:p w14:paraId="6557B799"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4.91</w:t>
            </w:r>
          </w:p>
        </w:tc>
        <w:tc>
          <w:tcPr>
            <w:tcW w:w="709" w:type="dxa"/>
            <w:tcBorders>
              <w:top w:val="nil"/>
              <w:left w:val="nil"/>
              <w:bottom w:val="single" w:sz="4" w:space="0" w:color="auto"/>
              <w:right w:val="single" w:sz="4" w:space="0" w:color="auto"/>
            </w:tcBorders>
            <w:shd w:val="clear" w:color="auto" w:fill="auto"/>
            <w:vAlign w:val="bottom"/>
            <w:hideMark/>
          </w:tcPr>
          <w:p w14:paraId="712B5C6B"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2.42</w:t>
            </w:r>
          </w:p>
        </w:tc>
        <w:tc>
          <w:tcPr>
            <w:tcW w:w="709" w:type="dxa"/>
            <w:tcBorders>
              <w:top w:val="nil"/>
              <w:left w:val="nil"/>
              <w:bottom w:val="single" w:sz="4" w:space="0" w:color="auto"/>
              <w:right w:val="single" w:sz="4" w:space="0" w:color="auto"/>
            </w:tcBorders>
            <w:shd w:val="clear" w:color="auto" w:fill="auto"/>
            <w:vAlign w:val="bottom"/>
            <w:hideMark/>
          </w:tcPr>
          <w:p w14:paraId="27856E08"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0.83</w:t>
            </w:r>
          </w:p>
        </w:tc>
        <w:tc>
          <w:tcPr>
            <w:tcW w:w="567" w:type="dxa"/>
            <w:tcBorders>
              <w:top w:val="nil"/>
              <w:left w:val="nil"/>
              <w:bottom w:val="single" w:sz="4" w:space="0" w:color="auto"/>
              <w:right w:val="single" w:sz="4" w:space="0" w:color="auto"/>
            </w:tcBorders>
            <w:shd w:val="clear" w:color="auto" w:fill="auto"/>
            <w:noWrap/>
            <w:vAlign w:val="bottom"/>
            <w:hideMark/>
          </w:tcPr>
          <w:p w14:paraId="44DAF7CE"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2.74</w:t>
            </w:r>
          </w:p>
        </w:tc>
        <w:tc>
          <w:tcPr>
            <w:tcW w:w="567" w:type="dxa"/>
            <w:tcBorders>
              <w:top w:val="nil"/>
              <w:left w:val="nil"/>
              <w:bottom w:val="single" w:sz="4" w:space="0" w:color="auto"/>
              <w:right w:val="single" w:sz="4" w:space="0" w:color="auto"/>
            </w:tcBorders>
            <w:shd w:val="clear" w:color="auto" w:fill="auto"/>
            <w:noWrap/>
            <w:vAlign w:val="bottom"/>
            <w:hideMark/>
          </w:tcPr>
          <w:p w14:paraId="1F617DF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6.33</w:t>
            </w:r>
          </w:p>
        </w:tc>
        <w:tc>
          <w:tcPr>
            <w:tcW w:w="567" w:type="dxa"/>
            <w:tcBorders>
              <w:top w:val="nil"/>
              <w:left w:val="nil"/>
              <w:bottom w:val="single" w:sz="4" w:space="0" w:color="auto"/>
              <w:right w:val="single" w:sz="4" w:space="0" w:color="auto"/>
            </w:tcBorders>
            <w:shd w:val="clear" w:color="auto" w:fill="auto"/>
            <w:noWrap/>
            <w:vAlign w:val="bottom"/>
            <w:hideMark/>
          </w:tcPr>
          <w:p w14:paraId="7A2953C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9.07</w:t>
            </w:r>
          </w:p>
        </w:tc>
        <w:tc>
          <w:tcPr>
            <w:tcW w:w="709" w:type="dxa"/>
            <w:tcBorders>
              <w:top w:val="nil"/>
              <w:left w:val="nil"/>
              <w:bottom w:val="single" w:sz="4" w:space="0" w:color="auto"/>
              <w:right w:val="single" w:sz="4" w:space="0" w:color="auto"/>
            </w:tcBorders>
            <w:shd w:val="clear" w:color="auto" w:fill="auto"/>
            <w:noWrap/>
            <w:vAlign w:val="bottom"/>
            <w:hideMark/>
          </w:tcPr>
          <w:p w14:paraId="1E80C3BB"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6.68</w:t>
            </w:r>
          </w:p>
        </w:tc>
        <w:tc>
          <w:tcPr>
            <w:tcW w:w="992" w:type="dxa"/>
            <w:tcBorders>
              <w:top w:val="nil"/>
              <w:left w:val="nil"/>
              <w:bottom w:val="single" w:sz="4" w:space="0" w:color="auto"/>
              <w:right w:val="single" w:sz="4" w:space="0" w:color="auto"/>
            </w:tcBorders>
            <w:shd w:val="clear" w:color="auto" w:fill="auto"/>
            <w:noWrap/>
            <w:vAlign w:val="bottom"/>
            <w:hideMark/>
          </w:tcPr>
          <w:p w14:paraId="4CE191E8"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11.40</w:t>
            </w:r>
          </w:p>
        </w:tc>
        <w:tc>
          <w:tcPr>
            <w:tcW w:w="850" w:type="dxa"/>
            <w:tcBorders>
              <w:top w:val="nil"/>
              <w:left w:val="nil"/>
              <w:bottom w:val="single" w:sz="4" w:space="0" w:color="auto"/>
              <w:right w:val="single" w:sz="4" w:space="0" w:color="auto"/>
            </w:tcBorders>
            <w:shd w:val="clear" w:color="auto" w:fill="auto"/>
            <w:noWrap/>
            <w:vAlign w:val="bottom"/>
            <w:hideMark/>
          </w:tcPr>
          <w:p w14:paraId="04A75B3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4.08</w:t>
            </w:r>
          </w:p>
        </w:tc>
        <w:tc>
          <w:tcPr>
            <w:tcW w:w="907" w:type="dxa"/>
            <w:tcBorders>
              <w:top w:val="nil"/>
              <w:left w:val="nil"/>
              <w:bottom w:val="single" w:sz="4" w:space="0" w:color="auto"/>
              <w:right w:val="single" w:sz="4" w:space="0" w:color="auto"/>
            </w:tcBorders>
            <w:shd w:val="clear" w:color="auto" w:fill="auto"/>
            <w:noWrap/>
            <w:vAlign w:val="bottom"/>
            <w:hideMark/>
          </w:tcPr>
          <w:p w14:paraId="2363BA2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3.13</w:t>
            </w:r>
          </w:p>
        </w:tc>
        <w:tc>
          <w:tcPr>
            <w:tcW w:w="612" w:type="dxa"/>
            <w:tcBorders>
              <w:top w:val="nil"/>
              <w:left w:val="nil"/>
              <w:bottom w:val="single" w:sz="4" w:space="0" w:color="auto"/>
              <w:right w:val="single" w:sz="4" w:space="0" w:color="auto"/>
            </w:tcBorders>
            <w:shd w:val="clear" w:color="auto" w:fill="auto"/>
            <w:noWrap/>
            <w:vAlign w:val="bottom"/>
            <w:hideMark/>
          </w:tcPr>
          <w:p w14:paraId="43E859B5"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1.15</w:t>
            </w:r>
          </w:p>
        </w:tc>
        <w:tc>
          <w:tcPr>
            <w:tcW w:w="850" w:type="dxa"/>
            <w:tcBorders>
              <w:top w:val="nil"/>
              <w:left w:val="nil"/>
              <w:bottom w:val="single" w:sz="4" w:space="0" w:color="auto"/>
              <w:right w:val="single" w:sz="4" w:space="0" w:color="000000"/>
            </w:tcBorders>
            <w:shd w:val="clear" w:color="auto" w:fill="auto"/>
            <w:noWrap/>
            <w:vAlign w:val="bottom"/>
            <w:hideMark/>
          </w:tcPr>
          <w:p w14:paraId="43C646C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14.53</w:t>
            </w:r>
          </w:p>
        </w:tc>
      </w:tr>
      <w:tr w:rsidR="00F60503" w:rsidRPr="00F60503" w14:paraId="631F31DB" w14:textId="77777777" w:rsidTr="00F60503">
        <w:trPr>
          <w:trHeight w:val="124"/>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435B7597" w14:textId="7380AE65"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2000</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 xml:space="preserve">01 </w:t>
            </w:r>
          </w:p>
        </w:tc>
        <w:tc>
          <w:tcPr>
            <w:tcW w:w="567" w:type="dxa"/>
            <w:tcBorders>
              <w:top w:val="nil"/>
              <w:left w:val="nil"/>
              <w:bottom w:val="single" w:sz="4" w:space="0" w:color="auto"/>
              <w:right w:val="single" w:sz="4" w:space="0" w:color="auto"/>
            </w:tcBorders>
            <w:shd w:val="clear" w:color="auto" w:fill="auto"/>
            <w:vAlign w:val="bottom"/>
            <w:hideMark/>
          </w:tcPr>
          <w:p w14:paraId="26BAEF7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5.46</w:t>
            </w:r>
          </w:p>
        </w:tc>
        <w:tc>
          <w:tcPr>
            <w:tcW w:w="709" w:type="dxa"/>
            <w:tcBorders>
              <w:top w:val="nil"/>
              <w:left w:val="nil"/>
              <w:bottom w:val="single" w:sz="4" w:space="0" w:color="auto"/>
              <w:right w:val="single" w:sz="4" w:space="0" w:color="auto"/>
            </w:tcBorders>
            <w:shd w:val="clear" w:color="auto" w:fill="auto"/>
            <w:vAlign w:val="bottom"/>
            <w:hideMark/>
          </w:tcPr>
          <w:p w14:paraId="6C82226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3.91</w:t>
            </w:r>
          </w:p>
        </w:tc>
        <w:tc>
          <w:tcPr>
            <w:tcW w:w="709" w:type="dxa"/>
            <w:tcBorders>
              <w:top w:val="nil"/>
              <w:left w:val="nil"/>
              <w:bottom w:val="single" w:sz="4" w:space="0" w:color="auto"/>
              <w:right w:val="single" w:sz="4" w:space="0" w:color="auto"/>
            </w:tcBorders>
            <w:shd w:val="clear" w:color="auto" w:fill="auto"/>
            <w:vAlign w:val="bottom"/>
            <w:hideMark/>
          </w:tcPr>
          <w:p w14:paraId="576F297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0.90</w:t>
            </w:r>
          </w:p>
        </w:tc>
        <w:tc>
          <w:tcPr>
            <w:tcW w:w="567" w:type="dxa"/>
            <w:tcBorders>
              <w:top w:val="nil"/>
              <w:left w:val="nil"/>
              <w:bottom w:val="single" w:sz="4" w:space="0" w:color="auto"/>
              <w:right w:val="single" w:sz="4" w:space="0" w:color="auto"/>
            </w:tcBorders>
            <w:shd w:val="clear" w:color="auto" w:fill="auto"/>
            <w:noWrap/>
            <w:vAlign w:val="bottom"/>
            <w:hideMark/>
          </w:tcPr>
          <w:p w14:paraId="5E96252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3.14</w:t>
            </w:r>
          </w:p>
        </w:tc>
        <w:tc>
          <w:tcPr>
            <w:tcW w:w="567" w:type="dxa"/>
            <w:tcBorders>
              <w:top w:val="nil"/>
              <w:left w:val="nil"/>
              <w:bottom w:val="single" w:sz="4" w:space="0" w:color="auto"/>
              <w:right w:val="single" w:sz="4" w:space="0" w:color="auto"/>
            </w:tcBorders>
            <w:shd w:val="clear" w:color="auto" w:fill="auto"/>
            <w:noWrap/>
            <w:vAlign w:val="bottom"/>
            <w:hideMark/>
          </w:tcPr>
          <w:p w14:paraId="411D079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5.51</w:t>
            </w:r>
          </w:p>
        </w:tc>
        <w:tc>
          <w:tcPr>
            <w:tcW w:w="567" w:type="dxa"/>
            <w:tcBorders>
              <w:top w:val="nil"/>
              <w:left w:val="nil"/>
              <w:bottom w:val="single" w:sz="4" w:space="0" w:color="auto"/>
              <w:right w:val="single" w:sz="4" w:space="0" w:color="auto"/>
            </w:tcBorders>
            <w:shd w:val="clear" w:color="auto" w:fill="auto"/>
            <w:noWrap/>
            <w:vAlign w:val="bottom"/>
            <w:hideMark/>
          </w:tcPr>
          <w:p w14:paraId="11B9EAD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8.65</w:t>
            </w:r>
          </w:p>
        </w:tc>
        <w:tc>
          <w:tcPr>
            <w:tcW w:w="709" w:type="dxa"/>
            <w:tcBorders>
              <w:top w:val="nil"/>
              <w:left w:val="nil"/>
              <w:bottom w:val="single" w:sz="4" w:space="0" w:color="auto"/>
              <w:right w:val="single" w:sz="4" w:space="0" w:color="auto"/>
            </w:tcBorders>
            <w:shd w:val="clear" w:color="auto" w:fill="auto"/>
            <w:noWrap/>
            <w:vAlign w:val="bottom"/>
            <w:hideMark/>
          </w:tcPr>
          <w:p w14:paraId="247283D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6.28</w:t>
            </w:r>
          </w:p>
        </w:tc>
        <w:tc>
          <w:tcPr>
            <w:tcW w:w="992" w:type="dxa"/>
            <w:tcBorders>
              <w:top w:val="nil"/>
              <w:left w:val="nil"/>
              <w:bottom w:val="single" w:sz="4" w:space="0" w:color="auto"/>
              <w:right w:val="single" w:sz="4" w:space="0" w:color="auto"/>
            </w:tcBorders>
            <w:shd w:val="clear" w:color="auto" w:fill="auto"/>
            <w:noWrap/>
            <w:vAlign w:val="bottom"/>
            <w:hideMark/>
          </w:tcPr>
          <w:p w14:paraId="5839554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12.76</w:t>
            </w:r>
          </w:p>
        </w:tc>
        <w:tc>
          <w:tcPr>
            <w:tcW w:w="850" w:type="dxa"/>
            <w:tcBorders>
              <w:top w:val="nil"/>
              <w:left w:val="nil"/>
              <w:bottom w:val="single" w:sz="4" w:space="0" w:color="auto"/>
              <w:right w:val="single" w:sz="4" w:space="0" w:color="auto"/>
            </w:tcBorders>
            <w:shd w:val="clear" w:color="auto" w:fill="auto"/>
            <w:noWrap/>
            <w:vAlign w:val="bottom"/>
            <w:hideMark/>
          </w:tcPr>
          <w:p w14:paraId="2A897423"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4.56</w:t>
            </w:r>
          </w:p>
        </w:tc>
        <w:tc>
          <w:tcPr>
            <w:tcW w:w="907" w:type="dxa"/>
            <w:tcBorders>
              <w:top w:val="nil"/>
              <w:left w:val="nil"/>
              <w:bottom w:val="single" w:sz="4" w:space="0" w:color="auto"/>
              <w:right w:val="single" w:sz="4" w:space="0" w:color="auto"/>
            </w:tcBorders>
            <w:shd w:val="clear" w:color="auto" w:fill="auto"/>
            <w:noWrap/>
            <w:vAlign w:val="bottom"/>
            <w:hideMark/>
          </w:tcPr>
          <w:p w14:paraId="7639396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2.19</w:t>
            </w:r>
          </w:p>
        </w:tc>
        <w:tc>
          <w:tcPr>
            <w:tcW w:w="612" w:type="dxa"/>
            <w:tcBorders>
              <w:top w:val="nil"/>
              <w:left w:val="nil"/>
              <w:bottom w:val="single" w:sz="4" w:space="0" w:color="auto"/>
              <w:right w:val="single" w:sz="4" w:space="0" w:color="auto"/>
            </w:tcBorders>
            <w:shd w:val="clear" w:color="auto" w:fill="auto"/>
            <w:noWrap/>
            <w:vAlign w:val="bottom"/>
            <w:hideMark/>
          </w:tcPr>
          <w:p w14:paraId="0C5C2AB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1.14</w:t>
            </w:r>
          </w:p>
        </w:tc>
        <w:tc>
          <w:tcPr>
            <w:tcW w:w="850" w:type="dxa"/>
            <w:tcBorders>
              <w:top w:val="nil"/>
              <w:left w:val="nil"/>
              <w:bottom w:val="single" w:sz="4" w:space="0" w:color="auto"/>
              <w:right w:val="single" w:sz="4" w:space="0" w:color="000000"/>
            </w:tcBorders>
            <w:shd w:val="clear" w:color="auto" w:fill="auto"/>
            <w:noWrap/>
            <w:vAlign w:val="bottom"/>
            <w:hideMark/>
          </w:tcPr>
          <w:p w14:paraId="46DE8EF5"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14.95</w:t>
            </w:r>
          </w:p>
        </w:tc>
      </w:tr>
      <w:tr w:rsidR="00F60503" w:rsidRPr="00F60503" w14:paraId="309CB6A8" w14:textId="77777777" w:rsidTr="00F60503">
        <w:trPr>
          <w:trHeight w:val="7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3EC88B21" w14:textId="2AAF43C4"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2007</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 xml:space="preserve">08 </w:t>
            </w:r>
          </w:p>
        </w:tc>
        <w:tc>
          <w:tcPr>
            <w:tcW w:w="567" w:type="dxa"/>
            <w:tcBorders>
              <w:top w:val="nil"/>
              <w:left w:val="nil"/>
              <w:bottom w:val="single" w:sz="4" w:space="0" w:color="auto"/>
              <w:right w:val="single" w:sz="4" w:space="0" w:color="auto"/>
            </w:tcBorders>
            <w:shd w:val="clear" w:color="auto" w:fill="auto"/>
            <w:vAlign w:val="bottom"/>
            <w:hideMark/>
          </w:tcPr>
          <w:p w14:paraId="2E8E5265"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2.54</w:t>
            </w:r>
          </w:p>
        </w:tc>
        <w:tc>
          <w:tcPr>
            <w:tcW w:w="709" w:type="dxa"/>
            <w:tcBorders>
              <w:top w:val="nil"/>
              <w:left w:val="nil"/>
              <w:bottom w:val="single" w:sz="4" w:space="0" w:color="auto"/>
              <w:right w:val="single" w:sz="4" w:space="0" w:color="auto"/>
            </w:tcBorders>
            <w:shd w:val="clear" w:color="auto" w:fill="auto"/>
            <w:vAlign w:val="bottom"/>
            <w:hideMark/>
          </w:tcPr>
          <w:p w14:paraId="24FBCBA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1.05</w:t>
            </w:r>
          </w:p>
        </w:tc>
        <w:tc>
          <w:tcPr>
            <w:tcW w:w="709" w:type="dxa"/>
            <w:tcBorders>
              <w:top w:val="nil"/>
              <w:left w:val="nil"/>
              <w:bottom w:val="single" w:sz="4" w:space="0" w:color="auto"/>
              <w:right w:val="single" w:sz="4" w:space="0" w:color="auto"/>
            </w:tcBorders>
            <w:shd w:val="clear" w:color="auto" w:fill="auto"/>
            <w:vAlign w:val="bottom"/>
            <w:hideMark/>
          </w:tcPr>
          <w:p w14:paraId="6ABF9848" w14:textId="20C77F69" w:rsidR="00221CD1" w:rsidRPr="00F60503" w:rsidRDefault="00CE2BFF" w:rsidP="00AB18DE">
            <w:pPr>
              <w:jc w:val="right"/>
              <w:rPr>
                <w:rFonts w:ascii="Arial" w:hAnsi="Arial" w:cs="Arial"/>
                <w:color w:val="000000"/>
                <w:sz w:val="14"/>
                <w:szCs w:val="16"/>
                <w:lang w:val="en-GB"/>
              </w:rPr>
            </w:pPr>
            <w:r w:rsidRPr="00F60503">
              <w:rPr>
                <w:rFonts w:ascii="Arial" w:hAnsi="Arial" w:cs="Arial"/>
                <w:color w:val="000000"/>
                <w:sz w:val="14"/>
                <w:szCs w:val="16"/>
                <w:lang w:val="en-GB"/>
              </w:rPr>
              <w:t>–</w:t>
            </w:r>
            <w:r w:rsidR="00221CD1" w:rsidRPr="00F60503">
              <w:rPr>
                <w:rFonts w:ascii="Arial" w:hAnsi="Arial" w:cs="Arial"/>
                <w:color w:val="000000"/>
                <w:sz w:val="14"/>
                <w:szCs w:val="16"/>
                <w:lang w:val="en-GB"/>
              </w:rPr>
              <w:t>0.88</w:t>
            </w:r>
          </w:p>
        </w:tc>
        <w:tc>
          <w:tcPr>
            <w:tcW w:w="567" w:type="dxa"/>
            <w:tcBorders>
              <w:top w:val="nil"/>
              <w:left w:val="nil"/>
              <w:bottom w:val="single" w:sz="4" w:space="0" w:color="auto"/>
              <w:right w:val="single" w:sz="4" w:space="0" w:color="auto"/>
            </w:tcBorders>
            <w:shd w:val="clear" w:color="auto" w:fill="auto"/>
            <w:noWrap/>
            <w:vAlign w:val="bottom"/>
            <w:hideMark/>
          </w:tcPr>
          <w:p w14:paraId="5341F638"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6.26</w:t>
            </w:r>
          </w:p>
        </w:tc>
        <w:tc>
          <w:tcPr>
            <w:tcW w:w="567" w:type="dxa"/>
            <w:tcBorders>
              <w:top w:val="nil"/>
              <w:left w:val="nil"/>
              <w:bottom w:val="single" w:sz="4" w:space="0" w:color="auto"/>
              <w:right w:val="single" w:sz="4" w:space="0" w:color="auto"/>
            </w:tcBorders>
            <w:shd w:val="clear" w:color="auto" w:fill="auto"/>
            <w:noWrap/>
            <w:vAlign w:val="bottom"/>
            <w:hideMark/>
          </w:tcPr>
          <w:p w14:paraId="248FAA0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5.63</w:t>
            </w:r>
          </w:p>
        </w:tc>
        <w:tc>
          <w:tcPr>
            <w:tcW w:w="567" w:type="dxa"/>
            <w:tcBorders>
              <w:top w:val="nil"/>
              <w:left w:val="nil"/>
              <w:bottom w:val="single" w:sz="4" w:space="0" w:color="auto"/>
              <w:right w:val="single" w:sz="4" w:space="0" w:color="auto"/>
            </w:tcBorders>
            <w:shd w:val="clear" w:color="auto" w:fill="auto"/>
            <w:noWrap/>
            <w:vAlign w:val="bottom"/>
            <w:hideMark/>
          </w:tcPr>
          <w:p w14:paraId="367B50D2"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11.89</w:t>
            </w:r>
          </w:p>
        </w:tc>
        <w:tc>
          <w:tcPr>
            <w:tcW w:w="709" w:type="dxa"/>
            <w:tcBorders>
              <w:top w:val="nil"/>
              <w:left w:val="nil"/>
              <w:bottom w:val="single" w:sz="4" w:space="0" w:color="auto"/>
              <w:right w:val="single" w:sz="4" w:space="0" w:color="auto"/>
            </w:tcBorders>
            <w:shd w:val="clear" w:color="auto" w:fill="auto"/>
            <w:noWrap/>
            <w:vAlign w:val="bottom"/>
            <w:hideMark/>
          </w:tcPr>
          <w:p w14:paraId="33D8668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8.81</w:t>
            </w:r>
          </w:p>
        </w:tc>
        <w:tc>
          <w:tcPr>
            <w:tcW w:w="992" w:type="dxa"/>
            <w:tcBorders>
              <w:top w:val="nil"/>
              <w:left w:val="nil"/>
              <w:bottom w:val="single" w:sz="4" w:space="0" w:color="auto"/>
              <w:right w:val="single" w:sz="4" w:space="0" w:color="auto"/>
            </w:tcBorders>
            <w:shd w:val="clear" w:color="auto" w:fill="auto"/>
            <w:noWrap/>
            <w:vAlign w:val="bottom"/>
            <w:hideMark/>
          </w:tcPr>
          <w:p w14:paraId="0FE2F608"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11.92</w:t>
            </w:r>
          </w:p>
        </w:tc>
        <w:tc>
          <w:tcPr>
            <w:tcW w:w="850" w:type="dxa"/>
            <w:tcBorders>
              <w:top w:val="nil"/>
              <w:left w:val="nil"/>
              <w:bottom w:val="single" w:sz="4" w:space="0" w:color="auto"/>
              <w:right w:val="single" w:sz="4" w:space="0" w:color="auto"/>
            </w:tcBorders>
            <w:shd w:val="clear" w:color="auto" w:fill="auto"/>
            <w:noWrap/>
            <w:vAlign w:val="bottom"/>
            <w:hideMark/>
          </w:tcPr>
          <w:p w14:paraId="11055D56"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3.43</w:t>
            </w:r>
          </w:p>
        </w:tc>
        <w:tc>
          <w:tcPr>
            <w:tcW w:w="907" w:type="dxa"/>
            <w:tcBorders>
              <w:top w:val="nil"/>
              <w:left w:val="nil"/>
              <w:bottom w:val="single" w:sz="4" w:space="0" w:color="auto"/>
              <w:right w:val="single" w:sz="4" w:space="0" w:color="auto"/>
            </w:tcBorders>
            <w:shd w:val="clear" w:color="auto" w:fill="auto"/>
            <w:noWrap/>
            <w:vAlign w:val="bottom"/>
            <w:hideMark/>
          </w:tcPr>
          <w:p w14:paraId="15DA6A36"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2.37</w:t>
            </w:r>
          </w:p>
        </w:tc>
        <w:tc>
          <w:tcPr>
            <w:tcW w:w="612" w:type="dxa"/>
            <w:tcBorders>
              <w:top w:val="nil"/>
              <w:left w:val="nil"/>
              <w:bottom w:val="single" w:sz="4" w:space="0" w:color="auto"/>
              <w:right w:val="single" w:sz="4" w:space="0" w:color="auto"/>
            </w:tcBorders>
            <w:shd w:val="clear" w:color="auto" w:fill="auto"/>
            <w:noWrap/>
            <w:vAlign w:val="bottom"/>
            <w:hideMark/>
          </w:tcPr>
          <w:p w14:paraId="77295568"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2.14</w:t>
            </w:r>
          </w:p>
        </w:tc>
        <w:tc>
          <w:tcPr>
            <w:tcW w:w="850" w:type="dxa"/>
            <w:tcBorders>
              <w:top w:val="nil"/>
              <w:left w:val="nil"/>
              <w:bottom w:val="single" w:sz="4" w:space="0" w:color="auto"/>
              <w:right w:val="single" w:sz="4" w:space="0" w:color="000000"/>
            </w:tcBorders>
            <w:shd w:val="clear" w:color="auto" w:fill="auto"/>
            <w:noWrap/>
            <w:vAlign w:val="bottom"/>
            <w:hideMark/>
          </w:tcPr>
          <w:p w14:paraId="07BE750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14.29</w:t>
            </w:r>
          </w:p>
        </w:tc>
      </w:tr>
      <w:tr w:rsidR="00F60503" w:rsidRPr="00F60503" w14:paraId="6210621F" w14:textId="77777777" w:rsidTr="00F60503">
        <w:trPr>
          <w:trHeight w:val="4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07182373" w14:textId="206FA461"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2008</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 xml:space="preserve">09 </w:t>
            </w:r>
          </w:p>
        </w:tc>
        <w:tc>
          <w:tcPr>
            <w:tcW w:w="567" w:type="dxa"/>
            <w:tcBorders>
              <w:top w:val="nil"/>
              <w:left w:val="nil"/>
              <w:bottom w:val="single" w:sz="4" w:space="0" w:color="auto"/>
              <w:right w:val="single" w:sz="4" w:space="0" w:color="auto"/>
            </w:tcBorders>
            <w:shd w:val="clear" w:color="auto" w:fill="auto"/>
            <w:vAlign w:val="bottom"/>
            <w:hideMark/>
          </w:tcPr>
          <w:p w14:paraId="4414B32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5.99</w:t>
            </w:r>
          </w:p>
        </w:tc>
        <w:tc>
          <w:tcPr>
            <w:tcW w:w="709" w:type="dxa"/>
            <w:tcBorders>
              <w:top w:val="nil"/>
              <w:left w:val="nil"/>
              <w:bottom w:val="single" w:sz="4" w:space="0" w:color="auto"/>
              <w:right w:val="single" w:sz="4" w:space="0" w:color="auto"/>
            </w:tcBorders>
            <w:shd w:val="clear" w:color="auto" w:fill="auto"/>
            <w:vAlign w:val="bottom"/>
            <w:hideMark/>
          </w:tcPr>
          <w:p w14:paraId="6929470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4.50</w:t>
            </w:r>
          </w:p>
        </w:tc>
        <w:tc>
          <w:tcPr>
            <w:tcW w:w="709" w:type="dxa"/>
            <w:tcBorders>
              <w:top w:val="nil"/>
              <w:left w:val="nil"/>
              <w:bottom w:val="single" w:sz="4" w:space="0" w:color="auto"/>
              <w:right w:val="single" w:sz="4" w:space="0" w:color="auto"/>
            </w:tcBorders>
            <w:shd w:val="clear" w:color="auto" w:fill="auto"/>
            <w:vAlign w:val="bottom"/>
            <w:hideMark/>
          </w:tcPr>
          <w:p w14:paraId="6F97381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2.57</w:t>
            </w:r>
          </w:p>
        </w:tc>
        <w:tc>
          <w:tcPr>
            <w:tcW w:w="567" w:type="dxa"/>
            <w:tcBorders>
              <w:top w:val="nil"/>
              <w:left w:val="nil"/>
              <w:bottom w:val="single" w:sz="4" w:space="0" w:color="auto"/>
              <w:right w:val="single" w:sz="4" w:space="0" w:color="auto"/>
            </w:tcBorders>
            <w:shd w:val="clear" w:color="auto" w:fill="auto"/>
            <w:noWrap/>
            <w:vAlign w:val="bottom"/>
            <w:hideMark/>
          </w:tcPr>
          <w:p w14:paraId="175025C0"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5.93</w:t>
            </w:r>
          </w:p>
        </w:tc>
        <w:tc>
          <w:tcPr>
            <w:tcW w:w="567" w:type="dxa"/>
            <w:tcBorders>
              <w:top w:val="nil"/>
              <w:left w:val="nil"/>
              <w:bottom w:val="single" w:sz="4" w:space="0" w:color="auto"/>
              <w:right w:val="single" w:sz="4" w:space="0" w:color="auto"/>
            </w:tcBorders>
            <w:shd w:val="clear" w:color="auto" w:fill="auto"/>
            <w:noWrap/>
            <w:vAlign w:val="bottom"/>
            <w:hideMark/>
          </w:tcPr>
          <w:p w14:paraId="78C4E43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4.81</w:t>
            </w:r>
          </w:p>
        </w:tc>
        <w:tc>
          <w:tcPr>
            <w:tcW w:w="567" w:type="dxa"/>
            <w:tcBorders>
              <w:top w:val="nil"/>
              <w:left w:val="nil"/>
              <w:bottom w:val="single" w:sz="4" w:space="0" w:color="auto"/>
              <w:right w:val="single" w:sz="4" w:space="0" w:color="auto"/>
            </w:tcBorders>
            <w:shd w:val="clear" w:color="auto" w:fill="auto"/>
            <w:noWrap/>
            <w:vAlign w:val="bottom"/>
            <w:hideMark/>
          </w:tcPr>
          <w:p w14:paraId="34748F1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10.75</w:t>
            </w:r>
          </w:p>
        </w:tc>
        <w:tc>
          <w:tcPr>
            <w:tcW w:w="709" w:type="dxa"/>
            <w:tcBorders>
              <w:top w:val="nil"/>
              <w:left w:val="nil"/>
              <w:bottom w:val="single" w:sz="4" w:space="0" w:color="auto"/>
              <w:right w:val="single" w:sz="4" w:space="0" w:color="auto"/>
            </w:tcBorders>
            <w:shd w:val="clear" w:color="auto" w:fill="auto"/>
            <w:noWrap/>
            <w:vAlign w:val="bottom"/>
            <w:hideMark/>
          </w:tcPr>
          <w:p w14:paraId="76A22F4F"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7.87</w:t>
            </w:r>
          </w:p>
        </w:tc>
        <w:tc>
          <w:tcPr>
            <w:tcW w:w="992" w:type="dxa"/>
            <w:tcBorders>
              <w:top w:val="nil"/>
              <w:left w:val="nil"/>
              <w:bottom w:val="single" w:sz="4" w:space="0" w:color="auto"/>
              <w:right w:val="single" w:sz="4" w:space="0" w:color="auto"/>
            </w:tcBorders>
            <w:shd w:val="clear" w:color="auto" w:fill="auto"/>
            <w:noWrap/>
            <w:vAlign w:val="bottom"/>
            <w:hideMark/>
          </w:tcPr>
          <w:p w14:paraId="46FDCE4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14.10</w:t>
            </w:r>
          </w:p>
        </w:tc>
        <w:tc>
          <w:tcPr>
            <w:tcW w:w="850" w:type="dxa"/>
            <w:tcBorders>
              <w:top w:val="nil"/>
              <w:left w:val="nil"/>
              <w:bottom w:val="single" w:sz="4" w:space="0" w:color="auto"/>
              <w:right w:val="single" w:sz="4" w:space="0" w:color="auto"/>
            </w:tcBorders>
            <w:shd w:val="clear" w:color="auto" w:fill="auto"/>
            <w:noWrap/>
            <w:vAlign w:val="bottom"/>
            <w:hideMark/>
          </w:tcPr>
          <w:p w14:paraId="11DE647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3.41</w:t>
            </w:r>
          </w:p>
        </w:tc>
        <w:tc>
          <w:tcPr>
            <w:tcW w:w="907" w:type="dxa"/>
            <w:tcBorders>
              <w:top w:val="nil"/>
              <w:left w:val="nil"/>
              <w:bottom w:val="single" w:sz="4" w:space="0" w:color="auto"/>
              <w:right w:val="single" w:sz="4" w:space="0" w:color="auto"/>
            </w:tcBorders>
            <w:shd w:val="clear" w:color="auto" w:fill="auto"/>
            <w:noWrap/>
            <w:vAlign w:val="bottom"/>
            <w:hideMark/>
          </w:tcPr>
          <w:p w14:paraId="1BC0DC56"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1.60</w:t>
            </w:r>
          </w:p>
        </w:tc>
        <w:tc>
          <w:tcPr>
            <w:tcW w:w="612" w:type="dxa"/>
            <w:tcBorders>
              <w:top w:val="nil"/>
              <w:left w:val="nil"/>
              <w:bottom w:val="single" w:sz="4" w:space="0" w:color="auto"/>
              <w:right w:val="single" w:sz="4" w:space="0" w:color="auto"/>
            </w:tcBorders>
            <w:shd w:val="clear" w:color="auto" w:fill="auto"/>
            <w:noWrap/>
            <w:vAlign w:val="bottom"/>
            <w:hideMark/>
          </w:tcPr>
          <w:p w14:paraId="50D17E12"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1.35</w:t>
            </w:r>
          </w:p>
        </w:tc>
        <w:tc>
          <w:tcPr>
            <w:tcW w:w="850" w:type="dxa"/>
            <w:tcBorders>
              <w:top w:val="nil"/>
              <w:left w:val="nil"/>
              <w:bottom w:val="single" w:sz="4" w:space="0" w:color="auto"/>
              <w:right w:val="single" w:sz="4" w:space="0" w:color="000000"/>
            </w:tcBorders>
            <w:shd w:val="clear" w:color="auto" w:fill="auto"/>
            <w:noWrap/>
            <w:vAlign w:val="bottom"/>
            <w:hideMark/>
          </w:tcPr>
          <w:p w14:paraId="0FDE6689"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15.70</w:t>
            </w:r>
          </w:p>
        </w:tc>
      </w:tr>
      <w:tr w:rsidR="00F60503" w:rsidRPr="00F60503" w14:paraId="5D925CE9" w14:textId="77777777" w:rsidTr="00F60503">
        <w:trPr>
          <w:trHeight w:val="4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29911CA0" w14:textId="7601F0C8"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2010</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11</w:t>
            </w:r>
          </w:p>
        </w:tc>
        <w:tc>
          <w:tcPr>
            <w:tcW w:w="567" w:type="dxa"/>
            <w:tcBorders>
              <w:top w:val="nil"/>
              <w:left w:val="nil"/>
              <w:bottom w:val="single" w:sz="4" w:space="0" w:color="auto"/>
              <w:right w:val="single" w:sz="4" w:space="0" w:color="auto"/>
            </w:tcBorders>
            <w:shd w:val="clear" w:color="auto" w:fill="auto"/>
            <w:vAlign w:val="bottom"/>
            <w:hideMark/>
          </w:tcPr>
          <w:p w14:paraId="3F03E60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4.80</w:t>
            </w:r>
          </w:p>
        </w:tc>
        <w:tc>
          <w:tcPr>
            <w:tcW w:w="709" w:type="dxa"/>
            <w:tcBorders>
              <w:top w:val="nil"/>
              <w:left w:val="nil"/>
              <w:bottom w:val="single" w:sz="4" w:space="0" w:color="auto"/>
              <w:right w:val="single" w:sz="4" w:space="0" w:color="auto"/>
            </w:tcBorders>
            <w:shd w:val="clear" w:color="auto" w:fill="auto"/>
            <w:vAlign w:val="bottom"/>
            <w:hideMark/>
          </w:tcPr>
          <w:p w14:paraId="139CE52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3.24</w:t>
            </w:r>
          </w:p>
        </w:tc>
        <w:tc>
          <w:tcPr>
            <w:tcW w:w="709" w:type="dxa"/>
            <w:tcBorders>
              <w:top w:val="nil"/>
              <w:left w:val="nil"/>
              <w:bottom w:val="single" w:sz="4" w:space="0" w:color="auto"/>
              <w:right w:val="single" w:sz="4" w:space="0" w:color="auto"/>
            </w:tcBorders>
            <w:shd w:val="clear" w:color="auto" w:fill="auto"/>
            <w:vAlign w:val="bottom"/>
            <w:hideMark/>
          </w:tcPr>
          <w:p w14:paraId="050FC2A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1.79</w:t>
            </w:r>
          </w:p>
        </w:tc>
        <w:tc>
          <w:tcPr>
            <w:tcW w:w="567" w:type="dxa"/>
            <w:tcBorders>
              <w:top w:val="nil"/>
              <w:left w:val="nil"/>
              <w:bottom w:val="single" w:sz="4" w:space="0" w:color="auto"/>
              <w:right w:val="single" w:sz="4" w:space="0" w:color="auto"/>
            </w:tcBorders>
            <w:shd w:val="clear" w:color="auto" w:fill="auto"/>
            <w:noWrap/>
            <w:vAlign w:val="bottom"/>
            <w:hideMark/>
          </w:tcPr>
          <w:p w14:paraId="48AACD4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5.73</w:t>
            </w:r>
          </w:p>
        </w:tc>
        <w:tc>
          <w:tcPr>
            <w:tcW w:w="567" w:type="dxa"/>
            <w:tcBorders>
              <w:top w:val="nil"/>
              <w:left w:val="nil"/>
              <w:bottom w:val="single" w:sz="4" w:space="0" w:color="auto"/>
              <w:right w:val="single" w:sz="4" w:space="0" w:color="auto"/>
            </w:tcBorders>
            <w:shd w:val="clear" w:color="auto" w:fill="auto"/>
            <w:noWrap/>
            <w:vAlign w:val="bottom"/>
            <w:hideMark/>
          </w:tcPr>
          <w:p w14:paraId="5B9192A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4.46</w:t>
            </w:r>
          </w:p>
        </w:tc>
        <w:tc>
          <w:tcPr>
            <w:tcW w:w="567" w:type="dxa"/>
            <w:tcBorders>
              <w:top w:val="nil"/>
              <w:left w:val="nil"/>
              <w:bottom w:val="single" w:sz="4" w:space="0" w:color="auto"/>
              <w:right w:val="single" w:sz="4" w:space="0" w:color="auto"/>
            </w:tcBorders>
            <w:shd w:val="clear" w:color="auto" w:fill="auto"/>
            <w:noWrap/>
            <w:vAlign w:val="bottom"/>
            <w:hideMark/>
          </w:tcPr>
          <w:p w14:paraId="7AB4E30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10.19</w:t>
            </w:r>
          </w:p>
        </w:tc>
        <w:tc>
          <w:tcPr>
            <w:tcW w:w="709" w:type="dxa"/>
            <w:tcBorders>
              <w:top w:val="nil"/>
              <w:left w:val="nil"/>
              <w:bottom w:val="single" w:sz="4" w:space="0" w:color="auto"/>
              <w:right w:val="single" w:sz="4" w:space="0" w:color="auto"/>
            </w:tcBorders>
            <w:shd w:val="clear" w:color="auto" w:fill="auto"/>
            <w:noWrap/>
            <w:vAlign w:val="bottom"/>
            <w:hideMark/>
          </w:tcPr>
          <w:p w14:paraId="087701EE"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7.32</w:t>
            </w:r>
          </w:p>
        </w:tc>
        <w:tc>
          <w:tcPr>
            <w:tcW w:w="992" w:type="dxa"/>
            <w:tcBorders>
              <w:top w:val="nil"/>
              <w:left w:val="nil"/>
              <w:bottom w:val="single" w:sz="4" w:space="0" w:color="auto"/>
              <w:right w:val="single" w:sz="4" w:space="0" w:color="auto"/>
            </w:tcBorders>
            <w:shd w:val="clear" w:color="auto" w:fill="auto"/>
            <w:noWrap/>
            <w:vAlign w:val="bottom"/>
            <w:hideMark/>
          </w:tcPr>
          <w:p w14:paraId="5891AE59"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13.37</w:t>
            </w:r>
          </w:p>
        </w:tc>
        <w:tc>
          <w:tcPr>
            <w:tcW w:w="850" w:type="dxa"/>
            <w:tcBorders>
              <w:top w:val="nil"/>
              <w:left w:val="nil"/>
              <w:bottom w:val="single" w:sz="4" w:space="0" w:color="auto"/>
              <w:right w:val="single" w:sz="4" w:space="0" w:color="auto"/>
            </w:tcBorders>
            <w:shd w:val="clear" w:color="auto" w:fill="auto"/>
            <w:noWrap/>
            <w:vAlign w:val="bottom"/>
            <w:hideMark/>
          </w:tcPr>
          <w:p w14:paraId="67DA7095"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3.01</w:t>
            </w:r>
          </w:p>
        </w:tc>
        <w:tc>
          <w:tcPr>
            <w:tcW w:w="907" w:type="dxa"/>
            <w:tcBorders>
              <w:top w:val="nil"/>
              <w:left w:val="nil"/>
              <w:bottom w:val="single" w:sz="4" w:space="0" w:color="auto"/>
              <w:right w:val="single" w:sz="4" w:space="0" w:color="auto"/>
            </w:tcBorders>
            <w:shd w:val="clear" w:color="auto" w:fill="auto"/>
            <w:noWrap/>
            <w:vAlign w:val="bottom"/>
            <w:hideMark/>
          </w:tcPr>
          <w:p w14:paraId="421E05AE"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2.01</w:t>
            </w:r>
          </w:p>
        </w:tc>
        <w:tc>
          <w:tcPr>
            <w:tcW w:w="612" w:type="dxa"/>
            <w:tcBorders>
              <w:top w:val="nil"/>
              <w:left w:val="nil"/>
              <w:bottom w:val="single" w:sz="4" w:space="0" w:color="auto"/>
              <w:right w:val="single" w:sz="4" w:space="0" w:color="auto"/>
            </w:tcBorders>
            <w:shd w:val="clear" w:color="auto" w:fill="auto"/>
            <w:noWrap/>
            <w:vAlign w:val="bottom"/>
            <w:hideMark/>
          </w:tcPr>
          <w:p w14:paraId="14CCC03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1.69</w:t>
            </w:r>
          </w:p>
        </w:tc>
        <w:tc>
          <w:tcPr>
            <w:tcW w:w="850" w:type="dxa"/>
            <w:tcBorders>
              <w:top w:val="nil"/>
              <w:left w:val="nil"/>
              <w:bottom w:val="single" w:sz="4" w:space="0" w:color="auto"/>
              <w:right w:val="single" w:sz="4" w:space="0" w:color="000000"/>
            </w:tcBorders>
            <w:shd w:val="clear" w:color="auto" w:fill="auto"/>
            <w:noWrap/>
            <w:vAlign w:val="bottom"/>
            <w:hideMark/>
          </w:tcPr>
          <w:p w14:paraId="0DF726A6"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15.38</w:t>
            </w:r>
          </w:p>
        </w:tc>
      </w:tr>
      <w:tr w:rsidR="00F60503" w:rsidRPr="00F60503" w14:paraId="4FD17DE7" w14:textId="77777777" w:rsidTr="00F60503">
        <w:trPr>
          <w:trHeight w:val="4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53032FBC" w14:textId="437F16CD"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2013</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14</w:t>
            </w:r>
          </w:p>
        </w:tc>
        <w:tc>
          <w:tcPr>
            <w:tcW w:w="567" w:type="dxa"/>
            <w:tcBorders>
              <w:top w:val="nil"/>
              <w:left w:val="nil"/>
              <w:bottom w:val="single" w:sz="4" w:space="0" w:color="auto"/>
              <w:right w:val="single" w:sz="4" w:space="0" w:color="auto"/>
            </w:tcBorders>
            <w:shd w:val="clear" w:color="auto" w:fill="auto"/>
            <w:vAlign w:val="bottom"/>
            <w:hideMark/>
          </w:tcPr>
          <w:p w14:paraId="3C4B1803"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4.46</w:t>
            </w:r>
          </w:p>
        </w:tc>
        <w:tc>
          <w:tcPr>
            <w:tcW w:w="709" w:type="dxa"/>
            <w:tcBorders>
              <w:top w:val="nil"/>
              <w:left w:val="nil"/>
              <w:bottom w:val="single" w:sz="4" w:space="0" w:color="auto"/>
              <w:right w:val="single" w:sz="4" w:space="0" w:color="auto"/>
            </w:tcBorders>
            <w:shd w:val="clear" w:color="auto" w:fill="auto"/>
            <w:vAlign w:val="bottom"/>
            <w:hideMark/>
          </w:tcPr>
          <w:p w14:paraId="27E5075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3.17</w:t>
            </w:r>
          </w:p>
        </w:tc>
        <w:tc>
          <w:tcPr>
            <w:tcW w:w="709" w:type="dxa"/>
            <w:tcBorders>
              <w:top w:val="nil"/>
              <w:left w:val="nil"/>
              <w:bottom w:val="single" w:sz="4" w:space="0" w:color="auto"/>
              <w:right w:val="single" w:sz="4" w:space="0" w:color="auto"/>
            </w:tcBorders>
            <w:shd w:val="clear" w:color="auto" w:fill="auto"/>
            <w:vAlign w:val="bottom"/>
            <w:hideMark/>
          </w:tcPr>
          <w:p w14:paraId="1856EBFF"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1.14</w:t>
            </w:r>
          </w:p>
        </w:tc>
        <w:tc>
          <w:tcPr>
            <w:tcW w:w="567" w:type="dxa"/>
            <w:tcBorders>
              <w:top w:val="nil"/>
              <w:left w:val="nil"/>
              <w:bottom w:val="single" w:sz="4" w:space="0" w:color="auto"/>
              <w:right w:val="single" w:sz="4" w:space="0" w:color="auto"/>
            </w:tcBorders>
            <w:shd w:val="clear" w:color="auto" w:fill="auto"/>
            <w:noWrap/>
            <w:vAlign w:val="bottom"/>
            <w:hideMark/>
          </w:tcPr>
          <w:p w14:paraId="59A85E3E"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5.66</w:t>
            </w:r>
          </w:p>
        </w:tc>
        <w:tc>
          <w:tcPr>
            <w:tcW w:w="567" w:type="dxa"/>
            <w:tcBorders>
              <w:top w:val="nil"/>
              <w:left w:val="nil"/>
              <w:bottom w:val="single" w:sz="4" w:space="0" w:color="auto"/>
              <w:right w:val="single" w:sz="4" w:space="0" w:color="auto"/>
            </w:tcBorders>
            <w:shd w:val="clear" w:color="auto" w:fill="auto"/>
            <w:noWrap/>
            <w:vAlign w:val="bottom"/>
            <w:hideMark/>
          </w:tcPr>
          <w:p w14:paraId="2B344ABD"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4.43</w:t>
            </w:r>
          </w:p>
        </w:tc>
        <w:tc>
          <w:tcPr>
            <w:tcW w:w="567" w:type="dxa"/>
            <w:tcBorders>
              <w:top w:val="nil"/>
              <w:left w:val="nil"/>
              <w:bottom w:val="single" w:sz="4" w:space="0" w:color="auto"/>
              <w:right w:val="single" w:sz="4" w:space="0" w:color="auto"/>
            </w:tcBorders>
            <w:shd w:val="clear" w:color="auto" w:fill="auto"/>
            <w:noWrap/>
            <w:vAlign w:val="bottom"/>
            <w:hideMark/>
          </w:tcPr>
          <w:p w14:paraId="102402D0"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10.10</w:t>
            </w:r>
          </w:p>
        </w:tc>
        <w:tc>
          <w:tcPr>
            <w:tcW w:w="709" w:type="dxa"/>
            <w:tcBorders>
              <w:top w:val="nil"/>
              <w:left w:val="nil"/>
              <w:bottom w:val="single" w:sz="4" w:space="0" w:color="auto"/>
              <w:right w:val="single" w:sz="4" w:space="0" w:color="auto"/>
            </w:tcBorders>
            <w:shd w:val="clear" w:color="auto" w:fill="auto"/>
            <w:noWrap/>
            <w:vAlign w:val="bottom"/>
            <w:hideMark/>
          </w:tcPr>
          <w:p w14:paraId="508CAA59"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7.24</w:t>
            </w:r>
          </w:p>
        </w:tc>
        <w:tc>
          <w:tcPr>
            <w:tcW w:w="992" w:type="dxa"/>
            <w:tcBorders>
              <w:top w:val="nil"/>
              <w:left w:val="nil"/>
              <w:bottom w:val="single" w:sz="4" w:space="0" w:color="auto"/>
              <w:right w:val="single" w:sz="4" w:space="0" w:color="auto"/>
            </w:tcBorders>
            <w:shd w:val="clear" w:color="auto" w:fill="auto"/>
            <w:noWrap/>
            <w:vAlign w:val="bottom"/>
            <w:hideMark/>
          </w:tcPr>
          <w:p w14:paraId="3F6FE86E"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12.17</w:t>
            </w:r>
          </w:p>
        </w:tc>
        <w:tc>
          <w:tcPr>
            <w:tcW w:w="850" w:type="dxa"/>
            <w:tcBorders>
              <w:top w:val="nil"/>
              <w:left w:val="nil"/>
              <w:bottom w:val="single" w:sz="4" w:space="0" w:color="auto"/>
              <w:right w:val="single" w:sz="4" w:space="0" w:color="auto"/>
            </w:tcBorders>
            <w:shd w:val="clear" w:color="auto" w:fill="auto"/>
            <w:noWrap/>
            <w:vAlign w:val="bottom"/>
            <w:hideMark/>
          </w:tcPr>
          <w:p w14:paraId="4334A478"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3.32</w:t>
            </w:r>
          </w:p>
        </w:tc>
        <w:tc>
          <w:tcPr>
            <w:tcW w:w="907" w:type="dxa"/>
            <w:tcBorders>
              <w:top w:val="nil"/>
              <w:left w:val="nil"/>
              <w:bottom w:val="single" w:sz="4" w:space="0" w:color="auto"/>
              <w:right w:val="single" w:sz="4" w:space="0" w:color="auto"/>
            </w:tcBorders>
            <w:shd w:val="clear" w:color="auto" w:fill="auto"/>
            <w:noWrap/>
            <w:vAlign w:val="bottom"/>
            <w:hideMark/>
          </w:tcPr>
          <w:p w14:paraId="559667A2"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1.66</w:t>
            </w:r>
          </w:p>
        </w:tc>
        <w:tc>
          <w:tcPr>
            <w:tcW w:w="612" w:type="dxa"/>
            <w:tcBorders>
              <w:top w:val="nil"/>
              <w:left w:val="nil"/>
              <w:bottom w:val="single" w:sz="4" w:space="0" w:color="auto"/>
              <w:right w:val="single" w:sz="4" w:space="0" w:color="auto"/>
            </w:tcBorders>
            <w:shd w:val="clear" w:color="auto" w:fill="auto"/>
            <w:noWrap/>
            <w:vAlign w:val="bottom"/>
            <w:hideMark/>
          </w:tcPr>
          <w:p w14:paraId="06129C1B"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1.49</w:t>
            </w:r>
          </w:p>
        </w:tc>
        <w:tc>
          <w:tcPr>
            <w:tcW w:w="850" w:type="dxa"/>
            <w:tcBorders>
              <w:top w:val="nil"/>
              <w:left w:val="nil"/>
              <w:bottom w:val="single" w:sz="4" w:space="0" w:color="auto"/>
              <w:right w:val="single" w:sz="4" w:space="0" w:color="000000"/>
            </w:tcBorders>
            <w:shd w:val="clear" w:color="auto" w:fill="auto"/>
            <w:noWrap/>
            <w:vAlign w:val="bottom"/>
            <w:hideMark/>
          </w:tcPr>
          <w:p w14:paraId="12FB5AA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13.83</w:t>
            </w:r>
          </w:p>
        </w:tc>
      </w:tr>
      <w:tr w:rsidR="00F60503" w:rsidRPr="00F60503" w14:paraId="26BB93D1" w14:textId="77777777" w:rsidTr="00F60503">
        <w:trPr>
          <w:trHeight w:val="4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32D7DA77" w14:textId="7D9A90E8"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2014</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15</w:t>
            </w:r>
          </w:p>
        </w:tc>
        <w:tc>
          <w:tcPr>
            <w:tcW w:w="567" w:type="dxa"/>
            <w:tcBorders>
              <w:top w:val="nil"/>
              <w:left w:val="nil"/>
              <w:bottom w:val="single" w:sz="4" w:space="0" w:color="auto"/>
              <w:right w:val="single" w:sz="4" w:space="0" w:color="auto"/>
            </w:tcBorders>
            <w:shd w:val="clear" w:color="auto" w:fill="auto"/>
            <w:vAlign w:val="bottom"/>
            <w:hideMark/>
          </w:tcPr>
          <w:p w14:paraId="1DE4CF0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4.09</w:t>
            </w:r>
          </w:p>
        </w:tc>
        <w:tc>
          <w:tcPr>
            <w:tcW w:w="709" w:type="dxa"/>
            <w:tcBorders>
              <w:top w:val="nil"/>
              <w:left w:val="nil"/>
              <w:bottom w:val="single" w:sz="4" w:space="0" w:color="auto"/>
              <w:right w:val="single" w:sz="4" w:space="0" w:color="auto"/>
            </w:tcBorders>
            <w:shd w:val="clear" w:color="auto" w:fill="auto"/>
            <w:vAlign w:val="bottom"/>
            <w:hideMark/>
          </w:tcPr>
          <w:p w14:paraId="6DE68060"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2.93</w:t>
            </w:r>
          </w:p>
        </w:tc>
        <w:tc>
          <w:tcPr>
            <w:tcW w:w="709" w:type="dxa"/>
            <w:tcBorders>
              <w:top w:val="nil"/>
              <w:left w:val="nil"/>
              <w:bottom w:val="single" w:sz="4" w:space="0" w:color="auto"/>
              <w:right w:val="single" w:sz="4" w:space="0" w:color="auto"/>
            </w:tcBorders>
            <w:shd w:val="clear" w:color="auto" w:fill="auto"/>
            <w:vAlign w:val="bottom"/>
            <w:hideMark/>
          </w:tcPr>
          <w:p w14:paraId="3ED7DE5B"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0.87</w:t>
            </w:r>
          </w:p>
        </w:tc>
        <w:tc>
          <w:tcPr>
            <w:tcW w:w="567" w:type="dxa"/>
            <w:tcBorders>
              <w:top w:val="nil"/>
              <w:left w:val="nil"/>
              <w:bottom w:val="single" w:sz="4" w:space="0" w:color="auto"/>
              <w:right w:val="single" w:sz="4" w:space="0" w:color="auto"/>
            </w:tcBorders>
            <w:shd w:val="clear" w:color="auto" w:fill="auto"/>
            <w:noWrap/>
            <w:vAlign w:val="bottom"/>
            <w:hideMark/>
          </w:tcPr>
          <w:p w14:paraId="7A7A3015"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5.57</w:t>
            </w:r>
          </w:p>
        </w:tc>
        <w:tc>
          <w:tcPr>
            <w:tcW w:w="567" w:type="dxa"/>
            <w:tcBorders>
              <w:top w:val="nil"/>
              <w:left w:val="nil"/>
              <w:bottom w:val="single" w:sz="4" w:space="0" w:color="auto"/>
              <w:right w:val="single" w:sz="4" w:space="0" w:color="auto"/>
            </w:tcBorders>
            <w:shd w:val="clear" w:color="auto" w:fill="auto"/>
            <w:noWrap/>
            <w:vAlign w:val="bottom"/>
            <w:hideMark/>
          </w:tcPr>
          <w:p w14:paraId="3C938C7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4.40</w:t>
            </w:r>
          </w:p>
        </w:tc>
        <w:tc>
          <w:tcPr>
            <w:tcW w:w="567" w:type="dxa"/>
            <w:tcBorders>
              <w:top w:val="nil"/>
              <w:left w:val="nil"/>
              <w:bottom w:val="single" w:sz="4" w:space="0" w:color="auto"/>
              <w:right w:val="single" w:sz="4" w:space="0" w:color="auto"/>
            </w:tcBorders>
            <w:shd w:val="clear" w:color="auto" w:fill="auto"/>
            <w:noWrap/>
            <w:vAlign w:val="bottom"/>
            <w:hideMark/>
          </w:tcPr>
          <w:p w14:paraId="03808E5F"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9.97</w:t>
            </w:r>
          </w:p>
        </w:tc>
        <w:tc>
          <w:tcPr>
            <w:tcW w:w="709" w:type="dxa"/>
            <w:tcBorders>
              <w:top w:val="nil"/>
              <w:left w:val="nil"/>
              <w:bottom w:val="single" w:sz="4" w:space="0" w:color="auto"/>
              <w:right w:val="single" w:sz="4" w:space="0" w:color="auto"/>
            </w:tcBorders>
            <w:shd w:val="clear" w:color="auto" w:fill="auto"/>
            <w:noWrap/>
            <w:vAlign w:val="bottom"/>
            <w:hideMark/>
          </w:tcPr>
          <w:p w14:paraId="75E27D85"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7.24</w:t>
            </w:r>
          </w:p>
        </w:tc>
        <w:tc>
          <w:tcPr>
            <w:tcW w:w="992" w:type="dxa"/>
            <w:tcBorders>
              <w:top w:val="nil"/>
              <w:left w:val="nil"/>
              <w:bottom w:val="single" w:sz="4" w:space="0" w:color="auto"/>
              <w:right w:val="single" w:sz="4" w:space="0" w:color="auto"/>
            </w:tcBorders>
            <w:shd w:val="clear" w:color="auto" w:fill="auto"/>
            <w:noWrap/>
            <w:vAlign w:val="bottom"/>
            <w:hideMark/>
          </w:tcPr>
          <w:p w14:paraId="0CF63B33"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11.75</w:t>
            </w:r>
          </w:p>
        </w:tc>
        <w:tc>
          <w:tcPr>
            <w:tcW w:w="850" w:type="dxa"/>
            <w:tcBorders>
              <w:top w:val="nil"/>
              <w:left w:val="nil"/>
              <w:bottom w:val="single" w:sz="4" w:space="0" w:color="auto"/>
              <w:right w:val="single" w:sz="4" w:space="0" w:color="auto"/>
            </w:tcBorders>
            <w:shd w:val="clear" w:color="auto" w:fill="auto"/>
            <w:noWrap/>
            <w:vAlign w:val="bottom"/>
            <w:hideMark/>
          </w:tcPr>
          <w:p w14:paraId="5D49CBF2"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3.22</w:t>
            </w:r>
          </w:p>
        </w:tc>
        <w:tc>
          <w:tcPr>
            <w:tcW w:w="907" w:type="dxa"/>
            <w:tcBorders>
              <w:top w:val="nil"/>
              <w:left w:val="nil"/>
              <w:bottom w:val="single" w:sz="4" w:space="0" w:color="auto"/>
              <w:right w:val="single" w:sz="4" w:space="0" w:color="auto"/>
            </w:tcBorders>
            <w:shd w:val="clear" w:color="auto" w:fill="auto"/>
            <w:noWrap/>
            <w:vAlign w:val="bottom"/>
            <w:hideMark/>
          </w:tcPr>
          <w:p w14:paraId="7321FA7F"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1.57</w:t>
            </w:r>
          </w:p>
        </w:tc>
        <w:tc>
          <w:tcPr>
            <w:tcW w:w="612" w:type="dxa"/>
            <w:tcBorders>
              <w:top w:val="nil"/>
              <w:left w:val="nil"/>
              <w:bottom w:val="single" w:sz="4" w:space="0" w:color="auto"/>
              <w:right w:val="single" w:sz="4" w:space="0" w:color="auto"/>
            </w:tcBorders>
            <w:shd w:val="clear" w:color="auto" w:fill="auto"/>
            <w:noWrap/>
            <w:vAlign w:val="bottom"/>
            <w:hideMark/>
          </w:tcPr>
          <w:p w14:paraId="7993D671"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1.34</w:t>
            </w:r>
          </w:p>
        </w:tc>
        <w:tc>
          <w:tcPr>
            <w:tcW w:w="850" w:type="dxa"/>
            <w:tcBorders>
              <w:top w:val="nil"/>
              <w:left w:val="nil"/>
              <w:bottom w:val="single" w:sz="4" w:space="0" w:color="auto"/>
              <w:right w:val="single" w:sz="4" w:space="0" w:color="000000"/>
            </w:tcBorders>
            <w:shd w:val="clear" w:color="auto" w:fill="auto"/>
            <w:noWrap/>
            <w:vAlign w:val="bottom"/>
            <w:hideMark/>
          </w:tcPr>
          <w:p w14:paraId="3796941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13.32</w:t>
            </w:r>
          </w:p>
        </w:tc>
      </w:tr>
      <w:tr w:rsidR="00F60503" w:rsidRPr="00F60503" w14:paraId="73A55D49" w14:textId="77777777" w:rsidTr="00F60503">
        <w:trPr>
          <w:trHeight w:val="40"/>
          <w:jc w:val="center"/>
        </w:trPr>
        <w:tc>
          <w:tcPr>
            <w:tcW w:w="562" w:type="dxa"/>
            <w:tcBorders>
              <w:top w:val="nil"/>
              <w:left w:val="single" w:sz="4" w:space="0" w:color="auto"/>
              <w:bottom w:val="single" w:sz="4" w:space="0" w:color="auto"/>
              <w:right w:val="single" w:sz="4" w:space="0" w:color="auto"/>
            </w:tcBorders>
            <w:shd w:val="clear" w:color="auto" w:fill="auto"/>
            <w:vAlign w:val="bottom"/>
            <w:hideMark/>
          </w:tcPr>
          <w:p w14:paraId="05227685" w14:textId="2DB61DB4" w:rsidR="00221CD1" w:rsidRPr="00F60503" w:rsidRDefault="00221CD1" w:rsidP="00CE2BFF">
            <w:pPr>
              <w:jc w:val="right"/>
              <w:rPr>
                <w:rFonts w:ascii="Arial" w:hAnsi="Arial" w:cs="Arial"/>
                <w:b/>
                <w:bCs/>
                <w:color w:val="000000"/>
                <w:sz w:val="14"/>
                <w:szCs w:val="16"/>
                <w:lang w:val="en-GB"/>
              </w:rPr>
            </w:pPr>
            <w:r w:rsidRPr="00F60503">
              <w:rPr>
                <w:rFonts w:ascii="Arial" w:hAnsi="Arial" w:cs="Arial"/>
                <w:b/>
                <w:bCs/>
                <w:color w:val="000000"/>
                <w:sz w:val="14"/>
                <w:szCs w:val="16"/>
                <w:lang w:val="en-GB"/>
              </w:rPr>
              <w:t>2015</w:t>
            </w:r>
            <w:r w:rsidR="00CE2BFF" w:rsidRPr="00F60503">
              <w:rPr>
                <w:rFonts w:ascii="Arial" w:hAnsi="Arial" w:cs="Arial"/>
                <w:b/>
                <w:bCs/>
                <w:color w:val="000000"/>
                <w:sz w:val="14"/>
                <w:szCs w:val="16"/>
                <w:lang w:val="en-GB"/>
              </w:rPr>
              <w:t>/</w:t>
            </w:r>
            <w:r w:rsidRPr="00F60503">
              <w:rPr>
                <w:rFonts w:ascii="Arial" w:hAnsi="Arial" w:cs="Arial"/>
                <w:b/>
                <w:bCs/>
                <w:color w:val="000000"/>
                <w:sz w:val="14"/>
                <w:szCs w:val="16"/>
                <w:lang w:val="en-GB"/>
              </w:rPr>
              <w:t>16</w:t>
            </w:r>
          </w:p>
        </w:tc>
        <w:tc>
          <w:tcPr>
            <w:tcW w:w="567" w:type="dxa"/>
            <w:tcBorders>
              <w:top w:val="nil"/>
              <w:left w:val="nil"/>
              <w:bottom w:val="single" w:sz="4" w:space="0" w:color="auto"/>
              <w:right w:val="single" w:sz="4" w:space="0" w:color="auto"/>
            </w:tcBorders>
            <w:shd w:val="clear" w:color="auto" w:fill="auto"/>
            <w:vAlign w:val="bottom"/>
            <w:hideMark/>
          </w:tcPr>
          <w:p w14:paraId="16298BA2"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3.94</w:t>
            </w:r>
          </w:p>
        </w:tc>
        <w:tc>
          <w:tcPr>
            <w:tcW w:w="709" w:type="dxa"/>
            <w:tcBorders>
              <w:top w:val="nil"/>
              <w:left w:val="nil"/>
              <w:bottom w:val="single" w:sz="4" w:space="0" w:color="auto"/>
              <w:right w:val="single" w:sz="4" w:space="0" w:color="auto"/>
            </w:tcBorders>
            <w:shd w:val="clear" w:color="auto" w:fill="auto"/>
            <w:vAlign w:val="bottom"/>
            <w:hideMark/>
          </w:tcPr>
          <w:p w14:paraId="52DE8BF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2.52</w:t>
            </w:r>
          </w:p>
        </w:tc>
        <w:tc>
          <w:tcPr>
            <w:tcW w:w="709" w:type="dxa"/>
            <w:tcBorders>
              <w:top w:val="nil"/>
              <w:left w:val="nil"/>
              <w:bottom w:val="single" w:sz="4" w:space="0" w:color="auto"/>
              <w:right w:val="single" w:sz="4" w:space="0" w:color="auto"/>
            </w:tcBorders>
            <w:shd w:val="clear" w:color="auto" w:fill="auto"/>
            <w:vAlign w:val="bottom"/>
            <w:hideMark/>
          </w:tcPr>
          <w:p w14:paraId="3EAD1CF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0.68</w:t>
            </w:r>
          </w:p>
        </w:tc>
        <w:tc>
          <w:tcPr>
            <w:tcW w:w="567" w:type="dxa"/>
            <w:tcBorders>
              <w:top w:val="nil"/>
              <w:left w:val="nil"/>
              <w:bottom w:val="single" w:sz="4" w:space="0" w:color="auto"/>
              <w:right w:val="single" w:sz="4" w:space="0" w:color="auto"/>
            </w:tcBorders>
            <w:shd w:val="clear" w:color="auto" w:fill="auto"/>
            <w:noWrap/>
            <w:vAlign w:val="bottom"/>
            <w:hideMark/>
          </w:tcPr>
          <w:p w14:paraId="123DD29B"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5.54</w:t>
            </w:r>
          </w:p>
        </w:tc>
        <w:tc>
          <w:tcPr>
            <w:tcW w:w="567" w:type="dxa"/>
            <w:tcBorders>
              <w:top w:val="nil"/>
              <w:left w:val="nil"/>
              <w:bottom w:val="single" w:sz="4" w:space="0" w:color="auto"/>
              <w:right w:val="single" w:sz="4" w:space="0" w:color="auto"/>
            </w:tcBorders>
            <w:shd w:val="clear" w:color="auto" w:fill="auto"/>
            <w:noWrap/>
            <w:vAlign w:val="bottom"/>
            <w:hideMark/>
          </w:tcPr>
          <w:p w14:paraId="68C53CB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5.21</w:t>
            </w:r>
          </w:p>
        </w:tc>
        <w:tc>
          <w:tcPr>
            <w:tcW w:w="567" w:type="dxa"/>
            <w:tcBorders>
              <w:top w:val="nil"/>
              <w:left w:val="nil"/>
              <w:bottom w:val="single" w:sz="4" w:space="0" w:color="auto"/>
              <w:right w:val="single" w:sz="4" w:space="0" w:color="auto"/>
            </w:tcBorders>
            <w:shd w:val="clear" w:color="auto" w:fill="auto"/>
            <w:noWrap/>
            <w:vAlign w:val="bottom"/>
            <w:hideMark/>
          </w:tcPr>
          <w:p w14:paraId="71B7A327"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10.76</w:t>
            </w:r>
          </w:p>
        </w:tc>
        <w:tc>
          <w:tcPr>
            <w:tcW w:w="709" w:type="dxa"/>
            <w:tcBorders>
              <w:top w:val="nil"/>
              <w:left w:val="nil"/>
              <w:bottom w:val="single" w:sz="4" w:space="0" w:color="auto"/>
              <w:right w:val="single" w:sz="4" w:space="0" w:color="auto"/>
            </w:tcBorders>
            <w:shd w:val="clear" w:color="auto" w:fill="auto"/>
            <w:noWrap/>
            <w:vAlign w:val="bottom"/>
            <w:hideMark/>
          </w:tcPr>
          <w:p w14:paraId="2CFB0B7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6.98</w:t>
            </w:r>
          </w:p>
        </w:tc>
        <w:tc>
          <w:tcPr>
            <w:tcW w:w="992" w:type="dxa"/>
            <w:tcBorders>
              <w:top w:val="nil"/>
              <w:left w:val="nil"/>
              <w:bottom w:val="single" w:sz="4" w:space="0" w:color="auto"/>
              <w:right w:val="single" w:sz="4" w:space="0" w:color="auto"/>
            </w:tcBorders>
            <w:shd w:val="clear" w:color="auto" w:fill="auto"/>
            <w:noWrap/>
            <w:vAlign w:val="bottom"/>
            <w:hideMark/>
          </w:tcPr>
          <w:p w14:paraId="35F407FC"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11.40</w:t>
            </w:r>
          </w:p>
        </w:tc>
        <w:tc>
          <w:tcPr>
            <w:tcW w:w="850" w:type="dxa"/>
            <w:tcBorders>
              <w:top w:val="nil"/>
              <w:left w:val="nil"/>
              <w:bottom w:val="single" w:sz="4" w:space="0" w:color="auto"/>
              <w:right w:val="single" w:sz="4" w:space="0" w:color="auto"/>
            </w:tcBorders>
            <w:shd w:val="clear" w:color="auto" w:fill="auto"/>
            <w:noWrap/>
            <w:vAlign w:val="bottom"/>
            <w:hideMark/>
          </w:tcPr>
          <w:p w14:paraId="6DE31F04"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3.26</w:t>
            </w:r>
          </w:p>
        </w:tc>
        <w:tc>
          <w:tcPr>
            <w:tcW w:w="907" w:type="dxa"/>
            <w:tcBorders>
              <w:top w:val="nil"/>
              <w:left w:val="nil"/>
              <w:bottom w:val="single" w:sz="4" w:space="0" w:color="auto"/>
              <w:right w:val="single" w:sz="4" w:space="0" w:color="auto"/>
            </w:tcBorders>
            <w:shd w:val="clear" w:color="auto" w:fill="auto"/>
            <w:noWrap/>
            <w:vAlign w:val="bottom"/>
            <w:hideMark/>
          </w:tcPr>
          <w:p w14:paraId="3D29DFCE"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1.75</w:t>
            </w:r>
          </w:p>
        </w:tc>
        <w:tc>
          <w:tcPr>
            <w:tcW w:w="612" w:type="dxa"/>
            <w:tcBorders>
              <w:top w:val="nil"/>
              <w:left w:val="nil"/>
              <w:bottom w:val="single" w:sz="4" w:space="0" w:color="auto"/>
              <w:right w:val="single" w:sz="4" w:space="0" w:color="auto"/>
            </w:tcBorders>
            <w:shd w:val="clear" w:color="auto" w:fill="auto"/>
            <w:noWrap/>
            <w:vAlign w:val="bottom"/>
            <w:hideMark/>
          </w:tcPr>
          <w:p w14:paraId="0A7BA55A"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1.56</w:t>
            </w:r>
          </w:p>
        </w:tc>
        <w:tc>
          <w:tcPr>
            <w:tcW w:w="850" w:type="dxa"/>
            <w:tcBorders>
              <w:top w:val="nil"/>
              <w:left w:val="nil"/>
              <w:bottom w:val="single" w:sz="4" w:space="0" w:color="auto"/>
              <w:right w:val="single" w:sz="4" w:space="0" w:color="000000"/>
            </w:tcBorders>
            <w:shd w:val="clear" w:color="auto" w:fill="auto"/>
            <w:noWrap/>
            <w:vAlign w:val="bottom"/>
            <w:hideMark/>
          </w:tcPr>
          <w:p w14:paraId="4483140F" w14:textId="77777777" w:rsidR="00221CD1" w:rsidRPr="00F60503" w:rsidRDefault="00221CD1" w:rsidP="00AB18DE">
            <w:pPr>
              <w:jc w:val="right"/>
              <w:rPr>
                <w:rFonts w:ascii="Arial" w:hAnsi="Arial" w:cs="Arial"/>
                <w:color w:val="000000"/>
                <w:sz w:val="14"/>
                <w:szCs w:val="16"/>
                <w:lang w:val="en-GB"/>
              </w:rPr>
            </w:pPr>
            <w:r w:rsidRPr="00F60503">
              <w:rPr>
                <w:rFonts w:ascii="Arial" w:hAnsi="Arial" w:cs="Arial"/>
                <w:color w:val="000000"/>
                <w:sz w:val="14"/>
                <w:szCs w:val="16"/>
                <w:lang w:val="en-GB"/>
              </w:rPr>
              <w:t>13.15</w:t>
            </w:r>
          </w:p>
        </w:tc>
      </w:tr>
    </w:tbl>
    <w:p w14:paraId="29F8B18E" w14:textId="77777777" w:rsidR="00057E99" w:rsidRPr="00C273FD" w:rsidRDefault="00057E99" w:rsidP="00221CD1">
      <w:pPr>
        <w:widowControl w:val="0"/>
        <w:autoSpaceDE w:val="0"/>
        <w:autoSpaceDN w:val="0"/>
        <w:adjustRightInd w:val="0"/>
        <w:jc w:val="both"/>
        <w:rPr>
          <w:color w:val="1A1A1A"/>
          <w:sz w:val="22"/>
          <w:szCs w:val="22"/>
          <w:lang w:val="en-GB"/>
        </w:rPr>
      </w:pPr>
    </w:p>
    <w:p w14:paraId="44C06E20" w14:textId="16E2261E" w:rsidR="00221CD1" w:rsidRPr="006B6FF7" w:rsidRDefault="00221CD1" w:rsidP="00057E99">
      <w:pPr>
        <w:pStyle w:val="Footnote"/>
        <w:rPr>
          <w:lang w:val="en-GB"/>
        </w:rPr>
      </w:pPr>
      <w:r w:rsidRPr="00C273FD">
        <w:rPr>
          <w:lang w:val="en-GB"/>
        </w:rPr>
        <w:t>Source: R</w:t>
      </w:r>
      <w:r w:rsidR="00CE2BFF">
        <w:rPr>
          <w:lang w:val="en-GB"/>
        </w:rPr>
        <w:t xml:space="preserve">eserve </w:t>
      </w:r>
      <w:r w:rsidRPr="00C273FD">
        <w:rPr>
          <w:lang w:val="en-GB"/>
        </w:rPr>
        <w:t>B</w:t>
      </w:r>
      <w:r w:rsidR="00CE2BFF">
        <w:rPr>
          <w:lang w:val="en-GB"/>
        </w:rPr>
        <w:t xml:space="preserve">ank of </w:t>
      </w:r>
      <w:r w:rsidRPr="00C273FD">
        <w:rPr>
          <w:lang w:val="en-GB"/>
        </w:rPr>
        <w:t>I</w:t>
      </w:r>
      <w:r w:rsidR="00CE2BFF">
        <w:rPr>
          <w:lang w:val="en-GB"/>
        </w:rPr>
        <w:t>ndia</w:t>
      </w:r>
      <w:r w:rsidRPr="00C273FD">
        <w:rPr>
          <w:lang w:val="en-GB"/>
        </w:rPr>
        <w:t xml:space="preserve">, </w:t>
      </w:r>
      <w:r w:rsidRPr="00640722">
        <w:rPr>
          <w:i/>
          <w:lang w:val="en-GB"/>
        </w:rPr>
        <w:t>Handbook of Statistics on the Indian Economy</w:t>
      </w:r>
      <w:r w:rsidR="00AE446A">
        <w:rPr>
          <w:i/>
          <w:lang w:val="en-GB"/>
        </w:rPr>
        <w:t xml:space="preserve">, </w:t>
      </w:r>
      <w:r w:rsidR="00AE446A" w:rsidRPr="009D10D4">
        <w:rPr>
          <w:lang w:val="en-GB"/>
        </w:rPr>
        <w:t>accessed February 23, 2017, https://dbie.rbi.org.in/DBIE/dbie.rbi?site=publications</w:t>
      </w:r>
      <w:r w:rsidR="00057E99" w:rsidRPr="00B97D5A">
        <w:rPr>
          <w:lang w:val="en-GB"/>
        </w:rPr>
        <w:t xml:space="preserve">. </w:t>
      </w:r>
      <w:r w:rsidRPr="006B6FF7">
        <w:rPr>
          <w:lang w:val="en-GB"/>
        </w:rPr>
        <w:br w:type="page"/>
      </w:r>
    </w:p>
    <w:p w14:paraId="254D9DCA" w14:textId="77777777" w:rsidR="00C80ACF" w:rsidRPr="00C273FD" w:rsidRDefault="00C80ACF" w:rsidP="00C80ACF">
      <w:pPr>
        <w:pStyle w:val="Casehead1"/>
        <w:rPr>
          <w:lang w:val="en-GB"/>
        </w:rPr>
      </w:pPr>
      <w:r w:rsidRPr="00C273FD">
        <w:rPr>
          <w:lang w:val="en-GB"/>
        </w:rPr>
        <w:lastRenderedPageBreak/>
        <w:t xml:space="preserve">Endnotes </w:t>
      </w:r>
    </w:p>
    <w:sectPr w:rsidR="00C80ACF" w:rsidRPr="00C273FD"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1AA5F" w14:textId="77777777" w:rsidR="00F60503" w:rsidRDefault="00F60503" w:rsidP="00D75295">
      <w:r>
        <w:separator/>
      </w:r>
    </w:p>
  </w:endnote>
  <w:endnote w:type="continuationSeparator" w:id="0">
    <w:p w14:paraId="2408E24E" w14:textId="77777777" w:rsidR="00F60503" w:rsidRDefault="00F60503" w:rsidP="00D75295">
      <w:r>
        <w:continuationSeparator/>
      </w:r>
    </w:p>
  </w:endnote>
  <w:endnote w:id="1">
    <w:p w14:paraId="0EEC8AD5" w14:textId="600DB15D"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r w:rsidRPr="00ED7CEC">
        <w:rPr>
          <w:rFonts w:ascii="Arial" w:hAnsi="Arial" w:cs="Arial"/>
          <w:sz w:val="17"/>
          <w:szCs w:val="17"/>
        </w:rPr>
        <w:t xml:space="preserve">This case has been written </w:t>
      </w:r>
      <w:proofErr w:type="gramStart"/>
      <w:r w:rsidRPr="00ED7CEC">
        <w:rPr>
          <w:rFonts w:ascii="Arial" w:hAnsi="Arial" w:cs="Arial"/>
          <w:sz w:val="17"/>
          <w:szCs w:val="17"/>
        </w:rPr>
        <w:t>on the basis of</w:t>
      </w:r>
      <w:proofErr w:type="gramEnd"/>
      <w:r w:rsidRPr="00ED7CEC">
        <w:rPr>
          <w:rFonts w:ascii="Arial" w:hAnsi="Arial" w:cs="Arial"/>
          <w:sz w:val="17"/>
          <w:szCs w:val="17"/>
        </w:rPr>
        <w:t xml:space="preserve"> published sources only. Consequently, the interpretation and perspectives presented in this case are not necessarily those of </w:t>
      </w:r>
      <w:r>
        <w:rPr>
          <w:rFonts w:ascii="Arial" w:hAnsi="Arial" w:cs="Arial"/>
          <w:sz w:val="17"/>
          <w:szCs w:val="17"/>
        </w:rPr>
        <w:t>the Government of India</w:t>
      </w:r>
      <w:r w:rsidRPr="00ED7CEC">
        <w:rPr>
          <w:rFonts w:ascii="Arial" w:hAnsi="Arial" w:cs="Arial"/>
          <w:sz w:val="17"/>
          <w:szCs w:val="17"/>
        </w:rPr>
        <w:t xml:space="preserve"> or any of its employees.</w:t>
      </w:r>
    </w:p>
  </w:endnote>
  <w:endnote w:id="2">
    <w:p w14:paraId="2396B984" w14:textId="66CAE8B0"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The Hindu growth rate was a real growth rate </w:t>
      </w:r>
      <w:r w:rsidRPr="00D846EE">
        <w:rPr>
          <w:rFonts w:ascii="Arial" w:hAnsi="Arial" w:cs="Arial"/>
          <w:color w:val="1A1A1A"/>
          <w:sz w:val="17"/>
          <w:szCs w:val="17"/>
          <w:lang w:val="en-IN"/>
        </w:rPr>
        <w:t xml:space="preserve">of 3.5 per cent per </w:t>
      </w:r>
      <w:r>
        <w:rPr>
          <w:rFonts w:ascii="Arial" w:hAnsi="Arial" w:cs="Arial"/>
          <w:color w:val="1A1A1A"/>
          <w:sz w:val="17"/>
          <w:szCs w:val="17"/>
          <w:lang w:val="en-IN"/>
        </w:rPr>
        <w:t>year</w:t>
      </w:r>
      <w:r w:rsidRPr="00D846EE">
        <w:rPr>
          <w:rFonts w:ascii="Arial" w:hAnsi="Arial" w:cs="Arial"/>
          <w:color w:val="1A1A1A"/>
          <w:sz w:val="17"/>
          <w:szCs w:val="17"/>
          <w:lang w:val="en-IN"/>
        </w:rPr>
        <w:t>.</w:t>
      </w:r>
    </w:p>
  </w:endnote>
  <w:endnote w:id="3">
    <w:p w14:paraId="6857AFE7" w14:textId="3776EF1C" w:rsidR="00F60503" w:rsidRPr="00D846EE" w:rsidRDefault="00F60503" w:rsidP="00433AC4">
      <w:pPr>
        <w:pStyle w:val="EndnoteText"/>
        <w:jc w:val="both"/>
        <w:rPr>
          <w:rFonts w:ascii="Arial" w:hAnsi="Arial" w:cs="Arial"/>
          <w:b/>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Asit</w:t>
      </w:r>
      <w:proofErr w:type="spellEnd"/>
      <w:r w:rsidRPr="00D846EE">
        <w:rPr>
          <w:rFonts w:ascii="Arial" w:hAnsi="Arial" w:cs="Arial"/>
          <w:sz w:val="17"/>
          <w:szCs w:val="17"/>
        </w:rPr>
        <w:t xml:space="preserve"> </w:t>
      </w:r>
      <w:proofErr w:type="spellStart"/>
      <w:r w:rsidRPr="00D846EE">
        <w:rPr>
          <w:rFonts w:ascii="Arial" w:hAnsi="Arial" w:cs="Arial"/>
          <w:sz w:val="17"/>
          <w:szCs w:val="17"/>
        </w:rPr>
        <w:t>Ranjan</w:t>
      </w:r>
      <w:proofErr w:type="spellEnd"/>
      <w:r w:rsidRPr="00D846EE">
        <w:rPr>
          <w:rFonts w:ascii="Arial" w:hAnsi="Arial" w:cs="Arial"/>
          <w:sz w:val="17"/>
          <w:szCs w:val="17"/>
        </w:rPr>
        <w:t xml:space="preserve"> Mishra, “Indian Economy Can Grow at 8.5 per cent in 2016-17: Arun </w:t>
      </w:r>
      <w:proofErr w:type="spellStart"/>
      <w:r w:rsidRPr="00D846EE">
        <w:rPr>
          <w:rFonts w:ascii="Arial" w:hAnsi="Arial" w:cs="Arial"/>
          <w:sz w:val="17"/>
          <w:szCs w:val="17"/>
        </w:rPr>
        <w:t>Jaitley</w:t>
      </w:r>
      <w:proofErr w:type="spellEnd"/>
      <w:r w:rsidRPr="00D846EE">
        <w:rPr>
          <w:rFonts w:ascii="Arial" w:hAnsi="Arial" w:cs="Arial"/>
          <w:sz w:val="17"/>
          <w:szCs w:val="17"/>
        </w:rPr>
        <w:t>,”</w:t>
      </w:r>
      <w:r w:rsidRPr="00D846EE">
        <w:rPr>
          <w:rFonts w:ascii="Arial" w:hAnsi="Arial" w:cs="Arial"/>
          <w:i/>
          <w:sz w:val="17"/>
          <w:szCs w:val="17"/>
        </w:rPr>
        <w:t xml:space="preserve"> Mint</w:t>
      </w:r>
      <w:r w:rsidRPr="00D846EE">
        <w:rPr>
          <w:rFonts w:ascii="Arial" w:hAnsi="Arial" w:cs="Arial"/>
          <w:sz w:val="17"/>
          <w:szCs w:val="17"/>
        </w:rPr>
        <w:t>, April 20, 201</w:t>
      </w:r>
      <w:r>
        <w:rPr>
          <w:rFonts w:ascii="Arial" w:hAnsi="Arial" w:cs="Arial"/>
          <w:sz w:val="17"/>
          <w:szCs w:val="17"/>
        </w:rPr>
        <w:t xml:space="preserve">6, accessed December 12, 2016, </w:t>
      </w:r>
      <w:r w:rsidRPr="00D846EE">
        <w:rPr>
          <w:rFonts w:ascii="Arial" w:hAnsi="Arial" w:cs="Arial"/>
          <w:sz w:val="17"/>
          <w:szCs w:val="17"/>
        </w:rPr>
        <w:t>www.livemint.com/Politics/inhFQiFsdAOcU8rGxU94KL/Indian-economy-can-grow-at-885-in-FY17-says-Arun-Jaitley.html.</w:t>
      </w:r>
    </w:p>
  </w:endnote>
  <w:endnote w:id="4">
    <w:p w14:paraId="07041E8B" w14:textId="5F82AF3A" w:rsidR="00F60503" w:rsidRPr="00D846EE" w:rsidRDefault="00F60503" w:rsidP="00433AC4">
      <w:pPr>
        <w:pStyle w:val="EndnoteText"/>
        <w:jc w:val="both"/>
        <w:rPr>
          <w:rFonts w:ascii="Arial" w:hAnsi="Arial" w:cs="Arial"/>
          <w:b/>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This section </w:t>
      </w:r>
      <w:proofErr w:type="gramStart"/>
      <w:r w:rsidRPr="00D846EE">
        <w:rPr>
          <w:rFonts w:ascii="Arial" w:hAnsi="Arial" w:cs="Arial"/>
          <w:sz w:val="17"/>
          <w:szCs w:val="17"/>
        </w:rPr>
        <w:t>is based</w:t>
      </w:r>
      <w:proofErr w:type="gramEnd"/>
      <w:r w:rsidRPr="00D846EE">
        <w:rPr>
          <w:rFonts w:ascii="Arial" w:hAnsi="Arial" w:cs="Arial"/>
          <w:sz w:val="17"/>
          <w:szCs w:val="17"/>
        </w:rPr>
        <w:t xml:space="preserve"> on the Government of India, Economic Survey, 1991–92 A, accessed December 14, 2016, http://indiabudget.nic.in/es1991-92_A/esmain.htm.</w:t>
      </w:r>
    </w:p>
  </w:endnote>
  <w:endnote w:id="5">
    <w:p w14:paraId="521BD332" w14:textId="61BBAC1F" w:rsidR="00F60503" w:rsidRPr="00D846EE" w:rsidRDefault="00F60503" w:rsidP="00640722">
      <w:pPr>
        <w:pStyle w:val="EndnoteText"/>
        <w:jc w:val="both"/>
        <w:rPr>
          <w:rFonts w:ascii="Arial" w:hAnsi="Arial" w:cs="Arial"/>
          <w:sz w:val="17"/>
          <w:szCs w:val="17"/>
          <w:vertAlign w:val="superscript"/>
        </w:rPr>
      </w:pPr>
      <w:r w:rsidRPr="009D10D4">
        <w:rPr>
          <w:rFonts w:ascii="Arial" w:hAnsi="Arial" w:cs="Arial"/>
          <w:sz w:val="17"/>
          <w:szCs w:val="17"/>
          <w:vertAlign w:val="superscript"/>
        </w:rPr>
        <w:endnoteRef/>
      </w:r>
      <w:r w:rsidRPr="00D846EE">
        <w:rPr>
          <w:rFonts w:ascii="Arial" w:hAnsi="Arial" w:cs="Arial"/>
          <w:sz w:val="17"/>
          <w:szCs w:val="17"/>
        </w:rPr>
        <w:t xml:space="preserve"> All currency amounts </w:t>
      </w:r>
      <w:proofErr w:type="gramStart"/>
      <w:r w:rsidRPr="00D846EE">
        <w:rPr>
          <w:rFonts w:ascii="Arial" w:hAnsi="Arial" w:cs="Arial"/>
          <w:sz w:val="17"/>
          <w:szCs w:val="17"/>
        </w:rPr>
        <w:t>are shown</w:t>
      </w:r>
      <w:proofErr w:type="gramEnd"/>
      <w:r w:rsidRPr="00D846EE">
        <w:rPr>
          <w:rFonts w:ascii="Arial" w:hAnsi="Arial" w:cs="Arial"/>
          <w:sz w:val="17"/>
          <w:szCs w:val="17"/>
        </w:rPr>
        <w:t xml:space="preserve"> in U.S. dollars unless otherwise noted.</w:t>
      </w:r>
      <w:r w:rsidRPr="00D846EE">
        <w:rPr>
          <w:rFonts w:ascii="Arial" w:hAnsi="Arial" w:cs="Arial"/>
          <w:sz w:val="17"/>
          <w:szCs w:val="17"/>
          <w:vertAlign w:val="superscript"/>
        </w:rPr>
        <w:t xml:space="preserve"> </w:t>
      </w:r>
    </w:p>
  </w:endnote>
  <w:endnote w:id="6">
    <w:p w14:paraId="44146402" w14:textId="24A3D009"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Deepak </w:t>
      </w:r>
      <w:proofErr w:type="spellStart"/>
      <w:r w:rsidRPr="00D846EE">
        <w:rPr>
          <w:rFonts w:ascii="Arial" w:hAnsi="Arial" w:cs="Arial"/>
          <w:sz w:val="17"/>
          <w:szCs w:val="17"/>
        </w:rPr>
        <w:t>Mohanty</w:t>
      </w:r>
      <w:proofErr w:type="spellEnd"/>
      <w:r w:rsidRPr="00D846EE">
        <w:rPr>
          <w:rFonts w:ascii="Arial" w:hAnsi="Arial" w:cs="Arial"/>
          <w:sz w:val="17"/>
          <w:szCs w:val="17"/>
        </w:rPr>
        <w:t>, “Indian Economy: Progress and Prospects,” speech at Harvard Business School, Boston, September 27, 2011, accessed March 19, 2017, https://rbi.org.in/scripts/BS_SpeechesView.aspx?Id=603.</w:t>
      </w:r>
    </w:p>
  </w:endnote>
  <w:endnote w:id="7">
    <w:p w14:paraId="5D4D6C54" w14:textId="114D975C"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“Table 244: Balance of Payments—Indicators,” Reserve Bank of India, accessed December 26, 2016, https://rbi.org.in/Scripts/PublicationsView.aspx?id=17377; </w:t>
      </w:r>
      <w:proofErr w:type="spellStart"/>
      <w:r w:rsidRPr="00D846EE">
        <w:rPr>
          <w:rFonts w:ascii="Arial" w:hAnsi="Arial" w:cs="Arial"/>
          <w:sz w:val="17"/>
          <w:szCs w:val="17"/>
        </w:rPr>
        <w:t>Dilip</w:t>
      </w:r>
      <w:proofErr w:type="spellEnd"/>
      <w:r w:rsidRPr="00D846EE">
        <w:rPr>
          <w:rFonts w:ascii="Arial" w:hAnsi="Arial" w:cs="Arial"/>
          <w:sz w:val="17"/>
          <w:szCs w:val="17"/>
        </w:rPr>
        <w:t xml:space="preserve"> Hiro, “After 25 Years of Liberalization, India’s Rich Are Growing Richer and the Poor Poorer,” </w:t>
      </w:r>
      <w:r w:rsidRPr="00D846EE">
        <w:rPr>
          <w:rFonts w:ascii="Arial" w:hAnsi="Arial" w:cs="Arial"/>
          <w:i/>
          <w:sz w:val="17"/>
          <w:szCs w:val="17"/>
        </w:rPr>
        <w:t>Quartz India</w:t>
      </w:r>
      <w:r w:rsidRPr="00D846EE">
        <w:rPr>
          <w:rFonts w:ascii="Arial" w:hAnsi="Arial" w:cs="Arial"/>
          <w:sz w:val="17"/>
          <w:szCs w:val="17"/>
        </w:rPr>
        <w:t>, July 21, 2016, accessed January 1, 2017, https://qz.com/737196/after-25-years-of-liberalisation-indias-rich-are-growing-richer-and-the-poor-poorer/.</w:t>
      </w:r>
    </w:p>
  </w:endnote>
  <w:endnote w:id="8">
    <w:p w14:paraId="7E41B6EB" w14:textId="193AEC7B" w:rsidR="00F60503" w:rsidRPr="00D846EE" w:rsidRDefault="00F60503" w:rsidP="00433AC4">
      <w:pPr>
        <w:pStyle w:val="EndnoteText"/>
        <w:jc w:val="both"/>
        <w:rPr>
          <w:rFonts w:ascii="Arial" w:hAnsi="Arial" w:cs="Arial"/>
          <w:b/>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Ankit Mittal, “The Long Road to the 1991 Economic Crisis,” </w:t>
      </w:r>
      <w:r w:rsidRPr="00D846EE">
        <w:rPr>
          <w:rFonts w:ascii="Arial" w:hAnsi="Arial" w:cs="Arial"/>
          <w:i/>
          <w:sz w:val="17"/>
          <w:szCs w:val="17"/>
        </w:rPr>
        <w:t>Mint</w:t>
      </w:r>
      <w:r w:rsidRPr="00D846EE">
        <w:rPr>
          <w:rFonts w:ascii="Arial" w:hAnsi="Arial" w:cs="Arial"/>
          <w:sz w:val="17"/>
          <w:szCs w:val="17"/>
        </w:rPr>
        <w:t>, July 2, 2016, accessed December 3, 2016, www.livemint.com/Sundayapp/E0rCYXfJyjWd2qsENV3KOO/The-long-road-to-the-1991-economic-crisis.html</w:t>
      </w:r>
      <w:r>
        <w:rPr>
          <w:rFonts w:ascii="Arial" w:hAnsi="Arial" w:cs="Arial"/>
          <w:sz w:val="17"/>
          <w:szCs w:val="17"/>
        </w:rPr>
        <w:t>.</w:t>
      </w:r>
    </w:p>
  </w:endnote>
  <w:endnote w:id="9">
    <w:p w14:paraId="3A133E7F" w14:textId="53723EB2" w:rsidR="00F60503" w:rsidRPr="00D846EE" w:rsidRDefault="00F60503" w:rsidP="00433AC4">
      <w:pPr>
        <w:pStyle w:val="EndnoteText"/>
        <w:jc w:val="both"/>
        <w:rPr>
          <w:rFonts w:ascii="Arial" w:hAnsi="Arial" w:cs="Arial"/>
          <w:b/>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op. cit., 10. </w:t>
      </w:r>
    </w:p>
  </w:endnote>
  <w:endnote w:id="10">
    <w:p w14:paraId="0F5161FC" w14:textId="5B3C3117"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In this government, P. V. </w:t>
      </w:r>
      <w:proofErr w:type="spellStart"/>
      <w:r w:rsidRPr="00D846EE">
        <w:rPr>
          <w:rFonts w:ascii="Arial" w:hAnsi="Arial" w:cs="Arial"/>
          <w:sz w:val="17"/>
          <w:szCs w:val="17"/>
        </w:rPr>
        <w:t>Narasimha</w:t>
      </w:r>
      <w:proofErr w:type="spellEnd"/>
      <w:r w:rsidRPr="00D846EE">
        <w:rPr>
          <w:rFonts w:ascii="Arial" w:hAnsi="Arial" w:cs="Arial"/>
          <w:sz w:val="17"/>
          <w:szCs w:val="17"/>
        </w:rPr>
        <w:t xml:space="preserve"> Rao was the prime minister, and Dr. Manmohan Singh, the finance minister.</w:t>
      </w:r>
    </w:p>
  </w:endnote>
  <w:endnote w:id="11">
    <w:p w14:paraId="4028BDD7" w14:textId="60DC0F93"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op. cit., 11. </w:t>
      </w:r>
    </w:p>
  </w:endnote>
  <w:endnote w:id="12">
    <w:p w14:paraId="7607AAE8" w14:textId="68B45BB8"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Nikhil Prasad </w:t>
      </w:r>
      <w:proofErr w:type="spellStart"/>
      <w:r w:rsidRPr="00D846EE">
        <w:rPr>
          <w:rFonts w:ascii="Arial" w:hAnsi="Arial" w:cs="Arial"/>
          <w:sz w:val="17"/>
          <w:szCs w:val="17"/>
        </w:rPr>
        <w:t>Ojha</w:t>
      </w:r>
      <w:proofErr w:type="spellEnd"/>
      <w:r w:rsidRPr="00D846EE">
        <w:rPr>
          <w:rFonts w:ascii="Arial" w:hAnsi="Arial" w:cs="Arial"/>
          <w:sz w:val="17"/>
          <w:szCs w:val="17"/>
        </w:rPr>
        <w:t xml:space="preserve"> and Sri </w:t>
      </w:r>
      <w:proofErr w:type="spellStart"/>
      <w:r w:rsidRPr="00D846EE">
        <w:rPr>
          <w:rFonts w:ascii="Arial" w:hAnsi="Arial" w:cs="Arial"/>
          <w:sz w:val="17"/>
          <w:szCs w:val="17"/>
        </w:rPr>
        <w:t>Rajan</w:t>
      </w:r>
      <w:proofErr w:type="spellEnd"/>
      <w:r w:rsidRPr="00D846EE">
        <w:rPr>
          <w:rFonts w:ascii="Arial" w:hAnsi="Arial" w:cs="Arial"/>
          <w:sz w:val="17"/>
          <w:szCs w:val="17"/>
        </w:rPr>
        <w:t xml:space="preserve">, “25 Years of Reforms: Where Are We Now?” </w:t>
      </w:r>
      <w:r w:rsidRPr="00D846EE">
        <w:rPr>
          <w:rFonts w:ascii="Arial" w:hAnsi="Arial" w:cs="Arial"/>
          <w:i/>
          <w:sz w:val="17"/>
          <w:szCs w:val="17"/>
        </w:rPr>
        <w:t>Mint</w:t>
      </w:r>
      <w:r w:rsidRPr="00D846EE">
        <w:rPr>
          <w:rFonts w:ascii="Arial" w:hAnsi="Arial" w:cs="Arial"/>
          <w:sz w:val="17"/>
          <w:szCs w:val="17"/>
        </w:rPr>
        <w:t>, February 2, 2016, a</w:t>
      </w:r>
      <w:r>
        <w:rPr>
          <w:rFonts w:ascii="Arial" w:hAnsi="Arial" w:cs="Arial"/>
          <w:sz w:val="17"/>
          <w:szCs w:val="17"/>
        </w:rPr>
        <w:t xml:space="preserve">ccessed January 1, 2017, </w:t>
      </w:r>
      <w:r w:rsidRPr="00D846EE">
        <w:rPr>
          <w:rFonts w:ascii="Arial" w:hAnsi="Arial" w:cs="Arial"/>
          <w:sz w:val="17"/>
          <w:szCs w:val="17"/>
        </w:rPr>
        <w:t>www.livemint.com/Specials/QnadHoQ0RmqP3GjRBNLwQO/25-years-of-liberalization-Where-we-are-now.html.</w:t>
      </w:r>
    </w:p>
  </w:endnote>
  <w:endnote w:id="13">
    <w:p w14:paraId="1F348344" w14:textId="5A5B90AD"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op cit. </w:t>
      </w:r>
    </w:p>
  </w:endnote>
  <w:endnote w:id="14">
    <w:p w14:paraId="3C9C7A48" w14:textId="754E5D3B"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Ibid. </w:t>
      </w:r>
    </w:p>
  </w:endnote>
  <w:endnote w:id="15">
    <w:p w14:paraId="5A0BE6EF" w14:textId="35BD44BE"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The central government’s fiscal-deficit to gross domestic product ratio was brought down from its peak of 8.13 per cent in 1986</w:t>
      </w:r>
      <w:r>
        <w:rPr>
          <w:rFonts w:ascii="Arial" w:hAnsi="Arial" w:cs="Arial"/>
          <w:sz w:val="17"/>
          <w:szCs w:val="17"/>
        </w:rPr>
        <w:t xml:space="preserve">–87 to 4.91 per cent in 1995–96; </w:t>
      </w:r>
      <w:proofErr w:type="gramStart"/>
      <w:r w:rsidRPr="00D846EE">
        <w:rPr>
          <w:rFonts w:ascii="Arial" w:hAnsi="Arial" w:cs="Arial"/>
          <w:sz w:val="17"/>
          <w:szCs w:val="17"/>
        </w:rPr>
        <w:t>Ibid</w:t>
      </w:r>
      <w:proofErr w:type="gramEnd"/>
      <w:r w:rsidRPr="00D846EE">
        <w:rPr>
          <w:rFonts w:ascii="Arial" w:hAnsi="Arial" w:cs="Arial"/>
          <w:sz w:val="17"/>
          <w:szCs w:val="17"/>
        </w:rPr>
        <w:t xml:space="preserve">. </w:t>
      </w:r>
    </w:p>
  </w:endnote>
  <w:endnote w:id="16">
    <w:p w14:paraId="15A7434E" w14:textId="4128C09E"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Mohanty</w:t>
      </w:r>
      <w:proofErr w:type="spellEnd"/>
      <w:r w:rsidRPr="00D846EE">
        <w:rPr>
          <w:rFonts w:ascii="Arial" w:hAnsi="Arial" w:cs="Arial"/>
          <w:sz w:val="17"/>
          <w:szCs w:val="17"/>
        </w:rPr>
        <w:t>, op. cit</w:t>
      </w:r>
      <w:r>
        <w:rPr>
          <w:rFonts w:ascii="Arial" w:hAnsi="Arial" w:cs="Arial"/>
          <w:sz w:val="17"/>
          <w:szCs w:val="17"/>
        </w:rPr>
        <w:t>.</w:t>
      </w:r>
    </w:p>
  </w:endnote>
  <w:endnote w:id="17">
    <w:p w14:paraId="4CCDD111" w14:textId="3AF376E2" w:rsidR="00F60503" w:rsidRPr="00D846EE" w:rsidRDefault="00F60503" w:rsidP="00E810EF">
      <w:pPr>
        <w:jc w:val="both"/>
        <w:rPr>
          <w:rFonts w:ascii="Arial" w:hAnsi="Arial" w:cs="Arial"/>
          <w:b/>
          <w:color w:val="000000"/>
          <w:sz w:val="17"/>
          <w:szCs w:val="17"/>
        </w:rPr>
      </w:pPr>
      <w:r w:rsidRPr="00D846EE">
        <w:rPr>
          <w:rStyle w:val="EndnoteReference"/>
          <w:rFonts w:ascii="Arial" w:hAnsi="Arial" w:cs="Arial"/>
          <w:sz w:val="17"/>
          <w:szCs w:val="17"/>
        </w:rPr>
        <w:endnoteRef/>
      </w:r>
      <w:r w:rsidRPr="00D846EE">
        <w:rPr>
          <w:rFonts w:ascii="Arial" w:hAnsi="Arial" w:cs="Arial"/>
          <w:color w:val="000000"/>
          <w:sz w:val="17"/>
          <w:szCs w:val="17"/>
        </w:rPr>
        <w:t xml:space="preserve"> </w:t>
      </w:r>
      <w:r w:rsidRPr="00D846EE">
        <w:rPr>
          <w:rFonts w:ascii="Arial" w:hAnsi="Arial" w:cs="Arial"/>
          <w:spacing w:val="-4"/>
          <w:kern w:val="17"/>
          <w:sz w:val="17"/>
          <w:szCs w:val="17"/>
          <w:lang w:val="en-GB"/>
        </w:rPr>
        <w:t>“</w:t>
      </w:r>
      <w:r w:rsidRPr="00D846EE">
        <w:rPr>
          <w:rFonts w:ascii="Arial" w:hAnsi="Arial" w:cs="Arial"/>
          <w:color w:val="000000"/>
          <w:sz w:val="17"/>
          <w:szCs w:val="17"/>
        </w:rPr>
        <w:t>National Accounts Main Aggregates Database,</w:t>
      </w:r>
      <w:r w:rsidRPr="00D846EE">
        <w:rPr>
          <w:spacing w:val="-4"/>
          <w:kern w:val="17"/>
          <w:lang w:val="en-GB"/>
        </w:rPr>
        <w:t xml:space="preserve"> </w:t>
      </w:r>
      <w:r w:rsidRPr="00D846EE">
        <w:rPr>
          <w:rFonts w:ascii="Arial" w:hAnsi="Arial" w:cs="Arial"/>
          <w:spacing w:val="-4"/>
          <w:kern w:val="17"/>
          <w:sz w:val="17"/>
          <w:szCs w:val="17"/>
          <w:lang w:val="en-GB"/>
        </w:rPr>
        <w:t>Country Profile India, 1990</w:t>
      </w:r>
      <w:r>
        <w:rPr>
          <w:rFonts w:ascii="Arial" w:hAnsi="Arial" w:cs="Arial"/>
          <w:spacing w:val="-4"/>
          <w:kern w:val="17"/>
          <w:sz w:val="17"/>
          <w:szCs w:val="17"/>
          <w:lang w:val="en-GB"/>
        </w:rPr>
        <w:t>–</w:t>
      </w:r>
      <w:r w:rsidRPr="00D846EE">
        <w:rPr>
          <w:rFonts w:ascii="Arial" w:hAnsi="Arial" w:cs="Arial"/>
          <w:spacing w:val="-4"/>
          <w:kern w:val="17"/>
          <w:sz w:val="17"/>
          <w:szCs w:val="17"/>
          <w:lang w:val="en-GB"/>
        </w:rPr>
        <w:t xml:space="preserve">2015,” </w:t>
      </w:r>
      <w:r>
        <w:rPr>
          <w:rFonts w:ascii="Arial" w:hAnsi="Arial" w:cs="Arial"/>
          <w:spacing w:val="-4"/>
          <w:kern w:val="17"/>
          <w:sz w:val="17"/>
          <w:szCs w:val="17"/>
          <w:lang w:val="en-GB"/>
        </w:rPr>
        <w:t xml:space="preserve">United Nations, </w:t>
      </w:r>
      <w:r w:rsidRPr="00D846EE">
        <w:rPr>
          <w:rFonts w:ascii="Arial" w:hAnsi="Arial" w:cs="Arial"/>
          <w:spacing w:val="-4"/>
          <w:kern w:val="17"/>
          <w:sz w:val="17"/>
          <w:szCs w:val="17"/>
          <w:lang w:val="en-GB"/>
        </w:rPr>
        <w:t>accessed January 25, 2017</w:t>
      </w:r>
      <w:r w:rsidRPr="00D846EE">
        <w:rPr>
          <w:rFonts w:ascii="Arial" w:hAnsi="Arial" w:cs="Arial"/>
          <w:color w:val="000000"/>
          <w:sz w:val="17"/>
          <w:szCs w:val="17"/>
        </w:rPr>
        <w:t xml:space="preserve">, https://unstats.un.org/unsd/snaama/resQuery.asp; </w:t>
      </w:r>
      <w:r>
        <w:rPr>
          <w:rFonts w:ascii="Arial" w:hAnsi="Arial" w:cs="Arial"/>
          <w:color w:val="000000"/>
          <w:sz w:val="17"/>
          <w:szCs w:val="17"/>
        </w:rPr>
        <w:t>“</w:t>
      </w:r>
      <w:r w:rsidRPr="00D846EE">
        <w:rPr>
          <w:rFonts w:ascii="Arial" w:hAnsi="Arial" w:cs="Arial"/>
          <w:color w:val="000000"/>
          <w:sz w:val="17"/>
          <w:szCs w:val="17"/>
        </w:rPr>
        <w:t>GDP of India,</w:t>
      </w:r>
      <w:r>
        <w:rPr>
          <w:rFonts w:ascii="Arial" w:hAnsi="Arial" w:cs="Arial"/>
          <w:color w:val="000000"/>
          <w:sz w:val="17"/>
          <w:szCs w:val="17"/>
        </w:rPr>
        <w:t>” Statistics Times,</w:t>
      </w:r>
      <w:r w:rsidRPr="00D846EE">
        <w:rPr>
          <w:rFonts w:ascii="Arial" w:hAnsi="Arial" w:cs="Arial"/>
          <w:color w:val="000000"/>
          <w:sz w:val="17"/>
          <w:szCs w:val="17"/>
        </w:rPr>
        <w:t xml:space="preserve"> http://statisticstimes.com/economy/gdp-of-india.php. </w:t>
      </w:r>
      <w:r w:rsidRPr="00D846EE">
        <w:rPr>
          <w:rFonts w:ascii="Arial" w:hAnsi="Arial" w:cs="Arial"/>
          <w:sz w:val="17"/>
          <w:szCs w:val="17"/>
        </w:rPr>
        <w:t xml:space="preserve">The nominal GDP in rupee terms rose from </w:t>
      </w:r>
      <w:r w:rsidRPr="00D846EE">
        <w:rPr>
          <w:rFonts w:ascii="Arial" w:hAnsi="Arial" w:cs="Arial"/>
          <w:sz w:val="17"/>
          <w:szCs w:val="17"/>
          <w:lang w:val="en-IN"/>
        </w:rPr>
        <w:t>INR5</w:t>
      </w:r>
      <w:proofErr w:type="gramStart"/>
      <w:r w:rsidRPr="00D846EE">
        <w:rPr>
          <w:rFonts w:ascii="Arial" w:hAnsi="Arial" w:cs="Arial"/>
          <w:sz w:val="17"/>
          <w:szCs w:val="17"/>
          <w:lang w:val="en-IN"/>
        </w:rPr>
        <w:t>,318.13</w:t>
      </w:r>
      <w:proofErr w:type="gramEnd"/>
      <w:r w:rsidRPr="00D846EE">
        <w:rPr>
          <w:rFonts w:ascii="Arial" w:hAnsi="Arial" w:cs="Arial"/>
          <w:sz w:val="17"/>
          <w:szCs w:val="17"/>
          <w:lang w:val="en-IN"/>
        </w:rPr>
        <w:t xml:space="preserve"> billion in 1990/91 to INR136,753.31 billion in 2015/16, representing a 2,471 per cent increase.</w:t>
      </w:r>
    </w:p>
  </w:endnote>
  <w:endnote w:id="18">
    <w:p w14:paraId="0EDA48D4" w14:textId="7CB88349" w:rsidR="00F60503" w:rsidRPr="00D846EE" w:rsidRDefault="00F60503" w:rsidP="00FA2BDD">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“World GDP Ranking 2016,” </w:t>
      </w:r>
      <w:proofErr w:type="spellStart"/>
      <w:r w:rsidRPr="00D846EE">
        <w:rPr>
          <w:rFonts w:ascii="Arial" w:hAnsi="Arial" w:cs="Arial"/>
          <w:sz w:val="17"/>
          <w:szCs w:val="17"/>
        </w:rPr>
        <w:t>Knoema</w:t>
      </w:r>
      <w:proofErr w:type="spellEnd"/>
      <w:r w:rsidRPr="00D846EE">
        <w:rPr>
          <w:rFonts w:ascii="Arial" w:hAnsi="Arial" w:cs="Arial"/>
          <w:sz w:val="17"/>
          <w:szCs w:val="17"/>
        </w:rPr>
        <w:t xml:space="preserve">, </w:t>
      </w:r>
      <w:r w:rsidRPr="00D846EE">
        <w:rPr>
          <w:rFonts w:ascii="Arial" w:hAnsi="Arial" w:cs="Arial"/>
          <w:color w:val="000000"/>
          <w:sz w:val="17"/>
          <w:szCs w:val="17"/>
        </w:rPr>
        <w:t xml:space="preserve">accessed December 29, 2016, </w:t>
      </w:r>
      <w:r w:rsidRPr="00D846EE">
        <w:rPr>
          <w:rFonts w:ascii="Arial" w:hAnsi="Arial" w:cs="Arial"/>
          <w:sz w:val="17"/>
          <w:szCs w:val="17"/>
        </w:rPr>
        <w:t>https://knoema.com/nwnfkne/world-gdp-ranking-2016-data-and-charts-forecast. In December 2016, India overtook Britain to become the sixth largest economy in the world by GDP</w:t>
      </w:r>
      <w:r>
        <w:rPr>
          <w:rFonts w:ascii="Arial" w:hAnsi="Arial" w:cs="Arial"/>
          <w:sz w:val="17"/>
          <w:szCs w:val="17"/>
        </w:rPr>
        <w:t>.</w:t>
      </w:r>
      <w:r w:rsidRPr="00D846EE">
        <w:rPr>
          <w:rFonts w:ascii="Arial" w:hAnsi="Arial" w:cs="Arial"/>
          <w:sz w:val="17"/>
          <w:szCs w:val="17"/>
        </w:rPr>
        <w:t xml:space="preserve"> Robbie </w:t>
      </w:r>
      <w:proofErr w:type="spellStart"/>
      <w:r w:rsidRPr="00D846EE">
        <w:rPr>
          <w:rFonts w:ascii="Arial" w:hAnsi="Arial" w:cs="Arial"/>
          <w:sz w:val="17"/>
          <w:szCs w:val="17"/>
        </w:rPr>
        <w:t>Gramer</w:t>
      </w:r>
      <w:proofErr w:type="spellEnd"/>
      <w:r w:rsidRPr="00D846EE">
        <w:rPr>
          <w:rFonts w:ascii="Arial" w:hAnsi="Arial" w:cs="Arial"/>
          <w:sz w:val="17"/>
          <w:szCs w:val="17"/>
        </w:rPr>
        <w:t xml:space="preserve">, “India Overtakes Britain </w:t>
      </w:r>
      <w:proofErr w:type="gramStart"/>
      <w:r>
        <w:rPr>
          <w:rFonts w:ascii="Arial" w:hAnsi="Arial" w:cs="Arial"/>
          <w:sz w:val="17"/>
          <w:szCs w:val="17"/>
        </w:rPr>
        <w:t>A</w:t>
      </w:r>
      <w:r w:rsidRPr="00D846EE">
        <w:rPr>
          <w:rFonts w:ascii="Arial" w:hAnsi="Arial" w:cs="Arial"/>
          <w:sz w:val="17"/>
          <w:szCs w:val="17"/>
        </w:rPr>
        <w:t>s</w:t>
      </w:r>
      <w:proofErr w:type="gramEnd"/>
      <w:r w:rsidRPr="00D846EE">
        <w:rPr>
          <w:rFonts w:ascii="Arial" w:hAnsi="Arial" w:cs="Arial"/>
          <w:sz w:val="17"/>
          <w:szCs w:val="17"/>
        </w:rPr>
        <w:t xml:space="preserve"> the World’s Sixth-Largest Economy,” </w:t>
      </w:r>
      <w:r w:rsidRPr="00D846EE">
        <w:rPr>
          <w:rFonts w:ascii="Arial" w:hAnsi="Arial" w:cs="Arial"/>
          <w:i/>
          <w:sz w:val="17"/>
          <w:szCs w:val="17"/>
        </w:rPr>
        <w:t>Foreign Policy</w:t>
      </w:r>
      <w:r w:rsidRPr="00D846EE">
        <w:rPr>
          <w:rFonts w:ascii="Arial" w:hAnsi="Arial" w:cs="Arial"/>
          <w:sz w:val="17"/>
          <w:szCs w:val="17"/>
        </w:rPr>
        <w:t>, December 20, 2016, accessed January 3, 2017, http://foreignpolicy.com/2016/12/20/india-overtakes-britain-as-the-worlds-sixth-largest-economy/.</w:t>
      </w:r>
    </w:p>
  </w:endnote>
  <w:endnote w:id="19">
    <w:p w14:paraId="6728A3B6" w14:textId="54FDB039"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r w:rsidRPr="00D846EE">
        <w:rPr>
          <w:rFonts w:ascii="Arial" w:hAnsi="Arial" w:cs="Arial"/>
          <w:color w:val="1A1A1A"/>
          <w:sz w:val="17"/>
          <w:szCs w:val="17"/>
          <w:lang w:val="en-IN"/>
        </w:rPr>
        <w:t>The new GDP series included the following changes: revision of the base year from 2004–05 to 2011–12; headline growth rate to be measured by GDP at constant market prices, rather than the earlier measure of GDP at factor cost at constant prices; and a more comprehensive coverage of the corporate and financial sectors, and also of activities of local bodies and autonomous institutions</w:t>
      </w:r>
      <w:r>
        <w:rPr>
          <w:rFonts w:ascii="Arial" w:hAnsi="Arial" w:cs="Arial"/>
          <w:color w:val="1A1A1A"/>
          <w:sz w:val="17"/>
          <w:szCs w:val="17"/>
          <w:lang w:val="en-IN"/>
        </w:rPr>
        <w:t xml:space="preserve">. </w:t>
      </w:r>
      <w:r w:rsidRPr="00D846EE">
        <w:rPr>
          <w:rFonts w:ascii="Arial" w:hAnsi="Arial" w:cs="Arial"/>
          <w:sz w:val="17"/>
          <w:szCs w:val="17"/>
        </w:rPr>
        <w:t>Government of India, Economic Survey, 2014–15, accessed February 6, 2017, http://indiabudget.nic.in/budget2015-2016/vol1_survey.asp.</w:t>
      </w:r>
    </w:p>
  </w:endnote>
  <w:endnote w:id="20">
    <w:p w14:paraId="1D1D6DE3" w14:textId="591A1EBD" w:rsidR="00F60503" w:rsidRPr="00D846EE" w:rsidRDefault="00F60503" w:rsidP="00FA2BDD">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Indivjal</w:t>
      </w:r>
      <w:proofErr w:type="spellEnd"/>
      <w:r w:rsidRPr="00D846EE">
        <w:rPr>
          <w:rFonts w:ascii="Arial" w:hAnsi="Arial" w:cs="Arial"/>
          <w:sz w:val="17"/>
          <w:szCs w:val="17"/>
        </w:rPr>
        <w:t xml:space="preserve"> </w:t>
      </w:r>
      <w:proofErr w:type="spellStart"/>
      <w:r w:rsidRPr="00D846EE">
        <w:rPr>
          <w:rFonts w:ascii="Arial" w:hAnsi="Arial" w:cs="Arial"/>
          <w:sz w:val="17"/>
          <w:szCs w:val="17"/>
        </w:rPr>
        <w:t>Dhasmana</w:t>
      </w:r>
      <w:proofErr w:type="spellEnd"/>
      <w:r w:rsidRPr="00D846EE">
        <w:rPr>
          <w:rFonts w:ascii="Arial" w:hAnsi="Arial" w:cs="Arial"/>
          <w:sz w:val="17"/>
          <w:szCs w:val="17"/>
        </w:rPr>
        <w:t xml:space="preserve">, “At 7.6 Per Cent in FY16, India Is Now the Fastest Growing Economy,” </w:t>
      </w:r>
      <w:r w:rsidRPr="00D846EE">
        <w:rPr>
          <w:rFonts w:ascii="Arial" w:hAnsi="Arial" w:cs="Arial"/>
          <w:i/>
          <w:sz w:val="17"/>
          <w:szCs w:val="17"/>
        </w:rPr>
        <w:t>Business Standard</w:t>
      </w:r>
      <w:r w:rsidRPr="00D846EE">
        <w:rPr>
          <w:rFonts w:ascii="Arial" w:hAnsi="Arial" w:cs="Arial"/>
          <w:sz w:val="17"/>
          <w:szCs w:val="17"/>
        </w:rPr>
        <w:t>, June 1, 2016, acc</w:t>
      </w:r>
      <w:r>
        <w:rPr>
          <w:rFonts w:ascii="Arial" w:hAnsi="Arial" w:cs="Arial"/>
          <w:sz w:val="17"/>
          <w:szCs w:val="17"/>
        </w:rPr>
        <w:t xml:space="preserve">essed February 14, 2017, </w:t>
      </w:r>
      <w:r w:rsidRPr="00D846EE">
        <w:rPr>
          <w:rFonts w:ascii="Arial" w:hAnsi="Arial" w:cs="Arial"/>
          <w:sz w:val="17"/>
          <w:szCs w:val="17"/>
        </w:rPr>
        <w:t>www.business-standard.com/article/economy-policy/at-7-6-in-fy16-india-is-now-the-fastest-growing-economy-116053101080_1.html.</w:t>
      </w:r>
    </w:p>
  </w:endnote>
  <w:endnote w:id="21">
    <w:p w14:paraId="0D0D5F1B" w14:textId="235E4DA8" w:rsidR="00F60503" w:rsidRPr="00D846EE" w:rsidRDefault="00F60503" w:rsidP="00F9125D">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“India Remains Bright Spot in Global Economy: IMF Chief Christine </w:t>
      </w:r>
      <w:proofErr w:type="spellStart"/>
      <w:r w:rsidRPr="00D846EE">
        <w:rPr>
          <w:rFonts w:ascii="Arial" w:hAnsi="Arial" w:cs="Arial"/>
          <w:sz w:val="17"/>
          <w:szCs w:val="17"/>
        </w:rPr>
        <w:t>Lagarde</w:t>
      </w:r>
      <w:proofErr w:type="spellEnd"/>
      <w:r w:rsidRPr="00D846EE">
        <w:rPr>
          <w:rFonts w:ascii="Arial" w:hAnsi="Arial" w:cs="Arial"/>
          <w:sz w:val="17"/>
          <w:szCs w:val="17"/>
        </w:rPr>
        <w:t xml:space="preserve">,” </w:t>
      </w:r>
      <w:r w:rsidRPr="009D10D4">
        <w:rPr>
          <w:rFonts w:ascii="Arial" w:hAnsi="Arial" w:cs="Arial"/>
          <w:i/>
          <w:sz w:val="17"/>
          <w:szCs w:val="17"/>
        </w:rPr>
        <w:t>Economic Times,</w:t>
      </w:r>
      <w:r w:rsidRPr="00D846EE">
        <w:rPr>
          <w:rFonts w:ascii="Arial" w:hAnsi="Arial" w:cs="Arial"/>
          <w:sz w:val="17"/>
          <w:szCs w:val="17"/>
        </w:rPr>
        <w:t xml:space="preserve"> April 5, 2016, accessed February 12, 2017, http://economictimes.indiatimes.com/news/economy/indicators/india-remains-bright-spot-in-global-economy-imf-chief-christine-lagarde/articleshow/51696717.cms.</w:t>
      </w:r>
    </w:p>
  </w:endnote>
  <w:endnote w:id="22">
    <w:p w14:paraId="550646C7" w14:textId="41ECC05E"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The supply side views the sectoral composition of GDP (i.e., agriculture, industry, and services), while the demand side looks at the expenditure side (i.e., Y = C + I + G + X – M, where Y = GDP, C = consumption, I = investment, G = government spending, X = exports, M = imports).</w:t>
      </w:r>
    </w:p>
  </w:endnote>
  <w:endnote w:id="23">
    <w:p w14:paraId="6CD6346E" w14:textId="385EC346" w:rsidR="00F60503" w:rsidRPr="00D846EE" w:rsidRDefault="00F60503" w:rsidP="00D846EE">
      <w:pPr>
        <w:pStyle w:val="Footnote"/>
        <w:rPr>
          <w:lang w:val="en-GB"/>
        </w:rPr>
      </w:pPr>
      <w:r w:rsidRPr="00D846EE">
        <w:rPr>
          <w:rStyle w:val="EndnoteReference"/>
        </w:rPr>
        <w:endnoteRef/>
      </w:r>
      <w:r w:rsidRPr="00D846EE">
        <w:t xml:space="preserve"> Reserve Bank of India, </w:t>
      </w:r>
      <w:r w:rsidR="00846415">
        <w:t>“</w:t>
      </w:r>
      <w:r w:rsidRPr="00D846EE">
        <w:t>Annual Report</w:t>
      </w:r>
      <w:r w:rsidR="00846415">
        <w:t xml:space="preserve"> </w:t>
      </w:r>
      <w:r w:rsidRPr="00D846EE">
        <w:t>2015–16,</w:t>
      </w:r>
      <w:r w:rsidR="00846415">
        <w:t>”</w:t>
      </w:r>
      <w:r w:rsidRPr="00D846EE">
        <w:t xml:space="preserve"> August 29, 2016, </w:t>
      </w:r>
      <w:r w:rsidRPr="00D846EE">
        <w:rPr>
          <w:lang w:val="en-GB"/>
        </w:rPr>
        <w:t>accessed February 2, 2017, https://www.rbi.org.in/scripts/AnnualReportPublications.aspx?year=2016</w:t>
      </w:r>
      <w:r w:rsidRPr="00D846EE">
        <w:t xml:space="preserve">. The shares of the agriculture, industry, and service sectors were 28.4 per cent, 20.1 per cent, and 51.5 per cent of the GDP, respectively, over the period 1990–2000. </w:t>
      </w:r>
    </w:p>
  </w:endnote>
  <w:endnote w:id="24">
    <w:p w14:paraId="70A64EA1" w14:textId="73D5DC6D" w:rsidR="00F60503" w:rsidRPr="00D846EE" w:rsidRDefault="00F60503" w:rsidP="00433AC4">
      <w:pPr>
        <w:pStyle w:val="EndnoteText"/>
        <w:jc w:val="both"/>
        <w:rPr>
          <w:rFonts w:ascii="Arial" w:hAnsi="Arial" w:cs="Arial"/>
          <w:spacing w:val="-4"/>
          <w:kern w:val="17"/>
          <w:sz w:val="17"/>
          <w:szCs w:val="17"/>
        </w:rPr>
      </w:pPr>
      <w:r w:rsidRPr="00D846EE">
        <w:rPr>
          <w:rStyle w:val="EndnoteReference"/>
          <w:rFonts w:ascii="Arial" w:hAnsi="Arial" w:cs="Arial"/>
          <w:spacing w:val="-4"/>
          <w:kern w:val="17"/>
          <w:sz w:val="17"/>
          <w:szCs w:val="17"/>
        </w:rPr>
        <w:endnoteRef/>
      </w:r>
      <w:r w:rsidRPr="00D846EE">
        <w:rPr>
          <w:rFonts w:ascii="Arial" w:hAnsi="Arial" w:cs="Arial"/>
          <w:spacing w:val="-4"/>
          <w:kern w:val="17"/>
          <w:sz w:val="17"/>
          <w:szCs w:val="17"/>
        </w:rPr>
        <w:t xml:space="preserve"> Government of India, Economic Survey, 2014–15, op. </w:t>
      </w:r>
      <w:proofErr w:type="spellStart"/>
      <w:r w:rsidRPr="00D846EE">
        <w:rPr>
          <w:rFonts w:ascii="Arial" w:hAnsi="Arial" w:cs="Arial"/>
          <w:spacing w:val="-4"/>
          <w:kern w:val="17"/>
          <w:sz w:val="17"/>
          <w:szCs w:val="17"/>
        </w:rPr>
        <w:t>cit</w:t>
      </w:r>
      <w:proofErr w:type="spellEnd"/>
      <w:proofErr w:type="gramStart"/>
      <w:r w:rsidRPr="00D846EE">
        <w:rPr>
          <w:rFonts w:ascii="Arial" w:hAnsi="Arial" w:cs="Arial"/>
          <w:spacing w:val="-4"/>
          <w:kern w:val="17"/>
          <w:sz w:val="17"/>
          <w:szCs w:val="17"/>
        </w:rPr>
        <w:t>;</w:t>
      </w:r>
      <w:proofErr w:type="gramEnd"/>
      <w:r w:rsidRPr="00D846EE">
        <w:rPr>
          <w:rFonts w:ascii="Arial" w:hAnsi="Arial" w:cs="Arial"/>
          <w:spacing w:val="-4"/>
          <w:kern w:val="17"/>
          <w:sz w:val="17"/>
          <w:szCs w:val="17"/>
        </w:rPr>
        <w:t xml:space="preserve"> </w:t>
      </w:r>
      <w:r w:rsidRPr="00D846EE">
        <w:rPr>
          <w:rFonts w:ascii="Arial" w:hAnsi="Arial" w:cs="Arial"/>
          <w:sz w:val="17"/>
          <w:szCs w:val="17"/>
        </w:rPr>
        <w:t xml:space="preserve">Government of India, “State of the Economy: An Overview,” in </w:t>
      </w:r>
      <w:r w:rsidRPr="00D846EE">
        <w:rPr>
          <w:rFonts w:ascii="Arial" w:hAnsi="Arial" w:cs="Arial"/>
          <w:i/>
          <w:sz w:val="17"/>
          <w:szCs w:val="17"/>
        </w:rPr>
        <w:t>Economic Survey 2014–15</w:t>
      </w:r>
      <w:r w:rsidRPr="00D846EE">
        <w:rPr>
          <w:rFonts w:ascii="Arial" w:hAnsi="Arial" w:cs="Arial"/>
          <w:sz w:val="17"/>
          <w:szCs w:val="17"/>
        </w:rPr>
        <w:t xml:space="preserve">, accessed February 6, 2017, </w:t>
      </w:r>
      <w:r w:rsidRPr="00D846EE">
        <w:rPr>
          <w:rFonts w:ascii="Arial" w:hAnsi="Arial" w:cs="Arial"/>
          <w:spacing w:val="-4"/>
          <w:kern w:val="17"/>
          <w:sz w:val="17"/>
          <w:szCs w:val="17"/>
        </w:rPr>
        <w:t>http://indiabudget.nic.in/budget2015-2016/es2014-15/echapvol2-01.pdf.</w:t>
      </w:r>
    </w:p>
  </w:endnote>
  <w:endnote w:id="25">
    <w:p w14:paraId="37235B45" w14:textId="5A1A15A5" w:rsidR="00F60503" w:rsidRPr="00D846EE" w:rsidRDefault="00F60503" w:rsidP="00FA2BDD">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2015–16, op. cit. </w:t>
      </w:r>
    </w:p>
  </w:endnote>
  <w:endnote w:id="26">
    <w:p w14:paraId="62712561" w14:textId="6E763CDA"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Radhika </w:t>
      </w:r>
      <w:proofErr w:type="spellStart"/>
      <w:r w:rsidRPr="00D846EE">
        <w:rPr>
          <w:rFonts w:ascii="Arial" w:hAnsi="Arial" w:cs="Arial"/>
          <w:sz w:val="17"/>
          <w:szCs w:val="17"/>
        </w:rPr>
        <w:t>Merwin</w:t>
      </w:r>
      <w:proofErr w:type="spellEnd"/>
      <w:r w:rsidRPr="00D846EE">
        <w:rPr>
          <w:rFonts w:ascii="Arial" w:hAnsi="Arial" w:cs="Arial"/>
          <w:sz w:val="17"/>
          <w:szCs w:val="17"/>
        </w:rPr>
        <w:t xml:space="preserve">, “What’s Different about the New GDP,” </w:t>
      </w:r>
      <w:r w:rsidRPr="00D846EE">
        <w:rPr>
          <w:rFonts w:ascii="Arial" w:hAnsi="Arial" w:cs="Arial"/>
          <w:i/>
          <w:sz w:val="17"/>
          <w:szCs w:val="17"/>
        </w:rPr>
        <w:t>Hindu Business Line</w:t>
      </w:r>
      <w:r w:rsidRPr="00D846EE">
        <w:rPr>
          <w:rFonts w:ascii="Arial" w:hAnsi="Arial" w:cs="Arial"/>
          <w:sz w:val="17"/>
          <w:szCs w:val="17"/>
        </w:rPr>
        <w:t xml:space="preserve">, March 8, 2015, accessed February 14, 2017, http://premium.thehindubusinessline.com/portfolio/whats-different-about-the-new-gdp/article6971890.ece. </w:t>
      </w:r>
    </w:p>
  </w:endnote>
  <w:endnote w:id="27">
    <w:p w14:paraId="29B3E6BC" w14:textId="49096FC1" w:rsidR="00F60503" w:rsidRPr="00D846EE" w:rsidRDefault="00F60503" w:rsidP="00FA2BDD">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The Index of Industrial Production was </w:t>
      </w:r>
      <w:r w:rsidRPr="00D846EE">
        <w:rPr>
          <w:rFonts w:ascii="Arial" w:hAnsi="Arial" w:cs="Arial"/>
          <w:color w:val="1A1A1A"/>
          <w:sz w:val="17"/>
          <w:szCs w:val="17"/>
          <w:lang w:val="en-IN"/>
        </w:rPr>
        <w:t>a “composite indicator that measured the short-term changes in the volume of production of a basket of industrial products during a given period with respect to that in a chosen base period.”</w:t>
      </w:r>
      <w:r w:rsidRPr="00D846EE">
        <w:rPr>
          <w:rFonts w:ascii="Arial" w:hAnsi="Arial" w:cs="Arial"/>
          <w:sz w:val="17"/>
          <w:szCs w:val="17"/>
        </w:rPr>
        <w:t xml:space="preserve"> Government of India, Ministry of Statistics &amp; </w:t>
      </w:r>
      <w:proofErr w:type="spellStart"/>
      <w:r w:rsidRPr="00D846EE">
        <w:rPr>
          <w:rFonts w:ascii="Arial" w:hAnsi="Arial" w:cs="Arial"/>
          <w:sz w:val="17"/>
          <w:szCs w:val="17"/>
        </w:rPr>
        <w:t>Programme</w:t>
      </w:r>
      <w:proofErr w:type="spellEnd"/>
      <w:r w:rsidRPr="00D846EE">
        <w:rPr>
          <w:rFonts w:ascii="Arial" w:hAnsi="Arial" w:cs="Arial"/>
          <w:sz w:val="17"/>
          <w:szCs w:val="17"/>
        </w:rPr>
        <w:t xml:space="preserve"> Implementation, National Statistical Organization, Central Statistics Office, Economic Statistics Division, </w:t>
      </w:r>
      <w:r w:rsidRPr="00D846EE">
        <w:rPr>
          <w:rFonts w:ascii="Arial" w:hAnsi="Arial" w:cs="Arial"/>
          <w:i/>
          <w:sz w:val="17"/>
          <w:szCs w:val="17"/>
        </w:rPr>
        <w:t>Index of Industrial Production: Revision of Base Year to 2004–05—An Overview,</w:t>
      </w:r>
      <w:r w:rsidRPr="00D846EE">
        <w:rPr>
          <w:rFonts w:ascii="Arial" w:hAnsi="Arial" w:cs="Arial"/>
          <w:sz w:val="17"/>
          <w:szCs w:val="17"/>
        </w:rPr>
        <w:t xml:space="preserve"> accessed February 27, 2017, www.mospi.gov.in/sites/default/files/main_menu/iip/base_revision_2004-05_29nov11.pdf.</w:t>
      </w:r>
    </w:p>
  </w:endnote>
  <w:endnote w:id="28">
    <w:p w14:paraId="75A794BB" w14:textId="2A04957F" w:rsidR="00F60503" w:rsidRPr="00D846EE" w:rsidRDefault="00F60503" w:rsidP="00FA2BDD">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Rajeshwari Sengupta, “Has the Indian Economy Grown </w:t>
      </w:r>
      <w:r>
        <w:rPr>
          <w:rFonts w:ascii="Arial" w:hAnsi="Arial" w:cs="Arial"/>
          <w:sz w:val="17"/>
          <w:szCs w:val="17"/>
        </w:rPr>
        <w:t>A</w:t>
      </w:r>
      <w:r w:rsidRPr="00D846EE">
        <w:rPr>
          <w:rFonts w:ascii="Arial" w:hAnsi="Arial" w:cs="Arial"/>
          <w:sz w:val="17"/>
          <w:szCs w:val="17"/>
        </w:rPr>
        <w:t xml:space="preserve">s Much </w:t>
      </w:r>
      <w:r>
        <w:rPr>
          <w:rFonts w:ascii="Arial" w:hAnsi="Arial" w:cs="Arial"/>
          <w:sz w:val="17"/>
          <w:szCs w:val="17"/>
        </w:rPr>
        <w:t>A</w:t>
      </w:r>
      <w:r w:rsidRPr="00D846EE">
        <w:rPr>
          <w:rFonts w:ascii="Arial" w:hAnsi="Arial" w:cs="Arial"/>
          <w:sz w:val="17"/>
          <w:szCs w:val="17"/>
        </w:rPr>
        <w:t xml:space="preserve">s the GDP Has Shown?” </w:t>
      </w:r>
      <w:r w:rsidRPr="00D846EE">
        <w:rPr>
          <w:rFonts w:ascii="Arial" w:hAnsi="Arial" w:cs="Arial"/>
          <w:i/>
          <w:sz w:val="17"/>
          <w:szCs w:val="17"/>
        </w:rPr>
        <w:t>Indian Economist</w:t>
      </w:r>
      <w:r w:rsidRPr="00D846EE">
        <w:rPr>
          <w:rFonts w:ascii="Arial" w:hAnsi="Arial" w:cs="Arial"/>
          <w:sz w:val="17"/>
          <w:szCs w:val="17"/>
        </w:rPr>
        <w:t>, November</w:t>
      </w:r>
      <w:r>
        <w:rPr>
          <w:rFonts w:ascii="Arial" w:hAnsi="Arial" w:cs="Arial"/>
          <w:sz w:val="17"/>
          <w:szCs w:val="17"/>
        </w:rPr>
        <w:t> </w:t>
      </w:r>
      <w:r w:rsidRPr="00D846EE">
        <w:rPr>
          <w:rFonts w:ascii="Arial" w:hAnsi="Arial" w:cs="Arial"/>
          <w:sz w:val="17"/>
          <w:szCs w:val="17"/>
        </w:rPr>
        <w:t>28, 2016, accessed March 8, 2017, https://theindianeconomist.com/</w:t>
      </w:r>
      <w:r>
        <w:rPr>
          <w:rFonts w:ascii="Arial" w:hAnsi="Arial" w:cs="Arial"/>
          <w:sz w:val="17"/>
          <w:szCs w:val="17"/>
        </w:rPr>
        <w:t>gdp-growth-calculation-mistake/</w:t>
      </w:r>
      <w:r w:rsidRPr="00D846EE">
        <w:rPr>
          <w:rFonts w:ascii="Arial" w:hAnsi="Arial" w:cs="Arial"/>
          <w:sz w:val="17"/>
          <w:szCs w:val="17"/>
        </w:rPr>
        <w:t xml:space="preserve">; </w:t>
      </w:r>
      <w:proofErr w:type="spellStart"/>
      <w:r w:rsidRPr="00D846EE">
        <w:rPr>
          <w:rFonts w:ascii="Arial" w:hAnsi="Arial" w:cs="Arial"/>
          <w:sz w:val="17"/>
          <w:szCs w:val="17"/>
        </w:rPr>
        <w:t>Jayati</w:t>
      </w:r>
      <w:proofErr w:type="spellEnd"/>
      <w:r w:rsidRPr="00D846EE">
        <w:rPr>
          <w:rFonts w:ascii="Arial" w:hAnsi="Arial" w:cs="Arial"/>
          <w:sz w:val="17"/>
          <w:szCs w:val="17"/>
        </w:rPr>
        <w:t xml:space="preserve"> Ghosh, “Politically Opportune Data,” </w:t>
      </w:r>
      <w:r w:rsidRPr="00D846EE">
        <w:rPr>
          <w:rFonts w:ascii="Arial" w:hAnsi="Arial" w:cs="Arial"/>
          <w:i/>
          <w:sz w:val="17"/>
          <w:szCs w:val="17"/>
        </w:rPr>
        <w:t>Indian Express</w:t>
      </w:r>
      <w:r w:rsidRPr="00D846EE">
        <w:rPr>
          <w:rFonts w:ascii="Arial" w:hAnsi="Arial" w:cs="Arial"/>
          <w:sz w:val="17"/>
          <w:szCs w:val="17"/>
        </w:rPr>
        <w:t>, March 4, 2017, accessed March 8, 2017, http://indianexpress.com/article/opinion/columns/demonetisation-gdp-data-remonetisation-cashless-economy-indian-economy-4553196/.</w:t>
      </w:r>
    </w:p>
  </w:endnote>
  <w:endnote w:id="29">
    <w:p w14:paraId="3901D35A" w14:textId="2EB35341" w:rsidR="00F60503" w:rsidRPr="00D846EE" w:rsidRDefault="00F60503" w:rsidP="00D846EE">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w:t>
      </w:r>
      <w:r w:rsidR="00846415">
        <w:rPr>
          <w:rFonts w:ascii="Arial" w:hAnsi="Arial" w:cs="Arial"/>
          <w:sz w:val="17"/>
          <w:szCs w:val="17"/>
        </w:rPr>
        <w:t>“</w:t>
      </w:r>
      <w:r w:rsidRPr="00D846EE">
        <w:rPr>
          <w:rFonts w:ascii="Arial" w:hAnsi="Arial" w:cs="Arial"/>
          <w:sz w:val="17"/>
          <w:szCs w:val="17"/>
        </w:rPr>
        <w:t>Annual Report</w:t>
      </w:r>
      <w:r>
        <w:rPr>
          <w:rFonts w:ascii="Arial" w:hAnsi="Arial" w:cs="Arial"/>
          <w:sz w:val="17"/>
          <w:szCs w:val="17"/>
        </w:rPr>
        <w:t xml:space="preserve"> </w:t>
      </w:r>
      <w:r w:rsidRPr="00D846EE">
        <w:rPr>
          <w:rFonts w:ascii="Arial" w:hAnsi="Arial" w:cs="Arial"/>
          <w:sz w:val="17"/>
          <w:szCs w:val="17"/>
        </w:rPr>
        <w:t>2015–16,</w:t>
      </w:r>
      <w:r w:rsidR="00846415">
        <w:rPr>
          <w:rFonts w:ascii="Arial" w:hAnsi="Arial" w:cs="Arial"/>
          <w:sz w:val="17"/>
          <w:szCs w:val="17"/>
        </w:rPr>
        <w:t>”</w:t>
      </w:r>
      <w:r w:rsidRPr="00D846EE">
        <w:rPr>
          <w:rFonts w:ascii="Arial" w:hAnsi="Arial" w:cs="Arial"/>
          <w:sz w:val="17"/>
          <w:szCs w:val="17"/>
        </w:rPr>
        <w:t xml:space="preserve"> op. cit. </w:t>
      </w:r>
    </w:p>
  </w:endnote>
  <w:endnote w:id="30">
    <w:p w14:paraId="161602A2" w14:textId="211BC805"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This ratio was </w:t>
      </w:r>
      <w:r w:rsidRPr="00D846EE">
        <w:rPr>
          <w:rFonts w:ascii="Arial" w:hAnsi="Arial" w:cs="Arial"/>
          <w:color w:val="1A1A1A"/>
          <w:sz w:val="17"/>
          <w:szCs w:val="17"/>
        </w:rPr>
        <w:t>67.98 per cent in 1990/91. The rate of growth of such consumption accelerated from 4.8 per cent in 1990/2000 to 7.4 per cent in 2015/16.</w:t>
      </w:r>
    </w:p>
  </w:endnote>
  <w:endnote w:id="31">
    <w:p w14:paraId="656FB9A5" w14:textId="329DF156"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In contrast, 0.2 mil</w:t>
      </w:r>
      <w:r>
        <w:rPr>
          <w:rFonts w:ascii="Arial" w:hAnsi="Arial" w:cs="Arial"/>
          <w:sz w:val="17"/>
          <w:szCs w:val="17"/>
        </w:rPr>
        <w:t xml:space="preserve">lion cars </w:t>
      </w:r>
      <w:proofErr w:type="gramStart"/>
      <w:r>
        <w:rPr>
          <w:rFonts w:ascii="Arial" w:hAnsi="Arial" w:cs="Arial"/>
          <w:sz w:val="17"/>
          <w:szCs w:val="17"/>
        </w:rPr>
        <w:t>were sold</w:t>
      </w:r>
      <w:proofErr w:type="gramEnd"/>
      <w:r>
        <w:rPr>
          <w:rFonts w:ascii="Arial" w:hAnsi="Arial" w:cs="Arial"/>
          <w:sz w:val="17"/>
          <w:szCs w:val="17"/>
        </w:rPr>
        <w:t xml:space="preserve"> in 1991/92. </w:t>
      </w:r>
      <w:r w:rsidRPr="00D846EE">
        <w:rPr>
          <w:rFonts w:ascii="Arial" w:hAnsi="Arial" w:cs="Arial"/>
          <w:sz w:val="17"/>
          <w:szCs w:val="17"/>
        </w:rPr>
        <w:t xml:space="preserve">“Total Volume of Passenger Car Sales in India from 2005 to 2015,” </w:t>
      </w:r>
      <w:proofErr w:type="spellStart"/>
      <w:r>
        <w:rPr>
          <w:rFonts w:ascii="Arial" w:hAnsi="Arial" w:cs="Arial"/>
          <w:sz w:val="17"/>
          <w:szCs w:val="17"/>
        </w:rPr>
        <w:t>Statistica</w:t>
      </w:r>
      <w:proofErr w:type="spellEnd"/>
      <w:r>
        <w:rPr>
          <w:rFonts w:ascii="Arial" w:hAnsi="Arial" w:cs="Arial"/>
          <w:sz w:val="17"/>
          <w:szCs w:val="17"/>
        </w:rPr>
        <w:t xml:space="preserve">, </w:t>
      </w:r>
      <w:r w:rsidRPr="00D846EE">
        <w:rPr>
          <w:rFonts w:ascii="Arial" w:hAnsi="Arial" w:cs="Arial"/>
          <w:sz w:val="17"/>
          <w:szCs w:val="17"/>
        </w:rPr>
        <w:t>accessed January 5, 2017, https://www.statista.com/statistics/606266/passenger-car-sales-vo</w:t>
      </w:r>
      <w:r>
        <w:rPr>
          <w:rFonts w:ascii="Arial" w:hAnsi="Arial" w:cs="Arial"/>
          <w:sz w:val="17"/>
          <w:szCs w:val="17"/>
        </w:rPr>
        <w:t>lume-india/.</w:t>
      </w:r>
    </w:p>
  </w:endnote>
  <w:endnote w:id="32">
    <w:p w14:paraId="0A31E302" w14:textId="70403A0B" w:rsidR="00F60503" w:rsidRPr="00D846EE" w:rsidRDefault="00F60503" w:rsidP="00433AC4">
      <w:pPr>
        <w:pStyle w:val="EndnoteText"/>
        <w:jc w:val="both"/>
        <w:rPr>
          <w:rFonts w:ascii="Arial" w:hAnsi="Arial" w:cs="Arial"/>
          <w:sz w:val="17"/>
          <w:szCs w:val="17"/>
          <w:lang w:val="en-IN"/>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Saritha</w:t>
      </w:r>
      <w:proofErr w:type="spellEnd"/>
      <w:r w:rsidRPr="00D846EE">
        <w:rPr>
          <w:rFonts w:ascii="Arial" w:hAnsi="Arial" w:cs="Arial"/>
          <w:sz w:val="17"/>
          <w:szCs w:val="17"/>
        </w:rPr>
        <w:t xml:space="preserve"> Rai, “</w:t>
      </w:r>
      <w:r w:rsidRPr="00D846EE">
        <w:rPr>
          <w:rFonts w:ascii="Arial" w:hAnsi="Arial" w:cs="Arial"/>
          <w:sz w:val="17"/>
          <w:szCs w:val="17"/>
          <w:lang w:val="en-IN"/>
        </w:rPr>
        <w:t>India Just Crossed 1 Billion Mobile Subscribers Milestone and the Excitement</w:t>
      </w:r>
      <w:r>
        <w:rPr>
          <w:rFonts w:ascii="Arial" w:hAnsi="Arial" w:cs="Arial"/>
          <w:sz w:val="17"/>
          <w:szCs w:val="17"/>
          <w:lang w:val="en-IN"/>
        </w:rPr>
        <w:t>’</w:t>
      </w:r>
      <w:r w:rsidRPr="00D846EE">
        <w:rPr>
          <w:rFonts w:ascii="Arial" w:hAnsi="Arial" w:cs="Arial"/>
          <w:sz w:val="17"/>
          <w:szCs w:val="17"/>
          <w:lang w:val="en-IN"/>
        </w:rPr>
        <w:t>s Just Beginning,”</w:t>
      </w:r>
      <w:r w:rsidRPr="00D846EE">
        <w:rPr>
          <w:rFonts w:ascii="Arial" w:hAnsi="Arial" w:cs="Arial"/>
          <w:i/>
          <w:sz w:val="17"/>
          <w:szCs w:val="17"/>
          <w:lang w:val="en-IN"/>
        </w:rPr>
        <w:t xml:space="preserve"> Forbes</w:t>
      </w:r>
      <w:r w:rsidRPr="00D846EE">
        <w:rPr>
          <w:rFonts w:ascii="Arial" w:hAnsi="Arial" w:cs="Arial"/>
          <w:sz w:val="17"/>
          <w:szCs w:val="17"/>
          <w:lang w:val="en-IN"/>
        </w:rPr>
        <w:t>, January 6, 2016, accessed March 4, 2017, https://www.forbes.com/sites/saritharai/2016/01/06/india-just-crossed-1-billion-mobile-subscribers-milestone-and-the-excitements-just-beginning/#366af66c7db0</w:t>
      </w:r>
      <w:r>
        <w:rPr>
          <w:rFonts w:ascii="Arial" w:hAnsi="Arial" w:cs="Arial"/>
          <w:sz w:val="17"/>
          <w:szCs w:val="17"/>
          <w:lang w:val="en-IN"/>
        </w:rPr>
        <w:t>.</w:t>
      </w:r>
    </w:p>
  </w:endnote>
  <w:endnote w:id="33">
    <w:p w14:paraId="36DE8511" w14:textId="5890FC8E"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Pr>
          <w:rFonts w:ascii="Arial" w:hAnsi="Arial" w:cs="Arial"/>
          <w:sz w:val="17"/>
          <w:szCs w:val="17"/>
        </w:rPr>
        <w:t xml:space="preserve"> Investment </w:t>
      </w:r>
      <w:proofErr w:type="gramStart"/>
      <w:r>
        <w:rPr>
          <w:rFonts w:ascii="Arial" w:hAnsi="Arial" w:cs="Arial"/>
          <w:sz w:val="17"/>
          <w:szCs w:val="17"/>
        </w:rPr>
        <w:t>was</w:t>
      </w:r>
      <w:r w:rsidRPr="00D846EE">
        <w:rPr>
          <w:rFonts w:ascii="Arial" w:hAnsi="Arial" w:cs="Arial"/>
          <w:sz w:val="17"/>
          <w:szCs w:val="17"/>
        </w:rPr>
        <w:t xml:space="preserve"> defined</w:t>
      </w:r>
      <w:proofErr w:type="gramEnd"/>
      <w:r w:rsidRPr="00D846EE">
        <w:rPr>
          <w:rFonts w:ascii="Arial" w:hAnsi="Arial" w:cs="Arial"/>
          <w:sz w:val="17"/>
          <w:szCs w:val="17"/>
        </w:rPr>
        <w:t xml:space="preserve"> as gross fixed capital formation + change in stocks + valuables.</w:t>
      </w:r>
    </w:p>
  </w:endnote>
  <w:endnote w:id="34">
    <w:p w14:paraId="11A39FA4" w14:textId="6ECEB3C2" w:rsidR="00F60503" w:rsidRPr="00D846EE" w:rsidRDefault="00F60503" w:rsidP="00FA2BDD">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“Database on Indian Economy,” Reserve Bank of India,</w:t>
      </w:r>
      <w:r>
        <w:rPr>
          <w:rFonts w:ascii="Arial" w:hAnsi="Arial" w:cs="Arial"/>
          <w:sz w:val="17"/>
          <w:szCs w:val="17"/>
        </w:rPr>
        <w:t xml:space="preserve"> </w:t>
      </w:r>
      <w:r w:rsidRPr="00D846EE">
        <w:rPr>
          <w:rFonts w:ascii="Arial" w:hAnsi="Arial" w:cs="Arial"/>
          <w:sz w:val="17"/>
          <w:szCs w:val="17"/>
        </w:rPr>
        <w:t>accessed January 5, 2017, https://dbie.rbi.org.in/DBIE/dbie.rbi?site=publications</w:t>
      </w:r>
      <w:proofErr w:type="gramStart"/>
      <w:r w:rsidRPr="00D846EE">
        <w:rPr>
          <w:rFonts w:ascii="Arial" w:hAnsi="Arial" w:cs="Arial"/>
          <w:sz w:val="17"/>
          <w:szCs w:val="17"/>
        </w:rPr>
        <w:t>;</w:t>
      </w:r>
      <w:proofErr w:type="gramEnd"/>
      <w:r w:rsidRPr="00D846EE">
        <w:rPr>
          <w:rFonts w:ascii="Arial" w:hAnsi="Arial" w:cs="Arial"/>
          <w:sz w:val="17"/>
          <w:szCs w:val="17"/>
        </w:rPr>
        <w:t xml:space="preserve"> </w:t>
      </w:r>
      <w:proofErr w:type="spellStart"/>
      <w:r w:rsidRPr="00D846EE">
        <w:rPr>
          <w:rFonts w:ascii="Arial" w:hAnsi="Arial" w:cs="Arial"/>
          <w:sz w:val="17"/>
          <w:szCs w:val="17"/>
        </w:rPr>
        <w:t>Mohanty</w:t>
      </w:r>
      <w:proofErr w:type="spellEnd"/>
      <w:r w:rsidRPr="00D846EE">
        <w:rPr>
          <w:rFonts w:ascii="Arial" w:hAnsi="Arial" w:cs="Arial"/>
          <w:sz w:val="17"/>
          <w:szCs w:val="17"/>
        </w:rPr>
        <w:t>, op.</w:t>
      </w:r>
      <w:r>
        <w:rPr>
          <w:rFonts w:ascii="Arial" w:hAnsi="Arial" w:cs="Arial"/>
          <w:sz w:val="17"/>
          <w:szCs w:val="17"/>
        </w:rPr>
        <w:t xml:space="preserve"> </w:t>
      </w:r>
      <w:r w:rsidRPr="00D846EE">
        <w:rPr>
          <w:rFonts w:ascii="Arial" w:hAnsi="Arial" w:cs="Arial"/>
          <w:sz w:val="17"/>
          <w:szCs w:val="17"/>
        </w:rPr>
        <w:t xml:space="preserve">cit. </w:t>
      </w:r>
    </w:p>
  </w:endnote>
  <w:endnote w:id="35">
    <w:p w14:paraId="4D300E79" w14:textId="175B523B" w:rsidR="00F60503" w:rsidRPr="00D846EE" w:rsidRDefault="00F60503" w:rsidP="00433AC4">
      <w:pPr>
        <w:pStyle w:val="EndnoteText"/>
        <w:jc w:val="both"/>
        <w:rPr>
          <w:rFonts w:ascii="Arial" w:hAnsi="Arial" w:cs="Arial"/>
          <w:spacing w:val="-2"/>
          <w:kern w:val="17"/>
          <w:sz w:val="17"/>
          <w:szCs w:val="17"/>
        </w:rPr>
      </w:pPr>
      <w:r w:rsidRPr="00D846EE">
        <w:rPr>
          <w:rStyle w:val="EndnoteReference"/>
          <w:rFonts w:ascii="Arial" w:hAnsi="Arial" w:cs="Arial"/>
          <w:spacing w:val="-2"/>
          <w:kern w:val="17"/>
          <w:sz w:val="17"/>
          <w:szCs w:val="17"/>
        </w:rPr>
        <w:endnoteRef/>
      </w:r>
      <w:r w:rsidRPr="00D846EE">
        <w:rPr>
          <w:rFonts w:ascii="Arial" w:hAnsi="Arial" w:cs="Arial"/>
          <w:spacing w:val="-2"/>
          <w:kern w:val="17"/>
          <w:sz w:val="17"/>
          <w:szCs w:val="17"/>
        </w:rPr>
        <w:t xml:space="preserve"> </w:t>
      </w:r>
      <w:r w:rsidRPr="00D846EE">
        <w:rPr>
          <w:rStyle w:val="FootnoteChar"/>
        </w:rPr>
        <w:t>The increase in terms of rupees was far more significant, a 1,392 per cent increase. “GDP per Capita (</w:t>
      </w:r>
      <w:r>
        <w:rPr>
          <w:rStyle w:val="FootnoteChar"/>
        </w:rPr>
        <w:t>C</w:t>
      </w:r>
      <w:r w:rsidRPr="00D846EE">
        <w:rPr>
          <w:rStyle w:val="FootnoteChar"/>
        </w:rPr>
        <w:t xml:space="preserve">onstant 2010 US$),” The World Bank, accessed January 27, 2017, http://data.worldbank.org/indicator/NY.GDP.PCAP.KD?locations=IN. </w:t>
      </w:r>
    </w:p>
  </w:endnote>
  <w:endnote w:id="36">
    <w:p w14:paraId="47A82521" w14:textId="02A7152D"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“To End Poverty, We Need $6,000 per Capita Income: </w:t>
      </w:r>
      <w:proofErr w:type="spellStart"/>
      <w:r w:rsidRPr="00D846EE">
        <w:rPr>
          <w:rFonts w:ascii="Arial" w:hAnsi="Arial" w:cs="Arial"/>
          <w:sz w:val="17"/>
          <w:szCs w:val="17"/>
        </w:rPr>
        <w:t>Raghuram</w:t>
      </w:r>
      <w:proofErr w:type="spellEnd"/>
      <w:r w:rsidRPr="00D846EE">
        <w:rPr>
          <w:rFonts w:ascii="Arial" w:hAnsi="Arial" w:cs="Arial"/>
          <w:sz w:val="17"/>
          <w:szCs w:val="17"/>
        </w:rPr>
        <w:t xml:space="preserve"> </w:t>
      </w:r>
      <w:proofErr w:type="spellStart"/>
      <w:r w:rsidRPr="00D846EE">
        <w:rPr>
          <w:rFonts w:ascii="Arial" w:hAnsi="Arial" w:cs="Arial"/>
          <w:sz w:val="17"/>
          <w:szCs w:val="17"/>
        </w:rPr>
        <w:t>Rajan</w:t>
      </w:r>
      <w:proofErr w:type="spellEnd"/>
      <w:r w:rsidRPr="00D846EE">
        <w:rPr>
          <w:rFonts w:ascii="Arial" w:hAnsi="Arial" w:cs="Arial"/>
          <w:sz w:val="17"/>
          <w:szCs w:val="17"/>
        </w:rPr>
        <w:t xml:space="preserve">,” </w:t>
      </w:r>
      <w:r w:rsidRPr="00D846EE">
        <w:rPr>
          <w:rFonts w:ascii="Arial" w:hAnsi="Arial" w:cs="Arial"/>
          <w:i/>
          <w:sz w:val="17"/>
          <w:szCs w:val="17"/>
        </w:rPr>
        <w:t>Times of India</w:t>
      </w:r>
      <w:r w:rsidRPr="00D846EE">
        <w:rPr>
          <w:rFonts w:ascii="Arial" w:hAnsi="Arial" w:cs="Arial"/>
          <w:sz w:val="17"/>
          <w:szCs w:val="17"/>
        </w:rPr>
        <w:t>, June 8, 2016, accessed March 1, 2017,</w:t>
      </w:r>
      <w:r>
        <w:rPr>
          <w:rFonts w:ascii="Arial" w:hAnsi="Arial" w:cs="Arial"/>
          <w:sz w:val="17"/>
          <w:szCs w:val="17"/>
        </w:rPr>
        <w:t xml:space="preserve"> </w:t>
      </w:r>
      <w:r w:rsidRPr="00D846EE">
        <w:rPr>
          <w:rFonts w:ascii="Arial" w:hAnsi="Arial" w:cs="Arial"/>
          <w:sz w:val="17"/>
          <w:szCs w:val="17"/>
        </w:rPr>
        <w:t>http://timesofindia.indiatimes.com/business/india-business/To-end-poverty-we-need-6000-per-capita-income-Raghuram-Rajan/articleshow/52646585.cms.</w:t>
      </w:r>
    </w:p>
  </w:endnote>
  <w:endnote w:id="37">
    <w:p w14:paraId="18A52F6B" w14:textId="0FDAC937"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Abheek</w:t>
      </w:r>
      <w:proofErr w:type="spellEnd"/>
      <w:r w:rsidRPr="00D846EE">
        <w:rPr>
          <w:rFonts w:ascii="Arial" w:hAnsi="Arial" w:cs="Arial"/>
          <w:sz w:val="17"/>
          <w:szCs w:val="17"/>
        </w:rPr>
        <w:t xml:space="preserve"> </w:t>
      </w:r>
      <w:proofErr w:type="spellStart"/>
      <w:r w:rsidRPr="00D846EE">
        <w:rPr>
          <w:rFonts w:ascii="Arial" w:hAnsi="Arial" w:cs="Arial"/>
          <w:sz w:val="17"/>
          <w:szCs w:val="17"/>
        </w:rPr>
        <w:t>Barua</w:t>
      </w:r>
      <w:proofErr w:type="spellEnd"/>
      <w:r w:rsidRPr="00D846EE">
        <w:rPr>
          <w:rFonts w:ascii="Arial" w:hAnsi="Arial" w:cs="Arial"/>
          <w:sz w:val="17"/>
          <w:szCs w:val="17"/>
        </w:rPr>
        <w:t xml:space="preserve">, “India’s Jobless Growth Story,” </w:t>
      </w:r>
      <w:r w:rsidRPr="00D846EE">
        <w:rPr>
          <w:rFonts w:ascii="Arial" w:hAnsi="Arial" w:cs="Arial"/>
          <w:i/>
          <w:sz w:val="17"/>
          <w:szCs w:val="17"/>
        </w:rPr>
        <w:t>Business Standard</w:t>
      </w:r>
      <w:r w:rsidRPr="00D846EE">
        <w:rPr>
          <w:rFonts w:ascii="Arial" w:hAnsi="Arial" w:cs="Arial"/>
          <w:sz w:val="17"/>
          <w:szCs w:val="17"/>
        </w:rPr>
        <w:t>, January 2, 2013, acc</w:t>
      </w:r>
      <w:r>
        <w:rPr>
          <w:rFonts w:ascii="Arial" w:hAnsi="Arial" w:cs="Arial"/>
          <w:sz w:val="17"/>
          <w:szCs w:val="17"/>
        </w:rPr>
        <w:t xml:space="preserve">essed February 12, 2017, </w:t>
      </w:r>
      <w:r w:rsidRPr="00D846EE">
        <w:rPr>
          <w:rFonts w:ascii="Arial" w:hAnsi="Arial" w:cs="Arial"/>
          <w:sz w:val="17"/>
          <w:szCs w:val="17"/>
        </w:rPr>
        <w:t>www.business-standard.com/article/opinion/abheek-barua-india-s-jobless-growth-story-113010200119_1.html.</w:t>
      </w:r>
    </w:p>
  </w:endnote>
  <w:endnote w:id="38">
    <w:p w14:paraId="1418D9D7" w14:textId="5EE40E40" w:rsidR="00F60503" w:rsidRPr="00D846EE" w:rsidRDefault="00F60503" w:rsidP="00433AC4">
      <w:pPr>
        <w:pStyle w:val="EndnoteText"/>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r>
        <w:rPr>
          <w:rFonts w:ascii="Arial" w:hAnsi="Arial" w:cs="Arial"/>
          <w:sz w:val="17"/>
          <w:szCs w:val="17"/>
        </w:rPr>
        <w:t>“</w:t>
      </w:r>
      <w:r w:rsidRPr="00D846EE">
        <w:rPr>
          <w:rFonts w:ascii="Arial" w:hAnsi="Arial" w:cs="Arial"/>
          <w:sz w:val="17"/>
          <w:szCs w:val="17"/>
        </w:rPr>
        <w:t>India Population (LIVE),</w:t>
      </w:r>
      <w:r>
        <w:rPr>
          <w:rFonts w:ascii="Arial" w:hAnsi="Arial" w:cs="Arial"/>
          <w:sz w:val="17"/>
          <w:szCs w:val="17"/>
        </w:rPr>
        <w:t xml:space="preserve">” </w:t>
      </w:r>
      <w:proofErr w:type="spellStart"/>
      <w:r>
        <w:rPr>
          <w:rFonts w:ascii="Arial" w:hAnsi="Arial" w:cs="Arial"/>
          <w:sz w:val="17"/>
          <w:szCs w:val="17"/>
        </w:rPr>
        <w:t>Worldometers</w:t>
      </w:r>
      <w:proofErr w:type="spellEnd"/>
      <w:r>
        <w:rPr>
          <w:rFonts w:ascii="Arial" w:hAnsi="Arial" w:cs="Arial"/>
          <w:sz w:val="17"/>
          <w:szCs w:val="17"/>
        </w:rPr>
        <w:t>,</w:t>
      </w:r>
      <w:r w:rsidRPr="00D846EE">
        <w:rPr>
          <w:rFonts w:ascii="Arial" w:hAnsi="Arial" w:cs="Arial"/>
          <w:sz w:val="17"/>
          <w:szCs w:val="17"/>
        </w:rPr>
        <w:t xml:space="preserve"> accessed January 23, 2017, www.worldometers.info/world-population/india-population/.</w:t>
      </w:r>
    </w:p>
  </w:endnote>
  <w:endnote w:id="39">
    <w:p w14:paraId="1869C8E7" w14:textId="57660AB0" w:rsidR="00F60503" w:rsidRPr="00D846EE" w:rsidRDefault="00F60503" w:rsidP="00433AC4">
      <w:pPr>
        <w:pStyle w:val="EndnoteText"/>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Barua</w:t>
      </w:r>
      <w:proofErr w:type="spellEnd"/>
      <w:r w:rsidRPr="00D846EE">
        <w:rPr>
          <w:rFonts w:ascii="Arial" w:hAnsi="Arial" w:cs="Arial"/>
          <w:sz w:val="17"/>
          <w:szCs w:val="17"/>
        </w:rPr>
        <w:t xml:space="preserve">, op. cit. </w:t>
      </w:r>
    </w:p>
  </w:endnote>
  <w:endnote w:id="40">
    <w:p w14:paraId="2D4CF772" w14:textId="00B4D543" w:rsidR="00F60503" w:rsidRPr="00D846EE" w:rsidRDefault="00F60503" w:rsidP="00433AC4">
      <w:pPr>
        <w:pStyle w:val="EndnoteText"/>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Ibid. </w:t>
      </w:r>
    </w:p>
  </w:endnote>
  <w:endnote w:id="41">
    <w:p w14:paraId="7CBDACB9" w14:textId="7CCAAAEF"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Sangita</w:t>
      </w:r>
      <w:proofErr w:type="spellEnd"/>
      <w:r w:rsidRPr="00D846EE">
        <w:rPr>
          <w:rFonts w:ascii="Arial" w:hAnsi="Arial" w:cs="Arial"/>
          <w:sz w:val="17"/>
          <w:szCs w:val="17"/>
        </w:rPr>
        <w:t xml:space="preserve"> </w:t>
      </w:r>
      <w:proofErr w:type="spellStart"/>
      <w:r w:rsidRPr="00D846EE">
        <w:rPr>
          <w:rFonts w:ascii="Arial" w:hAnsi="Arial" w:cs="Arial"/>
          <w:sz w:val="17"/>
          <w:szCs w:val="17"/>
        </w:rPr>
        <w:t>Misra</w:t>
      </w:r>
      <w:proofErr w:type="spellEnd"/>
      <w:r w:rsidRPr="00D846EE">
        <w:rPr>
          <w:rFonts w:ascii="Arial" w:hAnsi="Arial" w:cs="Arial"/>
          <w:sz w:val="17"/>
          <w:szCs w:val="17"/>
        </w:rPr>
        <w:t xml:space="preserve"> and </w:t>
      </w:r>
      <w:proofErr w:type="spellStart"/>
      <w:r w:rsidRPr="00D846EE">
        <w:rPr>
          <w:rFonts w:ascii="Arial" w:hAnsi="Arial" w:cs="Arial"/>
          <w:sz w:val="17"/>
          <w:szCs w:val="17"/>
        </w:rPr>
        <w:t>Anoop</w:t>
      </w:r>
      <w:proofErr w:type="spellEnd"/>
      <w:r w:rsidRPr="00D846EE">
        <w:rPr>
          <w:rFonts w:ascii="Arial" w:hAnsi="Arial" w:cs="Arial"/>
          <w:sz w:val="17"/>
          <w:szCs w:val="17"/>
        </w:rPr>
        <w:t xml:space="preserve"> K. Suresh, “Estimating Employment Elasticity of Growth for the Indian economy,” Reserve Bank of India Working Paper Series No. 06, June 24, 2014.</w:t>
      </w:r>
    </w:p>
  </w:endnote>
  <w:endnote w:id="42">
    <w:p w14:paraId="13982D05" w14:textId="1C72F738" w:rsidR="00F60503" w:rsidRPr="00D846EE" w:rsidRDefault="00F60503" w:rsidP="00433AC4">
      <w:pPr>
        <w:pStyle w:val="Footnote"/>
      </w:pPr>
      <w:r w:rsidRPr="00D846EE">
        <w:rPr>
          <w:rStyle w:val="EndnoteReference"/>
        </w:rPr>
        <w:endnoteRef/>
      </w:r>
      <w:r w:rsidRPr="00D846EE">
        <w:t xml:space="preserve"> “Job Growth in 8 Sectors at 7-Year Low: </w:t>
      </w:r>
      <w:proofErr w:type="spellStart"/>
      <w:r w:rsidRPr="00D846EE">
        <w:t>Govt</w:t>
      </w:r>
      <w:proofErr w:type="spellEnd"/>
      <w:r w:rsidRPr="00D846EE">
        <w:t xml:space="preserve"> Data,” </w:t>
      </w:r>
      <w:r w:rsidRPr="00D846EE">
        <w:rPr>
          <w:i/>
        </w:rPr>
        <w:t>Hindustan Times</w:t>
      </w:r>
      <w:r w:rsidRPr="00D846EE">
        <w:t>, April 16, 2016, accessed March 5, 2017, www.hindustantimes.com/india/job-growth-in-8-sectors-at-7-year-low-govt-data/story-UkWVLA9jQyZJZuNCWXI3BO.html.</w:t>
      </w:r>
    </w:p>
  </w:endnote>
  <w:endnote w:id="43">
    <w:p w14:paraId="5003DD60" w14:textId="0ED7BE2B" w:rsidR="00F60503" w:rsidRPr="00D846EE" w:rsidRDefault="00F60503" w:rsidP="00433AC4">
      <w:pPr>
        <w:pStyle w:val="Footnote"/>
        <w:rPr>
          <w:b/>
        </w:rPr>
      </w:pPr>
      <w:r w:rsidRPr="00D846EE">
        <w:rPr>
          <w:rStyle w:val="EndnoteReference"/>
        </w:rPr>
        <w:endnoteRef/>
      </w:r>
      <w:r w:rsidRPr="00D846EE">
        <w:t xml:space="preserve"> </w:t>
      </w:r>
      <w:r w:rsidRPr="00D846EE">
        <w:rPr>
          <w:i/>
        </w:rPr>
        <w:t>Report on Employment-Unemployment Survey</w:t>
      </w:r>
      <w:r w:rsidRPr="00D846EE">
        <w:t>, Volume 1, 2013–14, accessed February 12, 2017, http://labourbureau.nic.in/Report%20%20Vol%201%20final.pdf.</w:t>
      </w:r>
    </w:p>
  </w:endnote>
  <w:endnote w:id="44">
    <w:p w14:paraId="3F508D6F" w14:textId="121B1CC2" w:rsidR="00F60503" w:rsidRPr="00D846EE" w:rsidRDefault="00F60503" w:rsidP="00433AC4">
      <w:pPr>
        <w:pStyle w:val="Footnote"/>
        <w:rPr>
          <w:b/>
          <w:lang w:val="en-IN"/>
        </w:rPr>
      </w:pPr>
      <w:r w:rsidRPr="00D846EE">
        <w:rPr>
          <w:rStyle w:val="EndnoteReference"/>
        </w:rPr>
        <w:endnoteRef/>
      </w:r>
      <w:r w:rsidRPr="00D846EE">
        <w:rPr>
          <w:lang w:val="en-IN"/>
        </w:rPr>
        <w:t xml:space="preserve"> </w:t>
      </w:r>
      <w:r w:rsidRPr="00D846EE">
        <w:t xml:space="preserve">T. S. </w:t>
      </w:r>
      <w:proofErr w:type="spellStart"/>
      <w:r w:rsidRPr="00D846EE">
        <w:t>Papola</w:t>
      </w:r>
      <w:proofErr w:type="spellEnd"/>
      <w:r w:rsidRPr="00D846EE">
        <w:t xml:space="preserve">, </w:t>
      </w:r>
      <w:r w:rsidRPr="009D10D4">
        <w:rPr>
          <w:i/>
        </w:rPr>
        <w:t>Employment Trends in India,</w:t>
      </w:r>
      <w:r w:rsidRPr="00D846EE">
        <w:t xml:space="preserve"> accessed January 3, 2017, http://111.93.232.162/pdf/EmployTrenz.PDF</w:t>
      </w:r>
      <w:r w:rsidRPr="00D846EE">
        <w:rPr>
          <w:b/>
          <w:lang w:val="en-IN"/>
        </w:rPr>
        <w:t>.</w:t>
      </w:r>
    </w:p>
  </w:endnote>
  <w:endnote w:id="45">
    <w:p w14:paraId="104EA1D6" w14:textId="352AFD32" w:rsidR="00F60503" w:rsidRPr="00D846EE" w:rsidRDefault="00F60503" w:rsidP="00640722">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“India Unemployment Rate, 1983–2017,” Trading Economics, accessed March 5, 2017, www.tradingeconomics.com/india/unemployment-rate.</w:t>
      </w:r>
    </w:p>
  </w:endnote>
  <w:endnote w:id="46">
    <w:p w14:paraId="608224D1" w14:textId="57161209" w:rsidR="00F60503" w:rsidRPr="00D846EE" w:rsidRDefault="00F60503" w:rsidP="00D846EE">
      <w:pPr>
        <w:pStyle w:val="EndnoteText"/>
        <w:jc w:val="both"/>
      </w:pPr>
      <w:r w:rsidRPr="009D10D4">
        <w:rPr>
          <w:rStyle w:val="EndnoteReference"/>
          <w:rFonts w:ascii="Arial" w:hAnsi="Arial" w:cs="Arial"/>
          <w:sz w:val="17"/>
          <w:szCs w:val="17"/>
        </w:rPr>
        <w:endnoteRef/>
      </w:r>
      <w:r w:rsidRPr="00D846EE">
        <w:t xml:space="preserve"> </w:t>
      </w:r>
      <w:r w:rsidRPr="009D10D4">
        <w:rPr>
          <w:rStyle w:val="FootnoteChar"/>
          <w:i/>
        </w:rPr>
        <w:t>Government of India, Economic Survey, 2015–16</w:t>
      </w:r>
      <w:r w:rsidRPr="00D846EE">
        <w:rPr>
          <w:rStyle w:val="FootnoteChar"/>
        </w:rPr>
        <w:t>, 140, accessed February 6, 2017, http://indiabudget.nic.in/budget2016-2017/es2014-15/echapter-vol1.pdf.</w:t>
      </w:r>
    </w:p>
  </w:endnote>
  <w:endnote w:id="47">
    <w:p w14:paraId="66C5FD45" w14:textId="775CDCBF" w:rsidR="00F60503" w:rsidRPr="00D846EE" w:rsidRDefault="00F60503" w:rsidP="00640722">
      <w:pPr>
        <w:pStyle w:val="EndnoteText"/>
        <w:jc w:val="both"/>
        <w:rPr>
          <w:b/>
        </w:rPr>
      </w:pPr>
      <w:r w:rsidRPr="00D846EE">
        <w:rPr>
          <w:rStyle w:val="EndnoteReference"/>
          <w:rFonts w:ascii="Arial" w:hAnsi="Arial" w:cs="Arial"/>
          <w:sz w:val="17"/>
          <w:szCs w:val="17"/>
        </w:rPr>
        <w:endnoteRef/>
      </w:r>
      <w:r w:rsidRPr="00D846EE">
        <w:t xml:space="preserve"> </w:t>
      </w:r>
      <w:r w:rsidRPr="00D846EE">
        <w:rPr>
          <w:rFonts w:ascii="Arial" w:hAnsi="Arial" w:cs="Arial"/>
          <w:sz w:val="17"/>
          <w:szCs w:val="17"/>
        </w:rPr>
        <w:t xml:space="preserve">₹ = INR = Indian rupee; </w:t>
      </w:r>
      <w:r>
        <w:rPr>
          <w:rFonts w:ascii="Arial" w:hAnsi="Arial" w:cs="Arial"/>
          <w:sz w:val="17"/>
          <w:szCs w:val="17"/>
        </w:rPr>
        <w:t xml:space="preserve">all currency amounts are in </w:t>
      </w:r>
      <w:r>
        <w:rPr>
          <w:rFonts w:ascii="Calibri" w:hAnsi="Calibri" w:cs="Arial"/>
          <w:sz w:val="17"/>
          <w:szCs w:val="17"/>
        </w:rPr>
        <w:t>₹</w:t>
      </w:r>
      <w:r>
        <w:rPr>
          <w:rFonts w:ascii="Arial" w:hAnsi="Arial" w:cs="Arial"/>
          <w:sz w:val="17"/>
          <w:szCs w:val="17"/>
        </w:rPr>
        <w:t xml:space="preserve"> unless otherwise stated; </w:t>
      </w:r>
      <w:r w:rsidRPr="00D846EE">
        <w:rPr>
          <w:rFonts w:ascii="Arial" w:hAnsi="Arial" w:cs="Arial"/>
          <w:sz w:val="17"/>
          <w:szCs w:val="17"/>
        </w:rPr>
        <w:t>₹</w:t>
      </w:r>
      <w:r w:rsidR="00846415">
        <w:rPr>
          <w:rFonts w:ascii="Arial" w:hAnsi="Arial" w:cs="Arial"/>
          <w:sz w:val="17"/>
          <w:szCs w:val="17"/>
        </w:rPr>
        <w:t xml:space="preserve">1 = US$0.02 </w:t>
      </w:r>
      <w:r>
        <w:rPr>
          <w:rFonts w:ascii="Arial" w:hAnsi="Arial" w:cs="Arial"/>
          <w:sz w:val="17"/>
          <w:szCs w:val="17"/>
        </w:rPr>
        <w:t xml:space="preserve">on March 31, 2011. </w:t>
      </w:r>
    </w:p>
  </w:endnote>
  <w:endnote w:id="48">
    <w:p w14:paraId="33A33F4C" w14:textId="2E7EC67C" w:rsidR="00F60503" w:rsidRPr="00D846EE" w:rsidRDefault="00F60503" w:rsidP="00D846EE">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Economic Survey, 2015–16, accessed February 25, 2017, http://indiabudget.nic.in/budget2016-2017/survey.asp.</w:t>
      </w:r>
    </w:p>
  </w:endnote>
  <w:endnote w:id="49">
    <w:p w14:paraId="18C01510" w14:textId="61AA373B"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One estimate pointed out that contractual </w:t>
      </w:r>
      <w:proofErr w:type="spellStart"/>
      <w:r w:rsidRPr="00D846EE">
        <w:rPr>
          <w:rFonts w:ascii="Arial" w:hAnsi="Arial" w:cs="Arial"/>
          <w:sz w:val="17"/>
          <w:szCs w:val="17"/>
        </w:rPr>
        <w:t>labour</w:t>
      </w:r>
      <w:proofErr w:type="spellEnd"/>
      <w:r w:rsidRPr="00D846EE">
        <w:rPr>
          <w:rFonts w:ascii="Arial" w:hAnsi="Arial" w:cs="Arial"/>
          <w:sz w:val="17"/>
          <w:szCs w:val="17"/>
        </w:rPr>
        <w:t xml:space="preserve"> was 14 times more expensive than r</w:t>
      </w:r>
      <w:r>
        <w:rPr>
          <w:rFonts w:ascii="Arial" w:hAnsi="Arial" w:cs="Arial"/>
          <w:sz w:val="17"/>
          <w:szCs w:val="17"/>
        </w:rPr>
        <w:t xml:space="preserve">egular </w:t>
      </w:r>
      <w:proofErr w:type="spellStart"/>
      <w:r>
        <w:rPr>
          <w:rFonts w:ascii="Arial" w:hAnsi="Arial" w:cs="Arial"/>
          <w:sz w:val="17"/>
          <w:szCs w:val="17"/>
        </w:rPr>
        <w:t>labour</w:t>
      </w:r>
      <w:proofErr w:type="spellEnd"/>
      <w:r>
        <w:rPr>
          <w:rFonts w:ascii="Arial" w:hAnsi="Arial" w:cs="Arial"/>
          <w:sz w:val="17"/>
          <w:szCs w:val="17"/>
        </w:rPr>
        <w:t xml:space="preserve">; </w:t>
      </w:r>
      <w:proofErr w:type="gramStart"/>
      <w:r w:rsidRPr="00D846EE">
        <w:rPr>
          <w:rFonts w:ascii="Arial" w:hAnsi="Arial" w:cs="Arial"/>
          <w:sz w:val="17"/>
          <w:szCs w:val="17"/>
        </w:rPr>
        <w:t>Ibid.,</w:t>
      </w:r>
      <w:proofErr w:type="gramEnd"/>
      <w:r w:rsidRPr="00D846EE">
        <w:rPr>
          <w:rFonts w:ascii="Arial" w:hAnsi="Arial" w:cs="Arial"/>
          <w:sz w:val="17"/>
          <w:szCs w:val="17"/>
        </w:rPr>
        <w:t xml:space="preserve"> 144. </w:t>
      </w:r>
    </w:p>
  </w:endnote>
  <w:endnote w:id="50">
    <w:p w14:paraId="1BF4C11C" w14:textId="50914848" w:rsidR="00F60503" w:rsidRPr="00D846EE" w:rsidRDefault="00F60503" w:rsidP="00ED7CEC">
      <w:pPr>
        <w:pStyle w:val="EndnoteText"/>
        <w:jc w:val="both"/>
        <w:rPr>
          <w:rFonts w:ascii="Arial" w:hAnsi="Arial" w:cs="Arial"/>
          <w:b/>
          <w:sz w:val="17"/>
          <w:szCs w:val="17"/>
          <w:lang w:val="en-IN"/>
        </w:rPr>
      </w:pPr>
      <w:r w:rsidRPr="00D846EE">
        <w:rPr>
          <w:rStyle w:val="EndnoteReference"/>
          <w:rFonts w:ascii="Arial" w:hAnsi="Arial" w:cs="Arial"/>
          <w:sz w:val="17"/>
          <w:szCs w:val="17"/>
        </w:rPr>
        <w:endnoteRef/>
      </w:r>
      <w:r w:rsidRPr="00D846EE">
        <w:rPr>
          <w:rFonts w:ascii="Arial" w:hAnsi="Arial" w:cs="Arial"/>
          <w:sz w:val="17"/>
          <w:szCs w:val="17"/>
        </w:rPr>
        <w:t xml:space="preserve"> </w:t>
      </w:r>
      <w:r w:rsidRPr="00D846EE">
        <w:rPr>
          <w:rFonts w:ascii="Arial" w:hAnsi="Arial" w:cs="Arial"/>
          <w:sz w:val="17"/>
          <w:szCs w:val="17"/>
          <w:lang w:val="en-IN"/>
        </w:rPr>
        <w:t>The incremental capital–output ratio (ICOR), which referred to the productivity of capital was the ratio of the real investment rate and the real growth rate. Rate of growth = Investment rate ÷ ICOR. Hence, the rate of growth = (rate of gross domestic savings + current account deficit (CAD)) ÷ ICOR</w:t>
      </w:r>
      <w:r>
        <w:rPr>
          <w:rFonts w:ascii="Arial" w:hAnsi="Arial" w:cs="Arial"/>
          <w:sz w:val="17"/>
          <w:szCs w:val="17"/>
          <w:lang w:val="en-IN"/>
        </w:rPr>
        <w:t xml:space="preserve">. </w:t>
      </w:r>
      <w:r>
        <w:rPr>
          <w:rFonts w:ascii="Arial" w:hAnsi="Arial" w:cs="Arial"/>
          <w:sz w:val="17"/>
          <w:szCs w:val="17"/>
        </w:rPr>
        <w:t>“</w:t>
      </w:r>
      <w:proofErr w:type="spellStart"/>
      <w:r>
        <w:rPr>
          <w:rFonts w:ascii="Arial" w:hAnsi="Arial" w:cs="Arial"/>
          <w:sz w:val="17"/>
          <w:szCs w:val="17"/>
        </w:rPr>
        <w:t>Herrod-Domar</w:t>
      </w:r>
      <w:proofErr w:type="spellEnd"/>
      <w:r>
        <w:rPr>
          <w:rFonts w:ascii="Arial" w:hAnsi="Arial" w:cs="Arial"/>
          <w:sz w:val="17"/>
          <w:szCs w:val="17"/>
        </w:rPr>
        <w:t xml:space="preserve"> Model of Economic Growth,” Economic Discussion, accessed June 28, 2017, </w:t>
      </w:r>
      <w:r w:rsidRPr="00D846EE">
        <w:rPr>
          <w:rFonts w:ascii="Arial" w:hAnsi="Arial" w:cs="Arial"/>
          <w:sz w:val="17"/>
          <w:szCs w:val="17"/>
        </w:rPr>
        <w:t>www.economicsdiscussion.net/economic-growth/harrod-domar-model-of-economic-growth/26330.</w:t>
      </w:r>
      <w:r w:rsidRPr="00D846EE">
        <w:rPr>
          <w:rFonts w:ascii="Arial" w:hAnsi="Arial" w:cs="Arial"/>
          <w:sz w:val="17"/>
          <w:szCs w:val="17"/>
          <w:lang w:val="en-IN"/>
        </w:rPr>
        <w:t xml:space="preserve"> </w:t>
      </w:r>
    </w:p>
  </w:endnote>
  <w:endnote w:id="51">
    <w:p w14:paraId="32D4B1FF" w14:textId="7F993A3A" w:rsidR="00F60503" w:rsidRPr="00D846EE" w:rsidRDefault="00F60503" w:rsidP="000B7854">
      <w:pPr>
        <w:pStyle w:val="EndnoteText"/>
        <w:jc w:val="both"/>
        <w:rPr>
          <w:rFonts w:ascii="Arial" w:hAnsi="Arial" w:cs="Arial"/>
          <w:sz w:val="17"/>
          <w:szCs w:val="17"/>
          <w:lang w:val="en-GB"/>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Planning Commission, Reference Material 2010, </w:t>
      </w:r>
      <w:r w:rsidRPr="00ED7CEC">
        <w:rPr>
          <w:rFonts w:ascii="Arial" w:hAnsi="Arial" w:cs="Arial"/>
          <w:i/>
          <w:sz w:val="17"/>
          <w:szCs w:val="17"/>
        </w:rPr>
        <w:t>Notes on the Functioning of Various Divisions, New Delhi</w:t>
      </w:r>
      <w:r>
        <w:rPr>
          <w:rFonts w:ascii="Arial" w:hAnsi="Arial" w:cs="Arial"/>
          <w:sz w:val="17"/>
          <w:szCs w:val="17"/>
        </w:rPr>
        <w:t xml:space="preserve">, </w:t>
      </w:r>
      <w:r w:rsidRPr="00D846EE">
        <w:rPr>
          <w:rFonts w:ascii="Arial" w:hAnsi="Arial" w:cs="Arial"/>
          <w:sz w:val="17"/>
          <w:szCs w:val="17"/>
        </w:rPr>
        <w:t xml:space="preserve">37, accessed January 13, 2017, </w:t>
      </w:r>
      <w:r w:rsidRPr="00D846EE">
        <w:rPr>
          <w:rFonts w:ascii="Arial" w:hAnsi="Arial" w:cs="Arial"/>
          <w:sz w:val="17"/>
          <w:szCs w:val="17"/>
          <w:lang w:val="en-GB"/>
        </w:rPr>
        <w:t>planningcommission.nic.in/</w:t>
      </w:r>
      <w:proofErr w:type="spellStart"/>
      <w:r w:rsidRPr="00D846EE">
        <w:rPr>
          <w:rFonts w:ascii="Arial" w:hAnsi="Arial" w:cs="Arial"/>
          <w:sz w:val="17"/>
          <w:szCs w:val="17"/>
          <w:lang w:val="en-GB"/>
        </w:rPr>
        <w:t>aboutus</w:t>
      </w:r>
      <w:proofErr w:type="spellEnd"/>
      <w:r w:rsidRPr="00D846EE">
        <w:rPr>
          <w:rFonts w:ascii="Arial" w:hAnsi="Arial" w:cs="Arial"/>
          <w:sz w:val="17"/>
          <w:szCs w:val="17"/>
          <w:lang w:val="en-GB"/>
        </w:rPr>
        <w:t>/history/ref_man03032011.doc</w:t>
      </w:r>
      <w:r>
        <w:rPr>
          <w:rFonts w:ascii="Arial" w:hAnsi="Arial" w:cs="Arial"/>
          <w:sz w:val="17"/>
          <w:szCs w:val="17"/>
          <w:lang w:val="en-GB"/>
        </w:rPr>
        <w:t>.</w:t>
      </w:r>
    </w:p>
  </w:endnote>
  <w:endnote w:id="52">
    <w:p w14:paraId="17A10ECA" w14:textId="708EC5B3"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“9th Five Year Plan (Vol-1),” Planning Commission, National Informatics Centre, accessed February 22, 2017, http://planningcommission.nic.in/plans/planrel/fiveyr/9th/vol1/v1c2-1.htm.</w:t>
      </w:r>
    </w:p>
  </w:endnote>
  <w:endnote w:id="53">
    <w:p w14:paraId="18C11707" w14:textId="3043522C"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w:t>
      </w:r>
      <w:r>
        <w:rPr>
          <w:rFonts w:ascii="Arial" w:hAnsi="Arial" w:cs="Arial"/>
          <w:sz w:val="17"/>
          <w:szCs w:val="17"/>
        </w:rPr>
        <w:t>R</w:t>
      </w:r>
      <w:r w:rsidRPr="00D846EE">
        <w:rPr>
          <w:rFonts w:ascii="Arial" w:hAnsi="Arial" w:cs="Arial"/>
          <w:sz w:val="17"/>
          <w:szCs w:val="17"/>
        </w:rPr>
        <w:t>eports, 2013, 2014, 2015, 2016, accessed February 3, 2017, https://www.rbi.org.in/scripts/AnnualReportMainDisplay.aspx.</w:t>
      </w:r>
    </w:p>
  </w:endnote>
  <w:endnote w:id="54">
    <w:p w14:paraId="429D317F" w14:textId="1A7EDE4B"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Economic Survey, 2014–15, </w:t>
      </w:r>
      <w:r>
        <w:rPr>
          <w:rFonts w:ascii="Arial" w:hAnsi="Arial" w:cs="Arial"/>
          <w:sz w:val="17"/>
          <w:szCs w:val="17"/>
        </w:rPr>
        <w:t xml:space="preserve">op cit., </w:t>
      </w:r>
      <w:r w:rsidRPr="00D846EE">
        <w:rPr>
          <w:rFonts w:ascii="Arial" w:hAnsi="Arial" w:cs="Arial"/>
          <w:sz w:val="17"/>
          <w:szCs w:val="17"/>
        </w:rPr>
        <w:t>9.</w:t>
      </w:r>
    </w:p>
  </w:endnote>
  <w:endnote w:id="55">
    <w:p w14:paraId="2380B9B1" w14:textId="345BCD3D"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2013–14, August 21, 2014, accessed February 3, 2017, https://www.rbi.org.in/scripts/AnnualReportMainDisplay.aspx</w:t>
      </w:r>
      <w:r>
        <w:rPr>
          <w:rFonts w:ascii="Arial" w:hAnsi="Arial" w:cs="Arial"/>
          <w:sz w:val="17"/>
          <w:szCs w:val="17"/>
        </w:rPr>
        <w:t>.</w:t>
      </w:r>
    </w:p>
  </w:endnote>
  <w:endnote w:id="56">
    <w:p w14:paraId="1C608C00" w14:textId="0971C5EA"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C. </w:t>
      </w:r>
      <w:proofErr w:type="spellStart"/>
      <w:r w:rsidRPr="00D846EE">
        <w:rPr>
          <w:rFonts w:ascii="Arial" w:hAnsi="Arial" w:cs="Arial"/>
          <w:sz w:val="17"/>
          <w:szCs w:val="17"/>
        </w:rPr>
        <w:t>Rangarajan</w:t>
      </w:r>
      <w:proofErr w:type="spellEnd"/>
      <w:r w:rsidRPr="00D846EE">
        <w:rPr>
          <w:rFonts w:ascii="Arial" w:hAnsi="Arial" w:cs="Arial"/>
          <w:sz w:val="17"/>
          <w:szCs w:val="17"/>
        </w:rPr>
        <w:t xml:space="preserve">, “Can India Grow at 8 to 9 Per Cent?” </w:t>
      </w:r>
      <w:r w:rsidRPr="00D846EE">
        <w:rPr>
          <w:rFonts w:ascii="Arial" w:hAnsi="Arial" w:cs="Arial"/>
          <w:i/>
          <w:sz w:val="17"/>
          <w:szCs w:val="17"/>
        </w:rPr>
        <w:t>Hindu</w:t>
      </w:r>
      <w:r w:rsidRPr="00D846EE">
        <w:rPr>
          <w:rFonts w:ascii="Arial" w:hAnsi="Arial" w:cs="Arial"/>
          <w:sz w:val="17"/>
          <w:szCs w:val="17"/>
        </w:rPr>
        <w:t>, May 14, 2016, accessed January 22, 2017, www.thehindu.com/opinion/lead/Can-India-grow-at-8-to-9-per-cent/article14317462.ece.</w:t>
      </w:r>
    </w:p>
  </w:endnote>
  <w:endnote w:id="57">
    <w:p w14:paraId="3EE7A787" w14:textId="391C02F6"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Sachin</w:t>
      </w:r>
      <w:proofErr w:type="spellEnd"/>
      <w:r w:rsidRPr="00D846EE">
        <w:rPr>
          <w:rFonts w:ascii="Arial" w:hAnsi="Arial" w:cs="Arial"/>
          <w:sz w:val="17"/>
          <w:szCs w:val="17"/>
        </w:rPr>
        <w:t xml:space="preserve"> P. </w:t>
      </w:r>
      <w:proofErr w:type="spellStart"/>
      <w:r w:rsidRPr="00D846EE">
        <w:rPr>
          <w:rFonts w:ascii="Arial" w:hAnsi="Arial" w:cs="Arial"/>
          <w:sz w:val="17"/>
          <w:szCs w:val="17"/>
        </w:rPr>
        <w:t>Mampatta</w:t>
      </w:r>
      <w:proofErr w:type="spellEnd"/>
      <w:r w:rsidRPr="00D846EE">
        <w:rPr>
          <w:rFonts w:ascii="Arial" w:hAnsi="Arial" w:cs="Arial"/>
          <w:sz w:val="17"/>
          <w:szCs w:val="17"/>
        </w:rPr>
        <w:t>, “Stalled Projects Rise Again after Falling in June Quarter,”</w:t>
      </w:r>
      <w:r w:rsidRPr="00D846EE">
        <w:rPr>
          <w:rFonts w:ascii="Arial" w:hAnsi="Arial" w:cs="Arial"/>
          <w:i/>
          <w:sz w:val="17"/>
          <w:szCs w:val="17"/>
        </w:rPr>
        <w:t xml:space="preserve"> Mint</w:t>
      </w:r>
      <w:r w:rsidRPr="00D846EE">
        <w:rPr>
          <w:rFonts w:ascii="Arial" w:hAnsi="Arial" w:cs="Arial"/>
          <w:sz w:val="17"/>
          <w:szCs w:val="17"/>
        </w:rPr>
        <w:t>, October 3, 2016,</w:t>
      </w:r>
      <w:r>
        <w:rPr>
          <w:rFonts w:ascii="Arial" w:hAnsi="Arial" w:cs="Arial"/>
          <w:sz w:val="17"/>
          <w:szCs w:val="17"/>
        </w:rPr>
        <w:t xml:space="preserve"> accessed March 2, 2017, </w:t>
      </w:r>
      <w:r w:rsidRPr="00D846EE">
        <w:rPr>
          <w:rFonts w:ascii="Arial" w:hAnsi="Arial" w:cs="Arial"/>
          <w:sz w:val="17"/>
          <w:szCs w:val="17"/>
        </w:rPr>
        <w:t xml:space="preserve">www.livemint.com/Opinion/IybFJzeWZTFr6w5l67QYnL/Stalled-projects-rise-again-after-falling-in-June-quarter.html. </w:t>
      </w:r>
    </w:p>
  </w:endnote>
  <w:endnote w:id="58">
    <w:p w14:paraId="5812C37A" w14:textId="465EBB35" w:rsidR="00F60503" w:rsidRPr="00841825" w:rsidRDefault="00F60503" w:rsidP="00640722">
      <w:pPr>
        <w:pStyle w:val="EndnoteText"/>
        <w:jc w:val="both"/>
        <w:rPr>
          <w:rFonts w:ascii="Arial" w:hAnsi="Arial" w:cs="Arial"/>
          <w:spacing w:val="-4"/>
          <w:kern w:val="17"/>
          <w:sz w:val="17"/>
          <w:szCs w:val="17"/>
        </w:rPr>
      </w:pPr>
      <w:r w:rsidRPr="00841825">
        <w:rPr>
          <w:rStyle w:val="EndnoteReference"/>
          <w:rFonts w:ascii="Arial" w:hAnsi="Arial" w:cs="Arial"/>
          <w:spacing w:val="-4"/>
          <w:kern w:val="17"/>
          <w:sz w:val="17"/>
          <w:szCs w:val="17"/>
        </w:rPr>
        <w:endnoteRef/>
      </w:r>
      <w:r w:rsidRPr="00841825">
        <w:rPr>
          <w:spacing w:val="-4"/>
          <w:kern w:val="17"/>
        </w:rPr>
        <w:t xml:space="preserve"> </w:t>
      </w:r>
      <w:r w:rsidRPr="00841825">
        <w:rPr>
          <w:rStyle w:val="FootnoteChar"/>
          <w:spacing w:val="-4"/>
          <w:kern w:val="17"/>
        </w:rPr>
        <w:t>International Bank for Reconstruction and Development and The World Bank,</w:t>
      </w:r>
      <w:r w:rsidRPr="00841825">
        <w:rPr>
          <w:spacing w:val="-4"/>
          <w:kern w:val="17"/>
          <w:sz w:val="18"/>
          <w:szCs w:val="18"/>
        </w:rPr>
        <w:t xml:space="preserve"> </w:t>
      </w:r>
      <w:r w:rsidRPr="00841825">
        <w:rPr>
          <w:rStyle w:val="FootnoteChar"/>
          <w:i/>
          <w:spacing w:val="-4"/>
          <w:kern w:val="17"/>
        </w:rPr>
        <w:t>Doing Business 2017</w:t>
      </w:r>
      <w:r w:rsidRPr="00841825">
        <w:rPr>
          <w:rStyle w:val="FootnoteChar"/>
          <w:spacing w:val="-4"/>
          <w:kern w:val="17"/>
        </w:rPr>
        <w:t xml:space="preserve">: </w:t>
      </w:r>
      <w:r w:rsidRPr="00841825">
        <w:rPr>
          <w:rStyle w:val="FootnoteChar"/>
          <w:i/>
          <w:spacing w:val="-4"/>
          <w:kern w:val="17"/>
        </w:rPr>
        <w:t xml:space="preserve">A World Bank Group Flagship </w:t>
      </w:r>
      <w:proofErr w:type="gramStart"/>
      <w:r w:rsidRPr="00841825">
        <w:rPr>
          <w:rStyle w:val="FootnoteChar"/>
          <w:i/>
          <w:spacing w:val="-4"/>
          <w:kern w:val="17"/>
        </w:rPr>
        <w:t>Report</w:t>
      </w:r>
      <w:r w:rsidRPr="00841825">
        <w:rPr>
          <w:rStyle w:val="FootnoteChar"/>
          <w:spacing w:val="-4"/>
          <w:kern w:val="17"/>
        </w:rPr>
        <w:t>,</w:t>
      </w:r>
      <w:proofErr w:type="gramEnd"/>
      <w:r w:rsidRPr="00841825">
        <w:rPr>
          <w:rStyle w:val="FootnoteChar"/>
          <w:spacing w:val="-4"/>
          <w:kern w:val="17"/>
        </w:rPr>
        <w:t xml:space="preserve"> accessed March 28, 2017, </w:t>
      </w:r>
      <w:r w:rsidRPr="00841825">
        <w:rPr>
          <w:rFonts w:ascii="Arial" w:hAnsi="Arial" w:cs="Arial"/>
          <w:spacing w:val="-4"/>
          <w:kern w:val="17"/>
          <w:sz w:val="17"/>
          <w:szCs w:val="17"/>
        </w:rPr>
        <w:t>www.doingbusiness.org/~/media/wbg/doingbusiness/documents/profiles/country/ind.pdf.</w:t>
      </w:r>
    </w:p>
  </w:endnote>
  <w:endnote w:id="59">
    <w:p w14:paraId="62E20C90" w14:textId="02AA56C3"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2013–14, op. cit. </w:t>
      </w:r>
    </w:p>
  </w:endnote>
  <w:endnote w:id="60">
    <w:p w14:paraId="1508EA13" w14:textId="6CC26298" w:rsidR="00F60503" w:rsidRPr="00D846EE" w:rsidRDefault="00F60503" w:rsidP="00F7014C">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“Wholesale Price Index</w:t>
      </w:r>
      <w:r>
        <w:rPr>
          <w:rFonts w:ascii="Arial" w:hAnsi="Arial" w:cs="Arial"/>
          <w:sz w:val="17"/>
          <w:szCs w:val="17"/>
        </w:rPr>
        <w:t>—</w:t>
      </w:r>
      <w:r w:rsidRPr="00D846EE">
        <w:rPr>
          <w:rFonts w:ascii="Arial" w:hAnsi="Arial" w:cs="Arial"/>
          <w:sz w:val="17"/>
          <w:szCs w:val="17"/>
        </w:rPr>
        <w:t>Annual Variation,” Reserve Bank of India, accessed February 5, 2017, https://rbi.org.in/Scripts/PublicationsView.aspx?id=17371.</w:t>
      </w:r>
    </w:p>
  </w:endnote>
  <w:endnote w:id="61">
    <w:p w14:paraId="120894C0" w14:textId="784D5115"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C. P. </w:t>
      </w:r>
      <w:proofErr w:type="spellStart"/>
      <w:r w:rsidRPr="00D846EE">
        <w:rPr>
          <w:rFonts w:ascii="Arial" w:hAnsi="Arial" w:cs="Arial"/>
          <w:sz w:val="17"/>
          <w:szCs w:val="17"/>
        </w:rPr>
        <w:t>Chandrashekhar</w:t>
      </w:r>
      <w:proofErr w:type="spellEnd"/>
      <w:r w:rsidRPr="00D846EE">
        <w:rPr>
          <w:rFonts w:ascii="Arial" w:hAnsi="Arial" w:cs="Arial"/>
          <w:sz w:val="17"/>
          <w:szCs w:val="17"/>
        </w:rPr>
        <w:t xml:space="preserve">, “What Defines Headline Inflation?” </w:t>
      </w:r>
      <w:r w:rsidRPr="00D846EE">
        <w:rPr>
          <w:rFonts w:ascii="Arial" w:hAnsi="Arial" w:cs="Arial"/>
          <w:i/>
          <w:sz w:val="17"/>
          <w:szCs w:val="17"/>
        </w:rPr>
        <w:t>Hindu</w:t>
      </w:r>
      <w:r w:rsidRPr="00D846EE">
        <w:rPr>
          <w:rFonts w:ascii="Arial" w:hAnsi="Arial" w:cs="Arial"/>
          <w:sz w:val="17"/>
          <w:szCs w:val="17"/>
        </w:rPr>
        <w:t>, July 28, 2013, accessed February 10, 2017, www.thehindu.com/opinion/columns/Chandrasekhar/what-defines-headline-inflation/article4963593.ece.</w:t>
      </w:r>
    </w:p>
  </w:endnote>
  <w:endnote w:id="62">
    <w:p w14:paraId="6E3F45EA" w14:textId="4F237A73"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“RBI Adopts New CPI as Key Measure of Inflation,” </w:t>
      </w:r>
      <w:r w:rsidRPr="00D846EE">
        <w:rPr>
          <w:rFonts w:ascii="Arial" w:hAnsi="Arial" w:cs="Arial"/>
          <w:i/>
          <w:sz w:val="17"/>
          <w:szCs w:val="17"/>
        </w:rPr>
        <w:t>Hindu</w:t>
      </w:r>
      <w:r w:rsidRPr="00D846EE">
        <w:rPr>
          <w:rFonts w:ascii="Arial" w:hAnsi="Arial" w:cs="Arial"/>
          <w:sz w:val="17"/>
          <w:szCs w:val="17"/>
        </w:rPr>
        <w:t>, April 2, 2014, acc</w:t>
      </w:r>
      <w:r>
        <w:rPr>
          <w:rFonts w:ascii="Arial" w:hAnsi="Arial" w:cs="Arial"/>
          <w:sz w:val="17"/>
          <w:szCs w:val="17"/>
        </w:rPr>
        <w:t xml:space="preserve">essed February 10, 2017, </w:t>
      </w:r>
      <w:r w:rsidRPr="00D846EE">
        <w:rPr>
          <w:rFonts w:ascii="Arial" w:hAnsi="Arial" w:cs="Arial"/>
          <w:sz w:val="17"/>
          <w:szCs w:val="17"/>
        </w:rPr>
        <w:t xml:space="preserve">www.thehindu.com/business/Economy/rbi-adopts-new-cpi-as-key-measure-of-inflation/article5859713.ece. </w:t>
      </w:r>
    </w:p>
  </w:endnote>
  <w:endnote w:id="63">
    <w:p w14:paraId="0C6A1CBE" w14:textId="1F1D8045" w:rsidR="00F60503" w:rsidRPr="00D846EE" w:rsidRDefault="00F60503" w:rsidP="00433AC4">
      <w:pPr>
        <w:pStyle w:val="EndnoteText"/>
        <w:jc w:val="both"/>
        <w:rPr>
          <w:rFonts w:ascii="Arial" w:hAnsi="Arial" w:cs="Arial"/>
          <w:b/>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r>
        <w:rPr>
          <w:rFonts w:ascii="Arial" w:hAnsi="Arial" w:cs="Arial"/>
          <w:sz w:val="17"/>
          <w:szCs w:val="17"/>
        </w:rPr>
        <w:t>T</w:t>
      </w:r>
      <w:r w:rsidRPr="00D846EE">
        <w:rPr>
          <w:rFonts w:ascii="Arial" w:hAnsi="Arial" w:cs="Arial"/>
          <w:sz w:val="17"/>
          <w:szCs w:val="17"/>
        </w:rPr>
        <w:t>he press releases on the Consumer Price Index release trends and weighting pattern of commodities that form pa</w:t>
      </w:r>
      <w:r>
        <w:rPr>
          <w:rFonts w:ascii="Arial" w:hAnsi="Arial" w:cs="Arial"/>
          <w:sz w:val="17"/>
          <w:szCs w:val="17"/>
        </w:rPr>
        <w:t xml:space="preserve">rt of the Consumer Price Index. </w:t>
      </w:r>
      <w:r w:rsidRPr="00D846EE">
        <w:rPr>
          <w:rFonts w:ascii="Arial" w:hAnsi="Arial" w:cs="Arial"/>
          <w:sz w:val="17"/>
          <w:szCs w:val="17"/>
        </w:rPr>
        <w:t xml:space="preserve">Government of India, Ministry of Statistics and </w:t>
      </w:r>
      <w:proofErr w:type="spellStart"/>
      <w:r w:rsidRPr="00D846EE">
        <w:rPr>
          <w:rFonts w:ascii="Arial" w:hAnsi="Arial" w:cs="Arial"/>
          <w:sz w:val="17"/>
          <w:szCs w:val="17"/>
        </w:rPr>
        <w:t>Programme</w:t>
      </w:r>
      <w:proofErr w:type="spellEnd"/>
      <w:r w:rsidRPr="00D846EE">
        <w:rPr>
          <w:rFonts w:ascii="Arial" w:hAnsi="Arial" w:cs="Arial"/>
          <w:sz w:val="17"/>
          <w:szCs w:val="17"/>
        </w:rPr>
        <w:t xml:space="preserve"> Implementation, Central Statistics Office, </w:t>
      </w:r>
      <w:r w:rsidRPr="009D10D4">
        <w:rPr>
          <w:rFonts w:ascii="Arial" w:hAnsi="Arial" w:cs="Arial"/>
          <w:i/>
          <w:sz w:val="17"/>
          <w:szCs w:val="17"/>
        </w:rPr>
        <w:t>Consumer Price Index Numbers on Base 2012=100 for Rural, Urban and Combined for the Month of October 2016,</w:t>
      </w:r>
      <w:r w:rsidRPr="00D846EE">
        <w:rPr>
          <w:rFonts w:ascii="Arial" w:hAnsi="Arial" w:cs="Arial"/>
          <w:sz w:val="17"/>
          <w:szCs w:val="17"/>
        </w:rPr>
        <w:t xml:space="preserve"> accessed December 7, 2016, </w:t>
      </w:r>
      <w:r w:rsidRPr="00ED7CEC">
        <w:rPr>
          <w:rFonts w:ascii="Arial" w:hAnsi="Arial" w:cs="Arial"/>
          <w:sz w:val="17"/>
          <w:szCs w:val="17"/>
        </w:rPr>
        <w:t>www.mospi.gov.in/sites/default/files/press_release/cpi_pr_15nov16t.pdf</w:t>
      </w:r>
      <w:r>
        <w:rPr>
          <w:rFonts w:ascii="Arial" w:hAnsi="Arial" w:cs="Arial"/>
          <w:sz w:val="17"/>
          <w:szCs w:val="17"/>
        </w:rPr>
        <w:t>.</w:t>
      </w:r>
    </w:p>
  </w:endnote>
  <w:endnote w:id="64">
    <w:p w14:paraId="5DDD6CE1" w14:textId="0E7B8AF1"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w:t>
      </w:r>
      <w:r>
        <w:rPr>
          <w:rFonts w:ascii="Arial" w:hAnsi="Arial" w:cs="Arial"/>
          <w:sz w:val="17"/>
          <w:szCs w:val="17"/>
        </w:rPr>
        <w:t>, Annual Reports</w:t>
      </w:r>
      <w:r w:rsidRPr="00D846EE">
        <w:rPr>
          <w:rFonts w:ascii="Arial" w:hAnsi="Arial" w:cs="Arial"/>
          <w:sz w:val="17"/>
          <w:szCs w:val="17"/>
        </w:rPr>
        <w:t xml:space="preserve">, </w:t>
      </w:r>
      <w:r>
        <w:rPr>
          <w:rFonts w:ascii="Arial" w:hAnsi="Arial" w:cs="Arial"/>
          <w:sz w:val="17"/>
          <w:szCs w:val="17"/>
        </w:rPr>
        <w:t xml:space="preserve">several years, </w:t>
      </w:r>
      <w:r w:rsidRPr="00D846EE">
        <w:rPr>
          <w:rFonts w:ascii="Arial" w:hAnsi="Arial" w:cs="Arial"/>
          <w:sz w:val="17"/>
          <w:szCs w:val="17"/>
        </w:rPr>
        <w:t>accessed February 3, 2017, https://www.rbi.org.in/scripts/AnnualReportMainDisplay.aspx.</w:t>
      </w:r>
    </w:p>
  </w:endnote>
  <w:endnote w:id="65">
    <w:p w14:paraId="12A6D500" w14:textId="5A062B6E" w:rsidR="00F60503" w:rsidRPr="00D846EE" w:rsidRDefault="00F60503" w:rsidP="00433AC4">
      <w:pPr>
        <w:pStyle w:val="EndnoteText"/>
        <w:jc w:val="both"/>
        <w:rPr>
          <w:rFonts w:ascii="Arial" w:hAnsi="Arial" w:cs="Arial"/>
          <w:sz w:val="17"/>
          <w:szCs w:val="17"/>
          <w:lang w:val="en-IN"/>
        </w:rPr>
      </w:pPr>
      <w:r w:rsidRPr="00D846EE">
        <w:rPr>
          <w:rStyle w:val="EndnoteReference"/>
          <w:rFonts w:ascii="Arial" w:hAnsi="Arial" w:cs="Arial"/>
          <w:sz w:val="17"/>
          <w:szCs w:val="17"/>
        </w:rPr>
        <w:endnoteRef/>
      </w:r>
      <w:r w:rsidRPr="00D846EE">
        <w:rPr>
          <w:rFonts w:ascii="Arial" w:hAnsi="Arial" w:cs="Arial"/>
          <w:sz w:val="17"/>
          <w:szCs w:val="17"/>
        </w:rPr>
        <w:t xml:space="preserve"> </w:t>
      </w:r>
      <w:r w:rsidRPr="00D846EE">
        <w:rPr>
          <w:rFonts w:ascii="Arial" w:hAnsi="Arial" w:cs="Arial"/>
          <w:sz w:val="17"/>
          <w:szCs w:val="17"/>
          <w:lang w:val="en-IN"/>
        </w:rPr>
        <w:t>Under flexible inflation targeting, the inflation target was aimed to be achieved on average over the business cycle, while accommodating growth concerns in the short run</w:t>
      </w:r>
      <w:r>
        <w:rPr>
          <w:rFonts w:ascii="Arial" w:hAnsi="Arial" w:cs="Arial"/>
          <w:sz w:val="17"/>
          <w:szCs w:val="17"/>
          <w:lang w:val="en-IN"/>
        </w:rPr>
        <w:t xml:space="preserve">. </w:t>
      </w:r>
      <w:r w:rsidRPr="00D846EE">
        <w:rPr>
          <w:rFonts w:ascii="Arial" w:hAnsi="Arial" w:cs="Arial"/>
          <w:sz w:val="17"/>
          <w:szCs w:val="17"/>
          <w:lang w:val="en-IN"/>
        </w:rPr>
        <w:t xml:space="preserve">Reserve Bank of India, </w:t>
      </w:r>
      <w:r w:rsidRPr="00D846EE">
        <w:rPr>
          <w:rFonts w:ascii="Arial" w:hAnsi="Arial" w:cs="Arial"/>
          <w:i/>
          <w:sz w:val="17"/>
          <w:szCs w:val="17"/>
          <w:lang w:val="en-IN"/>
        </w:rPr>
        <w:t>Report of the Expert Committee to Revise and Strengthen the Monetary Policy Framework</w:t>
      </w:r>
      <w:r>
        <w:rPr>
          <w:rFonts w:ascii="Arial" w:hAnsi="Arial" w:cs="Arial"/>
          <w:i/>
          <w:sz w:val="17"/>
          <w:szCs w:val="17"/>
          <w:lang w:val="en-IN"/>
        </w:rPr>
        <w:t>,</w:t>
      </w:r>
      <w:r>
        <w:rPr>
          <w:rFonts w:ascii="Arial" w:hAnsi="Arial" w:cs="Arial"/>
          <w:sz w:val="17"/>
          <w:szCs w:val="17"/>
          <w:lang w:val="en-IN"/>
        </w:rPr>
        <w:t xml:space="preserve"> </w:t>
      </w:r>
      <w:r w:rsidRPr="00D846EE">
        <w:rPr>
          <w:rFonts w:ascii="Arial" w:hAnsi="Arial" w:cs="Arial"/>
          <w:sz w:val="17"/>
          <w:szCs w:val="17"/>
          <w:lang w:val="en-IN"/>
        </w:rPr>
        <w:t>2014, accessed March 3, 2017,</w:t>
      </w:r>
      <w:r w:rsidRPr="00D846EE">
        <w:rPr>
          <w:rFonts w:ascii="Arial" w:hAnsi="Arial" w:cs="Arial"/>
          <w:i/>
          <w:sz w:val="17"/>
          <w:szCs w:val="17"/>
          <w:lang w:val="en-IN"/>
        </w:rPr>
        <w:t xml:space="preserve"> </w:t>
      </w:r>
      <w:r w:rsidRPr="00D846EE">
        <w:rPr>
          <w:rFonts w:ascii="Arial" w:hAnsi="Arial" w:cs="Arial"/>
          <w:sz w:val="17"/>
          <w:szCs w:val="17"/>
          <w:lang w:val="en-IN"/>
        </w:rPr>
        <w:t>https://rbidocs.rbi.org.in/rdocs/PublicationReport/Pdfs/ECOMRF210114_F.pdf.</w:t>
      </w:r>
    </w:p>
  </w:endnote>
  <w:endnote w:id="66">
    <w:p w14:paraId="25460BA3" w14:textId="34D7DFA8" w:rsidR="00F60503" w:rsidRPr="00D846EE" w:rsidRDefault="00F60503" w:rsidP="00640722">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Ibid.</w:t>
      </w:r>
    </w:p>
  </w:endnote>
  <w:endnote w:id="67">
    <w:p w14:paraId="0B392D42" w14:textId="37EE03BF" w:rsidR="00F60503" w:rsidRPr="00D846EE" w:rsidRDefault="00F60503" w:rsidP="00433AC4">
      <w:pPr>
        <w:pStyle w:val="EndnoteText"/>
        <w:jc w:val="both"/>
        <w:rPr>
          <w:rFonts w:ascii="Arial" w:hAnsi="Arial" w:cs="Arial"/>
          <w:b/>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President of India Acting through the Ministry of Finance Government of India, </w:t>
      </w:r>
      <w:r w:rsidRPr="00D846EE">
        <w:rPr>
          <w:rFonts w:ascii="Arial" w:hAnsi="Arial" w:cs="Arial"/>
          <w:i/>
          <w:sz w:val="17"/>
          <w:szCs w:val="17"/>
        </w:rPr>
        <w:t>Agreement on Monetary Policy Framework between the Government of India and the Reserve Bank of India</w:t>
      </w:r>
      <w:r w:rsidRPr="00D846EE">
        <w:rPr>
          <w:rFonts w:ascii="Arial" w:hAnsi="Arial" w:cs="Arial"/>
          <w:sz w:val="17"/>
          <w:szCs w:val="17"/>
        </w:rPr>
        <w:t xml:space="preserve">, February 20, 2015, accessed June 22, 2017, </w:t>
      </w:r>
      <w:r w:rsidRPr="00ED7CEC">
        <w:rPr>
          <w:rStyle w:val="FootnoteChar"/>
        </w:rPr>
        <w:t>www.finmin.nic.in/sites/default/files/MPFAgreement28022015.pdf.</w:t>
      </w:r>
    </w:p>
  </w:endnote>
  <w:endnote w:id="68">
    <w:p w14:paraId="7E6B8E87" w14:textId="77777777" w:rsidR="00841825" w:rsidRPr="00D846EE" w:rsidRDefault="00841825" w:rsidP="00841825">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w:t>
      </w:r>
      <w:r>
        <w:rPr>
          <w:rFonts w:ascii="Arial" w:hAnsi="Arial" w:cs="Arial"/>
          <w:sz w:val="17"/>
          <w:szCs w:val="17"/>
        </w:rPr>
        <w:t>,</w:t>
      </w:r>
      <w:r w:rsidRPr="00D846EE">
        <w:rPr>
          <w:rFonts w:ascii="Arial" w:hAnsi="Arial" w:cs="Arial"/>
          <w:sz w:val="17"/>
          <w:szCs w:val="17"/>
        </w:rPr>
        <w:t xml:space="preserve"> 2015–16, op. cit. </w:t>
      </w:r>
    </w:p>
  </w:endnote>
  <w:endnote w:id="69">
    <w:p w14:paraId="6EE4D6C1" w14:textId="02A77078"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“Database on Indian Economy,” Reserve Bank of India, op. cit. </w:t>
      </w:r>
    </w:p>
  </w:endnote>
  <w:endnote w:id="70">
    <w:p w14:paraId="5C0FAAFD" w14:textId="657E0FC6"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2015–16, op. cit. </w:t>
      </w:r>
    </w:p>
  </w:endnote>
  <w:endnote w:id="71">
    <w:p w14:paraId="601F95EF" w14:textId="303010F9" w:rsidR="00F60503" w:rsidRPr="00D846EE" w:rsidRDefault="00F60503" w:rsidP="00433AC4">
      <w:pPr>
        <w:pStyle w:val="EndnoteText"/>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Ibid. </w:t>
      </w:r>
    </w:p>
  </w:endnote>
  <w:endnote w:id="72">
    <w:p w14:paraId="36C7CC7D" w14:textId="5B9AAF6C" w:rsidR="00F60503" w:rsidRPr="00D846EE" w:rsidRDefault="00F60503" w:rsidP="00640722">
      <w:pPr>
        <w:jc w:val="both"/>
        <w:rPr>
          <w:rFonts w:ascii="Arial" w:hAnsi="Arial" w:cs="Arial"/>
          <w:spacing w:val="-4"/>
          <w:kern w:val="17"/>
          <w:sz w:val="17"/>
          <w:szCs w:val="17"/>
        </w:rPr>
      </w:pPr>
      <w:r w:rsidRPr="00D846EE">
        <w:rPr>
          <w:rStyle w:val="EndnoteReference"/>
          <w:rFonts w:ascii="Arial" w:hAnsi="Arial" w:cs="Arial"/>
          <w:spacing w:val="-4"/>
          <w:kern w:val="17"/>
          <w:sz w:val="17"/>
          <w:szCs w:val="17"/>
        </w:rPr>
        <w:endnoteRef/>
      </w:r>
      <w:r w:rsidRPr="00D846EE">
        <w:rPr>
          <w:rFonts w:ascii="Arial" w:hAnsi="Arial" w:cs="Arial"/>
          <w:spacing w:val="-4"/>
          <w:kern w:val="17"/>
          <w:sz w:val="17"/>
          <w:szCs w:val="17"/>
        </w:rPr>
        <w:t xml:space="preserve"> </w:t>
      </w:r>
      <w:proofErr w:type="spellStart"/>
      <w:r w:rsidRPr="00D846EE">
        <w:rPr>
          <w:rFonts w:ascii="Arial" w:hAnsi="Arial" w:cs="Arial"/>
          <w:spacing w:val="-4"/>
          <w:kern w:val="17"/>
          <w:sz w:val="17"/>
          <w:szCs w:val="17"/>
        </w:rPr>
        <w:t>Rajendra</w:t>
      </w:r>
      <w:proofErr w:type="spellEnd"/>
      <w:r w:rsidRPr="00D846EE">
        <w:rPr>
          <w:rFonts w:ascii="Arial" w:hAnsi="Arial" w:cs="Arial"/>
          <w:spacing w:val="-4"/>
          <w:kern w:val="17"/>
          <w:sz w:val="17"/>
          <w:szCs w:val="17"/>
        </w:rPr>
        <w:t xml:space="preserve"> </w:t>
      </w:r>
      <w:proofErr w:type="spellStart"/>
      <w:r w:rsidRPr="00D846EE">
        <w:rPr>
          <w:rFonts w:ascii="Arial" w:hAnsi="Arial" w:cs="Arial"/>
          <w:spacing w:val="-4"/>
          <w:kern w:val="17"/>
          <w:sz w:val="17"/>
          <w:szCs w:val="17"/>
        </w:rPr>
        <w:t>Jadhav</w:t>
      </w:r>
      <w:proofErr w:type="spellEnd"/>
      <w:r w:rsidRPr="00D846EE">
        <w:rPr>
          <w:rFonts w:ascii="Arial" w:hAnsi="Arial" w:cs="Arial"/>
          <w:spacing w:val="-4"/>
          <w:kern w:val="17"/>
          <w:sz w:val="17"/>
          <w:szCs w:val="17"/>
        </w:rPr>
        <w:t>, “India’s Gold Imports Drop 16 Percent,” Reuters, April 13, 2016, accessed March 5, 2017, http://in.reuters.com/article/india-gold-imports-idINKCN0XA0S6.</w:t>
      </w:r>
    </w:p>
  </w:endnote>
  <w:endnote w:id="73">
    <w:p w14:paraId="29FCA902" w14:textId="6C924B5C" w:rsidR="00F60503" w:rsidRPr="00D846EE" w:rsidRDefault="00F60503" w:rsidP="00F7014C">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2015–16, op. cit.</w:t>
      </w:r>
    </w:p>
  </w:endnote>
  <w:endnote w:id="74">
    <w:p w14:paraId="5CEC8425" w14:textId="3287E4C8"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“Database on Indian Economy,” Reserve Bank of India, op. cit</w:t>
      </w:r>
      <w:r>
        <w:rPr>
          <w:rFonts w:ascii="Arial" w:hAnsi="Arial" w:cs="Arial"/>
          <w:sz w:val="17"/>
          <w:szCs w:val="17"/>
        </w:rPr>
        <w:t>.</w:t>
      </w:r>
      <w:r w:rsidRPr="00D846EE">
        <w:rPr>
          <w:rFonts w:ascii="Arial" w:hAnsi="Arial" w:cs="Arial"/>
          <w:sz w:val="17"/>
          <w:szCs w:val="17"/>
        </w:rPr>
        <w:t xml:space="preserve"> </w:t>
      </w:r>
    </w:p>
  </w:endnote>
  <w:endnote w:id="75">
    <w:p w14:paraId="78967826" w14:textId="1ADE8A1E" w:rsidR="00F60503" w:rsidRPr="00D846EE" w:rsidRDefault="00F60503" w:rsidP="00F7014C">
      <w:pPr>
        <w:pStyle w:val="EndnoteText"/>
        <w:jc w:val="both"/>
        <w:rPr>
          <w:rFonts w:ascii="Arial" w:hAnsi="Arial" w:cs="Arial"/>
          <w:b/>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r w:rsidRPr="005F19E2">
        <w:rPr>
          <w:rStyle w:val="FootnoteChar"/>
        </w:rPr>
        <w:t xml:space="preserve">Reserve Bank of India, </w:t>
      </w:r>
      <w:r w:rsidRPr="005F19E2">
        <w:rPr>
          <w:rStyle w:val="FootnoteChar"/>
          <w:i/>
        </w:rPr>
        <w:t>Handbook of Statistics on the Indian Economy</w:t>
      </w:r>
      <w:r w:rsidRPr="005F19E2">
        <w:rPr>
          <w:rStyle w:val="FootnoteChar"/>
        </w:rPr>
        <w:t xml:space="preserve">, accessed January 2, 2017, https://dbie.rbi.org.in/DBIE/dbie.rbi?site=publications. </w:t>
      </w:r>
    </w:p>
  </w:endnote>
  <w:endnote w:id="76">
    <w:p w14:paraId="3F8C3B8C" w14:textId="311F30F1"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2015–16, op. cit. </w:t>
      </w:r>
    </w:p>
  </w:endnote>
  <w:endnote w:id="77">
    <w:p w14:paraId="01D53983" w14:textId="2260A287"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“Database on Indian Economy,” Reserve Bank of India,</w:t>
      </w:r>
      <w:r>
        <w:rPr>
          <w:rFonts w:ascii="Arial" w:hAnsi="Arial" w:cs="Arial"/>
          <w:sz w:val="17"/>
          <w:szCs w:val="17"/>
        </w:rPr>
        <w:t xml:space="preserve"> </w:t>
      </w:r>
      <w:r w:rsidRPr="00D846EE">
        <w:rPr>
          <w:rFonts w:ascii="Arial" w:hAnsi="Arial" w:cs="Arial"/>
          <w:sz w:val="17"/>
          <w:szCs w:val="17"/>
        </w:rPr>
        <w:t xml:space="preserve">op. cit. </w:t>
      </w:r>
    </w:p>
  </w:endnote>
  <w:endnote w:id="78">
    <w:p w14:paraId="6C0C0D49" w14:textId="2BCD1623"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1998, June 30, 1998, accessed March 12, 2017, </w:t>
      </w:r>
      <w:r w:rsidRPr="005F19E2">
        <w:rPr>
          <w:rFonts w:ascii="Arial" w:hAnsi="Arial" w:cs="Arial"/>
          <w:sz w:val="17"/>
          <w:szCs w:val="17"/>
        </w:rPr>
        <w:t>https://www.rbi.org.in/scripts/AnnualReportPublications.aspx?year=2000</w:t>
      </w:r>
      <w:r w:rsidRPr="00D846EE">
        <w:rPr>
          <w:rFonts w:ascii="Arial" w:hAnsi="Arial" w:cs="Arial"/>
          <w:sz w:val="17"/>
          <w:szCs w:val="17"/>
        </w:rPr>
        <w:t>; Reserve Bank of India, Annual Report, 2015–16, op. cit</w:t>
      </w:r>
      <w:r>
        <w:rPr>
          <w:rFonts w:ascii="Arial" w:hAnsi="Arial" w:cs="Arial"/>
          <w:sz w:val="17"/>
          <w:szCs w:val="17"/>
        </w:rPr>
        <w:t>.</w:t>
      </w:r>
    </w:p>
  </w:endnote>
  <w:endnote w:id="79">
    <w:p w14:paraId="25669A4A" w14:textId="0DD01D63"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proofErr w:type="spellStart"/>
      <w:r w:rsidRPr="00D846EE">
        <w:rPr>
          <w:rFonts w:ascii="Arial" w:hAnsi="Arial" w:cs="Arial"/>
          <w:sz w:val="17"/>
          <w:szCs w:val="17"/>
        </w:rPr>
        <w:t>Lekha</w:t>
      </w:r>
      <w:proofErr w:type="spellEnd"/>
      <w:r w:rsidRPr="00D846EE">
        <w:rPr>
          <w:rFonts w:ascii="Arial" w:hAnsi="Arial" w:cs="Arial"/>
          <w:sz w:val="17"/>
          <w:szCs w:val="17"/>
        </w:rPr>
        <w:t xml:space="preserve"> S. Chakraborty, </w:t>
      </w:r>
      <w:r w:rsidRPr="009D10D4">
        <w:rPr>
          <w:rFonts w:ascii="Arial" w:hAnsi="Arial" w:cs="Arial"/>
          <w:i/>
          <w:sz w:val="17"/>
          <w:szCs w:val="17"/>
        </w:rPr>
        <w:t>Fiscal Deficit, Capital Formation, and Crowding Out: Evidence from India,</w:t>
      </w:r>
      <w:r w:rsidRPr="00D846EE">
        <w:rPr>
          <w:rFonts w:ascii="Arial" w:hAnsi="Arial" w:cs="Arial"/>
          <w:sz w:val="17"/>
          <w:szCs w:val="17"/>
        </w:rPr>
        <w:t xml:space="preserve"> accessed September 24, 2016, www.nipfp.org.in/media/medialibrary/2013/04/wp06_nipfp_043.pdf.</w:t>
      </w:r>
    </w:p>
  </w:endnote>
  <w:endnote w:id="80">
    <w:p w14:paraId="6C39E185" w14:textId="1741828A"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r w:rsidRPr="009D10D4">
        <w:rPr>
          <w:rFonts w:ascii="Arial" w:hAnsi="Arial" w:cs="Arial"/>
          <w:i/>
          <w:sz w:val="17"/>
          <w:szCs w:val="17"/>
        </w:rPr>
        <w:t>Budget at a Glance</w:t>
      </w:r>
      <w:r>
        <w:rPr>
          <w:rFonts w:ascii="Arial" w:hAnsi="Arial" w:cs="Arial"/>
          <w:i/>
          <w:sz w:val="17"/>
          <w:szCs w:val="17"/>
        </w:rPr>
        <w:t>:</w:t>
      </w:r>
      <w:r w:rsidRPr="009D10D4">
        <w:rPr>
          <w:rFonts w:ascii="Arial" w:hAnsi="Arial" w:cs="Arial"/>
          <w:i/>
          <w:sz w:val="17"/>
          <w:szCs w:val="17"/>
        </w:rPr>
        <w:t xml:space="preserve"> 2017–2018</w:t>
      </w:r>
      <w:r w:rsidRPr="00D846EE">
        <w:rPr>
          <w:rFonts w:ascii="Arial" w:hAnsi="Arial" w:cs="Arial"/>
          <w:sz w:val="17"/>
          <w:szCs w:val="17"/>
        </w:rPr>
        <w:t>, accessed March 3, 2017, http://indiabudget.nic.in/ub2017-18/bag/bag1.pdf.</w:t>
      </w:r>
    </w:p>
  </w:endnote>
  <w:endnote w:id="81">
    <w:p w14:paraId="038DA6F4" w14:textId="75D70039"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Economic Survey, 2014–15, op. cit. </w:t>
      </w:r>
    </w:p>
  </w:endnote>
  <w:endnote w:id="82">
    <w:p w14:paraId="6C4A8706" w14:textId="4739B276"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Government of India, Economic Survey, 2016–17, accessed March 5, 2017, http://indiabudget.nic.in/es2016-17/echapter.pdf. An additional factor cited by S&amp;P was India’s low per capita income.</w:t>
      </w:r>
    </w:p>
  </w:endnote>
  <w:endnote w:id="83">
    <w:p w14:paraId="022AEDB7" w14:textId="0EFFF4F3" w:rsidR="00F60503" w:rsidRPr="00D846EE" w:rsidRDefault="00F60503" w:rsidP="00D846EE">
      <w:pPr>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hyperlink r:id="rId1" w:history="1">
        <w:r w:rsidRPr="00D846EE">
          <w:rPr>
            <w:rFonts w:ascii="Arial" w:hAnsi="Arial" w:cs="Arial"/>
            <w:sz w:val="17"/>
            <w:szCs w:val="17"/>
          </w:rPr>
          <w:t>Aprameya Rao and Kishor Kadam</w:t>
        </w:r>
      </w:hyperlink>
      <w:r w:rsidRPr="00D846EE">
        <w:rPr>
          <w:rFonts w:ascii="Arial" w:hAnsi="Arial" w:cs="Arial"/>
          <w:sz w:val="17"/>
          <w:szCs w:val="17"/>
        </w:rPr>
        <w:t xml:space="preserve">, “25 Years of </w:t>
      </w:r>
      <w:proofErr w:type="spellStart"/>
      <w:r w:rsidRPr="00D846EE">
        <w:rPr>
          <w:rFonts w:ascii="Arial" w:hAnsi="Arial" w:cs="Arial"/>
          <w:sz w:val="17"/>
          <w:szCs w:val="17"/>
        </w:rPr>
        <w:t>Liberalisation</w:t>
      </w:r>
      <w:proofErr w:type="spellEnd"/>
      <w:r w:rsidRPr="00D846EE">
        <w:rPr>
          <w:rFonts w:ascii="Arial" w:hAnsi="Arial" w:cs="Arial"/>
          <w:sz w:val="17"/>
          <w:szCs w:val="17"/>
        </w:rPr>
        <w:t xml:space="preserve">: A Glimpse of India’s Growth in 14 Charts,” </w:t>
      </w:r>
      <w:proofErr w:type="spellStart"/>
      <w:r w:rsidRPr="00D846EE">
        <w:rPr>
          <w:rFonts w:ascii="Arial" w:hAnsi="Arial" w:cs="Arial"/>
          <w:i/>
          <w:sz w:val="17"/>
          <w:szCs w:val="17"/>
        </w:rPr>
        <w:t>Firstpost</w:t>
      </w:r>
      <w:proofErr w:type="spellEnd"/>
      <w:r w:rsidRPr="00D846EE">
        <w:rPr>
          <w:rFonts w:ascii="Arial" w:hAnsi="Arial" w:cs="Arial"/>
          <w:sz w:val="17"/>
          <w:szCs w:val="17"/>
        </w:rPr>
        <w:t>, July 7, 2016, accessed September 25, 2016, www.firstpost.com/business/25-years-of-liberalisation-a-glimpse-of-indias-growth-in-14-charts-2877654.html.</w:t>
      </w:r>
    </w:p>
  </w:endnote>
  <w:endnote w:id="84">
    <w:p w14:paraId="43EE34C3" w14:textId="3B5EB37E" w:rsidR="00F60503" w:rsidRPr="00D846EE" w:rsidRDefault="00F60503" w:rsidP="00433AC4">
      <w:pPr>
        <w:pStyle w:val="EndnoteText"/>
        <w:jc w:val="both"/>
        <w:rPr>
          <w:rFonts w:ascii="Arial" w:hAnsi="Arial" w:cs="Arial"/>
          <w:spacing w:val="-4"/>
          <w:kern w:val="17"/>
          <w:sz w:val="17"/>
          <w:szCs w:val="17"/>
        </w:rPr>
      </w:pPr>
      <w:r w:rsidRPr="00D846EE">
        <w:rPr>
          <w:rStyle w:val="EndnoteReference"/>
          <w:rFonts w:ascii="Arial" w:hAnsi="Arial" w:cs="Arial"/>
          <w:spacing w:val="-4"/>
          <w:kern w:val="17"/>
          <w:sz w:val="17"/>
          <w:szCs w:val="17"/>
        </w:rPr>
        <w:endnoteRef/>
      </w:r>
      <w:r w:rsidRPr="00D846EE">
        <w:rPr>
          <w:rFonts w:ascii="Arial" w:hAnsi="Arial" w:cs="Arial"/>
          <w:spacing w:val="-4"/>
          <w:kern w:val="17"/>
          <w:sz w:val="17"/>
          <w:szCs w:val="17"/>
        </w:rPr>
        <w:t xml:space="preserve"> Broad money is the measure of money supply used in India. Broad </w:t>
      </w:r>
      <w:r>
        <w:rPr>
          <w:rFonts w:ascii="Arial" w:hAnsi="Arial" w:cs="Arial"/>
          <w:spacing w:val="-4"/>
          <w:kern w:val="17"/>
          <w:sz w:val="17"/>
          <w:szCs w:val="17"/>
        </w:rPr>
        <w:t>m</w:t>
      </w:r>
      <w:r w:rsidRPr="00D846EE">
        <w:rPr>
          <w:rFonts w:ascii="Arial" w:hAnsi="Arial" w:cs="Arial"/>
          <w:spacing w:val="-4"/>
          <w:kern w:val="17"/>
          <w:sz w:val="17"/>
          <w:szCs w:val="17"/>
        </w:rPr>
        <w:t xml:space="preserve">oney (M3) = currency held by the public + other deposits with the Reserve Bank of India + </w:t>
      </w:r>
      <w:r>
        <w:rPr>
          <w:rFonts w:ascii="Arial" w:hAnsi="Arial" w:cs="Arial"/>
          <w:spacing w:val="-4"/>
          <w:kern w:val="17"/>
          <w:sz w:val="17"/>
          <w:szCs w:val="17"/>
        </w:rPr>
        <w:t xml:space="preserve">demand deposits + time deposits. </w:t>
      </w:r>
      <w:r w:rsidRPr="00D846EE">
        <w:rPr>
          <w:rFonts w:ascii="Arial" w:hAnsi="Arial" w:cs="Arial"/>
          <w:spacing w:val="-4"/>
          <w:kern w:val="17"/>
          <w:sz w:val="17"/>
          <w:szCs w:val="17"/>
        </w:rPr>
        <w:t xml:space="preserve">“Components of Money Stock,” Reserve Bank of India, accessed November 25, 2017, https://rbi.org.in/Scripts/PublicationsView.aspx?id=17177. </w:t>
      </w:r>
    </w:p>
  </w:endnote>
  <w:endnote w:id="85">
    <w:p w14:paraId="246AE7EC" w14:textId="54307DCC"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Ibid. </w:t>
      </w:r>
    </w:p>
  </w:endnote>
  <w:endnote w:id="86">
    <w:p w14:paraId="3450135D" w14:textId="1B0D4686"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Annual Report, 2001,</w:t>
      </w:r>
      <w:r>
        <w:rPr>
          <w:rFonts w:ascii="Arial" w:hAnsi="Arial" w:cs="Arial"/>
          <w:sz w:val="17"/>
          <w:szCs w:val="17"/>
        </w:rPr>
        <w:t xml:space="preserve"> </w:t>
      </w:r>
      <w:r w:rsidRPr="00D846EE">
        <w:rPr>
          <w:rFonts w:ascii="Arial" w:hAnsi="Arial" w:cs="Arial"/>
          <w:sz w:val="17"/>
          <w:szCs w:val="17"/>
        </w:rPr>
        <w:t>August 28, 2001, accessed March 12, 2017, https://www.rbi.org.in/scripts/AnnualReportPublications.aspx?year=2000.</w:t>
      </w:r>
    </w:p>
  </w:endnote>
  <w:endnote w:id="87">
    <w:p w14:paraId="7F03AD53" w14:textId="3B18B49A"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Reserve Bank of India, </w:t>
      </w:r>
      <w:r w:rsidRPr="00D846EE">
        <w:rPr>
          <w:rFonts w:ascii="Arial" w:hAnsi="Arial" w:cs="Arial"/>
          <w:i/>
          <w:sz w:val="17"/>
          <w:szCs w:val="17"/>
        </w:rPr>
        <w:t>Handbook of Statistics of the Indian Economy</w:t>
      </w:r>
      <w:r w:rsidRPr="00D846EE">
        <w:rPr>
          <w:rFonts w:ascii="Arial" w:hAnsi="Arial" w:cs="Arial"/>
          <w:sz w:val="17"/>
          <w:szCs w:val="17"/>
        </w:rPr>
        <w:t xml:space="preserve">, </w:t>
      </w:r>
      <w:r>
        <w:rPr>
          <w:rFonts w:ascii="Arial" w:hAnsi="Arial" w:cs="Arial"/>
          <w:sz w:val="17"/>
          <w:szCs w:val="17"/>
        </w:rPr>
        <w:t>op cit.</w:t>
      </w:r>
    </w:p>
  </w:endnote>
  <w:endnote w:id="88">
    <w:p w14:paraId="4B1D417D" w14:textId="305C1AC0" w:rsidR="00F60503" w:rsidRPr="00D846EE"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Pr>
          <w:rFonts w:ascii="Arial" w:hAnsi="Arial" w:cs="Arial"/>
          <w:sz w:val="17"/>
          <w:szCs w:val="17"/>
        </w:rPr>
        <w:t xml:space="preserve"> </w:t>
      </w:r>
      <w:proofErr w:type="spellStart"/>
      <w:r>
        <w:rPr>
          <w:rFonts w:ascii="Arial" w:hAnsi="Arial" w:cs="Arial"/>
          <w:sz w:val="17"/>
          <w:szCs w:val="17"/>
        </w:rPr>
        <w:t>Sarmistha</w:t>
      </w:r>
      <w:proofErr w:type="spellEnd"/>
      <w:r>
        <w:rPr>
          <w:rFonts w:ascii="Arial" w:hAnsi="Arial" w:cs="Arial"/>
          <w:sz w:val="17"/>
          <w:szCs w:val="17"/>
        </w:rPr>
        <w:t xml:space="preserve"> Pal, “</w:t>
      </w:r>
      <w:r w:rsidRPr="00D846EE">
        <w:rPr>
          <w:rFonts w:ascii="Arial" w:hAnsi="Arial" w:cs="Arial"/>
          <w:sz w:val="17"/>
          <w:szCs w:val="17"/>
        </w:rPr>
        <w:t xml:space="preserve">Tackling Black Money: How did the Current Government Fare?” </w:t>
      </w:r>
      <w:r w:rsidRPr="00D846EE">
        <w:rPr>
          <w:rFonts w:ascii="Arial" w:hAnsi="Arial" w:cs="Arial"/>
          <w:i/>
          <w:sz w:val="17"/>
          <w:szCs w:val="17"/>
        </w:rPr>
        <w:t>Indian Economist</w:t>
      </w:r>
      <w:r w:rsidRPr="00D846EE">
        <w:rPr>
          <w:rFonts w:ascii="Arial" w:hAnsi="Arial" w:cs="Arial"/>
          <w:sz w:val="17"/>
          <w:szCs w:val="17"/>
        </w:rPr>
        <w:t xml:space="preserve">, December 21, 2016, accessed January 5, 2017, </w:t>
      </w:r>
      <w:r w:rsidRPr="005F19E2">
        <w:rPr>
          <w:rFonts w:ascii="Arial" w:hAnsi="Arial" w:cs="Arial"/>
          <w:sz w:val="17"/>
          <w:szCs w:val="17"/>
        </w:rPr>
        <w:t>https://theindianeconomist.com/tackling-black-money/</w:t>
      </w:r>
      <w:r w:rsidRPr="00D846EE">
        <w:rPr>
          <w:rFonts w:ascii="Arial" w:hAnsi="Arial" w:cs="Arial"/>
          <w:sz w:val="17"/>
          <w:szCs w:val="17"/>
        </w:rPr>
        <w:t xml:space="preserve">; Ira </w:t>
      </w:r>
      <w:proofErr w:type="spellStart"/>
      <w:r w:rsidRPr="00D846EE">
        <w:rPr>
          <w:rFonts w:ascii="Arial" w:hAnsi="Arial" w:cs="Arial"/>
          <w:sz w:val="17"/>
          <w:szCs w:val="17"/>
        </w:rPr>
        <w:t>Dugal</w:t>
      </w:r>
      <w:proofErr w:type="spellEnd"/>
      <w:r w:rsidRPr="00D846EE">
        <w:rPr>
          <w:rFonts w:ascii="Arial" w:hAnsi="Arial" w:cs="Arial"/>
          <w:sz w:val="17"/>
          <w:szCs w:val="17"/>
        </w:rPr>
        <w:t>, “</w:t>
      </w:r>
      <w:proofErr w:type="spellStart"/>
      <w:r w:rsidRPr="00D846EE">
        <w:rPr>
          <w:rFonts w:ascii="Arial" w:hAnsi="Arial" w:cs="Arial"/>
          <w:sz w:val="17"/>
          <w:szCs w:val="17"/>
        </w:rPr>
        <w:t>Demonetisation</w:t>
      </w:r>
      <w:proofErr w:type="spellEnd"/>
      <w:r w:rsidRPr="00D846EE">
        <w:rPr>
          <w:rFonts w:ascii="Arial" w:hAnsi="Arial" w:cs="Arial"/>
          <w:sz w:val="17"/>
          <w:szCs w:val="17"/>
        </w:rPr>
        <w:t xml:space="preserve"> Math: How Much Cash Was Part of Our Black Economy?” </w:t>
      </w:r>
      <w:r w:rsidRPr="00D846EE">
        <w:rPr>
          <w:rFonts w:ascii="Arial" w:hAnsi="Arial" w:cs="Arial"/>
          <w:i/>
          <w:sz w:val="17"/>
          <w:szCs w:val="17"/>
        </w:rPr>
        <w:t>Quint</w:t>
      </w:r>
      <w:r w:rsidRPr="00D846EE">
        <w:rPr>
          <w:rFonts w:ascii="Arial" w:hAnsi="Arial" w:cs="Arial"/>
          <w:sz w:val="17"/>
          <w:szCs w:val="17"/>
        </w:rPr>
        <w:t>, November 30, 2016, accessed January 6, 2017, https://www.thequint.com/india/2016/11/30/tracking-demonetisation-math-narendra-modi-arun-jaitley-rbi-500-1000-currency-deposit-2000-jan-dhan-blackmoney.</w:t>
      </w:r>
    </w:p>
  </w:endnote>
  <w:endnote w:id="89">
    <w:p w14:paraId="3C662776" w14:textId="03368CDA" w:rsidR="00F60503" w:rsidRPr="00D846EE" w:rsidRDefault="00F60503" w:rsidP="00F7014C">
      <w:pPr>
        <w:pStyle w:val="EndnoteText"/>
        <w:jc w:val="both"/>
        <w:rPr>
          <w:rFonts w:ascii="Arial" w:hAnsi="Arial" w:cs="Arial"/>
          <w:sz w:val="17"/>
          <w:szCs w:val="17"/>
        </w:rPr>
      </w:pPr>
      <w:r w:rsidRPr="00D846EE">
        <w:rPr>
          <w:rStyle w:val="EndnoteReference"/>
          <w:rFonts w:ascii="Arial" w:hAnsi="Arial" w:cs="Arial"/>
          <w:sz w:val="17"/>
          <w:szCs w:val="17"/>
        </w:rPr>
        <w:endnoteRef/>
      </w:r>
      <w:r w:rsidRPr="00D846EE">
        <w:rPr>
          <w:rFonts w:ascii="Arial" w:hAnsi="Arial" w:cs="Arial"/>
          <w:sz w:val="17"/>
          <w:szCs w:val="17"/>
        </w:rPr>
        <w:t xml:space="preserve"> </w:t>
      </w:r>
      <w:r>
        <w:rPr>
          <w:rFonts w:ascii="Arial" w:hAnsi="Arial" w:cs="Arial"/>
          <w:sz w:val="17"/>
          <w:szCs w:val="17"/>
        </w:rPr>
        <w:t>“</w:t>
      </w:r>
      <w:r w:rsidRPr="009D10D4">
        <w:rPr>
          <w:rFonts w:ascii="Arial" w:hAnsi="Arial" w:cs="Arial"/>
          <w:sz w:val="17"/>
          <w:szCs w:val="17"/>
        </w:rPr>
        <w:t>Corruption Perceptions Index 2016</w:t>
      </w:r>
      <w:r w:rsidRPr="00DC5719">
        <w:rPr>
          <w:rFonts w:ascii="Arial" w:hAnsi="Arial" w:cs="Arial"/>
          <w:sz w:val="17"/>
          <w:szCs w:val="17"/>
        </w:rPr>
        <w:t>,</w:t>
      </w:r>
      <w:r>
        <w:rPr>
          <w:rFonts w:ascii="Arial" w:hAnsi="Arial" w:cs="Arial"/>
          <w:sz w:val="17"/>
          <w:szCs w:val="17"/>
        </w:rPr>
        <w:t xml:space="preserve">” </w:t>
      </w:r>
      <w:r w:rsidRPr="00D846EE">
        <w:rPr>
          <w:rFonts w:ascii="Arial" w:hAnsi="Arial" w:cs="Arial"/>
          <w:sz w:val="17"/>
          <w:szCs w:val="17"/>
        </w:rPr>
        <w:t xml:space="preserve">Transparency International, January 25, 2017, accessed February 6, 2017, https://www.transparency.org/news/feature/corruption_perceptions_index_2016. As per this scale, </w:t>
      </w:r>
      <w:proofErr w:type="gramStart"/>
      <w:r w:rsidRPr="00D846EE">
        <w:rPr>
          <w:rFonts w:ascii="Arial" w:hAnsi="Arial" w:cs="Arial"/>
          <w:sz w:val="17"/>
          <w:szCs w:val="17"/>
        </w:rPr>
        <w:t>0</w:t>
      </w:r>
      <w:proofErr w:type="gramEnd"/>
      <w:r w:rsidRPr="00D846EE">
        <w:rPr>
          <w:rFonts w:ascii="Arial" w:hAnsi="Arial" w:cs="Arial"/>
          <w:sz w:val="17"/>
          <w:szCs w:val="17"/>
        </w:rPr>
        <w:t xml:space="preserve"> referred to highly corrupt countries and 100 referred to very clean countries. The global average score was 43.</w:t>
      </w:r>
    </w:p>
  </w:endnote>
  <w:endnote w:id="90">
    <w:p w14:paraId="6FBADD60" w14:textId="761346AA" w:rsidR="00F60503" w:rsidRPr="00D846EE" w:rsidRDefault="00F60503" w:rsidP="00D846EE">
      <w:pPr>
        <w:pStyle w:val="EndnoteText"/>
        <w:jc w:val="both"/>
      </w:pPr>
      <w:r w:rsidRPr="005F19E2">
        <w:rPr>
          <w:rStyle w:val="FootnoteChar"/>
          <w:vertAlign w:val="superscript"/>
        </w:rPr>
        <w:endnoteRef/>
      </w:r>
      <w:r w:rsidRPr="00D846EE">
        <w:t xml:space="preserve"> </w:t>
      </w:r>
      <w:r w:rsidRPr="00D846EE">
        <w:rPr>
          <w:rFonts w:ascii="Arial" w:hAnsi="Arial" w:cs="Arial"/>
          <w:sz w:val="17"/>
          <w:szCs w:val="17"/>
        </w:rPr>
        <w:t xml:space="preserve">Government of India, Economic Survey 2016–17, op. cit., </w:t>
      </w:r>
      <w:r>
        <w:rPr>
          <w:rFonts w:ascii="Arial" w:hAnsi="Arial" w:cs="Arial"/>
          <w:sz w:val="17"/>
          <w:szCs w:val="17"/>
        </w:rPr>
        <w:t>84.</w:t>
      </w:r>
    </w:p>
  </w:endnote>
  <w:endnote w:id="91">
    <w:p w14:paraId="3604A58C" w14:textId="2CAB4B82" w:rsidR="00F60503" w:rsidRPr="002D7305" w:rsidRDefault="00F60503" w:rsidP="00433AC4">
      <w:pPr>
        <w:pStyle w:val="EndnoteText"/>
        <w:jc w:val="both"/>
        <w:rPr>
          <w:rFonts w:ascii="Arial" w:hAnsi="Arial" w:cs="Arial"/>
          <w:sz w:val="17"/>
          <w:szCs w:val="17"/>
        </w:rPr>
      </w:pPr>
      <w:r w:rsidRPr="00D846EE">
        <w:rPr>
          <w:rStyle w:val="EndnoteReference"/>
          <w:rFonts w:ascii="Arial" w:hAnsi="Arial" w:cs="Arial"/>
          <w:sz w:val="17"/>
          <w:szCs w:val="17"/>
        </w:rPr>
        <w:endnoteRef/>
      </w:r>
      <w:r>
        <w:rPr>
          <w:rFonts w:ascii="Arial" w:hAnsi="Arial" w:cs="Arial"/>
          <w:sz w:val="17"/>
          <w:szCs w:val="17"/>
        </w:rPr>
        <w:t xml:space="preserve"> I</w:t>
      </w:r>
      <w:r w:rsidRPr="00D846EE">
        <w:rPr>
          <w:rFonts w:ascii="Arial" w:hAnsi="Arial" w:cs="Arial"/>
          <w:sz w:val="17"/>
          <w:szCs w:val="17"/>
        </w:rPr>
        <w:t>bid.</w:t>
      </w:r>
      <w:r>
        <w:rPr>
          <w:rFonts w:ascii="Arial" w:hAnsi="Arial" w:cs="Arial"/>
          <w:sz w:val="17"/>
          <w:szCs w:val="17"/>
        </w:rPr>
        <w:t xml:space="preserve"> </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44481" w14:textId="77777777" w:rsidR="00F60503" w:rsidRDefault="00F60503" w:rsidP="00D75295">
      <w:r>
        <w:separator/>
      </w:r>
    </w:p>
  </w:footnote>
  <w:footnote w:type="continuationSeparator" w:id="0">
    <w:p w14:paraId="1F214FDB" w14:textId="77777777" w:rsidR="00F60503" w:rsidRDefault="00F6050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FAE9" w14:textId="72DD2D78" w:rsidR="00F60503" w:rsidRDefault="00F6050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C1E9A">
      <w:rPr>
        <w:rFonts w:ascii="Arial" w:hAnsi="Arial"/>
        <w:b/>
        <w:noProof/>
      </w:rPr>
      <w:t>18</w:t>
    </w:r>
    <w:r>
      <w:rPr>
        <w:rFonts w:ascii="Arial" w:hAnsi="Arial"/>
        <w:b/>
      </w:rPr>
      <w:fldChar w:fldCharType="end"/>
    </w:r>
    <w:r>
      <w:rPr>
        <w:rFonts w:ascii="Arial" w:hAnsi="Arial"/>
        <w:b/>
      </w:rPr>
      <w:tab/>
      <w:t>9B17M110</w:t>
    </w:r>
  </w:p>
  <w:p w14:paraId="1EB881F5" w14:textId="77777777" w:rsidR="00F60503" w:rsidRPr="00C92CC4" w:rsidRDefault="00F60503">
    <w:pPr>
      <w:pStyle w:val="Header"/>
      <w:rPr>
        <w:sz w:val="18"/>
        <w:szCs w:val="18"/>
      </w:rPr>
    </w:pPr>
  </w:p>
  <w:p w14:paraId="275E4828" w14:textId="77777777" w:rsidR="00F60503" w:rsidRPr="00C92CC4" w:rsidRDefault="00F6050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4FC2120D"/>
    <w:multiLevelType w:val="hybridMultilevel"/>
    <w:tmpl w:val="5F243AD6"/>
    <w:lvl w:ilvl="0" w:tplc="997EF810">
      <w:start w:val="1"/>
      <w:numFmt w:val="bullet"/>
      <w:lvlText w:val=""/>
      <w:lvlJc w:val="left"/>
      <w:pPr>
        <w:tabs>
          <w:tab w:val="num" w:pos="720"/>
        </w:tabs>
        <w:ind w:left="720" w:hanging="360"/>
      </w:pPr>
      <w:rPr>
        <w:rFonts w:ascii="Wingdings 2" w:hAnsi="Wingdings 2" w:hint="default"/>
      </w:rPr>
    </w:lvl>
    <w:lvl w:ilvl="1" w:tplc="2FA05E26" w:tentative="1">
      <w:start w:val="1"/>
      <w:numFmt w:val="bullet"/>
      <w:lvlText w:val=""/>
      <w:lvlJc w:val="left"/>
      <w:pPr>
        <w:tabs>
          <w:tab w:val="num" w:pos="1440"/>
        </w:tabs>
        <w:ind w:left="1440" w:hanging="360"/>
      </w:pPr>
      <w:rPr>
        <w:rFonts w:ascii="Wingdings 2" w:hAnsi="Wingdings 2" w:hint="default"/>
      </w:rPr>
    </w:lvl>
    <w:lvl w:ilvl="2" w:tplc="5A62ED0C" w:tentative="1">
      <w:start w:val="1"/>
      <w:numFmt w:val="bullet"/>
      <w:lvlText w:val=""/>
      <w:lvlJc w:val="left"/>
      <w:pPr>
        <w:tabs>
          <w:tab w:val="num" w:pos="2160"/>
        </w:tabs>
        <w:ind w:left="2160" w:hanging="360"/>
      </w:pPr>
      <w:rPr>
        <w:rFonts w:ascii="Wingdings 2" w:hAnsi="Wingdings 2" w:hint="default"/>
      </w:rPr>
    </w:lvl>
    <w:lvl w:ilvl="3" w:tplc="925A0308" w:tentative="1">
      <w:start w:val="1"/>
      <w:numFmt w:val="bullet"/>
      <w:lvlText w:val=""/>
      <w:lvlJc w:val="left"/>
      <w:pPr>
        <w:tabs>
          <w:tab w:val="num" w:pos="2880"/>
        </w:tabs>
        <w:ind w:left="2880" w:hanging="360"/>
      </w:pPr>
      <w:rPr>
        <w:rFonts w:ascii="Wingdings 2" w:hAnsi="Wingdings 2" w:hint="default"/>
      </w:rPr>
    </w:lvl>
    <w:lvl w:ilvl="4" w:tplc="9034A196" w:tentative="1">
      <w:start w:val="1"/>
      <w:numFmt w:val="bullet"/>
      <w:lvlText w:val=""/>
      <w:lvlJc w:val="left"/>
      <w:pPr>
        <w:tabs>
          <w:tab w:val="num" w:pos="3600"/>
        </w:tabs>
        <w:ind w:left="3600" w:hanging="360"/>
      </w:pPr>
      <w:rPr>
        <w:rFonts w:ascii="Wingdings 2" w:hAnsi="Wingdings 2" w:hint="default"/>
      </w:rPr>
    </w:lvl>
    <w:lvl w:ilvl="5" w:tplc="7570C6A6" w:tentative="1">
      <w:start w:val="1"/>
      <w:numFmt w:val="bullet"/>
      <w:lvlText w:val=""/>
      <w:lvlJc w:val="left"/>
      <w:pPr>
        <w:tabs>
          <w:tab w:val="num" w:pos="4320"/>
        </w:tabs>
        <w:ind w:left="4320" w:hanging="360"/>
      </w:pPr>
      <w:rPr>
        <w:rFonts w:ascii="Wingdings 2" w:hAnsi="Wingdings 2" w:hint="default"/>
      </w:rPr>
    </w:lvl>
    <w:lvl w:ilvl="6" w:tplc="78B2A85A" w:tentative="1">
      <w:start w:val="1"/>
      <w:numFmt w:val="bullet"/>
      <w:lvlText w:val=""/>
      <w:lvlJc w:val="left"/>
      <w:pPr>
        <w:tabs>
          <w:tab w:val="num" w:pos="5040"/>
        </w:tabs>
        <w:ind w:left="5040" w:hanging="360"/>
      </w:pPr>
      <w:rPr>
        <w:rFonts w:ascii="Wingdings 2" w:hAnsi="Wingdings 2" w:hint="default"/>
      </w:rPr>
    </w:lvl>
    <w:lvl w:ilvl="7" w:tplc="3926D396" w:tentative="1">
      <w:start w:val="1"/>
      <w:numFmt w:val="bullet"/>
      <w:lvlText w:val=""/>
      <w:lvlJc w:val="left"/>
      <w:pPr>
        <w:tabs>
          <w:tab w:val="num" w:pos="5760"/>
        </w:tabs>
        <w:ind w:left="5760" w:hanging="360"/>
      </w:pPr>
      <w:rPr>
        <w:rFonts w:ascii="Wingdings 2" w:hAnsi="Wingdings 2" w:hint="default"/>
      </w:rPr>
    </w:lvl>
    <w:lvl w:ilvl="8" w:tplc="ACC810C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1"/>
  <w:activeWritingStyle w:appName="MSWord" w:lang="en-CA" w:vendorID="64" w:dllVersion="131078" w:nlCheck="1" w:checkStyle="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3598"/>
    <w:rsid w:val="0002575F"/>
    <w:rsid w:val="00025DC7"/>
    <w:rsid w:val="00026486"/>
    <w:rsid w:val="00030A3E"/>
    <w:rsid w:val="00036E22"/>
    <w:rsid w:val="00037C6D"/>
    <w:rsid w:val="00044ECC"/>
    <w:rsid w:val="000453B5"/>
    <w:rsid w:val="000531D3"/>
    <w:rsid w:val="0005646B"/>
    <w:rsid w:val="00057E99"/>
    <w:rsid w:val="0008102D"/>
    <w:rsid w:val="0009302E"/>
    <w:rsid w:val="00094672"/>
    <w:rsid w:val="00094C0E"/>
    <w:rsid w:val="000B1B70"/>
    <w:rsid w:val="000B7854"/>
    <w:rsid w:val="000C4EC0"/>
    <w:rsid w:val="000D31F4"/>
    <w:rsid w:val="000E1524"/>
    <w:rsid w:val="000E7321"/>
    <w:rsid w:val="000F0C22"/>
    <w:rsid w:val="000F3B40"/>
    <w:rsid w:val="000F6B09"/>
    <w:rsid w:val="000F6FDC"/>
    <w:rsid w:val="00104567"/>
    <w:rsid w:val="0011387F"/>
    <w:rsid w:val="00122883"/>
    <w:rsid w:val="00122FEC"/>
    <w:rsid w:val="0012732D"/>
    <w:rsid w:val="00130183"/>
    <w:rsid w:val="00137F95"/>
    <w:rsid w:val="001451DE"/>
    <w:rsid w:val="0015390F"/>
    <w:rsid w:val="00154FC9"/>
    <w:rsid w:val="00162F20"/>
    <w:rsid w:val="001705F0"/>
    <w:rsid w:val="0017349A"/>
    <w:rsid w:val="001752FE"/>
    <w:rsid w:val="0017632D"/>
    <w:rsid w:val="00177BFB"/>
    <w:rsid w:val="00183F15"/>
    <w:rsid w:val="001906DC"/>
    <w:rsid w:val="0019241A"/>
    <w:rsid w:val="00195650"/>
    <w:rsid w:val="001A04E9"/>
    <w:rsid w:val="001A5335"/>
    <w:rsid w:val="001A752D"/>
    <w:rsid w:val="001D5746"/>
    <w:rsid w:val="001D6FC5"/>
    <w:rsid w:val="00203AA1"/>
    <w:rsid w:val="00212A01"/>
    <w:rsid w:val="00213E98"/>
    <w:rsid w:val="002201D2"/>
    <w:rsid w:val="00221CD1"/>
    <w:rsid w:val="00224021"/>
    <w:rsid w:val="00242AE5"/>
    <w:rsid w:val="00246A77"/>
    <w:rsid w:val="00260589"/>
    <w:rsid w:val="00264DEB"/>
    <w:rsid w:val="00281542"/>
    <w:rsid w:val="002833C1"/>
    <w:rsid w:val="0029088F"/>
    <w:rsid w:val="0029509C"/>
    <w:rsid w:val="002C65C3"/>
    <w:rsid w:val="002C6931"/>
    <w:rsid w:val="002D6D43"/>
    <w:rsid w:val="002E32F0"/>
    <w:rsid w:val="002E3816"/>
    <w:rsid w:val="002F460C"/>
    <w:rsid w:val="002F48D6"/>
    <w:rsid w:val="00302149"/>
    <w:rsid w:val="0030694C"/>
    <w:rsid w:val="0032504A"/>
    <w:rsid w:val="00325CBE"/>
    <w:rsid w:val="00333656"/>
    <w:rsid w:val="00334374"/>
    <w:rsid w:val="00354899"/>
    <w:rsid w:val="00355FD6"/>
    <w:rsid w:val="00361C8E"/>
    <w:rsid w:val="00364A5C"/>
    <w:rsid w:val="00373FB1"/>
    <w:rsid w:val="003A0843"/>
    <w:rsid w:val="003B30D8"/>
    <w:rsid w:val="003B3D71"/>
    <w:rsid w:val="003B7EF2"/>
    <w:rsid w:val="003C3FA4"/>
    <w:rsid w:val="003C4C3D"/>
    <w:rsid w:val="003C5F85"/>
    <w:rsid w:val="003D075C"/>
    <w:rsid w:val="003E4E38"/>
    <w:rsid w:val="003F2B0C"/>
    <w:rsid w:val="004221E4"/>
    <w:rsid w:val="00427A14"/>
    <w:rsid w:val="00433AC4"/>
    <w:rsid w:val="004343B4"/>
    <w:rsid w:val="00437E93"/>
    <w:rsid w:val="00442CA6"/>
    <w:rsid w:val="00450E38"/>
    <w:rsid w:val="004578EE"/>
    <w:rsid w:val="004630C9"/>
    <w:rsid w:val="004646F6"/>
    <w:rsid w:val="00471088"/>
    <w:rsid w:val="0047355A"/>
    <w:rsid w:val="00481D81"/>
    <w:rsid w:val="00483AF9"/>
    <w:rsid w:val="00485DDB"/>
    <w:rsid w:val="004976CE"/>
    <w:rsid w:val="004B1CCB"/>
    <w:rsid w:val="004B353A"/>
    <w:rsid w:val="004C50ED"/>
    <w:rsid w:val="004D60D1"/>
    <w:rsid w:val="004D73A5"/>
    <w:rsid w:val="004E0A39"/>
    <w:rsid w:val="004E600B"/>
    <w:rsid w:val="004E7F6B"/>
    <w:rsid w:val="004F097B"/>
    <w:rsid w:val="004F1485"/>
    <w:rsid w:val="004F1DE9"/>
    <w:rsid w:val="00502B48"/>
    <w:rsid w:val="00510432"/>
    <w:rsid w:val="0052037B"/>
    <w:rsid w:val="005210D1"/>
    <w:rsid w:val="00521453"/>
    <w:rsid w:val="005272C8"/>
    <w:rsid w:val="00532CF5"/>
    <w:rsid w:val="0053346E"/>
    <w:rsid w:val="005446A9"/>
    <w:rsid w:val="00551143"/>
    <w:rsid w:val="005528CB"/>
    <w:rsid w:val="00566771"/>
    <w:rsid w:val="005761BD"/>
    <w:rsid w:val="00581E2E"/>
    <w:rsid w:val="00584F15"/>
    <w:rsid w:val="00596F25"/>
    <w:rsid w:val="005A203F"/>
    <w:rsid w:val="005A3088"/>
    <w:rsid w:val="005D13A7"/>
    <w:rsid w:val="005E7938"/>
    <w:rsid w:val="005F19E2"/>
    <w:rsid w:val="005F3921"/>
    <w:rsid w:val="005F4E36"/>
    <w:rsid w:val="005F6162"/>
    <w:rsid w:val="005F6DAF"/>
    <w:rsid w:val="005F7166"/>
    <w:rsid w:val="005F78E0"/>
    <w:rsid w:val="006058CE"/>
    <w:rsid w:val="00614235"/>
    <w:rsid w:val="006158F4"/>
    <w:rsid w:val="006163F7"/>
    <w:rsid w:val="0062341F"/>
    <w:rsid w:val="00624112"/>
    <w:rsid w:val="00630438"/>
    <w:rsid w:val="006366F9"/>
    <w:rsid w:val="00640722"/>
    <w:rsid w:val="00643E39"/>
    <w:rsid w:val="00652606"/>
    <w:rsid w:val="00653514"/>
    <w:rsid w:val="006541C7"/>
    <w:rsid w:val="00655939"/>
    <w:rsid w:val="00681001"/>
    <w:rsid w:val="00682754"/>
    <w:rsid w:val="00682DC4"/>
    <w:rsid w:val="00686F9A"/>
    <w:rsid w:val="00692EA5"/>
    <w:rsid w:val="006A2ADC"/>
    <w:rsid w:val="006A58A9"/>
    <w:rsid w:val="006A606D"/>
    <w:rsid w:val="006A6107"/>
    <w:rsid w:val="006B2FB6"/>
    <w:rsid w:val="006B4830"/>
    <w:rsid w:val="006B6FF7"/>
    <w:rsid w:val="006B7F7A"/>
    <w:rsid w:val="006C0371"/>
    <w:rsid w:val="006C08B6"/>
    <w:rsid w:val="006C0B1A"/>
    <w:rsid w:val="006C4384"/>
    <w:rsid w:val="006C6065"/>
    <w:rsid w:val="006C7F9F"/>
    <w:rsid w:val="006E2F6D"/>
    <w:rsid w:val="006E58F6"/>
    <w:rsid w:val="006E77E1"/>
    <w:rsid w:val="006F001E"/>
    <w:rsid w:val="006F131D"/>
    <w:rsid w:val="006F1D9E"/>
    <w:rsid w:val="00700C76"/>
    <w:rsid w:val="00714D97"/>
    <w:rsid w:val="007167E1"/>
    <w:rsid w:val="00720DE5"/>
    <w:rsid w:val="00726F5A"/>
    <w:rsid w:val="0073391F"/>
    <w:rsid w:val="007347E7"/>
    <w:rsid w:val="00735AF5"/>
    <w:rsid w:val="00737F2B"/>
    <w:rsid w:val="00752BCD"/>
    <w:rsid w:val="00766DA1"/>
    <w:rsid w:val="00775312"/>
    <w:rsid w:val="00782BD3"/>
    <w:rsid w:val="007866A6"/>
    <w:rsid w:val="00790F9D"/>
    <w:rsid w:val="0079347B"/>
    <w:rsid w:val="00794AC9"/>
    <w:rsid w:val="007A130D"/>
    <w:rsid w:val="007D4102"/>
    <w:rsid w:val="007D47A9"/>
    <w:rsid w:val="007D4E33"/>
    <w:rsid w:val="007D5924"/>
    <w:rsid w:val="007E126E"/>
    <w:rsid w:val="007E5921"/>
    <w:rsid w:val="007E7CB2"/>
    <w:rsid w:val="00804932"/>
    <w:rsid w:val="00807B0E"/>
    <w:rsid w:val="00815B96"/>
    <w:rsid w:val="00821FFC"/>
    <w:rsid w:val="00825C6B"/>
    <w:rsid w:val="008271CA"/>
    <w:rsid w:val="00836610"/>
    <w:rsid w:val="00837094"/>
    <w:rsid w:val="00841825"/>
    <w:rsid w:val="00843EC9"/>
    <w:rsid w:val="00844D3E"/>
    <w:rsid w:val="00846415"/>
    <w:rsid w:val="008467D5"/>
    <w:rsid w:val="00846F81"/>
    <w:rsid w:val="00856D9F"/>
    <w:rsid w:val="00866F6D"/>
    <w:rsid w:val="00870DE8"/>
    <w:rsid w:val="00882F7B"/>
    <w:rsid w:val="00886EEF"/>
    <w:rsid w:val="00894DB6"/>
    <w:rsid w:val="008A4DC4"/>
    <w:rsid w:val="008B1CAF"/>
    <w:rsid w:val="008B367B"/>
    <w:rsid w:val="008B39E7"/>
    <w:rsid w:val="008C1E9A"/>
    <w:rsid w:val="008C7B2D"/>
    <w:rsid w:val="008D186A"/>
    <w:rsid w:val="008E3EA1"/>
    <w:rsid w:val="008E797C"/>
    <w:rsid w:val="008F5F9E"/>
    <w:rsid w:val="009067A4"/>
    <w:rsid w:val="0090722E"/>
    <w:rsid w:val="0092517A"/>
    <w:rsid w:val="009340DB"/>
    <w:rsid w:val="00936615"/>
    <w:rsid w:val="00941E7D"/>
    <w:rsid w:val="00945F9E"/>
    <w:rsid w:val="00957710"/>
    <w:rsid w:val="009620C6"/>
    <w:rsid w:val="00964D20"/>
    <w:rsid w:val="00972306"/>
    <w:rsid w:val="00972498"/>
    <w:rsid w:val="00974CC6"/>
    <w:rsid w:val="00976AD4"/>
    <w:rsid w:val="00986B9B"/>
    <w:rsid w:val="009962A9"/>
    <w:rsid w:val="009A312F"/>
    <w:rsid w:val="009A5348"/>
    <w:rsid w:val="009A67BB"/>
    <w:rsid w:val="009C76D5"/>
    <w:rsid w:val="009D10D4"/>
    <w:rsid w:val="009D3241"/>
    <w:rsid w:val="009D4BE4"/>
    <w:rsid w:val="009F2E20"/>
    <w:rsid w:val="009F7AA4"/>
    <w:rsid w:val="00A0072F"/>
    <w:rsid w:val="00A215A1"/>
    <w:rsid w:val="00A218D7"/>
    <w:rsid w:val="00A25CFA"/>
    <w:rsid w:val="00A559DB"/>
    <w:rsid w:val="00A63F93"/>
    <w:rsid w:val="00A64ADA"/>
    <w:rsid w:val="00A8064F"/>
    <w:rsid w:val="00A822AD"/>
    <w:rsid w:val="00A83644"/>
    <w:rsid w:val="00A858E2"/>
    <w:rsid w:val="00A93104"/>
    <w:rsid w:val="00AA2558"/>
    <w:rsid w:val="00AA3C9D"/>
    <w:rsid w:val="00AB18DE"/>
    <w:rsid w:val="00AD47B6"/>
    <w:rsid w:val="00AE446A"/>
    <w:rsid w:val="00AF0A70"/>
    <w:rsid w:val="00AF2F14"/>
    <w:rsid w:val="00AF35FC"/>
    <w:rsid w:val="00B00E30"/>
    <w:rsid w:val="00B03639"/>
    <w:rsid w:val="00B0652A"/>
    <w:rsid w:val="00B0794C"/>
    <w:rsid w:val="00B31DC6"/>
    <w:rsid w:val="00B35C72"/>
    <w:rsid w:val="00B3757D"/>
    <w:rsid w:val="00B40937"/>
    <w:rsid w:val="00B423EF"/>
    <w:rsid w:val="00B453DE"/>
    <w:rsid w:val="00B4742F"/>
    <w:rsid w:val="00B50E48"/>
    <w:rsid w:val="00B5365D"/>
    <w:rsid w:val="00B60D17"/>
    <w:rsid w:val="00B65E7F"/>
    <w:rsid w:val="00B85950"/>
    <w:rsid w:val="00B87241"/>
    <w:rsid w:val="00B901F9"/>
    <w:rsid w:val="00B97D5A"/>
    <w:rsid w:val="00BC4A20"/>
    <w:rsid w:val="00BC7178"/>
    <w:rsid w:val="00BD6EFB"/>
    <w:rsid w:val="00BE1970"/>
    <w:rsid w:val="00BF440E"/>
    <w:rsid w:val="00BF49CC"/>
    <w:rsid w:val="00BF5D3E"/>
    <w:rsid w:val="00BF622E"/>
    <w:rsid w:val="00C01D0E"/>
    <w:rsid w:val="00C067E1"/>
    <w:rsid w:val="00C1279B"/>
    <w:rsid w:val="00C13548"/>
    <w:rsid w:val="00C14FBD"/>
    <w:rsid w:val="00C15BE2"/>
    <w:rsid w:val="00C22219"/>
    <w:rsid w:val="00C26244"/>
    <w:rsid w:val="00C273FD"/>
    <w:rsid w:val="00C3447F"/>
    <w:rsid w:val="00C35849"/>
    <w:rsid w:val="00C37760"/>
    <w:rsid w:val="00C420B1"/>
    <w:rsid w:val="00C553D2"/>
    <w:rsid w:val="00C5644C"/>
    <w:rsid w:val="00C606B9"/>
    <w:rsid w:val="00C61D07"/>
    <w:rsid w:val="00C62EB2"/>
    <w:rsid w:val="00C80ACF"/>
    <w:rsid w:val="00C81491"/>
    <w:rsid w:val="00C81676"/>
    <w:rsid w:val="00C907CF"/>
    <w:rsid w:val="00C91B02"/>
    <w:rsid w:val="00C92CC4"/>
    <w:rsid w:val="00CA0AFB"/>
    <w:rsid w:val="00CA2CE1"/>
    <w:rsid w:val="00CA2F1C"/>
    <w:rsid w:val="00CA3976"/>
    <w:rsid w:val="00CA757B"/>
    <w:rsid w:val="00CA7DDE"/>
    <w:rsid w:val="00CB5076"/>
    <w:rsid w:val="00CB6B09"/>
    <w:rsid w:val="00CC04B7"/>
    <w:rsid w:val="00CC1787"/>
    <w:rsid w:val="00CC182C"/>
    <w:rsid w:val="00CC18A4"/>
    <w:rsid w:val="00CD0824"/>
    <w:rsid w:val="00CD2908"/>
    <w:rsid w:val="00CD2BFF"/>
    <w:rsid w:val="00CD6B0B"/>
    <w:rsid w:val="00CE2BFF"/>
    <w:rsid w:val="00CE4DB9"/>
    <w:rsid w:val="00CE7F2B"/>
    <w:rsid w:val="00CF6210"/>
    <w:rsid w:val="00D03A82"/>
    <w:rsid w:val="00D14AA6"/>
    <w:rsid w:val="00D15344"/>
    <w:rsid w:val="00D31BEC"/>
    <w:rsid w:val="00D3264A"/>
    <w:rsid w:val="00D37E7F"/>
    <w:rsid w:val="00D43EBC"/>
    <w:rsid w:val="00D63150"/>
    <w:rsid w:val="00D64A32"/>
    <w:rsid w:val="00D64EFC"/>
    <w:rsid w:val="00D65C84"/>
    <w:rsid w:val="00D67758"/>
    <w:rsid w:val="00D704DC"/>
    <w:rsid w:val="00D71933"/>
    <w:rsid w:val="00D75295"/>
    <w:rsid w:val="00D76CE9"/>
    <w:rsid w:val="00D80A7A"/>
    <w:rsid w:val="00D846EE"/>
    <w:rsid w:val="00D87A6A"/>
    <w:rsid w:val="00D91269"/>
    <w:rsid w:val="00D92571"/>
    <w:rsid w:val="00D97F12"/>
    <w:rsid w:val="00DB1EDF"/>
    <w:rsid w:val="00DB42E7"/>
    <w:rsid w:val="00DB574B"/>
    <w:rsid w:val="00DC15D4"/>
    <w:rsid w:val="00DC5719"/>
    <w:rsid w:val="00DD522A"/>
    <w:rsid w:val="00DE1E17"/>
    <w:rsid w:val="00DE1ECD"/>
    <w:rsid w:val="00DE4310"/>
    <w:rsid w:val="00DF32C2"/>
    <w:rsid w:val="00DF3625"/>
    <w:rsid w:val="00DF428C"/>
    <w:rsid w:val="00E01A37"/>
    <w:rsid w:val="00E06223"/>
    <w:rsid w:val="00E07A99"/>
    <w:rsid w:val="00E2121A"/>
    <w:rsid w:val="00E2275D"/>
    <w:rsid w:val="00E32792"/>
    <w:rsid w:val="00E342FC"/>
    <w:rsid w:val="00E35850"/>
    <w:rsid w:val="00E471A7"/>
    <w:rsid w:val="00E53098"/>
    <w:rsid w:val="00E54AC8"/>
    <w:rsid w:val="00E616D5"/>
    <w:rsid w:val="00E635CF"/>
    <w:rsid w:val="00E71449"/>
    <w:rsid w:val="00E71ED7"/>
    <w:rsid w:val="00E810EF"/>
    <w:rsid w:val="00E81596"/>
    <w:rsid w:val="00E91627"/>
    <w:rsid w:val="00E91E40"/>
    <w:rsid w:val="00EA273C"/>
    <w:rsid w:val="00EA46E3"/>
    <w:rsid w:val="00EA5396"/>
    <w:rsid w:val="00EB3F06"/>
    <w:rsid w:val="00EB5410"/>
    <w:rsid w:val="00EC6938"/>
    <w:rsid w:val="00EC6E0A"/>
    <w:rsid w:val="00EC6E5D"/>
    <w:rsid w:val="00ED4E18"/>
    <w:rsid w:val="00ED701A"/>
    <w:rsid w:val="00ED7CEC"/>
    <w:rsid w:val="00EE1F37"/>
    <w:rsid w:val="00EE3024"/>
    <w:rsid w:val="00EE48D6"/>
    <w:rsid w:val="00EE7DF4"/>
    <w:rsid w:val="00EF24F1"/>
    <w:rsid w:val="00EF6DAD"/>
    <w:rsid w:val="00F0058E"/>
    <w:rsid w:val="00F0159C"/>
    <w:rsid w:val="00F0492E"/>
    <w:rsid w:val="00F105B7"/>
    <w:rsid w:val="00F10A31"/>
    <w:rsid w:val="00F116EF"/>
    <w:rsid w:val="00F130B3"/>
    <w:rsid w:val="00F17A21"/>
    <w:rsid w:val="00F30B51"/>
    <w:rsid w:val="00F45BB5"/>
    <w:rsid w:val="00F45F96"/>
    <w:rsid w:val="00F4619B"/>
    <w:rsid w:val="00F50E91"/>
    <w:rsid w:val="00F51465"/>
    <w:rsid w:val="00F5233F"/>
    <w:rsid w:val="00F57CD5"/>
    <w:rsid w:val="00F57D29"/>
    <w:rsid w:val="00F60503"/>
    <w:rsid w:val="00F673C4"/>
    <w:rsid w:val="00F67ADF"/>
    <w:rsid w:val="00F7014C"/>
    <w:rsid w:val="00F70ACD"/>
    <w:rsid w:val="00F73546"/>
    <w:rsid w:val="00F77347"/>
    <w:rsid w:val="00F9125D"/>
    <w:rsid w:val="00F92A99"/>
    <w:rsid w:val="00F95997"/>
    <w:rsid w:val="00F96201"/>
    <w:rsid w:val="00FA2BDD"/>
    <w:rsid w:val="00FA7469"/>
    <w:rsid w:val="00FB2874"/>
    <w:rsid w:val="00FC30E9"/>
    <w:rsid w:val="00FD0B18"/>
    <w:rsid w:val="00FD0F82"/>
    <w:rsid w:val="00FE714F"/>
    <w:rsid w:val="00FF468B"/>
    <w:rsid w:val="00FF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3D529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PageNumber">
    <w:name w:val="page number"/>
    <w:basedOn w:val="DefaultParagraphFont"/>
    <w:uiPriority w:val="99"/>
    <w:semiHidden/>
    <w:unhideWhenUsed/>
    <w:rsid w:val="00221CD1"/>
  </w:style>
  <w:style w:type="character" w:styleId="FollowedHyperlink">
    <w:name w:val="FollowedHyperlink"/>
    <w:basedOn w:val="DefaultParagraphFont"/>
    <w:uiPriority w:val="99"/>
    <w:semiHidden/>
    <w:unhideWhenUsed/>
    <w:rsid w:val="00221C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76079">
      <w:bodyDiv w:val="1"/>
      <w:marLeft w:val="0"/>
      <w:marRight w:val="0"/>
      <w:marTop w:val="0"/>
      <w:marBottom w:val="0"/>
      <w:divBdr>
        <w:top w:val="none" w:sz="0" w:space="0" w:color="auto"/>
        <w:left w:val="none" w:sz="0" w:space="0" w:color="auto"/>
        <w:bottom w:val="none" w:sz="0" w:space="0" w:color="auto"/>
        <w:right w:val="none" w:sz="0" w:space="0" w:color="auto"/>
      </w:divBdr>
    </w:div>
    <w:div w:id="476648881">
      <w:bodyDiv w:val="1"/>
      <w:marLeft w:val="0"/>
      <w:marRight w:val="0"/>
      <w:marTop w:val="0"/>
      <w:marBottom w:val="0"/>
      <w:divBdr>
        <w:top w:val="none" w:sz="0" w:space="0" w:color="auto"/>
        <w:left w:val="none" w:sz="0" w:space="0" w:color="auto"/>
        <w:bottom w:val="none" w:sz="0" w:space="0" w:color="auto"/>
        <w:right w:val="none" w:sz="0" w:space="0" w:color="auto"/>
      </w:divBdr>
    </w:div>
    <w:div w:id="611522949">
      <w:bodyDiv w:val="1"/>
      <w:marLeft w:val="0"/>
      <w:marRight w:val="0"/>
      <w:marTop w:val="0"/>
      <w:marBottom w:val="0"/>
      <w:divBdr>
        <w:top w:val="none" w:sz="0" w:space="0" w:color="auto"/>
        <w:left w:val="none" w:sz="0" w:space="0" w:color="auto"/>
        <w:bottom w:val="none" w:sz="0" w:space="0" w:color="auto"/>
        <w:right w:val="none" w:sz="0" w:space="0" w:color="auto"/>
      </w:divBdr>
    </w:div>
    <w:div w:id="986934724">
      <w:bodyDiv w:val="1"/>
      <w:marLeft w:val="0"/>
      <w:marRight w:val="0"/>
      <w:marTop w:val="0"/>
      <w:marBottom w:val="0"/>
      <w:divBdr>
        <w:top w:val="none" w:sz="0" w:space="0" w:color="auto"/>
        <w:left w:val="none" w:sz="0" w:space="0" w:color="auto"/>
        <w:bottom w:val="none" w:sz="0" w:space="0" w:color="auto"/>
        <w:right w:val="none" w:sz="0" w:space="0" w:color="auto"/>
      </w:divBdr>
    </w:div>
    <w:div w:id="992492100">
      <w:bodyDiv w:val="1"/>
      <w:marLeft w:val="0"/>
      <w:marRight w:val="0"/>
      <w:marTop w:val="0"/>
      <w:marBottom w:val="0"/>
      <w:divBdr>
        <w:top w:val="none" w:sz="0" w:space="0" w:color="auto"/>
        <w:left w:val="none" w:sz="0" w:space="0" w:color="auto"/>
        <w:bottom w:val="none" w:sz="0" w:space="0" w:color="auto"/>
        <w:right w:val="none" w:sz="0" w:space="0" w:color="auto"/>
      </w:divBdr>
    </w:div>
    <w:div w:id="20153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bie.rbi.org.in/DBIE/dbie.rbi?site=pub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worldbank.org/indicator/NY.GDP.PCAP.CD?locations=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firstpost.com/author/aprameya-rao-and-kishor-ka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A6A27-6448-4B14-BDCC-9830E57B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6945</Words>
  <Characters>39590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3</cp:revision>
  <cp:lastPrinted>2017-07-18T15:44:00Z</cp:lastPrinted>
  <dcterms:created xsi:type="dcterms:W3CDTF">2017-07-19T16:28:00Z</dcterms:created>
  <dcterms:modified xsi:type="dcterms:W3CDTF">2017-07-28T17:42:00Z</dcterms:modified>
</cp:coreProperties>
</file>