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FB14D" w14:textId="6E6FFDD7" w:rsidR="007D1A2D" w:rsidRPr="00E828B1" w:rsidRDefault="008354E7" w:rsidP="008467D5">
      <w:pPr>
        <w:pBdr>
          <w:bottom w:val="single" w:sz="18" w:space="1" w:color="auto"/>
        </w:pBdr>
        <w:tabs>
          <w:tab w:val="left" w:pos="-1440"/>
          <w:tab w:val="left" w:pos="-720"/>
          <w:tab w:val="left" w:pos="1"/>
        </w:tabs>
        <w:jc w:val="both"/>
        <w:rPr>
          <w:rFonts w:ascii="Arial" w:hAnsi="Arial"/>
          <w:b/>
          <w:noProof/>
          <w:sz w:val="24"/>
          <w:lang w:val="en-GB"/>
        </w:rPr>
      </w:pPr>
      <w:r w:rsidRPr="00E828B1">
        <w:rPr>
          <w:rFonts w:ascii="Arial" w:hAnsi="Arial"/>
          <w:b/>
          <w:noProof/>
          <w:sz w:val="24"/>
        </w:rPr>
        <w:drawing>
          <wp:inline distT="0" distB="0" distL="0" distR="0" wp14:anchorId="596A18FD" wp14:editId="564D93BA">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F56DA1A" w14:textId="77777777" w:rsidR="00F13220" w:rsidRPr="00E828B1" w:rsidRDefault="00F13220" w:rsidP="008467D5">
      <w:pPr>
        <w:pBdr>
          <w:bottom w:val="single" w:sz="18" w:space="1" w:color="auto"/>
        </w:pBdr>
        <w:tabs>
          <w:tab w:val="left" w:pos="-1440"/>
          <w:tab w:val="left" w:pos="-720"/>
          <w:tab w:val="left" w:pos="1"/>
        </w:tabs>
        <w:jc w:val="both"/>
        <w:rPr>
          <w:rFonts w:ascii="Arial" w:hAnsi="Arial"/>
          <w:b/>
          <w:sz w:val="24"/>
          <w:lang w:val="en-GB"/>
        </w:rPr>
      </w:pPr>
    </w:p>
    <w:p w14:paraId="71FA098F" w14:textId="41F77FC0" w:rsidR="00D75295" w:rsidRPr="00E828B1" w:rsidRDefault="008354E7" w:rsidP="00F105B7">
      <w:pPr>
        <w:pStyle w:val="ProductNumber"/>
        <w:rPr>
          <w:lang w:val="en-GB"/>
        </w:rPr>
      </w:pPr>
      <w:r w:rsidRPr="00E828B1">
        <w:rPr>
          <w:lang w:val="en-GB"/>
        </w:rPr>
        <w:t>9B17M</w:t>
      </w:r>
      <w:r w:rsidR="00B7698D">
        <w:rPr>
          <w:lang w:val="en-GB"/>
        </w:rPr>
        <w:t>115</w:t>
      </w:r>
    </w:p>
    <w:p w14:paraId="204DA55E" w14:textId="77777777" w:rsidR="00D75295" w:rsidRPr="00E828B1" w:rsidRDefault="00D75295" w:rsidP="00D75295">
      <w:pPr>
        <w:jc w:val="right"/>
        <w:rPr>
          <w:rFonts w:ascii="Arial" w:hAnsi="Arial"/>
          <w:b/>
          <w:sz w:val="28"/>
          <w:szCs w:val="28"/>
          <w:lang w:val="en-GB"/>
        </w:rPr>
      </w:pPr>
    </w:p>
    <w:p w14:paraId="5DCDC8B6" w14:textId="77777777" w:rsidR="00013360" w:rsidRPr="00E828B1" w:rsidRDefault="00013360" w:rsidP="00D75295">
      <w:pPr>
        <w:jc w:val="right"/>
        <w:rPr>
          <w:rFonts w:ascii="Arial" w:hAnsi="Arial"/>
          <w:b/>
          <w:sz w:val="28"/>
          <w:szCs w:val="28"/>
          <w:lang w:val="en-GB"/>
        </w:rPr>
      </w:pPr>
    </w:p>
    <w:p w14:paraId="3A99C57C" w14:textId="6361626D" w:rsidR="00013360" w:rsidRPr="00E828B1" w:rsidRDefault="00DD1A25" w:rsidP="00013360">
      <w:pPr>
        <w:pStyle w:val="CaseTitle"/>
        <w:spacing w:after="0" w:line="240" w:lineRule="auto"/>
        <w:rPr>
          <w:sz w:val="20"/>
          <w:szCs w:val="20"/>
          <w:lang w:val="en-GB"/>
        </w:rPr>
      </w:pPr>
      <w:r w:rsidRPr="00E828B1">
        <w:rPr>
          <w:rFonts w:eastAsia="Times New Roman"/>
          <w:szCs w:val="20"/>
          <w:lang w:val="en-GB"/>
        </w:rPr>
        <w:t xml:space="preserve">OrganiGram: </w:t>
      </w:r>
      <w:r w:rsidR="00134074" w:rsidRPr="00E828B1">
        <w:rPr>
          <w:rFonts w:eastAsia="Times New Roman"/>
          <w:szCs w:val="20"/>
          <w:lang w:val="en-GB"/>
        </w:rPr>
        <w:t>Navigating the Cannabis Industry</w:t>
      </w:r>
      <w:r w:rsidRPr="00E828B1">
        <w:rPr>
          <w:rFonts w:eastAsia="Times New Roman"/>
          <w:szCs w:val="20"/>
          <w:lang w:val="en-GB"/>
        </w:rPr>
        <w:t xml:space="preserve"> with “Grey Knowledge”</w:t>
      </w:r>
    </w:p>
    <w:p w14:paraId="3839F7F2" w14:textId="77777777" w:rsidR="00CA3976" w:rsidRPr="00E828B1" w:rsidRDefault="00CA3976" w:rsidP="00013360">
      <w:pPr>
        <w:pStyle w:val="CaseTitle"/>
        <w:spacing w:after="0" w:line="240" w:lineRule="auto"/>
        <w:rPr>
          <w:sz w:val="20"/>
          <w:szCs w:val="20"/>
          <w:lang w:val="en-GB"/>
        </w:rPr>
      </w:pPr>
    </w:p>
    <w:p w14:paraId="22E9C6D9" w14:textId="77777777" w:rsidR="00013360" w:rsidRPr="00E828B1" w:rsidRDefault="00013360" w:rsidP="00013360">
      <w:pPr>
        <w:pStyle w:val="CaseTitle"/>
        <w:spacing w:after="0" w:line="240" w:lineRule="auto"/>
        <w:rPr>
          <w:sz w:val="20"/>
          <w:szCs w:val="20"/>
          <w:lang w:val="en-GB"/>
        </w:rPr>
      </w:pPr>
    </w:p>
    <w:p w14:paraId="7D7E34B1" w14:textId="6FB7539F" w:rsidR="00627C63" w:rsidRPr="00E828B1" w:rsidRDefault="00DD1A25" w:rsidP="00627C63">
      <w:pPr>
        <w:pStyle w:val="StyleCopyrightStatementAfter0ptBottomSinglesolidline1"/>
        <w:rPr>
          <w:lang w:val="en-GB"/>
        </w:rPr>
      </w:pPr>
      <w:r w:rsidRPr="00E828B1">
        <w:rPr>
          <w:lang w:val="en-GB"/>
        </w:rPr>
        <w:t xml:space="preserve">Opal Leung </w:t>
      </w:r>
      <w:r w:rsidR="004B632F" w:rsidRPr="00E828B1">
        <w:rPr>
          <w:lang w:val="en-GB"/>
        </w:rPr>
        <w:t xml:space="preserve">wrote this </w:t>
      </w:r>
      <w:r w:rsidR="00152682" w:rsidRPr="00E828B1">
        <w:rPr>
          <w:lang w:val="en-GB"/>
        </w:rPr>
        <w:t>case</w:t>
      </w:r>
      <w:r w:rsidR="004B632F" w:rsidRPr="00E828B1">
        <w:rPr>
          <w:lang w:val="en-GB"/>
        </w:rPr>
        <w:t xml:space="preserve"> </w:t>
      </w:r>
      <w:r w:rsidR="00152682" w:rsidRPr="00E828B1">
        <w:rPr>
          <w:lang w:val="en-GB"/>
        </w:rPr>
        <w:t>solely to provide material for class discussion. The</w:t>
      </w:r>
      <w:r w:rsidR="001C7777" w:rsidRPr="00E828B1">
        <w:rPr>
          <w:lang w:val="en-GB"/>
        </w:rPr>
        <w:t xml:space="preserve"> author</w:t>
      </w:r>
      <w:r w:rsidR="00152682" w:rsidRPr="00E828B1">
        <w:rPr>
          <w:lang w:val="en-GB"/>
        </w:rPr>
        <w:t xml:space="preserve"> do</w:t>
      </w:r>
      <w:r w:rsidR="007E4221">
        <w:rPr>
          <w:lang w:val="en-GB"/>
        </w:rPr>
        <w:t>es</w:t>
      </w:r>
      <w:r w:rsidR="00152682" w:rsidRPr="00E828B1">
        <w:rPr>
          <w:lang w:val="en-GB"/>
        </w:rPr>
        <w:t xml:space="preserve"> not intend to illustrate either effective or ineffective handling of a managerial situation. The author may have disguised certain names and other identifying information to protect confidentiality.</w:t>
      </w:r>
    </w:p>
    <w:p w14:paraId="6DB85D8A" w14:textId="77777777" w:rsidR="00751E0B" w:rsidRPr="00E828B1" w:rsidRDefault="00751E0B" w:rsidP="00751E0B">
      <w:pPr>
        <w:pStyle w:val="StyleCopyrightStatementAfter0ptBottomSinglesolidline1"/>
        <w:rPr>
          <w:lang w:val="en-GB"/>
        </w:rPr>
      </w:pPr>
    </w:p>
    <w:p w14:paraId="2B24AB12" w14:textId="77777777" w:rsidR="007E4221" w:rsidRPr="00E23AB7" w:rsidRDefault="007E4221" w:rsidP="007E4221">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38C3AA2E" w14:textId="77777777" w:rsidR="007E4221" w:rsidRPr="00E23AB7" w:rsidRDefault="007E4221" w:rsidP="007E4221">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44CAC14E" w14:textId="66829AA9" w:rsidR="00751E0B" w:rsidRPr="00E828B1" w:rsidRDefault="007E4221" w:rsidP="007E4221">
      <w:pPr>
        <w:pStyle w:val="StyleStyleCopyrightStatementAfter0ptBottomSinglesolid"/>
        <w:rPr>
          <w:lang w:val="en-GB"/>
        </w:rPr>
      </w:pPr>
      <w:r w:rsidRPr="00E23AB7">
        <w:rPr>
          <w:rFonts w:cs="Arial"/>
          <w:szCs w:val="16"/>
        </w:rPr>
        <w:t>Copyright © 201</w:t>
      </w:r>
      <w:r>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t>Version: 2017-</w:t>
      </w:r>
      <w:r w:rsidR="008629FA">
        <w:t>08-09</w:t>
      </w:r>
    </w:p>
    <w:p w14:paraId="3166A082" w14:textId="77777777" w:rsidR="00751E0B" w:rsidRPr="00E828B1" w:rsidRDefault="00751E0B" w:rsidP="00751E0B">
      <w:pPr>
        <w:pStyle w:val="StyleCopyrightStatementAfter0ptBottomSinglesolidline1"/>
        <w:rPr>
          <w:rFonts w:ascii="Times New Roman" w:hAnsi="Times New Roman"/>
          <w:lang w:val="en-GB"/>
        </w:rPr>
      </w:pPr>
    </w:p>
    <w:p w14:paraId="49286687" w14:textId="77777777" w:rsidR="004B632F" w:rsidRPr="00E828B1" w:rsidRDefault="004B632F" w:rsidP="004B632F">
      <w:pPr>
        <w:pStyle w:val="StyleCopyrightStatementAfter0ptBottomSinglesolidline1"/>
        <w:rPr>
          <w:rFonts w:ascii="Times New Roman" w:hAnsi="Times New Roman"/>
          <w:lang w:val="en-GB"/>
        </w:rPr>
      </w:pPr>
    </w:p>
    <w:p w14:paraId="2DF237F0" w14:textId="56469265" w:rsidR="00DD1A25" w:rsidRPr="00833CA4" w:rsidRDefault="00DD1A25" w:rsidP="00F52230">
      <w:pPr>
        <w:pStyle w:val="BodyTextMain"/>
        <w:ind w:left="720"/>
        <w:jc w:val="right"/>
        <w:rPr>
          <w:lang w:val="en-GB"/>
        </w:rPr>
      </w:pPr>
      <w:r w:rsidRPr="00833CA4">
        <w:rPr>
          <w:lang w:val="en-GB"/>
        </w:rPr>
        <w:t>From our strategic point of view, we are interested in jumping into the recreational marketplace just</w:t>
      </w:r>
      <w:r w:rsidR="008B757F" w:rsidRPr="00833CA4">
        <w:rPr>
          <w:lang w:val="en-GB"/>
        </w:rPr>
        <w:t xml:space="preserve"> </w:t>
      </w:r>
      <w:r w:rsidRPr="00833CA4">
        <w:rPr>
          <w:lang w:val="en-GB"/>
        </w:rPr>
        <w:t xml:space="preserve">because of its size and breadth </w:t>
      </w:r>
      <w:r w:rsidR="00E828B1" w:rsidRPr="00833CA4">
        <w:rPr>
          <w:lang w:val="en-GB"/>
        </w:rPr>
        <w:t xml:space="preserve">. . . </w:t>
      </w:r>
      <w:r w:rsidRPr="00833CA4">
        <w:rPr>
          <w:lang w:val="en-GB"/>
        </w:rPr>
        <w:t xml:space="preserve">we expect ourselves and most of the LPs </w:t>
      </w:r>
      <w:r w:rsidR="00E828B1" w:rsidRPr="00833CA4">
        <w:rPr>
          <w:lang w:val="en-GB"/>
        </w:rPr>
        <w:t xml:space="preserve">[licensed producers] </w:t>
      </w:r>
      <w:r w:rsidRPr="00833CA4">
        <w:rPr>
          <w:lang w:val="en-GB"/>
        </w:rPr>
        <w:t>will probably play on both sides of the fence</w:t>
      </w:r>
      <w:r w:rsidR="001C3A3C" w:rsidRPr="00833CA4">
        <w:rPr>
          <w:lang w:val="en-GB"/>
        </w:rPr>
        <w:t xml:space="preserve">, </w:t>
      </w:r>
      <w:r w:rsidRPr="00833CA4">
        <w:rPr>
          <w:lang w:val="en-GB"/>
        </w:rPr>
        <w:t>medicinal and recreational</w:t>
      </w:r>
      <w:r w:rsidR="00E03EB1" w:rsidRPr="00833CA4">
        <w:rPr>
          <w:lang w:val="en-GB"/>
        </w:rPr>
        <w:t xml:space="preserve"> </w:t>
      </w:r>
      <w:r w:rsidR="00E828B1" w:rsidRPr="00833CA4">
        <w:rPr>
          <w:lang w:val="en-GB"/>
        </w:rPr>
        <w:t xml:space="preserve">. . . </w:t>
      </w:r>
      <w:r w:rsidRPr="00833CA4">
        <w:rPr>
          <w:lang w:val="en-GB"/>
        </w:rPr>
        <w:t>assuming, and I’m sure that it will, that the medicinal marketplace will continue to thrive, even when the recreational marketplace comes</w:t>
      </w:r>
      <w:r w:rsidR="008B757F" w:rsidRPr="00833CA4">
        <w:rPr>
          <w:lang w:val="en-GB"/>
        </w:rPr>
        <w:t xml:space="preserve"> </w:t>
      </w:r>
      <w:r w:rsidRPr="00833CA4">
        <w:rPr>
          <w:lang w:val="en-GB"/>
        </w:rPr>
        <w:t xml:space="preserve">forward. </w:t>
      </w:r>
    </w:p>
    <w:p w14:paraId="4058C56F" w14:textId="77777777" w:rsidR="00DD1A25" w:rsidRPr="00E828B1" w:rsidRDefault="00DD1A25" w:rsidP="00DD1A25">
      <w:pPr>
        <w:pStyle w:val="BodyTextMain"/>
        <w:jc w:val="right"/>
        <w:rPr>
          <w:sz w:val="20"/>
          <w:lang w:val="en-GB"/>
        </w:rPr>
      </w:pPr>
    </w:p>
    <w:p w14:paraId="289B0599" w14:textId="6C6B1C55" w:rsidR="00DD1A25" w:rsidRPr="00E828B1" w:rsidRDefault="00AA58CA" w:rsidP="00DD1A25">
      <w:pPr>
        <w:pStyle w:val="BodyTextMain"/>
        <w:jc w:val="right"/>
        <w:rPr>
          <w:rFonts w:eastAsia="Cambria" w:cs="Cambria"/>
          <w:lang w:val="en-GB"/>
        </w:rPr>
      </w:pPr>
      <w:r w:rsidRPr="00E828B1">
        <w:rPr>
          <w:lang w:val="en-GB"/>
        </w:rPr>
        <w:t xml:space="preserve">Larry Rogers, </w:t>
      </w:r>
      <w:r w:rsidR="001B3CC1" w:rsidRPr="00E828B1">
        <w:rPr>
          <w:lang w:val="en-GB"/>
        </w:rPr>
        <w:t>chief operating officer, OrganiGram</w:t>
      </w:r>
    </w:p>
    <w:p w14:paraId="5E3282FD" w14:textId="77777777" w:rsidR="00DD1A25" w:rsidRPr="00E828B1" w:rsidRDefault="00DD1A25" w:rsidP="003F0326">
      <w:pPr>
        <w:pStyle w:val="BodyTextMain"/>
        <w:rPr>
          <w:rFonts w:eastAsia="Cambria"/>
          <w:sz w:val="20"/>
          <w:lang w:val="en-GB"/>
        </w:rPr>
      </w:pPr>
    </w:p>
    <w:p w14:paraId="52D81DE5" w14:textId="07092773" w:rsidR="00DD1A25" w:rsidRPr="00E828B1" w:rsidRDefault="00DD1A25" w:rsidP="00DD1A25">
      <w:pPr>
        <w:pStyle w:val="BodyTextMain"/>
        <w:rPr>
          <w:rFonts w:eastAsia="Cambria" w:cs="Cambria"/>
          <w:lang w:val="en-GB"/>
        </w:rPr>
      </w:pPr>
      <w:r w:rsidRPr="00E828B1">
        <w:rPr>
          <w:lang w:val="en-GB"/>
        </w:rPr>
        <w:t xml:space="preserve">On December 1, 2016, the Task Force on Cannabis Legalization and Regulation </w:t>
      </w:r>
      <w:r w:rsidR="00E828B1">
        <w:rPr>
          <w:lang w:val="en-GB"/>
        </w:rPr>
        <w:t xml:space="preserve">(the Task Force) </w:t>
      </w:r>
      <w:r w:rsidRPr="00E828B1">
        <w:rPr>
          <w:lang w:val="en-GB"/>
        </w:rPr>
        <w:t>released its final report</w:t>
      </w:r>
      <w:r w:rsidR="00E85AD3" w:rsidRPr="00E828B1">
        <w:rPr>
          <w:lang w:val="en-GB"/>
        </w:rPr>
        <w:t>.</w:t>
      </w:r>
      <w:r w:rsidRPr="00E828B1">
        <w:rPr>
          <w:rFonts w:eastAsia="Cambria" w:cs="Cambria"/>
          <w:vertAlign w:val="superscript"/>
          <w:lang w:val="en-GB"/>
        </w:rPr>
        <w:endnoteReference w:id="1"/>
      </w:r>
      <w:r w:rsidRPr="00E828B1">
        <w:rPr>
          <w:lang w:val="en-GB"/>
        </w:rPr>
        <w:t xml:space="preserve"> It was </w:t>
      </w:r>
      <w:r w:rsidR="00E85AD3" w:rsidRPr="00E828B1">
        <w:rPr>
          <w:lang w:val="en-GB"/>
        </w:rPr>
        <w:t xml:space="preserve">the </w:t>
      </w:r>
      <w:r w:rsidRPr="00E828B1">
        <w:rPr>
          <w:lang w:val="en-GB"/>
        </w:rPr>
        <w:t xml:space="preserve">result of a long process of consulting with many stakeholders, including patients, various levels of government, and experts across Canada and the </w:t>
      </w:r>
      <w:r w:rsidR="00E85AD3" w:rsidRPr="00E828B1">
        <w:rPr>
          <w:lang w:val="en-GB"/>
        </w:rPr>
        <w:t>United States</w:t>
      </w:r>
      <w:r w:rsidRPr="00E828B1">
        <w:rPr>
          <w:lang w:val="en-GB"/>
        </w:rPr>
        <w:t xml:space="preserve">. The </w:t>
      </w:r>
      <w:r w:rsidR="001C3A3C" w:rsidRPr="00E828B1">
        <w:rPr>
          <w:lang w:val="en-GB"/>
        </w:rPr>
        <w:t xml:space="preserve">Task Force </w:t>
      </w:r>
      <w:r w:rsidRPr="00E828B1">
        <w:rPr>
          <w:lang w:val="en-GB"/>
        </w:rPr>
        <w:t xml:space="preserve">was assembled in June 2016, soon after the Trudeau government announced (on April 20, 2016) that </w:t>
      </w:r>
      <w:r w:rsidR="00E828B1">
        <w:rPr>
          <w:lang w:val="en-GB"/>
        </w:rPr>
        <w:t xml:space="preserve">legislation to legalize </w:t>
      </w:r>
      <w:r w:rsidRPr="00E828B1">
        <w:rPr>
          <w:lang w:val="en-GB"/>
        </w:rPr>
        <w:t xml:space="preserve">recreational cannabis would be </w:t>
      </w:r>
      <w:r w:rsidR="00E828B1">
        <w:rPr>
          <w:lang w:val="en-GB"/>
        </w:rPr>
        <w:t>introduced</w:t>
      </w:r>
      <w:r w:rsidR="00E828B1" w:rsidRPr="00E828B1">
        <w:rPr>
          <w:lang w:val="en-GB"/>
        </w:rPr>
        <w:t xml:space="preserve"> </w:t>
      </w:r>
      <w:r w:rsidRPr="00E828B1">
        <w:rPr>
          <w:lang w:val="en-GB"/>
        </w:rPr>
        <w:t>in the spring of 2017</w:t>
      </w:r>
      <w:r w:rsidR="00B56B5B" w:rsidRPr="00B56B5B">
        <w:t xml:space="preserve"> </w:t>
      </w:r>
      <w:r w:rsidR="00B56B5B">
        <w:t>with the intention of having it become law in the spring of 2018.</w:t>
      </w:r>
      <w:r w:rsidRPr="00E828B1">
        <w:rPr>
          <w:lang w:val="en-GB"/>
        </w:rPr>
        <w:t xml:space="preserve"> Several cannabis companies, including OrganiGram</w:t>
      </w:r>
      <w:r w:rsidR="008629FA">
        <w:rPr>
          <w:lang w:val="en-GB"/>
        </w:rPr>
        <w:t xml:space="preserve"> Holdings Inc.</w:t>
      </w:r>
      <w:r w:rsidRPr="00E828B1">
        <w:rPr>
          <w:lang w:val="en-GB"/>
        </w:rPr>
        <w:t>, Canopy Growth</w:t>
      </w:r>
      <w:r w:rsidR="008629FA">
        <w:rPr>
          <w:lang w:val="en-GB"/>
        </w:rPr>
        <w:t xml:space="preserve"> Corporation</w:t>
      </w:r>
      <w:r w:rsidRPr="00E828B1">
        <w:rPr>
          <w:lang w:val="en-GB"/>
        </w:rPr>
        <w:t>, Aphria</w:t>
      </w:r>
      <w:r w:rsidR="008629FA">
        <w:rPr>
          <w:lang w:val="en-GB"/>
        </w:rPr>
        <w:t xml:space="preserve"> Medical Marijuana</w:t>
      </w:r>
      <w:r w:rsidRPr="00E828B1">
        <w:rPr>
          <w:lang w:val="en-GB"/>
        </w:rPr>
        <w:t>, Mettrum</w:t>
      </w:r>
      <w:r w:rsidR="00A22094">
        <w:rPr>
          <w:lang w:val="en-GB"/>
        </w:rPr>
        <w:t xml:space="preserve"> Ltd.</w:t>
      </w:r>
      <w:r w:rsidRPr="00E828B1">
        <w:rPr>
          <w:lang w:val="en-GB"/>
        </w:rPr>
        <w:t>, and Aurora Cannabis</w:t>
      </w:r>
      <w:r w:rsidR="008629FA">
        <w:rPr>
          <w:lang w:val="en-GB"/>
        </w:rPr>
        <w:t xml:space="preserve"> Inc.</w:t>
      </w:r>
      <w:r w:rsidRPr="00E828B1">
        <w:rPr>
          <w:lang w:val="en-GB"/>
        </w:rPr>
        <w:t>, had already been supplying medical cannabis to patients in Canada. The size of the recreational market was predicted to be approximately $5 billion</w:t>
      </w:r>
      <w:r w:rsidR="008629FA" w:rsidRPr="00E828B1">
        <w:rPr>
          <w:rStyle w:val="EndnoteReference"/>
          <w:lang w:val="en-GB"/>
        </w:rPr>
        <w:endnoteReference w:id="2"/>
      </w:r>
      <w:r w:rsidR="008629FA" w:rsidRPr="00E828B1">
        <w:rPr>
          <w:lang w:val="en-GB"/>
        </w:rPr>
        <w:t xml:space="preserve"> </w:t>
      </w:r>
      <w:r w:rsidRPr="00E828B1">
        <w:rPr>
          <w:lang w:val="en-GB"/>
        </w:rPr>
        <w:t xml:space="preserve">and up to $22.6 billion if </w:t>
      </w:r>
      <w:r w:rsidR="003C35E4">
        <w:rPr>
          <w:lang w:val="en-GB"/>
        </w:rPr>
        <w:t xml:space="preserve">including </w:t>
      </w:r>
      <w:r w:rsidRPr="00E828B1">
        <w:rPr>
          <w:lang w:val="en-GB"/>
        </w:rPr>
        <w:t>the ancillary market (e.g.</w:t>
      </w:r>
      <w:r w:rsidR="00E85AD3" w:rsidRPr="00E828B1">
        <w:rPr>
          <w:lang w:val="en-GB"/>
        </w:rPr>
        <w:t>,</w:t>
      </w:r>
      <w:r w:rsidRPr="00E828B1">
        <w:rPr>
          <w:lang w:val="en-GB"/>
        </w:rPr>
        <w:t xml:space="preserve"> testing labs, security, </w:t>
      </w:r>
      <w:r w:rsidR="0039479A">
        <w:rPr>
          <w:lang w:val="en-GB"/>
        </w:rPr>
        <w:t xml:space="preserve">and </w:t>
      </w:r>
      <w:r w:rsidRPr="00E828B1">
        <w:rPr>
          <w:lang w:val="en-GB"/>
        </w:rPr>
        <w:t>paraphernalia)</w:t>
      </w:r>
      <w:r w:rsidR="0039479A">
        <w:rPr>
          <w:lang w:val="en-GB"/>
        </w:rPr>
        <w:t>.</w:t>
      </w:r>
      <w:r w:rsidR="008629FA" w:rsidRPr="00E828B1">
        <w:rPr>
          <w:rFonts w:eastAsia="Cambria" w:cs="Cambria"/>
          <w:vertAlign w:val="superscript"/>
          <w:lang w:val="en-GB"/>
        </w:rPr>
        <w:endnoteReference w:id="3"/>
      </w:r>
    </w:p>
    <w:p w14:paraId="47FFA8F1" w14:textId="77777777" w:rsidR="00DD1A25" w:rsidRPr="00E828B1" w:rsidRDefault="00DD1A25" w:rsidP="00DD1A25">
      <w:pPr>
        <w:pStyle w:val="BodyTextMain"/>
        <w:rPr>
          <w:rFonts w:eastAsia="Cambria" w:cs="Cambria"/>
          <w:sz w:val="20"/>
          <w:lang w:val="en-GB"/>
        </w:rPr>
      </w:pPr>
    </w:p>
    <w:p w14:paraId="3600FBB8" w14:textId="38030DFD" w:rsidR="00DD1A25" w:rsidRDefault="00DD1A25" w:rsidP="00DD1A25">
      <w:pPr>
        <w:pStyle w:val="BodyTextMain"/>
        <w:rPr>
          <w:lang w:val="en-GB"/>
        </w:rPr>
      </w:pPr>
      <w:r w:rsidRPr="00E828B1">
        <w:rPr>
          <w:lang w:val="en-GB"/>
        </w:rPr>
        <w:t xml:space="preserve">With the potential to sell </w:t>
      </w:r>
      <w:r w:rsidR="00E85AD3" w:rsidRPr="00E828B1">
        <w:rPr>
          <w:lang w:val="en-GB"/>
        </w:rPr>
        <w:t xml:space="preserve">its </w:t>
      </w:r>
      <w:r w:rsidRPr="00E828B1">
        <w:rPr>
          <w:lang w:val="en-GB"/>
        </w:rPr>
        <w:t>product to this new market, the New Brunswick-based cannabis company OrganiGram had already begun to prepare for expansion into the recreational market, even before the government’s announcement was made</w:t>
      </w:r>
      <w:r w:rsidR="00E85AD3" w:rsidRPr="00E828B1">
        <w:rPr>
          <w:lang w:val="en-GB"/>
        </w:rPr>
        <w:t>.</w:t>
      </w:r>
      <w:r w:rsidRPr="00E828B1">
        <w:rPr>
          <w:rFonts w:eastAsia="Cambria" w:cs="Cambria"/>
          <w:vertAlign w:val="superscript"/>
          <w:lang w:val="en-GB"/>
        </w:rPr>
        <w:endnoteReference w:id="4"/>
      </w:r>
      <w:r w:rsidRPr="00E828B1">
        <w:rPr>
          <w:lang w:val="en-GB"/>
        </w:rPr>
        <w:t xml:space="preserve"> However, there were still several unknowns that made the cannabis </w:t>
      </w:r>
      <w:r w:rsidR="00E85AD3" w:rsidRPr="00E828B1">
        <w:rPr>
          <w:lang w:val="en-GB"/>
        </w:rPr>
        <w:t xml:space="preserve">industry’s </w:t>
      </w:r>
      <w:r w:rsidRPr="00E828B1">
        <w:rPr>
          <w:lang w:val="en-GB"/>
        </w:rPr>
        <w:t xml:space="preserve">environment ambiguous. What would the timeline for legalization be? Who would be allowed to grow cannabis and how much? Would there be any safety regulations to </w:t>
      </w:r>
      <w:r w:rsidR="0039479A">
        <w:rPr>
          <w:lang w:val="en-GB"/>
        </w:rPr>
        <w:t>en</w:t>
      </w:r>
      <w:r w:rsidRPr="00E828B1">
        <w:rPr>
          <w:lang w:val="en-GB"/>
        </w:rPr>
        <w:t xml:space="preserve">sure that customers would receive safe recreational products? </w:t>
      </w:r>
      <w:r w:rsidR="00D52BC1" w:rsidRPr="00E828B1">
        <w:rPr>
          <w:lang w:val="en-GB"/>
        </w:rPr>
        <w:t>Would there be regulations for drivers who medicate</w:t>
      </w:r>
      <w:r w:rsidR="00E85AD3" w:rsidRPr="00E828B1">
        <w:rPr>
          <w:lang w:val="en-GB"/>
        </w:rPr>
        <w:t>d</w:t>
      </w:r>
      <w:r w:rsidR="00D52BC1" w:rsidRPr="00E828B1">
        <w:rPr>
          <w:lang w:val="en-GB"/>
        </w:rPr>
        <w:t xml:space="preserve"> </w:t>
      </w:r>
      <w:r w:rsidR="00F52230">
        <w:rPr>
          <w:lang w:val="en-GB"/>
        </w:rPr>
        <w:t xml:space="preserve">with and drove </w:t>
      </w:r>
      <w:r w:rsidR="00D52BC1" w:rsidRPr="00E828B1">
        <w:rPr>
          <w:lang w:val="en-GB"/>
        </w:rPr>
        <w:t xml:space="preserve">under the influence of cannabis? </w:t>
      </w:r>
      <w:r w:rsidRPr="00E828B1">
        <w:rPr>
          <w:lang w:val="en-GB"/>
        </w:rPr>
        <w:t xml:space="preserve">Which part of the Task Force </w:t>
      </w:r>
      <w:r w:rsidR="00DB576F" w:rsidRPr="00E828B1">
        <w:rPr>
          <w:lang w:val="en-GB"/>
        </w:rPr>
        <w:t xml:space="preserve">report </w:t>
      </w:r>
      <w:r w:rsidRPr="00E828B1">
        <w:rPr>
          <w:lang w:val="en-GB"/>
        </w:rPr>
        <w:t xml:space="preserve">recommendations would actually become a reality? From a marketing perspective, if the current cannabis companies were known as providers of </w:t>
      </w:r>
      <w:r w:rsidR="00E85AD3" w:rsidRPr="00E828B1">
        <w:rPr>
          <w:lang w:val="en-GB"/>
        </w:rPr>
        <w:t>pharmaceutical-</w:t>
      </w:r>
      <w:r w:rsidRPr="00E828B1">
        <w:rPr>
          <w:lang w:val="en-GB"/>
        </w:rPr>
        <w:t xml:space="preserve">grade cannabis, was it possible to adjust their brand to attract recreational users? If so, how would they do it? According to OrganiGram </w:t>
      </w:r>
      <w:r w:rsidR="003F32E2" w:rsidRPr="00E828B1">
        <w:rPr>
          <w:lang w:val="en-GB"/>
        </w:rPr>
        <w:t xml:space="preserve">chief operating officer </w:t>
      </w:r>
      <w:r w:rsidRPr="00E828B1">
        <w:rPr>
          <w:lang w:val="en-GB"/>
        </w:rPr>
        <w:t xml:space="preserve">Larry Rogers, several </w:t>
      </w:r>
      <w:r w:rsidRPr="00E828B1">
        <w:rPr>
          <w:lang w:val="en-GB"/>
        </w:rPr>
        <w:lastRenderedPageBreak/>
        <w:t>decisions had to be made based on “grey knowledge</w:t>
      </w:r>
      <w:r w:rsidR="00E85AD3" w:rsidRPr="00E828B1">
        <w:rPr>
          <w:lang w:val="en-GB"/>
        </w:rPr>
        <w:t>.</w:t>
      </w:r>
      <w:r w:rsidRPr="00E828B1">
        <w:rPr>
          <w:lang w:val="en-GB"/>
        </w:rPr>
        <w:t xml:space="preserve">” Even though the Task Force had released </w:t>
      </w:r>
      <w:r w:rsidR="00E85AD3" w:rsidRPr="00E828B1">
        <w:rPr>
          <w:lang w:val="en-GB"/>
        </w:rPr>
        <w:t xml:space="preserve">its </w:t>
      </w:r>
      <w:r w:rsidRPr="00E828B1">
        <w:rPr>
          <w:lang w:val="en-GB"/>
        </w:rPr>
        <w:t xml:space="preserve">report, it was still </w:t>
      </w:r>
      <w:r w:rsidR="0039479A">
        <w:rPr>
          <w:lang w:val="en-GB"/>
        </w:rPr>
        <w:t>un</w:t>
      </w:r>
      <w:r w:rsidRPr="00E828B1">
        <w:rPr>
          <w:lang w:val="en-GB"/>
        </w:rPr>
        <w:t>clear which suggestions the federal government would adopt.</w:t>
      </w:r>
    </w:p>
    <w:p w14:paraId="4E0A777B" w14:textId="77777777" w:rsidR="00833CA4" w:rsidRDefault="00833CA4" w:rsidP="00DD1A25">
      <w:pPr>
        <w:pStyle w:val="BodyTextMain"/>
        <w:rPr>
          <w:lang w:val="en-GB"/>
        </w:rPr>
      </w:pPr>
    </w:p>
    <w:p w14:paraId="029684CD" w14:textId="77777777" w:rsidR="00833CA4" w:rsidRPr="00E828B1" w:rsidRDefault="00833CA4" w:rsidP="00DD1A25">
      <w:pPr>
        <w:pStyle w:val="BodyTextMain"/>
        <w:rPr>
          <w:rFonts w:eastAsia="Cambria" w:cs="Cambria"/>
          <w:lang w:val="en-GB"/>
        </w:rPr>
      </w:pPr>
    </w:p>
    <w:p w14:paraId="3988FE9E" w14:textId="757E431E" w:rsidR="00DD1A25" w:rsidRPr="00E828B1" w:rsidRDefault="00DD1A25" w:rsidP="003F0326">
      <w:pPr>
        <w:pStyle w:val="Casehead1"/>
        <w:keepNext/>
        <w:rPr>
          <w:lang w:val="en-GB"/>
        </w:rPr>
      </w:pPr>
      <w:r w:rsidRPr="00E828B1">
        <w:rPr>
          <w:lang w:val="en-GB"/>
        </w:rPr>
        <w:t>Cannabis Regulations in Canada</w:t>
      </w:r>
    </w:p>
    <w:p w14:paraId="579CD242" w14:textId="77777777" w:rsidR="00DD1A25" w:rsidRPr="00E828B1" w:rsidRDefault="00DD1A25" w:rsidP="003F0326">
      <w:pPr>
        <w:pStyle w:val="BodyTextMain"/>
        <w:keepNext/>
        <w:rPr>
          <w:rFonts w:eastAsia="Cambria"/>
          <w:sz w:val="20"/>
          <w:lang w:val="en-GB"/>
        </w:rPr>
      </w:pPr>
    </w:p>
    <w:p w14:paraId="363B062B" w14:textId="2DCF48DE" w:rsidR="00DD1A25" w:rsidRPr="00E828B1" w:rsidRDefault="00DD1A25" w:rsidP="003F0326">
      <w:pPr>
        <w:pStyle w:val="BodyTextMain"/>
        <w:keepNext/>
        <w:rPr>
          <w:rFonts w:eastAsia="Cambria" w:cs="Cambria"/>
          <w:b/>
          <w:bCs/>
          <w:lang w:val="en-GB"/>
        </w:rPr>
      </w:pPr>
      <w:r w:rsidRPr="00E828B1">
        <w:rPr>
          <w:lang w:val="en-GB"/>
        </w:rPr>
        <w:t xml:space="preserve">The Marihuana for Medical Purposes Regulations (MMPR) </w:t>
      </w:r>
      <w:r w:rsidR="0039479A" w:rsidRPr="00E828B1">
        <w:rPr>
          <w:lang w:val="en-GB"/>
        </w:rPr>
        <w:t>w</w:t>
      </w:r>
      <w:r w:rsidR="0039479A">
        <w:rPr>
          <w:lang w:val="en-GB"/>
        </w:rPr>
        <w:t>ere</w:t>
      </w:r>
      <w:r w:rsidR="0039479A" w:rsidRPr="00E828B1">
        <w:rPr>
          <w:lang w:val="en-GB"/>
        </w:rPr>
        <w:t xml:space="preserve"> </w:t>
      </w:r>
      <w:r w:rsidRPr="00E828B1">
        <w:rPr>
          <w:lang w:val="en-GB"/>
        </w:rPr>
        <w:t xml:space="preserve">enacted under the </w:t>
      </w:r>
      <w:r w:rsidRPr="007E4221">
        <w:rPr>
          <w:i/>
          <w:lang w:val="en-GB"/>
        </w:rPr>
        <w:t>Controlled Drugs and Substances Act</w:t>
      </w:r>
      <w:r w:rsidRPr="00E828B1">
        <w:rPr>
          <w:lang w:val="en-GB"/>
        </w:rPr>
        <w:t xml:space="preserve"> in July 2013. Before the MMPR, the Marihuana Medical Access Regulations, enacted in 2001 and repealed in 2013, allowed patients to grow their own cannabis plants or have someone grow the plants for them. The MMPR was an attempt to control the production and distribution of medical cannabis, with </w:t>
      </w:r>
      <w:r w:rsidR="0039479A">
        <w:rPr>
          <w:lang w:val="en-GB"/>
        </w:rPr>
        <w:t>l</w:t>
      </w:r>
      <w:r w:rsidRPr="00E828B1">
        <w:rPr>
          <w:lang w:val="en-GB"/>
        </w:rPr>
        <w:t xml:space="preserve">icensed </w:t>
      </w:r>
      <w:r w:rsidR="0039479A">
        <w:rPr>
          <w:lang w:val="en-GB"/>
        </w:rPr>
        <w:t>p</w:t>
      </w:r>
      <w:r w:rsidRPr="00E828B1">
        <w:rPr>
          <w:lang w:val="en-GB"/>
        </w:rPr>
        <w:t xml:space="preserve">roducers (LPs) being the only companies </w:t>
      </w:r>
      <w:r w:rsidR="0039479A">
        <w:rPr>
          <w:lang w:val="en-GB"/>
        </w:rPr>
        <w:t xml:space="preserve">authorized by </w:t>
      </w:r>
      <w:r w:rsidRPr="00E828B1">
        <w:rPr>
          <w:lang w:val="en-GB"/>
        </w:rPr>
        <w:t xml:space="preserve">Health Canada to cultivate and/or sell dried cannabis to patients </w:t>
      </w:r>
      <w:r w:rsidR="0039479A">
        <w:rPr>
          <w:lang w:val="en-GB"/>
        </w:rPr>
        <w:t>who had</w:t>
      </w:r>
      <w:r w:rsidR="0039479A" w:rsidRPr="00E828B1">
        <w:rPr>
          <w:lang w:val="en-GB"/>
        </w:rPr>
        <w:t xml:space="preserve"> </w:t>
      </w:r>
      <w:r w:rsidRPr="00E828B1">
        <w:rPr>
          <w:lang w:val="en-GB"/>
        </w:rPr>
        <w:t>prescriptions. The application process was very rigorous and</w:t>
      </w:r>
      <w:r w:rsidR="00CD228A" w:rsidRPr="00E828B1">
        <w:rPr>
          <w:lang w:val="en-GB"/>
        </w:rPr>
        <w:t>,</w:t>
      </w:r>
      <w:r w:rsidRPr="00E828B1">
        <w:rPr>
          <w:lang w:val="en-GB"/>
        </w:rPr>
        <w:t xml:space="preserve"> as a result, a low percentage of applicants were granted </w:t>
      </w:r>
      <w:r w:rsidR="00E85AD3" w:rsidRPr="00E828B1">
        <w:rPr>
          <w:lang w:val="en-GB"/>
        </w:rPr>
        <w:t>licences</w:t>
      </w:r>
      <w:r w:rsidRPr="00E828B1">
        <w:rPr>
          <w:lang w:val="en-GB"/>
        </w:rPr>
        <w:t>. As of August 1, 2016, 1</w:t>
      </w:r>
      <w:r w:rsidR="00E85AD3" w:rsidRPr="00E828B1">
        <w:rPr>
          <w:lang w:val="en-GB"/>
        </w:rPr>
        <w:t>,</w:t>
      </w:r>
      <w:r w:rsidRPr="00E828B1">
        <w:rPr>
          <w:lang w:val="en-GB"/>
        </w:rPr>
        <w:t xml:space="preserve">561 applications had been received, 253 </w:t>
      </w:r>
      <w:r w:rsidR="00CD228A" w:rsidRPr="00E828B1">
        <w:rPr>
          <w:lang w:val="en-GB"/>
        </w:rPr>
        <w:t xml:space="preserve">had been </w:t>
      </w:r>
      <w:r w:rsidRPr="00E828B1">
        <w:rPr>
          <w:lang w:val="en-GB"/>
        </w:rPr>
        <w:t xml:space="preserve">refused, 419 </w:t>
      </w:r>
      <w:r w:rsidR="00CD228A" w:rsidRPr="00E828B1">
        <w:rPr>
          <w:lang w:val="en-GB"/>
        </w:rPr>
        <w:t xml:space="preserve">were </w:t>
      </w:r>
      <w:r w:rsidRPr="00E828B1">
        <w:rPr>
          <w:lang w:val="en-GB"/>
        </w:rPr>
        <w:t xml:space="preserve">in progress, 54 </w:t>
      </w:r>
      <w:r w:rsidR="00CD228A" w:rsidRPr="00E828B1">
        <w:rPr>
          <w:lang w:val="en-GB"/>
        </w:rPr>
        <w:t xml:space="preserve">had been </w:t>
      </w:r>
      <w:r w:rsidRPr="00E828B1">
        <w:rPr>
          <w:lang w:val="en-GB"/>
        </w:rPr>
        <w:t xml:space="preserve">withdrawn, and 801 </w:t>
      </w:r>
      <w:r w:rsidR="00CD228A" w:rsidRPr="00E828B1">
        <w:rPr>
          <w:lang w:val="en-GB"/>
        </w:rPr>
        <w:t xml:space="preserve">were </w:t>
      </w:r>
      <w:r w:rsidRPr="00E828B1">
        <w:rPr>
          <w:lang w:val="en-GB"/>
        </w:rPr>
        <w:t>incomplete</w:t>
      </w:r>
      <w:r w:rsidR="00E85AD3" w:rsidRPr="00E828B1">
        <w:rPr>
          <w:lang w:val="en-GB"/>
        </w:rPr>
        <w:t>.</w:t>
      </w:r>
      <w:r w:rsidRPr="00E828B1">
        <w:rPr>
          <w:rFonts w:eastAsia="Cambria" w:cs="Cambria"/>
          <w:vertAlign w:val="superscript"/>
          <w:lang w:val="en-GB"/>
        </w:rPr>
        <w:endnoteReference w:id="5"/>
      </w:r>
      <w:r w:rsidRPr="00E828B1">
        <w:rPr>
          <w:lang w:val="en-GB"/>
        </w:rPr>
        <w:t xml:space="preserve"> As of Dec</w:t>
      </w:r>
      <w:r w:rsidR="00E85AD3" w:rsidRPr="00E828B1">
        <w:rPr>
          <w:lang w:val="en-GB"/>
        </w:rPr>
        <w:t xml:space="preserve">ember </w:t>
      </w:r>
      <w:r w:rsidRPr="00E828B1">
        <w:rPr>
          <w:lang w:val="en-GB"/>
        </w:rPr>
        <w:t xml:space="preserve">28, 2016, only 37 </w:t>
      </w:r>
      <w:r w:rsidR="00E85AD3" w:rsidRPr="00E828B1">
        <w:rPr>
          <w:lang w:val="en-GB"/>
        </w:rPr>
        <w:t xml:space="preserve">licences </w:t>
      </w:r>
      <w:r w:rsidR="00EC39EE">
        <w:rPr>
          <w:lang w:val="en-GB"/>
        </w:rPr>
        <w:t>had been</w:t>
      </w:r>
      <w:r w:rsidR="00EC39EE" w:rsidRPr="00E828B1">
        <w:rPr>
          <w:lang w:val="en-GB"/>
        </w:rPr>
        <w:t xml:space="preserve"> </w:t>
      </w:r>
      <w:r w:rsidRPr="00E828B1">
        <w:rPr>
          <w:lang w:val="en-GB"/>
        </w:rPr>
        <w:t xml:space="preserve">issued, with most of them in Ontario (22) and British Columbia (8). Some companies had more than one </w:t>
      </w:r>
      <w:r w:rsidR="00E85AD3" w:rsidRPr="00E828B1">
        <w:rPr>
          <w:lang w:val="en-GB"/>
        </w:rPr>
        <w:t>licence</w:t>
      </w:r>
      <w:r w:rsidRPr="00E828B1">
        <w:rPr>
          <w:lang w:val="en-GB"/>
        </w:rPr>
        <w:t xml:space="preserve">, which meant that they had more than one site because each </w:t>
      </w:r>
      <w:r w:rsidR="00E85AD3" w:rsidRPr="00E828B1">
        <w:rPr>
          <w:lang w:val="en-GB"/>
        </w:rPr>
        <w:t xml:space="preserve">licence </w:t>
      </w:r>
      <w:r w:rsidRPr="00E828B1">
        <w:rPr>
          <w:lang w:val="en-GB"/>
        </w:rPr>
        <w:t xml:space="preserve">was location-specific. Patients could legally register and buy their medical cannabis at </w:t>
      </w:r>
      <w:r w:rsidR="00EC39EE">
        <w:rPr>
          <w:lang w:val="en-GB"/>
        </w:rPr>
        <w:t xml:space="preserve">only </w:t>
      </w:r>
      <w:r w:rsidRPr="00E828B1">
        <w:rPr>
          <w:lang w:val="en-GB"/>
        </w:rPr>
        <w:t>one LP for each prescription.</w:t>
      </w:r>
    </w:p>
    <w:p w14:paraId="11687172" w14:textId="77777777" w:rsidR="00DD1A25" w:rsidRPr="00E828B1" w:rsidRDefault="00DD1A25" w:rsidP="00DD1A25">
      <w:pPr>
        <w:pStyle w:val="BodyTextMain"/>
        <w:rPr>
          <w:rFonts w:eastAsia="Cambria" w:cs="Cambria"/>
          <w:lang w:val="en-GB"/>
        </w:rPr>
      </w:pPr>
    </w:p>
    <w:p w14:paraId="6ED4E360" w14:textId="585993E4" w:rsidR="00DD1A25" w:rsidRPr="00E828B1" w:rsidRDefault="00DD1A25" w:rsidP="00DD1A25">
      <w:pPr>
        <w:pStyle w:val="BodyTextMain"/>
        <w:rPr>
          <w:rFonts w:eastAsia="Cambria" w:cs="Cambria"/>
          <w:lang w:val="en-GB"/>
        </w:rPr>
      </w:pPr>
      <w:r w:rsidRPr="00E828B1">
        <w:rPr>
          <w:rFonts w:eastAsia="Cambria" w:cs="Cambria"/>
          <w:lang w:val="en-GB"/>
        </w:rPr>
        <w:t xml:space="preserve">A subset of the LPs also had </w:t>
      </w:r>
      <w:r w:rsidR="00E85AD3" w:rsidRPr="00E828B1">
        <w:rPr>
          <w:rFonts w:eastAsia="Cambria" w:cs="Cambria"/>
          <w:lang w:val="en-GB"/>
        </w:rPr>
        <w:t xml:space="preserve">licences </w:t>
      </w:r>
      <w:r w:rsidRPr="00E828B1">
        <w:rPr>
          <w:rFonts w:eastAsia="Cambria" w:cs="Cambria"/>
          <w:lang w:val="en-GB"/>
        </w:rPr>
        <w:t xml:space="preserve">to produce and/or sell fresh cannabis </w:t>
      </w:r>
      <w:r w:rsidRPr="00E828B1">
        <w:rPr>
          <w:lang w:val="en-GB"/>
        </w:rPr>
        <w:t>seeds or cuttings and cannabis oil</w:t>
      </w:r>
      <w:r w:rsidR="00E85AD3" w:rsidRPr="00E828B1">
        <w:rPr>
          <w:lang w:val="en-GB"/>
        </w:rPr>
        <w:t>,</w:t>
      </w:r>
      <w:r w:rsidRPr="00E828B1">
        <w:rPr>
          <w:lang w:val="en-GB"/>
        </w:rPr>
        <w:t xml:space="preserve"> with some companies holding more than one </w:t>
      </w:r>
      <w:r w:rsidR="00E85AD3" w:rsidRPr="00E828B1">
        <w:rPr>
          <w:lang w:val="en-GB"/>
        </w:rPr>
        <w:t>licence</w:t>
      </w:r>
      <w:r w:rsidRPr="00E828B1">
        <w:rPr>
          <w:lang w:val="en-GB"/>
        </w:rPr>
        <w:t xml:space="preserve">. </w:t>
      </w:r>
      <w:r w:rsidR="008E0DC5" w:rsidRPr="00E828B1">
        <w:rPr>
          <w:lang w:val="en-GB"/>
        </w:rPr>
        <w:t>Twenty-two</w:t>
      </w:r>
      <w:r w:rsidRPr="00E828B1">
        <w:rPr>
          <w:lang w:val="en-GB"/>
        </w:rPr>
        <w:t xml:space="preserve"> </w:t>
      </w:r>
      <w:r w:rsidR="00E85AD3" w:rsidRPr="00E828B1">
        <w:rPr>
          <w:lang w:val="en-GB"/>
        </w:rPr>
        <w:t>licen</w:t>
      </w:r>
      <w:r w:rsidR="008E0DC5" w:rsidRPr="00E828B1">
        <w:rPr>
          <w:lang w:val="en-GB"/>
        </w:rPr>
        <w:t>c</w:t>
      </w:r>
      <w:r w:rsidR="00E85AD3" w:rsidRPr="00E828B1">
        <w:rPr>
          <w:lang w:val="en-GB"/>
        </w:rPr>
        <w:t>es</w:t>
      </w:r>
      <w:r w:rsidR="008E0DC5" w:rsidRPr="00E828B1">
        <w:rPr>
          <w:lang w:val="en-GB"/>
        </w:rPr>
        <w:t xml:space="preserve"> </w:t>
      </w:r>
      <w:r w:rsidR="00AF556D">
        <w:rPr>
          <w:lang w:val="en-GB"/>
        </w:rPr>
        <w:t xml:space="preserve">for producing and/or selling cannabis oil </w:t>
      </w:r>
      <w:r w:rsidR="008E0DC5" w:rsidRPr="00E828B1">
        <w:rPr>
          <w:lang w:val="en-GB"/>
        </w:rPr>
        <w:t>were held by only</w:t>
      </w:r>
      <w:r w:rsidR="00EC39EE">
        <w:rPr>
          <w:lang w:val="en-GB"/>
        </w:rPr>
        <w:t xml:space="preserve"> </w:t>
      </w:r>
      <w:r w:rsidR="008E0DC5" w:rsidRPr="00E828B1">
        <w:rPr>
          <w:lang w:val="en-GB"/>
        </w:rPr>
        <w:t>18 companies</w:t>
      </w:r>
      <w:r w:rsidRPr="00E828B1">
        <w:rPr>
          <w:lang w:val="en-GB"/>
        </w:rPr>
        <w:t xml:space="preserve">. The authorization to produce and sell oils and fresh plant material meant that companies could create and sell other products, such as </w:t>
      </w:r>
      <w:r w:rsidR="00833CA4">
        <w:rPr>
          <w:lang w:val="en-GB"/>
        </w:rPr>
        <w:t xml:space="preserve">cloned strains (clones) of </w:t>
      </w:r>
      <w:r w:rsidRPr="00E828B1">
        <w:rPr>
          <w:lang w:val="en-GB"/>
        </w:rPr>
        <w:t>cannabis (</w:t>
      </w:r>
      <w:r w:rsidR="00EC39EE">
        <w:rPr>
          <w:lang w:val="en-GB"/>
        </w:rPr>
        <w:t xml:space="preserve">i.e., </w:t>
      </w:r>
      <w:r w:rsidRPr="00E828B1">
        <w:rPr>
          <w:lang w:val="en-GB"/>
        </w:rPr>
        <w:t>starter plants).</w:t>
      </w:r>
      <w:r w:rsidR="003A4297" w:rsidRPr="00E828B1">
        <w:rPr>
          <w:lang w:val="en-GB"/>
        </w:rPr>
        <w:t xml:space="preserve"> LPs were required to keep detailed records </w:t>
      </w:r>
      <w:r w:rsidR="00EC39EE" w:rsidRPr="00E828B1">
        <w:rPr>
          <w:lang w:val="en-GB"/>
        </w:rPr>
        <w:t xml:space="preserve">of all cannabis received </w:t>
      </w:r>
      <w:r w:rsidR="003A4297" w:rsidRPr="00E828B1">
        <w:rPr>
          <w:lang w:val="en-GB"/>
        </w:rPr>
        <w:t xml:space="preserve">(including </w:t>
      </w:r>
      <w:r w:rsidR="000B6672" w:rsidRPr="00E828B1">
        <w:rPr>
          <w:lang w:val="en-GB"/>
        </w:rPr>
        <w:t xml:space="preserve">the </w:t>
      </w:r>
      <w:r w:rsidR="003A4297" w:rsidRPr="00E828B1">
        <w:rPr>
          <w:lang w:val="en-GB"/>
        </w:rPr>
        <w:t xml:space="preserve">name of </w:t>
      </w:r>
      <w:r w:rsidR="000B6672" w:rsidRPr="00E828B1">
        <w:rPr>
          <w:lang w:val="en-GB"/>
        </w:rPr>
        <w:t xml:space="preserve">the seller, </w:t>
      </w:r>
      <w:r w:rsidR="00CD228A" w:rsidRPr="00E828B1">
        <w:rPr>
          <w:lang w:val="en-GB"/>
        </w:rPr>
        <w:t xml:space="preserve">the </w:t>
      </w:r>
      <w:r w:rsidR="000B6672" w:rsidRPr="00E828B1">
        <w:rPr>
          <w:lang w:val="en-GB"/>
        </w:rPr>
        <w:t xml:space="preserve">date </w:t>
      </w:r>
      <w:r w:rsidR="00EC39EE">
        <w:rPr>
          <w:lang w:val="en-GB"/>
        </w:rPr>
        <w:t>and</w:t>
      </w:r>
      <w:r w:rsidR="00EC39EE" w:rsidRPr="00E828B1">
        <w:rPr>
          <w:lang w:val="en-GB"/>
        </w:rPr>
        <w:t xml:space="preserve"> </w:t>
      </w:r>
      <w:r w:rsidR="000B6672" w:rsidRPr="00E828B1">
        <w:rPr>
          <w:lang w:val="en-GB"/>
        </w:rPr>
        <w:t xml:space="preserve">place of </w:t>
      </w:r>
      <w:r w:rsidR="00EC39EE">
        <w:rPr>
          <w:lang w:val="en-GB"/>
        </w:rPr>
        <w:t xml:space="preserve">the </w:t>
      </w:r>
      <w:r w:rsidR="000B6672" w:rsidRPr="00E828B1">
        <w:rPr>
          <w:lang w:val="en-GB"/>
        </w:rPr>
        <w:t xml:space="preserve">transaction, and </w:t>
      </w:r>
      <w:r w:rsidR="00CD228A" w:rsidRPr="00E828B1">
        <w:rPr>
          <w:lang w:val="en-GB"/>
        </w:rPr>
        <w:t xml:space="preserve">a </w:t>
      </w:r>
      <w:r w:rsidR="000B6672" w:rsidRPr="00E828B1">
        <w:rPr>
          <w:lang w:val="en-GB"/>
        </w:rPr>
        <w:t xml:space="preserve">full description of </w:t>
      </w:r>
      <w:r w:rsidR="00CD228A" w:rsidRPr="00E828B1">
        <w:rPr>
          <w:lang w:val="en-GB"/>
        </w:rPr>
        <w:t xml:space="preserve">the </w:t>
      </w:r>
      <w:r w:rsidR="000B6672" w:rsidRPr="00E828B1">
        <w:rPr>
          <w:lang w:val="en-GB"/>
        </w:rPr>
        <w:t>product)</w:t>
      </w:r>
      <w:r w:rsidR="003A4297" w:rsidRPr="00E828B1">
        <w:rPr>
          <w:lang w:val="en-GB"/>
        </w:rPr>
        <w:t>.</w:t>
      </w:r>
      <w:r w:rsidR="000B6672" w:rsidRPr="00E828B1">
        <w:rPr>
          <w:lang w:val="en-GB"/>
        </w:rPr>
        <w:t xml:space="preserve"> In the Task</w:t>
      </w:r>
      <w:r w:rsidR="00E85AD3" w:rsidRPr="00E828B1">
        <w:rPr>
          <w:lang w:val="en-GB"/>
        </w:rPr>
        <w:t xml:space="preserve"> Force </w:t>
      </w:r>
      <w:r w:rsidR="000B6672" w:rsidRPr="00E828B1">
        <w:rPr>
          <w:lang w:val="en-GB"/>
        </w:rPr>
        <w:t>report</w:t>
      </w:r>
      <w:r w:rsidR="00CD228A" w:rsidRPr="00E828B1">
        <w:rPr>
          <w:lang w:val="en-GB"/>
        </w:rPr>
        <w:t>,</w:t>
      </w:r>
      <w:r w:rsidR="000B6672" w:rsidRPr="00E828B1">
        <w:rPr>
          <w:rStyle w:val="EndnoteReference"/>
          <w:lang w:val="en-GB"/>
        </w:rPr>
        <w:endnoteReference w:id="6"/>
      </w:r>
      <w:r w:rsidR="000B6672" w:rsidRPr="00E828B1">
        <w:rPr>
          <w:lang w:val="en-GB"/>
        </w:rPr>
        <w:t xml:space="preserve"> one of the recommendations was to implement a seed-to-sale tracking system.</w:t>
      </w:r>
      <w:r w:rsidRPr="00E828B1">
        <w:rPr>
          <w:lang w:val="en-GB"/>
        </w:rPr>
        <w:t xml:space="preserve"> The oils made by LPs were better for dosing than homemade </w:t>
      </w:r>
      <w:r w:rsidR="00EC39EE">
        <w:rPr>
          <w:lang w:val="en-GB"/>
        </w:rPr>
        <w:t>oils</w:t>
      </w:r>
      <w:r w:rsidR="00EC39EE" w:rsidRPr="00E828B1">
        <w:rPr>
          <w:lang w:val="en-GB"/>
        </w:rPr>
        <w:t xml:space="preserve"> </w:t>
      </w:r>
      <w:r w:rsidRPr="00E828B1">
        <w:rPr>
          <w:lang w:val="en-GB"/>
        </w:rPr>
        <w:t xml:space="preserve">because the amount of </w:t>
      </w:r>
      <w:r w:rsidR="0032372F" w:rsidRPr="00E828B1">
        <w:rPr>
          <w:lang w:val="en-GB"/>
        </w:rPr>
        <w:t>tetrahydrocannabinol (</w:t>
      </w:r>
      <w:r w:rsidRPr="00E828B1">
        <w:rPr>
          <w:lang w:val="en-GB"/>
        </w:rPr>
        <w:t>THC</w:t>
      </w:r>
      <w:r w:rsidR="0032372F" w:rsidRPr="00E828B1">
        <w:rPr>
          <w:lang w:val="en-GB"/>
        </w:rPr>
        <w:t>)</w:t>
      </w:r>
      <w:r w:rsidRPr="00E828B1">
        <w:rPr>
          <w:lang w:val="en-GB"/>
        </w:rPr>
        <w:t xml:space="preserve"> and/or </w:t>
      </w:r>
      <w:r w:rsidR="0032372F" w:rsidRPr="00E828B1">
        <w:rPr>
          <w:lang w:val="en-GB"/>
        </w:rPr>
        <w:t>cannabidiol (</w:t>
      </w:r>
      <w:r w:rsidRPr="00E828B1">
        <w:rPr>
          <w:lang w:val="en-GB"/>
        </w:rPr>
        <w:t>CBD</w:t>
      </w:r>
      <w:r w:rsidR="0032372F" w:rsidRPr="00E828B1">
        <w:rPr>
          <w:lang w:val="en-GB"/>
        </w:rPr>
        <w:t>)</w:t>
      </w:r>
      <w:r w:rsidRPr="00E828B1">
        <w:rPr>
          <w:lang w:val="en-GB"/>
        </w:rPr>
        <w:t xml:space="preserve"> could not be clearly determined in the latter. </w:t>
      </w:r>
      <w:r w:rsidR="00D44458" w:rsidRPr="00E828B1">
        <w:rPr>
          <w:lang w:val="en-GB"/>
        </w:rPr>
        <w:t xml:space="preserve">For example, </w:t>
      </w:r>
      <w:r w:rsidR="00EC39EE">
        <w:rPr>
          <w:lang w:val="en-GB"/>
        </w:rPr>
        <w:t>when</w:t>
      </w:r>
      <w:r w:rsidR="00EC39EE" w:rsidRPr="00E828B1">
        <w:rPr>
          <w:lang w:val="en-GB"/>
        </w:rPr>
        <w:t xml:space="preserve"> </w:t>
      </w:r>
      <w:r w:rsidR="00D44458" w:rsidRPr="00E828B1">
        <w:rPr>
          <w:lang w:val="en-GB"/>
        </w:rPr>
        <w:t>a patient smoke</w:t>
      </w:r>
      <w:r w:rsidR="006C0283">
        <w:rPr>
          <w:lang w:val="en-GB"/>
        </w:rPr>
        <w:t>d</w:t>
      </w:r>
      <w:r w:rsidR="00D44458" w:rsidRPr="00E828B1">
        <w:rPr>
          <w:lang w:val="en-GB"/>
        </w:rPr>
        <w:t xml:space="preserve"> a joint</w:t>
      </w:r>
      <w:r w:rsidR="006C0283">
        <w:rPr>
          <w:lang w:val="en-GB"/>
        </w:rPr>
        <w:t xml:space="preserve"> made from dried </w:t>
      </w:r>
      <w:r w:rsidR="00AF556D">
        <w:rPr>
          <w:lang w:val="en-GB"/>
        </w:rPr>
        <w:t>cannabis</w:t>
      </w:r>
      <w:r w:rsidR="00D44458" w:rsidRPr="00E828B1">
        <w:rPr>
          <w:lang w:val="en-GB"/>
        </w:rPr>
        <w:t>, it</w:t>
      </w:r>
      <w:r w:rsidR="00E85AD3" w:rsidRPr="00E828B1">
        <w:rPr>
          <w:lang w:val="en-GB"/>
        </w:rPr>
        <w:t xml:space="preserve"> </w:t>
      </w:r>
      <w:r w:rsidR="00EC39EE">
        <w:rPr>
          <w:lang w:val="en-GB"/>
        </w:rPr>
        <w:t>wa</w:t>
      </w:r>
      <w:r w:rsidR="00EC39EE" w:rsidRPr="00E828B1">
        <w:rPr>
          <w:lang w:val="en-GB"/>
        </w:rPr>
        <w:t xml:space="preserve">s </w:t>
      </w:r>
      <w:r w:rsidR="00EC39EE">
        <w:rPr>
          <w:lang w:val="en-GB"/>
        </w:rPr>
        <w:t>un</w:t>
      </w:r>
      <w:r w:rsidR="00D44458" w:rsidRPr="00E828B1">
        <w:rPr>
          <w:lang w:val="en-GB"/>
        </w:rPr>
        <w:t xml:space="preserve">clear how much THC </w:t>
      </w:r>
      <w:r w:rsidR="00EC39EE">
        <w:rPr>
          <w:lang w:val="en-GB"/>
        </w:rPr>
        <w:t>wa</w:t>
      </w:r>
      <w:r w:rsidR="00EC39EE" w:rsidRPr="00E828B1">
        <w:rPr>
          <w:lang w:val="en-GB"/>
        </w:rPr>
        <w:t xml:space="preserve">s </w:t>
      </w:r>
      <w:r w:rsidR="00D44458" w:rsidRPr="00E828B1">
        <w:rPr>
          <w:lang w:val="en-GB"/>
        </w:rPr>
        <w:t xml:space="preserve">being inhaled. However, </w:t>
      </w:r>
      <w:r w:rsidR="00AF556D">
        <w:rPr>
          <w:lang w:val="en-GB"/>
        </w:rPr>
        <w:t>when using</w:t>
      </w:r>
      <w:r w:rsidR="00AF556D" w:rsidRPr="00E828B1">
        <w:rPr>
          <w:lang w:val="en-GB"/>
        </w:rPr>
        <w:t xml:space="preserve"> </w:t>
      </w:r>
      <w:r w:rsidR="00AF556D">
        <w:rPr>
          <w:lang w:val="en-GB"/>
        </w:rPr>
        <w:t>cannabis</w:t>
      </w:r>
      <w:r w:rsidR="00AF556D" w:rsidRPr="00E828B1">
        <w:rPr>
          <w:lang w:val="en-GB"/>
        </w:rPr>
        <w:t xml:space="preserve"> </w:t>
      </w:r>
      <w:r w:rsidR="00D44458" w:rsidRPr="00E828B1">
        <w:rPr>
          <w:lang w:val="en-GB"/>
        </w:rPr>
        <w:t xml:space="preserve">oil, the dosage </w:t>
      </w:r>
      <w:r w:rsidR="00EC39EE">
        <w:rPr>
          <w:lang w:val="en-GB"/>
        </w:rPr>
        <w:t>wa</w:t>
      </w:r>
      <w:r w:rsidR="00EC39EE" w:rsidRPr="00E828B1">
        <w:rPr>
          <w:lang w:val="en-GB"/>
        </w:rPr>
        <w:t xml:space="preserve">s </w:t>
      </w:r>
      <w:r w:rsidR="00D44458" w:rsidRPr="00E828B1">
        <w:rPr>
          <w:lang w:val="en-GB"/>
        </w:rPr>
        <w:t xml:space="preserve">measured by volume. </w:t>
      </w:r>
      <w:r w:rsidRPr="00E828B1">
        <w:rPr>
          <w:lang w:val="en-GB"/>
        </w:rPr>
        <w:t xml:space="preserve">When the Access to Cannabis for Medical Purposes Regulations (ACMPR) </w:t>
      </w:r>
      <w:r w:rsidR="00833CA4">
        <w:rPr>
          <w:lang w:val="en-GB"/>
        </w:rPr>
        <w:t>was</w:t>
      </w:r>
      <w:r w:rsidR="00EC39EE" w:rsidRPr="00E828B1">
        <w:rPr>
          <w:lang w:val="en-GB"/>
        </w:rPr>
        <w:t xml:space="preserve"> </w:t>
      </w:r>
      <w:r w:rsidRPr="00E828B1">
        <w:rPr>
          <w:lang w:val="en-GB"/>
        </w:rPr>
        <w:t>passed in August 2016, patients were once again allowed to grow their own cannabis</w:t>
      </w:r>
      <w:r w:rsidR="006C0283">
        <w:rPr>
          <w:lang w:val="en-GB"/>
        </w:rPr>
        <w:t xml:space="preserve"> plants</w:t>
      </w:r>
      <w:r w:rsidRPr="00E828B1">
        <w:rPr>
          <w:lang w:val="en-GB"/>
        </w:rPr>
        <w:t>. Some LPs started selling clones</w:t>
      </w:r>
      <w:r w:rsidR="00D44458" w:rsidRPr="00E828B1">
        <w:rPr>
          <w:lang w:val="en-GB"/>
        </w:rPr>
        <w:t xml:space="preserve"> </w:t>
      </w:r>
      <w:r w:rsidRPr="00E828B1">
        <w:rPr>
          <w:lang w:val="en-GB"/>
        </w:rPr>
        <w:t>to patients</w:t>
      </w:r>
      <w:r w:rsidR="00E85AD3" w:rsidRPr="00E828B1">
        <w:rPr>
          <w:lang w:val="en-GB"/>
        </w:rPr>
        <w:t>.</w:t>
      </w:r>
      <w:r w:rsidRPr="00E828B1">
        <w:rPr>
          <w:rFonts w:eastAsia="Cambria" w:cs="Cambria"/>
          <w:vertAlign w:val="superscript"/>
          <w:lang w:val="en-GB"/>
        </w:rPr>
        <w:endnoteReference w:id="7"/>
      </w:r>
      <w:r w:rsidRPr="00E828B1">
        <w:rPr>
          <w:lang w:val="en-GB"/>
        </w:rPr>
        <w:t xml:space="preserve"> </w:t>
      </w:r>
    </w:p>
    <w:p w14:paraId="7823C638" w14:textId="77777777" w:rsidR="00DD1A25" w:rsidRPr="00E828B1" w:rsidRDefault="00DD1A25" w:rsidP="00DD1A25">
      <w:pPr>
        <w:pStyle w:val="BodyTextMain"/>
        <w:rPr>
          <w:rFonts w:eastAsia="Cambria" w:cs="Cambria"/>
          <w:lang w:val="en-GB"/>
        </w:rPr>
      </w:pPr>
    </w:p>
    <w:p w14:paraId="0F78455D" w14:textId="7F8B752E" w:rsidR="00DD1A25" w:rsidRPr="00E828B1" w:rsidRDefault="00DD1A25" w:rsidP="00DD1A25">
      <w:pPr>
        <w:pStyle w:val="BodyTextMain"/>
        <w:rPr>
          <w:rFonts w:eastAsia="Cambria" w:cs="Cambria"/>
          <w:lang w:val="en-GB"/>
        </w:rPr>
      </w:pPr>
      <w:r w:rsidRPr="00E828B1">
        <w:rPr>
          <w:rFonts w:eastAsia="Cambria" w:cs="Cambria"/>
          <w:lang w:val="en-GB"/>
        </w:rPr>
        <w:t xml:space="preserve">The ACMPR permitted companies to sell oil in a </w:t>
      </w:r>
      <w:r w:rsidRPr="00E828B1">
        <w:rPr>
          <w:lang w:val="en-GB"/>
        </w:rPr>
        <w:t>“capsule or similar dosage form” but not edibles</w:t>
      </w:r>
      <w:r w:rsidR="00833CA4">
        <w:rPr>
          <w:lang w:val="en-GB"/>
        </w:rPr>
        <w:t>—marijuana infused food products</w:t>
      </w:r>
      <w:r w:rsidRPr="00E828B1">
        <w:rPr>
          <w:lang w:val="en-GB"/>
        </w:rPr>
        <w:t xml:space="preserve">. OrganiGram was still in the </w:t>
      </w:r>
      <w:r w:rsidR="0075789C">
        <w:rPr>
          <w:lang w:val="en-GB"/>
        </w:rPr>
        <w:t xml:space="preserve">research and development </w:t>
      </w:r>
      <w:r w:rsidRPr="00E828B1">
        <w:rPr>
          <w:lang w:val="en-GB"/>
        </w:rPr>
        <w:t>stage of capsule production</w:t>
      </w:r>
      <w:r w:rsidR="00E85AD3" w:rsidRPr="00E828B1">
        <w:rPr>
          <w:lang w:val="en-GB"/>
        </w:rPr>
        <w:t>.</w:t>
      </w:r>
      <w:r w:rsidRPr="00E828B1">
        <w:rPr>
          <w:lang w:val="en-GB"/>
        </w:rPr>
        <w:t xml:space="preserve"> However, the ACMPR allowed patients to “alter the chemical or physical properties of the fresh or dried marihuana or cannabis oil</w:t>
      </w:r>
      <w:r w:rsidR="00662A41" w:rsidRPr="00E828B1">
        <w:rPr>
          <w:lang w:val="en-GB"/>
        </w:rPr>
        <w:t>,</w:t>
      </w:r>
      <w:r w:rsidRPr="00E828B1">
        <w:rPr>
          <w:lang w:val="en-GB"/>
        </w:rPr>
        <w:t>” meaning that patients could make their own edibles.</w:t>
      </w:r>
      <w:r w:rsidR="009C182F" w:rsidRPr="00E828B1">
        <w:rPr>
          <w:rFonts w:eastAsia="Cambria" w:cs="Cambria"/>
          <w:vertAlign w:val="superscript"/>
          <w:lang w:val="en-GB"/>
        </w:rPr>
        <w:endnoteReference w:id="8"/>
      </w:r>
      <w:r w:rsidRPr="00E828B1">
        <w:rPr>
          <w:lang w:val="en-GB"/>
        </w:rPr>
        <w:t xml:space="preserve"> OrganiGram patients received a copy of </w:t>
      </w:r>
      <w:r w:rsidRPr="00E828B1">
        <w:rPr>
          <w:i/>
          <w:lang w:val="en-GB"/>
        </w:rPr>
        <w:t xml:space="preserve">Aunt Sandy’s Medical Marijuana </w:t>
      </w:r>
      <w:r w:rsidR="0032372F" w:rsidRPr="00E828B1">
        <w:rPr>
          <w:i/>
          <w:lang w:val="en-GB"/>
        </w:rPr>
        <w:t>Cookbook</w:t>
      </w:r>
      <w:r w:rsidR="006C0283" w:rsidRPr="007E4221">
        <w:rPr>
          <w:rStyle w:val="EndnoteReference"/>
          <w:lang w:val="en-GB"/>
        </w:rPr>
        <w:endnoteReference w:id="9"/>
      </w:r>
      <w:r w:rsidR="0032372F" w:rsidRPr="00E828B1">
        <w:rPr>
          <w:lang w:val="en-GB"/>
        </w:rPr>
        <w:t xml:space="preserve"> </w:t>
      </w:r>
      <w:r w:rsidRPr="00E828B1">
        <w:rPr>
          <w:lang w:val="en-GB"/>
        </w:rPr>
        <w:t>as part of their client welcome kit.</w:t>
      </w:r>
    </w:p>
    <w:p w14:paraId="1409AD5F" w14:textId="77777777" w:rsidR="00DD1A25" w:rsidRPr="00E828B1" w:rsidRDefault="00DD1A25" w:rsidP="00DD1A25">
      <w:pPr>
        <w:pStyle w:val="BodyTextMain"/>
        <w:rPr>
          <w:rFonts w:eastAsia="Cambria" w:cs="Cambria"/>
          <w:lang w:val="en-GB"/>
        </w:rPr>
      </w:pPr>
    </w:p>
    <w:p w14:paraId="524CCBE9" w14:textId="241B605F" w:rsidR="00DD1A25" w:rsidRPr="00E828B1" w:rsidRDefault="00DD1A25" w:rsidP="00DD1A25">
      <w:pPr>
        <w:pStyle w:val="BodyTextMain"/>
        <w:rPr>
          <w:rFonts w:eastAsia="Cambria" w:cs="Cambria"/>
          <w:lang w:val="en-GB"/>
        </w:rPr>
      </w:pPr>
      <w:r w:rsidRPr="00E828B1">
        <w:rPr>
          <w:lang w:val="en-GB"/>
        </w:rPr>
        <w:t xml:space="preserve">OrganiGram was the only LP on </w:t>
      </w:r>
      <w:r w:rsidR="006C0283">
        <w:rPr>
          <w:lang w:val="en-GB"/>
        </w:rPr>
        <w:t>Canada’s</w:t>
      </w:r>
      <w:r w:rsidR="006C0283" w:rsidRPr="00E828B1">
        <w:rPr>
          <w:lang w:val="en-GB"/>
        </w:rPr>
        <w:t xml:space="preserve"> </w:t>
      </w:r>
      <w:r w:rsidRPr="00E828B1">
        <w:rPr>
          <w:lang w:val="en-GB"/>
        </w:rPr>
        <w:t xml:space="preserve">east coast </w:t>
      </w:r>
      <w:r w:rsidR="006C0283">
        <w:rPr>
          <w:lang w:val="en-GB"/>
        </w:rPr>
        <w:t>that had</w:t>
      </w:r>
      <w:r w:rsidR="006C0283" w:rsidRPr="00E828B1">
        <w:rPr>
          <w:lang w:val="en-GB"/>
        </w:rPr>
        <w:t xml:space="preserve"> </w:t>
      </w:r>
      <w:r w:rsidR="00E85AD3" w:rsidRPr="00E828B1">
        <w:rPr>
          <w:lang w:val="en-GB"/>
        </w:rPr>
        <w:t xml:space="preserve">licences </w:t>
      </w:r>
      <w:r w:rsidRPr="00E828B1">
        <w:rPr>
          <w:lang w:val="en-GB"/>
        </w:rPr>
        <w:t xml:space="preserve">to cultivate </w:t>
      </w:r>
      <w:r w:rsidR="00D44458" w:rsidRPr="00E828B1">
        <w:rPr>
          <w:lang w:val="en-GB"/>
        </w:rPr>
        <w:t>(</w:t>
      </w:r>
      <w:r w:rsidR="006C0283">
        <w:rPr>
          <w:lang w:val="en-GB"/>
        </w:rPr>
        <w:t xml:space="preserve">i.e., </w:t>
      </w:r>
      <w:r w:rsidR="00D44458" w:rsidRPr="00E828B1">
        <w:rPr>
          <w:lang w:val="en-GB"/>
        </w:rPr>
        <w:t>grow</w:t>
      </w:r>
      <w:r w:rsidR="00974FE1" w:rsidRPr="00E828B1">
        <w:rPr>
          <w:lang w:val="en-GB"/>
        </w:rPr>
        <w:t xml:space="preserve"> and process</w:t>
      </w:r>
      <w:r w:rsidR="00D44458" w:rsidRPr="00E828B1">
        <w:rPr>
          <w:lang w:val="en-GB"/>
        </w:rPr>
        <w:t xml:space="preserve">) </w:t>
      </w:r>
      <w:r w:rsidRPr="00E828B1">
        <w:rPr>
          <w:lang w:val="en-GB"/>
        </w:rPr>
        <w:t xml:space="preserve">dried cannabis, produce fresh cannabis and cannabis oil, and sell all of these products. </w:t>
      </w:r>
      <w:r w:rsidR="00974FE1" w:rsidRPr="00E828B1">
        <w:rPr>
          <w:lang w:val="en-GB"/>
        </w:rPr>
        <w:t xml:space="preserve">The first few LP </w:t>
      </w:r>
      <w:r w:rsidR="00E85AD3" w:rsidRPr="00E828B1">
        <w:rPr>
          <w:lang w:val="en-GB"/>
        </w:rPr>
        <w:t xml:space="preserve">licences </w:t>
      </w:r>
      <w:r w:rsidR="00974FE1" w:rsidRPr="00E828B1">
        <w:rPr>
          <w:lang w:val="en-GB"/>
        </w:rPr>
        <w:t>were granted in 2013.</w:t>
      </w:r>
      <w:r w:rsidR="00105A3A" w:rsidRPr="00E828B1">
        <w:rPr>
          <w:rStyle w:val="EndnoteReference"/>
          <w:lang w:val="en-GB"/>
        </w:rPr>
        <w:endnoteReference w:id="10"/>
      </w:r>
      <w:r w:rsidR="00105A3A" w:rsidRPr="00E828B1">
        <w:rPr>
          <w:lang w:val="en-GB"/>
        </w:rPr>
        <w:t xml:space="preserve"> </w:t>
      </w:r>
      <w:r w:rsidR="00662A41" w:rsidRPr="00E828B1">
        <w:rPr>
          <w:lang w:val="en-GB"/>
        </w:rPr>
        <w:t xml:space="preserve">Its </w:t>
      </w:r>
      <w:r w:rsidR="00E85AD3" w:rsidRPr="00E828B1">
        <w:rPr>
          <w:lang w:val="en-GB"/>
        </w:rPr>
        <w:t>licence</w:t>
      </w:r>
      <w:r w:rsidR="00194D97" w:rsidRPr="00E828B1">
        <w:rPr>
          <w:lang w:val="en-GB"/>
        </w:rPr>
        <w:t>s</w:t>
      </w:r>
      <w:r w:rsidR="00E85AD3" w:rsidRPr="00E828B1">
        <w:rPr>
          <w:lang w:val="en-GB"/>
        </w:rPr>
        <w:t xml:space="preserve"> </w:t>
      </w:r>
      <w:r w:rsidRPr="00E828B1">
        <w:rPr>
          <w:lang w:val="en-GB"/>
        </w:rPr>
        <w:t xml:space="preserve">permitted </w:t>
      </w:r>
      <w:r w:rsidR="00662A41" w:rsidRPr="00E828B1">
        <w:rPr>
          <w:lang w:val="en-GB"/>
        </w:rPr>
        <w:t xml:space="preserve">it </w:t>
      </w:r>
      <w:r w:rsidRPr="00E828B1">
        <w:rPr>
          <w:lang w:val="en-GB"/>
        </w:rPr>
        <w:t xml:space="preserve">to produce up to 1,500 </w:t>
      </w:r>
      <w:r w:rsidR="00E85AD3" w:rsidRPr="00E828B1">
        <w:rPr>
          <w:lang w:val="en-GB"/>
        </w:rPr>
        <w:t xml:space="preserve">kilograms </w:t>
      </w:r>
      <w:r w:rsidRPr="00E828B1">
        <w:rPr>
          <w:lang w:val="en-GB"/>
        </w:rPr>
        <w:t xml:space="preserve">of dried cannabis and 500 </w:t>
      </w:r>
      <w:r w:rsidR="00E85AD3" w:rsidRPr="00E828B1">
        <w:rPr>
          <w:lang w:val="en-GB"/>
        </w:rPr>
        <w:t xml:space="preserve">kilograms </w:t>
      </w:r>
      <w:r w:rsidRPr="00E828B1">
        <w:rPr>
          <w:lang w:val="en-GB"/>
        </w:rPr>
        <w:t xml:space="preserve">of cannabis oil and sell up to 1,200 </w:t>
      </w:r>
      <w:r w:rsidR="00E85AD3" w:rsidRPr="00E828B1">
        <w:rPr>
          <w:lang w:val="en-GB"/>
        </w:rPr>
        <w:t xml:space="preserve">kilograms </w:t>
      </w:r>
      <w:r w:rsidRPr="00E828B1">
        <w:rPr>
          <w:lang w:val="en-GB"/>
        </w:rPr>
        <w:t xml:space="preserve">of dried cannabis and 500 </w:t>
      </w:r>
      <w:r w:rsidR="00E85AD3" w:rsidRPr="00E828B1">
        <w:rPr>
          <w:lang w:val="en-GB"/>
        </w:rPr>
        <w:t xml:space="preserve">kilograms </w:t>
      </w:r>
      <w:r w:rsidRPr="00E828B1">
        <w:rPr>
          <w:lang w:val="en-GB"/>
        </w:rPr>
        <w:t>of cannabis oil per year, within Canada</w:t>
      </w:r>
      <w:r w:rsidR="00E85AD3" w:rsidRPr="00E828B1">
        <w:rPr>
          <w:lang w:val="en-GB"/>
        </w:rPr>
        <w:t>.</w:t>
      </w:r>
      <w:r w:rsidRPr="00E828B1">
        <w:rPr>
          <w:rFonts w:eastAsia="Cambria" w:cs="Cambria"/>
          <w:vertAlign w:val="superscript"/>
          <w:lang w:val="en-GB"/>
        </w:rPr>
        <w:endnoteReference w:id="11"/>
      </w:r>
      <w:r w:rsidRPr="00E828B1">
        <w:rPr>
          <w:lang w:val="en-GB"/>
        </w:rPr>
        <w:t xml:space="preserve"> Also, medical cannabis plant cuttings and dried bud</w:t>
      </w:r>
      <w:r w:rsidR="00833CA4">
        <w:rPr>
          <w:lang w:val="en-GB"/>
        </w:rPr>
        <w:t>s</w:t>
      </w:r>
      <w:r w:rsidRPr="00E828B1">
        <w:rPr>
          <w:lang w:val="en-GB"/>
        </w:rPr>
        <w:t xml:space="preserve"> could be sold and shipped to other LPs on a wholesale basis.</w:t>
      </w:r>
    </w:p>
    <w:p w14:paraId="67377E89" w14:textId="77777777" w:rsidR="00DD1A25" w:rsidRPr="00E828B1" w:rsidRDefault="00DD1A25" w:rsidP="00DD1A25">
      <w:pPr>
        <w:pStyle w:val="BodyTextMain"/>
        <w:rPr>
          <w:rFonts w:eastAsia="Cambria" w:cs="Cambria"/>
          <w:lang w:val="en-GB"/>
        </w:rPr>
      </w:pPr>
    </w:p>
    <w:p w14:paraId="56FE4641" w14:textId="0B1243B9" w:rsidR="00DD1A25" w:rsidRPr="00E828B1" w:rsidRDefault="00DD1A25" w:rsidP="00DD1A25">
      <w:pPr>
        <w:pStyle w:val="BodyTextMain"/>
        <w:rPr>
          <w:rFonts w:eastAsia="Cambria" w:cs="Cambria"/>
          <w:lang w:val="en-GB"/>
        </w:rPr>
      </w:pPr>
      <w:r w:rsidRPr="00E828B1">
        <w:rPr>
          <w:rFonts w:eastAsia="Cambria" w:cs="Cambria"/>
          <w:lang w:val="en-GB"/>
        </w:rPr>
        <w:t>The only other LP in the Maritimes was Canada</w:t>
      </w:r>
      <w:r w:rsidRPr="00E828B1">
        <w:rPr>
          <w:lang w:val="en-GB"/>
        </w:rPr>
        <w:t xml:space="preserve">’s Island Garden Inc. (CIGI) in </w:t>
      </w:r>
      <w:r w:rsidR="0032372F" w:rsidRPr="00E828B1">
        <w:rPr>
          <w:lang w:val="en-GB"/>
        </w:rPr>
        <w:t>Prince Edward Island</w:t>
      </w:r>
      <w:r w:rsidRPr="00E828B1">
        <w:rPr>
          <w:lang w:val="en-GB"/>
        </w:rPr>
        <w:t xml:space="preserve">. However, CIGI had a </w:t>
      </w:r>
      <w:r w:rsidR="00E85AD3" w:rsidRPr="00E828B1">
        <w:rPr>
          <w:lang w:val="en-GB"/>
        </w:rPr>
        <w:t xml:space="preserve">licence </w:t>
      </w:r>
      <w:r w:rsidR="0075789C">
        <w:rPr>
          <w:lang w:val="en-GB"/>
        </w:rPr>
        <w:t xml:space="preserve">only </w:t>
      </w:r>
      <w:r w:rsidRPr="00E828B1">
        <w:rPr>
          <w:lang w:val="en-GB"/>
        </w:rPr>
        <w:t>to cultivate dried cannabis.</w:t>
      </w:r>
      <w:r w:rsidR="00105A3A" w:rsidRPr="00E828B1">
        <w:rPr>
          <w:rStyle w:val="EndnoteReference"/>
          <w:lang w:val="en-GB"/>
        </w:rPr>
        <w:endnoteReference w:id="12"/>
      </w:r>
      <w:r w:rsidRPr="00E828B1">
        <w:rPr>
          <w:lang w:val="en-GB"/>
        </w:rPr>
        <w:t xml:space="preserve"> OrganiGram received </w:t>
      </w:r>
      <w:r w:rsidR="00E85AD3" w:rsidRPr="00E828B1">
        <w:rPr>
          <w:lang w:val="en-GB"/>
        </w:rPr>
        <w:t xml:space="preserve">its licence </w:t>
      </w:r>
      <w:r w:rsidRPr="00E828B1">
        <w:rPr>
          <w:lang w:val="en-GB"/>
        </w:rPr>
        <w:t>to cultivate dried cannabis on March 26, 2014</w:t>
      </w:r>
      <w:r w:rsidR="00E85AD3" w:rsidRPr="00E828B1">
        <w:rPr>
          <w:lang w:val="en-GB"/>
        </w:rPr>
        <w:t>,</w:t>
      </w:r>
      <w:r w:rsidRPr="00E828B1">
        <w:rPr>
          <w:lang w:val="en-GB"/>
        </w:rPr>
        <w:t xml:space="preserve"> and </w:t>
      </w:r>
      <w:r w:rsidR="00662A41" w:rsidRPr="00E828B1">
        <w:rPr>
          <w:lang w:val="en-GB"/>
        </w:rPr>
        <w:t xml:space="preserve">received </w:t>
      </w:r>
      <w:r w:rsidR="00E85AD3" w:rsidRPr="00E828B1">
        <w:rPr>
          <w:lang w:val="en-GB"/>
        </w:rPr>
        <w:t xml:space="preserve">its </w:t>
      </w:r>
      <w:r w:rsidRPr="00E828B1">
        <w:rPr>
          <w:lang w:val="en-GB"/>
        </w:rPr>
        <w:t xml:space="preserve">oil </w:t>
      </w:r>
      <w:r w:rsidR="00E85AD3" w:rsidRPr="00E828B1">
        <w:rPr>
          <w:lang w:val="en-GB"/>
        </w:rPr>
        <w:t xml:space="preserve">licence </w:t>
      </w:r>
      <w:r w:rsidRPr="00E828B1">
        <w:rPr>
          <w:lang w:val="en-GB"/>
        </w:rPr>
        <w:t xml:space="preserve">on July 23, 2016. CIGI was licensed to </w:t>
      </w:r>
      <w:r w:rsidRPr="00E828B1">
        <w:rPr>
          <w:lang w:val="en-GB"/>
        </w:rPr>
        <w:lastRenderedPageBreak/>
        <w:t xml:space="preserve">cultivate dried cannabis on June 16, 2016. The first </w:t>
      </w:r>
      <w:r w:rsidR="00E85AD3" w:rsidRPr="00E828B1">
        <w:rPr>
          <w:lang w:val="en-GB"/>
        </w:rPr>
        <w:t xml:space="preserve">licences </w:t>
      </w:r>
      <w:r w:rsidRPr="00E828B1">
        <w:rPr>
          <w:lang w:val="en-GB"/>
        </w:rPr>
        <w:t>to produce and sell cannabis oils were granted in the summer of 2015</w:t>
      </w:r>
      <w:r w:rsidR="00E85AD3" w:rsidRPr="00E828B1">
        <w:rPr>
          <w:lang w:val="en-GB"/>
        </w:rPr>
        <w:t>.</w:t>
      </w:r>
      <w:r w:rsidRPr="00E828B1">
        <w:rPr>
          <w:rFonts w:eastAsia="Cambria" w:cs="Cambria"/>
          <w:vertAlign w:val="superscript"/>
          <w:lang w:val="en-GB"/>
        </w:rPr>
        <w:endnoteReference w:id="13"/>
      </w:r>
      <w:r w:rsidR="00662A41" w:rsidRPr="00E828B1">
        <w:rPr>
          <w:lang w:val="en-GB"/>
        </w:rPr>
        <w:t xml:space="preserve"> </w:t>
      </w:r>
    </w:p>
    <w:p w14:paraId="73DA0872" w14:textId="77777777" w:rsidR="00DD1A25" w:rsidRPr="00E828B1" w:rsidRDefault="00DD1A25" w:rsidP="00DD1A25">
      <w:pPr>
        <w:pStyle w:val="BodyTextMain"/>
        <w:rPr>
          <w:rFonts w:eastAsia="Cambria" w:cs="Cambria"/>
          <w:lang w:val="en-GB"/>
        </w:rPr>
      </w:pPr>
    </w:p>
    <w:p w14:paraId="0E82FFA5" w14:textId="77777777" w:rsidR="00DD1A25" w:rsidRPr="00E828B1" w:rsidRDefault="00DD1A25" w:rsidP="00DD1A25">
      <w:pPr>
        <w:pStyle w:val="BodyTextMain"/>
        <w:rPr>
          <w:rFonts w:eastAsia="Cambria" w:cs="Cambria"/>
          <w:lang w:val="en-GB"/>
        </w:rPr>
      </w:pPr>
    </w:p>
    <w:p w14:paraId="529604BA" w14:textId="77777777" w:rsidR="00DD1A25" w:rsidRPr="00E828B1" w:rsidRDefault="00DD1A25" w:rsidP="009C182F">
      <w:pPr>
        <w:pStyle w:val="Casehead1"/>
        <w:keepNext/>
        <w:rPr>
          <w:rFonts w:eastAsia="Cambria" w:cs="Cambria"/>
          <w:lang w:val="en-GB"/>
        </w:rPr>
      </w:pPr>
      <w:r w:rsidRPr="00E828B1">
        <w:rPr>
          <w:lang w:val="en-GB"/>
        </w:rPr>
        <w:t>OrganiGram</w:t>
      </w:r>
      <w:r w:rsidR="00745D4B" w:rsidRPr="00E828B1">
        <w:rPr>
          <w:rFonts w:eastAsia="Cambria"/>
          <w:lang w:val="en-GB"/>
        </w:rPr>
        <w:t xml:space="preserve"> </w:t>
      </w:r>
      <w:r w:rsidRPr="00E828B1">
        <w:rPr>
          <w:lang w:val="en-GB"/>
        </w:rPr>
        <w:t>Company Background</w:t>
      </w:r>
    </w:p>
    <w:p w14:paraId="60403EB7" w14:textId="77777777" w:rsidR="00DD1A25" w:rsidRPr="00E828B1" w:rsidRDefault="00DD1A25" w:rsidP="009C182F">
      <w:pPr>
        <w:pStyle w:val="BodyTextMain"/>
        <w:keepNext/>
        <w:rPr>
          <w:lang w:val="en-GB"/>
        </w:rPr>
      </w:pPr>
    </w:p>
    <w:p w14:paraId="1BB2E8F2" w14:textId="494CDD53" w:rsidR="00DD1A25" w:rsidRPr="00E828B1" w:rsidRDefault="00DD1A25" w:rsidP="009C182F">
      <w:pPr>
        <w:pStyle w:val="BodyTextMain"/>
        <w:keepNext/>
        <w:rPr>
          <w:rFonts w:eastAsia="Cambria" w:cs="Cambria"/>
          <w:lang w:val="en-GB"/>
        </w:rPr>
      </w:pPr>
      <w:r w:rsidRPr="00E828B1">
        <w:rPr>
          <w:lang w:val="en-GB"/>
        </w:rPr>
        <w:t>OrganiGram was founded in 2013 in Moncton, New Brunswick. In 2014, there were only approximately 17 staff members. The company employed 70 people as of December 2016</w:t>
      </w:r>
      <w:r w:rsidR="00E85AD3" w:rsidRPr="00E828B1">
        <w:rPr>
          <w:lang w:val="en-GB"/>
        </w:rPr>
        <w:t>,</w:t>
      </w:r>
      <w:r w:rsidRPr="00E828B1">
        <w:rPr>
          <w:lang w:val="en-GB"/>
        </w:rPr>
        <w:t xml:space="preserve"> and </w:t>
      </w:r>
      <w:r w:rsidR="00E85AD3" w:rsidRPr="00E828B1">
        <w:rPr>
          <w:lang w:val="en-GB"/>
        </w:rPr>
        <w:t>it was</w:t>
      </w:r>
      <w:r w:rsidRPr="00E828B1">
        <w:rPr>
          <w:lang w:val="en-GB"/>
        </w:rPr>
        <w:t xml:space="preserve"> looking forward to expanding </w:t>
      </w:r>
      <w:r w:rsidR="00E85AD3" w:rsidRPr="00E828B1">
        <w:rPr>
          <w:lang w:val="en-GB"/>
        </w:rPr>
        <w:t xml:space="preserve">its </w:t>
      </w:r>
      <w:r w:rsidRPr="00E828B1">
        <w:rPr>
          <w:lang w:val="en-GB"/>
        </w:rPr>
        <w:t>workforce up to about 170 staff in the next year or two</w:t>
      </w:r>
      <w:r w:rsidR="00526DC5" w:rsidRPr="00E828B1">
        <w:rPr>
          <w:lang w:val="en-GB"/>
        </w:rPr>
        <w:t xml:space="preserve"> to staff </w:t>
      </w:r>
      <w:r w:rsidR="00E85AD3" w:rsidRPr="00E828B1">
        <w:rPr>
          <w:lang w:val="en-GB"/>
        </w:rPr>
        <w:t xml:space="preserve">its </w:t>
      </w:r>
      <w:r w:rsidR="00526DC5" w:rsidRPr="00E828B1">
        <w:rPr>
          <w:lang w:val="en-GB"/>
        </w:rPr>
        <w:t>new and expanding facilities</w:t>
      </w:r>
      <w:r w:rsidRPr="00E828B1">
        <w:rPr>
          <w:lang w:val="en-GB"/>
        </w:rPr>
        <w:t xml:space="preserve">. </w:t>
      </w:r>
      <w:r w:rsidR="00E152A1" w:rsidRPr="00E828B1">
        <w:rPr>
          <w:lang w:val="en-GB"/>
        </w:rPr>
        <w:t xml:space="preserve">The organizational structure consisted of </w:t>
      </w:r>
      <w:r w:rsidR="00E85AD3" w:rsidRPr="00E828B1">
        <w:rPr>
          <w:lang w:val="en-GB"/>
        </w:rPr>
        <w:t xml:space="preserve">three </w:t>
      </w:r>
      <w:r w:rsidR="00E152A1" w:rsidRPr="00E828B1">
        <w:rPr>
          <w:lang w:val="en-GB"/>
        </w:rPr>
        <w:t>levels: the C-suite (</w:t>
      </w:r>
      <w:r w:rsidR="00A9322D">
        <w:rPr>
          <w:lang w:val="en-GB"/>
        </w:rPr>
        <w:t xml:space="preserve">i.e., </w:t>
      </w:r>
      <w:r w:rsidR="00386676" w:rsidRPr="00E828B1">
        <w:rPr>
          <w:lang w:val="en-GB"/>
        </w:rPr>
        <w:t>chief executive officer,</w:t>
      </w:r>
      <w:r w:rsidR="00E152A1" w:rsidRPr="00E828B1">
        <w:rPr>
          <w:lang w:val="en-GB"/>
        </w:rPr>
        <w:t xml:space="preserve"> </w:t>
      </w:r>
      <w:r w:rsidR="00386676" w:rsidRPr="00E828B1">
        <w:rPr>
          <w:lang w:val="en-GB"/>
        </w:rPr>
        <w:t>chief operating officer</w:t>
      </w:r>
      <w:r w:rsidR="00E152A1" w:rsidRPr="00E828B1">
        <w:rPr>
          <w:lang w:val="en-GB"/>
        </w:rPr>
        <w:t xml:space="preserve">, </w:t>
      </w:r>
      <w:r w:rsidR="00386676" w:rsidRPr="00E828B1">
        <w:rPr>
          <w:lang w:val="en-GB"/>
        </w:rPr>
        <w:t>chief financial officer</w:t>
      </w:r>
      <w:r w:rsidR="00E152A1" w:rsidRPr="00E828B1">
        <w:rPr>
          <w:lang w:val="en-GB"/>
        </w:rPr>
        <w:t xml:space="preserve">, and </w:t>
      </w:r>
      <w:r w:rsidR="00386676" w:rsidRPr="00E828B1">
        <w:rPr>
          <w:lang w:val="en-GB"/>
        </w:rPr>
        <w:t>chief commercial officer</w:t>
      </w:r>
      <w:r w:rsidR="00E152A1" w:rsidRPr="00E828B1">
        <w:rPr>
          <w:lang w:val="en-GB"/>
        </w:rPr>
        <w:t>), directors, and employees in various functions (e.g.</w:t>
      </w:r>
      <w:r w:rsidR="00E85AD3" w:rsidRPr="00E828B1">
        <w:rPr>
          <w:lang w:val="en-GB"/>
        </w:rPr>
        <w:t>,</w:t>
      </w:r>
      <w:r w:rsidR="00E152A1" w:rsidRPr="00E828B1">
        <w:rPr>
          <w:lang w:val="en-GB"/>
        </w:rPr>
        <w:t xml:space="preserve"> garden workers</w:t>
      </w:r>
      <w:r w:rsidR="0075789C">
        <w:rPr>
          <w:lang w:val="en-GB"/>
        </w:rPr>
        <w:t xml:space="preserve"> and</w:t>
      </w:r>
      <w:r w:rsidR="00E152A1" w:rsidRPr="00E828B1">
        <w:rPr>
          <w:lang w:val="en-GB"/>
        </w:rPr>
        <w:t xml:space="preserve"> client support)</w:t>
      </w:r>
      <w:r w:rsidR="005546D5" w:rsidRPr="00E828B1">
        <w:rPr>
          <w:lang w:val="en-GB"/>
        </w:rPr>
        <w:t>.</w:t>
      </w:r>
      <w:r w:rsidR="00E152A1" w:rsidRPr="00E828B1">
        <w:rPr>
          <w:lang w:val="en-GB"/>
        </w:rPr>
        <w:t xml:space="preserve"> </w:t>
      </w:r>
      <w:r w:rsidR="005546D5" w:rsidRPr="00E828B1">
        <w:rPr>
          <w:lang w:val="en-GB"/>
        </w:rPr>
        <w:t xml:space="preserve">Its </w:t>
      </w:r>
      <w:r w:rsidRPr="00E828B1">
        <w:rPr>
          <w:lang w:val="en-GB"/>
        </w:rPr>
        <w:t xml:space="preserve">facilities consisted of a main facility, a newly acquired building next to the main facility, and the adjoining 10-acre </w:t>
      </w:r>
      <w:r w:rsidR="0075789C">
        <w:rPr>
          <w:lang w:val="en-GB"/>
        </w:rPr>
        <w:t>(4</w:t>
      </w:r>
      <w:r w:rsidR="00833CA4">
        <w:rPr>
          <w:lang w:val="en-GB"/>
        </w:rPr>
        <w:t>.1</w:t>
      </w:r>
      <w:r w:rsidR="0075789C">
        <w:rPr>
          <w:lang w:val="en-GB"/>
        </w:rPr>
        <w:t xml:space="preserve">-hectare) </w:t>
      </w:r>
      <w:r w:rsidRPr="00E828B1">
        <w:rPr>
          <w:lang w:val="en-GB"/>
        </w:rPr>
        <w:t>property with a 136,</w:t>
      </w:r>
      <w:r w:rsidR="005546D5" w:rsidRPr="00E828B1">
        <w:rPr>
          <w:lang w:val="en-GB"/>
        </w:rPr>
        <w:t>000-square-</w:t>
      </w:r>
      <w:r w:rsidRPr="00E828B1">
        <w:rPr>
          <w:lang w:val="en-GB"/>
        </w:rPr>
        <w:t xml:space="preserve">foot </w:t>
      </w:r>
      <w:r w:rsidR="0075789C">
        <w:rPr>
          <w:lang w:val="en-GB"/>
        </w:rPr>
        <w:t xml:space="preserve">(12,635-square-metre) </w:t>
      </w:r>
      <w:r w:rsidRPr="00E828B1">
        <w:rPr>
          <w:lang w:val="en-GB"/>
        </w:rPr>
        <w:t>industrial building.</w:t>
      </w:r>
      <w:r w:rsidR="00E85AD3" w:rsidRPr="00E828B1">
        <w:rPr>
          <w:lang w:val="en-GB"/>
        </w:rPr>
        <w:t xml:space="preserve"> </w:t>
      </w:r>
    </w:p>
    <w:p w14:paraId="399F460F" w14:textId="77777777" w:rsidR="00DD1A25" w:rsidRPr="00E828B1" w:rsidRDefault="00DD1A25" w:rsidP="00DD1A25">
      <w:pPr>
        <w:pStyle w:val="BodyTextMain"/>
        <w:rPr>
          <w:rFonts w:eastAsia="Cambria" w:cs="Cambria"/>
          <w:lang w:val="en-GB"/>
        </w:rPr>
      </w:pPr>
    </w:p>
    <w:p w14:paraId="2E4F857E" w14:textId="55E0BFAA" w:rsidR="00DD1A25" w:rsidRPr="00833CA4" w:rsidRDefault="00DD1A25" w:rsidP="00DD1A25">
      <w:pPr>
        <w:pStyle w:val="BodyTextMain"/>
        <w:rPr>
          <w:rFonts w:eastAsia="Cambria" w:cs="Cambria"/>
          <w:spacing w:val="-2"/>
          <w:lang w:val="en-GB"/>
        </w:rPr>
      </w:pPr>
      <w:r w:rsidRPr="00833CA4">
        <w:rPr>
          <w:rFonts w:eastAsia="Cambria" w:cs="Cambria"/>
          <w:spacing w:val="-2"/>
          <w:lang w:val="en-GB"/>
        </w:rPr>
        <w:t xml:space="preserve">In addition to being the first medical cannabis company in the Maritimes to be licensed to grow and sell medical cannabis, </w:t>
      </w:r>
      <w:r w:rsidR="00140E9F" w:rsidRPr="00833CA4">
        <w:rPr>
          <w:rFonts w:eastAsia="Cambria" w:cs="Cambria"/>
          <w:spacing w:val="-2"/>
          <w:lang w:val="en-GB"/>
        </w:rPr>
        <w:t>it was</w:t>
      </w:r>
      <w:r w:rsidRPr="00833CA4">
        <w:rPr>
          <w:rFonts w:eastAsia="Cambria" w:cs="Cambria"/>
          <w:spacing w:val="-2"/>
          <w:lang w:val="en-GB"/>
        </w:rPr>
        <w:t xml:space="preserve"> a </w:t>
      </w:r>
      <w:r w:rsidRPr="00833CA4">
        <w:rPr>
          <w:spacing w:val="-2"/>
          <w:lang w:val="en-GB"/>
        </w:rPr>
        <w:t xml:space="preserve">certified organic medical cannabis producer. This </w:t>
      </w:r>
      <w:r w:rsidR="0075789C" w:rsidRPr="00833CA4">
        <w:rPr>
          <w:spacing w:val="-2"/>
          <w:lang w:val="en-GB"/>
        </w:rPr>
        <w:t xml:space="preserve">organic certification </w:t>
      </w:r>
      <w:r w:rsidRPr="00833CA4">
        <w:rPr>
          <w:spacing w:val="-2"/>
          <w:lang w:val="en-GB"/>
        </w:rPr>
        <w:t xml:space="preserve">meant that </w:t>
      </w:r>
      <w:r w:rsidR="00140E9F" w:rsidRPr="00833CA4">
        <w:rPr>
          <w:spacing w:val="-2"/>
          <w:lang w:val="en-GB"/>
        </w:rPr>
        <w:t xml:space="preserve">it </w:t>
      </w:r>
      <w:r w:rsidR="0075789C" w:rsidRPr="00833CA4">
        <w:rPr>
          <w:spacing w:val="-2"/>
          <w:lang w:val="en-GB"/>
        </w:rPr>
        <w:t xml:space="preserve">needed </w:t>
      </w:r>
      <w:r w:rsidRPr="00833CA4">
        <w:rPr>
          <w:spacing w:val="-2"/>
          <w:lang w:val="en-GB"/>
        </w:rPr>
        <w:t xml:space="preserve">to follow more rules than most of </w:t>
      </w:r>
      <w:r w:rsidR="00140E9F" w:rsidRPr="00833CA4">
        <w:rPr>
          <w:spacing w:val="-2"/>
          <w:lang w:val="en-GB"/>
        </w:rPr>
        <w:t xml:space="preserve">its </w:t>
      </w:r>
      <w:r w:rsidRPr="00833CA4">
        <w:rPr>
          <w:spacing w:val="-2"/>
          <w:lang w:val="en-GB"/>
        </w:rPr>
        <w:t xml:space="preserve">competitors. </w:t>
      </w:r>
      <w:r w:rsidR="0075789C" w:rsidRPr="00833CA4">
        <w:rPr>
          <w:spacing w:val="-2"/>
          <w:lang w:val="en-GB"/>
        </w:rPr>
        <w:t>Canada had</w:t>
      </w:r>
      <w:r w:rsidRPr="00833CA4">
        <w:rPr>
          <w:spacing w:val="-2"/>
          <w:lang w:val="en-GB"/>
        </w:rPr>
        <w:t xml:space="preserve"> only </w:t>
      </w:r>
      <w:r w:rsidR="00140E9F" w:rsidRPr="00833CA4">
        <w:rPr>
          <w:spacing w:val="-2"/>
          <w:lang w:val="en-GB"/>
        </w:rPr>
        <w:t xml:space="preserve">three </w:t>
      </w:r>
      <w:r w:rsidRPr="00833CA4">
        <w:rPr>
          <w:spacing w:val="-2"/>
          <w:lang w:val="en-GB"/>
        </w:rPr>
        <w:t>organic LPs</w:t>
      </w:r>
      <w:r w:rsidR="00140E9F" w:rsidRPr="00833CA4">
        <w:rPr>
          <w:spacing w:val="-2"/>
          <w:lang w:val="en-GB"/>
        </w:rPr>
        <w:t>.</w:t>
      </w:r>
      <w:r w:rsidRPr="00833CA4">
        <w:rPr>
          <w:rFonts w:eastAsia="Cambria" w:cs="Cambria"/>
          <w:spacing w:val="-2"/>
          <w:vertAlign w:val="superscript"/>
          <w:lang w:val="en-GB"/>
        </w:rPr>
        <w:endnoteReference w:id="14"/>
      </w:r>
      <w:r w:rsidR="003F1690" w:rsidRPr="00833CA4">
        <w:rPr>
          <w:spacing w:val="-2"/>
          <w:lang w:val="en-GB"/>
        </w:rPr>
        <w:t xml:space="preserve"> Organigram was the only Maritime cannabis company with licences to cultivate, produce, and sell cannabis products.</w:t>
      </w:r>
    </w:p>
    <w:p w14:paraId="3BC0F6A9" w14:textId="77777777" w:rsidR="00DD1A25" w:rsidRPr="00E828B1" w:rsidRDefault="00DD1A25" w:rsidP="00DD1A25">
      <w:pPr>
        <w:pStyle w:val="BodyTextMain"/>
        <w:rPr>
          <w:rFonts w:eastAsia="Cambria" w:cs="Cambria"/>
          <w:lang w:val="en-GB"/>
        </w:rPr>
      </w:pPr>
    </w:p>
    <w:p w14:paraId="74C37A99" w14:textId="5BC1B7A2" w:rsidR="00DD1A25" w:rsidRPr="00E828B1" w:rsidRDefault="00DD1A25" w:rsidP="00DD1A25">
      <w:pPr>
        <w:pStyle w:val="BodyTextMain"/>
        <w:rPr>
          <w:rFonts w:eastAsia="Cambria" w:cs="Cambria"/>
          <w:lang w:val="en-GB"/>
        </w:rPr>
      </w:pPr>
      <w:r w:rsidRPr="00E828B1">
        <w:rPr>
          <w:rFonts w:eastAsia="Cambria" w:cs="Cambria"/>
          <w:lang w:val="en-GB"/>
        </w:rPr>
        <w:t xml:space="preserve">In a </w:t>
      </w:r>
      <w:r w:rsidR="00833CA4">
        <w:rPr>
          <w:rFonts w:eastAsia="Cambria" w:cs="Cambria"/>
          <w:lang w:val="en-GB"/>
        </w:rPr>
        <w:t>Canadian Broadcasting Corporation</w:t>
      </w:r>
      <w:r w:rsidRPr="00E828B1">
        <w:rPr>
          <w:rFonts w:eastAsia="Cambria" w:cs="Cambria"/>
          <w:lang w:val="en-GB"/>
        </w:rPr>
        <w:t xml:space="preserve"> report, it was announced that at the end of March 2016, the New Brunswick government awarded payroll rebates of up to $990,000 over three years to </w:t>
      </w:r>
      <w:r w:rsidRPr="00E828B1">
        <w:rPr>
          <w:lang w:val="en-GB"/>
        </w:rPr>
        <w:t>OrganiGram to help create up to 113 new jobs in the province</w:t>
      </w:r>
      <w:r w:rsidR="003C06BF" w:rsidRPr="00E828B1">
        <w:rPr>
          <w:lang w:val="en-GB"/>
        </w:rPr>
        <w:t>.</w:t>
      </w:r>
      <w:r w:rsidRPr="00E828B1">
        <w:rPr>
          <w:rFonts w:eastAsia="Cambria" w:cs="Cambria"/>
          <w:vertAlign w:val="superscript"/>
          <w:lang w:val="en-GB"/>
        </w:rPr>
        <w:endnoteReference w:id="15"/>
      </w:r>
      <w:r w:rsidRPr="00E828B1">
        <w:rPr>
          <w:lang w:val="en-GB"/>
        </w:rPr>
        <w:t xml:space="preserve"> C</w:t>
      </w:r>
      <w:r w:rsidR="00386676" w:rsidRPr="00E828B1">
        <w:rPr>
          <w:lang w:val="en-GB"/>
        </w:rPr>
        <w:t>hief executive officer</w:t>
      </w:r>
      <w:r w:rsidRPr="00E828B1">
        <w:rPr>
          <w:lang w:val="en-GB"/>
        </w:rPr>
        <w:t xml:space="preserve"> Denis Arsenault stated, “We are from New Brunswick and </w:t>
      </w:r>
      <w:r w:rsidR="003C06BF" w:rsidRPr="00E828B1">
        <w:rPr>
          <w:lang w:val="en-GB"/>
        </w:rPr>
        <w:t xml:space="preserve">we’re </w:t>
      </w:r>
      <w:r w:rsidRPr="00E828B1">
        <w:rPr>
          <w:lang w:val="en-GB"/>
        </w:rPr>
        <w:t>excited to invest at home</w:t>
      </w:r>
      <w:r w:rsidR="00662A41" w:rsidRPr="00E828B1">
        <w:rPr>
          <w:lang w:val="en-GB"/>
        </w:rPr>
        <w:t>,</w:t>
      </w:r>
      <w:r w:rsidRPr="00E828B1">
        <w:rPr>
          <w:lang w:val="en-GB"/>
        </w:rPr>
        <w:t xml:space="preserve"> where the advantages of a well-educated work force, low power rates and a competitive cost of living make New Brunswick and Moncton a logical place for our future</w:t>
      </w:r>
      <w:r w:rsidR="00140E9F" w:rsidRPr="00E828B1">
        <w:rPr>
          <w:lang w:val="en-GB"/>
        </w:rPr>
        <w:t>.</w:t>
      </w:r>
      <w:r w:rsidRPr="00E828B1">
        <w:rPr>
          <w:lang w:val="en-GB"/>
        </w:rPr>
        <w:t>”</w:t>
      </w:r>
      <w:r w:rsidRPr="00E828B1">
        <w:rPr>
          <w:rFonts w:eastAsia="Cambria" w:cs="Cambria"/>
          <w:vertAlign w:val="superscript"/>
          <w:lang w:val="en-GB"/>
        </w:rPr>
        <w:endnoteReference w:id="16"/>
      </w:r>
    </w:p>
    <w:p w14:paraId="0A432B2F" w14:textId="77777777" w:rsidR="00DD1A25" w:rsidRPr="00E828B1" w:rsidRDefault="00DD1A25" w:rsidP="00DD1A25">
      <w:pPr>
        <w:pStyle w:val="BodyTextMain"/>
        <w:rPr>
          <w:rFonts w:eastAsia="Cambria" w:cs="Cambria"/>
          <w:lang w:val="en-GB"/>
        </w:rPr>
      </w:pPr>
    </w:p>
    <w:p w14:paraId="4DDC5741" w14:textId="31AEA6EE" w:rsidR="00DD1A25" w:rsidRPr="00E828B1" w:rsidRDefault="00DD1A25" w:rsidP="00DD1A25">
      <w:pPr>
        <w:pStyle w:val="BodyTextMain"/>
        <w:rPr>
          <w:rFonts w:eastAsia="Cambria" w:cs="Cambria"/>
          <w:lang w:val="en-GB"/>
        </w:rPr>
      </w:pPr>
      <w:r w:rsidRPr="00E828B1">
        <w:rPr>
          <w:rFonts w:eastAsia="Cambria" w:cs="Cambria"/>
          <w:lang w:val="en-GB"/>
        </w:rPr>
        <w:t xml:space="preserve">In the summer of 2016, </w:t>
      </w:r>
      <w:r w:rsidRPr="00E828B1">
        <w:rPr>
          <w:lang w:val="en-GB"/>
        </w:rPr>
        <w:t>OrganiGram purchased a new building in Moncton. In an interview published on Oct</w:t>
      </w:r>
      <w:r w:rsidR="00B707B1" w:rsidRPr="00E828B1">
        <w:rPr>
          <w:lang w:val="en-GB"/>
        </w:rPr>
        <w:t>ober</w:t>
      </w:r>
      <w:r w:rsidRPr="00E828B1">
        <w:rPr>
          <w:lang w:val="en-GB"/>
        </w:rPr>
        <w:t xml:space="preserve"> 25, 2016, </w:t>
      </w:r>
      <w:r w:rsidR="00F60724">
        <w:rPr>
          <w:lang w:val="en-GB"/>
        </w:rPr>
        <w:t>c</w:t>
      </w:r>
      <w:r w:rsidR="00386676" w:rsidRPr="00E828B1">
        <w:rPr>
          <w:lang w:val="en-GB"/>
        </w:rPr>
        <w:t xml:space="preserve">hief commercial officer </w:t>
      </w:r>
      <w:r w:rsidRPr="00E828B1">
        <w:rPr>
          <w:lang w:val="en-GB"/>
        </w:rPr>
        <w:t>Ray Gracewood stated that much of the space in the new facility in Moncton would be for the manufacturing of edibles and extracts</w:t>
      </w:r>
      <w:r w:rsidR="00B707B1" w:rsidRPr="00E828B1">
        <w:rPr>
          <w:lang w:val="en-GB"/>
        </w:rPr>
        <w:t>.</w:t>
      </w:r>
      <w:r w:rsidRPr="00E828B1">
        <w:rPr>
          <w:rFonts w:eastAsia="Cambria" w:cs="Cambria"/>
          <w:vertAlign w:val="superscript"/>
          <w:lang w:val="en-GB"/>
        </w:rPr>
        <w:endnoteReference w:id="17"/>
      </w:r>
      <w:r w:rsidRPr="00E828B1">
        <w:rPr>
          <w:lang w:val="en-GB"/>
        </w:rPr>
        <w:t xml:space="preserve"> To finance </w:t>
      </w:r>
      <w:r w:rsidR="00B707B1" w:rsidRPr="00E828B1">
        <w:rPr>
          <w:lang w:val="en-GB"/>
        </w:rPr>
        <w:t xml:space="preserve">its </w:t>
      </w:r>
      <w:r w:rsidRPr="00E828B1">
        <w:rPr>
          <w:lang w:val="en-GB"/>
        </w:rPr>
        <w:t>expansion plans, OrganiGram announced the closing of a $40 million bought deal on Dec</w:t>
      </w:r>
      <w:r w:rsidR="00B707B1" w:rsidRPr="00E828B1">
        <w:rPr>
          <w:lang w:val="en-GB"/>
        </w:rPr>
        <w:t xml:space="preserve">ember </w:t>
      </w:r>
      <w:r w:rsidRPr="00E828B1">
        <w:rPr>
          <w:lang w:val="en-GB"/>
        </w:rPr>
        <w:t>7, 2016</w:t>
      </w:r>
      <w:r w:rsidR="00B707B1" w:rsidRPr="00E828B1">
        <w:rPr>
          <w:lang w:val="en-GB"/>
        </w:rPr>
        <w:t>,</w:t>
      </w:r>
      <w:r w:rsidR="008F68FA" w:rsidRPr="00E828B1">
        <w:rPr>
          <w:lang w:val="en-GB"/>
        </w:rPr>
        <w:t xml:space="preserve"> to finance an expansion of </w:t>
      </w:r>
      <w:r w:rsidR="00B707B1" w:rsidRPr="00E828B1">
        <w:rPr>
          <w:lang w:val="en-GB"/>
        </w:rPr>
        <w:t xml:space="preserve">its </w:t>
      </w:r>
      <w:r w:rsidR="008F68FA" w:rsidRPr="00E828B1">
        <w:rPr>
          <w:lang w:val="en-GB"/>
        </w:rPr>
        <w:t xml:space="preserve">existing facility for an additional 32,000 square feet </w:t>
      </w:r>
      <w:r w:rsidR="00F60724">
        <w:rPr>
          <w:lang w:val="en-GB"/>
        </w:rPr>
        <w:t xml:space="preserve">(2,973 square metres) </w:t>
      </w:r>
      <w:r w:rsidR="008F68FA" w:rsidRPr="00E828B1">
        <w:rPr>
          <w:lang w:val="en-GB"/>
        </w:rPr>
        <w:t xml:space="preserve">of </w:t>
      </w:r>
      <w:r w:rsidR="00EA0886" w:rsidRPr="00E828B1">
        <w:rPr>
          <w:lang w:val="en-GB"/>
        </w:rPr>
        <w:t>grow-</w:t>
      </w:r>
      <w:r w:rsidR="008F68FA" w:rsidRPr="00E828B1">
        <w:rPr>
          <w:lang w:val="en-GB"/>
        </w:rPr>
        <w:t xml:space="preserve">room area and continue with </w:t>
      </w:r>
      <w:r w:rsidR="00B707B1" w:rsidRPr="00E828B1">
        <w:rPr>
          <w:lang w:val="en-GB"/>
        </w:rPr>
        <w:t>its</w:t>
      </w:r>
      <w:r w:rsidR="008F68FA" w:rsidRPr="00E828B1">
        <w:rPr>
          <w:lang w:val="en-GB"/>
        </w:rPr>
        <w:t xml:space="preserve"> planned cannabis oil extracts and derivatives facility.</w:t>
      </w:r>
      <w:r w:rsidRPr="00E828B1">
        <w:rPr>
          <w:rFonts w:eastAsia="Cambria" w:cs="Cambria"/>
          <w:vertAlign w:val="superscript"/>
          <w:lang w:val="en-GB"/>
        </w:rPr>
        <w:endnoteReference w:id="18"/>
      </w:r>
      <w:r w:rsidR="008F68FA" w:rsidRPr="00E828B1">
        <w:rPr>
          <w:lang w:val="en-GB"/>
        </w:rPr>
        <w:t xml:space="preserve"> In this bought deal, a group of investment firms (led by Dundee Securities</w:t>
      </w:r>
      <w:r w:rsidR="00833CA4">
        <w:rPr>
          <w:lang w:val="en-GB"/>
        </w:rPr>
        <w:t xml:space="preserve"> Ltd.</w:t>
      </w:r>
      <w:r w:rsidR="008F68FA" w:rsidRPr="00E828B1">
        <w:rPr>
          <w:lang w:val="en-GB"/>
        </w:rPr>
        <w:t xml:space="preserve">) offered $40,253,450 for </w:t>
      </w:r>
      <w:r w:rsidR="00F60724">
        <w:rPr>
          <w:lang w:val="en-GB"/>
        </w:rPr>
        <w:t xml:space="preserve">11,339,000 shares at a price of </w:t>
      </w:r>
      <w:r w:rsidR="008F68FA" w:rsidRPr="00E828B1">
        <w:rPr>
          <w:lang w:val="en-GB"/>
        </w:rPr>
        <w:t xml:space="preserve">$3.55 per share to </w:t>
      </w:r>
      <w:r w:rsidR="00EA0886" w:rsidRPr="00E828B1">
        <w:rPr>
          <w:lang w:val="en-GB"/>
        </w:rPr>
        <w:t>OrganiGram</w:t>
      </w:r>
      <w:r w:rsidR="008F68FA" w:rsidRPr="00E828B1">
        <w:rPr>
          <w:lang w:val="en-GB"/>
        </w:rPr>
        <w:t>.</w:t>
      </w:r>
      <w:r w:rsidR="008F68FA" w:rsidRPr="00E828B1">
        <w:rPr>
          <w:rStyle w:val="EndnoteReference"/>
          <w:lang w:val="en-GB"/>
        </w:rPr>
        <w:endnoteReference w:id="19"/>
      </w:r>
    </w:p>
    <w:p w14:paraId="190C46C3" w14:textId="77777777" w:rsidR="00DD1A25" w:rsidRPr="00E828B1" w:rsidRDefault="00DD1A25" w:rsidP="00DD1A25">
      <w:pPr>
        <w:pStyle w:val="BodyTextMain"/>
        <w:rPr>
          <w:rFonts w:eastAsia="Cambria" w:cs="Cambria"/>
          <w:lang w:val="en-GB"/>
        </w:rPr>
      </w:pPr>
    </w:p>
    <w:p w14:paraId="07035AC5" w14:textId="6F8DF163" w:rsidR="00DD1A25" w:rsidRPr="00E828B1" w:rsidRDefault="00DD1A25" w:rsidP="00DD1A25">
      <w:pPr>
        <w:pStyle w:val="BodyTextMain"/>
        <w:rPr>
          <w:rFonts w:eastAsia="Cambria" w:cs="Cambria"/>
          <w:lang w:val="en-GB"/>
        </w:rPr>
      </w:pPr>
    </w:p>
    <w:p w14:paraId="26BDE653" w14:textId="5BA033AB" w:rsidR="00DD1A25" w:rsidRPr="00E828B1" w:rsidRDefault="00F60724" w:rsidP="00745D4B">
      <w:pPr>
        <w:pStyle w:val="Casehead1"/>
        <w:rPr>
          <w:rFonts w:eastAsia="Cambria" w:cs="Cambria"/>
          <w:lang w:val="en-GB"/>
        </w:rPr>
      </w:pPr>
      <w:r>
        <w:rPr>
          <w:lang w:val="en-GB"/>
        </w:rPr>
        <w:t xml:space="preserve">The </w:t>
      </w:r>
      <w:r w:rsidR="00DD1A25" w:rsidRPr="00E828B1">
        <w:rPr>
          <w:lang w:val="en-GB"/>
        </w:rPr>
        <w:t>Process of producing cannabis products</w:t>
      </w:r>
    </w:p>
    <w:p w14:paraId="5E39BED0" w14:textId="77777777" w:rsidR="00DD1A25" w:rsidRPr="00E828B1" w:rsidRDefault="00DD1A25" w:rsidP="00DD1A25">
      <w:pPr>
        <w:pStyle w:val="BodyTextMain"/>
        <w:rPr>
          <w:lang w:val="en-GB"/>
        </w:rPr>
      </w:pPr>
    </w:p>
    <w:p w14:paraId="685A2866" w14:textId="45D28C79" w:rsidR="00DD1A25" w:rsidRPr="00E828B1" w:rsidRDefault="00DD1A25" w:rsidP="00DD1A25">
      <w:pPr>
        <w:pStyle w:val="BodyTextMain"/>
        <w:rPr>
          <w:lang w:val="en-GB"/>
        </w:rPr>
      </w:pPr>
      <w:r w:rsidRPr="00E828B1">
        <w:rPr>
          <w:lang w:val="en-GB"/>
        </w:rPr>
        <w:t>The process of growing and processing cannabis started with purchasing and receiving materials such as soil and fertilizers. Cuttings taken from mother plants were started in the nursery to grow clones</w:t>
      </w:r>
      <w:r w:rsidR="00EF2D41" w:rsidRPr="00E828B1">
        <w:rPr>
          <w:lang w:val="en-GB"/>
        </w:rPr>
        <w:t>, which were</w:t>
      </w:r>
      <w:r w:rsidRPr="00E828B1">
        <w:rPr>
          <w:lang w:val="en-GB"/>
        </w:rPr>
        <w:t xml:space="preserve"> put into pots of soil for the </w:t>
      </w:r>
      <w:r w:rsidR="00F60724">
        <w:rPr>
          <w:lang w:val="en-GB"/>
        </w:rPr>
        <w:t>pre-vegetative (</w:t>
      </w:r>
      <w:r w:rsidRPr="00E828B1">
        <w:rPr>
          <w:lang w:val="en-GB"/>
        </w:rPr>
        <w:t>pre-veg</w:t>
      </w:r>
      <w:r w:rsidR="00F60724">
        <w:rPr>
          <w:lang w:val="en-GB"/>
        </w:rPr>
        <w:t>)</w:t>
      </w:r>
      <w:r w:rsidRPr="00E828B1">
        <w:rPr>
          <w:lang w:val="en-GB"/>
        </w:rPr>
        <w:t xml:space="preserve"> process. </w:t>
      </w:r>
      <w:r w:rsidR="00E82D30" w:rsidRPr="00E828B1">
        <w:rPr>
          <w:lang w:val="en-GB"/>
        </w:rPr>
        <w:t>The process of growing plants from clones had two benefits: (1) it took less time than grow</w:t>
      </w:r>
      <w:r w:rsidR="003F5476">
        <w:rPr>
          <w:lang w:val="en-GB"/>
        </w:rPr>
        <w:t>ing</w:t>
      </w:r>
      <w:r w:rsidR="00E82D30" w:rsidRPr="00E828B1">
        <w:rPr>
          <w:lang w:val="en-GB"/>
        </w:rPr>
        <w:t xml:space="preserve"> from seed</w:t>
      </w:r>
      <w:r w:rsidR="00833CA4">
        <w:rPr>
          <w:lang w:val="en-GB"/>
        </w:rPr>
        <w:t>s</w:t>
      </w:r>
      <w:r w:rsidR="00E82D30" w:rsidRPr="00E828B1">
        <w:rPr>
          <w:lang w:val="en-GB"/>
        </w:rPr>
        <w:t xml:space="preserve"> and (2) it ensured that the plants would have the same characteristics as the mother plant. </w:t>
      </w:r>
      <w:r w:rsidRPr="00E828B1">
        <w:rPr>
          <w:lang w:val="en-GB"/>
        </w:rPr>
        <w:t>The pre-veg process took several weeks</w:t>
      </w:r>
      <w:r w:rsidR="00B707B1" w:rsidRPr="00E828B1">
        <w:rPr>
          <w:lang w:val="en-GB"/>
        </w:rPr>
        <w:t>,</w:t>
      </w:r>
      <w:r w:rsidRPr="00E828B1">
        <w:rPr>
          <w:lang w:val="en-GB"/>
        </w:rPr>
        <w:t xml:space="preserve"> as did the vegetative process, which </w:t>
      </w:r>
      <w:r w:rsidR="003F5476">
        <w:rPr>
          <w:lang w:val="en-GB"/>
        </w:rPr>
        <w:t>began</w:t>
      </w:r>
      <w:r w:rsidR="00F60724" w:rsidRPr="00E828B1">
        <w:rPr>
          <w:lang w:val="en-GB"/>
        </w:rPr>
        <w:t xml:space="preserve"> </w:t>
      </w:r>
      <w:r w:rsidRPr="00E828B1">
        <w:rPr>
          <w:lang w:val="en-GB"/>
        </w:rPr>
        <w:t>when the plants were set into larger pots. Next, the plants were placed in grow rooms for the flowering stage</w:t>
      </w:r>
      <w:r w:rsidR="00B91921" w:rsidRPr="00E828B1">
        <w:rPr>
          <w:lang w:val="en-GB"/>
        </w:rPr>
        <w:t>, which took 56</w:t>
      </w:r>
      <w:r w:rsidR="00B707B1" w:rsidRPr="00E828B1">
        <w:rPr>
          <w:lang w:val="en-GB"/>
        </w:rPr>
        <w:t>–</w:t>
      </w:r>
      <w:r w:rsidR="00B91921" w:rsidRPr="00E828B1">
        <w:rPr>
          <w:lang w:val="en-GB"/>
        </w:rPr>
        <w:t>72 days</w:t>
      </w:r>
      <w:r w:rsidRPr="00E828B1">
        <w:rPr>
          <w:lang w:val="en-GB"/>
        </w:rPr>
        <w:t xml:space="preserve">. After harvesting, the cannabis was trimmed, dried, cured, and packaged for mailing to patients. OrganiGram </w:t>
      </w:r>
      <w:r w:rsidR="005E6F33" w:rsidRPr="00E828B1">
        <w:rPr>
          <w:lang w:val="en-GB"/>
        </w:rPr>
        <w:t xml:space="preserve">had </w:t>
      </w:r>
      <w:r w:rsidRPr="00E828B1">
        <w:rPr>
          <w:lang w:val="en-GB"/>
        </w:rPr>
        <w:t>produced and posted a YouTube video that described the growing process</w:t>
      </w:r>
      <w:r w:rsidR="00BA64E9" w:rsidRPr="00E828B1">
        <w:rPr>
          <w:lang w:val="en-GB"/>
        </w:rPr>
        <w:t>.</w:t>
      </w:r>
      <w:r w:rsidRPr="00E828B1">
        <w:rPr>
          <w:rFonts w:eastAsia="Cambria" w:cs="Cambria"/>
          <w:vertAlign w:val="superscript"/>
          <w:lang w:val="en-GB"/>
        </w:rPr>
        <w:endnoteReference w:id="20"/>
      </w:r>
      <w:r w:rsidRPr="00E828B1">
        <w:rPr>
          <w:lang w:val="en-GB"/>
        </w:rPr>
        <w:t xml:space="preserve"> According to Rogers, it could take over </w:t>
      </w:r>
      <w:r w:rsidR="00B707B1" w:rsidRPr="00E828B1">
        <w:rPr>
          <w:lang w:val="en-GB"/>
        </w:rPr>
        <w:t xml:space="preserve">six </w:t>
      </w:r>
      <w:r w:rsidRPr="00E828B1">
        <w:rPr>
          <w:lang w:val="en-GB"/>
        </w:rPr>
        <w:t xml:space="preserve">months from starting the clones to packaging the final product. Under the ACMPR, LPs were permitted to sell cannabis products </w:t>
      </w:r>
      <w:r w:rsidR="004868E3">
        <w:rPr>
          <w:lang w:val="en-GB"/>
        </w:rPr>
        <w:t xml:space="preserve">only </w:t>
      </w:r>
      <w:r w:rsidRPr="00E828B1">
        <w:rPr>
          <w:lang w:val="en-GB"/>
        </w:rPr>
        <w:t>to patients</w:t>
      </w:r>
      <w:r w:rsidR="00833CA4">
        <w:rPr>
          <w:lang w:val="en-GB"/>
        </w:rPr>
        <w:t xml:space="preserve"> directly</w:t>
      </w:r>
      <w:r w:rsidRPr="00E828B1">
        <w:rPr>
          <w:lang w:val="en-GB"/>
        </w:rPr>
        <w:t xml:space="preserve"> through mail order or to other LPs on a wholesale basis.</w:t>
      </w:r>
    </w:p>
    <w:p w14:paraId="6F1A2B14" w14:textId="454B38BF" w:rsidR="00DD1A25" w:rsidRPr="00E828B1" w:rsidRDefault="004868E3" w:rsidP="007E4221">
      <w:pPr>
        <w:pStyle w:val="Casehead1"/>
        <w:keepNext/>
        <w:rPr>
          <w:rFonts w:eastAsia="Cambria" w:cs="Cambria"/>
          <w:lang w:val="en-GB"/>
        </w:rPr>
      </w:pPr>
      <w:r>
        <w:rPr>
          <w:lang w:val="en-GB"/>
        </w:rPr>
        <w:lastRenderedPageBreak/>
        <w:t xml:space="preserve">organigram’s </w:t>
      </w:r>
      <w:r w:rsidR="00DD324E" w:rsidRPr="00E828B1">
        <w:rPr>
          <w:lang w:val="en-GB"/>
        </w:rPr>
        <w:t>Existing Product Lines</w:t>
      </w:r>
    </w:p>
    <w:p w14:paraId="59F3A2AA" w14:textId="77777777" w:rsidR="003F0326" w:rsidRPr="00E828B1" w:rsidRDefault="003F0326" w:rsidP="007E4221">
      <w:pPr>
        <w:pStyle w:val="BodyTextMain"/>
        <w:keepNext/>
        <w:rPr>
          <w:lang w:val="en-GB"/>
        </w:rPr>
      </w:pPr>
    </w:p>
    <w:p w14:paraId="72B42C18" w14:textId="346117D8" w:rsidR="00DD1A25" w:rsidRPr="007E4221" w:rsidRDefault="00DD1A25" w:rsidP="007E4221">
      <w:pPr>
        <w:pStyle w:val="BodyTextMain"/>
        <w:keepNext/>
        <w:rPr>
          <w:rFonts w:eastAsia="Cambria" w:cs="Cambria"/>
          <w:spacing w:val="-2"/>
          <w:lang w:val="en-GB"/>
        </w:rPr>
      </w:pPr>
      <w:r w:rsidRPr="007E4221">
        <w:rPr>
          <w:spacing w:val="-2"/>
          <w:lang w:val="en-GB"/>
        </w:rPr>
        <w:t xml:space="preserve">OrganiGram differentiated </w:t>
      </w:r>
      <w:r w:rsidR="00B707B1" w:rsidRPr="007E4221">
        <w:rPr>
          <w:spacing w:val="-2"/>
          <w:lang w:val="en-GB"/>
        </w:rPr>
        <w:t xml:space="preserve">itself </w:t>
      </w:r>
      <w:r w:rsidRPr="007E4221">
        <w:rPr>
          <w:spacing w:val="-2"/>
          <w:lang w:val="en-GB"/>
        </w:rPr>
        <w:t xml:space="preserve">by highlighting that some of </w:t>
      </w:r>
      <w:r w:rsidR="00B707B1" w:rsidRPr="007E4221">
        <w:rPr>
          <w:spacing w:val="-2"/>
          <w:lang w:val="en-GB"/>
        </w:rPr>
        <w:t xml:space="preserve">its </w:t>
      </w:r>
      <w:r w:rsidRPr="007E4221">
        <w:rPr>
          <w:spacing w:val="-2"/>
          <w:lang w:val="en-GB"/>
        </w:rPr>
        <w:t xml:space="preserve">products </w:t>
      </w:r>
      <w:r w:rsidR="00B707B1" w:rsidRPr="007E4221">
        <w:rPr>
          <w:spacing w:val="-2"/>
          <w:lang w:val="en-GB"/>
        </w:rPr>
        <w:t>we</w:t>
      </w:r>
      <w:r w:rsidRPr="007E4221">
        <w:rPr>
          <w:spacing w:val="-2"/>
          <w:lang w:val="en-GB"/>
        </w:rPr>
        <w:t>re premium</w:t>
      </w:r>
      <w:r w:rsidR="003F5476" w:rsidRPr="007E4221">
        <w:rPr>
          <w:spacing w:val="-2"/>
          <w:lang w:val="en-GB"/>
        </w:rPr>
        <w:t>,</w:t>
      </w:r>
      <w:r w:rsidRPr="007E4221">
        <w:rPr>
          <w:spacing w:val="-2"/>
          <w:lang w:val="en-GB"/>
        </w:rPr>
        <w:t xml:space="preserve"> 100</w:t>
      </w:r>
      <w:r w:rsidR="00B707B1" w:rsidRPr="007E4221">
        <w:rPr>
          <w:spacing w:val="-2"/>
          <w:lang w:val="en-GB"/>
        </w:rPr>
        <w:t xml:space="preserve"> per cent</w:t>
      </w:r>
      <w:r w:rsidRPr="007E4221">
        <w:rPr>
          <w:spacing w:val="-2"/>
          <w:lang w:val="en-GB"/>
        </w:rPr>
        <w:t xml:space="preserve"> organic, which meant that they were subject to audits, </w:t>
      </w:r>
      <w:r w:rsidR="003F5476" w:rsidRPr="007E4221">
        <w:rPr>
          <w:spacing w:val="-2"/>
          <w:lang w:val="en-GB"/>
        </w:rPr>
        <w:t xml:space="preserve">were grown in </w:t>
      </w:r>
      <w:r w:rsidRPr="007E4221">
        <w:rPr>
          <w:spacing w:val="-2"/>
          <w:lang w:val="en-GB"/>
        </w:rPr>
        <w:t xml:space="preserve">regulated soil, </w:t>
      </w:r>
      <w:r w:rsidR="003F5476" w:rsidRPr="007E4221">
        <w:rPr>
          <w:spacing w:val="-2"/>
          <w:lang w:val="en-GB"/>
        </w:rPr>
        <w:t xml:space="preserve">received </w:t>
      </w:r>
      <w:r w:rsidRPr="007E4221">
        <w:rPr>
          <w:spacing w:val="-2"/>
          <w:lang w:val="en-GB"/>
        </w:rPr>
        <w:t xml:space="preserve">organic fertilizers, and were free of certain disallowed pesticides. </w:t>
      </w:r>
      <w:r w:rsidR="004868E3" w:rsidRPr="007E4221">
        <w:rPr>
          <w:spacing w:val="-2"/>
          <w:lang w:val="en-GB"/>
        </w:rPr>
        <w:t xml:space="preserve">These standards were </w:t>
      </w:r>
      <w:r w:rsidRPr="007E4221">
        <w:rPr>
          <w:spacing w:val="-2"/>
          <w:lang w:val="en-GB"/>
        </w:rPr>
        <w:t>in addition to the Health Canada regulations.</w:t>
      </w:r>
      <w:r w:rsidR="008F68FA" w:rsidRPr="007E4221">
        <w:rPr>
          <w:spacing w:val="-2"/>
          <w:lang w:val="en-GB"/>
        </w:rPr>
        <w:t xml:space="preserve"> </w:t>
      </w:r>
      <w:r w:rsidR="00EA0886" w:rsidRPr="007E4221">
        <w:rPr>
          <w:spacing w:val="-2"/>
          <w:lang w:val="en-GB"/>
        </w:rPr>
        <w:t xml:space="preserve">OrganiGram </w:t>
      </w:r>
      <w:r w:rsidR="008F68FA" w:rsidRPr="007E4221">
        <w:rPr>
          <w:spacing w:val="-2"/>
          <w:lang w:val="en-GB"/>
        </w:rPr>
        <w:t xml:space="preserve">received </w:t>
      </w:r>
      <w:r w:rsidR="00B707B1" w:rsidRPr="007E4221">
        <w:rPr>
          <w:spacing w:val="-2"/>
          <w:lang w:val="en-GB"/>
        </w:rPr>
        <w:t>its</w:t>
      </w:r>
      <w:r w:rsidR="008F68FA" w:rsidRPr="007E4221">
        <w:rPr>
          <w:spacing w:val="-2"/>
          <w:lang w:val="en-GB"/>
        </w:rPr>
        <w:t xml:space="preserve"> organic certification from ECOCERT on Oct</w:t>
      </w:r>
      <w:r w:rsidR="00B707B1" w:rsidRPr="007E4221">
        <w:rPr>
          <w:spacing w:val="-2"/>
          <w:lang w:val="en-GB"/>
        </w:rPr>
        <w:t>ober</w:t>
      </w:r>
      <w:r w:rsidR="008F68FA" w:rsidRPr="007E4221">
        <w:rPr>
          <w:spacing w:val="-2"/>
          <w:lang w:val="en-GB"/>
        </w:rPr>
        <w:t xml:space="preserve"> 10, 2014.</w:t>
      </w:r>
      <w:r w:rsidR="008F68FA" w:rsidRPr="007E4221">
        <w:rPr>
          <w:rStyle w:val="EndnoteReference"/>
          <w:spacing w:val="-2"/>
          <w:lang w:val="en-GB"/>
        </w:rPr>
        <w:endnoteReference w:id="21"/>
      </w:r>
    </w:p>
    <w:p w14:paraId="050C9AD8" w14:textId="77777777" w:rsidR="00DD1A25" w:rsidRPr="00E828B1" w:rsidRDefault="00DD1A25" w:rsidP="00DD1A25">
      <w:pPr>
        <w:pStyle w:val="BodyTextMain"/>
        <w:rPr>
          <w:rFonts w:eastAsia="Cambria" w:cs="Cambria"/>
          <w:lang w:val="en-GB"/>
        </w:rPr>
      </w:pPr>
    </w:p>
    <w:p w14:paraId="4F9D0957" w14:textId="27C7127A" w:rsidR="00DD1A25" w:rsidRPr="00E828B1" w:rsidRDefault="00DD1A25" w:rsidP="00DD1A25">
      <w:pPr>
        <w:pStyle w:val="BodyTextMain"/>
        <w:rPr>
          <w:rFonts w:eastAsia="Cambria" w:cs="Cambria"/>
          <w:lang w:val="en-GB"/>
        </w:rPr>
      </w:pPr>
      <w:r w:rsidRPr="00E828B1">
        <w:rPr>
          <w:rFonts w:eastAsia="Cambria" w:cs="Cambria"/>
          <w:lang w:val="en-GB"/>
        </w:rPr>
        <w:t xml:space="preserve">Many of </w:t>
      </w:r>
      <w:r w:rsidR="004868E3">
        <w:rPr>
          <w:rFonts w:eastAsia="Cambria" w:cs="Cambria"/>
          <w:lang w:val="en-GB"/>
        </w:rPr>
        <w:t>OrganiGram’s</w:t>
      </w:r>
      <w:r w:rsidR="004868E3" w:rsidRPr="00E828B1">
        <w:rPr>
          <w:rFonts w:eastAsia="Cambria" w:cs="Cambria"/>
          <w:lang w:val="en-GB"/>
        </w:rPr>
        <w:t xml:space="preserve"> </w:t>
      </w:r>
      <w:r w:rsidRPr="00E828B1">
        <w:rPr>
          <w:rFonts w:eastAsia="Cambria" w:cs="Cambria"/>
          <w:lang w:val="en-GB"/>
        </w:rPr>
        <w:t>strains had Maritime-themed names</w:t>
      </w:r>
      <w:r w:rsidR="003F5476">
        <w:rPr>
          <w:rFonts w:eastAsia="Cambria" w:cs="Cambria"/>
          <w:lang w:val="en-GB"/>
        </w:rPr>
        <w:t>,</w:t>
      </w:r>
      <w:r w:rsidRPr="00E828B1">
        <w:rPr>
          <w:rFonts w:eastAsia="Cambria" w:cs="Cambria"/>
          <w:lang w:val="en-GB"/>
        </w:rPr>
        <w:t xml:space="preserve"> such as Highlands, Rising Tides, and Lighthouse. The price of the dried cannabis ranged from $9.25 to $10.50</w:t>
      </w:r>
      <w:r w:rsidR="00EA0886" w:rsidRPr="00E828B1">
        <w:rPr>
          <w:rFonts w:eastAsia="Cambria" w:cs="Cambria"/>
          <w:lang w:val="en-GB"/>
        </w:rPr>
        <w:t xml:space="preserve"> per </w:t>
      </w:r>
      <w:r w:rsidRPr="00E828B1">
        <w:rPr>
          <w:rFonts w:eastAsia="Cambria" w:cs="Cambria"/>
          <w:lang w:val="en-GB"/>
        </w:rPr>
        <w:t xml:space="preserve">gram. </w:t>
      </w:r>
      <w:r w:rsidR="00681196" w:rsidRPr="00E828B1">
        <w:rPr>
          <w:rFonts w:eastAsia="Cambria" w:cs="Cambria"/>
          <w:lang w:val="en-GB"/>
        </w:rPr>
        <w:t xml:space="preserve">Daily dosages for patients </w:t>
      </w:r>
      <w:r w:rsidR="00C91CFF" w:rsidRPr="00E828B1">
        <w:rPr>
          <w:rFonts w:eastAsia="Cambria" w:cs="Cambria"/>
          <w:lang w:val="en-GB"/>
        </w:rPr>
        <w:t>ranged from 75 m</w:t>
      </w:r>
      <w:r w:rsidR="00B707B1" w:rsidRPr="00E828B1">
        <w:rPr>
          <w:rFonts w:eastAsia="Cambria" w:cs="Cambria"/>
          <w:lang w:val="en-GB"/>
        </w:rPr>
        <w:t>illigrams</w:t>
      </w:r>
      <w:r w:rsidR="00EA0886" w:rsidRPr="00E828B1">
        <w:rPr>
          <w:rFonts w:eastAsia="Cambria" w:cs="Cambria"/>
          <w:lang w:val="en-GB"/>
        </w:rPr>
        <w:t xml:space="preserve"> per </w:t>
      </w:r>
      <w:r w:rsidR="00C91CFF" w:rsidRPr="00E828B1">
        <w:rPr>
          <w:rFonts w:eastAsia="Cambria" w:cs="Cambria"/>
          <w:lang w:val="en-GB"/>
        </w:rPr>
        <w:t>day to 3.2 g</w:t>
      </w:r>
      <w:r w:rsidR="00B707B1" w:rsidRPr="00E828B1">
        <w:rPr>
          <w:rFonts w:eastAsia="Cambria" w:cs="Cambria"/>
          <w:lang w:val="en-GB"/>
        </w:rPr>
        <w:t>rams</w:t>
      </w:r>
      <w:r w:rsidR="00EA0886" w:rsidRPr="00E828B1">
        <w:rPr>
          <w:rFonts w:eastAsia="Cambria" w:cs="Cambria"/>
          <w:lang w:val="en-GB"/>
        </w:rPr>
        <w:t xml:space="preserve"> per </w:t>
      </w:r>
      <w:r w:rsidR="00C91CFF" w:rsidRPr="00E828B1">
        <w:rPr>
          <w:rFonts w:eastAsia="Cambria" w:cs="Cambria"/>
          <w:lang w:val="en-GB"/>
        </w:rPr>
        <w:t>day</w:t>
      </w:r>
      <w:r w:rsidR="00B707B1" w:rsidRPr="00E828B1">
        <w:rPr>
          <w:rFonts w:eastAsia="Cambria" w:cs="Cambria"/>
          <w:lang w:val="en-GB"/>
        </w:rPr>
        <w:t>.</w:t>
      </w:r>
      <w:r w:rsidR="00C91CFF" w:rsidRPr="00E828B1">
        <w:rPr>
          <w:rStyle w:val="EndnoteReference"/>
          <w:rFonts w:eastAsia="Cambria" w:cs="Cambria"/>
          <w:lang w:val="en-GB"/>
        </w:rPr>
        <w:endnoteReference w:id="22"/>
      </w:r>
      <w:r w:rsidR="00681196" w:rsidRPr="00E828B1">
        <w:rPr>
          <w:rFonts w:eastAsia="Cambria" w:cs="Cambria"/>
          <w:lang w:val="en-GB"/>
        </w:rPr>
        <w:t xml:space="preserve"> According to the ACMPR, the possession limit was 30 times the daily dosage</w:t>
      </w:r>
      <w:r w:rsidR="004868E3">
        <w:rPr>
          <w:rFonts w:eastAsia="Cambria" w:cs="Cambria"/>
          <w:lang w:val="en-GB"/>
        </w:rPr>
        <w:t>,</w:t>
      </w:r>
      <w:r w:rsidR="00681196" w:rsidRPr="00E828B1">
        <w:rPr>
          <w:rFonts w:eastAsia="Cambria" w:cs="Cambria"/>
          <w:lang w:val="en-GB"/>
        </w:rPr>
        <w:t xml:space="preserve"> or 150 grams, whichever </w:t>
      </w:r>
      <w:r w:rsidR="00B707B1" w:rsidRPr="00E828B1">
        <w:rPr>
          <w:rFonts w:eastAsia="Cambria" w:cs="Cambria"/>
          <w:lang w:val="en-GB"/>
        </w:rPr>
        <w:t xml:space="preserve">was </w:t>
      </w:r>
      <w:r w:rsidR="00681196" w:rsidRPr="00E828B1">
        <w:rPr>
          <w:rFonts w:eastAsia="Cambria" w:cs="Cambria"/>
          <w:lang w:val="en-GB"/>
        </w:rPr>
        <w:t xml:space="preserve">less. </w:t>
      </w:r>
      <w:r w:rsidRPr="00E828B1">
        <w:rPr>
          <w:rFonts w:eastAsia="Cambria" w:cs="Cambria"/>
          <w:lang w:val="en-GB"/>
        </w:rPr>
        <w:t>However, OrganiGram offered a 25</w:t>
      </w:r>
      <w:r w:rsidR="00B707B1" w:rsidRPr="00E828B1">
        <w:rPr>
          <w:rFonts w:eastAsia="Cambria" w:cs="Cambria"/>
          <w:lang w:val="en-GB"/>
        </w:rPr>
        <w:t xml:space="preserve"> per cent</w:t>
      </w:r>
      <w:r w:rsidRPr="00E828B1">
        <w:rPr>
          <w:rFonts w:eastAsia="Cambria" w:cs="Cambria"/>
          <w:lang w:val="en-GB"/>
        </w:rPr>
        <w:t xml:space="preserve"> discount to patients </w:t>
      </w:r>
      <w:r w:rsidR="003F5476">
        <w:rPr>
          <w:rFonts w:eastAsia="Cambria" w:cs="Cambria"/>
          <w:lang w:val="en-GB"/>
        </w:rPr>
        <w:t xml:space="preserve">who were </w:t>
      </w:r>
      <w:r w:rsidRPr="00E828B1">
        <w:rPr>
          <w:rFonts w:eastAsia="Cambria" w:cs="Cambria"/>
          <w:lang w:val="en-GB"/>
        </w:rPr>
        <w:t>on social assistance or disability programs. Competitors also had compassionate</w:t>
      </w:r>
      <w:r w:rsidR="004868E3">
        <w:rPr>
          <w:rFonts w:eastAsia="Cambria" w:cs="Cambria"/>
          <w:lang w:val="en-GB"/>
        </w:rPr>
        <w:t>-</w:t>
      </w:r>
      <w:r w:rsidRPr="00E828B1">
        <w:rPr>
          <w:rFonts w:eastAsia="Cambria" w:cs="Cambria"/>
          <w:lang w:val="en-GB"/>
        </w:rPr>
        <w:t>pricing programs.</w:t>
      </w:r>
      <w:r w:rsidR="00EA0886" w:rsidRPr="00E828B1">
        <w:rPr>
          <w:rFonts w:eastAsia="Cambria" w:cs="Cambria"/>
          <w:lang w:val="en-GB"/>
        </w:rPr>
        <w:t xml:space="preserve"> </w:t>
      </w:r>
    </w:p>
    <w:p w14:paraId="567C2346" w14:textId="77777777" w:rsidR="00DD1A25" w:rsidRPr="00E828B1" w:rsidRDefault="00DD1A25" w:rsidP="00DD1A25">
      <w:pPr>
        <w:pStyle w:val="BodyTextMain"/>
        <w:rPr>
          <w:rFonts w:eastAsia="Cambria" w:cs="Cambria"/>
          <w:lang w:val="en-GB"/>
        </w:rPr>
      </w:pPr>
    </w:p>
    <w:p w14:paraId="73621802" w14:textId="1B1C9B87" w:rsidR="00DD1A25" w:rsidRPr="007E4221" w:rsidRDefault="00DD1A25" w:rsidP="00DD1A25">
      <w:pPr>
        <w:pStyle w:val="BodyTextMain"/>
        <w:rPr>
          <w:rFonts w:eastAsia="Cambria" w:cs="Cambria"/>
          <w:spacing w:val="-4"/>
          <w:lang w:val="en-GB"/>
        </w:rPr>
      </w:pPr>
      <w:r w:rsidRPr="007E4221">
        <w:rPr>
          <w:rFonts w:eastAsia="Cambria" w:cs="Cambria"/>
          <w:spacing w:val="-4"/>
          <w:lang w:val="en-GB"/>
        </w:rPr>
        <w:t>OrganiGram oils were all priced at $</w:t>
      </w:r>
      <w:r w:rsidRPr="007E4221">
        <w:rPr>
          <w:spacing w:val="-4"/>
          <w:lang w:val="en-GB"/>
        </w:rPr>
        <w:t>99</w:t>
      </w:r>
      <w:r w:rsidR="00EA0886" w:rsidRPr="007E4221">
        <w:rPr>
          <w:rFonts w:eastAsia="Cambria" w:cs="Cambria"/>
          <w:spacing w:val="-4"/>
          <w:lang w:val="en-GB"/>
        </w:rPr>
        <w:t xml:space="preserve"> per </w:t>
      </w:r>
      <w:r w:rsidRPr="007E4221">
        <w:rPr>
          <w:spacing w:val="-4"/>
          <w:lang w:val="en-GB"/>
        </w:rPr>
        <w:t>50 m</w:t>
      </w:r>
      <w:r w:rsidR="00B707B1" w:rsidRPr="007E4221">
        <w:rPr>
          <w:spacing w:val="-4"/>
          <w:lang w:val="en-GB"/>
        </w:rPr>
        <w:t>illilitres</w:t>
      </w:r>
      <w:r w:rsidRPr="007E4221">
        <w:rPr>
          <w:spacing w:val="-4"/>
          <w:lang w:val="en-GB"/>
        </w:rPr>
        <w:t xml:space="preserve">. The oils had different names </w:t>
      </w:r>
      <w:r w:rsidR="004868E3" w:rsidRPr="007E4221">
        <w:rPr>
          <w:spacing w:val="-4"/>
          <w:lang w:val="en-GB"/>
        </w:rPr>
        <w:t xml:space="preserve">from </w:t>
      </w:r>
      <w:r w:rsidRPr="007E4221">
        <w:rPr>
          <w:spacing w:val="-4"/>
          <w:lang w:val="en-GB"/>
        </w:rPr>
        <w:t>their dried plant strain</w:t>
      </w:r>
      <w:r w:rsidR="00766A47" w:rsidRPr="007E4221">
        <w:rPr>
          <w:spacing w:val="-4"/>
          <w:lang w:val="en-GB"/>
        </w:rPr>
        <w:t xml:space="preserve"> names</w:t>
      </w:r>
      <w:r w:rsidRPr="007E4221">
        <w:rPr>
          <w:spacing w:val="-4"/>
          <w:lang w:val="en-GB"/>
        </w:rPr>
        <w:t xml:space="preserve"> and </w:t>
      </w:r>
      <w:r w:rsidR="00B707B1" w:rsidRPr="007E4221">
        <w:rPr>
          <w:spacing w:val="-4"/>
          <w:lang w:val="en-GB"/>
        </w:rPr>
        <w:t xml:space="preserve">were </w:t>
      </w:r>
      <w:r w:rsidRPr="007E4221">
        <w:rPr>
          <w:spacing w:val="-4"/>
          <w:lang w:val="en-GB"/>
        </w:rPr>
        <w:t>label</w:t>
      </w:r>
      <w:r w:rsidR="004868E3" w:rsidRPr="007E4221">
        <w:rPr>
          <w:spacing w:val="-4"/>
          <w:lang w:val="en-GB"/>
        </w:rPr>
        <w:t>l</w:t>
      </w:r>
      <w:r w:rsidRPr="007E4221">
        <w:rPr>
          <w:spacing w:val="-4"/>
          <w:lang w:val="en-GB"/>
        </w:rPr>
        <w:t>ed with the amounts of THC and CBD in m</w:t>
      </w:r>
      <w:r w:rsidR="00B707B1" w:rsidRPr="007E4221">
        <w:rPr>
          <w:spacing w:val="-4"/>
          <w:lang w:val="en-GB"/>
        </w:rPr>
        <w:t>illi</w:t>
      </w:r>
      <w:r w:rsidRPr="007E4221">
        <w:rPr>
          <w:spacing w:val="-4"/>
          <w:lang w:val="en-GB"/>
        </w:rPr>
        <w:t>g</w:t>
      </w:r>
      <w:r w:rsidR="00B707B1" w:rsidRPr="007E4221">
        <w:rPr>
          <w:spacing w:val="-4"/>
          <w:lang w:val="en-GB"/>
        </w:rPr>
        <w:t>rams or millilitres</w:t>
      </w:r>
      <w:r w:rsidRPr="007E4221">
        <w:rPr>
          <w:spacing w:val="-4"/>
          <w:lang w:val="en-GB"/>
        </w:rPr>
        <w:t xml:space="preserve">. </w:t>
      </w:r>
      <w:r w:rsidR="003936E1" w:rsidRPr="007E4221">
        <w:rPr>
          <w:spacing w:val="-4"/>
          <w:lang w:val="en-GB"/>
        </w:rPr>
        <w:t xml:space="preserve">Depending on each patient’s needs, the choice </w:t>
      </w:r>
      <w:r w:rsidR="00B707B1" w:rsidRPr="007E4221">
        <w:rPr>
          <w:spacing w:val="-4"/>
          <w:lang w:val="en-GB"/>
        </w:rPr>
        <w:t xml:space="preserve">would </w:t>
      </w:r>
      <w:r w:rsidR="003936E1" w:rsidRPr="007E4221">
        <w:rPr>
          <w:spacing w:val="-4"/>
          <w:lang w:val="en-GB"/>
        </w:rPr>
        <w:t xml:space="preserve">be made according to the amount of THC and/or CBD in the product. </w:t>
      </w:r>
      <w:r w:rsidRPr="007E4221">
        <w:rPr>
          <w:spacing w:val="-4"/>
          <w:lang w:val="en-GB"/>
        </w:rPr>
        <w:t xml:space="preserve">In addition to </w:t>
      </w:r>
      <w:r w:rsidR="00B707B1" w:rsidRPr="007E4221">
        <w:rPr>
          <w:spacing w:val="-4"/>
          <w:lang w:val="en-GB"/>
        </w:rPr>
        <w:t xml:space="preserve">its </w:t>
      </w:r>
      <w:r w:rsidRPr="007E4221">
        <w:rPr>
          <w:spacing w:val="-4"/>
          <w:lang w:val="en-GB"/>
        </w:rPr>
        <w:t xml:space="preserve">cannabis products, </w:t>
      </w:r>
      <w:r w:rsidR="00EA0886" w:rsidRPr="007E4221">
        <w:rPr>
          <w:rFonts w:eastAsia="Cambria" w:cs="Cambria"/>
          <w:spacing w:val="-4"/>
          <w:lang w:val="en-GB"/>
        </w:rPr>
        <w:t xml:space="preserve">OrganiGram </w:t>
      </w:r>
      <w:r w:rsidRPr="007E4221">
        <w:rPr>
          <w:spacing w:val="-4"/>
          <w:lang w:val="en-GB"/>
        </w:rPr>
        <w:t>sold vaporizers that ranged in price from $97.50 to $195.</w:t>
      </w:r>
      <w:r w:rsidR="00EA0886" w:rsidRPr="007E4221">
        <w:rPr>
          <w:spacing w:val="-4"/>
          <w:lang w:val="en-GB"/>
        </w:rPr>
        <w:t xml:space="preserve"> </w:t>
      </w:r>
    </w:p>
    <w:p w14:paraId="153FEDEE" w14:textId="508B1BB2" w:rsidR="00DD1A25" w:rsidRPr="00E828B1" w:rsidRDefault="00DD1A25" w:rsidP="00DD1A25">
      <w:pPr>
        <w:pStyle w:val="BodyTextMain"/>
        <w:rPr>
          <w:rFonts w:eastAsia="Cambria" w:cs="Cambria"/>
          <w:lang w:val="en-GB"/>
        </w:rPr>
      </w:pPr>
    </w:p>
    <w:p w14:paraId="509777D6" w14:textId="77777777" w:rsidR="00DD1A25" w:rsidRPr="00E828B1" w:rsidRDefault="00DD1A25" w:rsidP="00DD1A25">
      <w:pPr>
        <w:pStyle w:val="BodyTextMain"/>
        <w:rPr>
          <w:rFonts w:eastAsia="Cambria" w:cs="Cambria"/>
          <w:lang w:val="en-GB"/>
        </w:rPr>
      </w:pPr>
    </w:p>
    <w:p w14:paraId="5DDD254E" w14:textId="77777777" w:rsidR="00DD1A25" w:rsidRPr="00E828B1" w:rsidRDefault="00DD1A25" w:rsidP="003F0326">
      <w:pPr>
        <w:pStyle w:val="Casehead1"/>
        <w:rPr>
          <w:rFonts w:eastAsia="Cambria" w:cs="Cambria"/>
          <w:lang w:val="en-GB"/>
        </w:rPr>
      </w:pPr>
      <w:r w:rsidRPr="00E828B1">
        <w:rPr>
          <w:lang w:val="en-GB"/>
        </w:rPr>
        <w:t>Competitors</w:t>
      </w:r>
    </w:p>
    <w:p w14:paraId="07ED1601" w14:textId="77777777" w:rsidR="00DD1A25" w:rsidRPr="00E828B1" w:rsidRDefault="00DD1A25" w:rsidP="00DD1A25">
      <w:pPr>
        <w:pStyle w:val="BodyTextMain"/>
        <w:rPr>
          <w:lang w:val="en-GB"/>
        </w:rPr>
      </w:pPr>
    </w:p>
    <w:p w14:paraId="2D71D0B9" w14:textId="39DA1363" w:rsidR="00DD1A25" w:rsidRPr="00E828B1" w:rsidRDefault="00DD1A25" w:rsidP="00DD1A25">
      <w:pPr>
        <w:pStyle w:val="BodyTextMain"/>
        <w:rPr>
          <w:rFonts w:eastAsia="Cambria" w:cs="Cambria"/>
          <w:lang w:val="en-GB"/>
        </w:rPr>
      </w:pPr>
      <w:r w:rsidRPr="00E828B1">
        <w:rPr>
          <w:lang w:val="en-GB"/>
        </w:rPr>
        <w:t xml:space="preserve">In 2016, </w:t>
      </w:r>
      <w:r w:rsidR="003F5476">
        <w:rPr>
          <w:lang w:val="en-GB"/>
        </w:rPr>
        <w:t>Canada’s</w:t>
      </w:r>
      <w:r w:rsidR="003F5476" w:rsidRPr="00E828B1">
        <w:rPr>
          <w:lang w:val="en-GB"/>
        </w:rPr>
        <w:t xml:space="preserve"> </w:t>
      </w:r>
      <w:r w:rsidRPr="00E828B1">
        <w:rPr>
          <w:lang w:val="en-GB"/>
        </w:rPr>
        <w:t>largest publicly traded LPs were Canopy Growth, Mettrum, OrganiGram, Aphria, and Aurora Cannabis. The first four companies had licen</w:t>
      </w:r>
      <w:r w:rsidR="00B707B1" w:rsidRPr="00E828B1">
        <w:rPr>
          <w:lang w:val="en-GB"/>
        </w:rPr>
        <w:t>c</w:t>
      </w:r>
      <w:r w:rsidRPr="00E828B1">
        <w:rPr>
          <w:lang w:val="en-GB"/>
        </w:rPr>
        <w:t>es to cultivate the dried plant, produce oils, and sell both products. Aurora had licen</w:t>
      </w:r>
      <w:r w:rsidR="00B707B1" w:rsidRPr="00E828B1">
        <w:rPr>
          <w:lang w:val="en-GB"/>
        </w:rPr>
        <w:t>c</w:t>
      </w:r>
      <w:r w:rsidRPr="00E828B1">
        <w:rPr>
          <w:lang w:val="en-GB"/>
        </w:rPr>
        <w:t xml:space="preserve">es </w:t>
      </w:r>
      <w:r w:rsidR="004868E3">
        <w:rPr>
          <w:lang w:val="en-GB"/>
        </w:rPr>
        <w:t xml:space="preserve">only </w:t>
      </w:r>
      <w:r w:rsidRPr="00E828B1">
        <w:rPr>
          <w:lang w:val="en-GB"/>
        </w:rPr>
        <w:t>to cultivate the dried plant and sell it. However, Aurora was enrolling new patients very quickly in a short period of time</w:t>
      </w:r>
      <w:r w:rsidR="00B707B1" w:rsidRPr="00E828B1">
        <w:rPr>
          <w:lang w:val="en-GB"/>
        </w:rPr>
        <w:t>.</w:t>
      </w:r>
      <w:r w:rsidRPr="00E828B1">
        <w:rPr>
          <w:rFonts w:eastAsia="Cambria" w:cs="Cambria"/>
          <w:vertAlign w:val="superscript"/>
          <w:lang w:val="en-GB"/>
        </w:rPr>
        <w:endnoteReference w:id="23"/>
      </w:r>
      <w:r w:rsidRPr="00E828B1">
        <w:rPr>
          <w:lang w:val="en-GB"/>
        </w:rPr>
        <w:t xml:space="preserve"> In terms of licensed capacity and resources, Canopy Growth was the largest player and was the result of a merger of the companies Tweed and Bedrocan. Tweed had a branding partnership with Snoop Dogg</w:t>
      </w:r>
      <w:r w:rsidR="00B707B1" w:rsidRPr="00E828B1">
        <w:rPr>
          <w:lang w:val="en-GB"/>
        </w:rPr>
        <w:t>.</w:t>
      </w:r>
      <w:r w:rsidRPr="00E828B1">
        <w:rPr>
          <w:rFonts w:eastAsia="Cambria" w:cs="Cambria"/>
          <w:vertAlign w:val="superscript"/>
          <w:lang w:val="en-GB"/>
        </w:rPr>
        <w:endnoteReference w:id="24"/>
      </w:r>
      <w:r w:rsidRPr="00E828B1">
        <w:rPr>
          <w:lang w:val="en-GB"/>
        </w:rPr>
        <w:t xml:space="preserve"> Canopy Growth was working on international expansion activities in Brazil, Australia</w:t>
      </w:r>
      <w:r w:rsidR="00B707B1" w:rsidRPr="00E828B1">
        <w:rPr>
          <w:lang w:val="en-GB"/>
        </w:rPr>
        <w:t>,</w:t>
      </w:r>
      <w:r w:rsidRPr="00E828B1">
        <w:rPr>
          <w:lang w:val="en-GB"/>
        </w:rPr>
        <w:t xml:space="preserve"> and Germany</w:t>
      </w:r>
      <w:r w:rsidR="00B707B1" w:rsidRPr="00E828B1">
        <w:rPr>
          <w:lang w:val="en-GB"/>
        </w:rPr>
        <w:t>.</w:t>
      </w:r>
      <w:r w:rsidRPr="00E828B1">
        <w:rPr>
          <w:rFonts w:eastAsia="Cambria" w:cs="Cambria"/>
          <w:vertAlign w:val="superscript"/>
          <w:lang w:val="en-GB"/>
        </w:rPr>
        <w:endnoteReference w:id="25"/>
      </w:r>
      <w:r w:rsidRPr="00E828B1">
        <w:rPr>
          <w:lang w:val="en-GB"/>
        </w:rPr>
        <w:t xml:space="preserve"> Mettrum was very much a medically focused company that </w:t>
      </w:r>
      <w:r w:rsidR="003F5476">
        <w:rPr>
          <w:lang w:val="en-GB"/>
        </w:rPr>
        <w:t>concentrated</w:t>
      </w:r>
      <w:r w:rsidR="003F5476" w:rsidRPr="00E828B1">
        <w:rPr>
          <w:lang w:val="en-GB"/>
        </w:rPr>
        <w:t xml:space="preserve"> </w:t>
      </w:r>
      <w:r w:rsidRPr="00E828B1">
        <w:rPr>
          <w:lang w:val="en-GB"/>
        </w:rPr>
        <w:t xml:space="preserve">on building a </w:t>
      </w:r>
      <w:r w:rsidR="00EF2D41" w:rsidRPr="00E828B1">
        <w:rPr>
          <w:lang w:val="en-GB"/>
        </w:rPr>
        <w:t>physician’s</w:t>
      </w:r>
      <w:r w:rsidRPr="00E828B1">
        <w:rPr>
          <w:lang w:val="en-GB"/>
        </w:rPr>
        <w:t xml:space="preserve"> network to increase </w:t>
      </w:r>
      <w:r w:rsidR="00B707B1" w:rsidRPr="00E828B1">
        <w:rPr>
          <w:lang w:val="en-GB"/>
        </w:rPr>
        <w:t xml:space="preserve">its </w:t>
      </w:r>
      <w:r w:rsidRPr="00E828B1">
        <w:rPr>
          <w:lang w:val="en-GB"/>
        </w:rPr>
        <w:t>patient base. On Dec</w:t>
      </w:r>
      <w:r w:rsidR="00B707B1" w:rsidRPr="00E828B1">
        <w:rPr>
          <w:lang w:val="en-GB"/>
        </w:rPr>
        <w:t>ember</w:t>
      </w:r>
      <w:r w:rsidRPr="00E828B1">
        <w:rPr>
          <w:lang w:val="en-GB"/>
        </w:rPr>
        <w:t xml:space="preserve"> 1, 2016, it was announced that Mettrum would be acquired by Canopy Growth, pending shareholder approval</w:t>
      </w:r>
      <w:r w:rsidR="00B707B1" w:rsidRPr="00E828B1">
        <w:rPr>
          <w:lang w:val="en-GB"/>
        </w:rPr>
        <w:t>.</w:t>
      </w:r>
      <w:r w:rsidRPr="00E828B1">
        <w:rPr>
          <w:rFonts w:eastAsia="Cambria" w:cs="Cambria"/>
          <w:vertAlign w:val="superscript"/>
          <w:lang w:val="en-GB"/>
        </w:rPr>
        <w:endnoteReference w:id="26"/>
      </w:r>
      <w:r w:rsidRPr="00E828B1">
        <w:rPr>
          <w:lang w:val="en-GB"/>
        </w:rPr>
        <w:t xml:space="preserve"> Many LPs were in the process of increasing the number of registered patients while expanding their operations.</w:t>
      </w:r>
    </w:p>
    <w:p w14:paraId="02611111" w14:textId="77777777" w:rsidR="00DD1A25" w:rsidRPr="00E828B1" w:rsidRDefault="00DD1A25" w:rsidP="00DD1A25">
      <w:pPr>
        <w:pStyle w:val="BodyTextMain"/>
        <w:rPr>
          <w:rFonts w:eastAsia="Cambria" w:cs="Cambria"/>
          <w:lang w:val="en-GB"/>
        </w:rPr>
      </w:pPr>
    </w:p>
    <w:p w14:paraId="60D87411" w14:textId="620CDA87" w:rsidR="00DD1A25" w:rsidRPr="00E828B1" w:rsidRDefault="00DD1A25" w:rsidP="00DD1A25">
      <w:pPr>
        <w:pStyle w:val="BodyTextMain"/>
        <w:rPr>
          <w:rFonts w:eastAsia="Cambria" w:cs="Cambria"/>
          <w:lang w:val="en-GB"/>
        </w:rPr>
      </w:pPr>
      <w:r w:rsidRPr="00E828B1">
        <w:rPr>
          <w:rFonts w:eastAsia="Cambria" w:cs="Cambria"/>
          <w:lang w:val="en-GB"/>
        </w:rPr>
        <w:t>The prices for most dried cannabis strains tended to be between $6 and $12 per gram</w:t>
      </w:r>
      <w:r w:rsidR="00B707B1" w:rsidRPr="00E828B1">
        <w:rPr>
          <w:rFonts w:eastAsia="Cambria" w:cs="Cambria"/>
          <w:lang w:val="en-GB"/>
        </w:rPr>
        <w:t>.</w:t>
      </w:r>
      <w:r w:rsidRPr="00E828B1">
        <w:rPr>
          <w:rFonts w:eastAsia="Cambria" w:cs="Cambria"/>
          <w:vertAlign w:val="superscript"/>
          <w:lang w:val="en-GB"/>
        </w:rPr>
        <w:endnoteReference w:id="27"/>
      </w:r>
      <w:r w:rsidRPr="00E828B1">
        <w:rPr>
          <w:lang w:val="en-GB"/>
        </w:rPr>
        <w:t xml:space="preserve"> Several companies, including OrganiGram, offered “compassionate pricing” (i.e.</w:t>
      </w:r>
      <w:r w:rsidR="00B707B1" w:rsidRPr="00E828B1">
        <w:rPr>
          <w:lang w:val="en-GB"/>
        </w:rPr>
        <w:t>,</w:t>
      </w:r>
      <w:r w:rsidRPr="00E828B1">
        <w:rPr>
          <w:lang w:val="en-GB"/>
        </w:rPr>
        <w:t xml:space="preserve"> a discounted price) for those patients in need. Strains with higher percentages of THC often were able to garner higher prices.</w:t>
      </w:r>
    </w:p>
    <w:p w14:paraId="6AE9A789" w14:textId="77777777" w:rsidR="00DD1A25" w:rsidRPr="00E828B1" w:rsidRDefault="00DD1A25" w:rsidP="00DD1A25">
      <w:pPr>
        <w:pStyle w:val="BodyTextMain"/>
        <w:rPr>
          <w:rFonts w:eastAsia="Cambria" w:cs="Cambria"/>
          <w:lang w:val="en-GB"/>
        </w:rPr>
      </w:pPr>
    </w:p>
    <w:p w14:paraId="20CD312D" w14:textId="77777777" w:rsidR="00DD1A25" w:rsidRPr="00E828B1" w:rsidRDefault="00DD1A25" w:rsidP="003F0326">
      <w:pPr>
        <w:pStyle w:val="BodyTextMain"/>
        <w:rPr>
          <w:rFonts w:eastAsia="Cambria"/>
          <w:lang w:val="en-GB"/>
        </w:rPr>
      </w:pPr>
    </w:p>
    <w:p w14:paraId="7AE44F4E" w14:textId="77777777" w:rsidR="00DD1A25" w:rsidRPr="00E828B1" w:rsidRDefault="00DD1A25" w:rsidP="003F0326">
      <w:pPr>
        <w:pStyle w:val="Casehead1"/>
        <w:rPr>
          <w:rFonts w:eastAsia="Cambria"/>
          <w:lang w:val="en-GB"/>
        </w:rPr>
      </w:pPr>
      <w:r w:rsidRPr="00E828B1">
        <w:rPr>
          <w:lang w:val="en-GB"/>
        </w:rPr>
        <w:t>The American Experience (with Recreational Cannabis)</w:t>
      </w:r>
    </w:p>
    <w:p w14:paraId="23C359E0" w14:textId="77777777" w:rsidR="00DD1A25" w:rsidRPr="00E828B1" w:rsidRDefault="00DD1A25" w:rsidP="00DD1A25">
      <w:pPr>
        <w:pStyle w:val="BodyTextMain"/>
        <w:rPr>
          <w:lang w:val="en-GB"/>
        </w:rPr>
      </w:pPr>
    </w:p>
    <w:p w14:paraId="185BA7A4" w14:textId="7E764707" w:rsidR="00DD1A25" w:rsidRPr="007E4221" w:rsidRDefault="00DD1A25" w:rsidP="00DD1A25">
      <w:pPr>
        <w:pStyle w:val="BodyTextMain"/>
        <w:rPr>
          <w:spacing w:val="-2"/>
          <w:lang w:val="en-GB"/>
        </w:rPr>
      </w:pPr>
      <w:r w:rsidRPr="007E4221">
        <w:rPr>
          <w:spacing w:val="-2"/>
          <w:lang w:val="en-GB"/>
        </w:rPr>
        <w:t>Colorado and several other American states had already legalized recreational cannabis. Data from the cannabis data firm Headset</w:t>
      </w:r>
      <w:r w:rsidR="00A22094">
        <w:rPr>
          <w:spacing w:val="-2"/>
          <w:lang w:val="en-GB"/>
        </w:rPr>
        <w:t xml:space="preserve"> Inc. Cannabis Intelligence</w:t>
      </w:r>
      <w:r w:rsidRPr="007E4221">
        <w:rPr>
          <w:spacing w:val="-2"/>
          <w:lang w:val="en-GB"/>
        </w:rPr>
        <w:t xml:space="preserve"> provided sales data on the most popular recreational cannabis products in the </w:t>
      </w:r>
      <w:r w:rsidR="00B707B1" w:rsidRPr="007E4221">
        <w:rPr>
          <w:spacing w:val="-2"/>
          <w:lang w:val="en-GB"/>
        </w:rPr>
        <w:t>United States</w:t>
      </w:r>
      <w:r w:rsidRPr="007E4221">
        <w:rPr>
          <w:spacing w:val="-2"/>
          <w:lang w:val="en-GB"/>
        </w:rPr>
        <w:t>.</w:t>
      </w:r>
      <w:r w:rsidRPr="007E4221">
        <w:rPr>
          <w:rFonts w:eastAsia="Cambria" w:cs="Cambria"/>
          <w:spacing w:val="-2"/>
          <w:vertAlign w:val="superscript"/>
          <w:lang w:val="en-GB"/>
        </w:rPr>
        <w:endnoteReference w:id="28"/>
      </w:r>
      <w:r w:rsidRPr="007E4221">
        <w:rPr>
          <w:spacing w:val="-2"/>
          <w:lang w:val="en-GB"/>
        </w:rPr>
        <w:t xml:space="preserve"> The dried flower was the most popular product (48</w:t>
      </w:r>
      <w:r w:rsidR="00B707B1" w:rsidRPr="007E4221">
        <w:rPr>
          <w:spacing w:val="-2"/>
          <w:lang w:val="en-GB"/>
        </w:rPr>
        <w:t xml:space="preserve"> per cent</w:t>
      </w:r>
      <w:r w:rsidRPr="007E4221">
        <w:rPr>
          <w:spacing w:val="-2"/>
          <w:lang w:val="en-GB"/>
        </w:rPr>
        <w:t xml:space="preserve"> of all transactions) but had the lowest profit margin</w:t>
      </w:r>
      <w:r w:rsidR="00BB71E1" w:rsidRPr="007E4221">
        <w:rPr>
          <w:spacing w:val="-2"/>
          <w:lang w:val="en-GB"/>
        </w:rPr>
        <w:t xml:space="preserve"> (53.5</w:t>
      </w:r>
      <w:r w:rsidR="00B707B1" w:rsidRPr="007E4221">
        <w:rPr>
          <w:spacing w:val="-2"/>
          <w:lang w:val="en-GB"/>
        </w:rPr>
        <w:t xml:space="preserve"> per cent</w:t>
      </w:r>
      <w:r w:rsidR="00BB71E1" w:rsidRPr="007E4221">
        <w:rPr>
          <w:spacing w:val="-2"/>
          <w:lang w:val="en-GB"/>
        </w:rPr>
        <w:t xml:space="preserve"> </w:t>
      </w:r>
      <w:r w:rsidR="00704867" w:rsidRPr="007E4221">
        <w:rPr>
          <w:spacing w:val="-2"/>
          <w:lang w:val="en-GB"/>
        </w:rPr>
        <w:t xml:space="preserve">on </w:t>
      </w:r>
      <w:r w:rsidR="00BB71E1" w:rsidRPr="007E4221">
        <w:rPr>
          <w:spacing w:val="-2"/>
          <w:lang w:val="en-GB"/>
        </w:rPr>
        <w:t>average)</w:t>
      </w:r>
      <w:r w:rsidRPr="007E4221">
        <w:rPr>
          <w:spacing w:val="-2"/>
          <w:lang w:val="en-GB"/>
        </w:rPr>
        <w:t>. The second most popular product was edibles (13.1</w:t>
      </w:r>
      <w:r w:rsidR="00B707B1" w:rsidRPr="007E4221">
        <w:rPr>
          <w:spacing w:val="-2"/>
          <w:lang w:val="en-GB"/>
        </w:rPr>
        <w:t xml:space="preserve"> per cent</w:t>
      </w:r>
      <w:r w:rsidRPr="007E4221">
        <w:rPr>
          <w:spacing w:val="-2"/>
          <w:lang w:val="en-GB"/>
        </w:rPr>
        <w:t xml:space="preserve"> of all transactions), </w:t>
      </w:r>
      <w:r w:rsidR="00834F01" w:rsidRPr="007E4221">
        <w:rPr>
          <w:spacing w:val="-2"/>
          <w:lang w:val="en-GB"/>
        </w:rPr>
        <w:t xml:space="preserve">and </w:t>
      </w:r>
      <w:r w:rsidRPr="007E4221">
        <w:rPr>
          <w:spacing w:val="-2"/>
          <w:lang w:val="en-GB"/>
        </w:rPr>
        <w:t>some types had the highest profit margins</w:t>
      </w:r>
      <w:r w:rsidR="00BB71E1" w:rsidRPr="007E4221">
        <w:rPr>
          <w:spacing w:val="-2"/>
          <w:lang w:val="en-GB"/>
        </w:rPr>
        <w:t xml:space="preserve"> (ranging from 53</w:t>
      </w:r>
      <w:r w:rsidR="00B707B1" w:rsidRPr="007E4221">
        <w:rPr>
          <w:spacing w:val="-2"/>
          <w:lang w:val="en-GB"/>
        </w:rPr>
        <w:t xml:space="preserve"> per cent</w:t>
      </w:r>
      <w:r w:rsidR="00BB71E1" w:rsidRPr="007E4221">
        <w:rPr>
          <w:spacing w:val="-2"/>
          <w:lang w:val="en-GB"/>
        </w:rPr>
        <w:t xml:space="preserve"> for </w:t>
      </w:r>
      <w:r w:rsidR="005938C3" w:rsidRPr="007E4221">
        <w:rPr>
          <w:spacing w:val="-2"/>
          <w:lang w:val="en-GB"/>
        </w:rPr>
        <w:t xml:space="preserve">soup </w:t>
      </w:r>
      <w:r w:rsidR="00BB71E1" w:rsidRPr="007E4221">
        <w:rPr>
          <w:spacing w:val="-2"/>
          <w:lang w:val="en-GB"/>
        </w:rPr>
        <w:t>to 65.5</w:t>
      </w:r>
      <w:r w:rsidR="00B707B1" w:rsidRPr="007E4221">
        <w:rPr>
          <w:spacing w:val="-2"/>
          <w:lang w:val="en-GB"/>
        </w:rPr>
        <w:t xml:space="preserve"> per cent</w:t>
      </w:r>
      <w:r w:rsidR="00BB71E1" w:rsidRPr="007E4221">
        <w:rPr>
          <w:spacing w:val="-2"/>
          <w:lang w:val="en-GB"/>
        </w:rPr>
        <w:t xml:space="preserve"> for </w:t>
      </w:r>
      <w:r w:rsidR="005938C3" w:rsidRPr="007E4221">
        <w:rPr>
          <w:spacing w:val="-2"/>
          <w:lang w:val="en-GB"/>
        </w:rPr>
        <w:t>brittle</w:t>
      </w:r>
      <w:r w:rsidR="00BB71E1" w:rsidRPr="007E4221">
        <w:rPr>
          <w:spacing w:val="-2"/>
          <w:lang w:val="en-GB"/>
        </w:rPr>
        <w:t>)</w:t>
      </w:r>
      <w:r w:rsidRPr="007E4221">
        <w:rPr>
          <w:spacing w:val="-2"/>
          <w:lang w:val="en-GB"/>
        </w:rPr>
        <w:t>. Concentrates, beverages, and vapo</w:t>
      </w:r>
      <w:r w:rsidR="00834F01" w:rsidRPr="007E4221">
        <w:rPr>
          <w:spacing w:val="-2"/>
          <w:lang w:val="en-GB"/>
        </w:rPr>
        <w:t>u</w:t>
      </w:r>
      <w:r w:rsidRPr="007E4221">
        <w:rPr>
          <w:spacing w:val="-2"/>
          <w:lang w:val="en-GB"/>
        </w:rPr>
        <w:t>r products were also becoming more popular.</w:t>
      </w:r>
      <w:r w:rsidR="005B5F53" w:rsidRPr="007E4221">
        <w:rPr>
          <w:spacing w:val="-2"/>
          <w:lang w:val="en-GB"/>
        </w:rPr>
        <w:t xml:space="preserve"> </w:t>
      </w:r>
    </w:p>
    <w:p w14:paraId="0F3AFA13" w14:textId="1453439F" w:rsidR="00DD1A25" w:rsidRPr="007E4221" w:rsidRDefault="00DD1A25" w:rsidP="00DD1A25">
      <w:pPr>
        <w:pStyle w:val="BodyTextMain"/>
        <w:rPr>
          <w:spacing w:val="-2"/>
          <w:lang w:val="en-GB"/>
        </w:rPr>
      </w:pPr>
    </w:p>
    <w:p w14:paraId="649866EB" w14:textId="5827F1E6" w:rsidR="00DD1A25" w:rsidRPr="007E4221" w:rsidRDefault="00DD1A25" w:rsidP="00DD1A25">
      <w:pPr>
        <w:pStyle w:val="BodyTextMain"/>
        <w:rPr>
          <w:rFonts w:eastAsia="Cambria" w:cs="Cambria"/>
          <w:spacing w:val="-4"/>
          <w:lang w:val="en-GB"/>
        </w:rPr>
      </w:pPr>
      <w:r w:rsidRPr="007E4221">
        <w:rPr>
          <w:spacing w:val="-4"/>
          <w:lang w:val="en-GB"/>
        </w:rPr>
        <w:lastRenderedPageBreak/>
        <w:t xml:space="preserve">According to a 2016 report by the Rocky Mountain High Intensity Drug Trafficking Area on marijuana in Colorado, the established demand </w:t>
      </w:r>
      <w:r w:rsidR="00834F01" w:rsidRPr="007E4221">
        <w:rPr>
          <w:spacing w:val="-4"/>
          <w:lang w:val="en-GB"/>
        </w:rPr>
        <w:t xml:space="preserve">in 2014 </w:t>
      </w:r>
      <w:r w:rsidRPr="007E4221">
        <w:rPr>
          <w:spacing w:val="-4"/>
          <w:lang w:val="en-GB"/>
        </w:rPr>
        <w:t>was 121.4 metric tons for residents (</w:t>
      </w:r>
      <w:r w:rsidR="003B3A7C" w:rsidRPr="007E4221">
        <w:rPr>
          <w:spacing w:val="-4"/>
          <w:lang w:val="en-GB"/>
        </w:rPr>
        <w:t xml:space="preserve">aged </w:t>
      </w:r>
      <w:r w:rsidRPr="007E4221">
        <w:rPr>
          <w:spacing w:val="-4"/>
          <w:lang w:val="en-GB"/>
        </w:rPr>
        <w:t>21 years and older) and the estimated demand was 8.9 metric tons for out-of-state visitors (</w:t>
      </w:r>
      <w:r w:rsidR="003B3A7C" w:rsidRPr="007E4221">
        <w:rPr>
          <w:spacing w:val="-4"/>
          <w:lang w:val="en-GB"/>
        </w:rPr>
        <w:t xml:space="preserve">aged </w:t>
      </w:r>
      <w:r w:rsidRPr="007E4221">
        <w:rPr>
          <w:spacing w:val="-4"/>
          <w:lang w:val="en-GB"/>
        </w:rPr>
        <w:t xml:space="preserve">21 years and older). </w:t>
      </w:r>
      <w:r w:rsidR="00834F01" w:rsidRPr="007E4221">
        <w:rPr>
          <w:spacing w:val="-4"/>
          <w:lang w:val="en-GB"/>
        </w:rPr>
        <w:t>T</w:t>
      </w:r>
      <w:r w:rsidRPr="007E4221">
        <w:rPr>
          <w:spacing w:val="-4"/>
          <w:lang w:val="en-GB"/>
        </w:rPr>
        <w:t xml:space="preserve">he same report </w:t>
      </w:r>
      <w:r w:rsidR="00834F01" w:rsidRPr="007E4221">
        <w:rPr>
          <w:spacing w:val="-4"/>
          <w:lang w:val="en-GB"/>
        </w:rPr>
        <w:t xml:space="preserve">noted </w:t>
      </w:r>
      <w:r w:rsidRPr="007E4221">
        <w:rPr>
          <w:spacing w:val="-4"/>
          <w:lang w:val="en-GB"/>
        </w:rPr>
        <w:t>485,000 regular users of cannabis in Colorado. The total population of Colorado was 5.36 million.</w:t>
      </w:r>
      <w:r w:rsidR="00A22094" w:rsidRPr="007E4221">
        <w:rPr>
          <w:rStyle w:val="EndnoteReference"/>
          <w:spacing w:val="-4"/>
          <w:lang w:val="en-GB"/>
        </w:rPr>
        <w:endnoteReference w:id="29"/>
      </w:r>
    </w:p>
    <w:p w14:paraId="45B1322B" w14:textId="77777777" w:rsidR="00DD1A25" w:rsidRPr="00E828B1" w:rsidRDefault="00DD1A25" w:rsidP="00DD1A25">
      <w:pPr>
        <w:pStyle w:val="BodyTextMain"/>
        <w:rPr>
          <w:rFonts w:eastAsia="Cambria" w:cs="Cambria"/>
          <w:lang w:val="en-GB"/>
        </w:rPr>
      </w:pPr>
    </w:p>
    <w:p w14:paraId="39DE6B92" w14:textId="026B52FC" w:rsidR="00DD1A25" w:rsidRPr="00E828B1" w:rsidRDefault="00DD1A25" w:rsidP="00DD1A25">
      <w:pPr>
        <w:pStyle w:val="BodyTextMain"/>
        <w:rPr>
          <w:rFonts w:eastAsia="Cambria" w:cs="Cambria"/>
          <w:lang w:val="en-GB"/>
        </w:rPr>
      </w:pPr>
      <w:r w:rsidRPr="00E828B1">
        <w:rPr>
          <w:rFonts w:eastAsia="Cambria" w:cs="Cambria"/>
          <w:lang w:val="en-GB"/>
        </w:rPr>
        <w:t xml:space="preserve">Based on data collected on approximately 40,000 legal (recreational) </w:t>
      </w:r>
      <w:r w:rsidRPr="00E828B1">
        <w:rPr>
          <w:lang w:val="en-GB"/>
        </w:rPr>
        <w:t xml:space="preserve">cannabis purchases, cannabis users spent an average of </w:t>
      </w:r>
      <w:r w:rsidR="00EF133D" w:rsidRPr="00E828B1">
        <w:rPr>
          <w:lang w:val="en-GB"/>
        </w:rPr>
        <w:t>US</w:t>
      </w:r>
      <w:r w:rsidRPr="00E828B1">
        <w:rPr>
          <w:lang w:val="en-GB"/>
        </w:rPr>
        <w:t>$647</w:t>
      </w:r>
      <w:r w:rsidR="00EF133D" w:rsidRPr="00E828B1">
        <w:rPr>
          <w:lang w:val="en-GB"/>
        </w:rPr>
        <w:t xml:space="preserve"> </w:t>
      </w:r>
      <w:r w:rsidRPr="00E828B1">
        <w:rPr>
          <w:lang w:val="en-GB"/>
        </w:rPr>
        <w:t>annually in Washington State</w:t>
      </w:r>
      <w:r w:rsidR="00B707B1" w:rsidRPr="00E828B1">
        <w:rPr>
          <w:lang w:val="en-GB"/>
        </w:rPr>
        <w:t>.</w:t>
      </w:r>
      <w:r w:rsidRPr="00E828B1">
        <w:rPr>
          <w:rFonts w:eastAsia="Cambria" w:cs="Cambria"/>
          <w:vertAlign w:val="superscript"/>
          <w:lang w:val="en-GB"/>
        </w:rPr>
        <w:endnoteReference w:id="30"/>
      </w:r>
      <w:r w:rsidRPr="00E828B1">
        <w:rPr>
          <w:lang w:val="en-GB"/>
        </w:rPr>
        <w:t xml:space="preserve"> Thousands of jobs and millions of dollars collected in taxes were reported in Colorado</w:t>
      </w:r>
      <w:r w:rsidR="00B707B1" w:rsidRPr="00E828B1">
        <w:rPr>
          <w:lang w:val="en-GB"/>
        </w:rPr>
        <w:t>.</w:t>
      </w:r>
      <w:r w:rsidRPr="00E828B1">
        <w:rPr>
          <w:rFonts w:eastAsia="Cambria" w:cs="Cambria"/>
          <w:vertAlign w:val="superscript"/>
          <w:lang w:val="en-GB"/>
        </w:rPr>
        <w:endnoteReference w:id="31"/>
      </w:r>
      <w:r w:rsidRPr="00E828B1">
        <w:rPr>
          <w:lang w:val="en-GB"/>
        </w:rPr>
        <w:t xml:space="preserve"> According to Rogers, Colorado </w:t>
      </w:r>
      <w:r w:rsidR="00834F01">
        <w:rPr>
          <w:lang w:val="en-GB"/>
        </w:rPr>
        <w:t>“</w:t>
      </w:r>
      <w:r w:rsidRPr="00E828B1">
        <w:rPr>
          <w:lang w:val="en-GB"/>
        </w:rPr>
        <w:t xml:space="preserve">is like the gold standard for recreational marijuana in the world. It’s the only place of size that has had a recreational marketplace for more than a short period of time </w:t>
      </w:r>
      <w:r w:rsidR="00834F01">
        <w:rPr>
          <w:lang w:val="en-GB"/>
        </w:rPr>
        <w:t xml:space="preserve">. . . </w:t>
      </w:r>
      <w:r w:rsidRPr="00E828B1">
        <w:rPr>
          <w:lang w:val="en-GB"/>
        </w:rPr>
        <w:t>at least they have some quantifiable data that you can try and use to project forward</w:t>
      </w:r>
      <w:r w:rsidR="00B707B1" w:rsidRPr="00E828B1">
        <w:rPr>
          <w:lang w:val="en-GB"/>
        </w:rPr>
        <w:t>.</w:t>
      </w:r>
      <w:r w:rsidRPr="00E828B1">
        <w:rPr>
          <w:lang w:val="en-GB"/>
        </w:rPr>
        <w:t xml:space="preserve">” However, regulations were very different in the </w:t>
      </w:r>
      <w:r w:rsidR="00B707B1" w:rsidRPr="00E828B1">
        <w:rPr>
          <w:lang w:val="en-GB"/>
        </w:rPr>
        <w:t>United States</w:t>
      </w:r>
      <w:r w:rsidRPr="00E828B1">
        <w:rPr>
          <w:lang w:val="en-GB"/>
        </w:rPr>
        <w:t xml:space="preserve"> and varied from state to state. For example, the state law in Colorado permitted licensed retailers to sell only up to 30</w:t>
      </w:r>
      <w:r w:rsidR="00B707B1" w:rsidRPr="00E828B1">
        <w:rPr>
          <w:lang w:val="en-GB"/>
        </w:rPr>
        <w:t xml:space="preserve"> per cent</w:t>
      </w:r>
      <w:r w:rsidRPr="00E828B1">
        <w:rPr>
          <w:lang w:val="en-GB"/>
        </w:rPr>
        <w:t xml:space="preserve"> of their total “finished Retail Marijuana inventory” to other licensed establishments</w:t>
      </w:r>
      <w:r w:rsidR="00B707B1" w:rsidRPr="00E828B1">
        <w:rPr>
          <w:lang w:val="en-GB"/>
        </w:rPr>
        <w:t>.</w:t>
      </w:r>
      <w:r w:rsidRPr="00E828B1">
        <w:rPr>
          <w:rStyle w:val="EndnoteReference"/>
          <w:lang w:val="en-GB"/>
        </w:rPr>
        <w:endnoteReference w:id="32"/>
      </w:r>
      <w:r w:rsidRPr="00E828B1">
        <w:rPr>
          <w:lang w:val="en-GB"/>
        </w:rPr>
        <w:t xml:space="preserve"> </w:t>
      </w:r>
      <w:r w:rsidR="00B707B1" w:rsidRPr="00E828B1">
        <w:rPr>
          <w:lang w:val="en-GB"/>
        </w:rPr>
        <w:t>Because</w:t>
      </w:r>
      <w:r w:rsidRPr="00E828B1">
        <w:rPr>
          <w:lang w:val="en-GB"/>
        </w:rPr>
        <w:t xml:space="preserve"> marijuana was still illegal at the federal level, </w:t>
      </w:r>
      <w:r w:rsidR="005B5F53" w:rsidRPr="00E828B1">
        <w:rPr>
          <w:lang w:val="en-GB"/>
        </w:rPr>
        <w:t xml:space="preserve">it was difficult for </w:t>
      </w:r>
      <w:r w:rsidRPr="00E828B1">
        <w:rPr>
          <w:lang w:val="en-GB"/>
        </w:rPr>
        <w:t xml:space="preserve">American </w:t>
      </w:r>
      <w:r w:rsidR="00766A47" w:rsidRPr="00E828B1">
        <w:rPr>
          <w:lang w:val="en-GB"/>
        </w:rPr>
        <w:t xml:space="preserve">cannabis </w:t>
      </w:r>
      <w:r w:rsidRPr="00E828B1">
        <w:rPr>
          <w:lang w:val="en-GB"/>
        </w:rPr>
        <w:t xml:space="preserve">businesses </w:t>
      </w:r>
      <w:r w:rsidR="005B5F53" w:rsidRPr="00E828B1">
        <w:rPr>
          <w:lang w:val="en-GB"/>
        </w:rPr>
        <w:t>to</w:t>
      </w:r>
      <w:r w:rsidRPr="00E828B1">
        <w:rPr>
          <w:lang w:val="en-GB"/>
        </w:rPr>
        <w:t xml:space="preserve"> open bank accounts and </w:t>
      </w:r>
      <w:r w:rsidR="005B5F53" w:rsidRPr="00E828B1">
        <w:rPr>
          <w:lang w:val="en-GB"/>
        </w:rPr>
        <w:t xml:space="preserve">many </w:t>
      </w:r>
      <w:r w:rsidRPr="00E828B1">
        <w:rPr>
          <w:lang w:val="en-GB"/>
        </w:rPr>
        <w:t>used</w:t>
      </w:r>
      <w:r w:rsidR="00F63485">
        <w:rPr>
          <w:lang w:val="en-GB"/>
        </w:rPr>
        <w:t xml:space="preserve"> only</w:t>
      </w:r>
      <w:r w:rsidRPr="00E828B1">
        <w:rPr>
          <w:lang w:val="en-GB"/>
        </w:rPr>
        <w:t xml:space="preserve"> cash transactions.</w:t>
      </w:r>
    </w:p>
    <w:p w14:paraId="24D1929D" w14:textId="77777777" w:rsidR="00DD1A25" w:rsidRPr="00E828B1" w:rsidRDefault="00DD1A25" w:rsidP="003F0326">
      <w:pPr>
        <w:pStyle w:val="BodyTextMain"/>
        <w:rPr>
          <w:rFonts w:eastAsia="Cambria"/>
          <w:lang w:val="en-GB"/>
        </w:rPr>
      </w:pPr>
    </w:p>
    <w:p w14:paraId="16F24AF5" w14:textId="77777777" w:rsidR="00DD1A25" w:rsidRPr="00E828B1" w:rsidRDefault="00DD1A25" w:rsidP="003F0326">
      <w:pPr>
        <w:pStyle w:val="BodyTextMain"/>
        <w:rPr>
          <w:rFonts w:eastAsia="Cambria"/>
          <w:lang w:val="en-GB"/>
        </w:rPr>
      </w:pPr>
    </w:p>
    <w:p w14:paraId="68325C23" w14:textId="77777777" w:rsidR="00DD1A25" w:rsidRPr="00E828B1" w:rsidRDefault="00DD1A25" w:rsidP="003F0326">
      <w:pPr>
        <w:pStyle w:val="Casehead1"/>
        <w:rPr>
          <w:rFonts w:eastAsia="Cambria" w:cs="Cambria"/>
          <w:lang w:val="en-GB"/>
        </w:rPr>
      </w:pPr>
      <w:r w:rsidRPr="00E828B1">
        <w:rPr>
          <w:lang w:val="en-GB"/>
        </w:rPr>
        <w:t>Challenges</w:t>
      </w:r>
    </w:p>
    <w:p w14:paraId="6F05A153" w14:textId="77777777" w:rsidR="00DD1A25" w:rsidRPr="00E828B1" w:rsidRDefault="00DD1A25" w:rsidP="003F0326">
      <w:pPr>
        <w:pStyle w:val="BodyTextMain"/>
        <w:rPr>
          <w:rFonts w:eastAsia="Cambria"/>
          <w:lang w:val="en-GB"/>
        </w:rPr>
      </w:pPr>
    </w:p>
    <w:p w14:paraId="460ADB99" w14:textId="29C99DFA" w:rsidR="00DD1A25" w:rsidRPr="00E828B1" w:rsidRDefault="00DD1A25" w:rsidP="00DD1A25">
      <w:pPr>
        <w:pStyle w:val="BodyTextMain"/>
        <w:rPr>
          <w:rFonts w:eastAsia="Cambria" w:cs="Cambria"/>
          <w:lang w:val="en-GB"/>
        </w:rPr>
      </w:pPr>
      <w:r w:rsidRPr="00E828B1">
        <w:rPr>
          <w:lang w:val="en-GB"/>
        </w:rPr>
        <w:t>In September 2016, OrganiGram partnered with TGS International</w:t>
      </w:r>
      <w:r w:rsidR="00F63485">
        <w:rPr>
          <w:lang w:val="en-GB"/>
        </w:rPr>
        <w:t xml:space="preserve"> L</w:t>
      </w:r>
      <w:r w:rsidR="00E45BEE">
        <w:rPr>
          <w:lang w:val="en-GB"/>
        </w:rPr>
        <w:t>LC</w:t>
      </w:r>
      <w:bookmarkStart w:id="0" w:name="_GoBack"/>
      <w:bookmarkEnd w:id="0"/>
      <w:r w:rsidR="00D71DE5" w:rsidRPr="00E828B1">
        <w:rPr>
          <w:lang w:val="en-GB"/>
        </w:rPr>
        <w:t>,</w:t>
      </w:r>
      <w:r w:rsidRPr="00E828B1">
        <w:rPr>
          <w:rFonts w:eastAsia="Cambria" w:cs="Cambria"/>
          <w:vertAlign w:val="superscript"/>
          <w:lang w:val="en-GB"/>
        </w:rPr>
        <w:endnoteReference w:id="33"/>
      </w:r>
      <w:r w:rsidRPr="00E828B1">
        <w:rPr>
          <w:lang w:val="en-GB"/>
        </w:rPr>
        <w:t xml:space="preserve"> a firm in Colorado that had experience with manufacturing and selling edibles, which were not </w:t>
      </w:r>
      <w:r w:rsidR="00834F01">
        <w:rPr>
          <w:lang w:val="en-GB"/>
        </w:rPr>
        <w:t xml:space="preserve">yet </w:t>
      </w:r>
      <w:r w:rsidRPr="00E828B1">
        <w:rPr>
          <w:lang w:val="en-GB"/>
        </w:rPr>
        <w:t xml:space="preserve">legal to sell in Canada. According to Rogers, the TGS partnership was meant to help OrganiGram “spin up” </w:t>
      </w:r>
      <w:r w:rsidR="00D71DE5" w:rsidRPr="00E828B1">
        <w:rPr>
          <w:lang w:val="en-GB"/>
        </w:rPr>
        <w:t xml:space="preserve">its </w:t>
      </w:r>
      <w:r w:rsidRPr="00E828B1">
        <w:rPr>
          <w:lang w:val="en-GB"/>
        </w:rPr>
        <w:t>edible</w:t>
      </w:r>
      <w:r w:rsidR="00F63485">
        <w:rPr>
          <w:lang w:val="en-GB"/>
        </w:rPr>
        <w:t>-marijuana</w:t>
      </w:r>
      <w:r w:rsidRPr="00E828B1">
        <w:rPr>
          <w:lang w:val="en-GB"/>
        </w:rPr>
        <w:t xml:space="preserve"> manufacturing facilities in Moncton quickly. Soon after, in a press release dated Nov</w:t>
      </w:r>
      <w:r w:rsidR="00D71DE5" w:rsidRPr="00E828B1">
        <w:rPr>
          <w:lang w:val="en-GB"/>
        </w:rPr>
        <w:t>ember</w:t>
      </w:r>
      <w:r w:rsidRPr="00E828B1">
        <w:rPr>
          <w:lang w:val="en-GB"/>
        </w:rPr>
        <w:t xml:space="preserve"> 23, 2016, OrganiGram announced, “Trailer Park Boys Choose OrganiGram as Strategic Partner</w:t>
      </w:r>
      <w:r w:rsidR="00D71DE5" w:rsidRPr="00E828B1">
        <w:rPr>
          <w:lang w:val="en-GB"/>
        </w:rPr>
        <w:t>.</w:t>
      </w:r>
      <w:r w:rsidRPr="00E828B1">
        <w:rPr>
          <w:lang w:val="en-GB"/>
        </w:rPr>
        <w:t>”</w:t>
      </w:r>
      <w:r w:rsidRPr="00E828B1">
        <w:rPr>
          <w:rFonts w:eastAsia="Cambria" w:cs="Cambria"/>
          <w:vertAlign w:val="superscript"/>
          <w:lang w:val="en-GB"/>
        </w:rPr>
        <w:endnoteReference w:id="34"/>
      </w:r>
      <w:r w:rsidRPr="00E828B1">
        <w:rPr>
          <w:lang w:val="en-GB"/>
        </w:rPr>
        <w:t xml:space="preserve"> However, in mid-December 2016, the Task Force on Cannabis Legalization and Regulation completed and released its report</w:t>
      </w:r>
      <w:r w:rsidR="00D71DE5" w:rsidRPr="00E828B1">
        <w:rPr>
          <w:lang w:val="en-GB"/>
        </w:rPr>
        <w:t>,</w:t>
      </w:r>
      <w:r w:rsidRPr="00E828B1">
        <w:rPr>
          <w:lang w:val="en-GB"/>
        </w:rPr>
        <w:t xml:space="preserve"> which included many recommendations.</w:t>
      </w:r>
      <w:r w:rsidR="00F63485" w:rsidRPr="00E828B1">
        <w:rPr>
          <w:rFonts w:eastAsia="Cambria" w:cs="Cambria"/>
          <w:vertAlign w:val="superscript"/>
          <w:lang w:val="en-GB"/>
        </w:rPr>
        <w:endnoteReference w:id="35"/>
      </w:r>
      <w:r w:rsidRPr="00E828B1">
        <w:rPr>
          <w:lang w:val="en-GB"/>
        </w:rPr>
        <w:t xml:space="preserve"> For the purpose of minimizing </w:t>
      </w:r>
      <w:r w:rsidR="00F63485">
        <w:rPr>
          <w:lang w:val="en-GB"/>
        </w:rPr>
        <w:t xml:space="preserve">the </w:t>
      </w:r>
      <w:r w:rsidRPr="00E828B1">
        <w:rPr>
          <w:lang w:val="en-GB"/>
        </w:rPr>
        <w:t xml:space="preserve">harm of use, the </w:t>
      </w:r>
      <w:r w:rsidR="00EA0886" w:rsidRPr="00E828B1">
        <w:rPr>
          <w:lang w:val="en-GB"/>
        </w:rPr>
        <w:t xml:space="preserve">Task Force </w:t>
      </w:r>
      <w:r w:rsidRPr="00E828B1">
        <w:rPr>
          <w:lang w:val="en-GB"/>
        </w:rPr>
        <w:t>recommended that the federal government “</w:t>
      </w:r>
      <w:r w:rsidR="00F63485">
        <w:rPr>
          <w:lang w:val="en-GB"/>
        </w:rPr>
        <w:t>a</w:t>
      </w:r>
      <w:r w:rsidRPr="00E828B1">
        <w:rPr>
          <w:lang w:val="en-GB"/>
        </w:rPr>
        <w:t>pply comprehensive restrictions to the advertising and promotion of cannabis and related merchandise by any means, including sponsorship, endorsements and branding, similar to the restrictions on promotion of tobacco products</w:t>
      </w:r>
      <w:r w:rsidR="00D71DE5" w:rsidRPr="00E828B1">
        <w:rPr>
          <w:lang w:val="en-GB"/>
        </w:rPr>
        <w:t>.</w:t>
      </w:r>
      <w:r w:rsidRPr="00E828B1">
        <w:rPr>
          <w:lang w:val="en-GB"/>
        </w:rPr>
        <w:t>”</w:t>
      </w:r>
      <w:r w:rsidRPr="00E828B1">
        <w:rPr>
          <w:rStyle w:val="EndnoteReference"/>
          <w:lang w:val="en-GB"/>
        </w:rPr>
        <w:endnoteReference w:id="36"/>
      </w:r>
      <w:r w:rsidRPr="00E828B1">
        <w:rPr>
          <w:lang w:val="en-GB"/>
        </w:rPr>
        <w:t xml:space="preserve"> The Task Force also recommended that recreational products not be packaged in such a way that it would be appealing to children. With that in mind, what kinds of edibles would be permitted? The challenge was that OrganiGram was “deploying fairly substantive amounts of capital and not knowing exactly what the date is that that capital should be fully functioning,” according to Rogers. </w:t>
      </w:r>
    </w:p>
    <w:p w14:paraId="29974C88" w14:textId="77777777" w:rsidR="00DD1A25" w:rsidRPr="00E828B1" w:rsidRDefault="00DD1A25" w:rsidP="00DD1A25">
      <w:pPr>
        <w:pStyle w:val="BodyTextMain"/>
        <w:rPr>
          <w:rFonts w:eastAsia="Cambria" w:cs="Cambria"/>
          <w:lang w:val="en-GB"/>
        </w:rPr>
      </w:pPr>
    </w:p>
    <w:p w14:paraId="2C5FCFFB" w14:textId="55EC8D72" w:rsidR="00DD1A25" w:rsidRPr="00E828B1" w:rsidRDefault="00DD1A25" w:rsidP="00DD1A25">
      <w:pPr>
        <w:pStyle w:val="BodyTextMain"/>
        <w:rPr>
          <w:lang w:val="en-GB"/>
        </w:rPr>
      </w:pPr>
      <w:r w:rsidRPr="00E828B1">
        <w:rPr>
          <w:rFonts w:eastAsia="Cambria" w:cs="Cambria"/>
          <w:lang w:val="en-GB"/>
        </w:rPr>
        <w:t>Other LPs, such as Canopy Growth and Aurora Cannabis,</w:t>
      </w:r>
      <w:r w:rsidRPr="00E828B1">
        <w:rPr>
          <w:lang w:val="en-GB"/>
        </w:rPr>
        <w:t xml:space="preserve"> were also preparing for the recreational market by developing strategic partnerships and raising capital to expand their operational capacities. On the medical side, the total number of patients </w:t>
      </w:r>
      <w:r w:rsidR="003B3A7C">
        <w:rPr>
          <w:lang w:val="en-GB"/>
        </w:rPr>
        <w:t xml:space="preserve">who could legally purchase medical marijuana </w:t>
      </w:r>
      <w:r w:rsidRPr="00E828B1">
        <w:rPr>
          <w:lang w:val="en-GB"/>
        </w:rPr>
        <w:t xml:space="preserve">was limited by the number of physicians who were willing and able to prescribe cannabis. Many of the cannabis clinics were in Ontario and Western Canada, where most of the LPs were located. However, some clinics had satellite offices in Atlantic Canada. According to Rogers, many physicians were uncomfortable with prescribing cannabis to their patients and had to refer them to cannabis clinics. However, the market data found on Health Canada’s website showed that the number of patients was increasing each quarter (see Exhibit </w:t>
      </w:r>
      <w:r w:rsidR="00105A3A" w:rsidRPr="00E828B1">
        <w:rPr>
          <w:lang w:val="en-GB"/>
        </w:rPr>
        <w:t>1</w:t>
      </w:r>
      <w:r w:rsidRPr="00E828B1">
        <w:rPr>
          <w:lang w:val="en-GB"/>
        </w:rPr>
        <w:t xml:space="preserve">). Even with </w:t>
      </w:r>
      <w:r w:rsidR="003B3A7C" w:rsidRPr="00E828B1">
        <w:rPr>
          <w:lang w:val="en-GB"/>
        </w:rPr>
        <w:t>th</w:t>
      </w:r>
      <w:r w:rsidR="003B3A7C">
        <w:rPr>
          <w:lang w:val="en-GB"/>
        </w:rPr>
        <w:t>ese</w:t>
      </w:r>
      <w:r w:rsidR="003B3A7C" w:rsidRPr="00E828B1">
        <w:rPr>
          <w:lang w:val="en-GB"/>
        </w:rPr>
        <w:t xml:space="preserve"> </w:t>
      </w:r>
      <w:r w:rsidRPr="00E828B1">
        <w:rPr>
          <w:lang w:val="en-GB"/>
        </w:rPr>
        <w:t xml:space="preserve">data and </w:t>
      </w:r>
      <w:r w:rsidR="00766A47" w:rsidRPr="00E828B1">
        <w:rPr>
          <w:lang w:val="en-GB"/>
        </w:rPr>
        <w:t>Organi</w:t>
      </w:r>
      <w:r w:rsidR="00EF133D" w:rsidRPr="00E828B1">
        <w:rPr>
          <w:lang w:val="en-GB"/>
        </w:rPr>
        <w:t>G</w:t>
      </w:r>
      <w:r w:rsidR="00766A47" w:rsidRPr="00E828B1">
        <w:rPr>
          <w:lang w:val="en-GB"/>
        </w:rPr>
        <w:t>ram’s</w:t>
      </w:r>
      <w:r w:rsidRPr="00E828B1">
        <w:rPr>
          <w:lang w:val="en-GB"/>
        </w:rPr>
        <w:t xml:space="preserve"> </w:t>
      </w:r>
      <w:r w:rsidR="00D71DE5" w:rsidRPr="00E828B1">
        <w:rPr>
          <w:lang w:val="en-GB"/>
        </w:rPr>
        <w:t>e</w:t>
      </w:r>
      <w:r w:rsidRPr="00E828B1">
        <w:rPr>
          <w:lang w:val="en-GB"/>
        </w:rPr>
        <w:t xml:space="preserve">nterprise </w:t>
      </w:r>
      <w:r w:rsidR="00D71DE5" w:rsidRPr="00E828B1">
        <w:rPr>
          <w:lang w:val="en-GB"/>
        </w:rPr>
        <w:t>r</w:t>
      </w:r>
      <w:r w:rsidRPr="00E828B1">
        <w:rPr>
          <w:lang w:val="en-GB"/>
        </w:rPr>
        <w:t xml:space="preserve">esource </w:t>
      </w:r>
      <w:r w:rsidR="00D71DE5" w:rsidRPr="00E828B1">
        <w:rPr>
          <w:lang w:val="en-GB"/>
        </w:rPr>
        <w:t>p</w:t>
      </w:r>
      <w:r w:rsidRPr="00E828B1">
        <w:rPr>
          <w:lang w:val="en-GB"/>
        </w:rPr>
        <w:t>lanning systems, it was difficult to make forecasts because one did not know which companies the patients would choose.</w:t>
      </w:r>
    </w:p>
    <w:p w14:paraId="72BA8A1A" w14:textId="77777777" w:rsidR="00DD1A25" w:rsidRPr="00E828B1" w:rsidRDefault="00DD1A25" w:rsidP="00DD1A25">
      <w:pPr>
        <w:pStyle w:val="BodyTextMain"/>
        <w:rPr>
          <w:rFonts w:eastAsia="Cambria" w:cs="Cambria"/>
          <w:lang w:val="en-GB"/>
        </w:rPr>
      </w:pPr>
    </w:p>
    <w:p w14:paraId="7950F0F1" w14:textId="77777777" w:rsidR="00DD1A25" w:rsidRPr="00E828B1" w:rsidRDefault="00DD1A25" w:rsidP="00DD1A25">
      <w:pPr>
        <w:pStyle w:val="BodyTextMain"/>
        <w:rPr>
          <w:rFonts w:eastAsia="Cambria" w:cs="Cambria"/>
          <w:lang w:val="en-GB"/>
        </w:rPr>
      </w:pPr>
    </w:p>
    <w:p w14:paraId="3138442A" w14:textId="77777777" w:rsidR="00DD1A25" w:rsidRPr="00E828B1" w:rsidRDefault="00DD1A25" w:rsidP="003F0326">
      <w:pPr>
        <w:pStyle w:val="Casehead1"/>
        <w:rPr>
          <w:rFonts w:eastAsia="Cambria" w:cs="Cambria"/>
          <w:lang w:val="en-GB"/>
        </w:rPr>
      </w:pPr>
      <w:r w:rsidRPr="00E828B1">
        <w:rPr>
          <w:lang w:val="en-GB"/>
        </w:rPr>
        <w:t>Next steps</w:t>
      </w:r>
    </w:p>
    <w:p w14:paraId="569BC76A" w14:textId="77777777" w:rsidR="00DD1A25" w:rsidRPr="00E828B1" w:rsidRDefault="00DD1A25" w:rsidP="00DD1A25">
      <w:pPr>
        <w:pStyle w:val="BodyTextMain"/>
        <w:rPr>
          <w:lang w:val="en-GB"/>
        </w:rPr>
      </w:pPr>
    </w:p>
    <w:p w14:paraId="313E0447" w14:textId="6EFB4313" w:rsidR="00DD1A25" w:rsidRPr="00F63485" w:rsidRDefault="00DD1A25" w:rsidP="00DD1A25">
      <w:pPr>
        <w:pStyle w:val="BodyTextMain"/>
        <w:rPr>
          <w:spacing w:val="-2"/>
          <w:lang w:val="en-GB"/>
        </w:rPr>
      </w:pPr>
      <w:r w:rsidRPr="00F63485">
        <w:rPr>
          <w:spacing w:val="-2"/>
          <w:lang w:val="en-GB"/>
        </w:rPr>
        <w:t xml:space="preserve">The largest players (including OrganiGram) in the medical cannabis industry were in the midst of expanding their operations in anticipation of the </w:t>
      </w:r>
      <w:r w:rsidR="00834F01" w:rsidRPr="00F63485">
        <w:rPr>
          <w:spacing w:val="-2"/>
          <w:lang w:val="en-GB"/>
        </w:rPr>
        <w:t xml:space="preserve">introduction of the </w:t>
      </w:r>
      <w:r w:rsidRPr="00F63485">
        <w:rPr>
          <w:spacing w:val="-2"/>
          <w:lang w:val="en-GB"/>
        </w:rPr>
        <w:t>Trudeau government</w:t>
      </w:r>
      <w:r w:rsidR="00D71DE5" w:rsidRPr="00F63485">
        <w:rPr>
          <w:spacing w:val="-2"/>
          <w:lang w:val="en-GB"/>
        </w:rPr>
        <w:t>’</w:t>
      </w:r>
      <w:r w:rsidRPr="00F63485">
        <w:rPr>
          <w:spacing w:val="-2"/>
          <w:lang w:val="en-GB"/>
        </w:rPr>
        <w:t xml:space="preserve">s recreational cannabis </w:t>
      </w:r>
      <w:r w:rsidRPr="00F63485">
        <w:rPr>
          <w:spacing w:val="-2"/>
          <w:lang w:val="en-GB"/>
        </w:rPr>
        <w:lastRenderedPageBreak/>
        <w:t xml:space="preserve">legislation in the spring of 2017. In addition to </w:t>
      </w:r>
      <w:r w:rsidR="00922345" w:rsidRPr="00F63485">
        <w:rPr>
          <w:spacing w:val="-2"/>
          <w:lang w:val="en-GB"/>
        </w:rPr>
        <w:t xml:space="preserve">its </w:t>
      </w:r>
      <w:r w:rsidRPr="00F63485">
        <w:rPr>
          <w:spacing w:val="-2"/>
          <w:lang w:val="en-GB"/>
        </w:rPr>
        <w:t xml:space="preserve">domestic expansion activities, Canopy Growth, the largest publicly traded cannabis company in Canada, was already engaging in several international expansion activities in Brazil, Germany, and Australia. However, Rogers said that there was a shortage of product in Canada at that point in time and OrganiGram did not have any immediate plans to export cannabis. </w:t>
      </w:r>
      <w:r w:rsidR="00D71DE5" w:rsidRPr="00F63485">
        <w:rPr>
          <w:spacing w:val="-2"/>
          <w:lang w:val="en-GB"/>
        </w:rPr>
        <w:t xml:space="preserve">Its </w:t>
      </w:r>
      <w:r w:rsidRPr="00F63485">
        <w:rPr>
          <w:spacing w:val="-2"/>
          <w:lang w:val="en-GB"/>
        </w:rPr>
        <w:t>focus was on the current medical cannabis market and the anticipated recreational market in Canada.</w:t>
      </w:r>
    </w:p>
    <w:p w14:paraId="3336D84F" w14:textId="77777777" w:rsidR="00DD1A25" w:rsidRPr="00F63485" w:rsidRDefault="00DD1A25" w:rsidP="00DD1A25">
      <w:pPr>
        <w:pStyle w:val="BodyTextMain"/>
        <w:rPr>
          <w:spacing w:val="-2"/>
          <w:lang w:val="en-GB"/>
        </w:rPr>
      </w:pPr>
    </w:p>
    <w:p w14:paraId="5A15113C" w14:textId="1B27FA1D" w:rsidR="003F0326" w:rsidRPr="00E828B1" w:rsidRDefault="00DD1A25" w:rsidP="00DD1A25">
      <w:pPr>
        <w:pStyle w:val="BodyTextMain"/>
        <w:rPr>
          <w:lang w:val="en-GB"/>
        </w:rPr>
      </w:pPr>
      <w:r w:rsidRPr="00E828B1">
        <w:rPr>
          <w:lang w:val="en-GB"/>
        </w:rPr>
        <w:t>From Rogers’</w:t>
      </w:r>
      <w:r w:rsidR="00630F27" w:rsidRPr="00E828B1">
        <w:rPr>
          <w:lang w:val="en-GB"/>
        </w:rPr>
        <w:t>s</w:t>
      </w:r>
      <w:r w:rsidRPr="00E828B1">
        <w:rPr>
          <w:lang w:val="en-GB"/>
        </w:rPr>
        <w:t xml:space="preserve"> perspective, it was </w:t>
      </w:r>
      <w:r w:rsidR="00834F01">
        <w:rPr>
          <w:lang w:val="en-GB"/>
        </w:rPr>
        <w:t>un</w:t>
      </w:r>
      <w:r w:rsidRPr="00E828B1">
        <w:rPr>
          <w:lang w:val="en-GB"/>
        </w:rPr>
        <w:t xml:space="preserve">clear when </w:t>
      </w:r>
      <w:r w:rsidR="00D71DE5" w:rsidRPr="00E828B1">
        <w:rPr>
          <w:lang w:val="en-GB"/>
        </w:rPr>
        <w:t xml:space="preserve">the company </w:t>
      </w:r>
      <w:r w:rsidRPr="00E828B1">
        <w:rPr>
          <w:lang w:val="en-GB"/>
        </w:rPr>
        <w:t xml:space="preserve">could roll out new products, which products would be permitted, or who would be allowed to produce and/or sell recreational cannabis products. The challenge for OrganiGram was to work with the “grey knowledge” while creating a strategy for the anticipated recreational cannabis market </w:t>
      </w:r>
      <w:r w:rsidR="00D71DE5" w:rsidRPr="00E828B1">
        <w:rPr>
          <w:lang w:val="en-GB"/>
        </w:rPr>
        <w:t xml:space="preserve">and </w:t>
      </w:r>
      <w:r w:rsidRPr="00E828B1">
        <w:rPr>
          <w:lang w:val="en-GB"/>
        </w:rPr>
        <w:t xml:space="preserve">working on </w:t>
      </w:r>
      <w:r w:rsidR="00D71DE5" w:rsidRPr="00E828B1">
        <w:rPr>
          <w:lang w:val="en-GB"/>
        </w:rPr>
        <w:t xml:space="preserve">its </w:t>
      </w:r>
      <w:r w:rsidRPr="00E828B1">
        <w:rPr>
          <w:lang w:val="en-GB"/>
        </w:rPr>
        <w:t xml:space="preserve">medical cannabis sales. What kind of strategy should OrganiGram have for the recreational cannabis market? How should </w:t>
      </w:r>
      <w:r w:rsidR="00D71DE5" w:rsidRPr="00E828B1">
        <w:rPr>
          <w:lang w:val="en-GB"/>
        </w:rPr>
        <w:t xml:space="preserve">it </w:t>
      </w:r>
      <w:r w:rsidRPr="00E828B1">
        <w:rPr>
          <w:lang w:val="en-GB"/>
        </w:rPr>
        <w:t xml:space="preserve">organize the company to market both medical and recreational cannabis? </w:t>
      </w:r>
      <w:r w:rsidR="00D71DE5" w:rsidRPr="00E828B1">
        <w:rPr>
          <w:lang w:val="en-GB"/>
        </w:rPr>
        <w:t xml:space="preserve">Would </w:t>
      </w:r>
      <w:r w:rsidR="004C7115" w:rsidRPr="00E828B1">
        <w:rPr>
          <w:lang w:val="en-GB"/>
        </w:rPr>
        <w:t>the legalization of recreational cannabis lead to regulations that allow</w:t>
      </w:r>
      <w:r w:rsidR="00D71DE5" w:rsidRPr="00E828B1">
        <w:rPr>
          <w:lang w:val="en-GB"/>
        </w:rPr>
        <w:t>ed</w:t>
      </w:r>
      <w:r w:rsidR="004C7115" w:rsidRPr="00E828B1">
        <w:rPr>
          <w:lang w:val="en-GB"/>
        </w:rPr>
        <w:t xml:space="preserve"> for imported cannabis? </w:t>
      </w:r>
      <w:r w:rsidR="0066545E" w:rsidRPr="00E828B1">
        <w:rPr>
          <w:lang w:val="en-GB"/>
        </w:rPr>
        <w:t xml:space="preserve">With </w:t>
      </w:r>
      <w:r w:rsidR="004C7115" w:rsidRPr="00E828B1">
        <w:rPr>
          <w:lang w:val="en-GB"/>
        </w:rPr>
        <w:t>so many</w:t>
      </w:r>
      <w:r w:rsidR="0066545E" w:rsidRPr="00E828B1">
        <w:rPr>
          <w:lang w:val="en-GB"/>
        </w:rPr>
        <w:t xml:space="preserve"> variables still unknown, w</w:t>
      </w:r>
      <w:r w:rsidRPr="00E828B1">
        <w:rPr>
          <w:lang w:val="en-GB"/>
        </w:rPr>
        <w:t xml:space="preserve">hat kinds of scenarios should </w:t>
      </w:r>
      <w:r w:rsidR="00D71DE5" w:rsidRPr="00E828B1">
        <w:rPr>
          <w:lang w:val="en-GB"/>
        </w:rPr>
        <w:t xml:space="preserve">OrganiGram </w:t>
      </w:r>
      <w:r w:rsidRPr="00E828B1">
        <w:rPr>
          <w:lang w:val="en-GB"/>
        </w:rPr>
        <w:t>prepare to face?</w:t>
      </w:r>
      <w:r w:rsidR="004C7115" w:rsidRPr="00E828B1">
        <w:rPr>
          <w:lang w:val="en-GB"/>
        </w:rPr>
        <w:t xml:space="preserve"> </w:t>
      </w:r>
      <w:r w:rsidR="00D71DE5" w:rsidRPr="00E828B1">
        <w:rPr>
          <w:lang w:val="en-GB"/>
        </w:rPr>
        <w:t xml:space="preserve">Was </w:t>
      </w:r>
      <w:r w:rsidR="004C7115" w:rsidRPr="00E828B1">
        <w:rPr>
          <w:lang w:val="en-GB"/>
        </w:rPr>
        <w:t>it possible to create an implementation plan with a timeline, roll</w:t>
      </w:r>
      <w:r w:rsidR="00F63485">
        <w:rPr>
          <w:lang w:val="en-GB"/>
        </w:rPr>
        <w:t xml:space="preserve"> </w:t>
      </w:r>
      <w:r w:rsidR="004C7115" w:rsidRPr="00E828B1">
        <w:rPr>
          <w:lang w:val="en-GB"/>
        </w:rPr>
        <w:t>out schedule, and initial steps that would take into account the different scenarios?</w:t>
      </w:r>
    </w:p>
    <w:p w14:paraId="75431006" w14:textId="77777777" w:rsidR="003F0326" w:rsidRPr="00E828B1" w:rsidRDefault="003F0326">
      <w:pPr>
        <w:spacing w:after="200" w:line="276" w:lineRule="auto"/>
        <w:rPr>
          <w:sz w:val="22"/>
          <w:szCs w:val="22"/>
          <w:lang w:val="en-GB"/>
        </w:rPr>
      </w:pPr>
      <w:r w:rsidRPr="00E828B1">
        <w:rPr>
          <w:lang w:val="en-GB"/>
        </w:rPr>
        <w:br w:type="page"/>
      </w:r>
    </w:p>
    <w:p w14:paraId="0C1BA93A" w14:textId="0ED2F577" w:rsidR="003F0326" w:rsidRPr="00E828B1" w:rsidRDefault="003F0326" w:rsidP="003F0326">
      <w:pPr>
        <w:pStyle w:val="ExhibitHeading"/>
        <w:rPr>
          <w:lang w:val="en-GB"/>
        </w:rPr>
      </w:pPr>
      <w:r w:rsidRPr="00E828B1">
        <w:rPr>
          <w:lang w:val="en-GB"/>
        </w:rPr>
        <w:lastRenderedPageBreak/>
        <w:t xml:space="preserve">Exhibit </w:t>
      </w:r>
      <w:r w:rsidR="00105A3A" w:rsidRPr="00E828B1">
        <w:rPr>
          <w:lang w:val="en-GB"/>
        </w:rPr>
        <w:t>1</w:t>
      </w:r>
      <w:r w:rsidRPr="00E828B1">
        <w:rPr>
          <w:lang w:val="en-GB"/>
        </w:rPr>
        <w:t xml:space="preserve">: Market Data </w:t>
      </w:r>
      <w:r w:rsidR="00533398">
        <w:rPr>
          <w:lang w:val="en-GB"/>
        </w:rPr>
        <w:t xml:space="preserve">on canada’s quarterly supply of cannabis for medical purposes, </w:t>
      </w:r>
      <w:r w:rsidRPr="00E828B1">
        <w:rPr>
          <w:lang w:val="en-GB"/>
        </w:rPr>
        <w:t>April 2015</w:t>
      </w:r>
      <w:r w:rsidR="00D71DE5" w:rsidRPr="00E828B1">
        <w:rPr>
          <w:lang w:val="en-GB"/>
        </w:rPr>
        <w:t>–</w:t>
      </w:r>
      <w:r w:rsidRPr="00E828B1">
        <w:rPr>
          <w:lang w:val="en-GB"/>
        </w:rPr>
        <w:t>Sept</w:t>
      </w:r>
      <w:r w:rsidR="00D71DE5" w:rsidRPr="00E828B1">
        <w:rPr>
          <w:lang w:val="en-GB"/>
        </w:rPr>
        <w:t>ember</w:t>
      </w:r>
      <w:r w:rsidRPr="00E828B1">
        <w:rPr>
          <w:lang w:val="en-GB"/>
        </w:rPr>
        <w:t xml:space="preserve"> 30, 2016</w:t>
      </w:r>
    </w:p>
    <w:p w14:paraId="1C37BD43" w14:textId="77777777" w:rsidR="003F0326" w:rsidRPr="00E828B1" w:rsidRDefault="003F0326" w:rsidP="003F0326">
      <w:pPr>
        <w:pStyle w:val="Default"/>
        <w:ind w:right="720"/>
        <w:jc w:val="both"/>
        <w:rPr>
          <w:rFonts w:ascii="Times New Roman" w:eastAsia="Cambria" w:hAnsi="Times New Roman" w:cs="Cambria"/>
          <w:b/>
          <w:bCs/>
          <w:lang w:val="en-GB"/>
        </w:rPr>
      </w:pPr>
    </w:p>
    <w:tbl>
      <w:tblPr>
        <w:tblStyle w:val="TableGrid"/>
        <w:tblW w:w="8360" w:type="dxa"/>
        <w:jc w:val="center"/>
        <w:tblLayout w:type="fixed"/>
        <w:tblLook w:val="04A0" w:firstRow="1" w:lastRow="0" w:firstColumn="1" w:lastColumn="0" w:noHBand="0" w:noVBand="1"/>
      </w:tblPr>
      <w:tblGrid>
        <w:gridCol w:w="1730"/>
        <w:gridCol w:w="1129"/>
        <w:gridCol w:w="1134"/>
        <w:gridCol w:w="1134"/>
        <w:gridCol w:w="1134"/>
        <w:gridCol w:w="1134"/>
        <w:gridCol w:w="965"/>
      </w:tblGrid>
      <w:tr w:rsidR="003F0326" w:rsidRPr="00E828B1" w14:paraId="05E4426A" w14:textId="77777777" w:rsidTr="00F63485">
        <w:trPr>
          <w:trHeight w:val="166"/>
          <w:jc w:val="center"/>
        </w:trPr>
        <w:tc>
          <w:tcPr>
            <w:tcW w:w="1730" w:type="dxa"/>
          </w:tcPr>
          <w:p w14:paraId="216466BE" w14:textId="77777777" w:rsidR="003F0326" w:rsidRPr="00E828B1" w:rsidRDefault="003F0326" w:rsidP="004C7115">
            <w:pPr>
              <w:rPr>
                <w:rFonts w:ascii="Arial" w:hAnsi="Arial" w:cs="Arial"/>
                <w:lang w:val="en-GB"/>
              </w:rPr>
            </w:pPr>
          </w:p>
        </w:tc>
        <w:tc>
          <w:tcPr>
            <w:tcW w:w="1129" w:type="dxa"/>
          </w:tcPr>
          <w:p w14:paraId="23C651BB" w14:textId="451CBC94" w:rsidR="003F0326" w:rsidRPr="00E828B1" w:rsidRDefault="00E2201B" w:rsidP="00E2201B">
            <w:pPr>
              <w:pStyle w:val="TableStyle2"/>
              <w:rPr>
                <w:rFonts w:ascii="Arial" w:hAnsi="Arial" w:cs="Arial"/>
                <w:lang w:val="en-GB"/>
              </w:rPr>
            </w:pPr>
            <w:r w:rsidRPr="00E828B1">
              <w:rPr>
                <w:rFonts w:ascii="Arial" w:hAnsi="Arial" w:cs="Arial"/>
                <w:lang w:val="en-GB"/>
              </w:rPr>
              <w:t xml:space="preserve">Apr. </w:t>
            </w:r>
            <w:r w:rsidR="003F0326" w:rsidRPr="00E828B1">
              <w:rPr>
                <w:rFonts w:ascii="Arial" w:hAnsi="Arial" w:cs="Arial"/>
                <w:lang w:val="en-GB"/>
              </w:rPr>
              <w:t>1, 2015</w:t>
            </w:r>
            <w:r w:rsidR="00D71DE5" w:rsidRPr="00E828B1">
              <w:rPr>
                <w:rFonts w:ascii="Arial" w:hAnsi="Arial" w:cs="Arial"/>
                <w:lang w:val="en-GB"/>
              </w:rPr>
              <w:t>–</w:t>
            </w:r>
            <w:r w:rsidR="003F0326" w:rsidRPr="00E828B1">
              <w:rPr>
                <w:rFonts w:ascii="Arial" w:hAnsi="Arial" w:cs="Arial"/>
                <w:lang w:val="en-GB"/>
              </w:rPr>
              <w:t>June 30, 2015 (Q1)</w:t>
            </w:r>
          </w:p>
        </w:tc>
        <w:tc>
          <w:tcPr>
            <w:tcW w:w="1134" w:type="dxa"/>
          </w:tcPr>
          <w:p w14:paraId="0A3A2A16" w14:textId="67BC190F" w:rsidR="003F0326" w:rsidRPr="00E828B1" w:rsidRDefault="003F0326" w:rsidP="004C7115">
            <w:pPr>
              <w:pStyle w:val="TableStyle2"/>
              <w:rPr>
                <w:rFonts w:ascii="Arial" w:hAnsi="Arial" w:cs="Arial"/>
                <w:lang w:val="en-GB"/>
              </w:rPr>
            </w:pPr>
            <w:r w:rsidRPr="00E828B1">
              <w:rPr>
                <w:rFonts w:ascii="Arial" w:hAnsi="Arial" w:cs="Arial"/>
                <w:lang w:val="en-GB"/>
              </w:rPr>
              <w:t>July 1, 2015</w:t>
            </w:r>
            <w:r w:rsidR="00D71DE5" w:rsidRPr="00E828B1">
              <w:rPr>
                <w:rFonts w:ascii="Arial" w:hAnsi="Arial" w:cs="Arial"/>
                <w:lang w:val="en-GB"/>
              </w:rPr>
              <w:t>–</w:t>
            </w:r>
            <w:r w:rsidRPr="00E828B1">
              <w:rPr>
                <w:rFonts w:ascii="Arial" w:hAnsi="Arial" w:cs="Arial"/>
                <w:lang w:val="en-GB"/>
              </w:rPr>
              <w:t>Sep. 30, 2015 (Q2)</w:t>
            </w:r>
          </w:p>
        </w:tc>
        <w:tc>
          <w:tcPr>
            <w:tcW w:w="1134" w:type="dxa"/>
          </w:tcPr>
          <w:p w14:paraId="746D357A" w14:textId="361A2FCA" w:rsidR="003F0326" w:rsidRPr="00E828B1" w:rsidRDefault="003F0326" w:rsidP="004C7115">
            <w:pPr>
              <w:pStyle w:val="TableStyle2"/>
              <w:rPr>
                <w:rFonts w:ascii="Arial" w:hAnsi="Arial" w:cs="Arial"/>
                <w:lang w:val="en-GB"/>
              </w:rPr>
            </w:pPr>
            <w:r w:rsidRPr="00E828B1">
              <w:rPr>
                <w:rFonts w:ascii="Arial" w:hAnsi="Arial" w:cs="Arial"/>
                <w:lang w:val="en-GB"/>
              </w:rPr>
              <w:t>Oct. 1, 2015</w:t>
            </w:r>
            <w:r w:rsidR="00D71DE5" w:rsidRPr="00E828B1">
              <w:rPr>
                <w:rFonts w:ascii="Arial" w:hAnsi="Arial" w:cs="Arial"/>
                <w:lang w:val="en-GB"/>
              </w:rPr>
              <w:t>–</w:t>
            </w:r>
            <w:r w:rsidRPr="00E828B1">
              <w:rPr>
                <w:rFonts w:ascii="Arial" w:hAnsi="Arial" w:cs="Arial"/>
                <w:lang w:val="en-GB"/>
              </w:rPr>
              <w:t>Dec. 31, 2015 (Q3)</w:t>
            </w:r>
          </w:p>
        </w:tc>
        <w:tc>
          <w:tcPr>
            <w:tcW w:w="1134" w:type="dxa"/>
          </w:tcPr>
          <w:p w14:paraId="1CA97EF6" w14:textId="3D45CCCA" w:rsidR="003F0326" w:rsidRPr="00E828B1" w:rsidRDefault="003F0326" w:rsidP="00E2201B">
            <w:pPr>
              <w:pStyle w:val="TableStyle2"/>
              <w:rPr>
                <w:rFonts w:ascii="Arial" w:hAnsi="Arial" w:cs="Arial"/>
                <w:lang w:val="en-GB"/>
              </w:rPr>
            </w:pPr>
            <w:r w:rsidRPr="00E828B1">
              <w:rPr>
                <w:rFonts w:ascii="Arial" w:hAnsi="Arial" w:cs="Arial"/>
                <w:lang w:val="en-GB"/>
              </w:rPr>
              <w:t>Jan. 1, 2016</w:t>
            </w:r>
            <w:r w:rsidR="00D71DE5" w:rsidRPr="00E828B1">
              <w:rPr>
                <w:rFonts w:ascii="Arial" w:hAnsi="Arial" w:cs="Arial"/>
                <w:lang w:val="en-GB"/>
              </w:rPr>
              <w:t>–</w:t>
            </w:r>
            <w:r w:rsidRPr="00E828B1">
              <w:rPr>
                <w:rFonts w:ascii="Arial" w:hAnsi="Arial" w:cs="Arial"/>
                <w:lang w:val="en-GB"/>
              </w:rPr>
              <w:t>Mar</w:t>
            </w:r>
            <w:r w:rsidR="00E2201B" w:rsidRPr="00E828B1">
              <w:rPr>
                <w:rFonts w:ascii="Arial" w:hAnsi="Arial" w:cs="Arial"/>
                <w:lang w:val="en-GB"/>
              </w:rPr>
              <w:t>.</w:t>
            </w:r>
            <w:r w:rsidRPr="00E828B1">
              <w:rPr>
                <w:rFonts w:ascii="Arial" w:hAnsi="Arial" w:cs="Arial"/>
                <w:lang w:val="en-GB"/>
              </w:rPr>
              <w:t xml:space="preserve"> 31, 2016 (Q4)</w:t>
            </w:r>
          </w:p>
        </w:tc>
        <w:tc>
          <w:tcPr>
            <w:tcW w:w="1134" w:type="dxa"/>
          </w:tcPr>
          <w:p w14:paraId="2D785DBD" w14:textId="3724B27E" w:rsidR="003F0326" w:rsidRPr="00E828B1" w:rsidRDefault="00E2201B" w:rsidP="00E2201B">
            <w:pPr>
              <w:pStyle w:val="TableStyle2"/>
              <w:rPr>
                <w:rFonts w:ascii="Arial" w:hAnsi="Arial" w:cs="Arial"/>
                <w:lang w:val="en-GB"/>
              </w:rPr>
            </w:pPr>
            <w:r w:rsidRPr="00E828B1">
              <w:rPr>
                <w:rFonts w:ascii="Arial" w:hAnsi="Arial" w:cs="Arial"/>
                <w:lang w:val="en-GB"/>
              </w:rPr>
              <w:t xml:space="preserve">Apr. </w:t>
            </w:r>
            <w:r w:rsidR="003F0326" w:rsidRPr="00E828B1">
              <w:rPr>
                <w:rFonts w:ascii="Arial" w:hAnsi="Arial" w:cs="Arial"/>
                <w:lang w:val="en-GB"/>
              </w:rPr>
              <w:t>1, 2016</w:t>
            </w:r>
            <w:r w:rsidR="00D71DE5" w:rsidRPr="00E828B1">
              <w:rPr>
                <w:rFonts w:ascii="Arial" w:hAnsi="Arial" w:cs="Arial"/>
                <w:lang w:val="en-GB"/>
              </w:rPr>
              <w:t>–</w:t>
            </w:r>
            <w:r w:rsidR="003F0326" w:rsidRPr="00E828B1">
              <w:rPr>
                <w:rFonts w:ascii="Arial" w:hAnsi="Arial" w:cs="Arial"/>
                <w:lang w:val="en-GB"/>
              </w:rPr>
              <w:t>June 30, 2016 (Q1)</w:t>
            </w:r>
          </w:p>
        </w:tc>
        <w:tc>
          <w:tcPr>
            <w:tcW w:w="965" w:type="dxa"/>
          </w:tcPr>
          <w:p w14:paraId="7DB0E23D" w14:textId="5C0EB08F" w:rsidR="003F0326" w:rsidRPr="00E828B1" w:rsidRDefault="003F0326" w:rsidP="004C7115">
            <w:pPr>
              <w:pStyle w:val="TableStyle2"/>
              <w:rPr>
                <w:rFonts w:ascii="Arial" w:hAnsi="Arial" w:cs="Arial"/>
                <w:lang w:val="en-GB"/>
              </w:rPr>
            </w:pPr>
            <w:r w:rsidRPr="00E828B1">
              <w:rPr>
                <w:rFonts w:ascii="Arial" w:hAnsi="Arial" w:cs="Arial"/>
                <w:lang w:val="en-GB"/>
              </w:rPr>
              <w:t>July 1, 2016</w:t>
            </w:r>
            <w:r w:rsidR="00D71DE5" w:rsidRPr="00E828B1">
              <w:rPr>
                <w:rFonts w:ascii="Arial" w:hAnsi="Arial" w:cs="Arial"/>
                <w:lang w:val="en-GB"/>
              </w:rPr>
              <w:t>–</w:t>
            </w:r>
            <w:r w:rsidRPr="00E828B1">
              <w:rPr>
                <w:rFonts w:ascii="Arial" w:hAnsi="Arial" w:cs="Arial"/>
                <w:lang w:val="en-GB"/>
              </w:rPr>
              <w:t>Sep. 30, 2016 (Q2)</w:t>
            </w:r>
          </w:p>
        </w:tc>
      </w:tr>
      <w:tr w:rsidR="003B3A7C" w:rsidRPr="00E828B1" w14:paraId="28CB380A" w14:textId="77777777" w:rsidTr="00F63485">
        <w:trPr>
          <w:trHeight w:val="166"/>
          <w:jc w:val="center"/>
        </w:trPr>
        <w:tc>
          <w:tcPr>
            <w:tcW w:w="8360" w:type="dxa"/>
            <w:gridSpan w:val="7"/>
          </w:tcPr>
          <w:p w14:paraId="72E07A92" w14:textId="71823504" w:rsidR="003B3A7C" w:rsidRPr="00E828B1" w:rsidRDefault="003B3A7C" w:rsidP="007E4221">
            <w:pPr>
              <w:jc w:val="center"/>
              <w:rPr>
                <w:rFonts w:ascii="Arial" w:hAnsi="Arial" w:cs="Arial"/>
                <w:lang w:val="en-GB"/>
              </w:rPr>
            </w:pPr>
            <w:r w:rsidRPr="00E828B1">
              <w:rPr>
                <w:rFonts w:ascii="Arial" w:hAnsi="Arial" w:cs="Arial"/>
                <w:b/>
                <w:lang w:val="en-GB"/>
              </w:rPr>
              <w:t>Dried Marijuana</w:t>
            </w:r>
          </w:p>
        </w:tc>
      </w:tr>
      <w:tr w:rsidR="003F0326" w:rsidRPr="00E828B1" w14:paraId="3DE96E67" w14:textId="77777777" w:rsidTr="00F63485">
        <w:trPr>
          <w:trHeight w:val="166"/>
          <w:jc w:val="center"/>
        </w:trPr>
        <w:tc>
          <w:tcPr>
            <w:tcW w:w="1730" w:type="dxa"/>
          </w:tcPr>
          <w:p w14:paraId="11EFFB5F" w14:textId="77777777" w:rsidR="00533398" w:rsidRDefault="003F0326" w:rsidP="004C7115">
            <w:pPr>
              <w:pStyle w:val="TableStyle1"/>
              <w:rPr>
                <w:rFonts w:ascii="Arial" w:hAnsi="Arial" w:cs="Arial"/>
                <w:b w:val="0"/>
                <w:bCs w:val="0"/>
                <w:lang w:val="en-GB"/>
              </w:rPr>
            </w:pPr>
            <w:r w:rsidRPr="00E828B1">
              <w:rPr>
                <w:rFonts w:ascii="Arial" w:hAnsi="Arial" w:cs="Arial"/>
                <w:b w:val="0"/>
                <w:bCs w:val="0"/>
                <w:lang w:val="en-GB"/>
              </w:rPr>
              <w:t xml:space="preserve">Amount sold to clients </w:t>
            </w:r>
          </w:p>
          <w:p w14:paraId="17319AFF" w14:textId="3E8B2D4D" w:rsidR="003F0326" w:rsidRPr="00E828B1" w:rsidRDefault="003F0326" w:rsidP="004C7115">
            <w:pPr>
              <w:pStyle w:val="TableStyle1"/>
              <w:rPr>
                <w:rFonts w:ascii="Arial" w:hAnsi="Arial" w:cs="Arial"/>
                <w:lang w:val="en-GB"/>
              </w:rPr>
            </w:pPr>
            <w:r w:rsidRPr="00E828B1">
              <w:rPr>
                <w:rFonts w:ascii="Arial" w:hAnsi="Arial" w:cs="Arial"/>
                <w:b w:val="0"/>
                <w:bCs w:val="0"/>
                <w:lang w:val="en-GB"/>
              </w:rPr>
              <w:t>(</w:t>
            </w:r>
            <w:r w:rsidR="00533398">
              <w:rPr>
                <w:rFonts w:ascii="Arial" w:hAnsi="Arial" w:cs="Arial"/>
                <w:b w:val="0"/>
                <w:bCs w:val="0"/>
                <w:lang w:val="en-GB"/>
              </w:rPr>
              <w:t xml:space="preserve">in </w:t>
            </w:r>
            <w:r w:rsidRPr="00E828B1">
              <w:rPr>
                <w:rFonts w:ascii="Arial" w:hAnsi="Arial" w:cs="Arial"/>
                <w:b w:val="0"/>
                <w:bCs w:val="0"/>
                <w:lang w:val="en-GB"/>
              </w:rPr>
              <w:t>kg)</w:t>
            </w:r>
          </w:p>
        </w:tc>
        <w:tc>
          <w:tcPr>
            <w:tcW w:w="1129" w:type="dxa"/>
            <w:vAlign w:val="center"/>
          </w:tcPr>
          <w:p w14:paraId="6513E76D"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1,371</w:t>
            </w:r>
          </w:p>
        </w:tc>
        <w:tc>
          <w:tcPr>
            <w:tcW w:w="1134" w:type="dxa"/>
            <w:vAlign w:val="center"/>
          </w:tcPr>
          <w:p w14:paraId="47A222AE"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1,873</w:t>
            </w:r>
          </w:p>
        </w:tc>
        <w:tc>
          <w:tcPr>
            <w:tcW w:w="1134" w:type="dxa"/>
            <w:vAlign w:val="center"/>
          </w:tcPr>
          <w:p w14:paraId="32193E22"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2,481</w:t>
            </w:r>
          </w:p>
        </w:tc>
        <w:tc>
          <w:tcPr>
            <w:tcW w:w="1134" w:type="dxa"/>
            <w:vAlign w:val="center"/>
          </w:tcPr>
          <w:p w14:paraId="0D717ECA"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3,082</w:t>
            </w:r>
          </w:p>
        </w:tc>
        <w:tc>
          <w:tcPr>
            <w:tcW w:w="1134" w:type="dxa"/>
            <w:vAlign w:val="center"/>
          </w:tcPr>
          <w:p w14:paraId="5619B617"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4,037</w:t>
            </w:r>
          </w:p>
        </w:tc>
        <w:tc>
          <w:tcPr>
            <w:tcW w:w="965" w:type="dxa"/>
            <w:vAlign w:val="center"/>
          </w:tcPr>
          <w:p w14:paraId="336B7EBA"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4,773</w:t>
            </w:r>
          </w:p>
        </w:tc>
      </w:tr>
      <w:tr w:rsidR="003F0326" w:rsidRPr="00E828B1" w14:paraId="4985B95A" w14:textId="77777777" w:rsidTr="00F63485">
        <w:trPr>
          <w:trHeight w:val="166"/>
          <w:jc w:val="center"/>
        </w:trPr>
        <w:tc>
          <w:tcPr>
            <w:tcW w:w="1730" w:type="dxa"/>
          </w:tcPr>
          <w:p w14:paraId="3F3D2E2C" w14:textId="77777777" w:rsidR="003F0326" w:rsidRPr="00E828B1" w:rsidRDefault="003F0326" w:rsidP="004C7115">
            <w:pPr>
              <w:pStyle w:val="TableStyle1"/>
              <w:rPr>
                <w:rFonts w:ascii="Arial" w:hAnsi="Arial" w:cs="Arial"/>
                <w:lang w:val="en-GB"/>
              </w:rPr>
            </w:pPr>
            <w:r w:rsidRPr="00E828B1">
              <w:rPr>
                <w:rFonts w:ascii="Arial" w:hAnsi="Arial" w:cs="Arial"/>
                <w:b w:val="0"/>
                <w:bCs w:val="0"/>
                <w:lang w:val="en-GB"/>
              </w:rPr>
              <w:t>Amount produced</w:t>
            </w:r>
          </w:p>
        </w:tc>
        <w:tc>
          <w:tcPr>
            <w:tcW w:w="1129" w:type="dxa"/>
            <w:vAlign w:val="center"/>
          </w:tcPr>
          <w:p w14:paraId="29213623"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1,867</w:t>
            </w:r>
          </w:p>
        </w:tc>
        <w:tc>
          <w:tcPr>
            <w:tcW w:w="1134" w:type="dxa"/>
            <w:vAlign w:val="center"/>
          </w:tcPr>
          <w:p w14:paraId="7A26A29F"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2,142</w:t>
            </w:r>
          </w:p>
        </w:tc>
        <w:tc>
          <w:tcPr>
            <w:tcW w:w="1134" w:type="dxa"/>
            <w:vAlign w:val="center"/>
          </w:tcPr>
          <w:p w14:paraId="373999A9"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2,684</w:t>
            </w:r>
          </w:p>
        </w:tc>
        <w:tc>
          <w:tcPr>
            <w:tcW w:w="1134" w:type="dxa"/>
            <w:vAlign w:val="center"/>
          </w:tcPr>
          <w:p w14:paraId="37C8B173"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4,037</w:t>
            </w:r>
          </w:p>
        </w:tc>
        <w:tc>
          <w:tcPr>
            <w:tcW w:w="1134" w:type="dxa"/>
            <w:vAlign w:val="center"/>
          </w:tcPr>
          <w:p w14:paraId="294C6670"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5,014</w:t>
            </w:r>
          </w:p>
        </w:tc>
        <w:tc>
          <w:tcPr>
            <w:tcW w:w="965" w:type="dxa"/>
            <w:vAlign w:val="center"/>
          </w:tcPr>
          <w:p w14:paraId="7302B279"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5,734</w:t>
            </w:r>
          </w:p>
        </w:tc>
      </w:tr>
      <w:tr w:rsidR="003F0326" w:rsidRPr="00E828B1" w14:paraId="0BE4DCD9" w14:textId="77777777" w:rsidTr="00F63485">
        <w:trPr>
          <w:trHeight w:val="166"/>
          <w:jc w:val="center"/>
        </w:trPr>
        <w:tc>
          <w:tcPr>
            <w:tcW w:w="1730" w:type="dxa"/>
          </w:tcPr>
          <w:p w14:paraId="4EEC84E6" w14:textId="77777777" w:rsidR="00473500" w:rsidRDefault="003F0326" w:rsidP="004C7115">
            <w:pPr>
              <w:pStyle w:val="TableStyle1"/>
              <w:rPr>
                <w:rFonts w:ascii="Arial" w:hAnsi="Arial" w:cs="Arial"/>
                <w:b w:val="0"/>
                <w:bCs w:val="0"/>
                <w:lang w:val="en-GB"/>
              </w:rPr>
            </w:pPr>
            <w:r w:rsidRPr="00E828B1">
              <w:rPr>
                <w:rFonts w:ascii="Arial" w:hAnsi="Arial" w:cs="Arial"/>
                <w:b w:val="0"/>
                <w:bCs w:val="0"/>
                <w:lang w:val="en-GB"/>
              </w:rPr>
              <w:t xml:space="preserve">Amount in inventories of LPs at end of quarter </w:t>
            </w:r>
          </w:p>
          <w:p w14:paraId="2A249307" w14:textId="62B3598C" w:rsidR="003F0326" w:rsidRPr="00E828B1" w:rsidRDefault="003F0326" w:rsidP="004C7115">
            <w:pPr>
              <w:pStyle w:val="TableStyle1"/>
              <w:rPr>
                <w:rFonts w:ascii="Arial" w:hAnsi="Arial" w:cs="Arial"/>
                <w:lang w:val="en-GB"/>
              </w:rPr>
            </w:pPr>
            <w:r w:rsidRPr="00E828B1">
              <w:rPr>
                <w:rFonts w:ascii="Arial" w:hAnsi="Arial" w:cs="Arial"/>
                <w:b w:val="0"/>
                <w:bCs w:val="0"/>
                <w:lang w:val="en-GB"/>
              </w:rPr>
              <w:t>(</w:t>
            </w:r>
            <w:r w:rsidR="00473500">
              <w:rPr>
                <w:rFonts w:ascii="Arial" w:hAnsi="Arial" w:cs="Arial"/>
                <w:b w:val="0"/>
                <w:bCs w:val="0"/>
                <w:lang w:val="en-GB"/>
              </w:rPr>
              <w:t xml:space="preserve">in </w:t>
            </w:r>
            <w:r w:rsidRPr="00E828B1">
              <w:rPr>
                <w:rFonts w:ascii="Arial" w:hAnsi="Arial" w:cs="Arial"/>
                <w:b w:val="0"/>
                <w:bCs w:val="0"/>
                <w:lang w:val="en-GB"/>
              </w:rPr>
              <w:t>kg)</w:t>
            </w:r>
          </w:p>
        </w:tc>
        <w:tc>
          <w:tcPr>
            <w:tcW w:w="1129" w:type="dxa"/>
            <w:vAlign w:val="center"/>
          </w:tcPr>
          <w:p w14:paraId="58294B82"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5,445</w:t>
            </w:r>
          </w:p>
        </w:tc>
        <w:tc>
          <w:tcPr>
            <w:tcW w:w="1134" w:type="dxa"/>
            <w:vAlign w:val="center"/>
          </w:tcPr>
          <w:p w14:paraId="43429D82"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7,312</w:t>
            </w:r>
          </w:p>
        </w:tc>
        <w:tc>
          <w:tcPr>
            <w:tcW w:w="1134" w:type="dxa"/>
            <w:vAlign w:val="center"/>
          </w:tcPr>
          <w:p w14:paraId="6DA1518D"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9,729</w:t>
            </w:r>
          </w:p>
        </w:tc>
        <w:tc>
          <w:tcPr>
            <w:tcW w:w="1134" w:type="dxa"/>
            <w:vAlign w:val="center"/>
          </w:tcPr>
          <w:p w14:paraId="60C27972"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10,695</w:t>
            </w:r>
          </w:p>
        </w:tc>
        <w:tc>
          <w:tcPr>
            <w:tcW w:w="1134" w:type="dxa"/>
            <w:vAlign w:val="center"/>
          </w:tcPr>
          <w:p w14:paraId="1FB9E18F"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11,788</w:t>
            </w:r>
          </w:p>
        </w:tc>
        <w:tc>
          <w:tcPr>
            <w:tcW w:w="965" w:type="dxa"/>
            <w:vAlign w:val="center"/>
          </w:tcPr>
          <w:p w14:paraId="390EE7F1"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13,246</w:t>
            </w:r>
          </w:p>
        </w:tc>
      </w:tr>
      <w:tr w:rsidR="003B3A7C" w:rsidRPr="00E828B1" w14:paraId="4DEB1846" w14:textId="77777777" w:rsidTr="00F63485">
        <w:trPr>
          <w:trHeight w:val="166"/>
          <w:jc w:val="center"/>
        </w:trPr>
        <w:tc>
          <w:tcPr>
            <w:tcW w:w="8360" w:type="dxa"/>
            <w:gridSpan w:val="7"/>
          </w:tcPr>
          <w:p w14:paraId="790B9F4C" w14:textId="1790AA01" w:rsidR="003B3A7C" w:rsidRPr="007E4221" w:rsidRDefault="003B3A7C" w:rsidP="007E4221">
            <w:pPr>
              <w:jc w:val="center"/>
              <w:rPr>
                <w:rFonts w:ascii="Arial" w:hAnsi="Arial" w:cs="Arial"/>
                <w:b/>
                <w:lang w:val="en-GB"/>
              </w:rPr>
            </w:pPr>
            <w:r w:rsidRPr="007E4221">
              <w:rPr>
                <w:rFonts w:ascii="Arial" w:hAnsi="Arial" w:cs="Arial"/>
                <w:b/>
                <w:lang w:val="en-GB"/>
              </w:rPr>
              <w:t>Cannabis Oil</w:t>
            </w:r>
          </w:p>
        </w:tc>
      </w:tr>
      <w:tr w:rsidR="003F0326" w:rsidRPr="00E828B1" w14:paraId="5AA73561" w14:textId="77777777" w:rsidTr="00F63485">
        <w:trPr>
          <w:trHeight w:val="166"/>
          <w:jc w:val="center"/>
        </w:trPr>
        <w:tc>
          <w:tcPr>
            <w:tcW w:w="1730" w:type="dxa"/>
          </w:tcPr>
          <w:p w14:paraId="4E29DEC3" w14:textId="77777777" w:rsidR="00473500" w:rsidRDefault="003F0326" w:rsidP="004C7115">
            <w:pPr>
              <w:pStyle w:val="TableStyle1"/>
              <w:rPr>
                <w:rFonts w:ascii="Arial" w:hAnsi="Arial" w:cs="Arial"/>
                <w:b w:val="0"/>
                <w:bCs w:val="0"/>
                <w:lang w:val="en-GB"/>
              </w:rPr>
            </w:pPr>
            <w:r w:rsidRPr="00E828B1">
              <w:rPr>
                <w:rFonts w:ascii="Arial" w:hAnsi="Arial" w:cs="Arial"/>
                <w:b w:val="0"/>
                <w:bCs w:val="0"/>
                <w:lang w:val="en-GB"/>
              </w:rPr>
              <w:t xml:space="preserve">Amount sold to clients </w:t>
            </w:r>
          </w:p>
          <w:p w14:paraId="4F0F2466" w14:textId="3753C51E" w:rsidR="003F0326" w:rsidRPr="00E828B1" w:rsidRDefault="003F0326" w:rsidP="004C7115">
            <w:pPr>
              <w:pStyle w:val="TableStyle1"/>
              <w:rPr>
                <w:rFonts w:ascii="Arial" w:hAnsi="Arial" w:cs="Arial"/>
                <w:lang w:val="en-GB"/>
              </w:rPr>
            </w:pPr>
            <w:r w:rsidRPr="00E828B1">
              <w:rPr>
                <w:rFonts w:ascii="Arial" w:hAnsi="Arial" w:cs="Arial"/>
                <w:b w:val="0"/>
                <w:bCs w:val="0"/>
                <w:lang w:val="en-GB"/>
              </w:rPr>
              <w:t>(</w:t>
            </w:r>
            <w:r w:rsidR="00473500">
              <w:rPr>
                <w:rFonts w:ascii="Arial" w:hAnsi="Arial" w:cs="Arial"/>
                <w:b w:val="0"/>
                <w:bCs w:val="0"/>
                <w:lang w:val="en-GB"/>
              </w:rPr>
              <w:t xml:space="preserve">in </w:t>
            </w:r>
            <w:r w:rsidRPr="00E828B1">
              <w:rPr>
                <w:rFonts w:ascii="Arial" w:hAnsi="Arial" w:cs="Arial"/>
                <w:b w:val="0"/>
                <w:bCs w:val="0"/>
                <w:lang w:val="en-GB"/>
              </w:rPr>
              <w:t>kg)</w:t>
            </w:r>
          </w:p>
        </w:tc>
        <w:tc>
          <w:tcPr>
            <w:tcW w:w="1129" w:type="dxa"/>
            <w:vAlign w:val="center"/>
          </w:tcPr>
          <w:p w14:paraId="12F43745" w14:textId="77777777" w:rsidR="003F0326" w:rsidRPr="00E828B1" w:rsidRDefault="003F0326" w:rsidP="00F63485">
            <w:pPr>
              <w:pStyle w:val="TableStyle2"/>
              <w:jc w:val="right"/>
              <w:rPr>
                <w:rFonts w:ascii="Arial" w:hAnsi="Arial" w:cs="Arial"/>
                <w:lang w:val="en-GB"/>
              </w:rPr>
            </w:pPr>
            <w:r w:rsidRPr="00E828B1">
              <w:rPr>
                <w:rFonts w:ascii="Arial" w:hAnsi="Arial" w:cs="Arial"/>
                <w:lang w:val="en-GB"/>
              </w:rPr>
              <w:t>N/A</w:t>
            </w:r>
          </w:p>
        </w:tc>
        <w:tc>
          <w:tcPr>
            <w:tcW w:w="1134" w:type="dxa"/>
            <w:vAlign w:val="center"/>
          </w:tcPr>
          <w:p w14:paraId="3DF92038" w14:textId="77777777" w:rsidR="003F0326" w:rsidRPr="00E828B1" w:rsidRDefault="003F0326" w:rsidP="00F63485">
            <w:pPr>
              <w:pStyle w:val="TableStyle2"/>
              <w:jc w:val="right"/>
              <w:rPr>
                <w:rFonts w:ascii="Arial" w:hAnsi="Arial" w:cs="Arial"/>
                <w:lang w:val="en-GB"/>
              </w:rPr>
            </w:pPr>
            <w:r w:rsidRPr="00E828B1">
              <w:rPr>
                <w:rFonts w:ascii="Arial" w:hAnsi="Arial" w:cs="Arial"/>
                <w:lang w:val="en-GB"/>
              </w:rPr>
              <w:t>N/A</w:t>
            </w:r>
          </w:p>
        </w:tc>
        <w:tc>
          <w:tcPr>
            <w:tcW w:w="1134" w:type="dxa"/>
            <w:vAlign w:val="center"/>
          </w:tcPr>
          <w:p w14:paraId="1955C921"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3</w:t>
            </w:r>
          </w:p>
        </w:tc>
        <w:tc>
          <w:tcPr>
            <w:tcW w:w="1134" w:type="dxa"/>
            <w:vAlign w:val="center"/>
          </w:tcPr>
          <w:p w14:paraId="0B11C717"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584</w:t>
            </w:r>
          </w:p>
        </w:tc>
        <w:tc>
          <w:tcPr>
            <w:tcW w:w="1134" w:type="dxa"/>
            <w:vAlign w:val="center"/>
          </w:tcPr>
          <w:p w14:paraId="440F7780"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1,500</w:t>
            </w:r>
          </w:p>
        </w:tc>
        <w:tc>
          <w:tcPr>
            <w:tcW w:w="965" w:type="dxa"/>
            <w:vAlign w:val="center"/>
          </w:tcPr>
          <w:p w14:paraId="2068418B"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2,420</w:t>
            </w:r>
          </w:p>
        </w:tc>
      </w:tr>
      <w:tr w:rsidR="003F0326" w:rsidRPr="00E828B1" w14:paraId="54D72B0B" w14:textId="77777777" w:rsidTr="00F63485">
        <w:trPr>
          <w:trHeight w:val="166"/>
          <w:jc w:val="center"/>
        </w:trPr>
        <w:tc>
          <w:tcPr>
            <w:tcW w:w="1730" w:type="dxa"/>
          </w:tcPr>
          <w:p w14:paraId="5BB7B9CE" w14:textId="77777777" w:rsidR="003F0326" w:rsidRPr="00E828B1" w:rsidRDefault="003F0326" w:rsidP="004C7115">
            <w:pPr>
              <w:pStyle w:val="TableStyle1"/>
              <w:rPr>
                <w:rFonts w:ascii="Arial" w:hAnsi="Arial" w:cs="Arial"/>
                <w:lang w:val="en-GB"/>
              </w:rPr>
            </w:pPr>
            <w:r w:rsidRPr="00E828B1">
              <w:rPr>
                <w:rFonts w:ascii="Arial" w:hAnsi="Arial" w:cs="Arial"/>
                <w:b w:val="0"/>
                <w:bCs w:val="0"/>
                <w:lang w:val="en-GB"/>
              </w:rPr>
              <w:t>Amount produced</w:t>
            </w:r>
          </w:p>
        </w:tc>
        <w:tc>
          <w:tcPr>
            <w:tcW w:w="1129" w:type="dxa"/>
            <w:vAlign w:val="center"/>
          </w:tcPr>
          <w:p w14:paraId="325FFF6F" w14:textId="77777777" w:rsidR="003F0326" w:rsidRPr="00E828B1" w:rsidRDefault="003F0326" w:rsidP="00F63485">
            <w:pPr>
              <w:pStyle w:val="TableStyle2"/>
              <w:jc w:val="right"/>
              <w:rPr>
                <w:rFonts w:ascii="Arial" w:hAnsi="Arial" w:cs="Arial"/>
                <w:lang w:val="en-GB"/>
              </w:rPr>
            </w:pPr>
            <w:r w:rsidRPr="00E828B1">
              <w:rPr>
                <w:rFonts w:ascii="Arial" w:hAnsi="Arial" w:cs="Arial"/>
                <w:lang w:val="en-GB"/>
              </w:rPr>
              <w:t>N/A</w:t>
            </w:r>
          </w:p>
        </w:tc>
        <w:tc>
          <w:tcPr>
            <w:tcW w:w="1134" w:type="dxa"/>
            <w:vAlign w:val="center"/>
          </w:tcPr>
          <w:p w14:paraId="27D718DF"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9</w:t>
            </w:r>
          </w:p>
        </w:tc>
        <w:tc>
          <w:tcPr>
            <w:tcW w:w="1134" w:type="dxa"/>
            <w:vAlign w:val="center"/>
          </w:tcPr>
          <w:p w14:paraId="01E1EACC"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128</w:t>
            </w:r>
          </w:p>
        </w:tc>
        <w:tc>
          <w:tcPr>
            <w:tcW w:w="1134" w:type="dxa"/>
            <w:vAlign w:val="center"/>
          </w:tcPr>
          <w:p w14:paraId="52F94809"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892</w:t>
            </w:r>
          </w:p>
        </w:tc>
        <w:tc>
          <w:tcPr>
            <w:tcW w:w="1134" w:type="dxa"/>
            <w:vAlign w:val="center"/>
          </w:tcPr>
          <w:p w14:paraId="404D5664"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1,654</w:t>
            </w:r>
          </w:p>
        </w:tc>
        <w:tc>
          <w:tcPr>
            <w:tcW w:w="965" w:type="dxa"/>
            <w:vAlign w:val="center"/>
          </w:tcPr>
          <w:p w14:paraId="71F811FE"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3,116</w:t>
            </w:r>
          </w:p>
        </w:tc>
      </w:tr>
      <w:tr w:rsidR="003F0326" w:rsidRPr="00E828B1" w14:paraId="5AC2A2B3" w14:textId="77777777" w:rsidTr="00F63485">
        <w:trPr>
          <w:trHeight w:val="166"/>
          <w:jc w:val="center"/>
        </w:trPr>
        <w:tc>
          <w:tcPr>
            <w:tcW w:w="1730" w:type="dxa"/>
          </w:tcPr>
          <w:p w14:paraId="4763AD57" w14:textId="77777777" w:rsidR="00473500" w:rsidRDefault="003F0326" w:rsidP="004C7115">
            <w:pPr>
              <w:pStyle w:val="TableStyle1"/>
              <w:rPr>
                <w:rFonts w:ascii="Arial" w:hAnsi="Arial" w:cs="Arial"/>
                <w:b w:val="0"/>
                <w:bCs w:val="0"/>
                <w:lang w:val="en-GB"/>
              </w:rPr>
            </w:pPr>
            <w:r w:rsidRPr="00E828B1">
              <w:rPr>
                <w:rFonts w:ascii="Arial" w:hAnsi="Arial" w:cs="Arial"/>
                <w:b w:val="0"/>
                <w:bCs w:val="0"/>
                <w:lang w:val="en-GB"/>
              </w:rPr>
              <w:t xml:space="preserve">Amount in inventories of LPs at end of quarter </w:t>
            </w:r>
          </w:p>
          <w:p w14:paraId="5D9B22E1" w14:textId="55FDC8A8" w:rsidR="003F0326" w:rsidRPr="00E828B1" w:rsidRDefault="003F0326" w:rsidP="004C7115">
            <w:pPr>
              <w:pStyle w:val="TableStyle1"/>
              <w:rPr>
                <w:rFonts w:ascii="Arial" w:hAnsi="Arial" w:cs="Arial"/>
                <w:lang w:val="en-GB"/>
              </w:rPr>
            </w:pPr>
            <w:r w:rsidRPr="00E828B1">
              <w:rPr>
                <w:rFonts w:ascii="Arial" w:hAnsi="Arial" w:cs="Arial"/>
                <w:b w:val="0"/>
                <w:bCs w:val="0"/>
                <w:lang w:val="en-GB"/>
              </w:rPr>
              <w:t>(</w:t>
            </w:r>
            <w:r w:rsidR="00473500">
              <w:rPr>
                <w:rFonts w:ascii="Arial" w:hAnsi="Arial" w:cs="Arial"/>
                <w:b w:val="0"/>
                <w:bCs w:val="0"/>
                <w:lang w:val="en-GB"/>
              </w:rPr>
              <w:t xml:space="preserve">in </w:t>
            </w:r>
            <w:r w:rsidRPr="00E828B1">
              <w:rPr>
                <w:rFonts w:ascii="Arial" w:hAnsi="Arial" w:cs="Arial"/>
                <w:b w:val="0"/>
                <w:bCs w:val="0"/>
                <w:lang w:val="en-GB"/>
              </w:rPr>
              <w:t>kg)</w:t>
            </w:r>
          </w:p>
        </w:tc>
        <w:tc>
          <w:tcPr>
            <w:tcW w:w="1129" w:type="dxa"/>
            <w:vAlign w:val="center"/>
          </w:tcPr>
          <w:p w14:paraId="2396026F" w14:textId="77777777" w:rsidR="003F0326" w:rsidRPr="00E828B1" w:rsidRDefault="003F0326" w:rsidP="00F63485">
            <w:pPr>
              <w:pStyle w:val="TableStyle2"/>
              <w:jc w:val="right"/>
              <w:rPr>
                <w:rFonts w:ascii="Arial" w:hAnsi="Arial" w:cs="Arial"/>
                <w:lang w:val="en-GB"/>
              </w:rPr>
            </w:pPr>
            <w:r w:rsidRPr="00E828B1">
              <w:rPr>
                <w:rFonts w:ascii="Arial" w:hAnsi="Arial" w:cs="Arial"/>
                <w:lang w:val="en-GB"/>
              </w:rPr>
              <w:t>N/A</w:t>
            </w:r>
          </w:p>
        </w:tc>
        <w:tc>
          <w:tcPr>
            <w:tcW w:w="1134" w:type="dxa"/>
            <w:vAlign w:val="center"/>
          </w:tcPr>
          <w:p w14:paraId="4CE816FE"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7</w:t>
            </w:r>
          </w:p>
        </w:tc>
        <w:tc>
          <w:tcPr>
            <w:tcW w:w="1134" w:type="dxa"/>
            <w:vAlign w:val="center"/>
          </w:tcPr>
          <w:p w14:paraId="7EC6F0BA"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208</w:t>
            </w:r>
          </w:p>
        </w:tc>
        <w:tc>
          <w:tcPr>
            <w:tcW w:w="1134" w:type="dxa"/>
            <w:vAlign w:val="center"/>
          </w:tcPr>
          <w:p w14:paraId="310E0356"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1,421</w:t>
            </w:r>
          </w:p>
        </w:tc>
        <w:tc>
          <w:tcPr>
            <w:tcW w:w="1134" w:type="dxa"/>
            <w:vAlign w:val="center"/>
          </w:tcPr>
          <w:p w14:paraId="01A2C626"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2,038</w:t>
            </w:r>
          </w:p>
        </w:tc>
        <w:tc>
          <w:tcPr>
            <w:tcW w:w="965" w:type="dxa"/>
            <w:vAlign w:val="center"/>
          </w:tcPr>
          <w:p w14:paraId="5C98535B"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3,330</w:t>
            </w:r>
          </w:p>
        </w:tc>
      </w:tr>
      <w:tr w:rsidR="003B3A7C" w:rsidRPr="00E828B1" w14:paraId="79106A5A" w14:textId="77777777" w:rsidTr="00F63485">
        <w:trPr>
          <w:trHeight w:val="166"/>
          <w:jc w:val="center"/>
        </w:trPr>
        <w:tc>
          <w:tcPr>
            <w:tcW w:w="8360" w:type="dxa"/>
            <w:gridSpan w:val="7"/>
          </w:tcPr>
          <w:p w14:paraId="112950E0" w14:textId="67BF8931" w:rsidR="003B3A7C" w:rsidRPr="007E4221" w:rsidRDefault="003B3A7C" w:rsidP="007E4221">
            <w:pPr>
              <w:jc w:val="center"/>
              <w:rPr>
                <w:rFonts w:ascii="Arial" w:hAnsi="Arial" w:cs="Arial"/>
                <w:b/>
                <w:lang w:val="en-GB"/>
              </w:rPr>
            </w:pPr>
            <w:r w:rsidRPr="007E4221">
              <w:rPr>
                <w:rFonts w:ascii="Arial" w:hAnsi="Arial" w:cs="Arial"/>
                <w:b/>
                <w:lang w:val="en-GB"/>
              </w:rPr>
              <w:t>Client Data</w:t>
            </w:r>
          </w:p>
        </w:tc>
      </w:tr>
      <w:tr w:rsidR="003F0326" w:rsidRPr="00E828B1" w14:paraId="09EC71A9" w14:textId="77777777" w:rsidTr="00F63485">
        <w:trPr>
          <w:trHeight w:val="166"/>
          <w:jc w:val="center"/>
        </w:trPr>
        <w:tc>
          <w:tcPr>
            <w:tcW w:w="1730" w:type="dxa"/>
          </w:tcPr>
          <w:p w14:paraId="05CCFBC1" w14:textId="77777777" w:rsidR="003F0326" w:rsidRPr="00E828B1" w:rsidRDefault="003F0326" w:rsidP="004C7115">
            <w:pPr>
              <w:pStyle w:val="TableStyle1"/>
              <w:rPr>
                <w:rFonts w:ascii="Arial" w:hAnsi="Arial" w:cs="Arial"/>
                <w:lang w:val="en-GB"/>
              </w:rPr>
            </w:pPr>
            <w:r w:rsidRPr="00E828B1">
              <w:rPr>
                <w:rFonts w:ascii="Arial" w:hAnsi="Arial" w:cs="Arial"/>
                <w:b w:val="0"/>
                <w:bCs w:val="0"/>
                <w:lang w:val="en-GB"/>
              </w:rPr>
              <w:t>Average amount authorized per client (g/day)</w:t>
            </w:r>
          </w:p>
        </w:tc>
        <w:tc>
          <w:tcPr>
            <w:tcW w:w="1129" w:type="dxa"/>
            <w:vAlign w:val="center"/>
          </w:tcPr>
          <w:p w14:paraId="23E2D4BC"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3.3</w:t>
            </w:r>
          </w:p>
        </w:tc>
        <w:tc>
          <w:tcPr>
            <w:tcW w:w="1134" w:type="dxa"/>
            <w:vAlign w:val="center"/>
          </w:tcPr>
          <w:p w14:paraId="5007FDEC"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3</w:t>
            </w:r>
          </w:p>
        </w:tc>
        <w:tc>
          <w:tcPr>
            <w:tcW w:w="1134" w:type="dxa"/>
            <w:vAlign w:val="center"/>
          </w:tcPr>
          <w:p w14:paraId="5DA52777"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2.9</w:t>
            </w:r>
          </w:p>
        </w:tc>
        <w:tc>
          <w:tcPr>
            <w:tcW w:w="1134" w:type="dxa"/>
            <w:vAlign w:val="center"/>
          </w:tcPr>
          <w:p w14:paraId="23E7ED2E"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2.8</w:t>
            </w:r>
          </w:p>
        </w:tc>
        <w:tc>
          <w:tcPr>
            <w:tcW w:w="1134" w:type="dxa"/>
            <w:vAlign w:val="center"/>
          </w:tcPr>
          <w:p w14:paraId="1382B53C"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2.7</w:t>
            </w:r>
          </w:p>
        </w:tc>
        <w:tc>
          <w:tcPr>
            <w:tcW w:w="965" w:type="dxa"/>
            <w:vAlign w:val="center"/>
          </w:tcPr>
          <w:p w14:paraId="186F8921"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2.6</w:t>
            </w:r>
          </w:p>
        </w:tc>
      </w:tr>
      <w:tr w:rsidR="003F0326" w:rsidRPr="00E828B1" w14:paraId="34C34DDB" w14:textId="77777777" w:rsidTr="00F63485">
        <w:trPr>
          <w:trHeight w:val="166"/>
          <w:jc w:val="center"/>
        </w:trPr>
        <w:tc>
          <w:tcPr>
            <w:tcW w:w="1730" w:type="dxa"/>
          </w:tcPr>
          <w:p w14:paraId="4ED11C7D" w14:textId="77777777" w:rsidR="003F0326" w:rsidRPr="00E828B1" w:rsidRDefault="003F0326" w:rsidP="004C7115">
            <w:pPr>
              <w:pStyle w:val="TableStyle1"/>
              <w:rPr>
                <w:rFonts w:ascii="Arial" w:hAnsi="Arial" w:cs="Arial"/>
                <w:lang w:val="en-GB"/>
              </w:rPr>
            </w:pPr>
            <w:r w:rsidRPr="00E828B1">
              <w:rPr>
                <w:rFonts w:ascii="Arial" w:hAnsi="Arial" w:cs="Arial"/>
                <w:b w:val="0"/>
                <w:bCs w:val="0"/>
                <w:lang w:val="en-GB"/>
              </w:rPr>
              <w:t>Average amount per client shipment (g/day)</w:t>
            </w:r>
          </w:p>
        </w:tc>
        <w:tc>
          <w:tcPr>
            <w:tcW w:w="1129" w:type="dxa"/>
            <w:vAlign w:val="center"/>
          </w:tcPr>
          <w:p w14:paraId="473EB4D0"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1.08</w:t>
            </w:r>
          </w:p>
        </w:tc>
        <w:tc>
          <w:tcPr>
            <w:tcW w:w="1134" w:type="dxa"/>
            <w:vAlign w:val="center"/>
          </w:tcPr>
          <w:p w14:paraId="4BAB5B64"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1.12</w:t>
            </w:r>
          </w:p>
        </w:tc>
        <w:tc>
          <w:tcPr>
            <w:tcW w:w="1134" w:type="dxa"/>
            <w:vAlign w:val="center"/>
          </w:tcPr>
          <w:p w14:paraId="07DDDE47"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1.12</w:t>
            </w:r>
          </w:p>
        </w:tc>
        <w:tc>
          <w:tcPr>
            <w:tcW w:w="1134" w:type="dxa"/>
            <w:vAlign w:val="center"/>
          </w:tcPr>
          <w:p w14:paraId="65A50030"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1.03</w:t>
            </w:r>
          </w:p>
        </w:tc>
        <w:tc>
          <w:tcPr>
            <w:tcW w:w="1134" w:type="dxa"/>
            <w:vAlign w:val="center"/>
          </w:tcPr>
          <w:p w14:paraId="06052CB3"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0.96</w:t>
            </w:r>
          </w:p>
        </w:tc>
        <w:tc>
          <w:tcPr>
            <w:tcW w:w="965" w:type="dxa"/>
            <w:vAlign w:val="center"/>
          </w:tcPr>
          <w:p w14:paraId="0F907ACA"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0.89</w:t>
            </w:r>
          </w:p>
        </w:tc>
      </w:tr>
      <w:tr w:rsidR="003F0326" w:rsidRPr="00E828B1" w14:paraId="6052B0F9" w14:textId="77777777" w:rsidTr="00F63485">
        <w:trPr>
          <w:trHeight w:val="166"/>
          <w:jc w:val="center"/>
        </w:trPr>
        <w:tc>
          <w:tcPr>
            <w:tcW w:w="1730" w:type="dxa"/>
          </w:tcPr>
          <w:p w14:paraId="438EA66C" w14:textId="77777777" w:rsidR="003F0326" w:rsidRPr="00E828B1" w:rsidRDefault="003F0326" w:rsidP="004C7115">
            <w:pPr>
              <w:pStyle w:val="TableStyle1"/>
              <w:rPr>
                <w:rFonts w:ascii="Arial" w:hAnsi="Arial" w:cs="Arial"/>
                <w:lang w:val="en-GB"/>
              </w:rPr>
            </w:pPr>
            <w:r w:rsidRPr="00E828B1">
              <w:rPr>
                <w:rFonts w:ascii="Arial" w:hAnsi="Arial" w:cs="Arial"/>
                <w:b w:val="0"/>
                <w:bCs w:val="0"/>
                <w:lang w:val="en-GB"/>
              </w:rPr>
              <w:t>Total number of registered clients at end of quarter</w:t>
            </w:r>
          </w:p>
        </w:tc>
        <w:tc>
          <w:tcPr>
            <w:tcW w:w="1129" w:type="dxa"/>
            <w:vAlign w:val="center"/>
          </w:tcPr>
          <w:p w14:paraId="52934B3C"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23,930</w:t>
            </w:r>
          </w:p>
        </w:tc>
        <w:tc>
          <w:tcPr>
            <w:tcW w:w="1134" w:type="dxa"/>
            <w:vAlign w:val="center"/>
          </w:tcPr>
          <w:p w14:paraId="77BA1A01"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30,537</w:t>
            </w:r>
          </w:p>
        </w:tc>
        <w:tc>
          <w:tcPr>
            <w:tcW w:w="1134" w:type="dxa"/>
            <w:vAlign w:val="center"/>
          </w:tcPr>
          <w:p w14:paraId="39849711"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39,668</w:t>
            </w:r>
          </w:p>
        </w:tc>
        <w:tc>
          <w:tcPr>
            <w:tcW w:w="1134" w:type="dxa"/>
            <w:vAlign w:val="center"/>
          </w:tcPr>
          <w:p w14:paraId="2EA44703"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53,649</w:t>
            </w:r>
          </w:p>
        </w:tc>
        <w:tc>
          <w:tcPr>
            <w:tcW w:w="1134" w:type="dxa"/>
            <w:vAlign w:val="center"/>
          </w:tcPr>
          <w:p w14:paraId="6F44FDC7"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75,166</w:t>
            </w:r>
          </w:p>
        </w:tc>
        <w:tc>
          <w:tcPr>
            <w:tcW w:w="965" w:type="dxa"/>
            <w:vAlign w:val="center"/>
          </w:tcPr>
          <w:p w14:paraId="44C8A444" w14:textId="77777777" w:rsidR="003F0326" w:rsidRPr="00E828B1" w:rsidRDefault="003F0326" w:rsidP="00F63485">
            <w:pPr>
              <w:jc w:val="right"/>
              <w:rPr>
                <w:rFonts w:ascii="Arial" w:hAnsi="Arial" w:cs="Arial"/>
                <w:lang w:val="en-GB"/>
              </w:rPr>
            </w:pPr>
            <w:r w:rsidRPr="00E828B1">
              <w:rPr>
                <w:rFonts w:ascii="Arial" w:hAnsi="Arial" w:cs="Arial"/>
                <w:color w:val="000000"/>
                <w:lang w:val="en-GB"/>
              </w:rPr>
              <w:t>98,460</w:t>
            </w:r>
          </w:p>
        </w:tc>
      </w:tr>
    </w:tbl>
    <w:p w14:paraId="5F5C2C5A" w14:textId="77777777" w:rsidR="00384679" w:rsidRPr="00E828B1" w:rsidRDefault="00384679" w:rsidP="003F0326">
      <w:pPr>
        <w:pStyle w:val="Default"/>
        <w:ind w:right="720"/>
        <w:rPr>
          <w:rFonts w:ascii="Times New Roman" w:hAnsi="Times New Roman"/>
          <w:lang w:val="en-GB"/>
        </w:rPr>
      </w:pPr>
    </w:p>
    <w:p w14:paraId="6E1E681C" w14:textId="402E3C3A" w:rsidR="003F0326" w:rsidRPr="00E828B1" w:rsidRDefault="003F0326" w:rsidP="00384679">
      <w:pPr>
        <w:pStyle w:val="Footnote"/>
        <w:rPr>
          <w:rFonts w:eastAsia="Cambria"/>
          <w:i w:val="0"/>
          <w:lang w:val="en-GB"/>
        </w:rPr>
      </w:pPr>
      <w:r w:rsidRPr="00E828B1">
        <w:rPr>
          <w:i w:val="0"/>
          <w:lang w:val="en-GB"/>
        </w:rPr>
        <w:t xml:space="preserve">Note: Q = quarter; kg = kilogram; </w:t>
      </w:r>
      <w:r w:rsidR="00630F27" w:rsidRPr="00E828B1">
        <w:rPr>
          <w:i w:val="0"/>
          <w:lang w:val="en-GB"/>
        </w:rPr>
        <w:t xml:space="preserve">g = gram; </w:t>
      </w:r>
      <w:r w:rsidR="00547D3B">
        <w:rPr>
          <w:i w:val="0"/>
          <w:lang w:val="en-GB"/>
        </w:rPr>
        <w:t xml:space="preserve">LPs = licensed producers; </w:t>
      </w:r>
      <w:r w:rsidRPr="00E828B1">
        <w:rPr>
          <w:i w:val="0"/>
          <w:lang w:val="en-GB"/>
        </w:rPr>
        <w:t>N/A = not available</w:t>
      </w:r>
    </w:p>
    <w:p w14:paraId="1F8CFE33" w14:textId="7CACFE31" w:rsidR="00DD1A25" w:rsidRPr="00E828B1" w:rsidRDefault="00630F27" w:rsidP="00384679">
      <w:pPr>
        <w:pStyle w:val="Footnote"/>
        <w:rPr>
          <w:i w:val="0"/>
          <w:lang w:val="en-GB"/>
        </w:rPr>
      </w:pPr>
      <w:r w:rsidRPr="00E828B1">
        <w:rPr>
          <w:i w:val="0"/>
          <w:lang w:val="en-GB"/>
        </w:rPr>
        <w:t xml:space="preserve">Source: </w:t>
      </w:r>
      <w:r w:rsidR="00547D3B">
        <w:rPr>
          <w:i w:val="0"/>
          <w:lang w:val="en-GB"/>
        </w:rPr>
        <w:t xml:space="preserve">Government of Canada, </w:t>
      </w:r>
      <w:r w:rsidR="003F0326" w:rsidRPr="00E828B1">
        <w:rPr>
          <w:i w:val="0"/>
          <w:lang w:val="en-GB"/>
        </w:rPr>
        <w:t>“Market Data,” accessed Dec</w:t>
      </w:r>
      <w:r w:rsidRPr="00E828B1">
        <w:rPr>
          <w:i w:val="0"/>
          <w:lang w:val="en-GB"/>
        </w:rPr>
        <w:t xml:space="preserve">ember </w:t>
      </w:r>
      <w:r w:rsidR="003F0326" w:rsidRPr="00E828B1">
        <w:rPr>
          <w:i w:val="0"/>
          <w:lang w:val="en-GB"/>
        </w:rPr>
        <w:t xml:space="preserve">28, 2016, </w:t>
      </w:r>
      <w:r w:rsidR="00766A47" w:rsidRPr="00E828B1">
        <w:rPr>
          <w:i w:val="0"/>
          <w:lang w:val="en-GB"/>
        </w:rPr>
        <w:t>www.canada.ca/en/health-canada/services/drugs-health-products/medical-use-marijuana/licensed-producers/market-data.html</w:t>
      </w:r>
      <w:r w:rsidR="00EF133D" w:rsidRPr="00E828B1">
        <w:rPr>
          <w:i w:val="0"/>
          <w:lang w:val="en-GB"/>
        </w:rPr>
        <w:t>.</w:t>
      </w:r>
    </w:p>
    <w:p w14:paraId="7F00A019" w14:textId="77777777" w:rsidR="00DD1A25" w:rsidRPr="00E828B1" w:rsidRDefault="00DD1A25">
      <w:pPr>
        <w:spacing w:after="200" w:line="276" w:lineRule="auto"/>
        <w:rPr>
          <w:sz w:val="22"/>
          <w:szCs w:val="22"/>
          <w:lang w:val="en-GB"/>
        </w:rPr>
      </w:pPr>
      <w:r w:rsidRPr="00E828B1">
        <w:rPr>
          <w:lang w:val="en-GB"/>
        </w:rPr>
        <w:br w:type="page"/>
      </w:r>
    </w:p>
    <w:p w14:paraId="560ADA6A" w14:textId="77777777" w:rsidR="00465348" w:rsidRPr="00E828B1" w:rsidRDefault="00DD1A25" w:rsidP="00DD1A25">
      <w:pPr>
        <w:pStyle w:val="Casehead1"/>
        <w:rPr>
          <w:lang w:val="en-GB"/>
        </w:rPr>
      </w:pPr>
      <w:r w:rsidRPr="00E828B1">
        <w:rPr>
          <w:lang w:val="en-GB"/>
        </w:rPr>
        <w:lastRenderedPageBreak/>
        <w:t>endnotes</w:t>
      </w:r>
    </w:p>
    <w:sectPr w:rsidR="00465348" w:rsidRPr="00E828B1" w:rsidSect="00751E0B">
      <w:headerReference w:type="default" r:id="rId11"/>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DC54B6" w14:textId="77777777" w:rsidR="003F5476" w:rsidRDefault="003F5476" w:rsidP="00D75295">
      <w:r>
        <w:separator/>
      </w:r>
    </w:p>
  </w:endnote>
  <w:endnote w:type="continuationSeparator" w:id="0">
    <w:p w14:paraId="2B2C540A" w14:textId="77777777" w:rsidR="003F5476" w:rsidRDefault="003F5476" w:rsidP="00D75295">
      <w:r>
        <w:continuationSeparator/>
      </w:r>
    </w:p>
  </w:endnote>
  <w:endnote w:id="1">
    <w:p w14:paraId="6E030A40" w14:textId="06C78B2F" w:rsidR="003F5476" w:rsidRPr="008354E7" w:rsidRDefault="003F5476" w:rsidP="00DD1A25">
      <w:pPr>
        <w:pStyle w:val="Footnote"/>
        <w:rPr>
          <w:i w:val="0"/>
        </w:rPr>
      </w:pPr>
      <w:r w:rsidRPr="008354E7">
        <w:rPr>
          <w:i w:val="0"/>
          <w:vertAlign w:val="superscript"/>
        </w:rPr>
        <w:endnoteRef/>
      </w:r>
      <w:r w:rsidRPr="008354E7">
        <w:rPr>
          <w:i w:val="0"/>
        </w:rPr>
        <w:t xml:space="preserve"> </w:t>
      </w:r>
      <w:r w:rsidR="00427B1E" w:rsidRPr="008354E7">
        <w:rPr>
          <w:i w:val="0"/>
        </w:rPr>
        <w:t>The terms “cannabis,” “marijuana,” and “mari</w:t>
      </w:r>
      <w:r w:rsidR="00427B1E">
        <w:rPr>
          <w:i w:val="0"/>
        </w:rPr>
        <w:t>h</w:t>
      </w:r>
      <w:r w:rsidR="00427B1E" w:rsidRPr="008354E7">
        <w:rPr>
          <w:i w:val="0"/>
        </w:rPr>
        <w:t>uana” all refer to various forms (dried or fresh) of the cannabis plant.</w:t>
      </w:r>
      <w:r w:rsidR="00427B1E">
        <w:rPr>
          <w:i w:val="0"/>
        </w:rPr>
        <w:t xml:space="preserve"> </w:t>
      </w:r>
      <w:r w:rsidRPr="008354E7">
        <w:rPr>
          <w:i w:val="0"/>
        </w:rPr>
        <w:t xml:space="preserve">Government of Canada, </w:t>
      </w:r>
      <w:r w:rsidRPr="008354E7">
        <w:t>A Framework for the Legalization and Regulation of Cannabis in Canada: The Final Report of the Task Force on Cannabis Legalization and Regulation</w:t>
      </w:r>
      <w:r w:rsidRPr="008354E7">
        <w:rPr>
          <w:i w:val="0"/>
        </w:rPr>
        <w:t xml:space="preserve"> (November 30, 2016), accessed December 28, 2016, </w:t>
      </w:r>
      <w:hyperlink r:id="rId1" w:history="1">
        <w:r w:rsidRPr="008354E7">
          <w:rPr>
            <w:i w:val="0"/>
          </w:rPr>
          <w:t>www.healthycanadians.gc.ca/task-force-marijuana-groupe-etude/framework-cadre/index-eng.php</w:t>
        </w:r>
      </w:hyperlink>
      <w:r w:rsidRPr="008354E7">
        <w:rPr>
          <w:i w:val="0"/>
        </w:rPr>
        <w:t xml:space="preserve">. </w:t>
      </w:r>
    </w:p>
  </w:endnote>
  <w:endnote w:id="2">
    <w:p w14:paraId="7C73F9D6" w14:textId="77777777" w:rsidR="008629FA" w:rsidRPr="008354E7" w:rsidRDefault="008629FA" w:rsidP="008629FA">
      <w:pPr>
        <w:pStyle w:val="EndnoteText"/>
      </w:pPr>
      <w:r w:rsidRPr="008354E7">
        <w:rPr>
          <w:rStyle w:val="FootnoteChar"/>
          <w:rFonts w:eastAsia="Calibri"/>
          <w:i w:val="0"/>
          <w:vertAlign w:val="superscript"/>
        </w:rPr>
        <w:endnoteRef/>
      </w:r>
      <w:r w:rsidRPr="008354E7">
        <w:rPr>
          <w:rStyle w:val="FootnoteChar"/>
          <w:rFonts w:eastAsia="Calibri"/>
          <w:i w:val="0"/>
          <w:vertAlign w:val="superscript"/>
        </w:rPr>
        <w:t xml:space="preserve"> </w:t>
      </w:r>
      <w:r w:rsidRPr="008354E7">
        <w:rPr>
          <w:rStyle w:val="FootnoteChar"/>
          <w:rFonts w:eastAsia="Calibri"/>
          <w:i w:val="0"/>
        </w:rPr>
        <w:t>A</w:t>
      </w:r>
      <w:r w:rsidRPr="008354E7">
        <w:rPr>
          <w:rStyle w:val="FootnoteChar"/>
          <w:rFonts w:eastAsiaTheme="minorEastAsia"/>
          <w:i w:val="0"/>
        </w:rPr>
        <w:t>ll currency amounts are in Canadian dollars unless otherwise specified.</w:t>
      </w:r>
    </w:p>
  </w:endnote>
  <w:endnote w:id="3">
    <w:p w14:paraId="1566B388" w14:textId="0E2E1B3A" w:rsidR="008629FA" w:rsidRDefault="008629FA" w:rsidP="008629FA">
      <w:pPr>
        <w:pStyle w:val="Footnote"/>
        <w:rPr>
          <w:i w:val="0"/>
          <w:spacing w:val="-4"/>
        </w:rPr>
      </w:pPr>
      <w:r w:rsidRPr="008354E7">
        <w:rPr>
          <w:i w:val="0"/>
          <w:vertAlign w:val="superscript"/>
        </w:rPr>
        <w:endnoteRef/>
      </w:r>
      <w:r w:rsidRPr="008354E7">
        <w:rPr>
          <w:i w:val="0"/>
        </w:rPr>
        <w:t xml:space="preserve"> </w:t>
      </w:r>
      <w:r w:rsidRPr="007E4221">
        <w:rPr>
          <w:i w:val="0"/>
          <w:spacing w:val="-4"/>
        </w:rPr>
        <w:t xml:space="preserve">Peter Koven, “Canada’s Budding Marijuana Industry Could Blossom into a $5-Billion Market If Liberals Make Recreational Pot Legal,” </w:t>
      </w:r>
      <w:r w:rsidRPr="007E4221">
        <w:rPr>
          <w:spacing w:val="-4"/>
        </w:rPr>
        <w:t>Financial Post</w:t>
      </w:r>
      <w:r w:rsidRPr="007E4221">
        <w:rPr>
          <w:i w:val="0"/>
          <w:spacing w:val="-4"/>
        </w:rPr>
        <w:t xml:space="preserve">, October 20, 2015, accessed December 28, 2016, </w:t>
      </w:r>
      <w:r w:rsidRPr="00F52230">
        <w:rPr>
          <w:i w:val="0"/>
          <w:spacing w:val="-4"/>
        </w:rPr>
        <w:t>http://business.financialpost.com/news/agriculture/</w:t>
      </w:r>
    </w:p>
    <w:p w14:paraId="41F1F307" w14:textId="7117C590" w:rsidR="00F52230" w:rsidRDefault="008629FA" w:rsidP="008629FA">
      <w:pPr>
        <w:pStyle w:val="Footnote"/>
        <w:rPr>
          <w:i w:val="0"/>
          <w:spacing w:val="-4"/>
        </w:rPr>
      </w:pPr>
      <w:r w:rsidRPr="007E4221">
        <w:rPr>
          <w:i w:val="0"/>
          <w:spacing w:val="-4"/>
        </w:rPr>
        <w:t>canadian-marijuana-stocks-jump-as-liberal-wins-signals-legalization-on-the-table</w:t>
      </w:r>
      <w:r>
        <w:rPr>
          <w:i w:val="0"/>
          <w:spacing w:val="-4"/>
        </w:rPr>
        <w:t xml:space="preserve">; </w:t>
      </w:r>
      <w:r w:rsidRPr="007E4221">
        <w:rPr>
          <w:i w:val="0"/>
          <w:spacing w:val="-4"/>
        </w:rPr>
        <w:t xml:space="preserve">Robert Benzie, “Recreational Weed Could Be a $22.6B Industry: Study,” </w:t>
      </w:r>
      <w:r w:rsidRPr="007E4221">
        <w:rPr>
          <w:spacing w:val="-4"/>
        </w:rPr>
        <w:t>thestar.com</w:t>
      </w:r>
      <w:r w:rsidRPr="007E4221">
        <w:rPr>
          <w:i w:val="0"/>
          <w:spacing w:val="-4"/>
        </w:rPr>
        <w:t xml:space="preserve">, October 27, 2016, accessed December 28, 2016, </w:t>
      </w:r>
      <w:r w:rsidR="00F52230" w:rsidRPr="00F52230">
        <w:rPr>
          <w:i w:val="0"/>
          <w:spacing w:val="-4"/>
        </w:rPr>
        <w:t>https://www.thestar.com/news/queenspark/</w:t>
      </w:r>
    </w:p>
    <w:p w14:paraId="344CA034" w14:textId="7A052DE7" w:rsidR="008629FA" w:rsidRPr="008354E7" w:rsidRDefault="008629FA" w:rsidP="008629FA">
      <w:pPr>
        <w:pStyle w:val="Footnote"/>
        <w:rPr>
          <w:i w:val="0"/>
        </w:rPr>
      </w:pPr>
      <w:r w:rsidRPr="007E4221">
        <w:rPr>
          <w:i w:val="0"/>
          <w:spacing w:val="-4"/>
        </w:rPr>
        <w:t>2016/10/27/recreational-weed-could-be-a-226b-industry-study.html.</w:t>
      </w:r>
    </w:p>
  </w:endnote>
  <w:endnote w:id="4">
    <w:p w14:paraId="11401349" w14:textId="30332D97" w:rsidR="003F5476" w:rsidRPr="008354E7" w:rsidRDefault="003F5476" w:rsidP="00DD1A25">
      <w:pPr>
        <w:pStyle w:val="Footnote"/>
        <w:rPr>
          <w:i w:val="0"/>
        </w:rPr>
      </w:pPr>
      <w:r w:rsidRPr="008354E7">
        <w:rPr>
          <w:i w:val="0"/>
          <w:vertAlign w:val="superscript"/>
        </w:rPr>
        <w:endnoteRef/>
      </w:r>
      <w:r w:rsidRPr="008354E7">
        <w:rPr>
          <w:i w:val="0"/>
        </w:rPr>
        <w:t xml:space="preserve"> “From the President’s Desk,” OrganiGram</w:t>
      </w:r>
      <w:r w:rsidR="00427B1E">
        <w:rPr>
          <w:i w:val="0"/>
        </w:rPr>
        <w:t xml:space="preserve"> Holdings Inc.</w:t>
      </w:r>
      <w:r w:rsidRPr="008354E7">
        <w:rPr>
          <w:i w:val="0"/>
        </w:rPr>
        <w:t xml:space="preserve">, January 14, 2016, accessed June 13, 2017, </w:t>
      </w:r>
      <w:hyperlink r:id="rId2" w:history="1">
        <w:r w:rsidRPr="008354E7">
          <w:rPr>
            <w:rStyle w:val="Hyperlink0"/>
            <w:i w:val="0"/>
            <w:color w:val="auto"/>
            <w:u w:val="none"/>
          </w:rPr>
          <w:t>https://www.organigram.ca/latest/from-the-presidents-desk.</w:t>
        </w:r>
      </w:hyperlink>
    </w:p>
  </w:endnote>
  <w:endnote w:id="5">
    <w:p w14:paraId="7C9E9B4E" w14:textId="77625C35" w:rsidR="003F5476" w:rsidRPr="008354E7" w:rsidRDefault="003F5476" w:rsidP="00F66ADD">
      <w:pPr>
        <w:pStyle w:val="Footnote"/>
      </w:pPr>
      <w:r w:rsidRPr="008354E7">
        <w:rPr>
          <w:i w:val="0"/>
          <w:vertAlign w:val="superscript"/>
        </w:rPr>
        <w:endnoteRef/>
      </w:r>
      <w:r w:rsidRPr="008354E7">
        <w:t xml:space="preserve"> </w:t>
      </w:r>
      <w:r>
        <w:rPr>
          <w:i w:val="0"/>
        </w:rPr>
        <w:t xml:space="preserve">Government of Canada, </w:t>
      </w:r>
      <w:r w:rsidRPr="008354E7">
        <w:rPr>
          <w:i w:val="0"/>
        </w:rPr>
        <w:t>“Application Process: Becoming a Licensed Producer of Cannabis for Medical Purposes,” accessed October 6, 2016, www.canada.ca/en/health-canada/services/drugs-health-products/medical-use-marijuana/licensed-producers/application-process-becoming-licensed-producer.html.</w:t>
      </w:r>
    </w:p>
  </w:endnote>
  <w:endnote w:id="6">
    <w:p w14:paraId="6661DAA1" w14:textId="6B194ADF" w:rsidR="003F5476" w:rsidRPr="008354E7" w:rsidRDefault="003F5476" w:rsidP="00F66ADD">
      <w:pPr>
        <w:pStyle w:val="Footnote"/>
        <w:rPr>
          <w:i w:val="0"/>
          <w:lang w:val="x-none"/>
        </w:rPr>
      </w:pPr>
      <w:r w:rsidRPr="008354E7">
        <w:rPr>
          <w:rStyle w:val="EndnoteReference"/>
          <w:i w:val="0"/>
        </w:rPr>
        <w:endnoteRef/>
      </w:r>
      <w:r w:rsidRPr="008354E7">
        <w:rPr>
          <w:i w:val="0"/>
        </w:rPr>
        <w:t xml:space="preserve"> Government of Canada, </w:t>
      </w:r>
      <w:r w:rsidRPr="008354E7">
        <w:t>A Framework for the Legalization and Regulation of Cannabis in Canada: The Final Report of the Task Force on Cannabis Legalization and Regulation</w:t>
      </w:r>
      <w:r w:rsidRPr="008354E7">
        <w:rPr>
          <w:i w:val="0"/>
        </w:rPr>
        <w:t>, op. cit.</w:t>
      </w:r>
    </w:p>
  </w:endnote>
  <w:endnote w:id="7">
    <w:p w14:paraId="6BB8ED67" w14:textId="3690D52A" w:rsidR="003F5476" w:rsidRPr="008354E7" w:rsidRDefault="003F5476" w:rsidP="00F66ADD">
      <w:pPr>
        <w:pStyle w:val="Footnote"/>
        <w:rPr>
          <w:i w:val="0"/>
        </w:rPr>
      </w:pPr>
      <w:r w:rsidRPr="008354E7">
        <w:rPr>
          <w:i w:val="0"/>
          <w:vertAlign w:val="superscript"/>
        </w:rPr>
        <w:endnoteRef/>
      </w:r>
      <w:r w:rsidRPr="008354E7">
        <w:rPr>
          <w:i w:val="0"/>
        </w:rPr>
        <w:t xml:space="preserve"> THC BioMed was one of the companies </w:t>
      </w:r>
      <w:r>
        <w:rPr>
          <w:i w:val="0"/>
        </w:rPr>
        <w:t xml:space="preserve">to </w:t>
      </w:r>
      <w:r w:rsidRPr="008354E7">
        <w:rPr>
          <w:i w:val="0"/>
        </w:rPr>
        <w:t xml:space="preserve">sell clones. </w:t>
      </w:r>
      <w:r w:rsidR="00427B1E">
        <w:rPr>
          <w:i w:val="0"/>
        </w:rPr>
        <w:t>“</w:t>
      </w:r>
      <w:r w:rsidRPr="008354E7">
        <w:rPr>
          <w:i w:val="0"/>
        </w:rPr>
        <w:t>THC BioMed</w:t>
      </w:r>
      <w:r w:rsidR="00427B1E">
        <w:rPr>
          <w:i w:val="0"/>
        </w:rPr>
        <w:t>,”</w:t>
      </w:r>
      <w:r>
        <w:rPr>
          <w:i w:val="0"/>
        </w:rPr>
        <w:t xml:space="preserve"> </w:t>
      </w:r>
      <w:r w:rsidRPr="008354E7">
        <w:rPr>
          <w:i w:val="0"/>
        </w:rPr>
        <w:t xml:space="preserve">accessed July 12, 2017, </w:t>
      </w:r>
      <w:hyperlink r:id="rId3" w:history="1">
        <w:r w:rsidRPr="008354E7">
          <w:rPr>
            <w:rStyle w:val="Hyperlink0"/>
            <w:i w:val="0"/>
            <w:color w:val="auto"/>
            <w:u w:val="none"/>
          </w:rPr>
          <w:t>http://thcbiomed.com</w:t>
        </w:r>
      </w:hyperlink>
      <w:r w:rsidRPr="008354E7">
        <w:rPr>
          <w:i w:val="0"/>
        </w:rPr>
        <w:t>.</w:t>
      </w:r>
    </w:p>
  </w:endnote>
  <w:endnote w:id="8">
    <w:p w14:paraId="4C119A44" w14:textId="7845D890" w:rsidR="003F5476" w:rsidRPr="008354E7" w:rsidRDefault="003F5476" w:rsidP="009C182F">
      <w:pPr>
        <w:pStyle w:val="Footnote"/>
        <w:rPr>
          <w:i w:val="0"/>
        </w:rPr>
      </w:pPr>
      <w:r w:rsidRPr="008354E7">
        <w:rPr>
          <w:i w:val="0"/>
          <w:vertAlign w:val="superscript"/>
        </w:rPr>
        <w:endnoteRef/>
      </w:r>
      <w:r w:rsidRPr="008354E7">
        <w:rPr>
          <w:i w:val="0"/>
        </w:rPr>
        <w:t xml:space="preserve"> Government of Canada, “Access to Cannabis for Medical Purposes Regulations (SOR/2016-230),” Justice Laws </w:t>
      </w:r>
      <w:r>
        <w:rPr>
          <w:i w:val="0"/>
        </w:rPr>
        <w:t>w</w:t>
      </w:r>
      <w:r w:rsidRPr="008354E7">
        <w:rPr>
          <w:i w:val="0"/>
        </w:rPr>
        <w:t xml:space="preserve">ebsite, accessed December 28, 2016, </w:t>
      </w:r>
      <w:hyperlink r:id="rId4" w:history="1">
        <w:r w:rsidRPr="008354E7">
          <w:rPr>
            <w:i w:val="0"/>
          </w:rPr>
          <w:t>http://laws.justice.gc.ca/eng/regulations/SOR-2016-230/page-10.html#h-16</w:t>
        </w:r>
      </w:hyperlink>
      <w:r w:rsidRPr="008354E7">
        <w:rPr>
          <w:i w:val="0"/>
        </w:rPr>
        <w:t>.</w:t>
      </w:r>
    </w:p>
  </w:endnote>
  <w:endnote w:id="9">
    <w:p w14:paraId="494F87DB" w14:textId="667CF65C" w:rsidR="003F5476" w:rsidRPr="007E4221" w:rsidRDefault="003F5476" w:rsidP="007E4221">
      <w:pPr>
        <w:pStyle w:val="Footnote"/>
        <w:rPr>
          <w:i w:val="0"/>
        </w:rPr>
      </w:pPr>
      <w:r w:rsidRPr="007E4221">
        <w:rPr>
          <w:rStyle w:val="EndnoteReference"/>
          <w:i w:val="0"/>
        </w:rPr>
        <w:endnoteRef/>
      </w:r>
      <w:r w:rsidRPr="007E4221">
        <w:rPr>
          <w:i w:val="0"/>
        </w:rPr>
        <w:t xml:space="preserve"> </w:t>
      </w:r>
      <w:r>
        <w:rPr>
          <w:i w:val="0"/>
        </w:rPr>
        <w:t xml:space="preserve">Sandy Moriarty, </w:t>
      </w:r>
      <w:r>
        <w:t>Aunt Sandy’s Medical Marijuana Cookbook</w:t>
      </w:r>
      <w:r>
        <w:rPr>
          <w:i w:val="0"/>
        </w:rPr>
        <w:t xml:space="preserve"> (Piedmont, CA: Quick American Publishing, 2010).</w:t>
      </w:r>
    </w:p>
  </w:endnote>
  <w:endnote w:id="10">
    <w:p w14:paraId="21DEE363" w14:textId="3F787B64" w:rsidR="003F5476" w:rsidRPr="008354E7" w:rsidRDefault="003F5476" w:rsidP="00105A3A">
      <w:pPr>
        <w:pStyle w:val="Footnote"/>
        <w:rPr>
          <w:i w:val="0"/>
        </w:rPr>
      </w:pPr>
      <w:r w:rsidRPr="008354E7">
        <w:rPr>
          <w:rStyle w:val="EndnoteReference"/>
          <w:i w:val="0"/>
        </w:rPr>
        <w:endnoteRef/>
      </w:r>
      <w:r w:rsidRPr="008354E7">
        <w:rPr>
          <w:i w:val="0"/>
        </w:rPr>
        <w:t xml:space="preserve"> Government of Canada, </w:t>
      </w:r>
      <w:r w:rsidRPr="008354E7">
        <w:rPr>
          <w:rStyle w:val="Emphasis"/>
          <w:iCs w:val="0"/>
        </w:rPr>
        <w:t xml:space="preserve">“Authorized Licensed Producers of Cannabis for Medical Purposes,” accessed May 1, 2017, </w:t>
      </w:r>
      <w:r w:rsidRPr="008354E7">
        <w:rPr>
          <w:i w:val="0"/>
        </w:rPr>
        <w:t>www.canada.ca/en/health-canada/services/drugs-health-products/medical-use-marijuana/licensed-producers/authorized-licensed-producers-medical-purposes.html.</w:t>
      </w:r>
    </w:p>
  </w:endnote>
  <w:endnote w:id="11">
    <w:p w14:paraId="2C6C35B1" w14:textId="11D9A7B6" w:rsidR="00E45ACB" w:rsidRDefault="003F5476" w:rsidP="00F66ADD">
      <w:pPr>
        <w:pStyle w:val="Footnote"/>
        <w:rPr>
          <w:i w:val="0"/>
        </w:rPr>
      </w:pPr>
      <w:r w:rsidRPr="008354E7">
        <w:rPr>
          <w:i w:val="0"/>
          <w:vertAlign w:val="superscript"/>
        </w:rPr>
        <w:endnoteRef/>
      </w:r>
      <w:r w:rsidRPr="008354E7">
        <w:rPr>
          <w:i w:val="0"/>
        </w:rPr>
        <w:t xml:space="preserve"> OrganiGram Holdings Inc., </w:t>
      </w:r>
      <w:r w:rsidRPr="008354E7">
        <w:t>Management’s Discussion and Analysis of Financial Condition and Results of Operations (“MD&amp;A”): For the Year Ended August 31, 2016</w:t>
      </w:r>
      <w:r w:rsidRPr="008354E7">
        <w:rPr>
          <w:i w:val="0"/>
        </w:rPr>
        <w:t xml:space="preserve">, accessed December 28, 2016, </w:t>
      </w:r>
      <w:r w:rsidR="00E45ACB" w:rsidRPr="00E45ACB">
        <w:rPr>
          <w:i w:val="0"/>
        </w:rPr>
        <w:t>https://www.organigram.ca/assets/</w:t>
      </w:r>
    </w:p>
    <w:p w14:paraId="5F5181FC" w14:textId="061CB736" w:rsidR="003F5476" w:rsidRPr="008354E7" w:rsidRDefault="003F5476" w:rsidP="00F66ADD">
      <w:pPr>
        <w:pStyle w:val="Footnote"/>
        <w:rPr>
          <w:i w:val="0"/>
        </w:rPr>
      </w:pPr>
      <w:r w:rsidRPr="008354E7">
        <w:rPr>
          <w:i w:val="0"/>
        </w:rPr>
        <w:t>financials/Organigram-Holdings-Inc-MDA-Aug-31-2016.pdf.</w:t>
      </w:r>
    </w:p>
  </w:endnote>
  <w:endnote w:id="12">
    <w:p w14:paraId="7CEEB7B4" w14:textId="1A25C381" w:rsidR="003F5476" w:rsidRPr="008354E7" w:rsidRDefault="003F5476" w:rsidP="00105A3A">
      <w:pPr>
        <w:pStyle w:val="Footnote"/>
        <w:rPr>
          <w:i w:val="0"/>
        </w:rPr>
      </w:pPr>
      <w:r w:rsidRPr="008354E7">
        <w:rPr>
          <w:rStyle w:val="EndnoteReference"/>
          <w:i w:val="0"/>
        </w:rPr>
        <w:endnoteRef/>
      </w:r>
      <w:r w:rsidRPr="008354E7">
        <w:rPr>
          <w:i w:val="0"/>
        </w:rPr>
        <w:t xml:space="preserve"> </w:t>
      </w:r>
      <w:r>
        <w:rPr>
          <w:i w:val="0"/>
        </w:rPr>
        <w:t xml:space="preserve">Government of Canada, </w:t>
      </w:r>
      <w:r w:rsidRPr="008354E7">
        <w:rPr>
          <w:rStyle w:val="Emphasis"/>
          <w:iCs w:val="0"/>
        </w:rPr>
        <w:t xml:space="preserve">“Authorized Licensed Producers of Cannabis for Medical Purposes,” </w:t>
      </w:r>
      <w:r w:rsidRPr="008354E7">
        <w:rPr>
          <w:i w:val="0"/>
        </w:rPr>
        <w:t>op. cit.</w:t>
      </w:r>
    </w:p>
  </w:endnote>
  <w:endnote w:id="13">
    <w:p w14:paraId="54F49728" w14:textId="6899DED2" w:rsidR="003F5476" w:rsidRPr="008354E7" w:rsidRDefault="003F5476" w:rsidP="00DD1A25">
      <w:pPr>
        <w:pStyle w:val="Footnote"/>
        <w:rPr>
          <w:i w:val="0"/>
        </w:rPr>
      </w:pPr>
      <w:r w:rsidRPr="008354E7">
        <w:rPr>
          <w:i w:val="0"/>
          <w:vertAlign w:val="superscript"/>
        </w:rPr>
        <w:endnoteRef/>
      </w:r>
      <w:r w:rsidRPr="008354E7">
        <w:rPr>
          <w:i w:val="0"/>
        </w:rPr>
        <w:t xml:space="preserve"> Data shown in Exhibit 1 shows that cannabis oil production started in the summer of 2015.</w:t>
      </w:r>
    </w:p>
  </w:endnote>
  <w:endnote w:id="14">
    <w:p w14:paraId="4657C7FA" w14:textId="48060953" w:rsidR="003F5476" w:rsidRPr="008354E7" w:rsidRDefault="003F5476" w:rsidP="00DD1A25">
      <w:pPr>
        <w:pStyle w:val="Footnote"/>
        <w:rPr>
          <w:i w:val="0"/>
        </w:rPr>
      </w:pPr>
      <w:r w:rsidRPr="008354E7">
        <w:rPr>
          <w:i w:val="0"/>
          <w:vertAlign w:val="superscript"/>
        </w:rPr>
        <w:endnoteRef/>
      </w:r>
      <w:r w:rsidRPr="008354E7">
        <w:rPr>
          <w:i w:val="0"/>
        </w:rPr>
        <w:t xml:space="preserve"> OrganiGram Holdings Inc., op. cit.</w:t>
      </w:r>
    </w:p>
  </w:endnote>
  <w:endnote w:id="15">
    <w:p w14:paraId="309F919F" w14:textId="49B10795" w:rsidR="003F5476" w:rsidRPr="008354E7" w:rsidRDefault="003F5476" w:rsidP="00DD1A25">
      <w:pPr>
        <w:pStyle w:val="Footnote"/>
        <w:rPr>
          <w:i w:val="0"/>
        </w:rPr>
      </w:pPr>
      <w:r w:rsidRPr="008354E7">
        <w:rPr>
          <w:i w:val="0"/>
          <w:vertAlign w:val="superscript"/>
        </w:rPr>
        <w:endnoteRef/>
      </w:r>
      <w:r w:rsidRPr="008354E7">
        <w:rPr>
          <w:i w:val="0"/>
          <w:vertAlign w:val="superscript"/>
        </w:rPr>
        <w:t xml:space="preserve"> </w:t>
      </w:r>
      <w:r w:rsidRPr="008354E7">
        <w:rPr>
          <w:i w:val="0"/>
        </w:rPr>
        <w:t xml:space="preserve">“OrganiGram Gets $990k from New Brunswick Government,” </w:t>
      </w:r>
      <w:r w:rsidRPr="008354E7">
        <w:t>CBC News</w:t>
      </w:r>
      <w:r w:rsidRPr="008354E7">
        <w:rPr>
          <w:i w:val="0"/>
        </w:rPr>
        <w:t xml:space="preserve">, March 30, 2016, accessed December 28, 2016, </w:t>
      </w:r>
      <w:hyperlink r:id="rId5" w:history="1">
        <w:r w:rsidRPr="008354E7">
          <w:rPr>
            <w:i w:val="0"/>
          </w:rPr>
          <w:t>www.cbc.ca/news/canada/new-brunswick/organigram-marijuana-funding-brunswick-1.3512416</w:t>
        </w:r>
      </w:hyperlink>
      <w:r w:rsidRPr="008354E7">
        <w:rPr>
          <w:i w:val="0"/>
        </w:rPr>
        <w:t>.</w:t>
      </w:r>
    </w:p>
  </w:endnote>
  <w:endnote w:id="16">
    <w:p w14:paraId="74A24565" w14:textId="7B4FAE73" w:rsidR="003F5476" w:rsidRPr="008354E7" w:rsidRDefault="003F5476" w:rsidP="00DD1A25">
      <w:pPr>
        <w:pStyle w:val="Footnote"/>
        <w:rPr>
          <w:i w:val="0"/>
        </w:rPr>
      </w:pPr>
      <w:r w:rsidRPr="008354E7">
        <w:rPr>
          <w:i w:val="0"/>
          <w:vertAlign w:val="superscript"/>
        </w:rPr>
        <w:endnoteRef/>
      </w:r>
      <w:r w:rsidRPr="008354E7">
        <w:rPr>
          <w:i w:val="0"/>
        </w:rPr>
        <w:t xml:space="preserve"> Ibid.</w:t>
      </w:r>
    </w:p>
  </w:endnote>
  <w:endnote w:id="17">
    <w:p w14:paraId="104D1C38" w14:textId="5DAE05F5" w:rsidR="003F5476" w:rsidRPr="008354E7" w:rsidRDefault="003F5476" w:rsidP="00DD1A25">
      <w:pPr>
        <w:pStyle w:val="Footnote"/>
        <w:rPr>
          <w:i w:val="0"/>
        </w:rPr>
      </w:pPr>
      <w:r w:rsidRPr="008354E7">
        <w:rPr>
          <w:i w:val="0"/>
          <w:vertAlign w:val="superscript"/>
        </w:rPr>
        <w:endnoteRef/>
      </w:r>
      <w:r w:rsidRPr="008354E7">
        <w:rPr>
          <w:i w:val="0"/>
        </w:rPr>
        <w:t xml:space="preserve"> Cherise Letson, “New Brunswick’s OrganiGram Preparing to Light Up Recreational Market,” </w:t>
      </w:r>
      <w:r w:rsidRPr="008354E7">
        <w:t>Huddle</w:t>
      </w:r>
      <w:r w:rsidRPr="008354E7">
        <w:rPr>
          <w:i w:val="0"/>
        </w:rPr>
        <w:t xml:space="preserve">, October 25, 2016, accessed December 28, 2016, </w:t>
      </w:r>
      <w:hyperlink r:id="rId6" w:history="1">
        <w:r w:rsidRPr="008354E7">
          <w:rPr>
            <w:i w:val="0"/>
          </w:rPr>
          <w:t>http://huddle.today/new-brunswicks-organigram-preparing-light-recreational-market</w:t>
        </w:r>
      </w:hyperlink>
      <w:r w:rsidRPr="008354E7">
        <w:rPr>
          <w:i w:val="0"/>
        </w:rPr>
        <w:t>.</w:t>
      </w:r>
    </w:p>
  </w:endnote>
  <w:endnote w:id="18">
    <w:p w14:paraId="794052CD" w14:textId="1A6B66F0" w:rsidR="003F5476" w:rsidRPr="008354E7" w:rsidRDefault="003F5476" w:rsidP="00F66ADD">
      <w:pPr>
        <w:pStyle w:val="Footnote"/>
        <w:rPr>
          <w:i w:val="0"/>
        </w:rPr>
      </w:pPr>
      <w:r w:rsidRPr="008354E7">
        <w:rPr>
          <w:i w:val="0"/>
          <w:vertAlign w:val="superscript"/>
        </w:rPr>
        <w:endnoteRef/>
      </w:r>
      <w:r w:rsidRPr="008354E7">
        <w:rPr>
          <w:i w:val="0"/>
        </w:rPr>
        <w:t xml:space="preserve"> </w:t>
      </w:r>
      <w:r w:rsidRPr="00E45ACB">
        <w:rPr>
          <w:i w:val="0"/>
          <w:spacing w:val="-4"/>
        </w:rPr>
        <w:t xml:space="preserve">“OrganiGram Announces Closing of $40M Bought Deal Financing,” </w:t>
      </w:r>
      <w:r w:rsidRPr="00E45ACB">
        <w:rPr>
          <w:spacing w:val="-4"/>
        </w:rPr>
        <w:t>Marketwired</w:t>
      </w:r>
      <w:r w:rsidRPr="00E45ACB">
        <w:rPr>
          <w:i w:val="0"/>
          <w:spacing w:val="-4"/>
        </w:rPr>
        <w:t xml:space="preserve">, December 7, 2016, accessed June 13, 2017, </w:t>
      </w:r>
      <w:hyperlink r:id="rId7" w:history="1">
        <w:r w:rsidRPr="00E45ACB">
          <w:rPr>
            <w:i w:val="0"/>
            <w:spacing w:val="-4"/>
          </w:rPr>
          <w:t>www.marketwired.com/press-release/organigram-announces-closing-of-40m-bought-deal-financing-tsx-venture-ogi-2181471.htm</w:t>
        </w:r>
      </w:hyperlink>
      <w:r w:rsidRPr="008354E7">
        <w:rPr>
          <w:i w:val="0"/>
        </w:rPr>
        <w:t>.</w:t>
      </w:r>
    </w:p>
  </w:endnote>
  <w:endnote w:id="19">
    <w:p w14:paraId="0AAEDA7E" w14:textId="795D3B6C" w:rsidR="003F5476" w:rsidRPr="008354E7" w:rsidRDefault="003F5476" w:rsidP="00F66ADD">
      <w:pPr>
        <w:pStyle w:val="Footnote"/>
        <w:rPr>
          <w:i w:val="0"/>
          <w:lang w:val="x-none"/>
        </w:rPr>
      </w:pPr>
      <w:r w:rsidRPr="008354E7">
        <w:rPr>
          <w:rStyle w:val="EndnoteReference"/>
          <w:i w:val="0"/>
        </w:rPr>
        <w:endnoteRef/>
      </w:r>
      <w:r w:rsidRPr="008354E7">
        <w:rPr>
          <w:i w:val="0"/>
        </w:rPr>
        <w:t xml:space="preserve"> Ibid.</w:t>
      </w:r>
    </w:p>
  </w:endnote>
  <w:endnote w:id="20">
    <w:p w14:paraId="33B58719" w14:textId="0C228133" w:rsidR="003F5476" w:rsidRPr="008354E7" w:rsidRDefault="003F5476" w:rsidP="00F66ADD">
      <w:pPr>
        <w:pStyle w:val="Footnote"/>
        <w:rPr>
          <w:i w:val="0"/>
        </w:rPr>
      </w:pPr>
      <w:r w:rsidRPr="008354E7">
        <w:rPr>
          <w:i w:val="0"/>
          <w:vertAlign w:val="superscript"/>
        </w:rPr>
        <w:endnoteRef/>
      </w:r>
      <w:r w:rsidRPr="008354E7">
        <w:rPr>
          <w:i w:val="0"/>
        </w:rPr>
        <w:t xml:space="preserve"> “Inside </w:t>
      </w:r>
      <w:r>
        <w:rPr>
          <w:i w:val="0"/>
        </w:rPr>
        <w:t>t</w:t>
      </w:r>
      <w:r w:rsidRPr="008354E7">
        <w:rPr>
          <w:i w:val="0"/>
        </w:rPr>
        <w:t>he Organigram Garden,” YouTube video, 2:38, posted by “Civilized,” July 26, 2016, accessed December 28, 2016, https://www.youtube.com/watch?v=Oh-62nDtJFM.</w:t>
      </w:r>
    </w:p>
  </w:endnote>
  <w:endnote w:id="21">
    <w:p w14:paraId="4EC228D2" w14:textId="26B73F10" w:rsidR="003F5476" w:rsidRPr="008354E7" w:rsidRDefault="003F5476" w:rsidP="00F66ADD">
      <w:pPr>
        <w:pStyle w:val="Footnote"/>
        <w:rPr>
          <w:i w:val="0"/>
        </w:rPr>
      </w:pPr>
      <w:r w:rsidRPr="008354E7">
        <w:rPr>
          <w:rStyle w:val="EndnoteReference"/>
          <w:i w:val="0"/>
        </w:rPr>
        <w:endnoteRef/>
      </w:r>
      <w:r w:rsidRPr="008354E7">
        <w:rPr>
          <w:i w:val="0"/>
        </w:rPr>
        <w:t xml:space="preserve"> “OrganiGram Receives Organic Certification for Medical Marijuana Growing Process,” </w:t>
      </w:r>
      <w:r w:rsidRPr="008354E7">
        <w:t>Marketwired</w:t>
      </w:r>
      <w:r w:rsidRPr="008354E7">
        <w:rPr>
          <w:i w:val="0"/>
        </w:rPr>
        <w:t>, October 14, 2014, accessed June 13, 2017, www.marketwired.com/press-release/organigram-receives-organic-certification-for-medical-marijuana-growing-process-tsx-venture-ogi-1957140.htm.</w:t>
      </w:r>
    </w:p>
  </w:endnote>
  <w:endnote w:id="22">
    <w:p w14:paraId="1E7FD371" w14:textId="36C0EE6E" w:rsidR="003F5476" w:rsidRPr="008354E7" w:rsidRDefault="003F5476" w:rsidP="00F66ADD">
      <w:pPr>
        <w:pStyle w:val="Footnote"/>
        <w:rPr>
          <w:i w:val="0"/>
        </w:rPr>
      </w:pPr>
      <w:r w:rsidRPr="008354E7">
        <w:rPr>
          <w:rStyle w:val="EndnoteReference"/>
          <w:i w:val="0"/>
        </w:rPr>
        <w:endnoteRef/>
      </w:r>
      <w:r w:rsidRPr="008354E7">
        <w:rPr>
          <w:i w:val="0"/>
        </w:rPr>
        <w:t xml:space="preserve"> </w:t>
      </w:r>
      <w:r>
        <w:rPr>
          <w:i w:val="0"/>
        </w:rPr>
        <w:t xml:space="preserve">Government of Canada, </w:t>
      </w:r>
      <w:r w:rsidRPr="008354E7">
        <w:rPr>
          <w:i w:val="0"/>
        </w:rPr>
        <w:t>“Access to Cannabis for Medical Purposes Regulations—Daily Amount Fact Sheet (Dosage),” July 2016, accessed July 12, 2017, www.canada.ca/en/health-canada/services/drugs-health-products/medical-use-marijuana/information-medical-practitioners/marihuana-medical-purposes-regulations-daily-amount-fact-sheet-dosage.html.</w:t>
      </w:r>
    </w:p>
  </w:endnote>
  <w:endnote w:id="23">
    <w:p w14:paraId="560C910A" w14:textId="031D1114" w:rsidR="003F5476" w:rsidRPr="008354E7" w:rsidRDefault="003F5476" w:rsidP="00F66ADD">
      <w:pPr>
        <w:pStyle w:val="Footnote"/>
        <w:rPr>
          <w:i w:val="0"/>
        </w:rPr>
      </w:pPr>
      <w:r w:rsidRPr="008354E7">
        <w:rPr>
          <w:i w:val="0"/>
          <w:vertAlign w:val="superscript"/>
        </w:rPr>
        <w:endnoteRef/>
      </w:r>
      <w:r w:rsidRPr="008354E7">
        <w:rPr>
          <w:i w:val="0"/>
        </w:rPr>
        <w:t xml:space="preserve"> “Operational Update: Aurora’s CanvasRx Subsidiary Surpasses 13,000 Patients Registered,” </w:t>
      </w:r>
      <w:r w:rsidRPr="008354E7">
        <w:t>CNW</w:t>
      </w:r>
      <w:r w:rsidRPr="008354E7">
        <w:rPr>
          <w:i w:val="0"/>
        </w:rPr>
        <w:t xml:space="preserve">, November 10, 2016, accessed June 13, 2017, </w:t>
      </w:r>
      <w:hyperlink r:id="rId8" w:history="1">
        <w:r w:rsidRPr="008354E7">
          <w:rPr>
            <w:i w:val="0"/>
          </w:rPr>
          <w:t>www.newswire.ca/news-releases/operational-update-auroras-canvasrx-subsidiary-surpasses-13000-patients-registered-600664531.html</w:t>
        </w:r>
      </w:hyperlink>
      <w:r w:rsidRPr="008354E7">
        <w:rPr>
          <w:i w:val="0"/>
        </w:rPr>
        <w:t>.</w:t>
      </w:r>
    </w:p>
  </w:endnote>
  <w:endnote w:id="24">
    <w:p w14:paraId="3B2506FF" w14:textId="75337719" w:rsidR="003F5476" w:rsidRPr="008354E7" w:rsidRDefault="003F5476" w:rsidP="00F66ADD">
      <w:pPr>
        <w:pStyle w:val="Footnote"/>
        <w:rPr>
          <w:i w:val="0"/>
        </w:rPr>
      </w:pPr>
      <w:r w:rsidRPr="008354E7">
        <w:rPr>
          <w:i w:val="0"/>
          <w:vertAlign w:val="superscript"/>
        </w:rPr>
        <w:endnoteRef/>
      </w:r>
      <w:r w:rsidRPr="008354E7">
        <w:rPr>
          <w:i w:val="0"/>
        </w:rPr>
        <w:t xml:space="preserve"> “Tweed Rolls Out Leafs by Snoop Cannabis Brand,” </w:t>
      </w:r>
      <w:r w:rsidRPr="008354E7">
        <w:t>CBC News</w:t>
      </w:r>
      <w:r w:rsidRPr="008354E7">
        <w:rPr>
          <w:i w:val="0"/>
        </w:rPr>
        <w:t xml:space="preserve">, October 6, 2016, accessed December 28, 2016, </w:t>
      </w:r>
      <w:hyperlink r:id="rId9" w:history="1">
        <w:r w:rsidRPr="008354E7">
          <w:rPr>
            <w:i w:val="0"/>
          </w:rPr>
          <w:t>www.cbc.ca/news/canada/ottawa/tweed-leafs-by-snoop-brand-launch-1.3793667</w:t>
        </w:r>
      </w:hyperlink>
      <w:r w:rsidRPr="008354E7">
        <w:rPr>
          <w:i w:val="0"/>
        </w:rPr>
        <w:t>.</w:t>
      </w:r>
    </w:p>
  </w:endnote>
  <w:endnote w:id="25">
    <w:p w14:paraId="168A40BA" w14:textId="43229CBD" w:rsidR="003F5476" w:rsidRPr="008354E7" w:rsidRDefault="003F5476" w:rsidP="00DD1A25">
      <w:pPr>
        <w:pStyle w:val="Footnote"/>
        <w:rPr>
          <w:i w:val="0"/>
        </w:rPr>
      </w:pPr>
      <w:r w:rsidRPr="008354E7">
        <w:rPr>
          <w:i w:val="0"/>
          <w:vertAlign w:val="superscript"/>
        </w:rPr>
        <w:endnoteRef/>
      </w:r>
      <w:r w:rsidRPr="008354E7">
        <w:rPr>
          <w:i w:val="0"/>
          <w:vertAlign w:val="superscript"/>
        </w:rPr>
        <w:t xml:space="preserve"> </w:t>
      </w:r>
      <w:r w:rsidRPr="008354E7">
        <w:rPr>
          <w:i w:val="0"/>
        </w:rPr>
        <w:t>Canopy Growth</w:t>
      </w:r>
      <w:r w:rsidR="00427B1E">
        <w:rPr>
          <w:i w:val="0"/>
        </w:rPr>
        <w:t xml:space="preserve"> Corporation</w:t>
      </w:r>
      <w:r w:rsidRPr="008354E7">
        <w:rPr>
          <w:i w:val="0"/>
        </w:rPr>
        <w:t xml:space="preserve">, </w:t>
      </w:r>
      <w:r w:rsidRPr="008354E7">
        <w:t>Annual Meeting of Shareholders</w:t>
      </w:r>
      <w:r w:rsidRPr="008354E7">
        <w:rPr>
          <w:i w:val="0"/>
        </w:rPr>
        <w:t>,</w:t>
      </w:r>
      <w:r w:rsidR="00427B1E">
        <w:rPr>
          <w:i w:val="0"/>
        </w:rPr>
        <w:t xml:space="preserve"> September 15, 2016,</w:t>
      </w:r>
      <w:r w:rsidRPr="008354E7">
        <w:rPr>
          <w:i w:val="0"/>
        </w:rPr>
        <w:t xml:space="preserve"> accessed December 28, 2016, </w:t>
      </w:r>
      <w:hyperlink r:id="rId10" w:history="1">
        <w:r w:rsidRPr="008354E7">
          <w:rPr>
            <w:i w:val="0"/>
          </w:rPr>
          <w:t>https://cdn.shopify.com/s/files/1/0994/1238/files/160915_2016_Canopy_Growth_Corporation_AGM_Presentation_FINAL.pdf?3923008218010883461</w:t>
        </w:r>
      </w:hyperlink>
      <w:r w:rsidRPr="008354E7">
        <w:rPr>
          <w:i w:val="0"/>
        </w:rPr>
        <w:t>.</w:t>
      </w:r>
    </w:p>
  </w:endnote>
  <w:endnote w:id="26">
    <w:p w14:paraId="50E1DC1D" w14:textId="4D41DD99" w:rsidR="003F5476" w:rsidRPr="008354E7" w:rsidRDefault="003F5476" w:rsidP="00DD1A25">
      <w:pPr>
        <w:pStyle w:val="Footnote"/>
        <w:rPr>
          <w:i w:val="0"/>
        </w:rPr>
      </w:pPr>
      <w:r w:rsidRPr="008354E7">
        <w:rPr>
          <w:i w:val="0"/>
          <w:vertAlign w:val="superscript"/>
        </w:rPr>
        <w:endnoteRef/>
      </w:r>
      <w:r w:rsidRPr="008354E7">
        <w:rPr>
          <w:i w:val="0"/>
        </w:rPr>
        <w:t xml:space="preserve"> Sunny Freeman, “Canopy Growth Corporation to Acquire Mettrum for $430M—Making a Mega-Company Serving Half Canada’s Medical Pot Users,” </w:t>
      </w:r>
      <w:r w:rsidRPr="008354E7">
        <w:t>Financial Post</w:t>
      </w:r>
      <w:r w:rsidRPr="008354E7">
        <w:rPr>
          <w:i w:val="0"/>
        </w:rPr>
        <w:t xml:space="preserve">, December 1, 2016, accessed December 28, 2016, </w:t>
      </w:r>
      <w:hyperlink r:id="rId11" w:history="1">
        <w:r w:rsidRPr="008354E7">
          <w:rPr>
            <w:i w:val="0"/>
          </w:rPr>
          <w:t>http://business.financialpost.com/news/agriculture/canopy-grow-to-acquire-rival-mettrum-for-430-million-to-form-mega-company-serving-half-canadas-medical-pot-users</w:t>
        </w:r>
      </w:hyperlink>
      <w:r w:rsidRPr="008354E7">
        <w:rPr>
          <w:i w:val="0"/>
        </w:rPr>
        <w:t>.</w:t>
      </w:r>
    </w:p>
  </w:endnote>
  <w:endnote w:id="27">
    <w:p w14:paraId="03C61563" w14:textId="0D20642C" w:rsidR="003F5476" w:rsidRPr="008354E7" w:rsidRDefault="003F5476" w:rsidP="00DD1A25">
      <w:pPr>
        <w:pStyle w:val="Footnote"/>
        <w:rPr>
          <w:i w:val="0"/>
        </w:rPr>
      </w:pPr>
      <w:r w:rsidRPr="008354E7">
        <w:rPr>
          <w:i w:val="0"/>
          <w:vertAlign w:val="superscript"/>
        </w:rPr>
        <w:endnoteRef/>
      </w:r>
      <w:r w:rsidRPr="008354E7">
        <w:rPr>
          <w:i w:val="0"/>
        </w:rPr>
        <w:t xml:space="preserve"> Brad Martin, “The Cost of Medical Cannabis in Canada,” </w:t>
      </w:r>
      <w:r w:rsidRPr="008354E7">
        <w:t>Lift News</w:t>
      </w:r>
      <w:r w:rsidRPr="008354E7">
        <w:rPr>
          <w:i w:val="0"/>
        </w:rPr>
        <w:t xml:space="preserve">, August 4, 2016, accessed December 28, 2016, </w:t>
      </w:r>
      <w:hyperlink r:id="rId12" w:history="1">
        <w:r w:rsidRPr="008354E7">
          <w:rPr>
            <w:i w:val="0"/>
          </w:rPr>
          <w:t>https://news.lift.co/the-cost-of-medical-cannabis-in-canada</w:t>
        </w:r>
      </w:hyperlink>
      <w:r w:rsidRPr="008354E7">
        <w:rPr>
          <w:i w:val="0"/>
        </w:rPr>
        <w:t>.</w:t>
      </w:r>
    </w:p>
  </w:endnote>
  <w:endnote w:id="28">
    <w:p w14:paraId="696DA35E" w14:textId="0D415FB9" w:rsidR="003F5476" w:rsidRPr="008354E7" w:rsidRDefault="003F5476" w:rsidP="00DD1A25">
      <w:pPr>
        <w:pStyle w:val="Footnote"/>
        <w:rPr>
          <w:i w:val="0"/>
        </w:rPr>
      </w:pPr>
      <w:r w:rsidRPr="008354E7">
        <w:rPr>
          <w:i w:val="0"/>
          <w:vertAlign w:val="superscript"/>
        </w:rPr>
        <w:endnoteRef/>
      </w:r>
      <w:r w:rsidRPr="008354E7">
        <w:rPr>
          <w:i w:val="0"/>
        </w:rPr>
        <w:t xml:space="preserve"> “What Are the Most Popular Cannabis Products?” Headset, June 29, 2016, accessed December 28, 2016, </w:t>
      </w:r>
      <w:hyperlink r:id="rId13" w:history="1">
        <w:r w:rsidRPr="008354E7">
          <w:rPr>
            <w:i w:val="0"/>
          </w:rPr>
          <w:t>http://headset.io/blog/what-are-the-most-popular-cannabis-products</w:t>
        </w:r>
      </w:hyperlink>
      <w:r w:rsidRPr="008354E7">
        <w:rPr>
          <w:i w:val="0"/>
        </w:rPr>
        <w:t>.</w:t>
      </w:r>
    </w:p>
  </w:endnote>
  <w:endnote w:id="29">
    <w:p w14:paraId="2C53741A" w14:textId="2399C76D" w:rsidR="00A22094" w:rsidRPr="008354E7" w:rsidRDefault="00A22094" w:rsidP="00A22094">
      <w:pPr>
        <w:pStyle w:val="Footnote"/>
        <w:rPr>
          <w:i w:val="0"/>
        </w:rPr>
      </w:pPr>
      <w:r w:rsidRPr="008354E7">
        <w:rPr>
          <w:rStyle w:val="EndnoteReference"/>
          <w:i w:val="0"/>
        </w:rPr>
        <w:endnoteRef/>
      </w:r>
      <w:r w:rsidRPr="008354E7">
        <w:rPr>
          <w:i w:val="0"/>
        </w:rPr>
        <w:t xml:space="preserve"> Rocky Mountain High Intensity Drug Trafficking Area, </w:t>
      </w:r>
      <w:r w:rsidRPr="008354E7">
        <w:t>The Legalization of Marijuana in Colorado: The Impact</w:t>
      </w:r>
      <w:r w:rsidRPr="008354E7">
        <w:rPr>
          <w:i w:val="0"/>
        </w:rPr>
        <w:t xml:space="preserve"> Vol. 4</w:t>
      </w:r>
      <w:r w:rsidR="005207C0">
        <w:rPr>
          <w:i w:val="0"/>
        </w:rPr>
        <w:t xml:space="preserve"> (</w:t>
      </w:r>
      <w:r w:rsidRPr="008354E7">
        <w:rPr>
          <w:i w:val="0"/>
        </w:rPr>
        <w:t>September 2016), accessed January 18, 2017, www.rmhidta.org/html/2016%20FINAL%20Legalization%20of%20</w:t>
      </w:r>
    </w:p>
    <w:p w14:paraId="1899CD8F" w14:textId="77777777" w:rsidR="00A22094" w:rsidRPr="008354E7" w:rsidRDefault="00A22094" w:rsidP="00A22094">
      <w:pPr>
        <w:pStyle w:val="Footnote"/>
        <w:rPr>
          <w:i w:val="0"/>
        </w:rPr>
      </w:pPr>
      <w:r w:rsidRPr="008354E7">
        <w:rPr>
          <w:i w:val="0"/>
        </w:rPr>
        <w:t>Marijuana%20in%20Colorado%20The%20Impact.pdf.</w:t>
      </w:r>
    </w:p>
  </w:endnote>
  <w:endnote w:id="30">
    <w:p w14:paraId="6F65371B" w14:textId="647DCA45" w:rsidR="003F5476" w:rsidRPr="00E45ACB" w:rsidRDefault="003F5476" w:rsidP="00DD1A25">
      <w:pPr>
        <w:pStyle w:val="Footnote"/>
        <w:rPr>
          <w:i w:val="0"/>
          <w:spacing w:val="-2"/>
        </w:rPr>
      </w:pPr>
      <w:r w:rsidRPr="008354E7">
        <w:rPr>
          <w:i w:val="0"/>
          <w:vertAlign w:val="superscript"/>
        </w:rPr>
        <w:endnoteRef/>
      </w:r>
      <w:r w:rsidRPr="008354E7">
        <w:rPr>
          <w:i w:val="0"/>
        </w:rPr>
        <w:t xml:space="preserve"> </w:t>
      </w:r>
      <w:r w:rsidRPr="00E45ACB">
        <w:rPr>
          <w:i w:val="0"/>
          <w:spacing w:val="-2"/>
        </w:rPr>
        <w:t xml:space="preserve">Polly Mosendz, “The Average Legal Pot User Spends $647 a Year on Weed,” </w:t>
      </w:r>
      <w:r w:rsidRPr="00E45ACB">
        <w:rPr>
          <w:spacing w:val="-2"/>
        </w:rPr>
        <w:t>Bloomberg</w:t>
      </w:r>
      <w:r w:rsidRPr="00E45ACB">
        <w:rPr>
          <w:i w:val="0"/>
          <w:spacing w:val="-2"/>
        </w:rPr>
        <w:t xml:space="preserve">, July 26, 2016, accessed December 28, 2016, </w:t>
      </w:r>
      <w:hyperlink r:id="rId14" w:history="1">
        <w:r w:rsidRPr="00E45ACB">
          <w:rPr>
            <w:i w:val="0"/>
            <w:spacing w:val="-2"/>
          </w:rPr>
          <w:t>www.bloomberg.com/news/articles/2016-07-26/the-average-legal-pot-user-spends-647-a-year-on-weed</w:t>
        </w:r>
      </w:hyperlink>
      <w:r w:rsidRPr="00E45ACB">
        <w:rPr>
          <w:i w:val="0"/>
          <w:spacing w:val="-2"/>
        </w:rPr>
        <w:t>.</w:t>
      </w:r>
    </w:p>
  </w:endnote>
  <w:endnote w:id="31">
    <w:p w14:paraId="410AB6E4" w14:textId="04621DA4" w:rsidR="00E45ACB" w:rsidRDefault="003F5476" w:rsidP="00DD1A25">
      <w:pPr>
        <w:pStyle w:val="Footnote"/>
        <w:rPr>
          <w:i w:val="0"/>
        </w:rPr>
      </w:pPr>
      <w:r w:rsidRPr="008354E7">
        <w:rPr>
          <w:i w:val="0"/>
          <w:vertAlign w:val="superscript"/>
        </w:rPr>
        <w:endnoteRef/>
      </w:r>
      <w:r w:rsidRPr="008354E7">
        <w:rPr>
          <w:i w:val="0"/>
        </w:rPr>
        <w:t xml:space="preserve"> Joshua Miller, “In Colo., a Look at Life after Marijuana Legalization,” </w:t>
      </w:r>
      <w:r w:rsidRPr="008354E7">
        <w:t>The Boston Globe</w:t>
      </w:r>
      <w:r w:rsidRPr="008354E7">
        <w:rPr>
          <w:i w:val="0"/>
        </w:rPr>
        <w:t xml:space="preserve">, February 22, 2016, accessed December 28, 2016, </w:t>
      </w:r>
      <w:r w:rsidR="00E45ACB" w:rsidRPr="00E45ACB">
        <w:rPr>
          <w:i w:val="0"/>
        </w:rPr>
        <w:t>https://www.bostonglobe.com/metro/2016/02/21/from-colorado-glimpse-life-after-marijuana-legalization/</w:t>
      </w:r>
    </w:p>
    <w:p w14:paraId="18FFED17" w14:textId="53173027" w:rsidR="003F5476" w:rsidRPr="008354E7" w:rsidRDefault="003F5476" w:rsidP="00DD1A25">
      <w:pPr>
        <w:pStyle w:val="Footnote"/>
        <w:rPr>
          <w:i w:val="0"/>
        </w:rPr>
      </w:pPr>
      <w:r w:rsidRPr="008354E7">
        <w:rPr>
          <w:i w:val="0"/>
        </w:rPr>
        <w:t>rcccuzhMDWV74UC4IxXIYJ/story.html.</w:t>
      </w:r>
    </w:p>
  </w:endnote>
  <w:endnote w:id="32">
    <w:p w14:paraId="2D373C96" w14:textId="21CC60C6" w:rsidR="003F5476" w:rsidRPr="008354E7" w:rsidRDefault="003F5476" w:rsidP="00DD1A25">
      <w:pPr>
        <w:pStyle w:val="Footnote"/>
        <w:rPr>
          <w:i w:val="0"/>
        </w:rPr>
      </w:pPr>
      <w:r w:rsidRPr="008354E7">
        <w:rPr>
          <w:rStyle w:val="EndnoteReference"/>
          <w:i w:val="0"/>
        </w:rPr>
        <w:endnoteRef/>
      </w:r>
      <w:r w:rsidRPr="008354E7">
        <w:rPr>
          <w:i w:val="0"/>
        </w:rPr>
        <w:t xml:space="preserve"> Code of Colorado Regulations, </w:t>
      </w:r>
      <w:r w:rsidRPr="008354E7">
        <w:t>Retail Marijuana Rules</w:t>
      </w:r>
      <w:r w:rsidRPr="008354E7">
        <w:rPr>
          <w:i w:val="0"/>
        </w:rPr>
        <w:t xml:space="preserve">, 1 CCR 212-2, 76, accessed December 28, 2016, </w:t>
      </w:r>
      <w:hyperlink r:id="rId15" w:history="1">
        <w:r w:rsidRPr="008354E7">
          <w:rPr>
            <w:i w:val="0"/>
          </w:rPr>
          <w:t>https://www.colorado.gov/pacific/sites/default/files/Current%20Official%20Retail%20Marijuana%20Rules%20-%20Effective%2007012016.pdf</w:t>
        </w:r>
      </w:hyperlink>
      <w:r w:rsidRPr="008354E7">
        <w:rPr>
          <w:i w:val="0"/>
        </w:rPr>
        <w:t xml:space="preserve">. </w:t>
      </w:r>
    </w:p>
  </w:endnote>
  <w:endnote w:id="33">
    <w:p w14:paraId="3B1C06EE" w14:textId="679503E1" w:rsidR="003F5476" w:rsidRPr="008354E7" w:rsidRDefault="003F5476" w:rsidP="00DD1A25">
      <w:pPr>
        <w:pStyle w:val="Footnote"/>
        <w:rPr>
          <w:i w:val="0"/>
        </w:rPr>
      </w:pPr>
      <w:r w:rsidRPr="008354E7">
        <w:rPr>
          <w:i w:val="0"/>
          <w:vertAlign w:val="superscript"/>
        </w:rPr>
        <w:endnoteRef/>
      </w:r>
      <w:r w:rsidRPr="008354E7">
        <w:rPr>
          <w:i w:val="0"/>
        </w:rPr>
        <w:t xml:space="preserve"> “OrganiGram Enters Exclusive Partnership for Oils, Extracts and Edibles,” </w:t>
      </w:r>
      <w:r w:rsidRPr="008354E7">
        <w:t>Marketwired</w:t>
      </w:r>
      <w:r w:rsidRPr="008354E7">
        <w:rPr>
          <w:i w:val="0"/>
        </w:rPr>
        <w:t xml:space="preserve">, September 1, 2016, accessed December 28, 2016, </w:t>
      </w:r>
      <w:hyperlink r:id="rId16" w:history="1">
        <w:r w:rsidRPr="008354E7">
          <w:rPr>
            <w:i w:val="0"/>
          </w:rPr>
          <w:t>www.marketwired.com/press-release/organigram-enters-exclusive-partnership-for-oils-extracts-and-edibles-tsx-venture-ogi-2154846.htm</w:t>
        </w:r>
      </w:hyperlink>
      <w:r w:rsidRPr="008354E7">
        <w:rPr>
          <w:i w:val="0"/>
        </w:rPr>
        <w:t>.</w:t>
      </w:r>
    </w:p>
  </w:endnote>
  <w:endnote w:id="34">
    <w:p w14:paraId="3D42BA65" w14:textId="7C6A7DA9" w:rsidR="003F5476" w:rsidRPr="008354E7" w:rsidRDefault="003F5476" w:rsidP="00DD1A25">
      <w:pPr>
        <w:pStyle w:val="Footnote"/>
        <w:rPr>
          <w:i w:val="0"/>
        </w:rPr>
      </w:pPr>
      <w:r w:rsidRPr="008354E7">
        <w:rPr>
          <w:i w:val="0"/>
          <w:vertAlign w:val="superscript"/>
        </w:rPr>
        <w:endnoteRef/>
      </w:r>
      <w:r w:rsidRPr="008354E7">
        <w:rPr>
          <w:i w:val="0"/>
        </w:rPr>
        <w:t xml:space="preserve"> “Trailer Park Boys Choose OrganiGram as Strategic Partner,” </w:t>
      </w:r>
      <w:r w:rsidRPr="008354E7">
        <w:t>Marketwired</w:t>
      </w:r>
      <w:r w:rsidRPr="008354E7">
        <w:rPr>
          <w:i w:val="0"/>
        </w:rPr>
        <w:t xml:space="preserve">, November 23, 2016, accessed December 28, 2016, </w:t>
      </w:r>
      <w:hyperlink r:id="rId17" w:history="1">
        <w:r w:rsidRPr="008354E7">
          <w:rPr>
            <w:i w:val="0"/>
          </w:rPr>
          <w:t>www.marketwired.com/press-release/trailer-park-boys-choose-organigram-as-strategic-partner-2178120.htm</w:t>
        </w:r>
      </w:hyperlink>
      <w:r w:rsidRPr="008354E7">
        <w:rPr>
          <w:i w:val="0"/>
        </w:rPr>
        <w:t>.</w:t>
      </w:r>
    </w:p>
  </w:endnote>
  <w:endnote w:id="35">
    <w:p w14:paraId="66868428" w14:textId="77777777" w:rsidR="00F63485" w:rsidRPr="008354E7" w:rsidRDefault="00F63485" w:rsidP="00F63485">
      <w:pPr>
        <w:pStyle w:val="Footnote"/>
        <w:rPr>
          <w:i w:val="0"/>
        </w:rPr>
      </w:pPr>
      <w:r w:rsidRPr="008354E7">
        <w:rPr>
          <w:i w:val="0"/>
          <w:vertAlign w:val="superscript"/>
        </w:rPr>
        <w:endnoteRef/>
      </w:r>
      <w:r w:rsidRPr="008354E7">
        <w:rPr>
          <w:i w:val="0"/>
        </w:rPr>
        <w:t xml:space="preserve"> Government of Canada, </w:t>
      </w:r>
      <w:r w:rsidRPr="008354E7">
        <w:t>A Framework for the Legalization and Regulation of Cannabis in Canada: The Final Report of the Task Force on Cannabis Legalization and Regulation</w:t>
      </w:r>
      <w:r w:rsidRPr="008354E7">
        <w:rPr>
          <w:i w:val="0"/>
        </w:rPr>
        <w:t>, op. cit.</w:t>
      </w:r>
    </w:p>
  </w:endnote>
  <w:endnote w:id="36">
    <w:p w14:paraId="3AFD1086" w14:textId="33176168" w:rsidR="003F5476" w:rsidRPr="009C0859" w:rsidRDefault="003F5476" w:rsidP="00DD1A25">
      <w:pPr>
        <w:pStyle w:val="Footnote"/>
        <w:rPr>
          <w:i w:val="0"/>
        </w:rPr>
      </w:pPr>
      <w:r w:rsidRPr="008354E7">
        <w:rPr>
          <w:rStyle w:val="EndnoteReference"/>
          <w:i w:val="0"/>
        </w:rPr>
        <w:endnoteRef/>
      </w:r>
      <w:r w:rsidRPr="008354E7">
        <w:rPr>
          <w:i w:val="0"/>
        </w:rPr>
        <w:t xml:space="preserve"> Ibid.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1E6F8B" w14:textId="77777777" w:rsidR="003F5476" w:rsidRDefault="003F5476" w:rsidP="00D75295">
      <w:r>
        <w:separator/>
      </w:r>
    </w:p>
  </w:footnote>
  <w:footnote w:type="continuationSeparator" w:id="0">
    <w:p w14:paraId="275A28D9" w14:textId="77777777" w:rsidR="003F5476" w:rsidRDefault="003F5476"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E39AA" w14:textId="0AE4FBD5" w:rsidR="003F5476" w:rsidRPr="00C92CC4" w:rsidRDefault="003F5476"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45BEE">
      <w:rPr>
        <w:rFonts w:ascii="Arial" w:hAnsi="Arial"/>
        <w:b/>
        <w:noProof/>
      </w:rPr>
      <w:t>9</w:t>
    </w:r>
    <w:r>
      <w:rPr>
        <w:rFonts w:ascii="Arial" w:hAnsi="Arial"/>
        <w:b/>
      </w:rPr>
      <w:fldChar w:fldCharType="end"/>
    </w:r>
    <w:r>
      <w:rPr>
        <w:rFonts w:ascii="Arial" w:hAnsi="Arial"/>
        <w:b/>
      </w:rPr>
      <w:tab/>
      <w:t>9B17M</w:t>
    </w:r>
    <w:r w:rsidR="00B7698D">
      <w:rPr>
        <w:rFonts w:ascii="Arial" w:hAnsi="Arial"/>
        <w:b/>
      </w:rPr>
      <w:t>115</w:t>
    </w:r>
  </w:p>
  <w:p w14:paraId="3FD6F5A4" w14:textId="77777777" w:rsidR="003F5476" w:rsidRDefault="003F5476" w:rsidP="00D13667">
    <w:pPr>
      <w:pStyle w:val="Header"/>
      <w:tabs>
        <w:tab w:val="clear" w:pos="4680"/>
      </w:tabs>
      <w:rPr>
        <w:sz w:val="18"/>
        <w:szCs w:val="18"/>
      </w:rPr>
    </w:pPr>
  </w:p>
  <w:p w14:paraId="349A67F9" w14:textId="77777777" w:rsidR="003F5476" w:rsidRPr="00C92CC4" w:rsidRDefault="003F5476"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8108F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890738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ABE811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EB8B77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E4E93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F5C2B8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8207AC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C76CA1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2C0B23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892898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15E6F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2B5D92"/>
    <w:multiLevelType w:val="hybridMultilevel"/>
    <w:tmpl w:val="FA262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8"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9A56668"/>
    <w:multiLevelType w:val="hybridMultilevel"/>
    <w:tmpl w:val="C2748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4112E0"/>
    <w:multiLevelType w:val="hybridMultilevel"/>
    <w:tmpl w:val="8814E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6"/>
  </w:num>
  <w:num w:numId="3">
    <w:abstractNumId w:val="33"/>
  </w:num>
  <w:num w:numId="4">
    <w:abstractNumId w:val="15"/>
  </w:num>
  <w:num w:numId="5">
    <w:abstractNumId w:val="27"/>
  </w:num>
  <w:num w:numId="6">
    <w:abstractNumId w:val="31"/>
  </w:num>
  <w:num w:numId="7">
    <w:abstractNumId w:val="23"/>
  </w:num>
  <w:num w:numId="8">
    <w:abstractNumId w:val="32"/>
  </w:num>
  <w:num w:numId="9">
    <w:abstractNumId w:val="12"/>
  </w:num>
  <w:num w:numId="10">
    <w:abstractNumId w:val="19"/>
  </w:num>
  <w:num w:numId="11">
    <w:abstractNumId w:val="13"/>
  </w:num>
  <w:num w:numId="12">
    <w:abstractNumId w:val="38"/>
  </w:num>
  <w:num w:numId="13">
    <w:abstractNumId w:val="16"/>
  </w:num>
  <w:num w:numId="14">
    <w:abstractNumId w:val="30"/>
  </w:num>
  <w:num w:numId="15">
    <w:abstractNumId w:val="39"/>
  </w:num>
  <w:num w:numId="16">
    <w:abstractNumId w:val="18"/>
  </w:num>
  <w:num w:numId="17">
    <w:abstractNumId w:val="26"/>
  </w:num>
  <w:num w:numId="18">
    <w:abstractNumId w:val="17"/>
  </w:num>
  <w:num w:numId="19">
    <w:abstractNumId w:val="21"/>
  </w:num>
  <w:num w:numId="20">
    <w:abstractNumId w:val="37"/>
  </w:num>
  <w:num w:numId="21">
    <w:abstractNumId w:val="28"/>
  </w:num>
  <w:num w:numId="22">
    <w:abstractNumId w:val="29"/>
  </w:num>
  <w:num w:numId="23">
    <w:abstractNumId w:val="11"/>
  </w:num>
  <w:num w:numId="24">
    <w:abstractNumId w:val="14"/>
  </w:num>
  <w:num w:numId="25">
    <w:abstractNumId w:val="41"/>
  </w:num>
  <w:num w:numId="26">
    <w:abstractNumId w:val="42"/>
  </w:num>
  <w:num w:numId="27">
    <w:abstractNumId w:val="20"/>
  </w:num>
  <w:num w:numId="28">
    <w:abstractNumId w:val="10"/>
  </w:num>
  <w:num w:numId="29">
    <w:abstractNumId w:val="8"/>
  </w:num>
  <w:num w:numId="30">
    <w:abstractNumId w:val="7"/>
  </w:num>
  <w:num w:numId="31">
    <w:abstractNumId w:val="6"/>
  </w:num>
  <w:num w:numId="32">
    <w:abstractNumId w:val="5"/>
  </w:num>
  <w:num w:numId="33">
    <w:abstractNumId w:val="9"/>
  </w:num>
  <w:num w:numId="34">
    <w:abstractNumId w:val="4"/>
  </w:num>
  <w:num w:numId="35">
    <w:abstractNumId w:val="3"/>
  </w:num>
  <w:num w:numId="36">
    <w:abstractNumId w:val="2"/>
  </w:num>
  <w:num w:numId="37">
    <w:abstractNumId w:val="1"/>
  </w:num>
  <w:num w:numId="38">
    <w:abstractNumId w:val="34"/>
  </w:num>
  <w:num w:numId="39">
    <w:abstractNumId w:val="25"/>
  </w:num>
  <w:num w:numId="40">
    <w:abstractNumId w:val="24"/>
  </w:num>
  <w:num w:numId="41">
    <w:abstractNumId w:val="40"/>
  </w:num>
  <w:num w:numId="42">
    <w:abstractNumId w:val="35"/>
  </w:num>
  <w:num w:numId="4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1557"/>
    <w:rsid w:val="00013360"/>
    <w:rsid w:val="00016759"/>
    <w:rsid w:val="000216CE"/>
    <w:rsid w:val="00024ED4"/>
    <w:rsid w:val="00025DC7"/>
    <w:rsid w:val="00035F09"/>
    <w:rsid w:val="000434DF"/>
    <w:rsid w:val="00044ECC"/>
    <w:rsid w:val="000531D3"/>
    <w:rsid w:val="0005646B"/>
    <w:rsid w:val="00066649"/>
    <w:rsid w:val="00066DEE"/>
    <w:rsid w:val="0008102D"/>
    <w:rsid w:val="00082B9A"/>
    <w:rsid w:val="00094831"/>
    <w:rsid w:val="00094C0E"/>
    <w:rsid w:val="000A5595"/>
    <w:rsid w:val="000B6672"/>
    <w:rsid w:val="000D7091"/>
    <w:rsid w:val="000D7142"/>
    <w:rsid w:val="000F0C22"/>
    <w:rsid w:val="000F6B09"/>
    <w:rsid w:val="000F6FDC"/>
    <w:rsid w:val="00104567"/>
    <w:rsid w:val="00104916"/>
    <w:rsid w:val="00104AA7"/>
    <w:rsid w:val="00105A3A"/>
    <w:rsid w:val="0012732D"/>
    <w:rsid w:val="00134074"/>
    <w:rsid w:val="00140E9F"/>
    <w:rsid w:val="00142B98"/>
    <w:rsid w:val="00143F25"/>
    <w:rsid w:val="00152682"/>
    <w:rsid w:val="00154FC9"/>
    <w:rsid w:val="0015692B"/>
    <w:rsid w:val="00186F29"/>
    <w:rsid w:val="0019241A"/>
    <w:rsid w:val="00194D97"/>
    <w:rsid w:val="001A22D1"/>
    <w:rsid w:val="001A752D"/>
    <w:rsid w:val="001A757E"/>
    <w:rsid w:val="001B3CC1"/>
    <w:rsid w:val="001B5032"/>
    <w:rsid w:val="001C3A3C"/>
    <w:rsid w:val="001C7777"/>
    <w:rsid w:val="001E364F"/>
    <w:rsid w:val="001E54FC"/>
    <w:rsid w:val="00203AA1"/>
    <w:rsid w:val="00206DFD"/>
    <w:rsid w:val="00213E98"/>
    <w:rsid w:val="00214370"/>
    <w:rsid w:val="00226F1C"/>
    <w:rsid w:val="0023081A"/>
    <w:rsid w:val="0024305B"/>
    <w:rsid w:val="00245377"/>
    <w:rsid w:val="002F460C"/>
    <w:rsid w:val="002F48D6"/>
    <w:rsid w:val="00317391"/>
    <w:rsid w:val="00317E0D"/>
    <w:rsid w:val="0032372F"/>
    <w:rsid w:val="00326216"/>
    <w:rsid w:val="00327CAB"/>
    <w:rsid w:val="00336580"/>
    <w:rsid w:val="00354899"/>
    <w:rsid w:val="00355FD6"/>
    <w:rsid w:val="00364A5C"/>
    <w:rsid w:val="00373FB1"/>
    <w:rsid w:val="00384679"/>
    <w:rsid w:val="00386676"/>
    <w:rsid w:val="003936E1"/>
    <w:rsid w:val="0039479A"/>
    <w:rsid w:val="00396C76"/>
    <w:rsid w:val="003A4297"/>
    <w:rsid w:val="003B30D8"/>
    <w:rsid w:val="003B3A7C"/>
    <w:rsid w:val="003B7EF2"/>
    <w:rsid w:val="003C06BF"/>
    <w:rsid w:val="003C35E4"/>
    <w:rsid w:val="003C3FA4"/>
    <w:rsid w:val="003D2DB0"/>
    <w:rsid w:val="003F0326"/>
    <w:rsid w:val="003F1690"/>
    <w:rsid w:val="003F2B0C"/>
    <w:rsid w:val="003F32E2"/>
    <w:rsid w:val="003F5476"/>
    <w:rsid w:val="004105B2"/>
    <w:rsid w:val="004221E4"/>
    <w:rsid w:val="004273F8"/>
    <w:rsid w:val="00427B1E"/>
    <w:rsid w:val="00433653"/>
    <w:rsid w:val="004355A3"/>
    <w:rsid w:val="00446546"/>
    <w:rsid w:val="00450440"/>
    <w:rsid w:val="00452769"/>
    <w:rsid w:val="00461CF8"/>
    <w:rsid w:val="00465348"/>
    <w:rsid w:val="00473500"/>
    <w:rsid w:val="004842F0"/>
    <w:rsid w:val="004868E3"/>
    <w:rsid w:val="0049576F"/>
    <w:rsid w:val="004A4860"/>
    <w:rsid w:val="004B1CCB"/>
    <w:rsid w:val="004B632F"/>
    <w:rsid w:val="004C7115"/>
    <w:rsid w:val="004D3FB1"/>
    <w:rsid w:val="004D517C"/>
    <w:rsid w:val="004D6F21"/>
    <w:rsid w:val="004D73A5"/>
    <w:rsid w:val="005160F1"/>
    <w:rsid w:val="005207C0"/>
    <w:rsid w:val="00524F2F"/>
    <w:rsid w:val="00526DC5"/>
    <w:rsid w:val="00527E5C"/>
    <w:rsid w:val="00532CF5"/>
    <w:rsid w:val="00533398"/>
    <w:rsid w:val="0054131A"/>
    <w:rsid w:val="00547D3B"/>
    <w:rsid w:val="005528CB"/>
    <w:rsid w:val="005546D5"/>
    <w:rsid w:val="00563A5C"/>
    <w:rsid w:val="00566771"/>
    <w:rsid w:val="00581E2E"/>
    <w:rsid w:val="00584F15"/>
    <w:rsid w:val="005938C3"/>
    <w:rsid w:val="0059514B"/>
    <w:rsid w:val="005A1B0F"/>
    <w:rsid w:val="005B252F"/>
    <w:rsid w:val="005B4132"/>
    <w:rsid w:val="005B5F53"/>
    <w:rsid w:val="005E6F33"/>
    <w:rsid w:val="005F071D"/>
    <w:rsid w:val="005F0A95"/>
    <w:rsid w:val="005F3532"/>
    <w:rsid w:val="005F508F"/>
    <w:rsid w:val="0060498E"/>
    <w:rsid w:val="006163F7"/>
    <w:rsid w:val="00627C63"/>
    <w:rsid w:val="00630F27"/>
    <w:rsid w:val="0063308B"/>
    <w:rsid w:val="0063350B"/>
    <w:rsid w:val="00652606"/>
    <w:rsid w:val="006571A9"/>
    <w:rsid w:val="006604D2"/>
    <w:rsid w:val="00662A41"/>
    <w:rsid w:val="0066545E"/>
    <w:rsid w:val="00665B89"/>
    <w:rsid w:val="00681196"/>
    <w:rsid w:val="006946EE"/>
    <w:rsid w:val="006A58A9"/>
    <w:rsid w:val="006A606D"/>
    <w:rsid w:val="006C0283"/>
    <w:rsid w:val="006C0371"/>
    <w:rsid w:val="006C08B6"/>
    <w:rsid w:val="006C0B1A"/>
    <w:rsid w:val="006C6065"/>
    <w:rsid w:val="006C7F9F"/>
    <w:rsid w:val="006E2F6D"/>
    <w:rsid w:val="006E58F6"/>
    <w:rsid w:val="006E77E1"/>
    <w:rsid w:val="006F131D"/>
    <w:rsid w:val="00704867"/>
    <w:rsid w:val="00711642"/>
    <w:rsid w:val="007324CA"/>
    <w:rsid w:val="00745D4B"/>
    <w:rsid w:val="007507C6"/>
    <w:rsid w:val="00751E0B"/>
    <w:rsid w:val="00752BCD"/>
    <w:rsid w:val="0075789C"/>
    <w:rsid w:val="00766A47"/>
    <w:rsid w:val="00766DA1"/>
    <w:rsid w:val="007866A6"/>
    <w:rsid w:val="007A130D"/>
    <w:rsid w:val="007D1A2D"/>
    <w:rsid w:val="007D4102"/>
    <w:rsid w:val="007E4221"/>
    <w:rsid w:val="007F43B7"/>
    <w:rsid w:val="00821FFC"/>
    <w:rsid w:val="008271CA"/>
    <w:rsid w:val="00833CA4"/>
    <w:rsid w:val="00834F01"/>
    <w:rsid w:val="008354E7"/>
    <w:rsid w:val="008467D5"/>
    <w:rsid w:val="0085290A"/>
    <w:rsid w:val="00855E20"/>
    <w:rsid w:val="008629FA"/>
    <w:rsid w:val="00885D4B"/>
    <w:rsid w:val="008A4DC4"/>
    <w:rsid w:val="008B438C"/>
    <w:rsid w:val="008B757F"/>
    <w:rsid w:val="008D3A46"/>
    <w:rsid w:val="008E0628"/>
    <w:rsid w:val="008E0DC5"/>
    <w:rsid w:val="008F68FA"/>
    <w:rsid w:val="009067A4"/>
    <w:rsid w:val="00922345"/>
    <w:rsid w:val="00933D68"/>
    <w:rsid w:val="009340DB"/>
    <w:rsid w:val="0094618C"/>
    <w:rsid w:val="0095684B"/>
    <w:rsid w:val="009705FA"/>
    <w:rsid w:val="00972498"/>
    <w:rsid w:val="0097481F"/>
    <w:rsid w:val="00974CC6"/>
    <w:rsid w:val="00974FE1"/>
    <w:rsid w:val="00976AD4"/>
    <w:rsid w:val="00991AC2"/>
    <w:rsid w:val="00993CA2"/>
    <w:rsid w:val="00995547"/>
    <w:rsid w:val="009A312F"/>
    <w:rsid w:val="009A5348"/>
    <w:rsid w:val="009B0AB7"/>
    <w:rsid w:val="009C0859"/>
    <w:rsid w:val="009C182F"/>
    <w:rsid w:val="009C76D5"/>
    <w:rsid w:val="009D018C"/>
    <w:rsid w:val="009F64BA"/>
    <w:rsid w:val="009F7AA4"/>
    <w:rsid w:val="00A10AD7"/>
    <w:rsid w:val="00A22094"/>
    <w:rsid w:val="00A3165C"/>
    <w:rsid w:val="00A559DB"/>
    <w:rsid w:val="00A569EA"/>
    <w:rsid w:val="00A61BE2"/>
    <w:rsid w:val="00A81C44"/>
    <w:rsid w:val="00A9322D"/>
    <w:rsid w:val="00AA58CA"/>
    <w:rsid w:val="00AF35FC"/>
    <w:rsid w:val="00AF5556"/>
    <w:rsid w:val="00AF556D"/>
    <w:rsid w:val="00B03639"/>
    <w:rsid w:val="00B0652A"/>
    <w:rsid w:val="00B10A89"/>
    <w:rsid w:val="00B1676B"/>
    <w:rsid w:val="00B40937"/>
    <w:rsid w:val="00B423EF"/>
    <w:rsid w:val="00B453DE"/>
    <w:rsid w:val="00B56B5B"/>
    <w:rsid w:val="00B707B1"/>
    <w:rsid w:val="00B72597"/>
    <w:rsid w:val="00B7698D"/>
    <w:rsid w:val="00B867F5"/>
    <w:rsid w:val="00B901F9"/>
    <w:rsid w:val="00B91921"/>
    <w:rsid w:val="00B92B27"/>
    <w:rsid w:val="00BA23D6"/>
    <w:rsid w:val="00BA64E9"/>
    <w:rsid w:val="00BB71E1"/>
    <w:rsid w:val="00BC2B9A"/>
    <w:rsid w:val="00BD6EFB"/>
    <w:rsid w:val="00C06290"/>
    <w:rsid w:val="00C1584D"/>
    <w:rsid w:val="00C15BE2"/>
    <w:rsid w:val="00C3447F"/>
    <w:rsid w:val="00C44B17"/>
    <w:rsid w:val="00C67102"/>
    <w:rsid w:val="00C81491"/>
    <w:rsid w:val="00C81676"/>
    <w:rsid w:val="00C85C5D"/>
    <w:rsid w:val="00C91CFF"/>
    <w:rsid w:val="00C92CC4"/>
    <w:rsid w:val="00CA0AFB"/>
    <w:rsid w:val="00CA2CE1"/>
    <w:rsid w:val="00CA3976"/>
    <w:rsid w:val="00CA50E3"/>
    <w:rsid w:val="00CA757B"/>
    <w:rsid w:val="00CC1787"/>
    <w:rsid w:val="00CC182C"/>
    <w:rsid w:val="00CC7E58"/>
    <w:rsid w:val="00CD0824"/>
    <w:rsid w:val="00CD228A"/>
    <w:rsid w:val="00CD2908"/>
    <w:rsid w:val="00CD7AC2"/>
    <w:rsid w:val="00CE79F2"/>
    <w:rsid w:val="00CF3DF0"/>
    <w:rsid w:val="00CF6BFB"/>
    <w:rsid w:val="00D03A82"/>
    <w:rsid w:val="00D13667"/>
    <w:rsid w:val="00D15344"/>
    <w:rsid w:val="00D23F57"/>
    <w:rsid w:val="00D27788"/>
    <w:rsid w:val="00D31BEC"/>
    <w:rsid w:val="00D44458"/>
    <w:rsid w:val="00D52BC1"/>
    <w:rsid w:val="00D63150"/>
    <w:rsid w:val="00D636BA"/>
    <w:rsid w:val="00D64A32"/>
    <w:rsid w:val="00D64EFC"/>
    <w:rsid w:val="00D71DE5"/>
    <w:rsid w:val="00D75295"/>
    <w:rsid w:val="00D76CE9"/>
    <w:rsid w:val="00D96175"/>
    <w:rsid w:val="00D97F12"/>
    <w:rsid w:val="00DA6095"/>
    <w:rsid w:val="00DB42E7"/>
    <w:rsid w:val="00DB576F"/>
    <w:rsid w:val="00DD1A25"/>
    <w:rsid w:val="00DD30CB"/>
    <w:rsid w:val="00DD324E"/>
    <w:rsid w:val="00DD644B"/>
    <w:rsid w:val="00DE01A6"/>
    <w:rsid w:val="00DE7A98"/>
    <w:rsid w:val="00DF32C2"/>
    <w:rsid w:val="00E01CF9"/>
    <w:rsid w:val="00E02446"/>
    <w:rsid w:val="00E03EB1"/>
    <w:rsid w:val="00E152A1"/>
    <w:rsid w:val="00E2201B"/>
    <w:rsid w:val="00E45ACB"/>
    <w:rsid w:val="00E45BEE"/>
    <w:rsid w:val="00E471A7"/>
    <w:rsid w:val="00E635CF"/>
    <w:rsid w:val="00E81AF5"/>
    <w:rsid w:val="00E828B1"/>
    <w:rsid w:val="00E82D30"/>
    <w:rsid w:val="00E85AD3"/>
    <w:rsid w:val="00EA0886"/>
    <w:rsid w:val="00EC39EE"/>
    <w:rsid w:val="00EC6E0A"/>
    <w:rsid w:val="00ED4E18"/>
    <w:rsid w:val="00EE1350"/>
    <w:rsid w:val="00EE1F37"/>
    <w:rsid w:val="00EF133D"/>
    <w:rsid w:val="00EF2D41"/>
    <w:rsid w:val="00F0159C"/>
    <w:rsid w:val="00F105B7"/>
    <w:rsid w:val="00F13220"/>
    <w:rsid w:val="00F17A21"/>
    <w:rsid w:val="00F37B27"/>
    <w:rsid w:val="00F46556"/>
    <w:rsid w:val="00F50E91"/>
    <w:rsid w:val="00F52230"/>
    <w:rsid w:val="00F57D29"/>
    <w:rsid w:val="00F60724"/>
    <w:rsid w:val="00F63485"/>
    <w:rsid w:val="00F66ADD"/>
    <w:rsid w:val="00F96201"/>
    <w:rsid w:val="00F97A24"/>
    <w:rsid w:val="00FC0BCE"/>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0D26AA20"/>
  <w15:docId w15:val="{CBAFB14F-B50C-4765-BDE1-36CA41531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Default">
    <w:name w:val="Default"/>
    <w:rsid w:val="00DD1A25"/>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character" w:customStyle="1" w:styleId="Hyperlink0">
    <w:name w:val="Hyperlink.0"/>
    <w:basedOn w:val="Hyperlink"/>
    <w:rsid w:val="00DD1A25"/>
    <w:rPr>
      <w:color w:val="0000FF" w:themeColor="hyperlink"/>
      <w:u w:val="single"/>
    </w:rPr>
  </w:style>
  <w:style w:type="paragraph" w:customStyle="1" w:styleId="TableStyle1">
    <w:name w:val="Table Style 1"/>
    <w:rsid w:val="003F0326"/>
    <w:pPr>
      <w:pBdr>
        <w:top w:val="nil"/>
        <w:left w:val="nil"/>
        <w:bottom w:val="nil"/>
        <w:right w:val="nil"/>
        <w:between w:val="nil"/>
        <w:bar w:val="nil"/>
      </w:pBdr>
      <w:spacing w:after="0" w:line="240" w:lineRule="auto"/>
    </w:pPr>
    <w:rPr>
      <w:rFonts w:ascii="Helvetica" w:eastAsia="Helvetica" w:hAnsi="Helvetica" w:cs="Helvetica"/>
      <w:b/>
      <w:bCs/>
      <w:color w:val="000000"/>
      <w:sz w:val="20"/>
      <w:szCs w:val="20"/>
      <w:bdr w:val="nil"/>
    </w:rPr>
  </w:style>
  <w:style w:type="paragraph" w:customStyle="1" w:styleId="TableStyle2">
    <w:name w:val="Table Style 2"/>
    <w:rsid w:val="003F0326"/>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860436350">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www.newswire.ca/news-releases/operational-update-auroras-canvasrx-subsidiary-surpasses-13000-patients-registered-600664531.html" TargetMode="External"/><Relationship Id="rId13" Type="http://schemas.openxmlformats.org/officeDocument/2006/relationships/hyperlink" Target="http://headset.io/blog/what-are-the-most-popular-cannabis-products" TargetMode="External"/><Relationship Id="rId3" Type="http://schemas.openxmlformats.org/officeDocument/2006/relationships/hyperlink" Target="http://thcbiomed.com" TargetMode="External"/><Relationship Id="rId7" Type="http://schemas.openxmlformats.org/officeDocument/2006/relationships/hyperlink" Target="http://www.marketwired.com/press-release/organigram-announces-closing-of-40m-bought-deal-financing-tsx-venture-ogi-2181471.htm" TargetMode="External"/><Relationship Id="rId12" Type="http://schemas.openxmlformats.org/officeDocument/2006/relationships/hyperlink" Target="https://news.lift.co/the-cost-of-medical-cannabis-in-canada/" TargetMode="External"/><Relationship Id="rId17" Type="http://schemas.openxmlformats.org/officeDocument/2006/relationships/hyperlink" Target="http://www.marketwired.com/press-release/trailer-park-boys-choose-organigram-as-strategic-partner-2178120.htm" TargetMode="External"/><Relationship Id="rId2" Type="http://schemas.openxmlformats.org/officeDocument/2006/relationships/hyperlink" Target="https://www.organigram.ca/latest/from-the-presidents-desk/" TargetMode="External"/><Relationship Id="rId16" Type="http://schemas.openxmlformats.org/officeDocument/2006/relationships/hyperlink" Target="http://www.marketwired.com/press-release/organigram-enters-exclusive-partnership-for-oils-extracts-and-edibles-tsx-venture-ogi-2154846.htm" TargetMode="External"/><Relationship Id="rId1" Type="http://schemas.openxmlformats.org/officeDocument/2006/relationships/hyperlink" Target="http://www.healthycanadians.gc.ca/task-force-marijuana-groupe-etude/framework-cadre/index-eng.php" TargetMode="External"/><Relationship Id="rId6" Type="http://schemas.openxmlformats.org/officeDocument/2006/relationships/hyperlink" Target="http://huddle.today/new-brunswicks-organigram-preparing-light-recreational-market/" TargetMode="External"/><Relationship Id="rId11" Type="http://schemas.openxmlformats.org/officeDocument/2006/relationships/hyperlink" Target="http://business.financialpost.com/news/agriculture/canopy-grow-to-acquire-rival-mettrum-for-430-million-to-form-mega-company-serving-half-canadas-medical-pot-users" TargetMode="External"/><Relationship Id="rId5" Type="http://schemas.openxmlformats.org/officeDocument/2006/relationships/hyperlink" Target="http://www.cbc.ca/news/canada/new-brunswick/organigram-marijuana-funding-brunswick-1.3512416" TargetMode="External"/><Relationship Id="rId15" Type="http://schemas.openxmlformats.org/officeDocument/2006/relationships/hyperlink" Target="https://www.colorado.gov/pacific/sites/default/files/current%2520official%2520retail%2520marijuana%2520rules%2520-%2520effective%252007012016.pdf" TargetMode="External"/><Relationship Id="rId10" Type="http://schemas.openxmlformats.org/officeDocument/2006/relationships/hyperlink" Target="https://cdn.shopify.com/s/files/1/0994/1238/files/160915_2016_canopy_growth_corporation_agm_presentation_final.pdf?3923008218010883461" TargetMode="External"/><Relationship Id="rId4" Type="http://schemas.openxmlformats.org/officeDocument/2006/relationships/hyperlink" Target="http://laws.justice.gc.ca/eng/regulations/sor-2016-230/page-10.html%23h-16" TargetMode="External"/><Relationship Id="rId9" Type="http://schemas.openxmlformats.org/officeDocument/2006/relationships/hyperlink" Target="http://www.cbc.ca/news/canada/ottawa/tweed-leafs-by-snoop-brand-launch-1.3793667" TargetMode="External"/><Relationship Id="rId14" Type="http://schemas.openxmlformats.org/officeDocument/2006/relationships/hyperlink" Target="http://www.bloomberg.com/news/articles/2016-07-26/the-average-legal-pot-user-spends-647-a-year-on-w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B1F56-AEAE-4049-86AF-BEE6A9715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3241</Words>
  <Characters>18479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4</cp:revision>
  <cp:lastPrinted>2015-03-04T20:34:00Z</cp:lastPrinted>
  <dcterms:created xsi:type="dcterms:W3CDTF">2017-07-28T18:11:00Z</dcterms:created>
  <dcterms:modified xsi:type="dcterms:W3CDTF">2017-08-09T15:32:00Z</dcterms:modified>
</cp:coreProperties>
</file>