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4C1CE" w14:textId="1FBD9DEC" w:rsidR="008467D5" w:rsidRPr="00DC7563" w:rsidRDefault="00637632" w:rsidP="00013360">
      <w:pPr>
        <w:tabs>
          <w:tab w:val="left" w:pos="-1440"/>
          <w:tab w:val="left" w:pos="-720"/>
          <w:tab w:val="left" w:pos="1"/>
          <w:tab w:val="right" w:pos="9360"/>
        </w:tabs>
        <w:jc w:val="both"/>
        <w:rPr>
          <w:rFonts w:ascii="Arial" w:hAnsi="Arial"/>
          <w:sz w:val="24"/>
          <w:lang w:val="en-GB" w:eastAsia="zh-CN"/>
        </w:rPr>
      </w:pPr>
      <w:r w:rsidRPr="00A569EA">
        <w:rPr>
          <w:rFonts w:ascii="Arial" w:hAnsi="Arial"/>
          <w:b/>
          <w:noProof/>
          <w:sz w:val="24"/>
        </w:rPr>
        <w:drawing>
          <wp:inline distT="0" distB="0" distL="0" distR="0" wp14:anchorId="48602719" wp14:editId="2BC8D08C">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CBC3B32" w14:textId="77777777" w:rsidR="00856D9F" w:rsidRPr="00DC7563"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5C37F682" w14:textId="19D874A2" w:rsidR="00D75295" w:rsidRPr="00DC7563" w:rsidRDefault="00722A42" w:rsidP="00C73E67">
      <w:pPr>
        <w:pStyle w:val="ProductNumber"/>
        <w:outlineLvl w:val="0"/>
        <w:rPr>
          <w:lang w:val="en-GB"/>
        </w:rPr>
      </w:pPr>
      <w:r>
        <w:rPr>
          <w:lang w:val="en-GB"/>
        </w:rPr>
        <w:t>9B17M117</w:t>
      </w:r>
    </w:p>
    <w:p w14:paraId="69F8B11D" w14:textId="77777777" w:rsidR="00D75295" w:rsidRPr="00DC7563" w:rsidRDefault="00D75295" w:rsidP="00D75295">
      <w:pPr>
        <w:jc w:val="right"/>
        <w:rPr>
          <w:rFonts w:ascii="Arial" w:hAnsi="Arial"/>
          <w:b/>
          <w:sz w:val="28"/>
          <w:szCs w:val="28"/>
          <w:lang w:val="en-GB"/>
        </w:rPr>
      </w:pPr>
    </w:p>
    <w:p w14:paraId="04AFA837" w14:textId="77777777" w:rsidR="00866F6D" w:rsidRPr="00DC7563" w:rsidRDefault="00866F6D" w:rsidP="00D75295">
      <w:pPr>
        <w:jc w:val="right"/>
        <w:rPr>
          <w:rFonts w:ascii="Arial" w:hAnsi="Arial"/>
          <w:b/>
          <w:sz w:val="28"/>
          <w:szCs w:val="28"/>
          <w:lang w:val="en-GB"/>
        </w:rPr>
      </w:pPr>
    </w:p>
    <w:p w14:paraId="61D4F110" w14:textId="5EEF201B" w:rsidR="00C41FDE" w:rsidRPr="00DC7563" w:rsidRDefault="00147D61" w:rsidP="00C73E67">
      <w:pPr>
        <w:pStyle w:val="CaseTitle"/>
        <w:spacing w:after="0" w:line="240" w:lineRule="auto"/>
        <w:outlineLvl w:val="0"/>
        <w:rPr>
          <w:lang w:val="en-GB"/>
        </w:rPr>
      </w:pPr>
      <w:r w:rsidRPr="00DC7563">
        <w:rPr>
          <w:lang w:val="en-GB"/>
        </w:rPr>
        <w:t>MAZDA MOTOR</w:t>
      </w:r>
      <w:r w:rsidR="0031090D">
        <w:rPr>
          <w:lang w:val="en-GB"/>
        </w:rPr>
        <w:t xml:space="preserve"> corporation</w:t>
      </w:r>
      <w:r w:rsidRPr="00DC7563">
        <w:rPr>
          <w:lang w:val="en-GB"/>
        </w:rPr>
        <w:t>: SURVIVING BY PARTNERING WITH THE GIANTS</w:t>
      </w:r>
      <w:r w:rsidR="00C41FDE" w:rsidRPr="00DC7563">
        <w:rPr>
          <w:rStyle w:val="EndnoteReference"/>
          <w:lang w:val="en-GB"/>
        </w:rPr>
        <w:endnoteReference w:id="1"/>
      </w:r>
    </w:p>
    <w:p w14:paraId="4130DDA9" w14:textId="77777777" w:rsidR="00013360" w:rsidRPr="00DC7563" w:rsidRDefault="00013360" w:rsidP="00013360">
      <w:pPr>
        <w:pStyle w:val="CaseTitle"/>
        <w:spacing w:after="0" w:line="240" w:lineRule="auto"/>
        <w:rPr>
          <w:sz w:val="20"/>
          <w:szCs w:val="20"/>
          <w:lang w:val="en-GB"/>
        </w:rPr>
      </w:pPr>
    </w:p>
    <w:p w14:paraId="0AB476FD" w14:textId="77777777" w:rsidR="00CA3976" w:rsidRPr="00DC7563" w:rsidRDefault="00CA3976" w:rsidP="00013360">
      <w:pPr>
        <w:pStyle w:val="CaseTitle"/>
        <w:spacing w:after="0" w:line="240" w:lineRule="auto"/>
        <w:rPr>
          <w:sz w:val="20"/>
          <w:szCs w:val="20"/>
          <w:lang w:val="en-GB"/>
        </w:rPr>
      </w:pPr>
    </w:p>
    <w:p w14:paraId="48456C2D" w14:textId="77777777" w:rsidR="00013360" w:rsidRPr="00DC7563" w:rsidRDefault="00013360" w:rsidP="00013360">
      <w:pPr>
        <w:pStyle w:val="CaseTitle"/>
        <w:spacing w:after="0" w:line="240" w:lineRule="auto"/>
        <w:rPr>
          <w:sz w:val="20"/>
          <w:szCs w:val="20"/>
          <w:lang w:val="en-GB"/>
        </w:rPr>
      </w:pPr>
    </w:p>
    <w:p w14:paraId="2A53D0E4" w14:textId="77777777" w:rsidR="00013360" w:rsidRPr="00DC7563" w:rsidRDefault="00147D61" w:rsidP="00104567">
      <w:pPr>
        <w:pStyle w:val="StyleCopyrightStatementAfter0ptBottomSinglesolidline1"/>
        <w:rPr>
          <w:lang w:val="en-GB"/>
        </w:rPr>
      </w:pPr>
      <w:r w:rsidRPr="00DC7563">
        <w:rPr>
          <w:lang w:val="en-GB"/>
        </w:rPr>
        <w:t xml:space="preserve">Wiboon Kittilaksanawong, Tae Kyung Lee, and Andrew Jiro </w:t>
      </w:r>
      <w:proofErr w:type="spellStart"/>
      <w:r w:rsidRPr="00DC7563">
        <w:rPr>
          <w:lang w:val="en-GB"/>
        </w:rPr>
        <w:t>Poplawski</w:t>
      </w:r>
      <w:proofErr w:type="spellEnd"/>
      <w:r w:rsidRPr="00DC7563">
        <w:rPr>
          <w:lang w:val="en-GB"/>
        </w:rPr>
        <w:t xml:space="preserve"> </w:t>
      </w:r>
      <w:r w:rsidR="007E5921" w:rsidRPr="00DC7563">
        <w:rPr>
          <w:lang w:val="en-GB"/>
        </w:rPr>
        <w:t>wrote this case sol</w:t>
      </w:r>
      <w:r w:rsidR="00D75295" w:rsidRPr="00DC7563">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6C818CCC" w14:textId="77777777" w:rsidR="00013360" w:rsidRDefault="00013360" w:rsidP="00104567">
      <w:pPr>
        <w:pStyle w:val="StyleCopyrightStatementAfter0ptBottomSinglesolidline1"/>
        <w:rPr>
          <w:lang w:val="en-GB"/>
        </w:rPr>
      </w:pPr>
    </w:p>
    <w:p w14:paraId="34EFBCCF" w14:textId="3DDA4A93" w:rsidR="00637632" w:rsidRPr="00637632" w:rsidRDefault="00637632" w:rsidP="00637632">
      <w:pPr>
        <w:pStyle w:val="StyleStyleCopyrightStatementAfter0ptBottomSinglesolid"/>
        <w:outlineLvl w:val="0"/>
      </w:pPr>
      <w:r w:rsidRPr="00637632">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6C2B2BB6" w14:textId="77777777" w:rsidR="00637632" w:rsidRPr="00637632" w:rsidRDefault="00637632" w:rsidP="00637632">
      <w:pPr>
        <w:pStyle w:val="StyleStyleCopyrightStatementAfter0ptBottomSinglesolid"/>
        <w:outlineLvl w:val="0"/>
      </w:pPr>
    </w:p>
    <w:p w14:paraId="193A841A" w14:textId="56381AEA" w:rsidR="003B7EF2" w:rsidRPr="00DC7563" w:rsidRDefault="00637632" w:rsidP="00637632">
      <w:pPr>
        <w:pStyle w:val="StyleStyleCopyrightStatementAfter0ptBottomSinglesolid"/>
        <w:outlineLvl w:val="0"/>
        <w:rPr>
          <w:lang w:val="en-GB" w:eastAsia="zh-CN"/>
        </w:rPr>
      </w:pPr>
      <w:r w:rsidRPr="00637632">
        <w:t xml:space="preserve">Copyright © 2017, </w:t>
      </w:r>
      <w:r w:rsidRPr="00637632">
        <w:rPr>
          <w:lang w:val="en-CA"/>
        </w:rPr>
        <w:t>Richard Ivey School of Business Foundation</w:t>
      </w:r>
      <w:r w:rsidRPr="00637632">
        <w:rPr>
          <w:lang w:val="en-CA"/>
        </w:rPr>
        <w:tab/>
      </w:r>
      <w:r w:rsidRPr="00637632">
        <w:t xml:space="preserve">Version: </w:t>
      </w:r>
      <w:r>
        <w:t>2017-</w:t>
      </w:r>
      <w:r w:rsidR="00B10C46">
        <w:t>11-</w:t>
      </w:r>
      <w:r w:rsidR="007E76DC">
        <w:t>20</w:t>
      </w:r>
    </w:p>
    <w:p w14:paraId="74EA916A" w14:textId="77777777" w:rsidR="003B7EF2" w:rsidRPr="00DC7563" w:rsidRDefault="003B7EF2" w:rsidP="00104567">
      <w:pPr>
        <w:pStyle w:val="StyleCopyrightStatementAfter0ptBottomSinglesolidline1"/>
        <w:rPr>
          <w:rFonts w:ascii="Times New Roman" w:hAnsi="Times New Roman"/>
          <w:sz w:val="20"/>
          <w:lang w:val="en-GB"/>
        </w:rPr>
      </w:pPr>
    </w:p>
    <w:p w14:paraId="65D983A5" w14:textId="77777777" w:rsidR="003B7EF2" w:rsidRPr="00DC7563" w:rsidRDefault="003B7EF2" w:rsidP="006F1D9E">
      <w:pPr>
        <w:pStyle w:val="Footnote"/>
        <w:rPr>
          <w:lang w:val="en-GB"/>
        </w:rPr>
      </w:pPr>
    </w:p>
    <w:p w14:paraId="649C3FC2" w14:textId="77777777" w:rsidR="00991E9B" w:rsidRPr="00DC7563" w:rsidRDefault="00991E9B" w:rsidP="00D0254D">
      <w:pPr>
        <w:pStyle w:val="BodyTextMain"/>
        <w:ind w:left="720"/>
        <w:jc w:val="right"/>
        <w:rPr>
          <w:rFonts w:eastAsia="Malgun Gothic"/>
          <w:lang w:val="en-GB" w:eastAsia="ko-KR"/>
        </w:rPr>
      </w:pPr>
      <w:r w:rsidRPr="00DC7563">
        <w:rPr>
          <w:rFonts w:eastAsia="Malgun Gothic"/>
          <w:lang w:val="en-GB" w:eastAsia="ko-KR"/>
        </w:rPr>
        <w:t xml:space="preserve">We have to embark on the partnership by devoting the best personnel and resources. Because we are a small-scale company, we are able to focus on clearly identifying our brand. That has established a solid base for our survival. </w:t>
      </w:r>
    </w:p>
    <w:p w14:paraId="1AE72EF8" w14:textId="77777777" w:rsidR="00DC7563" w:rsidRDefault="00DC7563" w:rsidP="00D0254D">
      <w:pPr>
        <w:pStyle w:val="BodyTextMain"/>
        <w:ind w:left="720"/>
        <w:jc w:val="right"/>
        <w:rPr>
          <w:rFonts w:eastAsia="Malgun Gothic"/>
          <w:lang w:val="en-GB" w:eastAsia="ko-KR"/>
        </w:rPr>
      </w:pPr>
    </w:p>
    <w:p w14:paraId="5946E81E" w14:textId="3CC1AF63" w:rsidR="00991E9B" w:rsidRPr="00DC7563" w:rsidRDefault="00991E9B" w:rsidP="00D0254D">
      <w:pPr>
        <w:pStyle w:val="BodyTextMain"/>
        <w:ind w:left="720"/>
        <w:jc w:val="right"/>
        <w:rPr>
          <w:rFonts w:eastAsia="Malgun Gothic"/>
          <w:lang w:val="en-GB" w:eastAsia="ko-KR"/>
        </w:rPr>
      </w:pPr>
      <w:proofErr w:type="spellStart"/>
      <w:r w:rsidRPr="00DC7563">
        <w:rPr>
          <w:rFonts w:eastAsia="Malgun Gothic"/>
          <w:lang w:val="en-GB" w:eastAsia="ko-KR"/>
        </w:rPr>
        <w:t>Masamichi</w:t>
      </w:r>
      <w:proofErr w:type="spellEnd"/>
      <w:r w:rsidRPr="00DC7563">
        <w:rPr>
          <w:rFonts w:eastAsia="Malgun Gothic"/>
          <w:lang w:val="en-GB" w:eastAsia="ko-KR"/>
        </w:rPr>
        <w:t xml:space="preserve"> </w:t>
      </w:r>
      <w:proofErr w:type="spellStart"/>
      <w:r w:rsidRPr="00DC7563">
        <w:rPr>
          <w:rFonts w:eastAsia="Malgun Gothic"/>
          <w:lang w:val="en-GB" w:eastAsia="ko-KR"/>
        </w:rPr>
        <w:t>Kogai</w:t>
      </w:r>
      <w:proofErr w:type="spellEnd"/>
      <w:r w:rsidRPr="00DC7563">
        <w:rPr>
          <w:rFonts w:eastAsia="Malgun Gothic"/>
          <w:lang w:val="en-GB" w:eastAsia="ko-KR"/>
        </w:rPr>
        <w:t xml:space="preserve">, </w:t>
      </w:r>
      <w:r w:rsidR="00C67C1B" w:rsidRPr="00DC7563">
        <w:rPr>
          <w:rFonts w:eastAsia="Malgun Gothic"/>
          <w:lang w:val="en-GB" w:eastAsia="ko-KR"/>
        </w:rPr>
        <w:t>chief executive officer (CEO),</w:t>
      </w:r>
      <w:r w:rsidRPr="00DC7563">
        <w:rPr>
          <w:rFonts w:eastAsia="Malgun Gothic"/>
          <w:lang w:val="en-GB" w:eastAsia="ko-KR"/>
        </w:rPr>
        <w:t xml:space="preserve"> Mazda Motor</w:t>
      </w:r>
      <w:r w:rsidR="00C67C1B" w:rsidRPr="00DC7563">
        <w:rPr>
          <w:rFonts w:eastAsia="Malgun Gothic"/>
          <w:lang w:val="en-GB" w:eastAsia="ko-KR"/>
        </w:rPr>
        <w:t xml:space="preserve"> Corporation</w:t>
      </w:r>
      <w:r w:rsidRPr="00DC7563">
        <w:rPr>
          <w:rStyle w:val="EndnoteReference"/>
          <w:rFonts w:eastAsia="Malgun Gothic"/>
          <w:color w:val="222222"/>
          <w:lang w:val="en-GB" w:eastAsia="ko-KR"/>
        </w:rPr>
        <w:endnoteReference w:id="2"/>
      </w:r>
    </w:p>
    <w:p w14:paraId="10439D4B" w14:textId="77777777" w:rsidR="00991E9B" w:rsidRPr="00DC7563" w:rsidRDefault="00991E9B" w:rsidP="00991E9B">
      <w:pPr>
        <w:pStyle w:val="BodyTextMain"/>
        <w:rPr>
          <w:rFonts w:eastAsia="Malgun Gothic"/>
          <w:sz w:val="20"/>
          <w:lang w:val="en-GB" w:eastAsia="zh-CN"/>
        </w:rPr>
      </w:pPr>
    </w:p>
    <w:p w14:paraId="68B5CDA6" w14:textId="22558575" w:rsidR="00A64BAB" w:rsidRPr="00DC7563" w:rsidRDefault="00991E9B" w:rsidP="00991E9B">
      <w:pPr>
        <w:pStyle w:val="BodyTextMain"/>
        <w:rPr>
          <w:rFonts w:eastAsia="Malgun Gothic"/>
          <w:lang w:val="en-GB" w:eastAsia="ko-KR"/>
        </w:rPr>
      </w:pPr>
      <w:r w:rsidRPr="00DC7563">
        <w:rPr>
          <w:rFonts w:eastAsia="Malgun Gothic"/>
          <w:lang w:val="en-GB" w:eastAsia="ko-KR"/>
        </w:rPr>
        <w:t xml:space="preserve">Backed by its “Driving Matters” and “Zoom-Zoom” taglines, Mazda Motor Corporation (Mazda) emphasized the company’s core belief </w:t>
      </w:r>
      <w:r w:rsidR="00C67C1B" w:rsidRPr="00DC7563">
        <w:rPr>
          <w:rFonts w:eastAsia="Malgun Gothic"/>
          <w:lang w:val="en-GB" w:eastAsia="ko-KR"/>
        </w:rPr>
        <w:t>in</w:t>
      </w:r>
      <w:r w:rsidRPr="00DC7563">
        <w:rPr>
          <w:rFonts w:eastAsia="Malgun Gothic"/>
          <w:lang w:val="en-GB" w:eastAsia="ko-KR"/>
        </w:rPr>
        <w:t xml:space="preserve"> the joy </w:t>
      </w:r>
      <w:r w:rsidR="00C67C1B" w:rsidRPr="00DC7563">
        <w:rPr>
          <w:rFonts w:eastAsia="Malgun Gothic"/>
          <w:lang w:val="en-GB" w:eastAsia="ko-KR"/>
        </w:rPr>
        <w:t>of</w:t>
      </w:r>
      <w:r w:rsidRPr="00DC7563">
        <w:rPr>
          <w:rFonts w:eastAsia="Malgun Gothic"/>
          <w:lang w:val="en-GB" w:eastAsia="ko-KR"/>
        </w:rPr>
        <w:t xml:space="preserve"> driving as it continued to compete with larger automobile companies in the consolidated global automotive industry.</w:t>
      </w:r>
      <w:r w:rsidRPr="00DC7563">
        <w:rPr>
          <w:rStyle w:val="EndnoteReference"/>
          <w:rFonts w:eastAsia="Malgun Gothic"/>
          <w:color w:val="222222"/>
          <w:lang w:val="en-GB" w:eastAsia="ko-KR"/>
        </w:rPr>
        <w:endnoteReference w:id="3"/>
      </w:r>
      <w:r w:rsidRPr="00DC7563">
        <w:rPr>
          <w:rFonts w:eastAsia="Malgun Gothic"/>
          <w:lang w:val="en-GB" w:eastAsia="ko-KR"/>
        </w:rPr>
        <w:t xml:space="preserve"> </w:t>
      </w:r>
      <w:r w:rsidR="00C67C1B" w:rsidRPr="00DC7563">
        <w:rPr>
          <w:rFonts w:eastAsia="Malgun Gothic"/>
          <w:lang w:val="en-GB" w:eastAsia="ko-KR"/>
        </w:rPr>
        <w:t>Although t</w:t>
      </w:r>
      <w:r w:rsidRPr="00DC7563">
        <w:rPr>
          <w:rFonts w:eastAsia="Malgun Gothic"/>
          <w:lang w:val="en-GB" w:eastAsia="ko-KR"/>
        </w:rPr>
        <w:t xml:space="preserve">he company lagged behind larger </w:t>
      </w:r>
      <w:r w:rsidR="00C041C5" w:rsidRPr="00DC7563">
        <w:rPr>
          <w:rFonts w:eastAsia="Malgun Gothic"/>
          <w:lang w:val="en-GB" w:eastAsia="ko-KR"/>
        </w:rPr>
        <w:t xml:space="preserve">firms </w:t>
      </w:r>
      <w:r w:rsidRPr="00DC7563">
        <w:rPr>
          <w:rFonts w:eastAsia="Malgun Gothic"/>
          <w:lang w:val="en-GB" w:eastAsia="ko-KR"/>
        </w:rPr>
        <w:t>that actively implemented consolidation strategies to lower unit production costs</w:t>
      </w:r>
      <w:r w:rsidRPr="00DC7563">
        <w:rPr>
          <w:rFonts w:eastAsia="Malgun Gothic"/>
          <w:lang w:val="en-GB" w:eastAsia="zh-CN"/>
        </w:rPr>
        <w:t>, strengthen innovation and customer responsiveness,</w:t>
      </w:r>
      <w:r w:rsidRPr="00DC7563">
        <w:rPr>
          <w:rFonts w:eastAsia="Malgun Gothic"/>
          <w:lang w:val="en-GB" w:eastAsia="ko-KR"/>
        </w:rPr>
        <w:t xml:space="preserve"> </w:t>
      </w:r>
      <w:r w:rsidR="00C67C1B" w:rsidRPr="00DC7563">
        <w:rPr>
          <w:rFonts w:eastAsia="Malgun Gothic"/>
          <w:lang w:val="en-GB" w:eastAsia="ko-KR"/>
        </w:rPr>
        <w:t>and</w:t>
      </w:r>
      <w:r w:rsidRPr="00DC7563">
        <w:rPr>
          <w:rFonts w:eastAsia="Malgun Gothic"/>
          <w:lang w:val="en-GB" w:eastAsia="ko-KR"/>
        </w:rPr>
        <w:t xml:space="preserve"> increase foreign market shares</w:t>
      </w:r>
      <w:r w:rsidR="00C67C1B" w:rsidRPr="00DC7563">
        <w:rPr>
          <w:rFonts w:eastAsia="Malgun Gothic"/>
          <w:lang w:val="en-GB" w:eastAsia="ko-KR"/>
        </w:rPr>
        <w:t>,</w:t>
      </w:r>
      <w:r w:rsidRPr="00DC7563">
        <w:rPr>
          <w:rFonts w:eastAsia="Malgun Gothic"/>
          <w:lang w:val="en-GB" w:eastAsia="ko-KR"/>
        </w:rPr>
        <w:t xml:space="preserve"> Mazda still </w:t>
      </w:r>
      <w:r w:rsidR="00C67C1B" w:rsidRPr="00DC7563">
        <w:rPr>
          <w:rFonts w:eastAsia="Malgun Gothic"/>
          <w:lang w:val="en-GB" w:eastAsia="ko-KR"/>
        </w:rPr>
        <w:t>aimed</w:t>
      </w:r>
      <w:r w:rsidRPr="00DC7563">
        <w:rPr>
          <w:rFonts w:eastAsia="Malgun Gothic"/>
          <w:lang w:val="en-GB" w:eastAsia="ko-KR"/>
        </w:rPr>
        <w:t xml:space="preserve"> </w:t>
      </w:r>
      <w:r w:rsidR="00C67C1B" w:rsidRPr="00DC7563">
        <w:rPr>
          <w:rFonts w:eastAsia="Malgun Gothic"/>
          <w:lang w:val="en-GB" w:eastAsia="ko-KR"/>
        </w:rPr>
        <w:t>“</w:t>
      </w:r>
      <w:r w:rsidRPr="00DC7563">
        <w:rPr>
          <w:rFonts w:eastAsia="Malgun Gothic"/>
          <w:lang w:val="en-GB" w:eastAsia="ko-KR"/>
        </w:rPr>
        <w:t xml:space="preserve">to remain the brand that </w:t>
      </w:r>
      <w:r w:rsidR="00C67C1B" w:rsidRPr="00DC7563">
        <w:rPr>
          <w:rFonts w:eastAsia="Malgun Gothic"/>
          <w:lang w:val="en-GB" w:eastAsia="ko-KR"/>
        </w:rPr>
        <w:t>[wa</w:t>
      </w:r>
      <w:r w:rsidRPr="00DC7563">
        <w:rPr>
          <w:rFonts w:eastAsia="Malgun Gothic"/>
          <w:lang w:val="en-GB" w:eastAsia="ko-KR"/>
        </w:rPr>
        <w:t>s</w:t>
      </w:r>
      <w:r w:rsidR="00C67C1B" w:rsidRPr="00DC7563">
        <w:rPr>
          <w:rFonts w:eastAsia="Malgun Gothic"/>
          <w:lang w:val="en-GB" w:eastAsia="ko-KR"/>
        </w:rPr>
        <w:t>]</w:t>
      </w:r>
      <w:r w:rsidRPr="00DC7563">
        <w:rPr>
          <w:rFonts w:eastAsia="Malgun Gothic"/>
          <w:lang w:val="en-GB" w:eastAsia="ko-KR"/>
        </w:rPr>
        <w:t xml:space="preserve"> continually chosen by customers.</w:t>
      </w:r>
      <w:r w:rsidR="00C67C1B" w:rsidRPr="00DC7563">
        <w:rPr>
          <w:rFonts w:eastAsia="Malgun Gothic"/>
          <w:lang w:val="en-GB" w:eastAsia="ko-KR"/>
        </w:rPr>
        <w:t>”</w:t>
      </w:r>
      <w:r w:rsidRPr="00DC7563">
        <w:rPr>
          <w:rStyle w:val="EndnoteReference"/>
          <w:rFonts w:eastAsia="Malgun Gothic"/>
          <w:color w:val="222222"/>
          <w:lang w:val="en-GB" w:eastAsia="ko-KR"/>
        </w:rPr>
        <w:endnoteReference w:id="4"/>
      </w:r>
      <w:r w:rsidRPr="00DC7563">
        <w:rPr>
          <w:rFonts w:eastAsia="Malgun Gothic"/>
          <w:lang w:val="en-GB" w:eastAsia="ko-KR"/>
        </w:rPr>
        <w:t xml:space="preserve"> Since 1979, it had partnered with Ford Motor Company (Ford), helping Ford in small-car engineering and lean manufacturing</w:t>
      </w:r>
      <w:r w:rsidR="005A12FD">
        <w:rPr>
          <w:rFonts w:eastAsia="Malgun Gothic"/>
          <w:lang w:val="en-GB" w:eastAsia="ko-KR"/>
        </w:rPr>
        <w:t>,</w:t>
      </w:r>
      <w:r w:rsidRPr="00DC7563">
        <w:rPr>
          <w:rFonts w:eastAsia="Malgun Gothic"/>
          <w:lang w:val="en-GB" w:eastAsia="ko-KR"/>
        </w:rPr>
        <w:t xml:space="preserve"> in exchange for finance </w:t>
      </w:r>
      <w:proofErr w:type="gramStart"/>
      <w:r w:rsidRPr="00DC7563">
        <w:rPr>
          <w:rFonts w:eastAsia="Malgun Gothic"/>
          <w:lang w:val="en-GB" w:eastAsia="ko-KR"/>
        </w:rPr>
        <w:t>and</w:t>
      </w:r>
      <w:proofErr w:type="gramEnd"/>
      <w:r w:rsidRPr="00DC7563">
        <w:rPr>
          <w:rFonts w:eastAsia="Malgun Gothic"/>
          <w:lang w:val="en-GB" w:eastAsia="ko-KR"/>
        </w:rPr>
        <w:t xml:space="preserve"> marketing know-how. However, in 2010, this 30-year alliance was terminated </w:t>
      </w:r>
      <w:r w:rsidR="00CB5067" w:rsidRPr="00DC7563">
        <w:rPr>
          <w:rFonts w:eastAsia="Malgun Gothic"/>
          <w:lang w:val="en-GB" w:eastAsia="ko-KR"/>
        </w:rPr>
        <w:t xml:space="preserve">due to </w:t>
      </w:r>
      <w:r w:rsidRPr="00DC7563">
        <w:rPr>
          <w:rFonts w:eastAsia="Malgun Gothic"/>
          <w:lang w:val="en-GB" w:eastAsia="ko-KR"/>
        </w:rPr>
        <w:t xml:space="preserve">the influence of the global financial crisis. </w:t>
      </w:r>
    </w:p>
    <w:p w14:paraId="76EC5C68" w14:textId="77777777" w:rsidR="00A64BAB" w:rsidRPr="00DC7563" w:rsidRDefault="00A64BAB" w:rsidP="00991E9B">
      <w:pPr>
        <w:pStyle w:val="BodyTextMain"/>
        <w:rPr>
          <w:rFonts w:eastAsia="Malgun Gothic"/>
          <w:lang w:val="en-GB" w:eastAsia="ko-KR"/>
        </w:rPr>
      </w:pPr>
    </w:p>
    <w:p w14:paraId="0CF60A49" w14:textId="1C41BB4A" w:rsidR="00991E9B" w:rsidRPr="00DC7563" w:rsidRDefault="00A64BAB" w:rsidP="00991E9B">
      <w:pPr>
        <w:pStyle w:val="BodyTextMain"/>
        <w:rPr>
          <w:rFonts w:eastAsia="Malgun Gothic"/>
          <w:spacing w:val="-4"/>
          <w:lang w:val="en-GB" w:eastAsia="zh-CN"/>
        </w:rPr>
      </w:pPr>
      <w:r w:rsidRPr="00DC7563">
        <w:rPr>
          <w:rFonts w:eastAsia="Malgun Gothic"/>
          <w:spacing w:val="-4"/>
          <w:lang w:val="en-GB" w:eastAsia="ko-KR"/>
        </w:rPr>
        <w:t>In 2015, a</w:t>
      </w:r>
      <w:r w:rsidR="00991E9B" w:rsidRPr="00DC7563">
        <w:rPr>
          <w:rFonts w:eastAsia="Malgun Gothic"/>
          <w:spacing w:val="-4"/>
          <w:lang w:val="en-GB" w:eastAsia="ko-KR"/>
        </w:rPr>
        <w:t>fter years of struggling independently, Mazda entered into a long-term partnership with Toyota Motor Corporation (Toyota) to share technologies and cope with cost pressures. In its 2016 Structural Reform Plan, Mazda aimed to achieve a global sales volume</w:t>
      </w:r>
      <w:r w:rsidRPr="00DC7563">
        <w:rPr>
          <w:rFonts w:eastAsia="Malgun Gothic"/>
          <w:spacing w:val="-4"/>
          <w:lang w:val="en-GB" w:eastAsia="ko-KR"/>
        </w:rPr>
        <w:t xml:space="preserve"> of 1.65 million units</w:t>
      </w:r>
      <w:r w:rsidR="00991E9B" w:rsidRPr="00DC7563">
        <w:rPr>
          <w:rFonts w:eastAsia="Malgun Gothic"/>
          <w:spacing w:val="-4"/>
          <w:lang w:val="en-GB" w:eastAsia="ko-KR"/>
        </w:rPr>
        <w:t xml:space="preserve">, an operating income ratio of at least 7 per cent, an equity ratio of at least 45 per cent, and a dividend </w:t>
      </w:r>
      <w:proofErr w:type="spellStart"/>
      <w:r w:rsidR="00991E9B" w:rsidRPr="00DC7563">
        <w:rPr>
          <w:rFonts w:eastAsia="Malgun Gothic"/>
          <w:spacing w:val="-4"/>
          <w:lang w:val="en-GB" w:eastAsia="ko-KR"/>
        </w:rPr>
        <w:t>payout</w:t>
      </w:r>
      <w:proofErr w:type="spellEnd"/>
      <w:r w:rsidR="00991E9B" w:rsidRPr="00DC7563">
        <w:rPr>
          <w:rFonts w:eastAsia="Malgun Gothic"/>
          <w:spacing w:val="-4"/>
          <w:lang w:val="en-GB" w:eastAsia="ko-KR"/>
        </w:rPr>
        <w:t xml:space="preserve"> ratio of at least 20 per cent </w:t>
      </w:r>
      <w:r w:rsidRPr="00DC7563">
        <w:rPr>
          <w:rFonts w:eastAsia="Malgun Gothic"/>
          <w:spacing w:val="-4"/>
          <w:lang w:val="en-GB" w:eastAsia="ko-KR"/>
        </w:rPr>
        <w:t xml:space="preserve">by </w:t>
      </w:r>
      <w:r w:rsidR="00991E9B" w:rsidRPr="00DC7563">
        <w:rPr>
          <w:rFonts w:eastAsia="Malgun Gothic"/>
          <w:spacing w:val="-4"/>
          <w:lang w:val="en-GB" w:eastAsia="ko-KR"/>
        </w:rPr>
        <w:t>2019.</w:t>
      </w:r>
      <w:r w:rsidR="00991E9B" w:rsidRPr="00DC7563">
        <w:rPr>
          <w:rStyle w:val="EndnoteReference"/>
          <w:rFonts w:eastAsia="Malgun Gothic"/>
          <w:color w:val="222222"/>
          <w:spacing w:val="-4"/>
          <w:lang w:val="en-GB" w:eastAsia="ko-KR"/>
        </w:rPr>
        <w:endnoteReference w:id="5"/>
      </w:r>
      <w:r w:rsidR="00991E9B" w:rsidRPr="00DC7563">
        <w:rPr>
          <w:rFonts w:eastAsia="Malgun Gothic"/>
          <w:spacing w:val="-4"/>
          <w:lang w:val="en-GB" w:eastAsia="ko-KR"/>
        </w:rPr>
        <w:t xml:space="preserve"> Given the highly competitive domestic and global automotive markets, to what extent could the partnership with Toyota and the Structural Reform Plan allow Mazda to achieve these goals? Would Mazda need to make any changes to its competitive strategies to</w:t>
      </w:r>
      <w:r w:rsidR="009565FE" w:rsidRPr="00DC7563">
        <w:rPr>
          <w:rFonts w:eastAsia="Malgun Gothic" w:hint="eastAsia"/>
          <w:spacing w:val="-4"/>
          <w:lang w:val="en-GB" w:eastAsia="zh-CN"/>
        </w:rPr>
        <w:t xml:space="preserve"> sur</w:t>
      </w:r>
      <w:r w:rsidR="009565FE" w:rsidRPr="00DC7563">
        <w:rPr>
          <w:rFonts w:eastAsia="Malgun Gothic"/>
          <w:spacing w:val="-4"/>
          <w:lang w:val="en-GB" w:eastAsia="zh-CN"/>
        </w:rPr>
        <w:t>vive and to</w:t>
      </w:r>
      <w:r w:rsidR="00991E9B" w:rsidRPr="00DC7563">
        <w:rPr>
          <w:rFonts w:eastAsia="Malgun Gothic"/>
          <w:spacing w:val="-4"/>
          <w:lang w:val="en-GB" w:eastAsia="ko-KR"/>
        </w:rPr>
        <w:t xml:space="preserve"> keep </w:t>
      </w:r>
      <w:r w:rsidRPr="00DC7563">
        <w:rPr>
          <w:rFonts w:eastAsia="Malgun Gothic"/>
          <w:spacing w:val="-4"/>
          <w:lang w:val="en-GB" w:eastAsia="ko-KR"/>
        </w:rPr>
        <w:t xml:space="preserve">the company </w:t>
      </w:r>
      <w:r w:rsidR="009565FE" w:rsidRPr="00DC7563">
        <w:rPr>
          <w:rFonts w:eastAsia="Malgun Gothic"/>
          <w:spacing w:val="-4"/>
          <w:lang w:val="en-GB" w:eastAsia="ko-KR"/>
        </w:rPr>
        <w:t xml:space="preserve">sustainably </w:t>
      </w:r>
      <w:r w:rsidR="009723A2" w:rsidRPr="00DC7563">
        <w:rPr>
          <w:rFonts w:eastAsia="Malgun Gothic"/>
          <w:spacing w:val="-4"/>
          <w:lang w:val="en-GB" w:eastAsia="ko-KR"/>
        </w:rPr>
        <w:t xml:space="preserve">moving </w:t>
      </w:r>
      <w:r w:rsidRPr="00DC7563">
        <w:rPr>
          <w:rFonts w:eastAsia="Malgun Gothic"/>
          <w:spacing w:val="-4"/>
          <w:lang w:val="en-GB" w:eastAsia="ko-KR"/>
        </w:rPr>
        <w:t>forward?</w:t>
      </w:r>
      <w:r w:rsidR="00991E9B" w:rsidRPr="00DC7563">
        <w:rPr>
          <w:rFonts w:eastAsia="Malgun Gothic"/>
          <w:spacing w:val="-4"/>
          <w:lang w:val="en-GB" w:eastAsia="ko-KR"/>
        </w:rPr>
        <w:t xml:space="preserve"> </w:t>
      </w:r>
    </w:p>
    <w:p w14:paraId="55F5434C" w14:textId="77777777" w:rsidR="00991E9B" w:rsidRPr="00DC7563" w:rsidRDefault="00991E9B" w:rsidP="00991E9B">
      <w:pPr>
        <w:pStyle w:val="BodyTextMain"/>
        <w:rPr>
          <w:rFonts w:eastAsia="Malgun Gothic"/>
          <w:sz w:val="20"/>
          <w:lang w:val="en-GB" w:eastAsia="zh-CN"/>
        </w:rPr>
      </w:pPr>
    </w:p>
    <w:p w14:paraId="3D239DF7" w14:textId="77777777" w:rsidR="00991E9B" w:rsidRPr="00DC7563" w:rsidRDefault="00991E9B" w:rsidP="00991E9B">
      <w:pPr>
        <w:pStyle w:val="BodyTextMain"/>
        <w:rPr>
          <w:rFonts w:eastAsia="ヒラギノ明朝 Pro W3"/>
          <w:sz w:val="20"/>
          <w:lang w:val="en-GB" w:eastAsia="ja-JP"/>
        </w:rPr>
      </w:pPr>
    </w:p>
    <w:p w14:paraId="1A6FE107" w14:textId="77777777" w:rsidR="00991E9B" w:rsidRPr="00DC7563" w:rsidRDefault="00991E9B" w:rsidP="00C73E67">
      <w:pPr>
        <w:pStyle w:val="Casehead1"/>
        <w:outlineLvl w:val="0"/>
        <w:rPr>
          <w:rFonts w:eastAsia="ヒラギノ明朝 Pro W3"/>
          <w:lang w:val="en-GB"/>
        </w:rPr>
      </w:pPr>
      <w:r w:rsidRPr="00DC7563">
        <w:rPr>
          <w:rFonts w:eastAsia="ヒラギノ明朝 Pro W3"/>
          <w:lang w:val="en-GB"/>
        </w:rPr>
        <w:t>FROM CORKS TO CARS: MAZDA’S BEGINNINGS</w:t>
      </w:r>
    </w:p>
    <w:p w14:paraId="51188A48" w14:textId="77777777" w:rsidR="00991E9B" w:rsidRPr="00DC7563" w:rsidRDefault="00991E9B" w:rsidP="00991E9B">
      <w:pPr>
        <w:pStyle w:val="BodyTextMain"/>
        <w:rPr>
          <w:rFonts w:eastAsia="ヒラギノ明朝 Pro W3"/>
          <w:sz w:val="20"/>
          <w:lang w:val="en-GB"/>
        </w:rPr>
      </w:pPr>
    </w:p>
    <w:p w14:paraId="357DC399" w14:textId="0BA7CB5F" w:rsidR="00991E9B" w:rsidRPr="00DC7563" w:rsidRDefault="00991E9B" w:rsidP="00991E9B">
      <w:pPr>
        <w:pStyle w:val="BodyTextMain"/>
        <w:rPr>
          <w:rFonts w:eastAsia="Malgun Gothic"/>
          <w:spacing w:val="-2"/>
          <w:lang w:val="en-GB" w:eastAsia="ko-KR"/>
        </w:rPr>
      </w:pPr>
      <w:r w:rsidRPr="00DC7563">
        <w:rPr>
          <w:spacing w:val="-2"/>
          <w:lang w:val="en-GB"/>
        </w:rPr>
        <w:t xml:space="preserve">In 1921, </w:t>
      </w:r>
      <w:proofErr w:type="spellStart"/>
      <w:r w:rsidRPr="00DC7563">
        <w:rPr>
          <w:spacing w:val="-2"/>
          <w:lang w:val="en-GB"/>
        </w:rPr>
        <w:t>Jujiro</w:t>
      </w:r>
      <w:proofErr w:type="spellEnd"/>
      <w:r w:rsidRPr="00DC7563">
        <w:rPr>
          <w:spacing w:val="-2"/>
          <w:lang w:val="en-GB"/>
        </w:rPr>
        <w:t xml:space="preserve"> Ma</w:t>
      </w:r>
      <w:r w:rsidR="00F9690E" w:rsidRPr="00DC7563">
        <w:rPr>
          <w:spacing w:val="-2"/>
          <w:lang w:val="en-GB"/>
        </w:rPr>
        <w:t>t</w:t>
      </w:r>
      <w:r w:rsidRPr="00DC7563">
        <w:rPr>
          <w:spacing w:val="-2"/>
          <w:lang w:val="en-GB"/>
        </w:rPr>
        <w:t>suda, a successful businessman</w:t>
      </w:r>
      <w:r w:rsidRPr="00DC7563">
        <w:rPr>
          <w:rFonts w:eastAsia="Malgun Gothic"/>
          <w:spacing w:val="-2"/>
          <w:lang w:val="en-GB" w:eastAsia="ko-KR"/>
        </w:rPr>
        <w:t>,</w:t>
      </w:r>
      <w:r w:rsidRPr="00DC7563">
        <w:rPr>
          <w:spacing w:val="-2"/>
          <w:lang w:val="en-GB"/>
        </w:rPr>
        <w:t xml:space="preserve"> took over Toyo Cork Kogyo Co., Ltd.</w:t>
      </w:r>
      <w:r w:rsidR="00F9690E" w:rsidRPr="00DC7563">
        <w:rPr>
          <w:spacing w:val="-2"/>
          <w:lang w:val="en-GB"/>
        </w:rPr>
        <w:t xml:space="preserve"> (Toyo Kogyo)</w:t>
      </w:r>
      <w:r w:rsidRPr="00DC7563">
        <w:rPr>
          <w:spacing w:val="-2"/>
          <w:lang w:val="en-GB"/>
        </w:rPr>
        <w:t xml:space="preserve">, </w:t>
      </w:r>
      <w:r w:rsidRPr="00DC7563">
        <w:rPr>
          <w:rFonts w:eastAsia="Malgun Gothic"/>
          <w:spacing w:val="-2"/>
          <w:lang w:val="en-GB" w:eastAsia="ko-KR"/>
        </w:rPr>
        <w:t>an artificial</w:t>
      </w:r>
      <w:r w:rsidR="00DA474D">
        <w:rPr>
          <w:rFonts w:eastAsia="Malgun Gothic"/>
          <w:spacing w:val="-2"/>
          <w:lang w:val="en-GB" w:eastAsia="ko-KR"/>
        </w:rPr>
        <w:t>-</w:t>
      </w:r>
      <w:r w:rsidRPr="00DC7563">
        <w:rPr>
          <w:rFonts w:eastAsia="Malgun Gothic"/>
          <w:spacing w:val="-2"/>
          <w:lang w:val="en-GB" w:eastAsia="ko-KR"/>
        </w:rPr>
        <w:t xml:space="preserve">cork manufacturing company </w:t>
      </w:r>
      <w:r w:rsidRPr="00DC7563">
        <w:rPr>
          <w:spacing w:val="-2"/>
          <w:lang w:val="en-GB"/>
        </w:rPr>
        <w:t>headquartered</w:t>
      </w:r>
      <w:r w:rsidRPr="00DC7563">
        <w:rPr>
          <w:rFonts w:eastAsia="Malgun Gothic"/>
          <w:spacing w:val="-2"/>
          <w:lang w:val="en-GB" w:eastAsia="ko-KR"/>
        </w:rPr>
        <w:t xml:space="preserve"> in Hiroshima, Japan.</w:t>
      </w:r>
      <w:r w:rsidRPr="00DC7563">
        <w:rPr>
          <w:rStyle w:val="EndnoteReference"/>
          <w:rFonts w:eastAsia="Malgun Gothic"/>
          <w:spacing w:val="-2"/>
          <w:lang w:val="en-GB" w:eastAsia="ko-KR"/>
        </w:rPr>
        <w:endnoteReference w:id="6"/>
      </w:r>
      <w:r w:rsidRPr="00DC7563">
        <w:rPr>
          <w:rFonts w:eastAsia="Malgun Gothic"/>
          <w:spacing w:val="-2"/>
          <w:lang w:val="en-GB" w:eastAsia="ko-KR"/>
        </w:rPr>
        <w:t xml:space="preserve"> A</w:t>
      </w:r>
      <w:r w:rsidRPr="00DC7563">
        <w:rPr>
          <w:spacing w:val="-2"/>
          <w:lang w:val="en-GB"/>
        </w:rPr>
        <w:t xml:space="preserve">s demand </w:t>
      </w:r>
      <w:r w:rsidRPr="00DC7563">
        <w:rPr>
          <w:rFonts w:eastAsia="Malgun Gothic"/>
          <w:spacing w:val="-2"/>
          <w:lang w:val="en-GB" w:eastAsia="ko-KR"/>
        </w:rPr>
        <w:t>for</w:t>
      </w:r>
      <w:r w:rsidRPr="00DC7563">
        <w:rPr>
          <w:spacing w:val="-2"/>
          <w:lang w:val="en-GB"/>
        </w:rPr>
        <w:t xml:space="preserve"> cork slowed, </w:t>
      </w:r>
      <w:r w:rsidRPr="00DC7563">
        <w:rPr>
          <w:rFonts w:eastAsia="Malgun Gothic"/>
          <w:spacing w:val="-2"/>
          <w:lang w:val="en-GB" w:eastAsia="ko-KR"/>
        </w:rPr>
        <w:lastRenderedPageBreak/>
        <w:t>Ma</w:t>
      </w:r>
      <w:r w:rsidR="00F9690E" w:rsidRPr="00DC7563">
        <w:rPr>
          <w:rFonts w:eastAsia="Malgun Gothic"/>
          <w:spacing w:val="-2"/>
          <w:lang w:val="en-GB" w:eastAsia="ko-KR"/>
        </w:rPr>
        <w:t>t</w:t>
      </w:r>
      <w:r w:rsidRPr="00DC7563">
        <w:rPr>
          <w:rFonts w:eastAsia="Malgun Gothic"/>
          <w:spacing w:val="-2"/>
          <w:lang w:val="en-GB" w:eastAsia="ko-KR"/>
        </w:rPr>
        <w:t>suda</w:t>
      </w:r>
      <w:r w:rsidRPr="00DC7563">
        <w:rPr>
          <w:spacing w:val="-2"/>
          <w:lang w:val="en-GB"/>
        </w:rPr>
        <w:t xml:space="preserve"> shifted the company toward vehicle manufacturing, releasing </w:t>
      </w:r>
      <w:r w:rsidRPr="00DC7563">
        <w:rPr>
          <w:rFonts w:eastAsia="Malgun Gothic"/>
          <w:spacing w:val="-2"/>
          <w:lang w:val="en-GB" w:eastAsia="ko-KR"/>
        </w:rPr>
        <w:t xml:space="preserve">the </w:t>
      </w:r>
      <w:r w:rsidRPr="00DC7563">
        <w:rPr>
          <w:spacing w:val="-2"/>
          <w:lang w:val="en-GB"/>
        </w:rPr>
        <w:t xml:space="preserve">auto rickshaw </w:t>
      </w:r>
      <w:proofErr w:type="spellStart"/>
      <w:r w:rsidRPr="00DC7563">
        <w:rPr>
          <w:spacing w:val="-2"/>
          <w:lang w:val="en-GB"/>
        </w:rPr>
        <w:t>Mazda</w:t>
      </w:r>
      <w:r w:rsidR="00C7112A" w:rsidRPr="00DC7563">
        <w:rPr>
          <w:spacing w:val="-2"/>
          <w:lang w:val="en-GB"/>
        </w:rPr>
        <w:t>go</w:t>
      </w:r>
      <w:proofErr w:type="spellEnd"/>
      <w:r w:rsidRPr="00DC7563">
        <w:rPr>
          <w:spacing w:val="-2"/>
          <w:lang w:val="en-GB"/>
        </w:rPr>
        <w:t xml:space="preserve"> </w:t>
      </w:r>
      <w:r w:rsidRPr="00DC7563">
        <w:rPr>
          <w:rFonts w:eastAsia="Malgun Gothic"/>
          <w:spacing w:val="-2"/>
          <w:lang w:val="en-GB" w:eastAsia="ko-KR"/>
        </w:rPr>
        <w:t>in</w:t>
      </w:r>
      <w:r w:rsidRPr="00DC7563">
        <w:rPr>
          <w:spacing w:val="-2"/>
          <w:lang w:val="en-GB"/>
        </w:rPr>
        <w:t xml:space="preserve"> 1931.</w:t>
      </w:r>
      <w:r w:rsidRPr="00DC7563">
        <w:rPr>
          <w:rStyle w:val="EndnoteReference"/>
          <w:spacing w:val="-2"/>
          <w:lang w:val="en-GB"/>
        </w:rPr>
        <w:endnoteReference w:id="7"/>
      </w:r>
      <w:r w:rsidRPr="00DC7563">
        <w:rPr>
          <w:rFonts w:eastAsia="Malgun Gothic"/>
          <w:spacing w:val="-2"/>
          <w:lang w:val="en-GB" w:eastAsia="ko-KR"/>
        </w:rPr>
        <w:t xml:space="preserve"> After early success, Toyo Kogyo faced its first setback from a lack of global automotive demand during World War II.</w:t>
      </w:r>
      <w:r w:rsidRPr="00DC7563">
        <w:rPr>
          <w:rStyle w:val="EndnoteReference"/>
          <w:rFonts w:eastAsia="Malgun Gothic"/>
          <w:spacing w:val="-2"/>
          <w:lang w:val="en-GB" w:eastAsia="ko-KR"/>
        </w:rPr>
        <w:endnoteReference w:id="8"/>
      </w:r>
      <w:r w:rsidRPr="00DC7563">
        <w:rPr>
          <w:rFonts w:eastAsia="Malgun Gothic"/>
          <w:spacing w:val="-2"/>
          <w:lang w:val="en-GB" w:eastAsia="ko-KR"/>
        </w:rPr>
        <w:t xml:space="preserve"> Yet, as </w:t>
      </w:r>
      <w:r w:rsidR="00F9690E" w:rsidRPr="00DC7563">
        <w:rPr>
          <w:rFonts w:eastAsia="Malgun Gothic"/>
          <w:spacing w:val="-2"/>
          <w:lang w:val="en-GB" w:eastAsia="ko-KR"/>
        </w:rPr>
        <w:t xml:space="preserve">Matsuda </w:t>
      </w:r>
      <w:r w:rsidRPr="00DC7563">
        <w:rPr>
          <w:rFonts w:eastAsia="Malgun Gothic"/>
          <w:spacing w:val="-2"/>
          <w:lang w:val="en-GB" w:eastAsia="ko-KR"/>
        </w:rPr>
        <w:t xml:space="preserve">retired and his son </w:t>
      </w:r>
      <w:proofErr w:type="spellStart"/>
      <w:r w:rsidRPr="00DC7563">
        <w:rPr>
          <w:rFonts w:eastAsia="Malgun Gothic"/>
          <w:spacing w:val="-2"/>
          <w:lang w:val="en-GB" w:eastAsia="ko-KR"/>
        </w:rPr>
        <w:t>Tsuneji</w:t>
      </w:r>
      <w:proofErr w:type="spellEnd"/>
      <w:r w:rsidRPr="00DC7563">
        <w:rPr>
          <w:rFonts w:eastAsia="Malgun Gothic"/>
          <w:spacing w:val="-2"/>
          <w:lang w:val="en-GB" w:eastAsia="ko-KR"/>
        </w:rPr>
        <w:t xml:space="preserve"> succeeded</w:t>
      </w:r>
      <w:r w:rsidR="00397BA1">
        <w:rPr>
          <w:rFonts w:eastAsia="Malgun Gothic"/>
          <w:spacing w:val="-2"/>
          <w:lang w:val="en-GB" w:eastAsia="ko-KR"/>
        </w:rPr>
        <w:t xml:space="preserve"> him</w:t>
      </w:r>
      <w:r w:rsidRPr="00DC7563">
        <w:rPr>
          <w:rFonts w:eastAsia="Malgun Gothic"/>
          <w:spacing w:val="-2"/>
          <w:lang w:val="en-GB" w:eastAsia="ko-KR"/>
        </w:rPr>
        <w:t>, the company continued establishing itself as an automotive manufacturer.</w:t>
      </w:r>
      <w:r w:rsidRPr="00DC7563">
        <w:rPr>
          <w:rStyle w:val="EndnoteReference"/>
          <w:rFonts w:eastAsia="Malgun Gothic"/>
          <w:spacing w:val="-2"/>
          <w:lang w:val="en-GB" w:eastAsia="ko-KR"/>
        </w:rPr>
        <w:endnoteReference w:id="9"/>
      </w:r>
      <w:r w:rsidR="00C30DB8" w:rsidRPr="00DC7563">
        <w:rPr>
          <w:spacing w:val="-2"/>
          <w:lang w:val="en-GB"/>
        </w:rPr>
        <w:t xml:space="preserve"> </w:t>
      </w:r>
      <w:r w:rsidR="00F07ACF" w:rsidRPr="00DC7563">
        <w:rPr>
          <w:spacing w:val="-2"/>
          <w:lang w:val="en-GB"/>
        </w:rPr>
        <w:t>Although the company had used the name “Mazda” for its automobile from the beginning, it was formally renamed Mazda Motor Corporation</w:t>
      </w:r>
      <w:r w:rsidR="00C30DB8" w:rsidRPr="00DC7563">
        <w:rPr>
          <w:rFonts w:eastAsia="Malgun Gothic"/>
          <w:spacing w:val="-2"/>
          <w:lang w:val="en-GB" w:eastAsia="ko-KR"/>
        </w:rPr>
        <w:t xml:space="preserve"> in 1984</w:t>
      </w:r>
      <w:r w:rsidR="00F07ACF" w:rsidRPr="00DC7563">
        <w:rPr>
          <w:rFonts w:eastAsia="Malgun Gothic"/>
          <w:spacing w:val="-2"/>
          <w:lang w:val="en-GB" w:eastAsia="ko-KR"/>
        </w:rPr>
        <w:t>.</w:t>
      </w:r>
      <w:r w:rsidR="004C3391" w:rsidRPr="00DC7563">
        <w:rPr>
          <w:rStyle w:val="EndnoteReference"/>
          <w:rFonts w:eastAsia="Malgun Gothic"/>
          <w:spacing w:val="-2"/>
          <w:lang w:val="en-GB" w:eastAsia="ko-KR"/>
        </w:rPr>
        <w:endnoteReference w:id="10"/>
      </w:r>
    </w:p>
    <w:p w14:paraId="5E73A89C" w14:textId="77777777" w:rsidR="00F9690E" w:rsidRPr="00DC7563" w:rsidRDefault="00F9690E" w:rsidP="00991E9B">
      <w:pPr>
        <w:pStyle w:val="BodyTextMain"/>
        <w:rPr>
          <w:lang w:val="en-GB"/>
        </w:rPr>
      </w:pPr>
    </w:p>
    <w:p w14:paraId="34C59D73" w14:textId="3F319F8D" w:rsidR="00991E9B" w:rsidRPr="00DC7563" w:rsidRDefault="00991E9B" w:rsidP="00991E9B">
      <w:pPr>
        <w:pStyle w:val="BodyTextMain"/>
        <w:rPr>
          <w:rFonts w:eastAsia="Malgun Gothic"/>
          <w:lang w:val="en-GB" w:eastAsia="ko-KR"/>
        </w:rPr>
      </w:pPr>
      <w:r w:rsidRPr="00DC7563">
        <w:rPr>
          <w:lang w:val="en-GB"/>
        </w:rPr>
        <w:t xml:space="preserve">With automotive demand surging following the war’s conclusion, in 1960, </w:t>
      </w:r>
      <w:r w:rsidR="00F07ACF" w:rsidRPr="00DC7563">
        <w:rPr>
          <w:rFonts w:eastAsia="Malgun Gothic"/>
          <w:lang w:val="en-GB" w:eastAsia="ko-KR"/>
        </w:rPr>
        <w:t xml:space="preserve">the </w:t>
      </w:r>
      <w:r w:rsidRPr="00DC7563">
        <w:rPr>
          <w:rFonts w:eastAsia="Malgun Gothic"/>
          <w:lang w:val="en-GB" w:eastAsia="ko-KR"/>
        </w:rPr>
        <w:t>company</w:t>
      </w:r>
      <w:r w:rsidRPr="00DC7563">
        <w:rPr>
          <w:lang w:val="en-GB"/>
        </w:rPr>
        <w:t xml:space="preserve"> began selling</w:t>
      </w:r>
      <w:r w:rsidRPr="00DC7563">
        <w:rPr>
          <w:rFonts w:eastAsia="Malgun Gothic"/>
          <w:lang w:val="en-GB" w:eastAsia="ko-KR"/>
        </w:rPr>
        <w:t xml:space="preserve"> the</w:t>
      </w:r>
      <w:r w:rsidRPr="00DC7563">
        <w:rPr>
          <w:lang w:val="en-GB"/>
        </w:rPr>
        <w:t xml:space="preserve"> Mazda R360 </w:t>
      </w:r>
      <w:r w:rsidRPr="00DC7563">
        <w:rPr>
          <w:rFonts w:eastAsia="Malgun Gothic"/>
          <w:lang w:val="en-GB" w:eastAsia="ko-KR"/>
        </w:rPr>
        <w:t>C</w:t>
      </w:r>
      <w:r w:rsidRPr="00DC7563">
        <w:rPr>
          <w:lang w:val="en-GB"/>
        </w:rPr>
        <w:t>oupe</w:t>
      </w:r>
      <w:r w:rsidRPr="00DC7563">
        <w:rPr>
          <w:rFonts w:eastAsia="Malgun Gothic"/>
          <w:lang w:val="en-GB" w:eastAsia="ko-KR"/>
        </w:rPr>
        <w:t>,</w:t>
      </w:r>
      <w:r w:rsidRPr="00DC7563">
        <w:rPr>
          <w:lang w:val="en-GB"/>
        </w:rPr>
        <w:t xml:space="preserve"> </w:t>
      </w:r>
      <w:r w:rsidRPr="00DC7563">
        <w:rPr>
          <w:rFonts w:eastAsia="Malgun Gothic"/>
          <w:lang w:val="en-GB" w:eastAsia="ko-KR"/>
        </w:rPr>
        <w:t>its</w:t>
      </w:r>
      <w:r w:rsidRPr="00DC7563">
        <w:rPr>
          <w:lang w:val="en-GB"/>
        </w:rPr>
        <w:t xml:space="preserve"> first two-door passenger car</w:t>
      </w:r>
      <w:r w:rsidRPr="00DC7563">
        <w:rPr>
          <w:rFonts w:eastAsia="Malgun Gothic"/>
          <w:lang w:val="en-GB" w:eastAsia="ko-KR"/>
        </w:rPr>
        <w:t xml:space="preserve">, </w:t>
      </w:r>
      <w:r w:rsidRPr="00DC7563">
        <w:rPr>
          <w:lang w:val="en-GB"/>
        </w:rPr>
        <w:t xml:space="preserve">followed by </w:t>
      </w:r>
      <w:r w:rsidRPr="00DC7563">
        <w:rPr>
          <w:rFonts w:eastAsia="Malgun Gothic"/>
          <w:lang w:val="en-GB" w:eastAsia="ko-KR"/>
        </w:rPr>
        <w:t xml:space="preserve">the Mazda Carol, a </w:t>
      </w:r>
      <w:r w:rsidRPr="00DC7563">
        <w:rPr>
          <w:lang w:val="en-GB"/>
        </w:rPr>
        <w:t>four-door passenger car in 1962.</w:t>
      </w:r>
      <w:r w:rsidRPr="00DC7563">
        <w:rPr>
          <w:rStyle w:val="EndnoteReference"/>
          <w:lang w:val="en-GB"/>
        </w:rPr>
        <w:endnoteReference w:id="11"/>
      </w:r>
      <w:r w:rsidRPr="00DC7563">
        <w:rPr>
          <w:lang w:val="en-GB"/>
        </w:rPr>
        <w:t xml:space="preserve"> Mazda also partnered with NSU </w:t>
      </w:r>
      <w:proofErr w:type="spellStart"/>
      <w:r w:rsidRPr="00DC7563">
        <w:rPr>
          <w:lang w:val="en-GB"/>
        </w:rPr>
        <w:t>Motorenwerke</w:t>
      </w:r>
      <w:proofErr w:type="spellEnd"/>
      <w:r w:rsidR="004867B1" w:rsidRPr="00DC7563">
        <w:rPr>
          <w:lang w:val="en-GB"/>
        </w:rPr>
        <w:t xml:space="preserve"> AG</w:t>
      </w:r>
      <w:r w:rsidRPr="00DC7563">
        <w:rPr>
          <w:rFonts w:eastAsia="Malgun Gothic"/>
          <w:lang w:val="en-GB" w:eastAsia="ko-KR"/>
        </w:rPr>
        <w:t>,</w:t>
      </w:r>
      <w:r w:rsidRPr="00DC7563">
        <w:rPr>
          <w:lang w:val="en-GB"/>
        </w:rPr>
        <w:t xml:space="preserve"> </w:t>
      </w:r>
      <w:r w:rsidRPr="00DC7563">
        <w:rPr>
          <w:rFonts w:eastAsia="Malgun Gothic"/>
          <w:lang w:val="en-GB" w:eastAsia="ko-KR"/>
        </w:rPr>
        <w:t xml:space="preserve">a German automotive company that shared its rotary engine knowledge </w:t>
      </w:r>
      <w:r w:rsidRPr="00DC7563">
        <w:rPr>
          <w:lang w:val="en-GB"/>
        </w:rPr>
        <w:t xml:space="preserve">for the purpose of commercializing </w:t>
      </w:r>
      <w:r w:rsidRPr="00DC7563">
        <w:rPr>
          <w:rFonts w:eastAsia="Malgun Gothic"/>
          <w:lang w:val="en-GB" w:eastAsia="ko-KR"/>
        </w:rPr>
        <w:t xml:space="preserve">the </w:t>
      </w:r>
      <w:r w:rsidRPr="00DC7563">
        <w:rPr>
          <w:lang w:val="en-GB"/>
        </w:rPr>
        <w:t>engine</w:t>
      </w:r>
      <w:r w:rsidRPr="00DC7563">
        <w:rPr>
          <w:rFonts w:eastAsia="Malgun Gothic"/>
          <w:lang w:val="en-GB" w:eastAsia="ko-KR"/>
        </w:rPr>
        <w:t>.</w:t>
      </w:r>
      <w:r w:rsidRPr="00DC7563">
        <w:rPr>
          <w:rStyle w:val="EndnoteReference"/>
          <w:rFonts w:eastAsia="Malgun Gothic"/>
          <w:lang w:val="en-GB" w:eastAsia="ko-KR"/>
        </w:rPr>
        <w:endnoteReference w:id="12"/>
      </w:r>
      <w:r w:rsidRPr="00DC7563">
        <w:rPr>
          <w:rFonts w:eastAsia="Malgun Gothic"/>
          <w:lang w:val="en-GB" w:eastAsia="ko-KR"/>
        </w:rPr>
        <w:t xml:space="preserve"> Despite</w:t>
      </w:r>
      <w:r w:rsidR="00F9690E" w:rsidRPr="00DC7563">
        <w:rPr>
          <w:rFonts w:eastAsia="Malgun Gothic"/>
          <w:lang w:val="en-GB" w:eastAsia="ko-KR"/>
        </w:rPr>
        <w:t xml:space="preserve"> some</w:t>
      </w:r>
      <w:r w:rsidRPr="00DC7563">
        <w:rPr>
          <w:rFonts w:eastAsia="Malgun Gothic"/>
          <w:lang w:val="en-GB" w:eastAsia="ko-KR"/>
        </w:rPr>
        <w:t xml:space="preserve"> initial struggles, Mazda released its </w:t>
      </w:r>
      <w:r w:rsidRPr="00DC7563">
        <w:rPr>
          <w:lang w:val="en-GB"/>
        </w:rPr>
        <w:t>Cosmo Sport, the first vehicle</w:t>
      </w:r>
      <w:r w:rsidR="00F9690E" w:rsidRPr="00DC7563">
        <w:rPr>
          <w:lang w:val="en-GB"/>
        </w:rPr>
        <w:t xml:space="preserve"> equipped</w:t>
      </w:r>
      <w:r w:rsidRPr="00DC7563">
        <w:rPr>
          <w:lang w:val="en-GB"/>
        </w:rPr>
        <w:t xml:space="preserve"> </w:t>
      </w:r>
      <w:r w:rsidR="00F9690E" w:rsidRPr="00DC7563">
        <w:rPr>
          <w:lang w:val="en-GB"/>
        </w:rPr>
        <w:t xml:space="preserve">with a commercial rotary engine, </w:t>
      </w:r>
      <w:r w:rsidRPr="00DC7563">
        <w:rPr>
          <w:lang w:val="en-GB"/>
        </w:rPr>
        <w:t>in 1966.</w:t>
      </w:r>
      <w:r w:rsidRPr="00DC7563">
        <w:rPr>
          <w:rStyle w:val="EndnoteReference"/>
          <w:lang w:val="en-GB"/>
        </w:rPr>
        <w:endnoteReference w:id="13"/>
      </w:r>
      <w:r w:rsidRPr="00DC7563">
        <w:rPr>
          <w:rFonts w:eastAsia="Malgun Gothic"/>
          <w:lang w:val="en-GB" w:eastAsia="ko-KR"/>
        </w:rPr>
        <w:t xml:space="preserve"> </w:t>
      </w:r>
      <w:r w:rsidRPr="00DC7563">
        <w:rPr>
          <w:lang w:val="en-GB"/>
        </w:rPr>
        <w:t xml:space="preserve">Mazda </w:t>
      </w:r>
      <w:r w:rsidRPr="00DC7563">
        <w:rPr>
          <w:rFonts w:eastAsia="Malgun Gothic"/>
          <w:lang w:val="en-GB" w:eastAsia="ko-KR"/>
        </w:rPr>
        <w:t>began</w:t>
      </w:r>
      <w:r w:rsidRPr="00DC7563">
        <w:rPr>
          <w:lang w:val="en-GB"/>
        </w:rPr>
        <w:t xml:space="preserve"> exporting vehicles to Europe and </w:t>
      </w:r>
      <w:r w:rsidRPr="00DC7563">
        <w:rPr>
          <w:rFonts w:eastAsia="Malgun Gothic"/>
          <w:lang w:val="en-GB" w:eastAsia="ko-KR"/>
        </w:rPr>
        <w:t xml:space="preserve">the </w:t>
      </w:r>
      <w:r w:rsidRPr="00DC7563">
        <w:rPr>
          <w:lang w:val="en-GB"/>
        </w:rPr>
        <w:t>U</w:t>
      </w:r>
      <w:r w:rsidRPr="00DC7563">
        <w:rPr>
          <w:rFonts w:eastAsia="Malgun Gothic"/>
          <w:lang w:val="en-GB" w:eastAsia="ko-KR"/>
        </w:rPr>
        <w:t xml:space="preserve">nited </w:t>
      </w:r>
      <w:r w:rsidRPr="00DC7563">
        <w:rPr>
          <w:lang w:val="en-GB"/>
        </w:rPr>
        <w:t>S</w:t>
      </w:r>
      <w:r w:rsidRPr="00DC7563">
        <w:rPr>
          <w:rFonts w:eastAsia="Malgun Gothic"/>
          <w:lang w:val="en-GB" w:eastAsia="ko-KR"/>
        </w:rPr>
        <w:t>tates</w:t>
      </w:r>
      <w:r w:rsidRPr="00DC7563">
        <w:rPr>
          <w:lang w:val="en-GB"/>
        </w:rPr>
        <w:t xml:space="preserve"> in 1967 and 1970</w:t>
      </w:r>
      <w:r w:rsidR="00F9690E" w:rsidRPr="00DC7563">
        <w:rPr>
          <w:lang w:val="en-GB"/>
        </w:rPr>
        <w:t>,</w:t>
      </w:r>
      <w:r w:rsidRPr="00DC7563">
        <w:rPr>
          <w:lang w:val="en-GB"/>
        </w:rPr>
        <w:t xml:space="preserve"> respectively, </w:t>
      </w:r>
      <w:r w:rsidR="00F9690E" w:rsidRPr="00DC7563">
        <w:rPr>
          <w:lang w:val="en-GB"/>
        </w:rPr>
        <w:t>becoming a competitor</w:t>
      </w:r>
      <w:r w:rsidRPr="00DC7563">
        <w:rPr>
          <w:lang w:val="en-GB"/>
        </w:rPr>
        <w:t xml:space="preserve"> against Japanese automotive rivals </w:t>
      </w:r>
      <w:r w:rsidR="00647392">
        <w:rPr>
          <w:lang w:val="en-GB"/>
        </w:rPr>
        <w:t>that had an</w:t>
      </w:r>
      <w:r w:rsidR="00647392" w:rsidRPr="00DC7563">
        <w:rPr>
          <w:lang w:val="en-GB"/>
        </w:rPr>
        <w:t xml:space="preserve"> </w:t>
      </w:r>
      <w:r w:rsidRPr="00DC7563">
        <w:rPr>
          <w:lang w:val="en-GB"/>
        </w:rPr>
        <w:t>established global presence.</w:t>
      </w:r>
      <w:r w:rsidRPr="00DC7563">
        <w:rPr>
          <w:rStyle w:val="EndnoteReference"/>
          <w:lang w:val="en-GB"/>
        </w:rPr>
        <w:endnoteReference w:id="14"/>
      </w:r>
    </w:p>
    <w:p w14:paraId="1C360897" w14:textId="77777777" w:rsidR="00991E9B" w:rsidRPr="00DC7563" w:rsidRDefault="00991E9B" w:rsidP="00991E9B">
      <w:pPr>
        <w:pStyle w:val="BodyTextMain"/>
        <w:rPr>
          <w:rFonts w:eastAsia="Malgun Gothic"/>
          <w:sz w:val="20"/>
          <w:lang w:val="en-GB" w:eastAsia="ko-KR"/>
        </w:rPr>
      </w:pPr>
    </w:p>
    <w:p w14:paraId="5FF44B17" w14:textId="745BA51B" w:rsidR="00991E9B" w:rsidRPr="00DC7563" w:rsidRDefault="00991E9B" w:rsidP="00991E9B">
      <w:pPr>
        <w:pStyle w:val="BodyTextMain"/>
        <w:rPr>
          <w:spacing w:val="-4"/>
          <w:lang w:val="en-GB"/>
        </w:rPr>
      </w:pPr>
      <w:r w:rsidRPr="00DC7563">
        <w:rPr>
          <w:spacing w:val="-4"/>
          <w:lang w:val="en-GB"/>
        </w:rPr>
        <w:t>As Japanese vehicles entered the American market, U</w:t>
      </w:r>
      <w:r w:rsidR="00F9690E" w:rsidRPr="00DC7563">
        <w:rPr>
          <w:spacing w:val="-4"/>
          <w:lang w:val="en-GB"/>
        </w:rPr>
        <w:t>.</w:t>
      </w:r>
      <w:r w:rsidRPr="00DC7563">
        <w:rPr>
          <w:spacing w:val="-4"/>
          <w:lang w:val="en-GB"/>
        </w:rPr>
        <w:t>S</w:t>
      </w:r>
      <w:r w:rsidR="00F9690E" w:rsidRPr="00DC7563">
        <w:rPr>
          <w:spacing w:val="-4"/>
          <w:lang w:val="en-GB"/>
        </w:rPr>
        <w:t>.</w:t>
      </w:r>
      <w:r w:rsidRPr="00DC7563">
        <w:rPr>
          <w:spacing w:val="-4"/>
          <w:lang w:val="en-GB"/>
        </w:rPr>
        <w:t xml:space="preserve"> automotive companies were </w:t>
      </w:r>
      <w:r w:rsidR="00F9690E" w:rsidRPr="00DC7563">
        <w:rPr>
          <w:spacing w:val="-4"/>
          <w:lang w:val="en-GB"/>
        </w:rPr>
        <w:t>affected</w:t>
      </w:r>
      <w:r w:rsidRPr="00DC7563">
        <w:rPr>
          <w:spacing w:val="-4"/>
          <w:lang w:val="en-GB"/>
        </w:rPr>
        <w:t xml:space="preserve"> by the rising fuel costs from the</w:t>
      </w:r>
      <w:r w:rsidR="005C7FCD" w:rsidRPr="00DC7563">
        <w:rPr>
          <w:spacing w:val="-4"/>
          <w:lang w:val="en-GB"/>
        </w:rPr>
        <w:t xml:space="preserve"> energy crisis in</w:t>
      </w:r>
      <w:r w:rsidRPr="00DC7563">
        <w:rPr>
          <w:spacing w:val="-4"/>
          <w:lang w:val="en-GB"/>
        </w:rPr>
        <w:t xml:space="preserve"> 1970s, while Japanese automakers exploited </w:t>
      </w:r>
      <w:r w:rsidR="00F9690E" w:rsidRPr="00DC7563">
        <w:rPr>
          <w:spacing w:val="-4"/>
          <w:lang w:val="en-GB"/>
        </w:rPr>
        <w:t>their</w:t>
      </w:r>
      <w:r w:rsidRPr="00DC7563">
        <w:rPr>
          <w:spacing w:val="-4"/>
          <w:lang w:val="en-GB"/>
        </w:rPr>
        <w:t xml:space="preserve"> fuel</w:t>
      </w:r>
      <w:r w:rsidR="00F9690E" w:rsidRPr="00DC7563">
        <w:rPr>
          <w:spacing w:val="-4"/>
          <w:lang w:val="en-GB"/>
        </w:rPr>
        <w:t>-</w:t>
      </w:r>
      <w:r w:rsidRPr="00DC7563">
        <w:rPr>
          <w:spacing w:val="-4"/>
          <w:lang w:val="en-GB"/>
        </w:rPr>
        <w:t>efficient vehicles to appeal to U</w:t>
      </w:r>
      <w:r w:rsidR="00F9690E" w:rsidRPr="00DC7563">
        <w:rPr>
          <w:spacing w:val="-4"/>
          <w:lang w:val="en-GB"/>
        </w:rPr>
        <w:t>.</w:t>
      </w:r>
      <w:r w:rsidRPr="00DC7563">
        <w:rPr>
          <w:spacing w:val="-4"/>
          <w:lang w:val="en-GB"/>
        </w:rPr>
        <w:t>S</w:t>
      </w:r>
      <w:r w:rsidR="00F9690E" w:rsidRPr="00DC7563">
        <w:rPr>
          <w:spacing w:val="-4"/>
          <w:lang w:val="en-GB"/>
        </w:rPr>
        <w:t>.</w:t>
      </w:r>
      <w:r w:rsidRPr="00DC7563">
        <w:rPr>
          <w:spacing w:val="-4"/>
          <w:lang w:val="en-GB"/>
        </w:rPr>
        <w:t xml:space="preserve"> customers.</w:t>
      </w:r>
      <w:r w:rsidRPr="00DC7563">
        <w:rPr>
          <w:rStyle w:val="EndnoteReference"/>
          <w:spacing w:val="-4"/>
          <w:lang w:val="en-GB"/>
        </w:rPr>
        <w:endnoteReference w:id="15"/>
      </w:r>
      <w:r w:rsidRPr="00DC7563">
        <w:rPr>
          <w:spacing w:val="-4"/>
          <w:lang w:val="en-GB"/>
        </w:rPr>
        <w:t xml:space="preserve"> </w:t>
      </w:r>
      <w:r w:rsidR="00C85162" w:rsidRPr="00DC7563">
        <w:rPr>
          <w:spacing w:val="-4"/>
          <w:lang w:val="en-GB"/>
        </w:rPr>
        <w:t>In s</w:t>
      </w:r>
      <w:r w:rsidRPr="00DC7563">
        <w:rPr>
          <w:spacing w:val="-4"/>
          <w:lang w:val="en-GB"/>
        </w:rPr>
        <w:t>pite</w:t>
      </w:r>
      <w:r w:rsidR="00C85162" w:rsidRPr="00DC7563">
        <w:rPr>
          <w:spacing w:val="-4"/>
          <w:lang w:val="en-GB"/>
        </w:rPr>
        <w:t xml:space="preserve"> of</w:t>
      </w:r>
      <w:r w:rsidRPr="00DC7563">
        <w:rPr>
          <w:spacing w:val="-4"/>
          <w:lang w:val="en-GB"/>
        </w:rPr>
        <w:t xml:space="preserve"> the rising Japanese presence, U</w:t>
      </w:r>
      <w:r w:rsidR="00F9690E" w:rsidRPr="00DC7563">
        <w:rPr>
          <w:spacing w:val="-4"/>
          <w:lang w:val="en-GB"/>
        </w:rPr>
        <w:t>.</w:t>
      </w:r>
      <w:r w:rsidRPr="00DC7563">
        <w:rPr>
          <w:spacing w:val="-4"/>
          <w:lang w:val="en-GB"/>
        </w:rPr>
        <w:t>S</w:t>
      </w:r>
      <w:r w:rsidR="00F9690E" w:rsidRPr="00DC7563">
        <w:rPr>
          <w:spacing w:val="-4"/>
          <w:lang w:val="en-GB"/>
        </w:rPr>
        <w:t>.</w:t>
      </w:r>
      <w:r w:rsidRPr="00DC7563">
        <w:rPr>
          <w:spacing w:val="-4"/>
          <w:lang w:val="en-GB"/>
        </w:rPr>
        <w:t xml:space="preserve"> automotive companies focused on high power rather than cost benefit</w:t>
      </w:r>
      <w:r w:rsidR="00EE444C" w:rsidRPr="00DC7563">
        <w:rPr>
          <w:spacing w:val="-4"/>
          <w:lang w:val="en-GB"/>
        </w:rPr>
        <w:t>/</w:t>
      </w:r>
      <w:r w:rsidRPr="00DC7563">
        <w:rPr>
          <w:spacing w:val="-4"/>
          <w:lang w:val="en-GB"/>
        </w:rPr>
        <w:t xml:space="preserve">better fuel efficiency, resulting in </w:t>
      </w:r>
      <w:r w:rsidRPr="00DC7563">
        <w:rPr>
          <w:rFonts w:eastAsia="Malgun Gothic"/>
          <w:spacing w:val="-4"/>
          <w:lang w:val="en-GB" w:eastAsia="ko-KR"/>
        </w:rPr>
        <w:t xml:space="preserve">a reduction in </w:t>
      </w:r>
      <w:r w:rsidRPr="00DC7563">
        <w:rPr>
          <w:spacing w:val="-4"/>
          <w:lang w:val="en-GB"/>
        </w:rPr>
        <w:t>the</w:t>
      </w:r>
      <w:r w:rsidR="00EE444C" w:rsidRPr="00DC7563">
        <w:rPr>
          <w:spacing w:val="-4"/>
          <w:lang w:val="en-GB"/>
        </w:rPr>
        <w:t>ir</w:t>
      </w:r>
      <w:r w:rsidRPr="00DC7563">
        <w:rPr>
          <w:spacing w:val="-4"/>
          <w:lang w:val="en-GB"/>
        </w:rPr>
        <w:t xml:space="preserve"> market share (</w:t>
      </w:r>
      <w:r w:rsidR="00EE444C" w:rsidRPr="00DC7563">
        <w:rPr>
          <w:spacing w:val="-4"/>
          <w:lang w:val="en-GB"/>
        </w:rPr>
        <w:t>s</w:t>
      </w:r>
      <w:r w:rsidRPr="00DC7563">
        <w:rPr>
          <w:spacing w:val="-4"/>
          <w:lang w:val="en-GB"/>
        </w:rPr>
        <w:t>ee Exhibit 1)</w:t>
      </w:r>
      <w:r w:rsidR="00EE444C" w:rsidRPr="00DC7563">
        <w:rPr>
          <w:spacing w:val="-4"/>
          <w:lang w:val="en-GB"/>
        </w:rPr>
        <w:t>.</w:t>
      </w:r>
      <w:r w:rsidRPr="00DC7563">
        <w:rPr>
          <w:spacing w:val="-4"/>
          <w:lang w:val="en-GB"/>
        </w:rPr>
        <w:t xml:space="preserve"> </w:t>
      </w:r>
      <w:r w:rsidRPr="00DC7563">
        <w:rPr>
          <w:rFonts w:eastAsia="Malgun Gothic"/>
          <w:spacing w:val="-4"/>
          <w:lang w:val="en-GB" w:eastAsia="ko-KR"/>
        </w:rPr>
        <w:t>Unlike</w:t>
      </w:r>
      <w:r w:rsidR="00EE444C" w:rsidRPr="00DC7563">
        <w:rPr>
          <w:rFonts w:eastAsia="Malgun Gothic"/>
          <w:spacing w:val="-4"/>
          <w:lang w:val="en-GB" w:eastAsia="ko-KR"/>
        </w:rPr>
        <w:t xml:space="preserve"> other</w:t>
      </w:r>
      <w:r w:rsidRPr="00DC7563">
        <w:rPr>
          <w:rFonts w:eastAsia="Malgun Gothic"/>
          <w:spacing w:val="-4"/>
          <w:lang w:val="en-GB" w:eastAsia="ko-KR"/>
        </w:rPr>
        <w:t xml:space="preserve"> Japanese </w:t>
      </w:r>
      <w:r w:rsidR="00EE444C" w:rsidRPr="00DC7563">
        <w:rPr>
          <w:rFonts w:eastAsia="Malgun Gothic"/>
          <w:spacing w:val="-4"/>
          <w:lang w:val="en-GB" w:eastAsia="ko-KR"/>
        </w:rPr>
        <w:t>auto firms</w:t>
      </w:r>
      <w:r w:rsidRPr="00DC7563">
        <w:rPr>
          <w:rFonts w:eastAsia="Malgun Gothic"/>
          <w:spacing w:val="-4"/>
          <w:lang w:val="en-GB" w:eastAsia="ko-KR"/>
        </w:rPr>
        <w:t xml:space="preserve">, </w:t>
      </w:r>
      <w:r w:rsidRPr="00DC7563">
        <w:rPr>
          <w:spacing w:val="-4"/>
          <w:lang w:val="en-GB"/>
        </w:rPr>
        <w:t xml:space="preserve">Mazda experienced </w:t>
      </w:r>
      <w:r w:rsidRPr="00DC7563">
        <w:rPr>
          <w:rFonts w:eastAsia="Malgun Gothic"/>
          <w:spacing w:val="-4"/>
          <w:lang w:val="en-GB" w:eastAsia="ko-KR"/>
        </w:rPr>
        <w:t xml:space="preserve">heavy </w:t>
      </w:r>
      <w:r w:rsidRPr="00DC7563">
        <w:rPr>
          <w:spacing w:val="-4"/>
          <w:lang w:val="en-GB"/>
        </w:rPr>
        <w:t xml:space="preserve">financial turmoil </w:t>
      </w:r>
      <w:r w:rsidRPr="00DC7563">
        <w:rPr>
          <w:rFonts w:eastAsia="Malgun Gothic"/>
          <w:spacing w:val="-4"/>
          <w:lang w:val="en-GB" w:eastAsia="ko-KR"/>
        </w:rPr>
        <w:t xml:space="preserve">during the </w:t>
      </w:r>
      <w:r w:rsidR="00EE444C" w:rsidRPr="00DC7563">
        <w:rPr>
          <w:rFonts w:eastAsia="Malgun Gothic"/>
          <w:spacing w:val="-4"/>
          <w:lang w:val="en-GB" w:eastAsia="ko-KR"/>
        </w:rPr>
        <w:t>1970s</w:t>
      </w:r>
      <w:r w:rsidR="00DA474D">
        <w:rPr>
          <w:rFonts w:eastAsia="Malgun Gothic"/>
          <w:spacing w:val="-4"/>
          <w:lang w:val="en-GB" w:eastAsia="ko-KR"/>
        </w:rPr>
        <w:t>’</w:t>
      </w:r>
      <w:r w:rsidR="00EE444C" w:rsidRPr="00DC7563">
        <w:rPr>
          <w:rFonts w:eastAsia="Malgun Gothic"/>
          <w:spacing w:val="-4"/>
          <w:lang w:val="en-GB" w:eastAsia="ko-KR"/>
        </w:rPr>
        <w:t xml:space="preserve"> </w:t>
      </w:r>
      <w:r w:rsidRPr="00DC7563">
        <w:rPr>
          <w:rFonts w:eastAsia="Malgun Gothic"/>
          <w:spacing w:val="-4"/>
          <w:lang w:val="en-GB" w:eastAsia="ko-KR"/>
        </w:rPr>
        <w:t>oil crisis, as c</w:t>
      </w:r>
      <w:r w:rsidRPr="00DC7563">
        <w:rPr>
          <w:spacing w:val="-4"/>
          <w:lang w:val="en-GB"/>
        </w:rPr>
        <w:t xml:space="preserve">ustomers </w:t>
      </w:r>
      <w:r w:rsidRPr="00DC7563">
        <w:rPr>
          <w:rFonts w:eastAsia="Malgun Gothic"/>
          <w:spacing w:val="-4"/>
          <w:lang w:val="en-GB" w:eastAsia="ko-KR"/>
        </w:rPr>
        <w:t>swayed</w:t>
      </w:r>
      <w:r w:rsidRPr="00DC7563">
        <w:rPr>
          <w:spacing w:val="-4"/>
          <w:lang w:val="en-GB"/>
        </w:rPr>
        <w:t xml:space="preserve"> from its </w:t>
      </w:r>
      <w:r w:rsidR="00AD146B" w:rsidRPr="00DC7563">
        <w:rPr>
          <w:spacing w:val="-4"/>
          <w:lang w:val="en-GB"/>
        </w:rPr>
        <w:t>vehicles, which had inefficient rotary engines</w:t>
      </w:r>
      <w:r w:rsidRPr="00DC7563">
        <w:rPr>
          <w:spacing w:val="-4"/>
          <w:lang w:val="en-GB"/>
        </w:rPr>
        <w:t>.</w:t>
      </w:r>
      <w:r w:rsidRPr="00DC7563">
        <w:rPr>
          <w:rStyle w:val="EndnoteReference"/>
          <w:spacing w:val="-4"/>
          <w:lang w:val="en-GB"/>
        </w:rPr>
        <w:endnoteReference w:id="16"/>
      </w:r>
      <w:r w:rsidRPr="00DC7563">
        <w:rPr>
          <w:rFonts w:eastAsia="Malgun Gothic"/>
          <w:spacing w:val="-4"/>
          <w:lang w:val="en-GB" w:eastAsia="ko-KR"/>
        </w:rPr>
        <w:t xml:space="preserve"> However, </w:t>
      </w:r>
      <w:r w:rsidRPr="00DC7563">
        <w:rPr>
          <w:spacing w:val="-4"/>
          <w:lang w:val="en-GB"/>
        </w:rPr>
        <w:t>U</w:t>
      </w:r>
      <w:r w:rsidR="00EE444C" w:rsidRPr="00DC7563">
        <w:rPr>
          <w:spacing w:val="-4"/>
          <w:lang w:val="en-GB"/>
        </w:rPr>
        <w:t>.</w:t>
      </w:r>
      <w:r w:rsidRPr="00DC7563">
        <w:rPr>
          <w:spacing w:val="-4"/>
          <w:lang w:val="en-GB"/>
        </w:rPr>
        <w:t>S</w:t>
      </w:r>
      <w:r w:rsidR="00EE444C" w:rsidRPr="00DC7563">
        <w:rPr>
          <w:spacing w:val="-4"/>
          <w:lang w:val="en-GB"/>
        </w:rPr>
        <w:t>.</w:t>
      </w:r>
      <w:r w:rsidRPr="00DC7563">
        <w:rPr>
          <w:spacing w:val="-4"/>
          <w:lang w:val="en-GB"/>
        </w:rPr>
        <w:t xml:space="preserve"> automotive company Ford believed in Mazda’s potential, bailing out the struggling company by acquir</w:t>
      </w:r>
      <w:r w:rsidRPr="00DC7563">
        <w:rPr>
          <w:rFonts w:eastAsia="Malgun Gothic"/>
          <w:spacing w:val="-4"/>
          <w:lang w:val="en-GB" w:eastAsia="ko-KR"/>
        </w:rPr>
        <w:t>ing</w:t>
      </w:r>
      <w:r w:rsidRPr="00DC7563">
        <w:rPr>
          <w:spacing w:val="-4"/>
          <w:lang w:val="en-GB"/>
        </w:rPr>
        <w:t xml:space="preserve"> 7 per cent of Mazda</w:t>
      </w:r>
      <w:r w:rsidRPr="00DC7563">
        <w:rPr>
          <w:rFonts w:eastAsia="Malgun Gothic"/>
          <w:spacing w:val="-4"/>
          <w:lang w:val="en-GB" w:eastAsia="ko-KR"/>
        </w:rPr>
        <w:t>’s</w:t>
      </w:r>
      <w:r w:rsidRPr="00DC7563">
        <w:rPr>
          <w:spacing w:val="-4"/>
          <w:lang w:val="en-GB"/>
        </w:rPr>
        <w:t xml:space="preserve"> shares in 1979, beginning a financial </w:t>
      </w:r>
      <w:r w:rsidRPr="00DC7563">
        <w:rPr>
          <w:rFonts w:eastAsia="Malgun Gothic"/>
          <w:spacing w:val="-4"/>
          <w:lang w:val="en-GB" w:eastAsia="ko-KR"/>
        </w:rPr>
        <w:t>relationship that would last for the</w:t>
      </w:r>
      <w:r w:rsidRPr="00DC7563">
        <w:rPr>
          <w:spacing w:val="-4"/>
          <w:lang w:val="en-GB"/>
        </w:rPr>
        <w:t xml:space="preserve"> next 30 years.</w:t>
      </w:r>
      <w:r w:rsidRPr="00DC7563">
        <w:rPr>
          <w:rStyle w:val="EndnoteReference"/>
          <w:spacing w:val="-4"/>
          <w:lang w:val="en-GB"/>
        </w:rPr>
        <w:endnoteReference w:id="17"/>
      </w:r>
    </w:p>
    <w:p w14:paraId="39F1A113" w14:textId="77777777" w:rsidR="00991E9B" w:rsidRPr="00DC7563" w:rsidRDefault="00991E9B" w:rsidP="00991E9B">
      <w:pPr>
        <w:pStyle w:val="BodyTextMain"/>
        <w:rPr>
          <w:rFonts w:eastAsia="Malgun Gothic"/>
          <w:spacing w:val="-4"/>
          <w:sz w:val="20"/>
          <w:lang w:val="en-GB" w:eastAsia="ko-KR"/>
        </w:rPr>
      </w:pPr>
    </w:p>
    <w:p w14:paraId="05BD2914" w14:textId="77777777" w:rsidR="00991E9B" w:rsidRPr="00DC7563" w:rsidRDefault="00991E9B" w:rsidP="00991E9B">
      <w:pPr>
        <w:pStyle w:val="BodyTextMain"/>
        <w:rPr>
          <w:rFonts w:eastAsia="Malgun Gothic"/>
          <w:sz w:val="20"/>
          <w:lang w:val="en-GB" w:eastAsia="ko-KR"/>
        </w:rPr>
      </w:pPr>
    </w:p>
    <w:p w14:paraId="44DD8935" w14:textId="61345009" w:rsidR="00991E9B" w:rsidRPr="00DC7563" w:rsidRDefault="00991E9B" w:rsidP="00C73E67">
      <w:pPr>
        <w:pStyle w:val="BodyTextMain"/>
        <w:outlineLvl w:val="0"/>
        <w:rPr>
          <w:rFonts w:ascii="Arial" w:eastAsia="ヒラギノ明朝 Pro W3" w:hAnsi="Arial"/>
          <w:b/>
          <w:sz w:val="20"/>
          <w:szCs w:val="20"/>
          <w:lang w:val="en-GB" w:eastAsia="ja-JP"/>
        </w:rPr>
      </w:pPr>
      <w:r w:rsidRPr="00DC7563">
        <w:rPr>
          <w:rFonts w:ascii="Arial" w:eastAsia="ヒラギノ明朝 Pro W3" w:hAnsi="Arial"/>
          <w:b/>
          <w:sz w:val="20"/>
          <w:szCs w:val="20"/>
          <w:lang w:val="en-GB"/>
        </w:rPr>
        <w:t>THE MAZDA</w:t>
      </w:r>
      <w:r w:rsidR="00EE444C" w:rsidRPr="00DC7563">
        <w:rPr>
          <w:rFonts w:ascii="Arial" w:eastAsia="ヒラギノ明朝 Pro W3" w:hAnsi="Arial"/>
          <w:b/>
          <w:sz w:val="20"/>
          <w:szCs w:val="20"/>
          <w:lang w:val="en-GB"/>
        </w:rPr>
        <w:t>–</w:t>
      </w:r>
      <w:r w:rsidRPr="00DC7563">
        <w:rPr>
          <w:rFonts w:ascii="Arial" w:eastAsia="ヒラギノ明朝 Pro W3" w:hAnsi="Arial"/>
          <w:b/>
          <w:sz w:val="20"/>
          <w:szCs w:val="20"/>
          <w:lang w:val="en-GB"/>
        </w:rPr>
        <w:t>FORD PARTNERSHIP</w:t>
      </w:r>
    </w:p>
    <w:p w14:paraId="01E57ECA" w14:textId="77777777" w:rsidR="00991E9B" w:rsidRPr="00DC7563" w:rsidRDefault="00991E9B" w:rsidP="00991E9B">
      <w:pPr>
        <w:pStyle w:val="BodyTextMain"/>
        <w:rPr>
          <w:rFonts w:eastAsia="Malgun Gothic" w:cstheme="minorBidi"/>
          <w:sz w:val="20"/>
          <w:lang w:val="en-GB" w:eastAsia="ko-KR"/>
        </w:rPr>
      </w:pPr>
    </w:p>
    <w:p w14:paraId="5C3DB843" w14:textId="70098C7C" w:rsidR="00991E9B" w:rsidRPr="00DC7563" w:rsidRDefault="00D56EC7" w:rsidP="00991E9B">
      <w:pPr>
        <w:pStyle w:val="BodyTextMain"/>
        <w:rPr>
          <w:rFonts w:eastAsia="Malgun Gothic"/>
          <w:lang w:val="en-GB" w:eastAsia="ko-KR"/>
        </w:rPr>
      </w:pPr>
      <w:r w:rsidRPr="00DC7563">
        <w:rPr>
          <w:rFonts w:eastAsia="Malgun Gothic"/>
          <w:lang w:val="en-GB" w:eastAsia="ko-KR"/>
        </w:rPr>
        <w:t xml:space="preserve">Although both companies wanted </w:t>
      </w:r>
      <w:r w:rsidR="00991E9B" w:rsidRPr="00DC7563">
        <w:rPr>
          <w:rFonts w:eastAsia="Malgun Gothic"/>
          <w:lang w:val="en-GB" w:eastAsia="ko-KR"/>
        </w:rPr>
        <w:t xml:space="preserve">independence, Mazda and Ford lacked financial resources, </w:t>
      </w:r>
      <w:r w:rsidR="00991E9B" w:rsidRPr="00DC7563">
        <w:rPr>
          <w:lang w:val="en-GB"/>
        </w:rPr>
        <w:t xml:space="preserve">lagging behind </w:t>
      </w:r>
      <w:r w:rsidR="00991E9B" w:rsidRPr="00DC7563">
        <w:rPr>
          <w:rFonts w:eastAsia="Malgun Gothic"/>
          <w:lang w:val="en-GB" w:eastAsia="ko-KR"/>
        </w:rPr>
        <w:t>their rivals</w:t>
      </w:r>
      <w:r w:rsidR="00991E9B" w:rsidRPr="00DC7563">
        <w:rPr>
          <w:lang w:val="en-GB"/>
        </w:rPr>
        <w:t xml:space="preserve"> in foreign expansion</w:t>
      </w:r>
      <w:r w:rsidRPr="00DC7563">
        <w:rPr>
          <w:lang w:val="en-GB"/>
        </w:rPr>
        <w:t>; this</w:t>
      </w:r>
      <w:r w:rsidR="00991E9B" w:rsidRPr="00DC7563">
        <w:rPr>
          <w:lang w:val="en-GB"/>
        </w:rPr>
        <w:t xml:space="preserve"> </w:t>
      </w:r>
      <w:r w:rsidR="00647392">
        <w:rPr>
          <w:lang w:val="en-GB"/>
        </w:rPr>
        <w:t xml:space="preserve">situation </w:t>
      </w:r>
      <w:r w:rsidR="00991E9B" w:rsidRPr="00DC7563">
        <w:rPr>
          <w:lang w:val="en-GB"/>
        </w:rPr>
        <w:t>creat</w:t>
      </w:r>
      <w:r w:rsidRPr="00DC7563">
        <w:rPr>
          <w:lang w:val="en-GB"/>
        </w:rPr>
        <w:t>ed</w:t>
      </w:r>
      <w:r w:rsidR="00991E9B" w:rsidRPr="00DC7563">
        <w:rPr>
          <w:lang w:val="en-GB"/>
        </w:rPr>
        <w:t xml:space="preserve"> an incentive to share technology.</w:t>
      </w:r>
      <w:r w:rsidR="00991E9B" w:rsidRPr="00DC7563">
        <w:rPr>
          <w:rStyle w:val="EndnoteReference"/>
          <w:rFonts w:eastAsia="Malgun Gothic"/>
          <w:lang w:val="en-GB" w:eastAsia="ko-KR"/>
        </w:rPr>
        <w:endnoteReference w:id="18"/>
      </w:r>
      <w:r w:rsidR="00991E9B" w:rsidRPr="00DC7563">
        <w:rPr>
          <w:rFonts w:eastAsia="Malgun Gothic"/>
          <w:lang w:val="en-GB" w:eastAsia="ko-KR"/>
        </w:rPr>
        <w:t xml:space="preserve"> Rather than directly </w:t>
      </w:r>
      <w:r w:rsidR="00991E9B" w:rsidRPr="00DC7563">
        <w:rPr>
          <w:lang w:val="en-GB"/>
        </w:rPr>
        <w:t xml:space="preserve">competing against </w:t>
      </w:r>
      <w:r w:rsidR="00991E9B" w:rsidRPr="00DC7563">
        <w:rPr>
          <w:rFonts w:eastAsia="Malgun Gothic"/>
          <w:lang w:val="en-GB" w:eastAsia="ko-KR"/>
        </w:rPr>
        <w:t xml:space="preserve">each other, the two companies began developing synergy and creating change. In 1971, the </w:t>
      </w:r>
      <w:hyperlink r:id="rId9" w:tooltip="Mazda B-Series" w:history="1">
        <w:r w:rsidR="00991E9B" w:rsidRPr="00DC7563">
          <w:rPr>
            <w:rStyle w:val="Hyperlink"/>
            <w:rFonts w:eastAsia="Malgun Gothic"/>
            <w:color w:val="auto"/>
            <w:u w:val="none"/>
            <w:lang w:val="en-GB" w:eastAsia="ko-KR"/>
          </w:rPr>
          <w:t>Mazda B-Series</w:t>
        </w:r>
      </w:hyperlink>
      <w:r w:rsidR="00991E9B" w:rsidRPr="00DC7563">
        <w:rPr>
          <w:rFonts w:eastAsia="Malgun Gothic"/>
          <w:lang w:val="en-GB" w:eastAsia="ko-KR"/>
        </w:rPr>
        <w:t xml:space="preserve"> developed a Ford Courier for </w:t>
      </w:r>
      <w:r w:rsidRPr="00DC7563">
        <w:rPr>
          <w:rFonts w:eastAsia="Malgun Gothic"/>
          <w:lang w:val="en-GB" w:eastAsia="ko-KR"/>
        </w:rPr>
        <w:t>W</w:t>
      </w:r>
      <w:r w:rsidR="00991E9B" w:rsidRPr="00DC7563">
        <w:rPr>
          <w:rFonts w:eastAsia="Malgun Gothic"/>
          <w:lang w:val="en-GB" w:eastAsia="ko-KR"/>
        </w:rPr>
        <w:t>estern markets, while Mazda’s cumulative global production reached 5 million units one year later. Using Ford’s brand, Mazda sold its Bongo and Titan trucks internationally in 1976.</w:t>
      </w:r>
      <w:r w:rsidR="00991E9B" w:rsidRPr="00DC7563">
        <w:rPr>
          <w:rStyle w:val="EndnoteReference"/>
          <w:rFonts w:eastAsia="Malgun Gothic"/>
          <w:lang w:val="en-GB" w:eastAsia="ko-KR"/>
        </w:rPr>
        <w:endnoteReference w:id="19"/>
      </w:r>
      <w:r w:rsidR="00991E9B" w:rsidRPr="00DC7563">
        <w:rPr>
          <w:rFonts w:eastAsia="Malgun Gothic"/>
          <w:lang w:val="en-GB" w:eastAsia="ko-KR"/>
        </w:rPr>
        <w:t xml:space="preserve"> By 1979, Mazda’s cumulative production reached 10 million units, with both companies optimistically looking to generate new synergies in the 1980s.</w:t>
      </w:r>
      <w:r w:rsidR="00991E9B" w:rsidRPr="00DC7563">
        <w:rPr>
          <w:rStyle w:val="EndnoteReference"/>
          <w:rFonts w:eastAsia="Malgun Gothic"/>
          <w:lang w:val="en-GB" w:eastAsia="ko-KR"/>
        </w:rPr>
        <w:endnoteReference w:id="20"/>
      </w:r>
    </w:p>
    <w:p w14:paraId="46D2DAFA" w14:textId="77777777" w:rsidR="00991E9B" w:rsidRPr="00DC7563" w:rsidRDefault="00991E9B" w:rsidP="00991E9B">
      <w:pPr>
        <w:pStyle w:val="BodyTextMain"/>
        <w:rPr>
          <w:rFonts w:eastAsia="Malgun Gothic"/>
          <w:sz w:val="20"/>
          <w:lang w:val="en-GB" w:eastAsia="ko-KR"/>
        </w:rPr>
      </w:pPr>
    </w:p>
    <w:p w14:paraId="2227843C" w14:textId="51F9C4D9" w:rsidR="00991E9B" w:rsidRPr="00DC7563" w:rsidRDefault="00991E9B" w:rsidP="00991E9B">
      <w:pPr>
        <w:pStyle w:val="BodyTextMain"/>
        <w:rPr>
          <w:rFonts w:eastAsia="Malgun Gothic"/>
          <w:lang w:val="en-GB" w:eastAsia="ko-KR"/>
        </w:rPr>
      </w:pPr>
      <w:r w:rsidRPr="00DC7563">
        <w:rPr>
          <w:rFonts w:eastAsia="Malgun Gothic"/>
          <w:lang w:val="en-GB" w:eastAsia="ko-KR"/>
        </w:rPr>
        <w:t xml:space="preserve">Searching for </w:t>
      </w:r>
      <w:r w:rsidR="00D56EC7" w:rsidRPr="00DC7563">
        <w:rPr>
          <w:rFonts w:eastAsia="Malgun Gothic"/>
          <w:lang w:val="en-GB" w:eastAsia="ko-KR"/>
        </w:rPr>
        <w:t xml:space="preserve">further </w:t>
      </w:r>
      <w:r w:rsidRPr="00DC7563">
        <w:rPr>
          <w:rFonts w:eastAsia="Malgun Gothic"/>
          <w:lang w:val="en-GB" w:eastAsia="ko-KR"/>
        </w:rPr>
        <w:t xml:space="preserve">ways to reduce costs and improve efficiency, Mazda and Ford began sharing parts and platforms for vehicle manufacturing. To reduce part costs, Mazda provided Ford with small parts </w:t>
      </w:r>
      <w:r w:rsidR="00D56EC7" w:rsidRPr="00DC7563">
        <w:rPr>
          <w:rFonts w:eastAsia="Malgun Gothic"/>
          <w:lang w:val="en-GB" w:eastAsia="ko-KR"/>
        </w:rPr>
        <w:t xml:space="preserve">(e.g., </w:t>
      </w:r>
      <w:r w:rsidRPr="00DC7563">
        <w:rPr>
          <w:rFonts w:eastAsia="Malgun Gothic"/>
          <w:lang w:val="en-GB" w:eastAsia="ko-KR"/>
        </w:rPr>
        <w:t>manual transaxles</w:t>
      </w:r>
      <w:r w:rsidR="00D56EC7" w:rsidRPr="00DC7563">
        <w:rPr>
          <w:rFonts w:eastAsia="Malgun Gothic"/>
          <w:lang w:val="en-GB" w:eastAsia="ko-KR"/>
        </w:rPr>
        <w:t>)</w:t>
      </w:r>
      <w:r w:rsidRPr="00DC7563">
        <w:rPr>
          <w:rFonts w:eastAsia="Malgun Gothic"/>
          <w:lang w:val="en-GB" w:eastAsia="ko-KR"/>
        </w:rPr>
        <w:t xml:space="preserve"> in 1980, while Ford began using Mazda</w:t>
      </w:r>
      <w:r w:rsidR="00D56EC7" w:rsidRPr="00DC7563">
        <w:rPr>
          <w:rFonts w:eastAsia="Malgun Gothic"/>
          <w:lang w:val="en-GB" w:eastAsia="ko-KR"/>
        </w:rPr>
        <w:t>’</w:t>
      </w:r>
      <w:r w:rsidRPr="00DC7563">
        <w:rPr>
          <w:rFonts w:eastAsia="Malgun Gothic"/>
          <w:lang w:val="en-GB" w:eastAsia="ko-KR"/>
        </w:rPr>
        <w:t xml:space="preserve">s </w:t>
      </w:r>
      <w:proofErr w:type="spellStart"/>
      <w:r w:rsidRPr="00DC7563">
        <w:rPr>
          <w:rFonts w:eastAsia="Malgun Gothic"/>
          <w:lang w:val="en-GB" w:eastAsia="ko-KR"/>
        </w:rPr>
        <w:t>Familia</w:t>
      </w:r>
      <w:proofErr w:type="spellEnd"/>
      <w:r w:rsidRPr="00DC7563">
        <w:rPr>
          <w:rFonts w:eastAsia="Malgun Gothic"/>
          <w:lang w:val="en-GB" w:eastAsia="ko-KR"/>
        </w:rPr>
        <w:t xml:space="preserve"> platform for its </w:t>
      </w:r>
      <w:r w:rsidRPr="00DC7563">
        <w:rPr>
          <w:rFonts w:eastAsia="Malgun Gothic"/>
          <w:lang w:val="en-GB"/>
        </w:rPr>
        <w:t>Laser</w:t>
      </w:r>
      <w:r w:rsidRPr="00DC7563">
        <w:rPr>
          <w:rFonts w:eastAsia="Malgun Gothic"/>
          <w:lang w:val="en-GB" w:eastAsia="ko-KR"/>
        </w:rPr>
        <w:t xml:space="preserve"> and </w:t>
      </w:r>
      <w:r w:rsidRPr="00DC7563">
        <w:rPr>
          <w:rFonts w:eastAsia="Malgun Gothic"/>
          <w:lang w:val="en-GB"/>
        </w:rPr>
        <w:t>Escort</w:t>
      </w:r>
      <w:r w:rsidRPr="00DC7563">
        <w:rPr>
          <w:rFonts w:eastAsia="Malgun Gothic"/>
          <w:lang w:val="en-GB" w:eastAsia="ko-KR"/>
        </w:rPr>
        <w:t xml:space="preserve"> vehicles, and the Mazda Capella platform for its </w:t>
      </w:r>
      <w:r w:rsidRPr="00DC7563">
        <w:rPr>
          <w:rFonts w:eastAsia="Malgun Gothic"/>
          <w:lang w:val="en-GB"/>
        </w:rPr>
        <w:t>Telstar</w:t>
      </w:r>
      <w:r w:rsidRPr="00DC7563">
        <w:rPr>
          <w:rFonts w:eastAsia="Malgun Gothic"/>
          <w:lang w:val="en-GB" w:eastAsia="ko-KR"/>
        </w:rPr>
        <w:t xml:space="preserve"> and </w:t>
      </w:r>
      <w:r w:rsidRPr="00DC7563">
        <w:rPr>
          <w:rFonts w:eastAsia="Malgun Gothic"/>
          <w:lang w:val="en-GB"/>
        </w:rPr>
        <w:t>Probe</w:t>
      </w:r>
      <w:r w:rsidRPr="00DC7563">
        <w:rPr>
          <w:rFonts w:eastAsia="Malgun Gothic"/>
          <w:lang w:val="en-GB" w:eastAsia="ko-KR"/>
        </w:rPr>
        <w:t xml:space="preserve"> models.</w:t>
      </w:r>
      <w:r w:rsidRPr="00DC7563">
        <w:rPr>
          <w:rStyle w:val="EndnoteReference"/>
          <w:rFonts w:eastAsia="Malgun Gothic"/>
          <w:lang w:val="en-GB" w:eastAsia="ko-KR"/>
        </w:rPr>
        <w:endnoteReference w:id="21"/>
      </w:r>
      <w:r w:rsidRPr="00DC7563">
        <w:rPr>
          <w:rFonts w:eastAsia="Malgun Gothic"/>
          <w:lang w:val="en-GB" w:eastAsia="ko-KR"/>
        </w:rPr>
        <w:t xml:space="preserve"> </w:t>
      </w:r>
      <w:r w:rsidRPr="00DC7563">
        <w:rPr>
          <w:lang w:val="en-GB"/>
        </w:rPr>
        <w:t xml:space="preserve">Impressed by Mazda’s </w:t>
      </w:r>
      <w:r w:rsidR="00852840" w:rsidRPr="00DC7563">
        <w:rPr>
          <w:lang w:val="en-GB"/>
        </w:rPr>
        <w:t xml:space="preserve">plant in </w:t>
      </w:r>
      <w:proofErr w:type="spellStart"/>
      <w:r w:rsidRPr="00DC7563">
        <w:rPr>
          <w:lang w:val="en-GB"/>
        </w:rPr>
        <w:t>Hofu</w:t>
      </w:r>
      <w:proofErr w:type="spellEnd"/>
      <w:r w:rsidRPr="00DC7563">
        <w:rPr>
          <w:lang w:val="en-GB"/>
        </w:rPr>
        <w:t xml:space="preserve">, </w:t>
      </w:r>
      <w:r w:rsidR="00852840" w:rsidRPr="00DC7563">
        <w:rPr>
          <w:lang w:val="en-GB"/>
        </w:rPr>
        <w:t xml:space="preserve">Japan, </w:t>
      </w:r>
      <w:r w:rsidRPr="00DC7563">
        <w:rPr>
          <w:lang w:val="en-GB"/>
        </w:rPr>
        <w:t xml:space="preserve">Ford adopted the Japanese company’s operational efficiencies in </w:t>
      </w:r>
      <w:r w:rsidRPr="00DC7563">
        <w:rPr>
          <w:rFonts w:eastAsia="Malgun Gothic"/>
          <w:lang w:val="en-GB" w:eastAsia="ko-KR"/>
        </w:rPr>
        <w:t>its own manufacturing facility in</w:t>
      </w:r>
      <w:r w:rsidRPr="00DC7563">
        <w:rPr>
          <w:lang w:val="en-GB"/>
        </w:rPr>
        <w:t xml:space="preserve"> Mexico to boost production.</w:t>
      </w:r>
      <w:r w:rsidRPr="00DC7563">
        <w:rPr>
          <w:rFonts w:eastAsia="Malgun Gothic"/>
          <w:lang w:val="en-GB" w:eastAsia="ko-KR"/>
        </w:rPr>
        <w:t xml:space="preserve"> In 1983, Mazda began experimenting with local production in international markets by manufacturing in </w:t>
      </w:r>
      <w:r w:rsidR="005E1BED" w:rsidRPr="00DC7563">
        <w:rPr>
          <w:rFonts w:eastAsia="Malgun Gothic"/>
          <w:lang w:val="en-GB" w:eastAsia="ko-KR"/>
        </w:rPr>
        <w:t>Col</w:t>
      </w:r>
      <w:r w:rsidR="005E1BED">
        <w:rPr>
          <w:rFonts w:eastAsia="Malgun Gothic"/>
          <w:lang w:val="en-GB" w:eastAsia="ko-KR"/>
        </w:rPr>
        <w:t>o</w:t>
      </w:r>
      <w:r w:rsidR="005E1BED" w:rsidRPr="00DC7563">
        <w:rPr>
          <w:rFonts w:eastAsia="Malgun Gothic"/>
          <w:lang w:val="en-GB" w:eastAsia="ko-KR"/>
        </w:rPr>
        <w:t>mbia</w:t>
      </w:r>
      <w:r w:rsidRPr="00DC7563">
        <w:rPr>
          <w:rFonts w:eastAsia="Malgun Gothic"/>
          <w:lang w:val="en-GB" w:eastAsia="ko-KR"/>
        </w:rPr>
        <w:t>, followed by a research and development cent</w:t>
      </w:r>
      <w:r w:rsidR="00D56EC7" w:rsidRPr="00DC7563">
        <w:rPr>
          <w:rFonts w:eastAsia="Malgun Gothic"/>
          <w:lang w:val="en-GB" w:eastAsia="ko-KR"/>
        </w:rPr>
        <w:t xml:space="preserve">re </w:t>
      </w:r>
      <w:r w:rsidRPr="00DC7563">
        <w:rPr>
          <w:rFonts w:eastAsia="Malgun Gothic"/>
          <w:lang w:val="en-GB" w:eastAsia="ko-KR"/>
        </w:rPr>
        <w:t>in Michigan in 1986, and vehicle production at Mazda Motor Manufacturing USA Corporation in 1987. Seeing both the financial and operational benefits of the Mazda</w:t>
      </w:r>
      <w:r w:rsidR="00F646E8" w:rsidRPr="00DC7563">
        <w:rPr>
          <w:rFonts w:eastAsia="Malgun Gothic"/>
          <w:lang w:val="en-GB" w:eastAsia="ko-KR"/>
        </w:rPr>
        <w:t>–Ford</w:t>
      </w:r>
      <w:r w:rsidRPr="00DC7563">
        <w:rPr>
          <w:rFonts w:eastAsia="Malgun Gothic"/>
          <w:lang w:val="en-GB" w:eastAsia="ko-KR"/>
        </w:rPr>
        <w:t xml:space="preserve"> partnership, Ford confidently increased its stake in Mazda by 20 per</w:t>
      </w:r>
      <w:r w:rsidR="00D56EC7" w:rsidRPr="00DC7563">
        <w:rPr>
          <w:rFonts w:eastAsia="Malgun Gothic"/>
          <w:lang w:val="en-GB" w:eastAsia="ko-KR"/>
        </w:rPr>
        <w:t xml:space="preserve"> </w:t>
      </w:r>
      <w:r w:rsidRPr="00DC7563">
        <w:rPr>
          <w:rFonts w:eastAsia="Malgun Gothic"/>
          <w:lang w:val="en-GB" w:eastAsia="ko-KR"/>
        </w:rPr>
        <w:t>cent throughout the 1980s.</w:t>
      </w:r>
      <w:r w:rsidRPr="00DC7563">
        <w:rPr>
          <w:rStyle w:val="EndnoteReference"/>
          <w:rFonts w:eastAsia="Malgun Gothic"/>
          <w:lang w:val="en-GB" w:eastAsia="ko-KR"/>
        </w:rPr>
        <w:endnoteReference w:id="22"/>
      </w:r>
    </w:p>
    <w:p w14:paraId="6108BC59" w14:textId="77777777" w:rsidR="00991E9B" w:rsidRPr="00DC7563" w:rsidRDefault="00991E9B" w:rsidP="005364B6">
      <w:pPr>
        <w:pStyle w:val="BodyTextMain"/>
        <w:rPr>
          <w:rFonts w:eastAsia="Malgun Gothic"/>
          <w:sz w:val="20"/>
          <w:lang w:val="en-GB"/>
        </w:rPr>
      </w:pPr>
    </w:p>
    <w:p w14:paraId="272E9845" w14:textId="5C258070" w:rsidR="00991E9B" w:rsidRPr="00DC7563" w:rsidRDefault="00991E9B" w:rsidP="00991E9B">
      <w:pPr>
        <w:pStyle w:val="BodyTextMain"/>
        <w:rPr>
          <w:lang w:val="en-GB"/>
        </w:rPr>
      </w:pPr>
      <w:r w:rsidRPr="00DC7563">
        <w:rPr>
          <w:rFonts w:eastAsia="Malgun Gothic"/>
          <w:lang w:val="en-GB" w:eastAsia="ko-KR"/>
        </w:rPr>
        <w:t>However, as the Asian economy began to shift, Mazda’s financial struggles worsened</w:t>
      </w:r>
      <w:r w:rsidR="00D56EC7" w:rsidRPr="00DC7563">
        <w:rPr>
          <w:rFonts w:eastAsia="Malgun Gothic"/>
          <w:lang w:val="en-GB" w:eastAsia="ko-KR"/>
        </w:rPr>
        <w:t>. As a</w:t>
      </w:r>
      <w:r w:rsidRPr="00DC7563">
        <w:rPr>
          <w:rFonts w:eastAsia="Malgun Gothic"/>
          <w:lang w:val="en-GB" w:eastAsia="ko-KR"/>
        </w:rPr>
        <w:t xml:space="preserve"> result</w:t>
      </w:r>
      <w:r w:rsidR="00D56EC7" w:rsidRPr="00DC7563">
        <w:rPr>
          <w:rFonts w:eastAsia="Malgun Gothic"/>
          <w:lang w:val="en-GB" w:eastAsia="ko-KR"/>
        </w:rPr>
        <w:t>,</w:t>
      </w:r>
      <w:r w:rsidRPr="00DC7563">
        <w:rPr>
          <w:rFonts w:eastAsia="Malgun Gothic"/>
          <w:lang w:val="en-GB" w:eastAsia="ko-KR"/>
        </w:rPr>
        <w:t xml:space="preserve"> Ford increas</w:t>
      </w:r>
      <w:r w:rsidR="00D56EC7" w:rsidRPr="00DC7563">
        <w:rPr>
          <w:rFonts w:eastAsia="Malgun Gothic"/>
          <w:lang w:val="en-GB" w:eastAsia="ko-KR"/>
        </w:rPr>
        <w:t>ed</w:t>
      </w:r>
      <w:r w:rsidRPr="00DC7563">
        <w:rPr>
          <w:rFonts w:eastAsia="Malgun Gothic"/>
          <w:lang w:val="en-GB" w:eastAsia="ko-KR"/>
        </w:rPr>
        <w:t xml:space="preserve"> its stake to a majority share of 33.4 per</w:t>
      </w:r>
      <w:r w:rsidR="00D56EC7" w:rsidRPr="00DC7563">
        <w:rPr>
          <w:rFonts w:eastAsia="Malgun Gothic"/>
          <w:lang w:val="en-GB" w:eastAsia="ko-KR"/>
        </w:rPr>
        <w:t xml:space="preserve"> </w:t>
      </w:r>
      <w:r w:rsidRPr="00DC7563">
        <w:rPr>
          <w:rFonts w:eastAsia="Malgun Gothic"/>
          <w:lang w:val="en-GB" w:eastAsia="ko-KR"/>
        </w:rPr>
        <w:t xml:space="preserve">cent in 1996, </w:t>
      </w:r>
      <w:r w:rsidRPr="00DC7563">
        <w:rPr>
          <w:lang w:val="en-GB"/>
        </w:rPr>
        <w:t xml:space="preserve">appointing Henry Wallace </w:t>
      </w:r>
      <w:r w:rsidR="00D56EC7" w:rsidRPr="00DC7563">
        <w:rPr>
          <w:lang w:val="en-GB"/>
        </w:rPr>
        <w:t>as the new</w:t>
      </w:r>
      <w:r w:rsidRPr="00DC7563">
        <w:rPr>
          <w:lang w:val="en-GB"/>
        </w:rPr>
        <w:t xml:space="preserve"> CEO of Mazda.</w:t>
      </w:r>
      <w:r w:rsidRPr="00DC7563">
        <w:rPr>
          <w:rStyle w:val="EndnoteReference"/>
          <w:lang w:val="en-GB"/>
        </w:rPr>
        <w:endnoteReference w:id="23"/>
      </w:r>
      <w:r w:rsidRPr="00DC7563">
        <w:rPr>
          <w:lang w:val="en-GB"/>
        </w:rPr>
        <w:t xml:space="preserve"> As the first </w:t>
      </w:r>
      <w:r w:rsidR="00D56EC7" w:rsidRPr="00DC7563">
        <w:rPr>
          <w:lang w:val="en-GB"/>
        </w:rPr>
        <w:t xml:space="preserve">non-Japanese </w:t>
      </w:r>
      <w:r w:rsidRPr="00DC7563">
        <w:rPr>
          <w:lang w:val="en-GB"/>
        </w:rPr>
        <w:t xml:space="preserve">CEO in </w:t>
      </w:r>
      <w:r w:rsidRPr="00DC7563">
        <w:rPr>
          <w:rFonts w:eastAsia="Malgun Gothic"/>
          <w:lang w:val="en-GB" w:eastAsia="ko-KR"/>
        </w:rPr>
        <w:t xml:space="preserve">the </w:t>
      </w:r>
      <w:r w:rsidRPr="00DC7563">
        <w:rPr>
          <w:lang w:val="en-GB"/>
        </w:rPr>
        <w:t xml:space="preserve">Japanese automotive industry, Wallace brought a new vision by altering Mazda’s logo, seeking new synergies with Ford, and implementing an innovation program to quicken the development of new products. Globally, Wallace aimed to acquire control of foreign </w:t>
      </w:r>
      <w:r w:rsidRPr="00DC7563">
        <w:rPr>
          <w:lang w:val="en-GB"/>
        </w:rPr>
        <w:lastRenderedPageBreak/>
        <w:t xml:space="preserve">distributors, develop dealerships for sales, and identify </w:t>
      </w:r>
      <w:r w:rsidR="007C2F9A" w:rsidRPr="00DC7563">
        <w:rPr>
          <w:lang w:val="en-GB"/>
        </w:rPr>
        <w:t xml:space="preserve">opportunities for further </w:t>
      </w:r>
      <w:r w:rsidRPr="00DC7563">
        <w:rPr>
          <w:lang w:val="en-GB"/>
        </w:rPr>
        <w:t>efficiencies and cost reduction</w:t>
      </w:r>
      <w:r w:rsidR="00C85162" w:rsidRPr="00DC7563">
        <w:rPr>
          <w:lang w:val="en-GB"/>
        </w:rPr>
        <w:t>s</w:t>
      </w:r>
      <w:r w:rsidRPr="00DC7563">
        <w:rPr>
          <w:lang w:val="en-GB"/>
        </w:rPr>
        <w:t xml:space="preserve">. </w:t>
      </w:r>
      <w:r w:rsidR="00261C35" w:rsidRPr="00DC7563">
        <w:rPr>
          <w:lang w:val="en-GB"/>
        </w:rPr>
        <w:t xml:space="preserve">Even as </w:t>
      </w:r>
      <w:r w:rsidRPr="00DC7563">
        <w:rPr>
          <w:lang w:val="en-GB"/>
        </w:rPr>
        <w:t>two leaders succeed</w:t>
      </w:r>
      <w:r w:rsidR="00261C35" w:rsidRPr="00DC7563">
        <w:rPr>
          <w:lang w:val="en-GB"/>
        </w:rPr>
        <w:t>ed</w:t>
      </w:r>
      <w:r w:rsidRPr="00DC7563">
        <w:rPr>
          <w:lang w:val="en-GB"/>
        </w:rPr>
        <w:t xml:space="preserve"> Wallace at the end of the 1990s, Mazda’s sales volume and profit </w:t>
      </w:r>
      <w:r w:rsidRPr="00DC7563">
        <w:rPr>
          <w:rFonts w:eastAsia="Malgun Gothic"/>
          <w:lang w:val="en-GB" w:eastAsia="ko-KR"/>
        </w:rPr>
        <w:t>remained h</w:t>
      </w:r>
      <w:r w:rsidRPr="00DC7563">
        <w:rPr>
          <w:lang w:val="en-GB"/>
        </w:rPr>
        <w:t xml:space="preserve">ealthy through the end of the </w:t>
      </w:r>
      <w:r w:rsidR="00C85162" w:rsidRPr="00DC7563">
        <w:rPr>
          <w:lang w:val="en-GB"/>
        </w:rPr>
        <w:t>decade</w:t>
      </w:r>
      <w:r w:rsidR="005E1BED">
        <w:rPr>
          <w:lang w:val="en-GB"/>
        </w:rPr>
        <w:t>,</w:t>
      </w:r>
      <w:r w:rsidRPr="00DC7563">
        <w:rPr>
          <w:lang w:val="en-GB"/>
        </w:rPr>
        <w:t xml:space="preserve"> </w:t>
      </w:r>
      <w:r w:rsidRPr="00DC7563">
        <w:rPr>
          <w:rFonts w:eastAsia="Malgun Gothic"/>
          <w:lang w:val="en-GB" w:eastAsia="ko-KR"/>
        </w:rPr>
        <w:t>due</w:t>
      </w:r>
      <w:r w:rsidRPr="00DC7563">
        <w:rPr>
          <w:lang w:val="en-GB"/>
        </w:rPr>
        <w:t xml:space="preserve"> to </w:t>
      </w:r>
      <w:r w:rsidRPr="00DC7563">
        <w:rPr>
          <w:rFonts w:eastAsia="Malgun Gothic"/>
          <w:lang w:val="en-GB" w:eastAsia="ko-KR"/>
        </w:rPr>
        <w:t xml:space="preserve">a </w:t>
      </w:r>
      <w:r w:rsidRPr="00DC7563">
        <w:rPr>
          <w:lang w:val="en-GB"/>
        </w:rPr>
        <w:t xml:space="preserve">strong global economy and consumer spending </w:t>
      </w:r>
      <w:r w:rsidR="00C85162" w:rsidRPr="00DC7563">
        <w:rPr>
          <w:lang w:val="en-GB"/>
        </w:rPr>
        <w:t xml:space="preserve">in </w:t>
      </w:r>
      <w:r w:rsidR="0099367A" w:rsidRPr="00DC7563">
        <w:rPr>
          <w:lang w:val="en-GB"/>
        </w:rPr>
        <w:t>W</w:t>
      </w:r>
      <w:r w:rsidRPr="00DC7563">
        <w:rPr>
          <w:lang w:val="en-GB"/>
        </w:rPr>
        <w:t xml:space="preserve">estern </w:t>
      </w:r>
      <w:r w:rsidR="00C85162" w:rsidRPr="00DC7563">
        <w:rPr>
          <w:lang w:val="en-GB"/>
        </w:rPr>
        <w:t>markets</w:t>
      </w:r>
      <w:r w:rsidRPr="00DC7563">
        <w:rPr>
          <w:lang w:val="en-GB"/>
        </w:rPr>
        <w:t>. By 2000, Mazda’s sales volume reached 307,000 units</w:t>
      </w:r>
      <w:r w:rsidR="00C85162" w:rsidRPr="00DC7563">
        <w:rPr>
          <w:lang w:val="en-GB"/>
        </w:rPr>
        <w:t xml:space="preserve"> in Japan</w:t>
      </w:r>
      <w:r w:rsidRPr="00DC7563">
        <w:rPr>
          <w:lang w:val="en-GB"/>
        </w:rPr>
        <w:t>, 255,526 units</w:t>
      </w:r>
      <w:r w:rsidR="00C85162" w:rsidRPr="00DC7563">
        <w:rPr>
          <w:lang w:val="en-GB"/>
        </w:rPr>
        <w:t xml:space="preserve"> in North America</w:t>
      </w:r>
      <w:r w:rsidRPr="00DC7563">
        <w:rPr>
          <w:lang w:val="en-GB"/>
        </w:rPr>
        <w:t xml:space="preserve">, and </w:t>
      </w:r>
      <w:r w:rsidRPr="00DC7563">
        <w:rPr>
          <w:rFonts w:eastAsia="Malgun Gothic"/>
          <w:lang w:val="en-GB" w:eastAsia="ko-KR"/>
        </w:rPr>
        <w:t>210,677 units</w:t>
      </w:r>
      <w:r w:rsidR="00C85162" w:rsidRPr="00DC7563">
        <w:rPr>
          <w:rFonts w:eastAsia="Malgun Gothic"/>
          <w:lang w:val="en-GB" w:eastAsia="ko-KR"/>
        </w:rPr>
        <w:t xml:space="preserve"> in Europe (see Exhibit 2).</w:t>
      </w:r>
      <w:r w:rsidRPr="00DC7563">
        <w:rPr>
          <w:rStyle w:val="EndnoteReference"/>
          <w:rFonts w:eastAsia="Malgun Gothic"/>
          <w:lang w:val="en-GB" w:eastAsia="ko-KR"/>
        </w:rPr>
        <w:endnoteReference w:id="24"/>
      </w:r>
      <w:r w:rsidRPr="00DC7563">
        <w:rPr>
          <w:rFonts w:eastAsia="Malgun Gothic"/>
          <w:lang w:val="en-GB" w:eastAsia="ko-KR"/>
        </w:rPr>
        <w:t xml:space="preserve"> Yet a looming economic crisis would significantly alter the automotive industry, threatening Mazda’s success.</w:t>
      </w:r>
    </w:p>
    <w:p w14:paraId="41946529" w14:textId="77777777" w:rsidR="00991E9B" w:rsidRPr="00DC7563" w:rsidRDefault="00991E9B" w:rsidP="005364B6">
      <w:pPr>
        <w:pStyle w:val="BodyTextMain"/>
        <w:rPr>
          <w:sz w:val="20"/>
          <w:lang w:val="en-GB"/>
        </w:rPr>
      </w:pPr>
    </w:p>
    <w:p w14:paraId="74F9A46B" w14:textId="77777777" w:rsidR="00991E9B" w:rsidRPr="00DC7563" w:rsidRDefault="00991E9B" w:rsidP="005364B6">
      <w:pPr>
        <w:pStyle w:val="BodyTextMain"/>
        <w:rPr>
          <w:sz w:val="20"/>
          <w:lang w:val="en-GB"/>
        </w:rPr>
      </w:pPr>
    </w:p>
    <w:p w14:paraId="28258480" w14:textId="76698587" w:rsidR="00991E9B" w:rsidRPr="00DC7563" w:rsidRDefault="00991E9B" w:rsidP="00C73E67">
      <w:pPr>
        <w:pStyle w:val="BodyTextMain"/>
        <w:outlineLvl w:val="0"/>
        <w:rPr>
          <w:rFonts w:ascii="Arial" w:eastAsia="ヒラギノ明朝 Pro W3" w:hAnsi="Arial"/>
          <w:b/>
          <w:sz w:val="20"/>
          <w:szCs w:val="20"/>
          <w:lang w:val="en-GB"/>
        </w:rPr>
      </w:pPr>
      <w:r w:rsidRPr="00DC7563">
        <w:rPr>
          <w:rFonts w:ascii="Arial" w:eastAsia="ヒラギノ明朝 Pro W3" w:hAnsi="Arial"/>
          <w:b/>
          <w:sz w:val="20"/>
          <w:szCs w:val="20"/>
          <w:lang w:val="en-GB"/>
        </w:rPr>
        <w:t>THE GLOBAL FINANCIAL CRISIS</w:t>
      </w:r>
      <w:r w:rsidR="00C85162" w:rsidRPr="00DC7563">
        <w:rPr>
          <w:rFonts w:ascii="Arial" w:eastAsia="ヒラギノ明朝 Pro W3" w:hAnsi="Arial"/>
          <w:b/>
          <w:sz w:val="20"/>
          <w:szCs w:val="20"/>
          <w:lang w:val="en-GB"/>
        </w:rPr>
        <w:t xml:space="preserve"> AND</w:t>
      </w:r>
      <w:r w:rsidRPr="00DC7563">
        <w:rPr>
          <w:rFonts w:ascii="Arial" w:eastAsia="ヒラギノ明朝 Pro W3" w:hAnsi="Arial"/>
          <w:b/>
          <w:sz w:val="20"/>
          <w:szCs w:val="20"/>
          <w:lang w:val="en-GB"/>
        </w:rPr>
        <w:t xml:space="preserve"> THE END OF </w:t>
      </w:r>
      <w:r w:rsidR="00C85162" w:rsidRPr="00DC7563">
        <w:rPr>
          <w:rFonts w:ascii="Arial" w:eastAsia="ヒラギノ明朝 Pro W3" w:hAnsi="Arial"/>
          <w:b/>
          <w:sz w:val="20"/>
          <w:szCs w:val="20"/>
          <w:lang w:val="en-GB"/>
        </w:rPr>
        <w:t xml:space="preserve">A </w:t>
      </w:r>
      <w:r w:rsidRPr="00DC7563">
        <w:rPr>
          <w:rFonts w:ascii="Arial" w:eastAsia="ヒラギノ明朝 Pro W3" w:hAnsi="Arial"/>
          <w:b/>
          <w:sz w:val="20"/>
          <w:szCs w:val="20"/>
          <w:lang w:val="en-GB"/>
        </w:rPr>
        <w:t>PARTNERSHIP</w:t>
      </w:r>
    </w:p>
    <w:p w14:paraId="4258DE11" w14:textId="77777777" w:rsidR="00991E9B" w:rsidRPr="00DC7563" w:rsidRDefault="00991E9B" w:rsidP="005364B6">
      <w:pPr>
        <w:pStyle w:val="BodyTextMain"/>
        <w:rPr>
          <w:rFonts w:eastAsia="ヒラギノ明朝 Pro W3"/>
          <w:sz w:val="20"/>
          <w:lang w:val="en-GB"/>
        </w:rPr>
      </w:pPr>
    </w:p>
    <w:p w14:paraId="664C1B86" w14:textId="4EF8080E" w:rsidR="00991E9B" w:rsidRPr="00DC7563" w:rsidRDefault="00C85162" w:rsidP="00991E9B">
      <w:pPr>
        <w:pStyle w:val="BodyTextMain"/>
        <w:rPr>
          <w:spacing w:val="-2"/>
          <w:lang w:val="en-GB"/>
        </w:rPr>
      </w:pPr>
      <w:r w:rsidRPr="00DC7563">
        <w:rPr>
          <w:spacing w:val="-2"/>
          <w:lang w:val="en-GB"/>
        </w:rPr>
        <w:t>In 2008, after</w:t>
      </w:r>
      <w:r w:rsidR="00991E9B" w:rsidRPr="00DC7563">
        <w:rPr>
          <w:spacing w:val="-2"/>
          <w:lang w:val="en-GB"/>
        </w:rPr>
        <w:t xml:space="preserve"> 30 years of</w:t>
      </w:r>
      <w:r w:rsidRPr="00DC7563">
        <w:rPr>
          <w:spacing w:val="-2"/>
          <w:lang w:val="en-GB"/>
        </w:rPr>
        <w:t xml:space="preserve"> mutual growth,</w:t>
      </w:r>
      <w:r w:rsidR="00991E9B" w:rsidRPr="00DC7563">
        <w:rPr>
          <w:spacing w:val="-2"/>
          <w:lang w:val="en-GB"/>
        </w:rPr>
        <w:t xml:space="preserve"> the Ford</w:t>
      </w:r>
      <w:r w:rsidR="00EE444C" w:rsidRPr="00DC7563">
        <w:rPr>
          <w:spacing w:val="-2"/>
          <w:lang w:val="en-GB"/>
        </w:rPr>
        <w:t>–</w:t>
      </w:r>
      <w:r w:rsidR="00991E9B" w:rsidRPr="00DC7563">
        <w:rPr>
          <w:spacing w:val="-2"/>
          <w:lang w:val="en-GB"/>
        </w:rPr>
        <w:t xml:space="preserve">Mazda partnership dissolved </w:t>
      </w:r>
      <w:r w:rsidR="00991E9B" w:rsidRPr="00DC7563">
        <w:rPr>
          <w:rFonts w:eastAsia="Malgun Gothic"/>
          <w:spacing w:val="-2"/>
          <w:lang w:val="en-GB" w:eastAsia="ko-KR"/>
        </w:rPr>
        <w:t>as a result of the global financial crisis</w:t>
      </w:r>
      <w:r w:rsidR="00991E9B" w:rsidRPr="00DC7563">
        <w:rPr>
          <w:spacing w:val="-2"/>
          <w:lang w:val="en-GB"/>
        </w:rPr>
        <w:t>.</w:t>
      </w:r>
      <w:r w:rsidR="00991E9B" w:rsidRPr="00DC7563">
        <w:rPr>
          <w:rStyle w:val="EndnoteReference"/>
          <w:spacing w:val="-2"/>
          <w:lang w:val="en-GB"/>
        </w:rPr>
        <w:endnoteReference w:id="25"/>
      </w:r>
      <w:r w:rsidR="00991E9B" w:rsidRPr="00DC7563">
        <w:rPr>
          <w:spacing w:val="-2"/>
          <w:lang w:val="en-GB"/>
        </w:rPr>
        <w:t xml:space="preserve"> The crisis brought increasing prices for automotive fuels and raw materials, resulting in significant declines of automotive sales around the world.</w:t>
      </w:r>
      <w:r w:rsidR="00991E9B" w:rsidRPr="00DC7563">
        <w:rPr>
          <w:rStyle w:val="EndnoteReference"/>
          <w:spacing w:val="-2"/>
          <w:lang w:val="en-GB"/>
        </w:rPr>
        <w:endnoteReference w:id="26"/>
      </w:r>
      <w:r w:rsidR="00991E9B" w:rsidRPr="00DC7563">
        <w:rPr>
          <w:spacing w:val="-2"/>
          <w:lang w:val="en-GB"/>
        </w:rPr>
        <w:t xml:space="preserve"> With </w:t>
      </w:r>
      <w:r w:rsidR="00991E9B" w:rsidRPr="00DC7563">
        <w:rPr>
          <w:rFonts w:eastAsia="Malgun Gothic"/>
          <w:spacing w:val="-2"/>
          <w:lang w:val="en-GB" w:eastAsia="ko-KR"/>
        </w:rPr>
        <w:t>d</w:t>
      </w:r>
      <w:r w:rsidR="00991E9B" w:rsidRPr="00DC7563">
        <w:rPr>
          <w:spacing w:val="-2"/>
          <w:lang w:val="en-GB"/>
        </w:rPr>
        <w:t xml:space="preserve">emand falling during the recession, automotive companies were left reducing their size and selling inefficient assets. Under the direction of CEO Alan </w:t>
      </w:r>
      <w:proofErr w:type="spellStart"/>
      <w:r w:rsidR="00991E9B" w:rsidRPr="00DC7563">
        <w:rPr>
          <w:spacing w:val="-2"/>
          <w:lang w:val="en-GB"/>
        </w:rPr>
        <w:t>Mulally</w:t>
      </w:r>
      <w:proofErr w:type="spellEnd"/>
      <w:r w:rsidR="00991E9B" w:rsidRPr="00DC7563">
        <w:rPr>
          <w:spacing w:val="-2"/>
          <w:lang w:val="en-GB"/>
        </w:rPr>
        <w:t>, Ford sold 20 per cent of its Mazda stake in 2008, returning control to Mazda, while Mazda also bought back an additional 6.8 per cent of its shares from Ford.</w:t>
      </w:r>
      <w:r w:rsidR="00991E9B" w:rsidRPr="00DC7563">
        <w:rPr>
          <w:rStyle w:val="EndnoteReference"/>
          <w:spacing w:val="-2"/>
          <w:lang w:val="en-GB"/>
        </w:rPr>
        <w:endnoteReference w:id="27"/>
      </w:r>
      <w:r w:rsidR="00991E9B" w:rsidRPr="00DC7563">
        <w:rPr>
          <w:spacing w:val="-2"/>
          <w:lang w:val="en-GB"/>
        </w:rPr>
        <w:t xml:space="preserve"> As Ford gradually divested its stake in Mazda, it was left with only 3 per cent ownership by 2010.</w:t>
      </w:r>
      <w:r w:rsidR="00991E9B" w:rsidRPr="00DC7563">
        <w:rPr>
          <w:rStyle w:val="EndnoteReference"/>
          <w:spacing w:val="-2"/>
          <w:lang w:val="en-GB"/>
        </w:rPr>
        <w:endnoteReference w:id="28"/>
      </w:r>
      <w:r w:rsidR="00991E9B" w:rsidRPr="00DC7563">
        <w:rPr>
          <w:spacing w:val="-2"/>
          <w:lang w:val="en-GB"/>
        </w:rPr>
        <w:t xml:space="preserve"> Despite Ford and Mazda’s desire to remain strategic partners through joint ventures and technology sharing, Mazda’s business began declining during the</w:t>
      </w:r>
      <w:r w:rsidR="00006C80" w:rsidRPr="00DC7563">
        <w:rPr>
          <w:spacing w:val="-2"/>
          <w:lang w:val="en-GB"/>
        </w:rPr>
        <w:t xml:space="preserve"> aftermath </w:t>
      </w:r>
      <w:r w:rsidR="00991E9B" w:rsidRPr="00DC7563">
        <w:rPr>
          <w:spacing w:val="-2"/>
          <w:lang w:val="en-GB"/>
        </w:rPr>
        <w:t>of the financial crisis, leaving Mazda’s executive team contemplating whether Mazda could survive as an independent automotive manufacturer without a successful strategic partnership.</w:t>
      </w:r>
      <w:r w:rsidR="00991E9B" w:rsidRPr="00DC7563">
        <w:rPr>
          <w:rStyle w:val="EndnoteReference"/>
          <w:spacing w:val="-2"/>
          <w:lang w:val="en-GB"/>
        </w:rPr>
        <w:endnoteReference w:id="29"/>
      </w:r>
    </w:p>
    <w:p w14:paraId="10C8CC5C" w14:textId="77777777" w:rsidR="00991E9B" w:rsidRPr="00DC7563" w:rsidRDefault="00991E9B" w:rsidP="00991E9B">
      <w:pPr>
        <w:pStyle w:val="BodyTextMain"/>
        <w:rPr>
          <w:rFonts w:eastAsia="Malgun Gothic"/>
          <w:sz w:val="20"/>
          <w:lang w:val="en-GB" w:eastAsia="ko-KR"/>
        </w:rPr>
      </w:pPr>
    </w:p>
    <w:p w14:paraId="543814AD" w14:textId="34CBB5C5" w:rsidR="000A27F4" w:rsidRPr="00DC7563" w:rsidRDefault="00991E9B" w:rsidP="00991E9B">
      <w:pPr>
        <w:pStyle w:val="BodyTextMain"/>
        <w:rPr>
          <w:spacing w:val="-6"/>
          <w:lang w:val="en-GB"/>
        </w:rPr>
      </w:pPr>
      <w:r w:rsidRPr="00DC7563">
        <w:rPr>
          <w:rFonts w:eastAsia="Malgun Gothic"/>
          <w:spacing w:val="-6"/>
          <w:lang w:val="en-GB" w:eastAsia="ko-KR"/>
        </w:rPr>
        <w:t xml:space="preserve">As a result of the global </w:t>
      </w:r>
      <w:r w:rsidRPr="00DC7563">
        <w:rPr>
          <w:spacing w:val="-6"/>
          <w:lang w:val="en-GB"/>
        </w:rPr>
        <w:t>financial crisis,</w:t>
      </w:r>
      <w:r w:rsidRPr="00DC7563">
        <w:rPr>
          <w:rFonts w:eastAsia="Malgun Gothic"/>
          <w:spacing w:val="-6"/>
          <w:lang w:val="en-GB" w:eastAsia="ko-KR"/>
        </w:rPr>
        <w:t xml:space="preserve"> automotive </w:t>
      </w:r>
      <w:r w:rsidRPr="00DC7563">
        <w:rPr>
          <w:spacing w:val="-6"/>
          <w:lang w:val="en-GB"/>
        </w:rPr>
        <w:t xml:space="preserve">industry demand declined sharply, negatively </w:t>
      </w:r>
      <w:r w:rsidR="00006C80" w:rsidRPr="00DC7563">
        <w:rPr>
          <w:spacing w:val="-6"/>
          <w:lang w:val="en-GB"/>
        </w:rPr>
        <w:t xml:space="preserve">affecting </w:t>
      </w:r>
      <w:r w:rsidRPr="00DC7563">
        <w:rPr>
          <w:spacing w:val="-6"/>
          <w:lang w:val="en-GB"/>
        </w:rPr>
        <w:t>Mazda</w:t>
      </w:r>
      <w:r w:rsidRPr="00DC7563">
        <w:rPr>
          <w:rFonts w:eastAsia="Malgun Gothic"/>
          <w:spacing w:val="-6"/>
          <w:lang w:val="en-GB" w:eastAsia="ko-KR"/>
        </w:rPr>
        <w:t>’s</w:t>
      </w:r>
      <w:r w:rsidRPr="00DC7563">
        <w:rPr>
          <w:spacing w:val="-6"/>
          <w:lang w:val="en-GB"/>
        </w:rPr>
        <w:t xml:space="preserve"> business activity. In </w:t>
      </w:r>
      <w:r w:rsidR="00006C80" w:rsidRPr="00DC7563">
        <w:rPr>
          <w:spacing w:val="-6"/>
          <w:lang w:val="en-GB"/>
        </w:rPr>
        <w:t xml:space="preserve">fiscal year (FY) </w:t>
      </w:r>
      <w:r w:rsidRPr="00DC7563">
        <w:rPr>
          <w:spacing w:val="-6"/>
          <w:lang w:val="en-GB"/>
        </w:rPr>
        <w:t>20</w:t>
      </w:r>
      <w:r w:rsidR="00D11D0B" w:rsidRPr="00DC7563">
        <w:rPr>
          <w:spacing w:val="-6"/>
          <w:lang w:val="en-GB"/>
        </w:rPr>
        <w:t>10/</w:t>
      </w:r>
      <w:r w:rsidRPr="00DC7563">
        <w:rPr>
          <w:spacing w:val="-6"/>
          <w:lang w:val="en-GB"/>
        </w:rPr>
        <w:t>11</w:t>
      </w:r>
      <w:r w:rsidRPr="00DC7563">
        <w:rPr>
          <w:rFonts w:eastAsia="Malgun Gothic"/>
          <w:spacing w:val="-6"/>
          <w:lang w:val="en-GB" w:eastAsia="ko-KR"/>
        </w:rPr>
        <w:t>,</w:t>
      </w:r>
      <w:r w:rsidRPr="00DC7563">
        <w:rPr>
          <w:spacing w:val="-6"/>
          <w:lang w:val="en-GB"/>
        </w:rPr>
        <w:t xml:space="preserve"> Mazda</w:t>
      </w:r>
      <w:r w:rsidRPr="00DC7563">
        <w:rPr>
          <w:rFonts w:eastAsia="Malgun Gothic"/>
          <w:spacing w:val="-6"/>
          <w:lang w:val="en-GB" w:eastAsia="ko-KR"/>
        </w:rPr>
        <w:t>’s</w:t>
      </w:r>
      <w:r w:rsidRPr="00DC7563">
        <w:rPr>
          <w:spacing w:val="-6"/>
          <w:lang w:val="en-GB"/>
        </w:rPr>
        <w:t xml:space="preserve"> sales in Japan, North America, and Europe were 206,000, </w:t>
      </w:r>
      <w:r w:rsidR="0032679F">
        <w:rPr>
          <w:spacing w:val="-6"/>
          <w:lang w:val="en-GB"/>
        </w:rPr>
        <w:t>342</w:t>
      </w:r>
      <w:r w:rsidRPr="00DC7563">
        <w:rPr>
          <w:spacing w:val="-6"/>
          <w:lang w:val="en-GB"/>
        </w:rPr>
        <w:t xml:space="preserve">,000 and 212,000 units respectively, </w:t>
      </w:r>
      <w:r w:rsidR="00006C80" w:rsidRPr="00DC7563">
        <w:rPr>
          <w:spacing w:val="-6"/>
          <w:lang w:val="en-GB"/>
        </w:rPr>
        <w:t>demonstrating</w:t>
      </w:r>
      <w:r w:rsidRPr="00DC7563">
        <w:rPr>
          <w:rFonts w:eastAsia="Malgun Gothic"/>
          <w:spacing w:val="-6"/>
          <w:lang w:val="en-GB" w:eastAsia="ko-KR"/>
        </w:rPr>
        <w:t xml:space="preserve"> a decline in the</w:t>
      </w:r>
      <w:r w:rsidRPr="00DC7563">
        <w:rPr>
          <w:spacing w:val="-6"/>
          <w:lang w:val="en-GB"/>
        </w:rPr>
        <w:t xml:space="preserve"> company</w:t>
      </w:r>
      <w:r w:rsidRPr="00DC7563">
        <w:rPr>
          <w:rFonts w:eastAsia="Malgun Gothic"/>
          <w:spacing w:val="-6"/>
          <w:lang w:val="en-GB" w:eastAsia="ko-KR"/>
        </w:rPr>
        <w:t xml:space="preserve">’s </w:t>
      </w:r>
      <w:r w:rsidR="00006C80" w:rsidRPr="00DC7563">
        <w:rPr>
          <w:rFonts w:eastAsia="Malgun Gothic"/>
          <w:spacing w:val="-6"/>
          <w:lang w:val="en-GB" w:eastAsia="ko-KR"/>
        </w:rPr>
        <w:t xml:space="preserve">overall </w:t>
      </w:r>
      <w:r w:rsidRPr="00DC7563">
        <w:rPr>
          <w:spacing w:val="-6"/>
          <w:lang w:val="en-GB"/>
        </w:rPr>
        <w:t>sales.</w:t>
      </w:r>
      <w:r w:rsidRPr="00DC7563">
        <w:rPr>
          <w:rStyle w:val="EndnoteReference"/>
          <w:spacing w:val="-6"/>
          <w:lang w:val="en-GB"/>
        </w:rPr>
        <w:endnoteReference w:id="30"/>
      </w:r>
      <w:r w:rsidRPr="00DC7563">
        <w:rPr>
          <w:spacing w:val="-6"/>
          <w:lang w:val="en-GB"/>
        </w:rPr>
        <w:t xml:space="preserve"> </w:t>
      </w:r>
      <w:r w:rsidRPr="00DC7563">
        <w:rPr>
          <w:rFonts w:eastAsia="Malgun Gothic"/>
          <w:spacing w:val="-6"/>
          <w:lang w:val="en-GB" w:eastAsia="ko-KR"/>
        </w:rPr>
        <w:t>Additionally,</w:t>
      </w:r>
      <w:r w:rsidRPr="00DC7563">
        <w:rPr>
          <w:spacing w:val="-6"/>
          <w:lang w:val="en-GB"/>
        </w:rPr>
        <w:t xml:space="preserve"> </w:t>
      </w:r>
      <w:r w:rsidR="00006C80" w:rsidRPr="00DC7563">
        <w:rPr>
          <w:spacing w:val="-6"/>
          <w:lang w:val="en-GB"/>
        </w:rPr>
        <w:t>the</w:t>
      </w:r>
      <w:r w:rsidRPr="00DC7563">
        <w:rPr>
          <w:spacing w:val="-6"/>
          <w:lang w:val="en-GB"/>
        </w:rPr>
        <w:t xml:space="preserve"> increasingly</w:t>
      </w:r>
      <w:r w:rsidRPr="00DC7563">
        <w:rPr>
          <w:rFonts w:eastAsia="Malgun Gothic"/>
          <w:spacing w:val="-6"/>
          <w:lang w:val="en-GB" w:eastAsia="ko-KR"/>
        </w:rPr>
        <w:t xml:space="preserve"> </w:t>
      </w:r>
      <w:r w:rsidRPr="00DC7563">
        <w:rPr>
          <w:spacing w:val="-6"/>
          <w:lang w:val="en-GB"/>
        </w:rPr>
        <w:t xml:space="preserve">strong Japanese </w:t>
      </w:r>
      <w:r w:rsidR="00006C80" w:rsidRPr="00DC7563">
        <w:rPr>
          <w:spacing w:val="-6"/>
          <w:lang w:val="en-GB"/>
        </w:rPr>
        <w:t>y</w:t>
      </w:r>
      <w:r w:rsidRPr="00DC7563">
        <w:rPr>
          <w:spacing w:val="-6"/>
          <w:lang w:val="en-GB"/>
        </w:rPr>
        <w:t>en crippled</w:t>
      </w:r>
      <w:r w:rsidRPr="00DC7563">
        <w:rPr>
          <w:rFonts w:eastAsia="Malgun Gothic"/>
          <w:spacing w:val="-6"/>
          <w:lang w:val="en-GB" w:eastAsia="ko-KR"/>
        </w:rPr>
        <w:t xml:space="preserve"> </w:t>
      </w:r>
      <w:r w:rsidRPr="00DC7563">
        <w:rPr>
          <w:spacing w:val="-6"/>
          <w:lang w:val="en-GB"/>
        </w:rPr>
        <w:t>Mazda’s export-oriented business model.</w:t>
      </w:r>
      <w:r w:rsidR="003D4F8F" w:rsidRPr="00DC7563">
        <w:rPr>
          <w:spacing w:val="-6"/>
          <w:lang w:val="en-GB"/>
        </w:rPr>
        <w:t xml:space="preserve"> Because it </w:t>
      </w:r>
      <w:r w:rsidR="000A27F4" w:rsidRPr="00DC7563">
        <w:rPr>
          <w:spacing w:val="-6"/>
          <w:lang w:val="en-GB"/>
        </w:rPr>
        <w:t xml:space="preserve">assembled most of its automotive products in Japan and then </w:t>
      </w:r>
      <w:r w:rsidR="003D4F8F" w:rsidRPr="00DC7563">
        <w:rPr>
          <w:spacing w:val="-6"/>
          <w:lang w:val="en-GB"/>
        </w:rPr>
        <w:t>export</w:t>
      </w:r>
      <w:r w:rsidR="000A27F4" w:rsidRPr="00DC7563">
        <w:rPr>
          <w:spacing w:val="-6"/>
          <w:lang w:val="en-GB"/>
        </w:rPr>
        <w:t>ed them</w:t>
      </w:r>
      <w:r w:rsidR="003D4F8F" w:rsidRPr="00DC7563">
        <w:rPr>
          <w:spacing w:val="-6"/>
          <w:lang w:val="en-GB"/>
        </w:rPr>
        <w:t xml:space="preserve">, Mazda was much more sensitive to foreign exchange rates than </w:t>
      </w:r>
      <w:r w:rsidR="000A27F4" w:rsidRPr="00DC7563">
        <w:rPr>
          <w:spacing w:val="-6"/>
          <w:lang w:val="en-GB"/>
        </w:rPr>
        <w:t xml:space="preserve">were </w:t>
      </w:r>
      <w:r w:rsidR="003D4F8F" w:rsidRPr="00DC7563">
        <w:rPr>
          <w:spacing w:val="-6"/>
          <w:lang w:val="en-GB"/>
        </w:rPr>
        <w:t xml:space="preserve">its rivals </w:t>
      </w:r>
      <w:r w:rsidR="000A27F4" w:rsidRPr="00DC7563">
        <w:rPr>
          <w:spacing w:val="-6"/>
          <w:lang w:val="en-GB"/>
        </w:rPr>
        <w:t>(most of which had global manufacturing facilities)</w:t>
      </w:r>
      <w:r w:rsidR="003D4F8F" w:rsidRPr="00DC7563">
        <w:rPr>
          <w:spacing w:val="-6"/>
          <w:lang w:val="en-GB"/>
        </w:rPr>
        <w:t xml:space="preserve">. </w:t>
      </w:r>
      <w:r w:rsidRPr="00DC7563">
        <w:rPr>
          <w:rFonts w:eastAsia="Malgun Gothic"/>
          <w:spacing w:val="-6"/>
          <w:lang w:val="en-GB" w:eastAsia="ko-KR"/>
        </w:rPr>
        <w:t>D</w:t>
      </w:r>
      <w:r w:rsidRPr="00DC7563">
        <w:rPr>
          <w:spacing w:val="-6"/>
          <w:lang w:val="en-GB"/>
        </w:rPr>
        <w:t xml:space="preserve">uring </w:t>
      </w:r>
      <w:r w:rsidR="003D4F8F" w:rsidRPr="00DC7563">
        <w:rPr>
          <w:spacing w:val="-6"/>
          <w:lang w:val="en-GB"/>
        </w:rPr>
        <w:t xml:space="preserve">FY </w:t>
      </w:r>
      <w:r w:rsidRPr="00DC7563">
        <w:rPr>
          <w:spacing w:val="-6"/>
          <w:lang w:val="en-GB"/>
        </w:rPr>
        <w:t>20</w:t>
      </w:r>
      <w:r w:rsidR="00101A7E" w:rsidRPr="00DC7563">
        <w:rPr>
          <w:spacing w:val="-6"/>
          <w:lang w:val="en-GB"/>
        </w:rPr>
        <w:t>07/</w:t>
      </w:r>
      <w:r w:rsidRPr="00DC7563">
        <w:rPr>
          <w:spacing w:val="-6"/>
          <w:lang w:val="en-GB"/>
        </w:rPr>
        <w:t xml:space="preserve">08, </w:t>
      </w:r>
      <w:r w:rsidRPr="00DC7563">
        <w:rPr>
          <w:rFonts w:eastAsia="Malgun Gothic"/>
          <w:spacing w:val="-6"/>
          <w:lang w:val="en-GB" w:eastAsia="ko-KR"/>
        </w:rPr>
        <w:t xml:space="preserve">the </w:t>
      </w:r>
      <w:r w:rsidR="00E449F7" w:rsidRPr="00DC7563">
        <w:rPr>
          <w:rFonts w:eastAsia="Malgun Gothic"/>
          <w:spacing w:val="-6"/>
          <w:lang w:val="en-GB" w:eastAsia="ko-KR"/>
        </w:rPr>
        <w:t>U.S. dollar</w:t>
      </w:r>
      <w:r w:rsidR="003D4F8F" w:rsidRPr="00DC7563">
        <w:rPr>
          <w:rFonts w:eastAsia="Malgun Gothic"/>
          <w:spacing w:val="-6"/>
          <w:lang w:val="en-GB" w:eastAsia="ko-KR"/>
        </w:rPr>
        <w:t xml:space="preserve">–yen </w:t>
      </w:r>
      <w:r w:rsidRPr="00DC7563">
        <w:rPr>
          <w:rFonts w:eastAsia="Malgun Gothic"/>
          <w:spacing w:val="-6"/>
          <w:lang w:val="en-GB" w:eastAsia="ko-KR"/>
        </w:rPr>
        <w:t xml:space="preserve">exchange rate </w:t>
      </w:r>
      <w:r w:rsidR="00E449F7" w:rsidRPr="00DC7563">
        <w:rPr>
          <w:rFonts w:eastAsia="Malgun Gothic"/>
          <w:spacing w:val="-6"/>
          <w:lang w:val="en-GB" w:eastAsia="ko-KR"/>
        </w:rPr>
        <w:t xml:space="preserve">was </w:t>
      </w:r>
      <w:r w:rsidRPr="00DC7563">
        <w:rPr>
          <w:rFonts w:eastAsia="Malgun Gothic"/>
          <w:spacing w:val="-6"/>
          <w:lang w:val="en-GB" w:eastAsia="ko-KR"/>
        </w:rPr>
        <w:t>US</w:t>
      </w:r>
      <w:r w:rsidR="00E449F7" w:rsidRPr="00DC7563">
        <w:rPr>
          <w:rFonts w:eastAsia="Malgun Gothic"/>
          <w:spacing w:val="-6"/>
          <w:lang w:val="en-GB" w:eastAsia="ko-KR"/>
        </w:rPr>
        <w:t>$1</w:t>
      </w:r>
      <w:r w:rsidR="00E449F7" w:rsidRPr="00DC7563">
        <w:rPr>
          <w:spacing w:val="-6"/>
          <w:lang w:val="en-GB"/>
        </w:rPr>
        <w:t xml:space="preserve"> =</w:t>
      </w:r>
      <w:r w:rsidRPr="00DC7563">
        <w:rPr>
          <w:spacing w:val="-6"/>
          <w:lang w:val="en-GB"/>
        </w:rPr>
        <w:t xml:space="preserve"> </w:t>
      </w:r>
      <w:r w:rsidRPr="00DC7563">
        <w:rPr>
          <w:rStyle w:val="tgc"/>
          <w:bCs/>
          <w:spacing w:val="-6"/>
          <w:lang w:val="en-GB"/>
        </w:rPr>
        <w:t>¥</w:t>
      </w:r>
      <w:r w:rsidRPr="00DC7563">
        <w:rPr>
          <w:spacing w:val="-6"/>
          <w:lang w:val="en-GB"/>
        </w:rPr>
        <w:t xml:space="preserve">114, </w:t>
      </w:r>
      <w:r w:rsidRPr="00DC7563">
        <w:rPr>
          <w:rFonts w:eastAsia="Malgun Gothic"/>
          <w:spacing w:val="-6"/>
          <w:lang w:val="en-GB" w:eastAsia="ko-KR"/>
        </w:rPr>
        <w:t>but</w:t>
      </w:r>
      <w:r w:rsidR="00E449F7" w:rsidRPr="00DC7563">
        <w:rPr>
          <w:rFonts w:eastAsia="Malgun Gothic"/>
          <w:spacing w:val="-6"/>
          <w:lang w:val="en-GB" w:eastAsia="ko-KR"/>
        </w:rPr>
        <w:t xml:space="preserve"> the rate</w:t>
      </w:r>
      <w:r w:rsidRPr="00DC7563">
        <w:rPr>
          <w:rFonts w:eastAsia="Malgun Gothic"/>
          <w:spacing w:val="-6"/>
          <w:lang w:val="en-GB" w:eastAsia="ko-KR"/>
        </w:rPr>
        <w:t xml:space="preserve"> dropped to </w:t>
      </w:r>
      <w:r w:rsidR="00E449F7" w:rsidRPr="00DC7563">
        <w:rPr>
          <w:rFonts w:eastAsia="Malgun Gothic"/>
          <w:spacing w:val="-6"/>
          <w:lang w:val="en-GB" w:eastAsia="ko-KR"/>
        </w:rPr>
        <w:t xml:space="preserve">US$1 = </w:t>
      </w:r>
      <w:r w:rsidRPr="00DC7563">
        <w:rPr>
          <w:rStyle w:val="tgc"/>
          <w:bCs/>
          <w:spacing w:val="-6"/>
          <w:lang w:val="en-GB"/>
        </w:rPr>
        <w:t>¥</w:t>
      </w:r>
      <w:r w:rsidRPr="00DC7563">
        <w:rPr>
          <w:spacing w:val="-6"/>
          <w:lang w:val="en-GB"/>
        </w:rPr>
        <w:t xml:space="preserve">86 in </w:t>
      </w:r>
      <w:r w:rsidR="003D4F8F" w:rsidRPr="00DC7563">
        <w:rPr>
          <w:spacing w:val="-6"/>
          <w:lang w:val="en-GB"/>
        </w:rPr>
        <w:t xml:space="preserve">FY </w:t>
      </w:r>
      <w:r w:rsidRPr="00DC7563">
        <w:rPr>
          <w:spacing w:val="-6"/>
          <w:lang w:val="en-GB"/>
        </w:rPr>
        <w:t>20</w:t>
      </w:r>
      <w:r w:rsidR="00101A7E" w:rsidRPr="00DC7563">
        <w:rPr>
          <w:spacing w:val="-6"/>
          <w:lang w:val="en-GB"/>
        </w:rPr>
        <w:t>10/</w:t>
      </w:r>
      <w:r w:rsidRPr="00DC7563">
        <w:rPr>
          <w:spacing w:val="-6"/>
          <w:lang w:val="en-GB"/>
        </w:rPr>
        <w:t>11</w:t>
      </w:r>
      <w:r w:rsidR="00E449F7" w:rsidRPr="00DC7563">
        <w:rPr>
          <w:spacing w:val="-6"/>
          <w:lang w:val="en-GB"/>
        </w:rPr>
        <w:t>.</w:t>
      </w:r>
      <w:r w:rsidRPr="00DC7563">
        <w:rPr>
          <w:spacing w:val="-6"/>
          <w:lang w:val="en-GB"/>
        </w:rPr>
        <w:t xml:space="preserve"> </w:t>
      </w:r>
      <w:r w:rsidR="00E449F7" w:rsidRPr="00DC7563">
        <w:rPr>
          <w:spacing w:val="-6"/>
          <w:lang w:val="en-GB"/>
        </w:rPr>
        <w:t xml:space="preserve">Similarly, the euro–yen exchange rate </w:t>
      </w:r>
      <w:r w:rsidRPr="00DC7563">
        <w:rPr>
          <w:spacing w:val="-6"/>
          <w:lang w:val="en-GB"/>
        </w:rPr>
        <w:t>sank from</w:t>
      </w:r>
      <w:r w:rsidRPr="00DC7563">
        <w:rPr>
          <w:rFonts w:eastAsia="Malgun Gothic"/>
          <w:spacing w:val="-6"/>
          <w:lang w:val="en-GB" w:eastAsia="ko-KR"/>
        </w:rPr>
        <w:t xml:space="preserve"> </w:t>
      </w:r>
      <w:r w:rsidR="00432A38" w:rsidRPr="00DC7563">
        <w:rPr>
          <w:color w:val="222222"/>
          <w:spacing w:val="-6"/>
          <w:shd w:val="clear" w:color="auto" w:fill="FFFFFF"/>
          <w:lang w:val="en-GB"/>
        </w:rPr>
        <w:t xml:space="preserve">€1 = </w:t>
      </w:r>
      <w:r w:rsidRPr="00DC7563">
        <w:rPr>
          <w:rStyle w:val="tgc"/>
          <w:bCs/>
          <w:spacing w:val="-6"/>
          <w:lang w:val="en-GB"/>
        </w:rPr>
        <w:t>¥</w:t>
      </w:r>
      <w:r w:rsidRPr="00DC7563">
        <w:rPr>
          <w:spacing w:val="-6"/>
          <w:lang w:val="en-GB"/>
        </w:rPr>
        <w:t xml:space="preserve">162 to </w:t>
      </w:r>
      <w:r w:rsidR="00432A38" w:rsidRPr="00DC7563">
        <w:rPr>
          <w:color w:val="222222"/>
          <w:spacing w:val="-6"/>
          <w:shd w:val="clear" w:color="auto" w:fill="FFFFFF"/>
          <w:lang w:val="en-GB"/>
        </w:rPr>
        <w:t xml:space="preserve">€1 = </w:t>
      </w:r>
      <w:r w:rsidRPr="00DC7563">
        <w:rPr>
          <w:rStyle w:val="tgc"/>
          <w:bCs/>
          <w:spacing w:val="-6"/>
          <w:lang w:val="en-GB"/>
        </w:rPr>
        <w:t>¥</w:t>
      </w:r>
      <w:r w:rsidRPr="00DC7563">
        <w:rPr>
          <w:spacing w:val="-6"/>
          <w:lang w:val="en-GB"/>
        </w:rPr>
        <w:t>113 during the same period.</w:t>
      </w:r>
      <w:r w:rsidRPr="00DC7563">
        <w:rPr>
          <w:rStyle w:val="EndnoteReference"/>
          <w:spacing w:val="-6"/>
          <w:lang w:val="en-GB"/>
        </w:rPr>
        <w:endnoteReference w:id="31"/>
      </w:r>
      <w:r w:rsidRPr="00DC7563">
        <w:rPr>
          <w:spacing w:val="-6"/>
          <w:lang w:val="en-GB"/>
        </w:rPr>
        <w:t xml:space="preserve"> </w:t>
      </w:r>
    </w:p>
    <w:p w14:paraId="2C0DF7E1" w14:textId="77777777" w:rsidR="000A27F4" w:rsidRPr="00DC7563" w:rsidRDefault="000A27F4" w:rsidP="00991E9B">
      <w:pPr>
        <w:pStyle w:val="BodyTextMain"/>
        <w:rPr>
          <w:spacing w:val="-6"/>
          <w:lang w:val="en-GB"/>
        </w:rPr>
      </w:pPr>
    </w:p>
    <w:p w14:paraId="7D2BB45F" w14:textId="68B1E188" w:rsidR="000A27F4" w:rsidRPr="00DC7563" w:rsidRDefault="00A30280" w:rsidP="00991E9B">
      <w:pPr>
        <w:pStyle w:val="BodyTextMain"/>
        <w:rPr>
          <w:spacing w:val="-6"/>
          <w:lang w:val="en-GB"/>
        </w:rPr>
      </w:pPr>
      <w:r w:rsidRPr="00DC7563">
        <w:rPr>
          <w:spacing w:val="-6"/>
          <w:lang w:val="en-GB"/>
        </w:rPr>
        <w:t>In light of these</w:t>
      </w:r>
      <w:r w:rsidR="00991E9B" w:rsidRPr="00DC7563">
        <w:rPr>
          <w:spacing w:val="-6"/>
          <w:lang w:val="en-GB"/>
        </w:rPr>
        <w:t xml:space="preserve"> poor macroeconomic </w:t>
      </w:r>
      <w:r w:rsidR="00991E9B" w:rsidRPr="00DC7563">
        <w:rPr>
          <w:rFonts w:eastAsia="Malgun Gothic"/>
          <w:spacing w:val="-6"/>
          <w:lang w:val="en-GB" w:eastAsia="ko-KR"/>
        </w:rPr>
        <w:t>conditions</w:t>
      </w:r>
      <w:r w:rsidR="00991E9B" w:rsidRPr="00DC7563">
        <w:rPr>
          <w:spacing w:val="-6"/>
          <w:lang w:val="en-GB"/>
        </w:rPr>
        <w:t xml:space="preserve"> and slump</w:t>
      </w:r>
      <w:r w:rsidR="00991E9B" w:rsidRPr="00DC7563">
        <w:rPr>
          <w:rFonts w:eastAsia="Malgun Gothic"/>
          <w:spacing w:val="-6"/>
          <w:lang w:val="en-GB" w:eastAsia="ko-KR"/>
        </w:rPr>
        <w:t>ing sales</w:t>
      </w:r>
      <w:r w:rsidR="00991E9B" w:rsidRPr="00DC7563">
        <w:rPr>
          <w:spacing w:val="-6"/>
          <w:lang w:val="en-GB"/>
        </w:rPr>
        <w:t xml:space="preserve">, Mazda’s operating profit </w:t>
      </w:r>
      <w:r w:rsidR="000A27F4" w:rsidRPr="00DC7563">
        <w:rPr>
          <w:rFonts w:eastAsia="Malgun Gothic"/>
          <w:spacing w:val="-6"/>
          <w:lang w:val="en-GB" w:eastAsia="ko-KR"/>
        </w:rPr>
        <w:t>fell from</w:t>
      </w:r>
      <w:r w:rsidR="00991E9B" w:rsidRPr="00DC7563">
        <w:rPr>
          <w:rFonts w:eastAsia="Malgun Gothic"/>
          <w:spacing w:val="-6"/>
          <w:lang w:val="en-GB" w:eastAsia="ko-KR"/>
        </w:rPr>
        <w:t xml:space="preserve"> </w:t>
      </w:r>
      <w:r w:rsidR="00432A38" w:rsidRPr="00DC7563">
        <w:rPr>
          <w:rStyle w:val="tgc"/>
          <w:bCs/>
          <w:spacing w:val="-6"/>
          <w:lang w:val="en-GB"/>
        </w:rPr>
        <w:t>¥</w:t>
      </w:r>
      <w:r w:rsidR="00991E9B" w:rsidRPr="00DC7563">
        <w:rPr>
          <w:spacing w:val="-6"/>
          <w:lang w:val="en-GB"/>
        </w:rPr>
        <w:t xml:space="preserve">162 billion in </w:t>
      </w:r>
      <w:r w:rsidR="003D4F8F" w:rsidRPr="00DC7563">
        <w:rPr>
          <w:spacing w:val="-6"/>
          <w:lang w:val="en-GB"/>
        </w:rPr>
        <w:t xml:space="preserve">FY </w:t>
      </w:r>
      <w:r w:rsidR="00991E9B" w:rsidRPr="00DC7563">
        <w:rPr>
          <w:spacing w:val="-6"/>
          <w:lang w:val="en-GB"/>
        </w:rPr>
        <w:t>20</w:t>
      </w:r>
      <w:r w:rsidR="00D45951" w:rsidRPr="00DC7563">
        <w:rPr>
          <w:spacing w:val="-6"/>
          <w:lang w:val="en-GB"/>
        </w:rPr>
        <w:t>07/</w:t>
      </w:r>
      <w:r w:rsidR="00991E9B" w:rsidRPr="00DC7563">
        <w:rPr>
          <w:spacing w:val="-6"/>
          <w:lang w:val="en-GB"/>
        </w:rPr>
        <w:t>08</w:t>
      </w:r>
      <w:r w:rsidR="00991E9B" w:rsidRPr="00DC7563">
        <w:rPr>
          <w:rFonts w:eastAsia="Malgun Gothic"/>
          <w:spacing w:val="-6"/>
          <w:lang w:val="en-GB" w:eastAsia="ko-KR"/>
        </w:rPr>
        <w:t xml:space="preserve"> to </w:t>
      </w:r>
      <w:r w:rsidR="00DD5F9A" w:rsidRPr="00DC7563">
        <w:rPr>
          <w:rStyle w:val="tgc"/>
          <w:bCs/>
          <w:spacing w:val="-6"/>
          <w:lang w:val="en-GB"/>
        </w:rPr>
        <w:t>¥</w:t>
      </w:r>
      <w:r w:rsidR="00991E9B" w:rsidRPr="00DC7563">
        <w:rPr>
          <w:spacing w:val="-6"/>
          <w:lang w:val="en-GB"/>
        </w:rPr>
        <w:t xml:space="preserve">23 billion by </w:t>
      </w:r>
      <w:r w:rsidR="003D4F8F" w:rsidRPr="00DC7563">
        <w:rPr>
          <w:spacing w:val="-6"/>
          <w:lang w:val="en-GB"/>
        </w:rPr>
        <w:t xml:space="preserve">FY </w:t>
      </w:r>
      <w:r w:rsidR="00991E9B" w:rsidRPr="00DC7563">
        <w:rPr>
          <w:spacing w:val="-6"/>
          <w:lang w:val="en-GB"/>
        </w:rPr>
        <w:t>20</w:t>
      </w:r>
      <w:r w:rsidR="00D45951" w:rsidRPr="00DC7563">
        <w:rPr>
          <w:spacing w:val="-6"/>
          <w:lang w:val="en-GB"/>
        </w:rPr>
        <w:t>10/</w:t>
      </w:r>
      <w:r w:rsidR="00991E9B" w:rsidRPr="00DC7563">
        <w:rPr>
          <w:spacing w:val="-6"/>
          <w:lang w:val="en-GB"/>
        </w:rPr>
        <w:t xml:space="preserve">11. As </w:t>
      </w:r>
      <w:r w:rsidR="000A27F4" w:rsidRPr="00DC7563">
        <w:rPr>
          <w:spacing w:val="-6"/>
          <w:lang w:val="en-GB"/>
        </w:rPr>
        <w:t xml:space="preserve">the firm </w:t>
      </w:r>
      <w:r w:rsidR="00991E9B" w:rsidRPr="00DC7563">
        <w:rPr>
          <w:spacing w:val="-6"/>
          <w:lang w:val="en-GB"/>
        </w:rPr>
        <w:t>recorded four consecutive net</w:t>
      </w:r>
      <w:r w:rsidR="00991E9B" w:rsidRPr="00DC7563">
        <w:rPr>
          <w:rFonts w:eastAsia="Malgun Gothic"/>
          <w:spacing w:val="-6"/>
          <w:lang w:val="en-GB" w:eastAsia="ko-KR"/>
        </w:rPr>
        <w:t xml:space="preserve"> profit</w:t>
      </w:r>
      <w:r w:rsidR="00991E9B" w:rsidRPr="00DC7563">
        <w:rPr>
          <w:spacing w:val="-6"/>
          <w:lang w:val="en-GB"/>
        </w:rPr>
        <w:t xml:space="preserve"> losses </w:t>
      </w:r>
      <w:r w:rsidR="00991E9B" w:rsidRPr="00DC7563">
        <w:rPr>
          <w:rFonts w:eastAsia="Malgun Gothic"/>
          <w:spacing w:val="-6"/>
          <w:lang w:val="en-GB" w:eastAsia="ko-KR"/>
        </w:rPr>
        <w:t>from</w:t>
      </w:r>
      <w:r w:rsidR="00991E9B" w:rsidRPr="00DC7563">
        <w:rPr>
          <w:spacing w:val="-6"/>
          <w:lang w:val="en-GB"/>
        </w:rPr>
        <w:t xml:space="preserve"> </w:t>
      </w:r>
      <w:r w:rsidR="003D4F8F" w:rsidRPr="00DC7563">
        <w:rPr>
          <w:spacing w:val="-6"/>
          <w:lang w:val="en-GB"/>
        </w:rPr>
        <w:t xml:space="preserve">FY </w:t>
      </w:r>
      <w:r w:rsidR="00991E9B" w:rsidRPr="00DC7563">
        <w:rPr>
          <w:spacing w:val="-6"/>
          <w:lang w:val="en-GB"/>
        </w:rPr>
        <w:t>20</w:t>
      </w:r>
      <w:r w:rsidR="00DC40A7" w:rsidRPr="00DC7563">
        <w:rPr>
          <w:spacing w:val="-6"/>
          <w:lang w:val="en-GB"/>
        </w:rPr>
        <w:t>08/</w:t>
      </w:r>
      <w:r w:rsidR="00991E9B" w:rsidRPr="00DC7563">
        <w:rPr>
          <w:spacing w:val="-6"/>
          <w:lang w:val="en-GB"/>
        </w:rPr>
        <w:t xml:space="preserve">09 </w:t>
      </w:r>
      <w:r w:rsidR="000A27F4" w:rsidRPr="00DC7563">
        <w:rPr>
          <w:spacing w:val="-6"/>
          <w:lang w:val="en-GB"/>
        </w:rPr>
        <w:t>to</w:t>
      </w:r>
      <w:r w:rsidR="00991E9B" w:rsidRPr="00DC7563">
        <w:rPr>
          <w:spacing w:val="-6"/>
          <w:lang w:val="en-GB"/>
        </w:rPr>
        <w:t xml:space="preserve"> </w:t>
      </w:r>
      <w:r w:rsidR="003D4F8F" w:rsidRPr="00DC7563">
        <w:rPr>
          <w:spacing w:val="-6"/>
          <w:lang w:val="en-GB"/>
        </w:rPr>
        <w:t xml:space="preserve">FY </w:t>
      </w:r>
      <w:r w:rsidR="00991E9B" w:rsidRPr="00DC7563">
        <w:rPr>
          <w:spacing w:val="-6"/>
          <w:lang w:val="en-GB"/>
        </w:rPr>
        <w:t>20</w:t>
      </w:r>
      <w:r w:rsidR="00DC40A7" w:rsidRPr="00DC7563">
        <w:rPr>
          <w:spacing w:val="-6"/>
          <w:lang w:val="en-GB"/>
        </w:rPr>
        <w:t>11/</w:t>
      </w:r>
      <w:r w:rsidR="00991E9B" w:rsidRPr="00DC7563">
        <w:rPr>
          <w:spacing w:val="-6"/>
          <w:lang w:val="en-GB"/>
        </w:rPr>
        <w:t>12</w:t>
      </w:r>
      <w:r w:rsidR="00991E9B" w:rsidRPr="00DC7563">
        <w:rPr>
          <w:rFonts w:eastAsia="Malgun Gothic"/>
          <w:spacing w:val="-6"/>
          <w:lang w:val="en-GB" w:eastAsia="ko-KR"/>
        </w:rPr>
        <w:t xml:space="preserve">, its stock price </w:t>
      </w:r>
      <w:r w:rsidR="000A27F4" w:rsidRPr="00DC7563">
        <w:rPr>
          <w:rFonts w:eastAsia="Malgun Gothic"/>
          <w:spacing w:val="-6"/>
          <w:lang w:val="en-GB" w:eastAsia="ko-KR"/>
        </w:rPr>
        <w:t xml:space="preserve">also </w:t>
      </w:r>
      <w:r w:rsidR="00991E9B" w:rsidRPr="00DC7563">
        <w:rPr>
          <w:rFonts w:eastAsia="Malgun Gothic"/>
          <w:spacing w:val="-6"/>
          <w:lang w:val="en-GB" w:eastAsia="ko-KR"/>
        </w:rPr>
        <w:t>plunged</w:t>
      </w:r>
      <w:r w:rsidR="000A27F4" w:rsidRPr="00DC7563">
        <w:rPr>
          <w:rFonts w:eastAsia="Malgun Gothic"/>
          <w:spacing w:val="-6"/>
          <w:lang w:val="en-GB" w:eastAsia="ko-KR"/>
        </w:rPr>
        <w:t xml:space="preserve"> (see Exhibit 3)</w:t>
      </w:r>
      <w:r w:rsidR="00991E9B" w:rsidRPr="00DC7563">
        <w:rPr>
          <w:spacing w:val="-6"/>
          <w:lang w:val="en-GB"/>
        </w:rPr>
        <w:t>.</w:t>
      </w:r>
      <w:r w:rsidR="00991E9B" w:rsidRPr="00DC7563">
        <w:rPr>
          <w:rStyle w:val="EndnoteReference"/>
          <w:spacing w:val="-6"/>
          <w:lang w:val="en-GB"/>
        </w:rPr>
        <w:endnoteReference w:id="32"/>
      </w:r>
      <w:r w:rsidR="00991E9B" w:rsidRPr="00DC7563">
        <w:rPr>
          <w:rFonts w:eastAsia="Malgun Gothic"/>
          <w:spacing w:val="-6"/>
          <w:lang w:val="en-GB" w:eastAsia="ko-KR"/>
        </w:rPr>
        <w:t xml:space="preserve"> </w:t>
      </w:r>
      <w:r w:rsidR="000A27F4" w:rsidRPr="00DC7563">
        <w:rPr>
          <w:spacing w:val="-6"/>
          <w:lang w:val="en-GB"/>
        </w:rPr>
        <w:t>Accordingly, following the Ford partnership, Mazda ended all production of its cars in the United States in 2013.</w:t>
      </w:r>
      <w:r w:rsidR="000A27F4" w:rsidRPr="00DC7563">
        <w:rPr>
          <w:rStyle w:val="EndnoteReference"/>
          <w:spacing w:val="-6"/>
          <w:lang w:val="en-GB"/>
        </w:rPr>
        <w:endnoteReference w:id="33"/>
      </w:r>
      <w:r w:rsidR="000A27F4" w:rsidRPr="00DC7563">
        <w:rPr>
          <w:rFonts w:eastAsia="Malgun Gothic"/>
          <w:spacing w:val="-6"/>
          <w:lang w:val="en-GB" w:eastAsia="ko-KR"/>
        </w:rPr>
        <w:t xml:space="preserve"> Due to the</w:t>
      </w:r>
      <w:r w:rsidR="000A27F4" w:rsidRPr="00DC7563">
        <w:rPr>
          <w:spacing w:val="-6"/>
          <w:lang w:val="en-GB"/>
        </w:rPr>
        <w:t xml:space="preserve"> accumulated losses and </w:t>
      </w:r>
      <w:r w:rsidR="000A27F4" w:rsidRPr="00DC7563">
        <w:rPr>
          <w:rFonts w:eastAsia="Malgun Gothic"/>
          <w:spacing w:val="-6"/>
          <w:lang w:val="en-GB" w:eastAsia="ko-KR"/>
        </w:rPr>
        <w:t xml:space="preserve">lack of </w:t>
      </w:r>
      <w:r w:rsidR="000A27F4" w:rsidRPr="00DC7563">
        <w:rPr>
          <w:spacing w:val="-6"/>
          <w:lang w:val="en-GB"/>
        </w:rPr>
        <w:t>f</w:t>
      </w:r>
      <w:r w:rsidR="000A27F4" w:rsidRPr="00DC7563">
        <w:rPr>
          <w:rFonts w:eastAsia="Malgun Gothic"/>
          <w:spacing w:val="-6"/>
          <w:lang w:val="en-GB" w:eastAsia="ko-KR"/>
        </w:rPr>
        <w:t>inancial</w:t>
      </w:r>
      <w:r w:rsidR="000A27F4" w:rsidRPr="00DC7563">
        <w:rPr>
          <w:spacing w:val="-6"/>
          <w:lang w:val="en-GB"/>
        </w:rPr>
        <w:t xml:space="preserve"> resource</w:t>
      </w:r>
      <w:r w:rsidR="000A27F4" w:rsidRPr="00DC7563">
        <w:rPr>
          <w:rFonts w:eastAsia="Malgun Gothic"/>
          <w:spacing w:val="-6"/>
          <w:lang w:val="en-GB" w:eastAsia="ko-KR"/>
        </w:rPr>
        <w:t xml:space="preserve"> for new investments,</w:t>
      </w:r>
      <w:r w:rsidR="000A27F4" w:rsidRPr="00DC7563">
        <w:rPr>
          <w:spacing w:val="-6"/>
          <w:lang w:val="en-GB"/>
        </w:rPr>
        <w:t xml:space="preserve"> Mazda desperately sought change to revive its business.</w:t>
      </w:r>
    </w:p>
    <w:p w14:paraId="010D71A8" w14:textId="0B261B17" w:rsidR="00991E9B" w:rsidRPr="00DC7563" w:rsidRDefault="00991E9B" w:rsidP="00991E9B">
      <w:pPr>
        <w:pStyle w:val="BodyTextMain"/>
        <w:rPr>
          <w:rFonts w:eastAsia="Malgun Gothic"/>
          <w:sz w:val="20"/>
          <w:lang w:val="en-GB" w:eastAsia="ko-KR"/>
        </w:rPr>
      </w:pPr>
    </w:p>
    <w:p w14:paraId="7BCDDF58" w14:textId="77777777" w:rsidR="00991E9B" w:rsidRPr="00DC7563" w:rsidRDefault="00991E9B" w:rsidP="00991E9B">
      <w:pPr>
        <w:pStyle w:val="BodyTextMain"/>
        <w:rPr>
          <w:rFonts w:eastAsia="Malgun Gothic"/>
          <w:sz w:val="20"/>
          <w:lang w:val="en-GB" w:eastAsia="ko-KR"/>
        </w:rPr>
      </w:pPr>
    </w:p>
    <w:p w14:paraId="23FE3557" w14:textId="77777777" w:rsidR="00991E9B" w:rsidRPr="00DC7563" w:rsidRDefault="00991E9B" w:rsidP="00C73E67">
      <w:pPr>
        <w:pStyle w:val="BodyTextMain"/>
        <w:outlineLvl w:val="0"/>
        <w:rPr>
          <w:rFonts w:ascii="Arial" w:eastAsia="ヒラギノ明朝 Pro W3" w:hAnsi="Arial"/>
          <w:b/>
          <w:sz w:val="20"/>
          <w:szCs w:val="20"/>
          <w:lang w:val="en-GB" w:eastAsia="ja-JP"/>
        </w:rPr>
      </w:pPr>
      <w:r w:rsidRPr="00DC7563">
        <w:rPr>
          <w:rFonts w:ascii="Arial" w:eastAsia="ヒラギノ明朝 Pro W3" w:hAnsi="Arial"/>
          <w:b/>
          <w:sz w:val="20"/>
          <w:szCs w:val="20"/>
          <w:lang w:val="en-GB"/>
        </w:rPr>
        <w:t>REPLACING THE ROTARY ENGINE: INTRODUCING SKYACTIV TECHNOLOGY</w:t>
      </w:r>
    </w:p>
    <w:p w14:paraId="6A511382" w14:textId="77777777" w:rsidR="00991E9B" w:rsidRPr="00DC7563" w:rsidRDefault="00991E9B" w:rsidP="00991E9B">
      <w:pPr>
        <w:pStyle w:val="BodyTextMain"/>
        <w:rPr>
          <w:sz w:val="20"/>
          <w:lang w:val="en-GB"/>
        </w:rPr>
      </w:pPr>
    </w:p>
    <w:p w14:paraId="43665850" w14:textId="4FE9FE6C" w:rsidR="00991E9B" w:rsidRPr="00DC7563" w:rsidRDefault="00991E9B" w:rsidP="00991E9B">
      <w:pPr>
        <w:pStyle w:val="BodyTextMain"/>
        <w:rPr>
          <w:rFonts w:eastAsia="Malgun Gothic"/>
          <w:spacing w:val="-4"/>
          <w:lang w:val="en-GB" w:eastAsia="ko-KR"/>
        </w:rPr>
      </w:pPr>
      <w:r w:rsidRPr="00DC7563">
        <w:rPr>
          <w:spacing w:val="-4"/>
          <w:lang w:val="en-GB"/>
        </w:rPr>
        <w:t>To overcome its struggles</w:t>
      </w:r>
      <w:r w:rsidR="000A27F4" w:rsidRPr="00DC7563">
        <w:rPr>
          <w:spacing w:val="-4"/>
          <w:lang w:val="en-GB"/>
        </w:rPr>
        <w:t xml:space="preserve"> as an independent manufacturer</w:t>
      </w:r>
      <w:r w:rsidRPr="00DC7563">
        <w:rPr>
          <w:spacing w:val="-4"/>
          <w:lang w:val="en-GB"/>
        </w:rPr>
        <w:t>, Mazda altered its identity as</w:t>
      </w:r>
      <w:r w:rsidR="00683FDD" w:rsidRPr="00DC7563">
        <w:rPr>
          <w:spacing w:val="-4"/>
          <w:lang w:val="en-GB"/>
        </w:rPr>
        <w:t xml:space="preserve"> a rotary</w:t>
      </w:r>
      <w:r w:rsidR="000A27F4" w:rsidRPr="00DC7563">
        <w:rPr>
          <w:spacing w:val="-4"/>
          <w:lang w:val="en-GB"/>
        </w:rPr>
        <w:t xml:space="preserve"> </w:t>
      </w:r>
      <w:r w:rsidR="00683FDD" w:rsidRPr="00DC7563">
        <w:rPr>
          <w:spacing w:val="-4"/>
          <w:lang w:val="en-GB"/>
        </w:rPr>
        <w:t xml:space="preserve">engine manufacturer. </w:t>
      </w:r>
      <w:r w:rsidRPr="00DC7563">
        <w:rPr>
          <w:spacing w:val="-4"/>
          <w:lang w:val="en-GB"/>
        </w:rPr>
        <w:t xml:space="preserve">Since the 1960s, Mazda </w:t>
      </w:r>
      <w:r w:rsidR="000A27F4" w:rsidRPr="00DC7563">
        <w:rPr>
          <w:spacing w:val="-4"/>
          <w:lang w:val="en-GB"/>
        </w:rPr>
        <w:t>had been</w:t>
      </w:r>
      <w:r w:rsidRPr="00DC7563">
        <w:rPr>
          <w:spacing w:val="-4"/>
          <w:lang w:val="en-GB"/>
        </w:rPr>
        <w:t xml:space="preserve"> famous for </w:t>
      </w:r>
      <w:r w:rsidRPr="00DC7563">
        <w:rPr>
          <w:rFonts w:eastAsia="Malgun Gothic"/>
          <w:spacing w:val="-4"/>
          <w:lang w:val="en-GB" w:eastAsia="ko-KR"/>
        </w:rPr>
        <w:t>its</w:t>
      </w:r>
      <w:r w:rsidRPr="00DC7563">
        <w:rPr>
          <w:spacing w:val="-4"/>
          <w:lang w:val="en-GB"/>
        </w:rPr>
        <w:t xml:space="preserve"> rotary engine</w:t>
      </w:r>
      <w:r w:rsidRPr="00DC7563">
        <w:rPr>
          <w:rFonts w:eastAsia="Malgun Gothic"/>
          <w:spacing w:val="-4"/>
          <w:lang w:val="en-GB" w:eastAsia="ko-KR"/>
        </w:rPr>
        <w:t>,</w:t>
      </w:r>
      <w:r w:rsidRPr="00DC7563">
        <w:rPr>
          <w:spacing w:val="-4"/>
          <w:lang w:val="en-GB"/>
        </w:rPr>
        <w:t xml:space="preserve"> </w:t>
      </w:r>
      <w:r w:rsidR="00241647" w:rsidRPr="00DC7563">
        <w:rPr>
          <w:spacing w:val="-4"/>
          <w:lang w:val="en-GB"/>
        </w:rPr>
        <w:t>which was unique</w:t>
      </w:r>
      <w:r w:rsidRPr="00DC7563">
        <w:rPr>
          <w:spacing w:val="-4"/>
          <w:lang w:val="en-GB"/>
        </w:rPr>
        <w:t xml:space="preserve"> </w:t>
      </w:r>
      <w:r w:rsidR="00241647" w:rsidRPr="00DC7563">
        <w:rPr>
          <w:spacing w:val="-4"/>
          <w:lang w:val="en-GB"/>
        </w:rPr>
        <w:t>among</w:t>
      </w:r>
      <w:r w:rsidRPr="00DC7563">
        <w:rPr>
          <w:spacing w:val="-4"/>
          <w:lang w:val="en-GB"/>
        </w:rPr>
        <w:t xml:space="preserve"> passenger vehicles.</w:t>
      </w:r>
      <w:r w:rsidRPr="00DC7563">
        <w:rPr>
          <w:rStyle w:val="EndnoteReference"/>
          <w:spacing w:val="-4"/>
          <w:lang w:val="en-GB"/>
        </w:rPr>
        <w:endnoteReference w:id="34"/>
      </w:r>
      <w:r w:rsidRPr="00DC7563">
        <w:rPr>
          <w:spacing w:val="-4"/>
          <w:lang w:val="en-GB"/>
        </w:rPr>
        <w:t xml:space="preserve"> </w:t>
      </w:r>
      <w:r w:rsidRPr="00DC7563">
        <w:rPr>
          <w:rFonts w:eastAsia="Malgun Gothic"/>
          <w:spacing w:val="-4"/>
          <w:lang w:val="en-GB" w:eastAsia="ko-KR"/>
        </w:rPr>
        <w:t>The r</w:t>
      </w:r>
      <w:r w:rsidRPr="00DC7563">
        <w:rPr>
          <w:spacing w:val="-4"/>
          <w:lang w:val="en-GB"/>
        </w:rPr>
        <w:t xml:space="preserve">otary engine </w:t>
      </w:r>
      <w:r w:rsidRPr="00DC7563">
        <w:rPr>
          <w:rFonts w:eastAsia="Malgun Gothic"/>
          <w:spacing w:val="-4"/>
          <w:lang w:val="en-GB" w:eastAsia="ko-KR"/>
        </w:rPr>
        <w:t xml:space="preserve">possessed an </w:t>
      </w:r>
      <w:r w:rsidRPr="00DC7563">
        <w:rPr>
          <w:spacing w:val="-4"/>
          <w:lang w:val="en-GB"/>
        </w:rPr>
        <w:t xml:space="preserve">advantage over </w:t>
      </w:r>
      <w:r w:rsidRPr="00DC7563">
        <w:rPr>
          <w:rFonts w:eastAsia="Malgun Gothic"/>
          <w:spacing w:val="-4"/>
          <w:lang w:val="en-GB" w:eastAsia="ko-KR"/>
        </w:rPr>
        <w:t xml:space="preserve">the </w:t>
      </w:r>
      <w:r w:rsidRPr="00DC7563">
        <w:rPr>
          <w:spacing w:val="-4"/>
          <w:lang w:val="en-GB"/>
        </w:rPr>
        <w:t xml:space="preserve">typical piston engine </w:t>
      </w:r>
      <w:r w:rsidRPr="00DC7563">
        <w:rPr>
          <w:rFonts w:eastAsia="Malgun Gothic"/>
          <w:spacing w:val="-4"/>
          <w:lang w:val="en-GB" w:eastAsia="ko-KR"/>
        </w:rPr>
        <w:t xml:space="preserve">because of its </w:t>
      </w:r>
      <w:r w:rsidRPr="00DC7563">
        <w:rPr>
          <w:spacing w:val="-4"/>
          <w:lang w:val="en-GB"/>
        </w:rPr>
        <w:t>higher power</w:t>
      </w:r>
      <w:r w:rsidR="00241647" w:rsidRPr="00DC7563">
        <w:rPr>
          <w:spacing w:val="-4"/>
          <w:lang w:val="en-GB"/>
        </w:rPr>
        <w:t>-</w:t>
      </w:r>
      <w:r w:rsidRPr="00DC7563">
        <w:rPr>
          <w:spacing w:val="-4"/>
          <w:lang w:val="en-GB"/>
        </w:rPr>
        <w:t>to</w:t>
      </w:r>
      <w:r w:rsidR="00241647" w:rsidRPr="00DC7563">
        <w:rPr>
          <w:spacing w:val="-4"/>
          <w:lang w:val="en-GB"/>
        </w:rPr>
        <w:t>-</w:t>
      </w:r>
      <w:r w:rsidRPr="00DC7563">
        <w:rPr>
          <w:spacing w:val="-4"/>
          <w:lang w:val="en-GB"/>
        </w:rPr>
        <w:t xml:space="preserve">weight ratio and </w:t>
      </w:r>
      <w:r w:rsidR="00241647" w:rsidRPr="00DC7563">
        <w:rPr>
          <w:spacing w:val="-4"/>
          <w:lang w:val="en-GB"/>
        </w:rPr>
        <w:t>reduced</w:t>
      </w:r>
      <w:r w:rsidRPr="00DC7563">
        <w:rPr>
          <w:spacing w:val="-4"/>
          <w:lang w:val="en-GB"/>
        </w:rPr>
        <w:t xml:space="preserve"> vibration. </w:t>
      </w:r>
      <w:r w:rsidRPr="00DC7563">
        <w:rPr>
          <w:rFonts w:eastAsia="Malgun Gothic"/>
          <w:spacing w:val="-4"/>
          <w:lang w:val="en-GB" w:eastAsia="ko-KR"/>
        </w:rPr>
        <w:t>J</w:t>
      </w:r>
      <w:r w:rsidRPr="00DC7563">
        <w:rPr>
          <w:spacing w:val="-4"/>
          <w:lang w:val="en-GB"/>
        </w:rPr>
        <w:t>ust one</w:t>
      </w:r>
      <w:r w:rsidR="00241647" w:rsidRPr="00DC7563">
        <w:rPr>
          <w:spacing w:val="-4"/>
          <w:lang w:val="en-GB"/>
        </w:rPr>
        <w:t>-</w:t>
      </w:r>
      <w:r w:rsidRPr="00DC7563">
        <w:rPr>
          <w:spacing w:val="-4"/>
          <w:lang w:val="en-GB"/>
        </w:rPr>
        <w:t>third of</w:t>
      </w:r>
      <w:r w:rsidRPr="00DC7563">
        <w:rPr>
          <w:rFonts w:eastAsia="Malgun Gothic"/>
          <w:spacing w:val="-4"/>
          <w:lang w:val="en-GB" w:eastAsia="ko-KR"/>
        </w:rPr>
        <w:t xml:space="preserve"> the</w:t>
      </w:r>
      <w:r w:rsidRPr="00DC7563">
        <w:rPr>
          <w:spacing w:val="-4"/>
          <w:lang w:val="en-GB"/>
        </w:rPr>
        <w:t xml:space="preserve"> size and weight of the piston engine, Mazda’s rotary </w:t>
      </w:r>
      <w:r w:rsidRPr="00DC7563">
        <w:rPr>
          <w:rFonts w:eastAsia="Malgun Gothic"/>
          <w:spacing w:val="-4"/>
          <w:lang w:val="en-GB" w:eastAsia="ko-KR"/>
        </w:rPr>
        <w:t>engine</w:t>
      </w:r>
      <w:r w:rsidRPr="00DC7563">
        <w:rPr>
          <w:spacing w:val="-4"/>
          <w:lang w:val="en-GB"/>
        </w:rPr>
        <w:t xml:space="preserve"> generated</w:t>
      </w:r>
      <w:r w:rsidRPr="00DC7563">
        <w:rPr>
          <w:rFonts w:eastAsia="Malgun Gothic"/>
          <w:spacing w:val="-4"/>
          <w:lang w:val="en-GB" w:eastAsia="ko-KR"/>
        </w:rPr>
        <w:t xml:space="preserve"> a nearly</w:t>
      </w:r>
      <w:r w:rsidRPr="00DC7563">
        <w:rPr>
          <w:spacing w:val="-4"/>
          <w:lang w:val="en-GB"/>
        </w:rPr>
        <w:t xml:space="preserve"> equivalent power output, proving its </w:t>
      </w:r>
      <w:r w:rsidRPr="00DC7563">
        <w:rPr>
          <w:rFonts w:eastAsia="Malgun Gothic"/>
          <w:spacing w:val="-4"/>
          <w:lang w:val="en-GB" w:eastAsia="ko-KR"/>
        </w:rPr>
        <w:t xml:space="preserve">power </w:t>
      </w:r>
      <w:r w:rsidRPr="00DC7563">
        <w:rPr>
          <w:spacing w:val="-4"/>
          <w:lang w:val="en-GB"/>
        </w:rPr>
        <w:t xml:space="preserve">at </w:t>
      </w:r>
      <w:r w:rsidR="00DE3B98" w:rsidRPr="00DC7563">
        <w:rPr>
          <w:spacing w:val="-4"/>
          <w:lang w:val="en-GB"/>
        </w:rPr>
        <w:t>The 24 Hours of Le Mans</w:t>
      </w:r>
      <w:r w:rsidRPr="00DC7563">
        <w:rPr>
          <w:rFonts w:eastAsia="Malgun Gothic"/>
          <w:spacing w:val="-4"/>
          <w:lang w:val="en-GB" w:eastAsia="ko-KR"/>
        </w:rPr>
        <w:t>,</w:t>
      </w:r>
      <w:r w:rsidR="0049748B" w:rsidRPr="00DC7563">
        <w:rPr>
          <w:rStyle w:val="EndnoteReference"/>
          <w:rFonts w:eastAsia="Malgun Gothic"/>
          <w:spacing w:val="-4"/>
          <w:lang w:val="en-GB" w:eastAsia="ko-KR"/>
        </w:rPr>
        <w:endnoteReference w:id="35"/>
      </w:r>
      <w:r w:rsidRPr="00DC7563">
        <w:rPr>
          <w:rFonts w:eastAsia="Malgun Gothic"/>
          <w:spacing w:val="-4"/>
          <w:lang w:val="en-GB" w:eastAsia="ko-KR"/>
        </w:rPr>
        <w:t xml:space="preserve"> becoming the</w:t>
      </w:r>
      <w:r w:rsidRPr="00DC7563">
        <w:rPr>
          <w:spacing w:val="-4"/>
          <w:lang w:val="en-GB"/>
        </w:rPr>
        <w:t xml:space="preserve"> only champion </w:t>
      </w:r>
      <w:r w:rsidRPr="00DC7563">
        <w:rPr>
          <w:rFonts w:eastAsia="Malgun Gothic"/>
          <w:spacing w:val="-4"/>
          <w:lang w:val="en-GB" w:eastAsia="ko-KR"/>
        </w:rPr>
        <w:t>to win without</w:t>
      </w:r>
      <w:r w:rsidRPr="00DC7563">
        <w:rPr>
          <w:spacing w:val="-4"/>
          <w:lang w:val="en-GB"/>
        </w:rPr>
        <w:t xml:space="preserve"> using </w:t>
      </w:r>
      <w:r w:rsidRPr="00DC7563">
        <w:rPr>
          <w:rFonts w:eastAsia="Malgun Gothic"/>
          <w:spacing w:val="-4"/>
          <w:lang w:val="en-GB" w:eastAsia="ko-KR"/>
        </w:rPr>
        <w:t xml:space="preserve">a </w:t>
      </w:r>
      <w:r w:rsidRPr="00DC7563">
        <w:rPr>
          <w:spacing w:val="-4"/>
          <w:lang w:val="en-GB"/>
        </w:rPr>
        <w:t>piston engine in 1991.</w:t>
      </w:r>
      <w:r w:rsidRPr="00DC7563">
        <w:rPr>
          <w:rStyle w:val="EndnoteReference"/>
          <w:spacing w:val="-4"/>
          <w:lang w:val="en-GB"/>
        </w:rPr>
        <w:endnoteReference w:id="36"/>
      </w:r>
      <w:r w:rsidRPr="00DC7563">
        <w:rPr>
          <w:spacing w:val="-4"/>
          <w:lang w:val="en-GB"/>
        </w:rPr>
        <w:t xml:space="preserve"> However, poor fuel efficiency </w:t>
      </w:r>
      <w:r w:rsidRPr="00DC7563">
        <w:rPr>
          <w:rFonts w:eastAsia="Malgun Gothic"/>
          <w:spacing w:val="-4"/>
          <w:lang w:val="en-GB" w:eastAsia="ko-KR"/>
        </w:rPr>
        <w:t>and</w:t>
      </w:r>
      <w:r w:rsidRPr="00DC7563">
        <w:rPr>
          <w:spacing w:val="-4"/>
          <w:lang w:val="en-GB"/>
        </w:rPr>
        <w:t xml:space="preserve"> excessive emissions made the engine more suitable for racing </w:t>
      </w:r>
      <w:r w:rsidRPr="00DC7563">
        <w:rPr>
          <w:rFonts w:eastAsia="Malgun Gothic"/>
          <w:spacing w:val="-4"/>
          <w:lang w:val="en-GB" w:eastAsia="ko-KR"/>
        </w:rPr>
        <w:t>than for everyday driving.</w:t>
      </w:r>
    </w:p>
    <w:p w14:paraId="4E4E6537" w14:textId="77777777" w:rsidR="00AE42FF" w:rsidRPr="00DC7563" w:rsidRDefault="00AE42FF" w:rsidP="00991E9B">
      <w:pPr>
        <w:pStyle w:val="BodyTextMain"/>
        <w:rPr>
          <w:lang w:val="en-GB"/>
        </w:rPr>
      </w:pPr>
    </w:p>
    <w:p w14:paraId="46D33400" w14:textId="33CF5464" w:rsidR="00991E9B" w:rsidRPr="00DC7563" w:rsidRDefault="00241647" w:rsidP="00991E9B">
      <w:pPr>
        <w:pStyle w:val="BodyTextMain"/>
        <w:rPr>
          <w:lang w:val="en-GB"/>
        </w:rPr>
      </w:pPr>
      <w:r w:rsidRPr="00DC7563">
        <w:rPr>
          <w:lang w:val="en-GB"/>
        </w:rPr>
        <w:t>Thus, i</w:t>
      </w:r>
      <w:r w:rsidR="00991E9B" w:rsidRPr="00DC7563">
        <w:rPr>
          <w:lang w:val="en-GB"/>
        </w:rPr>
        <w:t xml:space="preserve">n 2010, Mazda introduced </w:t>
      </w:r>
      <w:r w:rsidRPr="00DC7563">
        <w:rPr>
          <w:lang w:val="en-GB"/>
        </w:rPr>
        <w:t xml:space="preserve">its </w:t>
      </w:r>
      <w:r w:rsidR="00991E9B" w:rsidRPr="00DC7563">
        <w:rPr>
          <w:lang w:val="en-GB"/>
        </w:rPr>
        <w:t xml:space="preserve">SKYACTIV technology, </w:t>
      </w:r>
      <w:r w:rsidRPr="00DC7563">
        <w:rPr>
          <w:lang w:val="en-GB"/>
        </w:rPr>
        <w:t xml:space="preserve">which </w:t>
      </w:r>
      <w:r w:rsidR="00991E9B" w:rsidRPr="00DC7563">
        <w:rPr>
          <w:lang w:val="en-GB"/>
        </w:rPr>
        <w:t>equipp</w:t>
      </w:r>
      <w:r w:rsidRPr="00DC7563">
        <w:rPr>
          <w:lang w:val="en-GB"/>
        </w:rPr>
        <w:t>ed</w:t>
      </w:r>
      <w:r w:rsidR="00991E9B" w:rsidRPr="00DC7563">
        <w:rPr>
          <w:lang w:val="en-GB"/>
        </w:rPr>
        <w:t xml:space="preserve"> </w:t>
      </w:r>
      <w:r w:rsidR="00991E9B" w:rsidRPr="00DC7563">
        <w:rPr>
          <w:rFonts w:eastAsia="Malgun Gothic"/>
          <w:lang w:val="en-GB" w:eastAsia="ko-KR"/>
        </w:rPr>
        <w:t xml:space="preserve">its vehicles </w:t>
      </w:r>
      <w:r w:rsidR="00991E9B" w:rsidRPr="00DC7563">
        <w:rPr>
          <w:lang w:val="en-GB"/>
        </w:rPr>
        <w:t>with high fuel efficiency, outstanding crash safety, and balanced precis</w:t>
      </w:r>
      <w:r w:rsidR="00991E9B" w:rsidRPr="00DC7563">
        <w:rPr>
          <w:rFonts w:eastAsia="Malgun Gothic"/>
          <w:lang w:val="en-GB" w:eastAsia="ko-KR"/>
        </w:rPr>
        <w:t>ion</w:t>
      </w:r>
      <w:r w:rsidR="00991E9B" w:rsidRPr="00DC7563">
        <w:rPr>
          <w:lang w:val="en-GB"/>
        </w:rPr>
        <w:t xml:space="preserve"> handling.</w:t>
      </w:r>
      <w:r w:rsidR="00991E9B" w:rsidRPr="00DC7563">
        <w:rPr>
          <w:rStyle w:val="EndnoteReference"/>
          <w:lang w:val="en-GB"/>
        </w:rPr>
        <w:endnoteReference w:id="37"/>
      </w:r>
      <w:r w:rsidR="00991E9B" w:rsidRPr="00DC7563">
        <w:rPr>
          <w:rFonts w:eastAsia="Malgun Gothic"/>
          <w:lang w:val="en-GB" w:eastAsia="ko-KR"/>
        </w:rPr>
        <w:t xml:space="preserve"> </w:t>
      </w:r>
      <w:r w:rsidRPr="00DC7563">
        <w:rPr>
          <w:lang w:val="en-GB"/>
        </w:rPr>
        <w:t xml:space="preserve">Based on the </w:t>
      </w:r>
      <w:r w:rsidR="00991E9B" w:rsidRPr="00DC7563">
        <w:rPr>
          <w:lang w:val="en-GB"/>
        </w:rPr>
        <w:t>early success</w:t>
      </w:r>
      <w:r w:rsidRPr="00DC7563">
        <w:rPr>
          <w:lang w:val="en-GB"/>
        </w:rPr>
        <w:t xml:space="preserve"> of</w:t>
      </w:r>
      <w:r w:rsidR="00991E9B" w:rsidRPr="00DC7563">
        <w:rPr>
          <w:lang w:val="en-GB"/>
        </w:rPr>
        <w:t xml:space="preserve"> </w:t>
      </w:r>
      <w:r w:rsidRPr="00DC7563">
        <w:rPr>
          <w:lang w:val="en-GB"/>
        </w:rPr>
        <w:t xml:space="preserve">this </w:t>
      </w:r>
      <w:r w:rsidR="00991E9B" w:rsidRPr="00DC7563">
        <w:rPr>
          <w:lang w:val="en-GB"/>
        </w:rPr>
        <w:t xml:space="preserve">technology, newly launched </w:t>
      </w:r>
      <w:r w:rsidR="00991E9B" w:rsidRPr="00DC7563">
        <w:rPr>
          <w:rFonts w:eastAsia="Malgun Gothic"/>
          <w:lang w:val="en-GB" w:eastAsia="ko-KR"/>
        </w:rPr>
        <w:t>products</w:t>
      </w:r>
      <w:r w:rsidR="00991E9B" w:rsidRPr="00DC7563">
        <w:rPr>
          <w:lang w:val="en-GB"/>
        </w:rPr>
        <w:t xml:space="preserve"> </w:t>
      </w:r>
      <w:r w:rsidR="00185D80">
        <w:rPr>
          <w:lang w:val="en-GB"/>
        </w:rPr>
        <w:t>such as</w:t>
      </w:r>
      <w:r w:rsidR="00185D80" w:rsidRPr="00DC7563">
        <w:rPr>
          <w:rFonts w:eastAsia="Malgun Gothic"/>
          <w:lang w:val="en-GB" w:eastAsia="ko-KR"/>
        </w:rPr>
        <w:t xml:space="preserve"> </w:t>
      </w:r>
      <w:r w:rsidR="00991E9B" w:rsidRPr="00DC7563">
        <w:rPr>
          <w:rFonts w:eastAsia="Malgun Gothic"/>
          <w:lang w:val="en-GB" w:eastAsia="ko-KR"/>
        </w:rPr>
        <w:t>the</w:t>
      </w:r>
      <w:r w:rsidR="00991E9B" w:rsidRPr="00DC7563">
        <w:rPr>
          <w:lang w:val="en-GB"/>
        </w:rPr>
        <w:t xml:space="preserve"> CX-5 and Mazda 6 gained </w:t>
      </w:r>
      <w:r w:rsidR="00991E9B" w:rsidRPr="00DC7563">
        <w:rPr>
          <w:rFonts w:eastAsia="Malgun Gothic"/>
          <w:lang w:val="en-GB" w:eastAsia="ko-KR"/>
        </w:rPr>
        <w:t xml:space="preserve">traction </w:t>
      </w:r>
      <w:r w:rsidR="00991E9B" w:rsidRPr="00DC7563">
        <w:rPr>
          <w:lang w:val="en-GB"/>
        </w:rPr>
        <w:t>in 2012</w:t>
      </w:r>
      <w:r w:rsidRPr="00DC7563">
        <w:rPr>
          <w:rFonts w:eastAsia="Malgun Gothic"/>
          <w:lang w:val="en-GB" w:eastAsia="ko-KR"/>
        </w:rPr>
        <w:t>,</w:t>
      </w:r>
      <w:r w:rsidR="00991E9B" w:rsidRPr="00DC7563">
        <w:rPr>
          <w:lang w:val="en-GB"/>
        </w:rPr>
        <w:t xml:space="preserve"> </w:t>
      </w:r>
      <w:r w:rsidRPr="00DC7563">
        <w:rPr>
          <w:lang w:val="en-GB"/>
        </w:rPr>
        <w:t xml:space="preserve">and </w:t>
      </w:r>
      <w:r w:rsidR="00991E9B" w:rsidRPr="00DC7563">
        <w:rPr>
          <w:lang w:val="en-GB"/>
        </w:rPr>
        <w:t xml:space="preserve">Mazda’s </w:t>
      </w:r>
      <w:r w:rsidR="00991E9B" w:rsidRPr="00DC7563">
        <w:rPr>
          <w:lang w:val="en-GB"/>
        </w:rPr>
        <w:lastRenderedPageBreak/>
        <w:t>global sales steadily rose</w:t>
      </w:r>
      <w:r w:rsidRPr="00DC7563">
        <w:rPr>
          <w:lang w:val="en-GB"/>
        </w:rPr>
        <w:t xml:space="preserve"> (see Exhibit 4)</w:t>
      </w:r>
      <w:r w:rsidR="00991E9B" w:rsidRPr="00DC7563">
        <w:rPr>
          <w:lang w:val="en-GB"/>
        </w:rPr>
        <w:t>.</w:t>
      </w:r>
      <w:r w:rsidR="00991E9B" w:rsidRPr="00DC7563">
        <w:rPr>
          <w:rStyle w:val="EndnoteReference"/>
          <w:lang w:val="en-GB"/>
        </w:rPr>
        <w:endnoteReference w:id="38"/>
      </w:r>
      <w:r w:rsidR="00991E9B" w:rsidRPr="00DC7563">
        <w:rPr>
          <w:lang w:val="en-GB"/>
        </w:rPr>
        <w:t xml:space="preserve"> Align</w:t>
      </w:r>
      <w:r w:rsidR="00991E9B" w:rsidRPr="00DC7563">
        <w:rPr>
          <w:rFonts w:eastAsia="Malgun Gothic"/>
          <w:lang w:val="en-GB" w:eastAsia="ko-KR"/>
        </w:rPr>
        <w:t>ing</w:t>
      </w:r>
      <w:r w:rsidR="00991E9B" w:rsidRPr="00DC7563">
        <w:rPr>
          <w:lang w:val="en-GB"/>
        </w:rPr>
        <w:t xml:space="preserve"> with </w:t>
      </w:r>
      <w:r w:rsidR="00F769A8" w:rsidRPr="00DC7563">
        <w:rPr>
          <w:lang w:val="en-GB"/>
        </w:rPr>
        <w:t xml:space="preserve">this </w:t>
      </w:r>
      <w:r w:rsidR="00991E9B" w:rsidRPr="00DC7563">
        <w:rPr>
          <w:lang w:val="en-GB"/>
        </w:rPr>
        <w:t xml:space="preserve">strong sales growth and </w:t>
      </w:r>
      <w:r w:rsidR="00991E9B" w:rsidRPr="00DC7563">
        <w:rPr>
          <w:rFonts w:eastAsia="Malgun Gothic"/>
          <w:lang w:val="en-GB" w:eastAsia="ko-KR"/>
        </w:rPr>
        <w:t xml:space="preserve">a </w:t>
      </w:r>
      <w:r w:rsidR="00991E9B" w:rsidRPr="00DC7563">
        <w:rPr>
          <w:lang w:val="en-GB"/>
        </w:rPr>
        <w:t xml:space="preserve">weakening yen, Mazda’s exports </w:t>
      </w:r>
      <w:r w:rsidR="003679E8" w:rsidRPr="00DC7563">
        <w:rPr>
          <w:lang w:val="en-GB"/>
        </w:rPr>
        <w:t xml:space="preserve">also </w:t>
      </w:r>
      <w:r w:rsidR="00991E9B" w:rsidRPr="00DC7563">
        <w:rPr>
          <w:lang w:val="en-GB"/>
        </w:rPr>
        <w:t xml:space="preserve">rose, and </w:t>
      </w:r>
      <w:r w:rsidR="00991E9B" w:rsidRPr="00DC7563">
        <w:rPr>
          <w:rFonts w:eastAsia="Malgun Gothic"/>
          <w:lang w:val="en-GB" w:eastAsia="ko-KR"/>
        </w:rPr>
        <w:t xml:space="preserve">the company’s </w:t>
      </w:r>
      <w:r w:rsidR="00991E9B" w:rsidRPr="00DC7563">
        <w:rPr>
          <w:lang w:val="en-GB"/>
        </w:rPr>
        <w:t>operating profit recorded</w:t>
      </w:r>
      <w:r w:rsidR="00991E9B" w:rsidRPr="00DC7563">
        <w:rPr>
          <w:rFonts w:eastAsia="Malgun Gothic"/>
          <w:lang w:val="en-GB" w:eastAsia="ko-KR"/>
        </w:rPr>
        <w:t xml:space="preserve"> a</w:t>
      </w:r>
      <w:r w:rsidR="00991E9B" w:rsidRPr="00DC7563">
        <w:rPr>
          <w:lang w:val="en-GB"/>
        </w:rPr>
        <w:t xml:space="preserve"> </w:t>
      </w:r>
      <w:r w:rsidR="00991E9B" w:rsidRPr="00DC7563">
        <w:rPr>
          <w:rFonts w:eastAsia="Malgun Gothic"/>
          <w:lang w:val="en-GB" w:eastAsia="ko-KR"/>
        </w:rPr>
        <w:t xml:space="preserve">new </w:t>
      </w:r>
      <w:r w:rsidR="00991E9B" w:rsidRPr="00DC7563">
        <w:rPr>
          <w:lang w:val="en-GB"/>
        </w:rPr>
        <w:t xml:space="preserve">historical high at </w:t>
      </w:r>
      <w:r w:rsidR="007B0DB9" w:rsidRPr="00DC7563">
        <w:rPr>
          <w:rStyle w:val="tgc"/>
          <w:bCs/>
          <w:lang w:val="en-GB"/>
        </w:rPr>
        <w:t>¥</w:t>
      </w:r>
      <w:r w:rsidR="00991E9B" w:rsidRPr="00DC7563">
        <w:rPr>
          <w:lang w:val="en-GB"/>
        </w:rPr>
        <w:t xml:space="preserve">182 billion in </w:t>
      </w:r>
      <w:r w:rsidR="003D4F8F" w:rsidRPr="00DC7563">
        <w:rPr>
          <w:lang w:val="en-GB"/>
        </w:rPr>
        <w:t xml:space="preserve">FY </w:t>
      </w:r>
      <w:r w:rsidR="00991E9B" w:rsidRPr="00DC7563">
        <w:rPr>
          <w:lang w:val="en-GB"/>
        </w:rPr>
        <w:t>20</w:t>
      </w:r>
      <w:r w:rsidR="00945B20" w:rsidRPr="00DC7563">
        <w:rPr>
          <w:lang w:val="en-GB"/>
        </w:rPr>
        <w:t>13/</w:t>
      </w:r>
      <w:r w:rsidR="00991E9B" w:rsidRPr="00DC7563">
        <w:rPr>
          <w:lang w:val="en-GB"/>
        </w:rPr>
        <w:t>14</w:t>
      </w:r>
      <w:r w:rsidRPr="00DC7563">
        <w:rPr>
          <w:lang w:val="en-GB"/>
        </w:rPr>
        <w:t xml:space="preserve"> (see Exhibit 5)</w:t>
      </w:r>
      <w:r w:rsidR="00991E9B" w:rsidRPr="00DC7563">
        <w:rPr>
          <w:lang w:val="en-GB"/>
        </w:rPr>
        <w:t>.</w:t>
      </w:r>
      <w:r w:rsidR="00991E9B" w:rsidRPr="00DC7563">
        <w:rPr>
          <w:rStyle w:val="EndnoteReference"/>
          <w:lang w:val="en-GB"/>
        </w:rPr>
        <w:endnoteReference w:id="39"/>
      </w:r>
      <w:r w:rsidR="00991E9B" w:rsidRPr="00DC7563">
        <w:rPr>
          <w:lang w:val="en-GB"/>
        </w:rPr>
        <w:t xml:space="preserve"> As </w:t>
      </w:r>
      <w:r w:rsidR="007B0DB9" w:rsidRPr="00DC7563">
        <w:rPr>
          <w:rFonts w:eastAsia="Malgun Gothic"/>
          <w:lang w:val="en-GB" w:eastAsia="ko-KR"/>
        </w:rPr>
        <w:t>Mazda’s</w:t>
      </w:r>
      <w:r w:rsidR="00991E9B" w:rsidRPr="00DC7563">
        <w:rPr>
          <w:lang w:val="en-GB"/>
        </w:rPr>
        <w:t xml:space="preserve"> stock price skyrocketed, it appeared that </w:t>
      </w:r>
      <w:r w:rsidR="007B0DB9" w:rsidRPr="00DC7563">
        <w:rPr>
          <w:lang w:val="en-GB"/>
        </w:rPr>
        <w:t xml:space="preserve">the </w:t>
      </w:r>
      <w:r w:rsidR="00991E9B" w:rsidRPr="00DC7563">
        <w:rPr>
          <w:lang w:val="en-GB"/>
        </w:rPr>
        <w:t xml:space="preserve">SKYACTIV technology </w:t>
      </w:r>
      <w:r w:rsidR="007B0DB9" w:rsidRPr="00DC7563">
        <w:rPr>
          <w:lang w:val="en-GB"/>
        </w:rPr>
        <w:t xml:space="preserve">had </w:t>
      </w:r>
      <w:r w:rsidR="00991E9B" w:rsidRPr="00DC7563">
        <w:rPr>
          <w:lang w:val="en-GB"/>
        </w:rPr>
        <w:t>brought a resurgence to the independent business</w:t>
      </w:r>
      <w:r w:rsidR="007B0DB9" w:rsidRPr="00DC7563">
        <w:rPr>
          <w:lang w:val="en-GB"/>
        </w:rPr>
        <w:t>—</w:t>
      </w:r>
      <w:r w:rsidR="00991E9B" w:rsidRPr="00DC7563">
        <w:rPr>
          <w:lang w:val="en-GB"/>
        </w:rPr>
        <w:t>but would Mazda be able to sustain this success against established foreign competitors in the global automotive industry?</w:t>
      </w:r>
    </w:p>
    <w:p w14:paraId="2F7ECC60" w14:textId="77777777" w:rsidR="00991E9B" w:rsidRPr="00DC7563" w:rsidRDefault="00991E9B" w:rsidP="00991E9B">
      <w:pPr>
        <w:pStyle w:val="BodyTextMain"/>
        <w:rPr>
          <w:rFonts w:eastAsia="Malgun Gothic"/>
          <w:sz w:val="20"/>
          <w:lang w:val="en-GB" w:eastAsia="ko-KR"/>
        </w:rPr>
      </w:pPr>
    </w:p>
    <w:p w14:paraId="2E7359B1" w14:textId="77777777" w:rsidR="00991E9B" w:rsidRPr="00DC7563" w:rsidRDefault="00991E9B" w:rsidP="00991E9B">
      <w:pPr>
        <w:pStyle w:val="BodyTextMain"/>
        <w:rPr>
          <w:sz w:val="20"/>
          <w:lang w:val="en-GB"/>
        </w:rPr>
      </w:pPr>
    </w:p>
    <w:p w14:paraId="1A449479" w14:textId="77777777" w:rsidR="00991E9B" w:rsidRPr="00DC7563" w:rsidRDefault="00991E9B" w:rsidP="00C73E67">
      <w:pPr>
        <w:pStyle w:val="BodyTextMain"/>
        <w:outlineLvl w:val="0"/>
        <w:rPr>
          <w:rFonts w:ascii="Arial" w:eastAsia="ヒラギノ明朝 Pro W3" w:hAnsi="Arial"/>
          <w:b/>
          <w:sz w:val="20"/>
          <w:szCs w:val="20"/>
          <w:lang w:val="en-GB"/>
        </w:rPr>
      </w:pPr>
      <w:r w:rsidRPr="00DC7563">
        <w:rPr>
          <w:rFonts w:ascii="Arial" w:eastAsia="ヒラギノ明朝 Pro W3" w:hAnsi="Arial"/>
          <w:b/>
          <w:sz w:val="20"/>
          <w:szCs w:val="20"/>
          <w:lang w:val="en-GB"/>
        </w:rPr>
        <w:t xml:space="preserve">DOMESTIC COMPETITION: JAPAN’S AUTOMOTIVE INDUSTRY </w:t>
      </w:r>
    </w:p>
    <w:p w14:paraId="5400B023" w14:textId="77777777" w:rsidR="00991E9B" w:rsidRPr="00DC7563" w:rsidRDefault="00991E9B" w:rsidP="00991E9B">
      <w:pPr>
        <w:pStyle w:val="BodyTextMain"/>
        <w:rPr>
          <w:sz w:val="20"/>
          <w:lang w:val="en-GB"/>
        </w:rPr>
      </w:pPr>
    </w:p>
    <w:p w14:paraId="397201D0" w14:textId="07CDE2B6" w:rsidR="00991E9B" w:rsidRPr="00DC7563" w:rsidRDefault="00991E9B" w:rsidP="00991E9B">
      <w:pPr>
        <w:pStyle w:val="BodyTextMain"/>
        <w:rPr>
          <w:rFonts w:eastAsia="Malgun Gothic"/>
          <w:lang w:val="en-GB" w:eastAsia="ko-KR"/>
        </w:rPr>
      </w:pPr>
      <w:r w:rsidRPr="00DC7563">
        <w:rPr>
          <w:lang w:val="en-GB"/>
        </w:rPr>
        <w:t xml:space="preserve">Despite Mazda’s revival through its SKYACTIV technology, competition remained intense in the domestic Japanese market, consisting of both domestic automotive manufacturers and foreign importers. </w:t>
      </w:r>
      <w:r w:rsidR="007B0DB9" w:rsidRPr="00DC7563">
        <w:rPr>
          <w:lang w:val="en-GB"/>
        </w:rPr>
        <w:t xml:space="preserve">All </w:t>
      </w:r>
      <w:r w:rsidRPr="00DC7563">
        <w:rPr>
          <w:lang w:val="en-GB"/>
        </w:rPr>
        <w:t>automotive manufacturers differed in their characteristics</w:t>
      </w:r>
      <w:r w:rsidRPr="00DC7563">
        <w:rPr>
          <w:rFonts w:eastAsia="Malgun Gothic"/>
          <w:lang w:val="en-GB" w:eastAsia="ko-KR"/>
        </w:rPr>
        <w:t xml:space="preserve">, varying </w:t>
      </w:r>
      <w:r w:rsidRPr="00DC7563">
        <w:rPr>
          <w:lang w:val="en-GB"/>
        </w:rPr>
        <w:t>in terms of sales volume</w:t>
      </w:r>
      <w:r w:rsidRPr="00DC7563">
        <w:rPr>
          <w:rFonts w:eastAsia="Malgun Gothic"/>
          <w:lang w:val="en-GB" w:eastAsia="ko-KR"/>
        </w:rPr>
        <w:t xml:space="preserve"> and</w:t>
      </w:r>
      <w:r w:rsidRPr="00DC7563">
        <w:rPr>
          <w:lang w:val="en-GB"/>
        </w:rPr>
        <w:t xml:space="preserve"> geographical footprint. In 2013, automotive manufacturing was one of </w:t>
      </w:r>
      <w:r w:rsidRPr="00DC7563">
        <w:rPr>
          <w:rFonts w:eastAsia="Malgun Gothic"/>
          <w:lang w:val="en-GB" w:eastAsia="ko-KR"/>
        </w:rPr>
        <w:t xml:space="preserve">the </w:t>
      </w:r>
      <w:r w:rsidRPr="00DC7563">
        <w:rPr>
          <w:lang w:val="en-GB"/>
        </w:rPr>
        <w:t>core industr</w:t>
      </w:r>
      <w:r w:rsidRPr="00DC7563">
        <w:rPr>
          <w:rFonts w:eastAsia="Malgun Gothic"/>
          <w:lang w:val="en-GB" w:eastAsia="ko-KR"/>
        </w:rPr>
        <w:t>ies</w:t>
      </w:r>
      <w:r w:rsidRPr="00DC7563">
        <w:rPr>
          <w:lang w:val="en-GB"/>
        </w:rPr>
        <w:t xml:space="preserve"> in Japan, </w:t>
      </w:r>
      <w:r w:rsidRPr="00DC7563">
        <w:rPr>
          <w:rFonts w:eastAsia="Malgun Gothic"/>
          <w:lang w:val="en-GB" w:eastAsia="ko-KR"/>
        </w:rPr>
        <w:t xml:space="preserve">with </w:t>
      </w:r>
      <w:r w:rsidR="00F41977">
        <w:rPr>
          <w:rFonts w:eastAsia="Malgun Gothic"/>
          <w:lang w:val="en-GB" w:eastAsia="ko-KR"/>
        </w:rPr>
        <w:t xml:space="preserve">an </w:t>
      </w:r>
      <w:r w:rsidRPr="00DC7563">
        <w:rPr>
          <w:rFonts w:eastAsia="Malgun Gothic"/>
          <w:lang w:val="en-GB" w:eastAsia="ko-KR"/>
        </w:rPr>
        <w:t xml:space="preserve">annual export </w:t>
      </w:r>
      <w:r w:rsidRPr="00DC7563">
        <w:rPr>
          <w:lang w:val="en-GB"/>
        </w:rPr>
        <w:t>value exceed</w:t>
      </w:r>
      <w:r w:rsidRPr="00DC7563">
        <w:rPr>
          <w:rFonts w:eastAsia="Malgun Gothic"/>
          <w:lang w:val="en-GB" w:eastAsia="ko-KR"/>
        </w:rPr>
        <w:t>ing</w:t>
      </w:r>
      <w:r w:rsidRPr="00DC7563">
        <w:rPr>
          <w:lang w:val="en-GB"/>
        </w:rPr>
        <w:t xml:space="preserve"> </w:t>
      </w:r>
      <w:r w:rsidR="007B0DB9" w:rsidRPr="00DC7563">
        <w:rPr>
          <w:rStyle w:val="tgc"/>
          <w:bCs/>
          <w:lang w:val="en-GB"/>
        </w:rPr>
        <w:t>¥</w:t>
      </w:r>
      <w:r w:rsidRPr="00DC7563">
        <w:rPr>
          <w:lang w:val="en-GB"/>
        </w:rPr>
        <w:t>51.9 trillion, account</w:t>
      </w:r>
      <w:r w:rsidRPr="00DC7563">
        <w:rPr>
          <w:rFonts w:eastAsia="Malgun Gothic"/>
          <w:lang w:val="en-GB" w:eastAsia="ko-KR"/>
        </w:rPr>
        <w:t>ing</w:t>
      </w:r>
      <w:r w:rsidRPr="00DC7563">
        <w:rPr>
          <w:lang w:val="en-GB"/>
        </w:rPr>
        <w:t xml:space="preserve"> for 17.8 per cent of Japan’s total manufacturing shipment value.</w:t>
      </w:r>
      <w:r w:rsidRPr="00DC7563">
        <w:rPr>
          <w:rStyle w:val="EndnoteReference"/>
          <w:lang w:val="en-GB"/>
        </w:rPr>
        <w:endnoteReference w:id="40"/>
      </w:r>
      <w:r w:rsidRPr="00DC7563">
        <w:rPr>
          <w:lang w:val="en-GB"/>
        </w:rPr>
        <w:t xml:space="preserve"> </w:t>
      </w:r>
      <w:r w:rsidR="002B7DEB">
        <w:rPr>
          <w:rFonts w:eastAsia="Malgun Gothic"/>
          <w:lang w:val="en-GB" w:eastAsia="ko-KR"/>
        </w:rPr>
        <w:t>W</w:t>
      </w:r>
      <w:r w:rsidRPr="00DC7563">
        <w:rPr>
          <w:rFonts w:eastAsia="Malgun Gothic"/>
          <w:lang w:val="en-GB" w:eastAsia="ko-KR"/>
        </w:rPr>
        <w:t>ithin Japan</w:t>
      </w:r>
      <w:r w:rsidRPr="00DC7563">
        <w:rPr>
          <w:lang w:val="en-GB"/>
        </w:rPr>
        <w:t xml:space="preserve">, </w:t>
      </w:r>
      <w:r w:rsidR="002B7DEB">
        <w:rPr>
          <w:lang w:val="en-GB"/>
        </w:rPr>
        <w:t>the automotive industry’s</w:t>
      </w:r>
      <w:r w:rsidR="002B7DEB" w:rsidRPr="00DC7563">
        <w:rPr>
          <w:lang w:val="en-GB"/>
        </w:rPr>
        <w:t xml:space="preserve"> </w:t>
      </w:r>
      <w:r w:rsidRPr="00DC7563">
        <w:rPr>
          <w:lang w:val="en-GB"/>
        </w:rPr>
        <w:t xml:space="preserve">shipment value exceeded </w:t>
      </w:r>
      <w:r w:rsidR="007B0DB9" w:rsidRPr="00DC7563">
        <w:rPr>
          <w:lang w:val="en-GB"/>
        </w:rPr>
        <w:t xml:space="preserve">that of the </w:t>
      </w:r>
      <w:r w:rsidR="007B0DB9" w:rsidRPr="00DC7563">
        <w:rPr>
          <w:rFonts w:eastAsia="Malgun Gothic"/>
          <w:lang w:val="en-GB" w:eastAsia="ko-KR"/>
        </w:rPr>
        <w:t>e</w:t>
      </w:r>
      <w:r w:rsidRPr="00DC7563">
        <w:rPr>
          <w:lang w:val="en-GB"/>
        </w:rPr>
        <w:t xml:space="preserve">lectrical </w:t>
      </w:r>
      <w:r w:rsidR="007B0DB9" w:rsidRPr="00DC7563">
        <w:rPr>
          <w:lang w:val="en-GB"/>
        </w:rPr>
        <w:t>m</w:t>
      </w:r>
      <w:r w:rsidRPr="00DC7563">
        <w:rPr>
          <w:lang w:val="en-GB"/>
        </w:rPr>
        <w:t xml:space="preserve">achinery and </w:t>
      </w:r>
      <w:r w:rsidR="007B0DB9" w:rsidRPr="00DC7563">
        <w:rPr>
          <w:lang w:val="en-GB"/>
        </w:rPr>
        <w:t>e</w:t>
      </w:r>
      <w:r w:rsidRPr="00DC7563">
        <w:rPr>
          <w:lang w:val="en-GB"/>
        </w:rPr>
        <w:t xml:space="preserve">quipment </w:t>
      </w:r>
      <w:r w:rsidR="002B7DEB">
        <w:rPr>
          <w:lang w:val="en-GB"/>
        </w:rPr>
        <w:t xml:space="preserve">industry </w:t>
      </w:r>
      <w:r w:rsidRPr="00DC7563">
        <w:rPr>
          <w:lang w:val="en-GB"/>
        </w:rPr>
        <w:t>(</w:t>
      </w:r>
      <w:r w:rsidR="007B0DB9" w:rsidRPr="00DC7563">
        <w:rPr>
          <w:rStyle w:val="tgc"/>
          <w:bCs/>
          <w:lang w:val="en-GB"/>
        </w:rPr>
        <w:t>¥</w:t>
      </w:r>
      <w:r w:rsidRPr="00DC7563">
        <w:rPr>
          <w:lang w:val="en-GB"/>
        </w:rPr>
        <w:t xml:space="preserve">36.8 trillion), </w:t>
      </w:r>
      <w:r w:rsidR="002B7DEB">
        <w:rPr>
          <w:lang w:val="en-GB"/>
        </w:rPr>
        <w:t xml:space="preserve">the </w:t>
      </w:r>
      <w:r w:rsidR="007B0DB9" w:rsidRPr="00DC7563">
        <w:rPr>
          <w:lang w:val="en-GB"/>
        </w:rPr>
        <w:t>g</w:t>
      </w:r>
      <w:r w:rsidRPr="00DC7563">
        <w:rPr>
          <w:lang w:val="en-GB"/>
        </w:rPr>
        <w:t xml:space="preserve">eneral </w:t>
      </w:r>
      <w:r w:rsidR="007B0DB9" w:rsidRPr="00DC7563">
        <w:rPr>
          <w:lang w:val="en-GB"/>
        </w:rPr>
        <w:t>m</w:t>
      </w:r>
      <w:r w:rsidRPr="00DC7563">
        <w:rPr>
          <w:lang w:val="en-GB"/>
        </w:rPr>
        <w:t xml:space="preserve">achinery </w:t>
      </w:r>
      <w:r w:rsidR="002B7DEB">
        <w:rPr>
          <w:lang w:val="en-GB"/>
        </w:rPr>
        <w:t xml:space="preserve">industry </w:t>
      </w:r>
      <w:r w:rsidRPr="00DC7563">
        <w:rPr>
          <w:lang w:val="en-GB"/>
        </w:rPr>
        <w:t>(</w:t>
      </w:r>
      <w:r w:rsidR="007B0DB9" w:rsidRPr="00DC7563">
        <w:rPr>
          <w:rStyle w:val="tgc"/>
          <w:bCs/>
          <w:lang w:val="en-GB"/>
        </w:rPr>
        <w:t>¥</w:t>
      </w:r>
      <w:r w:rsidRPr="00DC7563">
        <w:rPr>
          <w:lang w:val="en-GB"/>
        </w:rPr>
        <w:t>32 trillion)</w:t>
      </w:r>
      <w:r w:rsidR="00185D80">
        <w:rPr>
          <w:lang w:val="en-GB"/>
        </w:rPr>
        <w:t>,</w:t>
      </w:r>
      <w:r w:rsidRPr="00DC7563">
        <w:rPr>
          <w:lang w:val="en-GB"/>
        </w:rPr>
        <w:t xml:space="preserve"> and </w:t>
      </w:r>
      <w:r w:rsidR="002B7DEB">
        <w:rPr>
          <w:lang w:val="en-GB"/>
        </w:rPr>
        <w:t xml:space="preserve">the </w:t>
      </w:r>
      <w:r w:rsidR="007B0DB9" w:rsidRPr="00DC7563">
        <w:rPr>
          <w:lang w:val="en-GB"/>
        </w:rPr>
        <w:t>c</w:t>
      </w:r>
      <w:r w:rsidRPr="00DC7563">
        <w:rPr>
          <w:lang w:val="en-GB"/>
        </w:rPr>
        <w:t xml:space="preserve">hemical </w:t>
      </w:r>
      <w:r w:rsidR="002B7DEB">
        <w:rPr>
          <w:lang w:val="en-GB"/>
        </w:rPr>
        <w:t xml:space="preserve">industry </w:t>
      </w:r>
      <w:r w:rsidRPr="00DC7563">
        <w:rPr>
          <w:lang w:val="en-GB"/>
        </w:rPr>
        <w:t>(</w:t>
      </w:r>
      <w:r w:rsidR="007B0DB9" w:rsidRPr="00DC7563">
        <w:rPr>
          <w:rStyle w:val="tgc"/>
          <w:bCs/>
          <w:lang w:val="en-GB"/>
        </w:rPr>
        <w:t>¥</w:t>
      </w:r>
      <w:r w:rsidRPr="00DC7563">
        <w:rPr>
          <w:lang w:val="en-GB"/>
        </w:rPr>
        <w:t>27.4 trillion)</w:t>
      </w:r>
      <w:r w:rsidRPr="00DC7563">
        <w:rPr>
          <w:rFonts w:eastAsia="Malgun Gothic"/>
          <w:lang w:val="en-GB" w:eastAsia="ko-KR"/>
        </w:rPr>
        <w:t>,</w:t>
      </w:r>
      <w:r w:rsidRPr="00DC7563">
        <w:rPr>
          <w:lang w:val="en-GB"/>
        </w:rPr>
        <w:t xml:space="preserve"> </w:t>
      </w:r>
      <w:r w:rsidRPr="00DC7563">
        <w:rPr>
          <w:rFonts w:eastAsia="Malgun Gothic"/>
          <w:lang w:val="en-GB" w:eastAsia="ko-KR"/>
        </w:rPr>
        <w:t>m</w:t>
      </w:r>
      <w:r w:rsidRPr="00DC7563">
        <w:rPr>
          <w:lang w:val="en-GB"/>
        </w:rPr>
        <w:t>ak</w:t>
      </w:r>
      <w:r w:rsidRPr="00DC7563">
        <w:rPr>
          <w:rFonts w:eastAsia="Malgun Gothic"/>
          <w:lang w:val="en-GB" w:eastAsia="ko-KR"/>
        </w:rPr>
        <w:t>ing it the</w:t>
      </w:r>
      <w:r w:rsidRPr="00DC7563">
        <w:rPr>
          <w:lang w:val="en-GB"/>
        </w:rPr>
        <w:t xml:space="preserve"> single largest industry in Japan</w:t>
      </w:r>
      <w:r w:rsidR="007B0DB9" w:rsidRPr="00DC7563">
        <w:rPr>
          <w:lang w:val="en-GB"/>
        </w:rPr>
        <w:t xml:space="preserve"> (see Exhibit 6)</w:t>
      </w:r>
      <w:r w:rsidRPr="00DC7563">
        <w:rPr>
          <w:lang w:val="en-GB"/>
        </w:rPr>
        <w:t>.</w:t>
      </w:r>
    </w:p>
    <w:p w14:paraId="65BC4CE5" w14:textId="77777777" w:rsidR="00991E9B" w:rsidRPr="00DC7563" w:rsidRDefault="00991E9B" w:rsidP="00991E9B">
      <w:pPr>
        <w:pStyle w:val="BodyTextMain"/>
        <w:rPr>
          <w:sz w:val="20"/>
          <w:lang w:val="en-GB"/>
        </w:rPr>
      </w:pPr>
    </w:p>
    <w:p w14:paraId="03DEE036" w14:textId="65F46E12" w:rsidR="00991E9B" w:rsidRPr="00DC7563" w:rsidRDefault="00EB4647" w:rsidP="00991E9B">
      <w:pPr>
        <w:pStyle w:val="BodyTextMain"/>
        <w:rPr>
          <w:lang w:val="en-GB"/>
        </w:rPr>
      </w:pPr>
      <w:r w:rsidRPr="00DC7563">
        <w:rPr>
          <w:lang w:val="en-GB"/>
        </w:rPr>
        <w:t>T</w:t>
      </w:r>
      <w:r w:rsidR="00991E9B" w:rsidRPr="00DC7563">
        <w:rPr>
          <w:lang w:val="en-GB"/>
        </w:rPr>
        <w:t>he Japanese automotive industry was fierce</w:t>
      </w:r>
      <w:r w:rsidR="00210F9E" w:rsidRPr="00DC7563">
        <w:rPr>
          <w:lang w:val="en-GB"/>
        </w:rPr>
        <w:t>ly competitive</w:t>
      </w:r>
      <w:r w:rsidR="00991E9B" w:rsidRPr="00DC7563">
        <w:rPr>
          <w:lang w:val="en-GB"/>
        </w:rPr>
        <w:t xml:space="preserve">, with </w:t>
      </w:r>
      <w:r w:rsidR="00185D80">
        <w:rPr>
          <w:lang w:val="en-GB"/>
        </w:rPr>
        <w:t>numerous</w:t>
      </w:r>
      <w:r w:rsidR="00991E9B" w:rsidRPr="00DC7563">
        <w:rPr>
          <w:lang w:val="en-GB"/>
        </w:rPr>
        <w:t xml:space="preserve"> large and small automotive companies founded and headquartered in Japan (</w:t>
      </w:r>
      <w:r w:rsidR="00210F9E" w:rsidRPr="00DC7563">
        <w:rPr>
          <w:lang w:val="en-GB"/>
        </w:rPr>
        <w:t>s</w:t>
      </w:r>
      <w:r w:rsidR="00991E9B" w:rsidRPr="00DC7563">
        <w:rPr>
          <w:lang w:val="en-GB"/>
        </w:rPr>
        <w:t>ee Exhibit 7)</w:t>
      </w:r>
      <w:r w:rsidR="00210F9E" w:rsidRPr="00DC7563">
        <w:rPr>
          <w:lang w:val="en-GB"/>
        </w:rPr>
        <w:t>.</w:t>
      </w:r>
      <w:r w:rsidR="00991E9B" w:rsidRPr="00DC7563">
        <w:rPr>
          <w:lang w:val="en-GB"/>
        </w:rPr>
        <w:t xml:space="preserve"> </w:t>
      </w:r>
      <w:r w:rsidR="008C09C8" w:rsidRPr="00DC7563">
        <w:rPr>
          <w:lang w:val="en-GB"/>
        </w:rPr>
        <w:t>In 2014, g</w:t>
      </w:r>
      <w:r w:rsidR="00991E9B" w:rsidRPr="00DC7563">
        <w:rPr>
          <w:lang w:val="en-GB"/>
        </w:rPr>
        <w:t xml:space="preserve">lobal </w:t>
      </w:r>
      <w:r w:rsidR="008A3CB4" w:rsidRPr="00DC7563">
        <w:rPr>
          <w:lang w:val="en-GB"/>
        </w:rPr>
        <w:t xml:space="preserve">Japanese </w:t>
      </w:r>
      <w:r w:rsidR="00991E9B" w:rsidRPr="00DC7563">
        <w:rPr>
          <w:lang w:val="en-GB"/>
        </w:rPr>
        <w:t xml:space="preserve">giants </w:t>
      </w:r>
      <w:r w:rsidR="00185D80">
        <w:rPr>
          <w:lang w:val="en-GB"/>
        </w:rPr>
        <w:t>such as</w:t>
      </w:r>
      <w:r w:rsidR="00185D80" w:rsidRPr="00DC7563">
        <w:rPr>
          <w:lang w:val="en-GB"/>
        </w:rPr>
        <w:t xml:space="preserve"> </w:t>
      </w:r>
      <w:r w:rsidR="00991E9B" w:rsidRPr="00DC7563">
        <w:rPr>
          <w:lang w:val="en-GB"/>
        </w:rPr>
        <w:t>Toyota, Honda, Suzuki, Daihatsu, and Nissan were successful in recording larger sales than Mazda through unique global strategies.</w:t>
      </w:r>
      <w:r w:rsidR="00991E9B" w:rsidRPr="00DC7563">
        <w:rPr>
          <w:rStyle w:val="EndnoteReference"/>
          <w:lang w:val="en-GB"/>
        </w:rPr>
        <w:endnoteReference w:id="41"/>
      </w:r>
      <w:r w:rsidR="00991E9B" w:rsidRPr="00DC7563">
        <w:rPr>
          <w:lang w:val="en-GB"/>
        </w:rPr>
        <w:t xml:space="preserve"> Toyota, one of the leaders in</w:t>
      </w:r>
      <w:r w:rsidR="00991E9B" w:rsidRPr="00DC7563">
        <w:rPr>
          <w:rFonts w:eastAsia="Malgun Gothic"/>
          <w:lang w:val="en-GB" w:eastAsia="ko-KR"/>
        </w:rPr>
        <w:t xml:space="preserve"> the</w:t>
      </w:r>
      <w:r w:rsidR="00991E9B" w:rsidRPr="00DC7563">
        <w:rPr>
          <w:lang w:val="en-GB"/>
        </w:rPr>
        <w:t xml:space="preserve"> global automotive industry</w:t>
      </w:r>
      <w:r w:rsidR="00991E9B" w:rsidRPr="00DC7563">
        <w:rPr>
          <w:rFonts w:eastAsia="Malgun Gothic"/>
          <w:lang w:val="en-GB" w:eastAsia="ko-KR"/>
        </w:rPr>
        <w:t xml:space="preserve"> had</w:t>
      </w:r>
      <w:r w:rsidR="007A2B24" w:rsidRPr="00DC7563">
        <w:rPr>
          <w:rFonts w:eastAsia="Malgun Gothic"/>
          <w:lang w:val="en-GB" w:eastAsia="ko-KR"/>
        </w:rPr>
        <w:t xml:space="preserve"> successfully</w:t>
      </w:r>
      <w:r w:rsidR="00991E9B" w:rsidRPr="00DC7563">
        <w:rPr>
          <w:rFonts w:eastAsia="Malgun Gothic"/>
          <w:lang w:val="en-GB" w:eastAsia="ko-KR"/>
        </w:rPr>
        <w:t xml:space="preserve"> </w:t>
      </w:r>
      <w:r w:rsidR="00A522C1" w:rsidRPr="00DC7563">
        <w:rPr>
          <w:lang w:val="en-GB"/>
        </w:rPr>
        <w:t xml:space="preserve">sold </w:t>
      </w:r>
      <w:r w:rsidR="007A2B24" w:rsidRPr="00DC7563">
        <w:rPr>
          <w:lang w:val="en-GB"/>
        </w:rPr>
        <w:t>over</w:t>
      </w:r>
      <w:r w:rsidR="00991E9B" w:rsidRPr="00DC7563">
        <w:rPr>
          <w:lang w:val="en-GB"/>
        </w:rPr>
        <w:t xml:space="preserve"> 10 million cars </w:t>
      </w:r>
      <w:r w:rsidR="007A2B24" w:rsidRPr="00DC7563">
        <w:rPr>
          <w:lang w:val="en-GB"/>
        </w:rPr>
        <w:t xml:space="preserve">in </w:t>
      </w:r>
      <w:r w:rsidR="00250980" w:rsidRPr="00DC7563">
        <w:rPr>
          <w:lang w:val="en-GB"/>
        </w:rPr>
        <w:t>2014</w:t>
      </w:r>
      <w:r w:rsidR="007A2B24" w:rsidRPr="00DC7563">
        <w:rPr>
          <w:lang w:val="en-GB"/>
        </w:rPr>
        <w:t xml:space="preserve"> and 2015</w:t>
      </w:r>
      <w:r w:rsidR="00991E9B" w:rsidRPr="00DC7563">
        <w:rPr>
          <w:lang w:val="en-GB"/>
        </w:rPr>
        <w:t>.</w:t>
      </w:r>
      <w:r w:rsidR="00991E9B" w:rsidRPr="00DC7563">
        <w:rPr>
          <w:rStyle w:val="EndnoteReference"/>
          <w:lang w:val="en-GB"/>
        </w:rPr>
        <w:endnoteReference w:id="42"/>
      </w:r>
      <w:r w:rsidR="00991E9B" w:rsidRPr="00DC7563">
        <w:rPr>
          <w:lang w:val="en-GB"/>
        </w:rPr>
        <w:t xml:space="preserve"> Another domestic competitor, Suzuki, famous for </w:t>
      </w:r>
      <w:r w:rsidR="00991E9B" w:rsidRPr="00DC7563">
        <w:rPr>
          <w:rFonts w:eastAsia="Malgun Gothic"/>
          <w:lang w:val="en-GB" w:eastAsia="ko-KR"/>
        </w:rPr>
        <w:t>its low</w:t>
      </w:r>
      <w:r w:rsidR="008C09C8" w:rsidRPr="00DC7563">
        <w:rPr>
          <w:rFonts w:eastAsia="Malgun Gothic"/>
          <w:lang w:val="en-GB" w:eastAsia="ko-KR"/>
        </w:rPr>
        <w:t>-</w:t>
      </w:r>
      <w:r w:rsidR="00991E9B" w:rsidRPr="00DC7563">
        <w:rPr>
          <w:rFonts w:eastAsia="Malgun Gothic"/>
          <w:lang w:val="en-GB" w:eastAsia="ko-KR"/>
        </w:rPr>
        <w:t>price, high</w:t>
      </w:r>
      <w:r w:rsidR="008C09C8" w:rsidRPr="00DC7563">
        <w:rPr>
          <w:rFonts w:eastAsia="Malgun Gothic"/>
          <w:lang w:val="en-GB" w:eastAsia="ko-KR"/>
        </w:rPr>
        <w:t>-</w:t>
      </w:r>
      <w:r w:rsidR="00991E9B" w:rsidRPr="00DC7563">
        <w:rPr>
          <w:rFonts w:eastAsia="Malgun Gothic"/>
          <w:lang w:val="en-GB" w:eastAsia="ko-KR"/>
        </w:rPr>
        <w:t xml:space="preserve">quality </w:t>
      </w:r>
      <w:r w:rsidR="00991E9B" w:rsidRPr="00DC7563">
        <w:rPr>
          <w:lang w:val="en-GB"/>
        </w:rPr>
        <w:t>mini vehicle</w:t>
      </w:r>
      <w:r w:rsidR="00991E9B" w:rsidRPr="00DC7563">
        <w:rPr>
          <w:rFonts w:eastAsia="Malgun Gothic"/>
          <w:lang w:val="en-GB" w:eastAsia="ko-KR"/>
        </w:rPr>
        <w:t>,</w:t>
      </w:r>
      <w:r w:rsidR="00991E9B" w:rsidRPr="00DC7563">
        <w:rPr>
          <w:lang w:val="en-GB"/>
        </w:rPr>
        <w:t xml:space="preserve"> differentiate</w:t>
      </w:r>
      <w:r w:rsidR="004E0D8C" w:rsidRPr="00DC7563">
        <w:rPr>
          <w:lang w:val="en-GB"/>
        </w:rPr>
        <w:t>d</w:t>
      </w:r>
      <w:r w:rsidR="00991E9B" w:rsidRPr="00DC7563">
        <w:rPr>
          <w:lang w:val="en-GB"/>
        </w:rPr>
        <w:t xml:space="preserve"> itself </w:t>
      </w:r>
      <w:r w:rsidR="00991E9B" w:rsidRPr="00DC7563">
        <w:rPr>
          <w:rFonts w:eastAsia="Malgun Gothic"/>
          <w:lang w:val="en-GB" w:eastAsia="ko-KR"/>
        </w:rPr>
        <w:t xml:space="preserve">through geographical </w:t>
      </w:r>
      <w:r w:rsidR="00991E9B" w:rsidRPr="00DC7563">
        <w:rPr>
          <w:lang w:val="en-GB"/>
        </w:rPr>
        <w:t>positioning</w:t>
      </w:r>
      <w:r w:rsidR="00991E9B" w:rsidRPr="00DC7563">
        <w:rPr>
          <w:rFonts w:eastAsia="Malgun Gothic"/>
          <w:lang w:val="en-GB" w:eastAsia="ko-KR"/>
        </w:rPr>
        <w:t xml:space="preserve">, targeting customers in emerging markets while </w:t>
      </w:r>
      <w:r w:rsidR="00991E9B" w:rsidRPr="00DC7563">
        <w:rPr>
          <w:lang w:val="en-GB"/>
        </w:rPr>
        <w:t xml:space="preserve">rarely offering its products in </w:t>
      </w:r>
      <w:r w:rsidR="00166A2A" w:rsidRPr="00DC7563">
        <w:rPr>
          <w:lang w:val="en-GB"/>
        </w:rPr>
        <w:t>W</w:t>
      </w:r>
      <w:r w:rsidR="00991E9B" w:rsidRPr="00DC7563">
        <w:rPr>
          <w:lang w:val="en-GB"/>
        </w:rPr>
        <w:t>estern markets.</w:t>
      </w:r>
      <w:r w:rsidR="00991E9B" w:rsidRPr="00DC7563">
        <w:rPr>
          <w:rStyle w:val="EndnoteReference"/>
          <w:lang w:val="en-GB"/>
        </w:rPr>
        <w:endnoteReference w:id="43"/>
      </w:r>
      <w:r w:rsidR="00991E9B" w:rsidRPr="00DC7563">
        <w:rPr>
          <w:lang w:val="en-GB"/>
        </w:rPr>
        <w:t xml:space="preserve"> Additionally, larger automotive original equipment manufacturing (OEM) companies </w:t>
      </w:r>
      <w:r w:rsidR="00185D80">
        <w:rPr>
          <w:lang w:val="en-GB"/>
        </w:rPr>
        <w:t>such as</w:t>
      </w:r>
      <w:r w:rsidR="00185D80" w:rsidRPr="00DC7563">
        <w:rPr>
          <w:lang w:val="en-GB"/>
        </w:rPr>
        <w:t xml:space="preserve"> </w:t>
      </w:r>
      <w:r w:rsidR="00991E9B" w:rsidRPr="00DC7563">
        <w:rPr>
          <w:lang w:val="en-GB"/>
        </w:rPr>
        <w:t>Toyota, Honda</w:t>
      </w:r>
      <w:r w:rsidR="00991E9B" w:rsidRPr="00DC7563">
        <w:rPr>
          <w:rFonts w:eastAsia="Malgun Gothic"/>
          <w:lang w:val="en-GB" w:eastAsia="ko-KR"/>
        </w:rPr>
        <w:t>,</w:t>
      </w:r>
      <w:r w:rsidR="00991E9B" w:rsidRPr="00DC7563">
        <w:rPr>
          <w:lang w:val="en-GB"/>
        </w:rPr>
        <w:t xml:space="preserve"> and Nissan all owned </w:t>
      </w:r>
      <w:r w:rsidR="00991E9B" w:rsidRPr="00DC7563">
        <w:rPr>
          <w:rFonts w:eastAsia="Malgun Gothic"/>
          <w:lang w:val="en-GB" w:eastAsia="ko-KR"/>
        </w:rPr>
        <w:t>stake</w:t>
      </w:r>
      <w:r w:rsidR="00991E9B" w:rsidRPr="00DC7563">
        <w:rPr>
          <w:lang w:val="en-GB"/>
        </w:rPr>
        <w:t xml:space="preserve">s </w:t>
      </w:r>
      <w:r w:rsidR="00166A2A" w:rsidRPr="00DC7563">
        <w:rPr>
          <w:rFonts w:eastAsia="Malgun Gothic"/>
          <w:lang w:val="en-GB" w:eastAsia="ko-KR"/>
        </w:rPr>
        <w:t>in</w:t>
      </w:r>
      <w:r w:rsidR="00991E9B" w:rsidRPr="00DC7563">
        <w:rPr>
          <w:rFonts w:eastAsia="Malgun Gothic"/>
          <w:lang w:val="en-GB" w:eastAsia="ko-KR"/>
        </w:rPr>
        <w:t xml:space="preserve"> auto part producers,</w:t>
      </w:r>
      <w:r w:rsidR="00991E9B" w:rsidRPr="00DC7563">
        <w:rPr>
          <w:lang w:val="en-GB"/>
        </w:rPr>
        <w:t xml:space="preserve"> making them vertically integrated </w:t>
      </w:r>
      <w:r w:rsidR="00991E9B" w:rsidRPr="00DC7563">
        <w:rPr>
          <w:rFonts w:eastAsia="Malgun Gothic"/>
          <w:lang w:val="en-GB" w:eastAsia="ko-KR"/>
        </w:rPr>
        <w:t xml:space="preserve">in the automotive </w:t>
      </w:r>
      <w:r w:rsidR="00991E9B" w:rsidRPr="00DC7563">
        <w:rPr>
          <w:lang w:val="en-GB"/>
        </w:rPr>
        <w:t xml:space="preserve">manufacturing process. </w:t>
      </w:r>
      <w:r w:rsidR="00166A2A" w:rsidRPr="00DC7563">
        <w:rPr>
          <w:lang w:val="en-GB"/>
        </w:rPr>
        <w:t>Further, t</w:t>
      </w:r>
      <w:r w:rsidR="00991E9B" w:rsidRPr="00DC7563">
        <w:rPr>
          <w:lang w:val="en-GB"/>
        </w:rPr>
        <w:t xml:space="preserve">hese parts manufacturers fed </w:t>
      </w:r>
      <w:r w:rsidR="00185D80">
        <w:rPr>
          <w:lang w:val="en-GB"/>
        </w:rPr>
        <w:t xml:space="preserve">not only </w:t>
      </w:r>
      <w:r w:rsidR="00166A2A" w:rsidRPr="00DC7563">
        <w:rPr>
          <w:rFonts w:eastAsia="Malgun Gothic"/>
          <w:lang w:val="en-GB" w:eastAsia="ko-KR"/>
        </w:rPr>
        <w:t>their</w:t>
      </w:r>
      <w:r w:rsidR="00991E9B" w:rsidRPr="00DC7563">
        <w:rPr>
          <w:lang w:val="en-GB"/>
        </w:rPr>
        <w:t xml:space="preserve"> affiliates but </w:t>
      </w:r>
      <w:r w:rsidR="00185D80">
        <w:rPr>
          <w:lang w:val="en-GB"/>
        </w:rPr>
        <w:t xml:space="preserve">also </w:t>
      </w:r>
      <w:r w:rsidR="00991E9B" w:rsidRPr="00DC7563">
        <w:rPr>
          <w:lang w:val="en-GB"/>
        </w:rPr>
        <w:t xml:space="preserve">other independent automotive OEMs </w:t>
      </w:r>
      <w:r w:rsidR="00166A2A" w:rsidRPr="00DC7563">
        <w:rPr>
          <w:lang w:val="en-GB"/>
        </w:rPr>
        <w:t>(e.g.,</w:t>
      </w:r>
      <w:r w:rsidR="00991E9B" w:rsidRPr="00DC7563">
        <w:rPr>
          <w:lang w:val="en-GB"/>
        </w:rPr>
        <w:t xml:space="preserve"> Mazda and Suzuki</w:t>
      </w:r>
      <w:r w:rsidR="00166A2A" w:rsidRPr="00DC7563">
        <w:rPr>
          <w:lang w:val="en-GB"/>
        </w:rPr>
        <w:t>)</w:t>
      </w:r>
      <w:r w:rsidR="00991E9B" w:rsidRPr="00DC7563">
        <w:rPr>
          <w:lang w:val="en-GB"/>
        </w:rPr>
        <w:t>, allowing smaller manufacture</w:t>
      </w:r>
      <w:r w:rsidR="004E0D8C" w:rsidRPr="00DC7563">
        <w:rPr>
          <w:lang w:val="en-GB"/>
        </w:rPr>
        <w:t>r</w:t>
      </w:r>
      <w:r w:rsidR="00166A2A" w:rsidRPr="00DC7563">
        <w:rPr>
          <w:lang w:val="en-GB"/>
        </w:rPr>
        <w:t>s</w:t>
      </w:r>
      <w:r w:rsidR="00991E9B" w:rsidRPr="00DC7563">
        <w:rPr>
          <w:lang w:val="en-GB"/>
        </w:rPr>
        <w:t xml:space="preserve"> to </w:t>
      </w:r>
      <w:r w:rsidR="00991E9B" w:rsidRPr="00DC7563">
        <w:rPr>
          <w:rFonts w:eastAsia="Malgun Gothic"/>
          <w:lang w:val="en-GB" w:eastAsia="ko-KR"/>
        </w:rPr>
        <w:t>produc</w:t>
      </w:r>
      <w:r w:rsidR="00991E9B" w:rsidRPr="00DC7563">
        <w:rPr>
          <w:lang w:val="en-GB"/>
        </w:rPr>
        <w:t xml:space="preserve">e </w:t>
      </w:r>
      <w:r w:rsidR="00991E9B" w:rsidRPr="00DC7563">
        <w:rPr>
          <w:rFonts w:eastAsia="Malgun Gothic"/>
          <w:lang w:val="en-GB" w:eastAsia="ko-KR"/>
        </w:rPr>
        <w:t>high</w:t>
      </w:r>
      <w:r w:rsidR="00166A2A" w:rsidRPr="00DC7563">
        <w:rPr>
          <w:rFonts w:eastAsia="Malgun Gothic"/>
          <w:lang w:val="en-GB" w:eastAsia="ko-KR"/>
        </w:rPr>
        <w:t>-</w:t>
      </w:r>
      <w:r w:rsidR="00991E9B" w:rsidRPr="00DC7563">
        <w:rPr>
          <w:rFonts w:eastAsia="Malgun Gothic"/>
          <w:lang w:val="en-GB" w:eastAsia="ko-KR"/>
        </w:rPr>
        <w:t xml:space="preserve">quality products </w:t>
      </w:r>
      <w:r w:rsidR="00991E9B" w:rsidRPr="00DC7563">
        <w:rPr>
          <w:lang w:val="en-GB"/>
        </w:rPr>
        <w:t>despite lack</w:t>
      </w:r>
      <w:r w:rsidR="002B7DEB">
        <w:rPr>
          <w:lang w:val="en-GB"/>
        </w:rPr>
        <w:t>ing economies</w:t>
      </w:r>
      <w:r w:rsidR="00991E9B" w:rsidRPr="00DC7563">
        <w:rPr>
          <w:lang w:val="en-GB"/>
        </w:rPr>
        <w:t xml:space="preserve"> of scale.</w:t>
      </w:r>
    </w:p>
    <w:p w14:paraId="184C2421" w14:textId="77777777" w:rsidR="00991E9B" w:rsidRPr="00DC7563" w:rsidRDefault="00991E9B" w:rsidP="00991E9B">
      <w:pPr>
        <w:pStyle w:val="BodyTextMain"/>
        <w:rPr>
          <w:rFonts w:eastAsia="Malgun Gothic"/>
          <w:sz w:val="20"/>
          <w:lang w:val="en-GB" w:eastAsia="ko-KR"/>
        </w:rPr>
      </w:pPr>
    </w:p>
    <w:p w14:paraId="3C12B56B" w14:textId="715BE894" w:rsidR="00991E9B" w:rsidRPr="00DC7563" w:rsidRDefault="00166A2A" w:rsidP="00991E9B">
      <w:pPr>
        <w:pStyle w:val="BodyTextMain"/>
        <w:rPr>
          <w:rFonts w:eastAsia="Malgun Gothic"/>
          <w:lang w:val="en-GB" w:eastAsia="ko-KR"/>
        </w:rPr>
      </w:pPr>
      <w:r w:rsidRPr="00DC7563">
        <w:rPr>
          <w:rFonts w:eastAsia="Malgun Gothic"/>
          <w:lang w:val="en-GB" w:eastAsia="ko-KR"/>
        </w:rPr>
        <w:t>Japan’s</w:t>
      </w:r>
      <w:r w:rsidR="00991E9B" w:rsidRPr="00DC7563">
        <w:rPr>
          <w:rFonts w:eastAsia="Malgun Gothic"/>
          <w:lang w:val="en-GB" w:eastAsia="ko-KR"/>
        </w:rPr>
        <w:t xml:space="preserve"> automotive market was also flooded with </w:t>
      </w:r>
      <w:r w:rsidR="00FD3A0D">
        <w:rPr>
          <w:rFonts w:eastAsia="Malgun Gothic"/>
          <w:lang w:val="en-GB" w:eastAsia="ko-KR"/>
        </w:rPr>
        <w:t>numerous</w:t>
      </w:r>
      <w:r w:rsidR="00991E9B" w:rsidRPr="00DC7563">
        <w:rPr>
          <w:rFonts w:eastAsia="Malgun Gothic"/>
          <w:lang w:val="en-GB" w:eastAsia="ko-KR"/>
        </w:rPr>
        <w:t xml:space="preserve"> international automotive manufacturers. Companies </w:t>
      </w:r>
      <w:r w:rsidR="00FD3A0D">
        <w:rPr>
          <w:rFonts w:eastAsia="Malgun Gothic"/>
          <w:lang w:val="en-GB" w:eastAsia="ko-KR"/>
        </w:rPr>
        <w:t>such as</w:t>
      </w:r>
      <w:r w:rsidR="00FD3A0D" w:rsidRPr="00DC7563">
        <w:rPr>
          <w:rFonts w:eastAsia="Malgun Gothic"/>
          <w:lang w:val="en-GB" w:eastAsia="ko-KR"/>
        </w:rPr>
        <w:t xml:space="preserve"> </w:t>
      </w:r>
      <w:r w:rsidR="00991E9B" w:rsidRPr="00DC7563">
        <w:rPr>
          <w:rFonts w:eastAsia="Malgun Gothic"/>
          <w:lang w:val="en-GB" w:eastAsia="ko-KR"/>
        </w:rPr>
        <w:t xml:space="preserve">Volkswagen, Mercedes-Benz, Audi, and Volvo had all penetrated the Japanese automotive industry, establishing themselves as competitors to the domestic manufacturers. </w:t>
      </w:r>
      <w:r w:rsidR="005604CE" w:rsidRPr="00DC7563">
        <w:rPr>
          <w:rFonts w:eastAsia="Malgun Gothic"/>
          <w:lang w:val="en-GB" w:eastAsia="ko-KR"/>
        </w:rPr>
        <w:t xml:space="preserve">From </w:t>
      </w:r>
      <w:r w:rsidRPr="00DC7563">
        <w:rPr>
          <w:rFonts w:eastAsia="Malgun Gothic"/>
          <w:lang w:val="en-GB" w:eastAsia="ko-KR"/>
        </w:rPr>
        <w:t>2009</w:t>
      </w:r>
      <w:r w:rsidR="005604CE" w:rsidRPr="00DC7563">
        <w:rPr>
          <w:rFonts w:eastAsia="Malgun Gothic"/>
          <w:lang w:val="en-GB" w:eastAsia="ko-KR"/>
        </w:rPr>
        <w:t xml:space="preserve"> to 2013</w:t>
      </w:r>
      <w:r w:rsidRPr="00DC7563">
        <w:rPr>
          <w:rFonts w:eastAsia="Malgun Gothic"/>
          <w:lang w:val="en-GB" w:eastAsia="ko-KR"/>
        </w:rPr>
        <w:t>, i</w:t>
      </w:r>
      <w:r w:rsidR="00991E9B" w:rsidRPr="00DC7563">
        <w:rPr>
          <w:rFonts w:eastAsia="Malgun Gothic"/>
          <w:lang w:val="en-GB" w:eastAsia="ko-KR"/>
        </w:rPr>
        <w:t>mported vehicle sales had increased by nearly 200,000 units</w:t>
      </w:r>
      <w:r w:rsidR="005604CE" w:rsidRPr="00DC7563">
        <w:rPr>
          <w:rFonts w:eastAsia="Malgun Gothic"/>
          <w:lang w:val="en-GB" w:eastAsia="ko-KR"/>
        </w:rPr>
        <w:t xml:space="preserve"> per year</w:t>
      </w:r>
      <w:r w:rsidR="00991E9B" w:rsidRPr="00DC7563">
        <w:rPr>
          <w:rFonts w:eastAsia="Malgun Gothic"/>
          <w:lang w:val="en-GB" w:eastAsia="ko-KR"/>
        </w:rPr>
        <w:t>, with imported vehicle sales in Japan estimated at 346,000 in 2013 alone.</w:t>
      </w:r>
      <w:r w:rsidR="00991E9B" w:rsidRPr="00DC7563">
        <w:rPr>
          <w:rStyle w:val="EndnoteReference"/>
          <w:rFonts w:eastAsia="Malgun Gothic"/>
          <w:lang w:val="en-GB" w:eastAsia="ko-KR"/>
        </w:rPr>
        <w:endnoteReference w:id="44"/>
      </w:r>
      <w:r w:rsidR="00991E9B" w:rsidRPr="00DC7563">
        <w:rPr>
          <w:rFonts w:eastAsia="Malgun Gothic"/>
          <w:lang w:val="en-GB" w:eastAsia="ko-KR"/>
        </w:rPr>
        <w:t xml:space="preserve"> Although Mazda remained competitive in its domestic market, with the rise of domestic automakers and success of international brands, Japanese manufacturers </w:t>
      </w:r>
      <w:r w:rsidRPr="00DC7563">
        <w:rPr>
          <w:rFonts w:eastAsia="Malgun Gothic"/>
          <w:lang w:val="en-GB" w:eastAsia="ko-KR"/>
        </w:rPr>
        <w:t>(</w:t>
      </w:r>
      <w:r w:rsidR="00FD3A0D">
        <w:rPr>
          <w:rFonts w:eastAsia="Malgun Gothic"/>
          <w:lang w:val="en-GB" w:eastAsia="ko-KR"/>
        </w:rPr>
        <w:t>e.g.,</w:t>
      </w:r>
      <w:r w:rsidR="00FD3A0D" w:rsidRPr="00DC7563">
        <w:rPr>
          <w:rFonts w:eastAsia="Malgun Gothic"/>
          <w:lang w:val="en-GB" w:eastAsia="ko-KR"/>
        </w:rPr>
        <w:t xml:space="preserve"> </w:t>
      </w:r>
      <w:r w:rsidR="00991E9B" w:rsidRPr="00DC7563">
        <w:rPr>
          <w:rFonts w:eastAsia="Malgun Gothic"/>
          <w:lang w:val="en-GB" w:eastAsia="ko-KR"/>
        </w:rPr>
        <w:t>Mazda</w:t>
      </w:r>
      <w:r w:rsidRPr="00DC7563">
        <w:rPr>
          <w:rFonts w:eastAsia="Malgun Gothic"/>
          <w:lang w:val="en-GB" w:eastAsia="ko-KR"/>
        </w:rPr>
        <w:t>)</w:t>
      </w:r>
      <w:r w:rsidR="00991E9B" w:rsidRPr="00DC7563">
        <w:rPr>
          <w:rFonts w:eastAsia="Malgun Gothic"/>
          <w:lang w:val="en-GB" w:eastAsia="ko-KR"/>
        </w:rPr>
        <w:t xml:space="preserve"> had to shift </w:t>
      </w:r>
      <w:r w:rsidRPr="00DC7563">
        <w:rPr>
          <w:rFonts w:eastAsia="Malgun Gothic"/>
          <w:lang w:val="en-GB" w:eastAsia="ko-KR"/>
        </w:rPr>
        <w:t>their</w:t>
      </w:r>
      <w:r w:rsidR="00991E9B" w:rsidRPr="00DC7563">
        <w:rPr>
          <w:rFonts w:eastAsia="Malgun Gothic"/>
          <w:lang w:val="en-GB" w:eastAsia="ko-KR"/>
        </w:rPr>
        <w:t xml:space="preserve"> focus to foreign markets for survival; however, the global automotive industry </w:t>
      </w:r>
      <w:r w:rsidRPr="00DC7563">
        <w:rPr>
          <w:rFonts w:eastAsia="Malgun Gothic"/>
          <w:lang w:val="en-GB" w:eastAsia="ko-KR"/>
        </w:rPr>
        <w:t xml:space="preserve">presented </w:t>
      </w:r>
      <w:r w:rsidR="00991E9B" w:rsidRPr="00DC7563">
        <w:rPr>
          <w:rFonts w:eastAsia="Malgun Gothic"/>
          <w:lang w:val="en-GB" w:eastAsia="ko-KR"/>
        </w:rPr>
        <w:t xml:space="preserve">even greater competition and risks for automotive manufacturers. </w:t>
      </w:r>
    </w:p>
    <w:p w14:paraId="34C6A2E3" w14:textId="77777777" w:rsidR="00991E9B" w:rsidRPr="00DC7563" w:rsidRDefault="00991E9B" w:rsidP="00991E9B">
      <w:pPr>
        <w:pStyle w:val="BodyTextMain"/>
        <w:rPr>
          <w:sz w:val="20"/>
          <w:lang w:val="en-GB"/>
        </w:rPr>
      </w:pPr>
    </w:p>
    <w:p w14:paraId="4363B036" w14:textId="77777777" w:rsidR="00991E9B" w:rsidRPr="00DC7563" w:rsidRDefault="00991E9B" w:rsidP="00991E9B">
      <w:pPr>
        <w:pStyle w:val="BodyTextMain"/>
        <w:rPr>
          <w:sz w:val="20"/>
          <w:lang w:val="en-GB"/>
        </w:rPr>
      </w:pPr>
    </w:p>
    <w:p w14:paraId="626BE7F9" w14:textId="77777777" w:rsidR="00991E9B" w:rsidRPr="00DC7563" w:rsidRDefault="00991E9B" w:rsidP="00C73E67">
      <w:pPr>
        <w:pStyle w:val="BodyTextMain"/>
        <w:outlineLvl w:val="0"/>
        <w:rPr>
          <w:rFonts w:ascii="Arial" w:eastAsia="ヒラギノ明朝 Pro W3" w:hAnsi="Arial"/>
          <w:b/>
          <w:sz w:val="20"/>
          <w:szCs w:val="20"/>
          <w:lang w:val="en-GB"/>
        </w:rPr>
      </w:pPr>
      <w:r w:rsidRPr="00DC7563">
        <w:rPr>
          <w:rFonts w:ascii="Arial" w:eastAsia="ヒラギノ明朝 Pro W3" w:hAnsi="Arial"/>
          <w:b/>
          <w:sz w:val="20"/>
          <w:szCs w:val="20"/>
          <w:lang w:val="en-GB"/>
        </w:rPr>
        <w:t>THE GLOBAL AUTOMOTIVE INDUSTRY</w:t>
      </w:r>
    </w:p>
    <w:p w14:paraId="60AF2BEC" w14:textId="77777777" w:rsidR="00991E9B" w:rsidRPr="00DC7563" w:rsidRDefault="00991E9B" w:rsidP="00991E9B">
      <w:pPr>
        <w:pStyle w:val="BodyTextMain"/>
        <w:rPr>
          <w:sz w:val="20"/>
          <w:lang w:val="en-GB"/>
        </w:rPr>
      </w:pPr>
    </w:p>
    <w:p w14:paraId="3B34EF3A" w14:textId="1F164B16" w:rsidR="00991E9B" w:rsidRPr="00DC7563" w:rsidRDefault="00991E9B" w:rsidP="00991E9B">
      <w:pPr>
        <w:pStyle w:val="BodyTextMain"/>
        <w:rPr>
          <w:lang w:val="en-GB"/>
        </w:rPr>
      </w:pPr>
      <w:r w:rsidRPr="00DC7563">
        <w:rPr>
          <w:rFonts w:eastAsia="Malgun Gothic"/>
          <w:lang w:val="en-GB" w:eastAsia="ko-KR"/>
        </w:rPr>
        <w:t xml:space="preserve">Over the </w:t>
      </w:r>
      <w:r w:rsidR="008324AA" w:rsidRPr="00DC7563">
        <w:rPr>
          <w:rFonts w:eastAsia="Malgun Gothic"/>
          <w:lang w:val="en-GB" w:eastAsia="ko-KR"/>
        </w:rPr>
        <w:t xml:space="preserve">course of the 20th </w:t>
      </w:r>
      <w:r w:rsidRPr="00DC7563">
        <w:rPr>
          <w:rFonts w:eastAsia="Malgun Gothic"/>
          <w:lang w:val="en-GB" w:eastAsia="ko-KR"/>
        </w:rPr>
        <w:t>century, cars had spread all over the world</w:t>
      </w:r>
      <w:r w:rsidR="008324AA" w:rsidRPr="00DC7563">
        <w:rPr>
          <w:rFonts w:eastAsia="Malgun Gothic"/>
          <w:lang w:val="en-GB" w:eastAsia="ko-KR"/>
        </w:rPr>
        <w:t>, and</w:t>
      </w:r>
      <w:r w:rsidRPr="00DC7563">
        <w:rPr>
          <w:rFonts w:eastAsia="Malgun Gothic"/>
          <w:lang w:val="en-GB" w:eastAsia="ko-KR"/>
        </w:rPr>
        <w:t xml:space="preserve"> the </w:t>
      </w:r>
      <w:r w:rsidR="008324AA" w:rsidRPr="00DC7563">
        <w:rPr>
          <w:rFonts w:eastAsia="Malgun Gothic"/>
          <w:lang w:val="en-GB" w:eastAsia="ko-KR"/>
        </w:rPr>
        <w:t xml:space="preserve">automotive </w:t>
      </w:r>
      <w:r w:rsidRPr="00DC7563">
        <w:rPr>
          <w:rFonts w:eastAsia="Malgun Gothic"/>
          <w:lang w:val="en-GB" w:eastAsia="ko-KR"/>
        </w:rPr>
        <w:t>industry</w:t>
      </w:r>
      <w:r w:rsidR="008324AA" w:rsidRPr="00DC7563">
        <w:rPr>
          <w:rFonts w:eastAsia="Malgun Gothic"/>
          <w:lang w:val="en-GB" w:eastAsia="ko-KR"/>
        </w:rPr>
        <w:t xml:space="preserve"> was still</w:t>
      </w:r>
      <w:r w:rsidRPr="00DC7563">
        <w:rPr>
          <w:rFonts w:eastAsia="Malgun Gothic"/>
          <w:lang w:val="en-GB" w:eastAsia="ko-KR"/>
        </w:rPr>
        <w:t xml:space="preserve"> evolv</w:t>
      </w:r>
      <w:r w:rsidR="008324AA" w:rsidRPr="00DC7563">
        <w:rPr>
          <w:rFonts w:eastAsia="Malgun Gothic"/>
          <w:lang w:val="en-GB" w:eastAsia="ko-KR"/>
        </w:rPr>
        <w:t>ing</w:t>
      </w:r>
      <w:r w:rsidRPr="00DC7563">
        <w:rPr>
          <w:rFonts w:eastAsia="Malgun Gothic"/>
          <w:lang w:val="en-GB" w:eastAsia="ko-KR"/>
        </w:rPr>
        <w:t>. Due to the competitiveness of the automotive market, no company could survive on its domestic sales alone, making the global industry crucial for success. Automakers faced challenges such as complexity and cost pressure</w:t>
      </w:r>
      <w:r w:rsidR="00FD3A0D">
        <w:rPr>
          <w:rFonts w:eastAsia="Malgun Gothic"/>
          <w:lang w:val="en-GB" w:eastAsia="ko-KR"/>
        </w:rPr>
        <w:t>s</w:t>
      </w:r>
      <w:r w:rsidRPr="00DC7563">
        <w:rPr>
          <w:rFonts w:eastAsia="Malgun Gothic"/>
          <w:lang w:val="en-GB" w:eastAsia="ko-KR"/>
        </w:rPr>
        <w:t xml:space="preserve">, diverging markets, digital demands, and a shifting industry landscape. In 2015, </w:t>
      </w:r>
      <w:r w:rsidR="00FD3A0D">
        <w:rPr>
          <w:rFonts w:eastAsia="Malgun Gothic"/>
          <w:lang w:val="en-GB" w:eastAsia="ko-KR"/>
        </w:rPr>
        <w:t>nearly</w:t>
      </w:r>
      <w:r w:rsidRPr="00DC7563">
        <w:rPr>
          <w:rFonts w:eastAsia="Malgun Gothic"/>
          <w:lang w:val="en-GB" w:eastAsia="ko-KR"/>
        </w:rPr>
        <w:t xml:space="preserve"> 1,000 automotive companies </w:t>
      </w:r>
      <w:r w:rsidR="00FD3A0D">
        <w:rPr>
          <w:rFonts w:eastAsia="Malgun Gothic"/>
          <w:lang w:val="en-GB" w:eastAsia="ko-KR"/>
        </w:rPr>
        <w:t xml:space="preserve">were </w:t>
      </w:r>
      <w:r w:rsidRPr="00DC7563">
        <w:rPr>
          <w:rFonts w:eastAsia="Malgun Gothic"/>
          <w:lang w:val="en-GB" w:eastAsia="ko-KR"/>
        </w:rPr>
        <w:t>manufacturing vehicles globally</w:t>
      </w:r>
      <w:r w:rsidR="001778A2" w:rsidRPr="00DC7563">
        <w:rPr>
          <w:rFonts w:eastAsia="Malgun Gothic"/>
          <w:lang w:val="en-GB" w:eastAsia="ko-KR"/>
        </w:rPr>
        <w:t xml:space="preserve"> </w:t>
      </w:r>
      <w:r w:rsidRPr="00DC7563">
        <w:rPr>
          <w:rFonts w:eastAsia="Malgun Gothic"/>
          <w:lang w:val="en-GB" w:eastAsia="ko-KR"/>
        </w:rPr>
        <w:t>(</w:t>
      </w:r>
      <w:r w:rsidR="001778A2" w:rsidRPr="00DC7563">
        <w:rPr>
          <w:rFonts w:eastAsia="Malgun Gothic"/>
          <w:lang w:val="en-GB" w:eastAsia="ko-KR"/>
        </w:rPr>
        <w:t>s</w:t>
      </w:r>
      <w:r w:rsidRPr="00DC7563">
        <w:rPr>
          <w:rFonts w:eastAsia="Malgun Gothic"/>
          <w:lang w:val="en-GB" w:eastAsia="ko-KR"/>
        </w:rPr>
        <w:t>ee Exhibit 8)</w:t>
      </w:r>
      <w:r w:rsidR="001778A2" w:rsidRPr="00DC7563">
        <w:rPr>
          <w:rFonts w:eastAsia="Malgun Gothic"/>
          <w:lang w:val="en-GB" w:eastAsia="ko-KR"/>
        </w:rPr>
        <w:t>.</w:t>
      </w:r>
      <w:r w:rsidRPr="00DC7563">
        <w:rPr>
          <w:lang w:val="en-GB"/>
        </w:rPr>
        <w:t xml:space="preserve"> To continue achieving growth and profit in the global automotive industry, automotive brands were adjusting </w:t>
      </w:r>
      <w:r w:rsidRPr="00DC7563">
        <w:rPr>
          <w:lang w:val="en-GB"/>
        </w:rPr>
        <w:lastRenderedPageBreak/>
        <w:t xml:space="preserve">their business strategies, shifting investments and resources, and developing new skills to overcome recent trends in the automotive industry. </w:t>
      </w:r>
    </w:p>
    <w:p w14:paraId="47B8BAE4" w14:textId="77777777" w:rsidR="001778A2" w:rsidRDefault="001778A2" w:rsidP="00991E9B">
      <w:pPr>
        <w:pStyle w:val="BodyTextMain"/>
        <w:rPr>
          <w:lang w:val="en-GB"/>
        </w:rPr>
      </w:pPr>
    </w:p>
    <w:p w14:paraId="16AFA7BE" w14:textId="77777777" w:rsidR="0031090D" w:rsidRPr="00DC7563" w:rsidRDefault="0031090D" w:rsidP="00991E9B">
      <w:pPr>
        <w:pStyle w:val="BodyTextMain"/>
        <w:rPr>
          <w:lang w:val="en-GB"/>
        </w:rPr>
      </w:pPr>
    </w:p>
    <w:p w14:paraId="03E6A353" w14:textId="7017CFDC" w:rsidR="00991E9B" w:rsidRPr="00DC7563" w:rsidRDefault="00991E9B" w:rsidP="00C73E67">
      <w:pPr>
        <w:pStyle w:val="Casehead3"/>
        <w:outlineLvl w:val="0"/>
        <w:rPr>
          <w:rFonts w:eastAsia="Malgun Gothic"/>
          <w:lang w:val="en-GB" w:eastAsia="ko-KR"/>
        </w:rPr>
      </w:pPr>
      <w:r w:rsidRPr="00DC7563">
        <w:rPr>
          <w:rFonts w:eastAsia="Malgun Gothic"/>
          <w:lang w:val="en-GB" w:eastAsia="ko-KR"/>
        </w:rPr>
        <w:t xml:space="preserve">Mergers </w:t>
      </w:r>
      <w:r w:rsidR="007B0DB9" w:rsidRPr="00DC7563">
        <w:rPr>
          <w:rFonts w:eastAsia="Malgun Gothic"/>
          <w:lang w:val="en-GB" w:eastAsia="ko-KR"/>
        </w:rPr>
        <w:t>and</w:t>
      </w:r>
      <w:r w:rsidRPr="00DC7563">
        <w:rPr>
          <w:rFonts w:eastAsia="Malgun Gothic"/>
          <w:lang w:val="en-GB" w:eastAsia="ko-KR"/>
        </w:rPr>
        <w:t xml:space="preserve"> Acquisitions (M&amp;A)</w:t>
      </w:r>
    </w:p>
    <w:p w14:paraId="42145755" w14:textId="77777777" w:rsidR="008574FE" w:rsidRPr="00DC7563" w:rsidRDefault="008574FE" w:rsidP="00991E9B">
      <w:pPr>
        <w:pStyle w:val="BodyTextMain"/>
        <w:rPr>
          <w:rFonts w:eastAsia="Malgun Gothic"/>
          <w:i/>
          <w:sz w:val="20"/>
          <w:lang w:val="en-GB" w:eastAsia="ko-KR"/>
        </w:rPr>
      </w:pPr>
    </w:p>
    <w:p w14:paraId="216729DA" w14:textId="26B324B6" w:rsidR="00991E9B" w:rsidRPr="00DC7563" w:rsidRDefault="00991E9B" w:rsidP="00991E9B">
      <w:pPr>
        <w:pStyle w:val="BodyTextMain"/>
        <w:rPr>
          <w:rFonts w:eastAsia="Malgun Gothic"/>
          <w:lang w:val="en-GB" w:eastAsia="ko-KR"/>
        </w:rPr>
      </w:pPr>
      <w:r w:rsidRPr="00DC7563">
        <w:rPr>
          <w:rFonts w:eastAsia="Malgun Gothic"/>
          <w:lang w:val="en-GB" w:eastAsia="ko-KR"/>
        </w:rPr>
        <w:t>Following the 2008 financial crisis, the global automotive industry transformed</w:t>
      </w:r>
      <w:r w:rsidR="00FD3A0D">
        <w:rPr>
          <w:rFonts w:eastAsia="Malgun Gothic"/>
          <w:lang w:val="en-GB" w:eastAsia="ko-KR"/>
        </w:rPr>
        <w:t>,</w:t>
      </w:r>
      <w:r w:rsidRPr="00DC7563">
        <w:rPr>
          <w:rFonts w:eastAsia="Malgun Gothic"/>
          <w:lang w:val="en-GB" w:eastAsia="ko-KR"/>
        </w:rPr>
        <w:t xml:space="preserve"> as a result of</w:t>
      </w:r>
      <w:r w:rsidR="001778A2" w:rsidRPr="00DC7563">
        <w:rPr>
          <w:rFonts w:eastAsia="Malgun Gothic"/>
          <w:lang w:val="en-GB" w:eastAsia="ko-KR"/>
        </w:rPr>
        <w:t xml:space="preserve"> the</w:t>
      </w:r>
      <w:r w:rsidRPr="00DC7563">
        <w:rPr>
          <w:rFonts w:eastAsia="Malgun Gothic"/>
          <w:lang w:val="en-GB" w:eastAsia="ko-KR"/>
        </w:rPr>
        <w:t xml:space="preserve"> competitive dynamics required for </w:t>
      </w:r>
      <w:r w:rsidR="00EC043E" w:rsidRPr="00DC7563">
        <w:rPr>
          <w:rFonts w:eastAsia="Malgun Gothic"/>
          <w:lang w:val="en-GB" w:eastAsia="ko-KR"/>
        </w:rPr>
        <w:t>companies’</w:t>
      </w:r>
      <w:r w:rsidRPr="00DC7563">
        <w:rPr>
          <w:rFonts w:eastAsia="Malgun Gothic"/>
          <w:lang w:val="en-GB" w:eastAsia="ko-KR"/>
        </w:rPr>
        <w:t xml:space="preserve"> survival. M&amp;A by larger companies </w:t>
      </w:r>
      <w:r w:rsidR="00510053" w:rsidRPr="00DC7563">
        <w:rPr>
          <w:rFonts w:eastAsia="Malgun Gothic"/>
          <w:lang w:val="en-GB" w:eastAsia="ko-KR"/>
        </w:rPr>
        <w:t xml:space="preserve">began occurring </w:t>
      </w:r>
      <w:r w:rsidRPr="00DC7563">
        <w:rPr>
          <w:rFonts w:eastAsia="Malgun Gothic"/>
          <w:lang w:val="en-GB" w:eastAsia="ko-KR"/>
        </w:rPr>
        <w:t xml:space="preserve">across the industry </w:t>
      </w:r>
      <w:r w:rsidR="00510053" w:rsidRPr="00DC7563">
        <w:rPr>
          <w:rFonts w:eastAsia="Malgun Gothic"/>
          <w:lang w:val="en-GB" w:eastAsia="ko-KR"/>
        </w:rPr>
        <w:t>because</w:t>
      </w:r>
      <w:r w:rsidRPr="00DC7563">
        <w:rPr>
          <w:rFonts w:eastAsia="Malgun Gothic"/>
          <w:lang w:val="en-GB" w:eastAsia="ko-KR"/>
        </w:rPr>
        <w:t xml:space="preserve"> smaller companies could no longer survive independently (</w:t>
      </w:r>
      <w:r w:rsidR="00EB457B" w:rsidRPr="00DC7563">
        <w:rPr>
          <w:rFonts w:eastAsia="Malgun Gothic"/>
          <w:lang w:val="en-GB" w:eastAsia="ko-KR"/>
        </w:rPr>
        <w:t>s</w:t>
      </w:r>
      <w:r w:rsidRPr="00DC7563">
        <w:rPr>
          <w:rFonts w:eastAsia="Malgun Gothic"/>
          <w:lang w:val="en-GB" w:eastAsia="ko-KR"/>
        </w:rPr>
        <w:t>ee Exhibit 9)</w:t>
      </w:r>
      <w:r w:rsidR="00EB457B" w:rsidRPr="00DC7563">
        <w:rPr>
          <w:rFonts w:eastAsia="Malgun Gothic"/>
          <w:lang w:val="en-GB" w:eastAsia="ko-KR"/>
        </w:rPr>
        <w:t>.</w:t>
      </w:r>
      <w:r w:rsidRPr="00DC7563">
        <w:rPr>
          <w:rFonts w:eastAsia="Malgun Gothic"/>
          <w:lang w:val="en-GB" w:eastAsia="ko-KR"/>
        </w:rPr>
        <w:t xml:space="preserve"> Major automotive companies </w:t>
      </w:r>
      <w:r w:rsidR="00FD3A0D">
        <w:rPr>
          <w:rFonts w:eastAsia="Malgun Gothic"/>
          <w:lang w:val="en-GB" w:eastAsia="ko-KR"/>
        </w:rPr>
        <w:t>such as</w:t>
      </w:r>
      <w:r w:rsidR="00FD3A0D" w:rsidRPr="00DC7563">
        <w:rPr>
          <w:rFonts w:eastAsia="Malgun Gothic"/>
          <w:lang w:val="en-GB" w:eastAsia="ko-KR"/>
        </w:rPr>
        <w:t xml:space="preserve"> </w:t>
      </w:r>
      <w:r w:rsidRPr="00DC7563">
        <w:rPr>
          <w:rFonts w:eastAsia="Malgun Gothic"/>
          <w:lang w:val="en-GB" w:eastAsia="ko-KR"/>
        </w:rPr>
        <w:t xml:space="preserve">Volkswagen and Fiat acquired smaller companies to increase </w:t>
      </w:r>
      <w:r w:rsidR="00FD3A0D">
        <w:rPr>
          <w:rFonts w:eastAsia="Malgun Gothic"/>
          <w:lang w:val="en-GB" w:eastAsia="ko-KR"/>
        </w:rPr>
        <w:t xml:space="preserve">their </w:t>
      </w:r>
      <w:r w:rsidRPr="00DC7563">
        <w:rPr>
          <w:rFonts w:eastAsia="Malgun Gothic"/>
          <w:lang w:val="en-GB" w:eastAsia="ko-KR"/>
        </w:rPr>
        <w:t xml:space="preserve">manufacturing capabilities and diversify </w:t>
      </w:r>
      <w:r w:rsidR="00FD3A0D">
        <w:rPr>
          <w:rFonts w:eastAsia="Malgun Gothic"/>
          <w:lang w:val="en-GB" w:eastAsia="ko-KR"/>
        </w:rPr>
        <w:t xml:space="preserve">their </w:t>
      </w:r>
      <w:r w:rsidRPr="00DC7563">
        <w:rPr>
          <w:rFonts w:eastAsia="Malgun Gothic"/>
          <w:lang w:val="en-GB" w:eastAsia="ko-KR"/>
        </w:rPr>
        <w:t xml:space="preserve">product </w:t>
      </w:r>
      <w:proofErr w:type="spellStart"/>
      <w:r w:rsidRPr="00DC7563">
        <w:rPr>
          <w:rFonts w:eastAsia="Malgun Gothic"/>
          <w:lang w:val="en-GB" w:eastAsia="ko-KR"/>
        </w:rPr>
        <w:t>lineups</w:t>
      </w:r>
      <w:proofErr w:type="spellEnd"/>
      <w:r w:rsidRPr="00DC7563">
        <w:rPr>
          <w:rFonts w:eastAsia="Malgun Gothic"/>
          <w:lang w:val="en-GB" w:eastAsia="ko-KR"/>
        </w:rPr>
        <w:t>. Companies from emerging markets</w:t>
      </w:r>
      <w:r w:rsidR="00510053" w:rsidRPr="00DC7563">
        <w:rPr>
          <w:rFonts w:eastAsia="Malgun Gothic"/>
          <w:lang w:val="en-GB" w:eastAsia="ko-KR"/>
        </w:rPr>
        <w:t>,</w:t>
      </w:r>
      <w:r w:rsidRPr="00DC7563">
        <w:rPr>
          <w:rFonts w:eastAsia="Malgun Gothic"/>
          <w:lang w:val="en-GB" w:eastAsia="ko-KR"/>
        </w:rPr>
        <w:t xml:space="preserve"> such as </w:t>
      </w:r>
      <w:proofErr w:type="spellStart"/>
      <w:r w:rsidRPr="00DC7563">
        <w:rPr>
          <w:rFonts w:eastAsia="Malgun Gothic"/>
          <w:lang w:val="en-GB" w:eastAsia="ko-KR"/>
        </w:rPr>
        <w:t>Geely</w:t>
      </w:r>
      <w:proofErr w:type="spellEnd"/>
      <w:r w:rsidRPr="00DC7563">
        <w:rPr>
          <w:rFonts w:eastAsia="Malgun Gothic"/>
          <w:lang w:val="en-GB" w:eastAsia="ko-KR"/>
        </w:rPr>
        <w:t xml:space="preserve"> and Tata Motors</w:t>
      </w:r>
      <w:r w:rsidR="00510053" w:rsidRPr="00DC7563">
        <w:rPr>
          <w:rFonts w:eastAsia="Malgun Gothic"/>
          <w:lang w:val="en-GB" w:eastAsia="ko-KR"/>
        </w:rPr>
        <w:t>,</w:t>
      </w:r>
      <w:r w:rsidRPr="00DC7563">
        <w:rPr>
          <w:rFonts w:eastAsia="Malgun Gothic"/>
          <w:lang w:val="en-GB" w:eastAsia="ko-KR"/>
        </w:rPr>
        <w:t xml:space="preserve"> purchased struggling European brands</w:t>
      </w:r>
      <w:r w:rsidR="00510053" w:rsidRPr="00DC7563">
        <w:rPr>
          <w:rFonts w:eastAsia="Malgun Gothic"/>
          <w:lang w:val="en-GB" w:eastAsia="ko-KR"/>
        </w:rPr>
        <w:t>, such as</w:t>
      </w:r>
      <w:r w:rsidRPr="00DC7563">
        <w:rPr>
          <w:rFonts w:eastAsia="Malgun Gothic"/>
          <w:lang w:val="en-GB" w:eastAsia="ko-KR"/>
        </w:rPr>
        <w:t xml:space="preserve"> Volvo and Jaguar Land Rover, in an attempt to secure technology and brand value. </w:t>
      </w:r>
      <w:r w:rsidR="00510053" w:rsidRPr="00DC7563">
        <w:rPr>
          <w:rFonts w:eastAsia="Malgun Gothic"/>
          <w:lang w:val="en-GB" w:eastAsia="ko-KR"/>
        </w:rPr>
        <w:t xml:space="preserve">Although </w:t>
      </w:r>
      <w:r w:rsidRPr="00DC7563">
        <w:rPr>
          <w:rFonts w:eastAsia="Malgun Gothic"/>
          <w:lang w:val="en-GB" w:eastAsia="ko-KR"/>
        </w:rPr>
        <w:t xml:space="preserve">many of its competitors became involved in M&amp;A activity, Mazda avoided M&amp;A since its Ford partnership, choosing to remain in control of </w:t>
      </w:r>
      <w:r w:rsidR="00510053" w:rsidRPr="00DC7563">
        <w:rPr>
          <w:rFonts w:eastAsia="Malgun Gothic"/>
          <w:lang w:val="en-GB" w:eastAsia="ko-KR"/>
        </w:rPr>
        <w:t xml:space="preserve">its </w:t>
      </w:r>
      <w:r w:rsidRPr="00DC7563">
        <w:rPr>
          <w:rFonts w:eastAsia="Malgun Gothic"/>
          <w:lang w:val="en-GB" w:eastAsia="ko-KR"/>
        </w:rPr>
        <w:t>own operations and decision</w:t>
      </w:r>
      <w:r w:rsidR="00FD3A0D">
        <w:rPr>
          <w:rFonts w:eastAsia="Malgun Gothic"/>
          <w:lang w:val="en-GB" w:eastAsia="ko-KR"/>
        </w:rPr>
        <w:t>-</w:t>
      </w:r>
      <w:r w:rsidRPr="00DC7563">
        <w:rPr>
          <w:rFonts w:eastAsia="Malgun Gothic"/>
          <w:lang w:val="en-GB" w:eastAsia="ko-KR"/>
        </w:rPr>
        <w:t xml:space="preserve">making. </w:t>
      </w:r>
    </w:p>
    <w:p w14:paraId="0DBD5F19" w14:textId="77777777" w:rsidR="00991E9B" w:rsidRPr="00DC7563" w:rsidRDefault="00991E9B" w:rsidP="00991E9B">
      <w:pPr>
        <w:pStyle w:val="BodyTextMain"/>
        <w:rPr>
          <w:rFonts w:eastAsia="Malgun Gothic"/>
          <w:sz w:val="20"/>
          <w:lang w:val="en-GB" w:eastAsia="ko-KR"/>
        </w:rPr>
      </w:pPr>
    </w:p>
    <w:p w14:paraId="34F5FFD3" w14:textId="77777777" w:rsidR="008574FE" w:rsidRPr="00DC7563" w:rsidRDefault="008574FE" w:rsidP="00991E9B">
      <w:pPr>
        <w:pStyle w:val="BodyTextMain"/>
        <w:rPr>
          <w:rFonts w:eastAsia="Malgun Gothic"/>
          <w:sz w:val="20"/>
          <w:lang w:val="en-GB" w:eastAsia="ko-KR"/>
        </w:rPr>
      </w:pPr>
    </w:p>
    <w:p w14:paraId="5C640EE7" w14:textId="72C22C3B" w:rsidR="00991E9B" w:rsidRPr="00DC7563" w:rsidRDefault="00991E9B" w:rsidP="00C73E67">
      <w:pPr>
        <w:pStyle w:val="Casehead3"/>
        <w:outlineLvl w:val="0"/>
        <w:rPr>
          <w:rFonts w:eastAsia="Malgun Gothic"/>
          <w:lang w:val="en-GB" w:eastAsia="ko-KR"/>
        </w:rPr>
      </w:pPr>
      <w:r w:rsidRPr="00DC7563">
        <w:rPr>
          <w:rFonts w:eastAsia="Malgun Gothic"/>
          <w:lang w:val="en-GB" w:eastAsia="ko-KR"/>
        </w:rPr>
        <w:t xml:space="preserve">Research </w:t>
      </w:r>
      <w:r w:rsidR="00D56EC7" w:rsidRPr="00DC7563">
        <w:rPr>
          <w:rFonts w:eastAsia="Malgun Gothic"/>
          <w:lang w:val="en-GB" w:eastAsia="ko-KR"/>
        </w:rPr>
        <w:t>and</w:t>
      </w:r>
      <w:r w:rsidRPr="00DC7563">
        <w:rPr>
          <w:rFonts w:eastAsia="Malgun Gothic"/>
          <w:lang w:val="en-GB" w:eastAsia="ko-KR"/>
        </w:rPr>
        <w:t xml:space="preserve"> Development</w:t>
      </w:r>
      <w:r w:rsidR="004864D1" w:rsidRPr="00DC7563">
        <w:rPr>
          <w:rFonts w:eastAsia="Malgun Gothic"/>
          <w:lang w:val="en-GB" w:eastAsia="ko-KR"/>
        </w:rPr>
        <w:t xml:space="preserve"> (R&amp;D)</w:t>
      </w:r>
    </w:p>
    <w:p w14:paraId="059C982D" w14:textId="77777777" w:rsidR="008574FE" w:rsidRPr="00DC7563" w:rsidRDefault="008574FE" w:rsidP="00991E9B">
      <w:pPr>
        <w:pStyle w:val="BodyTextMain"/>
        <w:rPr>
          <w:rFonts w:eastAsia="Malgun Gothic"/>
          <w:i/>
          <w:sz w:val="20"/>
          <w:lang w:val="en-GB" w:eastAsia="ko-KR"/>
        </w:rPr>
      </w:pPr>
    </w:p>
    <w:p w14:paraId="5D93B117" w14:textId="419419BB" w:rsidR="003A4917" w:rsidRPr="00DC7563" w:rsidRDefault="00510053" w:rsidP="00991E9B">
      <w:pPr>
        <w:pStyle w:val="BodyTextMain"/>
        <w:rPr>
          <w:rFonts w:eastAsia="Malgun Gothic"/>
          <w:spacing w:val="-2"/>
          <w:lang w:val="en-GB" w:eastAsia="ko-KR"/>
        </w:rPr>
      </w:pPr>
      <w:r w:rsidRPr="00DC7563">
        <w:rPr>
          <w:rFonts w:eastAsia="Malgun Gothic"/>
          <w:spacing w:val="-2"/>
          <w:lang w:val="en-GB" w:eastAsia="ko-KR"/>
        </w:rPr>
        <w:t>Auto c</w:t>
      </w:r>
      <w:r w:rsidR="00991E9B" w:rsidRPr="00DC7563">
        <w:rPr>
          <w:rFonts w:eastAsia="Malgun Gothic"/>
          <w:spacing w:val="-2"/>
          <w:lang w:val="en-GB" w:eastAsia="ko-KR"/>
        </w:rPr>
        <w:t>ompanies had also focused on R&amp;D</w:t>
      </w:r>
      <w:r w:rsidRPr="00DC7563">
        <w:rPr>
          <w:rFonts w:eastAsia="Malgun Gothic"/>
          <w:spacing w:val="-2"/>
          <w:lang w:val="en-GB" w:eastAsia="ko-KR"/>
        </w:rPr>
        <w:t>, hoping</w:t>
      </w:r>
      <w:r w:rsidR="00991E9B" w:rsidRPr="00DC7563">
        <w:rPr>
          <w:rFonts w:eastAsia="Malgun Gothic"/>
          <w:spacing w:val="-2"/>
          <w:lang w:val="en-GB" w:eastAsia="ko-KR"/>
        </w:rPr>
        <w:t xml:space="preserve"> to forecast future trends </w:t>
      </w:r>
      <w:r w:rsidRPr="00DC7563">
        <w:rPr>
          <w:rFonts w:eastAsia="Malgun Gothic"/>
          <w:spacing w:val="-2"/>
          <w:lang w:val="en-GB" w:eastAsia="ko-KR"/>
        </w:rPr>
        <w:t>and</w:t>
      </w:r>
      <w:r w:rsidR="00991E9B" w:rsidRPr="00DC7563">
        <w:rPr>
          <w:rFonts w:eastAsia="Malgun Gothic"/>
          <w:spacing w:val="-2"/>
          <w:lang w:val="en-GB" w:eastAsia="ko-KR"/>
        </w:rPr>
        <w:t xml:space="preserve"> </w:t>
      </w:r>
      <w:r w:rsidRPr="00DC7563">
        <w:rPr>
          <w:rFonts w:eastAsia="Malgun Gothic"/>
          <w:spacing w:val="-2"/>
          <w:lang w:val="en-GB" w:eastAsia="ko-KR"/>
        </w:rPr>
        <w:t xml:space="preserve">achieve </w:t>
      </w:r>
      <w:r w:rsidR="00991E9B" w:rsidRPr="00DC7563">
        <w:rPr>
          <w:rFonts w:eastAsia="Malgun Gothic"/>
          <w:spacing w:val="-2"/>
          <w:lang w:val="en-GB" w:eastAsia="ko-KR"/>
        </w:rPr>
        <w:t>first</w:t>
      </w:r>
      <w:r w:rsidRPr="00DC7563">
        <w:rPr>
          <w:rFonts w:eastAsia="Malgun Gothic"/>
          <w:spacing w:val="-2"/>
          <w:lang w:val="en-GB" w:eastAsia="ko-KR"/>
        </w:rPr>
        <w:t>-</w:t>
      </w:r>
      <w:r w:rsidR="00991E9B" w:rsidRPr="00DC7563">
        <w:rPr>
          <w:rFonts w:eastAsia="Malgun Gothic"/>
          <w:spacing w:val="-2"/>
          <w:lang w:val="en-GB" w:eastAsia="ko-KR"/>
        </w:rPr>
        <w:t>mover</w:t>
      </w:r>
      <w:r w:rsidRPr="00DC7563">
        <w:rPr>
          <w:rFonts w:eastAsia="Malgun Gothic"/>
          <w:spacing w:val="-2"/>
          <w:lang w:val="en-GB" w:eastAsia="ko-KR"/>
        </w:rPr>
        <w:t xml:space="preserve"> status</w:t>
      </w:r>
      <w:r w:rsidR="00991E9B" w:rsidRPr="00DC7563">
        <w:rPr>
          <w:rFonts w:eastAsia="Malgun Gothic"/>
          <w:spacing w:val="-2"/>
          <w:lang w:val="en-GB" w:eastAsia="ko-KR"/>
        </w:rPr>
        <w:t xml:space="preserve">. In 2014, </w:t>
      </w:r>
      <w:r w:rsidR="00991E9B" w:rsidRPr="00DC7563">
        <w:rPr>
          <w:spacing w:val="-2"/>
          <w:lang w:val="en-GB"/>
        </w:rPr>
        <w:t xml:space="preserve">Volkswagen spent </w:t>
      </w:r>
      <w:r w:rsidRPr="00DC7563">
        <w:rPr>
          <w:spacing w:val="-2"/>
          <w:lang w:val="en-GB"/>
        </w:rPr>
        <w:t>US</w:t>
      </w:r>
      <w:r w:rsidR="00991E9B" w:rsidRPr="00DC7563">
        <w:rPr>
          <w:spacing w:val="-2"/>
          <w:lang w:val="en-GB"/>
        </w:rPr>
        <w:t>$13.5 billion on R&amp;D</w:t>
      </w:r>
      <w:r w:rsidR="00991E9B" w:rsidRPr="00DC7563">
        <w:rPr>
          <w:rFonts w:eastAsia="Malgun Gothic"/>
          <w:spacing w:val="-2"/>
          <w:lang w:val="en-GB" w:eastAsia="ko-KR"/>
        </w:rPr>
        <w:t>,</w:t>
      </w:r>
      <w:r w:rsidR="00991E9B" w:rsidRPr="00DC7563">
        <w:rPr>
          <w:spacing w:val="-2"/>
          <w:lang w:val="en-GB"/>
        </w:rPr>
        <w:t xml:space="preserve"> followed</w:t>
      </w:r>
      <w:r w:rsidR="00325A41" w:rsidRPr="00DC7563">
        <w:rPr>
          <w:spacing w:val="-2"/>
          <w:lang w:val="en-GB"/>
        </w:rPr>
        <w:t xml:space="preserve"> in this respect</w:t>
      </w:r>
      <w:r w:rsidR="00991E9B" w:rsidRPr="00DC7563">
        <w:rPr>
          <w:spacing w:val="-2"/>
          <w:lang w:val="en-GB"/>
        </w:rPr>
        <w:t xml:space="preserve"> by Toyota</w:t>
      </w:r>
      <w:r w:rsidR="00991E9B" w:rsidRPr="00DC7563">
        <w:rPr>
          <w:rFonts w:eastAsia="Malgun Gothic"/>
          <w:spacing w:val="-2"/>
          <w:lang w:val="en-GB" w:eastAsia="ko-KR"/>
        </w:rPr>
        <w:t xml:space="preserve"> </w:t>
      </w:r>
      <w:r w:rsidR="00325A41" w:rsidRPr="00DC7563">
        <w:rPr>
          <w:spacing w:val="-2"/>
          <w:lang w:val="en-GB"/>
        </w:rPr>
        <w:t>(</w:t>
      </w:r>
      <w:r w:rsidRPr="00DC7563">
        <w:rPr>
          <w:spacing w:val="-2"/>
          <w:lang w:val="en-GB"/>
        </w:rPr>
        <w:t>US</w:t>
      </w:r>
      <w:r w:rsidR="00991E9B" w:rsidRPr="00DC7563">
        <w:rPr>
          <w:spacing w:val="-2"/>
          <w:lang w:val="en-GB"/>
        </w:rPr>
        <w:t>$9.1 billion</w:t>
      </w:r>
      <w:r w:rsidR="00325A41" w:rsidRPr="00DC7563">
        <w:rPr>
          <w:spacing w:val="-2"/>
          <w:lang w:val="en-GB"/>
        </w:rPr>
        <w:t>)</w:t>
      </w:r>
      <w:r w:rsidR="00991E9B" w:rsidRPr="00DC7563">
        <w:rPr>
          <w:spacing w:val="-2"/>
          <w:lang w:val="en-GB"/>
        </w:rPr>
        <w:t>, General Motors</w:t>
      </w:r>
      <w:r w:rsidR="00991E9B" w:rsidRPr="00DC7563">
        <w:rPr>
          <w:rFonts w:eastAsia="Malgun Gothic"/>
          <w:spacing w:val="-2"/>
          <w:lang w:val="en-GB" w:eastAsia="ko-KR"/>
        </w:rPr>
        <w:t xml:space="preserve"> </w:t>
      </w:r>
      <w:r w:rsidR="004247DF" w:rsidRPr="00DC7563">
        <w:rPr>
          <w:rFonts w:eastAsia="Malgun Gothic"/>
          <w:spacing w:val="-2"/>
          <w:lang w:val="en-GB" w:eastAsia="ko-KR"/>
        </w:rPr>
        <w:t xml:space="preserve">(GM) </w:t>
      </w:r>
      <w:r w:rsidR="00325A41" w:rsidRPr="00DC7563">
        <w:rPr>
          <w:rFonts w:eastAsia="Malgun Gothic"/>
          <w:spacing w:val="-2"/>
          <w:lang w:val="en-GB" w:eastAsia="ko-KR"/>
        </w:rPr>
        <w:t>(</w:t>
      </w:r>
      <w:r w:rsidRPr="00DC7563">
        <w:rPr>
          <w:rFonts w:eastAsia="Malgun Gothic"/>
          <w:spacing w:val="-2"/>
          <w:lang w:val="en-GB" w:eastAsia="ko-KR"/>
        </w:rPr>
        <w:t>US</w:t>
      </w:r>
      <w:r w:rsidR="00991E9B" w:rsidRPr="00DC7563">
        <w:rPr>
          <w:spacing w:val="-2"/>
          <w:lang w:val="en-GB"/>
        </w:rPr>
        <w:t>$7.2 billion</w:t>
      </w:r>
      <w:r w:rsidR="00325A41" w:rsidRPr="00DC7563">
        <w:rPr>
          <w:spacing w:val="-2"/>
          <w:lang w:val="en-GB"/>
        </w:rPr>
        <w:t>)</w:t>
      </w:r>
      <w:r w:rsidR="00991E9B" w:rsidRPr="00DC7563">
        <w:rPr>
          <w:spacing w:val="-2"/>
          <w:lang w:val="en-GB"/>
        </w:rPr>
        <w:t xml:space="preserve">, Daimler </w:t>
      </w:r>
      <w:r w:rsidR="00325A41" w:rsidRPr="00DC7563">
        <w:rPr>
          <w:spacing w:val="-2"/>
          <w:lang w:val="en-GB"/>
        </w:rPr>
        <w:t>(</w:t>
      </w:r>
      <w:r w:rsidRPr="00DC7563">
        <w:rPr>
          <w:spacing w:val="-2"/>
          <w:lang w:val="en-GB"/>
        </w:rPr>
        <w:t>US</w:t>
      </w:r>
      <w:r w:rsidR="00991E9B" w:rsidRPr="00DC7563">
        <w:rPr>
          <w:spacing w:val="-2"/>
          <w:lang w:val="en-GB"/>
        </w:rPr>
        <w:t>$7.0 billion</w:t>
      </w:r>
      <w:r w:rsidR="00325A41" w:rsidRPr="00DC7563">
        <w:rPr>
          <w:spacing w:val="-2"/>
          <w:lang w:val="en-GB"/>
        </w:rPr>
        <w:t>)</w:t>
      </w:r>
      <w:r w:rsidR="00991E9B" w:rsidRPr="00DC7563">
        <w:rPr>
          <w:rFonts w:eastAsia="Malgun Gothic"/>
          <w:spacing w:val="-2"/>
          <w:lang w:val="en-GB" w:eastAsia="ko-KR"/>
        </w:rPr>
        <w:t>,</w:t>
      </w:r>
      <w:r w:rsidR="00991E9B" w:rsidRPr="00DC7563">
        <w:rPr>
          <w:spacing w:val="-2"/>
          <w:lang w:val="en-GB"/>
        </w:rPr>
        <w:t xml:space="preserve"> and Ford </w:t>
      </w:r>
      <w:r w:rsidR="00325A41" w:rsidRPr="00DC7563">
        <w:rPr>
          <w:spacing w:val="-2"/>
          <w:lang w:val="en-GB"/>
        </w:rPr>
        <w:t>(</w:t>
      </w:r>
      <w:r w:rsidRPr="00DC7563">
        <w:rPr>
          <w:spacing w:val="-2"/>
          <w:lang w:val="en-GB"/>
        </w:rPr>
        <w:t>US</w:t>
      </w:r>
      <w:r w:rsidR="00991E9B" w:rsidRPr="00DC7563">
        <w:rPr>
          <w:spacing w:val="-2"/>
          <w:lang w:val="en-GB"/>
        </w:rPr>
        <w:t>$6.4 billion</w:t>
      </w:r>
      <w:r w:rsidR="00325A41" w:rsidRPr="00DC7563">
        <w:rPr>
          <w:spacing w:val="-2"/>
          <w:lang w:val="en-GB"/>
        </w:rPr>
        <w:t>)</w:t>
      </w:r>
      <w:r w:rsidR="00991E9B" w:rsidRPr="00DC7563">
        <w:rPr>
          <w:spacing w:val="-2"/>
          <w:lang w:val="en-GB"/>
        </w:rPr>
        <w:t>.</w:t>
      </w:r>
      <w:r w:rsidR="00991E9B" w:rsidRPr="00DC7563">
        <w:rPr>
          <w:rStyle w:val="EndnoteReference"/>
          <w:spacing w:val="-2"/>
          <w:lang w:val="en-GB"/>
        </w:rPr>
        <w:endnoteReference w:id="45"/>
      </w:r>
      <w:r w:rsidR="00991E9B" w:rsidRPr="00DC7563">
        <w:rPr>
          <w:spacing w:val="-2"/>
          <w:lang w:val="en-GB"/>
        </w:rPr>
        <w:t xml:space="preserve"> Historically, </w:t>
      </w:r>
      <w:r w:rsidR="00991E9B" w:rsidRPr="00DC7563">
        <w:rPr>
          <w:rFonts w:eastAsia="Malgun Gothic"/>
          <w:spacing w:val="-2"/>
          <w:lang w:val="en-GB" w:eastAsia="ko-KR"/>
        </w:rPr>
        <w:t xml:space="preserve">automotive OEMs developed new platforms </w:t>
      </w:r>
      <w:r w:rsidR="003C7A5D">
        <w:rPr>
          <w:rFonts w:eastAsia="Malgun Gothic"/>
          <w:spacing w:val="-2"/>
          <w:lang w:val="en-GB" w:eastAsia="ko-KR"/>
        </w:rPr>
        <w:t xml:space="preserve">only </w:t>
      </w:r>
      <w:r w:rsidR="00991E9B" w:rsidRPr="00DC7563">
        <w:rPr>
          <w:rFonts w:eastAsia="Malgun Gothic"/>
          <w:spacing w:val="-2"/>
          <w:lang w:val="en-GB" w:eastAsia="ko-KR"/>
        </w:rPr>
        <w:t>when launching new vehicles.</w:t>
      </w:r>
      <w:r w:rsidR="00C73E67" w:rsidRPr="00DC7563">
        <w:rPr>
          <w:rFonts w:eastAsia="Malgun Gothic"/>
          <w:spacing w:val="-2"/>
          <w:lang w:val="en-GB" w:eastAsia="ko-KR"/>
        </w:rPr>
        <w:t xml:space="preserve"> </w:t>
      </w:r>
      <w:r w:rsidR="00991E9B" w:rsidRPr="00DC7563">
        <w:rPr>
          <w:rFonts w:eastAsia="Malgun Gothic"/>
          <w:spacing w:val="-2"/>
          <w:lang w:val="en-GB" w:eastAsia="ko-KR"/>
        </w:rPr>
        <w:t xml:space="preserve">However, to survive in the </w:t>
      </w:r>
      <w:r w:rsidR="003A4917" w:rsidRPr="00DC7563">
        <w:rPr>
          <w:rFonts w:eastAsia="Malgun Gothic"/>
          <w:spacing w:val="-2"/>
          <w:lang w:val="en-GB" w:eastAsia="ko-KR"/>
        </w:rPr>
        <w:t>increasingly</w:t>
      </w:r>
      <w:r w:rsidR="00991E9B" w:rsidRPr="00DC7563">
        <w:rPr>
          <w:rFonts w:eastAsia="Malgun Gothic"/>
          <w:spacing w:val="-2"/>
          <w:lang w:val="en-GB" w:eastAsia="ko-KR"/>
        </w:rPr>
        <w:t xml:space="preserve"> competitive landscape, companies focused their R&amp;D spending </w:t>
      </w:r>
      <w:r w:rsidR="003A4917" w:rsidRPr="00DC7563">
        <w:rPr>
          <w:rFonts w:eastAsia="Malgun Gothic"/>
          <w:spacing w:val="-2"/>
          <w:lang w:val="en-GB" w:eastAsia="ko-KR"/>
        </w:rPr>
        <w:t>on</w:t>
      </w:r>
      <w:r w:rsidR="00991E9B" w:rsidRPr="00DC7563">
        <w:rPr>
          <w:rFonts w:eastAsia="Malgun Gothic"/>
          <w:spacing w:val="-2"/>
          <w:lang w:val="en-GB" w:eastAsia="ko-KR"/>
        </w:rPr>
        <w:t xml:space="preserve"> develop</w:t>
      </w:r>
      <w:r w:rsidR="003A4917" w:rsidRPr="00DC7563">
        <w:rPr>
          <w:rFonts w:eastAsia="Malgun Gothic"/>
          <w:spacing w:val="-2"/>
          <w:lang w:val="en-GB" w:eastAsia="ko-KR"/>
        </w:rPr>
        <w:t>ing</w:t>
      </w:r>
      <w:r w:rsidR="00991E9B" w:rsidRPr="00DC7563">
        <w:rPr>
          <w:rFonts w:eastAsia="Malgun Gothic"/>
          <w:spacing w:val="-2"/>
          <w:lang w:val="en-GB" w:eastAsia="ko-KR"/>
        </w:rPr>
        <w:t xml:space="preserve"> new platforms that c</w:t>
      </w:r>
      <w:r w:rsidR="003A4917" w:rsidRPr="00DC7563">
        <w:rPr>
          <w:rFonts w:eastAsia="Malgun Gothic"/>
          <w:spacing w:val="-2"/>
          <w:lang w:val="en-GB" w:eastAsia="ko-KR"/>
        </w:rPr>
        <w:t>ould</w:t>
      </w:r>
      <w:r w:rsidR="00991E9B" w:rsidRPr="00DC7563">
        <w:rPr>
          <w:rFonts w:eastAsia="Malgun Gothic"/>
          <w:spacing w:val="-2"/>
          <w:lang w:val="en-GB" w:eastAsia="ko-KR"/>
        </w:rPr>
        <w:t xml:space="preserve"> be utilized between models and even different automotive brands. </w:t>
      </w:r>
      <w:r w:rsidR="003A4917" w:rsidRPr="00DC7563">
        <w:rPr>
          <w:rFonts w:eastAsia="Malgun Gothic"/>
          <w:spacing w:val="-2"/>
          <w:lang w:val="en-GB" w:eastAsia="ko-KR"/>
        </w:rPr>
        <w:t>Because</w:t>
      </w:r>
      <w:r w:rsidR="00991E9B" w:rsidRPr="00DC7563">
        <w:rPr>
          <w:rFonts w:eastAsia="Malgun Gothic"/>
          <w:spacing w:val="-2"/>
          <w:lang w:val="en-GB" w:eastAsia="ko-KR"/>
        </w:rPr>
        <w:t xml:space="preserve"> platform development costs accounted for nearly half of </w:t>
      </w:r>
      <w:r w:rsidR="003A4917" w:rsidRPr="00DC7563">
        <w:rPr>
          <w:rFonts w:eastAsia="Malgun Gothic"/>
          <w:spacing w:val="-2"/>
          <w:lang w:val="en-GB" w:eastAsia="ko-KR"/>
        </w:rPr>
        <w:t>auto companies’</w:t>
      </w:r>
      <w:r w:rsidR="00991E9B" w:rsidRPr="00DC7563">
        <w:rPr>
          <w:rFonts w:eastAsia="Malgun Gothic"/>
          <w:spacing w:val="-2"/>
          <w:lang w:val="en-GB" w:eastAsia="ko-KR"/>
        </w:rPr>
        <w:t xml:space="preserve"> product development cost</w:t>
      </w:r>
      <w:r w:rsidR="003A4917" w:rsidRPr="00DC7563">
        <w:rPr>
          <w:rFonts w:eastAsia="Malgun Gothic"/>
          <w:spacing w:val="-2"/>
          <w:lang w:val="en-GB" w:eastAsia="ko-KR"/>
        </w:rPr>
        <w:t>s</w:t>
      </w:r>
      <w:r w:rsidR="00991E9B" w:rsidRPr="00DC7563">
        <w:rPr>
          <w:rFonts w:eastAsia="Malgun Gothic"/>
          <w:spacing w:val="-2"/>
          <w:lang w:val="en-GB" w:eastAsia="ko-KR"/>
        </w:rPr>
        <w:t>, this strategy of using</w:t>
      </w:r>
      <w:r w:rsidR="003A4917" w:rsidRPr="00DC7563">
        <w:rPr>
          <w:rFonts w:eastAsia="Malgun Gothic"/>
          <w:spacing w:val="-2"/>
          <w:lang w:val="en-GB" w:eastAsia="ko-KR"/>
        </w:rPr>
        <w:t xml:space="preserve"> a</w:t>
      </w:r>
      <w:r w:rsidR="00991E9B" w:rsidRPr="00DC7563">
        <w:rPr>
          <w:rFonts w:eastAsia="Malgun Gothic"/>
          <w:spacing w:val="-2"/>
          <w:lang w:val="en-GB" w:eastAsia="ko-KR"/>
        </w:rPr>
        <w:t xml:space="preserve"> common platform across different vehicle models allowed companies to save</w:t>
      </w:r>
      <w:r w:rsidR="003A4917" w:rsidRPr="00DC7563">
        <w:rPr>
          <w:rFonts w:eastAsia="Malgun Gothic"/>
          <w:spacing w:val="-2"/>
          <w:lang w:val="en-GB" w:eastAsia="ko-KR"/>
        </w:rPr>
        <w:t xml:space="preserve"> both</w:t>
      </w:r>
      <w:r w:rsidR="00991E9B" w:rsidRPr="00DC7563">
        <w:rPr>
          <w:rFonts w:eastAsia="Malgun Gothic"/>
          <w:spacing w:val="-2"/>
          <w:lang w:val="en-GB" w:eastAsia="ko-KR"/>
        </w:rPr>
        <w:t xml:space="preserve"> money and time.</w:t>
      </w:r>
      <w:r w:rsidR="00991E9B" w:rsidRPr="00DC7563">
        <w:rPr>
          <w:rStyle w:val="EndnoteReference"/>
          <w:rFonts w:eastAsia="Malgun Gothic"/>
          <w:spacing w:val="-2"/>
          <w:lang w:val="en-GB" w:eastAsia="ko-KR"/>
        </w:rPr>
        <w:endnoteReference w:id="46"/>
      </w:r>
      <w:r w:rsidR="00991E9B" w:rsidRPr="00DC7563">
        <w:rPr>
          <w:rFonts w:eastAsia="Malgun Gothic"/>
          <w:spacing w:val="-2"/>
          <w:lang w:val="en-GB" w:eastAsia="ko-KR"/>
        </w:rPr>
        <w:t xml:space="preserve"> </w:t>
      </w:r>
    </w:p>
    <w:p w14:paraId="6C63CAE9" w14:textId="77777777" w:rsidR="003A4917" w:rsidRPr="00DC7563" w:rsidRDefault="003A4917" w:rsidP="00991E9B">
      <w:pPr>
        <w:pStyle w:val="BodyTextMain"/>
        <w:rPr>
          <w:rFonts w:eastAsia="Malgun Gothic"/>
          <w:spacing w:val="-2"/>
          <w:lang w:val="en-GB" w:eastAsia="ko-KR"/>
        </w:rPr>
      </w:pPr>
    </w:p>
    <w:p w14:paraId="7A511C92" w14:textId="2443DC37" w:rsidR="00991E9B" w:rsidRPr="00DC7563" w:rsidRDefault="00991E9B" w:rsidP="002B6264">
      <w:pPr>
        <w:pStyle w:val="BodyTextMain"/>
        <w:rPr>
          <w:spacing w:val="-2"/>
          <w:lang w:val="en-GB"/>
        </w:rPr>
      </w:pPr>
      <w:r w:rsidRPr="00DC7563">
        <w:rPr>
          <w:spacing w:val="-2"/>
          <w:lang w:val="en-GB"/>
        </w:rPr>
        <w:t>By 2017, more than 4 million cars from 40 different models and brands under Volkswagen were forecasted to be designed and built on a single platform called MQB</w:t>
      </w:r>
      <w:r w:rsidR="003A4917" w:rsidRPr="00DC7563">
        <w:rPr>
          <w:rFonts w:eastAsia="Malgun Gothic"/>
          <w:spacing w:val="-2"/>
          <w:lang w:val="en-GB"/>
        </w:rPr>
        <w:t xml:space="preserve"> (</w:t>
      </w:r>
      <w:proofErr w:type="spellStart"/>
      <w:r w:rsidRPr="00D0254D">
        <w:rPr>
          <w:rFonts w:eastAsia="Malgun Gothic"/>
          <w:i/>
          <w:spacing w:val="-2"/>
          <w:lang w:val="en-GB"/>
        </w:rPr>
        <w:t>Modularer</w:t>
      </w:r>
      <w:proofErr w:type="spellEnd"/>
      <w:r w:rsidRPr="00D0254D">
        <w:rPr>
          <w:rFonts w:eastAsia="Malgun Gothic"/>
          <w:i/>
          <w:spacing w:val="-2"/>
          <w:lang w:val="en-GB"/>
        </w:rPr>
        <w:t xml:space="preserve"> </w:t>
      </w:r>
      <w:proofErr w:type="spellStart"/>
      <w:r w:rsidRPr="00D0254D">
        <w:rPr>
          <w:rFonts w:eastAsia="Malgun Gothic"/>
          <w:i/>
          <w:spacing w:val="-2"/>
          <w:lang w:val="en-GB"/>
        </w:rPr>
        <w:t>Querbaukasten</w:t>
      </w:r>
      <w:proofErr w:type="spellEnd"/>
      <w:r w:rsidRPr="00DC7563">
        <w:rPr>
          <w:rFonts w:eastAsia="Malgun Gothic"/>
          <w:spacing w:val="-2"/>
          <w:lang w:val="en-GB"/>
        </w:rPr>
        <w:t xml:space="preserve"> in German, meaning </w:t>
      </w:r>
      <w:r w:rsidR="003A4917" w:rsidRPr="00DC7563">
        <w:rPr>
          <w:rFonts w:eastAsia="Malgun Gothic"/>
          <w:spacing w:val="-2"/>
          <w:lang w:val="en-GB"/>
        </w:rPr>
        <w:t>“</w:t>
      </w:r>
      <w:r w:rsidRPr="00DC7563">
        <w:rPr>
          <w:rFonts w:eastAsia="Malgun Gothic"/>
          <w:spacing w:val="-2"/>
          <w:lang w:val="en-GB"/>
        </w:rPr>
        <w:t>modular transversal toolkit</w:t>
      </w:r>
      <w:r w:rsidR="003A4917" w:rsidRPr="00DC7563">
        <w:rPr>
          <w:rFonts w:eastAsia="Malgun Gothic"/>
          <w:spacing w:val="-2"/>
          <w:lang w:val="en-GB"/>
        </w:rPr>
        <w:t>”).</w:t>
      </w:r>
      <w:r w:rsidRPr="00DC7563">
        <w:rPr>
          <w:rStyle w:val="EndnoteReference"/>
          <w:rFonts w:eastAsia="Malgun Gothic"/>
          <w:spacing w:val="-2"/>
          <w:lang w:val="en-GB"/>
        </w:rPr>
        <w:endnoteReference w:id="47"/>
      </w:r>
      <w:r w:rsidRPr="00DC7563">
        <w:rPr>
          <w:rFonts w:eastAsia="Malgun Gothic"/>
          <w:spacing w:val="-2"/>
          <w:vertAlign w:val="superscript"/>
          <w:lang w:val="en-GB"/>
        </w:rPr>
        <w:t xml:space="preserve"> </w:t>
      </w:r>
      <w:r w:rsidRPr="00DC7563">
        <w:rPr>
          <w:rFonts w:eastAsia="Malgun Gothic"/>
          <w:spacing w:val="-2"/>
          <w:lang w:val="en-GB"/>
        </w:rPr>
        <w:t>Volkswagen’s Golf and Audi’s A3 shared the same platform</w:t>
      </w:r>
      <w:r w:rsidR="00521650">
        <w:rPr>
          <w:rFonts w:eastAsia="Malgun Gothic"/>
          <w:spacing w:val="-2"/>
          <w:lang w:val="en-GB"/>
        </w:rPr>
        <w:t>,</w:t>
      </w:r>
      <w:r w:rsidR="003A4917" w:rsidRPr="00DC7563">
        <w:rPr>
          <w:rFonts w:eastAsia="Malgun Gothic"/>
          <w:spacing w:val="-2"/>
          <w:lang w:val="en-GB"/>
        </w:rPr>
        <w:t xml:space="preserve"> </w:t>
      </w:r>
      <w:r w:rsidR="00521650">
        <w:rPr>
          <w:rFonts w:eastAsia="Malgun Gothic"/>
          <w:spacing w:val="-2"/>
          <w:lang w:val="en-GB"/>
        </w:rPr>
        <w:t>de</w:t>
      </w:r>
      <w:r w:rsidR="003A4917" w:rsidRPr="00DC7563">
        <w:rPr>
          <w:rFonts w:eastAsia="Malgun Gothic"/>
          <w:spacing w:val="-2"/>
          <w:lang w:val="en-GB"/>
        </w:rPr>
        <w:t xml:space="preserve">spite </w:t>
      </w:r>
      <w:r w:rsidRPr="00DC7563">
        <w:rPr>
          <w:rFonts w:eastAsia="Malgun Gothic"/>
          <w:spacing w:val="-2"/>
          <w:lang w:val="en-GB"/>
        </w:rPr>
        <w:t xml:space="preserve">their </w:t>
      </w:r>
      <w:r w:rsidR="003A4917" w:rsidRPr="00DC7563">
        <w:rPr>
          <w:rFonts w:eastAsia="Malgun Gothic"/>
          <w:spacing w:val="-2"/>
          <w:lang w:val="en-GB"/>
        </w:rPr>
        <w:t xml:space="preserve">different </w:t>
      </w:r>
      <w:r w:rsidRPr="00DC7563">
        <w:rPr>
          <w:rFonts w:eastAsia="Malgun Gothic"/>
          <w:spacing w:val="-2"/>
          <w:lang w:val="en-GB"/>
        </w:rPr>
        <w:t xml:space="preserve">brands and exteriors. </w:t>
      </w:r>
      <w:r w:rsidR="003A4917" w:rsidRPr="00DC7563">
        <w:rPr>
          <w:rFonts w:eastAsia="Malgun Gothic"/>
          <w:spacing w:val="-2"/>
          <w:lang w:val="en-GB"/>
        </w:rPr>
        <w:t xml:space="preserve">In 2015, </w:t>
      </w:r>
      <w:r w:rsidRPr="00DC7563">
        <w:rPr>
          <w:spacing w:val="-2"/>
          <w:lang w:val="en-GB"/>
        </w:rPr>
        <w:t>Toyota’s platform strategy, the Toyota New Global Architecture, reduced 30</w:t>
      </w:r>
      <w:r w:rsidRPr="00DC7563">
        <w:rPr>
          <w:rFonts w:eastAsia="Malgun Gothic"/>
          <w:spacing w:val="-2"/>
          <w:lang w:val="en-GB"/>
        </w:rPr>
        <w:t xml:space="preserve"> per cent</w:t>
      </w:r>
      <w:r w:rsidRPr="00DC7563">
        <w:rPr>
          <w:spacing w:val="-2"/>
          <w:lang w:val="en-GB"/>
        </w:rPr>
        <w:t xml:space="preserve"> of its development costs and time for </w:t>
      </w:r>
      <w:r w:rsidRPr="00DC7563">
        <w:rPr>
          <w:rFonts w:eastAsia="Malgun Gothic"/>
          <w:spacing w:val="-2"/>
          <w:lang w:val="en-GB"/>
        </w:rPr>
        <w:t>the</w:t>
      </w:r>
      <w:r w:rsidRPr="00DC7563">
        <w:rPr>
          <w:spacing w:val="-2"/>
          <w:lang w:val="en-GB"/>
        </w:rPr>
        <w:t xml:space="preserve"> new</w:t>
      </w:r>
      <w:r w:rsidR="003A4917" w:rsidRPr="00DC7563">
        <w:rPr>
          <w:spacing w:val="-2"/>
          <w:lang w:val="en-GB"/>
        </w:rPr>
        <w:t>-</w:t>
      </w:r>
      <w:r w:rsidRPr="00DC7563">
        <w:rPr>
          <w:spacing w:val="-2"/>
          <w:lang w:val="en-GB"/>
        </w:rPr>
        <w:t>generation Prius hybrid model. Renault</w:t>
      </w:r>
      <w:r w:rsidRPr="00DC7563">
        <w:rPr>
          <w:rFonts w:eastAsia="Malgun Gothic"/>
          <w:spacing w:val="-2"/>
          <w:lang w:val="en-GB"/>
        </w:rPr>
        <w:t>-</w:t>
      </w:r>
      <w:r w:rsidRPr="00DC7563">
        <w:rPr>
          <w:spacing w:val="-2"/>
          <w:lang w:val="en-GB"/>
        </w:rPr>
        <w:t>Nissan’s unified platform</w:t>
      </w:r>
      <w:r w:rsidR="003A4917" w:rsidRPr="00DC7563">
        <w:rPr>
          <w:spacing w:val="-2"/>
          <w:lang w:val="en-GB"/>
        </w:rPr>
        <w:t>,</w:t>
      </w:r>
      <w:r w:rsidRPr="00DC7563">
        <w:rPr>
          <w:spacing w:val="-2"/>
          <w:lang w:val="en-GB"/>
        </w:rPr>
        <w:t xml:space="preserve"> the Common Modular Family</w:t>
      </w:r>
      <w:r w:rsidR="003A4917" w:rsidRPr="00DC7563">
        <w:rPr>
          <w:spacing w:val="-2"/>
          <w:lang w:val="en-GB"/>
        </w:rPr>
        <w:t>,</w:t>
      </w:r>
      <w:r w:rsidRPr="00DC7563">
        <w:rPr>
          <w:spacing w:val="-2"/>
          <w:lang w:val="en-GB"/>
        </w:rPr>
        <w:t xml:space="preserve"> aimed to reduce 30</w:t>
      </w:r>
      <w:r w:rsidR="003A4917" w:rsidRPr="00DC7563">
        <w:rPr>
          <w:spacing w:val="-2"/>
          <w:lang w:val="en-GB"/>
        </w:rPr>
        <w:t>–</w:t>
      </w:r>
      <w:r w:rsidRPr="00DC7563">
        <w:rPr>
          <w:spacing w:val="-2"/>
          <w:lang w:val="en-GB"/>
        </w:rPr>
        <w:t>40</w:t>
      </w:r>
      <w:r w:rsidRPr="00DC7563">
        <w:rPr>
          <w:rFonts w:eastAsia="Malgun Gothic"/>
          <w:spacing w:val="-2"/>
          <w:lang w:val="en-GB"/>
        </w:rPr>
        <w:t xml:space="preserve"> per cent</w:t>
      </w:r>
      <w:r w:rsidRPr="00DC7563">
        <w:rPr>
          <w:spacing w:val="-2"/>
          <w:lang w:val="en-GB"/>
        </w:rPr>
        <w:t xml:space="preserve"> of new model development cost</w:t>
      </w:r>
      <w:r w:rsidR="003A4917" w:rsidRPr="00DC7563">
        <w:rPr>
          <w:spacing w:val="-2"/>
          <w:lang w:val="en-GB"/>
        </w:rPr>
        <w:t>s</w:t>
      </w:r>
      <w:r w:rsidRPr="00DC7563">
        <w:rPr>
          <w:spacing w:val="-2"/>
          <w:lang w:val="en-GB"/>
        </w:rPr>
        <w:t xml:space="preserve"> and 20</w:t>
      </w:r>
      <w:r w:rsidR="003A4917" w:rsidRPr="00DC7563">
        <w:rPr>
          <w:spacing w:val="-2"/>
          <w:lang w:val="en-GB"/>
        </w:rPr>
        <w:t>–</w:t>
      </w:r>
      <w:r w:rsidRPr="00DC7563">
        <w:rPr>
          <w:spacing w:val="-2"/>
          <w:lang w:val="en-GB"/>
        </w:rPr>
        <w:t>30</w:t>
      </w:r>
      <w:r w:rsidRPr="00DC7563">
        <w:rPr>
          <w:rFonts w:eastAsia="Malgun Gothic"/>
          <w:spacing w:val="-2"/>
          <w:lang w:val="en-GB"/>
        </w:rPr>
        <w:t xml:space="preserve"> per cent</w:t>
      </w:r>
      <w:r w:rsidRPr="00DC7563">
        <w:rPr>
          <w:spacing w:val="-2"/>
          <w:lang w:val="en-GB"/>
        </w:rPr>
        <w:t xml:space="preserve"> from purchasing parts.</w:t>
      </w:r>
      <w:r w:rsidRPr="00DC7563">
        <w:rPr>
          <w:rStyle w:val="EndnoteReference"/>
          <w:spacing w:val="-2"/>
          <w:lang w:val="en-GB"/>
        </w:rPr>
        <w:endnoteReference w:id="48"/>
      </w:r>
      <w:r w:rsidRPr="00DC7563">
        <w:rPr>
          <w:spacing w:val="-2"/>
          <w:lang w:val="en-GB"/>
        </w:rPr>
        <w:t xml:space="preserve"> With competitors spending billions of dollars on R&amp;D, Mazda stated in its 2014 </w:t>
      </w:r>
      <w:r w:rsidR="003C7A5D">
        <w:rPr>
          <w:spacing w:val="-2"/>
          <w:lang w:val="en-GB"/>
        </w:rPr>
        <w:t>a</w:t>
      </w:r>
      <w:r w:rsidRPr="00DC7563">
        <w:rPr>
          <w:spacing w:val="-2"/>
          <w:lang w:val="en-GB"/>
        </w:rPr>
        <w:t xml:space="preserve">nnual </w:t>
      </w:r>
      <w:r w:rsidR="003C7A5D">
        <w:rPr>
          <w:spacing w:val="-2"/>
          <w:lang w:val="en-GB"/>
        </w:rPr>
        <w:t>r</w:t>
      </w:r>
      <w:r w:rsidRPr="00DC7563">
        <w:rPr>
          <w:spacing w:val="-2"/>
          <w:lang w:val="en-GB"/>
        </w:rPr>
        <w:t xml:space="preserve">eport that </w:t>
      </w:r>
      <w:r w:rsidR="000F2FB7" w:rsidRPr="00DC7563">
        <w:rPr>
          <w:spacing w:val="-2"/>
          <w:lang w:val="en-GB"/>
        </w:rPr>
        <w:t xml:space="preserve">“In terms of research and development, we plan to invest ¥100.0 billion </w:t>
      </w:r>
      <w:r w:rsidR="00F07D01">
        <w:rPr>
          <w:spacing w:val="-2"/>
          <w:lang w:val="en-GB"/>
        </w:rPr>
        <w:t>[</w:t>
      </w:r>
      <w:r w:rsidR="000F2FB7" w:rsidRPr="00DC7563">
        <w:rPr>
          <w:spacing w:val="-2"/>
          <w:lang w:val="en-GB"/>
        </w:rPr>
        <w:t>US$870 million</w:t>
      </w:r>
      <w:r w:rsidR="00F07D01">
        <w:rPr>
          <w:spacing w:val="-2"/>
          <w:lang w:val="en-GB"/>
        </w:rPr>
        <w:t>]</w:t>
      </w:r>
      <w:r w:rsidR="000F2FB7" w:rsidRPr="00DC7563">
        <w:rPr>
          <w:spacing w:val="-2"/>
          <w:lang w:val="en-GB"/>
        </w:rPr>
        <w:t xml:space="preserve"> in [FY 2014/15], compared with ¥99.4 billion of expenditures [</w:t>
      </w:r>
      <w:r w:rsidR="00F07D01">
        <w:rPr>
          <w:spacing w:val="-2"/>
          <w:lang w:val="en-GB"/>
        </w:rPr>
        <w:t xml:space="preserve">during </w:t>
      </w:r>
      <w:r w:rsidR="000F2FB7" w:rsidRPr="00DC7563">
        <w:rPr>
          <w:spacing w:val="-2"/>
          <w:lang w:val="en-GB"/>
        </w:rPr>
        <w:t>FY 2013/14].”</w:t>
      </w:r>
      <w:r w:rsidRPr="00DC7563">
        <w:rPr>
          <w:rStyle w:val="EndnoteReference"/>
          <w:spacing w:val="-2"/>
          <w:lang w:val="en-GB"/>
        </w:rPr>
        <w:endnoteReference w:id="49"/>
      </w:r>
      <w:r w:rsidRPr="00DC7563">
        <w:rPr>
          <w:spacing w:val="-2"/>
          <w:lang w:val="en-GB"/>
        </w:rPr>
        <w:t xml:space="preserve"> Despite this commitment, Mazda risked falling further behind </w:t>
      </w:r>
      <w:r w:rsidR="003A4917" w:rsidRPr="00DC7563">
        <w:rPr>
          <w:spacing w:val="-2"/>
          <w:lang w:val="en-GB"/>
        </w:rPr>
        <w:t>because</w:t>
      </w:r>
      <w:r w:rsidRPr="00DC7563">
        <w:rPr>
          <w:spacing w:val="-2"/>
          <w:lang w:val="en-GB"/>
        </w:rPr>
        <w:t xml:space="preserve"> its R&amp;D investment value </w:t>
      </w:r>
      <w:r w:rsidR="003A4917" w:rsidRPr="00DC7563">
        <w:rPr>
          <w:spacing w:val="-2"/>
          <w:lang w:val="en-GB"/>
        </w:rPr>
        <w:t>wa</w:t>
      </w:r>
      <w:r w:rsidRPr="00DC7563">
        <w:rPr>
          <w:spacing w:val="-2"/>
          <w:lang w:val="en-GB"/>
        </w:rPr>
        <w:t>s significantly lower than</w:t>
      </w:r>
      <w:r w:rsidR="003A4917" w:rsidRPr="00DC7563">
        <w:rPr>
          <w:spacing w:val="-2"/>
          <w:lang w:val="en-GB"/>
        </w:rPr>
        <w:t xml:space="preserve"> that of</w:t>
      </w:r>
      <w:r w:rsidRPr="00DC7563">
        <w:rPr>
          <w:spacing w:val="-2"/>
          <w:lang w:val="en-GB"/>
        </w:rPr>
        <w:t xml:space="preserve"> its competitors.</w:t>
      </w:r>
    </w:p>
    <w:p w14:paraId="14C20860" w14:textId="77777777" w:rsidR="00991E9B" w:rsidRPr="00DC7563" w:rsidRDefault="00991E9B" w:rsidP="00991E9B">
      <w:pPr>
        <w:pStyle w:val="BodyTextMain"/>
        <w:rPr>
          <w:rFonts w:eastAsia="Malgun Gothic"/>
          <w:sz w:val="20"/>
          <w:lang w:val="en-GB" w:eastAsia="ko-KR"/>
        </w:rPr>
      </w:pPr>
    </w:p>
    <w:p w14:paraId="72C7FDC0" w14:textId="77777777" w:rsidR="008574FE" w:rsidRPr="00DC7563" w:rsidRDefault="008574FE" w:rsidP="00991E9B">
      <w:pPr>
        <w:pStyle w:val="BodyTextMain"/>
        <w:rPr>
          <w:rFonts w:eastAsia="Malgun Gothic"/>
          <w:sz w:val="20"/>
          <w:lang w:val="en-GB" w:eastAsia="ko-KR"/>
        </w:rPr>
      </w:pPr>
    </w:p>
    <w:p w14:paraId="7D5E9566" w14:textId="1CA2BF1A" w:rsidR="00991E9B" w:rsidRPr="00DC7563" w:rsidRDefault="00991E9B" w:rsidP="00C73E67">
      <w:pPr>
        <w:pStyle w:val="Casehead3"/>
        <w:outlineLvl w:val="0"/>
        <w:rPr>
          <w:lang w:val="en-GB"/>
        </w:rPr>
      </w:pPr>
      <w:r w:rsidRPr="00DC7563">
        <w:rPr>
          <w:rFonts w:eastAsia="Malgun Gothic"/>
          <w:lang w:val="en-GB" w:eastAsia="ko-KR"/>
        </w:rPr>
        <w:t>P</w:t>
      </w:r>
      <w:r w:rsidRPr="00DC7563">
        <w:rPr>
          <w:lang w:val="en-GB"/>
        </w:rPr>
        <w:t>enetration of New Energy Vehicles</w:t>
      </w:r>
    </w:p>
    <w:p w14:paraId="30966490" w14:textId="77777777" w:rsidR="008574FE" w:rsidRPr="00DC7563" w:rsidRDefault="008574FE" w:rsidP="00991E9B">
      <w:pPr>
        <w:pStyle w:val="BodyTextMain"/>
        <w:rPr>
          <w:sz w:val="20"/>
          <w:lang w:val="en-GB"/>
        </w:rPr>
      </w:pPr>
    </w:p>
    <w:p w14:paraId="63A175B2" w14:textId="07DCAF4B" w:rsidR="007641A8" w:rsidRPr="00DC7563" w:rsidRDefault="00991E9B" w:rsidP="00991E9B">
      <w:pPr>
        <w:pStyle w:val="BodyTextMain"/>
        <w:rPr>
          <w:spacing w:val="-4"/>
          <w:lang w:val="en-GB"/>
        </w:rPr>
      </w:pPr>
      <w:r w:rsidRPr="00DC7563">
        <w:rPr>
          <w:spacing w:val="-4"/>
          <w:lang w:val="en-GB"/>
        </w:rPr>
        <w:t>N</w:t>
      </w:r>
      <w:r w:rsidR="003A4917" w:rsidRPr="00DC7563">
        <w:rPr>
          <w:spacing w:val="-4"/>
          <w:lang w:val="en-GB"/>
        </w:rPr>
        <w:t xml:space="preserve">ew energy vehicles (NEVs) </w:t>
      </w:r>
      <w:r w:rsidR="003C7A5D">
        <w:rPr>
          <w:spacing w:val="-4"/>
          <w:lang w:val="en-GB"/>
        </w:rPr>
        <w:t>such as</w:t>
      </w:r>
      <w:r w:rsidR="003C7A5D" w:rsidRPr="00DC7563">
        <w:rPr>
          <w:spacing w:val="-4"/>
          <w:lang w:val="en-GB"/>
        </w:rPr>
        <w:t xml:space="preserve"> </w:t>
      </w:r>
      <w:r w:rsidRPr="00DC7563">
        <w:rPr>
          <w:spacing w:val="-4"/>
          <w:lang w:val="en-GB"/>
        </w:rPr>
        <w:t>hybrid, electric, and fuel-battery</w:t>
      </w:r>
      <w:r w:rsidR="007641A8" w:rsidRPr="00DC7563">
        <w:rPr>
          <w:spacing w:val="-4"/>
          <w:lang w:val="en-GB"/>
        </w:rPr>
        <w:t>-</w:t>
      </w:r>
      <w:r w:rsidRPr="00DC7563">
        <w:rPr>
          <w:spacing w:val="-4"/>
          <w:lang w:val="en-GB"/>
        </w:rPr>
        <w:t>equipped cars were becoming increasingly popular in the developed markets.</w:t>
      </w:r>
      <w:r w:rsidRPr="00DC7563">
        <w:rPr>
          <w:rFonts w:eastAsia="Malgun Gothic"/>
          <w:spacing w:val="-4"/>
          <w:lang w:val="en-GB" w:eastAsia="ko-KR"/>
        </w:rPr>
        <w:t xml:space="preserve"> </w:t>
      </w:r>
      <w:r w:rsidRPr="00DC7563">
        <w:rPr>
          <w:spacing w:val="-4"/>
          <w:lang w:val="en-GB"/>
        </w:rPr>
        <w:t>U</w:t>
      </w:r>
      <w:r w:rsidR="007641A8" w:rsidRPr="00DC7563">
        <w:rPr>
          <w:spacing w:val="-4"/>
          <w:lang w:val="en-GB"/>
        </w:rPr>
        <w:t>.</w:t>
      </w:r>
      <w:r w:rsidRPr="00DC7563">
        <w:rPr>
          <w:spacing w:val="-4"/>
          <w:lang w:val="en-GB"/>
        </w:rPr>
        <w:t>S</w:t>
      </w:r>
      <w:r w:rsidR="007641A8" w:rsidRPr="00DC7563">
        <w:rPr>
          <w:spacing w:val="-4"/>
          <w:lang w:val="en-GB"/>
        </w:rPr>
        <w:t>.</w:t>
      </w:r>
      <w:r w:rsidRPr="00DC7563">
        <w:rPr>
          <w:spacing w:val="-4"/>
          <w:lang w:val="en-GB"/>
        </w:rPr>
        <w:t xml:space="preserve"> hybrid car sales revealed that hybrid car</w:t>
      </w:r>
      <w:r w:rsidRPr="00DC7563">
        <w:rPr>
          <w:rFonts w:eastAsia="Malgun Gothic"/>
          <w:spacing w:val="-4"/>
          <w:lang w:val="en-GB" w:eastAsia="ko-KR"/>
        </w:rPr>
        <w:t>s</w:t>
      </w:r>
      <w:r w:rsidRPr="00DC7563">
        <w:rPr>
          <w:spacing w:val="-4"/>
          <w:lang w:val="en-GB"/>
        </w:rPr>
        <w:t xml:space="preserve"> account</w:t>
      </w:r>
      <w:r w:rsidR="00F07D01">
        <w:rPr>
          <w:spacing w:val="-4"/>
          <w:lang w:val="en-GB"/>
        </w:rPr>
        <w:t>ed</w:t>
      </w:r>
      <w:r w:rsidRPr="00DC7563">
        <w:rPr>
          <w:spacing w:val="-4"/>
          <w:lang w:val="en-GB"/>
        </w:rPr>
        <w:t xml:space="preserve"> </w:t>
      </w:r>
      <w:r w:rsidRPr="00DC7563">
        <w:rPr>
          <w:rFonts w:eastAsia="Malgun Gothic"/>
          <w:spacing w:val="-4"/>
          <w:lang w:val="en-GB" w:eastAsia="ko-KR"/>
        </w:rPr>
        <w:t xml:space="preserve">for </w:t>
      </w:r>
      <w:r w:rsidRPr="00DC7563">
        <w:rPr>
          <w:spacing w:val="-4"/>
          <w:lang w:val="en-GB"/>
        </w:rPr>
        <w:t>about 4 per cent of total vehicle sales</w:t>
      </w:r>
      <w:r w:rsidR="007641A8" w:rsidRPr="00DC7563">
        <w:rPr>
          <w:spacing w:val="-4"/>
          <w:lang w:val="en-GB"/>
        </w:rPr>
        <w:t xml:space="preserve"> (or</w:t>
      </w:r>
      <w:r w:rsidRPr="00DC7563">
        <w:rPr>
          <w:spacing w:val="-4"/>
          <w:lang w:val="en-GB"/>
        </w:rPr>
        <w:t xml:space="preserve"> more than 5</w:t>
      </w:r>
      <w:r w:rsidR="00AA120E" w:rsidRPr="00DC7563">
        <w:rPr>
          <w:spacing w:val="-4"/>
          <w:lang w:val="en-GB"/>
        </w:rPr>
        <w:t>5</w:t>
      </w:r>
      <w:r w:rsidRPr="00DC7563">
        <w:rPr>
          <w:spacing w:val="-4"/>
          <w:lang w:val="en-GB"/>
        </w:rPr>
        <w:t>0</w:t>
      </w:r>
      <w:r w:rsidRPr="00DC7563">
        <w:rPr>
          <w:rFonts w:eastAsia="Malgun Gothic"/>
          <w:spacing w:val="-4"/>
          <w:lang w:val="en-GB" w:eastAsia="ko-KR"/>
        </w:rPr>
        <w:t>,000</w:t>
      </w:r>
      <w:r w:rsidRPr="00DC7563">
        <w:rPr>
          <w:spacing w:val="-4"/>
          <w:lang w:val="en-GB"/>
        </w:rPr>
        <w:t xml:space="preserve"> units</w:t>
      </w:r>
      <w:r w:rsidR="007641A8" w:rsidRPr="00DC7563">
        <w:rPr>
          <w:spacing w:val="-4"/>
          <w:lang w:val="en-GB"/>
        </w:rPr>
        <w:t>)</w:t>
      </w:r>
      <w:r w:rsidRPr="00DC7563">
        <w:rPr>
          <w:spacing w:val="-4"/>
          <w:lang w:val="en-GB"/>
        </w:rPr>
        <w:t xml:space="preserve"> in 201</w:t>
      </w:r>
      <w:r w:rsidR="00AA120E" w:rsidRPr="00DC7563">
        <w:rPr>
          <w:spacing w:val="-4"/>
          <w:lang w:val="en-GB"/>
        </w:rPr>
        <w:t>5</w:t>
      </w:r>
      <w:r w:rsidRPr="00DC7563">
        <w:rPr>
          <w:spacing w:val="-4"/>
          <w:lang w:val="en-GB"/>
        </w:rPr>
        <w:t xml:space="preserve">. </w:t>
      </w:r>
      <w:r w:rsidR="007641A8" w:rsidRPr="00DC7563">
        <w:rPr>
          <w:spacing w:val="-4"/>
          <w:lang w:val="en-GB"/>
        </w:rPr>
        <w:t>Based on this</w:t>
      </w:r>
      <w:r w:rsidRPr="00DC7563">
        <w:rPr>
          <w:spacing w:val="-4"/>
          <w:lang w:val="en-GB"/>
        </w:rPr>
        <w:t xml:space="preserve"> strong success in the U</w:t>
      </w:r>
      <w:r w:rsidR="007641A8" w:rsidRPr="00DC7563">
        <w:rPr>
          <w:spacing w:val="-4"/>
          <w:lang w:val="en-GB"/>
        </w:rPr>
        <w:t>.</w:t>
      </w:r>
      <w:r w:rsidRPr="00DC7563">
        <w:rPr>
          <w:spacing w:val="-4"/>
          <w:lang w:val="en-GB"/>
        </w:rPr>
        <w:t>S</w:t>
      </w:r>
      <w:r w:rsidR="007641A8" w:rsidRPr="00DC7563">
        <w:rPr>
          <w:spacing w:val="-4"/>
          <w:lang w:val="en-GB"/>
        </w:rPr>
        <w:t>.</w:t>
      </w:r>
      <w:r w:rsidRPr="00DC7563">
        <w:rPr>
          <w:spacing w:val="-4"/>
          <w:lang w:val="en-GB"/>
        </w:rPr>
        <w:t xml:space="preserve"> market, other countries were now pushing for NEV sales. China</w:t>
      </w:r>
      <w:r w:rsidR="007641A8" w:rsidRPr="00DC7563">
        <w:rPr>
          <w:spacing w:val="-4"/>
          <w:lang w:val="en-GB"/>
        </w:rPr>
        <w:t>, along with many European countries,</w:t>
      </w:r>
      <w:r w:rsidRPr="00DC7563">
        <w:rPr>
          <w:spacing w:val="-4"/>
          <w:lang w:val="en-GB"/>
        </w:rPr>
        <w:t xml:space="preserve"> subsidized customers </w:t>
      </w:r>
      <w:r w:rsidR="003C7A5D">
        <w:rPr>
          <w:spacing w:val="-4"/>
          <w:lang w:val="en-GB"/>
        </w:rPr>
        <w:t>who</w:t>
      </w:r>
      <w:r w:rsidR="003C7A5D" w:rsidRPr="00DC7563">
        <w:rPr>
          <w:spacing w:val="-4"/>
          <w:lang w:val="en-GB"/>
        </w:rPr>
        <w:t xml:space="preserve"> </w:t>
      </w:r>
      <w:r w:rsidRPr="00DC7563">
        <w:rPr>
          <w:spacing w:val="-4"/>
          <w:lang w:val="en-GB"/>
        </w:rPr>
        <w:t>purchase</w:t>
      </w:r>
      <w:r w:rsidR="007641A8" w:rsidRPr="00DC7563">
        <w:rPr>
          <w:spacing w:val="-4"/>
          <w:lang w:val="en-GB"/>
        </w:rPr>
        <w:t>d</w:t>
      </w:r>
      <w:r w:rsidRPr="00DC7563">
        <w:rPr>
          <w:spacing w:val="-4"/>
          <w:lang w:val="en-GB"/>
        </w:rPr>
        <w:t xml:space="preserve"> NEVs</w:t>
      </w:r>
      <w:r w:rsidRPr="00DC7563">
        <w:rPr>
          <w:rFonts w:eastAsia="Malgun Gothic"/>
          <w:spacing w:val="-4"/>
          <w:lang w:val="en-GB" w:eastAsia="ko-KR"/>
        </w:rPr>
        <w:t>,</w:t>
      </w:r>
      <w:r w:rsidRPr="00DC7563">
        <w:rPr>
          <w:spacing w:val="-4"/>
          <w:lang w:val="en-GB"/>
        </w:rPr>
        <w:t xml:space="preserve"> and </w:t>
      </w:r>
      <w:r w:rsidRPr="00DC7563">
        <w:rPr>
          <w:rFonts w:eastAsia="Malgun Gothic"/>
          <w:spacing w:val="-4"/>
          <w:lang w:val="en-GB" w:eastAsia="ko-KR"/>
        </w:rPr>
        <w:t xml:space="preserve">had </w:t>
      </w:r>
      <w:r w:rsidRPr="00DC7563">
        <w:rPr>
          <w:spacing w:val="-4"/>
          <w:lang w:val="en-GB"/>
        </w:rPr>
        <w:t>also introduced tax</w:t>
      </w:r>
      <w:r w:rsidR="003C7A5D">
        <w:rPr>
          <w:spacing w:val="-4"/>
          <w:lang w:val="en-GB"/>
        </w:rPr>
        <w:t>-</w:t>
      </w:r>
      <w:r w:rsidRPr="00DC7563">
        <w:rPr>
          <w:spacing w:val="-4"/>
          <w:lang w:val="en-GB"/>
        </w:rPr>
        <w:t xml:space="preserve">exemption programs to help make NEVs more attractive. Globally, </w:t>
      </w:r>
      <w:r w:rsidRPr="00DC7563">
        <w:rPr>
          <w:rFonts w:eastAsia="Malgun Gothic"/>
          <w:spacing w:val="-4"/>
          <w:lang w:val="en-GB" w:eastAsia="ko-KR"/>
        </w:rPr>
        <w:t xml:space="preserve">the </w:t>
      </w:r>
      <w:r w:rsidRPr="00DC7563">
        <w:rPr>
          <w:spacing w:val="-4"/>
          <w:lang w:val="en-GB"/>
        </w:rPr>
        <w:t>number of NEVs was expected to reach 20 million by 2020.</w:t>
      </w:r>
      <w:r w:rsidRPr="00DC7563">
        <w:rPr>
          <w:rStyle w:val="EndnoteReference"/>
          <w:spacing w:val="-4"/>
          <w:lang w:val="en-GB"/>
        </w:rPr>
        <w:endnoteReference w:id="50"/>
      </w:r>
      <w:r w:rsidRPr="00DC7563">
        <w:rPr>
          <w:spacing w:val="-4"/>
          <w:lang w:val="en-GB"/>
        </w:rPr>
        <w:t xml:space="preserve"> </w:t>
      </w:r>
    </w:p>
    <w:p w14:paraId="106E5B8E" w14:textId="77777777" w:rsidR="007641A8" w:rsidRPr="00DC7563" w:rsidRDefault="007641A8" w:rsidP="00991E9B">
      <w:pPr>
        <w:pStyle w:val="BodyTextMain"/>
        <w:rPr>
          <w:lang w:val="en-GB"/>
        </w:rPr>
      </w:pPr>
    </w:p>
    <w:p w14:paraId="6DF8CF9D" w14:textId="10440BAC" w:rsidR="003C7A5D" w:rsidRDefault="00991E9B" w:rsidP="00991E9B">
      <w:pPr>
        <w:pStyle w:val="BodyTextMain"/>
        <w:rPr>
          <w:lang w:val="en-GB"/>
        </w:rPr>
      </w:pPr>
      <w:r w:rsidRPr="00DC7563">
        <w:rPr>
          <w:rFonts w:eastAsia="Malgun Gothic"/>
          <w:lang w:val="en-GB" w:eastAsia="ko-KR"/>
        </w:rPr>
        <w:lastRenderedPageBreak/>
        <w:t xml:space="preserve">With the </w:t>
      </w:r>
      <w:r w:rsidRPr="00DC7563">
        <w:rPr>
          <w:lang w:val="en-GB"/>
        </w:rPr>
        <w:t xml:space="preserve">NEV market rapidly expanding, companies were offering </w:t>
      </w:r>
      <w:r w:rsidRPr="00DC7563">
        <w:rPr>
          <w:rFonts w:eastAsia="Malgun Gothic"/>
          <w:lang w:val="en-GB" w:eastAsia="ko-KR"/>
        </w:rPr>
        <w:t xml:space="preserve">a </w:t>
      </w:r>
      <w:r w:rsidRPr="00DC7563">
        <w:rPr>
          <w:lang w:val="en-GB"/>
        </w:rPr>
        <w:t xml:space="preserve">variety of vehicles types and sizes </w:t>
      </w:r>
      <w:r w:rsidRPr="00DC7563">
        <w:rPr>
          <w:rFonts w:eastAsia="Malgun Gothic"/>
          <w:lang w:val="en-GB" w:eastAsia="ko-KR"/>
        </w:rPr>
        <w:t>to customers</w:t>
      </w:r>
      <w:r w:rsidRPr="00DC7563">
        <w:rPr>
          <w:lang w:val="en-GB"/>
        </w:rPr>
        <w:t xml:space="preserve">. In addition to the global automotive OEMs, emerging companies </w:t>
      </w:r>
      <w:r w:rsidR="003C7A5D">
        <w:rPr>
          <w:lang w:val="en-GB"/>
        </w:rPr>
        <w:t>such as</w:t>
      </w:r>
      <w:r w:rsidR="003C7A5D" w:rsidRPr="00DC7563">
        <w:rPr>
          <w:lang w:val="en-GB"/>
        </w:rPr>
        <w:t xml:space="preserve"> </w:t>
      </w:r>
      <w:r w:rsidRPr="00DC7563">
        <w:rPr>
          <w:lang w:val="en-GB"/>
        </w:rPr>
        <w:t xml:space="preserve">Tesla and </w:t>
      </w:r>
      <w:r w:rsidR="004247DF" w:rsidRPr="00DC7563">
        <w:rPr>
          <w:rFonts w:eastAsia="Malgun Gothic"/>
          <w:lang w:val="en-GB" w:eastAsia="ko-KR"/>
        </w:rPr>
        <w:t>Chinese automotive company</w:t>
      </w:r>
      <w:r w:rsidR="004247DF" w:rsidRPr="00DC7563">
        <w:rPr>
          <w:lang w:val="en-GB"/>
        </w:rPr>
        <w:t xml:space="preserve"> </w:t>
      </w:r>
      <w:r w:rsidRPr="00DC7563">
        <w:rPr>
          <w:lang w:val="en-GB"/>
        </w:rPr>
        <w:t xml:space="preserve">BYD were also releasing products to compete in the NEV market. However, Mazda continued to lag </w:t>
      </w:r>
      <w:r w:rsidRPr="00DC7563">
        <w:rPr>
          <w:rFonts w:eastAsia="Malgun Gothic"/>
          <w:lang w:val="en-GB" w:eastAsia="ko-KR"/>
        </w:rPr>
        <w:t>behind competitors in NEV</w:t>
      </w:r>
      <w:r w:rsidRPr="00DC7563">
        <w:rPr>
          <w:lang w:val="en-GB"/>
        </w:rPr>
        <w:t xml:space="preserve"> technology</w:t>
      </w:r>
      <w:r w:rsidRPr="00DC7563">
        <w:rPr>
          <w:rFonts w:eastAsia="Malgun Gothic"/>
          <w:lang w:val="en-GB" w:eastAsia="ko-KR"/>
        </w:rPr>
        <w:t>. I</w:t>
      </w:r>
      <w:r w:rsidRPr="00DC7563">
        <w:rPr>
          <w:lang w:val="en-GB"/>
        </w:rPr>
        <w:t xml:space="preserve">n </w:t>
      </w:r>
      <w:r w:rsidR="007641A8" w:rsidRPr="00DC7563">
        <w:rPr>
          <w:lang w:val="en-GB"/>
        </w:rPr>
        <w:t xml:space="preserve">its </w:t>
      </w:r>
      <w:r w:rsidRPr="00DC7563">
        <w:rPr>
          <w:lang w:val="en-GB"/>
        </w:rPr>
        <w:t xml:space="preserve">2014 </w:t>
      </w:r>
      <w:r w:rsidR="00F07D01">
        <w:rPr>
          <w:lang w:val="en-GB"/>
        </w:rPr>
        <w:t>a</w:t>
      </w:r>
      <w:r w:rsidRPr="00DC7563">
        <w:rPr>
          <w:lang w:val="en-GB"/>
        </w:rPr>
        <w:t xml:space="preserve">nnual </w:t>
      </w:r>
      <w:r w:rsidR="00F07D01">
        <w:rPr>
          <w:lang w:val="en-GB"/>
        </w:rPr>
        <w:t>r</w:t>
      </w:r>
      <w:r w:rsidRPr="00DC7563">
        <w:rPr>
          <w:lang w:val="en-GB"/>
        </w:rPr>
        <w:t>eport, Mazda stated</w:t>
      </w:r>
      <w:r w:rsidR="003C7A5D">
        <w:rPr>
          <w:lang w:val="en-GB"/>
        </w:rPr>
        <w:t>:</w:t>
      </w:r>
    </w:p>
    <w:p w14:paraId="15E333DC" w14:textId="7D41A0AF" w:rsidR="007641A8" w:rsidRPr="00DC7563" w:rsidRDefault="00991E9B" w:rsidP="00991E9B">
      <w:pPr>
        <w:pStyle w:val="BodyTextMain"/>
        <w:rPr>
          <w:lang w:val="en-GB"/>
        </w:rPr>
      </w:pPr>
      <w:r w:rsidRPr="00DC7563">
        <w:rPr>
          <w:lang w:val="en-GB"/>
        </w:rPr>
        <w:t xml:space="preserve"> </w:t>
      </w:r>
    </w:p>
    <w:p w14:paraId="6ADC4A0D" w14:textId="1D80888C" w:rsidR="007641A8" w:rsidRPr="00DC7563" w:rsidRDefault="00991E9B" w:rsidP="009A195C">
      <w:pPr>
        <w:pStyle w:val="BodyTextMain"/>
        <w:ind w:left="720"/>
        <w:rPr>
          <w:rFonts w:eastAsia="Malgun Gothic"/>
          <w:lang w:val="en-GB" w:eastAsia="ko-KR"/>
        </w:rPr>
      </w:pPr>
      <w:r w:rsidRPr="00DC7563">
        <w:rPr>
          <w:lang w:val="en-GB"/>
        </w:rPr>
        <w:t>We anticipate that petroleum resources will still be the main energy and internal combustion engines the main drive technology in the global automobile market in 2020</w:t>
      </w:r>
      <w:r w:rsidR="007641A8" w:rsidRPr="00DC7563">
        <w:rPr>
          <w:lang w:val="en-GB"/>
        </w:rPr>
        <w:t>. . . .</w:t>
      </w:r>
      <w:r w:rsidRPr="00DC7563">
        <w:rPr>
          <w:lang w:val="en-GB"/>
        </w:rPr>
        <w:t xml:space="preserve"> Our approach is to effectively reduce </w:t>
      </w:r>
      <w:r w:rsidR="007641A8" w:rsidRPr="00DC7563">
        <w:rPr>
          <w:lang w:val="en-GB"/>
        </w:rPr>
        <w:t>[carbon dioxide]</w:t>
      </w:r>
      <w:r w:rsidRPr="00DC7563">
        <w:rPr>
          <w:lang w:val="en-GB"/>
        </w:rPr>
        <w:t xml:space="preserve"> emissions by providing all customers with driving pleasure and outstanding </w:t>
      </w:r>
      <w:r w:rsidR="007641A8" w:rsidRPr="00DC7563">
        <w:rPr>
          <w:lang w:val="en-GB"/>
        </w:rPr>
        <w:t>e</w:t>
      </w:r>
      <w:r w:rsidRPr="00DC7563">
        <w:rPr>
          <w:lang w:val="en-GB"/>
        </w:rPr>
        <w:t>nvironmental and safety performance, rather than to rely heavily on a subset of environmentally friendly vehicles.</w:t>
      </w:r>
      <w:r w:rsidRPr="00DC7563">
        <w:rPr>
          <w:rStyle w:val="EndnoteReference"/>
          <w:lang w:val="en-GB"/>
        </w:rPr>
        <w:endnoteReference w:id="51"/>
      </w:r>
      <w:r w:rsidRPr="00DC7563">
        <w:rPr>
          <w:rFonts w:eastAsia="Malgun Gothic"/>
          <w:lang w:val="en-GB" w:eastAsia="ko-KR"/>
        </w:rPr>
        <w:t xml:space="preserve"> </w:t>
      </w:r>
    </w:p>
    <w:p w14:paraId="64D5146E" w14:textId="77777777" w:rsidR="007641A8" w:rsidRPr="00DC7563" w:rsidRDefault="007641A8" w:rsidP="00991E9B">
      <w:pPr>
        <w:pStyle w:val="BodyTextMain"/>
        <w:rPr>
          <w:rFonts w:eastAsia="Malgun Gothic"/>
          <w:lang w:val="en-GB" w:eastAsia="ko-KR"/>
        </w:rPr>
      </w:pPr>
    </w:p>
    <w:p w14:paraId="149CC18E" w14:textId="2175BB1E" w:rsidR="00991E9B" w:rsidRPr="00DC7563" w:rsidRDefault="00991E9B" w:rsidP="00991E9B">
      <w:pPr>
        <w:pStyle w:val="BodyTextMain"/>
        <w:rPr>
          <w:lang w:val="en-GB"/>
        </w:rPr>
      </w:pPr>
      <w:r w:rsidRPr="00DC7563">
        <w:rPr>
          <w:rFonts w:eastAsia="Malgun Gothic"/>
          <w:lang w:val="en-GB" w:eastAsia="ko-KR"/>
        </w:rPr>
        <w:t>As a result, Mazda acquired</w:t>
      </w:r>
      <w:r w:rsidRPr="00DC7563">
        <w:rPr>
          <w:lang w:val="en-GB"/>
        </w:rPr>
        <w:t xml:space="preserve"> </w:t>
      </w:r>
      <w:r w:rsidRPr="00DC7563">
        <w:rPr>
          <w:rFonts w:eastAsia="Malgun Gothic"/>
          <w:lang w:val="en-GB" w:eastAsia="ko-KR"/>
        </w:rPr>
        <w:t xml:space="preserve">NEV technology </w:t>
      </w:r>
      <w:r w:rsidRPr="00DC7563">
        <w:rPr>
          <w:lang w:val="en-GB"/>
        </w:rPr>
        <w:t xml:space="preserve">from Toyota, </w:t>
      </w:r>
      <w:r w:rsidR="007641A8" w:rsidRPr="00DC7563">
        <w:rPr>
          <w:lang w:val="en-GB"/>
        </w:rPr>
        <w:t>using</w:t>
      </w:r>
      <w:r w:rsidRPr="00DC7563">
        <w:rPr>
          <w:lang w:val="en-GB"/>
        </w:rPr>
        <w:t xml:space="preserve"> </w:t>
      </w:r>
      <w:r w:rsidR="00350144" w:rsidRPr="00DC7563">
        <w:rPr>
          <w:lang w:val="en-GB"/>
        </w:rPr>
        <w:t xml:space="preserve">Toyota’s </w:t>
      </w:r>
      <w:r w:rsidRPr="00DC7563">
        <w:rPr>
          <w:lang w:val="en-GB"/>
        </w:rPr>
        <w:t>hybrid drivetrain technology for the Mazda3 Sedan.</w:t>
      </w:r>
      <w:r w:rsidRPr="00DC7563">
        <w:rPr>
          <w:rStyle w:val="EndnoteReference"/>
          <w:lang w:val="en-GB"/>
        </w:rPr>
        <w:endnoteReference w:id="52"/>
      </w:r>
    </w:p>
    <w:p w14:paraId="5CBA24DF" w14:textId="77777777" w:rsidR="00991E9B" w:rsidRPr="00DC7563" w:rsidRDefault="00991E9B" w:rsidP="008574FE">
      <w:pPr>
        <w:pStyle w:val="BodyTextMain"/>
        <w:rPr>
          <w:sz w:val="20"/>
          <w:lang w:val="en-GB"/>
        </w:rPr>
      </w:pPr>
    </w:p>
    <w:p w14:paraId="6C25795E" w14:textId="77777777" w:rsidR="008574FE" w:rsidRPr="00DC7563" w:rsidRDefault="008574FE" w:rsidP="008574FE">
      <w:pPr>
        <w:pStyle w:val="BodyTextMain"/>
        <w:rPr>
          <w:sz w:val="20"/>
          <w:lang w:val="en-GB"/>
        </w:rPr>
      </w:pPr>
    </w:p>
    <w:p w14:paraId="74ADFCBD" w14:textId="77777777" w:rsidR="00991E9B" w:rsidRPr="00DC7563" w:rsidRDefault="00991E9B" w:rsidP="00C73E67">
      <w:pPr>
        <w:pStyle w:val="Casehead3"/>
        <w:outlineLvl w:val="0"/>
        <w:rPr>
          <w:rFonts w:eastAsia="Malgun Gothic"/>
          <w:lang w:val="en-GB" w:eastAsia="ko-KR"/>
        </w:rPr>
      </w:pPr>
      <w:r w:rsidRPr="00DC7563">
        <w:rPr>
          <w:rFonts w:eastAsia="Malgun Gothic"/>
          <w:lang w:val="en-GB" w:eastAsia="ko-KR"/>
        </w:rPr>
        <w:t xml:space="preserve">Strategic Automotive Alliances </w:t>
      </w:r>
    </w:p>
    <w:p w14:paraId="51C5C696" w14:textId="77777777" w:rsidR="008574FE" w:rsidRPr="00DC7563" w:rsidRDefault="008574FE" w:rsidP="00991E9B">
      <w:pPr>
        <w:pStyle w:val="BodyTextMain"/>
        <w:rPr>
          <w:rFonts w:eastAsia="Malgun Gothic"/>
          <w:sz w:val="20"/>
          <w:lang w:val="en-GB" w:eastAsia="ko-KR"/>
        </w:rPr>
      </w:pPr>
    </w:p>
    <w:p w14:paraId="13943175" w14:textId="1D6B8300" w:rsidR="004247DF" w:rsidRPr="00DC7563" w:rsidRDefault="00991E9B" w:rsidP="00991E9B">
      <w:pPr>
        <w:pStyle w:val="BodyTextMain"/>
        <w:rPr>
          <w:rFonts w:eastAsia="Malgun Gothic"/>
          <w:lang w:val="en-GB" w:eastAsia="ko-KR"/>
        </w:rPr>
      </w:pPr>
      <w:r w:rsidRPr="00DC7563">
        <w:rPr>
          <w:rFonts w:eastAsia="Malgun Gothic"/>
          <w:lang w:val="en-GB" w:eastAsia="ko-KR"/>
        </w:rPr>
        <w:t>A</w:t>
      </w:r>
      <w:r w:rsidR="004247DF" w:rsidRPr="00DC7563">
        <w:rPr>
          <w:rFonts w:eastAsia="Malgun Gothic"/>
          <w:lang w:val="en-GB" w:eastAsia="ko-KR"/>
        </w:rPr>
        <w:t>s a</w:t>
      </w:r>
      <w:r w:rsidRPr="00DC7563">
        <w:rPr>
          <w:rFonts w:eastAsia="Malgun Gothic"/>
          <w:lang w:val="en-GB" w:eastAsia="ko-KR"/>
        </w:rPr>
        <w:t>n alternative to M&amp;A, many automotive companies had also formed strategic alliances to share knowledge and develop competitive advantages. By merging technology to make the development process more efficient, BMW and Toyota agreed to jointly develop a fuel cell system, lightweight components, and a sports car in the early 2010s.</w:t>
      </w:r>
      <w:r w:rsidRPr="00DC7563">
        <w:rPr>
          <w:rStyle w:val="EndnoteReference"/>
          <w:rFonts w:eastAsia="Malgun Gothic"/>
          <w:lang w:val="en-GB" w:eastAsia="ko-KR"/>
        </w:rPr>
        <w:endnoteReference w:id="53"/>
      </w:r>
      <w:r w:rsidRPr="00DC7563">
        <w:rPr>
          <w:rFonts w:eastAsia="Malgun Gothic"/>
          <w:lang w:val="en-GB" w:eastAsia="ko-KR"/>
        </w:rPr>
        <w:t xml:space="preserve"> Honda and GM tried to co-develop and </w:t>
      </w:r>
      <w:r w:rsidR="00D0254D">
        <w:rPr>
          <w:rFonts w:eastAsia="Malgun Gothic"/>
          <w:lang w:val="en-GB" w:eastAsia="ko-KR"/>
        </w:rPr>
        <w:t>-</w:t>
      </w:r>
      <w:r w:rsidRPr="00DC7563">
        <w:rPr>
          <w:rFonts w:eastAsia="Malgun Gothic"/>
          <w:lang w:val="en-GB" w:eastAsia="ko-KR"/>
        </w:rPr>
        <w:t>produce core parts of a fuel</w:t>
      </w:r>
      <w:r w:rsidR="004247DF" w:rsidRPr="00DC7563">
        <w:rPr>
          <w:rFonts w:eastAsia="Malgun Gothic"/>
          <w:lang w:val="en-GB" w:eastAsia="ko-KR"/>
        </w:rPr>
        <w:t xml:space="preserve"> </w:t>
      </w:r>
      <w:r w:rsidRPr="00DC7563">
        <w:rPr>
          <w:rFonts w:eastAsia="Malgun Gothic"/>
          <w:lang w:val="en-GB" w:eastAsia="ko-KR"/>
        </w:rPr>
        <w:t>cell system aiming to be first movers in the next-generation of eco-vehicles.</w:t>
      </w:r>
      <w:r w:rsidRPr="00DC7563">
        <w:rPr>
          <w:rStyle w:val="EndnoteReference"/>
          <w:rFonts w:eastAsia="Malgun Gothic"/>
          <w:lang w:val="en-GB" w:eastAsia="ko-KR"/>
        </w:rPr>
        <w:endnoteReference w:id="54"/>
      </w:r>
      <w:r w:rsidRPr="00DC7563">
        <w:rPr>
          <w:rFonts w:eastAsia="Malgun Gothic"/>
          <w:lang w:val="en-GB" w:eastAsia="ko-KR"/>
        </w:rPr>
        <w:t xml:space="preserve"> BYD formed a joint venture with Daimler AG in 2010, focusing on the manufacturing of electric luxury vehicles, with sales beginning in China in 2014.</w:t>
      </w:r>
      <w:r w:rsidRPr="00DC7563">
        <w:rPr>
          <w:rStyle w:val="EndnoteReference"/>
          <w:rFonts w:eastAsia="Malgun Gothic"/>
          <w:lang w:val="en-GB" w:eastAsia="ko-KR"/>
        </w:rPr>
        <w:endnoteReference w:id="55"/>
      </w:r>
      <w:r w:rsidRPr="00DC7563">
        <w:rPr>
          <w:rFonts w:eastAsia="Malgun Gothic"/>
          <w:lang w:val="en-GB" w:eastAsia="ko-KR"/>
        </w:rPr>
        <w:t xml:space="preserve"> </w:t>
      </w:r>
    </w:p>
    <w:p w14:paraId="4B3A770A" w14:textId="77777777" w:rsidR="004247DF" w:rsidRPr="00DC7563" w:rsidRDefault="004247DF" w:rsidP="00991E9B">
      <w:pPr>
        <w:pStyle w:val="BodyTextMain"/>
        <w:rPr>
          <w:rFonts w:eastAsia="Malgun Gothic"/>
          <w:lang w:val="en-GB" w:eastAsia="ko-KR"/>
        </w:rPr>
      </w:pPr>
    </w:p>
    <w:p w14:paraId="2B603FEF" w14:textId="7FC12D47" w:rsidR="00991E9B" w:rsidRPr="00DC7563" w:rsidRDefault="00991E9B" w:rsidP="00991E9B">
      <w:pPr>
        <w:pStyle w:val="BodyTextMain"/>
        <w:rPr>
          <w:lang w:val="en-GB"/>
        </w:rPr>
      </w:pPr>
      <w:r w:rsidRPr="00DC7563">
        <w:rPr>
          <w:rFonts w:eastAsia="Malgun Gothic"/>
          <w:lang w:val="en-GB" w:eastAsia="ko-KR"/>
        </w:rPr>
        <w:t>Yet</w:t>
      </w:r>
      <w:r w:rsidR="004247DF" w:rsidRPr="00DC7563">
        <w:rPr>
          <w:rFonts w:eastAsia="Malgun Gothic"/>
          <w:lang w:val="en-GB" w:eastAsia="ko-KR"/>
        </w:rPr>
        <w:t xml:space="preserve"> </w:t>
      </w:r>
      <w:r w:rsidRPr="00DC7563">
        <w:rPr>
          <w:rFonts w:eastAsia="Malgun Gothic"/>
          <w:lang w:val="en-GB" w:eastAsia="ko-KR"/>
        </w:rPr>
        <w:t xml:space="preserve">Mazda’s perspective on alliances since the Ford partnership had been conservative, </w:t>
      </w:r>
      <w:r w:rsidR="004247DF" w:rsidRPr="00DC7563">
        <w:rPr>
          <w:rFonts w:eastAsia="Malgun Gothic"/>
          <w:lang w:val="en-GB" w:eastAsia="ko-KR"/>
        </w:rPr>
        <w:t xml:space="preserve">with management worrying </w:t>
      </w:r>
      <w:r w:rsidRPr="00DC7563">
        <w:rPr>
          <w:rFonts w:eastAsia="Malgun Gothic"/>
          <w:lang w:val="en-GB" w:eastAsia="ko-KR"/>
        </w:rPr>
        <w:t>that “unintended changes to or terminations of alliances and joint ventures could have an adverse effect on the Group’s business results and financial position.</w:t>
      </w:r>
      <w:r w:rsidR="004247DF" w:rsidRPr="00DC7563">
        <w:rPr>
          <w:rFonts w:eastAsia="Malgun Gothic"/>
          <w:lang w:val="en-GB" w:eastAsia="ko-KR"/>
        </w:rPr>
        <w:t>”</w:t>
      </w:r>
      <w:r w:rsidRPr="00DC7563">
        <w:rPr>
          <w:rStyle w:val="EndnoteReference"/>
          <w:rFonts w:eastAsia="Malgun Gothic"/>
          <w:lang w:val="en-GB" w:eastAsia="ko-KR"/>
        </w:rPr>
        <w:endnoteReference w:id="56"/>
      </w:r>
      <w:r w:rsidRPr="00DC7563">
        <w:rPr>
          <w:rFonts w:eastAsia="Malgun Gothic"/>
          <w:lang w:val="en-GB" w:eastAsia="ko-KR"/>
        </w:rPr>
        <w:t xml:space="preserve"> The NEV technology partnership with Toyota was one of the few alliances Mazda had formed since it cut ties with Ford; however, the partnership </w:t>
      </w:r>
      <w:r w:rsidR="004247DF" w:rsidRPr="00DC7563">
        <w:rPr>
          <w:rFonts w:eastAsia="Malgun Gothic"/>
          <w:lang w:val="en-GB" w:eastAsia="ko-KR"/>
        </w:rPr>
        <w:t xml:space="preserve">had given </w:t>
      </w:r>
      <w:r w:rsidRPr="00DC7563">
        <w:rPr>
          <w:rFonts w:eastAsia="Malgun Gothic"/>
          <w:lang w:val="en-GB" w:eastAsia="ko-KR"/>
        </w:rPr>
        <w:t>Mazda hybrid drivetrain technology for its Mazda3 Sedan.</w:t>
      </w:r>
      <w:r w:rsidRPr="00DC7563">
        <w:rPr>
          <w:rStyle w:val="EndnoteReference"/>
          <w:rFonts w:eastAsia="Malgun Gothic"/>
          <w:lang w:val="en-GB" w:eastAsia="ko-KR"/>
        </w:rPr>
        <w:endnoteReference w:id="57"/>
      </w:r>
      <w:r w:rsidRPr="00DC7563">
        <w:rPr>
          <w:rFonts w:eastAsia="Malgun Gothic"/>
          <w:lang w:val="en-GB" w:eastAsia="ko-KR"/>
        </w:rPr>
        <w:t xml:space="preserve"> </w:t>
      </w:r>
      <w:r w:rsidRPr="00DC7563">
        <w:rPr>
          <w:lang w:val="en-GB"/>
        </w:rPr>
        <w:t xml:space="preserve">With sales dropping in both its domestic market and many foreign markets, success in developing markets was increasingly important for Mazda. </w:t>
      </w:r>
      <w:r w:rsidR="004247DF" w:rsidRPr="00DC7563">
        <w:rPr>
          <w:lang w:val="en-GB"/>
        </w:rPr>
        <w:t>Unfortunately,</w:t>
      </w:r>
      <w:r w:rsidRPr="00DC7563">
        <w:rPr>
          <w:lang w:val="en-GB"/>
        </w:rPr>
        <w:t xml:space="preserve"> </w:t>
      </w:r>
      <w:r w:rsidR="004247DF" w:rsidRPr="00DC7563">
        <w:rPr>
          <w:lang w:val="en-GB"/>
        </w:rPr>
        <w:t xml:space="preserve">while </w:t>
      </w:r>
      <w:r w:rsidRPr="00DC7563">
        <w:rPr>
          <w:lang w:val="en-GB"/>
        </w:rPr>
        <w:t>Japanese competitor</w:t>
      </w:r>
      <w:r w:rsidRPr="00DC7563">
        <w:rPr>
          <w:rFonts w:eastAsia="Malgun Gothic"/>
          <w:lang w:val="en-GB" w:eastAsia="ko-KR"/>
        </w:rPr>
        <w:t>s</w:t>
      </w:r>
      <w:r w:rsidRPr="00DC7563">
        <w:rPr>
          <w:lang w:val="en-GB"/>
        </w:rPr>
        <w:t xml:space="preserve"> Toyota and Nissan </w:t>
      </w:r>
      <w:r w:rsidR="00F07D01">
        <w:rPr>
          <w:lang w:val="en-GB"/>
        </w:rPr>
        <w:t xml:space="preserve">had </w:t>
      </w:r>
      <w:r w:rsidRPr="00DC7563">
        <w:rPr>
          <w:lang w:val="en-GB"/>
        </w:rPr>
        <w:t>sold</w:t>
      </w:r>
      <w:r w:rsidR="004247DF" w:rsidRPr="00DC7563">
        <w:rPr>
          <w:lang w:val="en-GB"/>
        </w:rPr>
        <w:t xml:space="preserve"> </w:t>
      </w:r>
      <w:r w:rsidRPr="00DC7563">
        <w:rPr>
          <w:lang w:val="en-GB"/>
        </w:rPr>
        <w:t xml:space="preserve">857,749 and 843,063 </w:t>
      </w:r>
      <w:r w:rsidR="004247DF" w:rsidRPr="00DC7563">
        <w:rPr>
          <w:lang w:val="en-GB"/>
        </w:rPr>
        <w:t xml:space="preserve">units, </w:t>
      </w:r>
      <w:r w:rsidRPr="00DC7563">
        <w:rPr>
          <w:lang w:val="en-GB"/>
        </w:rPr>
        <w:t>respectively</w:t>
      </w:r>
      <w:r w:rsidR="004247DF" w:rsidRPr="00DC7563">
        <w:rPr>
          <w:lang w:val="en-GB"/>
        </w:rPr>
        <w:t>,</w:t>
      </w:r>
      <w:r w:rsidRPr="00DC7563">
        <w:rPr>
          <w:lang w:val="en-GB"/>
        </w:rPr>
        <w:t xml:space="preserve"> in China</w:t>
      </w:r>
      <w:r w:rsidR="004247DF" w:rsidRPr="00DC7563">
        <w:rPr>
          <w:lang w:val="en-GB"/>
        </w:rPr>
        <w:t xml:space="preserve"> in 2013</w:t>
      </w:r>
      <w:r w:rsidRPr="00DC7563">
        <w:rPr>
          <w:lang w:val="en-GB"/>
        </w:rPr>
        <w:t>, Mazda</w:t>
      </w:r>
      <w:r w:rsidRPr="00DC7563">
        <w:rPr>
          <w:rFonts w:eastAsia="Malgun Gothic"/>
          <w:lang w:val="en-GB" w:eastAsia="ko-KR"/>
        </w:rPr>
        <w:t xml:space="preserve"> </w:t>
      </w:r>
      <w:r w:rsidRPr="00DC7563">
        <w:rPr>
          <w:lang w:val="en-GB"/>
        </w:rPr>
        <w:t>reveal</w:t>
      </w:r>
      <w:r w:rsidRPr="00DC7563">
        <w:rPr>
          <w:rFonts w:eastAsia="Malgun Gothic"/>
          <w:lang w:val="en-GB" w:eastAsia="ko-KR"/>
        </w:rPr>
        <w:t>ed a</w:t>
      </w:r>
      <w:r w:rsidRPr="00DC7563">
        <w:rPr>
          <w:lang w:val="en-GB"/>
        </w:rPr>
        <w:t xml:space="preserve"> vulnerable </w:t>
      </w:r>
      <w:r w:rsidRPr="00DC7563">
        <w:rPr>
          <w:rFonts w:eastAsia="Malgun Gothic"/>
          <w:lang w:val="en-GB" w:eastAsia="ko-KR"/>
        </w:rPr>
        <w:t xml:space="preserve">sales </w:t>
      </w:r>
      <w:r w:rsidRPr="00DC7563">
        <w:rPr>
          <w:lang w:val="en-GB"/>
        </w:rPr>
        <w:t xml:space="preserve">figure </w:t>
      </w:r>
      <w:r w:rsidR="004247DF" w:rsidRPr="00DC7563">
        <w:rPr>
          <w:lang w:val="en-GB"/>
        </w:rPr>
        <w:t xml:space="preserve">of just </w:t>
      </w:r>
      <w:r w:rsidRPr="00DC7563">
        <w:rPr>
          <w:lang w:val="en-GB"/>
        </w:rPr>
        <w:t>175,000 units</w:t>
      </w:r>
      <w:r w:rsidR="004247DF" w:rsidRPr="00DC7563">
        <w:rPr>
          <w:lang w:val="en-GB"/>
        </w:rPr>
        <w:t>—</w:t>
      </w:r>
      <w:r w:rsidRPr="00DC7563">
        <w:rPr>
          <w:lang w:val="en-GB"/>
        </w:rPr>
        <w:t>a 1.5 per cent market share of the</w:t>
      </w:r>
      <w:r w:rsidR="004247DF" w:rsidRPr="00DC7563">
        <w:rPr>
          <w:lang w:val="en-GB"/>
        </w:rPr>
        <w:t xml:space="preserve"> company’s</w:t>
      </w:r>
      <w:r w:rsidRPr="00DC7563">
        <w:rPr>
          <w:lang w:val="en-GB"/>
        </w:rPr>
        <w:t xml:space="preserve"> biggest emerging market.</w:t>
      </w:r>
      <w:r w:rsidR="00CE6781" w:rsidRPr="00DC7563">
        <w:rPr>
          <w:rStyle w:val="EndnoteReference"/>
          <w:lang w:val="en-GB"/>
        </w:rPr>
        <w:endnoteReference w:id="58"/>
      </w:r>
      <w:r w:rsidRPr="00DC7563">
        <w:rPr>
          <w:lang w:val="en-GB"/>
        </w:rPr>
        <w:t xml:space="preserve"> If emerging market</w:t>
      </w:r>
      <w:r w:rsidR="004247DF" w:rsidRPr="00DC7563">
        <w:rPr>
          <w:lang w:val="en-GB"/>
        </w:rPr>
        <w:t>s</w:t>
      </w:r>
      <w:r w:rsidRPr="00DC7563">
        <w:rPr>
          <w:lang w:val="en-GB"/>
        </w:rPr>
        <w:t xml:space="preserve"> performed better than developed market</w:t>
      </w:r>
      <w:r w:rsidR="004247DF" w:rsidRPr="00DC7563">
        <w:rPr>
          <w:lang w:val="en-GB"/>
        </w:rPr>
        <w:t>s</w:t>
      </w:r>
      <w:r w:rsidRPr="00DC7563">
        <w:rPr>
          <w:lang w:val="en-GB"/>
        </w:rPr>
        <w:t xml:space="preserve"> </w:t>
      </w:r>
      <w:r w:rsidR="004247DF" w:rsidRPr="00DC7563">
        <w:rPr>
          <w:lang w:val="en-GB"/>
        </w:rPr>
        <w:t>(</w:t>
      </w:r>
      <w:r w:rsidRPr="00DC7563">
        <w:rPr>
          <w:rFonts w:eastAsia="Malgun Gothic"/>
          <w:lang w:val="en-GB" w:eastAsia="ko-KR"/>
        </w:rPr>
        <w:t>as they did after the financial crisis</w:t>
      </w:r>
      <w:r w:rsidR="004247DF" w:rsidRPr="00DC7563">
        <w:rPr>
          <w:rFonts w:eastAsia="Malgun Gothic"/>
          <w:lang w:val="en-GB" w:eastAsia="ko-KR"/>
        </w:rPr>
        <w:t>)</w:t>
      </w:r>
      <w:r w:rsidRPr="00DC7563">
        <w:rPr>
          <w:rFonts w:eastAsia="Malgun Gothic"/>
          <w:lang w:val="en-GB" w:eastAsia="ko-KR"/>
        </w:rPr>
        <w:t>,</w:t>
      </w:r>
      <w:r w:rsidRPr="00DC7563">
        <w:rPr>
          <w:lang w:val="en-GB"/>
        </w:rPr>
        <w:t xml:space="preserve"> </w:t>
      </w:r>
      <w:r w:rsidR="004247DF" w:rsidRPr="001875CA">
        <w:rPr>
          <w:lang w:val="en-GB"/>
        </w:rPr>
        <w:t>this</w:t>
      </w:r>
      <w:r w:rsidRPr="00DC7563">
        <w:rPr>
          <w:lang w:val="en-GB"/>
        </w:rPr>
        <w:t xml:space="preserve"> </w:t>
      </w:r>
      <w:r w:rsidR="001875CA">
        <w:rPr>
          <w:lang w:val="en-GB"/>
        </w:rPr>
        <w:t xml:space="preserve">trend </w:t>
      </w:r>
      <w:r w:rsidRPr="00DC7563">
        <w:rPr>
          <w:lang w:val="en-GB"/>
        </w:rPr>
        <w:t xml:space="preserve">could </w:t>
      </w:r>
      <w:r w:rsidRPr="00DC7563">
        <w:rPr>
          <w:rFonts w:eastAsia="Malgun Gothic"/>
          <w:lang w:val="en-GB" w:eastAsia="ko-KR"/>
        </w:rPr>
        <w:t>act</w:t>
      </w:r>
      <w:r w:rsidRPr="00DC7563">
        <w:rPr>
          <w:lang w:val="en-GB"/>
        </w:rPr>
        <w:t xml:space="preserve"> as a disadvantage </w:t>
      </w:r>
      <w:r w:rsidR="004247DF" w:rsidRPr="00DC7563">
        <w:rPr>
          <w:lang w:val="en-GB"/>
        </w:rPr>
        <w:t>for</w:t>
      </w:r>
      <w:r w:rsidRPr="00DC7563">
        <w:rPr>
          <w:rFonts w:eastAsia="Malgun Gothic"/>
          <w:lang w:val="en-GB" w:eastAsia="ko-KR"/>
        </w:rPr>
        <w:t xml:space="preserve"> Mazda </w:t>
      </w:r>
      <w:r w:rsidR="004247DF" w:rsidRPr="00DC7563">
        <w:rPr>
          <w:rFonts w:eastAsia="Malgun Gothic"/>
          <w:lang w:val="en-GB" w:eastAsia="ko-KR"/>
        </w:rPr>
        <w:t>because the company was more</w:t>
      </w:r>
      <w:r w:rsidRPr="00DC7563">
        <w:rPr>
          <w:rFonts w:eastAsia="Malgun Gothic"/>
          <w:lang w:val="en-GB" w:eastAsia="ko-KR"/>
        </w:rPr>
        <w:t xml:space="preserve"> focused on</w:t>
      </w:r>
      <w:r w:rsidR="004247DF" w:rsidRPr="00DC7563">
        <w:rPr>
          <w:rFonts w:eastAsia="Malgun Gothic"/>
          <w:lang w:val="en-GB" w:eastAsia="ko-KR"/>
        </w:rPr>
        <w:t xml:space="preserve"> its</w:t>
      </w:r>
      <w:r w:rsidRPr="00DC7563">
        <w:rPr>
          <w:rFonts w:eastAsia="Malgun Gothic"/>
          <w:lang w:val="en-GB" w:eastAsia="ko-KR"/>
        </w:rPr>
        <w:t xml:space="preserve"> developed market</w:t>
      </w:r>
      <w:r w:rsidRPr="00DC7563">
        <w:rPr>
          <w:lang w:val="en-GB"/>
        </w:rPr>
        <w:t>. Still, many automotive companies were expanding their local facilities and sales network</w:t>
      </w:r>
      <w:r w:rsidRPr="00DC7563">
        <w:rPr>
          <w:rFonts w:eastAsia="Malgun Gothic"/>
          <w:lang w:val="en-GB" w:eastAsia="ko-KR"/>
        </w:rPr>
        <w:t>s</w:t>
      </w:r>
      <w:r w:rsidRPr="00DC7563">
        <w:rPr>
          <w:lang w:val="en-GB"/>
        </w:rPr>
        <w:t xml:space="preserve"> in emerging market</w:t>
      </w:r>
      <w:r w:rsidR="00A719C8" w:rsidRPr="00DC7563">
        <w:rPr>
          <w:lang w:val="en-GB"/>
        </w:rPr>
        <w:t>s</w:t>
      </w:r>
      <w:r w:rsidRPr="00DC7563">
        <w:rPr>
          <w:lang w:val="en-GB"/>
        </w:rPr>
        <w:t xml:space="preserve"> to capture this growth opportunity.</w:t>
      </w:r>
    </w:p>
    <w:p w14:paraId="26818CB1" w14:textId="77777777" w:rsidR="00991E9B" w:rsidRPr="00DC7563" w:rsidRDefault="00991E9B" w:rsidP="00991E9B">
      <w:pPr>
        <w:pStyle w:val="BodyTextMain"/>
        <w:rPr>
          <w:rFonts w:eastAsia="Malgun Gothic"/>
          <w:sz w:val="20"/>
          <w:lang w:val="en-GB" w:eastAsia="ko-KR"/>
        </w:rPr>
      </w:pPr>
    </w:p>
    <w:p w14:paraId="52FF261C" w14:textId="1F85544B" w:rsidR="00991E9B" w:rsidRPr="00DC7563" w:rsidRDefault="00991E9B" w:rsidP="00991E9B">
      <w:pPr>
        <w:pStyle w:val="BodyTextMain"/>
        <w:rPr>
          <w:lang w:val="en-GB"/>
        </w:rPr>
      </w:pPr>
      <w:r w:rsidRPr="00DC7563">
        <w:rPr>
          <w:lang w:val="en-GB"/>
        </w:rPr>
        <w:t xml:space="preserve">With the global automotive industry constantly evolving, sales and market shares continued shifting between the automotive companies. For companies to remain successful, </w:t>
      </w:r>
      <w:r w:rsidR="00A719C8" w:rsidRPr="00DC7563">
        <w:rPr>
          <w:lang w:val="en-GB"/>
        </w:rPr>
        <w:t>they</w:t>
      </w:r>
      <w:r w:rsidRPr="00DC7563">
        <w:rPr>
          <w:lang w:val="en-GB"/>
        </w:rPr>
        <w:t xml:space="preserve"> had to carefully balance key strategic decisions </w:t>
      </w:r>
      <w:r w:rsidR="00A719C8" w:rsidRPr="00DC7563">
        <w:rPr>
          <w:lang w:val="en-GB"/>
        </w:rPr>
        <w:t>about the</w:t>
      </w:r>
      <w:r w:rsidRPr="00DC7563">
        <w:rPr>
          <w:lang w:val="en-GB"/>
        </w:rPr>
        <w:t xml:space="preserve"> future. </w:t>
      </w:r>
      <w:r w:rsidR="009832AE" w:rsidRPr="00DC7563">
        <w:rPr>
          <w:lang w:val="en-GB"/>
        </w:rPr>
        <w:t xml:space="preserve">Accordingly, </w:t>
      </w:r>
      <w:r w:rsidRPr="00DC7563">
        <w:rPr>
          <w:lang w:val="en-GB"/>
        </w:rPr>
        <w:t>Mazda</w:t>
      </w:r>
      <w:r w:rsidR="00A719C8" w:rsidRPr="00DC7563">
        <w:rPr>
          <w:lang w:val="en-GB"/>
        </w:rPr>
        <w:t xml:space="preserve"> </w:t>
      </w:r>
      <w:r w:rsidR="009832AE" w:rsidRPr="00DC7563">
        <w:rPr>
          <w:lang w:val="en-GB"/>
        </w:rPr>
        <w:t>relied on</w:t>
      </w:r>
      <w:r w:rsidRPr="00DC7563">
        <w:rPr>
          <w:lang w:val="en-GB"/>
        </w:rPr>
        <w:t xml:space="preserve"> its SKYACTIV technology</w:t>
      </w:r>
      <w:r w:rsidR="00A719C8" w:rsidRPr="00DC7563">
        <w:rPr>
          <w:lang w:val="en-GB"/>
        </w:rPr>
        <w:t xml:space="preserve"> and</w:t>
      </w:r>
      <w:r w:rsidRPr="00DC7563">
        <w:rPr>
          <w:lang w:val="en-GB"/>
        </w:rPr>
        <w:t xml:space="preserve"> Structural Reform Plan to compete in the global automotive industry. </w:t>
      </w:r>
    </w:p>
    <w:p w14:paraId="2165E8C6" w14:textId="77777777" w:rsidR="00991E9B" w:rsidRPr="00DC7563" w:rsidRDefault="00991E9B" w:rsidP="00991E9B">
      <w:pPr>
        <w:pStyle w:val="BodyTextMain"/>
        <w:rPr>
          <w:rFonts w:eastAsia="Malgun Gothic"/>
          <w:sz w:val="20"/>
          <w:lang w:val="en-GB" w:eastAsia="ko-KR"/>
        </w:rPr>
      </w:pPr>
    </w:p>
    <w:p w14:paraId="5D9FBD48" w14:textId="77777777" w:rsidR="00991E9B" w:rsidRPr="00DC7563" w:rsidRDefault="00991E9B" w:rsidP="00991E9B">
      <w:pPr>
        <w:pStyle w:val="BodyTextMain"/>
        <w:rPr>
          <w:rFonts w:eastAsia="Malgun Gothic"/>
          <w:sz w:val="20"/>
          <w:lang w:val="en-GB" w:eastAsia="ko-KR"/>
        </w:rPr>
      </w:pPr>
    </w:p>
    <w:p w14:paraId="542D6CB0" w14:textId="58FF9683" w:rsidR="00991E9B" w:rsidRPr="00DC7563" w:rsidRDefault="00991E9B" w:rsidP="00C73E67">
      <w:pPr>
        <w:pStyle w:val="BodyTextMain"/>
        <w:outlineLvl w:val="0"/>
        <w:rPr>
          <w:rFonts w:ascii="Arial" w:eastAsia="ヒラギノ明朝 Pro W3" w:hAnsi="Arial"/>
          <w:b/>
          <w:sz w:val="20"/>
          <w:szCs w:val="20"/>
          <w:lang w:val="en-GB" w:eastAsia="ja-JP"/>
        </w:rPr>
      </w:pPr>
      <w:r w:rsidRPr="00DC7563">
        <w:rPr>
          <w:rFonts w:ascii="Arial" w:eastAsia="ヒラギノ明朝 Pro W3" w:hAnsi="Arial"/>
          <w:b/>
          <w:sz w:val="20"/>
          <w:szCs w:val="20"/>
          <w:lang w:val="en-GB"/>
        </w:rPr>
        <w:t xml:space="preserve">SHIFTING GEARS: STRUCTURAL REFORM </w:t>
      </w:r>
      <w:r w:rsidR="00A719C8" w:rsidRPr="00DC7563">
        <w:rPr>
          <w:rFonts w:ascii="Arial" w:eastAsia="ヒラギノ明朝 Pro W3" w:hAnsi="Arial"/>
          <w:b/>
          <w:sz w:val="20"/>
          <w:szCs w:val="20"/>
          <w:lang w:val="en-GB"/>
        </w:rPr>
        <w:t xml:space="preserve">AND THE </w:t>
      </w:r>
      <w:r w:rsidRPr="00DC7563">
        <w:rPr>
          <w:rFonts w:ascii="Arial" w:eastAsia="ヒラギノ明朝 Pro W3" w:hAnsi="Arial"/>
          <w:b/>
          <w:sz w:val="20"/>
          <w:szCs w:val="20"/>
          <w:lang w:val="en-GB"/>
        </w:rPr>
        <w:t>TOYOTA PARTNERHSHIP</w:t>
      </w:r>
    </w:p>
    <w:p w14:paraId="6DAF8D9A" w14:textId="77777777" w:rsidR="00991E9B" w:rsidRPr="00DC7563" w:rsidRDefault="00991E9B" w:rsidP="00991E9B">
      <w:pPr>
        <w:pStyle w:val="BodyTextMain"/>
        <w:rPr>
          <w:rFonts w:eastAsia="Malgun Gothic"/>
          <w:sz w:val="20"/>
          <w:lang w:val="en-GB" w:eastAsia="ko-KR"/>
        </w:rPr>
      </w:pPr>
    </w:p>
    <w:p w14:paraId="789969DA" w14:textId="6CEBEEC7" w:rsidR="009832AE" w:rsidRPr="00DC7563" w:rsidRDefault="00991E9B" w:rsidP="00991E9B">
      <w:pPr>
        <w:pStyle w:val="BodyTextMain"/>
        <w:rPr>
          <w:spacing w:val="-6"/>
          <w:lang w:val="en-GB"/>
        </w:rPr>
      </w:pPr>
      <w:r w:rsidRPr="00DC7563">
        <w:rPr>
          <w:spacing w:val="-6"/>
          <w:lang w:val="en-GB"/>
        </w:rPr>
        <w:t xml:space="preserve">With </w:t>
      </w:r>
      <w:r w:rsidR="00580D6B" w:rsidRPr="00DC7563">
        <w:rPr>
          <w:spacing w:val="-6"/>
          <w:lang w:val="en-GB"/>
        </w:rPr>
        <w:t xml:space="preserve">its </w:t>
      </w:r>
      <w:r w:rsidRPr="00DC7563">
        <w:rPr>
          <w:spacing w:val="-6"/>
          <w:lang w:val="en-GB"/>
        </w:rPr>
        <w:t xml:space="preserve">competitors </w:t>
      </w:r>
      <w:r w:rsidR="00580D6B" w:rsidRPr="00DC7563">
        <w:rPr>
          <w:spacing w:val="-6"/>
          <w:lang w:val="en-GB"/>
        </w:rPr>
        <w:t>threatening</w:t>
      </w:r>
      <w:r w:rsidRPr="00DC7563">
        <w:rPr>
          <w:spacing w:val="-6"/>
          <w:lang w:val="en-GB"/>
        </w:rPr>
        <w:t xml:space="preserve"> the company’s long-term survival, Mazda released its Structural Reform Plan in 2012 </w:t>
      </w:r>
      <w:r w:rsidR="008B0082">
        <w:rPr>
          <w:spacing w:val="-6"/>
          <w:lang w:val="en-GB"/>
        </w:rPr>
        <w:t xml:space="preserve">in an effort </w:t>
      </w:r>
      <w:r w:rsidRPr="00DC7563">
        <w:rPr>
          <w:spacing w:val="-6"/>
          <w:lang w:val="en-GB"/>
        </w:rPr>
        <w:t xml:space="preserve">to increase its competitiveness in </w:t>
      </w:r>
      <w:r w:rsidR="00580D6B" w:rsidRPr="00DC7563">
        <w:rPr>
          <w:spacing w:val="-6"/>
          <w:lang w:val="en-GB"/>
        </w:rPr>
        <w:t>the</w:t>
      </w:r>
      <w:r w:rsidRPr="00DC7563">
        <w:rPr>
          <w:spacing w:val="-6"/>
          <w:lang w:val="en-GB"/>
        </w:rPr>
        <w:t xml:space="preserve"> global automotive environment. The </w:t>
      </w:r>
      <w:r w:rsidR="00580D6B" w:rsidRPr="00DC7563">
        <w:rPr>
          <w:spacing w:val="-6"/>
          <w:lang w:val="en-GB"/>
        </w:rPr>
        <w:t>p</w:t>
      </w:r>
      <w:r w:rsidRPr="00DC7563">
        <w:rPr>
          <w:spacing w:val="-6"/>
          <w:lang w:val="en-GB"/>
        </w:rPr>
        <w:t xml:space="preserve">lan provided four initiatives for the company’s future: </w:t>
      </w:r>
      <w:r w:rsidR="009832AE" w:rsidRPr="00DC7563">
        <w:rPr>
          <w:spacing w:val="-6"/>
          <w:lang w:val="en-GB"/>
        </w:rPr>
        <w:t xml:space="preserve">increase </w:t>
      </w:r>
      <w:r w:rsidR="00CA7381" w:rsidRPr="00DC7563">
        <w:rPr>
          <w:spacing w:val="-6"/>
          <w:lang w:val="en-GB"/>
        </w:rPr>
        <w:t>b</w:t>
      </w:r>
      <w:r w:rsidRPr="00DC7563">
        <w:rPr>
          <w:spacing w:val="-6"/>
          <w:lang w:val="en-GB"/>
        </w:rPr>
        <w:t xml:space="preserve">usiness innovation </w:t>
      </w:r>
      <w:r w:rsidR="009832AE" w:rsidRPr="00DC7563">
        <w:rPr>
          <w:spacing w:val="-6"/>
          <w:lang w:val="en-GB"/>
        </w:rPr>
        <w:t>via</w:t>
      </w:r>
      <w:r w:rsidRPr="00DC7563">
        <w:rPr>
          <w:spacing w:val="-6"/>
          <w:lang w:val="en-GB"/>
        </w:rPr>
        <w:t xml:space="preserve"> SKYACTIV </w:t>
      </w:r>
      <w:r w:rsidR="009832AE" w:rsidRPr="00DC7563">
        <w:rPr>
          <w:spacing w:val="-6"/>
          <w:lang w:val="en-GB"/>
        </w:rPr>
        <w:t>t</w:t>
      </w:r>
      <w:r w:rsidRPr="00DC7563">
        <w:rPr>
          <w:spacing w:val="-6"/>
          <w:lang w:val="en-GB"/>
        </w:rPr>
        <w:t>echnology</w:t>
      </w:r>
      <w:r w:rsidR="00CA7381" w:rsidRPr="00DC7563">
        <w:rPr>
          <w:spacing w:val="-6"/>
          <w:lang w:val="en-GB"/>
        </w:rPr>
        <w:t>;</w:t>
      </w:r>
      <w:r w:rsidRPr="00DC7563">
        <w:rPr>
          <w:spacing w:val="-6"/>
          <w:lang w:val="en-GB"/>
        </w:rPr>
        <w:t xml:space="preserve"> accelerate further cost improvement through </w:t>
      </w:r>
      <w:proofErr w:type="spellStart"/>
      <w:r w:rsidRPr="00DC7563">
        <w:rPr>
          <w:spacing w:val="-6"/>
          <w:lang w:val="en-GB"/>
        </w:rPr>
        <w:t>Monotsukuri</w:t>
      </w:r>
      <w:proofErr w:type="spellEnd"/>
      <w:r w:rsidRPr="00DC7563">
        <w:rPr>
          <w:spacing w:val="-6"/>
          <w:lang w:val="en-GB"/>
        </w:rPr>
        <w:t xml:space="preserve"> Innovation</w:t>
      </w:r>
      <w:r w:rsidR="00CA7381" w:rsidRPr="00DC7563">
        <w:rPr>
          <w:spacing w:val="-6"/>
          <w:lang w:val="en-GB"/>
        </w:rPr>
        <w:t>;</w:t>
      </w:r>
      <w:r w:rsidR="00BB0CDB" w:rsidRPr="00DC7563">
        <w:rPr>
          <w:rStyle w:val="EndnoteReference"/>
          <w:spacing w:val="-6"/>
          <w:lang w:val="en-GB"/>
        </w:rPr>
        <w:endnoteReference w:id="59"/>
      </w:r>
      <w:r w:rsidRPr="00DC7563">
        <w:rPr>
          <w:spacing w:val="-6"/>
          <w:lang w:val="en-GB"/>
        </w:rPr>
        <w:t xml:space="preserve"> reinforce business in emerging</w:t>
      </w:r>
      <w:r w:rsidR="009832AE" w:rsidRPr="00DC7563">
        <w:rPr>
          <w:spacing w:val="-6"/>
          <w:lang w:val="en-GB"/>
        </w:rPr>
        <w:t xml:space="preserve"> markets</w:t>
      </w:r>
      <w:r w:rsidRPr="00DC7563">
        <w:rPr>
          <w:spacing w:val="-6"/>
          <w:lang w:val="en-GB"/>
        </w:rPr>
        <w:t xml:space="preserve"> and establish a </w:t>
      </w:r>
      <w:r w:rsidRPr="00DC7563">
        <w:rPr>
          <w:spacing w:val="-6"/>
          <w:lang w:val="en-GB"/>
        </w:rPr>
        <w:lastRenderedPageBreak/>
        <w:t>global production footprint</w:t>
      </w:r>
      <w:r w:rsidR="009832AE" w:rsidRPr="00DC7563">
        <w:rPr>
          <w:spacing w:val="-6"/>
          <w:lang w:val="en-GB"/>
        </w:rPr>
        <w:t>;</w:t>
      </w:r>
      <w:r w:rsidRPr="00DC7563">
        <w:rPr>
          <w:spacing w:val="-6"/>
          <w:lang w:val="en-GB"/>
        </w:rPr>
        <w:t xml:space="preserve"> and promote global alliances.</w:t>
      </w:r>
      <w:r w:rsidRPr="00DC7563">
        <w:rPr>
          <w:rStyle w:val="EndnoteReference"/>
          <w:spacing w:val="-6"/>
          <w:lang w:val="en-GB"/>
        </w:rPr>
        <w:endnoteReference w:id="60"/>
      </w:r>
      <w:r w:rsidRPr="00DC7563">
        <w:rPr>
          <w:spacing w:val="-6"/>
          <w:lang w:val="en-GB"/>
        </w:rPr>
        <w:t xml:space="preserve"> </w:t>
      </w:r>
      <w:r w:rsidR="00854557" w:rsidRPr="00DC7563">
        <w:rPr>
          <w:spacing w:val="-6"/>
          <w:lang w:val="en-GB"/>
        </w:rPr>
        <w:t>A</w:t>
      </w:r>
      <w:r w:rsidRPr="00DC7563">
        <w:rPr>
          <w:spacing w:val="-6"/>
          <w:lang w:val="en-GB"/>
        </w:rPr>
        <w:t xml:space="preserve">ppointed as the president and CEO of Mazda on June 25, 2013, </w:t>
      </w:r>
      <w:proofErr w:type="spellStart"/>
      <w:r w:rsidR="00854557" w:rsidRPr="00DC7563">
        <w:rPr>
          <w:spacing w:val="-6"/>
          <w:lang w:val="en-GB"/>
        </w:rPr>
        <w:t>Masamichi</w:t>
      </w:r>
      <w:proofErr w:type="spellEnd"/>
      <w:r w:rsidR="00854557" w:rsidRPr="00DC7563">
        <w:rPr>
          <w:spacing w:val="-6"/>
          <w:lang w:val="en-GB"/>
        </w:rPr>
        <w:t xml:space="preserve"> </w:t>
      </w:r>
      <w:proofErr w:type="spellStart"/>
      <w:r w:rsidRPr="00DC7563">
        <w:rPr>
          <w:spacing w:val="-6"/>
          <w:lang w:val="en-GB"/>
        </w:rPr>
        <w:t>Kogai</w:t>
      </w:r>
      <w:proofErr w:type="spellEnd"/>
      <w:r w:rsidRPr="00DC7563">
        <w:rPr>
          <w:spacing w:val="-6"/>
          <w:lang w:val="en-GB"/>
        </w:rPr>
        <w:t xml:space="preserve"> was tasked with ensuring the future success </w:t>
      </w:r>
      <w:r w:rsidR="009832AE" w:rsidRPr="00DC7563">
        <w:rPr>
          <w:spacing w:val="-6"/>
          <w:lang w:val="en-GB"/>
        </w:rPr>
        <w:t>of these four initiatives</w:t>
      </w:r>
      <w:r w:rsidRPr="00DC7563">
        <w:rPr>
          <w:spacing w:val="-6"/>
          <w:lang w:val="en-GB"/>
        </w:rPr>
        <w:t>.</w:t>
      </w:r>
      <w:r w:rsidRPr="00DC7563">
        <w:rPr>
          <w:rStyle w:val="EndnoteReference"/>
          <w:spacing w:val="-6"/>
          <w:lang w:val="en-GB"/>
        </w:rPr>
        <w:endnoteReference w:id="61"/>
      </w:r>
      <w:r w:rsidRPr="00DC7563">
        <w:rPr>
          <w:spacing w:val="-6"/>
          <w:lang w:val="en-GB"/>
        </w:rPr>
        <w:t xml:space="preserve"> </w:t>
      </w:r>
    </w:p>
    <w:p w14:paraId="0C472838" w14:textId="77777777" w:rsidR="009832AE" w:rsidRPr="00DC7563" w:rsidRDefault="009832AE" w:rsidP="00991E9B">
      <w:pPr>
        <w:pStyle w:val="BodyTextMain"/>
        <w:rPr>
          <w:lang w:val="en-GB"/>
        </w:rPr>
      </w:pPr>
    </w:p>
    <w:p w14:paraId="7AE65758" w14:textId="066AF54A" w:rsidR="009832AE" w:rsidRPr="00DC7563" w:rsidRDefault="00991E9B" w:rsidP="00991E9B">
      <w:pPr>
        <w:pStyle w:val="BodyTextMain"/>
        <w:rPr>
          <w:spacing w:val="-2"/>
          <w:lang w:val="en-GB"/>
        </w:rPr>
      </w:pPr>
      <w:r w:rsidRPr="00DC7563">
        <w:rPr>
          <w:spacing w:val="-2"/>
          <w:lang w:val="en-GB"/>
        </w:rPr>
        <w:t xml:space="preserve">In Mazda’s 2014 </w:t>
      </w:r>
      <w:r w:rsidR="008B0082">
        <w:rPr>
          <w:spacing w:val="-2"/>
          <w:lang w:val="en-GB"/>
        </w:rPr>
        <w:t>a</w:t>
      </w:r>
      <w:r w:rsidRPr="00DC7563">
        <w:rPr>
          <w:spacing w:val="-2"/>
          <w:lang w:val="en-GB"/>
        </w:rPr>
        <w:t xml:space="preserve">nnual </w:t>
      </w:r>
      <w:r w:rsidR="008B0082">
        <w:rPr>
          <w:spacing w:val="-2"/>
          <w:lang w:val="en-GB"/>
        </w:rPr>
        <w:t>r</w:t>
      </w:r>
      <w:r w:rsidRPr="00DC7563">
        <w:rPr>
          <w:spacing w:val="-2"/>
          <w:lang w:val="en-GB"/>
        </w:rPr>
        <w:t xml:space="preserve">eport, </w:t>
      </w:r>
      <w:proofErr w:type="spellStart"/>
      <w:r w:rsidRPr="00DC7563">
        <w:rPr>
          <w:spacing w:val="-2"/>
          <w:lang w:val="en-GB"/>
        </w:rPr>
        <w:t>Kogai</w:t>
      </w:r>
      <w:proofErr w:type="spellEnd"/>
      <w:r w:rsidRPr="00DC7563">
        <w:rPr>
          <w:spacing w:val="-2"/>
          <w:lang w:val="en-GB"/>
        </w:rPr>
        <w:t xml:space="preserve"> praised the plan’s early success by revising the company’s 2016 goals, while </w:t>
      </w:r>
      <w:r w:rsidR="007641A8" w:rsidRPr="00DC7563">
        <w:rPr>
          <w:spacing w:val="-2"/>
          <w:lang w:val="en-GB"/>
        </w:rPr>
        <w:t>e</w:t>
      </w:r>
      <w:r w:rsidRPr="00DC7563">
        <w:rPr>
          <w:spacing w:val="-2"/>
          <w:lang w:val="en-GB"/>
        </w:rPr>
        <w:t xml:space="preserve">xecutive </w:t>
      </w:r>
      <w:r w:rsidR="007641A8" w:rsidRPr="00DC7563">
        <w:rPr>
          <w:spacing w:val="-2"/>
          <w:lang w:val="en-GB"/>
        </w:rPr>
        <w:t>v</w:t>
      </w:r>
      <w:r w:rsidRPr="00DC7563">
        <w:rPr>
          <w:spacing w:val="-2"/>
          <w:lang w:val="en-GB"/>
        </w:rPr>
        <w:t>ice</w:t>
      </w:r>
      <w:r w:rsidR="008B0082">
        <w:rPr>
          <w:spacing w:val="-2"/>
          <w:lang w:val="en-GB"/>
        </w:rPr>
        <w:t>-</w:t>
      </w:r>
      <w:r w:rsidR="007641A8" w:rsidRPr="00DC7563">
        <w:rPr>
          <w:spacing w:val="-2"/>
          <w:lang w:val="en-GB"/>
        </w:rPr>
        <w:t>p</w:t>
      </w:r>
      <w:r w:rsidRPr="00DC7563">
        <w:rPr>
          <w:spacing w:val="-2"/>
          <w:lang w:val="en-GB"/>
        </w:rPr>
        <w:t xml:space="preserve">resident Akira </w:t>
      </w:r>
      <w:proofErr w:type="spellStart"/>
      <w:r w:rsidRPr="00DC7563">
        <w:rPr>
          <w:spacing w:val="-2"/>
          <w:lang w:val="en-GB"/>
        </w:rPr>
        <w:t>Marumoto</w:t>
      </w:r>
      <w:proofErr w:type="spellEnd"/>
      <w:r w:rsidRPr="00DC7563">
        <w:rPr>
          <w:spacing w:val="-2"/>
          <w:lang w:val="en-GB"/>
        </w:rPr>
        <w:t xml:space="preserve"> stated that “for </w:t>
      </w:r>
      <w:r w:rsidR="008A7C93" w:rsidRPr="00DC7563">
        <w:rPr>
          <w:spacing w:val="-2"/>
          <w:lang w:val="en-GB"/>
        </w:rPr>
        <w:t>FY 2013/14</w:t>
      </w:r>
      <w:r w:rsidR="009832AE" w:rsidRPr="00DC7563">
        <w:rPr>
          <w:spacing w:val="-2"/>
          <w:lang w:val="en-GB"/>
        </w:rPr>
        <w:t>,</w:t>
      </w:r>
      <w:r w:rsidRPr="00DC7563">
        <w:rPr>
          <w:spacing w:val="-2"/>
          <w:lang w:val="en-GB"/>
        </w:rPr>
        <w:t xml:space="preserve"> </w:t>
      </w:r>
      <w:r w:rsidR="009832AE" w:rsidRPr="00DC7563">
        <w:rPr>
          <w:spacing w:val="-2"/>
          <w:lang w:val="en-GB"/>
        </w:rPr>
        <w:t>w</w:t>
      </w:r>
      <w:r w:rsidRPr="00DC7563">
        <w:rPr>
          <w:spacing w:val="-2"/>
          <w:lang w:val="en-GB"/>
        </w:rPr>
        <w:t>e have revised our global sales volume to 1.52 million units, and raised our operating income from ¥150.0 billion to ¥230.0 billion. Our foreign exchange assumptions are ¥100/US</w:t>
      </w:r>
      <w:r w:rsidR="00D56EC7" w:rsidRPr="00DC7563">
        <w:rPr>
          <w:spacing w:val="-2"/>
          <w:lang w:val="en-GB"/>
        </w:rPr>
        <w:t>$</w:t>
      </w:r>
      <w:r w:rsidRPr="00DC7563">
        <w:rPr>
          <w:spacing w:val="-2"/>
          <w:lang w:val="en-GB"/>
        </w:rPr>
        <w:t xml:space="preserve"> and ¥135/euro. We are aiming for an operating income margin of 7 per</w:t>
      </w:r>
      <w:r w:rsidR="00D56EC7" w:rsidRPr="00DC7563">
        <w:rPr>
          <w:spacing w:val="-2"/>
          <w:lang w:val="en-GB"/>
        </w:rPr>
        <w:t xml:space="preserve"> </w:t>
      </w:r>
      <w:r w:rsidRPr="00DC7563">
        <w:rPr>
          <w:spacing w:val="-2"/>
          <w:lang w:val="en-GB"/>
        </w:rPr>
        <w:t>cent or more.</w:t>
      </w:r>
      <w:r w:rsidR="00D56EC7" w:rsidRPr="00DC7563">
        <w:rPr>
          <w:spacing w:val="-2"/>
          <w:lang w:val="en-GB"/>
        </w:rPr>
        <w:t>”</w:t>
      </w:r>
      <w:r w:rsidRPr="00DC7563">
        <w:rPr>
          <w:rStyle w:val="EndnoteReference"/>
          <w:spacing w:val="-2"/>
          <w:lang w:val="en-GB"/>
        </w:rPr>
        <w:endnoteReference w:id="62"/>
      </w:r>
      <w:r w:rsidRPr="00DC7563">
        <w:rPr>
          <w:spacing w:val="-2"/>
          <w:lang w:val="en-GB"/>
        </w:rPr>
        <w:t xml:space="preserve"> </w:t>
      </w:r>
      <w:proofErr w:type="spellStart"/>
      <w:r w:rsidRPr="00DC7563">
        <w:rPr>
          <w:spacing w:val="-2"/>
          <w:lang w:val="en-GB"/>
        </w:rPr>
        <w:t>Marumoto</w:t>
      </w:r>
      <w:proofErr w:type="spellEnd"/>
      <w:r w:rsidRPr="00DC7563">
        <w:rPr>
          <w:spacing w:val="-2"/>
          <w:lang w:val="en-GB"/>
        </w:rPr>
        <w:t xml:space="preserve"> believed that these significant revisions were a combination of the automotive industry’s economic environment, as well as the company’s recent strong performance through “curtailed sales incentives and a shift to a right-price sales policy from the introduction of SKYACTIV</w:t>
      </w:r>
      <w:r w:rsidR="009832AE" w:rsidRPr="00DC7563">
        <w:rPr>
          <w:spacing w:val="-2"/>
          <w:lang w:val="en-GB"/>
        </w:rPr>
        <w:t>-</w:t>
      </w:r>
      <w:r w:rsidRPr="00DC7563">
        <w:rPr>
          <w:spacing w:val="-2"/>
          <w:lang w:val="en-GB"/>
        </w:rPr>
        <w:t xml:space="preserve">equipped models and further cost improvements through </w:t>
      </w:r>
      <w:proofErr w:type="spellStart"/>
      <w:r w:rsidRPr="00DC7563">
        <w:rPr>
          <w:spacing w:val="-2"/>
          <w:lang w:val="en-GB"/>
        </w:rPr>
        <w:t>Monotsukuri</w:t>
      </w:r>
      <w:proofErr w:type="spellEnd"/>
      <w:r w:rsidRPr="00DC7563">
        <w:rPr>
          <w:spacing w:val="-2"/>
          <w:lang w:val="en-GB"/>
        </w:rPr>
        <w:t xml:space="preserve"> Innovation.</w:t>
      </w:r>
      <w:r w:rsidR="009832AE" w:rsidRPr="00DC7563">
        <w:rPr>
          <w:spacing w:val="-2"/>
          <w:lang w:val="en-GB"/>
        </w:rPr>
        <w:t>”</w:t>
      </w:r>
      <w:r w:rsidRPr="00DC7563">
        <w:rPr>
          <w:rStyle w:val="EndnoteReference"/>
          <w:spacing w:val="-2"/>
          <w:lang w:val="en-GB"/>
        </w:rPr>
        <w:endnoteReference w:id="63"/>
      </w:r>
      <w:r w:rsidRPr="00DC7563">
        <w:rPr>
          <w:spacing w:val="-2"/>
          <w:lang w:val="en-GB"/>
        </w:rPr>
        <w:t xml:space="preserve"> </w:t>
      </w:r>
    </w:p>
    <w:p w14:paraId="49D26B14" w14:textId="77777777" w:rsidR="009832AE" w:rsidRPr="00DC7563" w:rsidRDefault="009832AE" w:rsidP="00991E9B">
      <w:pPr>
        <w:pStyle w:val="BodyTextMain"/>
        <w:rPr>
          <w:lang w:val="en-GB"/>
        </w:rPr>
      </w:pPr>
    </w:p>
    <w:p w14:paraId="02D83BD8" w14:textId="6BF4683A" w:rsidR="00991E9B" w:rsidRPr="00DC7563" w:rsidRDefault="00991E9B" w:rsidP="00991E9B">
      <w:pPr>
        <w:pStyle w:val="BodyTextMain"/>
        <w:rPr>
          <w:lang w:val="en-GB"/>
        </w:rPr>
      </w:pPr>
      <w:r w:rsidRPr="00DC7563">
        <w:rPr>
          <w:lang w:val="en-GB"/>
        </w:rPr>
        <w:t xml:space="preserve">Despite Mazda’s strong financial returns since the introduction of the Structural Reform Plan, the company had sacrificed economies of scale since the end of its Ford partnership, increasing its domestic operational costs. With the weakening yen aligning with the Structural Reform Plan, Mazda risked </w:t>
      </w:r>
      <w:r w:rsidR="009832AE" w:rsidRPr="00DC7563">
        <w:rPr>
          <w:lang w:val="en-GB"/>
        </w:rPr>
        <w:t>compromising</w:t>
      </w:r>
      <w:r w:rsidRPr="00DC7563">
        <w:rPr>
          <w:lang w:val="en-GB"/>
        </w:rPr>
        <w:t xml:space="preserve"> its profits </w:t>
      </w:r>
      <w:r w:rsidR="009832AE" w:rsidRPr="00DC7563">
        <w:rPr>
          <w:lang w:val="en-GB"/>
        </w:rPr>
        <w:t>if</w:t>
      </w:r>
      <w:r w:rsidRPr="00DC7563">
        <w:rPr>
          <w:lang w:val="en-GB"/>
        </w:rPr>
        <w:t xml:space="preserve"> the yen </w:t>
      </w:r>
      <w:r w:rsidR="009832AE" w:rsidRPr="00DC7563">
        <w:rPr>
          <w:lang w:val="en-GB"/>
        </w:rPr>
        <w:t xml:space="preserve">were to </w:t>
      </w:r>
      <w:r w:rsidRPr="00DC7563">
        <w:rPr>
          <w:lang w:val="en-GB"/>
        </w:rPr>
        <w:t xml:space="preserve">strengthen, leaving stakeholders questioning </w:t>
      </w:r>
      <w:r w:rsidR="009832AE" w:rsidRPr="00DC7563">
        <w:rPr>
          <w:lang w:val="en-GB"/>
        </w:rPr>
        <w:t xml:space="preserve">the wisdom of </w:t>
      </w:r>
      <w:r w:rsidRPr="00DC7563">
        <w:rPr>
          <w:lang w:val="en-GB"/>
        </w:rPr>
        <w:t xml:space="preserve">Mazda’s </w:t>
      </w:r>
      <w:r w:rsidR="009832AE" w:rsidRPr="00DC7563">
        <w:rPr>
          <w:lang w:val="en-GB"/>
        </w:rPr>
        <w:t xml:space="preserve">strategy for its </w:t>
      </w:r>
      <w:r w:rsidRPr="00DC7563">
        <w:rPr>
          <w:lang w:val="en-GB"/>
        </w:rPr>
        <w:t>long-term survival as an independent manufacturer</w:t>
      </w:r>
      <w:r w:rsidR="009832AE" w:rsidRPr="00DC7563">
        <w:rPr>
          <w:lang w:val="en-GB"/>
        </w:rPr>
        <w:t xml:space="preserve"> (i.e., </w:t>
      </w:r>
      <w:r w:rsidRPr="00DC7563">
        <w:rPr>
          <w:lang w:val="en-GB"/>
        </w:rPr>
        <w:t>relying solely on its Structural Reform Plan for success</w:t>
      </w:r>
      <w:r w:rsidR="009832AE" w:rsidRPr="00DC7563">
        <w:rPr>
          <w:lang w:val="en-GB"/>
        </w:rPr>
        <w:t>)</w:t>
      </w:r>
      <w:r w:rsidRPr="00DC7563">
        <w:rPr>
          <w:lang w:val="en-GB"/>
        </w:rPr>
        <w:t xml:space="preserve">. </w:t>
      </w:r>
    </w:p>
    <w:p w14:paraId="3C7C7A5A" w14:textId="77777777" w:rsidR="00991E9B" w:rsidRPr="00DC7563" w:rsidRDefault="00991E9B" w:rsidP="00991E9B">
      <w:pPr>
        <w:pStyle w:val="BodyTextMain"/>
        <w:rPr>
          <w:sz w:val="20"/>
          <w:lang w:val="en-GB"/>
        </w:rPr>
      </w:pPr>
    </w:p>
    <w:p w14:paraId="43E44B86" w14:textId="6173F0DD" w:rsidR="00854557" w:rsidRPr="00DC7563" w:rsidRDefault="009832AE" w:rsidP="00991E9B">
      <w:pPr>
        <w:pStyle w:val="BodyTextMain"/>
        <w:rPr>
          <w:rFonts w:eastAsia="Malgun Gothic"/>
          <w:spacing w:val="-6"/>
          <w:lang w:val="en-GB" w:eastAsia="ko-KR"/>
        </w:rPr>
      </w:pPr>
      <w:r w:rsidRPr="00DC7563">
        <w:rPr>
          <w:rFonts w:eastAsia="Malgun Gothic"/>
          <w:spacing w:val="-6"/>
          <w:lang w:val="en-GB" w:eastAsia="ko-KR"/>
        </w:rPr>
        <w:t>O</w:t>
      </w:r>
      <w:r w:rsidR="00991E9B" w:rsidRPr="00DC7563">
        <w:rPr>
          <w:rFonts w:eastAsia="Malgun Gothic"/>
          <w:spacing w:val="-6"/>
          <w:lang w:val="en-GB" w:eastAsia="ko-KR"/>
        </w:rPr>
        <w:t xml:space="preserve">n May 13, 2015, Mazda </w:t>
      </w:r>
      <w:r w:rsidRPr="00DC7563">
        <w:rPr>
          <w:rFonts w:eastAsia="Malgun Gothic"/>
          <w:spacing w:val="-6"/>
          <w:lang w:val="en-GB" w:eastAsia="ko-KR"/>
        </w:rPr>
        <w:t>addressed these concerns by announcing</w:t>
      </w:r>
      <w:r w:rsidR="00991E9B" w:rsidRPr="00DC7563">
        <w:rPr>
          <w:rFonts w:eastAsia="Malgun Gothic"/>
          <w:spacing w:val="-6"/>
          <w:lang w:val="en-GB" w:eastAsia="ko-KR"/>
        </w:rPr>
        <w:t xml:space="preserve"> a long-term strategic partnership</w:t>
      </w:r>
      <w:r w:rsidRPr="00DC7563">
        <w:rPr>
          <w:rFonts w:eastAsia="Malgun Gothic"/>
          <w:spacing w:val="-6"/>
          <w:lang w:val="en-GB" w:eastAsia="ko-KR"/>
        </w:rPr>
        <w:t xml:space="preserve"> with Toyota</w:t>
      </w:r>
      <w:r w:rsidR="00991E9B" w:rsidRPr="00DC7563">
        <w:rPr>
          <w:rFonts w:eastAsia="Malgun Gothic"/>
          <w:spacing w:val="-6"/>
          <w:lang w:val="en-GB" w:eastAsia="ko-KR"/>
        </w:rPr>
        <w:t>, building on a relationship that</w:t>
      </w:r>
      <w:r w:rsidRPr="00DC7563">
        <w:rPr>
          <w:rFonts w:eastAsia="Malgun Gothic"/>
          <w:spacing w:val="-6"/>
          <w:lang w:val="en-GB" w:eastAsia="ko-KR"/>
        </w:rPr>
        <w:t xml:space="preserve"> </w:t>
      </w:r>
      <w:r w:rsidR="008B0082">
        <w:rPr>
          <w:rFonts w:eastAsia="Malgun Gothic"/>
          <w:spacing w:val="-6"/>
          <w:lang w:val="en-GB" w:eastAsia="ko-KR"/>
        </w:rPr>
        <w:t>had been</w:t>
      </w:r>
      <w:r w:rsidR="008B0082" w:rsidRPr="00DC7563">
        <w:rPr>
          <w:rFonts w:eastAsia="Malgun Gothic"/>
          <w:spacing w:val="-6"/>
          <w:lang w:val="en-GB" w:eastAsia="ko-KR"/>
        </w:rPr>
        <w:t xml:space="preserve"> </w:t>
      </w:r>
      <w:r w:rsidR="00991E9B" w:rsidRPr="00DC7563">
        <w:rPr>
          <w:rFonts w:eastAsia="Malgun Gothic"/>
          <w:spacing w:val="-6"/>
          <w:lang w:val="en-GB" w:eastAsia="ko-KR"/>
        </w:rPr>
        <w:t>formed a few years earlier w</w:t>
      </w:r>
      <w:r w:rsidRPr="00DC7563">
        <w:rPr>
          <w:rFonts w:eastAsia="Malgun Gothic"/>
          <w:spacing w:val="-6"/>
          <w:lang w:val="en-GB" w:eastAsia="ko-KR"/>
        </w:rPr>
        <w:t>hen</w:t>
      </w:r>
      <w:r w:rsidR="00991E9B" w:rsidRPr="00DC7563">
        <w:rPr>
          <w:rFonts w:eastAsia="Malgun Gothic"/>
          <w:spacing w:val="-6"/>
          <w:lang w:val="en-GB" w:eastAsia="ko-KR"/>
        </w:rPr>
        <w:t xml:space="preserve"> Toyota </w:t>
      </w:r>
      <w:r w:rsidRPr="00DC7563">
        <w:rPr>
          <w:rFonts w:eastAsia="Malgun Gothic"/>
          <w:spacing w:val="-6"/>
          <w:lang w:val="en-GB" w:eastAsia="ko-KR"/>
        </w:rPr>
        <w:t xml:space="preserve">had </w:t>
      </w:r>
      <w:r w:rsidR="00991E9B" w:rsidRPr="00DC7563">
        <w:rPr>
          <w:rFonts w:eastAsia="Malgun Gothic"/>
          <w:spacing w:val="-6"/>
          <w:lang w:val="en-GB" w:eastAsia="ko-KR"/>
        </w:rPr>
        <w:t>provid</w:t>
      </w:r>
      <w:r w:rsidRPr="00DC7563">
        <w:rPr>
          <w:rFonts w:eastAsia="Malgun Gothic"/>
          <w:spacing w:val="-6"/>
          <w:lang w:val="en-GB" w:eastAsia="ko-KR"/>
        </w:rPr>
        <w:t>ed</w:t>
      </w:r>
      <w:r w:rsidR="00991E9B" w:rsidRPr="00DC7563">
        <w:rPr>
          <w:rFonts w:eastAsia="Malgun Gothic"/>
          <w:spacing w:val="-6"/>
          <w:lang w:val="en-GB" w:eastAsia="ko-KR"/>
        </w:rPr>
        <w:t xml:space="preserve"> its </w:t>
      </w:r>
      <w:r w:rsidR="00B873D6" w:rsidRPr="00DC7563">
        <w:rPr>
          <w:rFonts w:eastAsia="Malgun Gothic"/>
          <w:spacing w:val="-6"/>
          <w:lang w:val="en-GB" w:eastAsia="ko-KR"/>
        </w:rPr>
        <w:t>drivetrain</w:t>
      </w:r>
      <w:r w:rsidR="00991E9B" w:rsidRPr="00DC7563">
        <w:rPr>
          <w:rFonts w:eastAsia="Malgun Gothic"/>
          <w:spacing w:val="-6"/>
          <w:lang w:val="en-GB" w:eastAsia="ko-KR"/>
        </w:rPr>
        <w:t xml:space="preserve"> technologies to Mazda.</w:t>
      </w:r>
      <w:r w:rsidR="00991E9B" w:rsidRPr="00DC7563">
        <w:rPr>
          <w:rStyle w:val="EndnoteReference"/>
          <w:rFonts w:eastAsia="Malgun Gothic"/>
          <w:spacing w:val="-6"/>
          <w:lang w:val="en-GB" w:eastAsia="ko-KR"/>
        </w:rPr>
        <w:endnoteReference w:id="64"/>
      </w:r>
      <w:r w:rsidR="00991E9B" w:rsidRPr="00DC7563">
        <w:rPr>
          <w:rFonts w:eastAsia="Malgun Gothic"/>
          <w:spacing w:val="-6"/>
          <w:lang w:val="en-GB" w:eastAsia="ko-KR"/>
        </w:rPr>
        <w:t xml:space="preserve"> Toyota </w:t>
      </w:r>
      <w:r w:rsidR="007641A8" w:rsidRPr="00DC7563">
        <w:rPr>
          <w:rFonts w:eastAsia="Malgun Gothic"/>
          <w:spacing w:val="-6"/>
          <w:lang w:val="en-GB" w:eastAsia="ko-KR"/>
        </w:rPr>
        <w:t>p</w:t>
      </w:r>
      <w:r w:rsidR="00991E9B" w:rsidRPr="00DC7563">
        <w:rPr>
          <w:rFonts w:eastAsia="Malgun Gothic"/>
          <w:spacing w:val="-6"/>
          <w:lang w:val="en-GB" w:eastAsia="ko-KR"/>
        </w:rPr>
        <w:t xml:space="preserve">resident Akio Toyoda </w:t>
      </w:r>
      <w:r w:rsidR="00854557" w:rsidRPr="00DC7563">
        <w:rPr>
          <w:rFonts w:eastAsia="Malgun Gothic"/>
          <w:spacing w:val="-6"/>
          <w:lang w:val="en-GB" w:eastAsia="ko-KR"/>
        </w:rPr>
        <w:t>discussed the decision to partner with Mazda:</w:t>
      </w:r>
      <w:r w:rsidR="00991E9B" w:rsidRPr="00DC7563">
        <w:rPr>
          <w:rFonts w:eastAsia="Malgun Gothic"/>
          <w:spacing w:val="-6"/>
          <w:lang w:val="en-GB" w:eastAsia="ko-KR"/>
        </w:rPr>
        <w:t xml:space="preserve"> </w:t>
      </w:r>
    </w:p>
    <w:p w14:paraId="2548D8AD" w14:textId="77777777" w:rsidR="00854557" w:rsidRPr="00DC7563" w:rsidRDefault="00854557" w:rsidP="00991E9B">
      <w:pPr>
        <w:pStyle w:val="BodyTextMain"/>
        <w:rPr>
          <w:rFonts w:eastAsia="Malgun Gothic"/>
          <w:lang w:val="en-GB" w:eastAsia="ko-KR"/>
        </w:rPr>
      </w:pPr>
    </w:p>
    <w:p w14:paraId="54AF1D93" w14:textId="37EC3816" w:rsidR="00854557" w:rsidRPr="00DC7563" w:rsidRDefault="007641A8" w:rsidP="002969AA">
      <w:pPr>
        <w:pStyle w:val="BodyTextMain"/>
        <w:ind w:left="720"/>
        <w:rPr>
          <w:rFonts w:eastAsia="Malgun Gothic"/>
          <w:lang w:val="en-GB" w:eastAsia="ko-KR"/>
        </w:rPr>
      </w:pPr>
      <w:r w:rsidRPr="00DC7563">
        <w:rPr>
          <w:rFonts w:eastAsia="Malgun Gothic"/>
          <w:lang w:val="en-GB" w:eastAsia="ko-KR"/>
        </w:rPr>
        <w:t>A</w:t>
      </w:r>
      <w:r w:rsidR="00991E9B" w:rsidRPr="00DC7563">
        <w:rPr>
          <w:rFonts w:eastAsia="Malgun Gothic"/>
          <w:lang w:val="en-GB" w:eastAsia="ko-KR"/>
        </w:rPr>
        <w:t xml:space="preserve">s evidenced by </w:t>
      </w:r>
      <w:r w:rsidR="00144070" w:rsidRPr="00DC7563">
        <w:rPr>
          <w:rFonts w:eastAsia="Malgun Gothic"/>
          <w:lang w:val="en-GB" w:eastAsia="ko-KR"/>
        </w:rPr>
        <w:t>its</w:t>
      </w:r>
      <w:r w:rsidR="00991E9B" w:rsidRPr="00DC7563">
        <w:rPr>
          <w:rFonts w:eastAsia="Malgun Gothic"/>
          <w:lang w:val="en-GB" w:eastAsia="ko-KR"/>
        </w:rPr>
        <w:t xml:space="preserve"> </w:t>
      </w:r>
      <w:r w:rsidR="00854557" w:rsidRPr="00DC7563">
        <w:rPr>
          <w:rFonts w:eastAsia="Malgun Gothic"/>
          <w:lang w:val="en-GB" w:eastAsia="ko-KR"/>
        </w:rPr>
        <w:t>SKYACTIV</w:t>
      </w:r>
      <w:r w:rsidR="00854557" w:rsidRPr="00DC7563" w:rsidDel="00854557">
        <w:rPr>
          <w:rFonts w:eastAsia="Malgun Gothic"/>
          <w:lang w:val="en-GB" w:eastAsia="ko-KR"/>
        </w:rPr>
        <w:t xml:space="preserve"> </w:t>
      </w:r>
      <w:r w:rsidR="009832AE" w:rsidRPr="00DC7563">
        <w:rPr>
          <w:rFonts w:eastAsia="Malgun Gothic"/>
          <w:lang w:val="en-GB" w:eastAsia="ko-KR"/>
        </w:rPr>
        <w:t>t</w:t>
      </w:r>
      <w:r w:rsidR="00991E9B" w:rsidRPr="00DC7563">
        <w:rPr>
          <w:rFonts w:eastAsia="Malgun Gothic"/>
          <w:lang w:val="en-GB" w:eastAsia="ko-KR"/>
        </w:rPr>
        <w:t xml:space="preserve">echnologies and </w:t>
      </w:r>
      <w:r w:rsidR="00FA1F78" w:rsidRPr="00DC7563">
        <w:rPr>
          <w:rFonts w:eastAsia="Malgun Gothic"/>
          <w:lang w:val="en-GB" w:eastAsia="ko-KR"/>
        </w:rPr>
        <w:t xml:space="preserve">KODO </w:t>
      </w:r>
      <w:r w:rsidR="00991E9B" w:rsidRPr="00DC7563">
        <w:rPr>
          <w:rFonts w:eastAsia="Malgun Gothic"/>
          <w:lang w:val="en-GB" w:eastAsia="ko-KR"/>
        </w:rPr>
        <w:t>Soul of Motion design, Mazda has proven that it always thinks of what is coming next for vehicles and technology, while still managing to stay true to its basic car making roots</w:t>
      </w:r>
      <w:r w:rsidR="00854557" w:rsidRPr="00DC7563">
        <w:rPr>
          <w:rFonts w:eastAsia="Malgun Gothic"/>
          <w:lang w:val="en-GB" w:eastAsia="ko-KR"/>
        </w:rPr>
        <w:t xml:space="preserve">. . . . </w:t>
      </w:r>
      <w:r w:rsidR="00991E9B" w:rsidRPr="00DC7563">
        <w:rPr>
          <w:rFonts w:eastAsia="Malgun Gothic"/>
          <w:lang w:val="en-GB" w:eastAsia="ko-KR"/>
        </w:rPr>
        <w:t>In this way, Mazda very much practices what Toyota holds dear: making ever-better cars. I am delighted that our two companies can share the same vision and work together to make cars better.</w:t>
      </w:r>
      <w:r w:rsidR="00991E9B" w:rsidRPr="00DC7563">
        <w:rPr>
          <w:rStyle w:val="EndnoteReference"/>
          <w:rFonts w:eastAsia="Malgun Gothic"/>
          <w:color w:val="222222"/>
          <w:lang w:val="en-GB" w:eastAsia="ko-KR"/>
        </w:rPr>
        <w:endnoteReference w:id="65"/>
      </w:r>
    </w:p>
    <w:p w14:paraId="0CDAE087" w14:textId="77777777" w:rsidR="00854557" w:rsidRPr="00DC7563" w:rsidRDefault="00854557" w:rsidP="00991E9B">
      <w:pPr>
        <w:pStyle w:val="BodyTextMain"/>
        <w:rPr>
          <w:rFonts w:eastAsia="Malgun Gothic"/>
          <w:lang w:val="en-GB" w:eastAsia="ko-KR"/>
        </w:rPr>
      </w:pPr>
    </w:p>
    <w:p w14:paraId="74F9D854" w14:textId="55BD9C24" w:rsidR="00854557" w:rsidRPr="00DC7563" w:rsidRDefault="00991E9B" w:rsidP="00991E9B">
      <w:pPr>
        <w:pStyle w:val="BodyTextMain"/>
        <w:rPr>
          <w:rFonts w:eastAsia="Malgun Gothic"/>
          <w:lang w:val="en-GB" w:eastAsia="ko-KR"/>
        </w:rPr>
      </w:pPr>
      <w:r w:rsidRPr="00DC7563">
        <w:rPr>
          <w:rFonts w:eastAsia="Malgun Gothic"/>
          <w:lang w:val="en-GB" w:eastAsia="ko-KR"/>
        </w:rPr>
        <w:t xml:space="preserve">Mazda’s </w:t>
      </w:r>
      <w:proofErr w:type="spellStart"/>
      <w:r w:rsidRPr="00DC7563">
        <w:rPr>
          <w:rFonts w:eastAsia="Malgun Gothic"/>
          <w:lang w:val="en-GB" w:eastAsia="ko-KR"/>
        </w:rPr>
        <w:t>Kogai</w:t>
      </w:r>
      <w:proofErr w:type="spellEnd"/>
      <w:r w:rsidRPr="00DC7563">
        <w:rPr>
          <w:rFonts w:eastAsia="Malgun Gothic"/>
          <w:lang w:val="en-GB" w:eastAsia="ko-KR"/>
        </w:rPr>
        <w:t xml:space="preserve"> </w:t>
      </w:r>
      <w:r w:rsidR="00854557" w:rsidRPr="00DC7563">
        <w:rPr>
          <w:rFonts w:eastAsia="Malgun Gothic"/>
          <w:lang w:val="en-GB" w:eastAsia="ko-KR"/>
        </w:rPr>
        <w:t>described the partnership in similarly positive terms:</w:t>
      </w:r>
      <w:r w:rsidRPr="00DC7563">
        <w:rPr>
          <w:rFonts w:eastAsia="Malgun Gothic"/>
          <w:lang w:val="en-GB" w:eastAsia="ko-KR"/>
        </w:rPr>
        <w:t xml:space="preserve"> </w:t>
      </w:r>
    </w:p>
    <w:p w14:paraId="34ED1412" w14:textId="77777777" w:rsidR="00854557" w:rsidRPr="00DC7563" w:rsidRDefault="00854557" w:rsidP="00991E9B">
      <w:pPr>
        <w:pStyle w:val="BodyTextMain"/>
        <w:rPr>
          <w:rFonts w:eastAsia="Malgun Gothic"/>
          <w:lang w:val="en-GB" w:eastAsia="ko-KR"/>
        </w:rPr>
      </w:pPr>
    </w:p>
    <w:p w14:paraId="62A4611C" w14:textId="7C3069BF" w:rsidR="00854557" w:rsidRPr="00DC7563" w:rsidRDefault="00991E9B" w:rsidP="002969AA">
      <w:pPr>
        <w:pStyle w:val="BodyTextMain"/>
        <w:ind w:left="720"/>
        <w:rPr>
          <w:rFonts w:eastAsia="Malgun Gothic"/>
          <w:lang w:val="en-GB" w:eastAsia="ko-KR"/>
        </w:rPr>
      </w:pPr>
      <w:r w:rsidRPr="00DC7563">
        <w:rPr>
          <w:rFonts w:eastAsia="Malgun Gothic"/>
          <w:lang w:val="en-GB" w:eastAsia="ko-KR"/>
        </w:rPr>
        <w:t>Toyota is a company that has shown steadfast resolve in acting responsibly on global environmental issues and the future of manufacturing as a whole. I also have tremendous respect for Toyota’s dedication in its pursuit of ever-better cars through ongoing innovation</w:t>
      </w:r>
      <w:r w:rsidR="00854557" w:rsidRPr="00DC7563">
        <w:rPr>
          <w:rFonts w:eastAsia="Malgun Gothic"/>
          <w:lang w:val="en-GB" w:eastAsia="ko-KR"/>
        </w:rPr>
        <w:t>. . . .</w:t>
      </w:r>
      <w:r w:rsidRPr="00DC7563">
        <w:rPr>
          <w:rFonts w:eastAsia="Malgun Gothic"/>
          <w:lang w:val="en-GB" w:eastAsia="ko-KR"/>
        </w:rPr>
        <w:t xml:space="preserve"> I hope that by working together to make cars better, we can raise the value of cars in the eyes of consumers while also enhancing the manufacturing capabilities of our home, Hiroshima, and all the communities we are involved in as well.</w:t>
      </w:r>
      <w:r w:rsidRPr="00DC7563">
        <w:rPr>
          <w:rStyle w:val="EndnoteReference"/>
          <w:rFonts w:eastAsia="Malgun Gothic"/>
          <w:lang w:val="en-GB" w:eastAsia="ko-KR"/>
        </w:rPr>
        <w:endnoteReference w:id="66"/>
      </w:r>
    </w:p>
    <w:p w14:paraId="2876E9F3" w14:textId="77777777" w:rsidR="00854557" w:rsidRPr="00DC7563" w:rsidRDefault="00854557" w:rsidP="00991E9B">
      <w:pPr>
        <w:pStyle w:val="BodyTextMain"/>
        <w:rPr>
          <w:rFonts w:eastAsia="Malgun Gothic"/>
          <w:lang w:val="en-GB" w:eastAsia="ko-KR"/>
        </w:rPr>
      </w:pPr>
    </w:p>
    <w:p w14:paraId="0E6EA0F9" w14:textId="60E09EE9" w:rsidR="00991E9B" w:rsidRPr="00DC7563" w:rsidRDefault="00991E9B" w:rsidP="00991E9B">
      <w:pPr>
        <w:pStyle w:val="BodyTextMain"/>
        <w:rPr>
          <w:lang w:val="en-GB"/>
        </w:rPr>
      </w:pPr>
      <w:r w:rsidRPr="00DC7563">
        <w:rPr>
          <w:rFonts w:eastAsia="Malgun Gothic"/>
          <w:lang w:val="en-GB" w:eastAsia="ko-KR"/>
        </w:rPr>
        <w:t>In th</w:t>
      </w:r>
      <w:r w:rsidR="00B208D4" w:rsidRPr="00DC7563">
        <w:rPr>
          <w:rFonts w:eastAsia="Malgun Gothic"/>
          <w:lang w:val="en-GB" w:eastAsia="ko-KR"/>
        </w:rPr>
        <w:t>is</w:t>
      </w:r>
      <w:r w:rsidRPr="00DC7563">
        <w:rPr>
          <w:rFonts w:eastAsia="Malgun Gothic"/>
          <w:lang w:val="en-GB" w:eastAsia="ko-KR"/>
        </w:rPr>
        <w:t xml:space="preserve"> new partnership, </w:t>
      </w:r>
      <w:r w:rsidR="00B208D4" w:rsidRPr="00DC7563">
        <w:rPr>
          <w:rFonts w:eastAsia="Malgun Gothic"/>
          <w:lang w:val="en-GB" w:eastAsia="ko-KR"/>
        </w:rPr>
        <w:t>both</w:t>
      </w:r>
      <w:r w:rsidRPr="00DC7563">
        <w:rPr>
          <w:rFonts w:eastAsia="Malgun Gothic"/>
          <w:lang w:val="en-GB" w:eastAsia="ko-KR"/>
        </w:rPr>
        <w:t xml:space="preserve"> companies agreed to collaborate</w:t>
      </w:r>
      <w:r w:rsidR="00B208D4" w:rsidRPr="00DC7563">
        <w:rPr>
          <w:rFonts w:eastAsia="Malgun Gothic"/>
          <w:lang w:val="en-GB" w:eastAsia="ko-KR"/>
        </w:rPr>
        <w:t xml:space="preserve"> on</w:t>
      </w:r>
      <w:r w:rsidRPr="00DC7563">
        <w:rPr>
          <w:rFonts w:eastAsia="Malgun Gothic"/>
          <w:lang w:val="en-GB" w:eastAsia="ko-KR"/>
        </w:rPr>
        <w:t xml:space="preserve"> future products and share technology developments to stay ahead in the competitive environment. Toyota sought to gain knowledge of Mazda’s SKYACTIV petrol and diesel expertise, while Mazda hoped to benefit from Toyota’s hybrid proficiency and hydrogen fuel</w:t>
      </w:r>
      <w:r w:rsidR="004247DF" w:rsidRPr="00DC7563">
        <w:rPr>
          <w:rFonts w:eastAsia="Malgun Gothic"/>
          <w:lang w:val="en-GB" w:eastAsia="ko-KR"/>
        </w:rPr>
        <w:t xml:space="preserve"> </w:t>
      </w:r>
      <w:r w:rsidRPr="00DC7563">
        <w:rPr>
          <w:rFonts w:eastAsia="Malgun Gothic"/>
          <w:lang w:val="en-GB" w:eastAsia="ko-KR"/>
        </w:rPr>
        <w:t xml:space="preserve">cell technology. </w:t>
      </w:r>
    </w:p>
    <w:p w14:paraId="45222582" w14:textId="77777777" w:rsidR="00991E9B" w:rsidRPr="00DC7563" w:rsidRDefault="00991E9B" w:rsidP="00991E9B">
      <w:pPr>
        <w:pStyle w:val="BodyTextMain"/>
        <w:rPr>
          <w:sz w:val="20"/>
          <w:lang w:val="en-GB"/>
        </w:rPr>
      </w:pPr>
    </w:p>
    <w:p w14:paraId="4A05B6C8" w14:textId="77777777" w:rsidR="00991E9B" w:rsidRPr="00DC7563" w:rsidRDefault="00991E9B" w:rsidP="00991E9B">
      <w:pPr>
        <w:pStyle w:val="BodyTextMain"/>
        <w:rPr>
          <w:sz w:val="20"/>
          <w:lang w:val="en-GB"/>
        </w:rPr>
      </w:pPr>
    </w:p>
    <w:p w14:paraId="5841E63B" w14:textId="77777777" w:rsidR="00991E9B" w:rsidRPr="00DC7563" w:rsidRDefault="00991E9B" w:rsidP="00C73E67">
      <w:pPr>
        <w:pStyle w:val="BodyTextMain"/>
        <w:outlineLvl w:val="0"/>
        <w:rPr>
          <w:rFonts w:ascii="Arial" w:eastAsia="ヒラギノ明朝 Pro W3" w:hAnsi="Arial"/>
          <w:b/>
          <w:sz w:val="20"/>
          <w:szCs w:val="20"/>
          <w:lang w:val="en-GB"/>
        </w:rPr>
      </w:pPr>
      <w:r w:rsidRPr="00DC7563">
        <w:rPr>
          <w:rFonts w:ascii="Arial" w:eastAsia="ヒラギノ明朝 Pro W3" w:hAnsi="Arial"/>
          <w:b/>
          <w:sz w:val="20"/>
          <w:szCs w:val="20"/>
          <w:lang w:val="en-GB"/>
        </w:rPr>
        <w:t>THE ROAD AHEAD</w:t>
      </w:r>
    </w:p>
    <w:p w14:paraId="77CB1B41" w14:textId="77777777" w:rsidR="00B208D4" w:rsidRPr="00DC7563" w:rsidRDefault="00B208D4" w:rsidP="00991E9B">
      <w:pPr>
        <w:pStyle w:val="BodyTextMain"/>
        <w:rPr>
          <w:lang w:val="en-GB"/>
        </w:rPr>
      </w:pPr>
    </w:p>
    <w:p w14:paraId="3189D414" w14:textId="5A289D15" w:rsidR="00E4526F" w:rsidRPr="00DC7563" w:rsidRDefault="00E4526F" w:rsidP="00991E9B">
      <w:pPr>
        <w:pStyle w:val="BodyTextMain"/>
        <w:rPr>
          <w:lang w:val="en-GB"/>
        </w:rPr>
      </w:pPr>
      <w:r w:rsidRPr="00DC7563">
        <w:rPr>
          <w:lang w:val="en-GB"/>
        </w:rPr>
        <w:t>Industry trend</w:t>
      </w:r>
      <w:r w:rsidRPr="00DC7563">
        <w:rPr>
          <w:rFonts w:eastAsia="Malgun Gothic"/>
          <w:lang w:val="en-GB" w:eastAsia="ko-KR"/>
        </w:rPr>
        <w:t>s had</w:t>
      </w:r>
      <w:r w:rsidRPr="00DC7563">
        <w:rPr>
          <w:lang w:val="en-GB"/>
        </w:rPr>
        <w:t xml:space="preserve"> changed rapidly after </w:t>
      </w:r>
      <w:r w:rsidRPr="00DC7563">
        <w:rPr>
          <w:rFonts w:eastAsia="Malgun Gothic"/>
          <w:lang w:val="en-GB" w:eastAsia="ko-KR"/>
        </w:rPr>
        <w:t xml:space="preserve">the global </w:t>
      </w:r>
      <w:r w:rsidRPr="00DC7563">
        <w:rPr>
          <w:lang w:val="en-GB"/>
        </w:rPr>
        <w:t>financial crisis</w:t>
      </w:r>
      <w:r w:rsidR="00151FA3">
        <w:rPr>
          <w:lang w:val="en-GB"/>
        </w:rPr>
        <w:t>,</w:t>
      </w:r>
      <w:r w:rsidRPr="00DC7563">
        <w:rPr>
          <w:lang w:val="en-GB"/>
        </w:rPr>
        <w:t xml:space="preserve"> and competitors had altered their business strategies, while Mazda fought to keep pace. </w:t>
      </w:r>
      <w:r w:rsidR="00991E9B" w:rsidRPr="00DC7563">
        <w:rPr>
          <w:lang w:val="en-GB"/>
        </w:rPr>
        <w:t>In 2016, Mazda announced a new medium-term business plan</w:t>
      </w:r>
      <w:r w:rsidR="00F646E8" w:rsidRPr="00DC7563">
        <w:rPr>
          <w:lang w:val="en-GB"/>
        </w:rPr>
        <w:t>,</w:t>
      </w:r>
      <w:r w:rsidR="00991E9B" w:rsidRPr="00DC7563">
        <w:rPr>
          <w:lang w:val="en-GB"/>
        </w:rPr>
        <w:t xml:space="preserve"> </w:t>
      </w:r>
      <w:r w:rsidR="00F646E8" w:rsidRPr="00DC7563">
        <w:rPr>
          <w:lang w:val="en-GB"/>
        </w:rPr>
        <w:t>“</w:t>
      </w:r>
      <w:r w:rsidR="00991E9B" w:rsidRPr="00DC7563">
        <w:rPr>
          <w:lang w:val="en-GB"/>
        </w:rPr>
        <w:t>Structural Reform Stage 2</w:t>
      </w:r>
      <w:r w:rsidR="00F646E8" w:rsidRPr="00DC7563">
        <w:rPr>
          <w:lang w:val="en-GB"/>
        </w:rPr>
        <w:t>,”</w:t>
      </w:r>
      <w:r w:rsidR="00991E9B" w:rsidRPr="00DC7563">
        <w:rPr>
          <w:lang w:val="en-GB"/>
        </w:rPr>
        <w:t xml:space="preserve"> </w:t>
      </w:r>
      <w:r w:rsidR="00F646E8" w:rsidRPr="00DC7563">
        <w:rPr>
          <w:lang w:val="en-GB"/>
        </w:rPr>
        <w:t xml:space="preserve">which </w:t>
      </w:r>
      <w:r w:rsidR="00991E9B" w:rsidRPr="00DC7563">
        <w:rPr>
          <w:lang w:val="en-GB"/>
        </w:rPr>
        <w:t>cover</w:t>
      </w:r>
      <w:r w:rsidR="00F646E8" w:rsidRPr="00DC7563">
        <w:rPr>
          <w:lang w:val="en-GB"/>
        </w:rPr>
        <w:t>ed</w:t>
      </w:r>
      <w:r w:rsidR="00991E9B" w:rsidRPr="00DC7563">
        <w:rPr>
          <w:lang w:val="en-GB"/>
        </w:rPr>
        <w:t xml:space="preserve"> the period from March 2017 to March 2019. </w:t>
      </w:r>
      <w:proofErr w:type="spellStart"/>
      <w:r w:rsidR="00991E9B" w:rsidRPr="00DC7563">
        <w:rPr>
          <w:lang w:val="en-GB"/>
        </w:rPr>
        <w:lastRenderedPageBreak/>
        <w:t>Kogai</w:t>
      </w:r>
      <w:proofErr w:type="spellEnd"/>
      <w:r w:rsidR="00991E9B" w:rsidRPr="00DC7563">
        <w:rPr>
          <w:lang w:val="en-GB"/>
        </w:rPr>
        <w:t xml:space="preserve"> believed it would be vital for Mazda to achieve sustainable growth</w:t>
      </w:r>
      <w:r w:rsidR="00F646E8" w:rsidRPr="00DC7563">
        <w:rPr>
          <w:lang w:val="en-GB"/>
        </w:rPr>
        <w:t>,</w:t>
      </w:r>
      <w:r w:rsidR="00991E9B" w:rsidRPr="00DC7563">
        <w:rPr>
          <w:lang w:val="en-GB"/>
        </w:rPr>
        <w:t xml:space="preserve"> and to establish a solid financial base with enhanced resilience to foreign exchange fluctuation. </w:t>
      </w:r>
    </w:p>
    <w:p w14:paraId="19EA0755" w14:textId="77777777" w:rsidR="00E4526F" w:rsidRPr="00DC7563" w:rsidRDefault="00E4526F" w:rsidP="00991E9B">
      <w:pPr>
        <w:pStyle w:val="BodyTextMain"/>
        <w:rPr>
          <w:lang w:val="en-GB"/>
        </w:rPr>
      </w:pPr>
    </w:p>
    <w:p w14:paraId="7C303A4C" w14:textId="1F8CC025" w:rsidR="00A92227" w:rsidRPr="00DC7563" w:rsidRDefault="00E4526F" w:rsidP="00B7396A">
      <w:pPr>
        <w:pStyle w:val="BodyTextMain"/>
        <w:rPr>
          <w:lang w:val="en-GB"/>
        </w:rPr>
      </w:pPr>
      <w:r w:rsidRPr="00DC7563">
        <w:rPr>
          <w:lang w:val="en-GB"/>
        </w:rPr>
        <w:t xml:space="preserve">As </w:t>
      </w:r>
      <w:r w:rsidR="00991E9B" w:rsidRPr="00DC7563">
        <w:rPr>
          <w:rFonts w:eastAsia="Malgun Gothic"/>
          <w:lang w:val="en-GB" w:eastAsia="ko-KR"/>
        </w:rPr>
        <w:t>Mazda entered 2017 with revised business goals</w:t>
      </w:r>
      <w:r w:rsidR="00F703EC" w:rsidRPr="00DC7563">
        <w:rPr>
          <w:rFonts w:eastAsia="Malgun Gothic"/>
          <w:lang w:val="en-GB" w:eastAsia="ko-KR"/>
        </w:rPr>
        <w:t xml:space="preserve"> and strategies</w:t>
      </w:r>
      <w:r w:rsidR="00991E9B" w:rsidRPr="00DC7563">
        <w:rPr>
          <w:rFonts w:eastAsia="Malgun Gothic"/>
          <w:lang w:val="en-GB" w:eastAsia="ko-KR"/>
        </w:rPr>
        <w:t xml:space="preserve">, </w:t>
      </w:r>
      <w:r w:rsidR="00F911C7" w:rsidRPr="00DC7563">
        <w:rPr>
          <w:rFonts w:eastAsia="Malgun Gothic"/>
          <w:lang w:val="en-GB" w:eastAsia="ko-KR"/>
        </w:rPr>
        <w:t xml:space="preserve">other </w:t>
      </w:r>
      <w:r w:rsidRPr="00DC7563">
        <w:rPr>
          <w:lang w:val="en-GB"/>
        </w:rPr>
        <w:t xml:space="preserve">automotive manufacturers continued distancing themselves from Mazda by forming strategic alliances, concentrating R&amp;D spending on modular platforms and new energy research, and </w:t>
      </w:r>
      <w:r w:rsidR="00151FA3">
        <w:rPr>
          <w:lang w:val="en-GB"/>
        </w:rPr>
        <w:t xml:space="preserve">an </w:t>
      </w:r>
      <w:r w:rsidRPr="00DC7563">
        <w:rPr>
          <w:lang w:val="en-GB"/>
        </w:rPr>
        <w:t xml:space="preserve">increasing focus on economies of scale. </w:t>
      </w:r>
      <w:r w:rsidR="0059388C" w:rsidRPr="00DC7563">
        <w:rPr>
          <w:rFonts w:eastAsia="Malgun Gothic"/>
          <w:lang w:val="en-GB" w:eastAsia="ko-KR"/>
        </w:rPr>
        <w:t xml:space="preserve">Nevertheless, </w:t>
      </w:r>
      <w:r w:rsidR="00991E9B" w:rsidRPr="00DC7563">
        <w:rPr>
          <w:lang w:val="en-GB"/>
        </w:rPr>
        <w:t xml:space="preserve">Mazda’s Structural Reform Plan and </w:t>
      </w:r>
      <w:r w:rsidRPr="00DC7563">
        <w:rPr>
          <w:lang w:val="en-GB"/>
        </w:rPr>
        <w:t>the</w:t>
      </w:r>
      <w:r w:rsidR="00991E9B" w:rsidRPr="00DC7563">
        <w:rPr>
          <w:lang w:val="en-GB"/>
        </w:rPr>
        <w:t xml:space="preserve"> partnership </w:t>
      </w:r>
      <w:r w:rsidRPr="00DC7563">
        <w:rPr>
          <w:lang w:val="en-GB"/>
        </w:rPr>
        <w:t xml:space="preserve">with Toyota </w:t>
      </w:r>
      <w:r w:rsidR="00991E9B" w:rsidRPr="00DC7563">
        <w:rPr>
          <w:lang w:val="en-GB"/>
        </w:rPr>
        <w:t xml:space="preserve">had brought </w:t>
      </w:r>
      <w:r w:rsidRPr="00DC7563">
        <w:rPr>
          <w:lang w:val="en-GB"/>
        </w:rPr>
        <w:t xml:space="preserve">increased </w:t>
      </w:r>
      <w:r w:rsidR="00991E9B" w:rsidRPr="00DC7563">
        <w:rPr>
          <w:lang w:val="en-GB"/>
        </w:rPr>
        <w:t>growth</w:t>
      </w:r>
      <w:r w:rsidR="001969C2" w:rsidRPr="00DC7563">
        <w:rPr>
          <w:lang w:val="en-GB"/>
        </w:rPr>
        <w:t xml:space="preserve">. </w:t>
      </w:r>
      <w:r w:rsidR="00F703EC" w:rsidRPr="00DC7563">
        <w:rPr>
          <w:lang w:val="en-GB"/>
        </w:rPr>
        <w:t xml:space="preserve">But, </w:t>
      </w:r>
      <w:r w:rsidR="00991E9B" w:rsidRPr="00DC7563">
        <w:rPr>
          <w:lang w:val="en-GB"/>
        </w:rPr>
        <w:t xml:space="preserve">would Mazda </w:t>
      </w:r>
      <w:r w:rsidRPr="00DC7563">
        <w:rPr>
          <w:lang w:val="en-GB"/>
        </w:rPr>
        <w:t xml:space="preserve">require </w:t>
      </w:r>
      <w:r w:rsidR="00991E9B" w:rsidRPr="00DC7563">
        <w:rPr>
          <w:lang w:val="en-GB"/>
        </w:rPr>
        <w:t>a</w:t>
      </w:r>
      <w:r w:rsidRPr="00DC7563">
        <w:rPr>
          <w:lang w:val="en-GB"/>
        </w:rPr>
        <w:t xml:space="preserve"> further</w:t>
      </w:r>
      <w:r w:rsidR="00991E9B" w:rsidRPr="00DC7563">
        <w:rPr>
          <w:lang w:val="en-GB"/>
        </w:rPr>
        <w:t xml:space="preserve"> revised strategy to remain relevant in the</w:t>
      </w:r>
      <w:r w:rsidR="00F703EC" w:rsidRPr="00DC7563">
        <w:rPr>
          <w:lang w:val="en-GB"/>
        </w:rPr>
        <w:t xml:space="preserve"> highly consolidated</w:t>
      </w:r>
      <w:r w:rsidR="00991E9B" w:rsidRPr="00DC7563">
        <w:rPr>
          <w:lang w:val="en-GB"/>
        </w:rPr>
        <w:t xml:space="preserve"> automotive industry? </w:t>
      </w:r>
      <w:r w:rsidRPr="00DC7563">
        <w:rPr>
          <w:rFonts w:eastAsia="Malgun Gothic"/>
          <w:lang w:val="en-GB" w:eastAsia="ko-KR"/>
        </w:rPr>
        <w:t>Regarding the Mazda–Toyota partnership, Toyoda had been careful to note, “This is an engagement announcement, not a marriage announcement.”</w:t>
      </w:r>
      <w:r w:rsidR="0040451F" w:rsidRPr="00DC7563">
        <w:rPr>
          <w:rStyle w:val="EndnoteReference"/>
          <w:rFonts w:eastAsia="Malgun Gothic"/>
          <w:lang w:val="en-GB" w:eastAsia="ko-KR"/>
        </w:rPr>
        <w:endnoteReference w:id="67"/>
      </w:r>
      <w:r w:rsidRPr="00DC7563">
        <w:rPr>
          <w:rFonts w:eastAsia="Malgun Gothic"/>
          <w:lang w:val="en-GB" w:eastAsia="ko-KR"/>
        </w:rPr>
        <w:t xml:space="preserve"> With its size and success, was Toyota the best fit for Mazda, or was there a more suitable partner? Could Mazda use any lessons learned from its past partnership with Ford to become more successful in its partnership with Toyota? Was partnership (of any kind) the correct growth strategy for the firm? </w:t>
      </w:r>
      <w:r w:rsidR="00A92227" w:rsidRPr="00DC7563">
        <w:rPr>
          <w:lang w:val="en-GB"/>
        </w:rPr>
        <w:br w:type="page"/>
      </w:r>
    </w:p>
    <w:p w14:paraId="61397DD4" w14:textId="3E01BF91" w:rsidR="00666715" w:rsidRPr="00DC7563" w:rsidRDefault="00666715" w:rsidP="00C73E67">
      <w:pPr>
        <w:pStyle w:val="NoSpacing"/>
        <w:jc w:val="center"/>
        <w:outlineLvl w:val="0"/>
        <w:rPr>
          <w:rFonts w:ascii="Arial" w:eastAsia="Malgun Gothic" w:hAnsi="Arial"/>
          <w:b/>
          <w:color w:val="222222"/>
          <w:sz w:val="20"/>
          <w:szCs w:val="20"/>
          <w:lang w:val="en-GB" w:eastAsia="ko-KR"/>
        </w:rPr>
      </w:pPr>
      <w:r w:rsidRPr="00DC7563">
        <w:rPr>
          <w:rFonts w:ascii="Arial" w:eastAsia="Malgun Gothic" w:hAnsi="Arial"/>
          <w:b/>
          <w:color w:val="222222"/>
          <w:sz w:val="20"/>
          <w:szCs w:val="20"/>
          <w:lang w:val="en-GB" w:eastAsia="ko-KR"/>
        </w:rPr>
        <w:lastRenderedPageBreak/>
        <w:t xml:space="preserve">EXHIBIT 1: MARKET SHARES </w:t>
      </w:r>
      <w:r w:rsidR="004E0D8C" w:rsidRPr="00DC7563">
        <w:rPr>
          <w:rFonts w:ascii="Arial" w:eastAsia="Malgun Gothic" w:hAnsi="Arial"/>
          <w:b/>
          <w:color w:val="222222"/>
          <w:sz w:val="20"/>
          <w:szCs w:val="20"/>
          <w:lang w:val="en-GB" w:eastAsia="ko-KR"/>
        </w:rPr>
        <w:t>(%)</w:t>
      </w:r>
      <w:r w:rsidR="0065040D" w:rsidRPr="00DC7563">
        <w:rPr>
          <w:rFonts w:ascii="Arial" w:eastAsia="Malgun Gothic" w:hAnsi="Arial"/>
          <w:b/>
          <w:color w:val="222222"/>
          <w:sz w:val="20"/>
          <w:szCs w:val="20"/>
          <w:lang w:val="en-GB" w:eastAsia="ko-KR"/>
        </w:rPr>
        <w:t xml:space="preserve"> OF MAJOR AUTO COMPANIES (1961</w:t>
      </w:r>
      <w:r w:rsidR="00151FA3">
        <w:rPr>
          <w:rFonts w:ascii="Arial" w:eastAsia="Malgun Gothic" w:hAnsi="Arial"/>
          <w:b/>
          <w:color w:val="222222"/>
          <w:sz w:val="20"/>
          <w:szCs w:val="20"/>
          <w:lang w:val="en-GB" w:eastAsia="ko-KR"/>
        </w:rPr>
        <w:t>–</w:t>
      </w:r>
      <w:r w:rsidR="0065040D" w:rsidRPr="00DC7563">
        <w:rPr>
          <w:rFonts w:ascii="Arial" w:eastAsia="Malgun Gothic" w:hAnsi="Arial"/>
          <w:b/>
          <w:color w:val="222222"/>
          <w:sz w:val="20"/>
          <w:szCs w:val="20"/>
          <w:lang w:val="en-GB" w:eastAsia="ko-KR"/>
        </w:rPr>
        <w:t>1980)</w:t>
      </w:r>
    </w:p>
    <w:p w14:paraId="759D108B" w14:textId="77777777" w:rsidR="00666715" w:rsidRPr="00DC7563" w:rsidRDefault="00666715" w:rsidP="00666715">
      <w:pPr>
        <w:pStyle w:val="NoSpacing"/>
        <w:jc w:val="center"/>
        <w:rPr>
          <w:rFonts w:ascii="Times New Roman" w:eastAsia="Malgun Gothic" w:hAnsi="Times New Roman"/>
          <w:b/>
          <w:color w:val="222222"/>
          <w:lang w:val="en-GB" w:eastAsia="ko-KR"/>
        </w:rPr>
      </w:pPr>
    </w:p>
    <w:tbl>
      <w:tblPr>
        <w:tblW w:w="8458" w:type="dxa"/>
        <w:jc w:val="center"/>
        <w:tblLook w:val="04A0" w:firstRow="1" w:lastRow="0" w:firstColumn="1" w:lastColumn="0" w:noHBand="0" w:noVBand="1"/>
      </w:tblPr>
      <w:tblGrid>
        <w:gridCol w:w="1484"/>
        <w:gridCol w:w="1152"/>
        <w:gridCol w:w="1152"/>
        <w:gridCol w:w="1152"/>
        <w:gridCol w:w="1152"/>
        <w:gridCol w:w="1214"/>
        <w:gridCol w:w="1152"/>
      </w:tblGrid>
      <w:tr w:rsidR="00553086" w:rsidRPr="00DC7563" w14:paraId="77123904" w14:textId="77777777" w:rsidTr="00553086">
        <w:trPr>
          <w:trHeight w:val="62"/>
          <w:jc w:val="center"/>
        </w:trPr>
        <w:tc>
          <w:tcPr>
            <w:tcW w:w="1484" w:type="dxa"/>
            <w:tcBorders>
              <w:top w:val="single" w:sz="4" w:space="0" w:color="auto"/>
              <w:left w:val="single" w:sz="4" w:space="0" w:color="auto"/>
              <w:bottom w:val="single" w:sz="4" w:space="0" w:color="auto"/>
              <w:right w:val="single" w:sz="4" w:space="0" w:color="auto"/>
            </w:tcBorders>
            <w:noWrap/>
            <w:vAlign w:val="bottom"/>
          </w:tcPr>
          <w:p w14:paraId="5080CAB2" w14:textId="77777777" w:rsidR="00553086" w:rsidRPr="00DC7563" w:rsidRDefault="00553086">
            <w:pPr>
              <w:spacing w:line="276" w:lineRule="auto"/>
              <w:jc w:val="center"/>
              <w:rPr>
                <w:rFonts w:ascii="Arial" w:hAnsi="Arial" w:cs="Arial"/>
                <w:b/>
                <w:color w:val="000000"/>
                <w:sz w:val="19"/>
                <w:szCs w:val="19"/>
                <w:lang w:val="en-GB"/>
              </w:rPr>
            </w:pPr>
          </w:p>
        </w:tc>
        <w:tc>
          <w:tcPr>
            <w:tcW w:w="6974" w:type="dxa"/>
            <w:gridSpan w:val="6"/>
            <w:tcBorders>
              <w:top w:val="single" w:sz="4" w:space="0" w:color="auto"/>
              <w:left w:val="nil"/>
              <w:bottom w:val="single" w:sz="4" w:space="0" w:color="auto"/>
              <w:right w:val="single" w:sz="4" w:space="0" w:color="auto"/>
            </w:tcBorders>
            <w:noWrap/>
            <w:vAlign w:val="bottom"/>
          </w:tcPr>
          <w:p w14:paraId="095AAFAD" w14:textId="3DAE36FD" w:rsidR="00553086" w:rsidRPr="00DC7563" w:rsidRDefault="00553086">
            <w:pPr>
              <w:spacing w:line="276" w:lineRule="auto"/>
              <w:jc w:val="center"/>
              <w:rPr>
                <w:rFonts w:ascii="Arial" w:hAnsi="Arial" w:cs="Arial"/>
                <w:b/>
                <w:color w:val="000000"/>
                <w:sz w:val="19"/>
                <w:szCs w:val="19"/>
                <w:lang w:val="en-GB"/>
              </w:rPr>
            </w:pPr>
            <w:r>
              <w:rPr>
                <w:rFonts w:ascii="Arial" w:hAnsi="Arial" w:cs="Arial"/>
                <w:b/>
                <w:color w:val="000000"/>
                <w:sz w:val="19"/>
                <w:szCs w:val="19"/>
                <w:lang w:val="en-GB"/>
              </w:rPr>
              <w:t>Company</w:t>
            </w:r>
          </w:p>
        </w:tc>
      </w:tr>
      <w:tr w:rsidR="00666715" w:rsidRPr="00DC7563" w14:paraId="24D21E04" w14:textId="77777777" w:rsidTr="00553086">
        <w:trPr>
          <w:trHeight w:val="62"/>
          <w:jc w:val="center"/>
        </w:trPr>
        <w:tc>
          <w:tcPr>
            <w:tcW w:w="1484" w:type="dxa"/>
            <w:tcBorders>
              <w:top w:val="single" w:sz="4" w:space="0" w:color="auto"/>
              <w:left w:val="single" w:sz="4" w:space="0" w:color="auto"/>
              <w:bottom w:val="single" w:sz="4" w:space="0" w:color="auto"/>
              <w:right w:val="single" w:sz="4" w:space="0" w:color="auto"/>
            </w:tcBorders>
            <w:noWrap/>
            <w:vAlign w:val="bottom"/>
            <w:hideMark/>
          </w:tcPr>
          <w:p w14:paraId="25909F3B" w14:textId="641EE229" w:rsidR="00666715" w:rsidRPr="00DC7563" w:rsidRDefault="00553086">
            <w:pPr>
              <w:spacing w:line="276" w:lineRule="auto"/>
              <w:jc w:val="center"/>
              <w:rPr>
                <w:rFonts w:ascii="Arial" w:hAnsi="Arial" w:cs="Arial"/>
                <w:b/>
                <w:color w:val="000000"/>
                <w:sz w:val="19"/>
                <w:szCs w:val="19"/>
                <w:lang w:val="en-GB"/>
              </w:rPr>
            </w:pPr>
            <w:r>
              <w:rPr>
                <w:rFonts w:ascii="Arial" w:hAnsi="Arial" w:cs="Arial"/>
                <w:b/>
                <w:color w:val="000000"/>
                <w:sz w:val="19"/>
                <w:szCs w:val="19"/>
                <w:lang w:val="en-GB"/>
              </w:rPr>
              <w:t>Year</w:t>
            </w:r>
          </w:p>
        </w:tc>
        <w:tc>
          <w:tcPr>
            <w:tcW w:w="1152" w:type="dxa"/>
            <w:tcBorders>
              <w:top w:val="single" w:sz="4" w:space="0" w:color="auto"/>
              <w:left w:val="nil"/>
              <w:bottom w:val="single" w:sz="4" w:space="0" w:color="auto"/>
              <w:right w:val="single" w:sz="4" w:space="0" w:color="auto"/>
            </w:tcBorders>
            <w:noWrap/>
            <w:vAlign w:val="bottom"/>
            <w:hideMark/>
          </w:tcPr>
          <w:p w14:paraId="3839624A"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Ford</w:t>
            </w:r>
          </w:p>
        </w:tc>
        <w:tc>
          <w:tcPr>
            <w:tcW w:w="1152" w:type="dxa"/>
            <w:tcBorders>
              <w:top w:val="single" w:sz="4" w:space="0" w:color="auto"/>
              <w:left w:val="nil"/>
              <w:bottom w:val="single" w:sz="4" w:space="0" w:color="auto"/>
              <w:right w:val="single" w:sz="4" w:space="0" w:color="auto"/>
            </w:tcBorders>
            <w:noWrap/>
            <w:vAlign w:val="bottom"/>
            <w:hideMark/>
          </w:tcPr>
          <w:p w14:paraId="0C7C9225"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GM</w:t>
            </w:r>
          </w:p>
        </w:tc>
        <w:tc>
          <w:tcPr>
            <w:tcW w:w="1152" w:type="dxa"/>
            <w:tcBorders>
              <w:top w:val="single" w:sz="4" w:space="0" w:color="auto"/>
              <w:left w:val="nil"/>
              <w:bottom w:val="single" w:sz="4" w:space="0" w:color="auto"/>
              <w:right w:val="single" w:sz="4" w:space="0" w:color="auto"/>
            </w:tcBorders>
            <w:noWrap/>
            <w:vAlign w:val="bottom"/>
            <w:hideMark/>
          </w:tcPr>
          <w:p w14:paraId="21FF4014"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Honda</w:t>
            </w:r>
          </w:p>
        </w:tc>
        <w:tc>
          <w:tcPr>
            <w:tcW w:w="1152" w:type="dxa"/>
            <w:tcBorders>
              <w:top w:val="single" w:sz="4" w:space="0" w:color="auto"/>
              <w:left w:val="nil"/>
              <w:bottom w:val="single" w:sz="4" w:space="0" w:color="auto"/>
              <w:right w:val="single" w:sz="4" w:space="0" w:color="auto"/>
            </w:tcBorders>
            <w:noWrap/>
            <w:vAlign w:val="bottom"/>
            <w:hideMark/>
          </w:tcPr>
          <w:p w14:paraId="584A004D"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Toyota</w:t>
            </w:r>
          </w:p>
        </w:tc>
        <w:tc>
          <w:tcPr>
            <w:tcW w:w="1214" w:type="dxa"/>
            <w:tcBorders>
              <w:top w:val="single" w:sz="4" w:space="0" w:color="auto"/>
              <w:left w:val="nil"/>
              <w:bottom w:val="single" w:sz="4" w:space="0" w:color="auto"/>
              <w:right w:val="single" w:sz="4" w:space="0" w:color="auto"/>
            </w:tcBorders>
            <w:noWrap/>
            <w:vAlign w:val="bottom"/>
            <w:hideMark/>
          </w:tcPr>
          <w:p w14:paraId="29FA7D4A"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Chrysler</w:t>
            </w:r>
          </w:p>
        </w:tc>
        <w:tc>
          <w:tcPr>
            <w:tcW w:w="1152" w:type="dxa"/>
            <w:tcBorders>
              <w:top w:val="single" w:sz="4" w:space="0" w:color="auto"/>
              <w:left w:val="nil"/>
              <w:bottom w:val="single" w:sz="4" w:space="0" w:color="auto"/>
              <w:right w:val="single" w:sz="4" w:space="0" w:color="auto"/>
            </w:tcBorders>
            <w:noWrap/>
            <w:vAlign w:val="bottom"/>
            <w:hideMark/>
          </w:tcPr>
          <w:p w14:paraId="09A54844"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Other</w:t>
            </w:r>
          </w:p>
        </w:tc>
      </w:tr>
      <w:tr w:rsidR="00666715" w:rsidRPr="00DC7563" w14:paraId="44C9C11C" w14:textId="77777777" w:rsidTr="00553086">
        <w:trPr>
          <w:trHeight w:val="161"/>
          <w:jc w:val="center"/>
        </w:trPr>
        <w:tc>
          <w:tcPr>
            <w:tcW w:w="1484" w:type="dxa"/>
            <w:tcBorders>
              <w:top w:val="nil"/>
              <w:left w:val="single" w:sz="4" w:space="0" w:color="auto"/>
              <w:bottom w:val="single" w:sz="4" w:space="0" w:color="auto"/>
              <w:right w:val="single" w:sz="4" w:space="0" w:color="auto"/>
            </w:tcBorders>
            <w:noWrap/>
            <w:vAlign w:val="bottom"/>
            <w:hideMark/>
          </w:tcPr>
          <w:p w14:paraId="2BD6339B"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1961</w:t>
            </w:r>
          </w:p>
        </w:tc>
        <w:tc>
          <w:tcPr>
            <w:tcW w:w="1152" w:type="dxa"/>
            <w:tcBorders>
              <w:top w:val="nil"/>
              <w:left w:val="nil"/>
              <w:bottom w:val="single" w:sz="4" w:space="0" w:color="auto"/>
              <w:right w:val="single" w:sz="4" w:space="0" w:color="auto"/>
            </w:tcBorders>
            <w:noWrap/>
            <w:vAlign w:val="bottom"/>
            <w:hideMark/>
          </w:tcPr>
          <w:p w14:paraId="538684F8" w14:textId="77777777" w:rsidR="00666715" w:rsidRPr="00DC7563" w:rsidRDefault="00666715" w:rsidP="004E0D8C">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29.3</w:t>
            </w:r>
          </w:p>
        </w:tc>
        <w:tc>
          <w:tcPr>
            <w:tcW w:w="1152" w:type="dxa"/>
            <w:tcBorders>
              <w:top w:val="nil"/>
              <w:left w:val="nil"/>
              <w:bottom w:val="single" w:sz="4" w:space="0" w:color="auto"/>
              <w:right w:val="single" w:sz="4" w:space="0" w:color="auto"/>
            </w:tcBorders>
            <w:noWrap/>
            <w:vAlign w:val="bottom"/>
            <w:hideMark/>
          </w:tcPr>
          <w:p w14:paraId="6AA7F8C1"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45.0</w:t>
            </w:r>
          </w:p>
        </w:tc>
        <w:tc>
          <w:tcPr>
            <w:tcW w:w="1152" w:type="dxa"/>
            <w:tcBorders>
              <w:top w:val="nil"/>
              <w:left w:val="nil"/>
              <w:bottom w:val="single" w:sz="4" w:space="0" w:color="auto"/>
              <w:right w:val="single" w:sz="4" w:space="0" w:color="auto"/>
            </w:tcBorders>
            <w:noWrap/>
            <w:vAlign w:val="bottom"/>
            <w:hideMark/>
          </w:tcPr>
          <w:p w14:paraId="48FEFC13"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w:t>
            </w:r>
          </w:p>
        </w:tc>
        <w:tc>
          <w:tcPr>
            <w:tcW w:w="1152" w:type="dxa"/>
            <w:tcBorders>
              <w:top w:val="nil"/>
              <w:left w:val="nil"/>
              <w:bottom w:val="single" w:sz="4" w:space="0" w:color="auto"/>
              <w:right w:val="single" w:sz="4" w:space="0" w:color="auto"/>
            </w:tcBorders>
            <w:noWrap/>
            <w:vAlign w:val="bottom"/>
            <w:hideMark/>
          </w:tcPr>
          <w:p w14:paraId="79193752"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w:t>
            </w:r>
          </w:p>
        </w:tc>
        <w:tc>
          <w:tcPr>
            <w:tcW w:w="1214" w:type="dxa"/>
            <w:tcBorders>
              <w:top w:val="nil"/>
              <w:left w:val="nil"/>
              <w:bottom w:val="single" w:sz="4" w:space="0" w:color="auto"/>
              <w:right w:val="single" w:sz="4" w:space="0" w:color="auto"/>
            </w:tcBorders>
            <w:noWrap/>
            <w:vAlign w:val="bottom"/>
            <w:hideMark/>
          </w:tcPr>
          <w:p w14:paraId="576C3D7F" w14:textId="77777777" w:rsidR="00666715" w:rsidRPr="00DC7563" w:rsidRDefault="00666715" w:rsidP="00C16520">
            <w:pPr>
              <w:tabs>
                <w:tab w:val="decimal" w:pos="29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10.4</w:t>
            </w:r>
          </w:p>
        </w:tc>
        <w:tc>
          <w:tcPr>
            <w:tcW w:w="1152" w:type="dxa"/>
            <w:tcBorders>
              <w:top w:val="nil"/>
              <w:left w:val="nil"/>
              <w:bottom w:val="single" w:sz="4" w:space="0" w:color="auto"/>
              <w:right w:val="single" w:sz="4" w:space="0" w:color="auto"/>
            </w:tcBorders>
            <w:noWrap/>
            <w:vAlign w:val="bottom"/>
            <w:hideMark/>
          </w:tcPr>
          <w:p w14:paraId="6E8022F3" w14:textId="77777777" w:rsidR="00666715" w:rsidRPr="00DC7563" w:rsidRDefault="00666715" w:rsidP="00C16520">
            <w:pPr>
              <w:tabs>
                <w:tab w:val="decimal" w:pos="21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15.2</w:t>
            </w:r>
          </w:p>
        </w:tc>
      </w:tr>
      <w:tr w:rsidR="00666715" w:rsidRPr="00DC7563" w14:paraId="704512B9" w14:textId="77777777" w:rsidTr="00553086">
        <w:trPr>
          <w:trHeight w:val="71"/>
          <w:jc w:val="center"/>
        </w:trPr>
        <w:tc>
          <w:tcPr>
            <w:tcW w:w="1484" w:type="dxa"/>
            <w:tcBorders>
              <w:top w:val="nil"/>
              <w:left w:val="single" w:sz="4" w:space="0" w:color="auto"/>
              <w:bottom w:val="single" w:sz="4" w:space="0" w:color="auto"/>
              <w:right w:val="single" w:sz="4" w:space="0" w:color="auto"/>
            </w:tcBorders>
            <w:noWrap/>
            <w:vAlign w:val="bottom"/>
            <w:hideMark/>
          </w:tcPr>
          <w:p w14:paraId="0B021A54"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1962</w:t>
            </w:r>
          </w:p>
        </w:tc>
        <w:tc>
          <w:tcPr>
            <w:tcW w:w="1152" w:type="dxa"/>
            <w:tcBorders>
              <w:top w:val="nil"/>
              <w:left w:val="nil"/>
              <w:bottom w:val="single" w:sz="4" w:space="0" w:color="auto"/>
              <w:right w:val="single" w:sz="4" w:space="0" w:color="auto"/>
            </w:tcBorders>
            <w:noWrap/>
            <w:vAlign w:val="bottom"/>
            <w:hideMark/>
          </w:tcPr>
          <w:p w14:paraId="6AB8C31B" w14:textId="77777777" w:rsidR="00666715" w:rsidRPr="00DC7563" w:rsidRDefault="00666715" w:rsidP="004E0D8C">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26.8</w:t>
            </w:r>
          </w:p>
        </w:tc>
        <w:tc>
          <w:tcPr>
            <w:tcW w:w="1152" w:type="dxa"/>
            <w:tcBorders>
              <w:top w:val="nil"/>
              <w:left w:val="nil"/>
              <w:bottom w:val="single" w:sz="4" w:space="0" w:color="auto"/>
              <w:right w:val="single" w:sz="4" w:space="0" w:color="auto"/>
            </w:tcBorders>
            <w:noWrap/>
            <w:vAlign w:val="bottom"/>
            <w:hideMark/>
          </w:tcPr>
          <w:p w14:paraId="4D21E4A9"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50.7</w:t>
            </w:r>
          </w:p>
        </w:tc>
        <w:tc>
          <w:tcPr>
            <w:tcW w:w="1152" w:type="dxa"/>
            <w:tcBorders>
              <w:top w:val="nil"/>
              <w:left w:val="nil"/>
              <w:bottom w:val="single" w:sz="4" w:space="0" w:color="auto"/>
              <w:right w:val="single" w:sz="4" w:space="0" w:color="auto"/>
            </w:tcBorders>
            <w:noWrap/>
            <w:vAlign w:val="bottom"/>
            <w:hideMark/>
          </w:tcPr>
          <w:p w14:paraId="284DF8EB"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w:t>
            </w:r>
          </w:p>
        </w:tc>
        <w:tc>
          <w:tcPr>
            <w:tcW w:w="1152" w:type="dxa"/>
            <w:tcBorders>
              <w:top w:val="nil"/>
              <w:left w:val="nil"/>
              <w:bottom w:val="single" w:sz="4" w:space="0" w:color="auto"/>
              <w:right w:val="single" w:sz="4" w:space="0" w:color="auto"/>
            </w:tcBorders>
            <w:noWrap/>
            <w:vAlign w:val="bottom"/>
            <w:hideMark/>
          </w:tcPr>
          <w:p w14:paraId="52531AD3"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w:t>
            </w:r>
          </w:p>
        </w:tc>
        <w:tc>
          <w:tcPr>
            <w:tcW w:w="1214" w:type="dxa"/>
            <w:tcBorders>
              <w:top w:val="nil"/>
              <w:left w:val="nil"/>
              <w:bottom w:val="single" w:sz="4" w:space="0" w:color="auto"/>
              <w:right w:val="single" w:sz="4" w:space="0" w:color="auto"/>
            </w:tcBorders>
            <w:noWrap/>
            <w:vAlign w:val="bottom"/>
            <w:hideMark/>
          </w:tcPr>
          <w:p w14:paraId="5938E71E" w14:textId="77777777" w:rsidR="00666715" w:rsidRPr="00DC7563" w:rsidRDefault="00666715" w:rsidP="00C16520">
            <w:pPr>
              <w:tabs>
                <w:tab w:val="decimal" w:pos="29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9.6</w:t>
            </w:r>
          </w:p>
        </w:tc>
        <w:tc>
          <w:tcPr>
            <w:tcW w:w="1152" w:type="dxa"/>
            <w:tcBorders>
              <w:top w:val="nil"/>
              <w:left w:val="nil"/>
              <w:bottom w:val="single" w:sz="4" w:space="0" w:color="auto"/>
              <w:right w:val="single" w:sz="4" w:space="0" w:color="auto"/>
            </w:tcBorders>
            <w:noWrap/>
            <w:vAlign w:val="bottom"/>
            <w:hideMark/>
          </w:tcPr>
          <w:p w14:paraId="77075B43" w14:textId="77777777" w:rsidR="00666715" w:rsidRPr="00DC7563" w:rsidRDefault="00666715" w:rsidP="00C16520">
            <w:pPr>
              <w:tabs>
                <w:tab w:val="decimal" w:pos="21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12.9</w:t>
            </w:r>
          </w:p>
        </w:tc>
      </w:tr>
      <w:tr w:rsidR="00666715" w:rsidRPr="00DC7563" w14:paraId="5F720D43" w14:textId="77777777" w:rsidTr="00553086">
        <w:trPr>
          <w:trHeight w:val="57"/>
          <w:jc w:val="center"/>
        </w:trPr>
        <w:tc>
          <w:tcPr>
            <w:tcW w:w="1484" w:type="dxa"/>
            <w:tcBorders>
              <w:top w:val="nil"/>
              <w:left w:val="single" w:sz="4" w:space="0" w:color="auto"/>
              <w:bottom w:val="single" w:sz="4" w:space="0" w:color="auto"/>
              <w:right w:val="single" w:sz="4" w:space="0" w:color="auto"/>
            </w:tcBorders>
            <w:noWrap/>
            <w:vAlign w:val="bottom"/>
            <w:hideMark/>
          </w:tcPr>
          <w:p w14:paraId="24EC26F0"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1963</w:t>
            </w:r>
          </w:p>
        </w:tc>
        <w:tc>
          <w:tcPr>
            <w:tcW w:w="1152" w:type="dxa"/>
            <w:tcBorders>
              <w:top w:val="nil"/>
              <w:left w:val="nil"/>
              <w:bottom w:val="single" w:sz="4" w:space="0" w:color="auto"/>
              <w:right w:val="single" w:sz="4" w:space="0" w:color="auto"/>
            </w:tcBorders>
            <w:noWrap/>
            <w:vAlign w:val="bottom"/>
            <w:hideMark/>
          </w:tcPr>
          <w:p w14:paraId="129E960A" w14:textId="77777777" w:rsidR="00666715" w:rsidRPr="00DC7563" w:rsidRDefault="00666715" w:rsidP="004E0D8C">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25.8</w:t>
            </w:r>
          </w:p>
        </w:tc>
        <w:tc>
          <w:tcPr>
            <w:tcW w:w="1152" w:type="dxa"/>
            <w:tcBorders>
              <w:top w:val="nil"/>
              <w:left w:val="nil"/>
              <w:bottom w:val="single" w:sz="4" w:space="0" w:color="auto"/>
              <w:right w:val="single" w:sz="4" w:space="0" w:color="auto"/>
            </w:tcBorders>
            <w:noWrap/>
            <w:vAlign w:val="bottom"/>
            <w:hideMark/>
          </w:tcPr>
          <w:p w14:paraId="68EEB0BB"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49.7</w:t>
            </w:r>
          </w:p>
        </w:tc>
        <w:tc>
          <w:tcPr>
            <w:tcW w:w="1152" w:type="dxa"/>
            <w:tcBorders>
              <w:top w:val="nil"/>
              <w:left w:val="nil"/>
              <w:bottom w:val="single" w:sz="4" w:space="0" w:color="auto"/>
              <w:right w:val="single" w:sz="4" w:space="0" w:color="auto"/>
            </w:tcBorders>
            <w:noWrap/>
            <w:vAlign w:val="bottom"/>
            <w:hideMark/>
          </w:tcPr>
          <w:p w14:paraId="27FEF17E"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w:t>
            </w:r>
          </w:p>
        </w:tc>
        <w:tc>
          <w:tcPr>
            <w:tcW w:w="1152" w:type="dxa"/>
            <w:tcBorders>
              <w:top w:val="nil"/>
              <w:left w:val="nil"/>
              <w:bottom w:val="single" w:sz="4" w:space="0" w:color="auto"/>
              <w:right w:val="single" w:sz="4" w:space="0" w:color="auto"/>
            </w:tcBorders>
            <w:noWrap/>
            <w:vAlign w:val="bottom"/>
            <w:hideMark/>
          </w:tcPr>
          <w:p w14:paraId="7A833667"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w:t>
            </w:r>
          </w:p>
        </w:tc>
        <w:tc>
          <w:tcPr>
            <w:tcW w:w="1214" w:type="dxa"/>
            <w:tcBorders>
              <w:top w:val="nil"/>
              <w:left w:val="nil"/>
              <w:bottom w:val="single" w:sz="4" w:space="0" w:color="auto"/>
              <w:right w:val="single" w:sz="4" w:space="0" w:color="auto"/>
            </w:tcBorders>
            <w:noWrap/>
            <w:vAlign w:val="bottom"/>
            <w:hideMark/>
          </w:tcPr>
          <w:p w14:paraId="16CB0023" w14:textId="77777777" w:rsidR="00666715" w:rsidRPr="00DC7563" w:rsidRDefault="00666715" w:rsidP="00C16520">
            <w:pPr>
              <w:tabs>
                <w:tab w:val="decimal" w:pos="29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12.1</w:t>
            </w:r>
          </w:p>
        </w:tc>
        <w:tc>
          <w:tcPr>
            <w:tcW w:w="1152" w:type="dxa"/>
            <w:tcBorders>
              <w:top w:val="nil"/>
              <w:left w:val="nil"/>
              <w:bottom w:val="single" w:sz="4" w:space="0" w:color="auto"/>
              <w:right w:val="single" w:sz="4" w:space="0" w:color="auto"/>
            </w:tcBorders>
            <w:noWrap/>
            <w:vAlign w:val="bottom"/>
            <w:hideMark/>
          </w:tcPr>
          <w:p w14:paraId="04D0F5CB" w14:textId="77777777" w:rsidR="00666715" w:rsidRPr="00DC7563" w:rsidRDefault="00666715" w:rsidP="00C16520">
            <w:pPr>
              <w:tabs>
                <w:tab w:val="decimal" w:pos="21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12.4</w:t>
            </w:r>
          </w:p>
        </w:tc>
      </w:tr>
      <w:tr w:rsidR="00666715" w:rsidRPr="00DC7563" w14:paraId="4703056C" w14:textId="77777777" w:rsidTr="00553086">
        <w:trPr>
          <w:trHeight w:val="57"/>
          <w:jc w:val="center"/>
        </w:trPr>
        <w:tc>
          <w:tcPr>
            <w:tcW w:w="1484" w:type="dxa"/>
            <w:tcBorders>
              <w:top w:val="nil"/>
              <w:left w:val="single" w:sz="4" w:space="0" w:color="auto"/>
              <w:bottom w:val="single" w:sz="4" w:space="0" w:color="auto"/>
              <w:right w:val="single" w:sz="4" w:space="0" w:color="auto"/>
            </w:tcBorders>
            <w:noWrap/>
            <w:vAlign w:val="bottom"/>
            <w:hideMark/>
          </w:tcPr>
          <w:p w14:paraId="3573BD19"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1964</w:t>
            </w:r>
          </w:p>
        </w:tc>
        <w:tc>
          <w:tcPr>
            <w:tcW w:w="1152" w:type="dxa"/>
            <w:tcBorders>
              <w:top w:val="nil"/>
              <w:left w:val="nil"/>
              <w:bottom w:val="single" w:sz="4" w:space="0" w:color="auto"/>
              <w:right w:val="single" w:sz="4" w:space="0" w:color="auto"/>
            </w:tcBorders>
            <w:noWrap/>
            <w:vAlign w:val="bottom"/>
            <w:hideMark/>
          </w:tcPr>
          <w:p w14:paraId="342A484A" w14:textId="77777777" w:rsidR="00666715" w:rsidRPr="00DC7563" w:rsidRDefault="00666715" w:rsidP="004E0D8C">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26.6</w:t>
            </w:r>
          </w:p>
        </w:tc>
        <w:tc>
          <w:tcPr>
            <w:tcW w:w="1152" w:type="dxa"/>
            <w:tcBorders>
              <w:top w:val="nil"/>
              <w:left w:val="nil"/>
              <w:bottom w:val="single" w:sz="4" w:space="0" w:color="auto"/>
              <w:right w:val="single" w:sz="4" w:space="0" w:color="auto"/>
            </w:tcBorders>
            <w:noWrap/>
            <w:vAlign w:val="bottom"/>
            <w:hideMark/>
          </w:tcPr>
          <w:p w14:paraId="5524216A"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48.1</w:t>
            </w:r>
          </w:p>
        </w:tc>
        <w:tc>
          <w:tcPr>
            <w:tcW w:w="1152" w:type="dxa"/>
            <w:tcBorders>
              <w:top w:val="nil"/>
              <w:left w:val="nil"/>
              <w:bottom w:val="single" w:sz="4" w:space="0" w:color="auto"/>
              <w:right w:val="single" w:sz="4" w:space="0" w:color="auto"/>
            </w:tcBorders>
            <w:noWrap/>
            <w:vAlign w:val="bottom"/>
            <w:hideMark/>
          </w:tcPr>
          <w:p w14:paraId="6622B3E0"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w:t>
            </w:r>
          </w:p>
        </w:tc>
        <w:tc>
          <w:tcPr>
            <w:tcW w:w="1152" w:type="dxa"/>
            <w:tcBorders>
              <w:top w:val="nil"/>
              <w:left w:val="nil"/>
              <w:bottom w:val="single" w:sz="4" w:space="0" w:color="auto"/>
              <w:right w:val="single" w:sz="4" w:space="0" w:color="auto"/>
            </w:tcBorders>
            <w:noWrap/>
            <w:vAlign w:val="bottom"/>
            <w:hideMark/>
          </w:tcPr>
          <w:p w14:paraId="5C5B8671"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w:t>
            </w:r>
          </w:p>
        </w:tc>
        <w:tc>
          <w:tcPr>
            <w:tcW w:w="1214" w:type="dxa"/>
            <w:tcBorders>
              <w:top w:val="nil"/>
              <w:left w:val="nil"/>
              <w:bottom w:val="single" w:sz="4" w:space="0" w:color="auto"/>
              <w:right w:val="single" w:sz="4" w:space="0" w:color="auto"/>
            </w:tcBorders>
            <w:noWrap/>
            <w:vAlign w:val="bottom"/>
            <w:hideMark/>
          </w:tcPr>
          <w:p w14:paraId="3E4196BC" w14:textId="77777777" w:rsidR="00666715" w:rsidRPr="00DC7563" w:rsidRDefault="00666715" w:rsidP="00C16520">
            <w:pPr>
              <w:tabs>
                <w:tab w:val="decimal" w:pos="29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13.3</w:t>
            </w:r>
          </w:p>
        </w:tc>
        <w:tc>
          <w:tcPr>
            <w:tcW w:w="1152" w:type="dxa"/>
            <w:tcBorders>
              <w:top w:val="nil"/>
              <w:left w:val="nil"/>
              <w:bottom w:val="single" w:sz="4" w:space="0" w:color="auto"/>
              <w:right w:val="single" w:sz="4" w:space="0" w:color="auto"/>
            </w:tcBorders>
            <w:noWrap/>
            <w:vAlign w:val="bottom"/>
            <w:hideMark/>
          </w:tcPr>
          <w:p w14:paraId="75408389" w14:textId="77777777" w:rsidR="00666715" w:rsidRPr="00DC7563" w:rsidRDefault="00666715" w:rsidP="00C16520">
            <w:pPr>
              <w:tabs>
                <w:tab w:val="decimal" w:pos="21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12.0</w:t>
            </w:r>
          </w:p>
        </w:tc>
      </w:tr>
      <w:tr w:rsidR="00666715" w:rsidRPr="00DC7563" w14:paraId="4DB66F2D" w14:textId="77777777" w:rsidTr="00553086">
        <w:trPr>
          <w:trHeight w:val="57"/>
          <w:jc w:val="center"/>
        </w:trPr>
        <w:tc>
          <w:tcPr>
            <w:tcW w:w="1484" w:type="dxa"/>
            <w:tcBorders>
              <w:top w:val="nil"/>
              <w:left w:val="single" w:sz="4" w:space="0" w:color="auto"/>
              <w:bottom w:val="single" w:sz="4" w:space="0" w:color="auto"/>
              <w:right w:val="single" w:sz="4" w:space="0" w:color="auto"/>
            </w:tcBorders>
            <w:noWrap/>
            <w:vAlign w:val="bottom"/>
            <w:hideMark/>
          </w:tcPr>
          <w:p w14:paraId="59F3D461"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1965</w:t>
            </w:r>
          </w:p>
        </w:tc>
        <w:tc>
          <w:tcPr>
            <w:tcW w:w="1152" w:type="dxa"/>
            <w:tcBorders>
              <w:top w:val="nil"/>
              <w:left w:val="nil"/>
              <w:bottom w:val="single" w:sz="4" w:space="0" w:color="auto"/>
              <w:right w:val="single" w:sz="4" w:space="0" w:color="auto"/>
            </w:tcBorders>
            <w:noWrap/>
            <w:vAlign w:val="bottom"/>
            <w:hideMark/>
          </w:tcPr>
          <w:p w14:paraId="7A276666" w14:textId="77777777" w:rsidR="00666715" w:rsidRPr="00DC7563" w:rsidRDefault="00666715" w:rsidP="004E0D8C">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26.8</w:t>
            </w:r>
          </w:p>
        </w:tc>
        <w:tc>
          <w:tcPr>
            <w:tcW w:w="1152" w:type="dxa"/>
            <w:tcBorders>
              <w:top w:val="nil"/>
              <w:left w:val="nil"/>
              <w:bottom w:val="single" w:sz="4" w:space="0" w:color="auto"/>
              <w:right w:val="single" w:sz="4" w:space="0" w:color="auto"/>
            </w:tcBorders>
            <w:noWrap/>
            <w:vAlign w:val="bottom"/>
            <w:hideMark/>
          </w:tcPr>
          <w:p w14:paraId="54905D1A"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49.6</w:t>
            </w:r>
          </w:p>
        </w:tc>
        <w:tc>
          <w:tcPr>
            <w:tcW w:w="1152" w:type="dxa"/>
            <w:tcBorders>
              <w:top w:val="nil"/>
              <w:left w:val="nil"/>
              <w:bottom w:val="single" w:sz="4" w:space="0" w:color="auto"/>
              <w:right w:val="single" w:sz="4" w:space="0" w:color="auto"/>
            </w:tcBorders>
            <w:noWrap/>
            <w:vAlign w:val="bottom"/>
            <w:hideMark/>
          </w:tcPr>
          <w:p w14:paraId="415086A3"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w:t>
            </w:r>
          </w:p>
        </w:tc>
        <w:tc>
          <w:tcPr>
            <w:tcW w:w="1152" w:type="dxa"/>
            <w:tcBorders>
              <w:top w:val="nil"/>
              <w:left w:val="nil"/>
              <w:bottom w:val="single" w:sz="4" w:space="0" w:color="auto"/>
              <w:right w:val="single" w:sz="4" w:space="0" w:color="auto"/>
            </w:tcBorders>
            <w:noWrap/>
            <w:vAlign w:val="bottom"/>
            <w:hideMark/>
          </w:tcPr>
          <w:p w14:paraId="4949ED09"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0.1</w:t>
            </w:r>
          </w:p>
        </w:tc>
        <w:tc>
          <w:tcPr>
            <w:tcW w:w="1214" w:type="dxa"/>
            <w:tcBorders>
              <w:top w:val="nil"/>
              <w:left w:val="nil"/>
              <w:bottom w:val="single" w:sz="4" w:space="0" w:color="auto"/>
              <w:right w:val="single" w:sz="4" w:space="0" w:color="auto"/>
            </w:tcBorders>
            <w:noWrap/>
            <w:vAlign w:val="bottom"/>
            <w:hideMark/>
          </w:tcPr>
          <w:p w14:paraId="34175999" w14:textId="77777777" w:rsidR="00666715" w:rsidRPr="00DC7563" w:rsidRDefault="00666715" w:rsidP="00C16520">
            <w:pPr>
              <w:tabs>
                <w:tab w:val="decimal" w:pos="29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14.3</w:t>
            </w:r>
          </w:p>
        </w:tc>
        <w:tc>
          <w:tcPr>
            <w:tcW w:w="1152" w:type="dxa"/>
            <w:tcBorders>
              <w:top w:val="nil"/>
              <w:left w:val="nil"/>
              <w:bottom w:val="single" w:sz="4" w:space="0" w:color="auto"/>
              <w:right w:val="single" w:sz="4" w:space="0" w:color="auto"/>
            </w:tcBorders>
            <w:noWrap/>
            <w:vAlign w:val="bottom"/>
            <w:hideMark/>
          </w:tcPr>
          <w:p w14:paraId="7ED50890" w14:textId="77777777" w:rsidR="00666715" w:rsidRPr="00DC7563" w:rsidRDefault="00666715" w:rsidP="00C16520">
            <w:pPr>
              <w:tabs>
                <w:tab w:val="decimal" w:pos="21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9.2</w:t>
            </w:r>
          </w:p>
        </w:tc>
      </w:tr>
      <w:tr w:rsidR="00666715" w:rsidRPr="00DC7563" w14:paraId="673A5859" w14:textId="77777777" w:rsidTr="00553086">
        <w:trPr>
          <w:trHeight w:val="57"/>
          <w:jc w:val="center"/>
        </w:trPr>
        <w:tc>
          <w:tcPr>
            <w:tcW w:w="1484" w:type="dxa"/>
            <w:tcBorders>
              <w:top w:val="nil"/>
              <w:left w:val="single" w:sz="4" w:space="0" w:color="auto"/>
              <w:bottom w:val="single" w:sz="4" w:space="0" w:color="auto"/>
              <w:right w:val="single" w:sz="4" w:space="0" w:color="auto"/>
            </w:tcBorders>
            <w:noWrap/>
            <w:vAlign w:val="bottom"/>
            <w:hideMark/>
          </w:tcPr>
          <w:p w14:paraId="6AD3FCB8"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1966</w:t>
            </w:r>
          </w:p>
        </w:tc>
        <w:tc>
          <w:tcPr>
            <w:tcW w:w="1152" w:type="dxa"/>
            <w:tcBorders>
              <w:top w:val="nil"/>
              <w:left w:val="nil"/>
              <w:bottom w:val="single" w:sz="4" w:space="0" w:color="auto"/>
              <w:right w:val="single" w:sz="4" w:space="0" w:color="auto"/>
            </w:tcBorders>
            <w:noWrap/>
            <w:vAlign w:val="bottom"/>
            <w:hideMark/>
          </w:tcPr>
          <w:p w14:paraId="619303D8" w14:textId="77777777" w:rsidR="00666715" w:rsidRPr="00DC7563" w:rsidRDefault="00666715" w:rsidP="004E0D8C">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27.4</w:t>
            </w:r>
          </w:p>
        </w:tc>
        <w:tc>
          <w:tcPr>
            <w:tcW w:w="1152" w:type="dxa"/>
            <w:tcBorders>
              <w:top w:val="nil"/>
              <w:left w:val="nil"/>
              <w:bottom w:val="single" w:sz="4" w:space="0" w:color="auto"/>
              <w:right w:val="single" w:sz="4" w:space="0" w:color="auto"/>
            </w:tcBorders>
            <w:noWrap/>
            <w:vAlign w:val="bottom"/>
            <w:hideMark/>
          </w:tcPr>
          <w:p w14:paraId="60076FFA"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47.5</w:t>
            </w:r>
          </w:p>
        </w:tc>
        <w:tc>
          <w:tcPr>
            <w:tcW w:w="1152" w:type="dxa"/>
            <w:tcBorders>
              <w:top w:val="nil"/>
              <w:left w:val="nil"/>
              <w:bottom w:val="single" w:sz="4" w:space="0" w:color="auto"/>
              <w:right w:val="single" w:sz="4" w:space="0" w:color="auto"/>
            </w:tcBorders>
            <w:noWrap/>
            <w:vAlign w:val="bottom"/>
            <w:hideMark/>
          </w:tcPr>
          <w:p w14:paraId="185FA2FD"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w:t>
            </w:r>
          </w:p>
        </w:tc>
        <w:tc>
          <w:tcPr>
            <w:tcW w:w="1152" w:type="dxa"/>
            <w:tcBorders>
              <w:top w:val="nil"/>
              <w:left w:val="nil"/>
              <w:bottom w:val="single" w:sz="4" w:space="0" w:color="auto"/>
              <w:right w:val="single" w:sz="4" w:space="0" w:color="auto"/>
            </w:tcBorders>
            <w:noWrap/>
            <w:vAlign w:val="bottom"/>
            <w:hideMark/>
          </w:tcPr>
          <w:p w14:paraId="27FC7D3B"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0.2</w:t>
            </w:r>
          </w:p>
        </w:tc>
        <w:tc>
          <w:tcPr>
            <w:tcW w:w="1214" w:type="dxa"/>
            <w:tcBorders>
              <w:top w:val="nil"/>
              <w:left w:val="nil"/>
              <w:bottom w:val="single" w:sz="4" w:space="0" w:color="auto"/>
              <w:right w:val="single" w:sz="4" w:space="0" w:color="auto"/>
            </w:tcBorders>
            <w:noWrap/>
            <w:vAlign w:val="bottom"/>
            <w:hideMark/>
          </w:tcPr>
          <w:p w14:paraId="1C5D188D" w14:textId="77777777" w:rsidR="00666715" w:rsidRPr="00DC7563" w:rsidRDefault="00666715" w:rsidP="00C16520">
            <w:pPr>
              <w:tabs>
                <w:tab w:val="decimal" w:pos="29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14.7</w:t>
            </w:r>
          </w:p>
        </w:tc>
        <w:tc>
          <w:tcPr>
            <w:tcW w:w="1152" w:type="dxa"/>
            <w:tcBorders>
              <w:top w:val="nil"/>
              <w:left w:val="nil"/>
              <w:bottom w:val="single" w:sz="4" w:space="0" w:color="auto"/>
              <w:right w:val="single" w:sz="4" w:space="0" w:color="auto"/>
            </w:tcBorders>
            <w:noWrap/>
            <w:vAlign w:val="bottom"/>
            <w:hideMark/>
          </w:tcPr>
          <w:p w14:paraId="3A83A414" w14:textId="77777777" w:rsidR="00666715" w:rsidRPr="00DC7563" w:rsidRDefault="00666715" w:rsidP="00C16520">
            <w:pPr>
              <w:tabs>
                <w:tab w:val="decimal" w:pos="21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10.2</w:t>
            </w:r>
          </w:p>
        </w:tc>
      </w:tr>
      <w:tr w:rsidR="00666715" w:rsidRPr="00DC7563" w14:paraId="6AFD054C" w14:textId="77777777" w:rsidTr="00553086">
        <w:trPr>
          <w:trHeight w:val="57"/>
          <w:jc w:val="center"/>
        </w:trPr>
        <w:tc>
          <w:tcPr>
            <w:tcW w:w="1484" w:type="dxa"/>
            <w:tcBorders>
              <w:top w:val="nil"/>
              <w:left w:val="single" w:sz="4" w:space="0" w:color="auto"/>
              <w:bottom w:val="single" w:sz="4" w:space="0" w:color="auto"/>
              <w:right w:val="single" w:sz="4" w:space="0" w:color="auto"/>
            </w:tcBorders>
            <w:noWrap/>
            <w:vAlign w:val="bottom"/>
            <w:hideMark/>
          </w:tcPr>
          <w:p w14:paraId="445C3A4E"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1967</w:t>
            </w:r>
          </w:p>
        </w:tc>
        <w:tc>
          <w:tcPr>
            <w:tcW w:w="1152" w:type="dxa"/>
            <w:tcBorders>
              <w:top w:val="nil"/>
              <w:left w:val="nil"/>
              <w:bottom w:val="single" w:sz="4" w:space="0" w:color="auto"/>
              <w:right w:val="single" w:sz="4" w:space="0" w:color="auto"/>
            </w:tcBorders>
            <w:noWrap/>
            <w:vAlign w:val="bottom"/>
            <w:hideMark/>
          </w:tcPr>
          <w:p w14:paraId="2135925D" w14:textId="77777777" w:rsidR="00666715" w:rsidRPr="00DC7563" w:rsidRDefault="00666715" w:rsidP="004E0D8C">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23.9</w:t>
            </w:r>
          </w:p>
        </w:tc>
        <w:tc>
          <w:tcPr>
            <w:tcW w:w="1152" w:type="dxa"/>
            <w:tcBorders>
              <w:top w:val="nil"/>
              <w:left w:val="nil"/>
              <w:bottom w:val="single" w:sz="4" w:space="0" w:color="auto"/>
              <w:right w:val="single" w:sz="4" w:space="0" w:color="auto"/>
            </w:tcBorders>
            <w:noWrap/>
            <w:vAlign w:val="bottom"/>
            <w:hideMark/>
          </w:tcPr>
          <w:p w14:paraId="1F3CACF7"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48.9</w:t>
            </w:r>
          </w:p>
        </w:tc>
        <w:tc>
          <w:tcPr>
            <w:tcW w:w="1152" w:type="dxa"/>
            <w:tcBorders>
              <w:top w:val="nil"/>
              <w:left w:val="nil"/>
              <w:bottom w:val="single" w:sz="4" w:space="0" w:color="auto"/>
              <w:right w:val="single" w:sz="4" w:space="0" w:color="auto"/>
            </w:tcBorders>
            <w:noWrap/>
            <w:vAlign w:val="bottom"/>
            <w:hideMark/>
          </w:tcPr>
          <w:p w14:paraId="75C43587"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w:t>
            </w:r>
          </w:p>
        </w:tc>
        <w:tc>
          <w:tcPr>
            <w:tcW w:w="1152" w:type="dxa"/>
            <w:tcBorders>
              <w:top w:val="nil"/>
              <w:left w:val="nil"/>
              <w:bottom w:val="single" w:sz="4" w:space="0" w:color="auto"/>
              <w:right w:val="single" w:sz="4" w:space="0" w:color="auto"/>
            </w:tcBorders>
            <w:noWrap/>
            <w:vAlign w:val="bottom"/>
            <w:hideMark/>
          </w:tcPr>
          <w:p w14:paraId="034665EC"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0.4</w:t>
            </w:r>
          </w:p>
        </w:tc>
        <w:tc>
          <w:tcPr>
            <w:tcW w:w="1214" w:type="dxa"/>
            <w:tcBorders>
              <w:top w:val="nil"/>
              <w:left w:val="nil"/>
              <w:bottom w:val="single" w:sz="4" w:space="0" w:color="auto"/>
              <w:right w:val="single" w:sz="4" w:space="0" w:color="auto"/>
            </w:tcBorders>
            <w:noWrap/>
            <w:vAlign w:val="bottom"/>
            <w:hideMark/>
          </w:tcPr>
          <w:p w14:paraId="3EC0B52C" w14:textId="77777777" w:rsidR="00666715" w:rsidRPr="00DC7563" w:rsidRDefault="00666715" w:rsidP="00C16520">
            <w:pPr>
              <w:tabs>
                <w:tab w:val="decimal" w:pos="29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15.2</w:t>
            </w:r>
          </w:p>
        </w:tc>
        <w:tc>
          <w:tcPr>
            <w:tcW w:w="1152" w:type="dxa"/>
            <w:tcBorders>
              <w:top w:val="nil"/>
              <w:left w:val="nil"/>
              <w:bottom w:val="single" w:sz="4" w:space="0" w:color="auto"/>
              <w:right w:val="single" w:sz="4" w:space="0" w:color="auto"/>
            </w:tcBorders>
            <w:noWrap/>
            <w:vAlign w:val="bottom"/>
            <w:hideMark/>
          </w:tcPr>
          <w:p w14:paraId="01F339CC" w14:textId="77777777" w:rsidR="00666715" w:rsidRPr="00DC7563" w:rsidRDefault="00666715" w:rsidP="00C16520">
            <w:pPr>
              <w:tabs>
                <w:tab w:val="decimal" w:pos="21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11.6</w:t>
            </w:r>
          </w:p>
        </w:tc>
      </w:tr>
      <w:tr w:rsidR="00666715" w:rsidRPr="00DC7563" w14:paraId="2BCC0979" w14:textId="77777777" w:rsidTr="00553086">
        <w:trPr>
          <w:trHeight w:val="57"/>
          <w:jc w:val="center"/>
        </w:trPr>
        <w:tc>
          <w:tcPr>
            <w:tcW w:w="1484" w:type="dxa"/>
            <w:tcBorders>
              <w:top w:val="nil"/>
              <w:left w:val="single" w:sz="4" w:space="0" w:color="auto"/>
              <w:bottom w:val="single" w:sz="4" w:space="0" w:color="auto"/>
              <w:right w:val="single" w:sz="4" w:space="0" w:color="auto"/>
            </w:tcBorders>
            <w:noWrap/>
            <w:vAlign w:val="bottom"/>
            <w:hideMark/>
          </w:tcPr>
          <w:p w14:paraId="07C12BAD"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1968</w:t>
            </w:r>
          </w:p>
        </w:tc>
        <w:tc>
          <w:tcPr>
            <w:tcW w:w="1152" w:type="dxa"/>
            <w:tcBorders>
              <w:top w:val="nil"/>
              <w:left w:val="nil"/>
              <w:bottom w:val="single" w:sz="4" w:space="0" w:color="auto"/>
              <w:right w:val="single" w:sz="4" w:space="0" w:color="auto"/>
            </w:tcBorders>
            <w:noWrap/>
            <w:vAlign w:val="bottom"/>
            <w:hideMark/>
          </w:tcPr>
          <w:p w14:paraId="18B54805"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26.0</w:t>
            </w:r>
          </w:p>
        </w:tc>
        <w:tc>
          <w:tcPr>
            <w:tcW w:w="1152" w:type="dxa"/>
            <w:tcBorders>
              <w:top w:val="nil"/>
              <w:left w:val="nil"/>
              <w:bottom w:val="single" w:sz="4" w:space="0" w:color="auto"/>
              <w:right w:val="single" w:sz="4" w:space="0" w:color="auto"/>
            </w:tcBorders>
            <w:noWrap/>
            <w:vAlign w:val="bottom"/>
            <w:hideMark/>
          </w:tcPr>
          <w:p w14:paraId="7D9895D2"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46.0</w:t>
            </w:r>
          </w:p>
        </w:tc>
        <w:tc>
          <w:tcPr>
            <w:tcW w:w="1152" w:type="dxa"/>
            <w:tcBorders>
              <w:top w:val="nil"/>
              <w:left w:val="nil"/>
              <w:bottom w:val="single" w:sz="4" w:space="0" w:color="auto"/>
              <w:right w:val="single" w:sz="4" w:space="0" w:color="auto"/>
            </w:tcBorders>
            <w:noWrap/>
            <w:vAlign w:val="bottom"/>
            <w:hideMark/>
          </w:tcPr>
          <w:p w14:paraId="61B8875B"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w:t>
            </w:r>
          </w:p>
        </w:tc>
        <w:tc>
          <w:tcPr>
            <w:tcW w:w="1152" w:type="dxa"/>
            <w:tcBorders>
              <w:top w:val="nil"/>
              <w:left w:val="nil"/>
              <w:bottom w:val="single" w:sz="4" w:space="0" w:color="auto"/>
              <w:right w:val="single" w:sz="4" w:space="0" w:color="auto"/>
            </w:tcBorders>
            <w:noWrap/>
            <w:vAlign w:val="bottom"/>
            <w:hideMark/>
          </w:tcPr>
          <w:p w14:paraId="7F2DA7D0"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0.6</w:t>
            </w:r>
          </w:p>
        </w:tc>
        <w:tc>
          <w:tcPr>
            <w:tcW w:w="1214" w:type="dxa"/>
            <w:tcBorders>
              <w:top w:val="nil"/>
              <w:left w:val="nil"/>
              <w:bottom w:val="single" w:sz="4" w:space="0" w:color="auto"/>
              <w:right w:val="single" w:sz="4" w:space="0" w:color="auto"/>
            </w:tcBorders>
            <w:noWrap/>
            <w:vAlign w:val="bottom"/>
            <w:hideMark/>
          </w:tcPr>
          <w:p w14:paraId="158BDD23" w14:textId="77777777" w:rsidR="00666715" w:rsidRPr="00DC7563" w:rsidRDefault="00666715" w:rsidP="00C16520">
            <w:pPr>
              <w:tabs>
                <w:tab w:val="decimal" w:pos="29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15.2</w:t>
            </w:r>
          </w:p>
        </w:tc>
        <w:tc>
          <w:tcPr>
            <w:tcW w:w="1152" w:type="dxa"/>
            <w:tcBorders>
              <w:top w:val="nil"/>
              <w:left w:val="nil"/>
              <w:bottom w:val="single" w:sz="4" w:space="0" w:color="auto"/>
              <w:right w:val="single" w:sz="4" w:space="0" w:color="auto"/>
            </w:tcBorders>
            <w:noWrap/>
            <w:vAlign w:val="bottom"/>
            <w:hideMark/>
          </w:tcPr>
          <w:p w14:paraId="31AF43E2" w14:textId="77777777" w:rsidR="00666715" w:rsidRPr="00DC7563" w:rsidRDefault="00666715" w:rsidP="00C16520">
            <w:pPr>
              <w:tabs>
                <w:tab w:val="decimal" w:pos="21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12.2</w:t>
            </w:r>
          </w:p>
        </w:tc>
      </w:tr>
      <w:tr w:rsidR="00666715" w:rsidRPr="00DC7563" w14:paraId="1446FAD4" w14:textId="77777777" w:rsidTr="00553086">
        <w:trPr>
          <w:trHeight w:val="57"/>
          <w:jc w:val="center"/>
        </w:trPr>
        <w:tc>
          <w:tcPr>
            <w:tcW w:w="1484" w:type="dxa"/>
            <w:tcBorders>
              <w:top w:val="nil"/>
              <w:left w:val="single" w:sz="4" w:space="0" w:color="auto"/>
              <w:bottom w:val="single" w:sz="4" w:space="0" w:color="auto"/>
              <w:right w:val="single" w:sz="4" w:space="0" w:color="auto"/>
            </w:tcBorders>
            <w:noWrap/>
            <w:vAlign w:val="bottom"/>
            <w:hideMark/>
          </w:tcPr>
          <w:p w14:paraId="4D942EAA"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1969</w:t>
            </w:r>
          </w:p>
        </w:tc>
        <w:tc>
          <w:tcPr>
            <w:tcW w:w="1152" w:type="dxa"/>
            <w:tcBorders>
              <w:top w:val="nil"/>
              <w:left w:val="nil"/>
              <w:bottom w:val="single" w:sz="4" w:space="0" w:color="auto"/>
              <w:right w:val="single" w:sz="4" w:space="0" w:color="auto"/>
            </w:tcBorders>
            <w:noWrap/>
            <w:vAlign w:val="bottom"/>
            <w:hideMark/>
          </w:tcPr>
          <w:p w14:paraId="48CF0314"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26.3</w:t>
            </w:r>
          </w:p>
        </w:tc>
        <w:tc>
          <w:tcPr>
            <w:tcW w:w="1152" w:type="dxa"/>
            <w:tcBorders>
              <w:top w:val="nil"/>
              <w:left w:val="nil"/>
              <w:bottom w:val="single" w:sz="4" w:space="0" w:color="auto"/>
              <w:right w:val="single" w:sz="4" w:space="0" w:color="auto"/>
            </w:tcBorders>
            <w:noWrap/>
            <w:vAlign w:val="bottom"/>
            <w:hideMark/>
          </w:tcPr>
          <w:p w14:paraId="48B5EF81"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45.8</w:t>
            </w:r>
          </w:p>
        </w:tc>
        <w:tc>
          <w:tcPr>
            <w:tcW w:w="1152" w:type="dxa"/>
            <w:tcBorders>
              <w:top w:val="nil"/>
              <w:left w:val="nil"/>
              <w:bottom w:val="single" w:sz="4" w:space="0" w:color="auto"/>
              <w:right w:val="single" w:sz="4" w:space="0" w:color="auto"/>
            </w:tcBorders>
            <w:noWrap/>
            <w:vAlign w:val="bottom"/>
            <w:hideMark/>
          </w:tcPr>
          <w:p w14:paraId="06B20E85"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w:t>
            </w:r>
          </w:p>
        </w:tc>
        <w:tc>
          <w:tcPr>
            <w:tcW w:w="1152" w:type="dxa"/>
            <w:tcBorders>
              <w:top w:val="nil"/>
              <w:left w:val="nil"/>
              <w:bottom w:val="single" w:sz="4" w:space="0" w:color="auto"/>
              <w:right w:val="single" w:sz="4" w:space="0" w:color="auto"/>
            </w:tcBorders>
            <w:noWrap/>
            <w:vAlign w:val="bottom"/>
            <w:hideMark/>
          </w:tcPr>
          <w:p w14:paraId="77E3B1F2"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1.1</w:t>
            </w:r>
          </w:p>
        </w:tc>
        <w:tc>
          <w:tcPr>
            <w:tcW w:w="1214" w:type="dxa"/>
            <w:tcBorders>
              <w:top w:val="nil"/>
              <w:left w:val="nil"/>
              <w:bottom w:val="single" w:sz="4" w:space="0" w:color="auto"/>
              <w:right w:val="single" w:sz="4" w:space="0" w:color="auto"/>
            </w:tcBorders>
            <w:noWrap/>
            <w:vAlign w:val="bottom"/>
            <w:hideMark/>
          </w:tcPr>
          <w:p w14:paraId="752E8281" w14:textId="77777777" w:rsidR="00666715" w:rsidRPr="00DC7563" w:rsidRDefault="00666715" w:rsidP="00C16520">
            <w:pPr>
              <w:tabs>
                <w:tab w:val="decimal" w:pos="29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14.1</w:t>
            </w:r>
          </w:p>
        </w:tc>
        <w:tc>
          <w:tcPr>
            <w:tcW w:w="1152" w:type="dxa"/>
            <w:tcBorders>
              <w:top w:val="nil"/>
              <w:left w:val="nil"/>
              <w:bottom w:val="single" w:sz="4" w:space="0" w:color="auto"/>
              <w:right w:val="single" w:sz="4" w:space="0" w:color="auto"/>
            </w:tcBorders>
            <w:noWrap/>
            <w:vAlign w:val="bottom"/>
            <w:hideMark/>
          </w:tcPr>
          <w:p w14:paraId="145176CB" w14:textId="77777777" w:rsidR="00666715" w:rsidRPr="00DC7563" w:rsidRDefault="00666715" w:rsidP="00C16520">
            <w:pPr>
              <w:tabs>
                <w:tab w:val="decimal" w:pos="21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12.7</w:t>
            </w:r>
          </w:p>
        </w:tc>
      </w:tr>
      <w:tr w:rsidR="00666715" w:rsidRPr="00DC7563" w14:paraId="720F8164" w14:textId="77777777" w:rsidTr="00553086">
        <w:trPr>
          <w:trHeight w:val="57"/>
          <w:jc w:val="center"/>
        </w:trPr>
        <w:tc>
          <w:tcPr>
            <w:tcW w:w="1484" w:type="dxa"/>
            <w:tcBorders>
              <w:top w:val="nil"/>
              <w:left w:val="single" w:sz="4" w:space="0" w:color="auto"/>
              <w:bottom w:val="single" w:sz="4" w:space="0" w:color="auto"/>
              <w:right w:val="single" w:sz="4" w:space="0" w:color="auto"/>
            </w:tcBorders>
            <w:noWrap/>
            <w:vAlign w:val="bottom"/>
            <w:hideMark/>
          </w:tcPr>
          <w:p w14:paraId="02114985"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1970</w:t>
            </w:r>
          </w:p>
        </w:tc>
        <w:tc>
          <w:tcPr>
            <w:tcW w:w="1152" w:type="dxa"/>
            <w:tcBorders>
              <w:top w:val="nil"/>
              <w:left w:val="nil"/>
              <w:bottom w:val="single" w:sz="4" w:space="0" w:color="auto"/>
              <w:right w:val="single" w:sz="4" w:space="0" w:color="auto"/>
            </w:tcBorders>
            <w:noWrap/>
            <w:vAlign w:val="bottom"/>
            <w:hideMark/>
          </w:tcPr>
          <w:p w14:paraId="6C3E3720"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28.3</w:t>
            </w:r>
          </w:p>
        </w:tc>
        <w:tc>
          <w:tcPr>
            <w:tcW w:w="1152" w:type="dxa"/>
            <w:tcBorders>
              <w:top w:val="nil"/>
              <w:left w:val="nil"/>
              <w:bottom w:val="single" w:sz="4" w:space="0" w:color="auto"/>
              <w:right w:val="single" w:sz="4" w:space="0" w:color="auto"/>
            </w:tcBorders>
            <w:noWrap/>
            <w:vAlign w:val="bottom"/>
            <w:hideMark/>
          </w:tcPr>
          <w:p w14:paraId="29D5AF3B"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38.9</w:t>
            </w:r>
          </w:p>
        </w:tc>
        <w:tc>
          <w:tcPr>
            <w:tcW w:w="1152" w:type="dxa"/>
            <w:tcBorders>
              <w:top w:val="nil"/>
              <w:left w:val="nil"/>
              <w:bottom w:val="single" w:sz="4" w:space="0" w:color="auto"/>
              <w:right w:val="single" w:sz="4" w:space="0" w:color="auto"/>
            </w:tcBorders>
            <w:noWrap/>
            <w:vAlign w:val="bottom"/>
            <w:hideMark/>
          </w:tcPr>
          <w:p w14:paraId="05B02482" w14:textId="12679CD6"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0</w:t>
            </w:r>
            <w:r w:rsidR="00CF5E41" w:rsidRPr="00DC7563">
              <w:rPr>
                <w:rFonts w:ascii="Arial" w:hAnsi="Arial" w:cs="Arial"/>
                <w:color w:val="000000"/>
                <w:sz w:val="19"/>
                <w:szCs w:val="19"/>
                <w:lang w:val="en-GB"/>
              </w:rPr>
              <w:t>.0</w:t>
            </w:r>
          </w:p>
        </w:tc>
        <w:tc>
          <w:tcPr>
            <w:tcW w:w="1152" w:type="dxa"/>
            <w:tcBorders>
              <w:top w:val="nil"/>
              <w:left w:val="nil"/>
              <w:bottom w:val="single" w:sz="4" w:space="0" w:color="auto"/>
              <w:right w:val="single" w:sz="4" w:space="0" w:color="auto"/>
            </w:tcBorders>
            <w:noWrap/>
            <w:vAlign w:val="bottom"/>
            <w:hideMark/>
          </w:tcPr>
          <w:p w14:paraId="517539EF"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2.0</w:t>
            </w:r>
          </w:p>
        </w:tc>
        <w:tc>
          <w:tcPr>
            <w:tcW w:w="1214" w:type="dxa"/>
            <w:tcBorders>
              <w:top w:val="nil"/>
              <w:left w:val="nil"/>
              <w:bottom w:val="single" w:sz="4" w:space="0" w:color="auto"/>
              <w:right w:val="single" w:sz="4" w:space="0" w:color="auto"/>
            </w:tcBorders>
            <w:noWrap/>
            <w:vAlign w:val="bottom"/>
            <w:hideMark/>
          </w:tcPr>
          <w:p w14:paraId="193C7432" w14:textId="77777777" w:rsidR="00666715" w:rsidRPr="00DC7563" w:rsidRDefault="00666715" w:rsidP="00C16520">
            <w:pPr>
              <w:tabs>
                <w:tab w:val="decimal" w:pos="29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14.9</w:t>
            </w:r>
          </w:p>
        </w:tc>
        <w:tc>
          <w:tcPr>
            <w:tcW w:w="1152" w:type="dxa"/>
            <w:tcBorders>
              <w:top w:val="nil"/>
              <w:left w:val="nil"/>
              <w:bottom w:val="single" w:sz="4" w:space="0" w:color="auto"/>
              <w:right w:val="single" w:sz="4" w:space="0" w:color="auto"/>
            </w:tcBorders>
            <w:noWrap/>
            <w:vAlign w:val="bottom"/>
            <w:hideMark/>
          </w:tcPr>
          <w:p w14:paraId="3F426AFF" w14:textId="77777777" w:rsidR="00666715" w:rsidRPr="00DC7563" w:rsidRDefault="00666715" w:rsidP="00C16520">
            <w:pPr>
              <w:tabs>
                <w:tab w:val="decimal" w:pos="21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15.9</w:t>
            </w:r>
          </w:p>
        </w:tc>
      </w:tr>
      <w:tr w:rsidR="00666715" w:rsidRPr="00DC7563" w14:paraId="4346896D" w14:textId="77777777" w:rsidTr="00553086">
        <w:trPr>
          <w:trHeight w:val="57"/>
          <w:jc w:val="center"/>
        </w:trPr>
        <w:tc>
          <w:tcPr>
            <w:tcW w:w="1484" w:type="dxa"/>
            <w:tcBorders>
              <w:top w:val="nil"/>
              <w:left w:val="single" w:sz="4" w:space="0" w:color="auto"/>
              <w:bottom w:val="single" w:sz="4" w:space="0" w:color="auto"/>
              <w:right w:val="single" w:sz="4" w:space="0" w:color="auto"/>
            </w:tcBorders>
            <w:noWrap/>
            <w:vAlign w:val="bottom"/>
            <w:hideMark/>
          </w:tcPr>
          <w:p w14:paraId="57E3C17A"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1971</w:t>
            </w:r>
          </w:p>
        </w:tc>
        <w:tc>
          <w:tcPr>
            <w:tcW w:w="1152" w:type="dxa"/>
            <w:tcBorders>
              <w:top w:val="nil"/>
              <w:left w:val="nil"/>
              <w:bottom w:val="single" w:sz="4" w:space="0" w:color="auto"/>
              <w:right w:val="single" w:sz="4" w:space="0" w:color="auto"/>
            </w:tcBorders>
            <w:noWrap/>
            <w:vAlign w:val="bottom"/>
            <w:hideMark/>
          </w:tcPr>
          <w:p w14:paraId="578251BE"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25.5</w:t>
            </w:r>
          </w:p>
        </w:tc>
        <w:tc>
          <w:tcPr>
            <w:tcW w:w="1152" w:type="dxa"/>
            <w:tcBorders>
              <w:top w:val="nil"/>
              <w:left w:val="nil"/>
              <w:bottom w:val="single" w:sz="4" w:space="0" w:color="auto"/>
              <w:right w:val="single" w:sz="4" w:space="0" w:color="auto"/>
            </w:tcBorders>
            <w:noWrap/>
            <w:vAlign w:val="bottom"/>
            <w:hideMark/>
          </w:tcPr>
          <w:p w14:paraId="3D86B97E"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44.3</w:t>
            </w:r>
          </w:p>
        </w:tc>
        <w:tc>
          <w:tcPr>
            <w:tcW w:w="1152" w:type="dxa"/>
            <w:tcBorders>
              <w:top w:val="nil"/>
              <w:left w:val="nil"/>
              <w:bottom w:val="single" w:sz="4" w:space="0" w:color="auto"/>
              <w:right w:val="single" w:sz="4" w:space="0" w:color="auto"/>
            </w:tcBorders>
            <w:noWrap/>
            <w:vAlign w:val="bottom"/>
            <w:hideMark/>
          </w:tcPr>
          <w:p w14:paraId="7486FDF2"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0.1</w:t>
            </w:r>
          </w:p>
        </w:tc>
        <w:tc>
          <w:tcPr>
            <w:tcW w:w="1152" w:type="dxa"/>
            <w:tcBorders>
              <w:top w:val="nil"/>
              <w:left w:val="nil"/>
              <w:bottom w:val="single" w:sz="4" w:space="0" w:color="auto"/>
              <w:right w:val="single" w:sz="4" w:space="0" w:color="auto"/>
            </w:tcBorders>
            <w:noWrap/>
            <w:vAlign w:val="bottom"/>
            <w:hideMark/>
          </w:tcPr>
          <w:p w14:paraId="79C931AF"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2.5</w:t>
            </w:r>
          </w:p>
        </w:tc>
        <w:tc>
          <w:tcPr>
            <w:tcW w:w="1214" w:type="dxa"/>
            <w:tcBorders>
              <w:top w:val="nil"/>
              <w:left w:val="nil"/>
              <w:bottom w:val="single" w:sz="4" w:space="0" w:color="auto"/>
              <w:right w:val="single" w:sz="4" w:space="0" w:color="auto"/>
            </w:tcBorders>
            <w:noWrap/>
            <w:vAlign w:val="bottom"/>
            <w:hideMark/>
          </w:tcPr>
          <w:p w14:paraId="368401AF" w14:textId="77777777" w:rsidR="00666715" w:rsidRPr="00DC7563" w:rsidRDefault="00666715" w:rsidP="00C16520">
            <w:pPr>
              <w:tabs>
                <w:tab w:val="decimal" w:pos="29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13.1</w:t>
            </w:r>
          </w:p>
        </w:tc>
        <w:tc>
          <w:tcPr>
            <w:tcW w:w="1152" w:type="dxa"/>
            <w:tcBorders>
              <w:top w:val="nil"/>
              <w:left w:val="nil"/>
              <w:bottom w:val="single" w:sz="4" w:space="0" w:color="auto"/>
              <w:right w:val="single" w:sz="4" w:space="0" w:color="auto"/>
            </w:tcBorders>
            <w:noWrap/>
            <w:vAlign w:val="bottom"/>
            <w:hideMark/>
          </w:tcPr>
          <w:p w14:paraId="01415AD7" w14:textId="77777777" w:rsidR="00666715" w:rsidRPr="00DC7563" w:rsidRDefault="00666715" w:rsidP="00C16520">
            <w:pPr>
              <w:tabs>
                <w:tab w:val="decimal" w:pos="21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14.5</w:t>
            </w:r>
          </w:p>
        </w:tc>
      </w:tr>
      <w:tr w:rsidR="00666715" w:rsidRPr="00DC7563" w14:paraId="1BFFF726" w14:textId="77777777" w:rsidTr="00553086">
        <w:trPr>
          <w:trHeight w:val="57"/>
          <w:jc w:val="center"/>
        </w:trPr>
        <w:tc>
          <w:tcPr>
            <w:tcW w:w="1484" w:type="dxa"/>
            <w:tcBorders>
              <w:top w:val="nil"/>
              <w:left w:val="single" w:sz="4" w:space="0" w:color="auto"/>
              <w:bottom w:val="single" w:sz="4" w:space="0" w:color="auto"/>
              <w:right w:val="single" w:sz="4" w:space="0" w:color="auto"/>
            </w:tcBorders>
            <w:noWrap/>
            <w:vAlign w:val="bottom"/>
            <w:hideMark/>
          </w:tcPr>
          <w:p w14:paraId="0412F198"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1972</w:t>
            </w:r>
          </w:p>
        </w:tc>
        <w:tc>
          <w:tcPr>
            <w:tcW w:w="1152" w:type="dxa"/>
            <w:tcBorders>
              <w:top w:val="nil"/>
              <w:left w:val="nil"/>
              <w:bottom w:val="single" w:sz="4" w:space="0" w:color="auto"/>
              <w:right w:val="single" w:sz="4" w:space="0" w:color="auto"/>
            </w:tcBorders>
            <w:noWrap/>
            <w:vAlign w:val="bottom"/>
            <w:hideMark/>
          </w:tcPr>
          <w:p w14:paraId="65CB0EBC"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26.8</w:t>
            </w:r>
          </w:p>
        </w:tc>
        <w:tc>
          <w:tcPr>
            <w:tcW w:w="1152" w:type="dxa"/>
            <w:tcBorders>
              <w:top w:val="nil"/>
              <w:left w:val="nil"/>
              <w:bottom w:val="single" w:sz="4" w:space="0" w:color="auto"/>
              <w:right w:val="single" w:sz="4" w:space="0" w:color="auto"/>
            </w:tcBorders>
            <w:noWrap/>
            <w:vAlign w:val="bottom"/>
            <w:hideMark/>
          </w:tcPr>
          <w:p w14:paraId="3A013D2E"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42.9</w:t>
            </w:r>
          </w:p>
        </w:tc>
        <w:tc>
          <w:tcPr>
            <w:tcW w:w="1152" w:type="dxa"/>
            <w:tcBorders>
              <w:top w:val="nil"/>
              <w:left w:val="nil"/>
              <w:bottom w:val="single" w:sz="4" w:space="0" w:color="auto"/>
              <w:right w:val="single" w:sz="4" w:space="0" w:color="auto"/>
            </w:tcBorders>
            <w:noWrap/>
            <w:vAlign w:val="bottom"/>
            <w:hideMark/>
          </w:tcPr>
          <w:p w14:paraId="5C94E35A"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0.2</w:t>
            </w:r>
          </w:p>
        </w:tc>
        <w:tc>
          <w:tcPr>
            <w:tcW w:w="1152" w:type="dxa"/>
            <w:tcBorders>
              <w:top w:val="nil"/>
              <w:left w:val="nil"/>
              <w:bottom w:val="single" w:sz="4" w:space="0" w:color="auto"/>
              <w:right w:val="single" w:sz="4" w:space="0" w:color="auto"/>
            </w:tcBorders>
            <w:noWrap/>
            <w:vAlign w:val="bottom"/>
            <w:hideMark/>
          </w:tcPr>
          <w:p w14:paraId="56E2E523"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2.3</w:t>
            </w:r>
          </w:p>
        </w:tc>
        <w:tc>
          <w:tcPr>
            <w:tcW w:w="1214" w:type="dxa"/>
            <w:tcBorders>
              <w:top w:val="nil"/>
              <w:left w:val="nil"/>
              <w:bottom w:val="single" w:sz="4" w:space="0" w:color="auto"/>
              <w:right w:val="single" w:sz="4" w:space="0" w:color="auto"/>
            </w:tcBorders>
            <w:noWrap/>
            <w:vAlign w:val="bottom"/>
            <w:hideMark/>
          </w:tcPr>
          <w:p w14:paraId="597D49B4" w14:textId="77777777" w:rsidR="00666715" w:rsidRPr="00DC7563" w:rsidRDefault="00666715" w:rsidP="00C16520">
            <w:pPr>
              <w:tabs>
                <w:tab w:val="decimal" w:pos="29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13.9</w:t>
            </w:r>
          </w:p>
        </w:tc>
        <w:tc>
          <w:tcPr>
            <w:tcW w:w="1152" w:type="dxa"/>
            <w:tcBorders>
              <w:top w:val="nil"/>
              <w:left w:val="nil"/>
              <w:bottom w:val="single" w:sz="4" w:space="0" w:color="auto"/>
              <w:right w:val="single" w:sz="4" w:space="0" w:color="auto"/>
            </w:tcBorders>
            <w:noWrap/>
            <w:vAlign w:val="bottom"/>
            <w:hideMark/>
          </w:tcPr>
          <w:p w14:paraId="36815E00" w14:textId="77777777" w:rsidR="00666715" w:rsidRPr="00DC7563" w:rsidRDefault="00666715" w:rsidP="00C16520">
            <w:pPr>
              <w:tabs>
                <w:tab w:val="decimal" w:pos="21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13.9</w:t>
            </w:r>
          </w:p>
        </w:tc>
      </w:tr>
      <w:tr w:rsidR="00666715" w:rsidRPr="00DC7563" w14:paraId="7A91D1F5" w14:textId="77777777" w:rsidTr="00553086">
        <w:trPr>
          <w:trHeight w:val="57"/>
          <w:jc w:val="center"/>
        </w:trPr>
        <w:tc>
          <w:tcPr>
            <w:tcW w:w="1484" w:type="dxa"/>
            <w:tcBorders>
              <w:top w:val="nil"/>
              <w:left w:val="single" w:sz="4" w:space="0" w:color="auto"/>
              <w:bottom w:val="single" w:sz="4" w:space="0" w:color="auto"/>
              <w:right w:val="single" w:sz="4" w:space="0" w:color="auto"/>
            </w:tcBorders>
            <w:noWrap/>
            <w:vAlign w:val="bottom"/>
            <w:hideMark/>
          </w:tcPr>
          <w:p w14:paraId="45B93BC7"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1973</w:t>
            </w:r>
          </w:p>
        </w:tc>
        <w:tc>
          <w:tcPr>
            <w:tcW w:w="1152" w:type="dxa"/>
            <w:tcBorders>
              <w:top w:val="nil"/>
              <w:left w:val="nil"/>
              <w:bottom w:val="single" w:sz="4" w:space="0" w:color="auto"/>
              <w:right w:val="single" w:sz="4" w:space="0" w:color="auto"/>
            </w:tcBorders>
            <w:noWrap/>
            <w:vAlign w:val="bottom"/>
            <w:hideMark/>
          </w:tcPr>
          <w:p w14:paraId="6E372C5D"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26.4</w:t>
            </w:r>
          </w:p>
        </w:tc>
        <w:tc>
          <w:tcPr>
            <w:tcW w:w="1152" w:type="dxa"/>
            <w:tcBorders>
              <w:top w:val="nil"/>
              <w:left w:val="nil"/>
              <w:bottom w:val="single" w:sz="4" w:space="0" w:color="auto"/>
              <w:right w:val="single" w:sz="4" w:space="0" w:color="auto"/>
            </w:tcBorders>
            <w:noWrap/>
            <w:vAlign w:val="bottom"/>
            <w:hideMark/>
          </w:tcPr>
          <w:p w14:paraId="55ADDB47"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43.6</w:t>
            </w:r>
          </w:p>
        </w:tc>
        <w:tc>
          <w:tcPr>
            <w:tcW w:w="1152" w:type="dxa"/>
            <w:tcBorders>
              <w:top w:val="nil"/>
              <w:left w:val="nil"/>
              <w:bottom w:val="single" w:sz="4" w:space="0" w:color="auto"/>
              <w:right w:val="single" w:sz="4" w:space="0" w:color="auto"/>
            </w:tcBorders>
            <w:noWrap/>
            <w:vAlign w:val="bottom"/>
            <w:hideMark/>
          </w:tcPr>
          <w:p w14:paraId="09C2176D"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0.3</w:t>
            </w:r>
          </w:p>
        </w:tc>
        <w:tc>
          <w:tcPr>
            <w:tcW w:w="1152" w:type="dxa"/>
            <w:tcBorders>
              <w:top w:val="nil"/>
              <w:left w:val="nil"/>
              <w:bottom w:val="single" w:sz="4" w:space="0" w:color="auto"/>
              <w:right w:val="single" w:sz="4" w:space="0" w:color="auto"/>
            </w:tcBorders>
            <w:noWrap/>
            <w:vAlign w:val="bottom"/>
            <w:hideMark/>
          </w:tcPr>
          <w:p w14:paraId="760961E6"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2.3</w:t>
            </w:r>
          </w:p>
        </w:tc>
        <w:tc>
          <w:tcPr>
            <w:tcW w:w="1214" w:type="dxa"/>
            <w:tcBorders>
              <w:top w:val="nil"/>
              <w:left w:val="nil"/>
              <w:bottom w:val="single" w:sz="4" w:space="0" w:color="auto"/>
              <w:right w:val="single" w:sz="4" w:space="0" w:color="auto"/>
            </w:tcBorders>
            <w:noWrap/>
            <w:vAlign w:val="bottom"/>
            <w:hideMark/>
          </w:tcPr>
          <w:p w14:paraId="60FDA253" w14:textId="77777777" w:rsidR="00666715" w:rsidRPr="00DC7563" w:rsidRDefault="00666715" w:rsidP="00C16520">
            <w:pPr>
              <w:tabs>
                <w:tab w:val="decimal" w:pos="29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13.5</w:t>
            </w:r>
          </w:p>
        </w:tc>
        <w:tc>
          <w:tcPr>
            <w:tcW w:w="1152" w:type="dxa"/>
            <w:tcBorders>
              <w:top w:val="nil"/>
              <w:left w:val="nil"/>
              <w:bottom w:val="single" w:sz="4" w:space="0" w:color="auto"/>
              <w:right w:val="single" w:sz="4" w:space="0" w:color="auto"/>
            </w:tcBorders>
            <w:noWrap/>
            <w:vAlign w:val="bottom"/>
            <w:hideMark/>
          </w:tcPr>
          <w:p w14:paraId="7D492809" w14:textId="77777777" w:rsidR="00666715" w:rsidRPr="00DC7563" w:rsidRDefault="00666715" w:rsidP="00C16520">
            <w:pPr>
              <w:tabs>
                <w:tab w:val="decimal" w:pos="21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13.9</w:t>
            </w:r>
          </w:p>
        </w:tc>
      </w:tr>
      <w:tr w:rsidR="00666715" w:rsidRPr="00DC7563" w14:paraId="6C0F9986" w14:textId="77777777" w:rsidTr="00553086">
        <w:trPr>
          <w:trHeight w:val="57"/>
          <w:jc w:val="center"/>
        </w:trPr>
        <w:tc>
          <w:tcPr>
            <w:tcW w:w="1484" w:type="dxa"/>
            <w:tcBorders>
              <w:top w:val="nil"/>
              <w:left w:val="single" w:sz="4" w:space="0" w:color="auto"/>
              <w:bottom w:val="single" w:sz="4" w:space="0" w:color="auto"/>
              <w:right w:val="single" w:sz="4" w:space="0" w:color="auto"/>
            </w:tcBorders>
            <w:noWrap/>
            <w:vAlign w:val="bottom"/>
            <w:hideMark/>
          </w:tcPr>
          <w:p w14:paraId="4730AB66"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1974</w:t>
            </w:r>
          </w:p>
        </w:tc>
        <w:tc>
          <w:tcPr>
            <w:tcW w:w="1152" w:type="dxa"/>
            <w:tcBorders>
              <w:top w:val="nil"/>
              <w:left w:val="nil"/>
              <w:bottom w:val="single" w:sz="4" w:space="0" w:color="auto"/>
              <w:right w:val="single" w:sz="4" w:space="0" w:color="auto"/>
            </w:tcBorders>
            <w:noWrap/>
            <w:vAlign w:val="bottom"/>
            <w:hideMark/>
          </w:tcPr>
          <w:p w14:paraId="312C4A96"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27.4</w:t>
            </w:r>
          </w:p>
        </w:tc>
        <w:tc>
          <w:tcPr>
            <w:tcW w:w="1152" w:type="dxa"/>
            <w:tcBorders>
              <w:top w:val="nil"/>
              <w:left w:val="nil"/>
              <w:bottom w:val="single" w:sz="4" w:space="0" w:color="auto"/>
              <w:right w:val="single" w:sz="4" w:space="0" w:color="auto"/>
            </w:tcBorders>
            <w:noWrap/>
            <w:vAlign w:val="bottom"/>
            <w:hideMark/>
          </w:tcPr>
          <w:p w14:paraId="0B3630DD"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41.2</w:t>
            </w:r>
          </w:p>
        </w:tc>
        <w:tc>
          <w:tcPr>
            <w:tcW w:w="1152" w:type="dxa"/>
            <w:tcBorders>
              <w:top w:val="nil"/>
              <w:left w:val="nil"/>
              <w:bottom w:val="single" w:sz="4" w:space="0" w:color="auto"/>
              <w:right w:val="single" w:sz="4" w:space="0" w:color="auto"/>
            </w:tcBorders>
            <w:noWrap/>
            <w:vAlign w:val="bottom"/>
            <w:hideMark/>
          </w:tcPr>
          <w:p w14:paraId="38FD55FE"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0.4</w:t>
            </w:r>
          </w:p>
        </w:tc>
        <w:tc>
          <w:tcPr>
            <w:tcW w:w="1152" w:type="dxa"/>
            <w:tcBorders>
              <w:top w:val="nil"/>
              <w:left w:val="nil"/>
              <w:bottom w:val="single" w:sz="4" w:space="0" w:color="auto"/>
              <w:right w:val="single" w:sz="4" w:space="0" w:color="auto"/>
            </w:tcBorders>
            <w:noWrap/>
            <w:vAlign w:val="bottom"/>
            <w:hideMark/>
          </w:tcPr>
          <w:p w14:paraId="69D8C497"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2.3</w:t>
            </w:r>
          </w:p>
        </w:tc>
        <w:tc>
          <w:tcPr>
            <w:tcW w:w="1214" w:type="dxa"/>
            <w:tcBorders>
              <w:top w:val="nil"/>
              <w:left w:val="nil"/>
              <w:bottom w:val="single" w:sz="4" w:space="0" w:color="auto"/>
              <w:right w:val="single" w:sz="4" w:space="0" w:color="auto"/>
            </w:tcBorders>
            <w:noWrap/>
            <w:vAlign w:val="bottom"/>
            <w:hideMark/>
          </w:tcPr>
          <w:p w14:paraId="3BFAD475" w14:textId="77777777" w:rsidR="00666715" w:rsidRPr="00DC7563" w:rsidRDefault="00666715" w:rsidP="00C16520">
            <w:pPr>
              <w:tabs>
                <w:tab w:val="decimal" w:pos="29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14.2</w:t>
            </w:r>
          </w:p>
        </w:tc>
        <w:tc>
          <w:tcPr>
            <w:tcW w:w="1152" w:type="dxa"/>
            <w:tcBorders>
              <w:top w:val="nil"/>
              <w:left w:val="nil"/>
              <w:bottom w:val="single" w:sz="4" w:space="0" w:color="auto"/>
              <w:right w:val="single" w:sz="4" w:space="0" w:color="auto"/>
            </w:tcBorders>
            <w:noWrap/>
            <w:vAlign w:val="bottom"/>
            <w:hideMark/>
          </w:tcPr>
          <w:p w14:paraId="20B57328" w14:textId="77777777" w:rsidR="00666715" w:rsidRPr="00DC7563" w:rsidRDefault="00666715" w:rsidP="00C16520">
            <w:pPr>
              <w:tabs>
                <w:tab w:val="decimal" w:pos="21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14.5</w:t>
            </w:r>
          </w:p>
        </w:tc>
      </w:tr>
      <w:tr w:rsidR="00666715" w:rsidRPr="00DC7563" w14:paraId="125B7338" w14:textId="77777777" w:rsidTr="00553086">
        <w:trPr>
          <w:trHeight w:val="57"/>
          <w:jc w:val="center"/>
        </w:trPr>
        <w:tc>
          <w:tcPr>
            <w:tcW w:w="1484" w:type="dxa"/>
            <w:tcBorders>
              <w:top w:val="nil"/>
              <w:left w:val="single" w:sz="4" w:space="0" w:color="auto"/>
              <w:bottom w:val="single" w:sz="4" w:space="0" w:color="auto"/>
              <w:right w:val="single" w:sz="4" w:space="0" w:color="auto"/>
            </w:tcBorders>
            <w:noWrap/>
            <w:vAlign w:val="bottom"/>
            <w:hideMark/>
          </w:tcPr>
          <w:p w14:paraId="2D819B46"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1975</w:t>
            </w:r>
          </w:p>
        </w:tc>
        <w:tc>
          <w:tcPr>
            <w:tcW w:w="1152" w:type="dxa"/>
            <w:tcBorders>
              <w:top w:val="nil"/>
              <w:left w:val="nil"/>
              <w:bottom w:val="single" w:sz="4" w:space="0" w:color="auto"/>
              <w:right w:val="single" w:sz="4" w:space="0" w:color="auto"/>
            </w:tcBorders>
            <w:noWrap/>
            <w:vAlign w:val="bottom"/>
            <w:hideMark/>
          </w:tcPr>
          <w:p w14:paraId="602E8DFE"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25.4</w:t>
            </w:r>
          </w:p>
        </w:tc>
        <w:tc>
          <w:tcPr>
            <w:tcW w:w="1152" w:type="dxa"/>
            <w:tcBorders>
              <w:top w:val="nil"/>
              <w:left w:val="nil"/>
              <w:bottom w:val="single" w:sz="4" w:space="0" w:color="auto"/>
              <w:right w:val="single" w:sz="4" w:space="0" w:color="auto"/>
            </w:tcBorders>
            <w:noWrap/>
            <w:vAlign w:val="bottom"/>
            <w:hideMark/>
          </w:tcPr>
          <w:p w14:paraId="750A20A3"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43.1</w:t>
            </w:r>
          </w:p>
        </w:tc>
        <w:tc>
          <w:tcPr>
            <w:tcW w:w="1152" w:type="dxa"/>
            <w:tcBorders>
              <w:top w:val="nil"/>
              <w:left w:val="nil"/>
              <w:bottom w:val="single" w:sz="4" w:space="0" w:color="auto"/>
              <w:right w:val="single" w:sz="4" w:space="0" w:color="auto"/>
            </w:tcBorders>
            <w:noWrap/>
            <w:vAlign w:val="bottom"/>
            <w:hideMark/>
          </w:tcPr>
          <w:p w14:paraId="2093057A"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0.9</w:t>
            </w:r>
          </w:p>
        </w:tc>
        <w:tc>
          <w:tcPr>
            <w:tcW w:w="1152" w:type="dxa"/>
            <w:tcBorders>
              <w:top w:val="nil"/>
              <w:left w:val="nil"/>
              <w:bottom w:val="single" w:sz="4" w:space="0" w:color="auto"/>
              <w:right w:val="single" w:sz="4" w:space="0" w:color="auto"/>
            </w:tcBorders>
            <w:noWrap/>
            <w:vAlign w:val="bottom"/>
            <w:hideMark/>
          </w:tcPr>
          <w:p w14:paraId="4345E154"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3.0</w:t>
            </w:r>
          </w:p>
        </w:tc>
        <w:tc>
          <w:tcPr>
            <w:tcW w:w="1214" w:type="dxa"/>
            <w:tcBorders>
              <w:top w:val="nil"/>
              <w:left w:val="nil"/>
              <w:bottom w:val="single" w:sz="4" w:space="0" w:color="auto"/>
              <w:right w:val="single" w:sz="4" w:space="0" w:color="auto"/>
            </w:tcBorders>
            <w:noWrap/>
            <w:vAlign w:val="bottom"/>
            <w:hideMark/>
          </w:tcPr>
          <w:p w14:paraId="6AE21C58" w14:textId="77777777" w:rsidR="00666715" w:rsidRPr="00DC7563" w:rsidRDefault="00666715" w:rsidP="00C16520">
            <w:pPr>
              <w:tabs>
                <w:tab w:val="decimal" w:pos="29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12.9</w:t>
            </w:r>
          </w:p>
        </w:tc>
        <w:tc>
          <w:tcPr>
            <w:tcW w:w="1152" w:type="dxa"/>
            <w:tcBorders>
              <w:top w:val="nil"/>
              <w:left w:val="nil"/>
              <w:bottom w:val="single" w:sz="4" w:space="0" w:color="auto"/>
              <w:right w:val="single" w:sz="4" w:space="0" w:color="auto"/>
            </w:tcBorders>
            <w:noWrap/>
            <w:vAlign w:val="bottom"/>
            <w:hideMark/>
          </w:tcPr>
          <w:p w14:paraId="7F664B15" w14:textId="77777777" w:rsidR="00666715" w:rsidRPr="00DC7563" w:rsidRDefault="00666715" w:rsidP="00C16520">
            <w:pPr>
              <w:tabs>
                <w:tab w:val="decimal" w:pos="21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14.7</w:t>
            </w:r>
          </w:p>
        </w:tc>
      </w:tr>
      <w:tr w:rsidR="00666715" w:rsidRPr="00DC7563" w14:paraId="0067AC4F" w14:textId="77777777" w:rsidTr="00553086">
        <w:trPr>
          <w:trHeight w:val="57"/>
          <w:jc w:val="center"/>
        </w:trPr>
        <w:tc>
          <w:tcPr>
            <w:tcW w:w="1484" w:type="dxa"/>
            <w:tcBorders>
              <w:top w:val="nil"/>
              <w:left w:val="single" w:sz="4" w:space="0" w:color="auto"/>
              <w:bottom w:val="single" w:sz="4" w:space="0" w:color="auto"/>
              <w:right w:val="single" w:sz="4" w:space="0" w:color="auto"/>
            </w:tcBorders>
            <w:noWrap/>
            <w:vAlign w:val="bottom"/>
            <w:hideMark/>
          </w:tcPr>
          <w:p w14:paraId="595FF84B"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1976</w:t>
            </w:r>
          </w:p>
        </w:tc>
        <w:tc>
          <w:tcPr>
            <w:tcW w:w="1152" w:type="dxa"/>
            <w:tcBorders>
              <w:top w:val="nil"/>
              <w:left w:val="nil"/>
              <w:bottom w:val="single" w:sz="4" w:space="0" w:color="auto"/>
              <w:right w:val="single" w:sz="4" w:space="0" w:color="auto"/>
            </w:tcBorders>
            <w:noWrap/>
            <w:vAlign w:val="bottom"/>
            <w:hideMark/>
          </w:tcPr>
          <w:p w14:paraId="51C543FD"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24.6</w:t>
            </w:r>
          </w:p>
        </w:tc>
        <w:tc>
          <w:tcPr>
            <w:tcW w:w="1152" w:type="dxa"/>
            <w:tcBorders>
              <w:top w:val="nil"/>
              <w:left w:val="nil"/>
              <w:bottom w:val="single" w:sz="4" w:space="0" w:color="auto"/>
              <w:right w:val="single" w:sz="4" w:space="0" w:color="auto"/>
            </w:tcBorders>
            <w:noWrap/>
            <w:vAlign w:val="bottom"/>
            <w:hideMark/>
          </w:tcPr>
          <w:p w14:paraId="17CE2C96"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46.5</w:t>
            </w:r>
          </w:p>
        </w:tc>
        <w:tc>
          <w:tcPr>
            <w:tcW w:w="1152" w:type="dxa"/>
            <w:tcBorders>
              <w:top w:val="nil"/>
              <w:left w:val="nil"/>
              <w:bottom w:val="single" w:sz="4" w:space="0" w:color="auto"/>
              <w:right w:val="single" w:sz="4" w:space="0" w:color="auto"/>
            </w:tcBorders>
            <w:noWrap/>
            <w:vAlign w:val="bottom"/>
            <w:hideMark/>
          </w:tcPr>
          <w:p w14:paraId="5B912AA4"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1.1</w:t>
            </w:r>
          </w:p>
        </w:tc>
        <w:tc>
          <w:tcPr>
            <w:tcW w:w="1152" w:type="dxa"/>
            <w:tcBorders>
              <w:top w:val="nil"/>
              <w:left w:val="nil"/>
              <w:bottom w:val="single" w:sz="4" w:space="0" w:color="auto"/>
              <w:right w:val="single" w:sz="4" w:space="0" w:color="auto"/>
            </w:tcBorders>
            <w:noWrap/>
            <w:vAlign w:val="bottom"/>
            <w:hideMark/>
          </w:tcPr>
          <w:p w14:paraId="6B1DBF99"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3.0</w:t>
            </w:r>
          </w:p>
        </w:tc>
        <w:tc>
          <w:tcPr>
            <w:tcW w:w="1214" w:type="dxa"/>
            <w:tcBorders>
              <w:top w:val="nil"/>
              <w:left w:val="nil"/>
              <w:bottom w:val="single" w:sz="4" w:space="0" w:color="auto"/>
              <w:right w:val="single" w:sz="4" w:space="0" w:color="auto"/>
            </w:tcBorders>
            <w:noWrap/>
            <w:vAlign w:val="bottom"/>
            <w:hideMark/>
          </w:tcPr>
          <w:p w14:paraId="6F4C519B" w14:textId="77777777" w:rsidR="00666715" w:rsidRPr="00DC7563" w:rsidRDefault="00666715" w:rsidP="00C16520">
            <w:pPr>
              <w:tabs>
                <w:tab w:val="decimal" w:pos="29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14.4</w:t>
            </w:r>
          </w:p>
        </w:tc>
        <w:tc>
          <w:tcPr>
            <w:tcW w:w="1152" w:type="dxa"/>
            <w:tcBorders>
              <w:top w:val="nil"/>
              <w:left w:val="nil"/>
              <w:bottom w:val="single" w:sz="4" w:space="0" w:color="auto"/>
              <w:right w:val="single" w:sz="4" w:space="0" w:color="auto"/>
            </w:tcBorders>
            <w:noWrap/>
            <w:vAlign w:val="bottom"/>
            <w:hideMark/>
          </w:tcPr>
          <w:p w14:paraId="5DE39F6B" w14:textId="77777777" w:rsidR="00666715" w:rsidRPr="00DC7563" w:rsidRDefault="00666715" w:rsidP="00C16520">
            <w:pPr>
              <w:tabs>
                <w:tab w:val="decimal" w:pos="21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10.4</w:t>
            </w:r>
          </w:p>
        </w:tc>
      </w:tr>
      <w:tr w:rsidR="00666715" w:rsidRPr="00DC7563" w14:paraId="75F2B821" w14:textId="77777777" w:rsidTr="00553086">
        <w:trPr>
          <w:trHeight w:val="57"/>
          <w:jc w:val="center"/>
        </w:trPr>
        <w:tc>
          <w:tcPr>
            <w:tcW w:w="1484" w:type="dxa"/>
            <w:tcBorders>
              <w:top w:val="nil"/>
              <w:left w:val="single" w:sz="4" w:space="0" w:color="auto"/>
              <w:bottom w:val="single" w:sz="4" w:space="0" w:color="auto"/>
              <w:right w:val="single" w:sz="4" w:space="0" w:color="auto"/>
            </w:tcBorders>
            <w:noWrap/>
            <w:vAlign w:val="bottom"/>
            <w:hideMark/>
          </w:tcPr>
          <w:p w14:paraId="2449FD69"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1977</w:t>
            </w:r>
          </w:p>
        </w:tc>
        <w:tc>
          <w:tcPr>
            <w:tcW w:w="1152" w:type="dxa"/>
            <w:tcBorders>
              <w:top w:val="nil"/>
              <w:left w:val="nil"/>
              <w:bottom w:val="single" w:sz="4" w:space="0" w:color="auto"/>
              <w:right w:val="single" w:sz="4" w:space="0" w:color="auto"/>
            </w:tcBorders>
            <w:noWrap/>
            <w:vAlign w:val="bottom"/>
            <w:hideMark/>
          </w:tcPr>
          <w:p w14:paraId="458B6D27"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25.8</w:t>
            </w:r>
          </w:p>
        </w:tc>
        <w:tc>
          <w:tcPr>
            <w:tcW w:w="1152" w:type="dxa"/>
            <w:tcBorders>
              <w:top w:val="nil"/>
              <w:left w:val="nil"/>
              <w:bottom w:val="single" w:sz="4" w:space="0" w:color="auto"/>
              <w:right w:val="single" w:sz="4" w:space="0" w:color="auto"/>
            </w:tcBorders>
            <w:noWrap/>
            <w:vAlign w:val="bottom"/>
            <w:hideMark/>
          </w:tcPr>
          <w:p w14:paraId="10E74863"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44.8</w:t>
            </w:r>
          </w:p>
        </w:tc>
        <w:tc>
          <w:tcPr>
            <w:tcW w:w="1152" w:type="dxa"/>
            <w:tcBorders>
              <w:top w:val="nil"/>
              <w:left w:val="nil"/>
              <w:bottom w:val="single" w:sz="4" w:space="0" w:color="auto"/>
              <w:right w:val="single" w:sz="4" w:space="0" w:color="auto"/>
            </w:tcBorders>
            <w:noWrap/>
            <w:vAlign w:val="bottom"/>
            <w:hideMark/>
          </w:tcPr>
          <w:p w14:paraId="13D0C1EE"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1.5</w:t>
            </w:r>
          </w:p>
        </w:tc>
        <w:tc>
          <w:tcPr>
            <w:tcW w:w="1152" w:type="dxa"/>
            <w:tcBorders>
              <w:top w:val="nil"/>
              <w:left w:val="nil"/>
              <w:bottom w:val="single" w:sz="4" w:space="0" w:color="auto"/>
              <w:right w:val="single" w:sz="4" w:space="0" w:color="auto"/>
            </w:tcBorders>
            <w:noWrap/>
            <w:vAlign w:val="bottom"/>
            <w:hideMark/>
          </w:tcPr>
          <w:p w14:paraId="4AAC7145"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3.9</w:t>
            </w:r>
          </w:p>
        </w:tc>
        <w:tc>
          <w:tcPr>
            <w:tcW w:w="1214" w:type="dxa"/>
            <w:tcBorders>
              <w:top w:val="nil"/>
              <w:left w:val="nil"/>
              <w:bottom w:val="single" w:sz="4" w:space="0" w:color="auto"/>
              <w:right w:val="single" w:sz="4" w:space="0" w:color="auto"/>
            </w:tcBorders>
            <w:noWrap/>
            <w:vAlign w:val="bottom"/>
            <w:hideMark/>
          </w:tcPr>
          <w:p w14:paraId="54824B8B" w14:textId="77777777" w:rsidR="00666715" w:rsidRPr="00DC7563" w:rsidRDefault="00666715" w:rsidP="00C16520">
            <w:pPr>
              <w:tabs>
                <w:tab w:val="decimal" w:pos="29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13.0</w:t>
            </w:r>
          </w:p>
        </w:tc>
        <w:tc>
          <w:tcPr>
            <w:tcW w:w="1152" w:type="dxa"/>
            <w:tcBorders>
              <w:top w:val="nil"/>
              <w:left w:val="nil"/>
              <w:bottom w:val="single" w:sz="4" w:space="0" w:color="auto"/>
              <w:right w:val="single" w:sz="4" w:space="0" w:color="auto"/>
            </w:tcBorders>
            <w:noWrap/>
            <w:vAlign w:val="bottom"/>
            <w:hideMark/>
          </w:tcPr>
          <w:p w14:paraId="2598E76B" w14:textId="77777777" w:rsidR="00666715" w:rsidRPr="00DC7563" w:rsidRDefault="00666715" w:rsidP="00C16520">
            <w:pPr>
              <w:tabs>
                <w:tab w:val="decimal" w:pos="21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11.0</w:t>
            </w:r>
          </w:p>
        </w:tc>
      </w:tr>
      <w:tr w:rsidR="00666715" w:rsidRPr="00DC7563" w14:paraId="5DA2F166" w14:textId="77777777" w:rsidTr="00553086">
        <w:trPr>
          <w:trHeight w:val="57"/>
          <w:jc w:val="center"/>
        </w:trPr>
        <w:tc>
          <w:tcPr>
            <w:tcW w:w="1484" w:type="dxa"/>
            <w:tcBorders>
              <w:top w:val="nil"/>
              <w:left w:val="single" w:sz="4" w:space="0" w:color="auto"/>
              <w:bottom w:val="single" w:sz="4" w:space="0" w:color="auto"/>
              <w:right w:val="single" w:sz="4" w:space="0" w:color="auto"/>
            </w:tcBorders>
            <w:noWrap/>
            <w:vAlign w:val="bottom"/>
            <w:hideMark/>
          </w:tcPr>
          <w:p w14:paraId="7B8EB608"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1978</w:t>
            </w:r>
          </w:p>
        </w:tc>
        <w:tc>
          <w:tcPr>
            <w:tcW w:w="1152" w:type="dxa"/>
            <w:tcBorders>
              <w:top w:val="nil"/>
              <w:left w:val="nil"/>
              <w:bottom w:val="single" w:sz="4" w:space="0" w:color="auto"/>
              <w:right w:val="single" w:sz="4" w:space="0" w:color="auto"/>
            </w:tcBorders>
            <w:noWrap/>
            <w:vAlign w:val="bottom"/>
            <w:hideMark/>
          </w:tcPr>
          <w:p w14:paraId="2CEA4E6A"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26.1</w:t>
            </w:r>
          </w:p>
        </w:tc>
        <w:tc>
          <w:tcPr>
            <w:tcW w:w="1152" w:type="dxa"/>
            <w:tcBorders>
              <w:top w:val="nil"/>
              <w:left w:val="nil"/>
              <w:bottom w:val="single" w:sz="4" w:space="0" w:color="auto"/>
              <w:right w:val="single" w:sz="4" w:space="0" w:color="auto"/>
            </w:tcBorders>
            <w:noWrap/>
            <w:vAlign w:val="bottom"/>
            <w:hideMark/>
          </w:tcPr>
          <w:p w14:paraId="33CEF593"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45.9</w:t>
            </w:r>
          </w:p>
        </w:tc>
        <w:tc>
          <w:tcPr>
            <w:tcW w:w="1152" w:type="dxa"/>
            <w:tcBorders>
              <w:top w:val="nil"/>
              <w:left w:val="nil"/>
              <w:bottom w:val="single" w:sz="4" w:space="0" w:color="auto"/>
              <w:right w:val="single" w:sz="4" w:space="0" w:color="auto"/>
            </w:tcBorders>
            <w:noWrap/>
            <w:vAlign w:val="bottom"/>
            <w:hideMark/>
          </w:tcPr>
          <w:p w14:paraId="25AFE3AB"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1.8</w:t>
            </w:r>
          </w:p>
        </w:tc>
        <w:tc>
          <w:tcPr>
            <w:tcW w:w="1152" w:type="dxa"/>
            <w:tcBorders>
              <w:top w:val="nil"/>
              <w:left w:val="nil"/>
              <w:bottom w:val="single" w:sz="4" w:space="0" w:color="auto"/>
              <w:right w:val="single" w:sz="4" w:space="0" w:color="auto"/>
            </w:tcBorders>
            <w:noWrap/>
            <w:vAlign w:val="bottom"/>
            <w:hideMark/>
          </w:tcPr>
          <w:p w14:paraId="67BDD3BC"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3.5</w:t>
            </w:r>
          </w:p>
        </w:tc>
        <w:tc>
          <w:tcPr>
            <w:tcW w:w="1214" w:type="dxa"/>
            <w:tcBorders>
              <w:top w:val="nil"/>
              <w:left w:val="nil"/>
              <w:bottom w:val="single" w:sz="4" w:space="0" w:color="auto"/>
              <w:right w:val="single" w:sz="4" w:space="0" w:color="auto"/>
            </w:tcBorders>
            <w:noWrap/>
            <w:vAlign w:val="bottom"/>
            <w:hideMark/>
          </w:tcPr>
          <w:p w14:paraId="7870D179" w14:textId="77777777" w:rsidR="00666715" w:rsidRPr="00DC7563" w:rsidRDefault="00666715" w:rsidP="00C16520">
            <w:pPr>
              <w:tabs>
                <w:tab w:val="decimal" w:pos="29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12.3</w:t>
            </w:r>
          </w:p>
        </w:tc>
        <w:tc>
          <w:tcPr>
            <w:tcW w:w="1152" w:type="dxa"/>
            <w:tcBorders>
              <w:top w:val="nil"/>
              <w:left w:val="nil"/>
              <w:bottom w:val="single" w:sz="4" w:space="0" w:color="auto"/>
              <w:right w:val="single" w:sz="4" w:space="0" w:color="auto"/>
            </w:tcBorders>
            <w:noWrap/>
            <w:vAlign w:val="bottom"/>
            <w:hideMark/>
          </w:tcPr>
          <w:p w14:paraId="1B210AAB" w14:textId="77777777" w:rsidR="00666715" w:rsidRPr="00DC7563" w:rsidRDefault="00666715" w:rsidP="00C16520">
            <w:pPr>
              <w:tabs>
                <w:tab w:val="decimal" w:pos="21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10.4</w:t>
            </w:r>
          </w:p>
        </w:tc>
      </w:tr>
      <w:tr w:rsidR="00666715" w:rsidRPr="00DC7563" w14:paraId="659F0CF7" w14:textId="77777777" w:rsidTr="00553086">
        <w:trPr>
          <w:trHeight w:val="57"/>
          <w:jc w:val="center"/>
        </w:trPr>
        <w:tc>
          <w:tcPr>
            <w:tcW w:w="1484" w:type="dxa"/>
            <w:tcBorders>
              <w:top w:val="nil"/>
              <w:left w:val="single" w:sz="4" w:space="0" w:color="auto"/>
              <w:bottom w:val="single" w:sz="4" w:space="0" w:color="auto"/>
              <w:right w:val="single" w:sz="4" w:space="0" w:color="auto"/>
            </w:tcBorders>
            <w:noWrap/>
            <w:vAlign w:val="bottom"/>
            <w:hideMark/>
          </w:tcPr>
          <w:p w14:paraId="4F13C77F"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1979</w:t>
            </w:r>
          </w:p>
        </w:tc>
        <w:tc>
          <w:tcPr>
            <w:tcW w:w="1152" w:type="dxa"/>
            <w:tcBorders>
              <w:top w:val="nil"/>
              <w:left w:val="nil"/>
              <w:bottom w:val="single" w:sz="4" w:space="0" w:color="auto"/>
              <w:right w:val="single" w:sz="4" w:space="0" w:color="auto"/>
            </w:tcBorders>
            <w:noWrap/>
            <w:vAlign w:val="bottom"/>
            <w:hideMark/>
          </w:tcPr>
          <w:p w14:paraId="44D92D20"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23.8</w:t>
            </w:r>
          </w:p>
        </w:tc>
        <w:tc>
          <w:tcPr>
            <w:tcW w:w="1152" w:type="dxa"/>
            <w:tcBorders>
              <w:top w:val="nil"/>
              <w:left w:val="nil"/>
              <w:bottom w:val="single" w:sz="4" w:space="0" w:color="auto"/>
              <w:right w:val="single" w:sz="4" w:space="0" w:color="auto"/>
            </w:tcBorders>
            <w:noWrap/>
            <w:vAlign w:val="bottom"/>
            <w:hideMark/>
          </w:tcPr>
          <w:p w14:paraId="5AA5043B"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44.7</w:t>
            </w:r>
          </w:p>
        </w:tc>
        <w:tc>
          <w:tcPr>
            <w:tcW w:w="1152" w:type="dxa"/>
            <w:tcBorders>
              <w:top w:val="nil"/>
              <w:left w:val="nil"/>
              <w:bottom w:val="single" w:sz="4" w:space="0" w:color="auto"/>
              <w:right w:val="single" w:sz="4" w:space="0" w:color="auto"/>
            </w:tcBorders>
            <w:noWrap/>
            <w:vAlign w:val="bottom"/>
            <w:hideMark/>
          </w:tcPr>
          <w:p w14:paraId="07A042F3"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2.5</w:t>
            </w:r>
          </w:p>
        </w:tc>
        <w:tc>
          <w:tcPr>
            <w:tcW w:w="1152" w:type="dxa"/>
            <w:tcBorders>
              <w:top w:val="nil"/>
              <w:left w:val="nil"/>
              <w:bottom w:val="single" w:sz="4" w:space="0" w:color="auto"/>
              <w:right w:val="single" w:sz="4" w:space="0" w:color="auto"/>
            </w:tcBorders>
            <w:noWrap/>
            <w:vAlign w:val="bottom"/>
            <w:hideMark/>
          </w:tcPr>
          <w:p w14:paraId="2A350CE4"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4.5</w:t>
            </w:r>
          </w:p>
        </w:tc>
        <w:tc>
          <w:tcPr>
            <w:tcW w:w="1214" w:type="dxa"/>
            <w:tcBorders>
              <w:top w:val="nil"/>
              <w:left w:val="nil"/>
              <w:bottom w:val="single" w:sz="4" w:space="0" w:color="auto"/>
              <w:right w:val="single" w:sz="4" w:space="0" w:color="auto"/>
            </w:tcBorders>
            <w:noWrap/>
            <w:vAlign w:val="bottom"/>
            <w:hideMark/>
          </w:tcPr>
          <w:p w14:paraId="503C4B89" w14:textId="77777777" w:rsidR="00666715" w:rsidRPr="00DC7563" w:rsidRDefault="00666715" w:rsidP="00C16520">
            <w:pPr>
              <w:tabs>
                <w:tab w:val="decimal" w:pos="29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11.1</w:t>
            </w:r>
          </w:p>
        </w:tc>
        <w:tc>
          <w:tcPr>
            <w:tcW w:w="1152" w:type="dxa"/>
            <w:tcBorders>
              <w:top w:val="nil"/>
              <w:left w:val="nil"/>
              <w:bottom w:val="single" w:sz="4" w:space="0" w:color="auto"/>
              <w:right w:val="single" w:sz="4" w:space="0" w:color="auto"/>
            </w:tcBorders>
            <w:noWrap/>
            <w:vAlign w:val="bottom"/>
            <w:hideMark/>
          </w:tcPr>
          <w:p w14:paraId="342AB644" w14:textId="77777777" w:rsidR="00666715" w:rsidRPr="00DC7563" w:rsidRDefault="00666715" w:rsidP="00C16520">
            <w:pPr>
              <w:tabs>
                <w:tab w:val="decimal" w:pos="21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13.4</w:t>
            </w:r>
          </w:p>
        </w:tc>
      </w:tr>
      <w:tr w:rsidR="00666715" w:rsidRPr="00DC7563" w14:paraId="65AE0A05" w14:textId="77777777" w:rsidTr="00553086">
        <w:trPr>
          <w:trHeight w:val="57"/>
          <w:jc w:val="center"/>
        </w:trPr>
        <w:tc>
          <w:tcPr>
            <w:tcW w:w="1484" w:type="dxa"/>
            <w:tcBorders>
              <w:top w:val="nil"/>
              <w:left w:val="single" w:sz="4" w:space="0" w:color="auto"/>
              <w:bottom w:val="single" w:sz="4" w:space="0" w:color="auto"/>
              <w:right w:val="single" w:sz="4" w:space="0" w:color="auto"/>
            </w:tcBorders>
            <w:noWrap/>
            <w:vAlign w:val="bottom"/>
            <w:hideMark/>
          </w:tcPr>
          <w:p w14:paraId="21C15DC3" w14:textId="77777777" w:rsidR="00666715" w:rsidRPr="00DC7563" w:rsidRDefault="00666715">
            <w:pPr>
              <w:spacing w:line="276" w:lineRule="auto"/>
              <w:jc w:val="center"/>
              <w:rPr>
                <w:rFonts w:ascii="Arial" w:hAnsi="Arial" w:cs="Arial"/>
                <w:b/>
                <w:color w:val="000000"/>
                <w:sz w:val="19"/>
                <w:szCs w:val="19"/>
                <w:lang w:val="en-GB"/>
              </w:rPr>
            </w:pPr>
            <w:r w:rsidRPr="00DC7563">
              <w:rPr>
                <w:rFonts w:ascii="Arial" w:hAnsi="Arial" w:cs="Arial"/>
                <w:b/>
                <w:color w:val="000000"/>
                <w:sz w:val="19"/>
                <w:szCs w:val="19"/>
                <w:lang w:val="en-GB"/>
              </w:rPr>
              <w:t>1980</w:t>
            </w:r>
          </w:p>
        </w:tc>
        <w:tc>
          <w:tcPr>
            <w:tcW w:w="1152" w:type="dxa"/>
            <w:tcBorders>
              <w:top w:val="nil"/>
              <w:left w:val="nil"/>
              <w:bottom w:val="single" w:sz="4" w:space="0" w:color="auto"/>
              <w:right w:val="single" w:sz="4" w:space="0" w:color="auto"/>
            </w:tcBorders>
            <w:noWrap/>
            <w:vAlign w:val="bottom"/>
            <w:hideMark/>
          </w:tcPr>
          <w:p w14:paraId="1236C940"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20.5</w:t>
            </w:r>
          </w:p>
        </w:tc>
        <w:tc>
          <w:tcPr>
            <w:tcW w:w="1152" w:type="dxa"/>
            <w:tcBorders>
              <w:top w:val="nil"/>
              <w:left w:val="nil"/>
              <w:bottom w:val="single" w:sz="4" w:space="0" w:color="auto"/>
              <w:right w:val="single" w:sz="4" w:space="0" w:color="auto"/>
            </w:tcBorders>
            <w:noWrap/>
            <w:vAlign w:val="bottom"/>
            <w:hideMark/>
          </w:tcPr>
          <w:p w14:paraId="5AD353B2"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44.2</w:t>
            </w:r>
          </w:p>
        </w:tc>
        <w:tc>
          <w:tcPr>
            <w:tcW w:w="1152" w:type="dxa"/>
            <w:tcBorders>
              <w:top w:val="nil"/>
              <w:left w:val="nil"/>
              <w:bottom w:val="single" w:sz="4" w:space="0" w:color="auto"/>
              <w:right w:val="single" w:sz="4" w:space="0" w:color="auto"/>
            </w:tcBorders>
            <w:noWrap/>
            <w:vAlign w:val="bottom"/>
            <w:hideMark/>
          </w:tcPr>
          <w:p w14:paraId="783EBD63"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3.3</w:t>
            </w:r>
          </w:p>
        </w:tc>
        <w:tc>
          <w:tcPr>
            <w:tcW w:w="1152" w:type="dxa"/>
            <w:tcBorders>
              <w:top w:val="nil"/>
              <w:left w:val="nil"/>
              <w:bottom w:val="single" w:sz="4" w:space="0" w:color="auto"/>
              <w:right w:val="single" w:sz="4" w:space="0" w:color="auto"/>
            </w:tcBorders>
            <w:noWrap/>
            <w:vAlign w:val="bottom"/>
            <w:hideMark/>
          </w:tcPr>
          <w:p w14:paraId="19F4641F"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6.2</w:t>
            </w:r>
          </w:p>
        </w:tc>
        <w:tc>
          <w:tcPr>
            <w:tcW w:w="1214" w:type="dxa"/>
            <w:tcBorders>
              <w:top w:val="nil"/>
              <w:left w:val="nil"/>
              <w:bottom w:val="single" w:sz="4" w:space="0" w:color="auto"/>
              <w:right w:val="single" w:sz="4" w:space="0" w:color="auto"/>
            </w:tcBorders>
            <w:noWrap/>
            <w:vAlign w:val="bottom"/>
            <w:hideMark/>
          </w:tcPr>
          <w:p w14:paraId="4FB1B521" w14:textId="77777777" w:rsidR="00666715" w:rsidRPr="00DC7563" w:rsidRDefault="00666715" w:rsidP="00C16520">
            <w:pPr>
              <w:tabs>
                <w:tab w:val="decimal" w:pos="29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9.1</w:t>
            </w:r>
          </w:p>
        </w:tc>
        <w:tc>
          <w:tcPr>
            <w:tcW w:w="1152" w:type="dxa"/>
            <w:tcBorders>
              <w:top w:val="nil"/>
              <w:left w:val="nil"/>
              <w:bottom w:val="single" w:sz="4" w:space="0" w:color="auto"/>
              <w:right w:val="single" w:sz="4" w:space="0" w:color="auto"/>
            </w:tcBorders>
            <w:noWrap/>
            <w:vAlign w:val="bottom"/>
            <w:hideMark/>
          </w:tcPr>
          <w:p w14:paraId="6F7E91D8" w14:textId="77777777" w:rsidR="00666715" w:rsidRPr="00DC7563" w:rsidRDefault="00666715" w:rsidP="00C16520">
            <w:pPr>
              <w:tabs>
                <w:tab w:val="decimal" w:pos="215"/>
              </w:tabs>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16.7</w:t>
            </w:r>
          </w:p>
        </w:tc>
      </w:tr>
    </w:tbl>
    <w:p w14:paraId="60C35A13" w14:textId="77777777" w:rsidR="00666715" w:rsidRPr="00DC7563" w:rsidRDefault="00666715" w:rsidP="00666715">
      <w:pPr>
        <w:pStyle w:val="NoSpacing"/>
        <w:jc w:val="both"/>
        <w:rPr>
          <w:rFonts w:ascii="Times New Roman" w:eastAsia="Malgun Gothic" w:hAnsi="Times New Roman"/>
          <w:color w:val="222222"/>
          <w:sz w:val="16"/>
          <w:szCs w:val="16"/>
          <w:lang w:val="en-GB" w:eastAsia="ko-KR"/>
        </w:rPr>
      </w:pPr>
    </w:p>
    <w:p w14:paraId="41637932" w14:textId="5ABA399F" w:rsidR="00666715" w:rsidRPr="00DC7563" w:rsidRDefault="00666715" w:rsidP="00430358">
      <w:pPr>
        <w:pStyle w:val="NoSpacing"/>
        <w:jc w:val="both"/>
        <w:rPr>
          <w:rFonts w:ascii="Arial" w:eastAsia="Malgun Gothic" w:hAnsi="Arial"/>
          <w:color w:val="222222"/>
          <w:sz w:val="17"/>
          <w:szCs w:val="17"/>
          <w:lang w:val="en-GB" w:eastAsia="ko-KR"/>
        </w:rPr>
      </w:pPr>
      <w:r w:rsidRPr="00DC7563">
        <w:rPr>
          <w:rFonts w:ascii="Arial" w:eastAsia="Malgun Gothic" w:hAnsi="Arial"/>
          <w:color w:val="222222"/>
          <w:sz w:val="17"/>
          <w:szCs w:val="17"/>
          <w:lang w:val="en-GB" w:eastAsia="ko-KR"/>
        </w:rPr>
        <w:t>Source: Adapted from</w:t>
      </w:r>
      <w:r w:rsidR="00985159" w:rsidRPr="00DC7563">
        <w:rPr>
          <w:rFonts w:ascii="Arial" w:eastAsia="Malgun Gothic" w:hAnsi="Arial"/>
          <w:color w:val="222222"/>
          <w:sz w:val="17"/>
          <w:szCs w:val="17"/>
          <w:lang w:val="en-GB" w:eastAsia="ko-KR"/>
        </w:rPr>
        <w:t xml:space="preserve"> </w:t>
      </w:r>
      <w:r w:rsidR="00985159" w:rsidRPr="00DC7563">
        <w:rPr>
          <w:rFonts w:ascii="Arial" w:hAnsi="Arial" w:cs="Arial"/>
          <w:sz w:val="17"/>
          <w:szCs w:val="17"/>
          <w:lang w:val="en-GB"/>
        </w:rPr>
        <w:t xml:space="preserve">Joel </w:t>
      </w:r>
      <w:proofErr w:type="spellStart"/>
      <w:r w:rsidR="00985159" w:rsidRPr="00DC7563">
        <w:rPr>
          <w:rFonts w:ascii="Arial" w:hAnsi="Arial" w:cs="Arial"/>
          <w:sz w:val="17"/>
          <w:szCs w:val="17"/>
          <w:lang w:val="en-GB"/>
        </w:rPr>
        <w:t>Cutcher-Gershenfeld</w:t>
      </w:r>
      <w:proofErr w:type="spellEnd"/>
      <w:r w:rsidR="00985159" w:rsidRPr="00DC7563">
        <w:rPr>
          <w:rFonts w:ascii="Arial" w:hAnsi="Arial" w:cs="Arial"/>
          <w:sz w:val="17"/>
          <w:szCs w:val="17"/>
          <w:lang w:val="en-GB"/>
        </w:rPr>
        <w:t xml:space="preserve">, </w:t>
      </w:r>
      <w:r w:rsidR="00716E29" w:rsidRPr="00DC7563">
        <w:rPr>
          <w:rFonts w:ascii="Arial" w:eastAsia="Malgun Gothic" w:hAnsi="Arial"/>
          <w:color w:val="222222"/>
          <w:sz w:val="17"/>
          <w:szCs w:val="17"/>
          <w:lang w:val="en-GB" w:eastAsia="ko-KR"/>
        </w:rPr>
        <w:t>Dan B</w:t>
      </w:r>
      <w:r w:rsidR="00716E29" w:rsidRPr="00DC7563">
        <w:rPr>
          <w:rFonts w:ascii="Arial" w:hAnsi="Arial" w:cs="Arial"/>
          <w:sz w:val="17"/>
          <w:szCs w:val="17"/>
          <w:lang w:val="en-GB"/>
        </w:rPr>
        <w:t xml:space="preserve">rooks, </w:t>
      </w:r>
      <w:r w:rsidR="00985159" w:rsidRPr="00DC7563">
        <w:rPr>
          <w:rFonts w:ascii="Arial" w:hAnsi="Arial" w:cs="Arial"/>
          <w:sz w:val="17"/>
          <w:szCs w:val="17"/>
          <w:lang w:val="en-GB"/>
        </w:rPr>
        <w:t xml:space="preserve">and Martin </w:t>
      </w:r>
      <w:proofErr w:type="spellStart"/>
      <w:r w:rsidR="00985159" w:rsidRPr="00DC7563">
        <w:rPr>
          <w:rFonts w:ascii="Arial" w:hAnsi="Arial" w:cs="Arial"/>
          <w:sz w:val="17"/>
          <w:szCs w:val="17"/>
          <w:lang w:val="en-GB"/>
        </w:rPr>
        <w:t>Mulloy</w:t>
      </w:r>
      <w:proofErr w:type="spellEnd"/>
      <w:r w:rsidR="00985159" w:rsidRPr="00DC7563">
        <w:rPr>
          <w:rFonts w:ascii="Arial" w:hAnsi="Arial" w:cs="Arial"/>
          <w:sz w:val="17"/>
          <w:szCs w:val="17"/>
          <w:lang w:val="en-GB"/>
        </w:rPr>
        <w:t xml:space="preserve">, </w:t>
      </w:r>
      <w:r w:rsidR="00716E29" w:rsidRPr="00DC7563">
        <w:rPr>
          <w:rFonts w:ascii="Arial" w:hAnsi="Arial" w:cs="Arial"/>
          <w:sz w:val="17"/>
          <w:szCs w:val="17"/>
          <w:lang w:val="en-GB"/>
        </w:rPr>
        <w:t>“</w:t>
      </w:r>
      <w:r w:rsidR="00985159" w:rsidRPr="00DC7563">
        <w:rPr>
          <w:rFonts w:ascii="Arial" w:hAnsi="Arial" w:cs="Arial"/>
          <w:iCs/>
          <w:sz w:val="17"/>
          <w:szCs w:val="17"/>
          <w:lang w:val="en-GB"/>
        </w:rPr>
        <w:t>The Decline and Resurgence of the U.S. Auto Indu</w:t>
      </w:r>
      <w:r w:rsidR="00716E29" w:rsidRPr="00DC7563">
        <w:rPr>
          <w:rFonts w:ascii="Arial" w:hAnsi="Arial" w:cs="Arial"/>
          <w:iCs/>
          <w:sz w:val="17"/>
          <w:szCs w:val="17"/>
          <w:lang w:val="en-GB"/>
        </w:rPr>
        <w:t>stry</w:t>
      </w:r>
      <w:r w:rsidR="00F11BFC" w:rsidRPr="00DC7563">
        <w:rPr>
          <w:rFonts w:ascii="Arial" w:hAnsi="Arial" w:cs="Arial"/>
          <w:iCs/>
          <w:sz w:val="17"/>
          <w:szCs w:val="17"/>
          <w:lang w:val="en-GB"/>
        </w:rPr>
        <w:t>,”</w:t>
      </w:r>
      <w:r w:rsidR="00716E29" w:rsidRPr="00DC7563">
        <w:rPr>
          <w:rFonts w:ascii="Arial" w:hAnsi="Arial" w:cs="Arial"/>
          <w:iCs/>
          <w:sz w:val="17"/>
          <w:szCs w:val="17"/>
          <w:lang w:val="en-GB"/>
        </w:rPr>
        <w:t xml:space="preserve"> Economic Policy Institute,</w:t>
      </w:r>
      <w:r w:rsidR="00985159" w:rsidRPr="00DC7563">
        <w:rPr>
          <w:rFonts w:ascii="Arial" w:hAnsi="Arial" w:cs="Arial"/>
          <w:sz w:val="17"/>
          <w:szCs w:val="17"/>
          <w:lang w:val="en-GB"/>
        </w:rPr>
        <w:t xml:space="preserve"> May 6, 2015, accessed February 1, 2017, www.epi.org/publication/the-decline-and-resurgence-of-the-u-s-auto-industry/.</w:t>
      </w:r>
    </w:p>
    <w:p w14:paraId="202D5B64" w14:textId="77777777" w:rsidR="00666715" w:rsidRPr="00DC7563" w:rsidRDefault="00666715" w:rsidP="00666715">
      <w:pPr>
        <w:pStyle w:val="NoSpacing"/>
        <w:rPr>
          <w:rFonts w:ascii="Times New Roman" w:eastAsia="Malgun Gothic" w:hAnsi="Times New Roman"/>
          <w:color w:val="222222"/>
          <w:sz w:val="18"/>
          <w:lang w:val="en-GB" w:eastAsia="ko-KR"/>
        </w:rPr>
      </w:pPr>
    </w:p>
    <w:p w14:paraId="0717D835" w14:textId="77777777" w:rsidR="002179C4" w:rsidRPr="00DC7563" w:rsidRDefault="002179C4" w:rsidP="00666715">
      <w:pPr>
        <w:pStyle w:val="NoSpacing"/>
        <w:rPr>
          <w:rFonts w:ascii="Times New Roman" w:eastAsia="Malgun Gothic" w:hAnsi="Times New Roman"/>
          <w:color w:val="222222"/>
          <w:sz w:val="18"/>
          <w:lang w:val="en-GB" w:eastAsia="ko-KR"/>
        </w:rPr>
      </w:pPr>
    </w:p>
    <w:p w14:paraId="38CE2AAB" w14:textId="24291256" w:rsidR="00666715" w:rsidRPr="00DC7563" w:rsidRDefault="00666715" w:rsidP="00C73E67">
      <w:pPr>
        <w:pStyle w:val="NoSpacing"/>
        <w:jc w:val="center"/>
        <w:outlineLvl w:val="0"/>
        <w:rPr>
          <w:rFonts w:ascii="Arial" w:eastAsia="Malgun Gothic" w:hAnsi="Arial"/>
          <w:b/>
          <w:color w:val="222222"/>
          <w:sz w:val="20"/>
          <w:szCs w:val="20"/>
          <w:lang w:val="en-GB" w:eastAsia="ko-KR"/>
        </w:rPr>
      </w:pPr>
      <w:r w:rsidRPr="00DC7563">
        <w:rPr>
          <w:rFonts w:ascii="Arial" w:eastAsia="Malgun Gothic" w:hAnsi="Arial"/>
          <w:b/>
          <w:color w:val="222222"/>
          <w:sz w:val="20"/>
          <w:szCs w:val="20"/>
          <w:lang w:val="en-GB" w:eastAsia="ko-KR"/>
        </w:rPr>
        <w:t>EXHIBIT 2: MAZDA SALES VOLUME</w:t>
      </w:r>
      <w:r w:rsidR="002B0FE9" w:rsidRPr="00DC7563">
        <w:rPr>
          <w:rFonts w:ascii="Arial" w:eastAsia="Malgun Gothic" w:hAnsi="Arial"/>
          <w:b/>
          <w:color w:val="222222"/>
          <w:sz w:val="20"/>
          <w:szCs w:val="20"/>
          <w:lang w:val="en-GB" w:eastAsia="ko-KR"/>
        </w:rPr>
        <w:t>, IN UNITS</w:t>
      </w:r>
      <w:r w:rsidR="00A03722">
        <w:rPr>
          <w:rFonts w:ascii="Arial" w:eastAsia="Malgun Gothic" w:hAnsi="Arial"/>
          <w:b/>
          <w:color w:val="222222"/>
          <w:sz w:val="20"/>
          <w:szCs w:val="20"/>
          <w:lang w:val="en-GB" w:eastAsia="ko-KR"/>
        </w:rPr>
        <w:t>, SELECTED YEARS</w:t>
      </w:r>
      <w:r w:rsidRPr="00DC7563">
        <w:rPr>
          <w:rFonts w:ascii="Arial" w:eastAsia="Malgun Gothic" w:hAnsi="Arial"/>
          <w:b/>
          <w:color w:val="222222"/>
          <w:sz w:val="20"/>
          <w:szCs w:val="20"/>
          <w:lang w:val="en-GB" w:eastAsia="ko-KR"/>
        </w:rPr>
        <w:t xml:space="preserve"> (2000</w:t>
      </w:r>
      <w:r w:rsidR="002B0FE9" w:rsidRPr="00DC7563">
        <w:rPr>
          <w:rFonts w:ascii="Arial" w:eastAsia="Malgun Gothic" w:hAnsi="Arial"/>
          <w:b/>
          <w:color w:val="222222"/>
          <w:sz w:val="20"/>
          <w:szCs w:val="20"/>
          <w:lang w:val="en-GB" w:eastAsia="ko-KR"/>
        </w:rPr>
        <w:t>–</w:t>
      </w:r>
      <w:r w:rsidRPr="00DC7563">
        <w:rPr>
          <w:rFonts w:ascii="Arial" w:eastAsia="Malgun Gothic" w:hAnsi="Arial"/>
          <w:b/>
          <w:color w:val="222222"/>
          <w:sz w:val="20"/>
          <w:szCs w:val="20"/>
          <w:lang w:val="en-GB" w:eastAsia="ko-KR"/>
        </w:rPr>
        <w:t>2015)</w:t>
      </w:r>
    </w:p>
    <w:p w14:paraId="5847AB8D" w14:textId="77777777" w:rsidR="00666715" w:rsidRPr="00DC7563" w:rsidRDefault="00666715" w:rsidP="00666715">
      <w:pPr>
        <w:pStyle w:val="NoSpacing"/>
        <w:jc w:val="center"/>
        <w:rPr>
          <w:rFonts w:ascii="Times New Roman" w:hAnsi="Times New Roman" w:cs="Times New Roman"/>
          <w:lang w:val="en-GB" w:eastAsia="ko-KR"/>
        </w:rPr>
      </w:pPr>
    </w:p>
    <w:tbl>
      <w:tblPr>
        <w:tblW w:w="8340" w:type="dxa"/>
        <w:jc w:val="center"/>
        <w:tblLook w:val="04A0" w:firstRow="1" w:lastRow="0" w:firstColumn="1" w:lastColumn="0" w:noHBand="0" w:noVBand="1"/>
      </w:tblPr>
      <w:tblGrid>
        <w:gridCol w:w="1898"/>
        <w:gridCol w:w="1435"/>
        <w:gridCol w:w="1669"/>
        <w:gridCol w:w="1669"/>
        <w:gridCol w:w="1669"/>
      </w:tblGrid>
      <w:tr w:rsidR="00666715" w:rsidRPr="00DC7563" w14:paraId="7799E184" w14:textId="77777777" w:rsidTr="00666715">
        <w:trPr>
          <w:trHeight w:val="222"/>
          <w:jc w:val="center"/>
        </w:trPr>
        <w:tc>
          <w:tcPr>
            <w:tcW w:w="1898" w:type="dxa"/>
            <w:tcBorders>
              <w:top w:val="single" w:sz="4" w:space="0" w:color="auto"/>
              <w:left w:val="single" w:sz="4" w:space="0" w:color="auto"/>
              <w:bottom w:val="single" w:sz="4" w:space="0" w:color="auto"/>
              <w:right w:val="single" w:sz="4" w:space="0" w:color="auto"/>
            </w:tcBorders>
            <w:noWrap/>
            <w:vAlign w:val="bottom"/>
            <w:hideMark/>
          </w:tcPr>
          <w:p w14:paraId="508D1A5C" w14:textId="77777777" w:rsidR="00666715" w:rsidRPr="00DC7563" w:rsidRDefault="00666715">
            <w:pPr>
              <w:spacing w:line="276" w:lineRule="auto"/>
              <w:jc w:val="center"/>
              <w:rPr>
                <w:rFonts w:ascii="Arial" w:hAnsi="Arial" w:cs="Arial"/>
                <w:b/>
                <w:bCs/>
                <w:color w:val="000000"/>
                <w:sz w:val="19"/>
                <w:szCs w:val="19"/>
                <w:lang w:val="en-GB"/>
              </w:rPr>
            </w:pPr>
            <w:r w:rsidRPr="00DC7563">
              <w:rPr>
                <w:rFonts w:ascii="Arial" w:hAnsi="Arial" w:cs="Arial"/>
                <w:b/>
                <w:bCs/>
                <w:color w:val="000000"/>
                <w:sz w:val="19"/>
                <w:szCs w:val="19"/>
                <w:lang w:val="en-GB"/>
              </w:rPr>
              <w:t>Location</w:t>
            </w:r>
          </w:p>
        </w:tc>
        <w:tc>
          <w:tcPr>
            <w:tcW w:w="1435" w:type="dxa"/>
            <w:tcBorders>
              <w:top w:val="single" w:sz="4" w:space="0" w:color="auto"/>
              <w:left w:val="nil"/>
              <w:bottom w:val="single" w:sz="4" w:space="0" w:color="auto"/>
              <w:right w:val="single" w:sz="4" w:space="0" w:color="auto"/>
            </w:tcBorders>
            <w:noWrap/>
            <w:vAlign w:val="bottom"/>
            <w:hideMark/>
          </w:tcPr>
          <w:p w14:paraId="503928F7" w14:textId="5572B3C3" w:rsidR="00666715" w:rsidRPr="00DC7563" w:rsidRDefault="00666715">
            <w:pPr>
              <w:spacing w:line="276" w:lineRule="auto"/>
              <w:jc w:val="center"/>
              <w:rPr>
                <w:rFonts w:ascii="Arial" w:hAnsi="Arial" w:cs="Arial"/>
                <w:b/>
                <w:bCs/>
                <w:color w:val="000000"/>
                <w:sz w:val="19"/>
                <w:szCs w:val="19"/>
                <w:lang w:val="en-GB"/>
              </w:rPr>
            </w:pPr>
            <w:r w:rsidRPr="00DC7563">
              <w:rPr>
                <w:rFonts w:ascii="Arial" w:hAnsi="Arial" w:cs="Arial"/>
                <w:b/>
                <w:bCs/>
                <w:color w:val="000000"/>
                <w:sz w:val="19"/>
                <w:szCs w:val="19"/>
                <w:lang w:val="en-GB"/>
              </w:rPr>
              <w:t>2000</w:t>
            </w:r>
            <w:r w:rsidR="0032679F">
              <w:rPr>
                <w:rFonts w:ascii="Arial" w:hAnsi="Arial" w:cs="Arial"/>
                <w:b/>
                <w:bCs/>
                <w:color w:val="000000"/>
                <w:sz w:val="19"/>
                <w:szCs w:val="19"/>
                <w:lang w:val="en-GB"/>
              </w:rPr>
              <w:t>/2001</w:t>
            </w:r>
          </w:p>
        </w:tc>
        <w:tc>
          <w:tcPr>
            <w:tcW w:w="1669" w:type="dxa"/>
            <w:tcBorders>
              <w:top w:val="single" w:sz="4" w:space="0" w:color="auto"/>
              <w:left w:val="nil"/>
              <w:bottom w:val="single" w:sz="4" w:space="0" w:color="auto"/>
              <w:right w:val="single" w:sz="4" w:space="0" w:color="auto"/>
            </w:tcBorders>
            <w:noWrap/>
            <w:vAlign w:val="bottom"/>
            <w:hideMark/>
          </w:tcPr>
          <w:p w14:paraId="3BE57B00" w14:textId="1592CC1F" w:rsidR="00666715" w:rsidRPr="00DC7563" w:rsidRDefault="00666715">
            <w:pPr>
              <w:spacing w:line="276" w:lineRule="auto"/>
              <w:jc w:val="center"/>
              <w:rPr>
                <w:rFonts w:ascii="Arial" w:hAnsi="Arial" w:cs="Arial"/>
                <w:b/>
                <w:bCs/>
                <w:color w:val="000000"/>
                <w:sz w:val="19"/>
                <w:szCs w:val="19"/>
                <w:lang w:val="en-GB"/>
              </w:rPr>
            </w:pPr>
            <w:r w:rsidRPr="00DC7563">
              <w:rPr>
                <w:rFonts w:ascii="Arial" w:hAnsi="Arial" w:cs="Arial"/>
                <w:b/>
                <w:bCs/>
                <w:color w:val="000000"/>
                <w:sz w:val="19"/>
                <w:szCs w:val="19"/>
                <w:lang w:val="en-GB"/>
              </w:rPr>
              <w:t>2005</w:t>
            </w:r>
            <w:r w:rsidR="0032679F">
              <w:rPr>
                <w:rFonts w:ascii="Arial" w:hAnsi="Arial" w:cs="Arial"/>
                <w:b/>
                <w:bCs/>
                <w:color w:val="000000"/>
                <w:sz w:val="19"/>
                <w:szCs w:val="19"/>
                <w:lang w:val="en-GB"/>
              </w:rPr>
              <w:t>/2006</w:t>
            </w:r>
          </w:p>
        </w:tc>
        <w:tc>
          <w:tcPr>
            <w:tcW w:w="1669" w:type="dxa"/>
            <w:tcBorders>
              <w:top w:val="single" w:sz="4" w:space="0" w:color="auto"/>
              <w:left w:val="nil"/>
              <w:bottom w:val="single" w:sz="4" w:space="0" w:color="auto"/>
              <w:right w:val="single" w:sz="4" w:space="0" w:color="auto"/>
            </w:tcBorders>
            <w:noWrap/>
            <w:vAlign w:val="bottom"/>
            <w:hideMark/>
          </w:tcPr>
          <w:p w14:paraId="6DAC7EB9" w14:textId="470440AE" w:rsidR="00666715" w:rsidRPr="009864BD" w:rsidRDefault="00666715">
            <w:pPr>
              <w:spacing w:line="276" w:lineRule="auto"/>
              <w:jc w:val="center"/>
              <w:rPr>
                <w:rFonts w:ascii="Arial" w:hAnsi="Arial" w:cs="Arial"/>
                <w:b/>
                <w:bCs/>
                <w:color w:val="000000"/>
                <w:sz w:val="19"/>
                <w:szCs w:val="19"/>
              </w:rPr>
            </w:pPr>
            <w:r w:rsidRPr="00DC7563">
              <w:rPr>
                <w:rFonts w:ascii="Arial" w:hAnsi="Arial" w:cs="Arial"/>
                <w:b/>
                <w:bCs/>
                <w:color w:val="000000"/>
                <w:sz w:val="19"/>
                <w:szCs w:val="19"/>
                <w:lang w:val="en-GB"/>
              </w:rPr>
              <w:t>2010</w:t>
            </w:r>
            <w:r w:rsidR="009864BD">
              <w:rPr>
                <w:rFonts w:ascii="Arial" w:hAnsi="Arial" w:cs="Arial"/>
                <w:b/>
                <w:bCs/>
                <w:color w:val="000000"/>
                <w:sz w:val="19"/>
                <w:szCs w:val="19"/>
                <w:lang w:val="en-GB"/>
              </w:rPr>
              <w:t>/2011</w:t>
            </w:r>
          </w:p>
        </w:tc>
        <w:tc>
          <w:tcPr>
            <w:tcW w:w="1669" w:type="dxa"/>
            <w:tcBorders>
              <w:top w:val="single" w:sz="4" w:space="0" w:color="auto"/>
              <w:left w:val="nil"/>
              <w:bottom w:val="single" w:sz="4" w:space="0" w:color="auto"/>
              <w:right w:val="single" w:sz="4" w:space="0" w:color="auto"/>
            </w:tcBorders>
            <w:noWrap/>
            <w:vAlign w:val="bottom"/>
            <w:hideMark/>
          </w:tcPr>
          <w:p w14:paraId="0D86633D" w14:textId="370E41B3" w:rsidR="00666715" w:rsidRPr="00DC7563" w:rsidRDefault="00666715">
            <w:pPr>
              <w:spacing w:line="276" w:lineRule="auto"/>
              <w:jc w:val="center"/>
              <w:rPr>
                <w:rFonts w:ascii="Arial" w:hAnsi="Arial" w:cs="Arial"/>
                <w:b/>
                <w:bCs/>
                <w:color w:val="000000"/>
                <w:sz w:val="19"/>
                <w:szCs w:val="19"/>
                <w:lang w:val="en-GB"/>
              </w:rPr>
            </w:pPr>
            <w:r w:rsidRPr="00DC7563">
              <w:rPr>
                <w:rFonts w:ascii="Arial" w:hAnsi="Arial" w:cs="Arial"/>
                <w:b/>
                <w:bCs/>
                <w:color w:val="000000"/>
                <w:sz w:val="19"/>
                <w:szCs w:val="19"/>
                <w:lang w:val="en-GB"/>
              </w:rPr>
              <w:t>2015</w:t>
            </w:r>
            <w:r w:rsidR="0032679F">
              <w:rPr>
                <w:rFonts w:ascii="Arial" w:hAnsi="Arial" w:cs="Arial"/>
                <w:b/>
                <w:bCs/>
                <w:color w:val="000000"/>
                <w:sz w:val="19"/>
                <w:szCs w:val="19"/>
                <w:lang w:val="en-GB"/>
              </w:rPr>
              <w:t>/2016</w:t>
            </w:r>
          </w:p>
        </w:tc>
      </w:tr>
      <w:tr w:rsidR="00666715" w:rsidRPr="00DC7563" w14:paraId="461A7BD3" w14:textId="77777777" w:rsidTr="00666715">
        <w:trPr>
          <w:trHeight w:val="222"/>
          <w:jc w:val="center"/>
        </w:trPr>
        <w:tc>
          <w:tcPr>
            <w:tcW w:w="1898" w:type="dxa"/>
            <w:tcBorders>
              <w:top w:val="nil"/>
              <w:left w:val="single" w:sz="4" w:space="0" w:color="auto"/>
              <w:bottom w:val="single" w:sz="4" w:space="0" w:color="auto"/>
              <w:right w:val="single" w:sz="4" w:space="0" w:color="auto"/>
            </w:tcBorders>
            <w:noWrap/>
            <w:vAlign w:val="bottom"/>
            <w:hideMark/>
          </w:tcPr>
          <w:p w14:paraId="656D744B" w14:textId="77777777" w:rsidR="00666715" w:rsidRPr="00DC7563" w:rsidRDefault="00666715" w:rsidP="00C16520">
            <w:pPr>
              <w:spacing w:line="276" w:lineRule="auto"/>
              <w:rPr>
                <w:rFonts w:ascii="Arial" w:hAnsi="Arial" w:cs="Arial"/>
                <w:b/>
                <w:bCs/>
                <w:color w:val="000000"/>
                <w:sz w:val="19"/>
                <w:szCs w:val="19"/>
                <w:lang w:val="en-GB"/>
              </w:rPr>
            </w:pPr>
            <w:r w:rsidRPr="00DC7563">
              <w:rPr>
                <w:rFonts w:ascii="Arial" w:hAnsi="Arial" w:cs="Arial"/>
                <w:b/>
                <w:bCs/>
                <w:color w:val="000000"/>
                <w:sz w:val="19"/>
                <w:szCs w:val="19"/>
                <w:lang w:val="en-GB"/>
              </w:rPr>
              <w:t>Japan</w:t>
            </w:r>
          </w:p>
        </w:tc>
        <w:tc>
          <w:tcPr>
            <w:tcW w:w="1435" w:type="dxa"/>
            <w:tcBorders>
              <w:top w:val="nil"/>
              <w:left w:val="nil"/>
              <w:bottom w:val="single" w:sz="4" w:space="0" w:color="auto"/>
              <w:right w:val="single" w:sz="4" w:space="0" w:color="auto"/>
            </w:tcBorders>
            <w:noWrap/>
            <w:vAlign w:val="bottom"/>
            <w:hideMark/>
          </w:tcPr>
          <w:p w14:paraId="33135E74"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307,000</w:t>
            </w:r>
          </w:p>
        </w:tc>
        <w:tc>
          <w:tcPr>
            <w:tcW w:w="1669" w:type="dxa"/>
            <w:tcBorders>
              <w:top w:val="nil"/>
              <w:left w:val="nil"/>
              <w:bottom w:val="single" w:sz="4" w:space="0" w:color="auto"/>
              <w:right w:val="single" w:sz="4" w:space="0" w:color="auto"/>
            </w:tcBorders>
            <w:noWrap/>
            <w:vAlign w:val="bottom"/>
            <w:hideMark/>
          </w:tcPr>
          <w:p w14:paraId="091B4FA0" w14:textId="510BA780" w:rsidR="00666715" w:rsidRPr="00DC7563" w:rsidRDefault="00417168" w:rsidP="00C16520">
            <w:pPr>
              <w:tabs>
                <w:tab w:val="right" w:pos="1152"/>
              </w:tabs>
              <w:spacing w:line="276" w:lineRule="auto"/>
              <w:rPr>
                <w:rFonts w:ascii="Arial" w:hAnsi="Arial" w:cs="Arial"/>
                <w:color w:val="000000"/>
                <w:sz w:val="19"/>
                <w:szCs w:val="19"/>
                <w:lang w:val="en-GB"/>
              </w:rPr>
            </w:pPr>
            <w:r>
              <w:rPr>
                <w:rFonts w:ascii="Arial" w:hAnsi="Arial" w:cs="Arial"/>
                <w:color w:val="000000"/>
                <w:sz w:val="19"/>
                <w:szCs w:val="19"/>
                <w:lang w:val="en-GB"/>
              </w:rPr>
              <w:tab/>
            </w:r>
            <w:r w:rsidR="00666715" w:rsidRPr="00DC7563">
              <w:rPr>
                <w:rFonts w:ascii="Arial" w:hAnsi="Arial" w:cs="Arial"/>
                <w:color w:val="000000"/>
                <w:sz w:val="19"/>
                <w:szCs w:val="19"/>
                <w:lang w:val="en-GB"/>
              </w:rPr>
              <w:t>287,000</w:t>
            </w:r>
          </w:p>
        </w:tc>
        <w:tc>
          <w:tcPr>
            <w:tcW w:w="1669" w:type="dxa"/>
            <w:tcBorders>
              <w:top w:val="nil"/>
              <w:left w:val="nil"/>
              <w:bottom w:val="single" w:sz="4" w:space="0" w:color="auto"/>
              <w:right w:val="single" w:sz="4" w:space="0" w:color="auto"/>
            </w:tcBorders>
            <w:noWrap/>
            <w:vAlign w:val="bottom"/>
            <w:hideMark/>
          </w:tcPr>
          <w:p w14:paraId="77CA6B8A" w14:textId="292531B0" w:rsidR="00666715" w:rsidRPr="00DC7563" w:rsidRDefault="00417168" w:rsidP="00C16520">
            <w:pPr>
              <w:tabs>
                <w:tab w:val="right" w:pos="1184"/>
              </w:tabs>
              <w:spacing w:line="276" w:lineRule="auto"/>
              <w:rPr>
                <w:rFonts w:ascii="Arial" w:hAnsi="Arial" w:cs="Arial"/>
                <w:color w:val="000000"/>
                <w:sz w:val="19"/>
                <w:szCs w:val="19"/>
                <w:lang w:val="en-GB"/>
              </w:rPr>
            </w:pPr>
            <w:r>
              <w:rPr>
                <w:rFonts w:ascii="Arial" w:hAnsi="Arial" w:cs="Arial"/>
                <w:color w:val="000000"/>
                <w:sz w:val="19"/>
                <w:szCs w:val="19"/>
                <w:lang w:val="en-GB"/>
              </w:rPr>
              <w:tab/>
            </w:r>
            <w:r w:rsidR="00666715" w:rsidRPr="00DC7563">
              <w:rPr>
                <w:rFonts w:ascii="Arial" w:hAnsi="Arial" w:cs="Arial"/>
                <w:color w:val="000000"/>
                <w:sz w:val="19"/>
                <w:szCs w:val="19"/>
                <w:lang w:val="en-GB"/>
              </w:rPr>
              <w:t>206,000</w:t>
            </w:r>
          </w:p>
        </w:tc>
        <w:tc>
          <w:tcPr>
            <w:tcW w:w="1669" w:type="dxa"/>
            <w:tcBorders>
              <w:top w:val="nil"/>
              <w:left w:val="nil"/>
              <w:bottom w:val="single" w:sz="4" w:space="0" w:color="auto"/>
              <w:right w:val="single" w:sz="4" w:space="0" w:color="auto"/>
            </w:tcBorders>
            <w:noWrap/>
            <w:vAlign w:val="bottom"/>
            <w:hideMark/>
          </w:tcPr>
          <w:p w14:paraId="2B8C72BD" w14:textId="781A2323" w:rsidR="00666715" w:rsidRPr="00DC7563" w:rsidRDefault="00417168" w:rsidP="00C16520">
            <w:pPr>
              <w:tabs>
                <w:tab w:val="right" w:pos="1216"/>
              </w:tabs>
              <w:spacing w:line="276" w:lineRule="auto"/>
              <w:rPr>
                <w:rFonts w:ascii="Arial" w:hAnsi="Arial" w:cs="Arial"/>
                <w:color w:val="000000"/>
                <w:sz w:val="19"/>
                <w:szCs w:val="19"/>
                <w:lang w:val="en-GB"/>
              </w:rPr>
            </w:pPr>
            <w:r>
              <w:rPr>
                <w:rFonts w:ascii="Arial" w:hAnsi="Arial" w:cs="Arial"/>
                <w:color w:val="000000"/>
                <w:sz w:val="19"/>
                <w:szCs w:val="19"/>
                <w:lang w:val="en-GB"/>
              </w:rPr>
              <w:tab/>
            </w:r>
            <w:r w:rsidR="00666715" w:rsidRPr="00DC7563">
              <w:rPr>
                <w:rFonts w:ascii="Arial" w:hAnsi="Arial" w:cs="Arial"/>
                <w:color w:val="000000"/>
                <w:sz w:val="19"/>
                <w:szCs w:val="19"/>
                <w:lang w:val="en-GB"/>
              </w:rPr>
              <w:t>232,000</w:t>
            </w:r>
          </w:p>
        </w:tc>
      </w:tr>
      <w:tr w:rsidR="00666715" w:rsidRPr="00DC7563" w14:paraId="7CB716CA" w14:textId="77777777" w:rsidTr="00666715">
        <w:trPr>
          <w:trHeight w:val="222"/>
          <w:jc w:val="center"/>
        </w:trPr>
        <w:tc>
          <w:tcPr>
            <w:tcW w:w="1898" w:type="dxa"/>
            <w:tcBorders>
              <w:top w:val="nil"/>
              <w:left w:val="single" w:sz="4" w:space="0" w:color="auto"/>
              <w:bottom w:val="single" w:sz="4" w:space="0" w:color="auto"/>
              <w:right w:val="single" w:sz="4" w:space="0" w:color="auto"/>
            </w:tcBorders>
            <w:noWrap/>
            <w:vAlign w:val="bottom"/>
            <w:hideMark/>
          </w:tcPr>
          <w:p w14:paraId="010D2C37" w14:textId="77777777" w:rsidR="00666715" w:rsidRPr="00DC7563" w:rsidRDefault="00666715" w:rsidP="00C16520">
            <w:pPr>
              <w:spacing w:line="276" w:lineRule="auto"/>
              <w:rPr>
                <w:rFonts w:ascii="Arial" w:hAnsi="Arial" w:cs="Arial"/>
                <w:b/>
                <w:bCs/>
                <w:color w:val="000000"/>
                <w:sz w:val="19"/>
                <w:szCs w:val="19"/>
                <w:lang w:val="en-GB"/>
              </w:rPr>
            </w:pPr>
            <w:r w:rsidRPr="00DC7563">
              <w:rPr>
                <w:rFonts w:ascii="Arial" w:hAnsi="Arial" w:cs="Arial"/>
                <w:b/>
                <w:bCs/>
                <w:color w:val="000000"/>
                <w:sz w:val="19"/>
                <w:szCs w:val="19"/>
                <w:lang w:val="en-GB"/>
              </w:rPr>
              <w:t>North America</w:t>
            </w:r>
          </w:p>
        </w:tc>
        <w:tc>
          <w:tcPr>
            <w:tcW w:w="1435" w:type="dxa"/>
            <w:tcBorders>
              <w:top w:val="nil"/>
              <w:left w:val="nil"/>
              <w:bottom w:val="single" w:sz="4" w:space="0" w:color="auto"/>
              <w:right w:val="single" w:sz="4" w:space="0" w:color="auto"/>
            </w:tcBorders>
            <w:noWrap/>
            <w:vAlign w:val="bottom"/>
            <w:hideMark/>
          </w:tcPr>
          <w:p w14:paraId="7165F64C"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255,526</w:t>
            </w:r>
          </w:p>
        </w:tc>
        <w:tc>
          <w:tcPr>
            <w:tcW w:w="1669" w:type="dxa"/>
            <w:tcBorders>
              <w:top w:val="nil"/>
              <w:left w:val="nil"/>
              <w:bottom w:val="single" w:sz="4" w:space="0" w:color="auto"/>
              <w:right w:val="single" w:sz="4" w:space="0" w:color="auto"/>
            </w:tcBorders>
            <w:noWrap/>
            <w:vAlign w:val="bottom"/>
            <w:hideMark/>
          </w:tcPr>
          <w:p w14:paraId="6FA6A3EA" w14:textId="4725B6EF" w:rsidR="00666715" w:rsidRPr="00DC7563" w:rsidRDefault="00417168" w:rsidP="00C16520">
            <w:pPr>
              <w:tabs>
                <w:tab w:val="right" w:pos="1152"/>
              </w:tabs>
              <w:spacing w:line="276" w:lineRule="auto"/>
              <w:rPr>
                <w:rFonts w:ascii="Arial" w:hAnsi="Arial" w:cs="Arial"/>
                <w:color w:val="000000"/>
                <w:sz w:val="19"/>
                <w:szCs w:val="19"/>
                <w:lang w:val="en-GB"/>
              </w:rPr>
            </w:pPr>
            <w:r>
              <w:rPr>
                <w:rFonts w:ascii="Arial" w:hAnsi="Arial" w:cs="Arial"/>
                <w:color w:val="000000"/>
                <w:sz w:val="19"/>
                <w:szCs w:val="19"/>
                <w:lang w:val="en-GB"/>
              </w:rPr>
              <w:tab/>
            </w:r>
            <w:r w:rsidR="009D0A3D" w:rsidRPr="00DC7563">
              <w:rPr>
                <w:rFonts w:ascii="Arial" w:hAnsi="Arial" w:cs="Arial"/>
                <w:color w:val="000000"/>
                <w:sz w:val="19"/>
                <w:szCs w:val="19"/>
                <w:lang w:val="en-GB"/>
              </w:rPr>
              <w:t>262</w:t>
            </w:r>
            <w:r w:rsidR="00666715" w:rsidRPr="00DC7563">
              <w:rPr>
                <w:rFonts w:ascii="Arial" w:hAnsi="Arial" w:cs="Arial"/>
                <w:color w:val="000000"/>
                <w:sz w:val="19"/>
                <w:szCs w:val="19"/>
                <w:lang w:val="en-GB"/>
              </w:rPr>
              <w:t>,000</w:t>
            </w:r>
          </w:p>
        </w:tc>
        <w:tc>
          <w:tcPr>
            <w:tcW w:w="1669" w:type="dxa"/>
            <w:tcBorders>
              <w:top w:val="nil"/>
              <w:left w:val="nil"/>
              <w:bottom w:val="single" w:sz="4" w:space="0" w:color="auto"/>
              <w:right w:val="single" w:sz="4" w:space="0" w:color="auto"/>
            </w:tcBorders>
            <w:noWrap/>
            <w:vAlign w:val="bottom"/>
            <w:hideMark/>
          </w:tcPr>
          <w:p w14:paraId="66EB395F" w14:textId="12EFEA75" w:rsidR="00666715" w:rsidRPr="00DC7563" w:rsidRDefault="00417168" w:rsidP="00C16520">
            <w:pPr>
              <w:tabs>
                <w:tab w:val="right" w:pos="1184"/>
              </w:tabs>
              <w:spacing w:line="276" w:lineRule="auto"/>
              <w:rPr>
                <w:rFonts w:ascii="Arial" w:hAnsi="Arial" w:cs="Arial"/>
                <w:color w:val="000000"/>
                <w:sz w:val="19"/>
                <w:szCs w:val="19"/>
                <w:lang w:val="en-GB"/>
              </w:rPr>
            </w:pPr>
            <w:r>
              <w:rPr>
                <w:rFonts w:ascii="Arial" w:hAnsi="Arial" w:cs="Arial"/>
                <w:color w:val="000000"/>
                <w:sz w:val="19"/>
                <w:szCs w:val="19"/>
                <w:lang w:val="en-GB"/>
              </w:rPr>
              <w:tab/>
            </w:r>
            <w:r w:rsidR="00666715" w:rsidRPr="00DC7563">
              <w:rPr>
                <w:rFonts w:ascii="Arial" w:hAnsi="Arial" w:cs="Arial"/>
                <w:color w:val="000000"/>
                <w:sz w:val="19"/>
                <w:szCs w:val="19"/>
                <w:lang w:val="en-GB"/>
              </w:rPr>
              <w:t>342,000</w:t>
            </w:r>
          </w:p>
        </w:tc>
        <w:tc>
          <w:tcPr>
            <w:tcW w:w="1669" w:type="dxa"/>
            <w:tcBorders>
              <w:top w:val="nil"/>
              <w:left w:val="nil"/>
              <w:bottom w:val="single" w:sz="4" w:space="0" w:color="auto"/>
              <w:right w:val="single" w:sz="4" w:space="0" w:color="auto"/>
            </w:tcBorders>
            <w:noWrap/>
            <w:vAlign w:val="bottom"/>
            <w:hideMark/>
          </w:tcPr>
          <w:p w14:paraId="6904EAF8" w14:textId="762629B5" w:rsidR="00666715" w:rsidRPr="00DC7563" w:rsidRDefault="00417168" w:rsidP="00C16520">
            <w:pPr>
              <w:tabs>
                <w:tab w:val="right" w:pos="1216"/>
              </w:tabs>
              <w:spacing w:line="276" w:lineRule="auto"/>
              <w:rPr>
                <w:rFonts w:ascii="Arial" w:hAnsi="Arial" w:cs="Arial"/>
                <w:color w:val="000000"/>
                <w:sz w:val="19"/>
                <w:szCs w:val="19"/>
                <w:lang w:val="en-GB"/>
              </w:rPr>
            </w:pPr>
            <w:r>
              <w:rPr>
                <w:rFonts w:ascii="Arial" w:hAnsi="Arial" w:cs="Arial"/>
                <w:color w:val="000000"/>
                <w:sz w:val="19"/>
                <w:szCs w:val="19"/>
                <w:lang w:val="en-GB"/>
              </w:rPr>
              <w:tab/>
            </w:r>
            <w:r w:rsidR="00666715" w:rsidRPr="00DC7563">
              <w:rPr>
                <w:rFonts w:ascii="Arial" w:hAnsi="Arial" w:cs="Arial"/>
                <w:color w:val="000000"/>
                <w:sz w:val="19"/>
                <w:szCs w:val="19"/>
                <w:lang w:val="en-GB"/>
              </w:rPr>
              <w:t>438,000</w:t>
            </w:r>
          </w:p>
        </w:tc>
      </w:tr>
      <w:tr w:rsidR="00666715" w:rsidRPr="00DC7563" w14:paraId="4B8D86B5" w14:textId="77777777" w:rsidTr="00666715">
        <w:trPr>
          <w:trHeight w:val="222"/>
          <w:jc w:val="center"/>
        </w:trPr>
        <w:tc>
          <w:tcPr>
            <w:tcW w:w="1898" w:type="dxa"/>
            <w:tcBorders>
              <w:top w:val="nil"/>
              <w:left w:val="single" w:sz="4" w:space="0" w:color="auto"/>
              <w:bottom w:val="single" w:sz="4" w:space="0" w:color="auto"/>
              <w:right w:val="single" w:sz="4" w:space="0" w:color="auto"/>
            </w:tcBorders>
            <w:noWrap/>
            <w:vAlign w:val="bottom"/>
            <w:hideMark/>
          </w:tcPr>
          <w:p w14:paraId="16F23667" w14:textId="77777777" w:rsidR="00666715" w:rsidRPr="00DC7563" w:rsidRDefault="00666715" w:rsidP="00C16520">
            <w:pPr>
              <w:spacing w:line="276" w:lineRule="auto"/>
              <w:rPr>
                <w:rFonts w:ascii="Arial" w:hAnsi="Arial" w:cs="Arial"/>
                <w:b/>
                <w:bCs/>
                <w:color w:val="000000"/>
                <w:sz w:val="19"/>
                <w:szCs w:val="19"/>
                <w:lang w:val="en-GB"/>
              </w:rPr>
            </w:pPr>
            <w:r w:rsidRPr="00DC7563">
              <w:rPr>
                <w:rFonts w:ascii="Arial" w:hAnsi="Arial" w:cs="Arial"/>
                <w:b/>
                <w:bCs/>
                <w:color w:val="000000"/>
                <w:sz w:val="19"/>
                <w:szCs w:val="19"/>
                <w:lang w:val="en-GB"/>
              </w:rPr>
              <w:t>Europe</w:t>
            </w:r>
          </w:p>
        </w:tc>
        <w:tc>
          <w:tcPr>
            <w:tcW w:w="1435" w:type="dxa"/>
            <w:tcBorders>
              <w:top w:val="nil"/>
              <w:left w:val="nil"/>
              <w:bottom w:val="single" w:sz="4" w:space="0" w:color="auto"/>
              <w:right w:val="single" w:sz="4" w:space="0" w:color="auto"/>
            </w:tcBorders>
            <w:noWrap/>
            <w:vAlign w:val="bottom"/>
            <w:hideMark/>
          </w:tcPr>
          <w:p w14:paraId="651DBA00"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210,677</w:t>
            </w:r>
          </w:p>
        </w:tc>
        <w:tc>
          <w:tcPr>
            <w:tcW w:w="1669" w:type="dxa"/>
            <w:tcBorders>
              <w:top w:val="nil"/>
              <w:left w:val="nil"/>
              <w:bottom w:val="single" w:sz="4" w:space="0" w:color="auto"/>
              <w:right w:val="single" w:sz="4" w:space="0" w:color="auto"/>
            </w:tcBorders>
            <w:noWrap/>
            <w:vAlign w:val="bottom"/>
            <w:hideMark/>
          </w:tcPr>
          <w:p w14:paraId="40756EC3" w14:textId="0CE7DC13" w:rsidR="00666715" w:rsidRPr="00DC7563" w:rsidRDefault="00417168" w:rsidP="00C16520">
            <w:pPr>
              <w:tabs>
                <w:tab w:val="right" w:pos="1152"/>
              </w:tabs>
              <w:spacing w:line="276" w:lineRule="auto"/>
              <w:rPr>
                <w:rFonts w:ascii="Arial" w:hAnsi="Arial" w:cs="Arial"/>
                <w:color w:val="000000"/>
                <w:sz w:val="19"/>
                <w:szCs w:val="19"/>
                <w:lang w:val="en-GB"/>
              </w:rPr>
            </w:pPr>
            <w:r>
              <w:rPr>
                <w:rFonts w:ascii="Arial" w:hAnsi="Arial" w:cs="Arial"/>
                <w:color w:val="000000"/>
                <w:sz w:val="19"/>
                <w:szCs w:val="19"/>
                <w:lang w:val="en-GB"/>
              </w:rPr>
              <w:tab/>
            </w:r>
            <w:r w:rsidR="00666715" w:rsidRPr="00DC7563">
              <w:rPr>
                <w:rFonts w:ascii="Arial" w:hAnsi="Arial" w:cs="Arial"/>
                <w:color w:val="000000"/>
                <w:sz w:val="19"/>
                <w:szCs w:val="19"/>
                <w:lang w:val="en-GB"/>
              </w:rPr>
              <w:t>282,000</w:t>
            </w:r>
          </w:p>
        </w:tc>
        <w:tc>
          <w:tcPr>
            <w:tcW w:w="1669" w:type="dxa"/>
            <w:tcBorders>
              <w:top w:val="nil"/>
              <w:left w:val="nil"/>
              <w:bottom w:val="single" w:sz="4" w:space="0" w:color="auto"/>
              <w:right w:val="single" w:sz="4" w:space="0" w:color="auto"/>
            </w:tcBorders>
            <w:noWrap/>
            <w:vAlign w:val="bottom"/>
            <w:hideMark/>
          </w:tcPr>
          <w:p w14:paraId="742703BB" w14:textId="190242DA" w:rsidR="00666715" w:rsidRPr="00DC7563" w:rsidRDefault="00417168" w:rsidP="00C16520">
            <w:pPr>
              <w:tabs>
                <w:tab w:val="right" w:pos="1184"/>
              </w:tabs>
              <w:spacing w:line="276" w:lineRule="auto"/>
              <w:rPr>
                <w:rFonts w:ascii="Arial" w:hAnsi="Arial" w:cs="Arial"/>
                <w:color w:val="000000"/>
                <w:sz w:val="19"/>
                <w:szCs w:val="19"/>
                <w:lang w:val="en-GB"/>
              </w:rPr>
            </w:pPr>
            <w:r>
              <w:rPr>
                <w:rFonts w:ascii="Arial" w:hAnsi="Arial" w:cs="Arial"/>
                <w:color w:val="000000"/>
                <w:sz w:val="19"/>
                <w:szCs w:val="19"/>
                <w:lang w:val="en-GB"/>
              </w:rPr>
              <w:tab/>
            </w:r>
            <w:r w:rsidR="00666715" w:rsidRPr="00DC7563">
              <w:rPr>
                <w:rFonts w:ascii="Arial" w:hAnsi="Arial" w:cs="Arial"/>
                <w:color w:val="000000"/>
                <w:sz w:val="19"/>
                <w:szCs w:val="19"/>
                <w:lang w:val="en-GB"/>
              </w:rPr>
              <w:t>212,000</w:t>
            </w:r>
          </w:p>
        </w:tc>
        <w:tc>
          <w:tcPr>
            <w:tcW w:w="1669" w:type="dxa"/>
            <w:tcBorders>
              <w:top w:val="nil"/>
              <w:left w:val="nil"/>
              <w:bottom w:val="single" w:sz="4" w:space="0" w:color="auto"/>
              <w:right w:val="single" w:sz="4" w:space="0" w:color="auto"/>
            </w:tcBorders>
            <w:noWrap/>
            <w:vAlign w:val="bottom"/>
            <w:hideMark/>
          </w:tcPr>
          <w:p w14:paraId="17C7156C" w14:textId="2A63C9F1" w:rsidR="00666715" w:rsidRPr="00DC7563" w:rsidRDefault="00417168" w:rsidP="00C16520">
            <w:pPr>
              <w:tabs>
                <w:tab w:val="right" w:pos="1216"/>
              </w:tabs>
              <w:spacing w:line="276" w:lineRule="auto"/>
              <w:rPr>
                <w:rFonts w:ascii="Arial" w:hAnsi="Arial" w:cs="Arial"/>
                <w:color w:val="000000"/>
                <w:sz w:val="19"/>
                <w:szCs w:val="19"/>
                <w:lang w:val="en-GB"/>
              </w:rPr>
            </w:pPr>
            <w:r>
              <w:rPr>
                <w:rFonts w:ascii="Arial" w:hAnsi="Arial" w:cs="Arial"/>
                <w:color w:val="000000"/>
                <w:sz w:val="19"/>
                <w:szCs w:val="19"/>
                <w:lang w:val="en-GB"/>
              </w:rPr>
              <w:tab/>
            </w:r>
            <w:r w:rsidR="00666715" w:rsidRPr="00DC7563">
              <w:rPr>
                <w:rFonts w:ascii="Arial" w:hAnsi="Arial" w:cs="Arial"/>
                <w:color w:val="000000"/>
                <w:sz w:val="19"/>
                <w:szCs w:val="19"/>
                <w:lang w:val="en-GB"/>
              </w:rPr>
              <w:t>257,000</w:t>
            </w:r>
          </w:p>
        </w:tc>
      </w:tr>
      <w:tr w:rsidR="00666715" w:rsidRPr="00DC7563" w14:paraId="3877AB12" w14:textId="77777777" w:rsidTr="00666715">
        <w:trPr>
          <w:trHeight w:val="222"/>
          <w:jc w:val="center"/>
        </w:trPr>
        <w:tc>
          <w:tcPr>
            <w:tcW w:w="1898" w:type="dxa"/>
            <w:tcBorders>
              <w:top w:val="nil"/>
              <w:left w:val="single" w:sz="4" w:space="0" w:color="auto"/>
              <w:bottom w:val="single" w:sz="4" w:space="0" w:color="auto"/>
              <w:right w:val="single" w:sz="4" w:space="0" w:color="auto"/>
            </w:tcBorders>
            <w:noWrap/>
            <w:vAlign w:val="bottom"/>
            <w:hideMark/>
          </w:tcPr>
          <w:p w14:paraId="0F75A99F" w14:textId="77777777" w:rsidR="00666715" w:rsidRPr="00DC7563" w:rsidRDefault="00666715" w:rsidP="00C16520">
            <w:pPr>
              <w:spacing w:line="276" w:lineRule="auto"/>
              <w:rPr>
                <w:rFonts w:ascii="Arial" w:hAnsi="Arial" w:cs="Arial"/>
                <w:b/>
                <w:bCs/>
                <w:color w:val="000000"/>
                <w:sz w:val="19"/>
                <w:szCs w:val="19"/>
                <w:lang w:val="en-GB"/>
              </w:rPr>
            </w:pPr>
            <w:r w:rsidRPr="00DC7563">
              <w:rPr>
                <w:rFonts w:ascii="Arial" w:hAnsi="Arial" w:cs="Arial"/>
                <w:b/>
                <w:bCs/>
                <w:color w:val="000000"/>
                <w:sz w:val="19"/>
                <w:szCs w:val="19"/>
                <w:lang w:val="en-GB"/>
              </w:rPr>
              <w:t>China</w:t>
            </w:r>
          </w:p>
        </w:tc>
        <w:tc>
          <w:tcPr>
            <w:tcW w:w="1435" w:type="dxa"/>
            <w:tcBorders>
              <w:top w:val="nil"/>
              <w:left w:val="nil"/>
              <w:bottom w:val="single" w:sz="4" w:space="0" w:color="auto"/>
              <w:right w:val="single" w:sz="4" w:space="0" w:color="auto"/>
            </w:tcBorders>
            <w:noWrap/>
            <w:vAlign w:val="bottom"/>
            <w:hideMark/>
          </w:tcPr>
          <w:p w14:paraId="2FF8E066" w14:textId="0EC06EFD" w:rsidR="00666715" w:rsidRPr="00DC7563" w:rsidRDefault="002B0FE9">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w:t>
            </w:r>
          </w:p>
        </w:tc>
        <w:tc>
          <w:tcPr>
            <w:tcW w:w="1669" w:type="dxa"/>
            <w:tcBorders>
              <w:top w:val="nil"/>
              <w:left w:val="nil"/>
              <w:bottom w:val="single" w:sz="4" w:space="0" w:color="auto"/>
              <w:right w:val="single" w:sz="4" w:space="0" w:color="auto"/>
            </w:tcBorders>
            <w:noWrap/>
            <w:vAlign w:val="bottom"/>
            <w:hideMark/>
          </w:tcPr>
          <w:p w14:paraId="79C58643" w14:textId="35F271EF" w:rsidR="00666715" w:rsidRPr="00DC7563" w:rsidRDefault="00417168" w:rsidP="00C16520">
            <w:pPr>
              <w:tabs>
                <w:tab w:val="right" w:pos="1152"/>
              </w:tabs>
              <w:spacing w:line="276" w:lineRule="auto"/>
              <w:rPr>
                <w:rFonts w:ascii="Arial" w:hAnsi="Arial" w:cs="Arial"/>
                <w:color w:val="000000"/>
                <w:sz w:val="19"/>
                <w:szCs w:val="19"/>
                <w:lang w:val="en-GB"/>
              </w:rPr>
            </w:pPr>
            <w:r>
              <w:rPr>
                <w:rFonts w:ascii="Arial" w:hAnsi="Arial" w:cs="Arial"/>
                <w:color w:val="000000"/>
                <w:sz w:val="19"/>
                <w:szCs w:val="19"/>
                <w:lang w:val="en-GB"/>
              </w:rPr>
              <w:tab/>
            </w:r>
            <w:r w:rsidR="00666715" w:rsidRPr="00DC7563">
              <w:rPr>
                <w:rFonts w:ascii="Arial" w:hAnsi="Arial" w:cs="Arial"/>
                <w:color w:val="000000"/>
                <w:sz w:val="19"/>
                <w:szCs w:val="19"/>
                <w:lang w:val="en-GB"/>
              </w:rPr>
              <w:t>130,000</w:t>
            </w:r>
          </w:p>
        </w:tc>
        <w:tc>
          <w:tcPr>
            <w:tcW w:w="1669" w:type="dxa"/>
            <w:tcBorders>
              <w:top w:val="nil"/>
              <w:left w:val="nil"/>
              <w:bottom w:val="single" w:sz="4" w:space="0" w:color="auto"/>
              <w:right w:val="single" w:sz="4" w:space="0" w:color="auto"/>
            </w:tcBorders>
            <w:noWrap/>
            <w:vAlign w:val="bottom"/>
            <w:hideMark/>
          </w:tcPr>
          <w:p w14:paraId="29BCB70C" w14:textId="06CB6F74" w:rsidR="00666715" w:rsidRPr="00DC7563" w:rsidRDefault="00417168" w:rsidP="00C16520">
            <w:pPr>
              <w:tabs>
                <w:tab w:val="right" w:pos="1184"/>
              </w:tabs>
              <w:spacing w:line="276" w:lineRule="auto"/>
              <w:rPr>
                <w:rFonts w:ascii="Arial" w:hAnsi="Arial" w:cs="Arial"/>
                <w:color w:val="000000"/>
                <w:sz w:val="19"/>
                <w:szCs w:val="19"/>
                <w:lang w:val="en-GB"/>
              </w:rPr>
            </w:pPr>
            <w:r>
              <w:rPr>
                <w:rFonts w:ascii="Arial" w:hAnsi="Arial" w:cs="Arial"/>
                <w:color w:val="000000"/>
                <w:sz w:val="19"/>
                <w:szCs w:val="19"/>
                <w:lang w:val="en-GB"/>
              </w:rPr>
              <w:tab/>
            </w:r>
            <w:r w:rsidR="00666715" w:rsidRPr="00DC7563">
              <w:rPr>
                <w:rFonts w:ascii="Arial" w:hAnsi="Arial" w:cs="Arial"/>
                <w:color w:val="000000"/>
                <w:sz w:val="19"/>
                <w:szCs w:val="19"/>
                <w:lang w:val="en-GB"/>
              </w:rPr>
              <w:t>236,000</w:t>
            </w:r>
          </w:p>
        </w:tc>
        <w:tc>
          <w:tcPr>
            <w:tcW w:w="1669" w:type="dxa"/>
            <w:tcBorders>
              <w:top w:val="nil"/>
              <w:left w:val="nil"/>
              <w:bottom w:val="single" w:sz="4" w:space="0" w:color="auto"/>
              <w:right w:val="single" w:sz="4" w:space="0" w:color="auto"/>
            </w:tcBorders>
            <w:noWrap/>
            <w:vAlign w:val="bottom"/>
            <w:hideMark/>
          </w:tcPr>
          <w:p w14:paraId="47C700D4" w14:textId="138461F4" w:rsidR="00666715" w:rsidRPr="00DC7563" w:rsidRDefault="00417168" w:rsidP="00C16520">
            <w:pPr>
              <w:tabs>
                <w:tab w:val="right" w:pos="1216"/>
              </w:tabs>
              <w:spacing w:line="276" w:lineRule="auto"/>
              <w:rPr>
                <w:rFonts w:ascii="Arial" w:hAnsi="Arial" w:cs="Arial"/>
                <w:color w:val="000000"/>
                <w:sz w:val="19"/>
                <w:szCs w:val="19"/>
                <w:lang w:val="en-GB"/>
              </w:rPr>
            </w:pPr>
            <w:r>
              <w:rPr>
                <w:rFonts w:ascii="Arial" w:hAnsi="Arial" w:cs="Arial"/>
                <w:color w:val="000000"/>
                <w:sz w:val="19"/>
                <w:szCs w:val="19"/>
                <w:lang w:val="en-GB"/>
              </w:rPr>
              <w:tab/>
            </w:r>
            <w:r w:rsidR="00666715" w:rsidRPr="00DC7563">
              <w:rPr>
                <w:rFonts w:ascii="Arial" w:hAnsi="Arial" w:cs="Arial"/>
                <w:color w:val="000000"/>
                <w:sz w:val="19"/>
                <w:szCs w:val="19"/>
                <w:lang w:val="en-GB"/>
              </w:rPr>
              <w:t>235,000</w:t>
            </w:r>
          </w:p>
        </w:tc>
      </w:tr>
      <w:tr w:rsidR="00666715" w:rsidRPr="00DC7563" w14:paraId="38D73EB3" w14:textId="77777777" w:rsidTr="00666715">
        <w:trPr>
          <w:trHeight w:val="222"/>
          <w:jc w:val="center"/>
        </w:trPr>
        <w:tc>
          <w:tcPr>
            <w:tcW w:w="1898" w:type="dxa"/>
            <w:tcBorders>
              <w:top w:val="nil"/>
              <w:left w:val="single" w:sz="4" w:space="0" w:color="auto"/>
              <w:bottom w:val="single" w:sz="4" w:space="0" w:color="auto"/>
              <w:right w:val="single" w:sz="4" w:space="0" w:color="auto"/>
            </w:tcBorders>
            <w:noWrap/>
            <w:vAlign w:val="bottom"/>
            <w:hideMark/>
          </w:tcPr>
          <w:p w14:paraId="61EA9426" w14:textId="77777777" w:rsidR="00666715" w:rsidRPr="00DC7563" w:rsidRDefault="00666715" w:rsidP="00C16520">
            <w:pPr>
              <w:spacing w:line="276" w:lineRule="auto"/>
              <w:rPr>
                <w:rFonts w:ascii="Arial" w:hAnsi="Arial" w:cs="Arial"/>
                <w:b/>
                <w:bCs/>
                <w:color w:val="000000"/>
                <w:sz w:val="19"/>
                <w:szCs w:val="19"/>
                <w:lang w:val="en-GB"/>
              </w:rPr>
            </w:pPr>
            <w:r w:rsidRPr="00DC7563">
              <w:rPr>
                <w:rFonts w:ascii="Arial" w:hAnsi="Arial" w:cs="Arial"/>
                <w:b/>
                <w:bCs/>
                <w:color w:val="000000"/>
                <w:sz w:val="19"/>
                <w:szCs w:val="19"/>
                <w:lang w:val="en-GB"/>
              </w:rPr>
              <w:t>Other</w:t>
            </w:r>
          </w:p>
        </w:tc>
        <w:tc>
          <w:tcPr>
            <w:tcW w:w="1435" w:type="dxa"/>
            <w:tcBorders>
              <w:top w:val="nil"/>
              <w:left w:val="nil"/>
              <w:bottom w:val="single" w:sz="4" w:space="0" w:color="auto"/>
              <w:right w:val="single" w:sz="4" w:space="0" w:color="auto"/>
            </w:tcBorders>
            <w:noWrap/>
            <w:vAlign w:val="bottom"/>
            <w:hideMark/>
          </w:tcPr>
          <w:p w14:paraId="7F4261FF" w14:textId="77777777" w:rsidR="00666715" w:rsidRPr="00DC7563" w:rsidRDefault="00666715">
            <w:pPr>
              <w:spacing w:line="276" w:lineRule="auto"/>
              <w:jc w:val="center"/>
              <w:rPr>
                <w:rFonts w:ascii="Arial" w:hAnsi="Arial" w:cs="Arial"/>
                <w:color w:val="000000"/>
                <w:sz w:val="19"/>
                <w:szCs w:val="19"/>
                <w:lang w:val="en-GB"/>
              </w:rPr>
            </w:pPr>
            <w:r w:rsidRPr="00DC7563">
              <w:rPr>
                <w:rFonts w:ascii="Arial" w:hAnsi="Arial" w:cs="Arial"/>
                <w:color w:val="000000"/>
                <w:sz w:val="19"/>
                <w:szCs w:val="19"/>
                <w:lang w:val="en-GB"/>
              </w:rPr>
              <w:t>151,296</w:t>
            </w:r>
          </w:p>
        </w:tc>
        <w:tc>
          <w:tcPr>
            <w:tcW w:w="1669" w:type="dxa"/>
            <w:tcBorders>
              <w:top w:val="nil"/>
              <w:left w:val="nil"/>
              <w:bottom w:val="single" w:sz="4" w:space="0" w:color="auto"/>
              <w:right w:val="single" w:sz="4" w:space="0" w:color="auto"/>
            </w:tcBorders>
            <w:noWrap/>
            <w:vAlign w:val="bottom"/>
            <w:hideMark/>
          </w:tcPr>
          <w:p w14:paraId="30B67EEE" w14:textId="3109BE09" w:rsidR="00666715" w:rsidRPr="00DC7563" w:rsidRDefault="00417168" w:rsidP="00C16520">
            <w:pPr>
              <w:tabs>
                <w:tab w:val="right" w:pos="1152"/>
              </w:tabs>
              <w:spacing w:line="276" w:lineRule="auto"/>
              <w:rPr>
                <w:rFonts w:ascii="Arial" w:hAnsi="Arial" w:cs="Arial"/>
                <w:color w:val="000000"/>
                <w:sz w:val="19"/>
                <w:szCs w:val="19"/>
                <w:lang w:val="en-GB"/>
              </w:rPr>
            </w:pPr>
            <w:r>
              <w:rPr>
                <w:rFonts w:ascii="Arial" w:hAnsi="Arial" w:cs="Arial"/>
                <w:color w:val="000000"/>
                <w:sz w:val="19"/>
                <w:szCs w:val="19"/>
                <w:lang w:val="en-GB"/>
              </w:rPr>
              <w:tab/>
            </w:r>
            <w:r w:rsidR="009D0A3D" w:rsidRPr="00DC7563">
              <w:rPr>
                <w:rFonts w:ascii="Arial" w:hAnsi="Arial" w:cs="Arial"/>
                <w:color w:val="000000"/>
                <w:sz w:val="19"/>
                <w:szCs w:val="19"/>
                <w:lang w:val="en-GB"/>
              </w:rPr>
              <w:t>194</w:t>
            </w:r>
            <w:r w:rsidR="00666715" w:rsidRPr="00DC7563">
              <w:rPr>
                <w:rFonts w:ascii="Arial" w:hAnsi="Arial" w:cs="Arial"/>
                <w:color w:val="000000"/>
                <w:sz w:val="19"/>
                <w:szCs w:val="19"/>
                <w:lang w:val="en-GB"/>
              </w:rPr>
              <w:t>,000</w:t>
            </w:r>
          </w:p>
        </w:tc>
        <w:tc>
          <w:tcPr>
            <w:tcW w:w="1669" w:type="dxa"/>
            <w:tcBorders>
              <w:top w:val="nil"/>
              <w:left w:val="nil"/>
              <w:bottom w:val="single" w:sz="4" w:space="0" w:color="auto"/>
              <w:right w:val="single" w:sz="4" w:space="0" w:color="auto"/>
            </w:tcBorders>
            <w:noWrap/>
            <w:vAlign w:val="bottom"/>
            <w:hideMark/>
          </w:tcPr>
          <w:p w14:paraId="64303DB6" w14:textId="457F68D7" w:rsidR="00666715" w:rsidRPr="00DC7563" w:rsidRDefault="00417168" w:rsidP="00C16520">
            <w:pPr>
              <w:tabs>
                <w:tab w:val="right" w:pos="1184"/>
              </w:tabs>
              <w:spacing w:line="276" w:lineRule="auto"/>
              <w:rPr>
                <w:rFonts w:ascii="Arial" w:hAnsi="Arial" w:cs="Arial"/>
                <w:color w:val="000000"/>
                <w:sz w:val="19"/>
                <w:szCs w:val="19"/>
                <w:lang w:val="en-GB"/>
              </w:rPr>
            </w:pPr>
            <w:r>
              <w:rPr>
                <w:rFonts w:ascii="Arial" w:hAnsi="Arial" w:cs="Arial"/>
                <w:color w:val="000000"/>
                <w:sz w:val="19"/>
                <w:szCs w:val="19"/>
                <w:lang w:val="en-GB"/>
              </w:rPr>
              <w:tab/>
            </w:r>
            <w:r w:rsidR="00666715" w:rsidRPr="00DC7563">
              <w:rPr>
                <w:rFonts w:ascii="Arial" w:hAnsi="Arial" w:cs="Arial"/>
                <w:color w:val="000000"/>
                <w:sz w:val="19"/>
                <w:szCs w:val="19"/>
                <w:lang w:val="en-GB"/>
              </w:rPr>
              <w:t>277,000</w:t>
            </w:r>
          </w:p>
        </w:tc>
        <w:tc>
          <w:tcPr>
            <w:tcW w:w="1669" w:type="dxa"/>
            <w:tcBorders>
              <w:top w:val="nil"/>
              <w:left w:val="nil"/>
              <w:bottom w:val="single" w:sz="4" w:space="0" w:color="auto"/>
              <w:right w:val="single" w:sz="4" w:space="0" w:color="auto"/>
            </w:tcBorders>
            <w:noWrap/>
            <w:vAlign w:val="bottom"/>
            <w:hideMark/>
          </w:tcPr>
          <w:p w14:paraId="29BC535F" w14:textId="6B049F19" w:rsidR="00666715" w:rsidRPr="00DC7563" w:rsidRDefault="00417168" w:rsidP="00C16520">
            <w:pPr>
              <w:tabs>
                <w:tab w:val="right" w:pos="1216"/>
              </w:tabs>
              <w:spacing w:line="276" w:lineRule="auto"/>
              <w:rPr>
                <w:rFonts w:ascii="Arial" w:hAnsi="Arial" w:cs="Arial"/>
                <w:color w:val="000000"/>
                <w:sz w:val="19"/>
                <w:szCs w:val="19"/>
                <w:lang w:val="en-GB"/>
              </w:rPr>
            </w:pPr>
            <w:r>
              <w:rPr>
                <w:rFonts w:ascii="Arial" w:hAnsi="Arial" w:cs="Arial"/>
                <w:color w:val="000000"/>
                <w:sz w:val="19"/>
                <w:szCs w:val="19"/>
                <w:lang w:val="en-GB"/>
              </w:rPr>
              <w:tab/>
            </w:r>
            <w:r w:rsidR="00666715" w:rsidRPr="00DC7563">
              <w:rPr>
                <w:rFonts w:ascii="Arial" w:hAnsi="Arial" w:cs="Arial"/>
                <w:color w:val="000000"/>
                <w:sz w:val="19"/>
                <w:szCs w:val="19"/>
                <w:lang w:val="en-GB"/>
              </w:rPr>
              <w:t>372,000</w:t>
            </w:r>
          </w:p>
        </w:tc>
      </w:tr>
      <w:tr w:rsidR="00666715" w:rsidRPr="00DC7563" w14:paraId="59E8A8D0" w14:textId="77777777" w:rsidTr="00666715">
        <w:trPr>
          <w:trHeight w:val="222"/>
          <w:jc w:val="center"/>
        </w:trPr>
        <w:tc>
          <w:tcPr>
            <w:tcW w:w="1898" w:type="dxa"/>
            <w:tcBorders>
              <w:top w:val="nil"/>
              <w:left w:val="single" w:sz="4" w:space="0" w:color="auto"/>
              <w:bottom w:val="single" w:sz="4" w:space="0" w:color="auto"/>
              <w:right w:val="single" w:sz="4" w:space="0" w:color="auto"/>
            </w:tcBorders>
            <w:noWrap/>
            <w:vAlign w:val="bottom"/>
            <w:hideMark/>
          </w:tcPr>
          <w:p w14:paraId="348D350A" w14:textId="35417C01" w:rsidR="00666715" w:rsidRPr="00DC7563" w:rsidRDefault="00666715" w:rsidP="00C16520">
            <w:pPr>
              <w:spacing w:line="276" w:lineRule="auto"/>
              <w:rPr>
                <w:rFonts w:ascii="Arial" w:hAnsi="Arial" w:cs="Arial"/>
                <w:b/>
                <w:bCs/>
                <w:color w:val="000000"/>
                <w:sz w:val="19"/>
                <w:szCs w:val="19"/>
                <w:lang w:val="en-GB"/>
              </w:rPr>
            </w:pPr>
            <w:r w:rsidRPr="00DC7563">
              <w:rPr>
                <w:rFonts w:ascii="Arial" w:hAnsi="Arial" w:cs="Arial"/>
                <w:b/>
                <w:bCs/>
                <w:color w:val="000000"/>
                <w:sz w:val="19"/>
                <w:szCs w:val="19"/>
                <w:lang w:val="en-GB"/>
              </w:rPr>
              <w:t xml:space="preserve">Total </w:t>
            </w:r>
            <w:r w:rsidR="002B0FE9" w:rsidRPr="00DC7563">
              <w:rPr>
                <w:rFonts w:ascii="Arial" w:hAnsi="Arial" w:cs="Arial"/>
                <w:b/>
                <w:bCs/>
                <w:color w:val="000000"/>
                <w:sz w:val="19"/>
                <w:szCs w:val="19"/>
                <w:lang w:val="en-GB"/>
              </w:rPr>
              <w:t>Units Sold</w:t>
            </w:r>
          </w:p>
        </w:tc>
        <w:tc>
          <w:tcPr>
            <w:tcW w:w="1435" w:type="dxa"/>
            <w:tcBorders>
              <w:top w:val="nil"/>
              <w:left w:val="nil"/>
              <w:bottom w:val="single" w:sz="4" w:space="0" w:color="auto"/>
              <w:right w:val="single" w:sz="4" w:space="0" w:color="auto"/>
            </w:tcBorders>
            <w:noWrap/>
            <w:vAlign w:val="bottom"/>
            <w:hideMark/>
          </w:tcPr>
          <w:p w14:paraId="28389C92" w14:textId="77777777" w:rsidR="00666715" w:rsidRPr="00DC7563" w:rsidRDefault="00666715">
            <w:pPr>
              <w:spacing w:line="276" w:lineRule="auto"/>
              <w:jc w:val="center"/>
              <w:rPr>
                <w:rFonts w:ascii="Arial" w:hAnsi="Arial" w:cs="Arial"/>
                <w:b/>
                <w:bCs/>
                <w:color w:val="000000"/>
                <w:sz w:val="19"/>
                <w:szCs w:val="19"/>
                <w:lang w:val="en-GB"/>
              </w:rPr>
            </w:pPr>
            <w:r w:rsidRPr="00DC7563">
              <w:rPr>
                <w:rFonts w:ascii="Arial" w:hAnsi="Arial" w:cs="Arial"/>
                <w:b/>
                <w:bCs/>
                <w:color w:val="000000"/>
                <w:sz w:val="19"/>
                <w:szCs w:val="19"/>
                <w:lang w:val="en-GB"/>
              </w:rPr>
              <w:t>924,499</w:t>
            </w:r>
          </w:p>
        </w:tc>
        <w:tc>
          <w:tcPr>
            <w:tcW w:w="1669" w:type="dxa"/>
            <w:tcBorders>
              <w:top w:val="nil"/>
              <w:left w:val="nil"/>
              <w:bottom w:val="single" w:sz="4" w:space="0" w:color="auto"/>
              <w:right w:val="single" w:sz="4" w:space="0" w:color="auto"/>
            </w:tcBorders>
            <w:noWrap/>
            <w:vAlign w:val="bottom"/>
            <w:hideMark/>
          </w:tcPr>
          <w:p w14:paraId="1EDB6203" w14:textId="202EC900" w:rsidR="00666715" w:rsidRPr="00DC7563" w:rsidRDefault="00417168" w:rsidP="00C16520">
            <w:pPr>
              <w:tabs>
                <w:tab w:val="right" w:pos="1152"/>
              </w:tabs>
              <w:spacing w:line="276" w:lineRule="auto"/>
              <w:rPr>
                <w:rFonts w:ascii="Arial" w:hAnsi="Arial" w:cs="Arial"/>
                <w:b/>
                <w:bCs/>
                <w:color w:val="000000"/>
                <w:sz w:val="19"/>
                <w:szCs w:val="19"/>
                <w:lang w:val="en-GB"/>
              </w:rPr>
            </w:pPr>
            <w:r>
              <w:rPr>
                <w:rFonts w:ascii="Arial" w:hAnsi="Arial" w:cs="Arial"/>
                <w:b/>
                <w:bCs/>
                <w:color w:val="000000"/>
                <w:sz w:val="19"/>
                <w:szCs w:val="19"/>
                <w:lang w:val="en-GB"/>
              </w:rPr>
              <w:tab/>
            </w:r>
            <w:r w:rsidR="00666715" w:rsidRPr="00DC7563">
              <w:rPr>
                <w:rFonts w:ascii="Arial" w:hAnsi="Arial" w:cs="Arial"/>
                <w:b/>
                <w:bCs/>
                <w:color w:val="000000"/>
                <w:sz w:val="19"/>
                <w:szCs w:val="19"/>
                <w:lang w:val="en-GB"/>
              </w:rPr>
              <w:t>1,1</w:t>
            </w:r>
            <w:r w:rsidR="008E363E" w:rsidRPr="00DC7563">
              <w:rPr>
                <w:rFonts w:ascii="Arial" w:hAnsi="Arial" w:cs="Arial"/>
                <w:b/>
                <w:bCs/>
                <w:color w:val="000000"/>
                <w:sz w:val="19"/>
                <w:szCs w:val="19"/>
                <w:lang w:val="en-GB"/>
              </w:rPr>
              <w:t>55</w:t>
            </w:r>
            <w:r w:rsidR="00666715" w:rsidRPr="00DC7563">
              <w:rPr>
                <w:rFonts w:ascii="Arial" w:hAnsi="Arial" w:cs="Arial"/>
                <w:b/>
                <w:bCs/>
                <w:color w:val="000000"/>
                <w:sz w:val="19"/>
                <w:szCs w:val="19"/>
                <w:lang w:val="en-GB"/>
              </w:rPr>
              <w:t>,000</w:t>
            </w:r>
          </w:p>
        </w:tc>
        <w:tc>
          <w:tcPr>
            <w:tcW w:w="1669" w:type="dxa"/>
            <w:tcBorders>
              <w:top w:val="nil"/>
              <w:left w:val="nil"/>
              <w:bottom w:val="single" w:sz="4" w:space="0" w:color="auto"/>
              <w:right w:val="single" w:sz="4" w:space="0" w:color="auto"/>
            </w:tcBorders>
            <w:noWrap/>
            <w:vAlign w:val="bottom"/>
            <w:hideMark/>
          </w:tcPr>
          <w:p w14:paraId="614BBFD1" w14:textId="5CEC80E8" w:rsidR="00666715" w:rsidRPr="00DC7563" w:rsidRDefault="00417168" w:rsidP="00C16520">
            <w:pPr>
              <w:tabs>
                <w:tab w:val="right" w:pos="1184"/>
              </w:tabs>
              <w:spacing w:line="276" w:lineRule="auto"/>
              <w:rPr>
                <w:rFonts w:ascii="Arial" w:hAnsi="Arial" w:cs="Arial"/>
                <w:b/>
                <w:bCs/>
                <w:color w:val="000000"/>
                <w:sz w:val="19"/>
                <w:szCs w:val="19"/>
                <w:lang w:val="en-GB"/>
              </w:rPr>
            </w:pPr>
            <w:r>
              <w:rPr>
                <w:rFonts w:ascii="Arial" w:hAnsi="Arial" w:cs="Arial"/>
                <w:b/>
                <w:bCs/>
                <w:color w:val="000000"/>
                <w:sz w:val="19"/>
                <w:szCs w:val="19"/>
                <w:lang w:val="en-GB"/>
              </w:rPr>
              <w:tab/>
            </w:r>
            <w:r w:rsidR="00666715" w:rsidRPr="00DC7563">
              <w:rPr>
                <w:rFonts w:ascii="Arial" w:hAnsi="Arial" w:cs="Arial"/>
                <w:b/>
                <w:bCs/>
                <w:color w:val="000000"/>
                <w:sz w:val="19"/>
                <w:szCs w:val="19"/>
                <w:lang w:val="en-GB"/>
              </w:rPr>
              <w:t>1,273,000</w:t>
            </w:r>
          </w:p>
        </w:tc>
        <w:tc>
          <w:tcPr>
            <w:tcW w:w="1669" w:type="dxa"/>
            <w:tcBorders>
              <w:top w:val="nil"/>
              <w:left w:val="nil"/>
              <w:bottom w:val="single" w:sz="4" w:space="0" w:color="auto"/>
              <w:right w:val="single" w:sz="4" w:space="0" w:color="auto"/>
            </w:tcBorders>
            <w:noWrap/>
            <w:vAlign w:val="bottom"/>
            <w:hideMark/>
          </w:tcPr>
          <w:p w14:paraId="320A8DA4" w14:textId="2B586271" w:rsidR="00666715" w:rsidRPr="00DC7563" w:rsidRDefault="00417168" w:rsidP="00C16520">
            <w:pPr>
              <w:tabs>
                <w:tab w:val="right" w:pos="1216"/>
              </w:tabs>
              <w:spacing w:line="276" w:lineRule="auto"/>
              <w:rPr>
                <w:rFonts w:ascii="Arial" w:hAnsi="Arial" w:cs="Arial"/>
                <w:b/>
                <w:bCs/>
                <w:color w:val="000000"/>
                <w:sz w:val="19"/>
                <w:szCs w:val="19"/>
                <w:lang w:val="en-GB"/>
              </w:rPr>
            </w:pPr>
            <w:r>
              <w:rPr>
                <w:rFonts w:ascii="Arial" w:hAnsi="Arial" w:cs="Arial"/>
                <w:b/>
                <w:bCs/>
                <w:color w:val="000000"/>
                <w:sz w:val="19"/>
                <w:szCs w:val="19"/>
                <w:lang w:val="en-GB"/>
              </w:rPr>
              <w:tab/>
            </w:r>
            <w:r w:rsidR="00666715" w:rsidRPr="00DC7563">
              <w:rPr>
                <w:rFonts w:ascii="Arial" w:hAnsi="Arial" w:cs="Arial"/>
                <w:b/>
                <w:bCs/>
                <w:color w:val="000000"/>
                <w:sz w:val="19"/>
                <w:szCs w:val="19"/>
                <w:lang w:val="en-GB"/>
              </w:rPr>
              <w:t>1,534,000</w:t>
            </w:r>
          </w:p>
        </w:tc>
      </w:tr>
    </w:tbl>
    <w:p w14:paraId="4DA12467" w14:textId="77777777" w:rsidR="0080054F" w:rsidRPr="00DC7563" w:rsidRDefault="0080054F" w:rsidP="00666715">
      <w:pPr>
        <w:pStyle w:val="NoSpacing"/>
        <w:jc w:val="center"/>
        <w:rPr>
          <w:rFonts w:ascii="Times New Roman" w:eastAsia="Malgun Gothic" w:hAnsi="Times New Roman"/>
          <w:color w:val="222222"/>
          <w:sz w:val="18"/>
          <w:szCs w:val="24"/>
          <w:lang w:val="en-GB" w:eastAsia="ko-KR"/>
        </w:rPr>
      </w:pPr>
    </w:p>
    <w:p w14:paraId="719E5D4E" w14:textId="636B0905" w:rsidR="00960EB9" w:rsidRDefault="00666715" w:rsidP="001656A7">
      <w:pPr>
        <w:pStyle w:val="NoSpacing"/>
        <w:jc w:val="both"/>
        <w:rPr>
          <w:rFonts w:ascii="Arial" w:eastAsia="Malgun Gothic" w:hAnsi="Arial"/>
          <w:color w:val="222222"/>
          <w:spacing w:val="-4"/>
          <w:sz w:val="17"/>
          <w:szCs w:val="17"/>
          <w:lang w:val="en-GB" w:eastAsia="ko-KR"/>
        </w:rPr>
      </w:pPr>
      <w:r w:rsidRPr="00960EB9">
        <w:rPr>
          <w:rFonts w:ascii="Arial" w:eastAsia="Malgun Gothic" w:hAnsi="Arial"/>
          <w:color w:val="222222"/>
          <w:spacing w:val="-4"/>
          <w:sz w:val="17"/>
          <w:szCs w:val="17"/>
          <w:lang w:val="en-GB" w:eastAsia="ko-KR"/>
        </w:rPr>
        <w:t xml:space="preserve">Source: Adapted from </w:t>
      </w:r>
      <w:r w:rsidR="00D91AEF" w:rsidRPr="00960EB9">
        <w:rPr>
          <w:rFonts w:ascii="Arial" w:eastAsia="Malgun Gothic" w:hAnsi="Arial"/>
          <w:color w:val="222222"/>
          <w:spacing w:val="-4"/>
          <w:sz w:val="17"/>
          <w:szCs w:val="17"/>
          <w:lang w:val="en-GB" w:eastAsia="ko-KR"/>
        </w:rPr>
        <w:t xml:space="preserve">Mazda Motor Corporation, </w:t>
      </w:r>
      <w:r w:rsidR="00734508" w:rsidRPr="00960EB9">
        <w:rPr>
          <w:rFonts w:ascii="Arial" w:eastAsia="Malgun Gothic" w:hAnsi="Arial"/>
          <w:i/>
          <w:color w:val="222222"/>
          <w:spacing w:val="-4"/>
          <w:sz w:val="17"/>
          <w:szCs w:val="17"/>
          <w:lang w:val="en-GB" w:eastAsia="ko-KR"/>
        </w:rPr>
        <w:t>Rekindling the Spark</w:t>
      </w:r>
      <w:r w:rsidR="009F2A26" w:rsidRPr="00960EB9">
        <w:rPr>
          <w:rFonts w:ascii="Arial" w:eastAsia="Malgun Gothic" w:hAnsi="Arial"/>
          <w:i/>
          <w:color w:val="222222"/>
          <w:spacing w:val="-4"/>
          <w:sz w:val="17"/>
          <w:szCs w:val="17"/>
          <w:lang w:val="en-GB" w:eastAsia="ko-KR"/>
        </w:rPr>
        <w:t>:</w:t>
      </w:r>
      <w:r w:rsidR="009F2A26" w:rsidRPr="00960EB9">
        <w:rPr>
          <w:rFonts w:ascii="Arial" w:eastAsia="Malgun Gothic" w:hAnsi="Arial"/>
          <w:color w:val="222222"/>
          <w:spacing w:val="-4"/>
          <w:sz w:val="17"/>
          <w:szCs w:val="17"/>
          <w:lang w:val="en-GB" w:eastAsia="ko-KR"/>
        </w:rPr>
        <w:t xml:space="preserve"> </w:t>
      </w:r>
      <w:r w:rsidRPr="00960EB9">
        <w:rPr>
          <w:rFonts w:ascii="Arial" w:eastAsia="Malgun Gothic" w:hAnsi="Arial"/>
          <w:i/>
          <w:color w:val="222222"/>
          <w:spacing w:val="-4"/>
          <w:sz w:val="17"/>
          <w:szCs w:val="17"/>
          <w:lang w:val="en-GB" w:eastAsia="ko-KR"/>
        </w:rPr>
        <w:t>Annual Report</w:t>
      </w:r>
      <w:r w:rsidR="00124882" w:rsidRPr="00960EB9">
        <w:rPr>
          <w:rFonts w:ascii="Arial" w:eastAsia="Malgun Gothic" w:hAnsi="Arial"/>
          <w:i/>
          <w:color w:val="222222"/>
          <w:spacing w:val="-4"/>
          <w:sz w:val="17"/>
          <w:szCs w:val="17"/>
          <w:lang w:val="en-GB" w:eastAsia="ko-KR"/>
        </w:rPr>
        <w:t xml:space="preserve"> 2000</w:t>
      </w:r>
      <w:r w:rsidR="00C879DA" w:rsidRPr="00960EB9">
        <w:rPr>
          <w:rFonts w:ascii="Arial" w:eastAsia="Malgun Gothic" w:hAnsi="Arial"/>
          <w:color w:val="222222"/>
          <w:spacing w:val="-4"/>
          <w:sz w:val="17"/>
          <w:szCs w:val="17"/>
          <w:lang w:val="en-GB" w:eastAsia="ko-KR"/>
        </w:rPr>
        <w:t xml:space="preserve">, </w:t>
      </w:r>
      <w:r w:rsidR="00E64CAA" w:rsidRPr="00960EB9">
        <w:rPr>
          <w:rFonts w:ascii="Arial" w:eastAsia="Malgun Gothic" w:hAnsi="Arial"/>
          <w:color w:val="222222"/>
          <w:spacing w:val="-4"/>
          <w:sz w:val="17"/>
          <w:szCs w:val="17"/>
          <w:lang w:val="en-GB" w:eastAsia="ko-KR"/>
        </w:rPr>
        <w:t xml:space="preserve">12–15, </w:t>
      </w:r>
      <w:r w:rsidR="00C879DA" w:rsidRPr="00960EB9">
        <w:rPr>
          <w:rFonts w:ascii="Arial" w:eastAsia="Malgun Gothic" w:hAnsi="Arial"/>
          <w:color w:val="222222"/>
          <w:spacing w:val="-4"/>
          <w:sz w:val="17"/>
          <w:szCs w:val="17"/>
          <w:lang w:val="en-GB" w:eastAsia="ko-KR"/>
        </w:rPr>
        <w:t xml:space="preserve">accessed </w:t>
      </w:r>
      <w:r w:rsidR="00FB6BB0" w:rsidRPr="00960EB9">
        <w:rPr>
          <w:rFonts w:ascii="Arial" w:eastAsia="Malgun Gothic" w:hAnsi="Arial"/>
          <w:color w:val="222222"/>
          <w:spacing w:val="-4"/>
          <w:sz w:val="17"/>
          <w:szCs w:val="17"/>
          <w:lang w:val="en-GB" w:eastAsia="ko-KR"/>
        </w:rPr>
        <w:t>June 27</w:t>
      </w:r>
      <w:r w:rsidR="00FD38A6" w:rsidRPr="00960EB9">
        <w:rPr>
          <w:rFonts w:ascii="Arial" w:eastAsia="Malgun Gothic" w:hAnsi="Arial"/>
          <w:color w:val="222222"/>
          <w:spacing w:val="-4"/>
          <w:sz w:val="17"/>
          <w:szCs w:val="17"/>
          <w:lang w:val="en-GB" w:eastAsia="ko-KR"/>
        </w:rPr>
        <w:t xml:space="preserve">, </w:t>
      </w:r>
      <w:r w:rsidR="00C879DA" w:rsidRPr="00960EB9">
        <w:rPr>
          <w:rFonts w:ascii="Arial" w:eastAsia="Malgun Gothic" w:hAnsi="Arial"/>
          <w:color w:val="222222"/>
          <w:spacing w:val="-4"/>
          <w:sz w:val="17"/>
          <w:szCs w:val="17"/>
          <w:lang w:val="en-GB" w:eastAsia="ko-KR"/>
        </w:rPr>
        <w:t xml:space="preserve">2017, </w:t>
      </w:r>
      <w:r w:rsidR="00734508" w:rsidRPr="00960EB9">
        <w:rPr>
          <w:rFonts w:ascii="Arial" w:eastAsia="Malgun Gothic" w:hAnsi="Arial"/>
          <w:color w:val="222222"/>
          <w:spacing w:val="-4"/>
          <w:sz w:val="17"/>
          <w:szCs w:val="17"/>
          <w:lang w:val="en-GB" w:eastAsia="ko-KR"/>
        </w:rPr>
        <w:t>www2.mazda.com/en/investors/library/annual/2000/pdf/MazdaAR01.zip</w:t>
      </w:r>
      <w:r w:rsidR="00C879DA" w:rsidRPr="00960EB9">
        <w:rPr>
          <w:rFonts w:ascii="Arial" w:eastAsia="Malgun Gothic" w:hAnsi="Arial"/>
          <w:color w:val="222222"/>
          <w:spacing w:val="-4"/>
          <w:sz w:val="17"/>
          <w:szCs w:val="17"/>
          <w:lang w:val="en-GB" w:eastAsia="ko-KR"/>
        </w:rPr>
        <w:t>;</w:t>
      </w:r>
      <w:r w:rsidRPr="00960EB9">
        <w:rPr>
          <w:rFonts w:ascii="Arial" w:eastAsia="Malgun Gothic" w:hAnsi="Arial"/>
          <w:color w:val="222222"/>
          <w:spacing w:val="-4"/>
          <w:sz w:val="17"/>
          <w:szCs w:val="17"/>
          <w:lang w:val="en-GB" w:eastAsia="ko-KR"/>
        </w:rPr>
        <w:t xml:space="preserve"> </w:t>
      </w:r>
      <w:r w:rsidR="00D91AEF" w:rsidRPr="00960EB9">
        <w:rPr>
          <w:rFonts w:ascii="Arial" w:eastAsia="Malgun Gothic" w:hAnsi="Arial"/>
          <w:color w:val="222222"/>
          <w:spacing w:val="-4"/>
          <w:sz w:val="17"/>
          <w:szCs w:val="17"/>
          <w:lang w:val="en-GB" w:eastAsia="ko-KR"/>
        </w:rPr>
        <w:t xml:space="preserve">Mazda Motor Corporation, </w:t>
      </w:r>
      <w:r w:rsidR="009F2A26" w:rsidRPr="00960EB9">
        <w:rPr>
          <w:rFonts w:ascii="Arial" w:eastAsia="Malgun Gothic" w:hAnsi="Arial"/>
          <w:i/>
          <w:color w:val="222222"/>
          <w:spacing w:val="-4"/>
          <w:sz w:val="17"/>
          <w:szCs w:val="17"/>
          <w:lang w:val="en-GB" w:eastAsia="ko-KR"/>
        </w:rPr>
        <w:t xml:space="preserve">Driving Momentum: </w:t>
      </w:r>
      <w:r w:rsidRPr="00960EB9">
        <w:rPr>
          <w:rFonts w:ascii="Arial" w:eastAsia="Malgun Gothic" w:hAnsi="Arial"/>
          <w:i/>
          <w:color w:val="222222"/>
          <w:spacing w:val="-4"/>
          <w:sz w:val="17"/>
          <w:szCs w:val="17"/>
          <w:lang w:val="en-GB" w:eastAsia="ko-KR"/>
        </w:rPr>
        <w:t>Annual Report</w:t>
      </w:r>
      <w:r w:rsidR="009F2A26" w:rsidRPr="00960EB9">
        <w:rPr>
          <w:rFonts w:ascii="Arial" w:eastAsia="Malgun Gothic" w:hAnsi="Arial"/>
          <w:i/>
          <w:color w:val="222222"/>
          <w:spacing w:val="-4"/>
          <w:sz w:val="17"/>
          <w:szCs w:val="17"/>
          <w:lang w:val="en-GB" w:eastAsia="ko-KR"/>
        </w:rPr>
        <w:t xml:space="preserve"> 2005</w:t>
      </w:r>
      <w:r w:rsidR="00C879DA" w:rsidRPr="00960EB9">
        <w:rPr>
          <w:rFonts w:ascii="Arial" w:eastAsia="Malgun Gothic" w:hAnsi="Arial"/>
          <w:color w:val="222222"/>
          <w:spacing w:val="-4"/>
          <w:sz w:val="17"/>
          <w:szCs w:val="17"/>
          <w:lang w:val="en-GB" w:eastAsia="ko-KR"/>
        </w:rPr>
        <w:t xml:space="preserve">, </w:t>
      </w:r>
      <w:r w:rsidR="00E64CAA" w:rsidRPr="00960EB9">
        <w:rPr>
          <w:rFonts w:ascii="Arial" w:eastAsia="Malgun Gothic" w:hAnsi="Arial"/>
          <w:color w:val="222222"/>
          <w:spacing w:val="-4"/>
          <w:sz w:val="17"/>
          <w:szCs w:val="17"/>
          <w:lang w:val="en-GB" w:eastAsia="ko-KR"/>
        </w:rPr>
        <w:t xml:space="preserve">26–30, </w:t>
      </w:r>
      <w:r w:rsidR="00C879DA" w:rsidRPr="00960EB9">
        <w:rPr>
          <w:rFonts w:ascii="Arial" w:eastAsia="Malgun Gothic" w:hAnsi="Arial"/>
          <w:color w:val="222222"/>
          <w:spacing w:val="-4"/>
          <w:sz w:val="17"/>
          <w:szCs w:val="17"/>
          <w:lang w:val="en-GB" w:eastAsia="ko-KR"/>
        </w:rPr>
        <w:t xml:space="preserve">accessed </w:t>
      </w:r>
      <w:r w:rsidR="00FB6BB0" w:rsidRPr="00960EB9">
        <w:rPr>
          <w:rFonts w:ascii="Arial" w:eastAsia="Malgun Gothic" w:hAnsi="Arial"/>
          <w:color w:val="222222"/>
          <w:spacing w:val="-4"/>
          <w:sz w:val="17"/>
          <w:szCs w:val="17"/>
          <w:lang w:val="en-GB" w:eastAsia="ko-KR"/>
        </w:rPr>
        <w:t>June 27</w:t>
      </w:r>
      <w:r w:rsidR="00C879DA" w:rsidRPr="00960EB9">
        <w:rPr>
          <w:rFonts w:ascii="Arial" w:eastAsia="Malgun Gothic" w:hAnsi="Arial"/>
          <w:color w:val="222222"/>
          <w:spacing w:val="-4"/>
          <w:sz w:val="17"/>
          <w:szCs w:val="17"/>
          <w:lang w:val="en-GB" w:eastAsia="ko-KR"/>
        </w:rPr>
        <w:t xml:space="preserve">, 2017, </w:t>
      </w:r>
      <w:r w:rsidR="00960EB9" w:rsidRPr="00960EB9">
        <w:rPr>
          <w:rFonts w:ascii="Arial" w:eastAsia="Malgun Gothic" w:hAnsi="Arial"/>
          <w:color w:val="222222"/>
          <w:spacing w:val="-4"/>
          <w:sz w:val="17"/>
          <w:szCs w:val="17"/>
          <w:lang w:val="en-GB" w:eastAsia="ko-KR"/>
        </w:rPr>
        <w:t>www.mazda.com/contentassets/9d154c6051964a598f9e4870868ca7b8/</w:t>
      </w:r>
      <w:r w:rsidR="001A1AC1" w:rsidRPr="00960EB9">
        <w:rPr>
          <w:rFonts w:ascii="Arial" w:eastAsia="Malgun Gothic" w:hAnsi="Arial"/>
          <w:color w:val="222222"/>
          <w:spacing w:val="-4"/>
          <w:sz w:val="17"/>
          <w:szCs w:val="17"/>
          <w:lang w:val="en-GB" w:eastAsia="ko-KR"/>
        </w:rPr>
        <w:t>files/</w:t>
      </w:r>
    </w:p>
    <w:p w14:paraId="0529C205" w14:textId="2FE51E8C" w:rsidR="00960EB9" w:rsidRDefault="001A1AC1" w:rsidP="001656A7">
      <w:pPr>
        <w:pStyle w:val="NoSpacing"/>
        <w:jc w:val="both"/>
        <w:rPr>
          <w:rFonts w:ascii="Arial" w:eastAsia="Malgun Gothic" w:hAnsi="Arial"/>
          <w:color w:val="222222"/>
          <w:spacing w:val="-4"/>
          <w:sz w:val="17"/>
          <w:szCs w:val="17"/>
          <w:lang w:val="en-GB" w:eastAsia="ko-KR"/>
        </w:rPr>
      </w:pPr>
      <w:r w:rsidRPr="00960EB9">
        <w:rPr>
          <w:rFonts w:ascii="Arial" w:eastAsia="Malgun Gothic" w:hAnsi="Arial"/>
          <w:color w:val="222222"/>
          <w:spacing w:val="-4"/>
          <w:sz w:val="17"/>
          <w:szCs w:val="17"/>
          <w:lang w:val="en-GB" w:eastAsia="ko-KR"/>
        </w:rPr>
        <w:t>mazdaar05_e.zip</w:t>
      </w:r>
      <w:r w:rsidR="00C879DA" w:rsidRPr="00960EB9">
        <w:rPr>
          <w:rFonts w:ascii="Arial" w:eastAsia="Malgun Gothic" w:hAnsi="Arial"/>
          <w:color w:val="222222"/>
          <w:spacing w:val="-4"/>
          <w:sz w:val="17"/>
          <w:szCs w:val="17"/>
          <w:lang w:val="en-GB" w:eastAsia="ko-KR"/>
        </w:rPr>
        <w:t>;</w:t>
      </w:r>
      <w:r w:rsidR="00666715" w:rsidRPr="00960EB9">
        <w:rPr>
          <w:rFonts w:ascii="Arial" w:eastAsia="Malgun Gothic" w:hAnsi="Arial"/>
          <w:color w:val="222222"/>
          <w:spacing w:val="-4"/>
          <w:sz w:val="17"/>
          <w:szCs w:val="17"/>
          <w:lang w:val="en-GB" w:eastAsia="ko-KR"/>
        </w:rPr>
        <w:t xml:space="preserve"> </w:t>
      </w:r>
      <w:r w:rsidR="00D91AEF" w:rsidRPr="00960EB9">
        <w:rPr>
          <w:rFonts w:ascii="Arial" w:eastAsia="Malgun Gothic" w:hAnsi="Arial"/>
          <w:color w:val="222222"/>
          <w:spacing w:val="-4"/>
          <w:sz w:val="17"/>
          <w:szCs w:val="17"/>
          <w:lang w:val="en-GB" w:eastAsia="ko-KR"/>
        </w:rPr>
        <w:t xml:space="preserve">Mazda Motor Corporation, </w:t>
      </w:r>
      <w:r w:rsidR="00666715" w:rsidRPr="00960EB9">
        <w:rPr>
          <w:rFonts w:ascii="Arial" w:eastAsia="Malgun Gothic" w:hAnsi="Arial"/>
          <w:i/>
          <w:color w:val="222222"/>
          <w:spacing w:val="-4"/>
          <w:sz w:val="17"/>
          <w:szCs w:val="17"/>
          <w:lang w:val="en-GB" w:eastAsia="ko-KR"/>
        </w:rPr>
        <w:t>Annual Report</w:t>
      </w:r>
      <w:r w:rsidR="009F2A26" w:rsidRPr="00960EB9">
        <w:rPr>
          <w:rFonts w:ascii="Arial" w:eastAsia="Malgun Gothic" w:hAnsi="Arial"/>
          <w:i/>
          <w:color w:val="222222"/>
          <w:spacing w:val="-4"/>
          <w:sz w:val="17"/>
          <w:szCs w:val="17"/>
          <w:lang w:val="en-GB" w:eastAsia="ko-KR"/>
        </w:rPr>
        <w:t xml:space="preserve"> 2011</w:t>
      </w:r>
      <w:r w:rsidR="00C879DA" w:rsidRPr="00960EB9">
        <w:rPr>
          <w:rFonts w:ascii="Arial" w:eastAsia="Malgun Gothic" w:hAnsi="Arial"/>
          <w:color w:val="222222"/>
          <w:spacing w:val="-4"/>
          <w:sz w:val="17"/>
          <w:szCs w:val="17"/>
          <w:lang w:val="en-GB" w:eastAsia="ko-KR"/>
        </w:rPr>
        <w:t>,</w:t>
      </w:r>
      <w:r w:rsidR="00EF3726" w:rsidRPr="00960EB9">
        <w:rPr>
          <w:rFonts w:ascii="Arial" w:eastAsia="Malgun Gothic" w:hAnsi="Arial"/>
          <w:color w:val="222222"/>
          <w:spacing w:val="-4"/>
          <w:sz w:val="17"/>
          <w:szCs w:val="17"/>
          <w:lang w:val="en-GB" w:eastAsia="ko-KR"/>
        </w:rPr>
        <w:t xml:space="preserve"> </w:t>
      </w:r>
      <w:r w:rsidR="007D42C3" w:rsidRPr="00960EB9">
        <w:rPr>
          <w:rFonts w:ascii="Arial" w:eastAsia="Malgun Gothic" w:hAnsi="Arial"/>
          <w:color w:val="222222"/>
          <w:spacing w:val="-4"/>
          <w:sz w:val="17"/>
          <w:szCs w:val="17"/>
          <w:lang w:val="en-GB" w:eastAsia="ko-KR"/>
        </w:rPr>
        <w:t>41</w:t>
      </w:r>
      <w:r w:rsidR="00E64CAA" w:rsidRPr="00960EB9">
        <w:rPr>
          <w:rFonts w:ascii="Arial" w:eastAsia="Malgun Gothic" w:hAnsi="Arial"/>
          <w:color w:val="222222"/>
          <w:spacing w:val="-4"/>
          <w:sz w:val="17"/>
          <w:szCs w:val="17"/>
          <w:lang w:val="en-GB" w:eastAsia="ko-KR"/>
        </w:rPr>
        <w:t>,</w:t>
      </w:r>
      <w:r w:rsidR="00C879DA" w:rsidRPr="00960EB9">
        <w:rPr>
          <w:rFonts w:ascii="Arial" w:eastAsia="Malgun Gothic" w:hAnsi="Arial"/>
          <w:color w:val="222222"/>
          <w:spacing w:val="-4"/>
          <w:sz w:val="17"/>
          <w:szCs w:val="17"/>
          <w:lang w:val="en-GB" w:eastAsia="ko-KR"/>
        </w:rPr>
        <w:t xml:space="preserve"> accessed </w:t>
      </w:r>
      <w:r w:rsidR="00FB6BB0" w:rsidRPr="00960EB9">
        <w:rPr>
          <w:rFonts w:ascii="Arial" w:eastAsia="Malgun Gothic" w:hAnsi="Arial"/>
          <w:color w:val="222222"/>
          <w:spacing w:val="-4"/>
          <w:sz w:val="17"/>
          <w:szCs w:val="17"/>
          <w:lang w:val="en-GB" w:eastAsia="ko-KR"/>
        </w:rPr>
        <w:t>June 27</w:t>
      </w:r>
      <w:r w:rsidR="00C879DA" w:rsidRPr="00960EB9">
        <w:rPr>
          <w:rFonts w:ascii="Arial" w:eastAsia="Malgun Gothic" w:hAnsi="Arial"/>
          <w:color w:val="222222"/>
          <w:spacing w:val="-4"/>
          <w:sz w:val="17"/>
          <w:szCs w:val="17"/>
          <w:lang w:val="en-GB" w:eastAsia="ko-KR"/>
        </w:rPr>
        <w:t xml:space="preserve">, 2017, </w:t>
      </w:r>
      <w:r w:rsidR="00960EB9" w:rsidRPr="00960EB9">
        <w:rPr>
          <w:rFonts w:ascii="Arial" w:eastAsia="Malgun Gothic" w:hAnsi="Arial"/>
          <w:color w:val="222222"/>
          <w:spacing w:val="-4"/>
          <w:sz w:val="17"/>
          <w:szCs w:val="17"/>
          <w:lang w:val="en-GB" w:eastAsia="ko-KR"/>
        </w:rPr>
        <w:t>www.mazda.com/</w:t>
      </w:r>
      <w:r w:rsidR="001656A7" w:rsidRPr="00960EB9">
        <w:rPr>
          <w:rFonts w:ascii="Arial" w:eastAsia="Malgun Gothic" w:hAnsi="Arial"/>
          <w:color w:val="222222"/>
          <w:spacing w:val="-4"/>
          <w:sz w:val="17"/>
          <w:szCs w:val="17"/>
          <w:lang w:val="en-GB" w:eastAsia="ko-KR"/>
        </w:rPr>
        <w:t>contentassets/</w:t>
      </w:r>
    </w:p>
    <w:p w14:paraId="39FE7263" w14:textId="03D19F21" w:rsidR="0080054F" w:rsidRPr="00960EB9" w:rsidRDefault="001656A7" w:rsidP="001656A7">
      <w:pPr>
        <w:pStyle w:val="NoSpacing"/>
        <w:jc w:val="both"/>
        <w:rPr>
          <w:rFonts w:ascii="Arial" w:eastAsia="Malgun Gothic" w:hAnsi="Arial"/>
          <w:color w:val="222222"/>
          <w:spacing w:val="-4"/>
          <w:sz w:val="17"/>
          <w:szCs w:val="17"/>
          <w:lang w:val="en-GB" w:eastAsia="ko-KR"/>
        </w:rPr>
      </w:pPr>
      <w:r w:rsidRPr="00960EB9">
        <w:rPr>
          <w:rFonts w:ascii="Arial" w:eastAsia="Malgun Gothic" w:hAnsi="Arial"/>
          <w:color w:val="222222"/>
          <w:spacing w:val="-4"/>
          <w:sz w:val="17"/>
          <w:szCs w:val="17"/>
          <w:lang w:val="en-GB" w:eastAsia="ko-KR"/>
        </w:rPr>
        <w:t>8af237dce19e4cd4b8b22f9d0c626a8a/mazdaar11_e.zip</w:t>
      </w:r>
      <w:r w:rsidR="009F2A26" w:rsidRPr="00960EB9">
        <w:rPr>
          <w:rFonts w:ascii="Arial" w:eastAsia="Malgun Gothic" w:hAnsi="Arial"/>
          <w:color w:val="222222"/>
          <w:spacing w:val="-4"/>
          <w:sz w:val="17"/>
          <w:szCs w:val="17"/>
          <w:lang w:val="en-GB" w:eastAsia="ko-KR"/>
        </w:rPr>
        <w:t>;</w:t>
      </w:r>
      <w:r w:rsidRPr="00960EB9">
        <w:rPr>
          <w:rFonts w:ascii="Arial" w:eastAsia="Malgun Gothic" w:hAnsi="Arial"/>
          <w:color w:val="222222"/>
          <w:spacing w:val="-4"/>
          <w:sz w:val="17"/>
          <w:szCs w:val="17"/>
          <w:lang w:val="en-GB" w:eastAsia="ko-KR"/>
        </w:rPr>
        <w:t xml:space="preserve"> </w:t>
      </w:r>
      <w:r w:rsidR="00B92830" w:rsidRPr="00960EB9">
        <w:rPr>
          <w:rFonts w:ascii="Arial" w:eastAsia="Malgun Gothic" w:hAnsi="Arial"/>
          <w:color w:val="222222"/>
          <w:spacing w:val="-4"/>
          <w:sz w:val="17"/>
          <w:szCs w:val="17"/>
          <w:lang w:val="en-GB" w:eastAsia="ko-KR"/>
        </w:rPr>
        <w:t xml:space="preserve">Mazda Motor Corporation, </w:t>
      </w:r>
      <w:r w:rsidR="00B92830" w:rsidRPr="00960EB9">
        <w:rPr>
          <w:rFonts w:ascii="Arial" w:eastAsia="Malgun Gothic" w:hAnsi="Arial"/>
          <w:i/>
          <w:color w:val="222222"/>
          <w:spacing w:val="-4"/>
          <w:sz w:val="17"/>
          <w:szCs w:val="17"/>
          <w:lang w:val="en-GB" w:eastAsia="ko-KR"/>
        </w:rPr>
        <w:t>Annual Report 2016</w:t>
      </w:r>
      <w:r w:rsidR="00B92830" w:rsidRPr="00960EB9">
        <w:rPr>
          <w:rFonts w:ascii="Arial" w:eastAsia="Malgun Gothic" w:hAnsi="Arial"/>
          <w:color w:val="222222"/>
          <w:spacing w:val="-4"/>
          <w:sz w:val="17"/>
          <w:szCs w:val="17"/>
          <w:lang w:val="en-GB" w:eastAsia="ko-KR"/>
        </w:rPr>
        <w:t>, 10</w:t>
      </w:r>
      <w:r w:rsidR="00417168" w:rsidRPr="00960EB9">
        <w:rPr>
          <w:rFonts w:ascii="Arial" w:eastAsia="Malgun Gothic" w:hAnsi="Arial"/>
          <w:color w:val="222222"/>
          <w:spacing w:val="-4"/>
          <w:sz w:val="17"/>
          <w:szCs w:val="17"/>
          <w:lang w:val="en-GB" w:eastAsia="ko-KR"/>
        </w:rPr>
        <w:t>–</w:t>
      </w:r>
      <w:r w:rsidR="00B92830" w:rsidRPr="00960EB9">
        <w:rPr>
          <w:rFonts w:ascii="Arial" w:eastAsia="Malgun Gothic" w:hAnsi="Arial"/>
          <w:color w:val="222222"/>
          <w:spacing w:val="-4"/>
          <w:sz w:val="17"/>
          <w:szCs w:val="17"/>
          <w:lang w:val="en-GB" w:eastAsia="ko-KR"/>
        </w:rPr>
        <w:t>13, accessed June 27</w:t>
      </w:r>
      <w:r w:rsidR="00B92830" w:rsidRPr="00960EB9">
        <w:rPr>
          <w:rStyle w:val="FootnoteChar"/>
          <w:rFonts w:eastAsia="Malgun Gothic"/>
          <w:spacing w:val="-4"/>
          <w:lang w:val="en-GB"/>
        </w:rPr>
        <w:t>, 2017,</w:t>
      </w:r>
      <w:r w:rsidR="00B92830" w:rsidRPr="00960EB9">
        <w:rPr>
          <w:spacing w:val="-4"/>
          <w:lang w:val="en-GB"/>
        </w:rPr>
        <w:t xml:space="preserve"> </w:t>
      </w:r>
      <w:r w:rsidRPr="00960EB9">
        <w:rPr>
          <w:rStyle w:val="FootnoteChar"/>
          <w:rFonts w:eastAsia="Malgun Gothic"/>
          <w:spacing w:val="-4"/>
          <w:lang w:val="en-GB"/>
        </w:rPr>
        <w:t>www.mazda.com/globalassets/</w:t>
      </w:r>
      <w:r w:rsidR="00B92830" w:rsidRPr="00960EB9">
        <w:rPr>
          <w:rStyle w:val="FootnoteChar"/>
          <w:rFonts w:eastAsia="Malgun Gothic"/>
          <w:spacing w:val="-4"/>
          <w:lang w:val="en-GB"/>
        </w:rPr>
        <w:t>en/assets/investors/library/annual/files/mazdaar16_e.pdf.</w:t>
      </w:r>
    </w:p>
    <w:p w14:paraId="71771A2D" w14:textId="77777777" w:rsidR="0080054F" w:rsidRPr="00DC7563" w:rsidRDefault="0080054F">
      <w:pPr>
        <w:spacing w:after="200" w:line="276" w:lineRule="auto"/>
        <w:rPr>
          <w:rFonts w:ascii="Arial" w:eastAsia="Malgun Gothic" w:hAnsi="Arial" w:cstheme="minorBidi"/>
          <w:color w:val="222222"/>
          <w:sz w:val="17"/>
          <w:szCs w:val="17"/>
          <w:lang w:val="en-GB" w:eastAsia="ko-KR"/>
        </w:rPr>
      </w:pPr>
      <w:r w:rsidRPr="00DC7563">
        <w:rPr>
          <w:rFonts w:ascii="Arial" w:eastAsia="Malgun Gothic" w:hAnsi="Arial"/>
          <w:color w:val="222222"/>
          <w:sz w:val="17"/>
          <w:szCs w:val="17"/>
          <w:lang w:val="en-GB" w:eastAsia="ko-KR"/>
        </w:rPr>
        <w:br w:type="page"/>
      </w:r>
    </w:p>
    <w:p w14:paraId="013424DE" w14:textId="03F2099B" w:rsidR="00666715" w:rsidRPr="00DC7563" w:rsidRDefault="00666715" w:rsidP="00C73E67">
      <w:pPr>
        <w:spacing w:after="160" w:line="256" w:lineRule="auto"/>
        <w:jc w:val="center"/>
        <w:outlineLvl w:val="0"/>
        <w:rPr>
          <w:rFonts w:ascii="Arial" w:eastAsia="Malgun Gothic" w:hAnsi="Arial"/>
          <w:b/>
          <w:color w:val="222222"/>
          <w:lang w:val="en-GB" w:eastAsia="ko-KR"/>
        </w:rPr>
      </w:pPr>
      <w:r w:rsidRPr="00DC7563">
        <w:rPr>
          <w:rFonts w:ascii="Arial" w:eastAsia="Malgun Gothic" w:hAnsi="Arial"/>
          <w:b/>
          <w:color w:val="222222"/>
          <w:lang w:val="en-GB" w:eastAsia="ko-KR"/>
        </w:rPr>
        <w:lastRenderedPageBreak/>
        <w:t>EXHIBIT 3: MAZDA</w:t>
      </w:r>
      <w:r w:rsidR="00716E29" w:rsidRPr="00DC7563">
        <w:rPr>
          <w:rFonts w:ascii="Arial" w:eastAsia="Malgun Gothic" w:hAnsi="Arial"/>
          <w:b/>
          <w:color w:val="222222"/>
          <w:lang w:val="en-GB" w:eastAsia="ko-KR"/>
        </w:rPr>
        <w:t xml:space="preserve"> HISTORICAL</w:t>
      </w:r>
      <w:r w:rsidRPr="00DC7563">
        <w:rPr>
          <w:rFonts w:ascii="Arial" w:eastAsia="Malgun Gothic" w:hAnsi="Arial"/>
          <w:b/>
          <w:color w:val="222222"/>
          <w:lang w:val="en-GB" w:eastAsia="ko-KR"/>
        </w:rPr>
        <w:t xml:space="preserve"> STOCK PRICE</w:t>
      </w:r>
      <w:r w:rsidR="001B4EB0">
        <w:rPr>
          <w:rFonts w:ascii="Arial" w:eastAsia="Malgun Gothic" w:hAnsi="Arial"/>
          <w:b/>
          <w:color w:val="222222"/>
          <w:lang w:val="en-GB" w:eastAsia="ko-KR"/>
        </w:rPr>
        <w:t>S</w:t>
      </w:r>
      <w:r w:rsidR="00716E29" w:rsidRPr="00DC7563">
        <w:rPr>
          <w:rFonts w:ascii="Arial" w:eastAsia="Malgun Gothic" w:hAnsi="Arial"/>
          <w:b/>
          <w:color w:val="222222"/>
          <w:lang w:val="en-GB" w:eastAsia="ko-KR"/>
        </w:rPr>
        <w:t xml:space="preserve"> </w:t>
      </w:r>
      <w:r w:rsidRPr="00DC7563">
        <w:rPr>
          <w:rFonts w:ascii="Arial" w:eastAsia="Malgun Gothic" w:hAnsi="Arial"/>
          <w:b/>
          <w:color w:val="222222"/>
          <w:lang w:val="en-GB" w:eastAsia="ko-KR"/>
        </w:rPr>
        <w:t>(2005</w:t>
      </w:r>
      <w:r w:rsidR="007B0DB9" w:rsidRPr="00DC7563">
        <w:rPr>
          <w:rFonts w:ascii="Arial" w:eastAsia="Malgun Gothic" w:hAnsi="Arial"/>
          <w:b/>
          <w:color w:val="222222"/>
          <w:lang w:val="en-GB" w:eastAsia="ko-KR"/>
        </w:rPr>
        <w:t>–</w:t>
      </w:r>
      <w:r w:rsidRPr="00DC7563">
        <w:rPr>
          <w:rFonts w:ascii="Arial" w:eastAsia="Malgun Gothic" w:hAnsi="Arial"/>
          <w:b/>
          <w:color w:val="222222"/>
          <w:lang w:val="en-GB" w:eastAsia="ko-KR"/>
        </w:rPr>
        <w:t>2016)</w:t>
      </w:r>
    </w:p>
    <w:p w14:paraId="4876F725" w14:textId="77777777" w:rsidR="00666715" w:rsidRPr="00DC7563" w:rsidRDefault="00666715" w:rsidP="00666715">
      <w:pPr>
        <w:pStyle w:val="NoSpacing"/>
        <w:jc w:val="center"/>
        <w:rPr>
          <w:rFonts w:ascii="Times New Roman" w:eastAsia="Malgun Gothic" w:hAnsi="Times New Roman"/>
          <w:b/>
          <w:color w:val="222222"/>
          <w:sz w:val="24"/>
          <w:szCs w:val="24"/>
          <w:lang w:val="en-GB" w:eastAsia="ko-KR"/>
        </w:rPr>
      </w:pPr>
      <w:r w:rsidRPr="00DC7563">
        <w:rPr>
          <w:noProof/>
          <w:lang w:eastAsia="en-US"/>
        </w:rPr>
        <w:drawing>
          <wp:inline distT="0" distB="0" distL="0" distR="0" wp14:anchorId="21118886" wp14:editId="71AC0023">
            <wp:extent cx="5516245" cy="3754120"/>
            <wp:effectExtent l="0" t="0" r="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F41D83" w14:textId="77777777" w:rsidR="0062318D" w:rsidRPr="00DC7563" w:rsidRDefault="0062318D" w:rsidP="00666715">
      <w:pPr>
        <w:pStyle w:val="NoSpacing"/>
        <w:rPr>
          <w:rFonts w:ascii="Arial" w:eastAsia="Malgun Gothic" w:hAnsi="Arial"/>
          <w:color w:val="222222"/>
          <w:sz w:val="17"/>
          <w:szCs w:val="17"/>
          <w:lang w:val="en-GB" w:eastAsia="ko-KR"/>
        </w:rPr>
      </w:pPr>
    </w:p>
    <w:p w14:paraId="2E1CEC14" w14:textId="6393847E" w:rsidR="00666715" w:rsidRPr="00DC7563" w:rsidRDefault="00666715" w:rsidP="00430358">
      <w:pPr>
        <w:pStyle w:val="NoSpacing"/>
        <w:jc w:val="both"/>
        <w:rPr>
          <w:rFonts w:ascii="Arial" w:eastAsia="Malgun Gothic" w:hAnsi="Arial"/>
          <w:color w:val="222222"/>
          <w:sz w:val="17"/>
          <w:szCs w:val="17"/>
          <w:lang w:val="en-GB" w:eastAsia="ko-KR"/>
        </w:rPr>
      </w:pPr>
      <w:r w:rsidRPr="00DC7563">
        <w:rPr>
          <w:rFonts w:ascii="Arial" w:eastAsia="Malgun Gothic" w:hAnsi="Arial"/>
          <w:color w:val="222222"/>
          <w:sz w:val="17"/>
          <w:szCs w:val="17"/>
          <w:lang w:val="en-GB" w:eastAsia="ko-KR"/>
        </w:rPr>
        <w:t>Source: Adapted from</w:t>
      </w:r>
      <w:r w:rsidR="00716E29" w:rsidRPr="00DC7563">
        <w:rPr>
          <w:rFonts w:ascii="Arial" w:eastAsia="Malgun Gothic" w:hAnsi="Arial"/>
          <w:color w:val="222222"/>
          <w:sz w:val="17"/>
          <w:szCs w:val="17"/>
          <w:lang w:val="en-GB" w:eastAsia="ko-KR"/>
        </w:rPr>
        <w:t xml:space="preserve"> “</w:t>
      </w:r>
      <w:r w:rsidRPr="00DC7563">
        <w:rPr>
          <w:rFonts w:ascii="Arial" w:eastAsia="Malgun Gothic" w:hAnsi="Arial"/>
          <w:color w:val="222222"/>
          <w:sz w:val="17"/>
          <w:szCs w:val="17"/>
          <w:lang w:val="en-GB" w:eastAsia="ko-KR"/>
        </w:rPr>
        <w:t>Mazda Motor Corp</w:t>
      </w:r>
      <w:r w:rsidR="00716E29" w:rsidRPr="00DC7563">
        <w:rPr>
          <w:rFonts w:ascii="Arial" w:eastAsia="Malgun Gothic" w:hAnsi="Arial"/>
          <w:color w:val="222222"/>
          <w:sz w:val="17"/>
          <w:szCs w:val="17"/>
          <w:lang w:val="en-GB" w:eastAsia="ko-KR"/>
        </w:rPr>
        <w:t>,</w:t>
      </w:r>
      <w:r w:rsidRPr="00DC7563">
        <w:rPr>
          <w:rFonts w:ascii="Arial" w:eastAsia="Malgun Gothic" w:hAnsi="Arial"/>
          <w:color w:val="222222"/>
          <w:sz w:val="17"/>
          <w:szCs w:val="17"/>
          <w:lang w:val="en-GB" w:eastAsia="ko-KR"/>
        </w:rPr>
        <w:t>”</w:t>
      </w:r>
      <w:r w:rsidR="00716E29" w:rsidRPr="00DC7563">
        <w:rPr>
          <w:rFonts w:ascii="Arial" w:eastAsia="Malgun Gothic" w:hAnsi="Arial"/>
          <w:color w:val="222222"/>
          <w:sz w:val="17"/>
          <w:szCs w:val="17"/>
          <w:lang w:val="en-GB" w:eastAsia="ko-KR"/>
        </w:rPr>
        <w:t xml:space="preserve"> Google Finance,</w:t>
      </w:r>
      <w:r w:rsidRPr="00DC7563">
        <w:rPr>
          <w:rFonts w:ascii="Arial" w:eastAsia="Malgun Gothic" w:hAnsi="Arial"/>
          <w:color w:val="222222"/>
          <w:sz w:val="17"/>
          <w:szCs w:val="17"/>
          <w:lang w:val="en-GB" w:eastAsia="ko-KR"/>
        </w:rPr>
        <w:t xml:space="preserve"> accessed February </w:t>
      </w:r>
      <w:r w:rsidR="00716E29" w:rsidRPr="00DC7563">
        <w:rPr>
          <w:rFonts w:ascii="Arial" w:eastAsia="Malgun Gothic" w:hAnsi="Arial"/>
          <w:color w:val="222222"/>
          <w:sz w:val="17"/>
          <w:szCs w:val="17"/>
          <w:lang w:val="en-GB" w:eastAsia="ko-KR"/>
        </w:rPr>
        <w:t xml:space="preserve">1, </w:t>
      </w:r>
      <w:r w:rsidRPr="00DC7563">
        <w:rPr>
          <w:rFonts w:ascii="Arial" w:eastAsia="Malgun Gothic" w:hAnsi="Arial"/>
          <w:color w:val="222222"/>
          <w:sz w:val="17"/>
          <w:szCs w:val="17"/>
          <w:lang w:val="en-GB" w:eastAsia="ko-KR"/>
        </w:rPr>
        <w:t xml:space="preserve">2017, www.google.com/finance?q=TYO%3A7261&amp;ei=grSPWPLaG4eqjAGS4auAAQ. </w:t>
      </w:r>
    </w:p>
    <w:p w14:paraId="26998BAA" w14:textId="77777777" w:rsidR="00666715" w:rsidRPr="00DC7563" w:rsidRDefault="00666715" w:rsidP="00666715">
      <w:pPr>
        <w:pStyle w:val="NoSpacing"/>
        <w:rPr>
          <w:rFonts w:ascii="Times New Roman" w:eastAsia="Malgun Gothic" w:hAnsi="Times New Roman"/>
          <w:color w:val="222222"/>
          <w:sz w:val="24"/>
          <w:szCs w:val="24"/>
          <w:lang w:val="en-GB" w:eastAsia="ko-KR"/>
        </w:rPr>
      </w:pPr>
    </w:p>
    <w:p w14:paraId="6B8FCEC6" w14:textId="77777777" w:rsidR="00666715" w:rsidRPr="00DC7563" w:rsidRDefault="00666715" w:rsidP="00666715">
      <w:pPr>
        <w:pStyle w:val="NoSpacing"/>
        <w:rPr>
          <w:rFonts w:ascii="Times New Roman" w:eastAsia="Malgun Gothic" w:hAnsi="Times New Roman"/>
          <w:color w:val="222222"/>
          <w:sz w:val="24"/>
          <w:szCs w:val="24"/>
          <w:lang w:val="en-GB" w:eastAsia="ko-KR"/>
        </w:rPr>
      </w:pPr>
    </w:p>
    <w:p w14:paraId="06FC6FDA" w14:textId="33D19399" w:rsidR="00666715" w:rsidRPr="00DC7563" w:rsidRDefault="00666715" w:rsidP="00C73E67">
      <w:pPr>
        <w:pStyle w:val="ExhibitHeading"/>
        <w:outlineLvl w:val="0"/>
        <w:rPr>
          <w:rFonts w:eastAsiaTheme="minorEastAsia"/>
          <w:lang w:val="en-GB" w:eastAsia="ko-KR"/>
        </w:rPr>
      </w:pPr>
      <w:r w:rsidRPr="00DC7563">
        <w:rPr>
          <w:lang w:val="en-GB" w:eastAsia="ko-KR"/>
        </w:rPr>
        <w:t>EXHIBIT 4: MAZDA SALES VOLUME BY REGION</w:t>
      </w:r>
      <w:r w:rsidR="00417168">
        <w:rPr>
          <w:lang w:val="en-GB" w:eastAsia="ko-KR"/>
        </w:rPr>
        <w:t xml:space="preserve"> (2013–2017)</w:t>
      </w:r>
    </w:p>
    <w:p w14:paraId="1D5BC3A8" w14:textId="77777777" w:rsidR="00666715" w:rsidRPr="00DC7563" w:rsidRDefault="00666715" w:rsidP="005A3E82">
      <w:pPr>
        <w:pStyle w:val="BodyTextMain"/>
        <w:rPr>
          <w:lang w:val="en-GB"/>
        </w:rPr>
      </w:pPr>
    </w:p>
    <w:tbl>
      <w:tblPr>
        <w:tblW w:w="8815" w:type="dxa"/>
        <w:jc w:val="center"/>
        <w:tblLook w:val="04A0" w:firstRow="1" w:lastRow="0" w:firstColumn="1" w:lastColumn="0" w:noHBand="0" w:noVBand="1"/>
      </w:tblPr>
      <w:tblGrid>
        <w:gridCol w:w="2160"/>
        <w:gridCol w:w="908"/>
        <w:gridCol w:w="2104"/>
        <w:gridCol w:w="1079"/>
        <w:gridCol w:w="908"/>
        <w:gridCol w:w="1656"/>
      </w:tblGrid>
      <w:tr w:rsidR="006944E7" w:rsidRPr="00DC7563" w14:paraId="70F7B6BD" w14:textId="77777777" w:rsidTr="009F2A26">
        <w:trPr>
          <w:trHeight w:val="66"/>
          <w:jc w:val="center"/>
        </w:trPr>
        <w:tc>
          <w:tcPr>
            <w:tcW w:w="2160" w:type="dxa"/>
            <w:vMerge w:val="restart"/>
            <w:tcBorders>
              <w:top w:val="single" w:sz="4" w:space="0" w:color="auto"/>
              <w:left w:val="single" w:sz="4" w:space="0" w:color="auto"/>
              <w:right w:val="single" w:sz="4" w:space="0" w:color="auto"/>
            </w:tcBorders>
            <w:noWrap/>
            <w:vAlign w:val="center"/>
            <w:hideMark/>
          </w:tcPr>
          <w:p w14:paraId="4D08869B" w14:textId="5E47217B" w:rsidR="00ED50AD" w:rsidRPr="00DC7563" w:rsidRDefault="006944E7" w:rsidP="009F2A26">
            <w:pPr>
              <w:jc w:val="center"/>
              <w:rPr>
                <w:rFonts w:ascii="Arial" w:hAnsi="Arial" w:cs="Arial"/>
                <w:b/>
                <w:bCs/>
                <w:color w:val="000000"/>
                <w:lang w:val="en-GB"/>
              </w:rPr>
            </w:pPr>
            <w:r w:rsidRPr="00DC7563">
              <w:rPr>
                <w:rFonts w:ascii="Arial" w:hAnsi="Arial" w:cs="Arial"/>
                <w:b/>
                <w:bCs/>
                <w:color w:val="000000"/>
                <w:lang w:val="en-GB"/>
              </w:rPr>
              <w:t>Year</w:t>
            </w:r>
          </w:p>
        </w:tc>
        <w:tc>
          <w:tcPr>
            <w:tcW w:w="6655" w:type="dxa"/>
            <w:gridSpan w:val="5"/>
            <w:tcBorders>
              <w:top w:val="single" w:sz="4" w:space="0" w:color="auto"/>
              <w:left w:val="nil"/>
              <w:bottom w:val="single" w:sz="4" w:space="0" w:color="auto"/>
              <w:right w:val="single" w:sz="4" w:space="0" w:color="auto"/>
            </w:tcBorders>
            <w:noWrap/>
            <w:vAlign w:val="bottom"/>
            <w:hideMark/>
          </w:tcPr>
          <w:p w14:paraId="10719898" w14:textId="754D3D2F" w:rsidR="006944E7" w:rsidRPr="00DC7563" w:rsidRDefault="006944E7" w:rsidP="006944E7">
            <w:pPr>
              <w:spacing w:line="276" w:lineRule="auto"/>
              <w:jc w:val="center"/>
              <w:rPr>
                <w:rFonts w:ascii="Arial" w:hAnsi="Arial" w:cs="Arial"/>
                <w:b/>
                <w:bCs/>
                <w:color w:val="000000"/>
                <w:lang w:val="en-GB"/>
              </w:rPr>
            </w:pPr>
            <w:r w:rsidRPr="00DC7563">
              <w:rPr>
                <w:rFonts w:ascii="Arial" w:hAnsi="Arial" w:cs="Arial"/>
                <w:b/>
                <w:bCs/>
                <w:color w:val="000000"/>
                <w:lang w:val="en-GB"/>
              </w:rPr>
              <w:t>Sales Volume (Thousands of Units)</w:t>
            </w:r>
          </w:p>
        </w:tc>
      </w:tr>
      <w:tr w:rsidR="006944E7" w:rsidRPr="00DC7563" w14:paraId="32821114" w14:textId="77777777" w:rsidTr="00430358">
        <w:trPr>
          <w:trHeight w:val="50"/>
          <w:jc w:val="center"/>
        </w:trPr>
        <w:tc>
          <w:tcPr>
            <w:tcW w:w="2160" w:type="dxa"/>
            <w:vMerge/>
            <w:tcBorders>
              <w:left w:val="single" w:sz="4" w:space="0" w:color="auto"/>
              <w:bottom w:val="single" w:sz="4" w:space="0" w:color="auto"/>
              <w:right w:val="single" w:sz="4" w:space="0" w:color="auto"/>
            </w:tcBorders>
            <w:noWrap/>
            <w:vAlign w:val="bottom"/>
            <w:hideMark/>
          </w:tcPr>
          <w:p w14:paraId="62564EAE" w14:textId="303ADA3A" w:rsidR="006944E7" w:rsidRPr="00DC7563" w:rsidRDefault="006944E7">
            <w:pPr>
              <w:spacing w:line="276" w:lineRule="auto"/>
              <w:jc w:val="center"/>
              <w:rPr>
                <w:rFonts w:ascii="Arial" w:hAnsi="Arial" w:cs="Arial"/>
                <w:b/>
                <w:bCs/>
                <w:color w:val="000000"/>
                <w:lang w:val="en-GB"/>
              </w:rPr>
            </w:pPr>
          </w:p>
        </w:tc>
        <w:tc>
          <w:tcPr>
            <w:tcW w:w="908" w:type="dxa"/>
            <w:tcBorders>
              <w:top w:val="single" w:sz="4" w:space="0" w:color="auto"/>
              <w:left w:val="nil"/>
              <w:bottom w:val="single" w:sz="4" w:space="0" w:color="auto"/>
              <w:right w:val="single" w:sz="4" w:space="0" w:color="auto"/>
            </w:tcBorders>
            <w:noWrap/>
            <w:vAlign w:val="bottom"/>
            <w:hideMark/>
          </w:tcPr>
          <w:p w14:paraId="241544A0" w14:textId="77777777" w:rsidR="006944E7" w:rsidRPr="00DC7563" w:rsidRDefault="006944E7">
            <w:pPr>
              <w:spacing w:line="276" w:lineRule="auto"/>
              <w:jc w:val="center"/>
              <w:rPr>
                <w:rFonts w:ascii="Arial" w:hAnsi="Arial" w:cs="Arial"/>
                <w:b/>
                <w:bCs/>
                <w:color w:val="000000"/>
                <w:lang w:val="en-GB"/>
              </w:rPr>
            </w:pPr>
            <w:r w:rsidRPr="00DC7563">
              <w:rPr>
                <w:rFonts w:ascii="Arial" w:hAnsi="Arial" w:cs="Arial"/>
                <w:b/>
                <w:bCs/>
                <w:color w:val="000000"/>
                <w:lang w:val="en-GB"/>
              </w:rPr>
              <w:t>Japan</w:t>
            </w:r>
          </w:p>
        </w:tc>
        <w:tc>
          <w:tcPr>
            <w:tcW w:w="2104" w:type="dxa"/>
            <w:tcBorders>
              <w:top w:val="single" w:sz="4" w:space="0" w:color="auto"/>
              <w:left w:val="nil"/>
              <w:bottom w:val="single" w:sz="4" w:space="0" w:color="auto"/>
              <w:right w:val="single" w:sz="4" w:space="0" w:color="auto"/>
            </w:tcBorders>
            <w:noWrap/>
            <w:vAlign w:val="bottom"/>
            <w:hideMark/>
          </w:tcPr>
          <w:p w14:paraId="5EF678AD" w14:textId="77777777" w:rsidR="006944E7" w:rsidRPr="00DC7563" w:rsidRDefault="006944E7">
            <w:pPr>
              <w:spacing w:line="276" w:lineRule="auto"/>
              <w:jc w:val="center"/>
              <w:rPr>
                <w:rFonts w:ascii="Arial" w:hAnsi="Arial" w:cs="Arial"/>
                <w:b/>
                <w:bCs/>
                <w:color w:val="000000"/>
                <w:lang w:val="en-GB"/>
              </w:rPr>
            </w:pPr>
            <w:r w:rsidRPr="00DC7563">
              <w:rPr>
                <w:rFonts w:ascii="Arial" w:hAnsi="Arial" w:cs="Arial"/>
                <w:b/>
                <w:bCs/>
                <w:color w:val="000000"/>
                <w:lang w:val="en-GB"/>
              </w:rPr>
              <w:t>North America</w:t>
            </w:r>
          </w:p>
        </w:tc>
        <w:tc>
          <w:tcPr>
            <w:tcW w:w="1079" w:type="dxa"/>
            <w:tcBorders>
              <w:top w:val="single" w:sz="4" w:space="0" w:color="auto"/>
              <w:left w:val="nil"/>
              <w:bottom w:val="single" w:sz="4" w:space="0" w:color="auto"/>
              <w:right w:val="single" w:sz="4" w:space="0" w:color="auto"/>
            </w:tcBorders>
            <w:noWrap/>
            <w:vAlign w:val="bottom"/>
            <w:hideMark/>
          </w:tcPr>
          <w:p w14:paraId="30807AC9" w14:textId="77777777" w:rsidR="006944E7" w:rsidRPr="00DC7563" w:rsidRDefault="006944E7">
            <w:pPr>
              <w:spacing w:line="276" w:lineRule="auto"/>
              <w:jc w:val="center"/>
              <w:rPr>
                <w:rFonts w:ascii="Arial" w:hAnsi="Arial" w:cs="Arial"/>
                <w:b/>
                <w:bCs/>
                <w:color w:val="000000"/>
                <w:lang w:val="en-GB"/>
              </w:rPr>
            </w:pPr>
            <w:r w:rsidRPr="00DC7563">
              <w:rPr>
                <w:rFonts w:ascii="Arial" w:hAnsi="Arial" w:cs="Arial"/>
                <w:b/>
                <w:bCs/>
                <w:color w:val="000000"/>
                <w:lang w:val="en-GB"/>
              </w:rPr>
              <w:t>Europe</w:t>
            </w:r>
          </w:p>
        </w:tc>
        <w:tc>
          <w:tcPr>
            <w:tcW w:w="908" w:type="dxa"/>
            <w:tcBorders>
              <w:top w:val="single" w:sz="4" w:space="0" w:color="auto"/>
              <w:left w:val="nil"/>
              <w:bottom w:val="single" w:sz="4" w:space="0" w:color="auto"/>
              <w:right w:val="single" w:sz="4" w:space="0" w:color="auto"/>
            </w:tcBorders>
            <w:noWrap/>
            <w:vAlign w:val="bottom"/>
            <w:hideMark/>
          </w:tcPr>
          <w:p w14:paraId="4BF3471D" w14:textId="77777777" w:rsidR="006944E7" w:rsidRPr="00DC7563" w:rsidRDefault="006944E7">
            <w:pPr>
              <w:spacing w:line="276" w:lineRule="auto"/>
              <w:jc w:val="center"/>
              <w:rPr>
                <w:rFonts w:ascii="Arial" w:hAnsi="Arial" w:cs="Arial"/>
                <w:b/>
                <w:bCs/>
                <w:color w:val="000000"/>
                <w:lang w:val="en-GB"/>
              </w:rPr>
            </w:pPr>
            <w:r w:rsidRPr="00DC7563">
              <w:rPr>
                <w:rFonts w:ascii="Arial" w:hAnsi="Arial" w:cs="Arial"/>
                <w:b/>
                <w:bCs/>
                <w:color w:val="000000"/>
                <w:lang w:val="en-GB"/>
              </w:rPr>
              <w:t>China</w:t>
            </w:r>
          </w:p>
        </w:tc>
        <w:tc>
          <w:tcPr>
            <w:tcW w:w="1656" w:type="dxa"/>
            <w:tcBorders>
              <w:top w:val="single" w:sz="4" w:space="0" w:color="auto"/>
              <w:left w:val="nil"/>
              <w:bottom w:val="single" w:sz="4" w:space="0" w:color="auto"/>
              <w:right w:val="single" w:sz="4" w:space="0" w:color="auto"/>
            </w:tcBorders>
            <w:noWrap/>
            <w:vAlign w:val="bottom"/>
            <w:hideMark/>
          </w:tcPr>
          <w:p w14:paraId="4EFBF20F" w14:textId="77777777" w:rsidR="006944E7" w:rsidRPr="00DC7563" w:rsidRDefault="006944E7">
            <w:pPr>
              <w:spacing w:line="276" w:lineRule="auto"/>
              <w:jc w:val="center"/>
              <w:rPr>
                <w:rFonts w:ascii="Arial" w:hAnsi="Arial" w:cs="Arial"/>
                <w:b/>
                <w:bCs/>
                <w:color w:val="000000"/>
                <w:lang w:val="en-GB"/>
              </w:rPr>
            </w:pPr>
            <w:r w:rsidRPr="00DC7563">
              <w:rPr>
                <w:rFonts w:ascii="Arial" w:hAnsi="Arial" w:cs="Arial"/>
                <w:b/>
                <w:bCs/>
                <w:color w:val="000000"/>
                <w:lang w:val="en-GB"/>
              </w:rPr>
              <w:t>Other Markets</w:t>
            </w:r>
          </w:p>
        </w:tc>
      </w:tr>
      <w:tr w:rsidR="00666715" w:rsidRPr="00DC7563" w14:paraId="7E2BDC16" w14:textId="77777777" w:rsidTr="007B4424">
        <w:trPr>
          <w:trHeight w:val="341"/>
          <w:jc w:val="center"/>
        </w:trPr>
        <w:tc>
          <w:tcPr>
            <w:tcW w:w="2160" w:type="dxa"/>
            <w:tcBorders>
              <w:top w:val="nil"/>
              <w:left w:val="single" w:sz="4" w:space="0" w:color="auto"/>
              <w:bottom w:val="single" w:sz="4" w:space="0" w:color="auto"/>
              <w:right w:val="single" w:sz="4" w:space="0" w:color="auto"/>
            </w:tcBorders>
            <w:noWrap/>
            <w:vAlign w:val="bottom"/>
            <w:hideMark/>
          </w:tcPr>
          <w:p w14:paraId="42D5E7C2"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2013</w:t>
            </w:r>
          </w:p>
        </w:tc>
        <w:tc>
          <w:tcPr>
            <w:tcW w:w="908" w:type="dxa"/>
            <w:tcBorders>
              <w:top w:val="nil"/>
              <w:left w:val="nil"/>
              <w:bottom w:val="single" w:sz="4" w:space="0" w:color="auto"/>
              <w:right w:val="single" w:sz="4" w:space="0" w:color="auto"/>
            </w:tcBorders>
            <w:noWrap/>
            <w:vAlign w:val="bottom"/>
            <w:hideMark/>
          </w:tcPr>
          <w:p w14:paraId="2328DFDC"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216</w:t>
            </w:r>
          </w:p>
        </w:tc>
        <w:tc>
          <w:tcPr>
            <w:tcW w:w="2104" w:type="dxa"/>
            <w:tcBorders>
              <w:top w:val="nil"/>
              <w:left w:val="nil"/>
              <w:bottom w:val="single" w:sz="4" w:space="0" w:color="auto"/>
              <w:right w:val="single" w:sz="4" w:space="0" w:color="auto"/>
            </w:tcBorders>
            <w:noWrap/>
            <w:vAlign w:val="bottom"/>
            <w:hideMark/>
          </w:tcPr>
          <w:p w14:paraId="7220C15A"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372</w:t>
            </w:r>
          </w:p>
        </w:tc>
        <w:tc>
          <w:tcPr>
            <w:tcW w:w="1079" w:type="dxa"/>
            <w:tcBorders>
              <w:top w:val="nil"/>
              <w:left w:val="nil"/>
              <w:bottom w:val="single" w:sz="4" w:space="0" w:color="auto"/>
              <w:right w:val="single" w:sz="4" w:space="0" w:color="auto"/>
            </w:tcBorders>
            <w:noWrap/>
            <w:vAlign w:val="bottom"/>
            <w:hideMark/>
          </w:tcPr>
          <w:p w14:paraId="6DA69001"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172</w:t>
            </w:r>
          </w:p>
        </w:tc>
        <w:tc>
          <w:tcPr>
            <w:tcW w:w="908" w:type="dxa"/>
            <w:tcBorders>
              <w:top w:val="nil"/>
              <w:left w:val="nil"/>
              <w:bottom w:val="single" w:sz="4" w:space="0" w:color="auto"/>
              <w:right w:val="single" w:sz="4" w:space="0" w:color="auto"/>
            </w:tcBorders>
            <w:noWrap/>
            <w:vAlign w:val="bottom"/>
            <w:hideMark/>
          </w:tcPr>
          <w:p w14:paraId="29EF6F60"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175</w:t>
            </w:r>
          </w:p>
        </w:tc>
        <w:tc>
          <w:tcPr>
            <w:tcW w:w="1656" w:type="dxa"/>
            <w:tcBorders>
              <w:top w:val="nil"/>
              <w:left w:val="nil"/>
              <w:bottom w:val="single" w:sz="4" w:space="0" w:color="auto"/>
              <w:right w:val="single" w:sz="4" w:space="0" w:color="auto"/>
            </w:tcBorders>
            <w:noWrap/>
            <w:vAlign w:val="bottom"/>
            <w:hideMark/>
          </w:tcPr>
          <w:p w14:paraId="619076D6"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300</w:t>
            </w:r>
          </w:p>
        </w:tc>
      </w:tr>
      <w:tr w:rsidR="00666715" w:rsidRPr="00DC7563" w14:paraId="1CAFF431" w14:textId="77777777" w:rsidTr="007B4424">
        <w:trPr>
          <w:trHeight w:val="350"/>
          <w:jc w:val="center"/>
        </w:trPr>
        <w:tc>
          <w:tcPr>
            <w:tcW w:w="2160" w:type="dxa"/>
            <w:tcBorders>
              <w:top w:val="nil"/>
              <w:left w:val="single" w:sz="4" w:space="0" w:color="auto"/>
              <w:bottom w:val="single" w:sz="4" w:space="0" w:color="auto"/>
              <w:right w:val="single" w:sz="4" w:space="0" w:color="auto"/>
            </w:tcBorders>
            <w:noWrap/>
            <w:vAlign w:val="bottom"/>
            <w:hideMark/>
          </w:tcPr>
          <w:p w14:paraId="73A72ADB"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2014</w:t>
            </w:r>
          </w:p>
        </w:tc>
        <w:tc>
          <w:tcPr>
            <w:tcW w:w="908" w:type="dxa"/>
            <w:tcBorders>
              <w:top w:val="nil"/>
              <w:left w:val="nil"/>
              <w:bottom w:val="single" w:sz="4" w:space="0" w:color="auto"/>
              <w:right w:val="single" w:sz="4" w:space="0" w:color="auto"/>
            </w:tcBorders>
            <w:noWrap/>
            <w:vAlign w:val="bottom"/>
            <w:hideMark/>
          </w:tcPr>
          <w:p w14:paraId="6F23FEEE"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244</w:t>
            </w:r>
          </w:p>
        </w:tc>
        <w:tc>
          <w:tcPr>
            <w:tcW w:w="2104" w:type="dxa"/>
            <w:tcBorders>
              <w:top w:val="nil"/>
              <w:left w:val="nil"/>
              <w:bottom w:val="single" w:sz="4" w:space="0" w:color="auto"/>
              <w:right w:val="single" w:sz="4" w:space="0" w:color="auto"/>
            </w:tcBorders>
            <w:noWrap/>
            <w:vAlign w:val="bottom"/>
            <w:hideMark/>
          </w:tcPr>
          <w:p w14:paraId="52F7D58A"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391</w:t>
            </w:r>
          </w:p>
        </w:tc>
        <w:tc>
          <w:tcPr>
            <w:tcW w:w="1079" w:type="dxa"/>
            <w:tcBorders>
              <w:top w:val="nil"/>
              <w:left w:val="nil"/>
              <w:bottom w:val="single" w:sz="4" w:space="0" w:color="auto"/>
              <w:right w:val="single" w:sz="4" w:space="0" w:color="auto"/>
            </w:tcBorders>
            <w:noWrap/>
            <w:vAlign w:val="bottom"/>
            <w:hideMark/>
          </w:tcPr>
          <w:p w14:paraId="08C7EA53"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207</w:t>
            </w:r>
          </w:p>
        </w:tc>
        <w:tc>
          <w:tcPr>
            <w:tcW w:w="908" w:type="dxa"/>
            <w:tcBorders>
              <w:top w:val="nil"/>
              <w:left w:val="nil"/>
              <w:bottom w:val="single" w:sz="4" w:space="0" w:color="auto"/>
              <w:right w:val="single" w:sz="4" w:space="0" w:color="auto"/>
            </w:tcBorders>
            <w:noWrap/>
            <w:vAlign w:val="bottom"/>
            <w:hideMark/>
          </w:tcPr>
          <w:p w14:paraId="787527CC"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196</w:t>
            </w:r>
          </w:p>
        </w:tc>
        <w:tc>
          <w:tcPr>
            <w:tcW w:w="1656" w:type="dxa"/>
            <w:tcBorders>
              <w:top w:val="nil"/>
              <w:left w:val="nil"/>
              <w:bottom w:val="single" w:sz="4" w:space="0" w:color="auto"/>
              <w:right w:val="single" w:sz="4" w:space="0" w:color="auto"/>
            </w:tcBorders>
            <w:noWrap/>
            <w:vAlign w:val="bottom"/>
            <w:hideMark/>
          </w:tcPr>
          <w:p w14:paraId="4184BF69"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293</w:t>
            </w:r>
          </w:p>
        </w:tc>
      </w:tr>
      <w:tr w:rsidR="00666715" w:rsidRPr="00DC7563" w14:paraId="184FE2BE" w14:textId="77777777" w:rsidTr="007B4424">
        <w:trPr>
          <w:trHeight w:val="359"/>
          <w:jc w:val="center"/>
        </w:trPr>
        <w:tc>
          <w:tcPr>
            <w:tcW w:w="2160" w:type="dxa"/>
            <w:tcBorders>
              <w:top w:val="nil"/>
              <w:left w:val="single" w:sz="4" w:space="0" w:color="auto"/>
              <w:bottom w:val="single" w:sz="4" w:space="0" w:color="auto"/>
              <w:right w:val="single" w:sz="4" w:space="0" w:color="auto"/>
            </w:tcBorders>
            <w:noWrap/>
            <w:vAlign w:val="bottom"/>
            <w:hideMark/>
          </w:tcPr>
          <w:p w14:paraId="2537B57F"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2015</w:t>
            </w:r>
          </w:p>
        </w:tc>
        <w:tc>
          <w:tcPr>
            <w:tcW w:w="908" w:type="dxa"/>
            <w:tcBorders>
              <w:top w:val="nil"/>
              <w:left w:val="nil"/>
              <w:bottom w:val="single" w:sz="4" w:space="0" w:color="auto"/>
              <w:right w:val="single" w:sz="4" w:space="0" w:color="auto"/>
            </w:tcBorders>
            <w:noWrap/>
            <w:vAlign w:val="bottom"/>
            <w:hideMark/>
          </w:tcPr>
          <w:p w14:paraId="653A9DBB"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225</w:t>
            </w:r>
          </w:p>
        </w:tc>
        <w:tc>
          <w:tcPr>
            <w:tcW w:w="2104" w:type="dxa"/>
            <w:tcBorders>
              <w:top w:val="nil"/>
              <w:left w:val="nil"/>
              <w:bottom w:val="single" w:sz="4" w:space="0" w:color="auto"/>
              <w:right w:val="single" w:sz="4" w:space="0" w:color="auto"/>
            </w:tcBorders>
            <w:noWrap/>
            <w:vAlign w:val="bottom"/>
            <w:hideMark/>
          </w:tcPr>
          <w:p w14:paraId="14C1EB8C"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425</w:t>
            </w:r>
          </w:p>
        </w:tc>
        <w:tc>
          <w:tcPr>
            <w:tcW w:w="1079" w:type="dxa"/>
            <w:tcBorders>
              <w:top w:val="nil"/>
              <w:left w:val="nil"/>
              <w:bottom w:val="single" w:sz="4" w:space="0" w:color="auto"/>
              <w:right w:val="single" w:sz="4" w:space="0" w:color="auto"/>
            </w:tcBorders>
            <w:noWrap/>
            <w:vAlign w:val="bottom"/>
            <w:hideMark/>
          </w:tcPr>
          <w:p w14:paraId="6E7620D0"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229</w:t>
            </w:r>
          </w:p>
        </w:tc>
        <w:tc>
          <w:tcPr>
            <w:tcW w:w="908" w:type="dxa"/>
            <w:tcBorders>
              <w:top w:val="nil"/>
              <w:left w:val="nil"/>
              <w:bottom w:val="single" w:sz="4" w:space="0" w:color="auto"/>
              <w:right w:val="single" w:sz="4" w:space="0" w:color="auto"/>
            </w:tcBorders>
            <w:noWrap/>
            <w:vAlign w:val="bottom"/>
            <w:hideMark/>
          </w:tcPr>
          <w:p w14:paraId="44D5CC4A"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215</w:t>
            </w:r>
          </w:p>
        </w:tc>
        <w:tc>
          <w:tcPr>
            <w:tcW w:w="1656" w:type="dxa"/>
            <w:tcBorders>
              <w:top w:val="nil"/>
              <w:left w:val="nil"/>
              <w:bottom w:val="single" w:sz="4" w:space="0" w:color="auto"/>
              <w:right w:val="single" w:sz="4" w:space="0" w:color="auto"/>
            </w:tcBorders>
            <w:noWrap/>
            <w:vAlign w:val="bottom"/>
            <w:hideMark/>
          </w:tcPr>
          <w:p w14:paraId="590B0F1E"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303</w:t>
            </w:r>
          </w:p>
        </w:tc>
      </w:tr>
      <w:tr w:rsidR="00666715" w:rsidRPr="00DC7563" w14:paraId="1FA7964E" w14:textId="77777777" w:rsidTr="007B4424">
        <w:trPr>
          <w:trHeight w:val="350"/>
          <w:jc w:val="center"/>
        </w:trPr>
        <w:tc>
          <w:tcPr>
            <w:tcW w:w="2160" w:type="dxa"/>
            <w:tcBorders>
              <w:top w:val="nil"/>
              <w:left w:val="single" w:sz="4" w:space="0" w:color="auto"/>
              <w:bottom w:val="single" w:sz="4" w:space="0" w:color="auto"/>
              <w:right w:val="single" w:sz="4" w:space="0" w:color="auto"/>
            </w:tcBorders>
            <w:noWrap/>
            <w:vAlign w:val="bottom"/>
            <w:hideMark/>
          </w:tcPr>
          <w:p w14:paraId="4BBA5BA1"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2016</w:t>
            </w:r>
          </w:p>
        </w:tc>
        <w:tc>
          <w:tcPr>
            <w:tcW w:w="908" w:type="dxa"/>
            <w:tcBorders>
              <w:top w:val="nil"/>
              <w:left w:val="nil"/>
              <w:bottom w:val="single" w:sz="4" w:space="0" w:color="auto"/>
              <w:right w:val="single" w:sz="4" w:space="0" w:color="auto"/>
            </w:tcBorders>
            <w:noWrap/>
            <w:vAlign w:val="bottom"/>
            <w:hideMark/>
          </w:tcPr>
          <w:p w14:paraId="475A09B4"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232</w:t>
            </w:r>
          </w:p>
        </w:tc>
        <w:tc>
          <w:tcPr>
            <w:tcW w:w="2104" w:type="dxa"/>
            <w:tcBorders>
              <w:top w:val="nil"/>
              <w:left w:val="nil"/>
              <w:bottom w:val="single" w:sz="4" w:space="0" w:color="auto"/>
              <w:right w:val="single" w:sz="4" w:space="0" w:color="auto"/>
            </w:tcBorders>
            <w:noWrap/>
            <w:vAlign w:val="bottom"/>
            <w:hideMark/>
          </w:tcPr>
          <w:p w14:paraId="64330C8A"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438</w:t>
            </w:r>
          </w:p>
        </w:tc>
        <w:tc>
          <w:tcPr>
            <w:tcW w:w="1079" w:type="dxa"/>
            <w:tcBorders>
              <w:top w:val="nil"/>
              <w:left w:val="nil"/>
              <w:bottom w:val="single" w:sz="4" w:space="0" w:color="auto"/>
              <w:right w:val="single" w:sz="4" w:space="0" w:color="auto"/>
            </w:tcBorders>
            <w:noWrap/>
            <w:vAlign w:val="bottom"/>
            <w:hideMark/>
          </w:tcPr>
          <w:p w14:paraId="1574F548"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257</w:t>
            </w:r>
          </w:p>
        </w:tc>
        <w:tc>
          <w:tcPr>
            <w:tcW w:w="908" w:type="dxa"/>
            <w:tcBorders>
              <w:top w:val="nil"/>
              <w:left w:val="nil"/>
              <w:bottom w:val="single" w:sz="4" w:space="0" w:color="auto"/>
              <w:right w:val="single" w:sz="4" w:space="0" w:color="auto"/>
            </w:tcBorders>
            <w:noWrap/>
            <w:vAlign w:val="bottom"/>
            <w:hideMark/>
          </w:tcPr>
          <w:p w14:paraId="42F29B41"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235</w:t>
            </w:r>
          </w:p>
        </w:tc>
        <w:tc>
          <w:tcPr>
            <w:tcW w:w="1656" w:type="dxa"/>
            <w:tcBorders>
              <w:top w:val="nil"/>
              <w:left w:val="nil"/>
              <w:bottom w:val="single" w:sz="4" w:space="0" w:color="auto"/>
              <w:right w:val="single" w:sz="4" w:space="0" w:color="auto"/>
            </w:tcBorders>
            <w:noWrap/>
            <w:vAlign w:val="bottom"/>
            <w:hideMark/>
          </w:tcPr>
          <w:p w14:paraId="703AED1E"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372</w:t>
            </w:r>
          </w:p>
        </w:tc>
      </w:tr>
      <w:tr w:rsidR="00666715" w:rsidRPr="00DC7563" w14:paraId="607DE646" w14:textId="77777777" w:rsidTr="007B4424">
        <w:trPr>
          <w:trHeight w:val="341"/>
          <w:jc w:val="center"/>
        </w:trPr>
        <w:tc>
          <w:tcPr>
            <w:tcW w:w="2160" w:type="dxa"/>
            <w:tcBorders>
              <w:top w:val="nil"/>
              <w:left w:val="single" w:sz="4" w:space="0" w:color="auto"/>
              <w:bottom w:val="single" w:sz="4" w:space="0" w:color="auto"/>
              <w:right w:val="single" w:sz="4" w:space="0" w:color="auto"/>
            </w:tcBorders>
            <w:noWrap/>
            <w:vAlign w:val="bottom"/>
            <w:hideMark/>
          </w:tcPr>
          <w:p w14:paraId="7B3DF24B"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2017 (Forecast)</w:t>
            </w:r>
          </w:p>
        </w:tc>
        <w:tc>
          <w:tcPr>
            <w:tcW w:w="908" w:type="dxa"/>
            <w:tcBorders>
              <w:top w:val="nil"/>
              <w:left w:val="nil"/>
              <w:bottom w:val="single" w:sz="4" w:space="0" w:color="auto"/>
              <w:right w:val="single" w:sz="4" w:space="0" w:color="auto"/>
            </w:tcBorders>
            <w:noWrap/>
            <w:vAlign w:val="bottom"/>
            <w:hideMark/>
          </w:tcPr>
          <w:p w14:paraId="12851DC9"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233</w:t>
            </w:r>
          </w:p>
        </w:tc>
        <w:tc>
          <w:tcPr>
            <w:tcW w:w="2104" w:type="dxa"/>
            <w:tcBorders>
              <w:top w:val="nil"/>
              <w:left w:val="nil"/>
              <w:bottom w:val="single" w:sz="4" w:space="0" w:color="auto"/>
              <w:right w:val="single" w:sz="4" w:space="0" w:color="auto"/>
            </w:tcBorders>
            <w:noWrap/>
            <w:vAlign w:val="bottom"/>
            <w:hideMark/>
          </w:tcPr>
          <w:p w14:paraId="17D46949"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449</w:t>
            </w:r>
          </w:p>
        </w:tc>
        <w:tc>
          <w:tcPr>
            <w:tcW w:w="1079" w:type="dxa"/>
            <w:tcBorders>
              <w:top w:val="nil"/>
              <w:left w:val="nil"/>
              <w:bottom w:val="single" w:sz="4" w:space="0" w:color="auto"/>
              <w:right w:val="single" w:sz="4" w:space="0" w:color="auto"/>
            </w:tcBorders>
            <w:noWrap/>
            <w:vAlign w:val="bottom"/>
            <w:hideMark/>
          </w:tcPr>
          <w:p w14:paraId="4AD7D103"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260</w:t>
            </w:r>
          </w:p>
        </w:tc>
        <w:tc>
          <w:tcPr>
            <w:tcW w:w="908" w:type="dxa"/>
            <w:tcBorders>
              <w:top w:val="nil"/>
              <w:left w:val="nil"/>
              <w:bottom w:val="single" w:sz="4" w:space="0" w:color="auto"/>
              <w:right w:val="single" w:sz="4" w:space="0" w:color="auto"/>
            </w:tcBorders>
            <w:noWrap/>
            <w:vAlign w:val="bottom"/>
            <w:hideMark/>
          </w:tcPr>
          <w:p w14:paraId="547A4278"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238</w:t>
            </w:r>
          </w:p>
        </w:tc>
        <w:tc>
          <w:tcPr>
            <w:tcW w:w="1656" w:type="dxa"/>
            <w:tcBorders>
              <w:top w:val="nil"/>
              <w:left w:val="nil"/>
              <w:bottom w:val="single" w:sz="4" w:space="0" w:color="auto"/>
              <w:right w:val="single" w:sz="4" w:space="0" w:color="auto"/>
            </w:tcBorders>
            <w:noWrap/>
            <w:vAlign w:val="bottom"/>
            <w:hideMark/>
          </w:tcPr>
          <w:p w14:paraId="7154E263" w14:textId="77777777" w:rsidR="00666715" w:rsidRPr="00DC7563" w:rsidRDefault="00666715">
            <w:pPr>
              <w:spacing w:line="276" w:lineRule="auto"/>
              <w:jc w:val="center"/>
              <w:rPr>
                <w:rFonts w:ascii="Arial" w:hAnsi="Arial" w:cs="Arial"/>
                <w:color w:val="000000"/>
                <w:lang w:val="en-GB"/>
              </w:rPr>
            </w:pPr>
            <w:r w:rsidRPr="00DC7563">
              <w:rPr>
                <w:rFonts w:ascii="Arial" w:hAnsi="Arial" w:cs="Arial"/>
                <w:color w:val="000000"/>
                <w:lang w:val="en-GB"/>
              </w:rPr>
              <w:t>370</w:t>
            </w:r>
          </w:p>
        </w:tc>
      </w:tr>
    </w:tbl>
    <w:p w14:paraId="58F80470" w14:textId="77777777" w:rsidR="00666715" w:rsidRPr="00DC7563" w:rsidRDefault="00666715" w:rsidP="00666715">
      <w:pPr>
        <w:pStyle w:val="NoSpacing"/>
        <w:rPr>
          <w:rFonts w:ascii="Times New Roman" w:eastAsia="Malgun Gothic" w:hAnsi="Times New Roman"/>
          <w:color w:val="222222"/>
          <w:sz w:val="20"/>
          <w:szCs w:val="20"/>
          <w:lang w:val="en-GB" w:eastAsia="ko-KR"/>
        </w:rPr>
      </w:pPr>
    </w:p>
    <w:p w14:paraId="3DCF23F0" w14:textId="7B85E00D" w:rsidR="00232391" w:rsidRPr="00DC7563" w:rsidRDefault="00666715" w:rsidP="009F2A26">
      <w:pPr>
        <w:pStyle w:val="NoSpacing"/>
        <w:jc w:val="both"/>
        <w:rPr>
          <w:rFonts w:ascii="Arial" w:eastAsia="Malgun Gothic" w:hAnsi="Arial"/>
          <w:color w:val="222222"/>
          <w:sz w:val="17"/>
          <w:szCs w:val="17"/>
          <w:lang w:val="en-GB" w:eastAsia="ko-KR"/>
        </w:rPr>
      </w:pPr>
      <w:r w:rsidRPr="00DC7563">
        <w:rPr>
          <w:rFonts w:ascii="Arial" w:eastAsia="Malgun Gothic" w:hAnsi="Arial"/>
          <w:color w:val="222222"/>
          <w:sz w:val="17"/>
          <w:szCs w:val="17"/>
          <w:lang w:val="en-GB" w:eastAsia="ko-KR"/>
        </w:rPr>
        <w:t>Source: Adapted from</w:t>
      </w:r>
      <w:r w:rsidR="00D91AEF" w:rsidRPr="00DC7563">
        <w:rPr>
          <w:rFonts w:ascii="Arial" w:eastAsia="Malgun Gothic" w:hAnsi="Arial"/>
          <w:color w:val="222222"/>
          <w:sz w:val="17"/>
          <w:szCs w:val="17"/>
          <w:lang w:val="en-GB" w:eastAsia="ko-KR"/>
        </w:rPr>
        <w:t xml:space="preserve"> </w:t>
      </w:r>
      <w:r w:rsidR="009F2A26" w:rsidRPr="00DC7563">
        <w:rPr>
          <w:rFonts w:ascii="Arial" w:eastAsia="Malgun Gothic" w:hAnsi="Arial"/>
          <w:color w:val="222222"/>
          <w:sz w:val="17"/>
          <w:szCs w:val="17"/>
          <w:lang w:val="en-GB" w:eastAsia="ko-KR"/>
        </w:rPr>
        <w:t xml:space="preserve">Mazda Motor Corporation, </w:t>
      </w:r>
      <w:r w:rsidR="009F2A26" w:rsidRPr="00DC7563">
        <w:rPr>
          <w:rFonts w:ascii="Arial" w:eastAsia="Malgun Gothic" w:hAnsi="Arial"/>
          <w:i/>
          <w:color w:val="222222"/>
          <w:sz w:val="17"/>
          <w:szCs w:val="17"/>
          <w:lang w:val="en-GB" w:eastAsia="ko-KR"/>
        </w:rPr>
        <w:t>Annual Report 2016</w:t>
      </w:r>
      <w:r w:rsidR="009F2A26" w:rsidRPr="00DC7563">
        <w:rPr>
          <w:rFonts w:ascii="Arial" w:eastAsia="Malgun Gothic" w:hAnsi="Arial"/>
          <w:color w:val="222222"/>
          <w:sz w:val="17"/>
          <w:szCs w:val="17"/>
          <w:lang w:val="en-GB" w:eastAsia="ko-KR"/>
        </w:rPr>
        <w:t xml:space="preserve">, </w:t>
      </w:r>
      <w:r w:rsidR="00CE6781" w:rsidRPr="00DC7563">
        <w:rPr>
          <w:rFonts w:ascii="Arial" w:eastAsia="Malgun Gothic" w:hAnsi="Arial"/>
          <w:color w:val="222222"/>
          <w:sz w:val="17"/>
          <w:szCs w:val="17"/>
          <w:lang w:val="en-GB" w:eastAsia="ko-KR"/>
        </w:rPr>
        <w:t xml:space="preserve">12–16, </w:t>
      </w:r>
      <w:r w:rsidR="009F2A26" w:rsidRPr="00DC7563">
        <w:rPr>
          <w:rFonts w:ascii="Arial" w:eastAsia="Malgun Gothic" w:hAnsi="Arial"/>
          <w:color w:val="222222"/>
          <w:sz w:val="17"/>
          <w:szCs w:val="17"/>
          <w:lang w:val="en-GB" w:eastAsia="ko-KR"/>
        </w:rPr>
        <w:t>accessed June 27</w:t>
      </w:r>
      <w:r w:rsidR="009F2A26" w:rsidRPr="00DC7563">
        <w:rPr>
          <w:rStyle w:val="FootnoteChar"/>
          <w:rFonts w:eastAsia="Malgun Gothic"/>
          <w:lang w:val="en-GB"/>
        </w:rPr>
        <w:t>, 2017,</w:t>
      </w:r>
      <w:r w:rsidR="009F2A26" w:rsidRPr="00DC7563">
        <w:rPr>
          <w:lang w:val="en-GB"/>
        </w:rPr>
        <w:t xml:space="preserve"> </w:t>
      </w:r>
      <w:r w:rsidR="009F2A26" w:rsidRPr="00DC7563">
        <w:rPr>
          <w:rStyle w:val="FootnoteChar"/>
          <w:rFonts w:eastAsia="Malgun Gothic"/>
          <w:lang w:val="en-GB"/>
        </w:rPr>
        <w:t>www.mazda.com/globalassets/en/assets/investors/library/annual/files/mazdaar16_e.pdf.</w:t>
      </w:r>
    </w:p>
    <w:p w14:paraId="4EA29391" w14:textId="77777777" w:rsidR="00666715" w:rsidRPr="00DC7563" w:rsidRDefault="00666715" w:rsidP="00666715">
      <w:pPr>
        <w:pStyle w:val="NoSpacing"/>
        <w:rPr>
          <w:rFonts w:ascii="Times New Roman" w:eastAsia="Malgun Gothic" w:hAnsi="Times New Roman"/>
          <w:color w:val="222222"/>
          <w:sz w:val="20"/>
          <w:szCs w:val="20"/>
          <w:lang w:val="en-GB" w:eastAsia="ko-KR"/>
        </w:rPr>
      </w:pPr>
      <w:r w:rsidRPr="00DC7563">
        <w:rPr>
          <w:rFonts w:ascii="Times New Roman" w:eastAsia="Malgun Gothic" w:hAnsi="Times New Roman"/>
          <w:color w:val="222222"/>
          <w:sz w:val="20"/>
          <w:szCs w:val="20"/>
          <w:lang w:val="en-GB" w:eastAsia="ko-KR"/>
        </w:rPr>
        <w:br w:type="page"/>
      </w:r>
    </w:p>
    <w:p w14:paraId="4E03F24C" w14:textId="2609105C" w:rsidR="00666715" w:rsidRPr="00DC7563" w:rsidRDefault="00666715" w:rsidP="00C73E67">
      <w:pPr>
        <w:pStyle w:val="NoSpacing"/>
        <w:jc w:val="center"/>
        <w:outlineLvl w:val="0"/>
        <w:rPr>
          <w:rFonts w:ascii="Arial" w:eastAsia="Malgun Gothic" w:hAnsi="Arial"/>
          <w:b/>
          <w:color w:val="222222"/>
          <w:sz w:val="20"/>
          <w:szCs w:val="20"/>
          <w:lang w:val="en-GB" w:eastAsia="ko-KR"/>
        </w:rPr>
      </w:pPr>
      <w:r w:rsidRPr="00DC7563">
        <w:rPr>
          <w:rFonts w:ascii="Arial" w:eastAsia="Malgun Gothic" w:hAnsi="Arial"/>
          <w:b/>
          <w:color w:val="222222"/>
          <w:sz w:val="20"/>
          <w:szCs w:val="20"/>
          <w:lang w:val="en-GB" w:eastAsia="ko-KR"/>
        </w:rPr>
        <w:lastRenderedPageBreak/>
        <w:t>EXHIBIT 5: MAZDA</w:t>
      </w:r>
      <w:r w:rsidR="00495EA2" w:rsidRPr="00DC7563">
        <w:rPr>
          <w:rFonts w:ascii="Arial" w:eastAsia="Malgun Gothic" w:hAnsi="Arial"/>
          <w:b/>
          <w:color w:val="222222"/>
          <w:sz w:val="20"/>
          <w:szCs w:val="20"/>
          <w:lang w:val="en-GB" w:eastAsia="ko-KR"/>
        </w:rPr>
        <w:t xml:space="preserve"> </w:t>
      </w:r>
      <w:r w:rsidRPr="00DC7563">
        <w:rPr>
          <w:rFonts w:ascii="Arial" w:eastAsia="Malgun Gothic" w:hAnsi="Arial"/>
          <w:b/>
          <w:color w:val="222222"/>
          <w:sz w:val="20"/>
          <w:szCs w:val="20"/>
          <w:lang w:val="en-GB" w:eastAsia="ko-KR"/>
        </w:rPr>
        <w:t>HISTORICAL FINANCIAL STATEMENTS</w:t>
      </w:r>
    </w:p>
    <w:p w14:paraId="08733889" w14:textId="77777777" w:rsidR="00EA72C5" w:rsidRPr="00DC7563" w:rsidRDefault="00EA72C5" w:rsidP="00666715">
      <w:pPr>
        <w:pStyle w:val="NoSpacing"/>
        <w:jc w:val="center"/>
        <w:rPr>
          <w:rFonts w:ascii="Calibri" w:eastAsia="Times New Roman" w:hAnsi="Calibri" w:cs="Times New Roman"/>
          <w:color w:val="000000"/>
          <w:sz w:val="14"/>
          <w:lang w:val="en-GB" w:eastAsia="en-US"/>
        </w:rPr>
      </w:pPr>
    </w:p>
    <w:tbl>
      <w:tblPr>
        <w:tblW w:w="49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2"/>
        <w:gridCol w:w="1114"/>
        <w:gridCol w:w="1079"/>
        <w:gridCol w:w="1082"/>
        <w:gridCol w:w="1079"/>
        <w:gridCol w:w="1082"/>
        <w:gridCol w:w="1438"/>
      </w:tblGrid>
      <w:tr w:rsidR="005D41DA" w:rsidRPr="00DC7563" w14:paraId="325698B7" w14:textId="77777777" w:rsidTr="00F726FD">
        <w:trPr>
          <w:trHeight w:val="251"/>
          <w:jc w:val="center"/>
        </w:trPr>
        <w:tc>
          <w:tcPr>
            <w:tcW w:w="1291" w:type="pct"/>
            <w:shd w:val="clear" w:color="auto" w:fill="auto"/>
            <w:noWrap/>
            <w:vAlign w:val="bottom"/>
            <w:hideMark/>
          </w:tcPr>
          <w:p w14:paraId="474C9AF6" w14:textId="77777777" w:rsidR="005D41DA" w:rsidRPr="00DC7563" w:rsidRDefault="005D41DA">
            <w:pPr>
              <w:spacing w:line="276" w:lineRule="auto"/>
              <w:rPr>
                <w:rFonts w:ascii="Arial" w:hAnsi="Arial" w:cs="Arial"/>
                <w:color w:val="000000"/>
                <w:sz w:val="17"/>
                <w:szCs w:val="17"/>
                <w:lang w:val="en-GB"/>
              </w:rPr>
            </w:pPr>
            <w:r w:rsidRPr="00DC7563">
              <w:rPr>
                <w:rFonts w:ascii="Arial" w:hAnsi="Arial" w:cs="Arial"/>
                <w:color w:val="000000"/>
                <w:sz w:val="17"/>
                <w:szCs w:val="17"/>
                <w:lang w:val="en-GB"/>
              </w:rPr>
              <w:t> </w:t>
            </w:r>
          </w:p>
        </w:tc>
        <w:tc>
          <w:tcPr>
            <w:tcW w:w="2933" w:type="pct"/>
            <w:gridSpan w:val="5"/>
            <w:shd w:val="clear" w:color="auto" w:fill="auto"/>
            <w:noWrap/>
            <w:vAlign w:val="center"/>
            <w:hideMark/>
          </w:tcPr>
          <w:p w14:paraId="58EA3078" w14:textId="06FD2675" w:rsidR="005D41DA" w:rsidRPr="00DC7563" w:rsidRDefault="005D41DA" w:rsidP="009B143F">
            <w:pPr>
              <w:spacing w:line="276" w:lineRule="auto"/>
              <w:jc w:val="center"/>
              <w:rPr>
                <w:rFonts w:ascii="Arial" w:hAnsi="Arial" w:cs="Arial"/>
                <w:color w:val="000000"/>
                <w:sz w:val="17"/>
                <w:szCs w:val="17"/>
                <w:lang w:val="en-GB"/>
              </w:rPr>
            </w:pPr>
            <w:r w:rsidRPr="00DC7563">
              <w:rPr>
                <w:rFonts w:ascii="Arial" w:hAnsi="Arial" w:cs="Arial"/>
                <w:color w:val="000000"/>
                <w:sz w:val="17"/>
                <w:szCs w:val="17"/>
                <w:lang w:val="en-GB"/>
              </w:rPr>
              <w:t xml:space="preserve">Millions of </w:t>
            </w:r>
            <w:r w:rsidRPr="00DC7563">
              <w:rPr>
                <w:rStyle w:val="tgc"/>
                <w:rFonts w:ascii="Arial" w:hAnsi="Arial" w:cs="Arial"/>
                <w:bCs/>
                <w:sz w:val="18"/>
                <w:szCs w:val="18"/>
                <w:lang w:val="en-GB"/>
              </w:rPr>
              <w:t>¥</w:t>
            </w:r>
          </w:p>
        </w:tc>
        <w:tc>
          <w:tcPr>
            <w:tcW w:w="776" w:type="pct"/>
            <w:shd w:val="clear" w:color="auto" w:fill="auto"/>
            <w:noWrap/>
            <w:vAlign w:val="center"/>
            <w:hideMark/>
          </w:tcPr>
          <w:p w14:paraId="4EFF4714" w14:textId="71AB12A6" w:rsidR="005D41DA" w:rsidRPr="00DC7563" w:rsidRDefault="005D41DA" w:rsidP="009B143F">
            <w:pPr>
              <w:spacing w:line="276" w:lineRule="auto"/>
              <w:jc w:val="center"/>
              <w:rPr>
                <w:rFonts w:ascii="Arial" w:hAnsi="Arial" w:cs="Arial"/>
                <w:color w:val="000000"/>
                <w:sz w:val="17"/>
                <w:szCs w:val="17"/>
                <w:lang w:val="en-GB"/>
              </w:rPr>
            </w:pPr>
            <w:r w:rsidRPr="00DC7563">
              <w:rPr>
                <w:rFonts w:ascii="Arial" w:hAnsi="Arial" w:cs="Arial"/>
                <w:color w:val="000000"/>
                <w:sz w:val="17"/>
                <w:szCs w:val="17"/>
                <w:lang w:val="en-GB"/>
              </w:rPr>
              <w:t>Thousands of US$</w:t>
            </w:r>
            <w:r w:rsidR="00960EB9">
              <w:rPr>
                <w:rFonts w:ascii="Arial" w:hAnsi="Arial" w:cs="Arial"/>
                <w:color w:val="000000"/>
                <w:sz w:val="17"/>
                <w:szCs w:val="17"/>
                <w:vertAlign w:val="superscript"/>
                <w:lang w:val="en-GB"/>
              </w:rPr>
              <w:t>1</w:t>
            </w:r>
          </w:p>
        </w:tc>
      </w:tr>
      <w:tr w:rsidR="005D41DA" w:rsidRPr="00DC7563" w14:paraId="0C395BA4" w14:textId="77777777" w:rsidTr="00F726FD">
        <w:trPr>
          <w:trHeight w:val="305"/>
          <w:jc w:val="center"/>
        </w:trPr>
        <w:tc>
          <w:tcPr>
            <w:tcW w:w="1291" w:type="pct"/>
            <w:shd w:val="clear" w:color="auto" w:fill="auto"/>
            <w:noWrap/>
            <w:vAlign w:val="bottom"/>
            <w:hideMark/>
          </w:tcPr>
          <w:p w14:paraId="3F2D8523" w14:textId="677F193B" w:rsidR="005D41DA" w:rsidRPr="00DC7563" w:rsidRDefault="005D41DA" w:rsidP="005D41DA">
            <w:pPr>
              <w:spacing w:line="276" w:lineRule="auto"/>
              <w:rPr>
                <w:rFonts w:ascii="Arial" w:hAnsi="Arial" w:cs="Arial"/>
                <w:b/>
                <w:bCs/>
                <w:color w:val="000000"/>
                <w:sz w:val="17"/>
                <w:szCs w:val="17"/>
                <w:lang w:val="en-GB"/>
              </w:rPr>
            </w:pPr>
            <w:r w:rsidRPr="00DC7563">
              <w:rPr>
                <w:rFonts w:ascii="Arial" w:hAnsi="Arial" w:cs="Arial"/>
                <w:b/>
                <w:bCs/>
                <w:color w:val="000000"/>
                <w:sz w:val="17"/>
                <w:szCs w:val="17"/>
                <w:lang w:val="en-GB"/>
              </w:rPr>
              <w:t>For the year:</w:t>
            </w:r>
          </w:p>
        </w:tc>
        <w:tc>
          <w:tcPr>
            <w:tcW w:w="601" w:type="pct"/>
            <w:shd w:val="clear" w:color="auto" w:fill="auto"/>
            <w:noWrap/>
            <w:vAlign w:val="bottom"/>
            <w:hideMark/>
          </w:tcPr>
          <w:p w14:paraId="2D53E768" w14:textId="77777777" w:rsidR="005D41DA" w:rsidRPr="00DC7563" w:rsidRDefault="005D41DA" w:rsidP="005D41DA">
            <w:pPr>
              <w:spacing w:line="276" w:lineRule="auto"/>
              <w:jc w:val="center"/>
              <w:rPr>
                <w:rFonts w:ascii="Arial" w:hAnsi="Arial" w:cs="Arial"/>
                <w:b/>
                <w:bCs/>
                <w:color w:val="000000"/>
                <w:sz w:val="17"/>
                <w:szCs w:val="17"/>
                <w:lang w:val="en-GB"/>
              </w:rPr>
            </w:pPr>
            <w:r w:rsidRPr="00DC7563">
              <w:rPr>
                <w:rFonts w:ascii="Arial" w:hAnsi="Arial" w:cs="Arial"/>
                <w:b/>
                <w:bCs/>
                <w:color w:val="000000"/>
                <w:sz w:val="17"/>
                <w:szCs w:val="17"/>
                <w:lang w:val="en-GB"/>
              </w:rPr>
              <w:t>2012</w:t>
            </w:r>
          </w:p>
        </w:tc>
        <w:tc>
          <w:tcPr>
            <w:tcW w:w="582" w:type="pct"/>
            <w:shd w:val="clear" w:color="auto" w:fill="auto"/>
            <w:vAlign w:val="bottom"/>
          </w:tcPr>
          <w:p w14:paraId="7B918D42" w14:textId="1C8F53FA" w:rsidR="005D41DA" w:rsidRPr="00DC7563" w:rsidRDefault="005D41DA" w:rsidP="005D41DA">
            <w:pPr>
              <w:spacing w:line="276" w:lineRule="auto"/>
              <w:jc w:val="center"/>
              <w:rPr>
                <w:rFonts w:ascii="Arial" w:hAnsi="Arial" w:cs="Arial"/>
                <w:b/>
                <w:bCs/>
                <w:color w:val="000000"/>
                <w:sz w:val="17"/>
                <w:szCs w:val="17"/>
                <w:lang w:val="en-GB"/>
              </w:rPr>
            </w:pPr>
            <w:r w:rsidRPr="00DC7563">
              <w:rPr>
                <w:rFonts w:ascii="Arial" w:hAnsi="Arial" w:cs="Arial"/>
                <w:b/>
                <w:bCs/>
                <w:color w:val="000000"/>
                <w:sz w:val="17"/>
                <w:szCs w:val="17"/>
                <w:lang w:val="en-GB"/>
              </w:rPr>
              <w:t>2013</w:t>
            </w:r>
          </w:p>
        </w:tc>
        <w:tc>
          <w:tcPr>
            <w:tcW w:w="584" w:type="pct"/>
            <w:shd w:val="clear" w:color="auto" w:fill="auto"/>
            <w:vAlign w:val="bottom"/>
          </w:tcPr>
          <w:p w14:paraId="761B4A46" w14:textId="7E99CC0F" w:rsidR="005D41DA" w:rsidRPr="00DC7563" w:rsidRDefault="005D41DA" w:rsidP="005D41DA">
            <w:pPr>
              <w:spacing w:line="276" w:lineRule="auto"/>
              <w:jc w:val="center"/>
              <w:rPr>
                <w:rFonts w:ascii="Arial" w:hAnsi="Arial" w:cs="Arial"/>
                <w:b/>
                <w:bCs/>
                <w:color w:val="000000"/>
                <w:sz w:val="17"/>
                <w:szCs w:val="17"/>
                <w:lang w:val="en-GB"/>
              </w:rPr>
            </w:pPr>
            <w:r w:rsidRPr="00DC7563">
              <w:rPr>
                <w:rFonts w:ascii="Arial" w:hAnsi="Arial" w:cs="Arial"/>
                <w:b/>
                <w:bCs/>
                <w:color w:val="000000"/>
                <w:sz w:val="17"/>
                <w:szCs w:val="17"/>
                <w:lang w:val="en-GB"/>
              </w:rPr>
              <w:t>2014</w:t>
            </w:r>
          </w:p>
        </w:tc>
        <w:tc>
          <w:tcPr>
            <w:tcW w:w="582" w:type="pct"/>
            <w:shd w:val="clear" w:color="auto" w:fill="auto"/>
            <w:vAlign w:val="bottom"/>
          </w:tcPr>
          <w:p w14:paraId="00C8A755" w14:textId="5032B46B" w:rsidR="005D41DA" w:rsidRPr="00DC7563" w:rsidRDefault="005D41DA" w:rsidP="005D41DA">
            <w:pPr>
              <w:spacing w:line="276" w:lineRule="auto"/>
              <w:jc w:val="center"/>
              <w:rPr>
                <w:rFonts w:ascii="Arial" w:hAnsi="Arial" w:cs="Arial"/>
                <w:b/>
                <w:bCs/>
                <w:color w:val="000000"/>
                <w:sz w:val="17"/>
                <w:szCs w:val="17"/>
                <w:lang w:val="en-GB"/>
              </w:rPr>
            </w:pPr>
            <w:r w:rsidRPr="00DC7563">
              <w:rPr>
                <w:rFonts w:ascii="Arial" w:hAnsi="Arial" w:cs="Arial"/>
                <w:b/>
                <w:bCs/>
                <w:color w:val="000000"/>
                <w:sz w:val="17"/>
                <w:szCs w:val="17"/>
                <w:lang w:val="en-GB"/>
              </w:rPr>
              <w:t>2015</w:t>
            </w:r>
          </w:p>
        </w:tc>
        <w:tc>
          <w:tcPr>
            <w:tcW w:w="584" w:type="pct"/>
            <w:shd w:val="clear" w:color="auto" w:fill="auto"/>
            <w:vAlign w:val="bottom"/>
          </w:tcPr>
          <w:p w14:paraId="12CAB09F" w14:textId="31E7ECEB" w:rsidR="005D41DA" w:rsidRPr="00DC7563" w:rsidRDefault="005D41DA" w:rsidP="005D41DA">
            <w:pPr>
              <w:spacing w:line="276" w:lineRule="auto"/>
              <w:jc w:val="center"/>
              <w:rPr>
                <w:rFonts w:ascii="Arial" w:hAnsi="Arial" w:cs="Arial"/>
                <w:b/>
                <w:bCs/>
                <w:color w:val="000000"/>
                <w:sz w:val="17"/>
                <w:szCs w:val="17"/>
                <w:lang w:val="en-GB"/>
              </w:rPr>
            </w:pPr>
            <w:r w:rsidRPr="00DC7563">
              <w:rPr>
                <w:rFonts w:ascii="Arial" w:hAnsi="Arial" w:cs="Arial"/>
                <w:b/>
                <w:bCs/>
                <w:color w:val="000000"/>
                <w:sz w:val="17"/>
                <w:szCs w:val="17"/>
                <w:lang w:val="en-GB"/>
              </w:rPr>
              <w:t>2016</w:t>
            </w:r>
          </w:p>
        </w:tc>
        <w:tc>
          <w:tcPr>
            <w:tcW w:w="776" w:type="pct"/>
            <w:shd w:val="clear" w:color="auto" w:fill="auto"/>
            <w:noWrap/>
            <w:vAlign w:val="bottom"/>
            <w:hideMark/>
          </w:tcPr>
          <w:p w14:paraId="06E14C50" w14:textId="2B5263C8" w:rsidR="005D41DA" w:rsidRPr="00DC7563" w:rsidRDefault="005D41DA" w:rsidP="005D41DA">
            <w:pPr>
              <w:spacing w:line="276" w:lineRule="auto"/>
              <w:jc w:val="center"/>
              <w:rPr>
                <w:rFonts w:ascii="Arial" w:hAnsi="Arial" w:cs="Arial"/>
                <w:b/>
                <w:bCs/>
                <w:color w:val="000000"/>
                <w:sz w:val="17"/>
                <w:szCs w:val="17"/>
                <w:lang w:val="en-GB"/>
              </w:rPr>
            </w:pPr>
            <w:r w:rsidRPr="00DC7563">
              <w:rPr>
                <w:rFonts w:ascii="Arial" w:hAnsi="Arial" w:cs="Arial"/>
                <w:b/>
                <w:bCs/>
                <w:color w:val="000000"/>
                <w:sz w:val="17"/>
                <w:szCs w:val="17"/>
                <w:lang w:val="en-GB"/>
              </w:rPr>
              <w:t>2016</w:t>
            </w:r>
          </w:p>
        </w:tc>
      </w:tr>
      <w:tr w:rsidR="005D41DA" w:rsidRPr="00DC7563" w14:paraId="7270CBCA" w14:textId="77777777" w:rsidTr="00F726FD">
        <w:trPr>
          <w:trHeight w:val="187"/>
          <w:jc w:val="center"/>
        </w:trPr>
        <w:tc>
          <w:tcPr>
            <w:tcW w:w="1291" w:type="pct"/>
            <w:shd w:val="clear" w:color="auto" w:fill="auto"/>
            <w:vAlign w:val="bottom"/>
            <w:hideMark/>
          </w:tcPr>
          <w:p w14:paraId="0F7D51C0" w14:textId="77777777" w:rsidR="005D41DA" w:rsidRPr="00DC7563" w:rsidRDefault="005D41DA" w:rsidP="005D41DA">
            <w:pPr>
              <w:spacing w:line="276" w:lineRule="auto"/>
              <w:rPr>
                <w:rFonts w:ascii="Arial" w:hAnsi="Arial" w:cs="Arial"/>
                <w:color w:val="000000"/>
                <w:sz w:val="17"/>
                <w:szCs w:val="17"/>
                <w:lang w:val="en-GB"/>
              </w:rPr>
            </w:pPr>
            <w:r w:rsidRPr="00DC7563">
              <w:rPr>
                <w:rFonts w:ascii="Arial" w:hAnsi="Arial" w:cs="Arial"/>
                <w:color w:val="000000"/>
                <w:sz w:val="17"/>
                <w:szCs w:val="17"/>
                <w:lang w:val="en-GB"/>
              </w:rPr>
              <w:t>Net Sales</w:t>
            </w:r>
          </w:p>
        </w:tc>
        <w:tc>
          <w:tcPr>
            <w:tcW w:w="601" w:type="pct"/>
            <w:shd w:val="clear" w:color="auto" w:fill="auto"/>
            <w:noWrap/>
            <w:vAlign w:val="bottom"/>
          </w:tcPr>
          <w:p w14:paraId="50FFABE6" w14:textId="77777777"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¥2,033,058</w:t>
            </w:r>
          </w:p>
        </w:tc>
        <w:tc>
          <w:tcPr>
            <w:tcW w:w="582" w:type="pct"/>
            <w:shd w:val="clear" w:color="auto" w:fill="auto"/>
            <w:vAlign w:val="bottom"/>
          </w:tcPr>
          <w:p w14:paraId="03B77565" w14:textId="419550D9"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¥2,205,270</w:t>
            </w:r>
          </w:p>
        </w:tc>
        <w:tc>
          <w:tcPr>
            <w:tcW w:w="584" w:type="pct"/>
            <w:shd w:val="clear" w:color="auto" w:fill="auto"/>
            <w:vAlign w:val="bottom"/>
          </w:tcPr>
          <w:p w14:paraId="06813938" w14:textId="6D364791"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¥2,692,238</w:t>
            </w:r>
          </w:p>
        </w:tc>
        <w:tc>
          <w:tcPr>
            <w:tcW w:w="582" w:type="pct"/>
            <w:shd w:val="clear" w:color="auto" w:fill="auto"/>
            <w:vAlign w:val="bottom"/>
          </w:tcPr>
          <w:p w14:paraId="1221F701" w14:textId="444057B8"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¥3,033,899</w:t>
            </w:r>
          </w:p>
        </w:tc>
        <w:tc>
          <w:tcPr>
            <w:tcW w:w="584" w:type="pct"/>
            <w:shd w:val="clear" w:color="auto" w:fill="auto"/>
            <w:vAlign w:val="bottom"/>
          </w:tcPr>
          <w:p w14:paraId="1B3F30E4" w14:textId="2978C5DE"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¥3,406,603</w:t>
            </w:r>
          </w:p>
        </w:tc>
        <w:tc>
          <w:tcPr>
            <w:tcW w:w="776" w:type="pct"/>
            <w:shd w:val="clear" w:color="auto" w:fill="auto"/>
            <w:noWrap/>
            <w:vAlign w:val="bottom"/>
            <w:hideMark/>
          </w:tcPr>
          <w:p w14:paraId="7B727EA0" w14:textId="04E689C0"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$30,146,929</w:t>
            </w:r>
          </w:p>
        </w:tc>
      </w:tr>
      <w:tr w:rsidR="005D41DA" w:rsidRPr="00DC7563" w14:paraId="6C0FCABF" w14:textId="77777777" w:rsidTr="00F726FD">
        <w:trPr>
          <w:trHeight w:val="187"/>
          <w:jc w:val="center"/>
        </w:trPr>
        <w:tc>
          <w:tcPr>
            <w:tcW w:w="1291" w:type="pct"/>
            <w:shd w:val="clear" w:color="auto" w:fill="auto"/>
            <w:vAlign w:val="bottom"/>
            <w:hideMark/>
          </w:tcPr>
          <w:p w14:paraId="6C46F466" w14:textId="0DE9507B" w:rsidR="005D41DA" w:rsidRPr="00DC7563" w:rsidRDefault="005D41DA" w:rsidP="005D41DA">
            <w:pPr>
              <w:tabs>
                <w:tab w:val="left" w:pos="151"/>
              </w:tabs>
              <w:spacing w:line="276" w:lineRule="auto"/>
              <w:rPr>
                <w:rFonts w:ascii="Arial" w:hAnsi="Arial" w:cs="Arial"/>
                <w:color w:val="000000"/>
                <w:sz w:val="17"/>
                <w:szCs w:val="17"/>
                <w:lang w:val="en-GB"/>
              </w:rPr>
            </w:pPr>
            <w:r w:rsidRPr="00DC7563">
              <w:rPr>
                <w:rFonts w:ascii="Arial" w:hAnsi="Arial" w:cs="Arial"/>
                <w:color w:val="000000"/>
                <w:sz w:val="17"/>
                <w:szCs w:val="17"/>
                <w:lang w:val="en-GB"/>
              </w:rPr>
              <w:tab/>
              <w:t>Domestic</w:t>
            </w:r>
          </w:p>
        </w:tc>
        <w:tc>
          <w:tcPr>
            <w:tcW w:w="601" w:type="pct"/>
            <w:shd w:val="clear" w:color="auto" w:fill="auto"/>
            <w:noWrap/>
            <w:vAlign w:val="bottom"/>
          </w:tcPr>
          <w:p w14:paraId="5858798B" w14:textId="77777777"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560,216</w:t>
            </w:r>
          </w:p>
        </w:tc>
        <w:tc>
          <w:tcPr>
            <w:tcW w:w="582" w:type="pct"/>
            <w:shd w:val="clear" w:color="auto" w:fill="auto"/>
            <w:vAlign w:val="bottom"/>
          </w:tcPr>
          <w:p w14:paraId="3A889F03" w14:textId="184B630F"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588,042</w:t>
            </w:r>
          </w:p>
        </w:tc>
        <w:tc>
          <w:tcPr>
            <w:tcW w:w="584" w:type="pct"/>
            <w:shd w:val="clear" w:color="auto" w:fill="auto"/>
            <w:vAlign w:val="bottom"/>
          </w:tcPr>
          <w:p w14:paraId="1E937167" w14:textId="56648A13"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655,716</w:t>
            </w:r>
          </w:p>
        </w:tc>
        <w:tc>
          <w:tcPr>
            <w:tcW w:w="582" w:type="pct"/>
            <w:shd w:val="clear" w:color="auto" w:fill="auto"/>
            <w:vAlign w:val="bottom"/>
          </w:tcPr>
          <w:p w14:paraId="71C46A50" w14:textId="7372086E"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617,397</w:t>
            </w:r>
          </w:p>
        </w:tc>
        <w:tc>
          <w:tcPr>
            <w:tcW w:w="584" w:type="pct"/>
            <w:shd w:val="clear" w:color="auto" w:fill="auto"/>
            <w:vAlign w:val="bottom"/>
          </w:tcPr>
          <w:p w14:paraId="4DBD99E0" w14:textId="194BAEF7"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660,935</w:t>
            </w:r>
          </w:p>
        </w:tc>
        <w:tc>
          <w:tcPr>
            <w:tcW w:w="776" w:type="pct"/>
            <w:shd w:val="clear" w:color="auto" w:fill="auto"/>
            <w:noWrap/>
            <w:vAlign w:val="bottom"/>
            <w:hideMark/>
          </w:tcPr>
          <w:p w14:paraId="553BA402" w14:textId="62435FC3"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5,848,982</w:t>
            </w:r>
          </w:p>
        </w:tc>
      </w:tr>
      <w:tr w:rsidR="005D41DA" w:rsidRPr="00DC7563" w14:paraId="194DD642" w14:textId="77777777" w:rsidTr="00F726FD">
        <w:trPr>
          <w:trHeight w:val="187"/>
          <w:jc w:val="center"/>
        </w:trPr>
        <w:tc>
          <w:tcPr>
            <w:tcW w:w="1291" w:type="pct"/>
            <w:shd w:val="clear" w:color="auto" w:fill="auto"/>
            <w:vAlign w:val="bottom"/>
            <w:hideMark/>
          </w:tcPr>
          <w:p w14:paraId="34E2026A" w14:textId="4AC13F0C" w:rsidR="005D41DA" w:rsidRPr="00DC7563" w:rsidRDefault="005D41DA" w:rsidP="005D41DA">
            <w:pPr>
              <w:tabs>
                <w:tab w:val="left" w:pos="151"/>
              </w:tabs>
              <w:spacing w:line="276" w:lineRule="auto"/>
              <w:rPr>
                <w:rFonts w:ascii="Arial" w:hAnsi="Arial" w:cs="Arial"/>
                <w:color w:val="000000"/>
                <w:sz w:val="17"/>
                <w:szCs w:val="17"/>
                <w:lang w:val="en-GB"/>
              </w:rPr>
            </w:pPr>
            <w:r w:rsidRPr="00DC7563">
              <w:rPr>
                <w:rFonts w:ascii="Arial" w:hAnsi="Arial" w:cs="Arial"/>
                <w:color w:val="000000"/>
                <w:sz w:val="17"/>
                <w:szCs w:val="17"/>
                <w:lang w:val="en-GB"/>
              </w:rPr>
              <w:tab/>
              <w:t>Overseas</w:t>
            </w:r>
          </w:p>
        </w:tc>
        <w:tc>
          <w:tcPr>
            <w:tcW w:w="601" w:type="pct"/>
            <w:shd w:val="clear" w:color="auto" w:fill="auto"/>
            <w:noWrap/>
            <w:vAlign w:val="bottom"/>
          </w:tcPr>
          <w:p w14:paraId="610AE081" w14:textId="77777777"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1,472,842</w:t>
            </w:r>
          </w:p>
        </w:tc>
        <w:tc>
          <w:tcPr>
            <w:tcW w:w="582" w:type="pct"/>
            <w:shd w:val="clear" w:color="auto" w:fill="auto"/>
            <w:vAlign w:val="bottom"/>
          </w:tcPr>
          <w:p w14:paraId="5CE94423" w14:textId="1F240234"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1,617,228</w:t>
            </w:r>
          </w:p>
        </w:tc>
        <w:tc>
          <w:tcPr>
            <w:tcW w:w="584" w:type="pct"/>
            <w:shd w:val="clear" w:color="auto" w:fill="auto"/>
            <w:vAlign w:val="bottom"/>
          </w:tcPr>
          <w:p w14:paraId="4C1D1BF1" w14:textId="6A11D33E"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2,036,522</w:t>
            </w:r>
          </w:p>
        </w:tc>
        <w:tc>
          <w:tcPr>
            <w:tcW w:w="582" w:type="pct"/>
            <w:shd w:val="clear" w:color="auto" w:fill="auto"/>
            <w:vAlign w:val="bottom"/>
          </w:tcPr>
          <w:p w14:paraId="104CB241" w14:textId="78BA54F3"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2,416,502</w:t>
            </w:r>
          </w:p>
        </w:tc>
        <w:tc>
          <w:tcPr>
            <w:tcW w:w="584" w:type="pct"/>
            <w:shd w:val="clear" w:color="auto" w:fill="auto"/>
            <w:vAlign w:val="bottom"/>
          </w:tcPr>
          <w:p w14:paraId="0969B25F" w14:textId="078400FE"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2,745,668</w:t>
            </w:r>
          </w:p>
        </w:tc>
        <w:tc>
          <w:tcPr>
            <w:tcW w:w="776" w:type="pct"/>
            <w:shd w:val="clear" w:color="auto" w:fill="auto"/>
            <w:noWrap/>
            <w:vAlign w:val="bottom"/>
            <w:hideMark/>
          </w:tcPr>
          <w:p w14:paraId="7953A780" w14:textId="7DC4FEA3"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24,297,947</w:t>
            </w:r>
          </w:p>
        </w:tc>
      </w:tr>
      <w:tr w:rsidR="005D41DA" w:rsidRPr="00DC7563" w14:paraId="6DA2F0D9" w14:textId="77777777" w:rsidTr="00F726FD">
        <w:trPr>
          <w:trHeight w:val="187"/>
          <w:jc w:val="center"/>
        </w:trPr>
        <w:tc>
          <w:tcPr>
            <w:tcW w:w="1291" w:type="pct"/>
            <w:shd w:val="clear" w:color="auto" w:fill="auto"/>
            <w:vAlign w:val="bottom"/>
            <w:hideMark/>
          </w:tcPr>
          <w:p w14:paraId="5A216616" w14:textId="08F05496" w:rsidR="005D41DA" w:rsidRPr="00DC7563" w:rsidRDefault="005D41DA" w:rsidP="005D41DA">
            <w:pPr>
              <w:tabs>
                <w:tab w:val="left" w:pos="434"/>
              </w:tabs>
              <w:spacing w:line="276" w:lineRule="auto"/>
              <w:rPr>
                <w:rFonts w:ascii="Arial" w:hAnsi="Arial" w:cs="Arial"/>
                <w:color w:val="000000"/>
                <w:sz w:val="17"/>
                <w:szCs w:val="17"/>
                <w:lang w:val="en-GB"/>
              </w:rPr>
            </w:pPr>
            <w:r w:rsidRPr="00DC7563">
              <w:rPr>
                <w:rFonts w:ascii="Arial" w:hAnsi="Arial" w:cs="Arial"/>
                <w:color w:val="000000"/>
                <w:sz w:val="17"/>
                <w:szCs w:val="17"/>
                <w:lang w:val="en-GB"/>
              </w:rPr>
              <w:tab/>
              <w:t>North America</w:t>
            </w:r>
          </w:p>
        </w:tc>
        <w:tc>
          <w:tcPr>
            <w:tcW w:w="601" w:type="pct"/>
            <w:shd w:val="clear" w:color="auto" w:fill="auto"/>
            <w:noWrap/>
            <w:vAlign w:val="bottom"/>
          </w:tcPr>
          <w:p w14:paraId="1A7F46A1" w14:textId="77777777"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575,633</w:t>
            </w:r>
          </w:p>
        </w:tc>
        <w:tc>
          <w:tcPr>
            <w:tcW w:w="582" w:type="pct"/>
            <w:shd w:val="clear" w:color="auto" w:fill="auto"/>
            <w:vAlign w:val="bottom"/>
          </w:tcPr>
          <w:p w14:paraId="0B8D1C7D" w14:textId="437550DE"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651,165</w:t>
            </w:r>
          </w:p>
        </w:tc>
        <w:tc>
          <w:tcPr>
            <w:tcW w:w="584" w:type="pct"/>
            <w:shd w:val="clear" w:color="auto" w:fill="auto"/>
            <w:vAlign w:val="bottom"/>
          </w:tcPr>
          <w:p w14:paraId="258F598B" w14:textId="48E1D148"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834,803</w:t>
            </w:r>
          </w:p>
        </w:tc>
        <w:tc>
          <w:tcPr>
            <w:tcW w:w="582" w:type="pct"/>
            <w:shd w:val="clear" w:color="auto" w:fill="auto"/>
            <w:vAlign w:val="bottom"/>
          </w:tcPr>
          <w:p w14:paraId="02232193" w14:textId="1F59EB2F"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1,022,247</w:t>
            </w:r>
          </w:p>
        </w:tc>
        <w:tc>
          <w:tcPr>
            <w:tcW w:w="584" w:type="pct"/>
            <w:shd w:val="clear" w:color="auto" w:fill="auto"/>
            <w:vAlign w:val="bottom"/>
          </w:tcPr>
          <w:p w14:paraId="2F46804A" w14:textId="6E26B9C8"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1,154,428</w:t>
            </w:r>
          </w:p>
        </w:tc>
        <w:tc>
          <w:tcPr>
            <w:tcW w:w="776" w:type="pct"/>
            <w:shd w:val="clear" w:color="auto" w:fill="auto"/>
            <w:noWrap/>
            <w:vAlign w:val="bottom"/>
            <w:hideMark/>
          </w:tcPr>
          <w:p w14:paraId="1FC542DE" w14:textId="36ECA36E"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10,251,575</w:t>
            </w:r>
          </w:p>
        </w:tc>
      </w:tr>
      <w:tr w:rsidR="005D41DA" w:rsidRPr="00DC7563" w14:paraId="47DC6803" w14:textId="77777777" w:rsidTr="00F726FD">
        <w:trPr>
          <w:trHeight w:val="187"/>
          <w:jc w:val="center"/>
        </w:trPr>
        <w:tc>
          <w:tcPr>
            <w:tcW w:w="1291" w:type="pct"/>
            <w:shd w:val="clear" w:color="auto" w:fill="auto"/>
            <w:vAlign w:val="bottom"/>
            <w:hideMark/>
          </w:tcPr>
          <w:p w14:paraId="1EFEA97F" w14:textId="06E9BEA2" w:rsidR="005D41DA" w:rsidRPr="00DC7563" w:rsidRDefault="005D41DA" w:rsidP="005D41DA">
            <w:pPr>
              <w:tabs>
                <w:tab w:val="left" w:pos="434"/>
              </w:tabs>
              <w:spacing w:line="276" w:lineRule="auto"/>
              <w:rPr>
                <w:rFonts w:ascii="Arial" w:hAnsi="Arial" w:cs="Arial"/>
                <w:color w:val="000000"/>
                <w:sz w:val="17"/>
                <w:szCs w:val="17"/>
                <w:lang w:val="en-GB"/>
              </w:rPr>
            </w:pPr>
            <w:r w:rsidRPr="00DC7563">
              <w:rPr>
                <w:rFonts w:ascii="Arial" w:hAnsi="Arial" w:cs="Arial"/>
                <w:color w:val="000000"/>
                <w:sz w:val="17"/>
                <w:szCs w:val="17"/>
                <w:lang w:val="en-GB"/>
              </w:rPr>
              <w:tab/>
              <w:t>Europe</w:t>
            </w:r>
          </w:p>
        </w:tc>
        <w:tc>
          <w:tcPr>
            <w:tcW w:w="601" w:type="pct"/>
            <w:shd w:val="clear" w:color="auto" w:fill="auto"/>
            <w:noWrap/>
            <w:vAlign w:val="bottom"/>
          </w:tcPr>
          <w:p w14:paraId="6A56C21D" w14:textId="77777777"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347,346</w:t>
            </w:r>
          </w:p>
        </w:tc>
        <w:tc>
          <w:tcPr>
            <w:tcW w:w="582" w:type="pct"/>
            <w:shd w:val="clear" w:color="auto" w:fill="auto"/>
            <w:vAlign w:val="bottom"/>
          </w:tcPr>
          <w:p w14:paraId="426D9342" w14:textId="06AC3589"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347,918</w:t>
            </w:r>
          </w:p>
        </w:tc>
        <w:tc>
          <w:tcPr>
            <w:tcW w:w="584" w:type="pct"/>
            <w:shd w:val="clear" w:color="auto" w:fill="auto"/>
            <w:vAlign w:val="bottom"/>
          </w:tcPr>
          <w:p w14:paraId="2F1E2F68" w14:textId="1A26963E"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534,937</w:t>
            </w:r>
          </w:p>
        </w:tc>
        <w:tc>
          <w:tcPr>
            <w:tcW w:w="582" w:type="pct"/>
            <w:shd w:val="clear" w:color="auto" w:fill="auto"/>
            <w:vAlign w:val="bottom"/>
          </w:tcPr>
          <w:p w14:paraId="5766066D" w14:textId="57A03C1F"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613,367</w:t>
            </w:r>
          </w:p>
        </w:tc>
        <w:tc>
          <w:tcPr>
            <w:tcW w:w="584" w:type="pct"/>
            <w:shd w:val="clear" w:color="auto" w:fill="auto"/>
            <w:vAlign w:val="bottom"/>
          </w:tcPr>
          <w:p w14:paraId="28305F18" w14:textId="5EB21F9F"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688,984</w:t>
            </w:r>
          </w:p>
        </w:tc>
        <w:tc>
          <w:tcPr>
            <w:tcW w:w="776" w:type="pct"/>
            <w:shd w:val="clear" w:color="auto" w:fill="auto"/>
            <w:noWrap/>
            <w:vAlign w:val="bottom"/>
            <w:hideMark/>
          </w:tcPr>
          <w:p w14:paraId="1D61B152" w14:textId="3EB45BBE"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6,097,204</w:t>
            </w:r>
          </w:p>
        </w:tc>
      </w:tr>
      <w:tr w:rsidR="005D41DA" w:rsidRPr="00DC7563" w14:paraId="530626A1" w14:textId="77777777" w:rsidTr="00F726FD">
        <w:trPr>
          <w:trHeight w:val="187"/>
          <w:jc w:val="center"/>
        </w:trPr>
        <w:tc>
          <w:tcPr>
            <w:tcW w:w="1291" w:type="pct"/>
            <w:shd w:val="clear" w:color="auto" w:fill="auto"/>
            <w:vAlign w:val="bottom"/>
            <w:hideMark/>
          </w:tcPr>
          <w:p w14:paraId="6D8F1108" w14:textId="504312E9" w:rsidR="005D41DA" w:rsidRPr="00DC7563" w:rsidRDefault="005D41DA" w:rsidP="005D41DA">
            <w:pPr>
              <w:tabs>
                <w:tab w:val="left" w:pos="434"/>
              </w:tabs>
              <w:spacing w:line="276" w:lineRule="auto"/>
              <w:rPr>
                <w:rFonts w:ascii="Arial" w:hAnsi="Arial" w:cs="Arial"/>
                <w:color w:val="000000"/>
                <w:sz w:val="17"/>
                <w:szCs w:val="17"/>
                <w:lang w:val="en-GB"/>
              </w:rPr>
            </w:pPr>
            <w:r w:rsidRPr="00DC7563">
              <w:rPr>
                <w:rFonts w:ascii="Arial" w:hAnsi="Arial" w:cs="Arial"/>
                <w:color w:val="000000"/>
                <w:sz w:val="17"/>
                <w:szCs w:val="17"/>
                <w:lang w:val="en-GB"/>
              </w:rPr>
              <w:tab/>
              <w:t>Other Areas</w:t>
            </w:r>
          </w:p>
        </w:tc>
        <w:tc>
          <w:tcPr>
            <w:tcW w:w="601" w:type="pct"/>
            <w:shd w:val="clear" w:color="auto" w:fill="auto"/>
            <w:noWrap/>
            <w:vAlign w:val="bottom"/>
          </w:tcPr>
          <w:p w14:paraId="57C826AF" w14:textId="77777777"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549,863</w:t>
            </w:r>
          </w:p>
        </w:tc>
        <w:tc>
          <w:tcPr>
            <w:tcW w:w="582" w:type="pct"/>
            <w:shd w:val="clear" w:color="auto" w:fill="auto"/>
            <w:vAlign w:val="bottom"/>
          </w:tcPr>
          <w:p w14:paraId="0E59A899" w14:textId="178E76EE"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618,145</w:t>
            </w:r>
          </w:p>
        </w:tc>
        <w:tc>
          <w:tcPr>
            <w:tcW w:w="584" w:type="pct"/>
            <w:shd w:val="clear" w:color="auto" w:fill="auto"/>
            <w:vAlign w:val="bottom"/>
          </w:tcPr>
          <w:p w14:paraId="04B506CF" w14:textId="555E8F41"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666,782</w:t>
            </w:r>
          </w:p>
        </w:tc>
        <w:tc>
          <w:tcPr>
            <w:tcW w:w="582" w:type="pct"/>
            <w:shd w:val="clear" w:color="auto" w:fill="auto"/>
            <w:vAlign w:val="bottom"/>
          </w:tcPr>
          <w:p w14:paraId="344EADF7" w14:textId="392F4721"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780,888</w:t>
            </w:r>
          </w:p>
        </w:tc>
        <w:tc>
          <w:tcPr>
            <w:tcW w:w="584" w:type="pct"/>
            <w:shd w:val="clear" w:color="auto" w:fill="auto"/>
            <w:vAlign w:val="bottom"/>
          </w:tcPr>
          <w:p w14:paraId="00C73E71" w14:textId="7273FB3D"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898,256</w:t>
            </w:r>
          </w:p>
        </w:tc>
        <w:tc>
          <w:tcPr>
            <w:tcW w:w="776" w:type="pct"/>
            <w:shd w:val="clear" w:color="auto" w:fill="auto"/>
            <w:noWrap/>
            <w:vAlign w:val="bottom"/>
            <w:hideMark/>
          </w:tcPr>
          <w:p w14:paraId="3480FA11" w14:textId="62BCD1BE"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7,949,168</w:t>
            </w:r>
          </w:p>
        </w:tc>
      </w:tr>
      <w:tr w:rsidR="005D41DA" w:rsidRPr="00DC7563" w14:paraId="456B1DD8" w14:textId="77777777" w:rsidTr="00F726FD">
        <w:trPr>
          <w:trHeight w:val="187"/>
          <w:jc w:val="center"/>
        </w:trPr>
        <w:tc>
          <w:tcPr>
            <w:tcW w:w="1291" w:type="pct"/>
            <w:shd w:val="clear" w:color="auto" w:fill="auto"/>
            <w:vAlign w:val="bottom"/>
            <w:hideMark/>
          </w:tcPr>
          <w:p w14:paraId="2E04E121" w14:textId="77777777" w:rsidR="005D41DA" w:rsidRPr="00DC7563" w:rsidRDefault="005D41DA" w:rsidP="005D41DA">
            <w:pPr>
              <w:spacing w:line="276" w:lineRule="auto"/>
              <w:rPr>
                <w:rFonts w:ascii="Arial" w:hAnsi="Arial" w:cs="Arial"/>
                <w:color w:val="000000"/>
                <w:sz w:val="17"/>
                <w:szCs w:val="17"/>
                <w:lang w:val="en-GB"/>
              </w:rPr>
            </w:pPr>
            <w:r w:rsidRPr="00DC7563">
              <w:rPr>
                <w:rFonts w:ascii="Arial" w:hAnsi="Arial" w:cs="Arial"/>
                <w:color w:val="000000"/>
                <w:sz w:val="17"/>
                <w:szCs w:val="17"/>
                <w:lang w:val="en-GB"/>
              </w:rPr>
              <w:t>Cost of Sales</w:t>
            </w:r>
          </w:p>
        </w:tc>
        <w:tc>
          <w:tcPr>
            <w:tcW w:w="601" w:type="pct"/>
            <w:shd w:val="clear" w:color="auto" w:fill="auto"/>
            <w:noWrap/>
            <w:vAlign w:val="bottom"/>
          </w:tcPr>
          <w:p w14:paraId="14379CCE" w14:textId="77777777"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1,662,592</w:t>
            </w:r>
          </w:p>
        </w:tc>
        <w:tc>
          <w:tcPr>
            <w:tcW w:w="582" w:type="pct"/>
            <w:shd w:val="clear" w:color="auto" w:fill="auto"/>
            <w:vAlign w:val="bottom"/>
          </w:tcPr>
          <w:p w14:paraId="115B9EB5" w14:textId="4F7537BD"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1,729,296</w:t>
            </w:r>
          </w:p>
        </w:tc>
        <w:tc>
          <w:tcPr>
            <w:tcW w:w="584" w:type="pct"/>
            <w:shd w:val="clear" w:color="auto" w:fill="auto"/>
            <w:vAlign w:val="bottom"/>
          </w:tcPr>
          <w:p w14:paraId="498C2526" w14:textId="27AA9C70"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1,993,643</w:t>
            </w:r>
          </w:p>
        </w:tc>
        <w:tc>
          <w:tcPr>
            <w:tcW w:w="582" w:type="pct"/>
            <w:shd w:val="clear" w:color="auto" w:fill="auto"/>
            <w:vAlign w:val="bottom"/>
          </w:tcPr>
          <w:p w14:paraId="1C61EBCD" w14:textId="65C89CF8"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2,247,720</w:t>
            </w:r>
          </w:p>
        </w:tc>
        <w:tc>
          <w:tcPr>
            <w:tcW w:w="584" w:type="pct"/>
            <w:shd w:val="clear" w:color="auto" w:fill="auto"/>
            <w:vAlign w:val="bottom"/>
          </w:tcPr>
          <w:p w14:paraId="5414FE79" w14:textId="667A4340"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2,567,465</w:t>
            </w:r>
          </w:p>
        </w:tc>
        <w:tc>
          <w:tcPr>
            <w:tcW w:w="776" w:type="pct"/>
            <w:shd w:val="clear" w:color="auto" w:fill="auto"/>
            <w:noWrap/>
            <w:vAlign w:val="bottom"/>
            <w:hideMark/>
          </w:tcPr>
          <w:p w14:paraId="34874B93" w14:textId="76B33569"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22,720,929</w:t>
            </w:r>
          </w:p>
        </w:tc>
      </w:tr>
      <w:tr w:rsidR="005D41DA" w:rsidRPr="00DC7563" w14:paraId="28DBF217" w14:textId="77777777" w:rsidTr="00F726FD">
        <w:trPr>
          <w:trHeight w:val="188"/>
          <w:jc w:val="center"/>
        </w:trPr>
        <w:tc>
          <w:tcPr>
            <w:tcW w:w="1291" w:type="pct"/>
            <w:shd w:val="clear" w:color="auto" w:fill="auto"/>
            <w:vAlign w:val="bottom"/>
            <w:hideMark/>
          </w:tcPr>
          <w:p w14:paraId="3964C056" w14:textId="77777777" w:rsidR="005D41DA" w:rsidRPr="00DC7563" w:rsidRDefault="005D41DA" w:rsidP="005D41DA">
            <w:pPr>
              <w:spacing w:line="276" w:lineRule="auto"/>
              <w:rPr>
                <w:rFonts w:ascii="Arial" w:hAnsi="Arial" w:cs="Arial"/>
                <w:color w:val="000000"/>
                <w:sz w:val="17"/>
                <w:szCs w:val="17"/>
                <w:lang w:val="en-GB"/>
              </w:rPr>
            </w:pPr>
            <w:r w:rsidRPr="00DC7563">
              <w:rPr>
                <w:rFonts w:ascii="Arial" w:hAnsi="Arial" w:cs="Arial"/>
                <w:color w:val="000000"/>
                <w:sz w:val="17"/>
                <w:szCs w:val="17"/>
                <w:lang w:val="en-GB"/>
              </w:rPr>
              <w:t>Selling, General, Administrative Expenses</w:t>
            </w:r>
          </w:p>
        </w:tc>
        <w:tc>
          <w:tcPr>
            <w:tcW w:w="601" w:type="pct"/>
            <w:shd w:val="clear" w:color="auto" w:fill="auto"/>
            <w:noWrap/>
            <w:vAlign w:val="bottom"/>
          </w:tcPr>
          <w:p w14:paraId="431C693A" w14:textId="77777777"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409,184</w:t>
            </w:r>
          </w:p>
        </w:tc>
        <w:tc>
          <w:tcPr>
            <w:tcW w:w="582" w:type="pct"/>
            <w:shd w:val="clear" w:color="auto" w:fill="auto"/>
            <w:vAlign w:val="bottom"/>
          </w:tcPr>
          <w:p w14:paraId="0A8F55DC" w14:textId="5EE83F1A"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422,038</w:t>
            </w:r>
          </w:p>
        </w:tc>
        <w:tc>
          <w:tcPr>
            <w:tcW w:w="584" w:type="pct"/>
            <w:shd w:val="clear" w:color="auto" w:fill="auto"/>
            <w:vAlign w:val="bottom"/>
          </w:tcPr>
          <w:p w14:paraId="0217C08A" w14:textId="574036C6"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516,474</w:t>
            </w:r>
          </w:p>
        </w:tc>
        <w:tc>
          <w:tcPr>
            <w:tcW w:w="582" w:type="pct"/>
            <w:shd w:val="clear" w:color="auto" w:fill="auto"/>
            <w:vAlign w:val="bottom"/>
          </w:tcPr>
          <w:p w14:paraId="557B8F77" w14:textId="5C3ACA15"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583,291</w:t>
            </w:r>
          </w:p>
        </w:tc>
        <w:tc>
          <w:tcPr>
            <w:tcW w:w="584" w:type="pct"/>
            <w:shd w:val="clear" w:color="auto" w:fill="auto"/>
            <w:vAlign w:val="bottom"/>
          </w:tcPr>
          <w:p w14:paraId="139C0D33" w14:textId="7B72E442"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612,363</w:t>
            </w:r>
          </w:p>
        </w:tc>
        <w:tc>
          <w:tcPr>
            <w:tcW w:w="776" w:type="pct"/>
            <w:shd w:val="clear" w:color="auto" w:fill="auto"/>
            <w:noWrap/>
            <w:vAlign w:val="bottom"/>
            <w:hideMark/>
          </w:tcPr>
          <w:p w14:paraId="33FDC0D8" w14:textId="44733A9A"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5,419,142</w:t>
            </w:r>
          </w:p>
        </w:tc>
      </w:tr>
      <w:tr w:rsidR="005D41DA" w:rsidRPr="00DC7563" w14:paraId="26837EEE" w14:textId="77777777" w:rsidTr="00F726FD">
        <w:trPr>
          <w:trHeight w:val="187"/>
          <w:jc w:val="center"/>
        </w:trPr>
        <w:tc>
          <w:tcPr>
            <w:tcW w:w="1291" w:type="pct"/>
            <w:shd w:val="clear" w:color="auto" w:fill="auto"/>
            <w:vAlign w:val="bottom"/>
            <w:hideMark/>
          </w:tcPr>
          <w:p w14:paraId="18E32B1C" w14:textId="6C3B919A" w:rsidR="005D41DA" w:rsidRPr="00DC7563" w:rsidRDefault="005D41DA" w:rsidP="005D41DA">
            <w:pPr>
              <w:spacing w:line="276" w:lineRule="auto"/>
              <w:rPr>
                <w:rFonts w:ascii="Arial" w:hAnsi="Arial" w:cs="Arial"/>
                <w:color w:val="000000"/>
                <w:sz w:val="17"/>
                <w:szCs w:val="17"/>
                <w:lang w:val="en-GB"/>
              </w:rPr>
            </w:pPr>
            <w:r w:rsidRPr="00DC7563">
              <w:rPr>
                <w:rFonts w:ascii="Arial" w:hAnsi="Arial" w:cs="Arial"/>
                <w:color w:val="000000"/>
                <w:sz w:val="17"/>
                <w:szCs w:val="17"/>
                <w:lang w:val="en-GB"/>
              </w:rPr>
              <w:t>Operating Income (Loss)</w:t>
            </w:r>
          </w:p>
        </w:tc>
        <w:tc>
          <w:tcPr>
            <w:tcW w:w="601" w:type="pct"/>
            <w:shd w:val="clear" w:color="auto" w:fill="auto"/>
            <w:noWrap/>
            <w:vAlign w:val="bottom"/>
          </w:tcPr>
          <w:p w14:paraId="705F2B36" w14:textId="77777777"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(38,718)</w:t>
            </w:r>
          </w:p>
        </w:tc>
        <w:tc>
          <w:tcPr>
            <w:tcW w:w="582" w:type="pct"/>
            <w:shd w:val="clear" w:color="auto" w:fill="auto"/>
            <w:vAlign w:val="bottom"/>
          </w:tcPr>
          <w:p w14:paraId="4B5E46C4" w14:textId="0EC9A270"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53,936</w:t>
            </w:r>
          </w:p>
        </w:tc>
        <w:tc>
          <w:tcPr>
            <w:tcW w:w="584" w:type="pct"/>
            <w:shd w:val="clear" w:color="auto" w:fill="auto"/>
            <w:vAlign w:val="bottom"/>
          </w:tcPr>
          <w:p w14:paraId="5A5D74D5" w14:textId="55822BB6"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182,121</w:t>
            </w:r>
          </w:p>
        </w:tc>
        <w:tc>
          <w:tcPr>
            <w:tcW w:w="582" w:type="pct"/>
            <w:shd w:val="clear" w:color="auto" w:fill="auto"/>
            <w:vAlign w:val="bottom"/>
          </w:tcPr>
          <w:p w14:paraId="0A8BE0CD" w14:textId="5667685C"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202,888</w:t>
            </w:r>
          </w:p>
        </w:tc>
        <w:tc>
          <w:tcPr>
            <w:tcW w:w="584" w:type="pct"/>
            <w:shd w:val="clear" w:color="auto" w:fill="auto"/>
            <w:vAlign w:val="bottom"/>
          </w:tcPr>
          <w:p w14:paraId="465AD11E" w14:textId="01ABBB68"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226,775</w:t>
            </w:r>
          </w:p>
        </w:tc>
        <w:tc>
          <w:tcPr>
            <w:tcW w:w="776" w:type="pct"/>
            <w:shd w:val="clear" w:color="auto" w:fill="auto"/>
            <w:noWrap/>
            <w:vAlign w:val="bottom"/>
            <w:hideMark/>
          </w:tcPr>
          <w:p w14:paraId="0E09BC25" w14:textId="64B31C8A"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2,006,858</w:t>
            </w:r>
          </w:p>
        </w:tc>
      </w:tr>
      <w:tr w:rsidR="005D41DA" w:rsidRPr="00DC7563" w14:paraId="23407955" w14:textId="77777777" w:rsidTr="00F726FD">
        <w:trPr>
          <w:trHeight w:val="187"/>
          <w:jc w:val="center"/>
        </w:trPr>
        <w:tc>
          <w:tcPr>
            <w:tcW w:w="1291" w:type="pct"/>
            <w:shd w:val="clear" w:color="auto" w:fill="auto"/>
            <w:vAlign w:val="bottom"/>
            <w:hideMark/>
          </w:tcPr>
          <w:p w14:paraId="1DA93FBD" w14:textId="444DA367" w:rsidR="005D41DA" w:rsidRPr="00DC7563" w:rsidRDefault="005D41DA" w:rsidP="005D41DA">
            <w:pPr>
              <w:spacing w:line="276" w:lineRule="auto"/>
              <w:rPr>
                <w:rFonts w:ascii="Arial" w:hAnsi="Arial" w:cs="Arial"/>
                <w:color w:val="000000"/>
                <w:sz w:val="17"/>
                <w:szCs w:val="17"/>
                <w:lang w:val="en-GB"/>
              </w:rPr>
            </w:pPr>
            <w:r w:rsidRPr="00DC7563">
              <w:rPr>
                <w:rFonts w:ascii="Arial" w:hAnsi="Arial" w:cs="Arial"/>
                <w:color w:val="000000"/>
                <w:sz w:val="17"/>
                <w:szCs w:val="17"/>
                <w:lang w:val="en-GB"/>
              </w:rPr>
              <w:t>Income before Tax</w:t>
            </w:r>
          </w:p>
        </w:tc>
        <w:tc>
          <w:tcPr>
            <w:tcW w:w="601" w:type="pct"/>
            <w:shd w:val="clear" w:color="auto" w:fill="auto"/>
            <w:noWrap/>
            <w:vAlign w:val="bottom"/>
          </w:tcPr>
          <w:p w14:paraId="54613CB2" w14:textId="77777777"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(55,262)</w:t>
            </w:r>
          </w:p>
        </w:tc>
        <w:tc>
          <w:tcPr>
            <w:tcW w:w="582" w:type="pct"/>
            <w:shd w:val="clear" w:color="auto" w:fill="auto"/>
            <w:vAlign w:val="bottom"/>
          </w:tcPr>
          <w:p w14:paraId="3D54D0C4" w14:textId="68695BEE"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39,101</w:t>
            </w:r>
          </w:p>
        </w:tc>
        <w:tc>
          <w:tcPr>
            <w:tcW w:w="584" w:type="pct"/>
            <w:shd w:val="clear" w:color="auto" w:fill="auto"/>
            <w:vAlign w:val="bottom"/>
          </w:tcPr>
          <w:p w14:paraId="20DC7583" w14:textId="7DD3C087"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97,409</w:t>
            </w:r>
          </w:p>
        </w:tc>
        <w:tc>
          <w:tcPr>
            <w:tcW w:w="582" w:type="pct"/>
            <w:shd w:val="clear" w:color="auto" w:fill="auto"/>
            <w:vAlign w:val="bottom"/>
          </w:tcPr>
          <w:p w14:paraId="18D54047" w14:textId="581B7E5E"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209,335</w:t>
            </w:r>
          </w:p>
        </w:tc>
        <w:tc>
          <w:tcPr>
            <w:tcW w:w="584" w:type="pct"/>
            <w:shd w:val="clear" w:color="auto" w:fill="auto"/>
            <w:vAlign w:val="bottom"/>
          </w:tcPr>
          <w:p w14:paraId="3EB097D9" w14:textId="344128F9"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166,986</w:t>
            </w:r>
          </w:p>
        </w:tc>
        <w:tc>
          <w:tcPr>
            <w:tcW w:w="776" w:type="pct"/>
            <w:shd w:val="clear" w:color="auto" w:fill="auto"/>
            <w:noWrap/>
            <w:vAlign w:val="bottom"/>
            <w:hideMark/>
          </w:tcPr>
          <w:p w14:paraId="31624D69" w14:textId="251556D3"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1,477,752</w:t>
            </w:r>
          </w:p>
        </w:tc>
      </w:tr>
      <w:tr w:rsidR="005D41DA" w:rsidRPr="00DC7563" w14:paraId="4B05E556" w14:textId="77777777" w:rsidTr="00F726FD">
        <w:trPr>
          <w:trHeight w:val="376"/>
          <w:jc w:val="center"/>
        </w:trPr>
        <w:tc>
          <w:tcPr>
            <w:tcW w:w="1291" w:type="pct"/>
            <w:shd w:val="clear" w:color="auto" w:fill="auto"/>
            <w:vAlign w:val="bottom"/>
            <w:hideMark/>
          </w:tcPr>
          <w:p w14:paraId="7B7B7097" w14:textId="11F7CE98" w:rsidR="005D41DA" w:rsidRPr="00DC7563" w:rsidRDefault="005D41DA" w:rsidP="005D41DA">
            <w:pPr>
              <w:spacing w:line="276" w:lineRule="auto"/>
              <w:rPr>
                <w:rFonts w:ascii="Arial" w:hAnsi="Arial" w:cs="Arial"/>
                <w:color w:val="000000"/>
                <w:sz w:val="17"/>
                <w:szCs w:val="17"/>
                <w:lang w:val="en-GB" w:eastAsia="zh-CN"/>
              </w:rPr>
            </w:pPr>
            <w:r w:rsidRPr="00DC7563">
              <w:rPr>
                <w:rFonts w:ascii="Arial" w:hAnsi="Arial" w:cs="Arial"/>
                <w:color w:val="000000"/>
                <w:sz w:val="17"/>
                <w:szCs w:val="17"/>
                <w:lang w:val="en-GB"/>
              </w:rPr>
              <w:t>Net Income (Loss) Attributable to Owners of the Parent</w:t>
            </w:r>
          </w:p>
        </w:tc>
        <w:tc>
          <w:tcPr>
            <w:tcW w:w="601" w:type="pct"/>
            <w:shd w:val="clear" w:color="auto" w:fill="auto"/>
            <w:noWrap/>
            <w:vAlign w:val="bottom"/>
          </w:tcPr>
          <w:p w14:paraId="37CCD238" w14:textId="77777777"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(107,733)</w:t>
            </w:r>
          </w:p>
        </w:tc>
        <w:tc>
          <w:tcPr>
            <w:tcW w:w="582" w:type="pct"/>
            <w:shd w:val="clear" w:color="auto" w:fill="auto"/>
            <w:vAlign w:val="bottom"/>
          </w:tcPr>
          <w:p w14:paraId="3147D096" w14:textId="2CF8B0F9"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34,304</w:t>
            </w:r>
          </w:p>
        </w:tc>
        <w:tc>
          <w:tcPr>
            <w:tcW w:w="584" w:type="pct"/>
            <w:shd w:val="clear" w:color="auto" w:fill="auto"/>
            <w:vAlign w:val="bottom"/>
          </w:tcPr>
          <w:p w14:paraId="21B36480" w14:textId="3F8DEBF6"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135,699</w:t>
            </w:r>
          </w:p>
        </w:tc>
        <w:tc>
          <w:tcPr>
            <w:tcW w:w="582" w:type="pct"/>
            <w:shd w:val="clear" w:color="auto" w:fill="auto"/>
            <w:vAlign w:val="bottom"/>
          </w:tcPr>
          <w:p w14:paraId="18DBF74C" w14:textId="31CBBA09"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158,808</w:t>
            </w:r>
          </w:p>
        </w:tc>
        <w:tc>
          <w:tcPr>
            <w:tcW w:w="584" w:type="pct"/>
            <w:shd w:val="clear" w:color="auto" w:fill="auto"/>
            <w:vAlign w:val="bottom"/>
          </w:tcPr>
          <w:p w14:paraId="74D1AE85" w14:textId="42CDA809"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134,419</w:t>
            </w:r>
          </w:p>
        </w:tc>
        <w:tc>
          <w:tcPr>
            <w:tcW w:w="776" w:type="pct"/>
            <w:shd w:val="clear" w:color="auto" w:fill="auto"/>
            <w:noWrap/>
            <w:vAlign w:val="bottom"/>
            <w:hideMark/>
          </w:tcPr>
          <w:p w14:paraId="47A9754D" w14:textId="17BE2658"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1,189,549</w:t>
            </w:r>
          </w:p>
        </w:tc>
      </w:tr>
      <w:tr w:rsidR="005D41DA" w:rsidRPr="00DC7563" w14:paraId="6AF2BD95" w14:textId="77777777" w:rsidTr="00F726FD">
        <w:trPr>
          <w:trHeight w:val="187"/>
          <w:jc w:val="center"/>
        </w:trPr>
        <w:tc>
          <w:tcPr>
            <w:tcW w:w="1291" w:type="pct"/>
            <w:shd w:val="clear" w:color="auto" w:fill="auto"/>
            <w:vAlign w:val="bottom"/>
            <w:hideMark/>
          </w:tcPr>
          <w:p w14:paraId="3C3BF054" w14:textId="6ABD4EBE" w:rsidR="005D41DA" w:rsidRPr="00DC7563" w:rsidRDefault="005D41DA" w:rsidP="005D41DA">
            <w:pPr>
              <w:spacing w:line="276" w:lineRule="auto"/>
              <w:rPr>
                <w:rFonts w:ascii="Arial" w:hAnsi="Arial" w:cs="Arial"/>
                <w:color w:val="000000"/>
                <w:sz w:val="17"/>
                <w:szCs w:val="17"/>
                <w:lang w:val="en-GB"/>
              </w:rPr>
            </w:pPr>
            <w:r w:rsidRPr="00DC7563">
              <w:rPr>
                <w:rFonts w:ascii="Arial" w:hAnsi="Arial" w:cs="Arial"/>
                <w:color w:val="000000"/>
                <w:sz w:val="17"/>
                <w:szCs w:val="17"/>
                <w:lang w:val="en-GB"/>
              </w:rPr>
              <w:t>Capital Expenditure</w:t>
            </w:r>
          </w:p>
        </w:tc>
        <w:tc>
          <w:tcPr>
            <w:tcW w:w="601" w:type="pct"/>
            <w:shd w:val="clear" w:color="auto" w:fill="auto"/>
            <w:noWrap/>
            <w:vAlign w:val="bottom"/>
          </w:tcPr>
          <w:p w14:paraId="46F0A1B7" w14:textId="77777777"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78,040</w:t>
            </w:r>
          </w:p>
        </w:tc>
        <w:tc>
          <w:tcPr>
            <w:tcW w:w="582" w:type="pct"/>
            <w:shd w:val="clear" w:color="auto" w:fill="auto"/>
            <w:vAlign w:val="bottom"/>
          </w:tcPr>
          <w:p w14:paraId="18A78197" w14:textId="5BAA0F6E"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77,190</w:t>
            </w:r>
          </w:p>
        </w:tc>
        <w:tc>
          <w:tcPr>
            <w:tcW w:w="584" w:type="pct"/>
            <w:shd w:val="clear" w:color="auto" w:fill="auto"/>
            <w:vAlign w:val="bottom"/>
          </w:tcPr>
          <w:p w14:paraId="33EBC8B8" w14:textId="42A20C04"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133,216</w:t>
            </w:r>
          </w:p>
        </w:tc>
        <w:tc>
          <w:tcPr>
            <w:tcW w:w="582" w:type="pct"/>
            <w:shd w:val="clear" w:color="auto" w:fill="auto"/>
            <w:vAlign w:val="bottom"/>
          </w:tcPr>
          <w:p w14:paraId="3BD6EA4F" w14:textId="6FACB599"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131,010</w:t>
            </w:r>
          </w:p>
        </w:tc>
        <w:tc>
          <w:tcPr>
            <w:tcW w:w="584" w:type="pct"/>
            <w:shd w:val="clear" w:color="auto" w:fill="auto"/>
            <w:vAlign w:val="bottom"/>
          </w:tcPr>
          <w:p w14:paraId="2FCDE7B9" w14:textId="66B42800"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89,214</w:t>
            </w:r>
          </w:p>
        </w:tc>
        <w:tc>
          <w:tcPr>
            <w:tcW w:w="776" w:type="pct"/>
            <w:shd w:val="clear" w:color="auto" w:fill="auto"/>
            <w:noWrap/>
            <w:vAlign w:val="bottom"/>
            <w:hideMark/>
          </w:tcPr>
          <w:p w14:paraId="1878BCE1" w14:textId="2B211922"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789,504</w:t>
            </w:r>
          </w:p>
        </w:tc>
      </w:tr>
      <w:tr w:rsidR="005D41DA" w:rsidRPr="00DC7563" w14:paraId="30B8B5E4" w14:textId="77777777" w:rsidTr="00F726FD">
        <w:trPr>
          <w:trHeight w:val="376"/>
          <w:jc w:val="center"/>
        </w:trPr>
        <w:tc>
          <w:tcPr>
            <w:tcW w:w="1291" w:type="pct"/>
            <w:shd w:val="clear" w:color="auto" w:fill="auto"/>
            <w:vAlign w:val="bottom"/>
            <w:hideMark/>
          </w:tcPr>
          <w:p w14:paraId="7D5FDFA8" w14:textId="7B82D1B2" w:rsidR="005D41DA" w:rsidRPr="00DC7563" w:rsidRDefault="005D41DA" w:rsidP="005D41DA">
            <w:pPr>
              <w:spacing w:line="276" w:lineRule="auto"/>
              <w:rPr>
                <w:rFonts w:ascii="Arial" w:hAnsi="Arial" w:cs="Arial"/>
                <w:color w:val="000000"/>
                <w:sz w:val="17"/>
                <w:szCs w:val="17"/>
                <w:lang w:val="en-GB"/>
              </w:rPr>
            </w:pPr>
            <w:r w:rsidRPr="00DC7563">
              <w:rPr>
                <w:rFonts w:ascii="Arial" w:hAnsi="Arial" w:cs="Arial"/>
                <w:color w:val="000000"/>
                <w:sz w:val="17"/>
                <w:szCs w:val="17"/>
                <w:lang w:val="en-GB"/>
              </w:rPr>
              <w:t>Depreciation and Amortization</w:t>
            </w:r>
          </w:p>
        </w:tc>
        <w:tc>
          <w:tcPr>
            <w:tcW w:w="601" w:type="pct"/>
            <w:shd w:val="clear" w:color="auto" w:fill="auto"/>
            <w:noWrap/>
            <w:vAlign w:val="bottom"/>
          </w:tcPr>
          <w:p w14:paraId="3DC79151" w14:textId="77777777"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68,791</w:t>
            </w:r>
          </w:p>
        </w:tc>
        <w:tc>
          <w:tcPr>
            <w:tcW w:w="582" w:type="pct"/>
            <w:shd w:val="clear" w:color="auto" w:fill="auto"/>
            <w:vAlign w:val="bottom"/>
          </w:tcPr>
          <w:p w14:paraId="7E94E898" w14:textId="261EDA09"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59,954</w:t>
            </w:r>
          </w:p>
        </w:tc>
        <w:tc>
          <w:tcPr>
            <w:tcW w:w="584" w:type="pct"/>
            <w:shd w:val="clear" w:color="auto" w:fill="auto"/>
            <w:vAlign w:val="bottom"/>
          </w:tcPr>
          <w:p w14:paraId="03E07AB4" w14:textId="5DB3D283"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57,656</w:t>
            </w:r>
          </w:p>
        </w:tc>
        <w:tc>
          <w:tcPr>
            <w:tcW w:w="582" w:type="pct"/>
            <w:shd w:val="clear" w:color="auto" w:fill="auto"/>
            <w:vAlign w:val="bottom"/>
          </w:tcPr>
          <w:p w14:paraId="5771A40F" w14:textId="4FBF8F9D"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68,872</w:t>
            </w:r>
          </w:p>
        </w:tc>
        <w:tc>
          <w:tcPr>
            <w:tcW w:w="584" w:type="pct"/>
            <w:shd w:val="clear" w:color="auto" w:fill="auto"/>
            <w:vAlign w:val="bottom"/>
          </w:tcPr>
          <w:p w14:paraId="60F0A544" w14:textId="286F73D3"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78,972</w:t>
            </w:r>
          </w:p>
        </w:tc>
        <w:tc>
          <w:tcPr>
            <w:tcW w:w="776" w:type="pct"/>
            <w:shd w:val="clear" w:color="auto" w:fill="auto"/>
            <w:noWrap/>
            <w:vAlign w:val="bottom"/>
            <w:hideMark/>
          </w:tcPr>
          <w:p w14:paraId="2C1EB2A9" w14:textId="093F6ACB"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698,867</w:t>
            </w:r>
          </w:p>
        </w:tc>
      </w:tr>
      <w:tr w:rsidR="005D41DA" w:rsidRPr="00DC7563" w14:paraId="46454D20" w14:textId="77777777" w:rsidTr="00F726FD">
        <w:trPr>
          <w:trHeight w:val="376"/>
          <w:jc w:val="center"/>
        </w:trPr>
        <w:tc>
          <w:tcPr>
            <w:tcW w:w="1291" w:type="pct"/>
            <w:shd w:val="clear" w:color="auto" w:fill="auto"/>
            <w:vAlign w:val="bottom"/>
            <w:hideMark/>
          </w:tcPr>
          <w:p w14:paraId="3926C405" w14:textId="77777777" w:rsidR="005D41DA" w:rsidRPr="00DC7563" w:rsidRDefault="005D41DA" w:rsidP="005D41DA">
            <w:pPr>
              <w:spacing w:line="276" w:lineRule="auto"/>
              <w:rPr>
                <w:rFonts w:ascii="Arial" w:hAnsi="Arial" w:cs="Arial"/>
                <w:color w:val="000000"/>
                <w:sz w:val="17"/>
                <w:szCs w:val="17"/>
                <w:lang w:val="en-GB"/>
              </w:rPr>
            </w:pPr>
            <w:r w:rsidRPr="00DC7563">
              <w:rPr>
                <w:rFonts w:ascii="Arial" w:hAnsi="Arial" w:cs="Arial"/>
                <w:color w:val="000000"/>
                <w:sz w:val="17"/>
                <w:szCs w:val="17"/>
                <w:lang w:val="en-GB"/>
              </w:rPr>
              <w:t>Research and Development Costs</w:t>
            </w:r>
          </w:p>
        </w:tc>
        <w:tc>
          <w:tcPr>
            <w:tcW w:w="601" w:type="pct"/>
            <w:shd w:val="clear" w:color="auto" w:fill="auto"/>
            <w:noWrap/>
            <w:vAlign w:val="bottom"/>
          </w:tcPr>
          <w:p w14:paraId="4BDAC85F" w14:textId="77777777"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91,716</w:t>
            </w:r>
          </w:p>
        </w:tc>
        <w:tc>
          <w:tcPr>
            <w:tcW w:w="582" w:type="pct"/>
            <w:shd w:val="clear" w:color="auto" w:fill="auto"/>
            <w:vAlign w:val="bottom"/>
          </w:tcPr>
          <w:p w14:paraId="2EEA0A3A" w14:textId="089F5467"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89,930</w:t>
            </w:r>
          </w:p>
        </w:tc>
        <w:tc>
          <w:tcPr>
            <w:tcW w:w="584" w:type="pct"/>
            <w:shd w:val="clear" w:color="auto" w:fill="auto"/>
            <w:vAlign w:val="bottom"/>
          </w:tcPr>
          <w:p w14:paraId="27EFD6A2" w14:textId="569FDC5B"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99,393</w:t>
            </w:r>
          </w:p>
        </w:tc>
        <w:tc>
          <w:tcPr>
            <w:tcW w:w="582" w:type="pct"/>
            <w:shd w:val="clear" w:color="auto" w:fill="auto"/>
            <w:vAlign w:val="bottom"/>
          </w:tcPr>
          <w:p w14:paraId="1669EF23" w14:textId="02F55C92"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108,378</w:t>
            </w:r>
          </w:p>
        </w:tc>
        <w:tc>
          <w:tcPr>
            <w:tcW w:w="584" w:type="pct"/>
            <w:shd w:val="clear" w:color="auto" w:fill="auto"/>
            <w:vAlign w:val="bottom"/>
          </w:tcPr>
          <w:p w14:paraId="432B8DB9" w14:textId="56BB27BD"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116,610</w:t>
            </w:r>
          </w:p>
        </w:tc>
        <w:tc>
          <w:tcPr>
            <w:tcW w:w="776" w:type="pct"/>
            <w:shd w:val="clear" w:color="auto" w:fill="auto"/>
            <w:noWrap/>
            <w:vAlign w:val="bottom"/>
            <w:hideMark/>
          </w:tcPr>
          <w:p w14:paraId="2345C28C" w14:textId="0B011266"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1,031,947</w:t>
            </w:r>
          </w:p>
        </w:tc>
      </w:tr>
      <w:tr w:rsidR="005D41DA" w:rsidRPr="00DC7563" w14:paraId="23A4713F" w14:textId="77777777" w:rsidTr="00F726FD">
        <w:trPr>
          <w:trHeight w:val="187"/>
          <w:jc w:val="center"/>
        </w:trPr>
        <w:tc>
          <w:tcPr>
            <w:tcW w:w="1291" w:type="pct"/>
            <w:shd w:val="clear" w:color="auto" w:fill="auto"/>
            <w:vAlign w:val="bottom"/>
            <w:hideMark/>
          </w:tcPr>
          <w:p w14:paraId="6BAC9D6A" w14:textId="64B39179" w:rsidR="005D41DA" w:rsidRPr="00DC7563" w:rsidRDefault="005D41DA" w:rsidP="005D41DA">
            <w:pPr>
              <w:spacing w:line="276" w:lineRule="auto"/>
              <w:rPr>
                <w:rFonts w:ascii="Arial" w:hAnsi="Arial" w:cs="Arial"/>
                <w:color w:val="000000"/>
                <w:sz w:val="17"/>
                <w:szCs w:val="17"/>
                <w:lang w:val="en-GB"/>
              </w:rPr>
            </w:pPr>
            <w:r w:rsidRPr="00DC7563">
              <w:rPr>
                <w:rFonts w:ascii="Arial" w:hAnsi="Arial" w:cs="Arial"/>
                <w:color w:val="000000"/>
                <w:sz w:val="17"/>
                <w:szCs w:val="17"/>
                <w:lang w:val="en-GB"/>
              </w:rPr>
              <w:t>Free Cash Flow</w:t>
            </w:r>
          </w:p>
        </w:tc>
        <w:tc>
          <w:tcPr>
            <w:tcW w:w="601" w:type="pct"/>
            <w:shd w:val="clear" w:color="auto" w:fill="auto"/>
            <w:noWrap/>
            <w:vAlign w:val="bottom"/>
          </w:tcPr>
          <w:p w14:paraId="46D4647B" w14:textId="77777777"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(79,415)</w:t>
            </w:r>
          </w:p>
        </w:tc>
        <w:tc>
          <w:tcPr>
            <w:tcW w:w="582" w:type="pct"/>
            <w:shd w:val="clear" w:color="auto" w:fill="auto"/>
            <w:vAlign w:val="bottom"/>
          </w:tcPr>
          <w:p w14:paraId="379A6FBA" w14:textId="6375B1AE"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8,746</w:t>
            </w:r>
          </w:p>
        </w:tc>
        <w:tc>
          <w:tcPr>
            <w:tcW w:w="584" w:type="pct"/>
            <w:shd w:val="clear" w:color="auto" w:fill="auto"/>
            <w:vAlign w:val="bottom"/>
          </w:tcPr>
          <w:p w14:paraId="0C726EDC" w14:textId="4DD5770F"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16,322</w:t>
            </w:r>
          </w:p>
        </w:tc>
        <w:tc>
          <w:tcPr>
            <w:tcW w:w="582" w:type="pct"/>
            <w:shd w:val="clear" w:color="auto" w:fill="auto"/>
            <w:vAlign w:val="bottom"/>
          </w:tcPr>
          <w:p w14:paraId="3BAE88C1" w14:textId="19ECFB0C"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108,911</w:t>
            </w:r>
          </w:p>
        </w:tc>
        <w:tc>
          <w:tcPr>
            <w:tcW w:w="584" w:type="pct"/>
            <w:shd w:val="clear" w:color="auto" w:fill="auto"/>
            <w:vAlign w:val="bottom"/>
          </w:tcPr>
          <w:p w14:paraId="17334B29" w14:textId="64F05F71"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154,678</w:t>
            </w:r>
          </w:p>
        </w:tc>
        <w:tc>
          <w:tcPr>
            <w:tcW w:w="776" w:type="pct"/>
            <w:shd w:val="clear" w:color="auto" w:fill="auto"/>
            <w:noWrap/>
            <w:vAlign w:val="bottom"/>
            <w:hideMark/>
          </w:tcPr>
          <w:p w14:paraId="5D1FAFB4" w14:textId="78E8D4A9" w:rsidR="005D41DA" w:rsidRPr="00DC7563" w:rsidRDefault="005D41DA" w:rsidP="005D41DA">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1,368,832</w:t>
            </w:r>
          </w:p>
        </w:tc>
      </w:tr>
      <w:tr w:rsidR="005D41DA" w:rsidRPr="00DC7563" w14:paraId="7C6C5947" w14:textId="77777777" w:rsidTr="00F726FD">
        <w:trPr>
          <w:trHeight w:val="71"/>
          <w:jc w:val="center"/>
        </w:trPr>
        <w:tc>
          <w:tcPr>
            <w:tcW w:w="5000" w:type="pct"/>
            <w:gridSpan w:val="7"/>
          </w:tcPr>
          <w:p w14:paraId="3E69D064" w14:textId="25D72FCC" w:rsidR="005D41DA" w:rsidRPr="00DC7563" w:rsidRDefault="005D41DA" w:rsidP="000A18F0">
            <w:pPr>
              <w:spacing w:line="276" w:lineRule="auto"/>
              <w:rPr>
                <w:rFonts w:ascii="Arial" w:hAnsi="Arial" w:cs="Arial"/>
                <w:b/>
                <w:bCs/>
                <w:color w:val="000000"/>
                <w:sz w:val="17"/>
                <w:szCs w:val="17"/>
                <w:lang w:val="en-GB"/>
              </w:rPr>
            </w:pPr>
            <w:r w:rsidRPr="00DC7563">
              <w:rPr>
                <w:rFonts w:ascii="Arial" w:hAnsi="Arial" w:cs="Arial"/>
                <w:b/>
                <w:bCs/>
                <w:color w:val="000000"/>
                <w:sz w:val="17"/>
                <w:szCs w:val="17"/>
                <w:lang w:val="en-GB"/>
              </w:rPr>
              <w:t>At Year-End:</w:t>
            </w:r>
            <w:r w:rsidRPr="00DC7563">
              <w:rPr>
                <w:rFonts w:ascii="Arial" w:hAnsi="Arial" w:cs="Arial"/>
                <w:color w:val="000000"/>
                <w:sz w:val="17"/>
                <w:szCs w:val="17"/>
                <w:lang w:val="en-GB"/>
              </w:rPr>
              <w:t> </w:t>
            </w:r>
          </w:p>
        </w:tc>
      </w:tr>
      <w:tr w:rsidR="00F726FD" w:rsidRPr="00DC7563" w14:paraId="7969B8C0" w14:textId="77777777" w:rsidTr="00F726FD">
        <w:trPr>
          <w:trHeight w:val="57"/>
          <w:jc w:val="center"/>
        </w:trPr>
        <w:tc>
          <w:tcPr>
            <w:tcW w:w="1291" w:type="pct"/>
            <w:shd w:val="clear" w:color="auto" w:fill="auto"/>
            <w:vAlign w:val="bottom"/>
            <w:hideMark/>
          </w:tcPr>
          <w:p w14:paraId="63A9E789" w14:textId="5D4EEDDB" w:rsidR="00F726FD" w:rsidRPr="00DC7563" w:rsidRDefault="00F726FD" w:rsidP="00F726FD">
            <w:pPr>
              <w:spacing w:line="276" w:lineRule="auto"/>
              <w:rPr>
                <w:rFonts w:ascii="Arial" w:hAnsi="Arial" w:cs="Arial"/>
                <w:color w:val="000000"/>
                <w:sz w:val="17"/>
                <w:szCs w:val="17"/>
                <w:lang w:val="en-GB"/>
              </w:rPr>
            </w:pPr>
            <w:r w:rsidRPr="00DC7563">
              <w:rPr>
                <w:rFonts w:ascii="Arial" w:hAnsi="Arial" w:cs="Arial"/>
                <w:color w:val="000000"/>
                <w:sz w:val="17"/>
                <w:szCs w:val="17"/>
                <w:lang w:val="en-GB"/>
              </w:rPr>
              <w:t>Total Assets</w:t>
            </w:r>
          </w:p>
        </w:tc>
        <w:tc>
          <w:tcPr>
            <w:tcW w:w="601" w:type="pct"/>
            <w:shd w:val="clear" w:color="auto" w:fill="auto"/>
            <w:noWrap/>
            <w:vAlign w:val="bottom"/>
          </w:tcPr>
          <w:p w14:paraId="1916667D" w14:textId="18F919FF" w:rsidR="00F726FD" w:rsidRPr="00F726FD" w:rsidRDefault="00F726FD" w:rsidP="00F726FD">
            <w:pPr>
              <w:spacing w:line="276" w:lineRule="auto"/>
              <w:jc w:val="right"/>
              <w:rPr>
                <w:rFonts w:ascii="Arial" w:hAnsi="Arial" w:cs="Arial"/>
                <w:color w:val="000000"/>
                <w:sz w:val="17"/>
                <w:szCs w:val="17"/>
                <w:lang w:val="en-GB"/>
              </w:rPr>
            </w:pPr>
            <w:r w:rsidRPr="00F726FD">
              <w:rPr>
                <w:rFonts w:ascii="Arial" w:hAnsi="Arial" w:cs="Arial"/>
                <w:color w:val="000000"/>
                <w:sz w:val="17"/>
                <w:szCs w:val="17"/>
                <w:lang w:val="en-GB"/>
              </w:rPr>
              <w:t>¥1,915,943</w:t>
            </w:r>
          </w:p>
        </w:tc>
        <w:tc>
          <w:tcPr>
            <w:tcW w:w="582" w:type="pct"/>
            <w:shd w:val="clear" w:color="auto" w:fill="auto"/>
            <w:vAlign w:val="bottom"/>
          </w:tcPr>
          <w:p w14:paraId="145C56CC" w14:textId="45D37ED6" w:rsidR="00F726FD" w:rsidRPr="00DC7563" w:rsidRDefault="00F726FD" w:rsidP="00F726FD">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¥1,978,567</w:t>
            </w:r>
          </w:p>
        </w:tc>
        <w:tc>
          <w:tcPr>
            <w:tcW w:w="584" w:type="pct"/>
            <w:tcBorders>
              <w:top w:val="single" w:sz="4" w:space="0" w:color="auto"/>
              <w:left w:val="nil"/>
              <w:bottom w:val="single" w:sz="4" w:space="0" w:color="auto"/>
              <w:right w:val="single" w:sz="4" w:space="0" w:color="auto"/>
            </w:tcBorders>
            <w:vAlign w:val="bottom"/>
          </w:tcPr>
          <w:p w14:paraId="7758503B" w14:textId="375C1E83" w:rsidR="00F726FD" w:rsidRPr="00DC40D1" w:rsidRDefault="00F726FD" w:rsidP="00F726FD">
            <w:pPr>
              <w:spacing w:line="276" w:lineRule="auto"/>
              <w:jc w:val="right"/>
              <w:rPr>
                <w:rFonts w:ascii="Arial" w:hAnsi="Arial" w:cs="Arial"/>
                <w:color w:val="000000"/>
                <w:sz w:val="17"/>
                <w:szCs w:val="17"/>
                <w:highlight w:val="yellow"/>
                <w:lang w:val="en-GB"/>
              </w:rPr>
            </w:pPr>
            <w:r w:rsidRPr="00092FA4">
              <w:rPr>
                <w:rFonts w:ascii="Arial" w:hAnsi="Arial" w:cs="Arial"/>
                <w:color w:val="000000"/>
                <w:sz w:val="17"/>
                <w:szCs w:val="17"/>
              </w:rPr>
              <w:t>¥2,246,036</w:t>
            </w:r>
          </w:p>
        </w:tc>
        <w:tc>
          <w:tcPr>
            <w:tcW w:w="582" w:type="pct"/>
            <w:shd w:val="clear" w:color="auto" w:fill="auto"/>
            <w:vAlign w:val="bottom"/>
          </w:tcPr>
          <w:p w14:paraId="58B19DC0" w14:textId="0C267DAF" w:rsidR="00F726FD" w:rsidRPr="00DC7563" w:rsidRDefault="00F726FD" w:rsidP="00F726FD">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¥2,473,287</w:t>
            </w:r>
          </w:p>
        </w:tc>
        <w:tc>
          <w:tcPr>
            <w:tcW w:w="584" w:type="pct"/>
            <w:shd w:val="clear" w:color="auto" w:fill="auto"/>
            <w:vAlign w:val="bottom"/>
          </w:tcPr>
          <w:p w14:paraId="081E0A90" w14:textId="5683686C" w:rsidR="00F726FD" w:rsidRPr="00DC7563" w:rsidRDefault="00F726FD" w:rsidP="00F726FD">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¥2,548,401</w:t>
            </w:r>
          </w:p>
        </w:tc>
        <w:tc>
          <w:tcPr>
            <w:tcW w:w="776" w:type="pct"/>
            <w:shd w:val="clear" w:color="auto" w:fill="auto"/>
            <w:noWrap/>
            <w:vAlign w:val="bottom"/>
            <w:hideMark/>
          </w:tcPr>
          <w:p w14:paraId="0B6694DE" w14:textId="1082E1D3" w:rsidR="00F726FD" w:rsidRPr="00DC7563" w:rsidRDefault="00F726FD" w:rsidP="00F726FD">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$22,552,221</w:t>
            </w:r>
          </w:p>
        </w:tc>
      </w:tr>
      <w:tr w:rsidR="00F726FD" w:rsidRPr="00DC7563" w14:paraId="7A256FCC" w14:textId="77777777" w:rsidTr="00F726FD">
        <w:trPr>
          <w:trHeight w:val="187"/>
          <w:jc w:val="center"/>
        </w:trPr>
        <w:tc>
          <w:tcPr>
            <w:tcW w:w="1291" w:type="pct"/>
            <w:shd w:val="clear" w:color="auto" w:fill="auto"/>
            <w:vAlign w:val="bottom"/>
            <w:hideMark/>
          </w:tcPr>
          <w:p w14:paraId="67E18F1D" w14:textId="57E0B9E1" w:rsidR="00F726FD" w:rsidRPr="00DC7563" w:rsidRDefault="00F726FD" w:rsidP="00F726FD">
            <w:pPr>
              <w:spacing w:line="276" w:lineRule="auto"/>
              <w:rPr>
                <w:rFonts w:ascii="Arial" w:hAnsi="Arial" w:cs="Arial"/>
                <w:color w:val="000000"/>
                <w:sz w:val="17"/>
                <w:szCs w:val="17"/>
                <w:lang w:val="en-GB"/>
              </w:rPr>
            </w:pPr>
            <w:r w:rsidRPr="00DC7563">
              <w:rPr>
                <w:rFonts w:ascii="Arial" w:hAnsi="Arial" w:cs="Arial"/>
                <w:color w:val="000000"/>
                <w:sz w:val="17"/>
                <w:szCs w:val="17"/>
                <w:lang w:val="en-GB"/>
              </w:rPr>
              <w:t>Net Assets</w:t>
            </w:r>
          </w:p>
        </w:tc>
        <w:tc>
          <w:tcPr>
            <w:tcW w:w="601" w:type="pct"/>
            <w:shd w:val="clear" w:color="auto" w:fill="auto"/>
            <w:noWrap/>
            <w:vAlign w:val="bottom"/>
          </w:tcPr>
          <w:p w14:paraId="109B77CB" w14:textId="77777777" w:rsidR="00F726FD" w:rsidRPr="00F726FD" w:rsidRDefault="00F726FD" w:rsidP="00F726FD">
            <w:pPr>
              <w:spacing w:line="276" w:lineRule="auto"/>
              <w:jc w:val="right"/>
              <w:rPr>
                <w:rFonts w:ascii="Arial" w:hAnsi="Arial" w:cs="Arial"/>
                <w:color w:val="000000"/>
                <w:sz w:val="17"/>
                <w:szCs w:val="17"/>
                <w:lang w:val="en-GB"/>
              </w:rPr>
            </w:pPr>
            <w:r w:rsidRPr="00F726FD">
              <w:rPr>
                <w:rFonts w:ascii="Arial" w:hAnsi="Arial" w:cs="Arial"/>
                <w:color w:val="000000"/>
                <w:sz w:val="17"/>
                <w:szCs w:val="17"/>
                <w:lang w:val="en-GB"/>
              </w:rPr>
              <w:t>474,429</w:t>
            </w:r>
          </w:p>
        </w:tc>
        <w:tc>
          <w:tcPr>
            <w:tcW w:w="582" w:type="pct"/>
            <w:shd w:val="clear" w:color="auto" w:fill="auto"/>
            <w:vAlign w:val="bottom"/>
          </w:tcPr>
          <w:p w14:paraId="3C2D3417" w14:textId="5DB5B194" w:rsidR="00F726FD" w:rsidRPr="00DC7563" w:rsidRDefault="00F726FD" w:rsidP="00F726FD">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513,226</w:t>
            </w:r>
          </w:p>
        </w:tc>
        <w:tc>
          <w:tcPr>
            <w:tcW w:w="584" w:type="pct"/>
            <w:tcBorders>
              <w:top w:val="single" w:sz="4" w:space="0" w:color="auto"/>
              <w:left w:val="nil"/>
              <w:bottom w:val="single" w:sz="4" w:space="0" w:color="auto"/>
              <w:right w:val="single" w:sz="4" w:space="0" w:color="auto"/>
            </w:tcBorders>
            <w:vAlign w:val="bottom"/>
          </w:tcPr>
          <w:p w14:paraId="45D2BC11" w14:textId="24F2FBA2" w:rsidR="00F726FD" w:rsidRPr="00DC40D1" w:rsidRDefault="00F726FD" w:rsidP="00F726FD">
            <w:pPr>
              <w:spacing w:line="276" w:lineRule="auto"/>
              <w:jc w:val="right"/>
              <w:rPr>
                <w:rFonts w:ascii="Arial" w:hAnsi="Arial" w:cs="Arial"/>
                <w:color w:val="000000"/>
                <w:sz w:val="17"/>
                <w:szCs w:val="17"/>
                <w:highlight w:val="yellow"/>
                <w:lang w:val="en-GB"/>
              </w:rPr>
            </w:pPr>
            <w:r w:rsidRPr="00092FA4">
              <w:rPr>
                <w:rFonts w:ascii="Arial" w:hAnsi="Arial" w:cs="Arial"/>
                <w:color w:val="000000"/>
                <w:sz w:val="17"/>
                <w:szCs w:val="17"/>
              </w:rPr>
              <w:t>676,837</w:t>
            </w:r>
          </w:p>
        </w:tc>
        <w:tc>
          <w:tcPr>
            <w:tcW w:w="582" w:type="pct"/>
            <w:shd w:val="clear" w:color="auto" w:fill="auto"/>
            <w:vAlign w:val="bottom"/>
          </w:tcPr>
          <w:p w14:paraId="12B746CD" w14:textId="3BB0547A" w:rsidR="00F726FD" w:rsidRPr="00DC7563" w:rsidRDefault="00F726FD" w:rsidP="00F726FD">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891,326</w:t>
            </w:r>
          </w:p>
        </w:tc>
        <w:tc>
          <w:tcPr>
            <w:tcW w:w="584" w:type="pct"/>
            <w:shd w:val="clear" w:color="auto" w:fill="auto"/>
            <w:vAlign w:val="bottom"/>
          </w:tcPr>
          <w:p w14:paraId="0E718F75" w14:textId="0A49CCCE" w:rsidR="00F726FD" w:rsidRPr="00DC7563" w:rsidRDefault="00F726FD" w:rsidP="00F726FD">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976,723</w:t>
            </w:r>
          </w:p>
        </w:tc>
        <w:tc>
          <w:tcPr>
            <w:tcW w:w="776" w:type="pct"/>
            <w:shd w:val="clear" w:color="auto" w:fill="auto"/>
            <w:noWrap/>
            <w:vAlign w:val="bottom"/>
            <w:hideMark/>
          </w:tcPr>
          <w:p w14:paraId="374F5966" w14:textId="0387DE8E" w:rsidR="00F726FD" w:rsidRPr="00DC7563" w:rsidRDefault="00F726FD" w:rsidP="00F726FD">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8,643,566</w:t>
            </w:r>
          </w:p>
        </w:tc>
      </w:tr>
      <w:tr w:rsidR="00F726FD" w:rsidRPr="00DC7563" w14:paraId="7559F1BC" w14:textId="77777777" w:rsidTr="00F726FD">
        <w:trPr>
          <w:trHeight w:val="187"/>
          <w:jc w:val="center"/>
        </w:trPr>
        <w:tc>
          <w:tcPr>
            <w:tcW w:w="1291" w:type="pct"/>
            <w:shd w:val="clear" w:color="auto" w:fill="auto"/>
            <w:vAlign w:val="bottom"/>
            <w:hideMark/>
          </w:tcPr>
          <w:p w14:paraId="093EEBD6" w14:textId="5CED6765" w:rsidR="00F726FD" w:rsidRPr="00DC7563" w:rsidRDefault="00F726FD" w:rsidP="00F726FD">
            <w:pPr>
              <w:spacing w:line="276" w:lineRule="auto"/>
              <w:rPr>
                <w:rFonts w:ascii="Arial" w:hAnsi="Arial" w:cs="Arial"/>
                <w:color w:val="000000"/>
                <w:sz w:val="17"/>
                <w:szCs w:val="17"/>
                <w:lang w:val="en-GB"/>
              </w:rPr>
            </w:pPr>
            <w:r w:rsidRPr="00DC7563">
              <w:rPr>
                <w:rFonts w:ascii="Arial" w:hAnsi="Arial" w:cs="Arial"/>
                <w:color w:val="000000"/>
                <w:sz w:val="17"/>
                <w:szCs w:val="17"/>
                <w:lang w:val="en-GB"/>
              </w:rPr>
              <w:t>Interest-Bearing Debt</w:t>
            </w:r>
          </w:p>
        </w:tc>
        <w:tc>
          <w:tcPr>
            <w:tcW w:w="601" w:type="pct"/>
            <w:shd w:val="clear" w:color="auto" w:fill="auto"/>
            <w:noWrap/>
            <w:vAlign w:val="bottom"/>
          </w:tcPr>
          <w:p w14:paraId="715F6BAA" w14:textId="77777777" w:rsidR="00F726FD" w:rsidRPr="00F726FD" w:rsidRDefault="00F726FD" w:rsidP="00F726FD">
            <w:pPr>
              <w:spacing w:line="276" w:lineRule="auto"/>
              <w:jc w:val="right"/>
              <w:rPr>
                <w:rFonts w:ascii="Arial" w:hAnsi="Arial" w:cs="Arial"/>
                <w:color w:val="000000"/>
                <w:sz w:val="17"/>
                <w:szCs w:val="17"/>
                <w:lang w:val="en-GB"/>
              </w:rPr>
            </w:pPr>
            <w:r w:rsidRPr="00F726FD">
              <w:rPr>
                <w:rFonts w:ascii="Arial" w:hAnsi="Arial" w:cs="Arial"/>
                <w:color w:val="000000"/>
                <w:sz w:val="17"/>
                <w:szCs w:val="17"/>
                <w:lang w:val="en-GB"/>
              </w:rPr>
              <w:t>778,085</w:t>
            </w:r>
          </w:p>
        </w:tc>
        <w:tc>
          <w:tcPr>
            <w:tcW w:w="582" w:type="pct"/>
            <w:shd w:val="clear" w:color="auto" w:fill="auto"/>
            <w:vAlign w:val="bottom"/>
          </w:tcPr>
          <w:p w14:paraId="45830756" w14:textId="1E6A72CE" w:rsidR="00F726FD" w:rsidRPr="00DC7563" w:rsidRDefault="00F726FD" w:rsidP="00F726FD">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718,983</w:t>
            </w:r>
          </w:p>
        </w:tc>
        <w:tc>
          <w:tcPr>
            <w:tcW w:w="584" w:type="pct"/>
            <w:tcBorders>
              <w:top w:val="single" w:sz="4" w:space="0" w:color="auto"/>
              <w:left w:val="nil"/>
              <w:bottom w:val="single" w:sz="4" w:space="0" w:color="auto"/>
              <w:right w:val="single" w:sz="4" w:space="0" w:color="auto"/>
            </w:tcBorders>
            <w:vAlign w:val="bottom"/>
          </w:tcPr>
          <w:p w14:paraId="653EA749" w14:textId="22C26A46" w:rsidR="00F726FD" w:rsidRPr="00DC40D1" w:rsidRDefault="00F726FD" w:rsidP="00F726FD">
            <w:pPr>
              <w:spacing w:line="276" w:lineRule="auto"/>
              <w:jc w:val="right"/>
              <w:rPr>
                <w:rFonts w:ascii="Arial" w:hAnsi="Arial" w:cs="Arial"/>
                <w:color w:val="000000"/>
                <w:sz w:val="17"/>
                <w:szCs w:val="17"/>
                <w:highlight w:val="yellow"/>
                <w:lang w:val="en-GB"/>
              </w:rPr>
            </w:pPr>
            <w:r w:rsidRPr="00092FA4">
              <w:rPr>
                <w:rFonts w:ascii="Arial" w:hAnsi="Arial" w:cs="Arial"/>
                <w:color w:val="000000"/>
                <w:sz w:val="17"/>
                <w:szCs w:val="17"/>
              </w:rPr>
              <w:t>742,735</w:t>
            </w:r>
          </w:p>
        </w:tc>
        <w:tc>
          <w:tcPr>
            <w:tcW w:w="582" w:type="pct"/>
            <w:shd w:val="clear" w:color="auto" w:fill="auto"/>
            <w:vAlign w:val="bottom"/>
          </w:tcPr>
          <w:p w14:paraId="2689CFA8" w14:textId="76A5A51B" w:rsidR="00F726FD" w:rsidRPr="00DC7563" w:rsidRDefault="00F726FD" w:rsidP="00F726FD">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701,019</w:t>
            </w:r>
          </w:p>
        </w:tc>
        <w:tc>
          <w:tcPr>
            <w:tcW w:w="584" w:type="pct"/>
            <w:shd w:val="clear" w:color="auto" w:fill="auto"/>
            <w:vAlign w:val="bottom"/>
          </w:tcPr>
          <w:p w14:paraId="51419E21" w14:textId="4C42BEF2" w:rsidR="00F726FD" w:rsidRPr="00DC7563" w:rsidRDefault="00F726FD" w:rsidP="00F726FD">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617,132</w:t>
            </w:r>
          </w:p>
        </w:tc>
        <w:tc>
          <w:tcPr>
            <w:tcW w:w="776" w:type="pct"/>
            <w:shd w:val="clear" w:color="auto" w:fill="auto"/>
            <w:noWrap/>
            <w:vAlign w:val="bottom"/>
            <w:hideMark/>
          </w:tcPr>
          <w:p w14:paraId="74B2404E" w14:textId="359932E0" w:rsidR="00F726FD" w:rsidRPr="00DC7563" w:rsidRDefault="00F726FD" w:rsidP="00F726FD">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5,461,345</w:t>
            </w:r>
          </w:p>
        </w:tc>
      </w:tr>
      <w:tr w:rsidR="00F726FD" w:rsidRPr="00DC7563" w14:paraId="4DBDF3CB" w14:textId="77777777" w:rsidTr="00F726FD">
        <w:trPr>
          <w:trHeight w:val="187"/>
          <w:jc w:val="center"/>
        </w:trPr>
        <w:tc>
          <w:tcPr>
            <w:tcW w:w="1291" w:type="pct"/>
            <w:shd w:val="clear" w:color="auto" w:fill="auto"/>
            <w:vAlign w:val="bottom"/>
            <w:hideMark/>
          </w:tcPr>
          <w:p w14:paraId="169BADD0" w14:textId="34F01015" w:rsidR="00F726FD" w:rsidRPr="00DC7563" w:rsidRDefault="00F726FD" w:rsidP="00F726FD">
            <w:pPr>
              <w:spacing w:line="276" w:lineRule="auto"/>
              <w:rPr>
                <w:rFonts w:ascii="Arial" w:hAnsi="Arial" w:cs="Arial"/>
                <w:color w:val="000000"/>
                <w:sz w:val="17"/>
                <w:szCs w:val="17"/>
                <w:lang w:val="en-GB"/>
              </w:rPr>
            </w:pPr>
            <w:r w:rsidRPr="00DC7563">
              <w:rPr>
                <w:rFonts w:ascii="Arial" w:hAnsi="Arial" w:cs="Arial"/>
                <w:color w:val="000000"/>
                <w:sz w:val="17"/>
                <w:szCs w:val="17"/>
                <w:lang w:val="en-GB"/>
              </w:rPr>
              <w:t>Net Interest-Bearing Debt</w:t>
            </w:r>
          </w:p>
        </w:tc>
        <w:tc>
          <w:tcPr>
            <w:tcW w:w="601" w:type="pct"/>
            <w:shd w:val="clear" w:color="auto" w:fill="auto"/>
            <w:noWrap/>
            <w:vAlign w:val="bottom"/>
          </w:tcPr>
          <w:p w14:paraId="019D9641" w14:textId="77777777" w:rsidR="00F726FD" w:rsidRPr="00F726FD" w:rsidRDefault="00F726FD" w:rsidP="00F726FD">
            <w:pPr>
              <w:spacing w:line="276" w:lineRule="auto"/>
              <w:jc w:val="right"/>
              <w:rPr>
                <w:rFonts w:ascii="Arial" w:hAnsi="Arial" w:cs="Arial"/>
                <w:color w:val="000000"/>
                <w:sz w:val="17"/>
                <w:szCs w:val="17"/>
                <w:lang w:val="en-GB"/>
              </w:rPr>
            </w:pPr>
            <w:r w:rsidRPr="00F726FD">
              <w:rPr>
                <w:rFonts w:ascii="Arial" w:hAnsi="Arial" w:cs="Arial"/>
                <w:color w:val="000000"/>
                <w:sz w:val="17"/>
                <w:szCs w:val="17"/>
                <w:lang w:val="en-GB"/>
              </w:rPr>
              <w:t>300,778</w:t>
            </w:r>
          </w:p>
        </w:tc>
        <w:tc>
          <w:tcPr>
            <w:tcW w:w="582" w:type="pct"/>
            <w:shd w:val="clear" w:color="auto" w:fill="auto"/>
            <w:vAlign w:val="bottom"/>
          </w:tcPr>
          <w:p w14:paraId="4FC510D1" w14:textId="74C2FBDC" w:rsidR="00F726FD" w:rsidRPr="00DC7563" w:rsidRDefault="00F726FD" w:rsidP="00F726FD">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274,108</w:t>
            </w:r>
          </w:p>
        </w:tc>
        <w:tc>
          <w:tcPr>
            <w:tcW w:w="584" w:type="pct"/>
            <w:tcBorders>
              <w:top w:val="single" w:sz="4" w:space="0" w:color="auto"/>
              <w:left w:val="nil"/>
              <w:bottom w:val="single" w:sz="4" w:space="0" w:color="auto"/>
              <w:right w:val="single" w:sz="4" w:space="0" w:color="auto"/>
            </w:tcBorders>
            <w:vAlign w:val="bottom"/>
          </w:tcPr>
          <w:p w14:paraId="560E5B60" w14:textId="4C8C40FD" w:rsidR="00F726FD" w:rsidRPr="00DC40D1" w:rsidRDefault="00F726FD" w:rsidP="00F726FD">
            <w:pPr>
              <w:spacing w:line="276" w:lineRule="auto"/>
              <w:jc w:val="right"/>
              <w:rPr>
                <w:rFonts w:ascii="Arial" w:hAnsi="Arial" w:cs="Arial"/>
                <w:color w:val="000000"/>
                <w:sz w:val="17"/>
                <w:szCs w:val="17"/>
                <w:highlight w:val="yellow"/>
                <w:lang w:val="en-GB"/>
              </w:rPr>
            </w:pPr>
            <w:r w:rsidRPr="00092FA4">
              <w:rPr>
                <w:rFonts w:ascii="Arial" w:hAnsi="Arial" w:cs="Arial"/>
                <w:color w:val="000000"/>
                <w:sz w:val="17"/>
                <w:szCs w:val="17"/>
              </w:rPr>
              <w:t>262,981</w:t>
            </w:r>
          </w:p>
        </w:tc>
        <w:tc>
          <w:tcPr>
            <w:tcW w:w="582" w:type="pct"/>
            <w:shd w:val="clear" w:color="auto" w:fill="auto"/>
            <w:vAlign w:val="bottom"/>
          </w:tcPr>
          <w:p w14:paraId="0D6A7761" w14:textId="4BBC0660" w:rsidR="00F726FD" w:rsidRPr="00DC7563" w:rsidRDefault="00F726FD" w:rsidP="00F726FD">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171,871</w:t>
            </w:r>
          </w:p>
        </w:tc>
        <w:tc>
          <w:tcPr>
            <w:tcW w:w="584" w:type="pct"/>
            <w:shd w:val="clear" w:color="auto" w:fill="auto"/>
            <w:vAlign w:val="bottom"/>
          </w:tcPr>
          <w:p w14:paraId="3740890C" w14:textId="37A42806" w:rsidR="00F726FD" w:rsidRPr="00DC7563" w:rsidRDefault="00F726FD" w:rsidP="00F726FD">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48,418</w:t>
            </w:r>
          </w:p>
        </w:tc>
        <w:tc>
          <w:tcPr>
            <w:tcW w:w="776" w:type="pct"/>
            <w:shd w:val="clear" w:color="auto" w:fill="auto"/>
            <w:noWrap/>
            <w:vAlign w:val="bottom"/>
            <w:hideMark/>
          </w:tcPr>
          <w:p w14:paraId="1599F0F7" w14:textId="5D5C4143" w:rsidR="00F726FD" w:rsidRPr="00DC7563" w:rsidRDefault="00F726FD" w:rsidP="00F726FD">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428,478</w:t>
            </w:r>
          </w:p>
        </w:tc>
      </w:tr>
      <w:tr w:rsidR="00F726FD" w:rsidRPr="00DC7563" w14:paraId="61EE59C7" w14:textId="77777777" w:rsidTr="00F726FD">
        <w:trPr>
          <w:trHeight w:val="376"/>
          <w:jc w:val="center"/>
        </w:trPr>
        <w:tc>
          <w:tcPr>
            <w:tcW w:w="1291" w:type="pct"/>
            <w:shd w:val="clear" w:color="auto" w:fill="auto"/>
            <w:vAlign w:val="bottom"/>
            <w:hideMark/>
          </w:tcPr>
          <w:p w14:paraId="0B3EA3B4" w14:textId="40C41706" w:rsidR="00F726FD" w:rsidRPr="00DC7563" w:rsidRDefault="00F726FD" w:rsidP="00F726FD">
            <w:pPr>
              <w:spacing w:line="276" w:lineRule="auto"/>
              <w:rPr>
                <w:rFonts w:ascii="Arial" w:hAnsi="Arial" w:cs="Arial"/>
                <w:color w:val="000000"/>
                <w:sz w:val="17"/>
                <w:szCs w:val="17"/>
                <w:lang w:val="en-GB"/>
              </w:rPr>
            </w:pPr>
            <w:r w:rsidRPr="00DC7563">
              <w:rPr>
                <w:rFonts w:ascii="Arial" w:hAnsi="Arial" w:cs="Arial"/>
                <w:color w:val="000000"/>
                <w:sz w:val="17"/>
                <w:szCs w:val="17"/>
                <w:lang w:val="en-GB"/>
              </w:rPr>
              <w:t>Average Number of Shares Outstanding (in Thousands)</w:t>
            </w:r>
          </w:p>
        </w:tc>
        <w:tc>
          <w:tcPr>
            <w:tcW w:w="601" w:type="pct"/>
            <w:shd w:val="clear" w:color="auto" w:fill="auto"/>
            <w:noWrap/>
            <w:vAlign w:val="bottom"/>
          </w:tcPr>
          <w:p w14:paraId="03A7E2B8" w14:textId="77777777" w:rsidR="00F726FD" w:rsidRPr="00F726FD" w:rsidRDefault="00F726FD" w:rsidP="00F726FD">
            <w:pPr>
              <w:spacing w:line="276" w:lineRule="auto"/>
              <w:jc w:val="right"/>
              <w:rPr>
                <w:rFonts w:ascii="Arial" w:hAnsi="Arial" w:cs="Arial"/>
                <w:color w:val="000000"/>
                <w:sz w:val="17"/>
                <w:szCs w:val="17"/>
                <w:lang w:val="en-GB"/>
              </w:rPr>
            </w:pPr>
            <w:r w:rsidRPr="00F726FD">
              <w:rPr>
                <w:rFonts w:ascii="Arial" w:hAnsi="Arial" w:cs="Arial"/>
                <w:color w:val="000000"/>
                <w:sz w:val="17"/>
                <w:szCs w:val="17"/>
                <w:lang w:val="en-GB"/>
              </w:rPr>
              <w:t>1,863,949</w:t>
            </w:r>
          </w:p>
        </w:tc>
        <w:tc>
          <w:tcPr>
            <w:tcW w:w="582" w:type="pct"/>
            <w:shd w:val="clear" w:color="auto" w:fill="auto"/>
            <w:vAlign w:val="bottom"/>
          </w:tcPr>
          <w:p w14:paraId="16E222B9" w14:textId="77451B82" w:rsidR="00F726FD" w:rsidRPr="00DC7563" w:rsidRDefault="00F726FD" w:rsidP="00F726FD">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2,989,171</w:t>
            </w:r>
          </w:p>
        </w:tc>
        <w:tc>
          <w:tcPr>
            <w:tcW w:w="584" w:type="pct"/>
            <w:tcBorders>
              <w:top w:val="single" w:sz="4" w:space="0" w:color="auto"/>
              <w:left w:val="nil"/>
              <w:bottom w:val="single" w:sz="4" w:space="0" w:color="auto"/>
              <w:right w:val="single" w:sz="4" w:space="0" w:color="auto"/>
            </w:tcBorders>
            <w:vAlign w:val="bottom"/>
          </w:tcPr>
          <w:p w14:paraId="0D52A9B3" w14:textId="6A0A7882" w:rsidR="00F726FD" w:rsidRPr="00DC40D1" w:rsidRDefault="00F726FD" w:rsidP="00F726FD">
            <w:pPr>
              <w:spacing w:line="276" w:lineRule="auto"/>
              <w:jc w:val="right"/>
              <w:rPr>
                <w:rFonts w:ascii="Arial" w:hAnsi="Arial" w:cs="Arial"/>
                <w:color w:val="000000"/>
                <w:sz w:val="17"/>
                <w:szCs w:val="17"/>
                <w:highlight w:val="yellow"/>
                <w:lang w:val="en-GB"/>
              </w:rPr>
            </w:pPr>
            <w:r w:rsidRPr="00092FA4">
              <w:rPr>
                <w:rFonts w:ascii="Arial" w:hAnsi="Arial" w:cs="Arial"/>
                <w:color w:val="000000"/>
                <w:sz w:val="17"/>
                <w:szCs w:val="17"/>
              </w:rPr>
              <w:t>597,829</w:t>
            </w:r>
          </w:p>
        </w:tc>
        <w:tc>
          <w:tcPr>
            <w:tcW w:w="582" w:type="pct"/>
            <w:shd w:val="clear" w:color="auto" w:fill="auto"/>
            <w:vAlign w:val="bottom"/>
          </w:tcPr>
          <w:p w14:paraId="68C3CC08" w14:textId="074D7D9A" w:rsidR="00F726FD" w:rsidRPr="00DC7563" w:rsidRDefault="00F726FD" w:rsidP="00F726FD">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597,823</w:t>
            </w:r>
          </w:p>
        </w:tc>
        <w:tc>
          <w:tcPr>
            <w:tcW w:w="584" w:type="pct"/>
            <w:shd w:val="clear" w:color="auto" w:fill="auto"/>
            <w:vAlign w:val="bottom"/>
          </w:tcPr>
          <w:p w14:paraId="590C5E82" w14:textId="2FA04D6A" w:rsidR="00F726FD" w:rsidRPr="00DC7563" w:rsidRDefault="00F726FD" w:rsidP="00F726FD">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597,819</w:t>
            </w:r>
          </w:p>
        </w:tc>
        <w:tc>
          <w:tcPr>
            <w:tcW w:w="776" w:type="pct"/>
            <w:shd w:val="clear" w:color="auto" w:fill="auto"/>
            <w:noWrap/>
            <w:vAlign w:val="bottom"/>
            <w:hideMark/>
          </w:tcPr>
          <w:p w14:paraId="5AB1614B" w14:textId="41D665CE" w:rsidR="00F726FD" w:rsidRPr="00DC7563" w:rsidRDefault="00F726FD" w:rsidP="00F726FD">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 </w:t>
            </w:r>
          </w:p>
        </w:tc>
      </w:tr>
      <w:tr w:rsidR="00F726FD" w:rsidRPr="00DC7563" w14:paraId="0B831655" w14:textId="77777777" w:rsidTr="00F726FD">
        <w:trPr>
          <w:trHeight w:val="187"/>
          <w:jc w:val="center"/>
        </w:trPr>
        <w:tc>
          <w:tcPr>
            <w:tcW w:w="1291" w:type="pct"/>
            <w:shd w:val="clear" w:color="auto" w:fill="auto"/>
            <w:vAlign w:val="bottom"/>
            <w:hideMark/>
          </w:tcPr>
          <w:p w14:paraId="424FDF71" w14:textId="3DB414BA" w:rsidR="00F726FD" w:rsidRPr="00DC7563" w:rsidRDefault="00F726FD" w:rsidP="00F726FD">
            <w:pPr>
              <w:spacing w:line="276" w:lineRule="auto"/>
              <w:rPr>
                <w:rFonts w:ascii="Arial" w:hAnsi="Arial" w:cs="Arial"/>
                <w:color w:val="000000"/>
                <w:sz w:val="17"/>
                <w:szCs w:val="17"/>
                <w:lang w:val="en-GB"/>
              </w:rPr>
            </w:pPr>
            <w:r w:rsidRPr="00DC7563">
              <w:rPr>
                <w:rFonts w:ascii="Arial" w:hAnsi="Arial" w:cs="Arial"/>
                <w:color w:val="000000"/>
                <w:sz w:val="17"/>
                <w:szCs w:val="17"/>
                <w:lang w:val="en-GB"/>
              </w:rPr>
              <w:t>Number of Employees</w:t>
            </w:r>
          </w:p>
        </w:tc>
        <w:tc>
          <w:tcPr>
            <w:tcW w:w="601" w:type="pct"/>
            <w:shd w:val="clear" w:color="auto" w:fill="auto"/>
            <w:noWrap/>
            <w:vAlign w:val="bottom"/>
          </w:tcPr>
          <w:p w14:paraId="3D1A6EE5" w14:textId="77777777" w:rsidR="00F726FD" w:rsidRPr="00F726FD" w:rsidRDefault="00F726FD" w:rsidP="00F726FD">
            <w:pPr>
              <w:spacing w:line="276" w:lineRule="auto"/>
              <w:jc w:val="right"/>
              <w:rPr>
                <w:rFonts w:ascii="Arial" w:hAnsi="Arial" w:cs="Arial"/>
                <w:color w:val="000000"/>
                <w:sz w:val="17"/>
                <w:szCs w:val="17"/>
                <w:lang w:val="en-GB"/>
              </w:rPr>
            </w:pPr>
            <w:r w:rsidRPr="00F726FD">
              <w:rPr>
                <w:rFonts w:ascii="Arial" w:hAnsi="Arial" w:cs="Arial"/>
                <w:color w:val="000000"/>
                <w:sz w:val="17"/>
                <w:szCs w:val="17"/>
                <w:lang w:val="en-GB"/>
              </w:rPr>
              <w:t>37,617</w:t>
            </w:r>
          </w:p>
        </w:tc>
        <w:tc>
          <w:tcPr>
            <w:tcW w:w="582" w:type="pct"/>
            <w:shd w:val="clear" w:color="auto" w:fill="auto"/>
            <w:vAlign w:val="bottom"/>
          </w:tcPr>
          <w:p w14:paraId="438A61F8" w14:textId="313D3C58" w:rsidR="00F726FD" w:rsidRPr="00DC7563" w:rsidRDefault="00F726FD" w:rsidP="00F726FD">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37,745</w:t>
            </w:r>
          </w:p>
        </w:tc>
        <w:tc>
          <w:tcPr>
            <w:tcW w:w="584" w:type="pct"/>
            <w:tcBorders>
              <w:top w:val="single" w:sz="4" w:space="0" w:color="auto"/>
              <w:left w:val="nil"/>
              <w:bottom w:val="single" w:sz="4" w:space="0" w:color="auto"/>
              <w:right w:val="single" w:sz="4" w:space="0" w:color="auto"/>
            </w:tcBorders>
            <w:vAlign w:val="bottom"/>
          </w:tcPr>
          <w:p w14:paraId="6C672A60" w14:textId="4958DE89" w:rsidR="00F726FD" w:rsidRPr="00DC40D1" w:rsidRDefault="00F726FD" w:rsidP="00F726FD">
            <w:pPr>
              <w:spacing w:line="276" w:lineRule="auto"/>
              <w:jc w:val="right"/>
              <w:rPr>
                <w:rFonts w:ascii="Arial" w:hAnsi="Arial" w:cs="Arial"/>
                <w:color w:val="000000"/>
                <w:sz w:val="17"/>
                <w:szCs w:val="17"/>
                <w:highlight w:val="yellow"/>
                <w:lang w:val="en-GB"/>
              </w:rPr>
            </w:pPr>
            <w:r w:rsidRPr="00092FA4">
              <w:rPr>
                <w:rFonts w:ascii="Arial" w:hAnsi="Arial" w:cs="Arial"/>
                <w:color w:val="000000"/>
                <w:sz w:val="17"/>
                <w:szCs w:val="17"/>
              </w:rPr>
              <w:t>40,892</w:t>
            </w:r>
          </w:p>
        </w:tc>
        <w:tc>
          <w:tcPr>
            <w:tcW w:w="582" w:type="pct"/>
            <w:shd w:val="clear" w:color="auto" w:fill="auto"/>
            <w:vAlign w:val="bottom"/>
          </w:tcPr>
          <w:p w14:paraId="0C3FCC93" w14:textId="42D81F90" w:rsidR="00F726FD" w:rsidRPr="00DC7563" w:rsidRDefault="00F726FD" w:rsidP="00F726FD">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44,034</w:t>
            </w:r>
          </w:p>
        </w:tc>
        <w:tc>
          <w:tcPr>
            <w:tcW w:w="584" w:type="pct"/>
            <w:shd w:val="clear" w:color="auto" w:fill="auto"/>
            <w:vAlign w:val="bottom"/>
          </w:tcPr>
          <w:p w14:paraId="74AF9CFF" w14:textId="33C6B02E" w:rsidR="00F726FD" w:rsidRPr="00DC7563" w:rsidRDefault="00F726FD" w:rsidP="00F726FD">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46,398</w:t>
            </w:r>
          </w:p>
        </w:tc>
        <w:tc>
          <w:tcPr>
            <w:tcW w:w="776" w:type="pct"/>
            <w:shd w:val="clear" w:color="auto" w:fill="auto"/>
            <w:noWrap/>
            <w:vAlign w:val="bottom"/>
            <w:hideMark/>
          </w:tcPr>
          <w:p w14:paraId="3A1D278D" w14:textId="4A9296CA" w:rsidR="00F726FD" w:rsidRPr="00DC7563" w:rsidRDefault="00F726FD" w:rsidP="00F726FD">
            <w:pPr>
              <w:spacing w:line="276" w:lineRule="auto"/>
              <w:jc w:val="right"/>
              <w:rPr>
                <w:rFonts w:ascii="Arial" w:hAnsi="Arial" w:cs="Arial"/>
                <w:color w:val="000000"/>
                <w:sz w:val="17"/>
                <w:szCs w:val="17"/>
                <w:lang w:val="en-GB"/>
              </w:rPr>
            </w:pPr>
            <w:r w:rsidRPr="00DC7563">
              <w:rPr>
                <w:rFonts w:ascii="Arial" w:hAnsi="Arial" w:cs="Arial"/>
                <w:color w:val="000000"/>
                <w:sz w:val="17"/>
                <w:szCs w:val="17"/>
                <w:lang w:val="en-GB"/>
              </w:rPr>
              <w:t> </w:t>
            </w:r>
          </w:p>
        </w:tc>
      </w:tr>
      <w:tr w:rsidR="005D41DA" w:rsidRPr="00DC7563" w14:paraId="6D68D827" w14:textId="77777777" w:rsidTr="00F726FD">
        <w:trPr>
          <w:trHeight w:val="187"/>
          <w:jc w:val="center"/>
        </w:trPr>
        <w:tc>
          <w:tcPr>
            <w:tcW w:w="5000" w:type="pct"/>
            <w:gridSpan w:val="7"/>
          </w:tcPr>
          <w:p w14:paraId="46DB7D75" w14:textId="1026C5C5" w:rsidR="005D41DA" w:rsidRPr="00F726FD" w:rsidRDefault="005D41DA" w:rsidP="000A18F0">
            <w:pPr>
              <w:spacing w:line="276" w:lineRule="auto"/>
              <w:rPr>
                <w:rFonts w:ascii="Arial" w:hAnsi="Arial" w:cs="Arial"/>
                <w:b/>
                <w:color w:val="000000"/>
                <w:sz w:val="18"/>
                <w:szCs w:val="16"/>
                <w:lang w:val="en-GB"/>
              </w:rPr>
            </w:pPr>
          </w:p>
        </w:tc>
      </w:tr>
      <w:tr w:rsidR="005D41DA" w:rsidRPr="00DC7563" w14:paraId="4668D306" w14:textId="77777777" w:rsidTr="00F726FD">
        <w:trPr>
          <w:trHeight w:val="187"/>
          <w:jc w:val="center"/>
        </w:trPr>
        <w:tc>
          <w:tcPr>
            <w:tcW w:w="5000" w:type="pct"/>
            <w:gridSpan w:val="7"/>
          </w:tcPr>
          <w:p w14:paraId="60BCCF47" w14:textId="0888C4FB" w:rsidR="005D41DA" w:rsidRPr="00F726FD" w:rsidRDefault="005D41DA" w:rsidP="000A18F0">
            <w:pPr>
              <w:spacing w:line="276" w:lineRule="auto"/>
              <w:rPr>
                <w:rFonts w:ascii="Arial" w:hAnsi="Arial" w:cs="Arial"/>
                <w:b/>
                <w:bCs/>
                <w:color w:val="000000"/>
                <w:sz w:val="18"/>
                <w:szCs w:val="16"/>
                <w:lang w:val="en-GB"/>
              </w:rPr>
            </w:pPr>
            <w:r w:rsidRPr="00F726FD">
              <w:rPr>
                <w:rFonts w:ascii="Arial" w:hAnsi="Arial" w:cs="Arial"/>
                <w:b/>
                <w:color w:val="000000"/>
                <w:sz w:val="18"/>
                <w:szCs w:val="16"/>
                <w:lang w:val="en-GB"/>
              </w:rPr>
              <w:t>Amount per share of common stock:</w:t>
            </w:r>
          </w:p>
        </w:tc>
      </w:tr>
      <w:tr w:rsidR="00F726FD" w:rsidRPr="00DC7563" w14:paraId="3FCC8F83" w14:textId="77777777" w:rsidTr="009864BD">
        <w:trPr>
          <w:trHeight w:val="187"/>
          <w:jc w:val="center"/>
        </w:trPr>
        <w:tc>
          <w:tcPr>
            <w:tcW w:w="1291" w:type="pct"/>
            <w:shd w:val="clear" w:color="auto" w:fill="auto"/>
            <w:vAlign w:val="bottom"/>
            <w:hideMark/>
          </w:tcPr>
          <w:p w14:paraId="3E746D2A" w14:textId="52D0B5FC" w:rsidR="00F726FD" w:rsidRPr="00DC7563" w:rsidRDefault="00F726FD" w:rsidP="00F726FD">
            <w:pPr>
              <w:spacing w:line="276" w:lineRule="auto"/>
              <w:rPr>
                <w:rFonts w:ascii="Arial" w:hAnsi="Arial" w:cs="Arial"/>
                <w:color w:val="000000"/>
                <w:sz w:val="18"/>
                <w:szCs w:val="16"/>
                <w:lang w:val="en-GB"/>
              </w:rPr>
            </w:pPr>
            <w:r w:rsidRPr="00DC7563">
              <w:rPr>
                <w:rFonts w:ascii="Arial" w:hAnsi="Arial" w:cs="Arial"/>
                <w:color w:val="000000"/>
                <w:sz w:val="18"/>
                <w:szCs w:val="16"/>
                <w:lang w:val="en-GB"/>
              </w:rPr>
              <w:t>Net Income (Loss)</w:t>
            </w:r>
          </w:p>
        </w:tc>
        <w:tc>
          <w:tcPr>
            <w:tcW w:w="601" w:type="pct"/>
            <w:shd w:val="clear" w:color="auto" w:fill="auto"/>
            <w:noWrap/>
            <w:vAlign w:val="bottom"/>
          </w:tcPr>
          <w:p w14:paraId="25EE6EF7" w14:textId="77777777" w:rsidR="00F726FD" w:rsidRPr="00F726FD" w:rsidRDefault="00F726FD" w:rsidP="00F726FD">
            <w:pPr>
              <w:spacing w:line="276" w:lineRule="auto"/>
              <w:jc w:val="right"/>
              <w:rPr>
                <w:rFonts w:ascii="Arial" w:hAnsi="Arial" w:cs="Arial"/>
                <w:color w:val="000000"/>
                <w:sz w:val="18"/>
                <w:szCs w:val="16"/>
                <w:lang w:val="en-GB"/>
              </w:rPr>
            </w:pPr>
            <w:r w:rsidRPr="00F726FD">
              <w:rPr>
                <w:rFonts w:ascii="Arial" w:hAnsi="Arial" w:cs="Arial"/>
                <w:color w:val="000000"/>
                <w:sz w:val="18"/>
                <w:szCs w:val="16"/>
                <w:lang w:val="en-GB"/>
              </w:rPr>
              <w:t>¥(57.80)</w:t>
            </w:r>
          </w:p>
        </w:tc>
        <w:tc>
          <w:tcPr>
            <w:tcW w:w="582" w:type="pct"/>
            <w:shd w:val="clear" w:color="auto" w:fill="auto"/>
            <w:vAlign w:val="bottom"/>
          </w:tcPr>
          <w:p w14:paraId="354B00A0" w14:textId="54F3A9DD" w:rsidR="00F726FD" w:rsidRPr="00DC7563" w:rsidRDefault="00F726FD" w:rsidP="00F726FD">
            <w:pPr>
              <w:spacing w:line="276" w:lineRule="auto"/>
              <w:jc w:val="right"/>
              <w:rPr>
                <w:rFonts w:ascii="Arial" w:hAnsi="Arial" w:cs="Arial"/>
                <w:color w:val="000000"/>
                <w:sz w:val="18"/>
                <w:szCs w:val="16"/>
                <w:lang w:val="en-GB"/>
              </w:rPr>
            </w:pPr>
            <w:r w:rsidRPr="00DC7563">
              <w:rPr>
                <w:rFonts w:ascii="Arial" w:hAnsi="Arial" w:cs="Arial"/>
                <w:color w:val="000000"/>
                <w:sz w:val="18"/>
                <w:szCs w:val="16"/>
                <w:lang w:val="en-GB"/>
              </w:rPr>
              <w:t>¥11.48</w:t>
            </w:r>
          </w:p>
        </w:tc>
        <w:tc>
          <w:tcPr>
            <w:tcW w:w="584" w:type="pct"/>
            <w:tcBorders>
              <w:top w:val="single" w:sz="4" w:space="0" w:color="auto"/>
              <w:left w:val="nil"/>
              <w:bottom w:val="single" w:sz="4" w:space="0" w:color="auto"/>
              <w:right w:val="single" w:sz="4" w:space="0" w:color="auto"/>
            </w:tcBorders>
            <w:vAlign w:val="bottom"/>
          </w:tcPr>
          <w:p w14:paraId="2A40FF36" w14:textId="40336BC8" w:rsidR="00F726FD" w:rsidRPr="00DC40D1" w:rsidRDefault="00F726FD" w:rsidP="00F726FD">
            <w:pPr>
              <w:spacing w:line="276" w:lineRule="auto"/>
              <w:jc w:val="right"/>
              <w:rPr>
                <w:rFonts w:ascii="Arial" w:hAnsi="Arial" w:cs="Arial"/>
                <w:color w:val="000000"/>
                <w:sz w:val="18"/>
                <w:szCs w:val="16"/>
                <w:highlight w:val="yellow"/>
                <w:lang w:val="en-GB"/>
              </w:rPr>
            </w:pPr>
            <w:r w:rsidRPr="001410DF">
              <w:rPr>
                <w:rFonts w:ascii="Arial" w:hAnsi="Arial" w:cs="Arial"/>
                <w:color w:val="000000"/>
                <w:sz w:val="18"/>
                <w:szCs w:val="16"/>
              </w:rPr>
              <w:t>¥226.99</w:t>
            </w:r>
          </w:p>
        </w:tc>
        <w:tc>
          <w:tcPr>
            <w:tcW w:w="582" w:type="pct"/>
            <w:shd w:val="clear" w:color="auto" w:fill="auto"/>
            <w:vAlign w:val="bottom"/>
          </w:tcPr>
          <w:p w14:paraId="3ED9D3B2" w14:textId="23F61D5A" w:rsidR="00F726FD" w:rsidRPr="00DC7563" w:rsidRDefault="00F726FD" w:rsidP="00F726FD">
            <w:pPr>
              <w:spacing w:line="276" w:lineRule="auto"/>
              <w:jc w:val="right"/>
              <w:rPr>
                <w:rFonts w:ascii="Arial" w:hAnsi="Arial" w:cs="Arial"/>
                <w:color w:val="000000"/>
                <w:sz w:val="18"/>
                <w:szCs w:val="16"/>
                <w:lang w:val="en-GB"/>
              </w:rPr>
            </w:pPr>
            <w:r w:rsidRPr="00DC7563">
              <w:rPr>
                <w:rFonts w:ascii="Arial" w:hAnsi="Arial" w:cs="Arial"/>
                <w:color w:val="000000"/>
                <w:sz w:val="18"/>
                <w:szCs w:val="16"/>
                <w:lang w:val="en-GB"/>
              </w:rPr>
              <w:t>¥265.64</w:t>
            </w:r>
          </w:p>
        </w:tc>
        <w:tc>
          <w:tcPr>
            <w:tcW w:w="584" w:type="pct"/>
            <w:shd w:val="clear" w:color="auto" w:fill="auto"/>
            <w:vAlign w:val="bottom"/>
          </w:tcPr>
          <w:p w14:paraId="70B749B8" w14:textId="1299A41E" w:rsidR="00F726FD" w:rsidRPr="00DC7563" w:rsidRDefault="00F726FD" w:rsidP="00F726FD">
            <w:pPr>
              <w:spacing w:line="276" w:lineRule="auto"/>
              <w:jc w:val="right"/>
              <w:rPr>
                <w:rFonts w:ascii="Arial" w:hAnsi="Arial" w:cs="Arial"/>
                <w:color w:val="000000"/>
                <w:sz w:val="18"/>
                <w:szCs w:val="16"/>
                <w:lang w:val="en-GB"/>
              </w:rPr>
            </w:pPr>
            <w:r w:rsidRPr="00DC7563">
              <w:rPr>
                <w:rFonts w:ascii="Arial" w:hAnsi="Arial" w:cs="Arial"/>
                <w:color w:val="000000"/>
                <w:sz w:val="18"/>
                <w:szCs w:val="16"/>
                <w:lang w:val="en-GB"/>
              </w:rPr>
              <w:t>¥224.82</w:t>
            </w:r>
          </w:p>
        </w:tc>
        <w:tc>
          <w:tcPr>
            <w:tcW w:w="776" w:type="pct"/>
            <w:shd w:val="clear" w:color="auto" w:fill="auto"/>
            <w:noWrap/>
            <w:vAlign w:val="bottom"/>
            <w:hideMark/>
          </w:tcPr>
          <w:p w14:paraId="4723B466" w14:textId="5B3DE642" w:rsidR="00F726FD" w:rsidRPr="00DC7563" w:rsidRDefault="00F726FD" w:rsidP="00F726FD">
            <w:pPr>
              <w:spacing w:line="276" w:lineRule="auto"/>
              <w:jc w:val="right"/>
              <w:rPr>
                <w:rFonts w:ascii="Arial" w:hAnsi="Arial" w:cs="Arial"/>
                <w:color w:val="000000"/>
                <w:sz w:val="18"/>
                <w:szCs w:val="16"/>
                <w:lang w:val="en-GB"/>
              </w:rPr>
            </w:pPr>
            <w:r w:rsidRPr="00DC7563">
              <w:rPr>
                <w:rFonts w:ascii="Arial" w:hAnsi="Arial" w:cs="Arial"/>
                <w:color w:val="000000"/>
                <w:sz w:val="18"/>
                <w:szCs w:val="16"/>
                <w:lang w:val="en-GB"/>
              </w:rPr>
              <w:t>$1.99</w:t>
            </w:r>
          </w:p>
        </w:tc>
      </w:tr>
      <w:tr w:rsidR="00F726FD" w:rsidRPr="00DC7563" w14:paraId="31D50D45" w14:textId="77777777" w:rsidTr="009864BD">
        <w:trPr>
          <w:trHeight w:val="187"/>
          <w:jc w:val="center"/>
        </w:trPr>
        <w:tc>
          <w:tcPr>
            <w:tcW w:w="1291" w:type="pct"/>
            <w:shd w:val="clear" w:color="auto" w:fill="auto"/>
            <w:vAlign w:val="bottom"/>
            <w:hideMark/>
          </w:tcPr>
          <w:p w14:paraId="25AA61FE" w14:textId="2BE259AB" w:rsidR="00F726FD" w:rsidRPr="00DC7563" w:rsidRDefault="00F726FD" w:rsidP="00F726FD">
            <w:pPr>
              <w:spacing w:line="276" w:lineRule="auto"/>
              <w:rPr>
                <w:rFonts w:ascii="Arial" w:hAnsi="Arial" w:cs="Arial"/>
                <w:color w:val="000000"/>
                <w:sz w:val="18"/>
                <w:szCs w:val="16"/>
                <w:lang w:val="en-GB"/>
              </w:rPr>
            </w:pPr>
            <w:r w:rsidRPr="00DC7563">
              <w:rPr>
                <w:rFonts w:ascii="Arial" w:hAnsi="Arial" w:cs="Arial"/>
                <w:color w:val="000000"/>
                <w:sz w:val="18"/>
                <w:szCs w:val="16"/>
                <w:lang w:val="en-GB"/>
              </w:rPr>
              <w:t>Net Assets</w:t>
            </w:r>
          </w:p>
        </w:tc>
        <w:tc>
          <w:tcPr>
            <w:tcW w:w="601" w:type="pct"/>
            <w:shd w:val="clear" w:color="auto" w:fill="auto"/>
            <w:noWrap/>
            <w:vAlign w:val="bottom"/>
          </w:tcPr>
          <w:p w14:paraId="6FB1965E" w14:textId="77777777" w:rsidR="00F726FD" w:rsidRPr="00F726FD" w:rsidRDefault="00F726FD" w:rsidP="00F726FD">
            <w:pPr>
              <w:spacing w:line="276" w:lineRule="auto"/>
              <w:jc w:val="right"/>
              <w:rPr>
                <w:rFonts w:ascii="Arial" w:hAnsi="Arial" w:cs="Arial"/>
                <w:color w:val="000000"/>
                <w:sz w:val="18"/>
                <w:szCs w:val="16"/>
                <w:lang w:val="en-GB"/>
              </w:rPr>
            </w:pPr>
            <w:r w:rsidRPr="00F726FD">
              <w:rPr>
                <w:rFonts w:ascii="Arial" w:hAnsi="Arial" w:cs="Arial"/>
                <w:color w:val="000000"/>
                <w:sz w:val="18"/>
                <w:szCs w:val="16"/>
                <w:lang w:val="en-GB"/>
              </w:rPr>
              <w:t>156.85</w:t>
            </w:r>
          </w:p>
        </w:tc>
        <w:tc>
          <w:tcPr>
            <w:tcW w:w="582" w:type="pct"/>
            <w:shd w:val="clear" w:color="auto" w:fill="auto"/>
            <w:vAlign w:val="bottom"/>
          </w:tcPr>
          <w:p w14:paraId="237A36EB" w14:textId="22C86106" w:rsidR="00F726FD" w:rsidRPr="00DC7563" w:rsidRDefault="00F726FD" w:rsidP="00F726FD">
            <w:pPr>
              <w:spacing w:line="276" w:lineRule="auto"/>
              <w:jc w:val="right"/>
              <w:rPr>
                <w:rFonts w:ascii="Arial" w:hAnsi="Arial" w:cs="Arial"/>
                <w:color w:val="000000"/>
                <w:sz w:val="18"/>
                <w:szCs w:val="16"/>
                <w:lang w:val="en-GB"/>
              </w:rPr>
            </w:pPr>
            <w:r w:rsidRPr="00DC7563">
              <w:rPr>
                <w:rFonts w:ascii="Arial" w:hAnsi="Arial" w:cs="Arial"/>
                <w:color w:val="000000"/>
                <w:sz w:val="18"/>
                <w:szCs w:val="16"/>
                <w:lang w:val="en-GB"/>
              </w:rPr>
              <w:t>166.04</w:t>
            </w:r>
          </w:p>
        </w:tc>
        <w:tc>
          <w:tcPr>
            <w:tcW w:w="584" w:type="pct"/>
            <w:tcBorders>
              <w:top w:val="single" w:sz="4" w:space="0" w:color="auto"/>
              <w:left w:val="nil"/>
              <w:bottom w:val="single" w:sz="4" w:space="0" w:color="auto"/>
              <w:right w:val="single" w:sz="4" w:space="0" w:color="auto"/>
            </w:tcBorders>
            <w:vAlign w:val="bottom"/>
          </w:tcPr>
          <w:p w14:paraId="744766A7" w14:textId="058EE576" w:rsidR="00F726FD" w:rsidRPr="00DC40D1" w:rsidRDefault="00F726FD" w:rsidP="00F726FD">
            <w:pPr>
              <w:spacing w:line="276" w:lineRule="auto"/>
              <w:jc w:val="right"/>
              <w:rPr>
                <w:rFonts w:ascii="Arial" w:hAnsi="Arial" w:cs="Arial"/>
                <w:color w:val="000000"/>
                <w:sz w:val="18"/>
                <w:szCs w:val="16"/>
                <w:highlight w:val="yellow"/>
                <w:lang w:val="en-GB"/>
              </w:rPr>
            </w:pPr>
            <w:r w:rsidRPr="001410DF">
              <w:rPr>
                <w:rFonts w:ascii="Arial" w:hAnsi="Arial" w:cs="Arial"/>
                <w:color w:val="000000"/>
                <w:sz w:val="18"/>
                <w:szCs w:val="16"/>
              </w:rPr>
              <w:t>1,105.21</w:t>
            </w:r>
          </w:p>
        </w:tc>
        <w:tc>
          <w:tcPr>
            <w:tcW w:w="582" w:type="pct"/>
            <w:shd w:val="clear" w:color="auto" w:fill="auto"/>
            <w:vAlign w:val="bottom"/>
          </w:tcPr>
          <w:p w14:paraId="6E97AF3D" w14:textId="33D0DBF0" w:rsidR="00F726FD" w:rsidRPr="00DC7563" w:rsidRDefault="00F726FD" w:rsidP="00F726FD">
            <w:pPr>
              <w:spacing w:line="276" w:lineRule="auto"/>
              <w:jc w:val="right"/>
              <w:rPr>
                <w:rFonts w:ascii="Arial" w:hAnsi="Arial" w:cs="Arial"/>
                <w:color w:val="000000"/>
                <w:sz w:val="18"/>
                <w:szCs w:val="16"/>
                <w:lang w:val="en-GB"/>
              </w:rPr>
            </w:pPr>
            <w:r w:rsidRPr="00DC7563">
              <w:rPr>
                <w:rFonts w:ascii="Arial" w:hAnsi="Arial" w:cs="Arial"/>
                <w:color w:val="000000"/>
                <w:sz w:val="18"/>
                <w:szCs w:val="16"/>
                <w:lang w:val="en-GB"/>
              </w:rPr>
              <w:t>1,454.61</w:t>
            </w:r>
          </w:p>
        </w:tc>
        <w:tc>
          <w:tcPr>
            <w:tcW w:w="584" w:type="pct"/>
            <w:shd w:val="clear" w:color="auto" w:fill="auto"/>
            <w:vAlign w:val="bottom"/>
          </w:tcPr>
          <w:p w14:paraId="42664468" w14:textId="2B39DCEE" w:rsidR="00F726FD" w:rsidRPr="00DC7563" w:rsidRDefault="00F726FD" w:rsidP="00F726FD">
            <w:pPr>
              <w:spacing w:line="276" w:lineRule="auto"/>
              <w:jc w:val="right"/>
              <w:rPr>
                <w:rFonts w:ascii="Arial" w:hAnsi="Arial" w:cs="Arial"/>
                <w:color w:val="000000"/>
                <w:sz w:val="18"/>
                <w:szCs w:val="16"/>
                <w:lang w:val="en-GB"/>
              </w:rPr>
            </w:pPr>
            <w:r w:rsidRPr="00DC7563">
              <w:rPr>
                <w:rFonts w:ascii="Arial" w:hAnsi="Arial" w:cs="Arial"/>
                <w:color w:val="000000"/>
                <w:sz w:val="18"/>
                <w:szCs w:val="16"/>
                <w:lang w:val="en-GB"/>
              </w:rPr>
              <w:t>1,595.83</w:t>
            </w:r>
          </w:p>
        </w:tc>
        <w:tc>
          <w:tcPr>
            <w:tcW w:w="776" w:type="pct"/>
            <w:shd w:val="clear" w:color="auto" w:fill="auto"/>
            <w:noWrap/>
            <w:vAlign w:val="bottom"/>
            <w:hideMark/>
          </w:tcPr>
          <w:p w14:paraId="0AE2975A" w14:textId="4293FD39" w:rsidR="00F726FD" w:rsidRPr="00DC7563" w:rsidRDefault="00F726FD" w:rsidP="00F726FD">
            <w:pPr>
              <w:spacing w:line="276" w:lineRule="auto"/>
              <w:jc w:val="right"/>
              <w:rPr>
                <w:rFonts w:ascii="Arial" w:hAnsi="Arial" w:cs="Arial"/>
                <w:color w:val="000000"/>
                <w:sz w:val="18"/>
                <w:szCs w:val="16"/>
                <w:lang w:val="en-GB"/>
              </w:rPr>
            </w:pPr>
            <w:r w:rsidRPr="00DC7563">
              <w:rPr>
                <w:rFonts w:ascii="Arial" w:hAnsi="Arial" w:cs="Arial"/>
                <w:color w:val="000000"/>
                <w:sz w:val="18"/>
                <w:szCs w:val="16"/>
                <w:lang w:val="en-GB"/>
              </w:rPr>
              <w:t>14.12</w:t>
            </w:r>
          </w:p>
        </w:tc>
      </w:tr>
      <w:tr w:rsidR="00F726FD" w:rsidRPr="00DC7563" w14:paraId="5F84FC88" w14:textId="77777777" w:rsidTr="009864BD">
        <w:trPr>
          <w:trHeight w:val="187"/>
          <w:jc w:val="center"/>
        </w:trPr>
        <w:tc>
          <w:tcPr>
            <w:tcW w:w="1291" w:type="pct"/>
            <w:shd w:val="clear" w:color="auto" w:fill="auto"/>
            <w:vAlign w:val="bottom"/>
            <w:hideMark/>
          </w:tcPr>
          <w:p w14:paraId="556AE509" w14:textId="49813E0B" w:rsidR="00F726FD" w:rsidRPr="00DC7563" w:rsidRDefault="00F726FD" w:rsidP="00F726FD">
            <w:pPr>
              <w:spacing w:line="276" w:lineRule="auto"/>
              <w:rPr>
                <w:rFonts w:ascii="Arial" w:hAnsi="Arial" w:cs="Arial"/>
                <w:color w:val="000000"/>
                <w:sz w:val="18"/>
                <w:szCs w:val="16"/>
                <w:lang w:val="en-GB"/>
              </w:rPr>
            </w:pPr>
            <w:r w:rsidRPr="00DC7563">
              <w:rPr>
                <w:rFonts w:ascii="Arial" w:hAnsi="Arial" w:cs="Arial"/>
                <w:color w:val="000000"/>
                <w:sz w:val="18"/>
                <w:szCs w:val="16"/>
                <w:lang w:val="en-GB"/>
              </w:rPr>
              <w:t>Operating Income Ratio (percentage)</w:t>
            </w:r>
          </w:p>
        </w:tc>
        <w:tc>
          <w:tcPr>
            <w:tcW w:w="601" w:type="pct"/>
            <w:shd w:val="clear" w:color="auto" w:fill="auto"/>
            <w:noWrap/>
            <w:vAlign w:val="bottom"/>
          </w:tcPr>
          <w:p w14:paraId="788DB014" w14:textId="04A2B94E" w:rsidR="00F726FD" w:rsidRPr="00F726FD" w:rsidRDefault="00F726FD" w:rsidP="00F726FD">
            <w:pPr>
              <w:spacing w:line="276" w:lineRule="auto"/>
              <w:jc w:val="right"/>
              <w:rPr>
                <w:rFonts w:ascii="Arial" w:hAnsi="Arial" w:cs="Arial"/>
                <w:color w:val="000000"/>
                <w:sz w:val="18"/>
                <w:szCs w:val="16"/>
                <w:lang w:val="en-GB"/>
              </w:rPr>
            </w:pPr>
            <w:r w:rsidRPr="00F726FD">
              <w:rPr>
                <w:rFonts w:ascii="Arial" w:hAnsi="Arial" w:cs="Arial"/>
                <w:color w:val="000000"/>
                <w:sz w:val="18"/>
                <w:szCs w:val="16"/>
                <w:lang w:val="en-GB"/>
              </w:rPr>
              <w:t>(1.9%)</w:t>
            </w:r>
          </w:p>
        </w:tc>
        <w:tc>
          <w:tcPr>
            <w:tcW w:w="582" w:type="pct"/>
            <w:shd w:val="clear" w:color="auto" w:fill="auto"/>
            <w:vAlign w:val="bottom"/>
          </w:tcPr>
          <w:p w14:paraId="77321DDB" w14:textId="7C3EDF92" w:rsidR="00F726FD" w:rsidRPr="00DC7563" w:rsidRDefault="00F726FD" w:rsidP="00F726FD">
            <w:pPr>
              <w:spacing w:line="276" w:lineRule="auto"/>
              <w:jc w:val="right"/>
              <w:rPr>
                <w:rFonts w:ascii="Arial" w:hAnsi="Arial" w:cs="Arial"/>
                <w:color w:val="000000"/>
                <w:sz w:val="18"/>
                <w:szCs w:val="16"/>
                <w:lang w:val="en-GB"/>
              </w:rPr>
            </w:pPr>
            <w:r w:rsidRPr="00DC7563">
              <w:rPr>
                <w:rFonts w:ascii="Arial" w:hAnsi="Arial" w:cs="Arial"/>
                <w:color w:val="000000"/>
                <w:sz w:val="18"/>
                <w:szCs w:val="16"/>
                <w:lang w:val="en-GB"/>
              </w:rPr>
              <w:t>2.4%</w:t>
            </w:r>
          </w:p>
        </w:tc>
        <w:tc>
          <w:tcPr>
            <w:tcW w:w="584" w:type="pct"/>
            <w:tcBorders>
              <w:top w:val="single" w:sz="4" w:space="0" w:color="auto"/>
              <w:left w:val="nil"/>
              <w:bottom w:val="single" w:sz="4" w:space="0" w:color="auto"/>
              <w:right w:val="single" w:sz="4" w:space="0" w:color="auto"/>
            </w:tcBorders>
            <w:vAlign w:val="bottom"/>
          </w:tcPr>
          <w:p w14:paraId="37037A6C" w14:textId="3184AB07" w:rsidR="00F726FD" w:rsidRPr="00DC40D1" w:rsidRDefault="00F726FD" w:rsidP="00F726FD">
            <w:pPr>
              <w:spacing w:line="276" w:lineRule="auto"/>
              <w:jc w:val="right"/>
              <w:rPr>
                <w:rFonts w:ascii="Arial" w:hAnsi="Arial" w:cs="Arial"/>
                <w:color w:val="000000"/>
                <w:sz w:val="18"/>
                <w:szCs w:val="16"/>
                <w:highlight w:val="yellow"/>
                <w:lang w:val="en-GB"/>
              </w:rPr>
            </w:pPr>
            <w:r w:rsidRPr="001410DF">
              <w:rPr>
                <w:rFonts w:ascii="Arial" w:hAnsi="Arial" w:cs="Arial"/>
                <w:color w:val="000000"/>
                <w:sz w:val="18"/>
                <w:szCs w:val="16"/>
              </w:rPr>
              <w:t>6.8%</w:t>
            </w:r>
          </w:p>
        </w:tc>
        <w:tc>
          <w:tcPr>
            <w:tcW w:w="582" w:type="pct"/>
            <w:shd w:val="clear" w:color="auto" w:fill="auto"/>
            <w:vAlign w:val="bottom"/>
          </w:tcPr>
          <w:p w14:paraId="1AA460BF" w14:textId="6E9262A6" w:rsidR="00F726FD" w:rsidRPr="00DC7563" w:rsidRDefault="00F726FD" w:rsidP="00F726FD">
            <w:pPr>
              <w:spacing w:line="276" w:lineRule="auto"/>
              <w:jc w:val="right"/>
              <w:rPr>
                <w:rFonts w:ascii="Arial" w:hAnsi="Arial" w:cs="Arial"/>
                <w:color w:val="000000"/>
                <w:sz w:val="18"/>
                <w:szCs w:val="16"/>
                <w:lang w:val="en-GB"/>
              </w:rPr>
            </w:pPr>
            <w:r w:rsidRPr="00DC7563">
              <w:rPr>
                <w:rFonts w:ascii="Arial" w:hAnsi="Arial" w:cs="Arial"/>
                <w:color w:val="000000"/>
                <w:sz w:val="18"/>
                <w:szCs w:val="16"/>
                <w:lang w:val="en-GB"/>
              </w:rPr>
              <w:t>6.7%</w:t>
            </w:r>
          </w:p>
        </w:tc>
        <w:tc>
          <w:tcPr>
            <w:tcW w:w="584" w:type="pct"/>
            <w:shd w:val="clear" w:color="auto" w:fill="auto"/>
            <w:vAlign w:val="bottom"/>
          </w:tcPr>
          <w:p w14:paraId="094D5523" w14:textId="65DD5B9E" w:rsidR="00F726FD" w:rsidRPr="00DC7563" w:rsidRDefault="00F726FD" w:rsidP="00F726FD">
            <w:pPr>
              <w:spacing w:line="276" w:lineRule="auto"/>
              <w:jc w:val="right"/>
              <w:rPr>
                <w:rFonts w:ascii="Arial" w:hAnsi="Arial" w:cs="Arial"/>
                <w:color w:val="000000"/>
                <w:sz w:val="18"/>
                <w:szCs w:val="16"/>
                <w:lang w:val="en-GB"/>
              </w:rPr>
            </w:pPr>
            <w:r w:rsidRPr="00DC7563">
              <w:rPr>
                <w:rFonts w:ascii="Arial" w:hAnsi="Arial" w:cs="Arial"/>
                <w:color w:val="000000"/>
                <w:sz w:val="18"/>
                <w:szCs w:val="16"/>
                <w:lang w:val="en-GB"/>
              </w:rPr>
              <w:t>6.7%</w:t>
            </w:r>
          </w:p>
        </w:tc>
        <w:tc>
          <w:tcPr>
            <w:tcW w:w="776" w:type="pct"/>
            <w:shd w:val="clear" w:color="auto" w:fill="auto"/>
            <w:noWrap/>
            <w:vAlign w:val="bottom"/>
            <w:hideMark/>
          </w:tcPr>
          <w:p w14:paraId="6EA8DF22" w14:textId="685B154F" w:rsidR="00F726FD" w:rsidRPr="00DC7563" w:rsidRDefault="00F726FD" w:rsidP="00F726FD">
            <w:pPr>
              <w:spacing w:line="276" w:lineRule="auto"/>
              <w:jc w:val="right"/>
              <w:rPr>
                <w:rFonts w:ascii="Arial" w:hAnsi="Arial" w:cs="Arial"/>
                <w:color w:val="000000"/>
                <w:sz w:val="18"/>
                <w:szCs w:val="16"/>
                <w:lang w:val="en-GB"/>
              </w:rPr>
            </w:pPr>
            <w:r w:rsidRPr="00DC7563">
              <w:rPr>
                <w:rFonts w:ascii="Arial" w:hAnsi="Arial" w:cs="Arial"/>
                <w:color w:val="000000"/>
                <w:sz w:val="18"/>
                <w:szCs w:val="16"/>
                <w:lang w:val="en-GB"/>
              </w:rPr>
              <w:t> </w:t>
            </w:r>
          </w:p>
        </w:tc>
      </w:tr>
      <w:tr w:rsidR="00F726FD" w:rsidRPr="00DC7563" w14:paraId="69795F3D" w14:textId="77777777" w:rsidTr="009864BD">
        <w:trPr>
          <w:trHeight w:val="187"/>
          <w:jc w:val="center"/>
        </w:trPr>
        <w:tc>
          <w:tcPr>
            <w:tcW w:w="1291" w:type="pct"/>
            <w:shd w:val="clear" w:color="auto" w:fill="auto"/>
            <w:vAlign w:val="bottom"/>
            <w:hideMark/>
          </w:tcPr>
          <w:p w14:paraId="0BD8DDE1" w14:textId="6347CE4B" w:rsidR="00F726FD" w:rsidRPr="00DC7563" w:rsidRDefault="00F726FD" w:rsidP="00F726FD">
            <w:pPr>
              <w:spacing w:line="276" w:lineRule="auto"/>
              <w:rPr>
                <w:rFonts w:ascii="Arial" w:hAnsi="Arial" w:cs="Arial"/>
                <w:color w:val="000000"/>
                <w:sz w:val="18"/>
                <w:szCs w:val="16"/>
                <w:lang w:val="en-GB"/>
              </w:rPr>
            </w:pPr>
            <w:r w:rsidRPr="00DC7563">
              <w:rPr>
                <w:rFonts w:ascii="Arial" w:hAnsi="Arial" w:cs="Arial"/>
                <w:color w:val="000000"/>
                <w:sz w:val="18"/>
                <w:szCs w:val="16"/>
                <w:lang w:val="en-GB"/>
              </w:rPr>
              <w:t>Return on Equity (percentage)</w:t>
            </w:r>
          </w:p>
        </w:tc>
        <w:tc>
          <w:tcPr>
            <w:tcW w:w="601" w:type="pct"/>
            <w:shd w:val="clear" w:color="auto" w:fill="auto"/>
            <w:noWrap/>
            <w:vAlign w:val="bottom"/>
          </w:tcPr>
          <w:p w14:paraId="5BD39C26" w14:textId="68AF37DD" w:rsidR="00F726FD" w:rsidRPr="00F726FD" w:rsidRDefault="00F726FD" w:rsidP="00F726FD">
            <w:pPr>
              <w:spacing w:line="276" w:lineRule="auto"/>
              <w:jc w:val="right"/>
              <w:rPr>
                <w:rFonts w:ascii="Arial" w:hAnsi="Arial" w:cs="Arial"/>
                <w:color w:val="000000"/>
                <w:sz w:val="18"/>
                <w:szCs w:val="16"/>
                <w:lang w:val="en-GB"/>
              </w:rPr>
            </w:pPr>
            <w:r w:rsidRPr="00F726FD">
              <w:rPr>
                <w:rFonts w:ascii="Arial" w:hAnsi="Arial" w:cs="Arial"/>
                <w:color w:val="000000"/>
                <w:sz w:val="18"/>
                <w:szCs w:val="16"/>
                <w:lang w:val="en-GB"/>
              </w:rPr>
              <w:t>(24.0)</w:t>
            </w:r>
          </w:p>
        </w:tc>
        <w:tc>
          <w:tcPr>
            <w:tcW w:w="582" w:type="pct"/>
            <w:shd w:val="clear" w:color="auto" w:fill="auto"/>
            <w:vAlign w:val="bottom"/>
          </w:tcPr>
          <w:p w14:paraId="7D6F0100" w14:textId="1313CD51" w:rsidR="00F726FD" w:rsidRPr="00DC7563" w:rsidRDefault="00F726FD" w:rsidP="00F726FD">
            <w:pPr>
              <w:spacing w:line="276" w:lineRule="auto"/>
              <w:jc w:val="right"/>
              <w:rPr>
                <w:rFonts w:ascii="Arial" w:hAnsi="Arial" w:cs="Arial"/>
                <w:color w:val="000000"/>
                <w:sz w:val="18"/>
                <w:szCs w:val="16"/>
                <w:lang w:val="en-GB"/>
              </w:rPr>
            </w:pPr>
            <w:r w:rsidRPr="00DC7563">
              <w:rPr>
                <w:rFonts w:ascii="Arial" w:hAnsi="Arial" w:cs="Arial"/>
                <w:color w:val="000000"/>
                <w:sz w:val="18"/>
                <w:szCs w:val="16"/>
                <w:lang w:val="en-GB"/>
              </w:rPr>
              <w:t>7.1</w:t>
            </w:r>
          </w:p>
        </w:tc>
        <w:tc>
          <w:tcPr>
            <w:tcW w:w="584" w:type="pct"/>
            <w:tcBorders>
              <w:top w:val="single" w:sz="4" w:space="0" w:color="auto"/>
              <w:left w:val="nil"/>
              <w:bottom w:val="single" w:sz="4" w:space="0" w:color="auto"/>
              <w:right w:val="single" w:sz="4" w:space="0" w:color="auto"/>
            </w:tcBorders>
            <w:vAlign w:val="bottom"/>
          </w:tcPr>
          <w:p w14:paraId="091B637B" w14:textId="64319AC0" w:rsidR="00F726FD" w:rsidRPr="00DC40D1" w:rsidRDefault="00F726FD" w:rsidP="00F726FD">
            <w:pPr>
              <w:spacing w:line="276" w:lineRule="auto"/>
              <w:jc w:val="right"/>
              <w:rPr>
                <w:rFonts w:ascii="Arial" w:hAnsi="Arial" w:cs="Arial"/>
                <w:color w:val="000000"/>
                <w:sz w:val="18"/>
                <w:szCs w:val="16"/>
                <w:highlight w:val="yellow"/>
                <w:lang w:val="en-GB"/>
              </w:rPr>
            </w:pPr>
            <w:r w:rsidRPr="001410DF">
              <w:rPr>
                <w:rFonts w:ascii="Arial" w:hAnsi="Arial" w:cs="Arial"/>
                <w:color w:val="000000"/>
                <w:sz w:val="18"/>
                <w:szCs w:val="16"/>
              </w:rPr>
              <w:t>23.5</w:t>
            </w:r>
          </w:p>
        </w:tc>
        <w:tc>
          <w:tcPr>
            <w:tcW w:w="582" w:type="pct"/>
            <w:shd w:val="clear" w:color="auto" w:fill="auto"/>
            <w:vAlign w:val="bottom"/>
          </w:tcPr>
          <w:p w14:paraId="02B92989" w14:textId="00DF59B1" w:rsidR="00F726FD" w:rsidRPr="00DC7563" w:rsidRDefault="00F726FD" w:rsidP="00F726FD">
            <w:pPr>
              <w:spacing w:line="276" w:lineRule="auto"/>
              <w:jc w:val="right"/>
              <w:rPr>
                <w:rFonts w:ascii="Arial" w:hAnsi="Arial" w:cs="Arial"/>
                <w:color w:val="000000"/>
                <w:sz w:val="18"/>
                <w:szCs w:val="16"/>
                <w:lang w:val="en-GB"/>
              </w:rPr>
            </w:pPr>
            <w:r w:rsidRPr="00DC7563">
              <w:rPr>
                <w:rFonts w:ascii="Arial" w:hAnsi="Arial" w:cs="Arial"/>
                <w:color w:val="000000"/>
                <w:sz w:val="18"/>
                <w:szCs w:val="16"/>
                <w:lang w:val="en-GB"/>
              </w:rPr>
              <w:t>20.8</w:t>
            </w:r>
          </w:p>
        </w:tc>
        <w:tc>
          <w:tcPr>
            <w:tcW w:w="584" w:type="pct"/>
            <w:shd w:val="clear" w:color="auto" w:fill="auto"/>
            <w:vAlign w:val="bottom"/>
          </w:tcPr>
          <w:p w14:paraId="6DE64EFA" w14:textId="7810AF56" w:rsidR="00F726FD" w:rsidRPr="00DC7563" w:rsidRDefault="00F726FD" w:rsidP="00F726FD">
            <w:pPr>
              <w:spacing w:line="276" w:lineRule="auto"/>
              <w:jc w:val="right"/>
              <w:rPr>
                <w:rFonts w:ascii="Arial" w:hAnsi="Arial" w:cs="Arial"/>
                <w:color w:val="000000"/>
                <w:sz w:val="18"/>
                <w:szCs w:val="16"/>
                <w:lang w:val="en-GB"/>
              </w:rPr>
            </w:pPr>
            <w:r w:rsidRPr="00DC7563">
              <w:rPr>
                <w:rFonts w:ascii="Arial" w:hAnsi="Arial" w:cs="Arial"/>
                <w:color w:val="000000"/>
                <w:sz w:val="18"/>
                <w:szCs w:val="16"/>
                <w:lang w:val="en-GB"/>
              </w:rPr>
              <w:t>14.7</w:t>
            </w:r>
          </w:p>
        </w:tc>
        <w:tc>
          <w:tcPr>
            <w:tcW w:w="776" w:type="pct"/>
            <w:shd w:val="clear" w:color="auto" w:fill="auto"/>
            <w:noWrap/>
            <w:vAlign w:val="bottom"/>
            <w:hideMark/>
          </w:tcPr>
          <w:p w14:paraId="601A3BEA" w14:textId="76C7E698" w:rsidR="00F726FD" w:rsidRPr="00DC7563" w:rsidRDefault="00F726FD" w:rsidP="00F726FD">
            <w:pPr>
              <w:spacing w:line="276" w:lineRule="auto"/>
              <w:jc w:val="right"/>
              <w:rPr>
                <w:rFonts w:ascii="Arial" w:hAnsi="Arial" w:cs="Arial"/>
                <w:color w:val="000000"/>
                <w:sz w:val="18"/>
                <w:szCs w:val="16"/>
                <w:lang w:val="en-GB"/>
              </w:rPr>
            </w:pPr>
            <w:r w:rsidRPr="00DC7563">
              <w:rPr>
                <w:rFonts w:ascii="Arial" w:hAnsi="Arial" w:cs="Arial"/>
                <w:color w:val="000000"/>
                <w:sz w:val="18"/>
                <w:szCs w:val="16"/>
                <w:lang w:val="en-GB"/>
              </w:rPr>
              <w:t> </w:t>
            </w:r>
          </w:p>
        </w:tc>
      </w:tr>
      <w:tr w:rsidR="00F726FD" w:rsidRPr="00DC7563" w14:paraId="3B69AC23" w14:textId="77777777" w:rsidTr="009864BD">
        <w:trPr>
          <w:trHeight w:val="187"/>
          <w:jc w:val="center"/>
        </w:trPr>
        <w:tc>
          <w:tcPr>
            <w:tcW w:w="1291" w:type="pct"/>
            <w:shd w:val="clear" w:color="auto" w:fill="auto"/>
            <w:vAlign w:val="bottom"/>
            <w:hideMark/>
          </w:tcPr>
          <w:p w14:paraId="7047A231" w14:textId="54C2001E" w:rsidR="00F726FD" w:rsidRPr="00DC7563" w:rsidRDefault="00F726FD" w:rsidP="00F726FD">
            <w:pPr>
              <w:spacing w:line="276" w:lineRule="auto"/>
              <w:rPr>
                <w:rFonts w:ascii="Arial" w:hAnsi="Arial" w:cs="Arial"/>
                <w:color w:val="000000"/>
                <w:sz w:val="18"/>
                <w:szCs w:val="16"/>
                <w:lang w:val="en-GB"/>
              </w:rPr>
            </w:pPr>
            <w:r w:rsidRPr="00DC7563">
              <w:rPr>
                <w:rFonts w:ascii="Arial" w:hAnsi="Arial" w:cs="Arial"/>
                <w:color w:val="000000"/>
                <w:sz w:val="18"/>
                <w:szCs w:val="16"/>
                <w:lang w:val="en-GB"/>
              </w:rPr>
              <w:t>Equity Ratio</w:t>
            </w:r>
          </w:p>
        </w:tc>
        <w:tc>
          <w:tcPr>
            <w:tcW w:w="601" w:type="pct"/>
            <w:shd w:val="clear" w:color="auto" w:fill="auto"/>
            <w:noWrap/>
            <w:vAlign w:val="bottom"/>
          </w:tcPr>
          <w:p w14:paraId="4C8C79D6" w14:textId="77777777" w:rsidR="00F726FD" w:rsidRPr="00F726FD" w:rsidRDefault="00F726FD" w:rsidP="00F726FD">
            <w:pPr>
              <w:spacing w:line="276" w:lineRule="auto"/>
              <w:jc w:val="right"/>
              <w:rPr>
                <w:rFonts w:ascii="Arial" w:hAnsi="Arial" w:cs="Arial"/>
                <w:color w:val="000000"/>
                <w:sz w:val="18"/>
                <w:szCs w:val="16"/>
                <w:lang w:val="en-GB"/>
              </w:rPr>
            </w:pPr>
            <w:r w:rsidRPr="00F726FD">
              <w:rPr>
                <w:rFonts w:ascii="Arial" w:hAnsi="Arial" w:cs="Arial"/>
                <w:color w:val="000000"/>
                <w:sz w:val="18"/>
                <w:szCs w:val="16"/>
                <w:lang w:val="en-GB"/>
              </w:rPr>
              <w:t>24.5</w:t>
            </w:r>
          </w:p>
        </w:tc>
        <w:tc>
          <w:tcPr>
            <w:tcW w:w="582" w:type="pct"/>
            <w:shd w:val="clear" w:color="auto" w:fill="auto"/>
            <w:vAlign w:val="bottom"/>
          </w:tcPr>
          <w:p w14:paraId="0909245E" w14:textId="79B857D7" w:rsidR="00F726FD" w:rsidRPr="00DC7563" w:rsidRDefault="00F726FD" w:rsidP="00F726FD">
            <w:pPr>
              <w:spacing w:line="276" w:lineRule="auto"/>
              <w:jc w:val="right"/>
              <w:rPr>
                <w:rFonts w:ascii="Arial" w:hAnsi="Arial" w:cs="Arial"/>
                <w:color w:val="000000"/>
                <w:sz w:val="18"/>
                <w:szCs w:val="16"/>
                <w:lang w:val="en-GB"/>
              </w:rPr>
            </w:pPr>
            <w:r w:rsidRPr="00DC7563">
              <w:rPr>
                <w:rFonts w:ascii="Arial" w:hAnsi="Arial" w:cs="Arial"/>
                <w:color w:val="000000"/>
                <w:sz w:val="18"/>
                <w:szCs w:val="16"/>
                <w:lang w:val="en-GB"/>
              </w:rPr>
              <w:t>25.1</w:t>
            </w:r>
          </w:p>
        </w:tc>
        <w:tc>
          <w:tcPr>
            <w:tcW w:w="584" w:type="pct"/>
            <w:tcBorders>
              <w:top w:val="single" w:sz="4" w:space="0" w:color="auto"/>
              <w:left w:val="nil"/>
              <w:bottom w:val="single" w:sz="4" w:space="0" w:color="auto"/>
              <w:right w:val="single" w:sz="4" w:space="0" w:color="auto"/>
            </w:tcBorders>
            <w:vAlign w:val="bottom"/>
          </w:tcPr>
          <w:p w14:paraId="4ED55946" w14:textId="5A03D70C" w:rsidR="00F726FD" w:rsidRPr="00DC40D1" w:rsidRDefault="00F726FD" w:rsidP="00F726FD">
            <w:pPr>
              <w:spacing w:line="276" w:lineRule="auto"/>
              <w:jc w:val="right"/>
              <w:rPr>
                <w:rFonts w:ascii="Arial" w:hAnsi="Arial" w:cs="Arial"/>
                <w:color w:val="000000"/>
                <w:sz w:val="18"/>
                <w:szCs w:val="16"/>
                <w:highlight w:val="yellow"/>
                <w:lang w:val="en-GB"/>
              </w:rPr>
            </w:pPr>
            <w:r w:rsidRPr="001410DF">
              <w:rPr>
                <w:rFonts w:ascii="Arial" w:hAnsi="Arial" w:cs="Arial"/>
                <w:color w:val="000000"/>
                <w:sz w:val="18"/>
                <w:szCs w:val="16"/>
              </w:rPr>
              <w:t>29.4</w:t>
            </w:r>
          </w:p>
        </w:tc>
        <w:tc>
          <w:tcPr>
            <w:tcW w:w="582" w:type="pct"/>
            <w:shd w:val="clear" w:color="auto" w:fill="auto"/>
            <w:vAlign w:val="bottom"/>
          </w:tcPr>
          <w:p w14:paraId="548DABAB" w14:textId="1380979F" w:rsidR="00F726FD" w:rsidRPr="00DC7563" w:rsidRDefault="00F726FD" w:rsidP="00F726FD">
            <w:pPr>
              <w:spacing w:line="276" w:lineRule="auto"/>
              <w:jc w:val="right"/>
              <w:rPr>
                <w:rFonts w:ascii="Arial" w:hAnsi="Arial" w:cs="Arial"/>
                <w:color w:val="000000"/>
                <w:sz w:val="18"/>
                <w:szCs w:val="16"/>
                <w:lang w:val="en-GB"/>
              </w:rPr>
            </w:pPr>
            <w:r w:rsidRPr="00DC7563">
              <w:rPr>
                <w:rFonts w:ascii="Arial" w:hAnsi="Arial" w:cs="Arial"/>
                <w:color w:val="000000"/>
                <w:sz w:val="18"/>
                <w:szCs w:val="16"/>
                <w:lang w:val="en-GB"/>
              </w:rPr>
              <w:t>35.2</w:t>
            </w:r>
          </w:p>
        </w:tc>
        <w:tc>
          <w:tcPr>
            <w:tcW w:w="584" w:type="pct"/>
            <w:shd w:val="clear" w:color="auto" w:fill="auto"/>
            <w:vAlign w:val="bottom"/>
          </w:tcPr>
          <w:p w14:paraId="78ADA804" w14:textId="33236882" w:rsidR="00F726FD" w:rsidRPr="00DC7563" w:rsidRDefault="00F726FD" w:rsidP="00F726FD">
            <w:pPr>
              <w:spacing w:line="276" w:lineRule="auto"/>
              <w:jc w:val="right"/>
              <w:rPr>
                <w:rFonts w:ascii="Arial" w:hAnsi="Arial" w:cs="Arial"/>
                <w:color w:val="000000"/>
                <w:sz w:val="18"/>
                <w:szCs w:val="16"/>
                <w:lang w:val="en-GB"/>
              </w:rPr>
            </w:pPr>
            <w:r w:rsidRPr="00DC7563">
              <w:rPr>
                <w:rFonts w:ascii="Arial" w:hAnsi="Arial" w:cs="Arial"/>
                <w:color w:val="000000"/>
                <w:sz w:val="18"/>
                <w:szCs w:val="16"/>
                <w:lang w:val="en-GB"/>
              </w:rPr>
              <w:t>37.4</w:t>
            </w:r>
            <w:r w:rsidRPr="00DC7563">
              <w:rPr>
                <w:rFonts w:ascii="Arial" w:hAnsi="Arial" w:cs="Arial"/>
                <w:color w:val="000000"/>
                <w:sz w:val="18"/>
                <w:szCs w:val="16"/>
                <w:vertAlign w:val="superscript"/>
                <w:lang w:val="en-GB"/>
              </w:rPr>
              <w:t>j</w:t>
            </w:r>
          </w:p>
        </w:tc>
        <w:tc>
          <w:tcPr>
            <w:tcW w:w="776" w:type="pct"/>
            <w:shd w:val="clear" w:color="auto" w:fill="auto"/>
            <w:noWrap/>
            <w:vAlign w:val="bottom"/>
            <w:hideMark/>
          </w:tcPr>
          <w:p w14:paraId="442ADCE9" w14:textId="3770AD1B" w:rsidR="00F726FD" w:rsidRPr="00DC7563" w:rsidRDefault="00F726FD" w:rsidP="00F726FD">
            <w:pPr>
              <w:spacing w:line="276" w:lineRule="auto"/>
              <w:jc w:val="right"/>
              <w:rPr>
                <w:rFonts w:ascii="Arial" w:hAnsi="Arial" w:cs="Arial"/>
                <w:color w:val="000000"/>
                <w:sz w:val="18"/>
                <w:szCs w:val="16"/>
                <w:lang w:val="en-GB"/>
              </w:rPr>
            </w:pPr>
            <w:r w:rsidRPr="00DC7563">
              <w:rPr>
                <w:rFonts w:ascii="Arial" w:hAnsi="Arial" w:cs="Arial"/>
                <w:color w:val="000000"/>
                <w:sz w:val="18"/>
                <w:szCs w:val="16"/>
                <w:lang w:val="en-GB"/>
              </w:rPr>
              <w:t> </w:t>
            </w:r>
          </w:p>
        </w:tc>
      </w:tr>
    </w:tbl>
    <w:p w14:paraId="5FFD9E38" w14:textId="77777777" w:rsidR="00AE7AAC" w:rsidRPr="00DC7563" w:rsidRDefault="00AE7AAC" w:rsidP="00092FA4">
      <w:pPr>
        <w:pStyle w:val="Footnote"/>
        <w:rPr>
          <w:rFonts w:eastAsia="Malgun Gothic"/>
          <w:lang w:val="en-GB" w:eastAsia="ko-KR"/>
        </w:rPr>
      </w:pPr>
    </w:p>
    <w:p w14:paraId="2CAC37CE" w14:textId="1156280C" w:rsidR="00327A2B" w:rsidRPr="00DC7563" w:rsidRDefault="00960EB9" w:rsidP="00327A2B">
      <w:pPr>
        <w:pStyle w:val="Footnote"/>
        <w:rPr>
          <w:rFonts w:eastAsia="Malgun Gothic"/>
          <w:lang w:val="en-GB" w:eastAsia="ko-KR"/>
        </w:rPr>
      </w:pPr>
      <w:r>
        <w:rPr>
          <w:rFonts w:eastAsia="Malgun Gothic"/>
          <w:vertAlign w:val="superscript"/>
          <w:lang w:val="en-GB" w:eastAsia="ko-KR"/>
        </w:rPr>
        <w:t>1</w:t>
      </w:r>
      <w:r w:rsidR="00327A2B" w:rsidRPr="00DC7563">
        <w:rPr>
          <w:rFonts w:eastAsia="Malgun Gothic"/>
          <w:lang w:val="en-GB" w:eastAsia="ko-KR"/>
        </w:rPr>
        <w:t xml:space="preserve"> </w:t>
      </w:r>
      <w:r w:rsidR="00A41BC3" w:rsidRPr="00DC7563">
        <w:rPr>
          <w:rFonts w:eastAsiaTheme="minorEastAsia"/>
          <w:lang w:val="en-GB"/>
        </w:rPr>
        <w:t xml:space="preserve">Based on </w:t>
      </w:r>
      <w:r w:rsidR="00327A2B" w:rsidRPr="00DC7563">
        <w:rPr>
          <w:rFonts w:eastAsiaTheme="minorEastAsia"/>
          <w:lang w:val="en-GB"/>
        </w:rPr>
        <w:t>US$1 = ¥113, as on March 31, 2016.</w:t>
      </w:r>
    </w:p>
    <w:p w14:paraId="6ED40522" w14:textId="798C380C" w:rsidR="000A18F0" w:rsidRPr="00DC7563" w:rsidRDefault="00B15F59" w:rsidP="00092FA4">
      <w:pPr>
        <w:pStyle w:val="Footnote"/>
        <w:rPr>
          <w:rFonts w:eastAsia="Malgun Gothic"/>
          <w:color w:val="222222"/>
          <w:lang w:val="en-GB" w:eastAsia="ko-KR"/>
        </w:rPr>
      </w:pPr>
      <w:r w:rsidRPr="00DC7563">
        <w:rPr>
          <w:rFonts w:eastAsia="Malgun Gothic"/>
          <w:lang w:val="en-GB" w:eastAsia="ko-KR"/>
        </w:rPr>
        <w:t xml:space="preserve">Source: Adapted from </w:t>
      </w:r>
      <w:r w:rsidRPr="00DC7563">
        <w:rPr>
          <w:rFonts w:eastAsia="Malgun Gothic"/>
          <w:color w:val="222222"/>
          <w:lang w:val="en-GB" w:eastAsia="ko-KR"/>
        </w:rPr>
        <w:t>Mazda Motor Corporation,</w:t>
      </w:r>
      <w:r w:rsidRPr="00DC7563">
        <w:rPr>
          <w:rFonts w:eastAsia="Malgun Gothic"/>
          <w:lang w:val="en-GB" w:eastAsia="ko-KR"/>
        </w:rPr>
        <w:t xml:space="preserve"> “Eleven-Year Summary of Consolidated Financial Statements</w:t>
      </w:r>
      <w:r w:rsidRPr="00DC7563">
        <w:rPr>
          <w:lang w:val="en-GB" w:eastAsia="ko-KR"/>
        </w:rPr>
        <w:t xml:space="preserve">,” </w:t>
      </w:r>
      <w:r w:rsidRPr="00DC7563">
        <w:rPr>
          <w:rFonts w:eastAsia="Malgun Gothic"/>
          <w:i/>
          <w:color w:val="222222"/>
          <w:lang w:val="en-GB" w:eastAsia="ko-KR"/>
        </w:rPr>
        <w:t>Annual Report</w:t>
      </w:r>
      <w:r w:rsidR="000A18F0" w:rsidRPr="00DC7563">
        <w:rPr>
          <w:rFonts w:eastAsia="Malgun Gothic"/>
          <w:i/>
          <w:color w:val="222222"/>
          <w:lang w:val="en-GB" w:eastAsia="ko-KR"/>
        </w:rPr>
        <w:t xml:space="preserve"> 2016</w:t>
      </w:r>
      <w:r w:rsidRPr="00DC7563">
        <w:rPr>
          <w:rFonts w:eastAsia="Malgun Gothic"/>
          <w:color w:val="222222"/>
          <w:lang w:val="en-GB" w:eastAsia="ko-KR"/>
        </w:rPr>
        <w:t>,</w:t>
      </w:r>
      <w:r w:rsidR="000A18F0" w:rsidRPr="00DC7563">
        <w:rPr>
          <w:rFonts w:eastAsia="Malgun Gothic"/>
          <w:color w:val="222222"/>
          <w:lang w:val="en-GB" w:eastAsia="ko-KR"/>
        </w:rPr>
        <w:t xml:space="preserve"> 41</w:t>
      </w:r>
      <w:r w:rsidR="00427C03">
        <w:rPr>
          <w:rFonts w:eastAsia="Malgun Gothic"/>
          <w:color w:val="222222"/>
          <w:lang w:val="en-GB" w:eastAsia="ko-KR"/>
        </w:rPr>
        <w:t>,</w:t>
      </w:r>
      <w:r w:rsidRPr="00DC7563">
        <w:rPr>
          <w:rFonts w:eastAsia="Malgun Gothic"/>
          <w:color w:val="222222"/>
          <w:lang w:val="en-GB" w:eastAsia="ko-KR"/>
        </w:rPr>
        <w:t xml:space="preserve"> accessed </w:t>
      </w:r>
      <w:r w:rsidR="00FB6BB0" w:rsidRPr="00DC7563">
        <w:rPr>
          <w:rFonts w:eastAsia="Malgun Gothic"/>
          <w:color w:val="222222"/>
          <w:lang w:val="en-GB" w:eastAsia="ko-KR"/>
        </w:rPr>
        <w:t xml:space="preserve">June </w:t>
      </w:r>
      <w:r w:rsidR="00F1028C" w:rsidRPr="00DC7563">
        <w:rPr>
          <w:rFonts w:eastAsia="Malgun Gothic"/>
          <w:color w:val="222222"/>
          <w:lang w:val="en-GB" w:eastAsia="ko-KR"/>
        </w:rPr>
        <w:t>2</w:t>
      </w:r>
      <w:r w:rsidR="00FB6BB0" w:rsidRPr="00DC7563">
        <w:rPr>
          <w:rFonts w:eastAsia="Malgun Gothic"/>
          <w:color w:val="222222"/>
          <w:lang w:val="en-GB" w:eastAsia="ko-KR"/>
        </w:rPr>
        <w:t>7</w:t>
      </w:r>
      <w:r w:rsidRPr="00DC7563">
        <w:rPr>
          <w:rFonts w:eastAsia="Malgun Gothic"/>
          <w:color w:val="222222"/>
          <w:lang w:val="en-GB" w:eastAsia="ko-KR"/>
        </w:rPr>
        <w:t>, 2017,</w:t>
      </w:r>
      <w:r w:rsidR="00F1028C" w:rsidRPr="00DC7563">
        <w:rPr>
          <w:lang w:val="en-GB"/>
        </w:rPr>
        <w:t xml:space="preserve"> </w:t>
      </w:r>
      <w:r w:rsidR="000A18F0" w:rsidRPr="00DC7563">
        <w:rPr>
          <w:rFonts w:eastAsia="Malgun Gothic"/>
          <w:color w:val="222222"/>
          <w:lang w:val="en-GB" w:eastAsia="ko-KR"/>
        </w:rPr>
        <w:t>www.mazda.com/globalassets/en/assets/investors/library/annual/files/</w:t>
      </w:r>
    </w:p>
    <w:p w14:paraId="455AE1BA" w14:textId="44B93429" w:rsidR="009D61E4" w:rsidRPr="00DC7563" w:rsidRDefault="000A18F0" w:rsidP="005D41DA">
      <w:pPr>
        <w:pStyle w:val="Footnote"/>
        <w:rPr>
          <w:rFonts w:eastAsia="Malgun Gothic"/>
          <w:b/>
          <w:color w:val="222222"/>
          <w:sz w:val="20"/>
          <w:szCs w:val="20"/>
          <w:lang w:val="en-GB" w:eastAsia="ko-KR"/>
        </w:rPr>
      </w:pPr>
      <w:r w:rsidRPr="00DC7563">
        <w:rPr>
          <w:rFonts w:eastAsia="Malgun Gothic"/>
          <w:color w:val="222222"/>
          <w:lang w:val="en-GB" w:eastAsia="ko-KR"/>
        </w:rPr>
        <w:t>mazdaar16_e.pdf</w:t>
      </w:r>
      <w:r w:rsidR="00F1028C" w:rsidRPr="00DC7563">
        <w:rPr>
          <w:rFonts w:eastAsia="Malgun Gothic"/>
          <w:color w:val="222222"/>
          <w:lang w:val="en-GB" w:eastAsia="ko-KR"/>
        </w:rPr>
        <w:t>.</w:t>
      </w:r>
    </w:p>
    <w:p w14:paraId="19B5F233" w14:textId="77777777" w:rsidR="00A77B86" w:rsidRPr="00DC7563" w:rsidRDefault="00A77B86" w:rsidP="00666715">
      <w:pPr>
        <w:pStyle w:val="NoSpacing"/>
        <w:jc w:val="center"/>
        <w:rPr>
          <w:rFonts w:ascii="Arial" w:eastAsia="Malgun Gothic" w:hAnsi="Arial"/>
          <w:b/>
          <w:color w:val="222222"/>
          <w:sz w:val="20"/>
          <w:szCs w:val="20"/>
          <w:lang w:val="en-GB" w:eastAsia="ko-KR"/>
        </w:rPr>
      </w:pPr>
    </w:p>
    <w:p w14:paraId="000CE9E7" w14:textId="77777777" w:rsidR="000A18F0" w:rsidRPr="00DC7563" w:rsidRDefault="000A18F0">
      <w:pPr>
        <w:spacing w:after="200" w:line="276" w:lineRule="auto"/>
        <w:rPr>
          <w:rFonts w:ascii="Arial" w:eastAsia="Malgun Gothic" w:hAnsi="Arial" w:cs="Arial"/>
          <w:b/>
          <w:caps/>
          <w:lang w:val="en-GB" w:eastAsia="ko-KR"/>
        </w:rPr>
      </w:pPr>
      <w:r w:rsidRPr="00DC7563">
        <w:rPr>
          <w:rFonts w:eastAsia="Malgun Gothic"/>
          <w:lang w:val="en-GB" w:eastAsia="ko-KR"/>
        </w:rPr>
        <w:br w:type="page"/>
      </w:r>
    </w:p>
    <w:p w14:paraId="04EC3F3B" w14:textId="15196054" w:rsidR="00666715" w:rsidRPr="00DC7563" w:rsidRDefault="00666715" w:rsidP="00086D7C">
      <w:pPr>
        <w:pStyle w:val="ExhibitHeading"/>
        <w:rPr>
          <w:rFonts w:eastAsia="Malgun Gothic"/>
          <w:lang w:val="en-GB" w:eastAsia="ko-KR"/>
        </w:rPr>
      </w:pPr>
      <w:r w:rsidRPr="00DC7563">
        <w:rPr>
          <w:rFonts w:eastAsia="Malgun Gothic"/>
          <w:lang w:val="en-GB" w:eastAsia="ko-KR"/>
        </w:rPr>
        <w:lastRenderedPageBreak/>
        <w:t xml:space="preserve">EXHIBIT 6: JAPAN’S MAJOR MANUFACTURING SECTORS </w:t>
      </w:r>
      <w:r w:rsidR="00207AFB" w:rsidRPr="00DC7563">
        <w:rPr>
          <w:rFonts w:eastAsia="Malgun Gothic"/>
          <w:lang w:val="en-GB" w:eastAsia="ko-KR"/>
        </w:rPr>
        <w:t xml:space="preserve">shipment </w:t>
      </w:r>
      <w:r w:rsidRPr="00DC7563">
        <w:rPr>
          <w:rFonts w:eastAsia="Malgun Gothic"/>
          <w:lang w:val="en-GB" w:eastAsia="ko-KR"/>
        </w:rPr>
        <w:t>(2013)</w:t>
      </w:r>
    </w:p>
    <w:p w14:paraId="76427B65" w14:textId="77777777" w:rsidR="00666715" w:rsidRPr="00DC7563" w:rsidRDefault="00666715" w:rsidP="00666715">
      <w:pPr>
        <w:pStyle w:val="NoSpacing"/>
        <w:jc w:val="center"/>
        <w:rPr>
          <w:rFonts w:ascii="Times New Roman" w:eastAsia="Malgun Gothic" w:hAnsi="Times New Roman"/>
          <w:b/>
          <w:color w:val="222222"/>
          <w:sz w:val="16"/>
          <w:szCs w:val="16"/>
          <w:lang w:val="en-GB" w:eastAsia="ko-KR"/>
        </w:rPr>
      </w:pPr>
    </w:p>
    <w:tbl>
      <w:tblPr>
        <w:tblW w:w="77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46"/>
        <w:gridCol w:w="1984"/>
        <w:gridCol w:w="1701"/>
      </w:tblGrid>
      <w:tr w:rsidR="00207AFB" w:rsidRPr="00DC7563" w14:paraId="4AE96542" w14:textId="77777777" w:rsidTr="00430358">
        <w:trPr>
          <w:trHeight w:val="300"/>
          <w:jc w:val="center"/>
        </w:trPr>
        <w:tc>
          <w:tcPr>
            <w:tcW w:w="4046" w:type="dxa"/>
            <w:shd w:val="clear" w:color="auto" w:fill="auto"/>
            <w:noWrap/>
            <w:vAlign w:val="bottom"/>
            <w:hideMark/>
          </w:tcPr>
          <w:p w14:paraId="6B12644A" w14:textId="77777777" w:rsidR="00207AFB" w:rsidRDefault="00207AFB" w:rsidP="00207AFB">
            <w:pPr>
              <w:rPr>
                <w:rFonts w:ascii="Arial" w:eastAsia="SimSun" w:hAnsi="Arial" w:cs="Arial"/>
                <w:b/>
                <w:color w:val="000000"/>
                <w:kern w:val="0"/>
                <w:sz w:val="18"/>
                <w:szCs w:val="18"/>
                <w:lang w:val="en-GB" w:eastAsia="zh-CN"/>
              </w:rPr>
            </w:pPr>
            <w:r w:rsidRPr="00DC7563">
              <w:rPr>
                <w:rFonts w:ascii="Arial" w:eastAsia="SimSun" w:hAnsi="Arial" w:cs="Arial"/>
                <w:b/>
                <w:color w:val="000000"/>
                <w:kern w:val="0"/>
                <w:sz w:val="18"/>
                <w:szCs w:val="18"/>
                <w:lang w:val="en-GB" w:eastAsia="zh-CN"/>
              </w:rPr>
              <w:t>Manufacturing Sectors</w:t>
            </w:r>
          </w:p>
          <w:p w14:paraId="6D0EB054" w14:textId="77777777" w:rsidR="00427C03" w:rsidRPr="00DC7563" w:rsidRDefault="00427C03" w:rsidP="00207AFB">
            <w:pPr>
              <w:rPr>
                <w:rFonts w:ascii="Arial" w:eastAsia="SimSun" w:hAnsi="Arial" w:cs="Arial"/>
                <w:b/>
                <w:color w:val="000000"/>
                <w:kern w:val="0"/>
                <w:sz w:val="18"/>
                <w:szCs w:val="18"/>
                <w:lang w:val="en-GB" w:eastAsia="zh-CN"/>
              </w:rPr>
            </w:pPr>
          </w:p>
        </w:tc>
        <w:tc>
          <w:tcPr>
            <w:tcW w:w="1984" w:type="dxa"/>
            <w:shd w:val="clear" w:color="auto" w:fill="auto"/>
            <w:noWrap/>
            <w:vAlign w:val="bottom"/>
            <w:hideMark/>
          </w:tcPr>
          <w:p w14:paraId="678F8957" w14:textId="6268A37F" w:rsidR="00207AFB" w:rsidRPr="00DC7563" w:rsidRDefault="00207AFB" w:rsidP="00207AFB">
            <w:pPr>
              <w:jc w:val="center"/>
              <w:rPr>
                <w:rFonts w:ascii="Arial" w:eastAsia="SimSun" w:hAnsi="Arial" w:cs="Arial"/>
                <w:b/>
                <w:color w:val="000000"/>
                <w:kern w:val="0"/>
                <w:sz w:val="18"/>
                <w:szCs w:val="18"/>
                <w:lang w:val="en-GB" w:eastAsia="zh-CN"/>
              </w:rPr>
            </w:pPr>
            <w:r w:rsidRPr="00DC7563">
              <w:rPr>
                <w:rFonts w:ascii="Arial" w:eastAsia="SimSun" w:hAnsi="Arial" w:cs="Arial"/>
                <w:b/>
                <w:color w:val="000000"/>
                <w:kern w:val="0"/>
                <w:sz w:val="18"/>
                <w:szCs w:val="18"/>
                <w:lang w:val="en-GB" w:eastAsia="zh-CN"/>
              </w:rPr>
              <w:t>Shipment Value (¥100 Million)</w:t>
            </w:r>
          </w:p>
        </w:tc>
        <w:tc>
          <w:tcPr>
            <w:tcW w:w="1701" w:type="dxa"/>
            <w:shd w:val="clear" w:color="auto" w:fill="auto"/>
            <w:noWrap/>
            <w:vAlign w:val="bottom"/>
            <w:hideMark/>
          </w:tcPr>
          <w:p w14:paraId="37944F95" w14:textId="77777777" w:rsidR="00207AFB" w:rsidRDefault="00207AFB" w:rsidP="00207AFB">
            <w:pPr>
              <w:jc w:val="center"/>
              <w:rPr>
                <w:rFonts w:ascii="Arial" w:eastAsia="SimSun" w:hAnsi="Arial" w:cs="Arial"/>
                <w:b/>
                <w:color w:val="000000"/>
                <w:kern w:val="0"/>
                <w:sz w:val="18"/>
                <w:szCs w:val="18"/>
                <w:lang w:val="en-GB" w:eastAsia="zh-CN"/>
              </w:rPr>
            </w:pPr>
            <w:r w:rsidRPr="00DC7563">
              <w:rPr>
                <w:rFonts w:ascii="Arial" w:eastAsia="SimSun" w:hAnsi="Arial" w:cs="Arial"/>
                <w:b/>
                <w:color w:val="000000"/>
                <w:kern w:val="0"/>
                <w:sz w:val="18"/>
                <w:szCs w:val="18"/>
                <w:lang w:val="en-GB" w:eastAsia="zh-CN"/>
              </w:rPr>
              <w:t>Percentage</w:t>
            </w:r>
          </w:p>
          <w:p w14:paraId="0894AE25" w14:textId="77777777" w:rsidR="00427C03" w:rsidRPr="00DC7563" w:rsidRDefault="00427C03" w:rsidP="00207AFB">
            <w:pPr>
              <w:jc w:val="center"/>
              <w:rPr>
                <w:rFonts w:ascii="Arial" w:eastAsia="SimSun" w:hAnsi="Arial" w:cs="Arial"/>
                <w:b/>
                <w:color w:val="000000"/>
                <w:kern w:val="0"/>
                <w:sz w:val="18"/>
                <w:szCs w:val="18"/>
                <w:lang w:val="en-GB" w:eastAsia="zh-CN"/>
              </w:rPr>
            </w:pPr>
          </w:p>
        </w:tc>
      </w:tr>
      <w:tr w:rsidR="00207AFB" w:rsidRPr="00DC7563" w14:paraId="68877B6E" w14:textId="77777777" w:rsidTr="003954A5">
        <w:trPr>
          <w:trHeight w:val="60"/>
          <w:jc w:val="center"/>
        </w:trPr>
        <w:tc>
          <w:tcPr>
            <w:tcW w:w="4046" w:type="dxa"/>
            <w:shd w:val="clear" w:color="auto" w:fill="auto"/>
            <w:noWrap/>
            <w:vAlign w:val="bottom"/>
            <w:hideMark/>
          </w:tcPr>
          <w:p w14:paraId="76DE6812" w14:textId="7D3AED6A" w:rsidR="00207AFB" w:rsidRPr="00DC7563" w:rsidRDefault="00207AFB" w:rsidP="00430358">
            <w:pPr>
              <w:rPr>
                <w:rFonts w:ascii="Arial" w:eastAsia="SimSun" w:hAnsi="Arial" w:cs="Arial"/>
                <w:color w:val="000000"/>
                <w:kern w:val="0"/>
                <w:sz w:val="18"/>
                <w:szCs w:val="18"/>
                <w:lang w:val="en-GB" w:eastAsia="zh-CN"/>
              </w:rPr>
            </w:pPr>
            <w:r w:rsidRPr="00DC7563">
              <w:rPr>
                <w:rFonts w:ascii="Arial" w:eastAsia="SimSun" w:hAnsi="Arial" w:cs="Arial"/>
                <w:color w:val="000000"/>
                <w:kern w:val="0"/>
                <w:sz w:val="18"/>
                <w:szCs w:val="18"/>
                <w:lang w:val="en-GB" w:eastAsia="zh-CN"/>
              </w:rPr>
              <w:t xml:space="preserve">Transport </w:t>
            </w:r>
            <w:r w:rsidR="00430358" w:rsidRPr="00DC7563">
              <w:rPr>
                <w:rFonts w:ascii="Arial" w:eastAsia="SimSun" w:hAnsi="Arial" w:cs="Arial"/>
                <w:color w:val="000000"/>
                <w:kern w:val="0"/>
                <w:sz w:val="18"/>
                <w:szCs w:val="18"/>
                <w:lang w:val="en-GB" w:eastAsia="zh-CN"/>
              </w:rPr>
              <w:t>E</w:t>
            </w:r>
            <w:r w:rsidRPr="00DC7563">
              <w:rPr>
                <w:rFonts w:ascii="Arial" w:eastAsia="SimSun" w:hAnsi="Arial" w:cs="Arial"/>
                <w:color w:val="000000"/>
                <w:kern w:val="0"/>
                <w:sz w:val="18"/>
                <w:szCs w:val="18"/>
                <w:lang w:val="en-GB" w:eastAsia="zh-CN"/>
              </w:rPr>
              <w:t>quipment</w:t>
            </w:r>
          </w:p>
        </w:tc>
        <w:tc>
          <w:tcPr>
            <w:tcW w:w="1984" w:type="dxa"/>
            <w:shd w:val="clear" w:color="auto" w:fill="auto"/>
            <w:noWrap/>
            <w:vAlign w:val="bottom"/>
            <w:hideMark/>
          </w:tcPr>
          <w:p w14:paraId="4D4B653D" w14:textId="63553D3D" w:rsidR="00207AFB" w:rsidRPr="00DC7563" w:rsidRDefault="00207AFB" w:rsidP="00C16520">
            <w:pPr>
              <w:tabs>
                <w:tab w:val="decimal" w:pos="844"/>
              </w:tabs>
              <w:jc w:val="center"/>
              <w:rPr>
                <w:rFonts w:ascii="Arial" w:eastAsia="SimSun" w:hAnsi="Arial" w:cs="Arial"/>
                <w:color w:val="000000"/>
                <w:kern w:val="0"/>
                <w:sz w:val="18"/>
                <w:szCs w:val="18"/>
                <w:lang w:val="en-GB" w:eastAsia="zh-CN"/>
              </w:rPr>
            </w:pPr>
            <w:r w:rsidRPr="00DC7563">
              <w:rPr>
                <w:rFonts w:ascii="Arial" w:eastAsia="SimSun" w:hAnsi="Arial" w:cs="Arial"/>
                <w:color w:val="000000"/>
                <w:kern w:val="0"/>
                <w:sz w:val="18"/>
                <w:szCs w:val="18"/>
                <w:lang w:val="en-GB" w:eastAsia="zh-CN"/>
              </w:rPr>
              <w:t>582,032</w:t>
            </w:r>
          </w:p>
        </w:tc>
        <w:tc>
          <w:tcPr>
            <w:tcW w:w="1701" w:type="dxa"/>
            <w:shd w:val="clear" w:color="auto" w:fill="auto"/>
            <w:noWrap/>
            <w:vAlign w:val="bottom"/>
            <w:hideMark/>
          </w:tcPr>
          <w:p w14:paraId="6077A1CF" w14:textId="77777777" w:rsidR="00207AFB" w:rsidRPr="00DC7563" w:rsidRDefault="00207AFB" w:rsidP="00C16520">
            <w:pPr>
              <w:tabs>
                <w:tab w:val="decimal" w:pos="278"/>
              </w:tabs>
              <w:jc w:val="center"/>
              <w:rPr>
                <w:rFonts w:ascii="Arial" w:eastAsia="SimSun" w:hAnsi="Arial" w:cs="Arial"/>
                <w:color w:val="000000"/>
                <w:kern w:val="0"/>
                <w:sz w:val="18"/>
                <w:szCs w:val="18"/>
                <w:lang w:val="en-GB" w:eastAsia="zh-CN"/>
              </w:rPr>
            </w:pPr>
            <w:r w:rsidRPr="00DC7563">
              <w:rPr>
                <w:rFonts w:ascii="Arial" w:eastAsia="SimSun" w:hAnsi="Arial" w:cs="Arial"/>
                <w:color w:val="000000"/>
                <w:kern w:val="0"/>
                <w:sz w:val="18"/>
                <w:szCs w:val="18"/>
                <w:lang w:val="en-GB" w:eastAsia="zh-CN"/>
              </w:rPr>
              <w:t>19.9</w:t>
            </w:r>
          </w:p>
        </w:tc>
      </w:tr>
      <w:tr w:rsidR="00207AFB" w:rsidRPr="00DC7563" w14:paraId="3C5EF879" w14:textId="77777777" w:rsidTr="003954A5">
        <w:trPr>
          <w:trHeight w:val="60"/>
          <w:jc w:val="center"/>
        </w:trPr>
        <w:tc>
          <w:tcPr>
            <w:tcW w:w="4046" w:type="dxa"/>
            <w:shd w:val="clear" w:color="auto" w:fill="auto"/>
            <w:noWrap/>
            <w:vAlign w:val="bottom"/>
            <w:hideMark/>
          </w:tcPr>
          <w:p w14:paraId="3097271E" w14:textId="5FB6C9B4" w:rsidR="00207AFB" w:rsidRPr="00DC7563" w:rsidRDefault="00207AFB" w:rsidP="00430358">
            <w:pPr>
              <w:rPr>
                <w:rFonts w:ascii="Arial" w:eastAsia="SimSun" w:hAnsi="Arial" w:cs="Arial"/>
                <w:color w:val="000000"/>
                <w:kern w:val="0"/>
                <w:sz w:val="18"/>
                <w:szCs w:val="18"/>
                <w:lang w:val="en-GB" w:eastAsia="zh-CN"/>
              </w:rPr>
            </w:pPr>
            <w:r w:rsidRPr="00DC7563">
              <w:rPr>
                <w:rFonts w:ascii="Arial" w:eastAsia="SimSun" w:hAnsi="Arial" w:cs="Arial"/>
                <w:color w:val="000000"/>
                <w:kern w:val="0"/>
                <w:sz w:val="18"/>
                <w:szCs w:val="18"/>
                <w:lang w:val="en-GB" w:eastAsia="zh-CN"/>
              </w:rPr>
              <w:t xml:space="preserve">Electrical </w:t>
            </w:r>
            <w:r w:rsidR="00430358" w:rsidRPr="00DC7563">
              <w:rPr>
                <w:rFonts w:ascii="Arial" w:eastAsia="SimSun" w:hAnsi="Arial" w:cs="Arial"/>
                <w:color w:val="000000"/>
                <w:kern w:val="0"/>
                <w:sz w:val="18"/>
                <w:szCs w:val="18"/>
                <w:lang w:val="en-GB" w:eastAsia="zh-CN"/>
              </w:rPr>
              <w:t>Ma</w:t>
            </w:r>
            <w:r w:rsidRPr="00DC7563">
              <w:rPr>
                <w:rFonts w:ascii="Arial" w:eastAsia="SimSun" w:hAnsi="Arial" w:cs="Arial"/>
                <w:color w:val="000000"/>
                <w:kern w:val="0"/>
                <w:sz w:val="18"/>
                <w:szCs w:val="18"/>
                <w:lang w:val="en-GB" w:eastAsia="zh-CN"/>
              </w:rPr>
              <w:t xml:space="preserve">chinery </w:t>
            </w:r>
            <w:r w:rsidR="00430358" w:rsidRPr="00DC7563">
              <w:rPr>
                <w:rFonts w:ascii="Arial" w:eastAsia="SimSun" w:hAnsi="Arial" w:cs="Arial"/>
                <w:color w:val="000000"/>
                <w:kern w:val="0"/>
                <w:sz w:val="18"/>
                <w:szCs w:val="18"/>
                <w:lang w:val="en-GB" w:eastAsia="zh-CN"/>
              </w:rPr>
              <w:t>and</w:t>
            </w:r>
            <w:r w:rsidRPr="00DC7563">
              <w:rPr>
                <w:rFonts w:ascii="Arial" w:eastAsia="SimSun" w:hAnsi="Arial" w:cs="Arial"/>
                <w:color w:val="000000"/>
                <w:kern w:val="0"/>
                <w:sz w:val="18"/>
                <w:szCs w:val="18"/>
                <w:lang w:val="en-GB" w:eastAsia="zh-CN"/>
              </w:rPr>
              <w:t xml:space="preserve"> Equipment </w:t>
            </w:r>
          </w:p>
        </w:tc>
        <w:tc>
          <w:tcPr>
            <w:tcW w:w="1984" w:type="dxa"/>
            <w:shd w:val="clear" w:color="auto" w:fill="auto"/>
            <w:noWrap/>
            <w:vAlign w:val="bottom"/>
            <w:hideMark/>
          </w:tcPr>
          <w:p w14:paraId="31C482EA" w14:textId="581B41E6" w:rsidR="00207AFB" w:rsidRPr="00DC7563" w:rsidRDefault="00207AFB" w:rsidP="00C16520">
            <w:pPr>
              <w:tabs>
                <w:tab w:val="decimal" w:pos="844"/>
              </w:tabs>
              <w:jc w:val="center"/>
              <w:rPr>
                <w:rFonts w:ascii="Arial" w:eastAsia="SimSun" w:hAnsi="Arial" w:cs="Arial"/>
                <w:color w:val="000000"/>
                <w:kern w:val="0"/>
                <w:sz w:val="18"/>
                <w:szCs w:val="18"/>
                <w:lang w:val="en-GB" w:eastAsia="zh-CN"/>
              </w:rPr>
            </w:pPr>
            <w:r w:rsidRPr="00DC7563">
              <w:rPr>
                <w:rFonts w:ascii="Arial" w:eastAsia="SimSun" w:hAnsi="Arial" w:cs="Arial"/>
                <w:color w:val="000000"/>
                <w:kern w:val="0"/>
                <w:sz w:val="18"/>
                <w:szCs w:val="18"/>
                <w:lang w:val="en-GB" w:eastAsia="zh-CN"/>
              </w:rPr>
              <w:t>368,283</w:t>
            </w:r>
          </w:p>
        </w:tc>
        <w:tc>
          <w:tcPr>
            <w:tcW w:w="1701" w:type="dxa"/>
            <w:shd w:val="clear" w:color="auto" w:fill="auto"/>
            <w:noWrap/>
            <w:vAlign w:val="bottom"/>
            <w:hideMark/>
          </w:tcPr>
          <w:p w14:paraId="5ADF1CC1" w14:textId="77777777" w:rsidR="00207AFB" w:rsidRPr="00DC7563" w:rsidRDefault="00207AFB" w:rsidP="00C16520">
            <w:pPr>
              <w:tabs>
                <w:tab w:val="decimal" w:pos="278"/>
              </w:tabs>
              <w:jc w:val="center"/>
              <w:rPr>
                <w:rFonts w:ascii="Arial" w:eastAsia="SimSun" w:hAnsi="Arial" w:cs="Arial"/>
                <w:color w:val="000000"/>
                <w:kern w:val="0"/>
                <w:sz w:val="18"/>
                <w:szCs w:val="18"/>
                <w:lang w:val="en-GB" w:eastAsia="zh-CN"/>
              </w:rPr>
            </w:pPr>
            <w:r w:rsidRPr="00DC7563">
              <w:rPr>
                <w:rFonts w:ascii="Arial" w:eastAsia="SimSun" w:hAnsi="Arial" w:cs="Arial"/>
                <w:color w:val="000000"/>
                <w:kern w:val="0"/>
                <w:sz w:val="18"/>
                <w:szCs w:val="18"/>
                <w:lang w:val="en-GB" w:eastAsia="zh-CN"/>
              </w:rPr>
              <w:t>12.6</w:t>
            </w:r>
          </w:p>
        </w:tc>
      </w:tr>
      <w:tr w:rsidR="00207AFB" w:rsidRPr="00DC7563" w14:paraId="765A3400" w14:textId="77777777" w:rsidTr="003954A5">
        <w:trPr>
          <w:trHeight w:val="60"/>
          <w:jc w:val="center"/>
        </w:trPr>
        <w:tc>
          <w:tcPr>
            <w:tcW w:w="4046" w:type="dxa"/>
            <w:shd w:val="clear" w:color="auto" w:fill="auto"/>
            <w:noWrap/>
            <w:vAlign w:val="bottom"/>
            <w:hideMark/>
          </w:tcPr>
          <w:p w14:paraId="226F0410" w14:textId="77777777" w:rsidR="00207AFB" w:rsidRPr="00DC7563" w:rsidRDefault="00207AFB" w:rsidP="00207AFB">
            <w:pPr>
              <w:rPr>
                <w:rFonts w:ascii="Arial" w:eastAsia="SimSun" w:hAnsi="Arial" w:cs="Arial"/>
                <w:color w:val="000000"/>
                <w:kern w:val="0"/>
                <w:sz w:val="18"/>
                <w:szCs w:val="18"/>
                <w:lang w:val="en-GB" w:eastAsia="zh-CN"/>
              </w:rPr>
            </w:pPr>
            <w:r w:rsidRPr="00DC7563">
              <w:rPr>
                <w:rFonts w:ascii="Arial" w:eastAsia="SimSun" w:hAnsi="Arial" w:cs="Arial"/>
                <w:color w:val="000000"/>
                <w:kern w:val="0"/>
                <w:sz w:val="18"/>
                <w:szCs w:val="18"/>
                <w:lang w:val="en-GB" w:eastAsia="zh-CN"/>
              </w:rPr>
              <w:t xml:space="preserve">General Machinery </w:t>
            </w:r>
          </w:p>
        </w:tc>
        <w:tc>
          <w:tcPr>
            <w:tcW w:w="1984" w:type="dxa"/>
            <w:shd w:val="clear" w:color="auto" w:fill="auto"/>
            <w:noWrap/>
            <w:vAlign w:val="bottom"/>
            <w:hideMark/>
          </w:tcPr>
          <w:p w14:paraId="17FBA5F1" w14:textId="28BBEE3F" w:rsidR="00207AFB" w:rsidRPr="00DC7563" w:rsidRDefault="00207AFB" w:rsidP="00C16520">
            <w:pPr>
              <w:tabs>
                <w:tab w:val="decimal" w:pos="844"/>
              </w:tabs>
              <w:jc w:val="center"/>
              <w:rPr>
                <w:rFonts w:ascii="Arial" w:eastAsia="SimSun" w:hAnsi="Arial" w:cs="Arial"/>
                <w:color w:val="000000"/>
                <w:kern w:val="0"/>
                <w:sz w:val="18"/>
                <w:szCs w:val="18"/>
                <w:lang w:val="en-GB" w:eastAsia="zh-CN"/>
              </w:rPr>
            </w:pPr>
            <w:r w:rsidRPr="00DC7563">
              <w:rPr>
                <w:rFonts w:ascii="Arial" w:eastAsia="SimSun" w:hAnsi="Arial" w:cs="Arial"/>
                <w:color w:val="000000"/>
                <w:kern w:val="0"/>
                <w:sz w:val="18"/>
                <w:szCs w:val="18"/>
                <w:lang w:val="en-GB" w:eastAsia="zh-CN"/>
              </w:rPr>
              <w:t>320,911</w:t>
            </w:r>
          </w:p>
        </w:tc>
        <w:tc>
          <w:tcPr>
            <w:tcW w:w="1701" w:type="dxa"/>
            <w:shd w:val="clear" w:color="auto" w:fill="auto"/>
            <w:noWrap/>
            <w:vAlign w:val="bottom"/>
            <w:hideMark/>
          </w:tcPr>
          <w:p w14:paraId="2C19D702" w14:textId="32F6968F" w:rsidR="00207AFB" w:rsidRPr="00DC7563" w:rsidRDefault="00207AFB" w:rsidP="00C16520">
            <w:pPr>
              <w:tabs>
                <w:tab w:val="decimal" w:pos="278"/>
              </w:tabs>
              <w:jc w:val="center"/>
              <w:rPr>
                <w:rFonts w:ascii="Arial" w:eastAsia="SimSun" w:hAnsi="Arial" w:cs="Arial"/>
                <w:color w:val="000000"/>
                <w:kern w:val="0"/>
                <w:sz w:val="18"/>
                <w:szCs w:val="18"/>
                <w:lang w:val="en-GB" w:eastAsia="zh-CN"/>
              </w:rPr>
            </w:pPr>
            <w:r w:rsidRPr="00DC7563">
              <w:rPr>
                <w:rFonts w:ascii="Arial" w:eastAsia="SimSun" w:hAnsi="Arial" w:cs="Arial"/>
                <w:color w:val="000000"/>
                <w:kern w:val="0"/>
                <w:sz w:val="18"/>
                <w:szCs w:val="18"/>
                <w:lang w:val="en-GB" w:eastAsia="zh-CN"/>
              </w:rPr>
              <w:t>11.0</w:t>
            </w:r>
          </w:p>
        </w:tc>
      </w:tr>
      <w:tr w:rsidR="00207AFB" w:rsidRPr="00DC7563" w14:paraId="6196310C" w14:textId="77777777" w:rsidTr="003954A5">
        <w:trPr>
          <w:trHeight w:val="60"/>
          <w:jc w:val="center"/>
        </w:trPr>
        <w:tc>
          <w:tcPr>
            <w:tcW w:w="4046" w:type="dxa"/>
            <w:shd w:val="clear" w:color="auto" w:fill="auto"/>
            <w:noWrap/>
            <w:vAlign w:val="bottom"/>
            <w:hideMark/>
          </w:tcPr>
          <w:p w14:paraId="7D89E0C1" w14:textId="77777777" w:rsidR="00207AFB" w:rsidRPr="00DC7563" w:rsidRDefault="00207AFB" w:rsidP="00207AFB">
            <w:pPr>
              <w:rPr>
                <w:rFonts w:ascii="Arial" w:eastAsia="SimSun" w:hAnsi="Arial" w:cs="Arial"/>
                <w:color w:val="000000"/>
                <w:kern w:val="0"/>
                <w:sz w:val="18"/>
                <w:szCs w:val="18"/>
                <w:lang w:val="en-GB" w:eastAsia="zh-CN"/>
              </w:rPr>
            </w:pPr>
            <w:r w:rsidRPr="00DC7563">
              <w:rPr>
                <w:rFonts w:ascii="Arial" w:eastAsia="SimSun" w:hAnsi="Arial" w:cs="Arial"/>
                <w:color w:val="000000"/>
                <w:kern w:val="0"/>
                <w:sz w:val="18"/>
                <w:szCs w:val="18"/>
                <w:lang w:val="en-GB" w:eastAsia="zh-CN"/>
              </w:rPr>
              <w:t xml:space="preserve">Chemicals </w:t>
            </w:r>
          </w:p>
        </w:tc>
        <w:tc>
          <w:tcPr>
            <w:tcW w:w="1984" w:type="dxa"/>
            <w:shd w:val="clear" w:color="auto" w:fill="auto"/>
            <w:noWrap/>
            <w:vAlign w:val="bottom"/>
            <w:hideMark/>
          </w:tcPr>
          <w:p w14:paraId="2D803696" w14:textId="4CAFAA9F" w:rsidR="00207AFB" w:rsidRPr="00DC7563" w:rsidRDefault="00207AFB" w:rsidP="00C16520">
            <w:pPr>
              <w:tabs>
                <w:tab w:val="decimal" w:pos="844"/>
              </w:tabs>
              <w:jc w:val="center"/>
              <w:rPr>
                <w:rFonts w:ascii="Arial" w:eastAsia="SimSun" w:hAnsi="Arial" w:cs="Arial"/>
                <w:color w:val="000000"/>
                <w:kern w:val="0"/>
                <w:sz w:val="18"/>
                <w:szCs w:val="18"/>
                <w:lang w:val="en-GB" w:eastAsia="zh-CN"/>
              </w:rPr>
            </w:pPr>
            <w:r w:rsidRPr="00DC7563">
              <w:rPr>
                <w:rFonts w:ascii="Arial" w:eastAsia="SimSun" w:hAnsi="Arial" w:cs="Arial"/>
                <w:color w:val="000000"/>
                <w:kern w:val="0"/>
                <w:sz w:val="18"/>
                <w:szCs w:val="18"/>
                <w:lang w:val="en-GB" w:eastAsia="zh-CN"/>
              </w:rPr>
              <w:t>274,092</w:t>
            </w:r>
          </w:p>
        </w:tc>
        <w:tc>
          <w:tcPr>
            <w:tcW w:w="1701" w:type="dxa"/>
            <w:shd w:val="clear" w:color="auto" w:fill="auto"/>
            <w:noWrap/>
            <w:vAlign w:val="bottom"/>
            <w:hideMark/>
          </w:tcPr>
          <w:p w14:paraId="2ABAF6AE" w14:textId="77777777" w:rsidR="00207AFB" w:rsidRPr="00DC7563" w:rsidRDefault="00207AFB" w:rsidP="00C16520">
            <w:pPr>
              <w:tabs>
                <w:tab w:val="decimal" w:pos="278"/>
              </w:tabs>
              <w:jc w:val="center"/>
              <w:rPr>
                <w:rFonts w:ascii="Arial" w:eastAsia="SimSun" w:hAnsi="Arial" w:cs="Arial"/>
                <w:color w:val="000000"/>
                <w:kern w:val="0"/>
                <w:sz w:val="18"/>
                <w:szCs w:val="18"/>
                <w:lang w:val="en-GB" w:eastAsia="zh-CN"/>
              </w:rPr>
            </w:pPr>
            <w:r w:rsidRPr="00DC7563">
              <w:rPr>
                <w:rFonts w:ascii="Arial" w:eastAsia="SimSun" w:hAnsi="Arial" w:cs="Arial"/>
                <w:color w:val="000000"/>
                <w:kern w:val="0"/>
                <w:sz w:val="18"/>
                <w:szCs w:val="18"/>
                <w:lang w:val="en-GB" w:eastAsia="zh-CN"/>
              </w:rPr>
              <w:t>9.4</w:t>
            </w:r>
          </w:p>
        </w:tc>
      </w:tr>
      <w:tr w:rsidR="00207AFB" w:rsidRPr="00DC7563" w14:paraId="6855E244" w14:textId="77777777" w:rsidTr="003954A5">
        <w:trPr>
          <w:trHeight w:val="60"/>
          <w:jc w:val="center"/>
        </w:trPr>
        <w:tc>
          <w:tcPr>
            <w:tcW w:w="4046" w:type="dxa"/>
            <w:shd w:val="clear" w:color="auto" w:fill="auto"/>
            <w:noWrap/>
            <w:vAlign w:val="bottom"/>
            <w:hideMark/>
          </w:tcPr>
          <w:p w14:paraId="59E49045" w14:textId="5EE6FC7C" w:rsidR="00207AFB" w:rsidRPr="00DC7563" w:rsidRDefault="00207AFB" w:rsidP="00430358">
            <w:pPr>
              <w:rPr>
                <w:rFonts w:ascii="Arial" w:eastAsia="SimSun" w:hAnsi="Arial" w:cs="Arial"/>
                <w:color w:val="000000"/>
                <w:kern w:val="0"/>
                <w:sz w:val="18"/>
                <w:szCs w:val="18"/>
                <w:lang w:val="en-GB" w:eastAsia="zh-CN"/>
              </w:rPr>
            </w:pPr>
            <w:r w:rsidRPr="00DC7563">
              <w:rPr>
                <w:rFonts w:ascii="Arial" w:eastAsia="SimSun" w:hAnsi="Arial" w:cs="Arial"/>
                <w:color w:val="000000"/>
                <w:kern w:val="0"/>
                <w:sz w:val="18"/>
                <w:szCs w:val="18"/>
                <w:lang w:val="en-GB" w:eastAsia="zh-CN"/>
              </w:rPr>
              <w:t xml:space="preserve">Iron </w:t>
            </w:r>
            <w:r w:rsidR="00430358" w:rsidRPr="00DC7563">
              <w:rPr>
                <w:rFonts w:ascii="Arial" w:eastAsia="SimSun" w:hAnsi="Arial" w:cs="Arial"/>
                <w:color w:val="000000"/>
                <w:kern w:val="0"/>
                <w:sz w:val="18"/>
                <w:szCs w:val="18"/>
                <w:lang w:val="en-GB" w:eastAsia="zh-CN"/>
              </w:rPr>
              <w:t>and</w:t>
            </w:r>
            <w:r w:rsidRPr="00DC7563">
              <w:rPr>
                <w:rFonts w:ascii="Arial" w:eastAsia="SimSun" w:hAnsi="Arial" w:cs="Arial"/>
                <w:color w:val="000000"/>
                <w:kern w:val="0"/>
                <w:sz w:val="18"/>
                <w:szCs w:val="18"/>
                <w:lang w:val="en-GB" w:eastAsia="zh-CN"/>
              </w:rPr>
              <w:t xml:space="preserve"> Steel </w:t>
            </w:r>
          </w:p>
        </w:tc>
        <w:tc>
          <w:tcPr>
            <w:tcW w:w="1984" w:type="dxa"/>
            <w:shd w:val="clear" w:color="auto" w:fill="auto"/>
            <w:noWrap/>
            <w:vAlign w:val="bottom"/>
            <w:hideMark/>
          </w:tcPr>
          <w:p w14:paraId="307F8B06" w14:textId="0A317766" w:rsidR="00207AFB" w:rsidRPr="00DC7563" w:rsidRDefault="00207AFB" w:rsidP="00C16520">
            <w:pPr>
              <w:tabs>
                <w:tab w:val="decimal" w:pos="844"/>
              </w:tabs>
              <w:jc w:val="center"/>
              <w:rPr>
                <w:rFonts w:ascii="Arial" w:eastAsia="SimSun" w:hAnsi="Arial" w:cs="Arial"/>
                <w:color w:val="000000"/>
                <w:kern w:val="0"/>
                <w:sz w:val="18"/>
                <w:szCs w:val="18"/>
                <w:lang w:val="en-GB" w:eastAsia="zh-CN"/>
              </w:rPr>
            </w:pPr>
            <w:r w:rsidRPr="00DC7563">
              <w:rPr>
                <w:rFonts w:ascii="Arial" w:eastAsia="SimSun" w:hAnsi="Arial" w:cs="Arial"/>
                <w:color w:val="000000"/>
                <w:kern w:val="0"/>
                <w:sz w:val="18"/>
                <w:szCs w:val="18"/>
                <w:lang w:val="en-GB" w:eastAsia="zh-CN"/>
              </w:rPr>
              <w:t>179,053</w:t>
            </w:r>
          </w:p>
        </w:tc>
        <w:tc>
          <w:tcPr>
            <w:tcW w:w="1701" w:type="dxa"/>
            <w:shd w:val="clear" w:color="auto" w:fill="auto"/>
            <w:noWrap/>
            <w:vAlign w:val="bottom"/>
            <w:hideMark/>
          </w:tcPr>
          <w:p w14:paraId="2805247F" w14:textId="77777777" w:rsidR="00207AFB" w:rsidRPr="00DC7563" w:rsidRDefault="00207AFB" w:rsidP="00C16520">
            <w:pPr>
              <w:tabs>
                <w:tab w:val="decimal" w:pos="278"/>
              </w:tabs>
              <w:jc w:val="center"/>
              <w:rPr>
                <w:rFonts w:ascii="Arial" w:eastAsia="SimSun" w:hAnsi="Arial" w:cs="Arial"/>
                <w:color w:val="000000"/>
                <w:kern w:val="0"/>
                <w:sz w:val="18"/>
                <w:szCs w:val="18"/>
                <w:lang w:val="en-GB" w:eastAsia="zh-CN"/>
              </w:rPr>
            </w:pPr>
            <w:r w:rsidRPr="00DC7563">
              <w:rPr>
                <w:rFonts w:ascii="Arial" w:eastAsia="SimSun" w:hAnsi="Arial" w:cs="Arial"/>
                <w:color w:val="000000"/>
                <w:kern w:val="0"/>
                <w:sz w:val="18"/>
                <w:szCs w:val="18"/>
                <w:lang w:val="en-GB" w:eastAsia="zh-CN"/>
              </w:rPr>
              <w:t>6.1</w:t>
            </w:r>
          </w:p>
        </w:tc>
      </w:tr>
      <w:tr w:rsidR="00207AFB" w:rsidRPr="00DC7563" w14:paraId="417C73C1" w14:textId="77777777" w:rsidTr="003954A5">
        <w:trPr>
          <w:trHeight w:val="60"/>
          <w:jc w:val="center"/>
        </w:trPr>
        <w:tc>
          <w:tcPr>
            <w:tcW w:w="4046" w:type="dxa"/>
            <w:shd w:val="clear" w:color="auto" w:fill="auto"/>
            <w:noWrap/>
            <w:vAlign w:val="bottom"/>
            <w:hideMark/>
          </w:tcPr>
          <w:p w14:paraId="41D64B81" w14:textId="77777777" w:rsidR="00207AFB" w:rsidRPr="00DC7563" w:rsidRDefault="00207AFB" w:rsidP="00207AFB">
            <w:pPr>
              <w:rPr>
                <w:rFonts w:ascii="Arial" w:eastAsia="SimSun" w:hAnsi="Arial" w:cs="Arial"/>
                <w:color w:val="000000"/>
                <w:kern w:val="0"/>
                <w:sz w:val="18"/>
                <w:szCs w:val="18"/>
                <w:lang w:val="en-GB" w:eastAsia="zh-CN"/>
              </w:rPr>
            </w:pPr>
            <w:r w:rsidRPr="00DC7563">
              <w:rPr>
                <w:rFonts w:ascii="Arial" w:eastAsia="SimSun" w:hAnsi="Arial" w:cs="Arial"/>
                <w:color w:val="000000"/>
                <w:kern w:val="0"/>
                <w:sz w:val="18"/>
                <w:szCs w:val="18"/>
                <w:lang w:val="en-GB" w:eastAsia="zh-CN"/>
              </w:rPr>
              <w:t xml:space="preserve">Metal Products </w:t>
            </w:r>
          </w:p>
        </w:tc>
        <w:tc>
          <w:tcPr>
            <w:tcW w:w="1984" w:type="dxa"/>
            <w:shd w:val="clear" w:color="auto" w:fill="auto"/>
            <w:noWrap/>
            <w:vAlign w:val="bottom"/>
            <w:hideMark/>
          </w:tcPr>
          <w:p w14:paraId="551B76EB" w14:textId="26BE2B2B" w:rsidR="00207AFB" w:rsidRPr="00DC7563" w:rsidRDefault="00207AFB" w:rsidP="00C16520">
            <w:pPr>
              <w:tabs>
                <w:tab w:val="decimal" w:pos="844"/>
              </w:tabs>
              <w:jc w:val="center"/>
              <w:rPr>
                <w:rFonts w:ascii="Arial" w:eastAsia="SimSun" w:hAnsi="Arial" w:cs="Arial"/>
                <w:color w:val="000000"/>
                <w:kern w:val="0"/>
                <w:sz w:val="18"/>
                <w:szCs w:val="18"/>
                <w:lang w:val="en-GB" w:eastAsia="zh-CN"/>
              </w:rPr>
            </w:pPr>
            <w:r w:rsidRPr="00DC7563">
              <w:rPr>
                <w:rFonts w:ascii="Arial" w:eastAsia="SimSun" w:hAnsi="Arial" w:cs="Arial"/>
                <w:color w:val="000000"/>
                <w:kern w:val="0"/>
                <w:sz w:val="18"/>
                <w:szCs w:val="18"/>
                <w:lang w:val="en-GB" w:eastAsia="zh-CN"/>
              </w:rPr>
              <w:t>130,606</w:t>
            </w:r>
          </w:p>
        </w:tc>
        <w:tc>
          <w:tcPr>
            <w:tcW w:w="1701" w:type="dxa"/>
            <w:shd w:val="clear" w:color="auto" w:fill="auto"/>
            <w:noWrap/>
            <w:vAlign w:val="bottom"/>
            <w:hideMark/>
          </w:tcPr>
          <w:p w14:paraId="19ADF428" w14:textId="77777777" w:rsidR="00207AFB" w:rsidRPr="00DC7563" w:rsidRDefault="00207AFB" w:rsidP="00C16520">
            <w:pPr>
              <w:tabs>
                <w:tab w:val="decimal" w:pos="278"/>
              </w:tabs>
              <w:jc w:val="center"/>
              <w:rPr>
                <w:rFonts w:ascii="Arial" w:eastAsia="SimSun" w:hAnsi="Arial" w:cs="Arial"/>
                <w:color w:val="000000"/>
                <w:kern w:val="0"/>
                <w:sz w:val="18"/>
                <w:szCs w:val="18"/>
                <w:lang w:val="en-GB" w:eastAsia="zh-CN"/>
              </w:rPr>
            </w:pPr>
            <w:r w:rsidRPr="00DC7563">
              <w:rPr>
                <w:rFonts w:ascii="Arial" w:eastAsia="SimSun" w:hAnsi="Arial" w:cs="Arial"/>
                <w:color w:val="000000"/>
                <w:kern w:val="0"/>
                <w:sz w:val="18"/>
                <w:szCs w:val="18"/>
                <w:lang w:val="en-GB" w:eastAsia="zh-CN"/>
              </w:rPr>
              <w:t>4.5</w:t>
            </w:r>
          </w:p>
        </w:tc>
      </w:tr>
      <w:tr w:rsidR="00207AFB" w:rsidRPr="00DC7563" w14:paraId="561F51D2" w14:textId="77777777" w:rsidTr="003954A5">
        <w:trPr>
          <w:trHeight w:val="60"/>
          <w:jc w:val="center"/>
        </w:trPr>
        <w:tc>
          <w:tcPr>
            <w:tcW w:w="4046" w:type="dxa"/>
            <w:shd w:val="clear" w:color="auto" w:fill="auto"/>
            <w:noWrap/>
            <w:vAlign w:val="bottom"/>
            <w:hideMark/>
          </w:tcPr>
          <w:p w14:paraId="5E71890E" w14:textId="77777777" w:rsidR="00207AFB" w:rsidRPr="00DC7563" w:rsidRDefault="00207AFB" w:rsidP="00207AFB">
            <w:pPr>
              <w:rPr>
                <w:rFonts w:ascii="Arial" w:eastAsia="SimSun" w:hAnsi="Arial" w:cs="Arial"/>
                <w:color w:val="000000"/>
                <w:kern w:val="0"/>
                <w:sz w:val="18"/>
                <w:szCs w:val="18"/>
                <w:lang w:val="en-GB" w:eastAsia="zh-CN"/>
              </w:rPr>
            </w:pPr>
            <w:r w:rsidRPr="00DC7563">
              <w:rPr>
                <w:rFonts w:ascii="Arial" w:eastAsia="SimSun" w:hAnsi="Arial" w:cs="Arial"/>
                <w:color w:val="000000"/>
                <w:kern w:val="0"/>
                <w:sz w:val="18"/>
                <w:szCs w:val="18"/>
                <w:lang w:val="en-GB" w:eastAsia="zh-CN"/>
              </w:rPr>
              <w:t xml:space="preserve">Non-Ferrous Metals </w:t>
            </w:r>
          </w:p>
        </w:tc>
        <w:tc>
          <w:tcPr>
            <w:tcW w:w="1984" w:type="dxa"/>
            <w:shd w:val="clear" w:color="auto" w:fill="auto"/>
            <w:noWrap/>
            <w:vAlign w:val="bottom"/>
            <w:hideMark/>
          </w:tcPr>
          <w:p w14:paraId="44A3C50A" w14:textId="688AE36A" w:rsidR="00207AFB" w:rsidRPr="00DC7563" w:rsidRDefault="00207AFB" w:rsidP="00C16520">
            <w:pPr>
              <w:tabs>
                <w:tab w:val="decimal" w:pos="844"/>
              </w:tabs>
              <w:jc w:val="center"/>
              <w:rPr>
                <w:rFonts w:ascii="Arial" w:eastAsia="SimSun" w:hAnsi="Arial" w:cs="Arial"/>
                <w:color w:val="000000"/>
                <w:kern w:val="0"/>
                <w:sz w:val="18"/>
                <w:szCs w:val="18"/>
                <w:lang w:val="en-GB" w:eastAsia="zh-CN"/>
              </w:rPr>
            </w:pPr>
            <w:r w:rsidRPr="00DC7563">
              <w:rPr>
                <w:rFonts w:ascii="Arial" w:eastAsia="SimSun" w:hAnsi="Arial" w:cs="Arial"/>
                <w:color w:val="000000"/>
                <w:kern w:val="0"/>
                <w:sz w:val="18"/>
                <w:szCs w:val="18"/>
                <w:lang w:val="en-GB" w:eastAsia="zh-CN"/>
              </w:rPr>
              <w:t>88,059</w:t>
            </w:r>
          </w:p>
        </w:tc>
        <w:tc>
          <w:tcPr>
            <w:tcW w:w="1701" w:type="dxa"/>
            <w:shd w:val="clear" w:color="auto" w:fill="auto"/>
            <w:noWrap/>
            <w:vAlign w:val="bottom"/>
            <w:hideMark/>
          </w:tcPr>
          <w:p w14:paraId="59CADA23" w14:textId="0AA33A0C" w:rsidR="00207AFB" w:rsidRPr="00DC7563" w:rsidRDefault="00207AFB" w:rsidP="00C16520">
            <w:pPr>
              <w:tabs>
                <w:tab w:val="decimal" w:pos="278"/>
              </w:tabs>
              <w:jc w:val="center"/>
              <w:rPr>
                <w:rFonts w:ascii="Arial" w:eastAsia="SimSun" w:hAnsi="Arial" w:cs="Arial"/>
                <w:color w:val="000000"/>
                <w:kern w:val="0"/>
                <w:sz w:val="18"/>
                <w:szCs w:val="18"/>
                <w:lang w:val="en-GB" w:eastAsia="zh-CN"/>
              </w:rPr>
            </w:pPr>
            <w:r w:rsidRPr="00DC7563">
              <w:rPr>
                <w:rFonts w:ascii="Arial" w:eastAsia="SimSun" w:hAnsi="Arial" w:cs="Arial"/>
                <w:color w:val="000000"/>
                <w:kern w:val="0"/>
                <w:sz w:val="18"/>
                <w:szCs w:val="18"/>
                <w:lang w:val="en-GB" w:eastAsia="zh-CN"/>
              </w:rPr>
              <w:t>3.0</w:t>
            </w:r>
          </w:p>
        </w:tc>
      </w:tr>
      <w:tr w:rsidR="00207AFB" w:rsidRPr="00DC7563" w14:paraId="7290E96B" w14:textId="77777777" w:rsidTr="003954A5">
        <w:trPr>
          <w:trHeight w:val="60"/>
          <w:jc w:val="center"/>
        </w:trPr>
        <w:tc>
          <w:tcPr>
            <w:tcW w:w="4046" w:type="dxa"/>
            <w:shd w:val="clear" w:color="auto" w:fill="auto"/>
            <w:noWrap/>
            <w:vAlign w:val="bottom"/>
            <w:hideMark/>
          </w:tcPr>
          <w:p w14:paraId="0A92CEB7" w14:textId="5E7114CF" w:rsidR="00207AFB" w:rsidRPr="00DC7563" w:rsidRDefault="00207AFB" w:rsidP="00430358">
            <w:pPr>
              <w:rPr>
                <w:rFonts w:ascii="Arial" w:eastAsia="SimSun" w:hAnsi="Arial" w:cs="Arial"/>
                <w:color w:val="000000"/>
                <w:kern w:val="0"/>
                <w:sz w:val="18"/>
                <w:szCs w:val="18"/>
                <w:lang w:val="en-GB" w:eastAsia="zh-CN"/>
              </w:rPr>
            </w:pPr>
            <w:r w:rsidRPr="00DC7563">
              <w:rPr>
                <w:rFonts w:ascii="Arial" w:eastAsia="SimSun" w:hAnsi="Arial" w:cs="Arial"/>
                <w:color w:val="000000"/>
                <w:kern w:val="0"/>
                <w:sz w:val="18"/>
                <w:szCs w:val="18"/>
                <w:lang w:val="en-GB" w:eastAsia="zh-CN"/>
              </w:rPr>
              <w:t>Other</w:t>
            </w:r>
          </w:p>
        </w:tc>
        <w:tc>
          <w:tcPr>
            <w:tcW w:w="1984" w:type="dxa"/>
            <w:shd w:val="clear" w:color="auto" w:fill="auto"/>
            <w:noWrap/>
            <w:vAlign w:val="bottom"/>
            <w:hideMark/>
          </w:tcPr>
          <w:p w14:paraId="3D110BC3" w14:textId="33434EB2" w:rsidR="00207AFB" w:rsidRPr="00DC7563" w:rsidRDefault="00207AFB" w:rsidP="00C16520">
            <w:pPr>
              <w:tabs>
                <w:tab w:val="decimal" w:pos="844"/>
              </w:tabs>
              <w:jc w:val="center"/>
              <w:rPr>
                <w:rFonts w:ascii="Arial" w:eastAsia="SimSun" w:hAnsi="Arial" w:cs="Arial"/>
                <w:color w:val="000000"/>
                <w:kern w:val="0"/>
                <w:sz w:val="18"/>
                <w:szCs w:val="18"/>
                <w:lang w:val="en-GB" w:eastAsia="zh-CN"/>
              </w:rPr>
            </w:pPr>
            <w:r w:rsidRPr="00DC7563">
              <w:rPr>
                <w:rFonts w:ascii="Arial" w:eastAsia="SimSun" w:hAnsi="Arial" w:cs="Arial"/>
                <w:color w:val="000000"/>
                <w:kern w:val="0"/>
                <w:sz w:val="18"/>
                <w:szCs w:val="18"/>
                <w:lang w:val="en-GB" w:eastAsia="zh-CN"/>
              </w:rPr>
              <w:t>977,885</w:t>
            </w:r>
          </w:p>
        </w:tc>
        <w:tc>
          <w:tcPr>
            <w:tcW w:w="1701" w:type="dxa"/>
            <w:shd w:val="clear" w:color="auto" w:fill="auto"/>
            <w:noWrap/>
            <w:vAlign w:val="bottom"/>
            <w:hideMark/>
          </w:tcPr>
          <w:p w14:paraId="51FD040B" w14:textId="77777777" w:rsidR="00207AFB" w:rsidRPr="00DC7563" w:rsidRDefault="00207AFB" w:rsidP="00C16520">
            <w:pPr>
              <w:tabs>
                <w:tab w:val="decimal" w:pos="278"/>
              </w:tabs>
              <w:jc w:val="center"/>
              <w:rPr>
                <w:rFonts w:ascii="Arial" w:eastAsia="SimSun" w:hAnsi="Arial" w:cs="Arial"/>
                <w:color w:val="000000"/>
                <w:kern w:val="0"/>
                <w:sz w:val="18"/>
                <w:szCs w:val="18"/>
                <w:lang w:val="en-GB" w:eastAsia="zh-CN"/>
              </w:rPr>
            </w:pPr>
            <w:r w:rsidRPr="00DC7563">
              <w:rPr>
                <w:rFonts w:ascii="Arial" w:eastAsia="SimSun" w:hAnsi="Arial" w:cs="Arial"/>
                <w:color w:val="000000"/>
                <w:kern w:val="0"/>
                <w:sz w:val="18"/>
                <w:szCs w:val="18"/>
                <w:lang w:val="en-GB" w:eastAsia="zh-CN"/>
              </w:rPr>
              <w:t>33.5</w:t>
            </w:r>
          </w:p>
        </w:tc>
      </w:tr>
      <w:tr w:rsidR="00207AFB" w:rsidRPr="00DC7563" w14:paraId="4577F402" w14:textId="77777777" w:rsidTr="003954A5">
        <w:trPr>
          <w:trHeight w:val="60"/>
          <w:jc w:val="center"/>
        </w:trPr>
        <w:tc>
          <w:tcPr>
            <w:tcW w:w="4046" w:type="dxa"/>
            <w:shd w:val="clear" w:color="auto" w:fill="auto"/>
            <w:noWrap/>
            <w:vAlign w:val="bottom"/>
            <w:hideMark/>
          </w:tcPr>
          <w:p w14:paraId="3C579C64" w14:textId="77777777" w:rsidR="00207AFB" w:rsidRPr="00DC7563" w:rsidRDefault="00207AFB" w:rsidP="00207AFB">
            <w:pPr>
              <w:rPr>
                <w:rFonts w:ascii="Arial" w:eastAsia="SimSun" w:hAnsi="Arial" w:cs="Arial"/>
                <w:b/>
                <w:color w:val="000000"/>
                <w:kern w:val="0"/>
                <w:sz w:val="18"/>
                <w:szCs w:val="18"/>
                <w:lang w:val="en-GB" w:eastAsia="zh-CN"/>
              </w:rPr>
            </w:pPr>
            <w:r w:rsidRPr="00DC7563">
              <w:rPr>
                <w:rFonts w:ascii="Arial" w:eastAsia="SimSun" w:hAnsi="Arial" w:cs="Arial"/>
                <w:b/>
                <w:color w:val="000000"/>
                <w:kern w:val="0"/>
                <w:sz w:val="18"/>
                <w:szCs w:val="18"/>
                <w:lang w:val="en-GB" w:eastAsia="zh-CN"/>
              </w:rPr>
              <w:t>Total</w:t>
            </w:r>
          </w:p>
        </w:tc>
        <w:tc>
          <w:tcPr>
            <w:tcW w:w="1984" w:type="dxa"/>
            <w:shd w:val="clear" w:color="auto" w:fill="auto"/>
            <w:noWrap/>
            <w:vAlign w:val="bottom"/>
            <w:hideMark/>
          </w:tcPr>
          <w:p w14:paraId="08177F2C" w14:textId="794C8CD7" w:rsidR="00207AFB" w:rsidRPr="00DC7563" w:rsidRDefault="00207AFB" w:rsidP="00C16520">
            <w:pPr>
              <w:tabs>
                <w:tab w:val="decimal" w:pos="844"/>
              </w:tabs>
              <w:jc w:val="center"/>
              <w:rPr>
                <w:rFonts w:ascii="Arial" w:eastAsia="SimSun" w:hAnsi="Arial" w:cs="Arial"/>
                <w:b/>
                <w:color w:val="000000"/>
                <w:kern w:val="0"/>
                <w:sz w:val="18"/>
                <w:szCs w:val="18"/>
                <w:lang w:val="en-GB" w:eastAsia="zh-CN"/>
              </w:rPr>
            </w:pPr>
            <w:r w:rsidRPr="00DC7563">
              <w:rPr>
                <w:rFonts w:ascii="Arial" w:eastAsia="SimSun" w:hAnsi="Arial" w:cs="Arial"/>
                <w:b/>
                <w:color w:val="000000"/>
                <w:kern w:val="0"/>
                <w:sz w:val="18"/>
                <w:szCs w:val="18"/>
                <w:lang w:val="en-GB" w:eastAsia="zh-CN"/>
              </w:rPr>
              <w:t>2,920,921</w:t>
            </w:r>
          </w:p>
        </w:tc>
        <w:tc>
          <w:tcPr>
            <w:tcW w:w="1701" w:type="dxa"/>
            <w:shd w:val="clear" w:color="auto" w:fill="auto"/>
            <w:noWrap/>
            <w:vAlign w:val="bottom"/>
            <w:hideMark/>
          </w:tcPr>
          <w:p w14:paraId="08768278" w14:textId="25D8D655" w:rsidR="00207AFB" w:rsidRPr="00DC7563" w:rsidRDefault="00207AFB" w:rsidP="00C16520">
            <w:pPr>
              <w:tabs>
                <w:tab w:val="decimal" w:pos="278"/>
              </w:tabs>
              <w:jc w:val="center"/>
              <w:rPr>
                <w:rFonts w:ascii="Arial" w:eastAsia="SimSun" w:hAnsi="Arial" w:cs="Arial"/>
                <w:b/>
                <w:color w:val="000000"/>
                <w:kern w:val="0"/>
                <w:sz w:val="18"/>
                <w:szCs w:val="18"/>
                <w:lang w:val="en-GB" w:eastAsia="zh-CN"/>
              </w:rPr>
            </w:pPr>
            <w:r w:rsidRPr="00DC7563">
              <w:rPr>
                <w:rFonts w:ascii="Arial" w:eastAsia="SimSun" w:hAnsi="Arial" w:cs="Arial"/>
                <w:b/>
                <w:color w:val="000000"/>
                <w:kern w:val="0"/>
                <w:sz w:val="18"/>
                <w:szCs w:val="18"/>
                <w:lang w:val="en-GB" w:eastAsia="zh-CN"/>
              </w:rPr>
              <w:t>100.0</w:t>
            </w:r>
          </w:p>
        </w:tc>
      </w:tr>
    </w:tbl>
    <w:p w14:paraId="261902A7" w14:textId="09FC234F" w:rsidR="00207AFB" w:rsidRPr="00DC7563" w:rsidRDefault="00207AFB" w:rsidP="00666715">
      <w:pPr>
        <w:pStyle w:val="NoSpacing"/>
        <w:jc w:val="center"/>
        <w:rPr>
          <w:noProof/>
          <w:lang w:val="en-GB" w:eastAsia="zh-CN"/>
        </w:rPr>
      </w:pPr>
    </w:p>
    <w:tbl>
      <w:tblPr>
        <w:tblStyle w:val="TableGrid"/>
        <w:tblW w:w="7386" w:type="dxa"/>
        <w:jc w:val="center"/>
        <w:tblLayout w:type="fixed"/>
        <w:tblLook w:val="04A0" w:firstRow="1" w:lastRow="0" w:firstColumn="1" w:lastColumn="0" w:noHBand="0" w:noVBand="1"/>
      </w:tblPr>
      <w:tblGrid>
        <w:gridCol w:w="3701"/>
        <w:gridCol w:w="1959"/>
        <w:gridCol w:w="1726"/>
      </w:tblGrid>
      <w:tr w:rsidR="00207AFB" w:rsidRPr="00DC7563" w14:paraId="218BFEF5" w14:textId="77777777" w:rsidTr="003954A5">
        <w:trPr>
          <w:trHeight w:val="300"/>
          <w:jc w:val="center"/>
        </w:trPr>
        <w:tc>
          <w:tcPr>
            <w:tcW w:w="3701" w:type="dxa"/>
            <w:noWrap/>
            <w:hideMark/>
          </w:tcPr>
          <w:p w14:paraId="4B41D307" w14:textId="18911BB8" w:rsidR="00207AFB" w:rsidRPr="00DC7563" w:rsidRDefault="00207AFB" w:rsidP="00207AFB">
            <w:pPr>
              <w:rPr>
                <w:rFonts w:ascii="Arial" w:eastAsia="SimSun" w:hAnsi="Arial" w:cs="Arial"/>
                <w:b/>
                <w:color w:val="000000"/>
                <w:kern w:val="0"/>
                <w:sz w:val="18"/>
                <w:szCs w:val="18"/>
                <w:lang w:val="en-GB"/>
              </w:rPr>
            </w:pPr>
            <w:r w:rsidRPr="00DC7563">
              <w:rPr>
                <w:rFonts w:ascii="Arial" w:eastAsia="SimSun" w:hAnsi="Arial" w:cs="Arial"/>
                <w:b/>
                <w:color w:val="000000"/>
                <w:kern w:val="0"/>
                <w:sz w:val="18"/>
                <w:szCs w:val="18"/>
                <w:lang w:val="en-GB"/>
              </w:rPr>
              <w:t xml:space="preserve">Breakdown of Transportation Equipment </w:t>
            </w:r>
          </w:p>
        </w:tc>
        <w:tc>
          <w:tcPr>
            <w:tcW w:w="1959" w:type="dxa"/>
            <w:noWrap/>
            <w:hideMark/>
          </w:tcPr>
          <w:p w14:paraId="37498511" w14:textId="14B700FE" w:rsidR="00207AFB" w:rsidRPr="00DC7563" w:rsidRDefault="00207AFB" w:rsidP="00207AFB">
            <w:pPr>
              <w:jc w:val="center"/>
              <w:rPr>
                <w:rFonts w:ascii="Arial" w:eastAsia="SimSun" w:hAnsi="Arial" w:cs="Arial"/>
                <w:b/>
                <w:color w:val="000000"/>
                <w:kern w:val="0"/>
                <w:sz w:val="18"/>
                <w:szCs w:val="18"/>
                <w:lang w:val="en-GB"/>
              </w:rPr>
            </w:pPr>
            <w:r w:rsidRPr="00DC7563">
              <w:rPr>
                <w:rFonts w:ascii="Arial" w:eastAsia="SimSun" w:hAnsi="Arial" w:cs="Arial"/>
                <w:b/>
                <w:color w:val="000000"/>
                <w:kern w:val="0"/>
                <w:sz w:val="18"/>
                <w:szCs w:val="18"/>
                <w:lang w:val="en-GB"/>
              </w:rPr>
              <w:t>Shipment Value (¥100 Million)</w:t>
            </w:r>
          </w:p>
        </w:tc>
        <w:tc>
          <w:tcPr>
            <w:tcW w:w="1726" w:type="dxa"/>
            <w:noWrap/>
            <w:hideMark/>
          </w:tcPr>
          <w:p w14:paraId="1A82A8A2" w14:textId="77777777" w:rsidR="00207AFB" w:rsidRPr="00DC7563" w:rsidRDefault="00207AFB" w:rsidP="00207AFB">
            <w:pPr>
              <w:jc w:val="center"/>
              <w:rPr>
                <w:rFonts w:ascii="Arial" w:eastAsia="SimSun" w:hAnsi="Arial" w:cs="Arial"/>
                <w:b/>
                <w:color w:val="000000"/>
                <w:kern w:val="0"/>
                <w:sz w:val="18"/>
                <w:szCs w:val="18"/>
                <w:lang w:val="en-GB"/>
              </w:rPr>
            </w:pPr>
            <w:r w:rsidRPr="00DC7563">
              <w:rPr>
                <w:rFonts w:ascii="Arial" w:eastAsia="SimSun" w:hAnsi="Arial" w:cs="Arial"/>
                <w:b/>
                <w:color w:val="000000"/>
                <w:kern w:val="0"/>
                <w:sz w:val="18"/>
                <w:szCs w:val="18"/>
                <w:lang w:val="en-GB"/>
              </w:rPr>
              <w:t>Percentage</w:t>
            </w:r>
          </w:p>
        </w:tc>
      </w:tr>
      <w:tr w:rsidR="00207AFB" w:rsidRPr="00DC7563" w14:paraId="02CC25AD" w14:textId="77777777" w:rsidTr="003954A5">
        <w:trPr>
          <w:trHeight w:val="60"/>
          <w:jc w:val="center"/>
        </w:trPr>
        <w:tc>
          <w:tcPr>
            <w:tcW w:w="3701" w:type="dxa"/>
            <w:noWrap/>
            <w:hideMark/>
          </w:tcPr>
          <w:p w14:paraId="12C0C803" w14:textId="340A3226" w:rsidR="00207AFB" w:rsidRPr="00DC7563" w:rsidRDefault="00207AFB" w:rsidP="003954A5">
            <w:pPr>
              <w:rPr>
                <w:rFonts w:ascii="Arial" w:eastAsia="SimSun" w:hAnsi="Arial" w:cs="Arial"/>
                <w:color w:val="000000"/>
                <w:kern w:val="0"/>
                <w:sz w:val="18"/>
                <w:szCs w:val="18"/>
                <w:lang w:val="en-GB"/>
              </w:rPr>
            </w:pPr>
            <w:r w:rsidRPr="00DC7563">
              <w:rPr>
                <w:rFonts w:ascii="Arial" w:eastAsia="SimSun" w:hAnsi="Arial" w:cs="Arial"/>
                <w:color w:val="000000"/>
                <w:kern w:val="0"/>
                <w:sz w:val="18"/>
                <w:szCs w:val="18"/>
                <w:lang w:val="en-GB"/>
              </w:rPr>
              <w:t>Automobiles (</w:t>
            </w:r>
            <w:r w:rsidR="003954A5" w:rsidRPr="00DC7563">
              <w:rPr>
                <w:rFonts w:ascii="Arial" w:eastAsia="SimSun" w:hAnsi="Arial" w:cs="Arial"/>
                <w:color w:val="000000"/>
                <w:kern w:val="0"/>
                <w:sz w:val="18"/>
                <w:szCs w:val="18"/>
                <w:lang w:val="en-GB"/>
              </w:rPr>
              <w:t>I</w:t>
            </w:r>
            <w:r w:rsidRPr="00DC7563">
              <w:rPr>
                <w:rFonts w:ascii="Arial" w:eastAsia="SimSun" w:hAnsi="Arial" w:cs="Arial"/>
                <w:color w:val="000000"/>
                <w:kern w:val="0"/>
                <w:sz w:val="18"/>
                <w:szCs w:val="18"/>
                <w:lang w:val="en-GB"/>
              </w:rPr>
              <w:t xml:space="preserve">ncluding </w:t>
            </w:r>
            <w:r w:rsidR="003954A5" w:rsidRPr="00DC7563">
              <w:rPr>
                <w:rFonts w:ascii="Arial" w:eastAsia="SimSun" w:hAnsi="Arial" w:cs="Arial"/>
                <w:color w:val="000000"/>
                <w:kern w:val="0"/>
                <w:sz w:val="18"/>
                <w:szCs w:val="18"/>
                <w:lang w:val="en-GB"/>
              </w:rPr>
              <w:t>M</w:t>
            </w:r>
            <w:r w:rsidRPr="00DC7563">
              <w:rPr>
                <w:rFonts w:ascii="Arial" w:eastAsia="SimSun" w:hAnsi="Arial" w:cs="Arial"/>
                <w:color w:val="000000"/>
                <w:kern w:val="0"/>
                <w:sz w:val="18"/>
                <w:szCs w:val="18"/>
                <w:lang w:val="en-GB"/>
              </w:rPr>
              <w:t>otorcycles)</w:t>
            </w:r>
          </w:p>
        </w:tc>
        <w:tc>
          <w:tcPr>
            <w:tcW w:w="1959" w:type="dxa"/>
            <w:noWrap/>
            <w:hideMark/>
          </w:tcPr>
          <w:p w14:paraId="08C5C7C0" w14:textId="11E12402" w:rsidR="00207AFB" w:rsidRPr="00DC7563" w:rsidRDefault="00207AFB" w:rsidP="00C16520">
            <w:pPr>
              <w:tabs>
                <w:tab w:val="decimal" w:pos="733"/>
              </w:tabs>
              <w:jc w:val="center"/>
              <w:rPr>
                <w:rFonts w:ascii="Arial" w:eastAsia="SimSun" w:hAnsi="Arial" w:cs="Arial"/>
                <w:color w:val="000000"/>
                <w:kern w:val="0"/>
                <w:sz w:val="18"/>
                <w:szCs w:val="18"/>
                <w:lang w:val="en-GB"/>
              </w:rPr>
            </w:pPr>
            <w:r w:rsidRPr="00DC7563">
              <w:rPr>
                <w:rFonts w:ascii="Arial" w:eastAsia="SimSun" w:hAnsi="Arial" w:cs="Arial"/>
                <w:color w:val="000000"/>
                <w:kern w:val="0"/>
                <w:sz w:val="18"/>
                <w:szCs w:val="18"/>
                <w:lang w:val="en-GB"/>
              </w:rPr>
              <w:t>203,394</w:t>
            </w:r>
          </w:p>
        </w:tc>
        <w:tc>
          <w:tcPr>
            <w:tcW w:w="1726" w:type="dxa"/>
            <w:noWrap/>
            <w:hideMark/>
          </w:tcPr>
          <w:p w14:paraId="268CCE1E" w14:textId="629C6D30" w:rsidR="00207AFB" w:rsidRPr="00DC7563" w:rsidRDefault="00207AFB" w:rsidP="00C16520">
            <w:pPr>
              <w:tabs>
                <w:tab w:val="decimal" w:pos="475"/>
              </w:tabs>
              <w:jc w:val="center"/>
              <w:rPr>
                <w:rFonts w:ascii="Arial" w:eastAsia="SimSun" w:hAnsi="Arial" w:cs="Arial"/>
                <w:color w:val="000000"/>
                <w:kern w:val="0"/>
                <w:sz w:val="18"/>
                <w:szCs w:val="18"/>
                <w:lang w:val="en-GB"/>
              </w:rPr>
            </w:pPr>
            <w:r w:rsidRPr="00DC7563">
              <w:rPr>
                <w:rFonts w:ascii="Arial" w:eastAsia="SimSun" w:hAnsi="Arial" w:cs="Arial"/>
                <w:color w:val="000000"/>
                <w:kern w:val="0"/>
                <w:sz w:val="18"/>
                <w:szCs w:val="18"/>
                <w:lang w:val="en-GB"/>
              </w:rPr>
              <w:t>34.9</w:t>
            </w:r>
          </w:p>
        </w:tc>
      </w:tr>
      <w:tr w:rsidR="00207AFB" w:rsidRPr="00DC7563" w14:paraId="5F640E84" w14:textId="77777777" w:rsidTr="003954A5">
        <w:trPr>
          <w:trHeight w:val="60"/>
          <w:jc w:val="center"/>
        </w:trPr>
        <w:tc>
          <w:tcPr>
            <w:tcW w:w="3701" w:type="dxa"/>
            <w:noWrap/>
            <w:hideMark/>
          </w:tcPr>
          <w:p w14:paraId="6CCE09FA" w14:textId="4F983D84" w:rsidR="00207AFB" w:rsidRPr="00DC7563" w:rsidRDefault="00207AFB" w:rsidP="003954A5">
            <w:pPr>
              <w:rPr>
                <w:rFonts w:ascii="Arial" w:eastAsia="SimSun" w:hAnsi="Arial" w:cs="Arial"/>
                <w:color w:val="000000"/>
                <w:kern w:val="0"/>
                <w:sz w:val="18"/>
                <w:szCs w:val="18"/>
                <w:lang w:val="en-GB"/>
              </w:rPr>
            </w:pPr>
            <w:r w:rsidRPr="00DC7563">
              <w:rPr>
                <w:rFonts w:ascii="Arial" w:eastAsia="SimSun" w:hAnsi="Arial" w:cs="Arial"/>
                <w:color w:val="000000"/>
                <w:kern w:val="0"/>
                <w:sz w:val="18"/>
                <w:szCs w:val="18"/>
                <w:lang w:val="en-GB"/>
              </w:rPr>
              <w:t xml:space="preserve">Auto </w:t>
            </w:r>
            <w:r w:rsidR="003954A5" w:rsidRPr="00DC7563">
              <w:rPr>
                <w:rFonts w:ascii="Arial" w:eastAsia="SimSun" w:hAnsi="Arial" w:cs="Arial"/>
                <w:color w:val="000000"/>
                <w:kern w:val="0"/>
                <w:sz w:val="18"/>
                <w:szCs w:val="18"/>
                <w:lang w:val="en-GB"/>
              </w:rPr>
              <w:t>B</w:t>
            </w:r>
            <w:r w:rsidRPr="00DC7563">
              <w:rPr>
                <w:rFonts w:ascii="Arial" w:eastAsia="SimSun" w:hAnsi="Arial" w:cs="Arial"/>
                <w:color w:val="000000"/>
                <w:kern w:val="0"/>
                <w:sz w:val="18"/>
                <w:szCs w:val="18"/>
                <w:lang w:val="en-GB"/>
              </w:rPr>
              <w:t xml:space="preserve">odies and </w:t>
            </w:r>
            <w:r w:rsidR="003954A5" w:rsidRPr="00DC7563">
              <w:rPr>
                <w:rFonts w:ascii="Arial" w:eastAsia="SimSun" w:hAnsi="Arial" w:cs="Arial"/>
                <w:color w:val="000000"/>
                <w:kern w:val="0"/>
                <w:sz w:val="18"/>
                <w:szCs w:val="18"/>
                <w:lang w:val="en-GB"/>
              </w:rPr>
              <w:t>T</w:t>
            </w:r>
            <w:r w:rsidRPr="00DC7563">
              <w:rPr>
                <w:rFonts w:ascii="Arial" w:eastAsia="SimSun" w:hAnsi="Arial" w:cs="Arial"/>
                <w:color w:val="000000"/>
                <w:kern w:val="0"/>
                <w:sz w:val="18"/>
                <w:szCs w:val="18"/>
                <w:lang w:val="en-GB"/>
              </w:rPr>
              <w:t>railers</w:t>
            </w:r>
          </w:p>
        </w:tc>
        <w:tc>
          <w:tcPr>
            <w:tcW w:w="1959" w:type="dxa"/>
            <w:noWrap/>
            <w:hideMark/>
          </w:tcPr>
          <w:p w14:paraId="3761BB80" w14:textId="052F231E" w:rsidR="00207AFB" w:rsidRPr="00DC7563" w:rsidRDefault="00207AFB" w:rsidP="00C16520">
            <w:pPr>
              <w:tabs>
                <w:tab w:val="decimal" w:pos="733"/>
              </w:tabs>
              <w:jc w:val="center"/>
              <w:rPr>
                <w:rFonts w:ascii="Arial" w:eastAsia="SimSun" w:hAnsi="Arial" w:cs="Arial"/>
                <w:color w:val="000000"/>
                <w:kern w:val="0"/>
                <w:sz w:val="18"/>
                <w:szCs w:val="18"/>
                <w:lang w:val="en-GB"/>
              </w:rPr>
            </w:pPr>
            <w:r w:rsidRPr="00DC7563">
              <w:rPr>
                <w:rFonts w:ascii="Arial" w:eastAsia="SimSun" w:hAnsi="Arial" w:cs="Arial"/>
                <w:color w:val="000000"/>
                <w:kern w:val="0"/>
                <w:sz w:val="18"/>
                <w:szCs w:val="18"/>
                <w:lang w:val="en-GB"/>
              </w:rPr>
              <w:t>5,271</w:t>
            </w:r>
          </w:p>
        </w:tc>
        <w:tc>
          <w:tcPr>
            <w:tcW w:w="1726" w:type="dxa"/>
            <w:noWrap/>
            <w:hideMark/>
          </w:tcPr>
          <w:p w14:paraId="3B62FBD6" w14:textId="2615B4B0" w:rsidR="00207AFB" w:rsidRPr="00DC7563" w:rsidRDefault="00207AFB" w:rsidP="00C16520">
            <w:pPr>
              <w:tabs>
                <w:tab w:val="decimal" w:pos="475"/>
              </w:tabs>
              <w:jc w:val="center"/>
              <w:rPr>
                <w:rFonts w:ascii="Arial" w:eastAsia="SimSun" w:hAnsi="Arial" w:cs="Arial"/>
                <w:color w:val="000000"/>
                <w:kern w:val="0"/>
                <w:sz w:val="18"/>
                <w:szCs w:val="18"/>
                <w:lang w:val="en-GB"/>
              </w:rPr>
            </w:pPr>
            <w:r w:rsidRPr="00DC7563">
              <w:rPr>
                <w:rFonts w:ascii="Arial" w:eastAsia="SimSun" w:hAnsi="Arial" w:cs="Arial"/>
                <w:color w:val="000000"/>
                <w:kern w:val="0"/>
                <w:sz w:val="18"/>
                <w:szCs w:val="18"/>
                <w:lang w:val="en-GB"/>
              </w:rPr>
              <w:t>1.0</w:t>
            </w:r>
          </w:p>
        </w:tc>
      </w:tr>
      <w:tr w:rsidR="00207AFB" w:rsidRPr="00DC7563" w14:paraId="31B882EF" w14:textId="77777777" w:rsidTr="003954A5">
        <w:trPr>
          <w:trHeight w:val="60"/>
          <w:jc w:val="center"/>
        </w:trPr>
        <w:tc>
          <w:tcPr>
            <w:tcW w:w="3701" w:type="dxa"/>
            <w:noWrap/>
            <w:hideMark/>
          </w:tcPr>
          <w:p w14:paraId="1C8DCCA0" w14:textId="60A11D16" w:rsidR="00207AFB" w:rsidRPr="00DC7563" w:rsidRDefault="00207AFB" w:rsidP="003954A5">
            <w:pPr>
              <w:rPr>
                <w:rFonts w:ascii="Arial" w:eastAsia="SimSun" w:hAnsi="Arial" w:cs="Arial"/>
                <w:color w:val="000000"/>
                <w:kern w:val="0"/>
                <w:sz w:val="18"/>
                <w:szCs w:val="18"/>
                <w:lang w:val="en-GB"/>
              </w:rPr>
            </w:pPr>
            <w:r w:rsidRPr="00DC7563">
              <w:rPr>
                <w:rFonts w:ascii="Arial" w:eastAsia="SimSun" w:hAnsi="Arial" w:cs="Arial"/>
                <w:color w:val="000000"/>
                <w:kern w:val="0"/>
                <w:sz w:val="18"/>
                <w:szCs w:val="18"/>
                <w:lang w:val="en-GB"/>
              </w:rPr>
              <w:t xml:space="preserve">Automotive </w:t>
            </w:r>
            <w:r w:rsidR="003954A5" w:rsidRPr="00DC7563">
              <w:rPr>
                <w:rFonts w:ascii="Arial" w:eastAsia="SimSun" w:hAnsi="Arial" w:cs="Arial"/>
                <w:color w:val="000000"/>
                <w:kern w:val="0"/>
                <w:sz w:val="18"/>
                <w:szCs w:val="18"/>
                <w:lang w:val="en-GB"/>
              </w:rPr>
              <w:t>P</w:t>
            </w:r>
            <w:r w:rsidRPr="00DC7563">
              <w:rPr>
                <w:rFonts w:ascii="Arial" w:eastAsia="SimSun" w:hAnsi="Arial" w:cs="Arial"/>
                <w:color w:val="000000"/>
                <w:kern w:val="0"/>
                <w:sz w:val="18"/>
                <w:szCs w:val="18"/>
                <w:lang w:val="en-GB"/>
              </w:rPr>
              <w:t xml:space="preserve">arts and </w:t>
            </w:r>
            <w:r w:rsidR="003954A5" w:rsidRPr="00DC7563">
              <w:rPr>
                <w:rFonts w:ascii="Arial" w:eastAsia="SimSun" w:hAnsi="Arial" w:cs="Arial"/>
                <w:color w:val="000000"/>
                <w:kern w:val="0"/>
                <w:sz w:val="18"/>
                <w:szCs w:val="18"/>
                <w:lang w:val="en-GB"/>
              </w:rPr>
              <w:t>A</w:t>
            </w:r>
            <w:r w:rsidRPr="00DC7563">
              <w:rPr>
                <w:rFonts w:ascii="Arial" w:eastAsia="SimSun" w:hAnsi="Arial" w:cs="Arial"/>
                <w:color w:val="000000"/>
                <w:kern w:val="0"/>
                <w:sz w:val="18"/>
                <w:szCs w:val="18"/>
                <w:lang w:val="en-GB"/>
              </w:rPr>
              <w:t>ccessories</w:t>
            </w:r>
          </w:p>
        </w:tc>
        <w:tc>
          <w:tcPr>
            <w:tcW w:w="1959" w:type="dxa"/>
            <w:noWrap/>
            <w:hideMark/>
          </w:tcPr>
          <w:p w14:paraId="06EFD478" w14:textId="7C62E6D3" w:rsidR="00207AFB" w:rsidRPr="00DC7563" w:rsidRDefault="00207AFB" w:rsidP="00C16520">
            <w:pPr>
              <w:tabs>
                <w:tab w:val="decimal" w:pos="733"/>
              </w:tabs>
              <w:jc w:val="center"/>
              <w:rPr>
                <w:rFonts w:ascii="Arial" w:eastAsia="SimSun" w:hAnsi="Arial" w:cs="Arial"/>
                <w:color w:val="000000"/>
                <w:kern w:val="0"/>
                <w:sz w:val="18"/>
                <w:szCs w:val="18"/>
                <w:lang w:val="en-GB"/>
              </w:rPr>
            </w:pPr>
            <w:r w:rsidRPr="00DC7563">
              <w:rPr>
                <w:rFonts w:ascii="Arial" w:eastAsia="SimSun" w:hAnsi="Arial" w:cs="Arial"/>
                <w:color w:val="000000"/>
                <w:kern w:val="0"/>
                <w:sz w:val="18"/>
                <w:szCs w:val="18"/>
                <w:lang w:val="en-GB"/>
              </w:rPr>
              <w:t>311,045</w:t>
            </w:r>
          </w:p>
        </w:tc>
        <w:tc>
          <w:tcPr>
            <w:tcW w:w="1726" w:type="dxa"/>
            <w:noWrap/>
            <w:hideMark/>
          </w:tcPr>
          <w:p w14:paraId="39B6B7DE" w14:textId="29C18D25" w:rsidR="00207AFB" w:rsidRPr="00DC7563" w:rsidRDefault="00207AFB" w:rsidP="00C16520">
            <w:pPr>
              <w:tabs>
                <w:tab w:val="decimal" w:pos="475"/>
              </w:tabs>
              <w:jc w:val="center"/>
              <w:rPr>
                <w:rFonts w:ascii="Arial" w:eastAsia="SimSun" w:hAnsi="Arial" w:cs="Arial"/>
                <w:color w:val="000000"/>
                <w:kern w:val="0"/>
                <w:sz w:val="18"/>
                <w:szCs w:val="18"/>
                <w:lang w:val="en-GB"/>
              </w:rPr>
            </w:pPr>
            <w:r w:rsidRPr="00DC7563">
              <w:rPr>
                <w:rFonts w:ascii="Arial" w:eastAsia="SimSun" w:hAnsi="Arial" w:cs="Arial"/>
                <w:color w:val="000000"/>
                <w:kern w:val="0"/>
                <w:sz w:val="18"/>
                <w:szCs w:val="18"/>
                <w:lang w:val="en-GB"/>
              </w:rPr>
              <w:t>53.4</w:t>
            </w:r>
          </w:p>
        </w:tc>
      </w:tr>
      <w:tr w:rsidR="00207AFB" w:rsidRPr="00DC7563" w14:paraId="58CDAEC1" w14:textId="77777777" w:rsidTr="003954A5">
        <w:trPr>
          <w:trHeight w:val="60"/>
          <w:jc w:val="center"/>
        </w:trPr>
        <w:tc>
          <w:tcPr>
            <w:tcW w:w="3701" w:type="dxa"/>
            <w:noWrap/>
            <w:hideMark/>
          </w:tcPr>
          <w:p w14:paraId="0E83E903" w14:textId="77777777" w:rsidR="00207AFB" w:rsidRPr="00DC7563" w:rsidRDefault="00207AFB" w:rsidP="00207AFB">
            <w:pPr>
              <w:rPr>
                <w:rFonts w:ascii="Arial" w:eastAsia="SimSun" w:hAnsi="Arial" w:cs="Arial"/>
                <w:color w:val="000000"/>
                <w:kern w:val="0"/>
                <w:sz w:val="18"/>
                <w:szCs w:val="18"/>
                <w:lang w:val="en-GB"/>
              </w:rPr>
            </w:pPr>
            <w:r w:rsidRPr="00DC7563">
              <w:rPr>
                <w:rFonts w:ascii="Arial" w:eastAsia="SimSun" w:hAnsi="Arial" w:cs="Arial"/>
                <w:color w:val="000000"/>
                <w:kern w:val="0"/>
                <w:sz w:val="18"/>
                <w:szCs w:val="18"/>
                <w:lang w:val="en-GB"/>
              </w:rPr>
              <w:t>Other Transportation Equipment</w:t>
            </w:r>
          </w:p>
        </w:tc>
        <w:tc>
          <w:tcPr>
            <w:tcW w:w="1959" w:type="dxa"/>
            <w:noWrap/>
            <w:hideMark/>
          </w:tcPr>
          <w:p w14:paraId="758ED7ED" w14:textId="793E1DF1" w:rsidR="00207AFB" w:rsidRPr="00DC7563" w:rsidRDefault="00207AFB" w:rsidP="00C16520">
            <w:pPr>
              <w:tabs>
                <w:tab w:val="decimal" w:pos="733"/>
              </w:tabs>
              <w:jc w:val="center"/>
              <w:rPr>
                <w:rFonts w:ascii="Arial" w:eastAsia="SimSun" w:hAnsi="Arial" w:cs="Arial"/>
                <w:color w:val="000000"/>
                <w:kern w:val="0"/>
                <w:sz w:val="18"/>
                <w:szCs w:val="18"/>
                <w:lang w:val="en-GB"/>
              </w:rPr>
            </w:pPr>
            <w:r w:rsidRPr="00DC7563">
              <w:rPr>
                <w:rFonts w:ascii="Arial" w:eastAsia="SimSun" w:hAnsi="Arial" w:cs="Arial"/>
                <w:color w:val="000000"/>
                <w:kern w:val="0"/>
                <w:sz w:val="18"/>
                <w:szCs w:val="18"/>
                <w:lang w:val="en-GB"/>
              </w:rPr>
              <w:t>62,322</w:t>
            </w:r>
          </w:p>
        </w:tc>
        <w:tc>
          <w:tcPr>
            <w:tcW w:w="1726" w:type="dxa"/>
            <w:noWrap/>
            <w:hideMark/>
          </w:tcPr>
          <w:p w14:paraId="03FE9603" w14:textId="09BE8565" w:rsidR="00207AFB" w:rsidRPr="00DC7563" w:rsidRDefault="00207AFB" w:rsidP="00C16520">
            <w:pPr>
              <w:tabs>
                <w:tab w:val="decimal" w:pos="475"/>
              </w:tabs>
              <w:jc w:val="center"/>
              <w:rPr>
                <w:rFonts w:ascii="Arial" w:eastAsia="SimSun" w:hAnsi="Arial" w:cs="Arial"/>
                <w:color w:val="000000"/>
                <w:kern w:val="0"/>
                <w:sz w:val="18"/>
                <w:szCs w:val="18"/>
                <w:lang w:val="en-GB"/>
              </w:rPr>
            </w:pPr>
            <w:r w:rsidRPr="00DC7563">
              <w:rPr>
                <w:rFonts w:ascii="Arial" w:eastAsia="SimSun" w:hAnsi="Arial" w:cs="Arial"/>
                <w:color w:val="000000"/>
                <w:kern w:val="0"/>
                <w:sz w:val="18"/>
                <w:szCs w:val="18"/>
                <w:lang w:val="en-GB"/>
              </w:rPr>
              <w:t>10.7</w:t>
            </w:r>
          </w:p>
        </w:tc>
      </w:tr>
      <w:tr w:rsidR="00207AFB" w:rsidRPr="00DC7563" w14:paraId="55806A42" w14:textId="77777777" w:rsidTr="003954A5">
        <w:trPr>
          <w:trHeight w:val="60"/>
          <w:jc w:val="center"/>
        </w:trPr>
        <w:tc>
          <w:tcPr>
            <w:tcW w:w="3701" w:type="dxa"/>
            <w:noWrap/>
            <w:hideMark/>
          </w:tcPr>
          <w:p w14:paraId="65B60EC2" w14:textId="77777777" w:rsidR="00207AFB" w:rsidRPr="00DC7563" w:rsidRDefault="00207AFB" w:rsidP="00207AFB">
            <w:pPr>
              <w:rPr>
                <w:rFonts w:ascii="Arial" w:eastAsia="SimSun" w:hAnsi="Arial" w:cs="Arial"/>
                <w:b/>
                <w:color w:val="000000"/>
                <w:kern w:val="0"/>
                <w:sz w:val="18"/>
                <w:szCs w:val="18"/>
                <w:lang w:val="en-GB"/>
              </w:rPr>
            </w:pPr>
            <w:r w:rsidRPr="00DC7563">
              <w:rPr>
                <w:rFonts w:ascii="Arial" w:eastAsia="SimSun" w:hAnsi="Arial" w:cs="Arial"/>
                <w:b/>
                <w:color w:val="000000"/>
                <w:kern w:val="0"/>
                <w:sz w:val="18"/>
                <w:szCs w:val="18"/>
                <w:lang w:val="en-GB"/>
              </w:rPr>
              <w:t>Total</w:t>
            </w:r>
          </w:p>
        </w:tc>
        <w:tc>
          <w:tcPr>
            <w:tcW w:w="1959" w:type="dxa"/>
            <w:noWrap/>
            <w:hideMark/>
          </w:tcPr>
          <w:p w14:paraId="146110DB" w14:textId="5F0F98F7" w:rsidR="00207AFB" w:rsidRPr="00DC7563" w:rsidRDefault="00207AFB" w:rsidP="00C16520">
            <w:pPr>
              <w:tabs>
                <w:tab w:val="decimal" w:pos="733"/>
              </w:tabs>
              <w:jc w:val="center"/>
              <w:rPr>
                <w:rFonts w:ascii="Arial" w:eastAsia="SimSun" w:hAnsi="Arial" w:cs="Arial"/>
                <w:b/>
                <w:color w:val="000000"/>
                <w:kern w:val="0"/>
                <w:sz w:val="18"/>
                <w:szCs w:val="18"/>
                <w:lang w:val="en-GB"/>
              </w:rPr>
            </w:pPr>
            <w:r w:rsidRPr="00DC7563">
              <w:rPr>
                <w:rFonts w:ascii="Arial" w:eastAsia="SimSun" w:hAnsi="Arial" w:cs="Arial"/>
                <w:b/>
                <w:color w:val="000000"/>
                <w:kern w:val="0"/>
                <w:sz w:val="18"/>
                <w:szCs w:val="18"/>
                <w:lang w:val="en-GB"/>
              </w:rPr>
              <w:t>582,032</w:t>
            </w:r>
          </w:p>
        </w:tc>
        <w:tc>
          <w:tcPr>
            <w:tcW w:w="1726" w:type="dxa"/>
            <w:noWrap/>
            <w:hideMark/>
          </w:tcPr>
          <w:p w14:paraId="6AD05602" w14:textId="4BADD50F" w:rsidR="00207AFB" w:rsidRPr="00DC7563" w:rsidRDefault="00207AFB" w:rsidP="00C16520">
            <w:pPr>
              <w:tabs>
                <w:tab w:val="decimal" w:pos="475"/>
              </w:tabs>
              <w:jc w:val="center"/>
              <w:rPr>
                <w:rFonts w:ascii="Arial" w:eastAsia="SimSun" w:hAnsi="Arial" w:cs="Arial"/>
                <w:b/>
                <w:color w:val="000000"/>
                <w:kern w:val="0"/>
                <w:sz w:val="18"/>
                <w:szCs w:val="18"/>
                <w:lang w:val="en-GB"/>
              </w:rPr>
            </w:pPr>
            <w:r w:rsidRPr="00DC7563">
              <w:rPr>
                <w:rFonts w:ascii="Arial" w:eastAsia="SimSun" w:hAnsi="Arial" w:cs="Arial"/>
                <w:b/>
                <w:color w:val="000000"/>
                <w:kern w:val="0"/>
                <w:sz w:val="18"/>
                <w:szCs w:val="18"/>
                <w:lang w:val="en-GB"/>
              </w:rPr>
              <w:t>100.0</w:t>
            </w:r>
          </w:p>
        </w:tc>
      </w:tr>
    </w:tbl>
    <w:p w14:paraId="527B5249" w14:textId="77777777" w:rsidR="00666715" w:rsidRPr="00DC7563" w:rsidRDefault="00666715" w:rsidP="003954A5">
      <w:pPr>
        <w:pStyle w:val="BodyTextMain"/>
        <w:rPr>
          <w:rFonts w:eastAsia="Malgun Gothic"/>
          <w:lang w:val="en-GB" w:eastAsia="ko-KR"/>
        </w:rPr>
      </w:pPr>
    </w:p>
    <w:p w14:paraId="60108D77" w14:textId="71AB8DDF" w:rsidR="00666715" w:rsidRPr="00DC7563" w:rsidRDefault="00666715" w:rsidP="003954A5">
      <w:pPr>
        <w:pStyle w:val="NoSpacing"/>
        <w:jc w:val="both"/>
        <w:rPr>
          <w:rStyle w:val="HTMLCite"/>
          <w:rFonts w:ascii="Arial" w:hAnsi="Arial" w:cs="Times New Roman"/>
          <w:i w:val="0"/>
          <w:sz w:val="17"/>
          <w:szCs w:val="17"/>
          <w:lang w:val="en-GB"/>
        </w:rPr>
      </w:pPr>
      <w:r w:rsidRPr="00DC7563">
        <w:rPr>
          <w:rFonts w:ascii="Arial" w:eastAsia="Malgun Gothic" w:hAnsi="Arial" w:cs="Times New Roman"/>
          <w:color w:val="222222"/>
          <w:sz w:val="17"/>
          <w:szCs w:val="17"/>
          <w:lang w:val="en-GB" w:eastAsia="ko-KR"/>
        </w:rPr>
        <w:t xml:space="preserve">Source: </w:t>
      </w:r>
      <w:r w:rsidRPr="00DC7563">
        <w:rPr>
          <w:rFonts w:ascii="Arial" w:eastAsia="Malgun Gothic" w:hAnsi="Arial"/>
          <w:color w:val="222222"/>
          <w:sz w:val="17"/>
          <w:szCs w:val="17"/>
          <w:lang w:val="en-GB" w:eastAsia="ko-KR"/>
        </w:rPr>
        <w:t xml:space="preserve">Adapted from </w:t>
      </w:r>
      <w:r w:rsidR="00EA102A" w:rsidRPr="00DC7563">
        <w:rPr>
          <w:rFonts w:ascii="Arial" w:eastAsia="Malgun Gothic" w:hAnsi="Arial" w:cs="Arial"/>
          <w:sz w:val="17"/>
          <w:szCs w:val="17"/>
          <w:lang w:val="en-GB" w:eastAsia="ko-KR"/>
        </w:rPr>
        <w:t xml:space="preserve">Japan Automobile Manufacturers Association, Inc., </w:t>
      </w:r>
      <w:r w:rsidR="00EA102A" w:rsidRPr="00DC7563">
        <w:rPr>
          <w:rFonts w:ascii="Arial" w:eastAsia="Malgun Gothic" w:hAnsi="Arial"/>
          <w:i/>
          <w:color w:val="222222"/>
          <w:sz w:val="17"/>
          <w:szCs w:val="17"/>
          <w:lang w:val="en-GB" w:eastAsia="ko-KR"/>
        </w:rPr>
        <w:t>The Motor Industry of Japan 2015</w:t>
      </w:r>
      <w:r w:rsidR="00EA102A" w:rsidRPr="00DC7563">
        <w:rPr>
          <w:rFonts w:ascii="Arial" w:eastAsia="Malgun Gothic" w:hAnsi="Arial"/>
          <w:color w:val="222222"/>
          <w:sz w:val="17"/>
          <w:szCs w:val="17"/>
          <w:lang w:val="en-GB" w:eastAsia="ko-KR"/>
        </w:rPr>
        <w:t xml:space="preserve">, May 2015, accessed June 11, 2017, </w:t>
      </w:r>
      <w:r w:rsidR="00EA102A" w:rsidRPr="00DC7563">
        <w:rPr>
          <w:rFonts w:ascii="Arial" w:hAnsi="Arial"/>
          <w:sz w:val="17"/>
          <w:szCs w:val="17"/>
          <w:lang w:val="en-GB"/>
        </w:rPr>
        <w:t>www.jama-english.jp/publications/MIJ</w:t>
      </w:r>
      <w:r w:rsidR="00EA102A" w:rsidRPr="00DC7563">
        <w:rPr>
          <w:rFonts w:ascii="Arial" w:hAnsi="Arial"/>
          <w:bCs/>
          <w:sz w:val="17"/>
          <w:szCs w:val="17"/>
          <w:lang w:val="en-GB"/>
        </w:rPr>
        <w:t>2015</w:t>
      </w:r>
      <w:r w:rsidR="00EA102A" w:rsidRPr="00DC7563">
        <w:rPr>
          <w:rFonts w:ascii="Arial" w:hAnsi="Arial"/>
          <w:sz w:val="17"/>
          <w:szCs w:val="17"/>
          <w:lang w:val="en-GB"/>
        </w:rPr>
        <w:t>.pdf</w:t>
      </w:r>
      <w:r w:rsidR="00EA102A" w:rsidRPr="00DC7563">
        <w:rPr>
          <w:rStyle w:val="HTMLCite"/>
          <w:rFonts w:ascii="Arial" w:hAnsi="Arial"/>
          <w:i w:val="0"/>
          <w:sz w:val="17"/>
          <w:szCs w:val="17"/>
          <w:lang w:val="en-GB"/>
        </w:rPr>
        <w:t>.</w:t>
      </w:r>
    </w:p>
    <w:p w14:paraId="760FEAFD" w14:textId="77777777" w:rsidR="008947D0" w:rsidRPr="00DC7563" w:rsidRDefault="008947D0" w:rsidP="00666715">
      <w:pPr>
        <w:pStyle w:val="NoSpacing"/>
        <w:rPr>
          <w:rFonts w:ascii="Arial" w:eastAsia="Malgun Gothic" w:hAnsi="Arial" w:cs="Times New Roman"/>
          <w:i/>
          <w:color w:val="222222"/>
          <w:sz w:val="17"/>
          <w:szCs w:val="17"/>
          <w:lang w:val="en-GB" w:eastAsia="ko-KR"/>
        </w:rPr>
      </w:pPr>
    </w:p>
    <w:p w14:paraId="5FA8D154" w14:textId="77777777" w:rsidR="000A18F0" w:rsidRPr="00DC7563" w:rsidRDefault="000A18F0" w:rsidP="00666715">
      <w:pPr>
        <w:pStyle w:val="NoSpacing"/>
        <w:rPr>
          <w:rFonts w:ascii="Arial" w:eastAsia="Malgun Gothic" w:hAnsi="Arial" w:cs="Times New Roman"/>
          <w:i/>
          <w:color w:val="222222"/>
          <w:sz w:val="17"/>
          <w:szCs w:val="17"/>
          <w:lang w:val="en-GB" w:eastAsia="ko-KR"/>
        </w:rPr>
      </w:pPr>
    </w:p>
    <w:p w14:paraId="12CF2ED2" w14:textId="77777777" w:rsidR="00666715" w:rsidRPr="00DC7563" w:rsidRDefault="004E0D8C" w:rsidP="00C73E67">
      <w:pPr>
        <w:pStyle w:val="NoSpacing"/>
        <w:jc w:val="center"/>
        <w:outlineLvl w:val="0"/>
        <w:rPr>
          <w:rFonts w:ascii="Arial" w:hAnsi="Arial" w:cs="Times New Roman"/>
          <w:b/>
          <w:sz w:val="20"/>
          <w:szCs w:val="20"/>
          <w:lang w:val="en-GB" w:eastAsia="ko-KR"/>
        </w:rPr>
      </w:pPr>
      <w:r w:rsidRPr="00DC7563">
        <w:rPr>
          <w:rFonts w:ascii="Arial" w:hAnsi="Arial" w:cs="Times New Roman"/>
          <w:b/>
          <w:sz w:val="20"/>
          <w:szCs w:val="20"/>
          <w:lang w:val="en-GB" w:eastAsia="ko-KR"/>
        </w:rPr>
        <w:t>EXHIBIT 7: AUTOMOTIVE COMPANY SALES</w:t>
      </w:r>
      <w:r w:rsidR="00666715" w:rsidRPr="00DC7563">
        <w:rPr>
          <w:rFonts w:ascii="Arial" w:hAnsi="Arial" w:cs="Times New Roman"/>
          <w:b/>
          <w:sz w:val="20"/>
          <w:szCs w:val="20"/>
          <w:lang w:val="en-GB" w:eastAsia="ko-KR"/>
        </w:rPr>
        <w:t xml:space="preserve"> IN JAPAN</w:t>
      </w:r>
    </w:p>
    <w:p w14:paraId="3143EBBB" w14:textId="77777777" w:rsidR="00666715" w:rsidRPr="00DC7563" w:rsidRDefault="00666715" w:rsidP="00666715">
      <w:pPr>
        <w:pStyle w:val="NoSpacing"/>
        <w:jc w:val="center"/>
        <w:rPr>
          <w:lang w:val="en-GB" w:eastAsia="ko-KR"/>
        </w:rPr>
      </w:pPr>
    </w:p>
    <w:tbl>
      <w:tblPr>
        <w:tblW w:w="7063" w:type="dxa"/>
        <w:jc w:val="center"/>
        <w:tblLook w:val="04A0" w:firstRow="1" w:lastRow="0" w:firstColumn="1" w:lastColumn="0" w:noHBand="0" w:noVBand="1"/>
      </w:tblPr>
      <w:tblGrid>
        <w:gridCol w:w="1790"/>
        <w:gridCol w:w="1979"/>
        <w:gridCol w:w="2063"/>
        <w:gridCol w:w="1231"/>
      </w:tblGrid>
      <w:tr w:rsidR="00666715" w:rsidRPr="00DC7563" w14:paraId="2758AA04" w14:textId="77777777" w:rsidTr="000A18F0">
        <w:trPr>
          <w:trHeight w:val="278"/>
          <w:jc w:val="center"/>
        </w:trPr>
        <w:tc>
          <w:tcPr>
            <w:tcW w:w="1790" w:type="dxa"/>
            <w:tcBorders>
              <w:top w:val="single" w:sz="4" w:space="0" w:color="auto"/>
              <w:left w:val="single" w:sz="4" w:space="0" w:color="auto"/>
              <w:bottom w:val="single" w:sz="4" w:space="0" w:color="auto"/>
              <w:right w:val="single" w:sz="4" w:space="0" w:color="auto"/>
            </w:tcBorders>
            <w:vAlign w:val="center"/>
            <w:hideMark/>
          </w:tcPr>
          <w:p w14:paraId="15B73CAD" w14:textId="77777777" w:rsidR="00666715" w:rsidRPr="00DC7563" w:rsidRDefault="00666715">
            <w:pPr>
              <w:spacing w:line="276" w:lineRule="auto"/>
              <w:jc w:val="center"/>
              <w:rPr>
                <w:rFonts w:ascii="Arial" w:hAnsi="Arial" w:cs="Arial"/>
                <w:b/>
                <w:bCs/>
                <w:color w:val="000000"/>
                <w:sz w:val="18"/>
                <w:szCs w:val="18"/>
                <w:lang w:val="en-GB"/>
              </w:rPr>
            </w:pPr>
            <w:r w:rsidRPr="00DC7563">
              <w:rPr>
                <w:rFonts w:ascii="Arial" w:hAnsi="Arial" w:cs="Arial"/>
                <w:b/>
                <w:bCs/>
                <w:color w:val="000000"/>
                <w:sz w:val="18"/>
                <w:szCs w:val="18"/>
                <w:lang w:val="en-GB"/>
              </w:rPr>
              <w:t>Manufacturer</w:t>
            </w:r>
          </w:p>
        </w:tc>
        <w:tc>
          <w:tcPr>
            <w:tcW w:w="1979" w:type="dxa"/>
            <w:tcBorders>
              <w:top w:val="single" w:sz="4" w:space="0" w:color="auto"/>
              <w:left w:val="nil"/>
              <w:bottom w:val="single" w:sz="4" w:space="0" w:color="auto"/>
              <w:right w:val="single" w:sz="4" w:space="0" w:color="auto"/>
            </w:tcBorders>
            <w:vAlign w:val="center"/>
            <w:hideMark/>
          </w:tcPr>
          <w:p w14:paraId="319F8739" w14:textId="72B1B4C3" w:rsidR="00666715" w:rsidRPr="00DC7563" w:rsidRDefault="00666715">
            <w:pPr>
              <w:spacing w:line="276" w:lineRule="auto"/>
              <w:jc w:val="center"/>
              <w:rPr>
                <w:rFonts w:ascii="Arial" w:hAnsi="Arial" w:cs="Arial"/>
                <w:b/>
                <w:bCs/>
                <w:color w:val="000000"/>
                <w:sz w:val="18"/>
                <w:szCs w:val="18"/>
                <w:lang w:val="en-GB"/>
              </w:rPr>
            </w:pPr>
            <w:r w:rsidRPr="00DC7563">
              <w:rPr>
                <w:rFonts w:ascii="Arial" w:hAnsi="Arial" w:cs="Arial"/>
                <w:b/>
                <w:bCs/>
                <w:color w:val="000000"/>
                <w:sz w:val="18"/>
                <w:szCs w:val="18"/>
                <w:lang w:val="en-GB"/>
              </w:rPr>
              <w:t>Vehicles Sold</w:t>
            </w:r>
            <w:r w:rsidR="005B18A3" w:rsidRPr="00DC7563">
              <w:rPr>
                <w:rFonts w:ascii="Arial" w:hAnsi="Arial" w:cs="Arial"/>
                <w:b/>
                <w:bCs/>
                <w:color w:val="000000"/>
                <w:sz w:val="18"/>
                <w:szCs w:val="18"/>
                <w:lang w:val="en-GB"/>
              </w:rPr>
              <w:t>,</w:t>
            </w:r>
            <w:r w:rsidRPr="00DC7563">
              <w:rPr>
                <w:rFonts w:ascii="Arial" w:hAnsi="Arial" w:cs="Arial"/>
                <w:b/>
                <w:bCs/>
                <w:color w:val="000000"/>
                <w:sz w:val="18"/>
                <w:szCs w:val="18"/>
                <w:lang w:val="en-GB"/>
              </w:rPr>
              <w:t xml:space="preserve"> 2014</w:t>
            </w:r>
          </w:p>
        </w:tc>
        <w:tc>
          <w:tcPr>
            <w:tcW w:w="2063" w:type="dxa"/>
            <w:tcBorders>
              <w:top w:val="single" w:sz="4" w:space="0" w:color="auto"/>
              <w:left w:val="nil"/>
              <w:bottom w:val="single" w:sz="4" w:space="0" w:color="auto"/>
              <w:right w:val="single" w:sz="4" w:space="0" w:color="auto"/>
            </w:tcBorders>
            <w:vAlign w:val="center"/>
            <w:hideMark/>
          </w:tcPr>
          <w:p w14:paraId="50136F65" w14:textId="26708A50" w:rsidR="00666715" w:rsidRPr="00DC7563" w:rsidRDefault="00666715">
            <w:pPr>
              <w:spacing w:line="276" w:lineRule="auto"/>
              <w:jc w:val="center"/>
              <w:rPr>
                <w:rFonts w:ascii="Arial" w:hAnsi="Arial" w:cs="Arial"/>
                <w:b/>
                <w:bCs/>
                <w:color w:val="000000"/>
                <w:sz w:val="18"/>
                <w:szCs w:val="18"/>
                <w:lang w:val="en-GB"/>
              </w:rPr>
            </w:pPr>
            <w:r w:rsidRPr="00DC7563">
              <w:rPr>
                <w:rFonts w:ascii="Arial" w:hAnsi="Arial" w:cs="Arial"/>
                <w:b/>
                <w:bCs/>
                <w:color w:val="000000"/>
                <w:sz w:val="18"/>
                <w:szCs w:val="18"/>
                <w:lang w:val="en-GB"/>
              </w:rPr>
              <w:t>Vehicles Sold</w:t>
            </w:r>
            <w:r w:rsidR="005B18A3" w:rsidRPr="00DC7563">
              <w:rPr>
                <w:rFonts w:ascii="Arial" w:hAnsi="Arial" w:cs="Arial"/>
                <w:b/>
                <w:bCs/>
                <w:color w:val="000000"/>
                <w:sz w:val="18"/>
                <w:szCs w:val="18"/>
                <w:lang w:val="en-GB"/>
              </w:rPr>
              <w:t>,</w:t>
            </w:r>
            <w:r w:rsidRPr="00DC7563">
              <w:rPr>
                <w:rFonts w:ascii="Arial" w:hAnsi="Arial" w:cs="Arial"/>
                <w:b/>
                <w:bCs/>
                <w:color w:val="000000"/>
                <w:sz w:val="18"/>
                <w:szCs w:val="18"/>
                <w:lang w:val="en-GB"/>
              </w:rPr>
              <w:t xml:space="preserve"> 2013</w:t>
            </w:r>
          </w:p>
        </w:tc>
        <w:tc>
          <w:tcPr>
            <w:tcW w:w="1231" w:type="dxa"/>
            <w:tcBorders>
              <w:top w:val="single" w:sz="4" w:space="0" w:color="auto"/>
              <w:left w:val="nil"/>
              <w:bottom w:val="single" w:sz="4" w:space="0" w:color="auto"/>
              <w:right w:val="single" w:sz="4" w:space="0" w:color="auto"/>
            </w:tcBorders>
            <w:vAlign w:val="center"/>
            <w:hideMark/>
          </w:tcPr>
          <w:p w14:paraId="14A55FCB" w14:textId="77777777" w:rsidR="00666715" w:rsidRPr="00DC7563" w:rsidRDefault="00666715">
            <w:pPr>
              <w:spacing w:line="276" w:lineRule="auto"/>
              <w:jc w:val="center"/>
              <w:rPr>
                <w:rFonts w:ascii="Arial" w:hAnsi="Arial" w:cs="Arial"/>
                <w:b/>
                <w:bCs/>
                <w:color w:val="000000"/>
                <w:sz w:val="18"/>
                <w:szCs w:val="18"/>
                <w:lang w:val="en-GB"/>
              </w:rPr>
            </w:pPr>
            <w:r w:rsidRPr="00DC7563">
              <w:rPr>
                <w:rFonts w:ascii="Arial" w:hAnsi="Arial" w:cs="Arial"/>
                <w:b/>
                <w:bCs/>
                <w:color w:val="000000"/>
                <w:sz w:val="18"/>
                <w:szCs w:val="18"/>
                <w:lang w:val="en-GB"/>
              </w:rPr>
              <w:t>% Change</w:t>
            </w:r>
          </w:p>
        </w:tc>
      </w:tr>
      <w:tr w:rsidR="00666715" w:rsidRPr="00DC7563" w14:paraId="06D52E0C" w14:textId="77777777" w:rsidTr="000A18F0">
        <w:trPr>
          <w:trHeight w:val="70"/>
          <w:jc w:val="center"/>
        </w:trPr>
        <w:tc>
          <w:tcPr>
            <w:tcW w:w="1790" w:type="dxa"/>
            <w:tcBorders>
              <w:top w:val="nil"/>
              <w:left w:val="single" w:sz="4" w:space="0" w:color="auto"/>
              <w:bottom w:val="single" w:sz="4" w:space="0" w:color="auto"/>
              <w:right w:val="single" w:sz="4" w:space="0" w:color="auto"/>
            </w:tcBorders>
            <w:vAlign w:val="center"/>
            <w:hideMark/>
          </w:tcPr>
          <w:p w14:paraId="0F7F28EF" w14:textId="77777777" w:rsidR="00666715" w:rsidRPr="00DC7563" w:rsidRDefault="00666715"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Total</w:t>
            </w:r>
          </w:p>
        </w:tc>
        <w:tc>
          <w:tcPr>
            <w:tcW w:w="1979" w:type="dxa"/>
            <w:tcBorders>
              <w:top w:val="nil"/>
              <w:left w:val="nil"/>
              <w:bottom w:val="single" w:sz="4" w:space="0" w:color="auto"/>
              <w:right w:val="single" w:sz="4" w:space="0" w:color="auto"/>
            </w:tcBorders>
            <w:vAlign w:val="center"/>
            <w:hideMark/>
          </w:tcPr>
          <w:p w14:paraId="1C520542" w14:textId="77777777" w:rsidR="00666715" w:rsidRPr="00DC7563" w:rsidRDefault="00666715" w:rsidP="00C16520">
            <w:pPr>
              <w:tabs>
                <w:tab w:val="decimal" w:pos="1349"/>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5,562,887</w:t>
            </w:r>
          </w:p>
        </w:tc>
        <w:tc>
          <w:tcPr>
            <w:tcW w:w="2063" w:type="dxa"/>
            <w:tcBorders>
              <w:top w:val="nil"/>
              <w:left w:val="nil"/>
              <w:bottom w:val="single" w:sz="4" w:space="0" w:color="auto"/>
              <w:right w:val="single" w:sz="4" w:space="0" w:color="auto"/>
            </w:tcBorders>
            <w:vAlign w:val="center"/>
            <w:hideMark/>
          </w:tcPr>
          <w:p w14:paraId="11A083CE" w14:textId="77777777" w:rsidR="00666715" w:rsidRPr="00DC7563" w:rsidRDefault="00666715" w:rsidP="00C16520">
            <w:pPr>
              <w:tabs>
                <w:tab w:val="decimal" w:pos="1354"/>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5,375,513</w:t>
            </w:r>
          </w:p>
        </w:tc>
        <w:tc>
          <w:tcPr>
            <w:tcW w:w="1231" w:type="dxa"/>
            <w:tcBorders>
              <w:top w:val="nil"/>
              <w:left w:val="nil"/>
              <w:bottom w:val="single" w:sz="4" w:space="0" w:color="auto"/>
              <w:right w:val="single" w:sz="4" w:space="0" w:color="auto"/>
            </w:tcBorders>
            <w:vAlign w:val="center"/>
            <w:hideMark/>
          </w:tcPr>
          <w:p w14:paraId="55ED2C9C" w14:textId="77777777" w:rsidR="00666715" w:rsidRPr="00DC7563" w:rsidRDefault="00666715" w:rsidP="00C16520">
            <w:pPr>
              <w:tabs>
                <w:tab w:val="decimal" w:pos="567"/>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3.5</w:t>
            </w:r>
          </w:p>
        </w:tc>
      </w:tr>
      <w:tr w:rsidR="00666715" w:rsidRPr="00DC7563" w14:paraId="1FAE17DB" w14:textId="77777777" w:rsidTr="000A18F0">
        <w:trPr>
          <w:trHeight w:val="70"/>
          <w:jc w:val="center"/>
        </w:trPr>
        <w:tc>
          <w:tcPr>
            <w:tcW w:w="1790" w:type="dxa"/>
            <w:tcBorders>
              <w:top w:val="nil"/>
              <w:left w:val="single" w:sz="4" w:space="0" w:color="auto"/>
              <w:bottom w:val="single" w:sz="4" w:space="0" w:color="auto"/>
              <w:right w:val="single" w:sz="4" w:space="0" w:color="auto"/>
            </w:tcBorders>
            <w:vAlign w:val="center"/>
            <w:hideMark/>
          </w:tcPr>
          <w:p w14:paraId="3B543FE0" w14:textId="77777777" w:rsidR="00666715" w:rsidRPr="00DC7563" w:rsidRDefault="00666715"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Toyota</w:t>
            </w:r>
          </w:p>
        </w:tc>
        <w:tc>
          <w:tcPr>
            <w:tcW w:w="1979" w:type="dxa"/>
            <w:tcBorders>
              <w:top w:val="nil"/>
              <w:left w:val="nil"/>
              <w:bottom w:val="single" w:sz="4" w:space="0" w:color="auto"/>
              <w:right w:val="single" w:sz="4" w:space="0" w:color="auto"/>
            </w:tcBorders>
            <w:vAlign w:val="center"/>
            <w:hideMark/>
          </w:tcPr>
          <w:p w14:paraId="2A235316" w14:textId="77777777" w:rsidR="00666715" w:rsidRPr="00DC7563" w:rsidRDefault="00666715" w:rsidP="00C16520">
            <w:pPr>
              <w:tabs>
                <w:tab w:val="decimal" w:pos="1349"/>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1,509,149</w:t>
            </w:r>
          </w:p>
        </w:tc>
        <w:tc>
          <w:tcPr>
            <w:tcW w:w="2063" w:type="dxa"/>
            <w:tcBorders>
              <w:top w:val="nil"/>
              <w:left w:val="nil"/>
              <w:bottom w:val="single" w:sz="4" w:space="0" w:color="auto"/>
              <w:right w:val="single" w:sz="4" w:space="0" w:color="auto"/>
            </w:tcBorders>
            <w:vAlign w:val="center"/>
            <w:hideMark/>
          </w:tcPr>
          <w:p w14:paraId="28373D3F" w14:textId="77777777" w:rsidR="00666715" w:rsidRPr="00DC7563" w:rsidRDefault="00666715" w:rsidP="00C16520">
            <w:pPr>
              <w:tabs>
                <w:tab w:val="decimal" w:pos="1354"/>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1,536,260</w:t>
            </w:r>
          </w:p>
        </w:tc>
        <w:tc>
          <w:tcPr>
            <w:tcW w:w="1231" w:type="dxa"/>
            <w:tcBorders>
              <w:top w:val="nil"/>
              <w:left w:val="nil"/>
              <w:bottom w:val="single" w:sz="4" w:space="0" w:color="auto"/>
              <w:right w:val="single" w:sz="4" w:space="0" w:color="auto"/>
            </w:tcBorders>
            <w:vAlign w:val="center"/>
            <w:hideMark/>
          </w:tcPr>
          <w:p w14:paraId="6A3573F3" w14:textId="7758E075" w:rsidR="00666715" w:rsidRPr="00DC7563" w:rsidRDefault="002A00B9" w:rsidP="00C16520">
            <w:pPr>
              <w:tabs>
                <w:tab w:val="decimal" w:pos="567"/>
              </w:tabs>
              <w:spacing w:line="276" w:lineRule="auto"/>
              <w:rPr>
                <w:rFonts w:ascii="Arial" w:hAnsi="Arial" w:cs="Arial"/>
                <w:color w:val="000000"/>
                <w:sz w:val="18"/>
                <w:szCs w:val="18"/>
                <w:lang w:val="en-GB"/>
              </w:rPr>
            </w:pPr>
            <w:r>
              <w:rPr>
                <w:rFonts w:ascii="Arial" w:hAnsi="Arial" w:cs="Arial"/>
                <w:color w:val="000000"/>
                <w:sz w:val="18"/>
                <w:szCs w:val="18"/>
                <w:lang w:val="en-GB"/>
              </w:rPr>
              <w:t>(</w:t>
            </w:r>
            <w:r w:rsidR="00666715" w:rsidRPr="00DC7563">
              <w:rPr>
                <w:rFonts w:ascii="Arial" w:hAnsi="Arial" w:cs="Arial"/>
                <w:color w:val="000000"/>
                <w:sz w:val="18"/>
                <w:szCs w:val="18"/>
                <w:lang w:val="en-GB"/>
              </w:rPr>
              <w:t>1.8</w:t>
            </w:r>
            <w:r>
              <w:rPr>
                <w:rFonts w:ascii="Arial" w:hAnsi="Arial" w:cs="Arial"/>
                <w:color w:val="000000"/>
                <w:sz w:val="18"/>
                <w:szCs w:val="18"/>
                <w:lang w:val="en-GB"/>
              </w:rPr>
              <w:t>)</w:t>
            </w:r>
          </w:p>
        </w:tc>
      </w:tr>
      <w:tr w:rsidR="00666715" w:rsidRPr="00DC7563" w14:paraId="30391FC4" w14:textId="77777777" w:rsidTr="000A18F0">
        <w:trPr>
          <w:trHeight w:val="70"/>
          <w:jc w:val="center"/>
        </w:trPr>
        <w:tc>
          <w:tcPr>
            <w:tcW w:w="1790" w:type="dxa"/>
            <w:tcBorders>
              <w:top w:val="nil"/>
              <w:left w:val="single" w:sz="4" w:space="0" w:color="auto"/>
              <w:bottom w:val="single" w:sz="4" w:space="0" w:color="auto"/>
              <w:right w:val="single" w:sz="4" w:space="0" w:color="auto"/>
            </w:tcBorders>
            <w:vAlign w:val="center"/>
            <w:hideMark/>
          </w:tcPr>
          <w:p w14:paraId="74D5F995" w14:textId="77777777" w:rsidR="00666715" w:rsidRPr="00DC7563" w:rsidRDefault="00666715"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Honda</w:t>
            </w:r>
          </w:p>
        </w:tc>
        <w:tc>
          <w:tcPr>
            <w:tcW w:w="1979" w:type="dxa"/>
            <w:tcBorders>
              <w:top w:val="nil"/>
              <w:left w:val="nil"/>
              <w:bottom w:val="single" w:sz="4" w:space="0" w:color="auto"/>
              <w:right w:val="single" w:sz="4" w:space="0" w:color="auto"/>
            </w:tcBorders>
            <w:vAlign w:val="center"/>
            <w:hideMark/>
          </w:tcPr>
          <w:p w14:paraId="4FD4BED7" w14:textId="77777777" w:rsidR="00666715" w:rsidRPr="00DC7563" w:rsidRDefault="00666715" w:rsidP="00C16520">
            <w:pPr>
              <w:tabs>
                <w:tab w:val="decimal" w:pos="1349"/>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848,753</w:t>
            </w:r>
          </w:p>
        </w:tc>
        <w:tc>
          <w:tcPr>
            <w:tcW w:w="2063" w:type="dxa"/>
            <w:tcBorders>
              <w:top w:val="nil"/>
              <w:left w:val="nil"/>
              <w:bottom w:val="single" w:sz="4" w:space="0" w:color="auto"/>
              <w:right w:val="single" w:sz="4" w:space="0" w:color="auto"/>
            </w:tcBorders>
            <w:vAlign w:val="center"/>
            <w:hideMark/>
          </w:tcPr>
          <w:p w14:paraId="2FAA25BC" w14:textId="77777777" w:rsidR="00666715" w:rsidRPr="00DC7563" w:rsidRDefault="00666715" w:rsidP="00C16520">
            <w:pPr>
              <w:tabs>
                <w:tab w:val="decimal" w:pos="1354"/>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763,388</w:t>
            </w:r>
          </w:p>
        </w:tc>
        <w:tc>
          <w:tcPr>
            <w:tcW w:w="1231" w:type="dxa"/>
            <w:tcBorders>
              <w:top w:val="nil"/>
              <w:left w:val="nil"/>
              <w:bottom w:val="single" w:sz="4" w:space="0" w:color="auto"/>
              <w:right w:val="single" w:sz="4" w:space="0" w:color="auto"/>
            </w:tcBorders>
            <w:vAlign w:val="center"/>
            <w:hideMark/>
          </w:tcPr>
          <w:p w14:paraId="2D7658CB" w14:textId="77777777" w:rsidR="00666715" w:rsidRPr="00DC7563" w:rsidRDefault="00666715" w:rsidP="00C16520">
            <w:pPr>
              <w:tabs>
                <w:tab w:val="decimal" w:pos="567"/>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11.2</w:t>
            </w:r>
          </w:p>
        </w:tc>
      </w:tr>
      <w:tr w:rsidR="00666715" w:rsidRPr="00DC7563" w14:paraId="6E8C1C1B" w14:textId="77777777" w:rsidTr="000A18F0">
        <w:trPr>
          <w:trHeight w:val="70"/>
          <w:jc w:val="center"/>
        </w:trPr>
        <w:tc>
          <w:tcPr>
            <w:tcW w:w="1790" w:type="dxa"/>
            <w:tcBorders>
              <w:top w:val="nil"/>
              <w:left w:val="single" w:sz="4" w:space="0" w:color="auto"/>
              <w:bottom w:val="single" w:sz="4" w:space="0" w:color="auto"/>
              <w:right w:val="single" w:sz="4" w:space="0" w:color="auto"/>
            </w:tcBorders>
            <w:vAlign w:val="center"/>
            <w:hideMark/>
          </w:tcPr>
          <w:p w14:paraId="1A8468A3" w14:textId="77777777" w:rsidR="00666715" w:rsidRPr="00DC7563" w:rsidRDefault="00666715"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Suzuki</w:t>
            </w:r>
          </w:p>
        </w:tc>
        <w:tc>
          <w:tcPr>
            <w:tcW w:w="1979" w:type="dxa"/>
            <w:tcBorders>
              <w:top w:val="nil"/>
              <w:left w:val="nil"/>
              <w:bottom w:val="single" w:sz="4" w:space="0" w:color="auto"/>
              <w:right w:val="single" w:sz="4" w:space="0" w:color="auto"/>
            </w:tcBorders>
            <w:vAlign w:val="center"/>
            <w:hideMark/>
          </w:tcPr>
          <w:p w14:paraId="64AF0529" w14:textId="77777777" w:rsidR="00666715" w:rsidRPr="00DC7563" w:rsidRDefault="00666715" w:rsidP="00C16520">
            <w:pPr>
              <w:tabs>
                <w:tab w:val="decimal" w:pos="1349"/>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787,361</w:t>
            </w:r>
          </w:p>
        </w:tc>
        <w:tc>
          <w:tcPr>
            <w:tcW w:w="2063" w:type="dxa"/>
            <w:tcBorders>
              <w:top w:val="nil"/>
              <w:left w:val="nil"/>
              <w:bottom w:val="single" w:sz="4" w:space="0" w:color="auto"/>
              <w:right w:val="single" w:sz="4" w:space="0" w:color="auto"/>
            </w:tcBorders>
            <w:vAlign w:val="center"/>
            <w:hideMark/>
          </w:tcPr>
          <w:p w14:paraId="2965EED5" w14:textId="77777777" w:rsidR="00666715" w:rsidRPr="00DC7563" w:rsidRDefault="00666715" w:rsidP="00C16520">
            <w:pPr>
              <w:tabs>
                <w:tab w:val="decimal" w:pos="1354"/>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701,472</w:t>
            </w:r>
          </w:p>
        </w:tc>
        <w:tc>
          <w:tcPr>
            <w:tcW w:w="1231" w:type="dxa"/>
            <w:tcBorders>
              <w:top w:val="nil"/>
              <w:left w:val="nil"/>
              <w:bottom w:val="single" w:sz="4" w:space="0" w:color="auto"/>
              <w:right w:val="single" w:sz="4" w:space="0" w:color="auto"/>
            </w:tcBorders>
            <w:vAlign w:val="center"/>
            <w:hideMark/>
          </w:tcPr>
          <w:p w14:paraId="46881B4C" w14:textId="77777777" w:rsidR="00666715" w:rsidRPr="00DC7563" w:rsidRDefault="00666715" w:rsidP="00C16520">
            <w:pPr>
              <w:tabs>
                <w:tab w:val="decimal" w:pos="567"/>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12.2</w:t>
            </w:r>
          </w:p>
        </w:tc>
      </w:tr>
      <w:tr w:rsidR="00666715" w:rsidRPr="00DC7563" w14:paraId="561ADF1E" w14:textId="77777777" w:rsidTr="000A18F0">
        <w:trPr>
          <w:trHeight w:val="70"/>
          <w:jc w:val="center"/>
        </w:trPr>
        <w:tc>
          <w:tcPr>
            <w:tcW w:w="1790" w:type="dxa"/>
            <w:tcBorders>
              <w:top w:val="nil"/>
              <w:left w:val="single" w:sz="4" w:space="0" w:color="auto"/>
              <w:bottom w:val="single" w:sz="4" w:space="0" w:color="auto"/>
              <w:right w:val="single" w:sz="4" w:space="0" w:color="auto"/>
            </w:tcBorders>
            <w:vAlign w:val="center"/>
            <w:hideMark/>
          </w:tcPr>
          <w:p w14:paraId="101F2E6C" w14:textId="77777777" w:rsidR="00666715" w:rsidRPr="00DC7563" w:rsidRDefault="00666715"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Daihatsu</w:t>
            </w:r>
          </w:p>
        </w:tc>
        <w:tc>
          <w:tcPr>
            <w:tcW w:w="1979" w:type="dxa"/>
            <w:tcBorders>
              <w:top w:val="nil"/>
              <w:left w:val="nil"/>
              <w:bottom w:val="single" w:sz="4" w:space="0" w:color="auto"/>
              <w:right w:val="single" w:sz="4" w:space="0" w:color="auto"/>
            </w:tcBorders>
            <w:vAlign w:val="center"/>
            <w:hideMark/>
          </w:tcPr>
          <w:p w14:paraId="1744AD65" w14:textId="77777777" w:rsidR="00666715" w:rsidRPr="00DC7563" w:rsidRDefault="00666715" w:rsidP="00C16520">
            <w:pPr>
              <w:tabs>
                <w:tab w:val="decimal" w:pos="1349"/>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708,179</w:t>
            </w:r>
          </w:p>
        </w:tc>
        <w:tc>
          <w:tcPr>
            <w:tcW w:w="2063" w:type="dxa"/>
            <w:tcBorders>
              <w:top w:val="nil"/>
              <w:left w:val="nil"/>
              <w:bottom w:val="single" w:sz="4" w:space="0" w:color="auto"/>
              <w:right w:val="single" w:sz="4" w:space="0" w:color="auto"/>
            </w:tcBorders>
            <w:vAlign w:val="center"/>
            <w:hideMark/>
          </w:tcPr>
          <w:p w14:paraId="40BCAC18" w14:textId="77777777" w:rsidR="00666715" w:rsidRPr="00DC7563" w:rsidRDefault="00666715" w:rsidP="00C16520">
            <w:pPr>
              <w:tabs>
                <w:tab w:val="decimal" w:pos="1354"/>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662,690</w:t>
            </w:r>
          </w:p>
        </w:tc>
        <w:tc>
          <w:tcPr>
            <w:tcW w:w="1231" w:type="dxa"/>
            <w:tcBorders>
              <w:top w:val="nil"/>
              <w:left w:val="nil"/>
              <w:bottom w:val="single" w:sz="4" w:space="0" w:color="auto"/>
              <w:right w:val="single" w:sz="4" w:space="0" w:color="auto"/>
            </w:tcBorders>
            <w:vAlign w:val="center"/>
            <w:hideMark/>
          </w:tcPr>
          <w:p w14:paraId="2122FB99" w14:textId="77777777" w:rsidR="00666715" w:rsidRPr="00DC7563" w:rsidRDefault="00666715" w:rsidP="00C16520">
            <w:pPr>
              <w:tabs>
                <w:tab w:val="decimal" w:pos="567"/>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6.9</w:t>
            </w:r>
          </w:p>
        </w:tc>
      </w:tr>
      <w:tr w:rsidR="00666715" w:rsidRPr="00DC7563" w14:paraId="56761F16" w14:textId="77777777" w:rsidTr="000A18F0">
        <w:trPr>
          <w:trHeight w:val="80"/>
          <w:jc w:val="center"/>
        </w:trPr>
        <w:tc>
          <w:tcPr>
            <w:tcW w:w="1790" w:type="dxa"/>
            <w:tcBorders>
              <w:top w:val="nil"/>
              <w:left w:val="single" w:sz="4" w:space="0" w:color="auto"/>
              <w:bottom w:val="single" w:sz="4" w:space="0" w:color="auto"/>
              <w:right w:val="single" w:sz="4" w:space="0" w:color="auto"/>
            </w:tcBorders>
            <w:vAlign w:val="center"/>
            <w:hideMark/>
          </w:tcPr>
          <w:p w14:paraId="5FEE6720" w14:textId="77777777" w:rsidR="00666715" w:rsidRPr="00DC7563" w:rsidRDefault="00666715"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Nissan</w:t>
            </w:r>
          </w:p>
        </w:tc>
        <w:tc>
          <w:tcPr>
            <w:tcW w:w="1979" w:type="dxa"/>
            <w:tcBorders>
              <w:top w:val="nil"/>
              <w:left w:val="nil"/>
              <w:bottom w:val="single" w:sz="4" w:space="0" w:color="auto"/>
              <w:right w:val="single" w:sz="4" w:space="0" w:color="auto"/>
            </w:tcBorders>
            <w:vAlign w:val="center"/>
            <w:hideMark/>
          </w:tcPr>
          <w:p w14:paraId="57F71FAC" w14:textId="77777777" w:rsidR="00666715" w:rsidRPr="00DC7563" w:rsidRDefault="00666715" w:rsidP="00C16520">
            <w:pPr>
              <w:tabs>
                <w:tab w:val="decimal" w:pos="1349"/>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670,315</w:t>
            </w:r>
          </w:p>
        </w:tc>
        <w:tc>
          <w:tcPr>
            <w:tcW w:w="2063" w:type="dxa"/>
            <w:tcBorders>
              <w:top w:val="nil"/>
              <w:left w:val="nil"/>
              <w:bottom w:val="single" w:sz="4" w:space="0" w:color="auto"/>
              <w:right w:val="single" w:sz="4" w:space="0" w:color="auto"/>
            </w:tcBorders>
            <w:vAlign w:val="center"/>
            <w:hideMark/>
          </w:tcPr>
          <w:p w14:paraId="3E86FCA6" w14:textId="77777777" w:rsidR="00666715" w:rsidRPr="00DC7563" w:rsidRDefault="00666715" w:rsidP="00C16520">
            <w:pPr>
              <w:tabs>
                <w:tab w:val="decimal" w:pos="1354"/>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678,887</w:t>
            </w:r>
          </w:p>
        </w:tc>
        <w:tc>
          <w:tcPr>
            <w:tcW w:w="1231" w:type="dxa"/>
            <w:tcBorders>
              <w:top w:val="nil"/>
              <w:left w:val="nil"/>
              <w:bottom w:val="single" w:sz="4" w:space="0" w:color="auto"/>
              <w:right w:val="single" w:sz="4" w:space="0" w:color="auto"/>
            </w:tcBorders>
            <w:vAlign w:val="center"/>
            <w:hideMark/>
          </w:tcPr>
          <w:p w14:paraId="5B974D1C" w14:textId="14347029" w:rsidR="00666715" w:rsidRPr="00DC7563" w:rsidRDefault="002A00B9" w:rsidP="00C16520">
            <w:pPr>
              <w:tabs>
                <w:tab w:val="decimal" w:pos="567"/>
              </w:tabs>
              <w:spacing w:line="276" w:lineRule="auto"/>
              <w:rPr>
                <w:rFonts w:ascii="Arial" w:hAnsi="Arial" w:cs="Arial"/>
                <w:color w:val="000000"/>
                <w:sz w:val="18"/>
                <w:szCs w:val="18"/>
                <w:lang w:val="en-GB"/>
              </w:rPr>
            </w:pPr>
            <w:r>
              <w:rPr>
                <w:rFonts w:ascii="Arial" w:hAnsi="Arial" w:cs="Arial"/>
                <w:color w:val="000000"/>
                <w:sz w:val="18"/>
                <w:szCs w:val="18"/>
                <w:lang w:val="en-GB"/>
              </w:rPr>
              <w:t>(</w:t>
            </w:r>
            <w:r w:rsidR="00666715" w:rsidRPr="00DC7563">
              <w:rPr>
                <w:rFonts w:ascii="Arial" w:hAnsi="Arial" w:cs="Arial"/>
                <w:color w:val="000000"/>
                <w:sz w:val="18"/>
                <w:szCs w:val="18"/>
                <w:lang w:val="en-GB"/>
              </w:rPr>
              <w:t>1.3</w:t>
            </w:r>
            <w:r>
              <w:rPr>
                <w:rFonts w:ascii="Arial" w:hAnsi="Arial" w:cs="Arial"/>
                <w:color w:val="000000"/>
                <w:sz w:val="18"/>
                <w:szCs w:val="18"/>
                <w:lang w:val="en-GB"/>
              </w:rPr>
              <w:t>)</w:t>
            </w:r>
          </w:p>
        </w:tc>
      </w:tr>
      <w:tr w:rsidR="00666715" w:rsidRPr="00DC7563" w14:paraId="2A59C04D" w14:textId="77777777" w:rsidTr="000A18F0">
        <w:trPr>
          <w:trHeight w:val="70"/>
          <w:jc w:val="center"/>
        </w:trPr>
        <w:tc>
          <w:tcPr>
            <w:tcW w:w="1790" w:type="dxa"/>
            <w:tcBorders>
              <w:top w:val="nil"/>
              <w:left w:val="single" w:sz="4" w:space="0" w:color="auto"/>
              <w:bottom w:val="single" w:sz="4" w:space="0" w:color="auto"/>
              <w:right w:val="single" w:sz="4" w:space="0" w:color="auto"/>
            </w:tcBorders>
            <w:vAlign w:val="center"/>
            <w:hideMark/>
          </w:tcPr>
          <w:p w14:paraId="0C9368C2" w14:textId="77777777" w:rsidR="00666715" w:rsidRPr="00DC7563" w:rsidRDefault="00666715"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Mazda</w:t>
            </w:r>
          </w:p>
        </w:tc>
        <w:tc>
          <w:tcPr>
            <w:tcW w:w="1979" w:type="dxa"/>
            <w:tcBorders>
              <w:top w:val="nil"/>
              <w:left w:val="nil"/>
              <w:bottom w:val="single" w:sz="4" w:space="0" w:color="auto"/>
              <w:right w:val="single" w:sz="4" w:space="0" w:color="auto"/>
            </w:tcBorders>
            <w:vAlign w:val="center"/>
            <w:hideMark/>
          </w:tcPr>
          <w:p w14:paraId="0E26A52F" w14:textId="77777777" w:rsidR="00666715" w:rsidRPr="00DC7563" w:rsidRDefault="00666715" w:rsidP="00C16520">
            <w:pPr>
              <w:tabs>
                <w:tab w:val="decimal" w:pos="1349"/>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224,359</w:t>
            </w:r>
          </w:p>
        </w:tc>
        <w:tc>
          <w:tcPr>
            <w:tcW w:w="2063" w:type="dxa"/>
            <w:tcBorders>
              <w:top w:val="nil"/>
              <w:left w:val="nil"/>
              <w:bottom w:val="single" w:sz="4" w:space="0" w:color="auto"/>
              <w:right w:val="single" w:sz="4" w:space="0" w:color="auto"/>
            </w:tcBorders>
            <w:vAlign w:val="center"/>
            <w:hideMark/>
          </w:tcPr>
          <w:p w14:paraId="7B9BB338" w14:textId="77777777" w:rsidR="00666715" w:rsidRPr="00DC7563" w:rsidRDefault="00666715" w:rsidP="00C16520">
            <w:pPr>
              <w:tabs>
                <w:tab w:val="decimal" w:pos="1354"/>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228,089</w:t>
            </w:r>
          </w:p>
        </w:tc>
        <w:tc>
          <w:tcPr>
            <w:tcW w:w="1231" w:type="dxa"/>
            <w:tcBorders>
              <w:top w:val="nil"/>
              <w:left w:val="nil"/>
              <w:bottom w:val="single" w:sz="4" w:space="0" w:color="auto"/>
              <w:right w:val="single" w:sz="4" w:space="0" w:color="auto"/>
            </w:tcBorders>
            <w:vAlign w:val="center"/>
            <w:hideMark/>
          </w:tcPr>
          <w:p w14:paraId="1F375F8F" w14:textId="014836CA" w:rsidR="00666715" w:rsidRPr="00DC7563" w:rsidRDefault="002A00B9" w:rsidP="00C16520">
            <w:pPr>
              <w:tabs>
                <w:tab w:val="decimal" w:pos="567"/>
              </w:tabs>
              <w:spacing w:line="276" w:lineRule="auto"/>
              <w:rPr>
                <w:rFonts w:ascii="Arial" w:hAnsi="Arial" w:cs="Arial"/>
                <w:color w:val="000000"/>
                <w:sz w:val="18"/>
                <w:szCs w:val="18"/>
                <w:lang w:val="en-GB"/>
              </w:rPr>
            </w:pPr>
            <w:r>
              <w:rPr>
                <w:rFonts w:ascii="Arial" w:hAnsi="Arial" w:cs="Arial"/>
                <w:color w:val="000000"/>
                <w:sz w:val="18"/>
                <w:szCs w:val="18"/>
                <w:lang w:val="en-GB"/>
              </w:rPr>
              <w:t>(</w:t>
            </w:r>
            <w:r w:rsidR="00666715" w:rsidRPr="00DC7563">
              <w:rPr>
                <w:rFonts w:ascii="Arial" w:hAnsi="Arial" w:cs="Arial"/>
                <w:color w:val="000000"/>
                <w:sz w:val="18"/>
                <w:szCs w:val="18"/>
                <w:lang w:val="en-GB"/>
              </w:rPr>
              <w:t>1.6</w:t>
            </w:r>
            <w:r>
              <w:rPr>
                <w:rFonts w:ascii="Arial" w:hAnsi="Arial" w:cs="Arial"/>
                <w:color w:val="000000"/>
                <w:sz w:val="18"/>
                <w:szCs w:val="18"/>
                <w:lang w:val="en-GB"/>
              </w:rPr>
              <w:t>)</w:t>
            </w:r>
          </w:p>
        </w:tc>
      </w:tr>
      <w:tr w:rsidR="00666715" w:rsidRPr="00DC7563" w14:paraId="0AC8731D" w14:textId="77777777" w:rsidTr="000A18F0">
        <w:trPr>
          <w:trHeight w:val="143"/>
          <w:jc w:val="center"/>
        </w:trPr>
        <w:tc>
          <w:tcPr>
            <w:tcW w:w="1790" w:type="dxa"/>
            <w:tcBorders>
              <w:top w:val="nil"/>
              <w:left w:val="single" w:sz="4" w:space="0" w:color="auto"/>
              <w:bottom w:val="single" w:sz="4" w:space="0" w:color="auto"/>
              <w:right w:val="single" w:sz="4" w:space="0" w:color="auto"/>
            </w:tcBorders>
            <w:vAlign w:val="center"/>
            <w:hideMark/>
          </w:tcPr>
          <w:p w14:paraId="50330B29" w14:textId="77777777" w:rsidR="00666715" w:rsidRPr="00DC7563" w:rsidRDefault="00666715"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Subaru</w:t>
            </w:r>
          </w:p>
        </w:tc>
        <w:tc>
          <w:tcPr>
            <w:tcW w:w="1979" w:type="dxa"/>
            <w:tcBorders>
              <w:top w:val="nil"/>
              <w:left w:val="nil"/>
              <w:bottom w:val="single" w:sz="4" w:space="0" w:color="auto"/>
              <w:right w:val="single" w:sz="4" w:space="0" w:color="auto"/>
            </w:tcBorders>
            <w:vAlign w:val="center"/>
            <w:hideMark/>
          </w:tcPr>
          <w:p w14:paraId="513FFEC8" w14:textId="77777777" w:rsidR="00666715" w:rsidRPr="00DC7563" w:rsidRDefault="00666715" w:rsidP="00C16520">
            <w:pPr>
              <w:tabs>
                <w:tab w:val="decimal" w:pos="1349"/>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169,552</w:t>
            </w:r>
          </w:p>
        </w:tc>
        <w:tc>
          <w:tcPr>
            <w:tcW w:w="2063" w:type="dxa"/>
            <w:tcBorders>
              <w:top w:val="nil"/>
              <w:left w:val="nil"/>
              <w:bottom w:val="single" w:sz="4" w:space="0" w:color="auto"/>
              <w:right w:val="single" w:sz="4" w:space="0" w:color="auto"/>
            </w:tcBorders>
            <w:vAlign w:val="center"/>
            <w:hideMark/>
          </w:tcPr>
          <w:p w14:paraId="1F1E2529" w14:textId="77777777" w:rsidR="00666715" w:rsidRPr="00DC7563" w:rsidRDefault="00666715" w:rsidP="00C16520">
            <w:pPr>
              <w:tabs>
                <w:tab w:val="decimal" w:pos="1354"/>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180,824</w:t>
            </w:r>
          </w:p>
        </w:tc>
        <w:tc>
          <w:tcPr>
            <w:tcW w:w="1231" w:type="dxa"/>
            <w:tcBorders>
              <w:top w:val="nil"/>
              <w:left w:val="nil"/>
              <w:bottom w:val="single" w:sz="4" w:space="0" w:color="auto"/>
              <w:right w:val="single" w:sz="4" w:space="0" w:color="auto"/>
            </w:tcBorders>
            <w:vAlign w:val="center"/>
            <w:hideMark/>
          </w:tcPr>
          <w:p w14:paraId="62845BF3" w14:textId="204C0F94" w:rsidR="00666715" w:rsidRPr="00DC7563" w:rsidRDefault="002A00B9" w:rsidP="00C16520">
            <w:pPr>
              <w:tabs>
                <w:tab w:val="decimal" w:pos="567"/>
              </w:tabs>
              <w:spacing w:line="276" w:lineRule="auto"/>
              <w:rPr>
                <w:rFonts w:ascii="Arial" w:hAnsi="Arial" w:cs="Arial"/>
                <w:color w:val="000000"/>
                <w:sz w:val="18"/>
                <w:szCs w:val="18"/>
                <w:lang w:val="en-GB"/>
              </w:rPr>
            </w:pPr>
            <w:r>
              <w:rPr>
                <w:rFonts w:ascii="Arial" w:hAnsi="Arial" w:cs="Arial"/>
                <w:color w:val="000000"/>
                <w:sz w:val="18"/>
                <w:szCs w:val="18"/>
                <w:lang w:val="en-GB"/>
              </w:rPr>
              <w:t>(</w:t>
            </w:r>
            <w:r w:rsidR="00666715" w:rsidRPr="00DC7563">
              <w:rPr>
                <w:rFonts w:ascii="Arial" w:hAnsi="Arial" w:cs="Arial"/>
                <w:color w:val="000000"/>
                <w:sz w:val="18"/>
                <w:szCs w:val="18"/>
                <w:lang w:val="en-GB"/>
              </w:rPr>
              <w:t>6.2</w:t>
            </w:r>
            <w:r>
              <w:rPr>
                <w:rFonts w:ascii="Arial" w:hAnsi="Arial" w:cs="Arial"/>
                <w:color w:val="000000"/>
                <w:sz w:val="18"/>
                <w:szCs w:val="18"/>
                <w:lang w:val="en-GB"/>
              </w:rPr>
              <w:t>)</w:t>
            </w:r>
          </w:p>
        </w:tc>
      </w:tr>
      <w:tr w:rsidR="00666715" w:rsidRPr="00DC7563" w14:paraId="54D088FA" w14:textId="77777777" w:rsidTr="000A18F0">
        <w:trPr>
          <w:trHeight w:val="70"/>
          <w:jc w:val="center"/>
        </w:trPr>
        <w:tc>
          <w:tcPr>
            <w:tcW w:w="1790" w:type="dxa"/>
            <w:tcBorders>
              <w:top w:val="nil"/>
              <w:left w:val="single" w:sz="4" w:space="0" w:color="auto"/>
              <w:bottom w:val="single" w:sz="4" w:space="0" w:color="auto"/>
              <w:right w:val="single" w:sz="4" w:space="0" w:color="auto"/>
            </w:tcBorders>
            <w:vAlign w:val="center"/>
            <w:hideMark/>
          </w:tcPr>
          <w:p w14:paraId="46F4E059" w14:textId="77777777" w:rsidR="00666715" w:rsidRPr="00DC7563" w:rsidRDefault="00666715"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Mitsubishi</w:t>
            </w:r>
          </w:p>
        </w:tc>
        <w:tc>
          <w:tcPr>
            <w:tcW w:w="1979" w:type="dxa"/>
            <w:tcBorders>
              <w:top w:val="nil"/>
              <w:left w:val="nil"/>
              <w:bottom w:val="single" w:sz="4" w:space="0" w:color="auto"/>
              <w:right w:val="single" w:sz="4" w:space="0" w:color="auto"/>
            </w:tcBorders>
            <w:vAlign w:val="center"/>
            <w:hideMark/>
          </w:tcPr>
          <w:p w14:paraId="3B4F94BE" w14:textId="77777777" w:rsidR="00666715" w:rsidRPr="00DC7563" w:rsidRDefault="00666715" w:rsidP="00C16520">
            <w:pPr>
              <w:tabs>
                <w:tab w:val="decimal" w:pos="1349"/>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125,083</w:t>
            </w:r>
          </w:p>
        </w:tc>
        <w:tc>
          <w:tcPr>
            <w:tcW w:w="2063" w:type="dxa"/>
            <w:tcBorders>
              <w:top w:val="nil"/>
              <w:left w:val="nil"/>
              <w:bottom w:val="single" w:sz="4" w:space="0" w:color="auto"/>
              <w:right w:val="single" w:sz="4" w:space="0" w:color="auto"/>
            </w:tcBorders>
            <w:vAlign w:val="center"/>
            <w:hideMark/>
          </w:tcPr>
          <w:p w14:paraId="770A11C4" w14:textId="77777777" w:rsidR="00666715" w:rsidRPr="00DC7563" w:rsidRDefault="00666715" w:rsidP="00C16520">
            <w:pPr>
              <w:tabs>
                <w:tab w:val="decimal" w:pos="1354"/>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139,016</w:t>
            </w:r>
          </w:p>
        </w:tc>
        <w:tc>
          <w:tcPr>
            <w:tcW w:w="1231" w:type="dxa"/>
            <w:tcBorders>
              <w:top w:val="nil"/>
              <w:left w:val="nil"/>
              <w:bottom w:val="single" w:sz="4" w:space="0" w:color="auto"/>
              <w:right w:val="single" w:sz="4" w:space="0" w:color="auto"/>
            </w:tcBorders>
            <w:vAlign w:val="center"/>
            <w:hideMark/>
          </w:tcPr>
          <w:p w14:paraId="585876C0" w14:textId="6DCA9CB1" w:rsidR="00666715" w:rsidRPr="00DC7563" w:rsidRDefault="002A00B9" w:rsidP="00C16520">
            <w:pPr>
              <w:tabs>
                <w:tab w:val="decimal" w:pos="567"/>
              </w:tabs>
              <w:spacing w:line="276" w:lineRule="auto"/>
              <w:rPr>
                <w:rFonts w:ascii="Arial" w:hAnsi="Arial" w:cs="Arial"/>
                <w:color w:val="000000"/>
                <w:sz w:val="18"/>
                <w:szCs w:val="18"/>
                <w:lang w:val="en-GB"/>
              </w:rPr>
            </w:pPr>
            <w:r>
              <w:rPr>
                <w:rFonts w:ascii="Arial" w:hAnsi="Arial" w:cs="Arial"/>
                <w:color w:val="000000"/>
                <w:sz w:val="18"/>
                <w:szCs w:val="18"/>
                <w:lang w:val="en-GB"/>
              </w:rPr>
              <w:t>(</w:t>
            </w:r>
            <w:r w:rsidR="00666715" w:rsidRPr="00DC7563">
              <w:rPr>
                <w:rFonts w:ascii="Arial" w:hAnsi="Arial" w:cs="Arial"/>
                <w:color w:val="000000"/>
                <w:sz w:val="18"/>
                <w:szCs w:val="18"/>
                <w:lang w:val="en-GB"/>
              </w:rPr>
              <w:t>10</w:t>
            </w:r>
            <w:r w:rsidR="00086D7C" w:rsidRPr="00DC7563">
              <w:rPr>
                <w:rFonts w:ascii="Arial" w:hAnsi="Arial" w:cs="Arial"/>
                <w:color w:val="000000"/>
                <w:sz w:val="18"/>
                <w:szCs w:val="18"/>
                <w:lang w:val="en-GB"/>
              </w:rPr>
              <w:t>.0</w:t>
            </w:r>
            <w:r>
              <w:rPr>
                <w:rFonts w:ascii="Arial" w:hAnsi="Arial" w:cs="Arial"/>
                <w:color w:val="000000"/>
                <w:sz w:val="18"/>
                <w:szCs w:val="18"/>
                <w:lang w:val="en-GB"/>
              </w:rPr>
              <w:t>)</w:t>
            </w:r>
          </w:p>
        </w:tc>
      </w:tr>
      <w:tr w:rsidR="00666715" w:rsidRPr="00DC7563" w14:paraId="2EF4D7A7" w14:textId="77777777" w:rsidTr="000A18F0">
        <w:trPr>
          <w:trHeight w:val="70"/>
          <w:jc w:val="center"/>
        </w:trPr>
        <w:tc>
          <w:tcPr>
            <w:tcW w:w="1790" w:type="dxa"/>
            <w:tcBorders>
              <w:top w:val="nil"/>
              <w:left w:val="single" w:sz="4" w:space="0" w:color="auto"/>
              <w:bottom w:val="single" w:sz="4" w:space="0" w:color="auto"/>
              <w:right w:val="single" w:sz="4" w:space="0" w:color="auto"/>
            </w:tcBorders>
            <w:vAlign w:val="center"/>
            <w:hideMark/>
          </w:tcPr>
          <w:p w14:paraId="5F23C7DE" w14:textId="77777777" w:rsidR="00666715" w:rsidRPr="00DC7563" w:rsidRDefault="00666715"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Isuzu</w:t>
            </w:r>
          </w:p>
        </w:tc>
        <w:tc>
          <w:tcPr>
            <w:tcW w:w="1979" w:type="dxa"/>
            <w:tcBorders>
              <w:top w:val="nil"/>
              <w:left w:val="nil"/>
              <w:bottom w:val="single" w:sz="4" w:space="0" w:color="auto"/>
              <w:right w:val="single" w:sz="4" w:space="0" w:color="auto"/>
            </w:tcBorders>
            <w:vAlign w:val="center"/>
            <w:hideMark/>
          </w:tcPr>
          <w:p w14:paraId="7AB782CF" w14:textId="77777777" w:rsidR="00666715" w:rsidRPr="00DC7563" w:rsidRDefault="00666715" w:rsidP="00C16520">
            <w:pPr>
              <w:tabs>
                <w:tab w:val="decimal" w:pos="1349"/>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74,556</w:t>
            </w:r>
          </w:p>
        </w:tc>
        <w:tc>
          <w:tcPr>
            <w:tcW w:w="2063" w:type="dxa"/>
            <w:tcBorders>
              <w:top w:val="nil"/>
              <w:left w:val="nil"/>
              <w:bottom w:val="single" w:sz="4" w:space="0" w:color="auto"/>
              <w:right w:val="single" w:sz="4" w:space="0" w:color="auto"/>
            </w:tcBorders>
            <w:vAlign w:val="center"/>
            <w:hideMark/>
          </w:tcPr>
          <w:p w14:paraId="6D22465E" w14:textId="77777777" w:rsidR="00666715" w:rsidRPr="00DC7563" w:rsidRDefault="00666715" w:rsidP="00C16520">
            <w:pPr>
              <w:tabs>
                <w:tab w:val="decimal" w:pos="1354"/>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63,265</w:t>
            </w:r>
          </w:p>
        </w:tc>
        <w:tc>
          <w:tcPr>
            <w:tcW w:w="1231" w:type="dxa"/>
            <w:tcBorders>
              <w:top w:val="nil"/>
              <w:left w:val="nil"/>
              <w:bottom w:val="single" w:sz="4" w:space="0" w:color="auto"/>
              <w:right w:val="single" w:sz="4" w:space="0" w:color="auto"/>
            </w:tcBorders>
            <w:vAlign w:val="center"/>
            <w:hideMark/>
          </w:tcPr>
          <w:p w14:paraId="56F27810" w14:textId="77777777" w:rsidR="00666715" w:rsidRPr="00DC7563" w:rsidRDefault="00666715" w:rsidP="00C16520">
            <w:pPr>
              <w:tabs>
                <w:tab w:val="decimal" w:pos="567"/>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18.8</w:t>
            </w:r>
          </w:p>
        </w:tc>
      </w:tr>
      <w:tr w:rsidR="00666715" w:rsidRPr="00DC7563" w14:paraId="225AB6E9" w14:textId="77777777" w:rsidTr="000A18F0">
        <w:trPr>
          <w:trHeight w:val="70"/>
          <w:jc w:val="center"/>
        </w:trPr>
        <w:tc>
          <w:tcPr>
            <w:tcW w:w="1790" w:type="dxa"/>
            <w:tcBorders>
              <w:top w:val="nil"/>
              <w:left w:val="single" w:sz="4" w:space="0" w:color="auto"/>
              <w:bottom w:val="single" w:sz="4" w:space="0" w:color="auto"/>
              <w:right w:val="single" w:sz="4" w:space="0" w:color="auto"/>
            </w:tcBorders>
            <w:vAlign w:val="center"/>
            <w:hideMark/>
          </w:tcPr>
          <w:p w14:paraId="0201F358" w14:textId="34135208" w:rsidR="00666715" w:rsidRPr="00DC7563" w:rsidRDefault="00666715"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V</w:t>
            </w:r>
            <w:r w:rsidR="005B18A3" w:rsidRPr="00DC7563">
              <w:rPr>
                <w:rFonts w:ascii="Arial" w:hAnsi="Arial" w:cs="Arial"/>
                <w:color w:val="000000"/>
                <w:sz w:val="18"/>
                <w:szCs w:val="18"/>
                <w:lang w:val="en-GB"/>
              </w:rPr>
              <w:t>olkswagen</w:t>
            </w:r>
          </w:p>
        </w:tc>
        <w:tc>
          <w:tcPr>
            <w:tcW w:w="1979" w:type="dxa"/>
            <w:tcBorders>
              <w:top w:val="nil"/>
              <w:left w:val="nil"/>
              <w:bottom w:val="single" w:sz="4" w:space="0" w:color="auto"/>
              <w:right w:val="single" w:sz="4" w:space="0" w:color="auto"/>
            </w:tcBorders>
            <w:vAlign w:val="center"/>
            <w:hideMark/>
          </w:tcPr>
          <w:p w14:paraId="1FE129FF" w14:textId="77777777" w:rsidR="00666715" w:rsidRPr="00DC7563" w:rsidRDefault="00666715" w:rsidP="00C16520">
            <w:pPr>
              <w:tabs>
                <w:tab w:val="decimal" w:pos="1349"/>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67,438</w:t>
            </w:r>
          </w:p>
        </w:tc>
        <w:tc>
          <w:tcPr>
            <w:tcW w:w="2063" w:type="dxa"/>
            <w:tcBorders>
              <w:top w:val="nil"/>
              <w:left w:val="nil"/>
              <w:bottom w:val="single" w:sz="4" w:space="0" w:color="auto"/>
              <w:right w:val="single" w:sz="4" w:space="0" w:color="auto"/>
            </w:tcBorders>
            <w:vAlign w:val="center"/>
            <w:hideMark/>
          </w:tcPr>
          <w:p w14:paraId="1C14E9DE" w14:textId="77777777" w:rsidR="00666715" w:rsidRPr="00DC7563" w:rsidRDefault="00666715" w:rsidP="00C16520">
            <w:pPr>
              <w:tabs>
                <w:tab w:val="decimal" w:pos="1354"/>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67,282</w:t>
            </w:r>
          </w:p>
        </w:tc>
        <w:tc>
          <w:tcPr>
            <w:tcW w:w="1231" w:type="dxa"/>
            <w:tcBorders>
              <w:top w:val="nil"/>
              <w:left w:val="nil"/>
              <w:bottom w:val="single" w:sz="4" w:space="0" w:color="auto"/>
              <w:right w:val="single" w:sz="4" w:space="0" w:color="auto"/>
            </w:tcBorders>
            <w:vAlign w:val="center"/>
            <w:hideMark/>
          </w:tcPr>
          <w:p w14:paraId="695CA60A" w14:textId="77777777" w:rsidR="00666715" w:rsidRPr="00DC7563" w:rsidRDefault="00666715" w:rsidP="00C16520">
            <w:pPr>
              <w:tabs>
                <w:tab w:val="decimal" w:pos="567"/>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0.2</w:t>
            </w:r>
          </w:p>
        </w:tc>
      </w:tr>
      <w:tr w:rsidR="00666715" w:rsidRPr="00DC7563" w14:paraId="0DCDB2C1" w14:textId="77777777" w:rsidTr="000A18F0">
        <w:trPr>
          <w:trHeight w:val="70"/>
          <w:jc w:val="center"/>
        </w:trPr>
        <w:tc>
          <w:tcPr>
            <w:tcW w:w="1790" w:type="dxa"/>
            <w:tcBorders>
              <w:top w:val="nil"/>
              <w:left w:val="single" w:sz="4" w:space="0" w:color="auto"/>
              <w:bottom w:val="single" w:sz="4" w:space="0" w:color="auto"/>
              <w:right w:val="single" w:sz="4" w:space="0" w:color="auto"/>
            </w:tcBorders>
            <w:vAlign w:val="center"/>
            <w:hideMark/>
          </w:tcPr>
          <w:p w14:paraId="0D27C3FE" w14:textId="77777777" w:rsidR="00666715" w:rsidRPr="00DC7563" w:rsidRDefault="00666715"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Mercedes-Benz</w:t>
            </w:r>
          </w:p>
        </w:tc>
        <w:tc>
          <w:tcPr>
            <w:tcW w:w="1979" w:type="dxa"/>
            <w:tcBorders>
              <w:top w:val="nil"/>
              <w:left w:val="nil"/>
              <w:bottom w:val="single" w:sz="4" w:space="0" w:color="auto"/>
              <w:right w:val="single" w:sz="4" w:space="0" w:color="auto"/>
            </w:tcBorders>
            <w:vAlign w:val="center"/>
            <w:hideMark/>
          </w:tcPr>
          <w:p w14:paraId="4996955B" w14:textId="77777777" w:rsidR="00666715" w:rsidRPr="00DC7563" w:rsidRDefault="00666715" w:rsidP="00C16520">
            <w:pPr>
              <w:tabs>
                <w:tab w:val="decimal" w:pos="1349"/>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60,839</w:t>
            </w:r>
          </w:p>
        </w:tc>
        <w:tc>
          <w:tcPr>
            <w:tcW w:w="2063" w:type="dxa"/>
            <w:tcBorders>
              <w:top w:val="nil"/>
              <w:left w:val="nil"/>
              <w:bottom w:val="single" w:sz="4" w:space="0" w:color="auto"/>
              <w:right w:val="single" w:sz="4" w:space="0" w:color="auto"/>
            </w:tcBorders>
            <w:vAlign w:val="center"/>
            <w:hideMark/>
          </w:tcPr>
          <w:p w14:paraId="30EC92BC" w14:textId="77777777" w:rsidR="00666715" w:rsidRPr="00DC7563" w:rsidRDefault="00666715" w:rsidP="00C16520">
            <w:pPr>
              <w:tabs>
                <w:tab w:val="decimal" w:pos="1354"/>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53,731</w:t>
            </w:r>
          </w:p>
        </w:tc>
        <w:tc>
          <w:tcPr>
            <w:tcW w:w="1231" w:type="dxa"/>
            <w:tcBorders>
              <w:top w:val="nil"/>
              <w:left w:val="nil"/>
              <w:bottom w:val="single" w:sz="4" w:space="0" w:color="auto"/>
              <w:right w:val="single" w:sz="4" w:space="0" w:color="auto"/>
            </w:tcBorders>
            <w:vAlign w:val="center"/>
            <w:hideMark/>
          </w:tcPr>
          <w:p w14:paraId="7EC6057E" w14:textId="77777777" w:rsidR="00666715" w:rsidRPr="00DC7563" w:rsidRDefault="00666715" w:rsidP="00C16520">
            <w:pPr>
              <w:tabs>
                <w:tab w:val="decimal" w:pos="567"/>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13.2</w:t>
            </w:r>
          </w:p>
        </w:tc>
      </w:tr>
      <w:tr w:rsidR="00666715" w:rsidRPr="00DC7563" w14:paraId="7AF375BB" w14:textId="77777777" w:rsidTr="000A18F0">
        <w:trPr>
          <w:trHeight w:val="70"/>
          <w:jc w:val="center"/>
        </w:trPr>
        <w:tc>
          <w:tcPr>
            <w:tcW w:w="1790" w:type="dxa"/>
            <w:tcBorders>
              <w:top w:val="nil"/>
              <w:left w:val="single" w:sz="4" w:space="0" w:color="auto"/>
              <w:bottom w:val="single" w:sz="4" w:space="0" w:color="auto"/>
              <w:right w:val="single" w:sz="4" w:space="0" w:color="auto"/>
            </w:tcBorders>
            <w:vAlign w:val="center"/>
            <w:hideMark/>
          </w:tcPr>
          <w:p w14:paraId="274F52E2" w14:textId="77777777" w:rsidR="00666715" w:rsidRPr="00DC7563" w:rsidRDefault="00666715"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Hino</w:t>
            </w:r>
          </w:p>
        </w:tc>
        <w:tc>
          <w:tcPr>
            <w:tcW w:w="1979" w:type="dxa"/>
            <w:tcBorders>
              <w:top w:val="nil"/>
              <w:left w:val="nil"/>
              <w:bottom w:val="single" w:sz="4" w:space="0" w:color="auto"/>
              <w:right w:val="single" w:sz="4" w:space="0" w:color="auto"/>
            </w:tcBorders>
            <w:vAlign w:val="center"/>
            <w:hideMark/>
          </w:tcPr>
          <w:p w14:paraId="292B677E" w14:textId="77777777" w:rsidR="00666715" w:rsidRPr="00DC7563" w:rsidRDefault="00666715" w:rsidP="00C16520">
            <w:pPr>
              <w:tabs>
                <w:tab w:val="decimal" w:pos="1349"/>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57,422</w:t>
            </w:r>
          </w:p>
        </w:tc>
        <w:tc>
          <w:tcPr>
            <w:tcW w:w="2063" w:type="dxa"/>
            <w:tcBorders>
              <w:top w:val="nil"/>
              <w:left w:val="nil"/>
              <w:bottom w:val="single" w:sz="4" w:space="0" w:color="auto"/>
              <w:right w:val="single" w:sz="4" w:space="0" w:color="auto"/>
            </w:tcBorders>
            <w:vAlign w:val="center"/>
            <w:hideMark/>
          </w:tcPr>
          <w:p w14:paraId="012E19E1" w14:textId="77777777" w:rsidR="00666715" w:rsidRPr="00DC7563" w:rsidRDefault="00666715" w:rsidP="00C16520">
            <w:pPr>
              <w:tabs>
                <w:tab w:val="decimal" w:pos="1354"/>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48,189</w:t>
            </w:r>
          </w:p>
        </w:tc>
        <w:tc>
          <w:tcPr>
            <w:tcW w:w="1231" w:type="dxa"/>
            <w:tcBorders>
              <w:top w:val="nil"/>
              <w:left w:val="nil"/>
              <w:bottom w:val="single" w:sz="4" w:space="0" w:color="auto"/>
              <w:right w:val="single" w:sz="4" w:space="0" w:color="auto"/>
            </w:tcBorders>
            <w:vAlign w:val="center"/>
            <w:hideMark/>
          </w:tcPr>
          <w:p w14:paraId="60A37CB1" w14:textId="77777777" w:rsidR="00666715" w:rsidRPr="00DC7563" w:rsidRDefault="00666715" w:rsidP="00C16520">
            <w:pPr>
              <w:tabs>
                <w:tab w:val="decimal" w:pos="567"/>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19.2</w:t>
            </w:r>
          </w:p>
        </w:tc>
      </w:tr>
      <w:tr w:rsidR="00666715" w:rsidRPr="00DC7563" w14:paraId="4527FE04" w14:textId="77777777" w:rsidTr="000A18F0">
        <w:trPr>
          <w:trHeight w:val="70"/>
          <w:jc w:val="center"/>
        </w:trPr>
        <w:tc>
          <w:tcPr>
            <w:tcW w:w="1790" w:type="dxa"/>
            <w:tcBorders>
              <w:top w:val="nil"/>
              <w:left w:val="single" w:sz="4" w:space="0" w:color="auto"/>
              <w:bottom w:val="single" w:sz="4" w:space="0" w:color="auto"/>
              <w:right w:val="single" w:sz="4" w:space="0" w:color="auto"/>
            </w:tcBorders>
            <w:vAlign w:val="center"/>
            <w:hideMark/>
          </w:tcPr>
          <w:p w14:paraId="68F86DA8" w14:textId="77777777" w:rsidR="00666715" w:rsidRPr="00DC7563" w:rsidRDefault="00666715"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BMW</w:t>
            </w:r>
          </w:p>
        </w:tc>
        <w:tc>
          <w:tcPr>
            <w:tcW w:w="1979" w:type="dxa"/>
            <w:tcBorders>
              <w:top w:val="nil"/>
              <w:left w:val="nil"/>
              <w:bottom w:val="single" w:sz="4" w:space="0" w:color="auto"/>
              <w:right w:val="single" w:sz="4" w:space="0" w:color="auto"/>
            </w:tcBorders>
            <w:vAlign w:val="center"/>
            <w:hideMark/>
          </w:tcPr>
          <w:p w14:paraId="1D93C76F" w14:textId="77777777" w:rsidR="00666715" w:rsidRPr="00DC7563" w:rsidRDefault="00666715" w:rsidP="00C16520">
            <w:pPr>
              <w:tabs>
                <w:tab w:val="decimal" w:pos="1349"/>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45,645</w:t>
            </w:r>
          </w:p>
        </w:tc>
        <w:tc>
          <w:tcPr>
            <w:tcW w:w="2063" w:type="dxa"/>
            <w:tcBorders>
              <w:top w:val="nil"/>
              <w:left w:val="nil"/>
              <w:bottom w:val="single" w:sz="4" w:space="0" w:color="auto"/>
              <w:right w:val="single" w:sz="4" w:space="0" w:color="auto"/>
            </w:tcBorders>
            <w:vAlign w:val="center"/>
            <w:hideMark/>
          </w:tcPr>
          <w:p w14:paraId="4956BB66" w14:textId="77777777" w:rsidR="00666715" w:rsidRPr="00DC7563" w:rsidRDefault="00666715" w:rsidP="00C16520">
            <w:pPr>
              <w:tabs>
                <w:tab w:val="decimal" w:pos="1354"/>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46,037</w:t>
            </w:r>
          </w:p>
        </w:tc>
        <w:tc>
          <w:tcPr>
            <w:tcW w:w="1231" w:type="dxa"/>
            <w:tcBorders>
              <w:top w:val="nil"/>
              <w:left w:val="nil"/>
              <w:bottom w:val="single" w:sz="4" w:space="0" w:color="auto"/>
              <w:right w:val="single" w:sz="4" w:space="0" w:color="auto"/>
            </w:tcBorders>
            <w:vAlign w:val="center"/>
            <w:hideMark/>
          </w:tcPr>
          <w:p w14:paraId="1F601C3C" w14:textId="0B67EDBB" w:rsidR="00666715" w:rsidRPr="00DC7563" w:rsidRDefault="002A00B9" w:rsidP="00C16520">
            <w:pPr>
              <w:tabs>
                <w:tab w:val="decimal" w:pos="567"/>
              </w:tabs>
              <w:spacing w:line="276" w:lineRule="auto"/>
              <w:rPr>
                <w:rFonts w:ascii="Arial" w:hAnsi="Arial" w:cs="Arial"/>
                <w:color w:val="000000"/>
                <w:sz w:val="18"/>
                <w:szCs w:val="18"/>
                <w:lang w:val="en-GB"/>
              </w:rPr>
            </w:pPr>
            <w:r>
              <w:rPr>
                <w:rFonts w:ascii="Arial" w:hAnsi="Arial" w:cs="Arial"/>
                <w:color w:val="000000"/>
                <w:sz w:val="18"/>
                <w:szCs w:val="18"/>
                <w:lang w:val="en-GB"/>
              </w:rPr>
              <w:t>(</w:t>
            </w:r>
            <w:r w:rsidR="00666715" w:rsidRPr="00DC7563">
              <w:rPr>
                <w:rFonts w:ascii="Arial" w:hAnsi="Arial" w:cs="Arial"/>
                <w:color w:val="000000"/>
                <w:sz w:val="18"/>
                <w:szCs w:val="18"/>
                <w:lang w:val="en-GB"/>
              </w:rPr>
              <w:t>0.9</w:t>
            </w:r>
            <w:r>
              <w:rPr>
                <w:rFonts w:ascii="Arial" w:hAnsi="Arial" w:cs="Arial"/>
                <w:color w:val="000000"/>
                <w:sz w:val="18"/>
                <w:szCs w:val="18"/>
                <w:lang w:val="en-GB"/>
              </w:rPr>
              <w:t>)</w:t>
            </w:r>
          </w:p>
        </w:tc>
      </w:tr>
      <w:tr w:rsidR="00666715" w:rsidRPr="00DC7563" w14:paraId="6BE76CEC" w14:textId="77777777" w:rsidTr="000A18F0">
        <w:trPr>
          <w:trHeight w:val="70"/>
          <w:jc w:val="center"/>
        </w:trPr>
        <w:tc>
          <w:tcPr>
            <w:tcW w:w="1790" w:type="dxa"/>
            <w:tcBorders>
              <w:top w:val="nil"/>
              <w:left w:val="single" w:sz="4" w:space="0" w:color="auto"/>
              <w:bottom w:val="single" w:sz="4" w:space="0" w:color="auto"/>
              <w:right w:val="single" w:sz="4" w:space="0" w:color="auto"/>
            </w:tcBorders>
            <w:vAlign w:val="center"/>
            <w:hideMark/>
          </w:tcPr>
          <w:p w14:paraId="2A48BF96" w14:textId="77777777" w:rsidR="00666715" w:rsidRPr="00DC7563" w:rsidRDefault="00666715"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Lexus</w:t>
            </w:r>
          </w:p>
        </w:tc>
        <w:tc>
          <w:tcPr>
            <w:tcW w:w="1979" w:type="dxa"/>
            <w:tcBorders>
              <w:top w:val="nil"/>
              <w:left w:val="nil"/>
              <w:bottom w:val="single" w:sz="4" w:space="0" w:color="auto"/>
              <w:right w:val="single" w:sz="4" w:space="0" w:color="auto"/>
            </w:tcBorders>
            <w:vAlign w:val="center"/>
            <w:hideMark/>
          </w:tcPr>
          <w:p w14:paraId="43EAB90E" w14:textId="77777777" w:rsidR="00666715" w:rsidRPr="00DC7563" w:rsidRDefault="00666715" w:rsidP="00C16520">
            <w:pPr>
              <w:tabs>
                <w:tab w:val="decimal" w:pos="1349"/>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44,246</w:t>
            </w:r>
          </w:p>
        </w:tc>
        <w:tc>
          <w:tcPr>
            <w:tcW w:w="2063" w:type="dxa"/>
            <w:tcBorders>
              <w:top w:val="nil"/>
              <w:left w:val="nil"/>
              <w:bottom w:val="single" w:sz="4" w:space="0" w:color="auto"/>
              <w:right w:val="single" w:sz="4" w:space="0" w:color="auto"/>
            </w:tcBorders>
            <w:vAlign w:val="center"/>
            <w:hideMark/>
          </w:tcPr>
          <w:p w14:paraId="1ECA2694" w14:textId="77777777" w:rsidR="00666715" w:rsidRPr="00DC7563" w:rsidRDefault="00666715" w:rsidP="00C16520">
            <w:pPr>
              <w:tabs>
                <w:tab w:val="decimal" w:pos="1354"/>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46,772</w:t>
            </w:r>
          </w:p>
        </w:tc>
        <w:tc>
          <w:tcPr>
            <w:tcW w:w="1231" w:type="dxa"/>
            <w:tcBorders>
              <w:top w:val="nil"/>
              <w:left w:val="nil"/>
              <w:bottom w:val="single" w:sz="4" w:space="0" w:color="auto"/>
              <w:right w:val="single" w:sz="4" w:space="0" w:color="auto"/>
            </w:tcBorders>
            <w:vAlign w:val="center"/>
            <w:hideMark/>
          </w:tcPr>
          <w:p w14:paraId="4C36C319" w14:textId="60992C50" w:rsidR="00666715" w:rsidRPr="00DC7563" w:rsidRDefault="002A00B9" w:rsidP="00C16520">
            <w:pPr>
              <w:tabs>
                <w:tab w:val="decimal" w:pos="567"/>
              </w:tabs>
              <w:spacing w:line="276" w:lineRule="auto"/>
              <w:rPr>
                <w:rFonts w:ascii="Arial" w:hAnsi="Arial" w:cs="Arial"/>
                <w:color w:val="000000"/>
                <w:sz w:val="18"/>
                <w:szCs w:val="18"/>
                <w:lang w:val="en-GB"/>
              </w:rPr>
            </w:pPr>
            <w:r>
              <w:rPr>
                <w:rFonts w:ascii="Arial" w:hAnsi="Arial" w:cs="Arial"/>
                <w:color w:val="000000"/>
                <w:sz w:val="18"/>
                <w:szCs w:val="18"/>
                <w:lang w:val="en-GB"/>
              </w:rPr>
              <w:t>(</w:t>
            </w:r>
            <w:r w:rsidR="00666715" w:rsidRPr="00DC7563">
              <w:rPr>
                <w:rFonts w:ascii="Arial" w:hAnsi="Arial" w:cs="Arial"/>
                <w:color w:val="000000"/>
                <w:sz w:val="18"/>
                <w:szCs w:val="18"/>
                <w:lang w:val="en-GB"/>
              </w:rPr>
              <w:t>5.4</w:t>
            </w:r>
            <w:r>
              <w:rPr>
                <w:rFonts w:ascii="Arial" w:hAnsi="Arial" w:cs="Arial"/>
                <w:color w:val="000000"/>
                <w:sz w:val="18"/>
                <w:szCs w:val="18"/>
                <w:lang w:val="en-GB"/>
              </w:rPr>
              <w:t>)</w:t>
            </w:r>
          </w:p>
        </w:tc>
      </w:tr>
      <w:tr w:rsidR="00666715" w:rsidRPr="00DC7563" w14:paraId="6DD60EA2" w14:textId="77777777" w:rsidTr="000A18F0">
        <w:trPr>
          <w:trHeight w:val="70"/>
          <w:jc w:val="center"/>
        </w:trPr>
        <w:tc>
          <w:tcPr>
            <w:tcW w:w="1790" w:type="dxa"/>
            <w:tcBorders>
              <w:top w:val="nil"/>
              <w:left w:val="single" w:sz="4" w:space="0" w:color="auto"/>
              <w:bottom w:val="single" w:sz="4" w:space="0" w:color="auto"/>
              <w:right w:val="single" w:sz="4" w:space="0" w:color="auto"/>
            </w:tcBorders>
            <w:vAlign w:val="center"/>
            <w:hideMark/>
          </w:tcPr>
          <w:p w14:paraId="284A8795" w14:textId="77777777" w:rsidR="00666715" w:rsidRPr="00DC7563" w:rsidRDefault="00666715"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Mitsubishi Fuso</w:t>
            </w:r>
          </w:p>
        </w:tc>
        <w:tc>
          <w:tcPr>
            <w:tcW w:w="1979" w:type="dxa"/>
            <w:tcBorders>
              <w:top w:val="nil"/>
              <w:left w:val="nil"/>
              <w:bottom w:val="single" w:sz="4" w:space="0" w:color="auto"/>
              <w:right w:val="single" w:sz="4" w:space="0" w:color="auto"/>
            </w:tcBorders>
            <w:vAlign w:val="center"/>
            <w:hideMark/>
          </w:tcPr>
          <w:p w14:paraId="4E401DB2" w14:textId="77777777" w:rsidR="00666715" w:rsidRPr="00DC7563" w:rsidRDefault="00666715" w:rsidP="00C16520">
            <w:pPr>
              <w:tabs>
                <w:tab w:val="decimal" w:pos="1349"/>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42,509</w:t>
            </w:r>
          </w:p>
        </w:tc>
        <w:tc>
          <w:tcPr>
            <w:tcW w:w="2063" w:type="dxa"/>
            <w:tcBorders>
              <w:top w:val="nil"/>
              <w:left w:val="nil"/>
              <w:bottom w:val="single" w:sz="4" w:space="0" w:color="auto"/>
              <w:right w:val="single" w:sz="4" w:space="0" w:color="auto"/>
            </w:tcBorders>
            <w:vAlign w:val="center"/>
            <w:hideMark/>
          </w:tcPr>
          <w:p w14:paraId="0CC002D8" w14:textId="77777777" w:rsidR="00666715" w:rsidRPr="00DC7563" w:rsidRDefault="00666715" w:rsidP="00C16520">
            <w:pPr>
              <w:tabs>
                <w:tab w:val="decimal" w:pos="1354"/>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36,731</w:t>
            </w:r>
          </w:p>
        </w:tc>
        <w:tc>
          <w:tcPr>
            <w:tcW w:w="1231" w:type="dxa"/>
            <w:tcBorders>
              <w:top w:val="nil"/>
              <w:left w:val="nil"/>
              <w:bottom w:val="single" w:sz="4" w:space="0" w:color="auto"/>
              <w:right w:val="single" w:sz="4" w:space="0" w:color="auto"/>
            </w:tcBorders>
            <w:vAlign w:val="center"/>
            <w:hideMark/>
          </w:tcPr>
          <w:p w14:paraId="3D39CF64" w14:textId="77777777" w:rsidR="00666715" w:rsidRPr="00DC7563" w:rsidRDefault="00666715" w:rsidP="00C16520">
            <w:pPr>
              <w:tabs>
                <w:tab w:val="decimal" w:pos="567"/>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15.7</w:t>
            </w:r>
          </w:p>
        </w:tc>
      </w:tr>
      <w:tr w:rsidR="00666715" w:rsidRPr="00DC7563" w14:paraId="09ED6A31" w14:textId="77777777" w:rsidTr="000A18F0">
        <w:trPr>
          <w:trHeight w:val="70"/>
          <w:jc w:val="center"/>
        </w:trPr>
        <w:tc>
          <w:tcPr>
            <w:tcW w:w="1790" w:type="dxa"/>
            <w:tcBorders>
              <w:top w:val="nil"/>
              <w:left w:val="single" w:sz="4" w:space="0" w:color="auto"/>
              <w:bottom w:val="single" w:sz="4" w:space="0" w:color="auto"/>
              <w:right w:val="single" w:sz="4" w:space="0" w:color="auto"/>
            </w:tcBorders>
            <w:vAlign w:val="center"/>
            <w:hideMark/>
          </w:tcPr>
          <w:p w14:paraId="47FC5EDA" w14:textId="77777777" w:rsidR="00666715" w:rsidRPr="00DC7563" w:rsidRDefault="00666715"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Audi</w:t>
            </w:r>
          </w:p>
        </w:tc>
        <w:tc>
          <w:tcPr>
            <w:tcW w:w="1979" w:type="dxa"/>
            <w:tcBorders>
              <w:top w:val="nil"/>
              <w:left w:val="nil"/>
              <w:bottom w:val="single" w:sz="4" w:space="0" w:color="auto"/>
              <w:right w:val="single" w:sz="4" w:space="0" w:color="auto"/>
            </w:tcBorders>
            <w:vAlign w:val="center"/>
            <w:hideMark/>
          </w:tcPr>
          <w:p w14:paraId="37CFB0BB" w14:textId="77777777" w:rsidR="00666715" w:rsidRPr="00DC7563" w:rsidRDefault="00666715" w:rsidP="00C16520">
            <w:pPr>
              <w:tabs>
                <w:tab w:val="decimal" w:pos="1349"/>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31,413</w:t>
            </w:r>
          </w:p>
        </w:tc>
        <w:tc>
          <w:tcPr>
            <w:tcW w:w="2063" w:type="dxa"/>
            <w:tcBorders>
              <w:top w:val="nil"/>
              <w:left w:val="nil"/>
              <w:bottom w:val="single" w:sz="4" w:space="0" w:color="auto"/>
              <w:right w:val="single" w:sz="4" w:space="0" w:color="auto"/>
            </w:tcBorders>
            <w:vAlign w:val="center"/>
            <w:hideMark/>
          </w:tcPr>
          <w:p w14:paraId="35BBC01D" w14:textId="77777777" w:rsidR="00666715" w:rsidRPr="00DC7563" w:rsidRDefault="00666715" w:rsidP="00C16520">
            <w:pPr>
              <w:tabs>
                <w:tab w:val="decimal" w:pos="1354"/>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28,676</w:t>
            </w:r>
          </w:p>
        </w:tc>
        <w:tc>
          <w:tcPr>
            <w:tcW w:w="1231" w:type="dxa"/>
            <w:tcBorders>
              <w:top w:val="nil"/>
              <w:left w:val="nil"/>
              <w:bottom w:val="single" w:sz="4" w:space="0" w:color="auto"/>
              <w:right w:val="single" w:sz="4" w:space="0" w:color="auto"/>
            </w:tcBorders>
            <w:vAlign w:val="center"/>
            <w:hideMark/>
          </w:tcPr>
          <w:p w14:paraId="7EC5EBA1" w14:textId="77777777" w:rsidR="00666715" w:rsidRPr="00DC7563" w:rsidRDefault="00666715" w:rsidP="00C16520">
            <w:pPr>
              <w:tabs>
                <w:tab w:val="decimal" w:pos="567"/>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9.5</w:t>
            </w:r>
          </w:p>
        </w:tc>
      </w:tr>
      <w:tr w:rsidR="00666715" w:rsidRPr="00DC7563" w14:paraId="6536F9A6" w14:textId="77777777" w:rsidTr="000A18F0">
        <w:trPr>
          <w:trHeight w:val="70"/>
          <w:jc w:val="center"/>
        </w:trPr>
        <w:tc>
          <w:tcPr>
            <w:tcW w:w="1790" w:type="dxa"/>
            <w:tcBorders>
              <w:top w:val="nil"/>
              <w:left w:val="single" w:sz="4" w:space="0" w:color="auto"/>
              <w:bottom w:val="single" w:sz="4" w:space="0" w:color="auto"/>
              <w:right w:val="single" w:sz="4" w:space="0" w:color="auto"/>
            </w:tcBorders>
            <w:vAlign w:val="center"/>
            <w:hideMark/>
          </w:tcPr>
          <w:p w14:paraId="740F8016" w14:textId="77777777" w:rsidR="00666715" w:rsidRPr="00DC7563" w:rsidRDefault="00666715"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BMW MINI</w:t>
            </w:r>
          </w:p>
        </w:tc>
        <w:tc>
          <w:tcPr>
            <w:tcW w:w="1979" w:type="dxa"/>
            <w:tcBorders>
              <w:top w:val="nil"/>
              <w:left w:val="nil"/>
              <w:bottom w:val="single" w:sz="4" w:space="0" w:color="auto"/>
              <w:right w:val="single" w:sz="4" w:space="0" w:color="auto"/>
            </w:tcBorders>
            <w:vAlign w:val="center"/>
            <w:hideMark/>
          </w:tcPr>
          <w:p w14:paraId="11B1C53B" w14:textId="77777777" w:rsidR="00666715" w:rsidRPr="00DC7563" w:rsidRDefault="00666715" w:rsidP="00C16520">
            <w:pPr>
              <w:tabs>
                <w:tab w:val="decimal" w:pos="1349"/>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17,596</w:t>
            </w:r>
          </w:p>
        </w:tc>
        <w:tc>
          <w:tcPr>
            <w:tcW w:w="2063" w:type="dxa"/>
            <w:tcBorders>
              <w:top w:val="nil"/>
              <w:left w:val="nil"/>
              <w:bottom w:val="single" w:sz="4" w:space="0" w:color="auto"/>
              <w:right w:val="single" w:sz="4" w:space="0" w:color="auto"/>
            </w:tcBorders>
            <w:vAlign w:val="center"/>
            <w:hideMark/>
          </w:tcPr>
          <w:p w14:paraId="6BE81803" w14:textId="77777777" w:rsidR="00666715" w:rsidRPr="00DC7563" w:rsidRDefault="00666715" w:rsidP="00C16520">
            <w:pPr>
              <w:tabs>
                <w:tab w:val="decimal" w:pos="1354"/>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16,982</w:t>
            </w:r>
          </w:p>
        </w:tc>
        <w:tc>
          <w:tcPr>
            <w:tcW w:w="1231" w:type="dxa"/>
            <w:tcBorders>
              <w:top w:val="nil"/>
              <w:left w:val="nil"/>
              <w:bottom w:val="single" w:sz="4" w:space="0" w:color="auto"/>
              <w:right w:val="single" w:sz="4" w:space="0" w:color="auto"/>
            </w:tcBorders>
            <w:vAlign w:val="center"/>
            <w:hideMark/>
          </w:tcPr>
          <w:p w14:paraId="41EE120B" w14:textId="77777777" w:rsidR="00666715" w:rsidRPr="00DC7563" w:rsidRDefault="00666715" w:rsidP="00C16520">
            <w:pPr>
              <w:tabs>
                <w:tab w:val="decimal" w:pos="567"/>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3.6</w:t>
            </w:r>
          </w:p>
        </w:tc>
      </w:tr>
      <w:tr w:rsidR="00666715" w:rsidRPr="00DC7563" w14:paraId="6BB4C454" w14:textId="77777777" w:rsidTr="000A18F0">
        <w:trPr>
          <w:trHeight w:val="70"/>
          <w:jc w:val="center"/>
        </w:trPr>
        <w:tc>
          <w:tcPr>
            <w:tcW w:w="1790" w:type="dxa"/>
            <w:tcBorders>
              <w:top w:val="nil"/>
              <w:left w:val="single" w:sz="4" w:space="0" w:color="auto"/>
              <w:bottom w:val="single" w:sz="4" w:space="0" w:color="auto"/>
              <w:right w:val="single" w:sz="4" w:space="0" w:color="auto"/>
            </w:tcBorders>
            <w:vAlign w:val="center"/>
            <w:hideMark/>
          </w:tcPr>
          <w:p w14:paraId="0914445A" w14:textId="77777777" w:rsidR="00666715" w:rsidRPr="00DC7563" w:rsidRDefault="00666715"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Volvo</w:t>
            </w:r>
          </w:p>
        </w:tc>
        <w:tc>
          <w:tcPr>
            <w:tcW w:w="1979" w:type="dxa"/>
            <w:tcBorders>
              <w:top w:val="nil"/>
              <w:left w:val="nil"/>
              <w:bottom w:val="single" w:sz="4" w:space="0" w:color="auto"/>
              <w:right w:val="single" w:sz="4" w:space="0" w:color="auto"/>
            </w:tcBorders>
            <w:vAlign w:val="center"/>
            <w:hideMark/>
          </w:tcPr>
          <w:p w14:paraId="698EEB83" w14:textId="77777777" w:rsidR="00666715" w:rsidRPr="00DC7563" w:rsidRDefault="00666715" w:rsidP="00C16520">
            <w:pPr>
              <w:tabs>
                <w:tab w:val="decimal" w:pos="1349"/>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13,520</w:t>
            </w:r>
          </w:p>
        </w:tc>
        <w:tc>
          <w:tcPr>
            <w:tcW w:w="2063" w:type="dxa"/>
            <w:tcBorders>
              <w:top w:val="nil"/>
              <w:left w:val="nil"/>
              <w:bottom w:val="single" w:sz="4" w:space="0" w:color="auto"/>
              <w:right w:val="single" w:sz="4" w:space="0" w:color="auto"/>
            </w:tcBorders>
            <w:vAlign w:val="center"/>
            <w:hideMark/>
          </w:tcPr>
          <w:p w14:paraId="2AEDF0FC" w14:textId="77777777" w:rsidR="00666715" w:rsidRPr="00DC7563" w:rsidRDefault="00666715" w:rsidP="00C16520">
            <w:pPr>
              <w:tabs>
                <w:tab w:val="decimal" w:pos="1354"/>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17,149</w:t>
            </w:r>
          </w:p>
        </w:tc>
        <w:tc>
          <w:tcPr>
            <w:tcW w:w="1231" w:type="dxa"/>
            <w:tcBorders>
              <w:top w:val="nil"/>
              <w:left w:val="nil"/>
              <w:bottom w:val="single" w:sz="4" w:space="0" w:color="auto"/>
              <w:right w:val="single" w:sz="4" w:space="0" w:color="auto"/>
            </w:tcBorders>
            <w:vAlign w:val="center"/>
            <w:hideMark/>
          </w:tcPr>
          <w:p w14:paraId="0542B8B6" w14:textId="330BF1E3" w:rsidR="00666715" w:rsidRPr="00DC7563" w:rsidRDefault="002A00B9" w:rsidP="00C16520">
            <w:pPr>
              <w:tabs>
                <w:tab w:val="decimal" w:pos="567"/>
              </w:tabs>
              <w:spacing w:line="276" w:lineRule="auto"/>
              <w:rPr>
                <w:rFonts w:ascii="Arial" w:hAnsi="Arial" w:cs="Arial"/>
                <w:color w:val="000000"/>
                <w:sz w:val="18"/>
                <w:szCs w:val="18"/>
                <w:lang w:val="en-GB"/>
              </w:rPr>
            </w:pPr>
            <w:r>
              <w:rPr>
                <w:rFonts w:ascii="Arial" w:hAnsi="Arial" w:cs="Arial"/>
                <w:color w:val="000000"/>
                <w:sz w:val="18"/>
                <w:szCs w:val="18"/>
                <w:lang w:val="en-GB"/>
              </w:rPr>
              <w:t>(</w:t>
            </w:r>
            <w:r w:rsidR="00666715" w:rsidRPr="00DC7563">
              <w:rPr>
                <w:rFonts w:ascii="Arial" w:hAnsi="Arial" w:cs="Arial"/>
                <w:color w:val="000000"/>
                <w:sz w:val="18"/>
                <w:szCs w:val="18"/>
                <w:lang w:val="en-GB"/>
              </w:rPr>
              <w:t>21.2</w:t>
            </w:r>
            <w:r>
              <w:rPr>
                <w:rFonts w:ascii="Arial" w:hAnsi="Arial" w:cs="Arial"/>
                <w:color w:val="000000"/>
                <w:sz w:val="18"/>
                <w:szCs w:val="18"/>
                <w:lang w:val="en-GB"/>
              </w:rPr>
              <w:t>)</w:t>
            </w:r>
          </w:p>
        </w:tc>
      </w:tr>
      <w:tr w:rsidR="00666715" w:rsidRPr="00DC7563" w14:paraId="5F95AC7C" w14:textId="77777777" w:rsidTr="000A18F0">
        <w:trPr>
          <w:trHeight w:val="70"/>
          <w:jc w:val="center"/>
        </w:trPr>
        <w:tc>
          <w:tcPr>
            <w:tcW w:w="1790" w:type="dxa"/>
            <w:tcBorders>
              <w:top w:val="nil"/>
              <w:left w:val="single" w:sz="4" w:space="0" w:color="auto"/>
              <w:bottom w:val="single" w:sz="4" w:space="0" w:color="auto"/>
              <w:right w:val="single" w:sz="4" w:space="0" w:color="auto"/>
            </w:tcBorders>
            <w:vAlign w:val="center"/>
            <w:hideMark/>
          </w:tcPr>
          <w:p w14:paraId="10DCBCC9" w14:textId="77777777" w:rsidR="00666715" w:rsidRPr="00DC7563" w:rsidRDefault="00666715"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UD Trucks</w:t>
            </w:r>
          </w:p>
        </w:tc>
        <w:tc>
          <w:tcPr>
            <w:tcW w:w="1979" w:type="dxa"/>
            <w:tcBorders>
              <w:top w:val="nil"/>
              <w:left w:val="nil"/>
              <w:bottom w:val="single" w:sz="4" w:space="0" w:color="auto"/>
              <w:right w:val="single" w:sz="4" w:space="0" w:color="auto"/>
            </w:tcBorders>
            <w:vAlign w:val="center"/>
            <w:hideMark/>
          </w:tcPr>
          <w:p w14:paraId="7F431EA4" w14:textId="77777777" w:rsidR="00666715" w:rsidRPr="00DC7563" w:rsidRDefault="00666715" w:rsidP="00C16520">
            <w:pPr>
              <w:tabs>
                <w:tab w:val="decimal" w:pos="1349"/>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11,072</w:t>
            </w:r>
          </w:p>
        </w:tc>
        <w:tc>
          <w:tcPr>
            <w:tcW w:w="2063" w:type="dxa"/>
            <w:tcBorders>
              <w:top w:val="nil"/>
              <w:left w:val="nil"/>
              <w:bottom w:val="single" w:sz="4" w:space="0" w:color="auto"/>
              <w:right w:val="single" w:sz="4" w:space="0" w:color="auto"/>
            </w:tcBorders>
            <w:vAlign w:val="center"/>
            <w:hideMark/>
          </w:tcPr>
          <w:p w14:paraId="4CFB7F8D" w14:textId="77777777" w:rsidR="00666715" w:rsidRPr="00DC7563" w:rsidRDefault="00666715" w:rsidP="00C16520">
            <w:pPr>
              <w:tabs>
                <w:tab w:val="decimal" w:pos="1354"/>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9,284</w:t>
            </w:r>
          </w:p>
        </w:tc>
        <w:tc>
          <w:tcPr>
            <w:tcW w:w="1231" w:type="dxa"/>
            <w:tcBorders>
              <w:top w:val="nil"/>
              <w:left w:val="nil"/>
              <w:bottom w:val="single" w:sz="4" w:space="0" w:color="auto"/>
              <w:right w:val="single" w:sz="4" w:space="0" w:color="auto"/>
            </w:tcBorders>
            <w:vAlign w:val="center"/>
            <w:hideMark/>
          </w:tcPr>
          <w:p w14:paraId="6759155E" w14:textId="77777777" w:rsidR="00666715" w:rsidRPr="00DC7563" w:rsidRDefault="00666715" w:rsidP="00C16520">
            <w:pPr>
              <w:tabs>
                <w:tab w:val="decimal" w:pos="567"/>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19.3</w:t>
            </w:r>
          </w:p>
        </w:tc>
      </w:tr>
      <w:tr w:rsidR="00666715" w:rsidRPr="00DC7563" w14:paraId="44DCFCE5" w14:textId="77777777" w:rsidTr="000A18F0">
        <w:trPr>
          <w:trHeight w:val="70"/>
          <w:jc w:val="center"/>
        </w:trPr>
        <w:tc>
          <w:tcPr>
            <w:tcW w:w="1790" w:type="dxa"/>
            <w:tcBorders>
              <w:top w:val="nil"/>
              <w:left w:val="single" w:sz="4" w:space="0" w:color="auto"/>
              <w:bottom w:val="single" w:sz="4" w:space="0" w:color="auto"/>
              <w:right w:val="single" w:sz="4" w:space="0" w:color="auto"/>
            </w:tcBorders>
            <w:vAlign w:val="center"/>
            <w:hideMark/>
          </w:tcPr>
          <w:p w14:paraId="0C06FC1F" w14:textId="77777777" w:rsidR="00666715" w:rsidRPr="00DC7563" w:rsidRDefault="00666715"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Fiat</w:t>
            </w:r>
          </w:p>
        </w:tc>
        <w:tc>
          <w:tcPr>
            <w:tcW w:w="1979" w:type="dxa"/>
            <w:tcBorders>
              <w:top w:val="nil"/>
              <w:left w:val="nil"/>
              <w:bottom w:val="single" w:sz="4" w:space="0" w:color="auto"/>
              <w:right w:val="single" w:sz="4" w:space="0" w:color="auto"/>
            </w:tcBorders>
            <w:vAlign w:val="center"/>
            <w:hideMark/>
          </w:tcPr>
          <w:p w14:paraId="0302FA65" w14:textId="77777777" w:rsidR="00666715" w:rsidRPr="00DC7563" w:rsidRDefault="00666715" w:rsidP="00C16520">
            <w:pPr>
              <w:tabs>
                <w:tab w:val="decimal" w:pos="1349"/>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7,289</w:t>
            </w:r>
          </w:p>
        </w:tc>
        <w:tc>
          <w:tcPr>
            <w:tcW w:w="2063" w:type="dxa"/>
            <w:tcBorders>
              <w:top w:val="nil"/>
              <w:left w:val="nil"/>
              <w:bottom w:val="single" w:sz="4" w:space="0" w:color="auto"/>
              <w:right w:val="single" w:sz="4" w:space="0" w:color="auto"/>
            </w:tcBorders>
            <w:vAlign w:val="center"/>
            <w:hideMark/>
          </w:tcPr>
          <w:p w14:paraId="244CB2F5" w14:textId="77777777" w:rsidR="00666715" w:rsidRPr="00DC7563" w:rsidRDefault="00666715" w:rsidP="00C16520">
            <w:pPr>
              <w:tabs>
                <w:tab w:val="decimal" w:pos="1354"/>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7,007</w:t>
            </w:r>
          </w:p>
        </w:tc>
        <w:tc>
          <w:tcPr>
            <w:tcW w:w="1231" w:type="dxa"/>
            <w:tcBorders>
              <w:top w:val="nil"/>
              <w:left w:val="nil"/>
              <w:bottom w:val="single" w:sz="4" w:space="0" w:color="auto"/>
              <w:right w:val="single" w:sz="4" w:space="0" w:color="auto"/>
            </w:tcBorders>
            <w:vAlign w:val="center"/>
            <w:hideMark/>
          </w:tcPr>
          <w:p w14:paraId="2D7A38AC" w14:textId="08CCBE70" w:rsidR="00666715" w:rsidRPr="00DC7563" w:rsidRDefault="00666715" w:rsidP="00C16520">
            <w:pPr>
              <w:tabs>
                <w:tab w:val="decimal" w:pos="567"/>
              </w:tabs>
              <w:spacing w:line="276" w:lineRule="auto"/>
              <w:rPr>
                <w:rFonts w:ascii="Arial" w:hAnsi="Arial" w:cs="Arial"/>
                <w:color w:val="000000"/>
                <w:sz w:val="18"/>
                <w:szCs w:val="18"/>
                <w:lang w:val="en-GB"/>
              </w:rPr>
            </w:pPr>
            <w:r w:rsidRPr="00DC7563">
              <w:rPr>
                <w:rFonts w:ascii="Arial" w:hAnsi="Arial" w:cs="Arial"/>
                <w:color w:val="000000"/>
                <w:sz w:val="18"/>
                <w:szCs w:val="18"/>
                <w:lang w:val="en-GB"/>
              </w:rPr>
              <w:t>4</w:t>
            </w:r>
            <w:r w:rsidR="00086D7C" w:rsidRPr="00DC7563">
              <w:rPr>
                <w:rFonts w:ascii="Arial" w:hAnsi="Arial" w:cs="Arial"/>
                <w:color w:val="000000"/>
                <w:sz w:val="18"/>
                <w:szCs w:val="18"/>
                <w:lang w:val="en-GB"/>
              </w:rPr>
              <w:t>.0</w:t>
            </w:r>
          </w:p>
        </w:tc>
      </w:tr>
    </w:tbl>
    <w:p w14:paraId="6CDEB1EF" w14:textId="77777777" w:rsidR="00666715" w:rsidRPr="00DC7563" w:rsidRDefault="00666715" w:rsidP="00666715">
      <w:pPr>
        <w:rPr>
          <w:lang w:val="en-GB" w:eastAsia="ko-KR"/>
        </w:rPr>
      </w:pPr>
    </w:p>
    <w:p w14:paraId="365D0860" w14:textId="52B7C060" w:rsidR="00591DF5" w:rsidRDefault="00666715" w:rsidP="003954A5">
      <w:pPr>
        <w:jc w:val="both"/>
        <w:rPr>
          <w:rFonts w:ascii="Arial" w:hAnsi="Arial"/>
          <w:sz w:val="17"/>
          <w:szCs w:val="17"/>
          <w:lang w:val="en-GB" w:eastAsia="ko-KR"/>
        </w:rPr>
      </w:pPr>
      <w:r w:rsidRPr="00DC7563">
        <w:rPr>
          <w:rFonts w:ascii="Arial" w:hAnsi="Arial"/>
          <w:sz w:val="17"/>
          <w:szCs w:val="17"/>
          <w:lang w:val="en-GB" w:eastAsia="ko-KR"/>
        </w:rPr>
        <w:t xml:space="preserve">Source: </w:t>
      </w:r>
      <w:r w:rsidRPr="00DC7563">
        <w:rPr>
          <w:rFonts w:ascii="Arial" w:eastAsia="Malgun Gothic" w:hAnsi="Arial"/>
          <w:color w:val="222222"/>
          <w:sz w:val="17"/>
          <w:szCs w:val="17"/>
          <w:lang w:val="en-GB" w:eastAsia="ko-KR"/>
        </w:rPr>
        <w:t xml:space="preserve">Adapted from </w:t>
      </w:r>
      <w:proofErr w:type="spellStart"/>
      <w:r w:rsidR="00154FC4" w:rsidRPr="00DC7563">
        <w:rPr>
          <w:rFonts w:ascii="Arial" w:eastAsia="Malgun Gothic" w:hAnsi="Arial"/>
          <w:color w:val="222222"/>
          <w:sz w:val="17"/>
          <w:szCs w:val="17"/>
          <w:lang w:val="en-GB" w:eastAsia="ko-KR"/>
        </w:rPr>
        <w:t>Henk</w:t>
      </w:r>
      <w:proofErr w:type="spellEnd"/>
      <w:r w:rsidR="00154FC4" w:rsidRPr="00DC7563">
        <w:rPr>
          <w:rFonts w:ascii="Arial" w:eastAsia="Malgun Gothic" w:hAnsi="Arial"/>
          <w:color w:val="222222"/>
          <w:sz w:val="17"/>
          <w:szCs w:val="17"/>
          <w:lang w:val="en-GB" w:eastAsia="ko-KR"/>
        </w:rPr>
        <w:t xml:space="preserve"> </w:t>
      </w:r>
      <w:proofErr w:type="spellStart"/>
      <w:r w:rsidR="00154FC4" w:rsidRPr="00DC7563">
        <w:rPr>
          <w:rFonts w:ascii="Arial" w:eastAsia="Malgun Gothic" w:hAnsi="Arial"/>
          <w:color w:val="222222"/>
          <w:sz w:val="17"/>
          <w:szCs w:val="17"/>
          <w:lang w:val="en-GB" w:eastAsia="ko-KR"/>
        </w:rPr>
        <w:t>Bekker</w:t>
      </w:r>
      <w:proofErr w:type="spellEnd"/>
      <w:r w:rsidR="00154FC4" w:rsidRPr="00DC7563">
        <w:rPr>
          <w:rFonts w:ascii="Arial" w:eastAsia="Malgun Gothic" w:hAnsi="Arial"/>
          <w:color w:val="222222"/>
          <w:sz w:val="17"/>
          <w:szCs w:val="17"/>
          <w:lang w:val="en-GB" w:eastAsia="ko-KR"/>
        </w:rPr>
        <w:t xml:space="preserve">, </w:t>
      </w:r>
      <w:r w:rsidRPr="00DC7563">
        <w:rPr>
          <w:rFonts w:ascii="Arial" w:hAnsi="Arial"/>
          <w:sz w:val="17"/>
          <w:szCs w:val="17"/>
          <w:lang w:val="en-GB" w:eastAsia="ko-KR"/>
        </w:rPr>
        <w:t>“2014 (Full Year) Japan: Best-Selling Car Brands and Manufacturers</w:t>
      </w:r>
      <w:r w:rsidR="00154FC4" w:rsidRPr="00DC7563">
        <w:rPr>
          <w:rFonts w:ascii="Arial" w:hAnsi="Arial"/>
          <w:sz w:val="17"/>
          <w:szCs w:val="17"/>
          <w:lang w:val="en-GB" w:eastAsia="ko-KR"/>
        </w:rPr>
        <w:t>,</w:t>
      </w:r>
      <w:r w:rsidRPr="00DC7563">
        <w:rPr>
          <w:rFonts w:ascii="Arial" w:hAnsi="Arial"/>
          <w:sz w:val="17"/>
          <w:szCs w:val="17"/>
          <w:lang w:val="en-GB" w:eastAsia="ko-KR"/>
        </w:rPr>
        <w:t>”</w:t>
      </w:r>
      <w:r w:rsidRPr="00DC7563">
        <w:rPr>
          <w:rFonts w:ascii="Arial" w:eastAsia="Malgun Gothic" w:hAnsi="Arial"/>
          <w:color w:val="222222"/>
          <w:sz w:val="17"/>
          <w:szCs w:val="17"/>
          <w:lang w:val="en-GB" w:eastAsia="ko-KR"/>
        </w:rPr>
        <w:t xml:space="preserve"> </w:t>
      </w:r>
      <w:r w:rsidR="00154FC4" w:rsidRPr="00DC7563">
        <w:rPr>
          <w:rFonts w:ascii="Arial" w:eastAsia="Malgun Gothic" w:hAnsi="Arial"/>
          <w:color w:val="222222"/>
          <w:sz w:val="17"/>
          <w:szCs w:val="17"/>
          <w:lang w:val="en-GB" w:eastAsia="ko-KR"/>
        </w:rPr>
        <w:t xml:space="preserve">Best-Selling-Cars.com, January 8, 2015, </w:t>
      </w:r>
      <w:r w:rsidRPr="00DC7563">
        <w:rPr>
          <w:rFonts w:ascii="Arial" w:eastAsia="Malgun Gothic" w:hAnsi="Arial"/>
          <w:color w:val="222222"/>
          <w:sz w:val="17"/>
          <w:szCs w:val="17"/>
          <w:lang w:val="en-GB" w:eastAsia="ko-KR"/>
        </w:rPr>
        <w:t xml:space="preserve">accessed February </w:t>
      </w:r>
      <w:r w:rsidR="00157474" w:rsidRPr="00DC7563">
        <w:rPr>
          <w:rFonts w:ascii="Arial" w:eastAsia="Malgun Gothic" w:hAnsi="Arial"/>
          <w:color w:val="222222"/>
          <w:sz w:val="17"/>
          <w:szCs w:val="17"/>
          <w:lang w:val="en-GB" w:eastAsia="ko-KR"/>
        </w:rPr>
        <w:t xml:space="preserve">1, </w:t>
      </w:r>
      <w:r w:rsidRPr="00DC7563">
        <w:rPr>
          <w:rFonts w:ascii="Arial" w:eastAsia="Malgun Gothic" w:hAnsi="Arial"/>
          <w:color w:val="222222"/>
          <w:sz w:val="17"/>
          <w:szCs w:val="17"/>
          <w:lang w:val="en-GB" w:eastAsia="ko-KR"/>
        </w:rPr>
        <w:t xml:space="preserve">2017, </w:t>
      </w:r>
      <w:r w:rsidRPr="00DC7563">
        <w:rPr>
          <w:rFonts w:ascii="Arial" w:hAnsi="Arial"/>
          <w:sz w:val="17"/>
          <w:szCs w:val="17"/>
          <w:lang w:val="en-GB" w:eastAsia="ko-KR"/>
        </w:rPr>
        <w:t>www.best-selling-cars.com/japan/2014-full-year-japan-best-selling-car-brands-manufacturers/.</w:t>
      </w:r>
    </w:p>
    <w:p w14:paraId="5C9F92EB" w14:textId="054FEF50" w:rsidR="00666715" w:rsidRPr="00DC7563" w:rsidRDefault="00666715" w:rsidP="00C73E67">
      <w:pPr>
        <w:pStyle w:val="NoSpacing"/>
        <w:jc w:val="center"/>
        <w:outlineLvl w:val="0"/>
        <w:rPr>
          <w:rFonts w:ascii="Arial" w:eastAsia="Malgun Gothic" w:hAnsi="Arial"/>
          <w:b/>
          <w:color w:val="222222"/>
          <w:sz w:val="20"/>
          <w:szCs w:val="20"/>
          <w:lang w:val="en-GB" w:eastAsia="ko-KR"/>
        </w:rPr>
      </w:pPr>
      <w:r w:rsidRPr="00DC7563">
        <w:rPr>
          <w:rFonts w:ascii="Arial" w:eastAsia="Malgun Gothic" w:hAnsi="Arial"/>
          <w:b/>
          <w:color w:val="222222"/>
          <w:sz w:val="20"/>
          <w:szCs w:val="20"/>
          <w:lang w:val="en-GB" w:eastAsia="ko-KR"/>
        </w:rPr>
        <w:lastRenderedPageBreak/>
        <w:t>EXHIBIT 8: GLOBAL AUTOMOTIVE INDUSTRY MANUFACTURERS</w:t>
      </w:r>
      <w:r w:rsidR="00B911CC">
        <w:rPr>
          <w:rFonts w:ascii="Arial" w:eastAsia="Malgun Gothic" w:hAnsi="Arial"/>
          <w:b/>
          <w:color w:val="222222"/>
          <w:sz w:val="20"/>
          <w:szCs w:val="20"/>
          <w:lang w:val="en-GB" w:eastAsia="ko-KR"/>
        </w:rPr>
        <w:t xml:space="preserve">—NUMBER OF CAR BRANDS BY COUNTRY  </w:t>
      </w:r>
    </w:p>
    <w:p w14:paraId="70D4222D" w14:textId="77777777" w:rsidR="00666715" w:rsidRPr="00DC7563" w:rsidRDefault="00666715" w:rsidP="00666715">
      <w:pPr>
        <w:pStyle w:val="NoSpacing"/>
        <w:jc w:val="center"/>
        <w:rPr>
          <w:rFonts w:ascii="Times New Roman" w:eastAsia="Malgun Gothic" w:hAnsi="Times New Roman"/>
          <w:color w:val="222222"/>
          <w:sz w:val="18"/>
          <w:szCs w:val="24"/>
          <w:lang w:val="en-GB" w:eastAsia="ko-KR"/>
        </w:rPr>
      </w:pPr>
    </w:p>
    <w:tbl>
      <w:tblPr>
        <w:tblW w:w="87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837"/>
        <w:gridCol w:w="957"/>
        <w:gridCol w:w="837"/>
        <w:gridCol w:w="1358"/>
        <w:gridCol w:w="837"/>
        <w:gridCol w:w="1560"/>
        <w:gridCol w:w="837"/>
      </w:tblGrid>
      <w:tr w:rsidR="00B72237" w:rsidRPr="00DC7563" w14:paraId="647287BC" w14:textId="77777777" w:rsidTr="00E92381">
        <w:trPr>
          <w:trHeight w:val="287"/>
          <w:jc w:val="center"/>
        </w:trPr>
        <w:tc>
          <w:tcPr>
            <w:tcW w:w="1525" w:type="dxa"/>
            <w:noWrap/>
            <w:vAlign w:val="bottom"/>
            <w:hideMark/>
          </w:tcPr>
          <w:p w14:paraId="15300C44" w14:textId="77777777" w:rsidR="00B72237" w:rsidRPr="00DC7563" w:rsidRDefault="00B72237" w:rsidP="00B72237">
            <w:pPr>
              <w:spacing w:line="276" w:lineRule="auto"/>
              <w:jc w:val="center"/>
              <w:rPr>
                <w:rFonts w:ascii="Arial" w:hAnsi="Arial" w:cs="Arial"/>
                <w:b/>
                <w:bCs/>
                <w:color w:val="000000"/>
                <w:sz w:val="18"/>
                <w:szCs w:val="18"/>
                <w:lang w:val="en-GB"/>
              </w:rPr>
            </w:pPr>
            <w:r w:rsidRPr="00DC7563">
              <w:rPr>
                <w:rFonts w:ascii="Arial" w:hAnsi="Arial" w:cs="Arial"/>
                <w:b/>
                <w:bCs/>
                <w:color w:val="000000"/>
                <w:sz w:val="18"/>
                <w:szCs w:val="18"/>
                <w:lang w:val="en-GB"/>
              </w:rPr>
              <w:t>Country</w:t>
            </w:r>
          </w:p>
        </w:tc>
        <w:tc>
          <w:tcPr>
            <w:tcW w:w="810" w:type="dxa"/>
            <w:noWrap/>
            <w:vAlign w:val="bottom"/>
            <w:hideMark/>
          </w:tcPr>
          <w:p w14:paraId="6F53402D" w14:textId="6F5AF063" w:rsidR="00B72237" w:rsidRPr="00DC7563" w:rsidRDefault="00B72237" w:rsidP="00B72237">
            <w:pPr>
              <w:spacing w:line="276" w:lineRule="auto"/>
              <w:jc w:val="center"/>
              <w:rPr>
                <w:rFonts w:ascii="Arial" w:hAnsi="Arial" w:cs="Arial"/>
                <w:b/>
                <w:bCs/>
                <w:color w:val="000000"/>
                <w:sz w:val="18"/>
                <w:szCs w:val="18"/>
                <w:lang w:val="en-GB"/>
              </w:rPr>
            </w:pPr>
            <w:r w:rsidRPr="00DC7563">
              <w:rPr>
                <w:rFonts w:ascii="Arial" w:hAnsi="Arial" w:cs="Arial"/>
                <w:b/>
                <w:bCs/>
                <w:color w:val="000000"/>
                <w:sz w:val="18"/>
                <w:szCs w:val="18"/>
                <w:lang w:val="en-GB"/>
              </w:rPr>
              <w:t>Brand</w:t>
            </w:r>
            <w:r w:rsidR="00B911CC">
              <w:rPr>
                <w:rFonts w:ascii="Arial" w:hAnsi="Arial" w:cs="Arial"/>
                <w:b/>
                <w:bCs/>
                <w:color w:val="000000"/>
                <w:sz w:val="18"/>
                <w:szCs w:val="18"/>
                <w:lang w:val="en-GB"/>
              </w:rPr>
              <w:t>s</w:t>
            </w:r>
          </w:p>
        </w:tc>
        <w:tc>
          <w:tcPr>
            <w:tcW w:w="1260" w:type="dxa"/>
            <w:vAlign w:val="bottom"/>
          </w:tcPr>
          <w:p w14:paraId="55FA1326" w14:textId="6A9577F5" w:rsidR="00B72237" w:rsidRPr="00DC7563" w:rsidRDefault="00B72237" w:rsidP="00B72237">
            <w:pPr>
              <w:spacing w:line="276" w:lineRule="auto"/>
              <w:jc w:val="center"/>
              <w:rPr>
                <w:rFonts w:ascii="Arial" w:hAnsi="Arial" w:cs="Arial"/>
                <w:b/>
                <w:bCs/>
                <w:color w:val="000000"/>
                <w:sz w:val="18"/>
                <w:szCs w:val="18"/>
                <w:lang w:val="en-GB"/>
              </w:rPr>
            </w:pPr>
            <w:r w:rsidRPr="00DC7563">
              <w:rPr>
                <w:rFonts w:ascii="Arial" w:hAnsi="Arial" w:cs="Arial"/>
                <w:b/>
                <w:bCs/>
                <w:color w:val="000000"/>
                <w:sz w:val="18"/>
                <w:szCs w:val="18"/>
                <w:lang w:val="en-GB"/>
              </w:rPr>
              <w:t>Country</w:t>
            </w:r>
          </w:p>
        </w:tc>
        <w:tc>
          <w:tcPr>
            <w:tcW w:w="744" w:type="dxa"/>
            <w:vAlign w:val="bottom"/>
          </w:tcPr>
          <w:p w14:paraId="274076FA" w14:textId="0EC4ECB2" w:rsidR="00B72237" w:rsidRPr="00DC7563" w:rsidRDefault="00B72237" w:rsidP="00B72237">
            <w:pPr>
              <w:spacing w:line="276" w:lineRule="auto"/>
              <w:jc w:val="center"/>
              <w:rPr>
                <w:rFonts w:ascii="Arial" w:hAnsi="Arial" w:cs="Arial"/>
                <w:b/>
                <w:bCs/>
                <w:color w:val="000000"/>
                <w:sz w:val="18"/>
                <w:szCs w:val="18"/>
                <w:lang w:val="en-GB"/>
              </w:rPr>
            </w:pPr>
            <w:r w:rsidRPr="00DC7563">
              <w:rPr>
                <w:rFonts w:ascii="Arial" w:hAnsi="Arial" w:cs="Arial"/>
                <w:b/>
                <w:bCs/>
                <w:color w:val="000000"/>
                <w:sz w:val="18"/>
                <w:szCs w:val="18"/>
                <w:lang w:val="en-GB"/>
              </w:rPr>
              <w:t>Brand</w:t>
            </w:r>
            <w:r w:rsidR="00B911CC">
              <w:rPr>
                <w:rFonts w:ascii="Arial" w:hAnsi="Arial" w:cs="Arial"/>
                <w:b/>
                <w:bCs/>
                <w:color w:val="000000"/>
                <w:sz w:val="18"/>
                <w:szCs w:val="18"/>
                <w:lang w:val="en-GB"/>
              </w:rPr>
              <w:t>s</w:t>
            </w:r>
          </w:p>
        </w:tc>
        <w:tc>
          <w:tcPr>
            <w:tcW w:w="1358" w:type="dxa"/>
            <w:noWrap/>
            <w:vAlign w:val="bottom"/>
            <w:hideMark/>
          </w:tcPr>
          <w:p w14:paraId="67D1F661" w14:textId="094E9896" w:rsidR="00B72237" w:rsidRPr="00DC7563" w:rsidRDefault="00B72237" w:rsidP="00B72237">
            <w:pPr>
              <w:spacing w:line="276" w:lineRule="auto"/>
              <w:jc w:val="center"/>
              <w:rPr>
                <w:rFonts w:ascii="Arial" w:hAnsi="Arial" w:cs="Arial"/>
                <w:b/>
                <w:bCs/>
                <w:color w:val="000000"/>
                <w:sz w:val="18"/>
                <w:szCs w:val="18"/>
                <w:lang w:val="en-GB"/>
              </w:rPr>
            </w:pPr>
            <w:r w:rsidRPr="00DC7563">
              <w:rPr>
                <w:rFonts w:ascii="Arial" w:hAnsi="Arial" w:cs="Arial"/>
                <w:b/>
                <w:bCs/>
                <w:color w:val="000000"/>
                <w:sz w:val="18"/>
                <w:szCs w:val="18"/>
                <w:lang w:val="en-GB"/>
              </w:rPr>
              <w:t>Country</w:t>
            </w:r>
          </w:p>
        </w:tc>
        <w:tc>
          <w:tcPr>
            <w:tcW w:w="737" w:type="dxa"/>
            <w:noWrap/>
            <w:vAlign w:val="bottom"/>
            <w:hideMark/>
          </w:tcPr>
          <w:p w14:paraId="7CE5E723" w14:textId="33B91D57" w:rsidR="00B72237" w:rsidRPr="00DC7563" w:rsidRDefault="00B72237" w:rsidP="00B72237">
            <w:pPr>
              <w:spacing w:line="276" w:lineRule="auto"/>
              <w:jc w:val="center"/>
              <w:rPr>
                <w:rFonts w:ascii="Arial" w:hAnsi="Arial" w:cs="Arial"/>
                <w:b/>
                <w:bCs/>
                <w:color w:val="000000"/>
                <w:sz w:val="18"/>
                <w:szCs w:val="18"/>
                <w:lang w:val="en-GB"/>
              </w:rPr>
            </w:pPr>
            <w:r w:rsidRPr="00DC7563">
              <w:rPr>
                <w:rFonts w:ascii="Arial" w:hAnsi="Arial" w:cs="Arial"/>
                <w:b/>
                <w:bCs/>
                <w:color w:val="000000"/>
                <w:sz w:val="18"/>
                <w:szCs w:val="18"/>
                <w:lang w:val="en-GB"/>
              </w:rPr>
              <w:t>Brand</w:t>
            </w:r>
            <w:r w:rsidR="00B911CC">
              <w:rPr>
                <w:rFonts w:ascii="Arial" w:hAnsi="Arial" w:cs="Arial"/>
                <w:b/>
                <w:bCs/>
                <w:color w:val="000000"/>
                <w:sz w:val="18"/>
                <w:szCs w:val="18"/>
                <w:lang w:val="en-GB"/>
              </w:rPr>
              <w:t>s</w:t>
            </w:r>
          </w:p>
        </w:tc>
        <w:tc>
          <w:tcPr>
            <w:tcW w:w="1560" w:type="dxa"/>
            <w:noWrap/>
            <w:vAlign w:val="bottom"/>
            <w:hideMark/>
          </w:tcPr>
          <w:p w14:paraId="1AE12C3E" w14:textId="77777777" w:rsidR="00B72237" w:rsidRPr="00DC7563" w:rsidRDefault="00B72237" w:rsidP="00B72237">
            <w:pPr>
              <w:spacing w:line="276" w:lineRule="auto"/>
              <w:jc w:val="center"/>
              <w:rPr>
                <w:rFonts w:ascii="Arial" w:hAnsi="Arial" w:cs="Arial"/>
                <w:b/>
                <w:bCs/>
                <w:color w:val="000000"/>
                <w:sz w:val="18"/>
                <w:szCs w:val="18"/>
                <w:lang w:val="en-GB"/>
              </w:rPr>
            </w:pPr>
            <w:r w:rsidRPr="00DC7563">
              <w:rPr>
                <w:rFonts w:ascii="Arial" w:hAnsi="Arial" w:cs="Arial"/>
                <w:b/>
                <w:bCs/>
                <w:color w:val="000000"/>
                <w:sz w:val="18"/>
                <w:szCs w:val="18"/>
                <w:lang w:val="en-GB"/>
              </w:rPr>
              <w:t>Country</w:t>
            </w:r>
          </w:p>
        </w:tc>
        <w:tc>
          <w:tcPr>
            <w:tcW w:w="737" w:type="dxa"/>
            <w:noWrap/>
            <w:vAlign w:val="bottom"/>
            <w:hideMark/>
          </w:tcPr>
          <w:p w14:paraId="4B6B0A2F" w14:textId="5FA760AE" w:rsidR="00B72237" w:rsidRPr="00DC7563" w:rsidRDefault="00B72237" w:rsidP="00B72237">
            <w:pPr>
              <w:spacing w:line="276" w:lineRule="auto"/>
              <w:jc w:val="center"/>
              <w:rPr>
                <w:rFonts w:ascii="Arial" w:hAnsi="Arial" w:cs="Arial"/>
                <w:b/>
                <w:bCs/>
                <w:color w:val="000000"/>
                <w:sz w:val="18"/>
                <w:szCs w:val="18"/>
                <w:lang w:val="en-GB"/>
              </w:rPr>
            </w:pPr>
            <w:r w:rsidRPr="00DC7563">
              <w:rPr>
                <w:rFonts w:ascii="Arial" w:hAnsi="Arial" w:cs="Arial"/>
                <w:b/>
                <w:bCs/>
                <w:color w:val="000000"/>
                <w:sz w:val="18"/>
                <w:szCs w:val="18"/>
                <w:lang w:val="en-GB"/>
              </w:rPr>
              <w:t>Brand</w:t>
            </w:r>
            <w:r w:rsidR="00B911CC">
              <w:rPr>
                <w:rFonts w:ascii="Arial" w:hAnsi="Arial" w:cs="Arial"/>
                <w:b/>
                <w:bCs/>
                <w:color w:val="000000"/>
                <w:sz w:val="18"/>
                <w:szCs w:val="18"/>
                <w:lang w:val="en-GB"/>
              </w:rPr>
              <w:t>s</w:t>
            </w:r>
          </w:p>
        </w:tc>
      </w:tr>
      <w:tr w:rsidR="00327A2B" w:rsidRPr="00DC7563" w14:paraId="17A3E2C2" w14:textId="77777777" w:rsidTr="00B72237">
        <w:trPr>
          <w:trHeight w:val="48"/>
          <w:jc w:val="center"/>
        </w:trPr>
        <w:tc>
          <w:tcPr>
            <w:tcW w:w="1525" w:type="dxa"/>
            <w:noWrap/>
            <w:vAlign w:val="bottom"/>
            <w:hideMark/>
          </w:tcPr>
          <w:p w14:paraId="18CE2F43" w14:textId="77777777" w:rsidR="00327A2B" w:rsidRPr="00DC7563" w:rsidRDefault="00327A2B"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Argentina</w:t>
            </w:r>
          </w:p>
        </w:tc>
        <w:tc>
          <w:tcPr>
            <w:tcW w:w="810" w:type="dxa"/>
            <w:noWrap/>
            <w:vAlign w:val="bottom"/>
            <w:hideMark/>
          </w:tcPr>
          <w:p w14:paraId="38F7C966" w14:textId="77777777" w:rsidR="00327A2B" w:rsidRPr="00DC7563" w:rsidRDefault="00327A2B" w:rsidP="00C16520">
            <w:pPr>
              <w:tabs>
                <w:tab w:val="decimal" w:pos="18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6</w:t>
            </w:r>
          </w:p>
        </w:tc>
        <w:tc>
          <w:tcPr>
            <w:tcW w:w="1260" w:type="dxa"/>
            <w:vAlign w:val="bottom"/>
          </w:tcPr>
          <w:p w14:paraId="0137265B" w14:textId="05975EC5" w:rsidR="00327A2B" w:rsidRPr="00DC7563" w:rsidRDefault="00327A2B"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Finland</w:t>
            </w:r>
          </w:p>
        </w:tc>
        <w:tc>
          <w:tcPr>
            <w:tcW w:w="744" w:type="dxa"/>
            <w:vAlign w:val="bottom"/>
          </w:tcPr>
          <w:p w14:paraId="672499C5" w14:textId="1B1B5E72" w:rsidR="00327A2B" w:rsidRPr="00DC7563" w:rsidRDefault="00327A2B" w:rsidP="00C16520">
            <w:pPr>
              <w:tabs>
                <w:tab w:val="decimal" w:pos="236"/>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6</w:t>
            </w:r>
          </w:p>
        </w:tc>
        <w:tc>
          <w:tcPr>
            <w:tcW w:w="1358" w:type="dxa"/>
            <w:noWrap/>
            <w:vAlign w:val="bottom"/>
          </w:tcPr>
          <w:p w14:paraId="14F62067" w14:textId="4E7BE953" w:rsidR="00327A2B" w:rsidRPr="00DC7563" w:rsidRDefault="00327A2B"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Lebanon</w:t>
            </w:r>
          </w:p>
        </w:tc>
        <w:tc>
          <w:tcPr>
            <w:tcW w:w="737" w:type="dxa"/>
            <w:noWrap/>
            <w:vAlign w:val="bottom"/>
          </w:tcPr>
          <w:p w14:paraId="4145DACC" w14:textId="02B2FD15" w:rsidR="00327A2B" w:rsidRPr="00DC7563" w:rsidRDefault="00327A2B" w:rsidP="00C16520">
            <w:pPr>
              <w:tabs>
                <w:tab w:val="decimal" w:pos="26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w:t>
            </w:r>
          </w:p>
        </w:tc>
        <w:tc>
          <w:tcPr>
            <w:tcW w:w="1560" w:type="dxa"/>
            <w:noWrap/>
            <w:vAlign w:val="bottom"/>
          </w:tcPr>
          <w:p w14:paraId="2FE7939C" w14:textId="68350E76" w:rsidR="00327A2B" w:rsidRPr="00DC7563" w:rsidRDefault="00327A2B" w:rsidP="00C16520">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Serbia</w:t>
            </w:r>
          </w:p>
        </w:tc>
        <w:tc>
          <w:tcPr>
            <w:tcW w:w="737" w:type="dxa"/>
            <w:noWrap/>
            <w:vAlign w:val="bottom"/>
          </w:tcPr>
          <w:p w14:paraId="621696CB" w14:textId="5678C212" w:rsidR="00327A2B" w:rsidRPr="00DC7563" w:rsidRDefault="00327A2B" w:rsidP="00C16520">
            <w:pPr>
              <w:tabs>
                <w:tab w:val="decimal" w:pos="373"/>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2</w:t>
            </w:r>
          </w:p>
        </w:tc>
      </w:tr>
      <w:tr w:rsidR="00327A2B" w:rsidRPr="00DC7563" w14:paraId="1E3382B9" w14:textId="77777777" w:rsidTr="00B72237">
        <w:trPr>
          <w:trHeight w:val="48"/>
          <w:jc w:val="center"/>
        </w:trPr>
        <w:tc>
          <w:tcPr>
            <w:tcW w:w="1525" w:type="dxa"/>
            <w:noWrap/>
            <w:vAlign w:val="bottom"/>
            <w:hideMark/>
          </w:tcPr>
          <w:p w14:paraId="053EED5E" w14:textId="77777777"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Armenia</w:t>
            </w:r>
          </w:p>
        </w:tc>
        <w:tc>
          <w:tcPr>
            <w:tcW w:w="810" w:type="dxa"/>
            <w:noWrap/>
            <w:vAlign w:val="bottom"/>
            <w:hideMark/>
          </w:tcPr>
          <w:p w14:paraId="5A24EE29" w14:textId="77777777" w:rsidR="00327A2B" w:rsidRPr="00DC7563" w:rsidRDefault="00327A2B" w:rsidP="00D224DA">
            <w:pPr>
              <w:tabs>
                <w:tab w:val="decimal" w:pos="18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w:t>
            </w:r>
          </w:p>
        </w:tc>
        <w:tc>
          <w:tcPr>
            <w:tcW w:w="1260" w:type="dxa"/>
            <w:vAlign w:val="bottom"/>
          </w:tcPr>
          <w:p w14:paraId="639D58C0" w14:textId="1E612122"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France</w:t>
            </w:r>
          </w:p>
        </w:tc>
        <w:tc>
          <w:tcPr>
            <w:tcW w:w="744" w:type="dxa"/>
            <w:vAlign w:val="bottom"/>
          </w:tcPr>
          <w:p w14:paraId="708D4EED" w14:textId="0F40E886" w:rsidR="00327A2B" w:rsidRPr="00DC7563" w:rsidRDefault="00327A2B" w:rsidP="00D224DA">
            <w:pPr>
              <w:tabs>
                <w:tab w:val="decimal" w:pos="236"/>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73</w:t>
            </w:r>
          </w:p>
        </w:tc>
        <w:tc>
          <w:tcPr>
            <w:tcW w:w="1358" w:type="dxa"/>
            <w:noWrap/>
            <w:vAlign w:val="bottom"/>
          </w:tcPr>
          <w:p w14:paraId="55D191E1" w14:textId="09B1010A"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Libya</w:t>
            </w:r>
          </w:p>
        </w:tc>
        <w:tc>
          <w:tcPr>
            <w:tcW w:w="737" w:type="dxa"/>
            <w:noWrap/>
            <w:vAlign w:val="bottom"/>
          </w:tcPr>
          <w:p w14:paraId="63D64FA9" w14:textId="6681A250" w:rsidR="00327A2B" w:rsidRPr="00DC7563" w:rsidRDefault="00327A2B" w:rsidP="00D224DA">
            <w:pPr>
              <w:tabs>
                <w:tab w:val="decimal" w:pos="26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w:t>
            </w:r>
          </w:p>
        </w:tc>
        <w:tc>
          <w:tcPr>
            <w:tcW w:w="1560" w:type="dxa"/>
            <w:noWrap/>
            <w:vAlign w:val="bottom"/>
          </w:tcPr>
          <w:p w14:paraId="2FBAE7F4" w14:textId="71BA1A62"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Slovakia</w:t>
            </w:r>
          </w:p>
        </w:tc>
        <w:tc>
          <w:tcPr>
            <w:tcW w:w="737" w:type="dxa"/>
            <w:noWrap/>
            <w:vAlign w:val="bottom"/>
          </w:tcPr>
          <w:p w14:paraId="30614226" w14:textId="0B930662" w:rsidR="00327A2B" w:rsidRPr="00DC7563" w:rsidRDefault="00327A2B" w:rsidP="00D224DA">
            <w:pPr>
              <w:tabs>
                <w:tab w:val="decimal" w:pos="373"/>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2</w:t>
            </w:r>
          </w:p>
        </w:tc>
      </w:tr>
      <w:tr w:rsidR="00327A2B" w:rsidRPr="00DC7563" w14:paraId="0A8796D0" w14:textId="77777777" w:rsidTr="00B72237">
        <w:trPr>
          <w:trHeight w:val="48"/>
          <w:jc w:val="center"/>
        </w:trPr>
        <w:tc>
          <w:tcPr>
            <w:tcW w:w="1525" w:type="dxa"/>
            <w:noWrap/>
            <w:vAlign w:val="bottom"/>
            <w:hideMark/>
          </w:tcPr>
          <w:p w14:paraId="392AC1A8" w14:textId="77777777"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Australia</w:t>
            </w:r>
          </w:p>
        </w:tc>
        <w:tc>
          <w:tcPr>
            <w:tcW w:w="810" w:type="dxa"/>
            <w:noWrap/>
            <w:vAlign w:val="bottom"/>
            <w:hideMark/>
          </w:tcPr>
          <w:p w14:paraId="38542AB1" w14:textId="77777777" w:rsidR="00327A2B" w:rsidRPr="00DC7563" w:rsidRDefault="00327A2B" w:rsidP="00D224DA">
            <w:pPr>
              <w:tabs>
                <w:tab w:val="decimal" w:pos="18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40</w:t>
            </w:r>
          </w:p>
        </w:tc>
        <w:tc>
          <w:tcPr>
            <w:tcW w:w="1260" w:type="dxa"/>
            <w:vAlign w:val="bottom"/>
          </w:tcPr>
          <w:p w14:paraId="2FF0E6EF" w14:textId="482527FC"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Germany</w:t>
            </w:r>
          </w:p>
        </w:tc>
        <w:tc>
          <w:tcPr>
            <w:tcW w:w="744" w:type="dxa"/>
            <w:vAlign w:val="bottom"/>
          </w:tcPr>
          <w:p w14:paraId="1134F788" w14:textId="547BB714" w:rsidR="00327A2B" w:rsidRPr="00DC7563" w:rsidRDefault="00327A2B" w:rsidP="00D224DA">
            <w:pPr>
              <w:tabs>
                <w:tab w:val="decimal" w:pos="236"/>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69</w:t>
            </w:r>
          </w:p>
        </w:tc>
        <w:tc>
          <w:tcPr>
            <w:tcW w:w="1358" w:type="dxa"/>
            <w:noWrap/>
            <w:vAlign w:val="bottom"/>
          </w:tcPr>
          <w:p w14:paraId="0FF687EB" w14:textId="163CD46C"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Liechtenstein</w:t>
            </w:r>
          </w:p>
        </w:tc>
        <w:tc>
          <w:tcPr>
            <w:tcW w:w="737" w:type="dxa"/>
            <w:noWrap/>
            <w:vAlign w:val="bottom"/>
          </w:tcPr>
          <w:p w14:paraId="7FC8FE03" w14:textId="36ADE24A" w:rsidR="00327A2B" w:rsidRPr="00DC7563" w:rsidRDefault="00327A2B" w:rsidP="00D224DA">
            <w:pPr>
              <w:tabs>
                <w:tab w:val="decimal" w:pos="26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w:t>
            </w:r>
          </w:p>
        </w:tc>
        <w:tc>
          <w:tcPr>
            <w:tcW w:w="1560" w:type="dxa"/>
            <w:noWrap/>
            <w:vAlign w:val="bottom"/>
          </w:tcPr>
          <w:p w14:paraId="5CC5A968" w14:textId="22689CEB"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South Africa</w:t>
            </w:r>
          </w:p>
        </w:tc>
        <w:tc>
          <w:tcPr>
            <w:tcW w:w="737" w:type="dxa"/>
            <w:noWrap/>
            <w:vAlign w:val="bottom"/>
          </w:tcPr>
          <w:p w14:paraId="2600DF69" w14:textId="2258A982" w:rsidR="00327A2B" w:rsidRPr="00DC7563" w:rsidRDefault="00327A2B" w:rsidP="00D224DA">
            <w:pPr>
              <w:tabs>
                <w:tab w:val="decimal" w:pos="373"/>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7</w:t>
            </w:r>
          </w:p>
        </w:tc>
      </w:tr>
      <w:tr w:rsidR="00327A2B" w:rsidRPr="00DC7563" w14:paraId="6BF15FAD" w14:textId="77777777" w:rsidTr="00B72237">
        <w:trPr>
          <w:trHeight w:val="48"/>
          <w:jc w:val="center"/>
        </w:trPr>
        <w:tc>
          <w:tcPr>
            <w:tcW w:w="1525" w:type="dxa"/>
            <w:noWrap/>
            <w:vAlign w:val="bottom"/>
            <w:hideMark/>
          </w:tcPr>
          <w:p w14:paraId="0EB170F9" w14:textId="77777777"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Austria</w:t>
            </w:r>
          </w:p>
        </w:tc>
        <w:tc>
          <w:tcPr>
            <w:tcW w:w="810" w:type="dxa"/>
            <w:noWrap/>
            <w:vAlign w:val="bottom"/>
            <w:hideMark/>
          </w:tcPr>
          <w:p w14:paraId="4847B7E7" w14:textId="77777777" w:rsidR="00327A2B" w:rsidRPr="00DC7563" w:rsidRDefault="00327A2B" w:rsidP="00D224DA">
            <w:pPr>
              <w:tabs>
                <w:tab w:val="decimal" w:pos="18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16</w:t>
            </w:r>
          </w:p>
        </w:tc>
        <w:tc>
          <w:tcPr>
            <w:tcW w:w="1260" w:type="dxa"/>
            <w:vAlign w:val="bottom"/>
          </w:tcPr>
          <w:p w14:paraId="4A3123E4" w14:textId="292B4D83"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Ghana</w:t>
            </w:r>
          </w:p>
        </w:tc>
        <w:tc>
          <w:tcPr>
            <w:tcW w:w="744" w:type="dxa"/>
            <w:vAlign w:val="bottom"/>
          </w:tcPr>
          <w:p w14:paraId="479FC5CE" w14:textId="7D496CDC" w:rsidR="00327A2B" w:rsidRPr="00DC7563" w:rsidRDefault="00327A2B" w:rsidP="00D224DA">
            <w:pPr>
              <w:tabs>
                <w:tab w:val="decimal" w:pos="236"/>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w:t>
            </w:r>
          </w:p>
        </w:tc>
        <w:tc>
          <w:tcPr>
            <w:tcW w:w="1358" w:type="dxa"/>
            <w:noWrap/>
            <w:vAlign w:val="bottom"/>
          </w:tcPr>
          <w:p w14:paraId="026702A5" w14:textId="47CF0D6B"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Malaysia</w:t>
            </w:r>
          </w:p>
        </w:tc>
        <w:tc>
          <w:tcPr>
            <w:tcW w:w="737" w:type="dxa"/>
            <w:noWrap/>
            <w:vAlign w:val="bottom"/>
          </w:tcPr>
          <w:p w14:paraId="44DD32BB" w14:textId="6D42A838" w:rsidR="00327A2B" w:rsidRPr="00DC7563" w:rsidRDefault="00327A2B" w:rsidP="00D224DA">
            <w:pPr>
              <w:tabs>
                <w:tab w:val="decimal" w:pos="26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4</w:t>
            </w:r>
          </w:p>
        </w:tc>
        <w:tc>
          <w:tcPr>
            <w:tcW w:w="1560" w:type="dxa"/>
            <w:noWrap/>
            <w:vAlign w:val="bottom"/>
          </w:tcPr>
          <w:p w14:paraId="74F01204" w14:textId="28785C4C"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Spain</w:t>
            </w:r>
          </w:p>
        </w:tc>
        <w:tc>
          <w:tcPr>
            <w:tcW w:w="737" w:type="dxa"/>
            <w:noWrap/>
            <w:vAlign w:val="bottom"/>
          </w:tcPr>
          <w:p w14:paraId="38F00B61" w14:textId="4DF9E567" w:rsidR="00327A2B" w:rsidRPr="00DC7563" w:rsidRDefault="00327A2B" w:rsidP="00D224DA">
            <w:pPr>
              <w:tabs>
                <w:tab w:val="decimal" w:pos="373"/>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w:t>
            </w:r>
          </w:p>
        </w:tc>
      </w:tr>
      <w:tr w:rsidR="00327A2B" w:rsidRPr="00DC7563" w14:paraId="1ED84D53" w14:textId="77777777" w:rsidTr="00B72237">
        <w:trPr>
          <w:trHeight w:val="48"/>
          <w:jc w:val="center"/>
        </w:trPr>
        <w:tc>
          <w:tcPr>
            <w:tcW w:w="1525" w:type="dxa"/>
            <w:noWrap/>
            <w:vAlign w:val="bottom"/>
            <w:hideMark/>
          </w:tcPr>
          <w:p w14:paraId="25F06F14" w14:textId="77777777"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Azerbaijan</w:t>
            </w:r>
          </w:p>
        </w:tc>
        <w:tc>
          <w:tcPr>
            <w:tcW w:w="810" w:type="dxa"/>
            <w:noWrap/>
            <w:vAlign w:val="bottom"/>
            <w:hideMark/>
          </w:tcPr>
          <w:p w14:paraId="13E2163B" w14:textId="77777777" w:rsidR="00327A2B" w:rsidRPr="00DC7563" w:rsidRDefault="00327A2B" w:rsidP="00D224DA">
            <w:pPr>
              <w:tabs>
                <w:tab w:val="decimal" w:pos="18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w:t>
            </w:r>
          </w:p>
        </w:tc>
        <w:tc>
          <w:tcPr>
            <w:tcW w:w="1260" w:type="dxa"/>
            <w:vAlign w:val="bottom"/>
          </w:tcPr>
          <w:p w14:paraId="19F68407" w14:textId="04E21EB3"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Greece</w:t>
            </w:r>
          </w:p>
        </w:tc>
        <w:tc>
          <w:tcPr>
            <w:tcW w:w="744" w:type="dxa"/>
            <w:vAlign w:val="bottom"/>
          </w:tcPr>
          <w:p w14:paraId="22CE0870" w14:textId="71C0665B" w:rsidR="00327A2B" w:rsidRPr="00DC7563" w:rsidRDefault="00327A2B" w:rsidP="00D224DA">
            <w:pPr>
              <w:tabs>
                <w:tab w:val="decimal" w:pos="236"/>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16</w:t>
            </w:r>
          </w:p>
        </w:tc>
        <w:tc>
          <w:tcPr>
            <w:tcW w:w="1358" w:type="dxa"/>
            <w:noWrap/>
            <w:vAlign w:val="bottom"/>
          </w:tcPr>
          <w:p w14:paraId="637B7F3E" w14:textId="313C7131"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Mexico</w:t>
            </w:r>
          </w:p>
        </w:tc>
        <w:tc>
          <w:tcPr>
            <w:tcW w:w="737" w:type="dxa"/>
            <w:noWrap/>
            <w:vAlign w:val="bottom"/>
          </w:tcPr>
          <w:p w14:paraId="13CD5501" w14:textId="76CF4096" w:rsidR="00327A2B" w:rsidRPr="00DC7563" w:rsidRDefault="00327A2B" w:rsidP="00D224DA">
            <w:pPr>
              <w:tabs>
                <w:tab w:val="decimal" w:pos="26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3</w:t>
            </w:r>
          </w:p>
        </w:tc>
        <w:tc>
          <w:tcPr>
            <w:tcW w:w="1560" w:type="dxa"/>
            <w:noWrap/>
            <w:vAlign w:val="bottom"/>
          </w:tcPr>
          <w:p w14:paraId="4742B4EB" w14:textId="3B44F2F5"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Sudan</w:t>
            </w:r>
          </w:p>
        </w:tc>
        <w:tc>
          <w:tcPr>
            <w:tcW w:w="737" w:type="dxa"/>
            <w:noWrap/>
            <w:vAlign w:val="bottom"/>
          </w:tcPr>
          <w:p w14:paraId="652385FE" w14:textId="54354F55" w:rsidR="00327A2B" w:rsidRPr="00DC7563" w:rsidRDefault="00327A2B" w:rsidP="00D224DA">
            <w:pPr>
              <w:tabs>
                <w:tab w:val="decimal" w:pos="373"/>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w:t>
            </w:r>
          </w:p>
        </w:tc>
      </w:tr>
      <w:tr w:rsidR="00327A2B" w:rsidRPr="00DC7563" w14:paraId="0F4C1E1A" w14:textId="77777777" w:rsidTr="00B72237">
        <w:trPr>
          <w:trHeight w:val="48"/>
          <w:jc w:val="center"/>
        </w:trPr>
        <w:tc>
          <w:tcPr>
            <w:tcW w:w="1525" w:type="dxa"/>
            <w:noWrap/>
            <w:vAlign w:val="bottom"/>
            <w:hideMark/>
          </w:tcPr>
          <w:p w14:paraId="6B1B19C7" w14:textId="77777777"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Belarus</w:t>
            </w:r>
          </w:p>
        </w:tc>
        <w:tc>
          <w:tcPr>
            <w:tcW w:w="810" w:type="dxa"/>
            <w:noWrap/>
            <w:vAlign w:val="bottom"/>
            <w:hideMark/>
          </w:tcPr>
          <w:p w14:paraId="09B8E314" w14:textId="77777777" w:rsidR="00327A2B" w:rsidRPr="00DC7563" w:rsidRDefault="00327A2B" w:rsidP="00D224DA">
            <w:pPr>
              <w:tabs>
                <w:tab w:val="decimal" w:pos="18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3</w:t>
            </w:r>
          </w:p>
        </w:tc>
        <w:tc>
          <w:tcPr>
            <w:tcW w:w="1260" w:type="dxa"/>
            <w:vAlign w:val="bottom"/>
          </w:tcPr>
          <w:p w14:paraId="5B6DA8DF" w14:textId="7D23AD23"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Hungary</w:t>
            </w:r>
          </w:p>
        </w:tc>
        <w:tc>
          <w:tcPr>
            <w:tcW w:w="744" w:type="dxa"/>
            <w:vAlign w:val="bottom"/>
          </w:tcPr>
          <w:p w14:paraId="3D44EC46" w14:textId="5CB61020" w:rsidR="00327A2B" w:rsidRPr="00DC7563" w:rsidRDefault="00327A2B" w:rsidP="00D224DA">
            <w:pPr>
              <w:tabs>
                <w:tab w:val="decimal" w:pos="236"/>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4</w:t>
            </w:r>
          </w:p>
        </w:tc>
        <w:tc>
          <w:tcPr>
            <w:tcW w:w="1358" w:type="dxa"/>
            <w:noWrap/>
            <w:vAlign w:val="bottom"/>
          </w:tcPr>
          <w:p w14:paraId="14EC2C71" w14:textId="07EDA7E4"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Monaco</w:t>
            </w:r>
          </w:p>
        </w:tc>
        <w:tc>
          <w:tcPr>
            <w:tcW w:w="737" w:type="dxa"/>
            <w:noWrap/>
            <w:vAlign w:val="bottom"/>
          </w:tcPr>
          <w:p w14:paraId="4371AB0A" w14:textId="434E90CC" w:rsidR="00327A2B" w:rsidRPr="00DC7563" w:rsidRDefault="00327A2B" w:rsidP="00D224DA">
            <w:pPr>
              <w:tabs>
                <w:tab w:val="decimal" w:pos="26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w:t>
            </w:r>
          </w:p>
        </w:tc>
        <w:tc>
          <w:tcPr>
            <w:tcW w:w="1560" w:type="dxa"/>
            <w:noWrap/>
            <w:vAlign w:val="bottom"/>
          </w:tcPr>
          <w:p w14:paraId="7ABB7D1D" w14:textId="29956D23"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Sweden</w:t>
            </w:r>
          </w:p>
        </w:tc>
        <w:tc>
          <w:tcPr>
            <w:tcW w:w="737" w:type="dxa"/>
            <w:noWrap/>
            <w:vAlign w:val="bottom"/>
          </w:tcPr>
          <w:p w14:paraId="05BBC39D" w14:textId="6B0AA684" w:rsidR="00327A2B" w:rsidRPr="00DC7563" w:rsidRDefault="00327A2B" w:rsidP="00D224DA">
            <w:pPr>
              <w:tabs>
                <w:tab w:val="decimal" w:pos="373"/>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9</w:t>
            </w:r>
          </w:p>
        </w:tc>
      </w:tr>
      <w:tr w:rsidR="00327A2B" w:rsidRPr="00DC7563" w14:paraId="1D4BACE2" w14:textId="77777777" w:rsidTr="00B72237">
        <w:trPr>
          <w:trHeight w:val="48"/>
          <w:jc w:val="center"/>
        </w:trPr>
        <w:tc>
          <w:tcPr>
            <w:tcW w:w="1525" w:type="dxa"/>
            <w:noWrap/>
            <w:vAlign w:val="bottom"/>
            <w:hideMark/>
          </w:tcPr>
          <w:p w14:paraId="762B8A88" w14:textId="77777777"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Belgium</w:t>
            </w:r>
          </w:p>
        </w:tc>
        <w:tc>
          <w:tcPr>
            <w:tcW w:w="810" w:type="dxa"/>
            <w:noWrap/>
            <w:vAlign w:val="bottom"/>
            <w:hideMark/>
          </w:tcPr>
          <w:p w14:paraId="7F6E815B" w14:textId="77777777" w:rsidR="00327A2B" w:rsidRPr="00DC7563" w:rsidRDefault="00327A2B" w:rsidP="00D224DA">
            <w:pPr>
              <w:tabs>
                <w:tab w:val="decimal" w:pos="18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27</w:t>
            </w:r>
          </w:p>
        </w:tc>
        <w:tc>
          <w:tcPr>
            <w:tcW w:w="1260" w:type="dxa"/>
            <w:vAlign w:val="bottom"/>
          </w:tcPr>
          <w:p w14:paraId="6ECABDA6" w14:textId="4F957191"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India</w:t>
            </w:r>
          </w:p>
        </w:tc>
        <w:tc>
          <w:tcPr>
            <w:tcW w:w="744" w:type="dxa"/>
            <w:vAlign w:val="bottom"/>
          </w:tcPr>
          <w:p w14:paraId="7B8747B7" w14:textId="3332AEA1" w:rsidR="00327A2B" w:rsidRPr="00DC7563" w:rsidRDefault="00327A2B" w:rsidP="00D224DA">
            <w:pPr>
              <w:tabs>
                <w:tab w:val="decimal" w:pos="236"/>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14</w:t>
            </w:r>
          </w:p>
        </w:tc>
        <w:tc>
          <w:tcPr>
            <w:tcW w:w="1358" w:type="dxa"/>
            <w:noWrap/>
            <w:vAlign w:val="bottom"/>
          </w:tcPr>
          <w:p w14:paraId="4D658D4C" w14:textId="3815BA13"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Morocco</w:t>
            </w:r>
          </w:p>
        </w:tc>
        <w:tc>
          <w:tcPr>
            <w:tcW w:w="737" w:type="dxa"/>
            <w:noWrap/>
            <w:vAlign w:val="bottom"/>
          </w:tcPr>
          <w:p w14:paraId="4BEA8595" w14:textId="34904E2F" w:rsidR="00327A2B" w:rsidRPr="00DC7563" w:rsidRDefault="00327A2B" w:rsidP="00D224DA">
            <w:pPr>
              <w:tabs>
                <w:tab w:val="decimal" w:pos="26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w:t>
            </w:r>
          </w:p>
        </w:tc>
        <w:tc>
          <w:tcPr>
            <w:tcW w:w="1560" w:type="dxa"/>
            <w:noWrap/>
            <w:vAlign w:val="bottom"/>
          </w:tcPr>
          <w:p w14:paraId="7F139152" w14:textId="1101030C"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Switzerland</w:t>
            </w:r>
          </w:p>
        </w:tc>
        <w:tc>
          <w:tcPr>
            <w:tcW w:w="737" w:type="dxa"/>
            <w:noWrap/>
            <w:vAlign w:val="bottom"/>
          </w:tcPr>
          <w:p w14:paraId="2CBB0215" w14:textId="6C4A818A" w:rsidR="00327A2B" w:rsidRPr="00DC7563" w:rsidRDefault="00327A2B" w:rsidP="00D224DA">
            <w:pPr>
              <w:tabs>
                <w:tab w:val="decimal" w:pos="373"/>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7</w:t>
            </w:r>
          </w:p>
        </w:tc>
      </w:tr>
      <w:tr w:rsidR="00327A2B" w:rsidRPr="00DC7563" w14:paraId="57B9C889" w14:textId="77777777" w:rsidTr="00B72237">
        <w:trPr>
          <w:trHeight w:val="48"/>
          <w:jc w:val="center"/>
        </w:trPr>
        <w:tc>
          <w:tcPr>
            <w:tcW w:w="1525" w:type="dxa"/>
            <w:noWrap/>
            <w:vAlign w:val="bottom"/>
            <w:hideMark/>
          </w:tcPr>
          <w:p w14:paraId="7B3417FD" w14:textId="77777777" w:rsidR="00327A2B" w:rsidRPr="00DC7563" w:rsidRDefault="00327A2B" w:rsidP="00D224DA">
            <w:pPr>
              <w:rPr>
                <w:rFonts w:ascii="Arial" w:hAnsi="Arial" w:cs="Arial"/>
                <w:color w:val="000000"/>
                <w:sz w:val="18"/>
                <w:szCs w:val="18"/>
                <w:lang w:val="en-GB"/>
              </w:rPr>
            </w:pPr>
            <w:r w:rsidRPr="00DC7563">
              <w:rPr>
                <w:rFonts w:ascii="Arial" w:hAnsi="Arial" w:cs="Arial"/>
                <w:color w:val="000000"/>
                <w:sz w:val="18"/>
                <w:szCs w:val="18"/>
                <w:lang w:val="en-GB"/>
              </w:rPr>
              <w:t>Brazil</w:t>
            </w:r>
          </w:p>
        </w:tc>
        <w:tc>
          <w:tcPr>
            <w:tcW w:w="810" w:type="dxa"/>
            <w:noWrap/>
            <w:vAlign w:val="bottom"/>
            <w:hideMark/>
          </w:tcPr>
          <w:p w14:paraId="18894677" w14:textId="77777777" w:rsidR="00327A2B" w:rsidRPr="00DC7563" w:rsidRDefault="00327A2B" w:rsidP="00D224DA">
            <w:pPr>
              <w:tabs>
                <w:tab w:val="decimal" w:pos="18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20</w:t>
            </w:r>
          </w:p>
        </w:tc>
        <w:tc>
          <w:tcPr>
            <w:tcW w:w="1260" w:type="dxa"/>
            <w:vAlign w:val="bottom"/>
          </w:tcPr>
          <w:p w14:paraId="44A3745B" w14:textId="3A621FFE"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Iran</w:t>
            </w:r>
          </w:p>
        </w:tc>
        <w:tc>
          <w:tcPr>
            <w:tcW w:w="744" w:type="dxa"/>
            <w:vAlign w:val="bottom"/>
          </w:tcPr>
          <w:p w14:paraId="5062F098" w14:textId="61723461" w:rsidR="00327A2B" w:rsidRPr="00DC7563" w:rsidRDefault="00327A2B" w:rsidP="00D224DA">
            <w:pPr>
              <w:tabs>
                <w:tab w:val="decimal" w:pos="236"/>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6</w:t>
            </w:r>
          </w:p>
        </w:tc>
        <w:tc>
          <w:tcPr>
            <w:tcW w:w="1358" w:type="dxa"/>
            <w:noWrap/>
            <w:vAlign w:val="bottom"/>
          </w:tcPr>
          <w:p w14:paraId="6560F8F4" w14:textId="1F142E67"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Netherlands</w:t>
            </w:r>
          </w:p>
        </w:tc>
        <w:tc>
          <w:tcPr>
            <w:tcW w:w="737" w:type="dxa"/>
            <w:noWrap/>
            <w:vAlign w:val="bottom"/>
          </w:tcPr>
          <w:p w14:paraId="543B8B8C" w14:textId="6444EA46" w:rsidR="00327A2B" w:rsidRPr="00DC7563" w:rsidRDefault="00327A2B" w:rsidP="00D224DA">
            <w:pPr>
              <w:tabs>
                <w:tab w:val="decimal" w:pos="26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9</w:t>
            </w:r>
          </w:p>
        </w:tc>
        <w:tc>
          <w:tcPr>
            <w:tcW w:w="1560" w:type="dxa"/>
            <w:noWrap/>
            <w:vAlign w:val="bottom"/>
          </w:tcPr>
          <w:p w14:paraId="0B654AB6" w14:textId="1A59369A"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Sri Lanka</w:t>
            </w:r>
          </w:p>
        </w:tc>
        <w:tc>
          <w:tcPr>
            <w:tcW w:w="737" w:type="dxa"/>
            <w:noWrap/>
            <w:vAlign w:val="bottom"/>
          </w:tcPr>
          <w:p w14:paraId="47EFDB38" w14:textId="7CD343C5" w:rsidR="00327A2B" w:rsidRPr="00DC7563" w:rsidRDefault="00327A2B" w:rsidP="00D224DA">
            <w:pPr>
              <w:tabs>
                <w:tab w:val="decimal" w:pos="373"/>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8</w:t>
            </w:r>
          </w:p>
        </w:tc>
      </w:tr>
      <w:tr w:rsidR="00327A2B" w:rsidRPr="00DC7563" w14:paraId="5333A207" w14:textId="77777777" w:rsidTr="00B72237">
        <w:trPr>
          <w:trHeight w:val="48"/>
          <w:jc w:val="center"/>
        </w:trPr>
        <w:tc>
          <w:tcPr>
            <w:tcW w:w="1525" w:type="dxa"/>
            <w:noWrap/>
            <w:vAlign w:val="bottom"/>
            <w:hideMark/>
          </w:tcPr>
          <w:p w14:paraId="0D4F1DC5" w14:textId="77777777"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Bulgaria</w:t>
            </w:r>
          </w:p>
        </w:tc>
        <w:tc>
          <w:tcPr>
            <w:tcW w:w="810" w:type="dxa"/>
            <w:noWrap/>
            <w:vAlign w:val="bottom"/>
            <w:hideMark/>
          </w:tcPr>
          <w:p w14:paraId="2F35B48E" w14:textId="77777777" w:rsidR="00327A2B" w:rsidRPr="00DC7563" w:rsidRDefault="00327A2B" w:rsidP="00D224DA">
            <w:pPr>
              <w:tabs>
                <w:tab w:val="decimal" w:pos="18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5</w:t>
            </w:r>
          </w:p>
        </w:tc>
        <w:tc>
          <w:tcPr>
            <w:tcW w:w="1260" w:type="dxa"/>
            <w:vAlign w:val="bottom"/>
          </w:tcPr>
          <w:p w14:paraId="7F5E6727" w14:textId="755056A9"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Ireland</w:t>
            </w:r>
          </w:p>
        </w:tc>
        <w:tc>
          <w:tcPr>
            <w:tcW w:w="744" w:type="dxa"/>
            <w:vAlign w:val="bottom"/>
          </w:tcPr>
          <w:p w14:paraId="7A7A15F8" w14:textId="2619810A" w:rsidR="00327A2B" w:rsidRPr="00DC7563" w:rsidRDefault="00327A2B" w:rsidP="00D224DA">
            <w:pPr>
              <w:tabs>
                <w:tab w:val="decimal" w:pos="236"/>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4</w:t>
            </w:r>
          </w:p>
        </w:tc>
        <w:tc>
          <w:tcPr>
            <w:tcW w:w="1358" w:type="dxa"/>
            <w:noWrap/>
            <w:vAlign w:val="bottom"/>
          </w:tcPr>
          <w:p w14:paraId="3A5C88F2" w14:textId="42DC7CDC"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New Zealand</w:t>
            </w:r>
          </w:p>
        </w:tc>
        <w:tc>
          <w:tcPr>
            <w:tcW w:w="737" w:type="dxa"/>
            <w:noWrap/>
            <w:vAlign w:val="bottom"/>
          </w:tcPr>
          <w:p w14:paraId="0AFE9232" w14:textId="1FAEE050" w:rsidR="00327A2B" w:rsidRPr="00DC7563" w:rsidRDefault="00327A2B" w:rsidP="00D224DA">
            <w:pPr>
              <w:tabs>
                <w:tab w:val="decimal" w:pos="26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9</w:t>
            </w:r>
          </w:p>
        </w:tc>
        <w:tc>
          <w:tcPr>
            <w:tcW w:w="1560" w:type="dxa"/>
            <w:noWrap/>
            <w:vAlign w:val="bottom"/>
            <w:hideMark/>
          </w:tcPr>
          <w:p w14:paraId="633B3951" w14:textId="3FCB4DA9"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Taiwan</w:t>
            </w:r>
          </w:p>
        </w:tc>
        <w:tc>
          <w:tcPr>
            <w:tcW w:w="737" w:type="dxa"/>
            <w:noWrap/>
            <w:vAlign w:val="bottom"/>
            <w:hideMark/>
          </w:tcPr>
          <w:p w14:paraId="7212B842" w14:textId="42BECD1E" w:rsidR="00327A2B" w:rsidRPr="00DC7563" w:rsidRDefault="00327A2B" w:rsidP="00D224DA">
            <w:pPr>
              <w:tabs>
                <w:tab w:val="decimal" w:pos="373"/>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2</w:t>
            </w:r>
          </w:p>
        </w:tc>
      </w:tr>
      <w:tr w:rsidR="00327A2B" w:rsidRPr="00DC7563" w14:paraId="4A050C47" w14:textId="77777777" w:rsidTr="00B72237">
        <w:trPr>
          <w:trHeight w:val="48"/>
          <w:jc w:val="center"/>
        </w:trPr>
        <w:tc>
          <w:tcPr>
            <w:tcW w:w="1525" w:type="dxa"/>
            <w:noWrap/>
            <w:vAlign w:val="bottom"/>
            <w:hideMark/>
          </w:tcPr>
          <w:p w14:paraId="7EDBCFAA" w14:textId="77777777"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Cambodia</w:t>
            </w:r>
          </w:p>
        </w:tc>
        <w:tc>
          <w:tcPr>
            <w:tcW w:w="810" w:type="dxa"/>
            <w:noWrap/>
            <w:vAlign w:val="bottom"/>
            <w:hideMark/>
          </w:tcPr>
          <w:p w14:paraId="51BAA6E4" w14:textId="77777777" w:rsidR="00327A2B" w:rsidRPr="00DC7563" w:rsidRDefault="00327A2B" w:rsidP="00D224DA">
            <w:pPr>
              <w:tabs>
                <w:tab w:val="decimal" w:pos="18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w:t>
            </w:r>
          </w:p>
        </w:tc>
        <w:tc>
          <w:tcPr>
            <w:tcW w:w="1260" w:type="dxa"/>
            <w:vAlign w:val="bottom"/>
          </w:tcPr>
          <w:p w14:paraId="4ABA1369" w14:textId="3B7828FC"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Israel</w:t>
            </w:r>
          </w:p>
        </w:tc>
        <w:tc>
          <w:tcPr>
            <w:tcW w:w="744" w:type="dxa"/>
            <w:vAlign w:val="bottom"/>
          </w:tcPr>
          <w:p w14:paraId="6630A59C" w14:textId="0BC928E9" w:rsidR="00327A2B" w:rsidRPr="00DC7563" w:rsidRDefault="00327A2B" w:rsidP="00D224DA">
            <w:pPr>
              <w:tabs>
                <w:tab w:val="decimal" w:pos="236"/>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3</w:t>
            </w:r>
          </w:p>
        </w:tc>
        <w:tc>
          <w:tcPr>
            <w:tcW w:w="1358" w:type="dxa"/>
            <w:noWrap/>
            <w:vAlign w:val="bottom"/>
          </w:tcPr>
          <w:p w14:paraId="00A155AB" w14:textId="12E00F1E"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Norway</w:t>
            </w:r>
          </w:p>
        </w:tc>
        <w:tc>
          <w:tcPr>
            <w:tcW w:w="737" w:type="dxa"/>
            <w:noWrap/>
            <w:vAlign w:val="bottom"/>
          </w:tcPr>
          <w:p w14:paraId="4860369F" w14:textId="38B0B243" w:rsidR="00327A2B" w:rsidRPr="00DC7563" w:rsidRDefault="00327A2B" w:rsidP="00D224DA">
            <w:pPr>
              <w:tabs>
                <w:tab w:val="decimal" w:pos="26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8</w:t>
            </w:r>
          </w:p>
        </w:tc>
        <w:tc>
          <w:tcPr>
            <w:tcW w:w="1560" w:type="dxa"/>
            <w:noWrap/>
            <w:vAlign w:val="bottom"/>
            <w:hideMark/>
          </w:tcPr>
          <w:p w14:paraId="2E1C3FC4" w14:textId="3B9CD21C"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Thailand</w:t>
            </w:r>
          </w:p>
        </w:tc>
        <w:tc>
          <w:tcPr>
            <w:tcW w:w="737" w:type="dxa"/>
            <w:noWrap/>
            <w:vAlign w:val="bottom"/>
            <w:hideMark/>
          </w:tcPr>
          <w:p w14:paraId="0CC70485" w14:textId="39151B13" w:rsidR="00327A2B" w:rsidRPr="00DC7563" w:rsidRDefault="00327A2B" w:rsidP="00D224DA">
            <w:pPr>
              <w:tabs>
                <w:tab w:val="decimal" w:pos="373"/>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w:t>
            </w:r>
          </w:p>
        </w:tc>
      </w:tr>
      <w:tr w:rsidR="00327A2B" w:rsidRPr="00DC7563" w14:paraId="29D0B2B2" w14:textId="77777777" w:rsidTr="00B72237">
        <w:trPr>
          <w:trHeight w:val="48"/>
          <w:jc w:val="center"/>
        </w:trPr>
        <w:tc>
          <w:tcPr>
            <w:tcW w:w="1525" w:type="dxa"/>
            <w:noWrap/>
            <w:vAlign w:val="bottom"/>
            <w:hideMark/>
          </w:tcPr>
          <w:p w14:paraId="3EB4CED8" w14:textId="77777777"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Canada</w:t>
            </w:r>
          </w:p>
        </w:tc>
        <w:tc>
          <w:tcPr>
            <w:tcW w:w="810" w:type="dxa"/>
            <w:noWrap/>
            <w:vAlign w:val="bottom"/>
            <w:hideMark/>
          </w:tcPr>
          <w:p w14:paraId="39700026" w14:textId="77777777" w:rsidR="00327A2B" w:rsidRPr="00DC7563" w:rsidRDefault="00327A2B" w:rsidP="00D224DA">
            <w:pPr>
              <w:tabs>
                <w:tab w:val="decimal" w:pos="18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37</w:t>
            </w:r>
          </w:p>
        </w:tc>
        <w:tc>
          <w:tcPr>
            <w:tcW w:w="1260" w:type="dxa"/>
            <w:vAlign w:val="bottom"/>
          </w:tcPr>
          <w:p w14:paraId="6DCF6A53" w14:textId="3F33328F"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Italy</w:t>
            </w:r>
          </w:p>
        </w:tc>
        <w:tc>
          <w:tcPr>
            <w:tcW w:w="744" w:type="dxa"/>
            <w:vAlign w:val="bottom"/>
          </w:tcPr>
          <w:p w14:paraId="1E37B518" w14:textId="2A276F78" w:rsidR="00327A2B" w:rsidRPr="00DC7563" w:rsidRDefault="00327A2B" w:rsidP="00D224DA">
            <w:pPr>
              <w:tabs>
                <w:tab w:val="decimal" w:pos="236"/>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54</w:t>
            </w:r>
          </w:p>
        </w:tc>
        <w:tc>
          <w:tcPr>
            <w:tcW w:w="1358" w:type="dxa"/>
            <w:noWrap/>
            <w:vAlign w:val="bottom"/>
          </w:tcPr>
          <w:p w14:paraId="18C276D1" w14:textId="6DB38F4D"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Pakistan</w:t>
            </w:r>
          </w:p>
        </w:tc>
        <w:tc>
          <w:tcPr>
            <w:tcW w:w="737" w:type="dxa"/>
            <w:noWrap/>
            <w:vAlign w:val="bottom"/>
          </w:tcPr>
          <w:p w14:paraId="7754EE90" w14:textId="1C8D6A72" w:rsidR="00327A2B" w:rsidRPr="00DC7563" w:rsidRDefault="00327A2B" w:rsidP="00D224DA">
            <w:pPr>
              <w:tabs>
                <w:tab w:val="decimal" w:pos="26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2</w:t>
            </w:r>
          </w:p>
        </w:tc>
        <w:tc>
          <w:tcPr>
            <w:tcW w:w="1560" w:type="dxa"/>
            <w:noWrap/>
            <w:vAlign w:val="bottom"/>
            <w:hideMark/>
          </w:tcPr>
          <w:p w14:paraId="105104D3" w14:textId="50D85B8A"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Tunisia</w:t>
            </w:r>
          </w:p>
        </w:tc>
        <w:tc>
          <w:tcPr>
            <w:tcW w:w="737" w:type="dxa"/>
            <w:noWrap/>
            <w:vAlign w:val="bottom"/>
            <w:hideMark/>
          </w:tcPr>
          <w:p w14:paraId="0F32C588" w14:textId="09D7A760" w:rsidR="00327A2B" w:rsidRPr="00DC7563" w:rsidRDefault="00327A2B" w:rsidP="00D224DA">
            <w:pPr>
              <w:tabs>
                <w:tab w:val="decimal" w:pos="373"/>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w:t>
            </w:r>
          </w:p>
        </w:tc>
      </w:tr>
      <w:tr w:rsidR="00327A2B" w:rsidRPr="00DC7563" w14:paraId="71B71442" w14:textId="77777777" w:rsidTr="00B72237">
        <w:trPr>
          <w:trHeight w:val="208"/>
          <w:jc w:val="center"/>
        </w:trPr>
        <w:tc>
          <w:tcPr>
            <w:tcW w:w="1525" w:type="dxa"/>
            <w:noWrap/>
            <w:vAlign w:val="bottom"/>
            <w:hideMark/>
          </w:tcPr>
          <w:p w14:paraId="46642AA9" w14:textId="77777777"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China</w:t>
            </w:r>
          </w:p>
        </w:tc>
        <w:tc>
          <w:tcPr>
            <w:tcW w:w="810" w:type="dxa"/>
            <w:noWrap/>
            <w:vAlign w:val="bottom"/>
            <w:hideMark/>
          </w:tcPr>
          <w:p w14:paraId="0BC560A0" w14:textId="77777777" w:rsidR="00327A2B" w:rsidRPr="00DC7563" w:rsidRDefault="00327A2B" w:rsidP="00D224DA">
            <w:pPr>
              <w:tabs>
                <w:tab w:val="decimal" w:pos="18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45</w:t>
            </w:r>
          </w:p>
        </w:tc>
        <w:tc>
          <w:tcPr>
            <w:tcW w:w="1260" w:type="dxa"/>
            <w:vAlign w:val="bottom"/>
          </w:tcPr>
          <w:p w14:paraId="28EF0090" w14:textId="45EC0810"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Jamaica</w:t>
            </w:r>
          </w:p>
        </w:tc>
        <w:tc>
          <w:tcPr>
            <w:tcW w:w="744" w:type="dxa"/>
            <w:vAlign w:val="bottom"/>
          </w:tcPr>
          <w:p w14:paraId="41AE7CF0" w14:textId="0AFE33DE" w:rsidR="00327A2B" w:rsidRPr="00DC7563" w:rsidRDefault="00327A2B" w:rsidP="00D224DA">
            <w:pPr>
              <w:tabs>
                <w:tab w:val="decimal" w:pos="236"/>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w:t>
            </w:r>
          </w:p>
        </w:tc>
        <w:tc>
          <w:tcPr>
            <w:tcW w:w="1358" w:type="dxa"/>
            <w:noWrap/>
            <w:vAlign w:val="bottom"/>
          </w:tcPr>
          <w:p w14:paraId="2E189BB0" w14:textId="7839596C"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Peru</w:t>
            </w:r>
          </w:p>
        </w:tc>
        <w:tc>
          <w:tcPr>
            <w:tcW w:w="737" w:type="dxa"/>
            <w:noWrap/>
            <w:vAlign w:val="bottom"/>
          </w:tcPr>
          <w:p w14:paraId="0119864F" w14:textId="4B288569" w:rsidR="00327A2B" w:rsidRPr="00DC7563" w:rsidRDefault="00327A2B" w:rsidP="00D224DA">
            <w:pPr>
              <w:tabs>
                <w:tab w:val="decimal" w:pos="26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w:t>
            </w:r>
          </w:p>
        </w:tc>
        <w:tc>
          <w:tcPr>
            <w:tcW w:w="1560" w:type="dxa"/>
            <w:noWrap/>
            <w:vAlign w:val="bottom"/>
            <w:hideMark/>
          </w:tcPr>
          <w:p w14:paraId="4B42303B" w14:textId="02D82B1D"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Turkey</w:t>
            </w:r>
          </w:p>
        </w:tc>
        <w:tc>
          <w:tcPr>
            <w:tcW w:w="737" w:type="dxa"/>
            <w:noWrap/>
            <w:vAlign w:val="bottom"/>
            <w:hideMark/>
          </w:tcPr>
          <w:p w14:paraId="454135BB" w14:textId="5F31F2C4" w:rsidR="00327A2B" w:rsidRPr="00DC7563" w:rsidRDefault="00327A2B" w:rsidP="00D224DA">
            <w:pPr>
              <w:tabs>
                <w:tab w:val="decimal" w:pos="373"/>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5</w:t>
            </w:r>
          </w:p>
        </w:tc>
      </w:tr>
      <w:tr w:rsidR="00327A2B" w:rsidRPr="00DC7563" w14:paraId="1B3F6C79" w14:textId="77777777" w:rsidTr="00B72237">
        <w:trPr>
          <w:trHeight w:val="48"/>
          <w:jc w:val="center"/>
        </w:trPr>
        <w:tc>
          <w:tcPr>
            <w:tcW w:w="1525" w:type="dxa"/>
            <w:noWrap/>
            <w:vAlign w:val="bottom"/>
            <w:hideMark/>
          </w:tcPr>
          <w:p w14:paraId="17911334" w14:textId="77777777"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Croatia</w:t>
            </w:r>
          </w:p>
        </w:tc>
        <w:tc>
          <w:tcPr>
            <w:tcW w:w="810" w:type="dxa"/>
            <w:noWrap/>
            <w:vAlign w:val="bottom"/>
            <w:hideMark/>
          </w:tcPr>
          <w:p w14:paraId="339A62AC" w14:textId="77777777" w:rsidR="00327A2B" w:rsidRPr="00DC7563" w:rsidRDefault="00327A2B" w:rsidP="00D224DA">
            <w:pPr>
              <w:tabs>
                <w:tab w:val="decimal" w:pos="18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w:t>
            </w:r>
          </w:p>
        </w:tc>
        <w:tc>
          <w:tcPr>
            <w:tcW w:w="1260" w:type="dxa"/>
            <w:vAlign w:val="bottom"/>
          </w:tcPr>
          <w:p w14:paraId="281CD086" w14:textId="55188E42"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Japan</w:t>
            </w:r>
          </w:p>
        </w:tc>
        <w:tc>
          <w:tcPr>
            <w:tcW w:w="744" w:type="dxa"/>
            <w:vAlign w:val="bottom"/>
          </w:tcPr>
          <w:p w14:paraId="22F6603C" w14:textId="2A16662D" w:rsidR="00327A2B" w:rsidRPr="00DC7563" w:rsidRDefault="00327A2B" w:rsidP="00D224DA">
            <w:pPr>
              <w:tabs>
                <w:tab w:val="decimal" w:pos="236"/>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38</w:t>
            </w:r>
          </w:p>
        </w:tc>
        <w:tc>
          <w:tcPr>
            <w:tcW w:w="1358" w:type="dxa"/>
            <w:noWrap/>
            <w:vAlign w:val="bottom"/>
          </w:tcPr>
          <w:p w14:paraId="44C81D7A" w14:textId="6C92ECAD"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Philippines</w:t>
            </w:r>
          </w:p>
        </w:tc>
        <w:tc>
          <w:tcPr>
            <w:tcW w:w="737" w:type="dxa"/>
            <w:noWrap/>
            <w:vAlign w:val="bottom"/>
          </w:tcPr>
          <w:p w14:paraId="4C1FA59D" w14:textId="5B8E9963" w:rsidR="00327A2B" w:rsidRPr="00DC7563" w:rsidRDefault="00327A2B" w:rsidP="00D224DA">
            <w:pPr>
              <w:tabs>
                <w:tab w:val="decimal" w:pos="26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w:t>
            </w:r>
          </w:p>
        </w:tc>
        <w:tc>
          <w:tcPr>
            <w:tcW w:w="1560" w:type="dxa"/>
            <w:noWrap/>
            <w:vAlign w:val="bottom"/>
            <w:hideMark/>
          </w:tcPr>
          <w:p w14:paraId="75215F22" w14:textId="2798C570" w:rsidR="00327A2B" w:rsidRPr="00DC7563" w:rsidRDefault="007E5A6A"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United Arab Emirates</w:t>
            </w:r>
          </w:p>
        </w:tc>
        <w:tc>
          <w:tcPr>
            <w:tcW w:w="737" w:type="dxa"/>
            <w:noWrap/>
            <w:vAlign w:val="bottom"/>
            <w:hideMark/>
          </w:tcPr>
          <w:p w14:paraId="1C4B9929" w14:textId="453A57E2" w:rsidR="00327A2B" w:rsidRPr="00DC7563" w:rsidRDefault="00327A2B" w:rsidP="00D224DA">
            <w:pPr>
              <w:tabs>
                <w:tab w:val="decimal" w:pos="373"/>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w:t>
            </w:r>
          </w:p>
        </w:tc>
      </w:tr>
      <w:tr w:rsidR="00327A2B" w:rsidRPr="00DC7563" w14:paraId="1149337E" w14:textId="77777777" w:rsidTr="00B72237">
        <w:trPr>
          <w:trHeight w:val="208"/>
          <w:jc w:val="center"/>
        </w:trPr>
        <w:tc>
          <w:tcPr>
            <w:tcW w:w="1525" w:type="dxa"/>
            <w:noWrap/>
            <w:vAlign w:val="bottom"/>
            <w:hideMark/>
          </w:tcPr>
          <w:p w14:paraId="6B3128BC" w14:textId="77777777"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Czech Republic</w:t>
            </w:r>
          </w:p>
        </w:tc>
        <w:tc>
          <w:tcPr>
            <w:tcW w:w="810" w:type="dxa"/>
            <w:noWrap/>
            <w:vAlign w:val="bottom"/>
            <w:hideMark/>
          </w:tcPr>
          <w:p w14:paraId="57F498C6" w14:textId="77777777" w:rsidR="00327A2B" w:rsidRPr="00DC7563" w:rsidRDefault="00327A2B" w:rsidP="00D224DA">
            <w:pPr>
              <w:tabs>
                <w:tab w:val="decimal" w:pos="18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12</w:t>
            </w:r>
          </w:p>
        </w:tc>
        <w:tc>
          <w:tcPr>
            <w:tcW w:w="1260" w:type="dxa"/>
            <w:vAlign w:val="bottom"/>
          </w:tcPr>
          <w:p w14:paraId="4CBA5013" w14:textId="385A8AEA"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Kenya</w:t>
            </w:r>
          </w:p>
        </w:tc>
        <w:tc>
          <w:tcPr>
            <w:tcW w:w="744" w:type="dxa"/>
            <w:vAlign w:val="bottom"/>
          </w:tcPr>
          <w:p w14:paraId="23A3EFB0" w14:textId="04900030" w:rsidR="00327A2B" w:rsidRPr="00DC7563" w:rsidRDefault="00327A2B" w:rsidP="00D224DA">
            <w:pPr>
              <w:tabs>
                <w:tab w:val="decimal" w:pos="236"/>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2</w:t>
            </w:r>
          </w:p>
        </w:tc>
        <w:tc>
          <w:tcPr>
            <w:tcW w:w="1358" w:type="dxa"/>
            <w:noWrap/>
            <w:vAlign w:val="bottom"/>
          </w:tcPr>
          <w:p w14:paraId="5D95D419" w14:textId="089F6494"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Poland</w:t>
            </w:r>
          </w:p>
        </w:tc>
        <w:tc>
          <w:tcPr>
            <w:tcW w:w="737" w:type="dxa"/>
            <w:noWrap/>
            <w:vAlign w:val="bottom"/>
          </w:tcPr>
          <w:p w14:paraId="57F699B3" w14:textId="65E22DAC" w:rsidR="00327A2B" w:rsidRPr="00DC7563" w:rsidRDefault="00327A2B" w:rsidP="00D224DA">
            <w:pPr>
              <w:tabs>
                <w:tab w:val="decimal" w:pos="26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8</w:t>
            </w:r>
          </w:p>
        </w:tc>
        <w:tc>
          <w:tcPr>
            <w:tcW w:w="1560" w:type="dxa"/>
            <w:noWrap/>
            <w:vAlign w:val="bottom"/>
            <w:hideMark/>
          </w:tcPr>
          <w:p w14:paraId="2A7340F8" w14:textId="424E02D9"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Ukraine</w:t>
            </w:r>
          </w:p>
        </w:tc>
        <w:tc>
          <w:tcPr>
            <w:tcW w:w="737" w:type="dxa"/>
            <w:noWrap/>
            <w:vAlign w:val="bottom"/>
            <w:hideMark/>
          </w:tcPr>
          <w:p w14:paraId="229034E0" w14:textId="5DA25562" w:rsidR="00327A2B" w:rsidRPr="00DC7563" w:rsidRDefault="00327A2B" w:rsidP="00D224DA">
            <w:pPr>
              <w:tabs>
                <w:tab w:val="decimal" w:pos="373"/>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4</w:t>
            </w:r>
          </w:p>
        </w:tc>
      </w:tr>
      <w:tr w:rsidR="00327A2B" w:rsidRPr="00DC7563" w14:paraId="523DB85E" w14:textId="77777777" w:rsidTr="00B72237">
        <w:trPr>
          <w:trHeight w:val="48"/>
          <w:jc w:val="center"/>
        </w:trPr>
        <w:tc>
          <w:tcPr>
            <w:tcW w:w="1525" w:type="dxa"/>
            <w:noWrap/>
            <w:vAlign w:val="bottom"/>
            <w:hideMark/>
          </w:tcPr>
          <w:p w14:paraId="40493281" w14:textId="77777777"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Denmark</w:t>
            </w:r>
          </w:p>
        </w:tc>
        <w:tc>
          <w:tcPr>
            <w:tcW w:w="810" w:type="dxa"/>
            <w:noWrap/>
            <w:vAlign w:val="bottom"/>
            <w:hideMark/>
          </w:tcPr>
          <w:p w14:paraId="53234E83" w14:textId="77777777" w:rsidR="00327A2B" w:rsidRPr="00DC7563" w:rsidRDefault="00327A2B" w:rsidP="00D224DA">
            <w:pPr>
              <w:tabs>
                <w:tab w:val="decimal" w:pos="18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5</w:t>
            </w:r>
          </w:p>
        </w:tc>
        <w:tc>
          <w:tcPr>
            <w:tcW w:w="1260" w:type="dxa"/>
            <w:vAlign w:val="bottom"/>
          </w:tcPr>
          <w:p w14:paraId="41BE2C62" w14:textId="2363E85D"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North Korea</w:t>
            </w:r>
          </w:p>
        </w:tc>
        <w:tc>
          <w:tcPr>
            <w:tcW w:w="744" w:type="dxa"/>
            <w:vAlign w:val="bottom"/>
          </w:tcPr>
          <w:p w14:paraId="1D2CD56F" w14:textId="4AD5F0BB" w:rsidR="00327A2B" w:rsidRPr="00DC7563" w:rsidRDefault="00327A2B" w:rsidP="00D224DA">
            <w:pPr>
              <w:tabs>
                <w:tab w:val="decimal" w:pos="236"/>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w:t>
            </w:r>
          </w:p>
        </w:tc>
        <w:tc>
          <w:tcPr>
            <w:tcW w:w="1358" w:type="dxa"/>
            <w:noWrap/>
            <w:vAlign w:val="bottom"/>
          </w:tcPr>
          <w:p w14:paraId="0C87D4A7" w14:textId="30FF0A42"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Portugal</w:t>
            </w:r>
          </w:p>
        </w:tc>
        <w:tc>
          <w:tcPr>
            <w:tcW w:w="737" w:type="dxa"/>
            <w:noWrap/>
            <w:vAlign w:val="bottom"/>
          </w:tcPr>
          <w:p w14:paraId="51F5D512" w14:textId="43395999" w:rsidR="00327A2B" w:rsidRPr="00DC7563" w:rsidRDefault="00327A2B" w:rsidP="00D224DA">
            <w:pPr>
              <w:tabs>
                <w:tab w:val="decimal" w:pos="26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5</w:t>
            </w:r>
          </w:p>
        </w:tc>
        <w:tc>
          <w:tcPr>
            <w:tcW w:w="1560" w:type="dxa"/>
            <w:noWrap/>
            <w:vAlign w:val="bottom"/>
          </w:tcPr>
          <w:p w14:paraId="5EFBFB8A" w14:textId="37B2874A"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United Kingdom</w:t>
            </w:r>
          </w:p>
        </w:tc>
        <w:tc>
          <w:tcPr>
            <w:tcW w:w="737" w:type="dxa"/>
            <w:noWrap/>
            <w:vAlign w:val="bottom"/>
          </w:tcPr>
          <w:p w14:paraId="03EDBB79" w14:textId="56FCF0EE" w:rsidR="00327A2B" w:rsidRPr="00DC7563" w:rsidRDefault="00327A2B" w:rsidP="00D224DA">
            <w:pPr>
              <w:tabs>
                <w:tab w:val="decimal" w:pos="373"/>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147</w:t>
            </w:r>
          </w:p>
        </w:tc>
      </w:tr>
      <w:tr w:rsidR="00327A2B" w:rsidRPr="00DC7563" w14:paraId="7243CAE4" w14:textId="77777777" w:rsidTr="00B72237">
        <w:trPr>
          <w:trHeight w:val="48"/>
          <w:jc w:val="center"/>
        </w:trPr>
        <w:tc>
          <w:tcPr>
            <w:tcW w:w="1525" w:type="dxa"/>
            <w:noWrap/>
            <w:vAlign w:val="bottom"/>
            <w:hideMark/>
          </w:tcPr>
          <w:p w14:paraId="24D6DCD2" w14:textId="77777777"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Egypt</w:t>
            </w:r>
          </w:p>
        </w:tc>
        <w:tc>
          <w:tcPr>
            <w:tcW w:w="810" w:type="dxa"/>
            <w:noWrap/>
            <w:vAlign w:val="bottom"/>
            <w:hideMark/>
          </w:tcPr>
          <w:p w14:paraId="61E222A1" w14:textId="77777777" w:rsidR="00327A2B" w:rsidRPr="00DC7563" w:rsidRDefault="00327A2B" w:rsidP="00D224DA">
            <w:pPr>
              <w:tabs>
                <w:tab w:val="decimal" w:pos="18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9</w:t>
            </w:r>
          </w:p>
        </w:tc>
        <w:tc>
          <w:tcPr>
            <w:tcW w:w="1260" w:type="dxa"/>
            <w:vAlign w:val="bottom"/>
          </w:tcPr>
          <w:p w14:paraId="62105F6E" w14:textId="0C811193"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South Korea</w:t>
            </w:r>
          </w:p>
        </w:tc>
        <w:tc>
          <w:tcPr>
            <w:tcW w:w="744" w:type="dxa"/>
            <w:vAlign w:val="bottom"/>
          </w:tcPr>
          <w:p w14:paraId="409CF1D4" w14:textId="4E8BED7F" w:rsidR="00327A2B" w:rsidRPr="00DC7563" w:rsidRDefault="00327A2B" w:rsidP="00D224DA">
            <w:pPr>
              <w:tabs>
                <w:tab w:val="decimal" w:pos="236"/>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6</w:t>
            </w:r>
          </w:p>
        </w:tc>
        <w:tc>
          <w:tcPr>
            <w:tcW w:w="1358" w:type="dxa"/>
            <w:noWrap/>
            <w:vAlign w:val="bottom"/>
          </w:tcPr>
          <w:p w14:paraId="3B575920" w14:textId="0A2F1156"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Romania</w:t>
            </w:r>
          </w:p>
        </w:tc>
        <w:tc>
          <w:tcPr>
            <w:tcW w:w="737" w:type="dxa"/>
            <w:noWrap/>
            <w:vAlign w:val="bottom"/>
          </w:tcPr>
          <w:p w14:paraId="2102E3EA" w14:textId="4AB8C00C" w:rsidR="00327A2B" w:rsidRPr="00DC7563" w:rsidRDefault="00327A2B" w:rsidP="00D224DA">
            <w:pPr>
              <w:tabs>
                <w:tab w:val="decimal" w:pos="26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3</w:t>
            </w:r>
          </w:p>
        </w:tc>
        <w:tc>
          <w:tcPr>
            <w:tcW w:w="1560" w:type="dxa"/>
            <w:noWrap/>
            <w:vAlign w:val="bottom"/>
          </w:tcPr>
          <w:p w14:paraId="06EE3FD5" w14:textId="40B3CC81"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United States</w:t>
            </w:r>
          </w:p>
        </w:tc>
        <w:tc>
          <w:tcPr>
            <w:tcW w:w="737" w:type="dxa"/>
            <w:noWrap/>
            <w:vAlign w:val="bottom"/>
          </w:tcPr>
          <w:p w14:paraId="7D138E37" w14:textId="4CB935DF" w:rsidR="00327A2B" w:rsidRPr="00DC7563" w:rsidRDefault="00327A2B" w:rsidP="00D224DA">
            <w:pPr>
              <w:tabs>
                <w:tab w:val="decimal" w:pos="373"/>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150</w:t>
            </w:r>
          </w:p>
        </w:tc>
      </w:tr>
      <w:tr w:rsidR="00327A2B" w:rsidRPr="00DC7563" w14:paraId="23404107" w14:textId="77777777" w:rsidTr="00B72237">
        <w:trPr>
          <w:trHeight w:val="208"/>
          <w:jc w:val="center"/>
        </w:trPr>
        <w:tc>
          <w:tcPr>
            <w:tcW w:w="1525" w:type="dxa"/>
            <w:noWrap/>
            <w:vAlign w:val="bottom"/>
            <w:hideMark/>
          </w:tcPr>
          <w:p w14:paraId="2DCB70DC" w14:textId="77777777"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Ethiopia</w:t>
            </w:r>
          </w:p>
        </w:tc>
        <w:tc>
          <w:tcPr>
            <w:tcW w:w="810" w:type="dxa"/>
            <w:noWrap/>
            <w:vAlign w:val="bottom"/>
            <w:hideMark/>
          </w:tcPr>
          <w:p w14:paraId="70B56E47" w14:textId="77777777" w:rsidR="00327A2B" w:rsidRPr="00DC7563" w:rsidRDefault="00327A2B" w:rsidP="00D224DA">
            <w:pPr>
              <w:tabs>
                <w:tab w:val="decimal" w:pos="18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3</w:t>
            </w:r>
          </w:p>
        </w:tc>
        <w:tc>
          <w:tcPr>
            <w:tcW w:w="1260" w:type="dxa"/>
            <w:vAlign w:val="bottom"/>
          </w:tcPr>
          <w:p w14:paraId="4796E950" w14:textId="69230AB5"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Latvia</w:t>
            </w:r>
          </w:p>
        </w:tc>
        <w:tc>
          <w:tcPr>
            <w:tcW w:w="744" w:type="dxa"/>
            <w:vAlign w:val="bottom"/>
          </w:tcPr>
          <w:p w14:paraId="013F8AC5" w14:textId="005EBF57" w:rsidR="00327A2B" w:rsidRPr="00DC7563" w:rsidRDefault="00327A2B" w:rsidP="00D224DA">
            <w:pPr>
              <w:tabs>
                <w:tab w:val="decimal" w:pos="236"/>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2</w:t>
            </w:r>
          </w:p>
        </w:tc>
        <w:tc>
          <w:tcPr>
            <w:tcW w:w="1358" w:type="dxa"/>
            <w:noWrap/>
            <w:vAlign w:val="bottom"/>
          </w:tcPr>
          <w:p w14:paraId="7B548922" w14:textId="2CAC61DB"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Russia</w:t>
            </w:r>
          </w:p>
        </w:tc>
        <w:tc>
          <w:tcPr>
            <w:tcW w:w="737" w:type="dxa"/>
            <w:noWrap/>
            <w:vAlign w:val="bottom"/>
          </w:tcPr>
          <w:p w14:paraId="751DDA8E" w14:textId="6C32CBB3" w:rsidR="00327A2B" w:rsidRPr="00DC7563" w:rsidRDefault="00327A2B" w:rsidP="00D224DA">
            <w:pPr>
              <w:tabs>
                <w:tab w:val="decimal" w:pos="260"/>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21</w:t>
            </w:r>
          </w:p>
        </w:tc>
        <w:tc>
          <w:tcPr>
            <w:tcW w:w="1560" w:type="dxa"/>
            <w:noWrap/>
            <w:vAlign w:val="bottom"/>
          </w:tcPr>
          <w:p w14:paraId="15566782" w14:textId="78549103" w:rsidR="00327A2B" w:rsidRPr="00DC7563" w:rsidRDefault="00327A2B" w:rsidP="00D224DA">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Vietnam</w:t>
            </w:r>
          </w:p>
        </w:tc>
        <w:tc>
          <w:tcPr>
            <w:tcW w:w="737" w:type="dxa"/>
            <w:noWrap/>
            <w:vAlign w:val="bottom"/>
          </w:tcPr>
          <w:p w14:paraId="2ECDABB0" w14:textId="5F4C1A99" w:rsidR="00327A2B" w:rsidRPr="00DC7563" w:rsidRDefault="00327A2B" w:rsidP="00D224DA">
            <w:pPr>
              <w:tabs>
                <w:tab w:val="decimal" w:pos="373"/>
              </w:tabs>
              <w:spacing w:line="276" w:lineRule="auto"/>
              <w:jc w:val="center"/>
              <w:rPr>
                <w:rFonts w:ascii="Arial" w:hAnsi="Arial" w:cs="Arial"/>
                <w:color w:val="000000"/>
                <w:sz w:val="18"/>
                <w:szCs w:val="18"/>
                <w:lang w:val="en-GB"/>
              </w:rPr>
            </w:pPr>
            <w:r w:rsidRPr="00DC7563">
              <w:rPr>
                <w:rFonts w:ascii="Arial" w:hAnsi="Arial" w:cs="Arial"/>
                <w:color w:val="000000"/>
                <w:sz w:val="18"/>
                <w:szCs w:val="18"/>
                <w:lang w:val="en-GB"/>
              </w:rPr>
              <w:t>2</w:t>
            </w:r>
          </w:p>
        </w:tc>
      </w:tr>
      <w:tr w:rsidR="00B72237" w:rsidRPr="00DC7563" w14:paraId="0C6E279F" w14:textId="77777777" w:rsidTr="00E92381">
        <w:trPr>
          <w:trHeight w:val="48"/>
          <w:jc w:val="center"/>
        </w:trPr>
        <w:tc>
          <w:tcPr>
            <w:tcW w:w="8731" w:type="dxa"/>
            <w:gridSpan w:val="8"/>
            <w:noWrap/>
            <w:vAlign w:val="bottom"/>
          </w:tcPr>
          <w:p w14:paraId="46F6FDA9" w14:textId="7EC398B9" w:rsidR="00B72237" w:rsidRPr="00DC7563" w:rsidRDefault="00327A2B" w:rsidP="00B72237">
            <w:pPr>
              <w:spacing w:line="276" w:lineRule="auto"/>
              <w:jc w:val="center"/>
              <w:rPr>
                <w:rFonts w:ascii="Arial" w:hAnsi="Arial" w:cs="Arial"/>
                <w:color w:val="000000"/>
                <w:sz w:val="18"/>
                <w:szCs w:val="18"/>
                <w:lang w:val="en-GB"/>
              </w:rPr>
            </w:pPr>
            <w:r w:rsidRPr="00DC7563">
              <w:rPr>
                <w:rFonts w:ascii="Arial" w:hAnsi="Arial" w:cs="Arial"/>
                <w:b/>
                <w:bCs/>
                <w:color w:val="000000"/>
                <w:sz w:val="18"/>
                <w:szCs w:val="18"/>
                <w:lang w:val="en-GB"/>
              </w:rPr>
              <w:t>Total Global Car Brands: 961</w:t>
            </w:r>
          </w:p>
        </w:tc>
      </w:tr>
    </w:tbl>
    <w:p w14:paraId="2643E127" w14:textId="77777777" w:rsidR="00F42C17" w:rsidRPr="00DC7563" w:rsidRDefault="00F42C17" w:rsidP="00F42C17">
      <w:pPr>
        <w:spacing w:line="256" w:lineRule="auto"/>
        <w:rPr>
          <w:rFonts w:ascii="Arial" w:eastAsia="Malgun Gothic" w:hAnsi="Arial"/>
          <w:color w:val="222222"/>
          <w:sz w:val="15"/>
          <w:szCs w:val="17"/>
          <w:lang w:val="en-GB" w:eastAsia="ko-KR"/>
        </w:rPr>
      </w:pPr>
    </w:p>
    <w:p w14:paraId="152164F8" w14:textId="3DAE5957" w:rsidR="00666715" w:rsidRPr="00DC7563" w:rsidRDefault="00666715" w:rsidP="003954A5">
      <w:pPr>
        <w:spacing w:line="256" w:lineRule="auto"/>
        <w:jc w:val="both"/>
        <w:rPr>
          <w:rFonts w:ascii="Arial" w:eastAsia="Malgun Gothic" w:hAnsi="Arial"/>
          <w:color w:val="222222"/>
          <w:sz w:val="17"/>
          <w:szCs w:val="17"/>
          <w:lang w:val="en-GB" w:eastAsia="ko-KR"/>
        </w:rPr>
      </w:pPr>
      <w:r w:rsidRPr="00DC7563">
        <w:rPr>
          <w:rFonts w:ascii="Arial" w:eastAsia="Malgun Gothic" w:hAnsi="Arial"/>
          <w:color w:val="222222"/>
          <w:sz w:val="17"/>
          <w:szCs w:val="17"/>
          <w:lang w:val="en-GB" w:eastAsia="ko-KR"/>
        </w:rPr>
        <w:t>Source: Adapted from “</w:t>
      </w:r>
      <w:r w:rsidR="00F27517" w:rsidRPr="00DC7563">
        <w:rPr>
          <w:rFonts w:ascii="Arial" w:eastAsia="Malgun Gothic" w:hAnsi="Arial"/>
          <w:color w:val="222222"/>
          <w:sz w:val="17"/>
          <w:szCs w:val="17"/>
          <w:lang w:val="en-GB" w:eastAsia="ko-KR"/>
        </w:rPr>
        <w:t xml:space="preserve">All Car Brands List and Logos,” </w:t>
      </w:r>
      <w:proofErr w:type="spellStart"/>
      <w:r w:rsidRPr="00DC7563">
        <w:rPr>
          <w:rFonts w:ascii="Arial" w:eastAsia="Malgun Gothic" w:hAnsi="Arial"/>
          <w:color w:val="222222"/>
          <w:sz w:val="17"/>
          <w:szCs w:val="17"/>
          <w:lang w:val="en-GB" w:eastAsia="ko-KR"/>
        </w:rPr>
        <w:t>GlobalC</w:t>
      </w:r>
      <w:r w:rsidRPr="00DC7563">
        <w:rPr>
          <w:rStyle w:val="FootnoteChar"/>
          <w:rFonts w:eastAsia="Malgun Gothic"/>
          <w:lang w:val="en-GB"/>
        </w:rPr>
        <w:t>ar</w:t>
      </w:r>
      <w:r w:rsidR="00F27517" w:rsidRPr="00DC7563">
        <w:rPr>
          <w:rStyle w:val="FootnoteChar"/>
          <w:rFonts w:eastAsia="Malgun Gothic"/>
          <w:lang w:val="en-GB"/>
        </w:rPr>
        <w:t>s</w:t>
      </w:r>
      <w:r w:rsidRPr="00DC7563">
        <w:rPr>
          <w:rStyle w:val="FootnoteChar"/>
          <w:rFonts w:eastAsia="Malgun Gothic"/>
          <w:lang w:val="en-GB"/>
        </w:rPr>
        <w:t>Brands</w:t>
      </w:r>
      <w:proofErr w:type="spellEnd"/>
      <w:r w:rsidRPr="00DC7563">
        <w:rPr>
          <w:rStyle w:val="FootnoteChar"/>
          <w:rFonts w:eastAsia="Malgun Gothic"/>
          <w:lang w:val="en-GB"/>
        </w:rPr>
        <w:t xml:space="preserve">, </w:t>
      </w:r>
      <w:r w:rsidR="00F27517" w:rsidRPr="00DC7563">
        <w:rPr>
          <w:rStyle w:val="FootnoteChar"/>
          <w:rFonts w:eastAsia="Malgun Gothic"/>
          <w:lang w:val="en-GB"/>
        </w:rPr>
        <w:t xml:space="preserve">January 26, 2015, </w:t>
      </w:r>
      <w:r w:rsidRPr="00DC7563">
        <w:rPr>
          <w:rStyle w:val="FootnoteChar"/>
          <w:rFonts w:eastAsia="Malgun Gothic"/>
          <w:lang w:val="en-GB"/>
        </w:rPr>
        <w:t>accessed</w:t>
      </w:r>
      <w:r w:rsidR="00F42C17" w:rsidRPr="00DC7563">
        <w:rPr>
          <w:rStyle w:val="FootnoteChar"/>
          <w:rFonts w:eastAsia="Malgun Gothic"/>
          <w:lang w:val="en-GB"/>
        </w:rPr>
        <w:t xml:space="preserve"> </w:t>
      </w:r>
      <w:r w:rsidRPr="00DC7563">
        <w:rPr>
          <w:rStyle w:val="FootnoteChar"/>
          <w:rFonts w:eastAsia="Malgun Gothic"/>
          <w:lang w:val="en-GB"/>
        </w:rPr>
        <w:t xml:space="preserve">February </w:t>
      </w:r>
      <w:r w:rsidR="00F42C17" w:rsidRPr="00DC7563">
        <w:rPr>
          <w:rStyle w:val="FootnoteChar"/>
          <w:rFonts w:eastAsia="Malgun Gothic"/>
          <w:lang w:val="en-GB"/>
        </w:rPr>
        <w:t xml:space="preserve">2, </w:t>
      </w:r>
      <w:r w:rsidRPr="00DC7563">
        <w:rPr>
          <w:rStyle w:val="FootnoteChar"/>
          <w:rFonts w:eastAsia="Malgun Gothic"/>
          <w:lang w:val="en-GB"/>
        </w:rPr>
        <w:t xml:space="preserve">2017, </w:t>
      </w:r>
      <w:r w:rsidR="00F42C17" w:rsidRPr="00DC7563">
        <w:rPr>
          <w:rStyle w:val="FootnoteChar"/>
          <w:rFonts w:eastAsia="Malgun Gothic"/>
          <w:lang w:val="en-GB"/>
        </w:rPr>
        <w:t>www.globalcarsbrands.com/all-car-brands-list-and-logos/</w:t>
      </w:r>
      <w:r w:rsidRPr="00DC7563">
        <w:rPr>
          <w:rStyle w:val="FootnoteChar"/>
          <w:rFonts w:eastAsia="Malgun Gothic"/>
          <w:lang w:val="en-GB"/>
        </w:rPr>
        <w:t>.</w:t>
      </w:r>
    </w:p>
    <w:p w14:paraId="3D2B42BB" w14:textId="77777777" w:rsidR="00F42C17" w:rsidRPr="00DC7563" w:rsidRDefault="00F42C17" w:rsidP="00F42C17">
      <w:pPr>
        <w:spacing w:line="256" w:lineRule="auto"/>
        <w:rPr>
          <w:rFonts w:ascii="Arial" w:eastAsia="Malgun Gothic" w:hAnsi="Arial"/>
          <w:color w:val="222222"/>
          <w:sz w:val="15"/>
          <w:szCs w:val="17"/>
          <w:lang w:val="en-GB" w:eastAsia="ko-KR"/>
        </w:rPr>
      </w:pPr>
    </w:p>
    <w:p w14:paraId="3FABC218" w14:textId="77777777" w:rsidR="00F42C17" w:rsidRPr="00DC7563" w:rsidRDefault="00F42C17" w:rsidP="00F42C17">
      <w:pPr>
        <w:spacing w:line="256" w:lineRule="auto"/>
        <w:rPr>
          <w:rFonts w:ascii="Arial" w:eastAsia="Malgun Gothic" w:hAnsi="Arial"/>
          <w:color w:val="222222"/>
          <w:sz w:val="15"/>
          <w:szCs w:val="17"/>
          <w:lang w:val="en-GB" w:eastAsia="ko-KR"/>
        </w:rPr>
      </w:pPr>
    </w:p>
    <w:p w14:paraId="3B41FB78" w14:textId="64A64136" w:rsidR="00666715" w:rsidRPr="00DC7563" w:rsidRDefault="00666715" w:rsidP="00C73E67">
      <w:pPr>
        <w:pStyle w:val="NoSpacing"/>
        <w:jc w:val="center"/>
        <w:outlineLvl w:val="0"/>
        <w:rPr>
          <w:rFonts w:ascii="Arial" w:eastAsia="Malgun Gothic" w:hAnsi="Arial"/>
          <w:b/>
          <w:color w:val="222222"/>
          <w:sz w:val="20"/>
          <w:szCs w:val="20"/>
          <w:lang w:val="en-GB" w:eastAsia="ko-KR"/>
        </w:rPr>
      </w:pPr>
      <w:r w:rsidRPr="00DC7563">
        <w:rPr>
          <w:rFonts w:ascii="Arial" w:eastAsia="Malgun Gothic" w:hAnsi="Arial"/>
          <w:b/>
          <w:color w:val="222222"/>
          <w:sz w:val="20"/>
          <w:szCs w:val="20"/>
          <w:lang w:val="en-GB" w:eastAsia="ko-KR"/>
        </w:rPr>
        <w:t xml:space="preserve">EXHIBIT 9: TOP CAR COMPANIES AND </w:t>
      </w:r>
      <w:r w:rsidR="00495EA2" w:rsidRPr="00DC7563">
        <w:rPr>
          <w:rFonts w:ascii="Arial" w:eastAsia="Malgun Gothic" w:hAnsi="Arial"/>
          <w:b/>
          <w:color w:val="222222"/>
          <w:sz w:val="20"/>
          <w:szCs w:val="20"/>
          <w:lang w:val="en-GB" w:eastAsia="ko-KR"/>
        </w:rPr>
        <w:t>THEIR</w:t>
      </w:r>
      <w:r w:rsidRPr="00DC7563">
        <w:rPr>
          <w:rFonts w:ascii="Arial" w:eastAsia="Malgun Gothic" w:hAnsi="Arial"/>
          <w:b/>
          <w:color w:val="222222"/>
          <w:sz w:val="20"/>
          <w:szCs w:val="20"/>
          <w:lang w:val="en-GB" w:eastAsia="ko-KR"/>
        </w:rPr>
        <w:t xml:space="preserve"> BRAND SUBSIDIARIES (2015)</w:t>
      </w:r>
    </w:p>
    <w:p w14:paraId="6D5901E2" w14:textId="77777777" w:rsidR="00666715" w:rsidRPr="00DC7563" w:rsidRDefault="00666715" w:rsidP="00666715">
      <w:pPr>
        <w:pStyle w:val="NoSpacing"/>
        <w:jc w:val="center"/>
        <w:rPr>
          <w:rFonts w:ascii="Times New Roman" w:eastAsia="Malgun Gothic" w:hAnsi="Times New Roman"/>
          <w:b/>
          <w:color w:val="222222"/>
          <w:sz w:val="18"/>
          <w:szCs w:val="20"/>
          <w:lang w:val="en-GB" w:eastAsia="ko-KR"/>
        </w:rPr>
      </w:pPr>
    </w:p>
    <w:tbl>
      <w:tblPr>
        <w:tblW w:w="7735" w:type="dxa"/>
        <w:jc w:val="center"/>
        <w:tblLook w:val="04A0" w:firstRow="1" w:lastRow="0" w:firstColumn="1" w:lastColumn="0" w:noHBand="0" w:noVBand="1"/>
      </w:tblPr>
      <w:tblGrid>
        <w:gridCol w:w="1389"/>
        <w:gridCol w:w="6346"/>
      </w:tblGrid>
      <w:tr w:rsidR="00666715" w:rsidRPr="00DC7563" w14:paraId="3D75EABE" w14:textId="77777777" w:rsidTr="0057071F">
        <w:trPr>
          <w:trHeight w:val="48"/>
          <w:jc w:val="center"/>
        </w:trPr>
        <w:tc>
          <w:tcPr>
            <w:tcW w:w="7735" w:type="dxa"/>
            <w:gridSpan w:val="2"/>
            <w:tcBorders>
              <w:top w:val="single" w:sz="4" w:space="0" w:color="auto"/>
              <w:left w:val="single" w:sz="4" w:space="0" w:color="auto"/>
              <w:bottom w:val="single" w:sz="4" w:space="0" w:color="auto"/>
              <w:right w:val="single" w:sz="4" w:space="0" w:color="auto"/>
            </w:tcBorders>
            <w:noWrap/>
            <w:vAlign w:val="bottom"/>
            <w:hideMark/>
          </w:tcPr>
          <w:p w14:paraId="0AAA2C66" w14:textId="69FAC356" w:rsidR="00666715" w:rsidRPr="00DC7563" w:rsidRDefault="00666715" w:rsidP="00FD3A0D">
            <w:pPr>
              <w:spacing w:line="276" w:lineRule="auto"/>
              <w:jc w:val="center"/>
              <w:rPr>
                <w:rFonts w:ascii="Arial" w:hAnsi="Arial" w:cs="Arial"/>
                <w:b/>
                <w:bCs/>
                <w:color w:val="000000"/>
                <w:sz w:val="18"/>
                <w:szCs w:val="18"/>
                <w:lang w:val="en-GB"/>
              </w:rPr>
            </w:pPr>
            <w:r w:rsidRPr="00DC7563">
              <w:rPr>
                <w:rFonts w:ascii="Arial" w:hAnsi="Arial" w:cs="Arial"/>
                <w:b/>
                <w:bCs/>
                <w:color w:val="000000"/>
                <w:sz w:val="18"/>
                <w:szCs w:val="18"/>
                <w:lang w:val="en-GB"/>
              </w:rPr>
              <w:t xml:space="preserve">Top Car Companies and </w:t>
            </w:r>
            <w:r w:rsidR="00FD3A0D">
              <w:rPr>
                <w:rFonts w:ascii="Arial" w:hAnsi="Arial" w:cs="Arial"/>
                <w:b/>
                <w:bCs/>
                <w:color w:val="000000"/>
                <w:sz w:val="18"/>
                <w:szCs w:val="18"/>
                <w:lang w:val="en-GB"/>
              </w:rPr>
              <w:t>Their</w:t>
            </w:r>
            <w:r w:rsidR="00FD3A0D" w:rsidRPr="00DC7563">
              <w:rPr>
                <w:rFonts w:ascii="Arial" w:hAnsi="Arial" w:cs="Arial"/>
                <w:b/>
                <w:bCs/>
                <w:color w:val="000000"/>
                <w:sz w:val="18"/>
                <w:szCs w:val="18"/>
                <w:lang w:val="en-GB"/>
              </w:rPr>
              <w:t xml:space="preserve"> </w:t>
            </w:r>
            <w:r w:rsidRPr="00DC7563">
              <w:rPr>
                <w:rFonts w:ascii="Arial" w:hAnsi="Arial" w:cs="Arial"/>
                <w:b/>
                <w:bCs/>
                <w:color w:val="000000"/>
                <w:sz w:val="18"/>
                <w:szCs w:val="18"/>
                <w:lang w:val="en-GB"/>
              </w:rPr>
              <w:t>Brand Subsidiaries (2015)</w:t>
            </w:r>
          </w:p>
        </w:tc>
      </w:tr>
      <w:tr w:rsidR="00666715" w:rsidRPr="00DC7563" w14:paraId="0CE3B107" w14:textId="77777777" w:rsidTr="0057071F">
        <w:trPr>
          <w:trHeight w:val="48"/>
          <w:jc w:val="center"/>
        </w:trPr>
        <w:tc>
          <w:tcPr>
            <w:tcW w:w="1389" w:type="dxa"/>
            <w:tcBorders>
              <w:top w:val="nil"/>
              <w:left w:val="single" w:sz="4" w:space="0" w:color="auto"/>
              <w:bottom w:val="single" w:sz="4" w:space="0" w:color="auto"/>
              <w:right w:val="single" w:sz="4" w:space="0" w:color="auto"/>
            </w:tcBorders>
            <w:noWrap/>
            <w:vAlign w:val="bottom"/>
            <w:hideMark/>
          </w:tcPr>
          <w:p w14:paraId="6FBB62DF" w14:textId="77777777" w:rsidR="00666715" w:rsidRPr="00DC7563" w:rsidRDefault="00666715">
            <w:pPr>
              <w:spacing w:line="276" w:lineRule="auto"/>
              <w:jc w:val="center"/>
              <w:rPr>
                <w:rFonts w:ascii="Arial" w:hAnsi="Arial" w:cs="Arial"/>
                <w:b/>
                <w:bCs/>
                <w:color w:val="000000"/>
                <w:sz w:val="18"/>
                <w:szCs w:val="18"/>
                <w:lang w:val="en-GB"/>
              </w:rPr>
            </w:pPr>
            <w:r w:rsidRPr="00DC7563">
              <w:rPr>
                <w:rFonts w:ascii="Arial" w:hAnsi="Arial" w:cs="Arial"/>
                <w:b/>
                <w:bCs/>
                <w:color w:val="000000"/>
                <w:sz w:val="18"/>
                <w:szCs w:val="18"/>
                <w:lang w:val="en-GB"/>
              </w:rPr>
              <w:t>Company</w:t>
            </w:r>
          </w:p>
        </w:tc>
        <w:tc>
          <w:tcPr>
            <w:tcW w:w="6346" w:type="dxa"/>
            <w:tcBorders>
              <w:top w:val="nil"/>
              <w:left w:val="nil"/>
              <w:bottom w:val="single" w:sz="4" w:space="0" w:color="auto"/>
              <w:right w:val="single" w:sz="4" w:space="0" w:color="auto"/>
            </w:tcBorders>
            <w:noWrap/>
            <w:vAlign w:val="bottom"/>
            <w:hideMark/>
          </w:tcPr>
          <w:p w14:paraId="02CCFBC7" w14:textId="77777777" w:rsidR="00666715" w:rsidRPr="00DC7563" w:rsidRDefault="00666715">
            <w:pPr>
              <w:spacing w:line="276" w:lineRule="auto"/>
              <w:jc w:val="center"/>
              <w:rPr>
                <w:rFonts w:ascii="Arial" w:hAnsi="Arial" w:cs="Arial"/>
                <w:b/>
                <w:bCs/>
                <w:color w:val="000000"/>
                <w:sz w:val="18"/>
                <w:szCs w:val="18"/>
                <w:lang w:val="en-GB"/>
              </w:rPr>
            </w:pPr>
            <w:r w:rsidRPr="00DC7563">
              <w:rPr>
                <w:rFonts w:ascii="Arial" w:hAnsi="Arial" w:cs="Arial"/>
                <w:b/>
                <w:bCs/>
                <w:color w:val="000000"/>
                <w:sz w:val="18"/>
                <w:szCs w:val="18"/>
                <w:lang w:val="en-GB"/>
              </w:rPr>
              <w:t>Brands</w:t>
            </w:r>
          </w:p>
        </w:tc>
      </w:tr>
      <w:tr w:rsidR="00666715" w:rsidRPr="00DC7563" w14:paraId="14C31DA3" w14:textId="77777777" w:rsidTr="0057071F">
        <w:trPr>
          <w:trHeight w:val="48"/>
          <w:jc w:val="center"/>
        </w:trPr>
        <w:tc>
          <w:tcPr>
            <w:tcW w:w="1389" w:type="dxa"/>
            <w:tcBorders>
              <w:top w:val="nil"/>
              <w:left w:val="single" w:sz="4" w:space="0" w:color="auto"/>
              <w:bottom w:val="single" w:sz="4" w:space="0" w:color="auto"/>
              <w:right w:val="single" w:sz="4" w:space="0" w:color="auto"/>
            </w:tcBorders>
            <w:noWrap/>
            <w:vAlign w:val="bottom"/>
            <w:hideMark/>
          </w:tcPr>
          <w:p w14:paraId="160B01B6" w14:textId="77777777" w:rsidR="00666715" w:rsidRPr="00DC7563" w:rsidRDefault="00666715" w:rsidP="00D224DA">
            <w:pPr>
              <w:spacing w:line="276" w:lineRule="auto"/>
              <w:rPr>
                <w:rFonts w:ascii="Arial" w:hAnsi="Arial" w:cs="Arial"/>
                <w:b/>
                <w:color w:val="000000"/>
                <w:sz w:val="18"/>
                <w:szCs w:val="18"/>
                <w:lang w:val="en-GB"/>
              </w:rPr>
            </w:pPr>
            <w:r w:rsidRPr="00DC7563">
              <w:rPr>
                <w:rFonts w:ascii="Arial" w:hAnsi="Arial" w:cs="Arial"/>
                <w:b/>
                <w:color w:val="000000"/>
                <w:sz w:val="18"/>
                <w:szCs w:val="18"/>
                <w:lang w:val="en-GB"/>
              </w:rPr>
              <w:t>GM</w:t>
            </w:r>
          </w:p>
        </w:tc>
        <w:tc>
          <w:tcPr>
            <w:tcW w:w="6346" w:type="dxa"/>
            <w:tcBorders>
              <w:top w:val="nil"/>
              <w:left w:val="nil"/>
              <w:bottom w:val="single" w:sz="4" w:space="0" w:color="auto"/>
              <w:right w:val="single" w:sz="4" w:space="0" w:color="auto"/>
            </w:tcBorders>
            <w:noWrap/>
            <w:vAlign w:val="bottom"/>
            <w:hideMark/>
          </w:tcPr>
          <w:p w14:paraId="3F4D5503" w14:textId="77777777" w:rsidR="00666715" w:rsidRPr="00DC7563" w:rsidRDefault="00666715">
            <w:pPr>
              <w:spacing w:line="276" w:lineRule="auto"/>
              <w:rPr>
                <w:rFonts w:ascii="Arial" w:hAnsi="Arial" w:cs="Arial"/>
                <w:color w:val="000000"/>
                <w:sz w:val="18"/>
                <w:szCs w:val="18"/>
                <w:lang w:val="en-GB"/>
              </w:rPr>
            </w:pPr>
            <w:proofErr w:type="spellStart"/>
            <w:r w:rsidRPr="00DC7563">
              <w:rPr>
                <w:rFonts w:ascii="Arial" w:hAnsi="Arial" w:cs="Arial"/>
                <w:color w:val="000000"/>
                <w:sz w:val="18"/>
                <w:szCs w:val="18"/>
                <w:lang w:val="en-GB"/>
              </w:rPr>
              <w:t>Wuling</w:t>
            </w:r>
            <w:proofErr w:type="spellEnd"/>
            <w:r w:rsidRPr="00DC7563">
              <w:rPr>
                <w:rFonts w:ascii="Arial" w:hAnsi="Arial" w:cs="Arial"/>
                <w:color w:val="000000"/>
                <w:sz w:val="18"/>
                <w:szCs w:val="18"/>
                <w:lang w:val="en-GB"/>
              </w:rPr>
              <w:t xml:space="preserve"> Motors, Vauxhall, Buick, Cadillac, Holden, GMC, Chevrolet</w:t>
            </w:r>
          </w:p>
        </w:tc>
      </w:tr>
      <w:tr w:rsidR="00666715" w:rsidRPr="00DC7563" w14:paraId="788FB833" w14:textId="77777777" w:rsidTr="0057071F">
        <w:trPr>
          <w:trHeight w:val="48"/>
          <w:jc w:val="center"/>
        </w:trPr>
        <w:tc>
          <w:tcPr>
            <w:tcW w:w="1389" w:type="dxa"/>
            <w:tcBorders>
              <w:top w:val="nil"/>
              <w:left w:val="single" w:sz="4" w:space="0" w:color="auto"/>
              <w:bottom w:val="single" w:sz="4" w:space="0" w:color="auto"/>
              <w:right w:val="single" w:sz="4" w:space="0" w:color="auto"/>
            </w:tcBorders>
            <w:noWrap/>
            <w:vAlign w:val="bottom"/>
            <w:hideMark/>
          </w:tcPr>
          <w:p w14:paraId="1C54A13A" w14:textId="77777777" w:rsidR="00666715" w:rsidRPr="00DC7563" w:rsidRDefault="00666715" w:rsidP="00D224DA">
            <w:pPr>
              <w:spacing w:line="276" w:lineRule="auto"/>
              <w:rPr>
                <w:rFonts w:ascii="Arial" w:hAnsi="Arial" w:cs="Arial"/>
                <w:b/>
                <w:color w:val="000000"/>
                <w:sz w:val="18"/>
                <w:szCs w:val="18"/>
                <w:lang w:val="en-GB"/>
              </w:rPr>
            </w:pPr>
            <w:proofErr w:type="spellStart"/>
            <w:r w:rsidRPr="00DC7563">
              <w:rPr>
                <w:rFonts w:ascii="Arial" w:hAnsi="Arial" w:cs="Arial"/>
                <w:b/>
                <w:color w:val="000000"/>
                <w:sz w:val="18"/>
                <w:szCs w:val="18"/>
                <w:lang w:val="en-GB"/>
              </w:rPr>
              <w:t>Geely</w:t>
            </w:r>
            <w:proofErr w:type="spellEnd"/>
          </w:p>
        </w:tc>
        <w:tc>
          <w:tcPr>
            <w:tcW w:w="6346" w:type="dxa"/>
            <w:tcBorders>
              <w:top w:val="nil"/>
              <w:left w:val="nil"/>
              <w:bottom w:val="single" w:sz="4" w:space="0" w:color="auto"/>
              <w:right w:val="single" w:sz="4" w:space="0" w:color="auto"/>
            </w:tcBorders>
            <w:noWrap/>
            <w:vAlign w:val="bottom"/>
            <w:hideMark/>
          </w:tcPr>
          <w:p w14:paraId="75B9EB95" w14:textId="77777777" w:rsidR="00666715" w:rsidRPr="00DC7563" w:rsidRDefault="00666715">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The London Taxi Company, Volvo</w:t>
            </w:r>
          </w:p>
        </w:tc>
      </w:tr>
      <w:tr w:rsidR="00666715" w:rsidRPr="00DC7563" w14:paraId="16886150" w14:textId="77777777" w:rsidTr="0057071F">
        <w:trPr>
          <w:trHeight w:val="48"/>
          <w:jc w:val="center"/>
        </w:trPr>
        <w:tc>
          <w:tcPr>
            <w:tcW w:w="1389" w:type="dxa"/>
            <w:tcBorders>
              <w:top w:val="nil"/>
              <w:left w:val="single" w:sz="4" w:space="0" w:color="auto"/>
              <w:bottom w:val="single" w:sz="4" w:space="0" w:color="auto"/>
              <w:right w:val="single" w:sz="4" w:space="0" w:color="auto"/>
            </w:tcBorders>
            <w:noWrap/>
            <w:vAlign w:val="bottom"/>
            <w:hideMark/>
          </w:tcPr>
          <w:p w14:paraId="3C9A6D25" w14:textId="77777777" w:rsidR="00666715" w:rsidRPr="00DC7563" w:rsidRDefault="00666715" w:rsidP="00D224DA">
            <w:pPr>
              <w:spacing w:line="276" w:lineRule="auto"/>
              <w:rPr>
                <w:rFonts w:ascii="Arial" w:hAnsi="Arial" w:cs="Arial"/>
                <w:b/>
                <w:color w:val="000000"/>
                <w:sz w:val="18"/>
                <w:szCs w:val="18"/>
                <w:lang w:val="en-GB"/>
              </w:rPr>
            </w:pPr>
            <w:r w:rsidRPr="00DC7563">
              <w:rPr>
                <w:rFonts w:ascii="Arial" w:hAnsi="Arial" w:cs="Arial"/>
                <w:b/>
                <w:color w:val="000000"/>
                <w:sz w:val="18"/>
                <w:szCs w:val="18"/>
                <w:lang w:val="en-GB"/>
              </w:rPr>
              <w:t>Volkswagen</w:t>
            </w:r>
          </w:p>
        </w:tc>
        <w:tc>
          <w:tcPr>
            <w:tcW w:w="6346" w:type="dxa"/>
            <w:tcBorders>
              <w:top w:val="nil"/>
              <w:left w:val="nil"/>
              <w:bottom w:val="single" w:sz="4" w:space="0" w:color="auto"/>
              <w:right w:val="single" w:sz="4" w:space="0" w:color="auto"/>
            </w:tcBorders>
            <w:noWrap/>
            <w:vAlign w:val="bottom"/>
            <w:hideMark/>
          </w:tcPr>
          <w:p w14:paraId="0B59FE95" w14:textId="77777777" w:rsidR="00666715" w:rsidRPr="00DC7563" w:rsidRDefault="00666715">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Porsche, Bugatti, Lamborghini, Audi, Skoda, Seat</w:t>
            </w:r>
          </w:p>
        </w:tc>
      </w:tr>
      <w:tr w:rsidR="00666715" w:rsidRPr="00DC7563" w14:paraId="619F3CF4" w14:textId="77777777" w:rsidTr="0057071F">
        <w:trPr>
          <w:trHeight w:val="48"/>
          <w:jc w:val="center"/>
        </w:trPr>
        <w:tc>
          <w:tcPr>
            <w:tcW w:w="1389" w:type="dxa"/>
            <w:tcBorders>
              <w:top w:val="nil"/>
              <w:left w:val="single" w:sz="4" w:space="0" w:color="auto"/>
              <w:bottom w:val="single" w:sz="4" w:space="0" w:color="auto"/>
              <w:right w:val="single" w:sz="4" w:space="0" w:color="auto"/>
            </w:tcBorders>
            <w:noWrap/>
            <w:vAlign w:val="bottom"/>
            <w:hideMark/>
          </w:tcPr>
          <w:p w14:paraId="090A02F9" w14:textId="77777777" w:rsidR="00666715" w:rsidRPr="00DC7563" w:rsidRDefault="00666715" w:rsidP="00D224DA">
            <w:pPr>
              <w:spacing w:line="276" w:lineRule="auto"/>
              <w:rPr>
                <w:rFonts w:ascii="Arial" w:hAnsi="Arial" w:cs="Arial"/>
                <w:b/>
                <w:color w:val="000000"/>
                <w:sz w:val="18"/>
                <w:szCs w:val="18"/>
                <w:lang w:val="en-GB"/>
              </w:rPr>
            </w:pPr>
            <w:r w:rsidRPr="00DC7563">
              <w:rPr>
                <w:rFonts w:ascii="Arial" w:hAnsi="Arial" w:cs="Arial"/>
                <w:b/>
                <w:color w:val="000000"/>
                <w:sz w:val="18"/>
                <w:szCs w:val="18"/>
                <w:lang w:val="en-GB"/>
              </w:rPr>
              <w:t>Hyundai</w:t>
            </w:r>
          </w:p>
        </w:tc>
        <w:tc>
          <w:tcPr>
            <w:tcW w:w="6346" w:type="dxa"/>
            <w:tcBorders>
              <w:top w:val="nil"/>
              <w:left w:val="nil"/>
              <w:bottom w:val="single" w:sz="4" w:space="0" w:color="auto"/>
              <w:right w:val="single" w:sz="4" w:space="0" w:color="auto"/>
            </w:tcBorders>
            <w:noWrap/>
            <w:vAlign w:val="bottom"/>
            <w:hideMark/>
          </w:tcPr>
          <w:p w14:paraId="6020B3D1" w14:textId="77777777" w:rsidR="00666715" w:rsidRPr="00DC7563" w:rsidRDefault="00666715">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Kia</w:t>
            </w:r>
          </w:p>
        </w:tc>
      </w:tr>
      <w:tr w:rsidR="00666715" w:rsidRPr="00DC7563" w14:paraId="6608F501" w14:textId="77777777" w:rsidTr="0057071F">
        <w:trPr>
          <w:trHeight w:val="48"/>
          <w:jc w:val="center"/>
        </w:trPr>
        <w:tc>
          <w:tcPr>
            <w:tcW w:w="1389" w:type="dxa"/>
            <w:tcBorders>
              <w:top w:val="nil"/>
              <w:left w:val="single" w:sz="4" w:space="0" w:color="auto"/>
              <w:bottom w:val="single" w:sz="4" w:space="0" w:color="auto"/>
              <w:right w:val="single" w:sz="4" w:space="0" w:color="auto"/>
            </w:tcBorders>
            <w:noWrap/>
            <w:vAlign w:val="bottom"/>
            <w:hideMark/>
          </w:tcPr>
          <w:p w14:paraId="34F2494A" w14:textId="77777777" w:rsidR="00666715" w:rsidRPr="00DC7563" w:rsidRDefault="00666715" w:rsidP="00D224DA">
            <w:pPr>
              <w:spacing w:line="276" w:lineRule="auto"/>
              <w:rPr>
                <w:rFonts w:ascii="Arial" w:hAnsi="Arial" w:cs="Arial"/>
                <w:b/>
                <w:color w:val="000000"/>
                <w:sz w:val="18"/>
                <w:szCs w:val="18"/>
                <w:lang w:val="en-GB"/>
              </w:rPr>
            </w:pPr>
            <w:r w:rsidRPr="00DC7563">
              <w:rPr>
                <w:rFonts w:ascii="Arial" w:hAnsi="Arial" w:cs="Arial"/>
                <w:b/>
                <w:color w:val="000000"/>
                <w:sz w:val="18"/>
                <w:szCs w:val="18"/>
                <w:lang w:val="en-GB"/>
              </w:rPr>
              <w:t>Toyota</w:t>
            </w:r>
          </w:p>
        </w:tc>
        <w:tc>
          <w:tcPr>
            <w:tcW w:w="6346" w:type="dxa"/>
            <w:tcBorders>
              <w:top w:val="nil"/>
              <w:left w:val="nil"/>
              <w:bottom w:val="single" w:sz="4" w:space="0" w:color="auto"/>
              <w:right w:val="single" w:sz="4" w:space="0" w:color="auto"/>
            </w:tcBorders>
            <w:noWrap/>
            <w:vAlign w:val="bottom"/>
            <w:hideMark/>
          </w:tcPr>
          <w:p w14:paraId="4DF25DE5" w14:textId="77777777" w:rsidR="00666715" w:rsidRPr="00DC7563" w:rsidRDefault="00666715">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Scion, Lexus, Daihatsu</w:t>
            </w:r>
          </w:p>
        </w:tc>
      </w:tr>
      <w:tr w:rsidR="00666715" w:rsidRPr="00DC7563" w14:paraId="00785266" w14:textId="77777777" w:rsidTr="0057071F">
        <w:trPr>
          <w:trHeight w:val="48"/>
          <w:jc w:val="center"/>
        </w:trPr>
        <w:tc>
          <w:tcPr>
            <w:tcW w:w="1389" w:type="dxa"/>
            <w:tcBorders>
              <w:top w:val="nil"/>
              <w:left w:val="single" w:sz="4" w:space="0" w:color="auto"/>
              <w:bottom w:val="single" w:sz="4" w:space="0" w:color="auto"/>
              <w:right w:val="single" w:sz="4" w:space="0" w:color="auto"/>
            </w:tcBorders>
            <w:noWrap/>
            <w:vAlign w:val="bottom"/>
            <w:hideMark/>
          </w:tcPr>
          <w:p w14:paraId="00AC06E7" w14:textId="77777777" w:rsidR="00666715" w:rsidRPr="00DC7563" w:rsidRDefault="00666715" w:rsidP="00D224DA">
            <w:pPr>
              <w:spacing w:line="276" w:lineRule="auto"/>
              <w:rPr>
                <w:rFonts w:ascii="Arial" w:hAnsi="Arial" w:cs="Arial"/>
                <w:b/>
                <w:color w:val="000000"/>
                <w:sz w:val="18"/>
                <w:szCs w:val="18"/>
                <w:lang w:val="en-GB"/>
              </w:rPr>
            </w:pPr>
            <w:r w:rsidRPr="00DC7563">
              <w:rPr>
                <w:rFonts w:ascii="Arial" w:hAnsi="Arial" w:cs="Arial"/>
                <w:b/>
                <w:color w:val="000000"/>
                <w:sz w:val="18"/>
                <w:szCs w:val="18"/>
                <w:lang w:val="en-GB"/>
              </w:rPr>
              <w:t>BMW Group</w:t>
            </w:r>
          </w:p>
        </w:tc>
        <w:tc>
          <w:tcPr>
            <w:tcW w:w="6346" w:type="dxa"/>
            <w:tcBorders>
              <w:top w:val="nil"/>
              <w:left w:val="nil"/>
              <w:bottom w:val="single" w:sz="4" w:space="0" w:color="auto"/>
              <w:right w:val="single" w:sz="4" w:space="0" w:color="auto"/>
            </w:tcBorders>
            <w:noWrap/>
            <w:vAlign w:val="bottom"/>
            <w:hideMark/>
          </w:tcPr>
          <w:p w14:paraId="62916FBB" w14:textId="77777777" w:rsidR="00666715" w:rsidRPr="00DC7563" w:rsidRDefault="00666715">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Mini, Rolls Royce, BMW</w:t>
            </w:r>
          </w:p>
        </w:tc>
      </w:tr>
      <w:tr w:rsidR="00666715" w:rsidRPr="00DC7563" w14:paraId="394473CF" w14:textId="77777777" w:rsidTr="0057071F">
        <w:trPr>
          <w:trHeight w:val="48"/>
          <w:jc w:val="center"/>
        </w:trPr>
        <w:tc>
          <w:tcPr>
            <w:tcW w:w="1389" w:type="dxa"/>
            <w:tcBorders>
              <w:top w:val="nil"/>
              <w:left w:val="single" w:sz="4" w:space="0" w:color="auto"/>
              <w:bottom w:val="single" w:sz="4" w:space="0" w:color="auto"/>
              <w:right w:val="single" w:sz="4" w:space="0" w:color="auto"/>
            </w:tcBorders>
            <w:noWrap/>
            <w:vAlign w:val="bottom"/>
            <w:hideMark/>
          </w:tcPr>
          <w:p w14:paraId="22FDBC7E" w14:textId="77777777" w:rsidR="00666715" w:rsidRPr="00DC7563" w:rsidRDefault="00666715" w:rsidP="00D224DA">
            <w:pPr>
              <w:spacing w:line="276" w:lineRule="auto"/>
              <w:rPr>
                <w:rFonts w:ascii="Arial" w:hAnsi="Arial" w:cs="Arial"/>
                <w:b/>
                <w:color w:val="000000"/>
                <w:sz w:val="18"/>
                <w:szCs w:val="18"/>
                <w:lang w:val="en-GB"/>
              </w:rPr>
            </w:pPr>
            <w:r w:rsidRPr="00DC7563">
              <w:rPr>
                <w:rFonts w:ascii="Arial" w:hAnsi="Arial" w:cs="Arial"/>
                <w:b/>
                <w:color w:val="000000"/>
                <w:sz w:val="18"/>
                <w:szCs w:val="18"/>
                <w:lang w:val="en-GB"/>
              </w:rPr>
              <w:t>Ford</w:t>
            </w:r>
          </w:p>
        </w:tc>
        <w:tc>
          <w:tcPr>
            <w:tcW w:w="6346" w:type="dxa"/>
            <w:tcBorders>
              <w:top w:val="nil"/>
              <w:left w:val="nil"/>
              <w:bottom w:val="single" w:sz="4" w:space="0" w:color="auto"/>
              <w:right w:val="single" w:sz="4" w:space="0" w:color="auto"/>
            </w:tcBorders>
            <w:noWrap/>
            <w:vAlign w:val="bottom"/>
            <w:hideMark/>
          </w:tcPr>
          <w:p w14:paraId="7B34F268" w14:textId="77777777" w:rsidR="00666715" w:rsidRPr="00DC7563" w:rsidRDefault="00666715">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The Lincoln Motor Company</w:t>
            </w:r>
          </w:p>
        </w:tc>
      </w:tr>
      <w:tr w:rsidR="00666715" w:rsidRPr="00DC7563" w14:paraId="12AD5169" w14:textId="77777777" w:rsidTr="0057071F">
        <w:trPr>
          <w:trHeight w:val="48"/>
          <w:jc w:val="center"/>
        </w:trPr>
        <w:tc>
          <w:tcPr>
            <w:tcW w:w="1389" w:type="dxa"/>
            <w:tcBorders>
              <w:top w:val="nil"/>
              <w:left w:val="single" w:sz="4" w:space="0" w:color="auto"/>
              <w:bottom w:val="single" w:sz="4" w:space="0" w:color="auto"/>
              <w:right w:val="single" w:sz="4" w:space="0" w:color="auto"/>
            </w:tcBorders>
            <w:noWrap/>
            <w:vAlign w:val="bottom"/>
            <w:hideMark/>
          </w:tcPr>
          <w:p w14:paraId="121B9D5A" w14:textId="77777777" w:rsidR="00666715" w:rsidRPr="00DC7563" w:rsidRDefault="00666715" w:rsidP="00D224DA">
            <w:pPr>
              <w:spacing w:line="276" w:lineRule="auto"/>
              <w:rPr>
                <w:rFonts w:ascii="Arial" w:hAnsi="Arial" w:cs="Arial"/>
                <w:b/>
                <w:color w:val="000000"/>
                <w:sz w:val="18"/>
                <w:szCs w:val="18"/>
                <w:lang w:val="en-GB"/>
              </w:rPr>
            </w:pPr>
            <w:r w:rsidRPr="00DC7563">
              <w:rPr>
                <w:rFonts w:ascii="Arial" w:hAnsi="Arial" w:cs="Arial"/>
                <w:b/>
                <w:color w:val="000000"/>
                <w:sz w:val="18"/>
                <w:szCs w:val="18"/>
                <w:lang w:val="en-GB"/>
              </w:rPr>
              <w:t>Daimler</w:t>
            </w:r>
          </w:p>
        </w:tc>
        <w:tc>
          <w:tcPr>
            <w:tcW w:w="6346" w:type="dxa"/>
            <w:tcBorders>
              <w:top w:val="nil"/>
              <w:left w:val="nil"/>
              <w:bottom w:val="single" w:sz="4" w:space="0" w:color="auto"/>
              <w:right w:val="single" w:sz="4" w:space="0" w:color="auto"/>
            </w:tcBorders>
            <w:noWrap/>
            <w:vAlign w:val="bottom"/>
            <w:hideMark/>
          </w:tcPr>
          <w:p w14:paraId="48702E4E" w14:textId="77777777" w:rsidR="00666715" w:rsidRPr="00DC7563" w:rsidRDefault="00666715">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Mercedes Benz, Smart</w:t>
            </w:r>
          </w:p>
        </w:tc>
      </w:tr>
      <w:tr w:rsidR="00666715" w:rsidRPr="00DC7563" w14:paraId="0559B31F" w14:textId="77777777" w:rsidTr="0057071F">
        <w:trPr>
          <w:trHeight w:val="48"/>
          <w:jc w:val="center"/>
        </w:trPr>
        <w:tc>
          <w:tcPr>
            <w:tcW w:w="1389" w:type="dxa"/>
            <w:tcBorders>
              <w:top w:val="nil"/>
              <w:left w:val="single" w:sz="4" w:space="0" w:color="auto"/>
              <w:bottom w:val="single" w:sz="4" w:space="0" w:color="auto"/>
              <w:right w:val="single" w:sz="4" w:space="0" w:color="auto"/>
            </w:tcBorders>
            <w:noWrap/>
            <w:vAlign w:val="bottom"/>
            <w:hideMark/>
          </w:tcPr>
          <w:p w14:paraId="1E18F247" w14:textId="77777777" w:rsidR="00666715" w:rsidRPr="00DC7563" w:rsidRDefault="00666715" w:rsidP="00D224DA">
            <w:pPr>
              <w:spacing w:line="276" w:lineRule="auto"/>
              <w:rPr>
                <w:rFonts w:ascii="Arial" w:hAnsi="Arial" w:cs="Arial"/>
                <w:b/>
                <w:color w:val="000000"/>
                <w:sz w:val="18"/>
                <w:szCs w:val="18"/>
                <w:lang w:val="en-GB"/>
              </w:rPr>
            </w:pPr>
            <w:r w:rsidRPr="00DC7563">
              <w:rPr>
                <w:rFonts w:ascii="Arial" w:hAnsi="Arial" w:cs="Arial"/>
                <w:b/>
                <w:color w:val="000000"/>
                <w:sz w:val="18"/>
                <w:szCs w:val="18"/>
                <w:lang w:val="en-GB"/>
              </w:rPr>
              <w:t>FCA</w:t>
            </w:r>
          </w:p>
        </w:tc>
        <w:tc>
          <w:tcPr>
            <w:tcW w:w="6346" w:type="dxa"/>
            <w:tcBorders>
              <w:top w:val="nil"/>
              <w:left w:val="nil"/>
              <w:bottom w:val="single" w:sz="4" w:space="0" w:color="auto"/>
              <w:right w:val="single" w:sz="4" w:space="0" w:color="auto"/>
            </w:tcBorders>
            <w:noWrap/>
            <w:vAlign w:val="bottom"/>
            <w:hideMark/>
          </w:tcPr>
          <w:p w14:paraId="3E134C0F" w14:textId="77777777" w:rsidR="00666715" w:rsidRPr="00DC7563" w:rsidRDefault="00666715">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Chrysler, Dodge, Ram, Jeep, Fiat, Maserati, Ferrari, Lancia, ALFA Romeo</w:t>
            </w:r>
          </w:p>
        </w:tc>
      </w:tr>
      <w:tr w:rsidR="00666715" w:rsidRPr="00DC7563" w14:paraId="0AE8802B" w14:textId="77777777" w:rsidTr="0057071F">
        <w:trPr>
          <w:trHeight w:val="48"/>
          <w:jc w:val="center"/>
        </w:trPr>
        <w:tc>
          <w:tcPr>
            <w:tcW w:w="1389" w:type="dxa"/>
            <w:tcBorders>
              <w:top w:val="nil"/>
              <w:left w:val="single" w:sz="4" w:space="0" w:color="auto"/>
              <w:bottom w:val="single" w:sz="4" w:space="0" w:color="auto"/>
              <w:right w:val="single" w:sz="4" w:space="0" w:color="auto"/>
            </w:tcBorders>
            <w:noWrap/>
            <w:vAlign w:val="bottom"/>
            <w:hideMark/>
          </w:tcPr>
          <w:p w14:paraId="5D394D4E" w14:textId="77777777" w:rsidR="00666715" w:rsidRPr="00DC7563" w:rsidRDefault="00666715" w:rsidP="00D224DA">
            <w:pPr>
              <w:spacing w:line="276" w:lineRule="auto"/>
              <w:rPr>
                <w:rFonts w:ascii="Arial" w:hAnsi="Arial" w:cs="Arial"/>
                <w:b/>
                <w:color w:val="000000"/>
                <w:sz w:val="18"/>
                <w:szCs w:val="18"/>
                <w:lang w:val="en-GB"/>
              </w:rPr>
            </w:pPr>
            <w:r w:rsidRPr="00DC7563">
              <w:rPr>
                <w:rFonts w:ascii="Arial" w:hAnsi="Arial" w:cs="Arial"/>
                <w:b/>
                <w:color w:val="000000"/>
                <w:sz w:val="18"/>
                <w:szCs w:val="18"/>
                <w:lang w:val="en-GB"/>
              </w:rPr>
              <w:t>Nissan</w:t>
            </w:r>
          </w:p>
        </w:tc>
        <w:tc>
          <w:tcPr>
            <w:tcW w:w="6346" w:type="dxa"/>
            <w:tcBorders>
              <w:top w:val="nil"/>
              <w:left w:val="nil"/>
              <w:bottom w:val="single" w:sz="4" w:space="0" w:color="auto"/>
              <w:right w:val="single" w:sz="4" w:space="0" w:color="auto"/>
            </w:tcBorders>
            <w:noWrap/>
            <w:vAlign w:val="bottom"/>
            <w:hideMark/>
          </w:tcPr>
          <w:p w14:paraId="7A578725" w14:textId="77777777" w:rsidR="00666715" w:rsidRPr="00DC7563" w:rsidRDefault="00666715">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Datsun, Infiniti</w:t>
            </w:r>
          </w:p>
        </w:tc>
      </w:tr>
      <w:tr w:rsidR="00666715" w:rsidRPr="00DC7563" w14:paraId="394081E2" w14:textId="77777777" w:rsidTr="0057071F">
        <w:trPr>
          <w:trHeight w:val="48"/>
          <w:jc w:val="center"/>
        </w:trPr>
        <w:tc>
          <w:tcPr>
            <w:tcW w:w="1389" w:type="dxa"/>
            <w:tcBorders>
              <w:top w:val="nil"/>
              <w:left w:val="single" w:sz="4" w:space="0" w:color="auto"/>
              <w:bottom w:val="single" w:sz="4" w:space="0" w:color="auto"/>
              <w:right w:val="single" w:sz="4" w:space="0" w:color="auto"/>
            </w:tcBorders>
            <w:noWrap/>
            <w:vAlign w:val="bottom"/>
            <w:hideMark/>
          </w:tcPr>
          <w:p w14:paraId="1489B07D" w14:textId="77777777" w:rsidR="00666715" w:rsidRPr="00DC7563" w:rsidRDefault="00666715" w:rsidP="00D224DA">
            <w:pPr>
              <w:spacing w:line="276" w:lineRule="auto"/>
              <w:rPr>
                <w:rFonts w:ascii="Arial" w:hAnsi="Arial" w:cs="Arial"/>
                <w:b/>
                <w:color w:val="000000"/>
                <w:sz w:val="18"/>
                <w:szCs w:val="18"/>
                <w:lang w:val="en-GB"/>
              </w:rPr>
            </w:pPr>
            <w:r w:rsidRPr="00DC7563">
              <w:rPr>
                <w:rFonts w:ascii="Arial" w:hAnsi="Arial" w:cs="Arial"/>
                <w:b/>
                <w:color w:val="000000"/>
                <w:sz w:val="18"/>
                <w:szCs w:val="18"/>
                <w:lang w:val="en-GB"/>
              </w:rPr>
              <w:t>Renault</w:t>
            </w:r>
          </w:p>
        </w:tc>
        <w:tc>
          <w:tcPr>
            <w:tcW w:w="6346" w:type="dxa"/>
            <w:tcBorders>
              <w:top w:val="nil"/>
              <w:left w:val="nil"/>
              <w:bottom w:val="single" w:sz="4" w:space="0" w:color="auto"/>
              <w:right w:val="single" w:sz="4" w:space="0" w:color="auto"/>
            </w:tcBorders>
            <w:noWrap/>
            <w:vAlign w:val="bottom"/>
            <w:hideMark/>
          </w:tcPr>
          <w:p w14:paraId="01446E1A" w14:textId="416D555B" w:rsidR="00666715" w:rsidRPr="00DC7563" w:rsidRDefault="00666715">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Samsun</w:t>
            </w:r>
            <w:r w:rsidR="007E76DC">
              <w:rPr>
                <w:rFonts w:ascii="Arial" w:hAnsi="Arial" w:cs="Arial"/>
                <w:color w:val="000000"/>
                <w:sz w:val="18"/>
                <w:szCs w:val="18"/>
                <w:lang w:val="en-GB"/>
              </w:rPr>
              <w:t>g</w:t>
            </w:r>
            <w:bookmarkStart w:id="0" w:name="_GoBack"/>
            <w:bookmarkEnd w:id="0"/>
            <w:r w:rsidRPr="00DC7563">
              <w:rPr>
                <w:rFonts w:ascii="Arial" w:hAnsi="Arial" w:cs="Arial"/>
                <w:color w:val="000000"/>
                <w:sz w:val="18"/>
                <w:szCs w:val="18"/>
                <w:lang w:val="en-GB"/>
              </w:rPr>
              <w:t>, Dacia</w:t>
            </w:r>
          </w:p>
        </w:tc>
      </w:tr>
      <w:tr w:rsidR="00666715" w:rsidRPr="00DC7563" w14:paraId="0475AF25" w14:textId="77777777" w:rsidTr="0057071F">
        <w:trPr>
          <w:trHeight w:val="48"/>
          <w:jc w:val="center"/>
        </w:trPr>
        <w:tc>
          <w:tcPr>
            <w:tcW w:w="1389" w:type="dxa"/>
            <w:tcBorders>
              <w:top w:val="nil"/>
              <w:left w:val="single" w:sz="4" w:space="0" w:color="auto"/>
              <w:bottom w:val="single" w:sz="4" w:space="0" w:color="auto"/>
              <w:right w:val="single" w:sz="4" w:space="0" w:color="auto"/>
            </w:tcBorders>
            <w:noWrap/>
            <w:vAlign w:val="bottom"/>
            <w:hideMark/>
          </w:tcPr>
          <w:p w14:paraId="7AC39BE8" w14:textId="77777777" w:rsidR="00666715" w:rsidRPr="00DC7563" w:rsidRDefault="00666715" w:rsidP="00D224DA">
            <w:pPr>
              <w:spacing w:line="276" w:lineRule="auto"/>
              <w:rPr>
                <w:rFonts w:ascii="Arial" w:hAnsi="Arial" w:cs="Arial"/>
                <w:b/>
                <w:color w:val="000000"/>
                <w:sz w:val="18"/>
                <w:szCs w:val="18"/>
                <w:lang w:val="en-GB"/>
              </w:rPr>
            </w:pPr>
            <w:r w:rsidRPr="00DC7563">
              <w:rPr>
                <w:rFonts w:ascii="Arial" w:hAnsi="Arial" w:cs="Arial"/>
                <w:b/>
                <w:color w:val="000000"/>
                <w:sz w:val="18"/>
                <w:szCs w:val="18"/>
                <w:lang w:val="en-GB"/>
              </w:rPr>
              <w:t>Tata</w:t>
            </w:r>
          </w:p>
        </w:tc>
        <w:tc>
          <w:tcPr>
            <w:tcW w:w="6346" w:type="dxa"/>
            <w:tcBorders>
              <w:top w:val="nil"/>
              <w:left w:val="nil"/>
              <w:bottom w:val="single" w:sz="4" w:space="0" w:color="auto"/>
              <w:right w:val="single" w:sz="4" w:space="0" w:color="auto"/>
            </w:tcBorders>
            <w:noWrap/>
            <w:vAlign w:val="bottom"/>
            <w:hideMark/>
          </w:tcPr>
          <w:p w14:paraId="3D4112A9" w14:textId="77777777" w:rsidR="00666715" w:rsidRPr="00DC7563" w:rsidRDefault="00666715">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Tata Motors, Land Rover, Jaguar</w:t>
            </w:r>
          </w:p>
        </w:tc>
      </w:tr>
      <w:tr w:rsidR="00666715" w:rsidRPr="00DC7563" w14:paraId="55E2D9DF" w14:textId="77777777" w:rsidTr="0057071F">
        <w:trPr>
          <w:trHeight w:val="48"/>
          <w:jc w:val="center"/>
        </w:trPr>
        <w:tc>
          <w:tcPr>
            <w:tcW w:w="1389" w:type="dxa"/>
            <w:tcBorders>
              <w:top w:val="nil"/>
              <w:left w:val="single" w:sz="4" w:space="0" w:color="auto"/>
              <w:bottom w:val="single" w:sz="4" w:space="0" w:color="auto"/>
              <w:right w:val="single" w:sz="4" w:space="0" w:color="auto"/>
            </w:tcBorders>
            <w:noWrap/>
            <w:vAlign w:val="bottom"/>
            <w:hideMark/>
          </w:tcPr>
          <w:p w14:paraId="31CCD870" w14:textId="77777777" w:rsidR="00666715" w:rsidRPr="00DC7563" w:rsidRDefault="00666715" w:rsidP="00D224DA">
            <w:pPr>
              <w:spacing w:line="276" w:lineRule="auto"/>
              <w:rPr>
                <w:rFonts w:ascii="Arial" w:hAnsi="Arial" w:cs="Arial"/>
                <w:b/>
                <w:color w:val="000000"/>
                <w:sz w:val="18"/>
                <w:szCs w:val="18"/>
                <w:lang w:val="en-GB"/>
              </w:rPr>
            </w:pPr>
            <w:r w:rsidRPr="00DC7563">
              <w:rPr>
                <w:rFonts w:ascii="Arial" w:hAnsi="Arial" w:cs="Arial"/>
                <w:b/>
                <w:color w:val="000000"/>
                <w:sz w:val="18"/>
                <w:szCs w:val="18"/>
                <w:lang w:val="en-GB"/>
              </w:rPr>
              <w:t>Honda</w:t>
            </w:r>
          </w:p>
        </w:tc>
        <w:tc>
          <w:tcPr>
            <w:tcW w:w="6346" w:type="dxa"/>
            <w:tcBorders>
              <w:top w:val="nil"/>
              <w:left w:val="nil"/>
              <w:bottom w:val="single" w:sz="4" w:space="0" w:color="auto"/>
              <w:right w:val="single" w:sz="4" w:space="0" w:color="auto"/>
            </w:tcBorders>
            <w:noWrap/>
            <w:vAlign w:val="bottom"/>
            <w:hideMark/>
          </w:tcPr>
          <w:p w14:paraId="1A980ACB" w14:textId="77777777" w:rsidR="00666715" w:rsidRPr="00DC7563" w:rsidRDefault="00666715">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Acura</w:t>
            </w:r>
          </w:p>
        </w:tc>
      </w:tr>
      <w:tr w:rsidR="00666715" w:rsidRPr="00DC7563" w14:paraId="559D9C93" w14:textId="77777777" w:rsidTr="0057071F">
        <w:trPr>
          <w:trHeight w:val="48"/>
          <w:jc w:val="center"/>
        </w:trPr>
        <w:tc>
          <w:tcPr>
            <w:tcW w:w="1389" w:type="dxa"/>
            <w:tcBorders>
              <w:top w:val="nil"/>
              <w:left w:val="single" w:sz="4" w:space="0" w:color="auto"/>
              <w:bottom w:val="single" w:sz="4" w:space="0" w:color="auto"/>
              <w:right w:val="single" w:sz="4" w:space="0" w:color="auto"/>
            </w:tcBorders>
            <w:noWrap/>
            <w:vAlign w:val="bottom"/>
            <w:hideMark/>
          </w:tcPr>
          <w:p w14:paraId="7ACD2ED4" w14:textId="77777777" w:rsidR="00666715" w:rsidRPr="00DC7563" w:rsidRDefault="00666715" w:rsidP="00D224DA">
            <w:pPr>
              <w:spacing w:line="276" w:lineRule="auto"/>
              <w:rPr>
                <w:rFonts w:ascii="Arial" w:hAnsi="Arial" w:cs="Arial"/>
                <w:b/>
                <w:color w:val="000000"/>
                <w:sz w:val="18"/>
                <w:szCs w:val="18"/>
                <w:lang w:val="en-GB"/>
              </w:rPr>
            </w:pPr>
            <w:r w:rsidRPr="00DC7563">
              <w:rPr>
                <w:rFonts w:ascii="Arial" w:hAnsi="Arial" w:cs="Arial"/>
                <w:b/>
                <w:color w:val="000000"/>
                <w:sz w:val="18"/>
                <w:szCs w:val="18"/>
                <w:lang w:val="en-GB"/>
              </w:rPr>
              <w:t>PSA</w:t>
            </w:r>
          </w:p>
        </w:tc>
        <w:tc>
          <w:tcPr>
            <w:tcW w:w="6346" w:type="dxa"/>
            <w:tcBorders>
              <w:top w:val="nil"/>
              <w:left w:val="nil"/>
              <w:bottom w:val="single" w:sz="4" w:space="0" w:color="auto"/>
              <w:right w:val="single" w:sz="4" w:space="0" w:color="auto"/>
            </w:tcBorders>
            <w:noWrap/>
            <w:vAlign w:val="bottom"/>
            <w:hideMark/>
          </w:tcPr>
          <w:p w14:paraId="2C8A6DA8" w14:textId="77777777" w:rsidR="00666715" w:rsidRPr="00DC7563" w:rsidRDefault="00666715">
            <w:pPr>
              <w:spacing w:line="276" w:lineRule="auto"/>
              <w:rPr>
                <w:rFonts w:ascii="Arial" w:hAnsi="Arial" w:cs="Arial"/>
                <w:color w:val="000000"/>
                <w:sz w:val="18"/>
                <w:szCs w:val="18"/>
                <w:lang w:val="en-GB"/>
              </w:rPr>
            </w:pPr>
            <w:r w:rsidRPr="00DC7563">
              <w:rPr>
                <w:rFonts w:ascii="Arial" w:hAnsi="Arial" w:cs="Arial"/>
                <w:color w:val="000000"/>
                <w:sz w:val="18"/>
                <w:szCs w:val="18"/>
                <w:lang w:val="en-GB"/>
              </w:rPr>
              <w:t>Citroen, Peugeot</w:t>
            </w:r>
          </w:p>
        </w:tc>
      </w:tr>
    </w:tbl>
    <w:p w14:paraId="1A8C8560" w14:textId="77777777" w:rsidR="00666715" w:rsidRPr="00DC7563" w:rsidRDefault="00666715" w:rsidP="00F42C17">
      <w:pPr>
        <w:spacing w:line="256" w:lineRule="auto"/>
        <w:rPr>
          <w:rFonts w:ascii="Arial" w:eastAsia="Malgun Gothic" w:hAnsi="Arial"/>
          <w:color w:val="222222"/>
          <w:sz w:val="15"/>
          <w:szCs w:val="17"/>
          <w:lang w:val="en-GB" w:eastAsia="ko-KR"/>
        </w:rPr>
      </w:pPr>
    </w:p>
    <w:p w14:paraId="1BE582C7" w14:textId="2B211A5C" w:rsidR="00666715" w:rsidRPr="00DC7563" w:rsidRDefault="00666715" w:rsidP="00086D7C">
      <w:pPr>
        <w:pStyle w:val="Footnote"/>
        <w:rPr>
          <w:lang w:val="en-GB"/>
        </w:rPr>
      </w:pPr>
      <w:r w:rsidRPr="00DC7563">
        <w:rPr>
          <w:rFonts w:eastAsia="Malgun Gothic"/>
          <w:color w:val="222222"/>
          <w:lang w:val="en-GB" w:eastAsia="ko-KR"/>
        </w:rPr>
        <w:t>Source: Adapted from</w:t>
      </w:r>
      <w:r w:rsidR="00FE12AF" w:rsidRPr="00DC7563">
        <w:rPr>
          <w:rFonts w:eastAsia="Malgun Gothic"/>
          <w:color w:val="222222"/>
          <w:lang w:val="en-GB" w:eastAsia="ko-KR"/>
        </w:rPr>
        <w:t xml:space="preserve"> </w:t>
      </w:r>
      <w:r w:rsidR="00FE12AF" w:rsidRPr="00DC7563">
        <w:rPr>
          <w:lang w:val="en-GB"/>
        </w:rPr>
        <w:t xml:space="preserve">Benjamin Zhang, Mike </w:t>
      </w:r>
      <w:proofErr w:type="spellStart"/>
      <w:r w:rsidR="00FE12AF" w:rsidRPr="00DC7563">
        <w:rPr>
          <w:lang w:val="en-GB"/>
        </w:rPr>
        <w:t>Nudelman</w:t>
      </w:r>
      <w:proofErr w:type="spellEnd"/>
      <w:r w:rsidR="00FE12AF" w:rsidRPr="00DC7563">
        <w:rPr>
          <w:lang w:val="en-GB"/>
        </w:rPr>
        <w:t xml:space="preserve"> and Skye Gould,</w:t>
      </w:r>
      <w:r w:rsidR="00EF3726" w:rsidRPr="00DC7563">
        <w:rPr>
          <w:lang w:val="en-GB"/>
        </w:rPr>
        <w:t xml:space="preserve"> </w:t>
      </w:r>
      <w:r w:rsidRPr="00DC7563">
        <w:rPr>
          <w:rFonts w:eastAsia="Malgun Gothic"/>
          <w:color w:val="222222"/>
          <w:lang w:val="en-GB" w:eastAsia="ko-KR"/>
        </w:rPr>
        <w:t xml:space="preserve">“These 14 </w:t>
      </w:r>
      <w:r w:rsidR="00FE12AF" w:rsidRPr="00DC7563">
        <w:rPr>
          <w:rFonts w:eastAsia="Malgun Gothic"/>
          <w:color w:val="222222"/>
          <w:lang w:val="en-GB" w:eastAsia="ko-KR"/>
        </w:rPr>
        <w:t>G</w:t>
      </w:r>
      <w:r w:rsidRPr="00DC7563">
        <w:rPr>
          <w:rFonts w:eastAsia="Malgun Gothic"/>
          <w:color w:val="222222"/>
          <w:lang w:val="en-GB" w:eastAsia="ko-KR"/>
        </w:rPr>
        <w:t xml:space="preserve">iant </w:t>
      </w:r>
      <w:r w:rsidR="00FE12AF" w:rsidRPr="00DC7563">
        <w:rPr>
          <w:rFonts w:eastAsia="Malgun Gothic"/>
          <w:color w:val="222222"/>
          <w:lang w:val="en-GB" w:eastAsia="ko-KR"/>
        </w:rPr>
        <w:t>C</w:t>
      </w:r>
      <w:r w:rsidRPr="00DC7563">
        <w:rPr>
          <w:rFonts w:eastAsia="Malgun Gothic"/>
          <w:color w:val="222222"/>
          <w:lang w:val="en-GB" w:eastAsia="ko-KR"/>
        </w:rPr>
        <w:t xml:space="preserve">orporations </w:t>
      </w:r>
      <w:r w:rsidR="00FE12AF" w:rsidRPr="00DC7563">
        <w:rPr>
          <w:rFonts w:eastAsia="Malgun Gothic"/>
          <w:color w:val="222222"/>
          <w:lang w:val="en-GB" w:eastAsia="ko-KR"/>
        </w:rPr>
        <w:t>D</w:t>
      </w:r>
      <w:r w:rsidRPr="00DC7563">
        <w:rPr>
          <w:rFonts w:eastAsia="Malgun Gothic"/>
          <w:color w:val="222222"/>
          <w:lang w:val="en-GB" w:eastAsia="ko-KR"/>
        </w:rPr>
        <w:t xml:space="preserve">ominate the </w:t>
      </w:r>
      <w:r w:rsidR="00FE12AF" w:rsidRPr="00DC7563">
        <w:rPr>
          <w:rFonts w:eastAsia="Malgun Gothic"/>
          <w:color w:val="222222"/>
          <w:lang w:val="en-GB" w:eastAsia="ko-KR"/>
        </w:rPr>
        <w:t>G</w:t>
      </w:r>
      <w:r w:rsidRPr="00DC7563">
        <w:rPr>
          <w:rFonts w:eastAsia="Malgun Gothic"/>
          <w:color w:val="222222"/>
          <w:lang w:val="en-GB" w:eastAsia="ko-KR"/>
        </w:rPr>
        <w:t xml:space="preserve">lobal </w:t>
      </w:r>
      <w:r w:rsidR="00FE12AF" w:rsidRPr="00DC7563">
        <w:rPr>
          <w:rFonts w:eastAsia="Malgun Gothic"/>
          <w:color w:val="222222"/>
          <w:lang w:val="en-GB" w:eastAsia="ko-KR"/>
        </w:rPr>
        <w:t>A</w:t>
      </w:r>
      <w:r w:rsidRPr="00DC7563">
        <w:rPr>
          <w:rFonts w:eastAsia="Malgun Gothic"/>
          <w:color w:val="222222"/>
          <w:lang w:val="en-GB" w:eastAsia="ko-KR"/>
        </w:rPr>
        <w:t xml:space="preserve">uto </w:t>
      </w:r>
      <w:r w:rsidR="00FE12AF" w:rsidRPr="00DC7563">
        <w:rPr>
          <w:rFonts w:eastAsia="Malgun Gothic"/>
          <w:color w:val="222222"/>
          <w:lang w:val="en-GB" w:eastAsia="ko-KR"/>
        </w:rPr>
        <w:t>I</w:t>
      </w:r>
      <w:r w:rsidRPr="00DC7563">
        <w:rPr>
          <w:rFonts w:eastAsia="Malgun Gothic"/>
          <w:color w:val="222222"/>
          <w:lang w:val="en-GB" w:eastAsia="ko-KR"/>
        </w:rPr>
        <w:t xml:space="preserve">ndustry,” </w:t>
      </w:r>
      <w:r w:rsidR="00FE12AF" w:rsidRPr="00DC7563">
        <w:rPr>
          <w:rFonts w:eastAsia="Malgun Gothic"/>
          <w:i/>
          <w:color w:val="222222"/>
          <w:lang w:val="en-GB" w:eastAsia="ko-KR"/>
        </w:rPr>
        <w:t>Business Insider</w:t>
      </w:r>
      <w:r w:rsidR="00FE12AF" w:rsidRPr="00DC7563">
        <w:rPr>
          <w:rFonts w:eastAsia="Malgun Gothic"/>
          <w:color w:val="222222"/>
          <w:lang w:val="en-GB" w:eastAsia="ko-KR"/>
        </w:rPr>
        <w:t xml:space="preserve">, February 19, 2015, </w:t>
      </w:r>
      <w:r w:rsidRPr="00DC7563">
        <w:rPr>
          <w:rFonts w:eastAsia="Malgun Gothic"/>
          <w:color w:val="222222"/>
          <w:lang w:val="en-GB" w:eastAsia="ko-KR"/>
        </w:rPr>
        <w:t xml:space="preserve">accessed February </w:t>
      </w:r>
      <w:r w:rsidR="006D63AA" w:rsidRPr="00DC7563">
        <w:rPr>
          <w:rFonts w:eastAsia="Malgun Gothic"/>
          <w:color w:val="222222"/>
          <w:lang w:val="en-GB" w:eastAsia="ko-KR"/>
        </w:rPr>
        <w:t xml:space="preserve">2, </w:t>
      </w:r>
      <w:r w:rsidRPr="00DC7563">
        <w:rPr>
          <w:rFonts w:eastAsia="Malgun Gothic"/>
          <w:color w:val="222222"/>
          <w:lang w:val="en-GB" w:eastAsia="ko-KR"/>
        </w:rPr>
        <w:t>2017, www.businessinsider.com/car-companies-of-the-world-2015-2.</w:t>
      </w:r>
      <w:r w:rsidRPr="00DC7563">
        <w:rPr>
          <w:rFonts w:eastAsiaTheme="minorEastAsia"/>
          <w:sz w:val="24"/>
          <w:szCs w:val="24"/>
          <w:lang w:val="en-GB" w:eastAsia="zh-CN"/>
        </w:rPr>
        <w:t xml:space="preserve"> </w:t>
      </w:r>
      <w:r w:rsidRPr="00DC7563">
        <w:rPr>
          <w:sz w:val="22"/>
          <w:szCs w:val="22"/>
          <w:lang w:val="en-GB"/>
        </w:rPr>
        <w:br w:type="page"/>
      </w:r>
    </w:p>
    <w:p w14:paraId="4ED6CA09" w14:textId="77777777" w:rsidR="00CE0ACF" w:rsidRPr="00DC7563" w:rsidRDefault="00A92227" w:rsidP="00C73E67">
      <w:pPr>
        <w:pStyle w:val="Casehead1"/>
        <w:outlineLvl w:val="0"/>
        <w:rPr>
          <w:lang w:val="en-GB"/>
        </w:rPr>
      </w:pPr>
      <w:r w:rsidRPr="00DC7563">
        <w:rPr>
          <w:lang w:val="en-GB"/>
        </w:rPr>
        <w:lastRenderedPageBreak/>
        <w:t xml:space="preserve">Endnotes </w:t>
      </w:r>
    </w:p>
    <w:sectPr w:rsidR="00CE0ACF" w:rsidRPr="00DC7563" w:rsidSect="00EB5410">
      <w:headerReference w:type="default" r:id="rId11"/>
      <w:footnotePr>
        <w:numFmt w:val="chicago"/>
      </w:footnotePr>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A957D2" w16cid:durableId="1D8B3D06"/>
  <w16cid:commentId w16cid:paraId="49002E89" w16cid:durableId="1D8B3D5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B8404" w14:textId="77777777" w:rsidR="009864BD" w:rsidRDefault="009864BD" w:rsidP="00D75295">
      <w:r>
        <w:separator/>
      </w:r>
    </w:p>
  </w:endnote>
  <w:endnote w:type="continuationSeparator" w:id="0">
    <w:p w14:paraId="20B8FFCC" w14:textId="77777777" w:rsidR="009864BD" w:rsidRDefault="009864BD" w:rsidP="00D75295">
      <w:r>
        <w:continuationSeparator/>
      </w:r>
    </w:p>
  </w:endnote>
  <w:endnote w:id="1">
    <w:p w14:paraId="50D2C270" w14:textId="7E646561"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This case has been written on the basis of published sources only. Consequently, the interpretation and perspectives presented in this case are not necessarily those of </w:t>
      </w:r>
      <w:r w:rsidRPr="00EA102A">
        <w:rPr>
          <w:rFonts w:ascii="Arial" w:hAnsi="Arial" w:cs="Arial"/>
          <w:sz w:val="17"/>
          <w:szCs w:val="17"/>
          <w:lang w:eastAsia="zh-CN"/>
        </w:rPr>
        <w:t>Mazda Motor Corporation</w:t>
      </w:r>
      <w:r w:rsidRPr="00EA102A">
        <w:rPr>
          <w:rFonts w:ascii="Arial" w:hAnsi="Arial" w:cs="Arial"/>
          <w:sz w:val="17"/>
          <w:szCs w:val="17"/>
        </w:rPr>
        <w:t xml:space="preserve"> or any of its employees.</w:t>
      </w:r>
    </w:p>
  </w:endnote>
  <w:endnote w:id="2">
    <w:p w14:paraId="407A27EA" w14:textId="74ED1472" w:rsidR="009864BD" w:rsidRPr="00EA102A" w:rsidRDefault="009864BD" w:rsidP="00637632">
      <w:pPr>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w:t>
      </w:r>
      <w:r w:rsidRPr="00AE42FF">
        <w:rPr>
          <w:rFonts w:ascii="Arial" w:hAnsi="Arial" w:cs="Arial"/>
          <w:spacing w:val="-6"/>
          <w:sz w:val="17"/>
          <w:szCs w:val="17"/>
        </w:rPr>
        <w:t xml:space="preserve">Kyodo, Bloomberg, “Toyota, Mazda Expand </w:t>
      </w:r>
      <w:proofErr w:type="spellStart"/>
      <w:r w:rsidRPr="00AE42FF">
        <w:rPr>
          <w:rFonts w:ascii="Arial" w:hAnsi="Arial" w:cs="Arial"/>
          <w:spacing w:val="-6"/>
          <w:sz w:val="17"/>
          <w:szCs w:val="17"/>
        </w:rPr>
        <w:t>Tieup</w:t>
      </w:r>
      <w:proofErr w:type="spellEnd"/>
      <w:r w:rsidRPr="00AE42FF">
        <w:rPr>
          <w:rFonts w:ascii="Arial" w:hAnsi="Arial" w:cs="Arial"/>
          <w:spacing w:val="-6"/>
          <w:sz w:val="17"/>
          <w:szCs w:val="17"/>
        </w:rPr>
        <w:t xml:space="preserve"> to Include Technology Exchanges,” </w:t>
      </w:r>
      <w:r w:rsidRPr="00AE42FF">
        <w:rPr>
          <w:rFonts w:ascii="Arial" w:hAnsi="Arial" w:cs="Arial"/>
          <w:i/>
          <w:spacing w:val="-6"/>
          <w:sz w:val="17"/>
          <w:szCs w:val="17"/>
        </w:rPr>
        <w:t>The Japan Times</w:t>
      </w:r>
      <w:r w:rsidRPr="00AE42FF">
        <w:rPr>
          <w:rFonts w:ascii="Arial" w:hAnsi="Arial" w:cs="Arial"/>
          <w:spacing w:val="-6"/>
          <w:sz w:val="17"/>
          <w:szCs w:val="17"/>
        </w:rPr>
        <w:t xml:space="preserve">, May 14, 2015, accessed June 12, 2017, www.japantimes.co.jp/news/2015/05/14/business/corporate-business/toyota-expands-tie-up-with-mazda-to-share-auto-technology/; Jerry Hirsch, “2015 L.A. Auto Show: Mazda CEO Talks Rotary Engines, Hydrogen Fuel,” </w:t>
      </w:r>
      <w:r w:rsidRPr="00AE42FF">
        <w:rPr>
          <w:rFonts w:ascii="Arial" w:hAnsi="Arial" w:cs="Arial"/>
          <w:i/>
          <w:iCs/>
          <w:spacing w:val="-6"/>
          <w:sz w:val="17"/>
          <w:szCs w:val="17"/>
        </w:rPr>
        <w:t>The Los Angeles Times</w:t>
      </w:r>
      <w:r w:rsidRPr="00AE42FF">
        <w:rPr>
          <w:rFonts w:ascii="Arial" w:hAnsi="Arial" w:cs="Arial"/>
          <w:spacing w:val="-6"/>
          <w:sz w:val="17"/>
          <w:szCs w:val="17"/>
        </w:rPr>
        <w:t>, November 18, 2015, accessed January 29, 2017, www.latimes.com/business/autos/laautoshow/la-fi-hy-2015-la-auto-show-mazdaqa-20151118-story.html.</w:t>
      </w:r>
      <w:r w:rsidRPr="00EA102A">
        <w:rPr>
          <w:rFonts w:ascii="Arial" w:hAnsi="Arial" w:cs="Arial"/>
          <w:sz w:val="17"/>
          <w:szCs w:val="17"/>
        </w:rPr>
        <w:t xml:space="preserve"> </w:t>
      </w:r>
    </w:p>
  </w:endnote>
  <w:endnote w:id="3">
    <w:p w14:paraId="295A250F" w14:textId="2A10617D" w:rsidR="009864BD" w:rsidRPr="008452C7" w:rsidRDefault="009864BD" w:rsidP="00637632">
      <w:pPr>
        <w:pStyle w:val="EndnoteText"/>
        <w:jc w:val="both"/>
        <w:rPr>
          <w:rFonts w:ascii="Arial" w:hAnsi="Arial" w:cs="Arial"/>
          <w:spacing w:val="-6"/>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w:t>
      </w:r>
      <w:r w:rsidRPr="002A00B9">
        <w:rPr>
          <w:rFonts w:ascii="Arial" w:hAnsi="Arial" w:cs="Arial"/>
          <w:spacing w:val="-6"/>
          <w:sz w:val="17"/>
          <w:szCs w:val="17"/>
          <w:lang w:val="en-GB"/>
        </w:rPr>
        <w:t>Mazda Motor Corporation</w:t>
      </w:r>
      <w:r w:rsidRPr="008452C7">
        <w:rPr>
          <w:rFonts w:ascii="Arial" w:hAnsi="Arial" w:cs="Arial"/>
          <w:spacing w:val="-6"/>
          <w:sz w:val="17"/>
          <w:szCs w:val="17"/>
        </w:rPr>
        <w:t xml:space="preserve">, </w:t>
      </w:r>
      <w:r w:rsidRPr="008452C7">
        <w:rPr>
          <w:rStyle w:val="citationtext"/>
          <w:rFonts w:ascii="Arial" w:hAnsi="Arial" w:cs="Arial"/>
          <w:spacing w:val="-6"/>
          <w:sz w:val="17"/>
          <w:szCs w:val="17"/>
        </w:rPr>
        <w:t>“</w:t>
      </w:r>
      <w:r w:rsidRPr="008452C7">
        <w:rPr>
          <w:rStyle w:val="citationtext"/>
          <w:rFonts w:ascii="Arial" w:hAnsi="Arial" w:cs="Arial"/>
          <w:iCs/>
          <w:spacing w:val="-6"/>
          <w:sz w:val="17"/>
          <w:szCs w:val="17"/>
        </w:rPr>
        <w:t>Mazda Launches All-New Advertising Campaign, ‘</w:t>
      </w:r>
      <w:r w:rsidRPr="008452C7">
        <w:rPr>
          <w:rStyle w:val="citationtext"/>
          <w:rFonts w:ascii="Arial" w:hAnsi="Arial" w:cs="Arial"/>
          <w:iCs/>
          <w:spacing w:val="-4"/>
          <w:sz w:val="17"/>
          <w:szCs w:val="17"/>
        </w:rPr>
        <w:t>Driving</w:t>
      </w:r>
      <w:r w:rsidRPr="008452C7">
        <w:rPr>
          <w:rStyle w:val="citationtext"/>
          <w:rFonts w:ascii="Arial" w:hAnsi="Arial" w:cs="Arial"/>
          <w:iCs/>
          <w:spacing w:val="-6"/>
          <w:sz w:val="17"/>
          <w:szCs w:val="17"/>
        </w:rPr>
        <w:t xml:space="preserve"> Matters,’”</w:t>
      </w:r>
      <w:r w:rsidRPr="008452C7">
        <w:rPr>
          <w:rStyle w:val="citationtext"/>
          <w:rFonts w:ascii="Arial" w:hAnsi="Arial" w:cs="Arial"/>
          <w:spacing w:val="-6"/>
          <w:sz w:val="17"/>
          <w:szCs w:val="17"/>
        </w:rPr>
        <w:t xml:space="preserve"> </w:t>
      </w:r>
      <w:r w:rsidRPr="008452C7">
        <w:rPr>
          <w:rStyle w:val="citationtext"/>
          <w:rFonts w:ascii="Arial" w:hAnsi="Arial" w:cs="Arial"/>
          <w:iCs/>
          <w:spacing w:val="-6"/>
          <w:sz w:val="17"/>
          <w:szCs w:val="17"/>
        </w:rPr>
        <w:t>PR Newswire</w:t>
      </w:r>
      <w:r w:rsidRPr="008452C7">
        <w:rPr>
          <w:rStyle w:val="citationtext"/>
          <w:rFonts w:ascii="Arial" w:hAnsi="Arial" w:cs="Arial"/>
          <w:spacing w:val="-6"/>
          <w:sz w:val="17"/>
          <w:szCs w:val="17"/>
        </w:rPr>
        <w:t>, May 21, 2015, accessed March 16, 2017, www.prnewswire.com/news-releases/mazda-launches-all-new-advertising-campaign-driving-matters-300087060.html.</w:t>
      </w:r>
    </w:p>
  </w:endnote>
  <w:endnote w:id="4">
    <w:p w14:paraId="4134E3DA" w14:textId="0503BF5C"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Mazda</w:t>
      </w:r>
      <w:r w:rsidRPr="00EA102A">
        <w:rPr>
          <w:rFonts w:ascii="Arial" w:eastAsia="Malgun Gothic" w:hAnsi="Arial"/>
          <w:color w:val="222222"/>
          <w:sz w:val="17"/>
          <w:szCs w:val="17"/>
          <w:lang w:eastAsia="ko-KR"/>
        </w:rPr>
        <w:t xml:space="preserve"> Motor Corporation,</w:t>
      </w:r>
      <w:r w:rsidRPr="00EA102A">
        <w:rPr>
          <w:rFonts w:ascii="Arial" w:hAnsi="Arial" w:cs="Arial"/>
          <w:sz w:val="17"/>
          <w:szCs w:val="17"/>
        </w:rPr>
        <w:t xml:space="preserve"> </w:t>
      </w:r>
      <w:r w:rsidRPr="00EA102A">
        <w:rPr>
          <w:rFonts w:ascii="Arial" w:hAnsi="Arial" w:cs="Arial"/>
          <w:i/>
          <w:sz w:val="17"/>
          <w:szCs w:val="17"/>
        </w:rPr>
        <w:t>Annual Report 2014</w:t>
      </w:r>
      <w:r w:rsidRPr="00EA102A">
        <w:rPr>
          <w:rFonts w:ascii="Arial" w:hAnsi="Arial" w:cs="Arial"/>
          <w:sz w:val="17"/>
          <w:szCs w:val="17"/>
        </w:rPr>
        <w:t>, 10, accessed June 27, 2017, www.mazda.com/contentassets/</w:t>
      </w:r>
    </w:p>
    <w:p w14:paraId="024C7D41" w14:textId="251602C8" w:rsidR="009864BD" w:rsidRPr="00EA102A" w:rsidRDefault="009864BD" w:rsidP="00637632">
      <w:pPr>
        <w:pStyle w:val="EndnoteText"/>
        <w:jc w:val="both"/>
        <w:rPr>
          <w:rFonts w:ascii="Arial" w:hAnsi="Arial" w:cs="Arial"/>
          <w:sz w:val="17"/>
          <w:szCs w:val="17"/>
        </w:rPr>
      </w:pPr>
      <w:r w:rsidRPr="00EA102A">
        <w:rPr>
          <w:rFonts w:ascii="Arial" w:hAnsi="Arial" w:cs="Arial"/>
          <w:sz w:val="17"/>
          <w:szCs w:val="17"/>
        </w:rPr>
        <w:t>57cc7468ae47443ebdca71490d79d2cd/files/mazdaar14_e.pdf.</w:t>
      </w:r>
    </w:p>
  </w:endnote>
  <w:endnote w:id="5">
    <w:p w14:paraId="69E5E5D6" w14:textId="64EA549C" w:rsidR="009864BD" w:rsidRDefault="009864BD" w:rsidP="00637632">
      <w:pPr>
        <w:pStyle w:val="NoSpacing"/>
        <w:jc w:val="both"/>
        <w:rPr>
          <w:rStyle w:val="FootnoteChar"/>
          <w:rFonts w:eastAsia="Malgun Gothic"/>
        </w:rPr>
      </w:pPr>
      <w:r w:rsidRPr="00EA102A">
        <w:rPr>
          <w:rStyle w:val="EndnoteReference"/>
          <w:rFonts w:ascii="Arial" w:hAnsi="Arial" w:cs="Arial"/>
          <w:sz w:val="17"/>
          <w:szCs w:val="17"/>
        </w:rPr>
        <w:endnoteRef/>
      </w:r>
      <w:r w:rsidRPr="00EA102A">
        <w:rPr>
          <w:rFonts w:ascii="Arial" w:hAnsi="Arial" w:cs="Arial"/>
          <w:sz w:val="17"/>
          <w:szCs w:val="17"/>
        </w:rPr>
        <w:t xml:space="preserve"> </w:t>
      </w:r>
      <w:r w:rsidRPr="00EA102A">
        <w:rPr>
          <w:rFonts w:ascii="Arial" w:eastAsia="Malgun Gothic" w:hAnsi="Arial"/>
          <w:color w:val="222222"/>
          <w:sz w:val="17"/>
          <w:szCs w:val="17"/>
          <w:lang w:eastAsia="ko-KR"/>
        </w:rPr>
        <w:t xml:space="preserve">Mazda Motor Corporation, </w:t>
      </w:r>
      <w:r w:rsidRPr="00EA102A">
        <w:rPr>
          <w:rFonts w:ascii="Arial" w:eastAsia="Malgun Gothic" w:hAnsi="Arial"/>
          <w:i/>
          <w:color w:val="222222"/>
          <w:sz w:val="17"/>
          <w:szCs w:val="17"/>
          <w:lang w:eastAsia="ko-KR"/>
        </w:rPr>
        <w:t>Annual Report 2016</w:t>
      </w:r>
      <w:r w:rsidRPr="00EA102A">
        <w:rPr>
          <w:rFonts w:ascii="Arial" w:eastAsia="Malgun Gothic" w:hAnsi="Arial"/>
          <w:color w:val="222222"/>
          <w:sz w:val="17"/>
          <w:szCs w:val="17"/>
          <w:lang w:eastAsia="ko-KR"/>
        </w:rPr>
        <w:t>, 2, accessed June 27</w:t>
      </w:r>
      <w:r w:rsidRPr="00EA102A">
        <w:rPr>
          <w:rStyle w:val="FootnoteChar"/>
          <w:rFonts w:eastAsia="Malgun Gothic"/>
        </w:rPr>
        <w:t>, 2017,</w:t>
      </w:r>
      <w:r w:rsidRPr="00EA102A">
        <w:t xml:space="preserve"> </w:t>
      </w:r>
      <w:r w:rsidRPr="008452C7">
        <w:rPr>
          <w:rStyle w:val="FootnoteChar"/>
          <w:rFonts w:eastAsia="Malgun Gothic"/>
        </w:rPr>
        <w:t>www.mazda.com/</w:t>
      </w:r>
      <w:r w:rsidRPr="00EA102A">
        <w:rPr>
          <w:rStyle w:val="FootnoteChar"/>
          <w:rFonts w:eastAsia="Malgun Gothic"/>
        </w:rPr>
        <w:t>globalassets/en/assets/</w:t>
      </w:r>
    </w:p>
    <w:p w14:paraId="4B6DE10F" w14:textId="33AF3502" w:rsidR="009864BD" w:rsidRPr="00EA102A" w:rsidRDefault="009864BD" w:rsidP="00637632">
      <w:pPr>
        <w:pStyle w:val="NoSpacing"/>
        <w:jc w:val="both"/>
        <w:rPr>
          <w:rFonts w:ascii="Arial" w:hAnsi="Arial" w:cs="Arial"/>
          <w:sz w:val="17"/>
          <w:szCs w:val="17"/>
        </w:rPr>
      </w:pPr>
      <w:r w:rsidRPr="00EA102A">
        <w:rPr>
          <w:rStyle w:val="FootnoteChar"/>
          <w:rFonts w:eastAsia="Malgun Gothic"/>
        </w:rPr>
        <w:t>investors/library/annual/files/mazdaar16_e.pdf.</w:t>
      </w:r>
    </w:p>
  </w:endnote>
  <w:endnote w:id="6">
    <w:p w14:paraId="4027E0A3" w14:textId="434F95E0" w:rsidR="009864BD"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Jack </w:t>
      </w:r>
      <w:proofErr w:type="spellStart"/>
      <w:r w:rsidRPr="00EA102A">
        <w:rPr>
          <w:rFonts w:ascii="Arial" w:hAnsi="Arial" w:cs="Arial"/>
          <w:sz w:val="17"/>
          <w:szCs w:val="17"/>
        </w:rPr>
        <w:t>Nerad</w:t>
      </w:r>
      <w:proofErr w:type="spellEnd"/>
      <w:r w:rsidRPr="00EA102A">
        <w:rPr>
          <w:rFonts w:ascii="Arial" w:hAnsi="Arial" w:cs="Arial"/>
          <w:sz w:val="17"/>
          <w:szCs w:val="17"/>
        </w:rPr>
        <w:t xml:space="preserve">, “Mazda MX-5 Miata,” </w:t>
      </w:r>
      <w:r w:rsidRPr="00EA102A">
        <w:rPr>
          <w:rFonts w:ascii="Arial" w:hAnsi="Arial" w:cs="Arial"/>
          <w:iCs/>
          <w:sz w:val="17"/>
          <w:szCs w:val="17"/>
        </w:rPr>
        <w:t>Driving Today,</w:t>
      </w:r>
      <w:r w:rsidRPr="00EA102A">
        <w:rPr>
          <w:rFonts w:ascii="Arial" w:hAnsi="Arial" w:cs="Arial"/>
          <w:sz w:val="17"/>
          <w:szCs w:val="17"/>
        </w:rPr>
        <w:t xml:space="preserve"> 2015, accessed January 29, 2017, </w:t>
      </w:r>
      <w:r w:rsidRPr="00AE42FF">
        <w:rPr>
          <w:rFonts w:ascii="Arial" w:hAnsi="Arial" w:cs="Arial"/>
          <w:sz w:val="17"/>
          <w:szCs w:val="17"/>
        </w:rPr>
        <w:t>www.drivingtoday.com/</w:t>
      </w:r>
      <w:r w:rsidRPr="00EA102A">
        <w:rPr>
          <w:rFonts w:ascii="Arial" w:hAnsi="Arial" w:cs="Arial"/>
          <w:sz w:val="17"/>
          <w:szCs w:val="17"/>
        </w:rPr>
        <w:t>wbz4/greatest</w:t>
      </w:r>
    </w:p>
    <w:p w14:paraId="515FCA00" w14:textId="7216138A" w:rsidR="009864BD" w:rsidRPr="00D224DA" w:rsidRDefault="009864BD" w:rsidP="00637632">
      <w:pPr>
        <w:pStyle w:val="EndnoteText"/>
        <w:jc w:val="both"/>
        <w:rPr>
          <w:rFonts w:ascii="Arial" w:hAnsi="Arial" w:cs="Arial"/>
          <w:b/>
          <w:sz w:val="17"/>
          <w:szCs w:val="17"/>
        </w:rPr>
      </w:pPr>
      <w:r w:rsidRPr="00EA102A">
        <w:rPr>
          <w:rFonts w:ascii="Arial" w:hAnsi="Arial" w:cs="Arial"/>
          <w:sz w:val="17"/>
          <w:szCs w:val="17"/>
        </w:rPr>
        <w:t>_cars/mazda_mx5_miata/index.html#.WI5_vHoZeb9.</w:t>
      </w:r>
    </w:p>
  </w:endnote>
  <w:endnote w:id="7">
    <w:p w14:paraId="62D552C4" w14:textId="179D2121" w:rsidR="009864BD" w:rsidRPr="00EA102A" w:rsidRDefault="009864BD" w:rsidP="00637632">
      <w:pPr>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Jason </w:t>
      </w:r>
      <w:proofErr w:type="spellStart"/>
      <w:r w:rsidRPr="00EA102A">
        <w:rPr>
          <w:rFonts w:ascii="Arial" w:hAnsi="Arial" w:cs="Arial"/>
          <w:sz w:val="17"/>
          <w:szCs w:val="17"/>
        </w:rPr>
        <w:t>Kambitsis</w:t>
      </w:r>
      <w:proofErr w:type="spellEnd"/>
      <w:r w:rsidRPr="00EA102A">
        <w:rPr>
          <w:rFonts w:ascii="Arial" w:hAnsi="Arial" w:cs="Arial"/>
          <w:sz w:val="17"/>
          <w:szCs w:val="17"/>
        </w:rPr>
        <w:t>, “Three-</w:t>
      </w:r>
      <w:proofErr w:type="spellStart"/>
      <w:r w:rsidRPr="00EA102A">
        <w:rPr>
          <w:rFonts w:ascii="Arial" w:hAnsi="Arial" w:cs="Arial"/>
          <w:sz w:val="17"/>
          <w:szCs w:val="17"/>
        </w:rPr>
        <w:t>Wheelin</w:t>
      </w:r>
      <w:proofErr w:type="spellEnd"/>
      <w:r w:rsidRPr="00EA102A">
        <w:rPr>
          <w:rFonts w:ascii="Arial" w:hAnsi="Arial" w:cs="Arial"/>
          <w:sz w:val="17"/>
          <w:szCs w:val="17"/>
        </w:rPr>
        <w:t xml:space="preserve">’ through Time,” </w:t>
      </w:r>
      <w:r w:rsidRPr="00EA102A">
        <w:rPr>
          <w:rFonts w:ascii="Arial" w:hAnsi="Arial" w:cs="Arial"/>
          <w:i/>
          <w:iCs/>
          <w:sz w:val="17"/>
          <w:szCs w:val="17"/>
        </w:rPr>
        <w:t>Wired</w:t>
      </w:r>
      <w:r w:rsidRPr="00EA102A">
        <w:rPr>
          <w:rFonts w:ascii="Arial" w:hAnsi="Arial" w:cs="Arial"/>
          <w:sz w:val="17"/>
          <w:szCs w:val="17"/>
        </w:rPr>
        <w:t xml:space="preserve">, March 14, 2011, accessed January 29, 2017, www.wired.com/2011/03/three-wheelin-through-time/. </w:t>
      </w:r>
    </w:p>
  </w:endnote>
  <w:endnote w:id="8">
    <w:p w14:paraId="2CD51135" w14:textId="7EA062C9" w:rsidR="009864BD" w:rsidRPr="00D224DA" w:rsidRDefault="009864BD" w:rsidP="00637632">
      <w:pPr>
        <w:pStyle w:val="EndnoteText"/>
        <w:jc w:val="both"/>
        <w:rPr>
          <w:rFonts w:ascii="Arial" w:hAnsi="Arial" w:cs="Arial"/>
          <w:b/>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“Automobiles in the Postwar Economy,” </w:t>
      </w:r>
      <w:r w:rsidRPr="00EA102A">
        <w:rPr>
          <w:rFonts w:ascii="Arial" w:hAnsi="Arial" w:cs="Arial"/>
          <w:iCs/>
          <w:sz w:val="17"/>
          <w:szCs w:val="17"/>
        </w:rPr>
        <w:t>CQ Researcher</w:t>
      </w:r>
      <w:r w:rsidRPr="00EA102A">
        <w:rPr>
          <w:rFonts w:ascii="Arial" w:hAnsi="Arial" w:cs="Arial"/>
          <w:i/>
          <w:iCs/>
          <w:sz w:val="17"/>
          <w:szCs w:val="17"/>
        </w:rPr>
        <w:t>,</w:t>
      </w:r>
      <w:r w:rsidRPr="00EA102A">
        <w:rPr>
          <w:rFonts w:ascii="Arial" w:hAnsi="Arial" w:cs="Arial"/>
          <w:sz w:val="17"/>
          <w:szCs w:val="17"/>
        </w:rPr>
        <w:t xml:space="preserve"> accessed January 29, 2017.</w:t>
      </w:r>
    </w:p>
  </w:endnote>
  <w:endnote w:id="9">
    <w:p w14:paraId="0501D63B" w14:textId="5424A012"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w:t>
      </w:r>
      <w:r w:rsidRPr="00AE42FF">
        <w:rPr>
          <w:rFonts w:ascii="Arial" w:hAnsi="Arial" w:cs="Arial"/>
          <w:spacing w:val="-8"/>
          <w:sz w:val="17"/>
          <w:szCs w:val="17"/>
        </w:rPr>
        <w:t xml:space="preserve">Doug </w:t>
      </w:r>
      <w:proofErr w:type="spellStart"/>
      <w:r w:rsidRPr="00AE42FF">
        <w:rPr>
          <w:rFonts w:ascii="Arial" w:hAnsi="Arial" w:cs="Arial"/>
          <w:spacing w:val="-8"/>
          <w:sz w:val="17"/>
          <w:szCs w:val="17"/>
        </w:rPr>
        <w:t>Tsuruoka</w:t>
      </w:r>
      <w:proofErr w:type="spellEnd"/>
      <w:r w:rsidRPr="00AE42FF">
        <w:rPr>
          <w:rFonts w:ascii="Arial" w:hAnsi="Arial" w:cs="Arial"/>
          <w:spacing w:val="-8"/>
          <w:sz w:val="17"/>
          <w:szCs w:val="17"/>
        </w:rPr>
        <w:t>, “Mazda</w:t>
      </w:r>
      <w:r>
        <w:rPr>
          <w:rFonts w:ascii="Arial" w:hAnsi="Arial" w:cs="Arial"/>
          <w:spacing w:val="-8"/>
          <w:sz w:val="17"/>
          <w:szCs w:val="17"/>
        </w:rPr>
        <w:t>’</w:t>
      </w:r>
      <w:r w:rsidRPr="00AE42FF">
        <w:rPr>
          <w:rFonts w:ascii="Arial" w:hAnsi="Arial" w:cs="Arial"/>
          <w:spacing w:val="-8"/>
          <w:sz w:val="17"/>
          <w:szCs w:val="17"/>
        </w:rPr>
        <w:t xml:space="preserve">s Matsuda Put the </w:t>
      </w:r>
      <w:proofErr w:type="spellStart"/>
      <w:r w:rsidRPr="00AE42FF">
        <w:rPr>
          <w:rFonts w:ascii="Arial" w:hAnsi="Arial" w:cs="Arial"/>
          <w:spacing w:val="-8"/>
          <w:sz w:val="17"/>
          <w:szCs w:val="17"/>
        </w:rPr>
        <w:t>Wankel</w:t>
      </w:r>
      <w:proofErr w:type="spellEnd"/>
      <w:r w:rsidRPr="00AE42FF">
        <w:rPr>
          <w:rFonts w:ascii="Arial" w:hAnsi="Arial" w:cs="Arial"/>
          <w:spacing w:val="-8"/>
          <w:sz w:val="17"/>
          <w:szCs w:val="17"/>
        </w:rPr>
        <w:t xml:space="preserve"> Rotary Engine in Gear,” </w:t>
      </w:r>
      <w:r w:rsidRPr="00AE42FF">
        <w:rPr>
          <w:rFonts w:ascii="Arial" w:hAnsi="Arial" w:cs="Arial"/>
          <w:iCs/>
          <w:spacing w:val="-8"/>
          <w:sz w:val="17"/>
          <w:szCs w:val="17"/>
        </w:rPr>
        <w:t>Investor's Business Daily</w:t>
      </w:r>
      <w:r w:rsidRPr="00AE42FF">
        <w:rPr>
          <w:rFonts w:ascii="Arial" w:hAnsi="Arial" w:cs="Arial"/>
          <w:spacing w:val="-8"/>
          <w:sz w:val="17"/>
          <w:szCs w:val="17"/>
        </w:rPr>
        <w:t>, April 5, 2012, accessed January 29, 2017, www.investors.com/news/management/leaders-and-success/mazda-president-tsuneji-matsuda-improved-rotary-engine/.</w:t>
      </w:r>
    </w:p>
  </w:endnote>
  <w:endnote w:id="10">
    <w:p w14:paraId="04FD4905" w14:textId="6324E069" w:rsidR="009864BD" w:rsidRPr="00EA102A" w:rsidRDefault="009864BD" w:rsidP="00637632">
      <w:pPr>
        <w:pStyle w:val="Footnote"/>
      </w:pPr>
      <w:r w:rsidRPr="00EA102A">
        <w:rPr>
          <w:rStyle w:val="EndnoteReference"/>
        </w:rPr>
        <w:endnoteRef/>
      </w:r>
      <w:r w:rsidRPr="00EA102A">
        <w:t xml:space="preserve"> </w:t>
      </w:r>
      <w:r w:rsidRPr="00637632">
        <w:rPr>
          <w:rFonts w:eastAsia="Malgun Gothic"/>
          <w:spacing w:val="-6"/>
          <w:lang w:val="en-GB" w:eastAsia="ko-KR"/>
        </w:rPr>
        <w:t>Mazda Motor Corporation</w:t>
      </w:r>
      <w:r w:rsidRPr="00637632">
        <w:rPr>
          <w:spacing w:val="-6"/>
        </w:rPr>
        <w:t>, “History (1980~1989),” accessed June 27, 2017, www.mazda.com/en/about/profile/history/1980-1989/.</w:t>
      </w:r>
    </w:p>
  </w:endnote>
  <w:endnote w:id="11">
    <w:p w14:paraId="32843CD9" w14:textId="4CB08E93" w:rsidR="009864BD" w:rsidRPr="00EA102A" w:rsidRDefault="009864BD" w:rsidP="00637632">
      <w:pPr>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w:t>
      </w:r>
      <w:r w:rsidRPr="00637632">
        <w:rPr>
          <w:rFonts w:ascii="Arial" w:hAnsi="Arial" w:cs="Arial"/>
          <w:spacing w:val="-6"/>
          <w:sz w:val="17"/>
          <w:szCs w:val="17"/>
        </w:rPr>
        <w:t>Mazda Motor Corporation, “History (1920~1979),” accessed June 27, 2017, www.mazda.com/en/about/profile/history/1920-1979/.</w:t>
      </w:r>
      <w:r w:rsidRPr="00EA102A">
        <w:rPr>
          <w:rFonts w:ascii="Arial" w:hAnsi="Arial" w:cs="Arial"/>
          <w:sz w:val="17"/>
          <w:szCs w:val="17"/>
        </w:rPr>
        <w:t xml:space="preserve"> </w:t>
      </w:r>
    </w:p>
  </w:endnote>
  <w:endnote w:id="12">
    <w:p w14:paraId="161F1924" w14:textId="787C1F0A" w:rsidR="009864BD" w:rsidRPr="00EA102A" w:rsidRDefault="009864BD" w:rsidP="00637632">
      <w:pPr>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Don Sharman, “Mazda: The Rotary Club,” </w:t>
      </w:r>
      <w:r w:rsidRPr="00EA102A">
        <w:rPr>
          <w:rFonts w:ascii="Arial" w:hAnsi="Arial" w:cs="Arial"/>
          <w:i/>
          <w:iCs/>
          <w:sz w:val="17"/>
          <w:szCs w:val="17"/>
        </w:rPr>
        <w:t>Automobile</w:t>
      </w:r>
      <w:r w:rsidRPr="00EA102A">
        <w:rPr>
          <w:rFonts w:ascii="Arial" w:hAnsi="Arial" w:cs="Arial"/>
          <w:iCs/>
          <w:sz w:val="17"/>
          <w:szCs w:val="17"/>
        </w:rPr>
        <w:t>,</w:t>
      </w:r>
      <w:r w:rsidRPr="00EA102A">
        <w:rPr>
          <w:rFonts w:ascii="Arial" w:hAnsi="Arial" w:cs="Arial"/>
          <w:i/>
          <w:iCs/>
          <w:sz w:val="17"/>
          <w:szCs w:val="17"/>
        </w:rPr>
        <w:t xml:space="preserve"> </w:t>
      </w:r>
      <w:r w:rsidRPr="00EA102A">
        <w:rPr>
          <w:rFonts w:ascii="Arial" w:hAnsi="Arial" w:cs="Arial"/>
          <w:sz w:val="17"/>
          <w:szCs w:val="17"/>
        </w:rPr>
        <w:t>March 10, 2008, accessed January 29, 2017, www.automobilemag.com/news/mazda-the-rotary-club/.</w:t>
      </w:r>
    </w:p>
  </w:endnote>
  <w:endnote w:id="13">
    <w:p w14:paraId="4214386B" w14:textId="331D530E"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Ibid.</w:t>
      </w:r>
    </w:p>
  </w:endnote>
  <w:endnote w:id="14">
    <w:p w14:paraId="1CC53F82" w14:textId="743413A1"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w:t>
      </w:r>
      <w:r w:rsidRPr="002A00B9">
        <w:rPr>
          <w:rFonts w:ascii="Arial" w:hAnsi="Arial" w:cs="Arial"/>
          <w:sz w:val="17"/>
          <w:szCs w:val="17"/>
        </w:rPr>
        <w:t>Mazda Motor Corporation</w:t>
      </w:r>
      <w:r>
        <w:rPr>
          <w:rFonts w:ascii="Arial" w:hAnsi="Arial" w:cs="Arial"/>
          <w:sz w:val="17"/>
          <w:szCs w:val="17"/>
        </w:rPr>
        <w:t xml:space="preserve">, </w:t>
      </w:r>
      <w:r w:rsidRPr="00EA102A">
        <w:rPr>
          <w:rFonts w:ascii="Arial" w:hAnsi="Arial" w:cs="Arial"/>
          <w:sz w:val="17"/>
          <w:szCs w:val="17"/>
        </w:rPr>
        <w:t xml:space="preserve">“History (1920~1979),” </w:t>
      </w:r>
      <w:r w:rsidRPr="00EA102A">
        <w:rPr>
          <w:rFonts w:ascii="Arial" w:hAnsi="Arial" w:cs="Arial"/>
          <w:iCs/>
          <w:sz w:val="17"/>
          <w:szCs w:val="17"/>
        </w:rPr>
        <w:t>op. cit</w:t>
      </w:r>
      <w:r w:rsidRPr="00EA102A">
        <w:rPr>
          <w:rFonts w:ascii="Arial" w:hAnsi="Arial" w:cs="Arial"/>
          <w:sz w:val="17"/>
          <w:szCs w:val="17"/>
        </w:rPr>
        <w:t xml:space="preserve">. </w:t>
      </w:r>
    </w:p>
  </w:endnote>
  <w:endnote w:id="15">
    <w:p w14:paraId="56222183" w14:textId="336C41E2" w:rsidR="009864BD" w:rsidRPr="00EA102A" w:rsidRDefault="009864BD" w:rsidP="00637632">
      <w:pPr>
        <w:pStyle w:val="EndnoteText"/>
        <w:jc w:val="both"/>
        <w:rPr>
          <w:rFonts w:ascii="Arial" w:hAnsi="Arial" w:cs="Arial"/>
          <w:sz w:val="17"/>
          <w:szCs w:val="17"/>
        </w:rPr>
      </w:pPr>
      <w:r w:rsidRPr="00EA102A">
        <w:rPr>
          <w:rStyle w:val="FootnoteChar"/>
          <w:vertAlign w:val="superscript"/>
        </w:rPr>
        <w:endnoteRef/>
      </w:r>
      <w:r w:rsidRPr="00EA102A">
        <w:rPr>
          <w:rStyle w:val="FootnoteChar"/>
        </w:rPr>
        <w:t xml:space="preserve"> The Organization of Arab Petroleum Exporting Countries had reduced </w:t>
      </w:r>
      <w:r>
        <w:rPr>
          <w:rStyle w:val="FootnoteChar"/>
        </w:rPr>
        <w:t>its</w:t>
      </w:r>
      <w:r w:rsidRPr="00EA102A">
        <w:rPr>
          <w:rStyle w:val="FootnoteChar"/>
        </w:rPr>
        <w:t xml:space="preserve"> petroleum production and introduced an embargo on oil shipments to the United States in response to its acknowledgement of the Israel state. “Energy Crisis (1970s),” History, accessed June 11, 2017, www.history.com/topics/energy-crisis; </w:t>
      </w:r>
      <w:proofErr w:type="spellStart"/>
      <w:r w:rsidRPr="00EA102A">
        <w:rPr>
          <w:rStyle w:val="FootnoteChar"/>
        </w:rPr>
        <w:t>Arlena</w:t>
      </w:r>
      <w:proofErr w:type="spellEnd"/>
      <w:r w:rsidRPr="00EA102A">
        <w:rPr>
          <w:rStyle w:val="FootnoteChar"/>
        </w:rPr>
        <w:t xml:space="preserve"> Sawyers, “1979 Oil Shock Meant Recession for U.S., Depression for Autos,” </w:t>
      </w:r>
      <w:r w:rsidRPr="00EA102A">
        <w:rPr>
          <w:rStyle w:val="FootnoteChar"/>
          <w:i/>
        </w:rPr>
        <w:t>Automotive News</w:t>
      </w:r>
      <w:r w:rsidRPr="00EA102A">
        <w:rPr>
          <w:rStyle w:val="FootnoteChar"/>
        </w:rPr>
        <w:t>, October 13, 2013, accessed January</w:t>
      </w:r>
      <w:r w:rsidRPr="00EA102A">
        <w:rPr>
          <w:rFonts w:ascii="Arial" w:hAnsi="Arial" w:cs="Arial"/>
          <w:sz w:val="17"/>
          <w:szCs w:val="17"/>
        </w:rPr>
        <w:t xml:space="preserve"> 29, 2017, www.autonews.com/article/20131013/GLOBAL/310139997/1979-oil-shock-meant-recession-for-u.s.-depression-for-autos.</w:t>
      </w:r>
    </w:p>
  </w:endnote>
  <w:endnote w:id="16">
    <w:p w14:paraId="766C7CC6" w14:textId="332BBB15" w:rsidR="009864BD" w:rsidRPr="00EA102A" w:rsidRDefault="009864BD" w:rsidP="00637632">
      <w:pPr>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Nicholas </w:t>
      </w:r>
      <w:proofErr w:type="spellStart"/>
      <w:r w:rsidRPr="00EA102A">
        <w:rPr>
          <w:rFonts w:ascii="Arial" w:hAnsi="Arial" w:cs="Arial"/>
          <w:sz w:val="17"/>
          <w:szCs w:val="17"/>
        </w:rPr>
        <w:t>Stecher</w:t>
      </w:r>
      <w:proofErr w:type="spellEnd"/>
      <w:r w:rsidRPr="00EA102A">
        <w:rPr>
          <w:rFonts w:ascii="Arial" w:hAnsi="Arial" w:cs="Arial"/>
          <w:sz w:val="17"/>
          <w:szCs w:val="17"/>
        </w:rPr>
        <w:t xml:space="preserve">, “Mazda’s Confusing Plan to Resurrect the Famously Dirty Rotary Engine,” </w:t>
      </w:r>
      <w:r w:rsidRPr="00EA102A">
        <w:rPr>
          <w:rFonts w:ascii="Arial" w:hAnsi="Arial" w:cs="Arial"/>
          <w:i/>
          <w:iCs/>
          <w:sz w:val="17"/>
          <w:szCs w:val="17"/>
        </w:rPr>
        <w:t>Wired</w:t>
      </w:r>
      <w:r w:rsidRPr="00EA102A">
        <w:rPr>
          <w:rFonts w:ascii="Arial" w:hAnsi="Arial" w:cs="Arial"/>
          <w:sz w:val="17"/>
          <w:szCs w:val="17"/>
        </w:rPr>
        <w:t xml:space="preserve">, December 1, 2015, accessed January 29, 2017, www.wired.com/2015/12/mazdas-confusing-plan-to-resurrect-the-famously-dirty-rotary-engine/. </w:t>
      </w:r>
    </w:p>
  </w:endnote>
  <w:endnote w:id="17">
    <w:p w14:paraId="3AFB9E22" w14:textId="2CFC624E"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Hiroki </w:t>
      </w:r>
      <w:proofErr w:type="spellStart"/>
      <w:r w:rsidRPr="00EA102A">
        <w:rPr>
          <w:rFonts w:ascii="Arial" w:hAnsi="Arial" w:cs="Arial"/>
          <w:sz w:val="17"/>
          <w:szCs w:val="17"/>
        </w:rPr>
        <w:t>Tabuchi</w:t>
      </w:r>
      <w:proofErr w:type="spellEnd"/>
      <w:r w:rsidRPr="00EA102A">
        <w:rPr>
          <w:rFonts w:ascii="Arial" w:hAnsi="Arial" w:cs="Arial"/>
          <w:sz w:val="17"/>
          <w:szCs w:val="17"/>
        </w:rPr>
        <w:t xml:space="preserve">, </w:t>
      </w:r>
      <w:r w:rsidRPr="00EA102A">
        <w:rPr>
          <w:rFonts w:ascii="Arial" w:eastAsia="Malgun Gothic" w:hAnsi="Arial" w:cs="Arial"/>
          <w:sz w:val="17"/>
          <w:szCs w:val="17"/>
          <w:lang w:eastAsia="ko-KR"/>
        </w:rPr>
        <w:t>“</w:t>
      </w:r>
      <w:r w:rsidRPr="00EA102A">
        <w:rPr>
          <w:rFonts w:ascii="Arial" w:eastAsia="Malgun Gothic" w:hAnsi="Arial" w:cs="Arial"/>
          <w:bCs/>
          <w:sz w:val="17"/>
          <w:szCs w:val="17"/>
          <w:lang w:val="en" w:eastAsia="ko-KR"/>
        </w:rPr>
        <w:t xml:space="preserve">Ford to Cut Its Stake in Mazda,” </w:t>
      </w:r>
      <w:r w:rsidRPr="00EA102A">
        <w:rPr>
          <w:rFonts w:ascii="Arial" w:eastAsia="Malgun Gothic" w:hAnsi="Arial" w:cs="Arial"/>
          <w:bCs/>
          <w:i/>
          <w:sz w:val="17"/>
          <w:szCs w:val="17"/>
          <w:lang w:val="en" w:eastAsia="ko-KR"/>
        </w:rPr>
        <w:t xml:space="preserve">The </w:t>
      </w:r>
      <w:r w:rsidRPr="00EA102A">
        <w:rPr>
          <w:rFonts w:ascii="Arial" w:eastAsia="Malgun Gothic" w:hAnsi="Arial" w:cs="Arial"/>
          <w:i/>
          <w:sz w:val="17"/>
          <w:szCs w:val="17"/>
          <w:lang w:eastAsia="ko-KR"/>
        </w:rPr>
        <w:t>New York Times</w:t>
      </w:r>
      <w:r w:rsidRPr="00EA102A">
        <w:rPr>
          <w:rFonts w:ascii="Arial" w:eastAsia="Malgun Gothic" w:hAnsi="Arial" w:cs="Arial"/>
          <w:sz w:val="17"/>
          <w:szCs w:val="17"/>
          <w:lang w:eastAsia="ko-KR"/>
        </w:rPr>
        <w:t>,</w:t>
      </w:r>
      <w:r w:rsidRPr="00EA102A">
        <w:rPr>
          <w:rFonts w:ascii="Arial" w:eastAsia="Malgun Gothic" w:hAnsi="Arial" w:cs="Arial"/>
          <w:bCs/>
          <w:sz w:val="17"/>
          <w:szCs w:val="17"/>
          <w:lang w:val="en" w:eastAsia="ko-KR"/>
        </w:rPr>
        <w:t xml:space="preserve"> November 18, 2010, accessed January 29, 2017. </w:t>
      </w:r>
      <w:r w:rsidRPr="00EA102A">
        <w:rPr>
          <w:rFonts w:ascii="Arial" w:hAnsi="Arial" w:cs="Arial"/>
          <w:sz w:val="17"/>
          <w:szCs w:val="17"/>
        </w:rPr>
        <w:t>www.nytimes.com/2010/11/19/business/global/19mazda.html?_r=0.</w:t>
      </w:r>
    </w:p>
  </w:endnote>
  <w:endnote w:id="18">
    <w:p w14:paraId="61EE4EE6" w14:textId="5593CCB6"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Ibid.</w:t>
      </w:r>
    </w:p>
  </w:endnote>
  <w:endnote w:id="19">
    <w:p w14:paraId="0887ADE8" w14:textId="40475BCD"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w:t>
      </w:r>
      <w:r w:rsidRPr="002A00B9">
        <w:rPr>
          <w:rFonts w:ascii="Arial" w:hAnsi="Arial" w:cs="Arial"/>
          <w:sz w:val="17"/>
          <w:szCs w:val="17"/>
        </w:rPr>
        <w:t>Mazda Motor Corporation</w:t>
      </w:r>
      <w:r>
        <w:rPr>
          <w:rFonts w:ascii="Arial" w:hAnsi="Arial" w:cs="Arial"/>
          <w:sz w:val="17"/>
          <w:szCs w:val="17"/>
        </w:rPr>
        <w:t xml:space="preserve">, </w:t>
      </w:r>
      <w:r w:rsidRPr="00EA102A">
        <w:rPr>
          <w:rFonts w:ascii="Arial" w:hAnsi="Arial" w:cs="Arial"/>
          <w:sz w:val="17"/>
          <w:szCs w:val="17"/>
        </w:rPr>
        <w:t xml:space="preserve">“History (1980~1989),” </w:t>
      </w:r>
      <w:r w:rsidRPr="00EA102A">
        <w:rPr>
          <w:rFonts w:ascii="Arial" w:hAnsi="Arial" w:cs="Arial"/>
          <w:iCs/>
          <w:sz w:val="17"/>
          <w:szCs w:val="17"/>
        </w:rPr>
        <w:t>op. cit</w:t>
      </w:r>
      <w:r w:rsidRPr="00EA102A">
        <w:rPr>
          <w:rFonts w:ascii="Arial" w:hAnsi="Arial" w:cs="Arial"/>
          <w:sz w:val="17"/>
          <w:szCs w:val="17"/>
        </w:rPr>
        <w:t>.</w:t>
      </w:r>
    </w:p>
  </w:endnote>
  <w:endnote w:id="20">
    <w:p w14:paraId="5827636A" w14:textId="0D94E424" w:rsidR="009864BD" w:rsidRPr="00EA102A" w:rsidRDefault="009864BD" w:rsidP="00637632">
      <w:pPr>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Uriah </w:t>
      </w:r>
      <w:proofErr w:type="spellStart"/>
      <w:r w:rsidRPr="00EA102A">
        <w:rPr>
          <w:rFonts w:ascii="Arial" w:hAnsi="Arial" w:cs="Arial"/>
          <w:sz w:val="17"/>
          <w:szCs w:val="17"/>
        </w:rPr>
        <w:t>Nazario</w:t>
      </w:r>
      <w:proofErr w:type="spellEnd"/>
      <w:r w:rsidRPr="00EA102A">
        <w:rPr>
          <w:rFonts w:ascii="Arial" w:hAnsi="Arial" w:cs="Arial"/>
          <w:sz w:val="17"/>
          <w:szCs w:val="17"/>
        </w:rPr>
        <w:t xml:space="preserve">, “The History of Mazda Motor Corporation,” </w:t>
      </w:r>
      <w:r w:rsidRPr="00EA102A">
        <w:rPr>
          <w:rFonts w:ascii="Arial" w:hAnsi="Arial" w:cs="Arial"/>
          <w:iCs/>
          <w:sz w:val="17"/>
          <w:szCs w:val="17"/>
        </w:rPr>
        <w:t>Gearheads</w:t>
      </w:r>
      <w:r w:rsidRPr="00EA102A">
        <w:rPr>
          <w:rFonts w:ascii="Arial" w:hAnsi="Arial" w:cs="Arial"/>
          <w:sz w:val="17"/>
          <w:szCs w:val="17"/>
        </w:rPr>
        <w:t xml:space="preserve">, 2017, accessed January 29, 2017, http://gearheads.org/history-of-mazda-motor-corporation/. </w:t>
      </w:r>
    </w:p>
  </w:endnote>
  <w:endnote w:id="21">
    <w:p w14:paraId="7A1DB3F1" w14:textId="4B5F10B4"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w:t>
      </w:r>
      <w:r w:rsidRPr="002A00B9">
        <w:rPr>
          <w:rFonts w:ascii="Arial" w:hAnsi="Arial" w:cs="Arial"/>
          <w:sz w:val="17"/>
          <w:szCs w:val="17"/>
        </w:rPr>
        <w:t>Mazda Motor Corporation</w:t>
      </w:r>
      <w:r>
        <w:rPr>
          <w:rFonts w:ascii="Arial" w:hAnsi="Arial" w:cs="Arial"/>
          <w:sz w:val="17"/>
          <w:szCs w:val="17"/>
        </w:rPr>
        <w:t xml:space="preserve">, </w:t>
      </w:r>
      <w:r w:rsidRPr="00EA102A">
        <w:rPr>
          <w:rFonts w:ascii="Arial" w:hAnsi="Arial" w:cs="Arial"/>
          <w:sz w:val="17"/>
          <w:szCs w:val="17"/>
        </w:rPr>
        <w:t xml:space="preserve">“History (1980~1989),” </w:t>
      </w:r>
      <w:r w:rsidRPr="00EA102A">
        <w:rPr>
          <w:rFonts w:ascii="Arial" w:hAnsi="Arial" w:cs="Arial"/>
          <w:iCs/>
          <w:sz w:val="17"/>
          <w:szCs w:val="17"/>
        </w:rPr>
        <w:t>op. cit</w:t>
      </w:r>
      <w:r w:rsidRPr="00EA102A">
        <w:rPr>
          <w:rFonts w:ascii="Arial" w:hAnsi="Arial" w:cs="Arial"/>
          <w:sz w:val="17"/>
          <w:szCs w:val="17"/>
        </w:rPr>
        <w:t>.</w:t>
      </w:r>
    </w:p>
  </w:endnote>
  <w:endnote w:id="22">
    <w:p w14:paraId="23296208" w14:textId="1022DA23"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James B. </w:t>
      </w:r>
      <w:proofErr w:type="spellStart"/>
      <w:r w:rsidRPr="00EA102A">
        <w:rPr>
          <w:rFonts w:ascii="Arial" w:hAnsi="Arial" w:cs="Arial"/>
          <w:sz w:val="17"/>
          <w:szCs w:val="17"/>
        </w:rPr>
        <w:t>Treece</w:t>
      </w:r>
      <w:proofErr w:type="spellEnd"/>
      <w:r w:rsidRPr="00EA102A">
        <w:rPr>
          <w:rFonts w:ascii="Arial" w:hAnsi="Arial" w:cs="Arial"/>
          <w:sz w:val="17"/>
          <w:szCs w:val="17"/>
        </w:rPr>
        <w:t xml:space="preserve">, “Ford and Mazda: A Lesson in Cooperation,” </w:t>
      </w:r>
      <w:r w:rsidRPr="00EA102A">
        <w:rPr>
          <w:rFonts w:ascii="Arial" w:hAnsi="Arial" w:cs="Arial"/>
          <w:i/>
          <w:iCs/>
          <w:sz w:val="17"/>
          <w:szCs w:val="17"/>
        </w:rPr>
        <w:t>Automotive News</w:t>
      </w:r>
      <w:r w:rsidRPr="00EA102A">
        <w:rPr>
          <w:rFonts w:ascii="Arial" w:hAnsi="Arial" w:cs="Arial"/>
          <w:sz w:val="17"/>
          <w:szCs w:val="17"/>
        </w:rPr>
        <w:t>, June 16, 2003, accessed January 29, 2017, www.autonews.com/article/20030616/SUB/306160777/ford-and-mazda%3A-a-lesson-in-cooperation.</w:t>
      </w:r>
    </w:p>
  </w:endnote>
  <w:endnote w:id="23">
    <w:p w14:paraId="05A285B5" w14:textId="7927B208"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Ibid.</w:t>
      </w:r>
    </w:p>
  </w:endnote>
  <w:endnote w:id="24">
    <w:p w14:paraId="5F359BE0" w14:textId="77777777" w:rsidR="009864BD"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Mazda</w:t>
      </w:r>
      <w:r w:rsidRPr="00EA102A">
        <w:rPr>
          <w:rFonts w:ascii="Arial" w:eastAsia="Malgun Gothic" w:hAnsi="Arial"/>
          <w:color w:val="222222"/>
          <w:sz w:val="17"/>
          <w:szCs w:val="17"/>
          <w:lang w:eastAsia="ko-KR"/>
        </w:rPr>
        <w:t xml:space="preserve"> Motor Corporation,</w:t>
      </w:r>
      <w:r w:rsidRPr="00EA102A">
        <w:rPr>
          <w:rFonts w:ascii="Arial" w:hAnsi="Arial" w:cs="Arial"/>
          <w:sz w:val="17"/>
          <w:szCs w:val="17"/>
        </w:rPr>
        <w:t xml:space="preserve"> </w:t>
      </w:r>
      <w:r w:rsidRPr="00EA102A">
        <w:rPr>
          <w:rFonts w:ascii="Arial" w:hAnsi="Arial" w:cs="Arial"/>
          <w:i/>
          <w:sz w:val="17"/>
          <w:szCs w:val="17"/>
        </w:rPr>
        <w:t>Rekindling the Spark:</w:t>
      </w:r>
      <w:r w:rsidRPr="00EA102A">
        <w:rPr>
          <w:rFonts w:ascii="Arial" w:hAnsi="Arial" w:cs="Arial"/>
          <w:sz w:val="17"/>
          <w:szCs w:val="17"/>
        </w:rPr>
        <w:t xml:space="preserve"> </w:t>
      </w:r>
      <w:r w:rsidRPr="00EA102A">
        <w:rPr>
          <w:rFonts w:ascii="Arial" w:eastAsia="Malgun Gothic" w:hAnsi="Arial" w:cs="Arial"/>
          <w:i/>
          <w:sz w:val="17"/>
          <w:szCs w:val="17"/>
          <w:lang w:eastAsia="ko-KR"/>
        </w:rPr>
        <w:t>Annual Report 2000</w:t>
      </w:r>
      <w:r w:rsidRPr="00EA102A">
        <w:rPr>
          <w:rFonts w:ascii="Arial" w:eastAsia="Malgun Gothic" w:hAnsi="Arial" w:cs="Arial"/>
          <w:sz w:val="17"/>
          <w:szCs w:val="17"/>
          <w:lang w:eastAsia="ko-KR"/>
        </w:rPr>
        <w:t>, accessed June 27, 2017,</w:t>
      </w:r>
      <w:r w:rsidRPr="00EA102A">
        <w:rPr>
          <w:rFonts w:ascii="Arial" w:hAnsi="Arial" w:cs="Arial"/>
          <w:sz w:val="17"/>
          <w:szCs w:val="17"/>
        </w:rPr>
        <w:t xml:space="preserve"> www2.mazda.com/en/</w:t>
      </w:r>
    </w:p>
    <w:p w14:paraId="03D9120F" w14:textId="26A9BC17" w:rsidR="009864BD" w:rsidRPr="00EA102A" w:rsidRDefault="009864BD" w:rsidP="00637632">
      <w:pPr>
        <w:pStyle w:val="EndnoteText"/>
        <w:jc w:val="both"/>
        <w:rPr>
          <w:rFonts w:ascii="Arial" w:hAnsi="Arial" w:cs="Arial"/>
          <w:sz w:val="17"/>
          <w:szCs w:val="17"/>
        </w:rPr>
      </w:pPr>
      <w:r w:rsidRPr="00EA102A">
        <w:rPr>
          <w:rFonts w:ascii="Arial" w:hAnsi="Arial" w:cs="Arial"/>
          <w:sz w:val="17"/>
          <w:szCs w:val="17"/>
        </w:rPr>
        <w:t>investors/library/annual/2000/index.html.</w:t>
      </w:r>
    </w:p>
  </w:endnote>
  <w:endnote w:id="25">
    <w:p w14:paraId="39968BE9" w14:textId="5B28497A" w:rsidR="009864BD" w:rsidRPr="00EA102A" w:rsidRDefault="009864BD" w:rsidP="00637632">
      <w:pPr>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w:t>
      </w:r>
      <w:r w:rsidRPr="008452C7">
        <w:rPr>
          <w:rFonts w:ascii="Arial" w:hAnsi="Arial" w:cs="Arial"/>
          <w:spacing w:val="-4"/>
          <w:sz w:val="17"/>
          <w:szCs w:val="17"/>
        </w:rPr>
        <w:t xml:space="preserve">Hans </w:t>
      </w:r>
      <w:proofErr w:type="spellStart"/>
      <w:r w:rsidRPr="008452C7">
        <w:rPr>
          <w:rFonts w:ascii="Arial" w:eastAsia="Malgun Gothic" w:hAnsi="Arial" w:cs="Arial"/>
          <w:spacing w:val="-4"/>
          <w:sz w:val="17"/>
          <w:szCs w:val="17"/>
          <w:lang w:eastAsia="ko-KR"/>
        </w:rPr>
        <w:t>Greimel</w:t>
      </w:r>
      <w:proofErr w:type="spellEnd"/>
      <w:r w:rsidRPr="008452C7">
        <w:rPr>
          <w:rFonts w:ascii="Arial" w:eastAsia="Malgun Gothic" w:hAnsi="Arial" w:cs="Arial"/>
          <w:spacing w:val="-4"/>
          <w:sz w:val="17"/>
          <w:szCs w:val="17"/>
          <w:lang w:eastAsia="ko-KR"/>
        </w:rPr>
        <w:t>, “</w:t>
      </w:r>
      <w:r w:rsidRPr="008452C7">
        <w:rPr>
          <w:rFonts w:ascii="Arial" w:hAnsi="Arial" w:cs="Arial"/>
          <w:spacing w:val="-4"/>
          <w:sz w:val="17"/>
          <w:szCs w:val="17"/>
        </w:rPr>
        <w:t>How Ford</w:t>
      </w:r>
      <w:r>
        <w:rPr>
          <w:rFonts w:ascii="Arial" w:hAnsi="Arial" w:cs="Arial"/>
          <w:spacing w:val="-4"/>
          <w:sz w:val="17"/>
          <w:szCs w:val="17"/>
        </w:rPr>
        <w:t>’</w:t>
      </w:r>
      <w:r w:rsidRPr="008452C7">
        <w:rPr>
          <w:rFonts w:ascii="Arial" w:hAnsi="Arial" w:cs="Arial"/>
          <w:spacing w:val="-4"/>
          <w:sz w:val="17"/>
          <w:szCs w:val="17"/>
        </w:rPr>
        <w:t xml:space="preserve">s Partnership with Mazda Unraveled,” </w:t>
      </w:r>
      <w:r w:rsidRPr="008452C7">
        <w:rPr>
          <w:rFonts w:ascii="Arial" w:hAnsi="Arial" w:cs="Arial"/>
          <w:i/>
          <w:spacing w:val="-4"/>
          <w:sz w:val="17"/>
          <w:szCs w:val="17"/>
        </w:rPr>
        <w:t>Automotive News</w:t>
      </w:r>
      <w:r w:rsidRPr="008452C7">
        <w:rPr>
          <w:rFonts w:ascii="Arial" w:hAnsi="Arial" w:cs="Arial"/>
          <w:spacing w:val="-4"/>
          <w:sz w:val="17"/>
          <w:szCs w:val="17"/>
        </w:rPr>
        <w:t>, August 24, 2015, accessed January 30, 2017, www.autonews.com/article/20150824/INDUSTRY_ON_TRIAL/308249993/how-fords-partnership-with-mazda-unraveled.</w:t>
      </w:r>
    </w:p>
  </w:endnote>
  <w:endnote w:id="26">
    <w:p w14:paraId="5F8247E7" w14:textId="42DF5D94"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Bill Vlasic and Nick </w:t>
      </w:r>
      <w:proofErr w:type="spellStart"/>
      <w:r w:rsidRPr="00EA102A">
        <w:rPr>
          <w:rFonts w:ascii="Arial" w:hAnsi="Arial" w:cs="Arial"/>
          <w:sz w:val="17"/>
          <w:szCs w:val="17"/>
        </w:rPr>
        <w:t>Bunkley</w:t>
      </w:r>
      <w:proofErr w:type="spellEnd"/>
      <w:r w:rsidRPr="00EA102A">
        <w:rPr>
          <w:rFonts w:ascii="Arial" w:hAnsi="Arial" w:cs="Arial"/>
          <w:sz w:val="17"/>
          <w:szCs w:val="17"/>
        </w:rPr>
        <w:t xml:space="preserve">, “Hazardous Conditions for the Auto Industry,” </w:t>
      </w:r>
      <w:r w:rsidRPr="00EA102A">
        <w:rPr>
          <w:rFonts w:ascii="Arial" w:hAnsi="Arial" w:cs="Arial"/>
          <w:i/>
          <w:iCs/>
          <w:sz w:val="17"/>
          <w:szCs w:val="17"/>
        </w:rPr>
        <w:t>The New York Times</w:t>
      </w:r>
      <w:r w:rsidRPr="00EA102A">
        <w:rPr>
          <w:rFonts w:ascii="Arial" w:hAnsi="Arial" w:cs="Arial"/>
          <w:sz w:val="17"/>
          <w:szCs w:val="17"/>
        </w:rPr>
        <w:t>, October 1, 2008, accessed February 1, 2017, www.nytimes.com/2008/10/02/business/02sales.html?partner=rssnyt&amp;emc=rss.</w:t>
      </w:r>
    </w:p>
  </w:endnote>
  <w:endnote w:id="27">
    <w:p w14:paraId="2EAC7CC9" w14:textId="5BEEE1D3"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w:t>
      </w:r>
      <w:proofErr w:type="spellStart"/>
      <w:r w:rsidRPr="00EA102A">
        <w:rPr>
          <w:rFonts w:ascii="Arial" w:eastAsia="Malgun Gothic" w:hAnsi="Arial" w:cs="Arial"/>
          <w:sz w:val="17"/>
          <w:szCs w:val="17"/>
          <w:lang w:eastAsia="ko-KR"/>
        </w:rPr>
        <w:t>Greimel</w:t>
      </w:r>
      <w:proofErr w:type="spellEnd"/>
      <w:r w:rsidRPr="00EA102A">
        <w:rPr>
          <w:rFonts w:ascii="Arial" w:eastAsia="Malgun Gothic" w:hAnsi="Arial" w:cs="Arial"/>
          <w:sz w:val="17"/>
          <w:szCs w:val="17"/>
          <w:lang w:eastAsia="ko-KR"/>
        </w:rPr>
        <w:t xml:space="preserve">, </w:t>
      </w:r>
      <w:r w:rsidRPr="00EA102A">
        <w:rPr>
          <w:rFonts w:ascii="Arial" w:hAnsi="Arial" w:cs="Arial"/>
          <w:sz w:val="17"/>
          <w:szCs w:val="17"/>
        </w:rPr>
        <w:t>op. cit.</w:t>
      </w:r>
    </w:p>
  </w:endnote>
  <w:endnote w:id="28">
    <w:p w14:paraId="2A3BE8FD" w14:textId="765A3D48"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w:t>
      </w:r>
      <w:proofErr w:type="spellStart"/>
      <w:r w:rsidRPr="00EA102A">
        <w:rPr>
          <w:rFonts w:ascii="Arial" w:hAnsi="Arial" w:cs="Arial"/>
          <w:sz w:val="17"/>
          <w:szCs w:val="17"/>
        </w:rPr>
        <w:t>Nazario</w:t>
      </w:r>
      <w:proofErr w:type="spellEnd"/>
      <w:r w:rsidRPr="00EA102A">
        <w:rPr>
          <w:rFonts w:ascii="Arial" w:hAnsi="Arial" w:cs="Arial"/>
          <w:sz w:val="17"/>
          <w:szCs w:val="17"/>
        </w:rPr>
        <w:t>, op. cit.</w:t>
      </w:r>
    </w:p>
  </w:endnote>
  <w:endnote w:id="29">
    <w:p w14:paraId="5765EDB4" w14:textId="3D937B4C"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w:t>
      </w:r>
      <w:r w:rsidRPr="00AE42FF">
        <w:rPr>
          <w:rFonts w:ascii="Arial" w:hAnsi="Arial" w:cs="Arial"/>
          <w:spacing w:val="-6"/>
          <w:sz w:val="17"/>
          <w:szCs w:val="17"/>
        </w:rPr>
        <w:t xml:space="preserve">Hans </w:t>
      </w:r>
      <w:proofErr w:type="spellStart"/>
      <w:r w:rsidRPr="00AE42FF">
        <w:rPr>
          <w:rFonts w:ascii="Arial" w:eastAsia="Malgun Gothic" w:hAnsi="Arial" w:cs="Arial"/>
          <w:spacing w:val="-6"/>
          <w:sz w:val="17"/>
          <w:szCs w:val="17"/>
          <w:lang w:eastAsia="ko-KR"/>
        </w:rPr>
        <w:t>Greimel</w:t>
      </w:r>
      <w:proofErr w:type="spellEnd"/>
      <w:r w:rsidRPr="00AE42FF">
        <w:rPr>
          <w:rFonts w:ascii="Arial" w:eastAsia="Malgun Gothic" w:hAnsi="Arial" w:cs="Arial"/>
          <w:spacing w:val="-6"/>
          <w:sz w:val="17"/>
          <w:szCs w:val="17"/>
          <w:lang w:eastAsia="ko-KR"/>
        </w:rPr>
        <w:t xml:space="preserve">, </w:t>
      </w:r>
      <w:r w:rsidRPr="00AE42FF">
        <w:rPr>
          <w:rFonts w:ascii="Arial" w:hAnsi="Arial" w:cs="Arial"/>
          <w:spacing w:val="-6"/>
          <w:sz w:val="17"/>
          <w:szCs w:val="17"/>
        </w:rPr>
        <w:t xml:space="preserve">“Mazda, Ford Go Separate Ways on Product Development,” </w:t>
      </w:r>
      <w:r w:rsidRPr="00AE42FF">
        <w:rPr>
          <w:rFonts w:ascii="Arial" w:hAnsi="Arial" w:cs="Arial"/>
          <w:i/>
          <w:spacing w:val="-6"/>
          <w:sz w:val="17"/>
          <w:szCs w:val="17"/>
        </w:rPr>
        <w:t>Automotive News</w:t>
      </w:r>
      <w:r w:rsidRPr="00AE42FF">
        <w:rPr>
          <w:rFonts w:ascii="Arial" w:hAnsi="Arial" w:cs="Arial"/>
          <w:spacing w:val="-6"/>
          <w:sz w:val="17"/>
          <w:szCs w:val="17"/>
        </w:rPr>
        <w:t>, November 5, 2009, accessed February 2, 2017, www.autonews.com/article/20091105/COPY02/311039967/mazda-ford-go-separate-ways-on-product-development.</w:t>
      </w:r>
    </w:p>
  </w:endnote>
  <w:endnote w:id="30">
    <w:p w14:paraId="7EB46626" w14:textId="7EEDE6FE" w:rsidR="009864BD" w:rsidRDefault="009864BD" w:rsidP="00637632">
      <w:pPr>
        <w:pStyle w:val="EndnoteText"/>
        <w:jc w:val="both"/>
        <w:rPr>
          <w:rFonts w:ascii="Arial" w:eastAsia="Malgun Gothic" w:hAnsi="Arial" w:cs="Arial"/>
          <w:sz w:val="17"/>
          <w:szCs w:val="17"/>
          <w:lang w:eastAsia="ko-KR"/>
        </w:rPr>
      </w:pPr>
      <w:r w:rsidRPr="00EA102A">
        <w:rPr>
          <w:rStyle w:val="EndnoteReference"/>
          <w:rFonts w:ascii="Arial" w:hAnsi="Arial" w:cs="Arial"/>
          <w:sz w:val="17"/>
          <w:szCs w:val="17"/>
        </w:rPr>
        <w:endnoteRef/>
      </w:r>
      <w:r w:rsidRPr="00EA102A">
        <w:rPr>
          <w:rFonts w:ascii="Arial" w:hAnsi="Arial" w:cs="Arial"/>
          <w:sz w:val="17"/>
          <w:szCs w:val="17"/>
        </w:rPr>
        <w:t xml:space="preserve"> Mazda</w:t>
      </w:r>
      <w:r w:rsidRPr="00EA102A">
        <w:rPr>
          <w:rFonts w:ascii="Arial" w:eastAsia="Malgun Gothic" w:hAnsi="Arial"/>
          <w:color w:val="222222"/>
          <w:sz w:val="17"/>
          <w:szCs w:val="17"/>
          <w:lang w:eastAsia="ko-KR"/>
        </w:rPr>
        <w:t xml:space="preserve"> Motor Corporation,</w:t>
      </w:r>
      <w:r w:rsidRPr="00EA102A">
        <w:rPr>
          <w:rFonts w:ascii="Arial" w:hAnsi="Arial" w:cs="Arial"/>
          <w:sz w:val="17"/>
          <w:szCs w:val="17"/>
        </w:rPr>
        <w:t xml:space="preserve"> </w:t>
      </w:r>
      <w:r w:rsidRPr="00EA102A">
        <w:rPr>
          <w:rFonts w:ascii="Arial" w:eastAsia="Malgun Gothic" w:hAnsi="Arial" w:cs="Arial"/>
          <w:i/>
          <w:sz w:val="17"/>
          <w:szCs w:val="17"/>
          <w:lang w:eastAsia="ko-KR"/>
        </w:rPr>
        <w:t>Annual Report</w:t>
      </w:r>
      <w:r w:rsidRPr="00EA102A">
        <w:rPr>
          <w:rFonts w:ascii="Arial" w:eastAsia="Malgun Gothic" w:hAnsi="Arial" w:cs="Arial"/>
          <w:sz w:val="17"/>
          <w:szCs w:val="17"/>
          <w:lang w:eastAsia="ko-KR"/>
        </w:rPr>
        <w:t xml:space="preserve"> </w:t>
      </w:r>
      <w:r w:rsidRPr="00EA102A">
        <w:rPr>
          <w:rFonts w:ascii="Arial" w:eastAsia="Malgun Gothic" w:hAnsi="Arial" w:cs="Arial"/>
          <w:i/>
          <w:sz w:val="17"/>
          <w:szCs w:val="17"/>
          <w:lang w:eastAsia="ko-KR"/>
        </w:rPr>
        <w:t>2011</w:t>
      </w:r>
      <w:r w:rsidRPr="00EA102A">
        <w:rPr>
          <w:rFonts w:ascii="Arial" w:eastAsia="Malgun Gothic" w:hAnsi="Arial" w:cs="Arial"/>
          <w:sz w:val="17"/>
          <w:szCs w:val="17"/>
          <w:lang w:eastAsia="ko-KR"/>
        </w:rPr>
        <w:t>, 43</w:t>
      </w:r>
      <w:r>
        <w:rPr>
          <w:rFonts w:ascii="Arial" w:eastAsia="Malgun Gothic" w:hAnsi="Arial" w:cs="Arial"/>
          <w:sz w:val="17"/>
          <w:szCs w:val="17"/>
          <w:lang w:eastAsia="ko-KR"/>
        </w:rPr>
        <w:t>–</w:t>
      </w:r>
      <w:r w:rsidRPr="00EA102A">
        <w:rPr>
          <w:rFonts w:ascii="Arial" w:eastAsia="Malgun Gothic" w:hAnsi="Arial" w:cs="Arial"/>
          <w:sz w:val="17"/>
          <w:szCs w:val="17"/>
          <w:lang w:eastAsia="ko-KR"/>
        </w:rPr>
        <w:t>45, accessed June 27, 2017,</w:t>
      </w:r>
      <w:r w:rsidRPr="00EA102A">
        <w:t xml:space="preserve"> </w:t>
      </w:r>
      <w:r w:rsidRPr="008452C7">
        <w:rPr>
          <w:rFonts w:ascii="Arial" w:eastAsia="Malgun Gothic" w:hAnsi="Arial" w:cs="Arial"/>
          <w:sz w:val="17"/>
          <w:szCs w:val="17"/>
          <w:lang w:eastAsia="ko-KR"/>
        </w:rPr>
        <w:t>www.mazda.com/</w:t>
      </w:r>
      <w:r w:rsidRPr="00EA102A">
        <w:rPr>
          <w:rFonts w:ascii="Arial" w:eastAsia="Malgun Gothic" w:hAnsi="Arial" w:cs="Arial"/>
          <w:sz w:val="17"/>
          <w:szCs w:val="17"/>
          <w:lang w:eastAsia="ko-KR"/>
        </w:rPr>
        <w:t>en/investors/library/</w:t>
      </w:r>
    </w:p>
    <w:p w14:paraId="7C5CEA47" w14:textId="69BFB67D" w:rsidR="009864BD" w:rsidRPr="00EA102A" w:rsidRDefault="009864BD" w:rsidP="00637632">
      <w:pPr>
        <w:pStyle w:val="EndnoteText"/>
        <w:jc w:val="both"/>
        <w:rPr>
          <w:rFonts w:ascii="Arial" w:hAnsi="Arial" w:cs="Arial"/>
          <w:sz w:val="17"/>
          <w:szCs w:val="17"/>
        </w:rPr>
      </w:pPr>
      <w:proofErr w:type="gramStart"/>
      <w:r w:rsidRPr="00EA102A">
        <w:rPr>
          <w:rFonts w:ascii="Arial" w:eastAsia="Malgun Gothic" w:hAnsi="Arial" w:cs="Arial"/>
          <w:sz w:val="17"/>
          <w:szCs w:val="17"/>
          <w:lang w:eastAsia="ko-KR"/>
        </w:rPr>
        <w:t>annual/</w:t>
      </w:r>
      <w:proofErr w:type="spellStart"/>
      <w:r w:rsidRPr="00EA102A">
        <w:rPr>
          <w:rFonts w:ascii="Arial" w:eastAsia="Malgun Gothic" w:hAnsi="Arial" w:cs="Arial"/>
          <w:sz w:val="17"/>
          <w:szCs w:val="17"/>
          <w:lang w:eastAsia="ko-KR"/>
        </w:rPr>
        <w:t>backnumber</w:t>
      </w:r>
      <w:proofErr w:type="spellEnd"/>
      <w:proofErr w:type="gramEnd"/>
      <w:r w:rsidRPr="00EA102A">
        <w:rPr>
          <w:rFonts w:ascii="Arial" w:eastAsia="Malgun Gothic" w:hAnsi="Arial" w:cs="Arial"/>
          <w:sz w:val="17"/>
          <w:szCs w:val="17"/>
          <w:lang w:eastAsia="ko-KR"/>
        </w:rPr>
        <w:t>/.</w:t>
      </w:r>
    </w:p>
  </w:endnote>
  <w:endnote w:id="31">
    <w:p w14:paraId="490FD50A" w14:textId="30533A58"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w:t>
      </w:r>
      <w:r w:rsidRPr="00EA102A">
        <w:rPr>
          <w:rStyle w:val="FootnoteChar"/>
        </w:rPr>
        <w:t>A</w:t>
      </w:r>
      <w:r w:rsidRPr="00EA102A">
        <w:rPr>
          <w:rStyle w:val="FootnoteChar"/>
          <w:rFonts w:eastAsiaTheme="minorEastAsia"/>
        </w:rPr>
        <w:t>ll currency amounts are in US$, Japanese yen (</w:t>
      </w:r>
      <w:r w:rsidRPr="00EA102A">
        <w:rPr>
          <w:rStyle w:val="FootnoteChar"/>
        </w:rPr>
        <w:t>¥), or euros (€)</w:t>
      </w:r>
      <w:r>
        <w:rPr>
          <w:rStyle w:val="FootnoteChar"/>
        </w:rPr>
        <w:t>,</w:t>
      </w:r>
      <w:r w:rsidRPr="00EA102A">
        <w:rPr>
          <w:rStyle w:val="FootnoteChar"/>
          <w:rFonts w:eastAsiaTheme="minorEastAsia"/>
        </w:rPr>
        <w:t xml:space="preserve"> as specified</w:t>
      </w:r>
      <w:r w:rsidRPr="00EA102A">
        <w:rPr>
          <w:rStyle w:val="FootnoteChar"/>
        </w:rPr>
        <w:t>.</w:t>
      </w:r>
    </w:p>
  </w:endnote>
  <w:endnote w:id="32">
    <w:p w14:paraId="7F6CCB7A" w14:textId="19EF9D06"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w:t>
      </w:r>
      <w:r w:rsidRPr="00EA102A">
        <w:rPr>
          <w:rFonts w:ascii="Arial" w:eastAsia="Malgun Gothic" w:hAnsi="Arial"/>
          <w:color w:val="222222"/>
          <w:sz w:val="17"/>
          <w:szCs w:val="17"/>
          <w:lang w:eastAsia="ko-KR"/>
        </w:rPr>
        <w:t>“Mazda Motor Corp,” Google Finance, accessed February 1, 2017, www.google.com/finance?q=TYO%3A7261&amp;ei=grSPWPLaG4eqjAGS4auAAQ.</w:t>
      </w:r>
    </w:p>
  </w:endnote>
  <w:endnote w:id="33">
    <w:p w14:paraId="725EE140" w14:textId="3126087A"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Chris </w:t>
      </w:r>
      <w:proofErr w:type="spellStart"/>
      <w:r w:rsidRPr="00EA102A">
        <w:rPr>
          <w:rFonts w:ascii="Arial" w:hAnsi="Arial" w:cs="Arial"/>
          <w:sz w:val="17"/>
          <w:szCs w:val="17"/>
        </w:rPr>
        <w:t>Woodyard</w:t>
      </w:r>
      <w:proofErr w:type="spellEnd"/>
      <w:r w:rsidRPr="00EA102A">
        <w:rPr>
          <w:rFonts w:ascii="Arial" w:hAnsi="Arial" w:cs="Arial"/>
          <w:sz w:val="17"/>
          <w:szCs w:val="17"/>
        </w:rPr>
        <w:t xml:space="preserve">, “Report: Mazda Axing U.S. Production, Severing Ford Ties,” </w:t>
      </w:r>
      <w:r w:rsidRPr="00EA102A">
        <w:rPr>
          <w:rFonts w:ascii="Arial" w:hAnsi="Arial" w:cs="Arial"/>
          <w:i/>
          <w:iCs/>
          <w:sz w:val="17"/>
          <w:szCs w:val="17"/>
        </w:rPr>
        <w:t>USA TODAY</w:t>
      </w:r>
      <w:r w:rsidRPr="00EA102A">
        <w:rPr>
          <w:rFonts w:ascii="Arial" w:hAnsi="Arial" w:cs="Arial"/>
          <w:iCs/>
          <w:sz w:val="17"/>
          <w:szCs w:val="17"/>
        </w:rPr>
        <w:t>,</w:t>
      </w:r>
      <w:r w:rsidRPr="00EA102A">
        <w:rPr>
          <w:rFonts w:ascii="Arial" w:hAnsi="Arial" w:cs="Arial"/>
          <w:sz w:val="17"/>
          <w:szCs w:val="17"/>
        </w:rPr>
        <w:t xml:space="preserve"> June 5, 2011, accessed February 2, 2017, http://content.usatoday.com/communities/driveon/post/2011/06/mazda-mazda6-ford-mustang-flat-rock-michigan-closing/1#.WJNtYnoZdps.</w:t>
      </w:r>
    </w:p>
  </w:endnote>
  <w:endnote w:id="34">
    <w:p w14:paraId="0BC70847" w14:textId="07C39796"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w:t>
      </w:r>
      <w:proofErr w:type="spellStart"/>
      <w:r w:rsidRPr="00EA102A">
        <w:rPr>
          <w:rFonts w:ascii="Arial" w:hAnsi="Arial" w:cs="Arial"/>
          <w:sz w:val="17"/>
          <w:szCs w:val="17"/>
        </w:rPr>
        <w:t>Tsuruoka</w:t>
      </w:r>
      <w:proofErr w:type="spellEnd"/>
      <w:r w:rsidRPr="00EA102A">
        <w:rPr>
          <w:rFonts w:ascii="Arial" w:hAnsi="Arial" w:cs="Arial"/>
          <w:sz w:val="17"/>
          <w:szCs w:val="17"/>
        </w:rPr>
        <w:t>, op. cit.</w:t>
      </w:r>
    </w:p>
  </w:endnote>
  <w:endnote w:id="35">
    <w:p w14:paraId="1C89A81A" w14:textId="759B0BF6" w:rsidR="009864BD" w:rsidRPr="00EA102A" w:rsidRDefault="009864BD" w:rsidP="00637632">
      <w:pPr>
        <w:pStyle w:val="Footnote"/>
      </w:pPr>
      <w:r w:rsidRPr="00EA102A">
        <w:rPr>
          <w:rStyle w:val="EndnoteReference"/>
        </w:rPr>
        <w:endnoteRef/>
      </w:r>
      <w:r w:rsidRPr="00EA102A">
        <w:t xml:space="preserve"> The 24 Hours of Le Mans </w:t>
      </w:r>
      <w:r w:rsidRPr="00EA102A">
        <w:rPr>
          <w:rFonts w:eastAsia="Malgun Gothic"/>
          <w:lang w:eastAsia="ko-KR"/>
        </w:rPr>
        <w:t>wa</w:t>
      </w:r>
      <w:r w:rsidRPr="00EA102A">
        <w:t>s the world</w:t>
      </w:r>
      <w:r>
        <w:t>’</w:t>
      </w:r>
      <w:r w:rsidRPr="00EA102A">
        <w:t>s oldest sports car rac</w:t>
      </w:r>
      <w:r w:rsidRPr="00EA102A">
        <w:rPr>
          <w:rFonts w:eastAsia="Malgun Gothic"/>
          <w:lang w:eastAsia="ko-KR"/>
        </w:rPr>
        <w:t>e</w:t>
      </w:r>
      <w:r w:rsidRPr="00EA102A">
        <w:t>,</w:t>
      </w:r>
      <w:r w:rsidRPr="00EA102A">
        <w:rPr>
          <w:rFonts w:eastAsia="Malgun Gothic"/>
          <w:lang w:eastAsia="ko-KR"/>
        </w:rPr>
        <w:t xml:space="preserve"> which was</w:t>
      </w:r>
      <w:r w:rsidRPr="00EA102A">
        <w:t xml:space="preserve"> held annually near the town of Le Mans, France. “The 24 Hours of Le Mans,” </w:t>
      </w:r>
      <w:r w:rsidRPr="00EA102A">
        <w:rPr>
          <w:rFonts w:eastAsia="Malgun Gothic"/>
          <w:lang w:eastAsia="ko-KR"/>
        </w:rPr>
        <w:t xml:space="preserve">Automobile Club, </w:t>
      </w:r>
      <w:r w:rsidRPr="00EA102A">
        <w:t>accessed June 11, 2017, www.lemans.org/en/24-hours-of-le-mans.</w:t>
      </w:r>
    </w:p>
  </w:endnote>
  <w:endnote w:id="36">
    <w:p w14:paraId="6D953021" w14:textId="79D1C550" w:rsidR="009864BD" w:rsidRPr="00EA102A" w:rsidRDefault="009864BD" w:rsidP="00637632">
      <w:pPr>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w:t>
      </w:r>
      <w:r w:rsidRPr="00EA102A">
        <w:rPr>
          <w:rFonts w:ascii="Arial" w:eastAsia="Malgun Gothic" w:hAnsi="Arial" w:cs="Arial"/>
          <w:sz w:val="17"/>
          <w:szCs w:val="17"/>
          <w:lang w:eastAsia="ko-KR"/>
        </w:rPr>
        <w:t xml:space="preserve">Larry Webster, “How It Works: The Mazda </w:t>
      </w:r>
      <w:proofErr w:type="spellStart"/>
      <w:r w:rsidRPr="00EA102A">
        <w:rPr>
          <w:rFonts w:ascii="Arial" w:eastAsia="Malgun Gothic" w:hAnsi="Arial" w:cs="Arial"/>
          <w:sz w:val="17"/>
          <w:szCs w:val="17"/>
          <w:lang w:eastAsia="ko-KR"/>
        </w:rPr>
        <w:t>Wankel</w:t>
      </w:r>
      <w:proofErr w:type="spellEnd"/>
      <w:r w:rsidRPr="00EA102A">
        <w:rPr>
          <w:rFonts w:ascii="Arial" w:eastAsia="Malgun Gothic" w:hAnsi="Arial" w:cs="Arial"/>
          <w:sz w:val="17"/>
          <w:szCs w:val="17"/>
          <w:lang w:eastAsia="ko-KR"/>
        </w:rPr>
        <w:t xml:space="preserve"> Rotary Engine,” </w:t>
      </w:r>
      <w:r w:rsidRPr="00EA102A">
        <w:rPr>
          <w:rFonts w:ascii="Arial" w:eastAsia="Malgun Gothic" w:hAnsi="Arial" w:cs="Arial"/>
          <w:i/>
          <w:sz w:val="17"/>
          <w:szCs w:val="17"/>
          <w:lang w:eastAsia="ko-KR"/>
        </w:rPr>
        <w:t>Popular Mechanics</w:t>
      </w:r>
      <w:r w:rsidRPr="00EA102A">
        <w:rPr>
          <w:rFonts w:ascii="Arial" w:eastAsia="Malgun Gothic" w:hAnsi="Arial" w:cs="Arial"/>
          <w:sz w:val="17"/>
          <w:szCs w:val="17"/>
          <w:lang w:eastAsia="ko-KR"/>
        </w:rPr>
        <w:t>, September 1, 2011, accessed January 30, 2017, www.popularmechanics.com/cars/a7103/how-it-works-the-mazda-rotary-engine-with-video/.</w:t>
      </w:r>
    </w:p>
  </w:endnote>
  <w:endnote w:id="37">
    <w:p w14:paraId="0F6465DE" w14:textId="66363B5E" w:rsidR="009864BD" w:rsidRPr="00EA102A" w:rsidRDefault="009864BD" w:rsidP="00637632">
      <w:pPr>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Mazda Motor Corporation, “Mazda Reveals Next-Generation </w:t>
      </w:r>
      <w:r>
        <w:rPr>
          <w:rFonts w:ascii="Arial" w:hAnsi="Arial" w:cs="Arial"/>
          <w:sz w:val="17"/>
          <w:szCs w:val="17"/>
        </w:rPr>
        <w:t>‘</w:t>
      </w:r>
      <w:r w:rsidRPr="00EA102A">
        <w:rPr>
          <w:rFonts w:ascii="Arial" w:hAnsi="Arial" w:cs="Arial"/>
          <w:sz w:val="17"/>
          <w:szCs w:val="17"/>
        </w:rPr>
        <w:t>SKYACTIV</w:t>
      </w:r>
      <w:r>
        <w:rPr>
          <w:rFonts w:ascii="Arial" w:hAnsi="Arial" w:cs="Arial"/>
          <w:sz w:val="17"/>
          <w:szCs w:val="17"/>
        </w:rPr>
        <w:t>’</w:t>
      </w:r>
      <w:r w:rsidRPr="00EA102A">
        <w:rPr>
          <w:rFonts w:ascii="Arial" w:hAnsi="Arial" w:cs="Arial"/>
          <w:sz w:val="17"/>
          <w:szCs w:val="17"/>
        </w:rPr>
        <w:t xml:space="preserve"> Technologies,” press release, October 20, 2010, accessed January 29, 2017, www2.mazda.com/en/publicity/release/2010/201010/101020a.html.</w:t>
      </w:r>
    </w:p>
  </w:endnote>
  <w:endnote w:id="38">
    <w:p w14:paraId="5B2D16FD" w14:textId="2662D73C"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Mazda</w:t>
      </w:r>
      <w:r w:rsidRPr="00EA102A">
        <w:rPr>
          <w:rFonts w:ascii="Arial" w:eastAsia="Malgun Gothic" w:hAnsi="Arial"/>
          <w:color w:val="222222"/>
          <w:sz w:val="17"/>
          <w:szCs w:val="17"/>
          <w:lang w:eastAsia="ko-KR"/>
        </w:rPr>
        <w:t xml:space="preserve"> Motor Corporation,</w:t>
      </w:r>
      <w:r w:rsidRPr="00EA102A">
        <w:rPr>
          <w:rFonts w:ascii="Arial" w:hAnsi="Arial" w:cs="Arial"/>
          <w:sz w:val="17"/>
          <w:szCs w:val="17"/>
        </w:rPr>
        <w:t xml:space="preserve"> </w:t>
      </w:r>
      <w:r w:rsidRPr="00EA102A">
        <w:rPr>
          <w:rStyle w:val="FootnoteChar"/>
          <w:rFonts w:eastAsia="Malgun Gothic"/>
          <w:i/>
        </w:rPr>
        <w:t>Annual Report 2016</w:t>
      </w:r>
      <w:r w:rsidRPr="00EA102A">
        <w:rPr>
          <w:rStyle w:val="FootnoteChar"/>
          <w:rFonts w:eastAsia="Malgun Gothic"/>
        </w:rPr>
        <w:t xml:space="preserve">, 15, op. cit. </w:t>
      </w:r>
    </w:p>
  </w:endnote>
  <w:endnote w:id="39">
    <w:p w14:paraId="6BD7C87E" w14:textId="359501AD"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Ibid.</w:t>
      </w:r>
    </w:p>
  </w:endnote>
  <w:endnote w:id="40">
    <w:p w14:paraId="503368C8" w14:textId="38E7E36D" w:rsidR="009864BD" w:rsidRPr="00EA102A" w:rsidRDefault="009864BD" w:rsidP="00637632">
      <w:pPr>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w:t>
      </w:r>
      <w:r w:rsidRPr="00EA102A">
        <w:rPr>
          <w:rFonts w:ascii="Arial" w:eastAsia="Malgun Gothic" w:hAnsi="Arial" w:cs="Arial"/>
          <w:sz w:val="17"/>
          <w:szCs w:val="17"/>
          <w:lang w:eastAsia="ko-KR"/>
        </w:rPr>
        <w:t>“Japanese Automobile Industry: A Brief Review of Manufacturing, Export, Import and Economic Relations of Japan,” World Industrial Reporter, December 23, 2013, accessed January 30, 2017, https://worldindustrialreporter.com/japanese-automobile-industry-a-brief-review-of-manufacturing-export-import-and-economic-relations-of-japan/.</w:t>
      </w:r>
    </w:p>
  </w:endnote>
  <w:endnote w:id="41">
    <w:p w14:paraId="5AD63699" w14:textId="19023B20"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eastAsia="Malgun Gothic" w:hAnsi="Arial" w:cs="Arial"/>
          <w:sz w:val="17"/>
          <w:szCs w:val="17"/>
          <w:lang w:eastAsia="ko-KR"/>
        </w:rPr>
        <w:t xml:space="preserve"> </w:t>
      </w:r>
      <w:proofErr w:type="spellStart"/>
      <w:r w:rsidRPr="008452C7">
        <w:rPr>
          <w:rFonts w:ascii="Arial" w:eastAsia="Malgun Gothic" w:hAnsi="Arial"/>
          <w:color w:val="222222"/>
          <w:spacing w:val="-4"/>
          <w:sz w:val="17"/>
          <w:szCs w:val="17"/>
          <w:lang w:eastAsia="ko-KR"/>
        </w:rPr>
        <w:t>Henk</w:t>
      </w:r>
      <w:proofErr w:type="spellEnd"/>
      <w:r w:rsidRPr="008452C7">
        <w:rPr>
          <w:rFonts w:ascii="Arial" w:eastAsia="Malgun Gothic" w:hAnsi="Arial"/>
          <w:color w:val="222222"/>
          <w:spacing w:val="-4"/>
          <w:sz w:val="17"/>
          <w:szCs w:val="17"/>
          <w:lang w:eastAsia="ko-KR"/>
        </w:rPr>
        <w:t xml:space="preserve"> </w:t>
      </w:r>
      <w:proofErr w:type="spellStart"/>
      <w:r w:rsidRPr="008452C7">
        <w:rPr>
          <w:rFonts w:ascii="Arial" w:eastAsia="Malgun Gothic" w:hAnsi="Arial"/>
          <w:color w:val="222222"/>
          <w:spacing w:val="-4"/>
          <w:sz w:val="17"/>
          <w:szCs w:val="17"/>
          <w:lang w:eastAsia="ko-KR"/>
        </w:rPr>
        <w:t>Bekker</w:t>
      </w:r>
      <w:proofErr w:type="spellEnd"/>
      <w:r w:rsidRPr="008452C7">
        <w:rPr>
          <w:rFonts w:ascii="Arial" w:eastAsia="Malgun Gothic" w:hAnsi="Arial"/>
          <w:color w:val="222222"/>
          <w:spacing w:val="-4"/>
          <w:sz w:val="17"/>
          <w:szCs w:val="17"/>
          <w:lang w:eastAsia="ko-KR"/>
        </w:rPr>
        <w:t xml:space="preserve">, </w:t>
      </w:r>
      <w:r w:rsidRPr="008452C7">
        <w:rPr>
          <w:rFonts w:ascii="Arial" w:hAnsi="Arial"/>
          <w:spacing w:val="-4"/>
          <w:sz w:val="17"/>
          <w:szCs w:val="17"/>
          <w:lang w:eastAsia="ko-KR"/>
        </w:rPr>
        <w:t>“2014 (Full Year) Japan: Best-Selling Car Brands and Manufacturers,”</w:t>
      </w:r>
      <w:r w:rsidRPr="008452C7">
        <w:rPr>
          <w:rFonts w:ascii="Arial" w:eastAsia="Malgun Gothic" w:hAnsi="Arial"/>
          <w:color w:val="222222"/>
          <w:spacing w:val="-4"/>
          <w:sz w:val="17"/>
          <w:szCs w:val="17"/>
          <w:lang w:eastAsia="ko-KR"/>
        </w:rPr>
        <w:t xml:space="preserve"> Best-Selling-Cars.com, January 8, 2015, accessed February 1, 2017, </w:t>
      </w:r>
      <w:r w:rsidRPr="008452C7">
        <w:rPr>
          <w:rFonts w:ascii="Arial" w:hAnsi="Arial"/>
          <w:spacing w:val="-4"/>
          <w:sz w:val="17"/>
          <w:szCs w:val="17"/>
          <w:lang w:eastAsia="ko-KR"/>
        </w:rPr>
        <w:t>www.best-selling-cars.com/japan/2014-full-year-japan-best-selling-car-brands-manufacturers/.</w:t>
      </w:r>
    </w:p>
  </w:endnote>
  <w:endnote w:id="42">
    <w:p w14:paraId="66F973A8" w14:textId="217E2E74" w:rsidR="009864BD" w:rsidRPr="00EA102A" w:rsidRDefault="009864BD" w:rsidP="00637632">
      <w:pPr>
        <w:pStyle w:val="EndnoteText"/>
        <w:jc w:val="both"/>
        <w:rPr>
          <w:rFonts w:ascii="Arial" w:hAnsi="Arial"/>
          <w:sz w:val="17"/>
          <w:szCs w:val="17"/>
          <w:lang w:eastAsia="ko-KR"/>
        </w:rPr>
      </w:pPr>
      <w:r w:rsidRPr="00EA102A">
        <w:rPr>
          <w:rStyle w:val="EndnoteReference"/>
          <w:rFonts w:ascii="Arial" w:hAnsi="Arial" w:cs="Arial"/>
          <w:sz w:val="17"/>
          <w:szCs w:val="17"/>
        </w:rPr>
        <w:endnoteRef/>
      </w:r>
      <w:r w:rsidRPr="00EA102A">
        <w:rPr>
          <w:rFonts w:ascii="Arial" w:hAnsi="Arial" w:cs="Arial"/>
          <w:sz w:val="17"/>
          <w:szCs w:val="17"/>
        </w:rPr>
        <w:t xml:space="preserve"> </w:t>
      </w:r>
      <w:r w:rsidRPr="00EA102A">
        <w:rPr>
          <w:rFonts w:ascii="Arial" w:hAnsi="Arial"/>
          <w:sz w:val="17"/>
          <w:szCs w:val="17"/>
          <w:lang w:eastAsia="ko-KR"/>
        </w:rPr>
        <w:t xml:space="preserve">Jonathan Chew, “Here’s How Toyota Plans to Break the ‘Curse of 10 Million,’” </w:t>
      </w:r>
      <w:r w:rsidRPr="00EA102A">
        <w:rPr>
          <w:rFonts w:ascii="Arial" w:hAnsi="Arial"/>
          <w:i/>
          <w:sz w:val="17"/>
          <w:szCs w:val="17"/>
          <w:lang w:eastAsia="ko-KR"/>
        </w:rPr>
        <w:t>Fortune</w:t>
      </w:r>
      <w:r w:rsidRPr="00EA102A">
        <w:rPr>
          <w:rFonts w:ascii="Arial" w:hAnsi="Arial"/>
          <w:sz w:val="17"/>
          <w:szCs w:val="17"/>
          <w:lang w:eastAsia="ko-KR"/>
        </w:rPr>
        <w:t>, February 29, 2016, accessed June 11, 2017, http://fortune.com/2016/02/29/toyota-sales-global/.</w:t>
      </w:r>
    </w:p>
  </w:endnote>
  <w:endnote w:id="43">
    <w:p w14:paraId="0AD6D956" w14:textId="07295D97" w:rsidR="009864BD" w:rsidRPr="00EA102A" w:rsidRDefault="009864BD" w:rsidP="00637632">
      <w:pPr>
        <w:pStyle w:val="EndnoteText"/>
        <w:jc w:val="both"/>
        <w:rPr>
          <w:rStyle w:val="FootnoteChar"/>
        </w:rPr>
      </w:pPr>
      <w:r w:rsidRPr="00EA102A">
        <w:rPr>
          <w:rStyle w:val="EndnoteReference"/>
          <w:rFonts w:ascii="Arial" w:hAnsi="Arial" w:cs="Arial"/>
          <w:sz w:val="17"/>
          <w:szCs w:val="17"/>
        </w:rPr>
        <w:endnoteRef/>
      </w:r>
      <w:r w:rsidRPr="00EA102A">
        <w:rPr>
          <w:rFonts w:ascii="Arial" w:hAnsi="Arial" w:cs="Arial"/>
          <w:sz w:val="17"/>
          <w:szCs w:val="17"/>
        </w:rPr>
        <w:t xml:space="preserve"> Reuters</w:t>
      </w:r>
      <w:r w:rsidRPr="00EA102A">
        <w:rPr>
          <w:rStyle w:val="FootnoteChar"/>
        </w:rPr>
        <w:t xml:space="preserve">, “Why Toyota Wants to Team Up with a Much Smaller Japanese Automaker,” </w:t>
      </w:r>
      <w:r w:rsidRPr="00EA102A">
        <w:rPr>
          <w:rStyle w:val="FootnoteChar"/>
          <w:i/>
        </w:rPr>
        <w:t>Fortune</w:t>
      </w:r>
      <w:r w:rsidRPr="00EA102A">
        <w:rPr>
          <w:rStyle w:val="FootnoteChar"/>
        </w:rPr>
        <w:t>, February 6, 2017, accessed June 12, 2017, http://fortune.com/2017/02/06/toyota-suzuki-partnership/.</w:t>
      </w:r>
    </w:p>
  </w:endnote>
  <w:endnote w:id="44">
    <w:p w14:paraId="4AF01D3C" w14:textId="4990704C"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eastAsia="Malgun Gothic" w:hAnsi="Arial" w:cs="Arial"/>
          <w:sz w:val="17"/>
          <w:szCs w:val="17"/>
          <w:lang w:eastAsia="ko-KR"/>
        </w:rPr>
        <w:t xml:space="preserve"> Japan Automobile Manufacturers Association, Inc., </w:t>
      </w:r>
      <w:r w:rsidRPr="00EA102A">
        <w:rPr>
          <w:rFonts w:ascii="Arial" w:eastAsia="Malgun Gothic" w:hAnsi="Arial"/>
          <w:i/>
          <w:color w:val="222222"/>
          <w:sz w:val="17"/>
          <w:szCs w:val="17"/>
          <w:lang w:eastAsia="ko-KR"/>
        </w:rPr>
        <w:t>The Motor Industry of Japan 2015</w:t>
      </w:r>
      <w:r w:rsidRPr="00EA102A">
        <w:rPr>
          <w:rFonts w:ascii="Arial" w:eastAsia="Malgun Gothic" w:hAnsi="Arial"/>
          <w:color w:val="222222"/>
          <w:sz w:val="17"/>
          <w:szCs w:val="17"/>
          <w:lang w:eastAsia="ko-KR"/>
        </w:rPr>
        <w:t xml:space="preserve">, May 2015, accessed June 11, 2017, </w:t>
      </w:r>
      <w:r w:rsidRPr="00EA102A">
        <w:rPr>
          <w:rFonts w:ascii="Arial" w:hAnsi="Arial"/>
          <w:sz w:val="17"/>
          <w:szCs w:val="17"/>
        </w:rPr>
        <w:t>www.jama-english.jp/publications/MIJ</w:t>
      </w:r>
      <w:r w:rsidRPr="00EA102A">
        <w:rPr>
          <w:rFonts w:ascii="Arial" w:hAnsi="Arial"/>
          <w:bCs/>
          <w:sz w:val="17"/>
          <w:szCs w:val="17"/>
        </w:rPr>
        <w:t>2015</w:t>
      </w:r>
      <w:r w:rsidRPr="00EA102A">
        <w:rPr>
          <w:rFonts w:ascii="Arial" w:hAnsi="Arial"/>
          <w:sz w:val="17"/>
          <w:szCs w:val="17"/>
        </w:rPr>
        <w:t>.pdf</w:t>
      </w:r>
      <w:r w:rsidRPr="00EA102A">
        <w:rPr>
          <w:rStyle w:val="HTMLCite"/>
          <w:rFonts w:ascii="Arial" w:hAnsi="Arial"/>
          <w:i w:val="0"/>
          <w:sz w:val="17"/>
          <w:szCs w:val="17"/>
        </w:rPr>
        <w:t>.</w:t>
      </w:r>
    </w:p>
  </w:endnote>
  <w:endnote w:id="45">
    <w:p w14:paraId="789E6820" w14:textId="13CA8E11"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eastAsia="Malgun Gothic" w:hAnsi="Arial" w:cs="Arial"/>
          <w:sz w:val="17"/>
          <w:szCs w:val="17"/>
          <w:lang w:eastAsia="ko-KR"/>
        </w:rPr>
        <w:t xml:space="preserve"> Paul </w:t>
      </w:r>
      <w:proofErr w:type="spellStart"/>
      <w:r w:rsidRPr="00EA102A">
        <w:rPr>
          <w:rFonts w:ascii="Arial" w:eastAsia="Malgun Gothic" w:hAnsi="Arial" w:cs="Arial"/>
          <w:sz w:val="17"/>
          <w:szCs w:val="17"/>
          <w:lang w:eastAsia="ko-KR"/>
        </w:rPr>
        <w:t>Ausick</w:t>
      </w:r>
      <w:proofErr w:type="spellEnd"/>
      <w:r w:rsidRPr="00EA102A">
        <w:rPr>
          <w:rFonts w:ascii="Arial" w:eastAsia="Malgun Gothic" w:hAnsi="Arial" w:cs="Arial"/>
          <w:sz w:val="17"/>
          <w:szCs w:val="17"/>
          <w:lang w:eastAsia="ko-KR"/>
        </w:rPr>
        <w:t>, “Companies Spending the Most on R&amp;D,” 247wallst.com, November 18, 2014, accessed January 30, 2017, http://247wallst.com/consumer-products/2014/11/18/companies-spending-the-most-on-rd/.</w:t>
      </w:r>
    </w:p>
  </w:endnote>
  <w:endnote w:id="46">
    <w:p w14:paraId="700D91F4" w14:textId="3404BE03"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eastAsia="Malgun Gothic" w:hAnsi="Arial" w:cs="Arial"/>
          <w:sz w:val="17"/>
          <w:szCs w:val="17"/>
          <w:lang w:eastAsia="ko-KR"/>
        </w:rPr>
        <w:t xml:space="preserve"> </w:t>
      </w:r>
      <w:proofErr w:type="spellStart"/>
      <w:r w:rsidRPr="00EA102A">
        <w:rPr>
          <w:rFonts w:ascii="Arial" w:eastAsia="Malgun Gothic" w:hAnsi="Arial" w:cs="Arial"/>
          <w:sz w:val="17"/>
          <w:szCs w:val="17"/>
          <w:lang w:eastAsia="ko-KR"/>
        </w:rPr>
        <w:t>EvalueServe</w:t>
      </w:r>
      <w:proofErr w:type="spellEnd"/>
      <w:r w:rsidRPr="00EA102A">
        <w:rPr>
          <w:rFonts w:ascii="Arial" w:eastAsia="Malgun Gothic" w:hAnsi="Arial" w:cs="Arial"/>
          <w:sz w:val="17"/>
          <w:szCs w:val="17"/>
          <w:lang w:eastAsia="ko-KR"/>
        </w:rPr>
        <w:t xml:space="preserve">, </w:t>
      </w:r>
      <w:r w:rsidRPr="00EA102A">
        <w:rPr>
          <w:rFonts w:ascii="Arial" w:eastAsia="Malgun Gothic" w:hAnsi="Arial" w:cs="Arial"/>
          <w:i/>
          <w:sz w:val="17"/>
          <w:szCs w:val="17"/>
          <w:lang w:eastAsia="ko-KR"/>
        </w:rPr>
        <w:t>Platform Strategy Will Shape Future of OEMs: Flexibility to Drive Growth</w:t>
      </w:r>
      <w:r w:rsidRPr="00EA102A">
        <w:rPr>
          <w:rFonts w:ascii="Arial" w:eastAsia="Malgun Gothic" w:hAnsi="Arial" w:cs="Arial"/>
          <w:sz w:val="17"/>
          <w:szCs w:val="17"/>
          <w:lang w:eastAsia="ko-KR"/>
        </w:rPr>
        <w:t>, January 2012</w:t>
      </w:r>
      <w:r w:rsidRPr="00EA102A">
        <w:rPr>
          <w:rStyle w:val="FootnoteChar"/>
          <w:rFonts w:eastAsia="Malgun Gothic"/>
        </w:rPr>
        <w:t>,</w:t>
      </w:r>
      <w:r w:rsidRPr="00EA102A">
        <w:rPr>
          <w:rStyle w:val="FootnoteChar"/>
        </w:rPr>
        <w:t xml:space="preserve"> accessed June 12, 2017, </w:t>
      </w:r>
      <w:r w:rsidRPr="00EA102A">
        <w:rPr>
          <w:rStyle w:val="FootnoteChar"/>
          <w:rFonts w:eastAsia="Malgun Gothic"/>
        </w:rPr>
        <w:t>https://sandhill.com/wp-content/files_mf/evalueservewhitepaperplatformstrategywillshapefutureofoems.pdf</w:t>
      </w:r>
      <w:r w:rsidRPr="00EA102A">
        <w:rPr>
          <w:rFonts w:ascii="Arial" w:eastAsia="Malgun Gothic" w:hAnsi="Arial" w:cs="Arial"/>
          <w:sz w:val="17"/>
          <w:szCs w:val="17"/>
          <w:lang w:eastAsia="ko-KR"/>
        </w:rPr>
        <w:t>.</w:t>
      </w:r>
    </w:p>
  </w:endnote>
  <w:endnote w:id="47">
    <w:p w14:paraId="53A52112" w14:textId="7F9C7742"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Paul </w:t>
      </w:r>
      <w:proofErr w:type="spellStart"/>
      <w:r w:rsidRPr="00EA102A">
        <w:rPr>
          <w:rFonts w:ascii="Arial" w:hAnsi="Arial" w:cs="Arial"/>
          <w:sz w:val="17"/>
          <w:szCs w:val="17"/>
        </w:rPr>
        <w:t>Horrell</w:t>
      </w:r>
      <w:proofErr w:type="spellEnd"/>
      <w:r w:rsidRPr="00EA102A">
        <w:rPr>
          <w:rFonts w:ascii="Arial" w:hAnsi="Arial" w:cs="Arial"/>
          <w:sz w:val="17"/>
          <w:szCs w:val="17"/>
        </w:rPr>
        <w:t xml:space="preserve">, “Explained: </w:t>
      </w:r>
      <w:r>
        <w:rPr>
          <w:rFonts w:ascii="Arial" w:hAnsi="Arial" w:cs="Arial"/>
          <w:sz w:val="17"/>
          <w:szCs w:val="17"/>
        </w:rPr>
        <w:t>T</w:t>
      </w:r>
      <w:r w:rsidRPr="00EA102A">
        <w:rPr>
          <w:rFonts w:ascii="Arial" w:hAnsi="Arial" w:cs="Arial"/>
          <w:sz w:val="17"/>
          <w:szCs w:val="17"/>
        </w:rPr>
        <w:t>he VW Group</w:t>
      </w:r>
      <w:r>
        <w:rPr>
          <w:rFonts w:ascii="Arial" w:hAnsi="Arial" w:cs="Arial"/>
          <w:sz w:val="17"/>
          <w:szCs w:val="17"/>
        </w:rPr>
        <w:t>’</w:t>
      </w:r>
      <w:r w:rsidRPr="00EA102A">
        <w:rPr>
          <w:rFonts w:ascii="Arial" w:hAnsi="Arial" w:cs="Arial"/>
          <w:sz w:val="17"/>
          <w:szCs w:val="17"/>
        </w:rPr>
        <w:t xml:space="preserve">s MQB Platform,” BBC </w:t>
      </w:r>
      <w:r w:rsidRPr="00EA102A">
        <w:rPr>
          <w:rFonts w:ascii="Arial" w:hAnsi="Arial" w:cs="Arial"/>
          <w:iCs/>
          <w:sz w:val="17"/>
          <w:szCs w:val="17"/>
        </w:rPr>
        <w:t>Top Gear</w:t>
      </w:r>
      <w:r w:rsidRPr="00EA102A">
        <w:rPr>
          <w:rFonts w:ascii="Arial" w:hAnsi="Arial" w:cs="Arial"/>
          <w:sz w:val="17"/>
          <w:szCs w:val="17"/>
        </w:rPr>
        <w:t>, March 21, 2014, accessed February 1, 2017, www.topgear.com/car-news/insider/explained-vw-groups-mqb-platform.</w:t>
      </w:r>
    </w:p>
  </w:endnote>
  <w:endnote w:id="48">
    <w:p w14:paraId="73C69D52" w14:textId="30981D62"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w:t>
      </w:r>
      <w:r w:rsidRPr="00EA102A">
        <w:rPr>
          <w:rFonts w:ascii="Arial" w:eastAsia="Malgun Gothic" w:hAnsi="Arial" w:cs="Arial"/>
          <w:sz w:val="17"/>
          <w:szCs w:val="17"/>
          <w:lang w:eastAsia="ko-KR"/>
        </w:rPr>
        <w:t>Nissan Motor Corporation, “Common Module Family (CMF): A New Approach to Engineering for the Renault-Nissan Alliance,” June 19, 2013, accessed June 12, 2017, www.nissan-global.com/EN/NEWS/2013/_STORY/130619-01-e.html.</w:t>
      </w:r>
    </w:p>
  </w:endnote>
  <w:endnote w:id="49">
    <w:p w14:paraId="258E4CDA" w14:textId="5E7CCACE"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Mazda</w:t>
      </w:r>
      <w:r w:rsidRPr="00EA102A">
        <w:rPr>
          <w:rFonts w:ascii="Arial" w:eastAsia="Malgun Gothic" w:hAnsi="Arial"/>
          <w:color w:val="222222"/>
          <w:sz w:val="17"/>
          <w:szCs w:val="17"/>
          <w:lang w:eastAsia="ko-KR"/>
        </w:rPr>
        <w:t xml:space="preserve"> Motor Corporation,</w:t>
      </w:r>
      <w:r w:rsidRPr="00EA102A">
        <w:rPr>
          <w:rFonts w:ascii="Arial" w:hAnsi="Arial" w:cs="Arial"/>
          <w:sz w:val="17"/>
          <w:szCs w:val="17"/>
        </w:rPr>
        <w:t xml:space="preserve"> </w:t>
      </w:r>
      <w:r w:rsidRPr="00EA102A">
        <w:rPr>
          <w:rFonts w:ascii="Arial" w:hAnsi="Arial" w:cs="Arial"/>
          <w:i/>
          <w:sz w:val="17"/>
          <w:szCs w:val="17"/>
        </w:rPr>
        <w:t>Annual Report 2014</w:t>
      </w:r>
      <w:r w:rsidRPr="00EA102A">
        <w:rPr>
          <w:rFonts w:ascii="Arial" w:hAnsi="Arial" w:cs="Arial"/>
          <w:sz w:val="17"/>
          <w:szCs w:val="17"/>
        </w:rPr>
        <w:t xml:space="preserve">, 9, op. cit. </w:t>
      </w:r>
    </w:p>
  </w:endnote>
  <w:endnote w:id="50">
    <w:p w14:paraId="4855B6FD" w14:textId="56ABFC8F"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Style w:val="FootnoteChar"/>
        </w:rPr>
        <w:t xml:space="preserve"> </w:t>
      </w:r>
      <w:r w:rsidRPr="00EA102A">
        <w:rPr>
          <w:rFonts w:ascii="Arial" w:hAnsi="Arial" w:cs="Arial"/>
          <w:sz w:val="17"/>
          <w:szCs w:val="17"/>
        </w:rPr>
        <w:t xml:space="preserve">International Energy Agency, </w:t>
      </w:r>
      <w:r w:rsidRPr="00EA102A">
        <w:rPr>
          <w:rStyle w:val="FootnoteChar"/>
          <w:i/>
        </w:rPr>
        <w:t>Global EV Outlook 2016: Beyond One Million Electric Cars</w:t>
      </w:r>
      <w:r w:rsidRPr="00EA102A">
        <w:rPr>
          <w:rStyle w:val="FootnoteChar"/>
        </w:rPr>
        <w:t>, 10</w:t>
      </w:r>
      <w:r>
        <w:rPr>
          <w:rStyle w:val="FootnoteChar"/>
        </w:rPr>
        <w:t>–</w:t>
      </w:r>
      <w:r w:rsidRPr="00EA102A">
        <w:rPr>
          <w:rStyle w:val="FootnoteChar"/>
        </w:rPr>
        <w:t>19, 2016, accessed February 1, 2017, www.iea.org/publications/freepublications/publication/Global_EV_Outlook_2016.pdf.</w:t>
      </w:r>
      <w:r w:rsidRPr="00EA102A" w:rsidDel="00716E29">
        <w:rPr>
          <w:rFonts w:ascii="Arial" w:hAnsi="Arial" w:cs="Arial"/>
          <w:sz w:val="17"/>
          <w:szCs w:val="17"/>
        </w:rPr>
        <w:t xml:space="preserve"> </w:t>
      </w:r>
    </w:p>
  </w:endnote>
  <w:endnote w:id="51">
    <w:p w14:paraId="1B59D550" w14:textId="7EF46601"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Mazda</w:t>
      </w:r>
      <w:r w:rsidRPr="00EA102A">
        <w:rPr>
          <w:rFonts w:ascii="Arial" w:eastAsia="Malgun Gothic" w:hAnsi="Arial"/>
          <w:color w:val="222222"/>
          <w:sz w:val="17"/>
          <w:szCs w:val="17"/>
          <w:lang w:eastAsia="ko-KR"/>
        </w:rPr>
        <w:t xml:space="preserve"> Motor Corporation,</w:t>
      </w:r>
      <w:r w:rsidRPr="00EA102A">
        <w:rPr>
          <w:rFonts w:ascii="Arial" w:hAnsi="Arial" w:cs="Arial"/>
          <w:sz w:val="17"/>
          <w:szCs w:val="17"/>
        </w:rPr>
        <w:t xml:space="preserve"> </w:t>
      </w:r>
      <w:r w:rsidRPr="00EA102A">
        <w:rPr>
          <w:rFonts w:ascii="Arial" w:hAnsi="Arial" w:cs="Arial"/>
          <w:i/>
          <w:sz w:val="17"/>
          <w:szCs w:val="17"/>
        </w:rPr>
        <w:t>Annual Report 2014</w:t>
      </w:r>
      <w:r w:rsidRPr="00EA102A">
        <w:rPr>
          <w:rFonts w:ascii="Arial" w:hAnsi="Arial" w:cs="Arial"/>
          <w:sz w:val="17"/>
          <w:szCs w:val="17"/>
        </w:rPr>
        <w:t>, 26, op. cit.</w:t>
      </w:r>
    </w:p>
  </w:endnote>
  <w:endnote w:id="52">
    <w:p w14:paraId="5F84DACB" w14:textId="4A9691C5" w:rsidR="009864BD" w:rsidRPr="00EA102A" w:rsidRDefault="009864BD" w:rsidP="00637632">
      <w:pPr>
        <w:pStyle w:val="EndnoteText"/>
        <w:jc w:val="both"/>
        <w:rPr>
          <w:rFonts w:ascii="Arial" w:eastAsia="Malgun Gothic" w:hAnsi="Arial" w:cs="Arial"/>
          <w:sz w:val="17"/>
          <w:szCs w:val="17"/>
          <w:lang w:eastAsia="ko-KR"/>
        </w:rPr>
      </w:pPr>
      <w:r w:rsidRPr="00EA102A">
        <w:rPr>
          <w:rStyle w:val="EndnoteReference"/>
          <w:rFonts w:ascii="Arial" w:hAnsi="Arial" w:cs="Arial"/>
          <w:sz w:val="17"/>
          <w:szCs w:val="17"/>
        </w:rPr>
        <w:endnoteRef/>
      </w:r>
      <w:r w:rsidRPr="00EA102A">
        <w:rPr>
          <w:rFonts w:ascii="Arial" w:hAnsi="Arial" w:cs="Arial"/>
          <w:sz w:val="17"/>
          <w:szCs w:val="17"/>
        </w:rPr>
        <w:t xml:space="preserve"> Hybrid drivetrains transmitted power to vehicles from two or more distinct types of power, such as internal combustion engines and electric motors. Hans </w:t>
      </w:r>
      <w:proofErr w:type="spellStart"/>
      <w:r w:rsidRPr="00EA102A">
        <w:rPr>
          <w:rFonts w:ascii="Arial" w:eastAsia="Malgun Gothic" w:hAnsi="Arial" w:cs="Arial"/>
          <w:sz w:val="17"/>
          <w:szCs w:val="17"/>
          <w:lang w:eastAsia="ko-KR"/>
        </w:rPr>
        <w:t>Greimel</w:t>
      </w:r>
      <w:proofErr w:type="spellEnd"/>
      <w:r w:rsidRPr="00EA102A">
        <w:rPr>
          <w:rFonts w:ascii="Arial" w:eastAsia="Malgun Gothic" w:hAnsi="Arial" w:cs="Arial"/>
          <w:sz w:val="17"/>
          <w:szCs w:val="17"/>
          <w:lang w:eastAsia="ko-KR"/>
        </w:rPr>
        <w:t xml:space="preserve">, “Toyota, Mazda Form Partnership to Share Technologies, Confront Cost Challenges,” </w:t>
      </w:r>
      <w:r w:rsidRPr="00EA102A">
        <w:rPr>
          <w:rFonts w:ascii="Arial" w:eastAsia="Malgun Gothic" w:hAnsi="Arial" w:cs="Arial"/>
          <w:i/>
          <w:sz w:val="17"/>
          <w:szCs w:val="17"/>
          <w:lang w:eastAsia="ko-KR"/>
        </w:rPr>
        <w:t>Automotive News</w:t>
      </w:r>
      <w:r w:rsidRPr="00EA102A">
        <w:rPr>
          <w:rFonts w:ascii="Arial" w:eastAsia="Malgun Gothic" w:hAnsi="Arial" w:cs="Arial"/>
          <w:sz w:val="17"/>
          <w:szCs w:val="17"/>
          <w:lang w:eastAsia="ko-KR"/>
        </w:rPr>
        <w:t xml:space="preserve">, </w:t>
      </w:r>
      <w:r w:rsidRPr="00EA102A">
        <w:rPr>
          <w:rStyle w:val="FootnoteChar"/>
          <w:rFonts w:eastAsia="Malgun Gothic"/>
        </w:rPr>
        <w:t xml:space="preserve">May 13, 2015, </w:t>
      </w:r>
      <w:r w:rsidRPr="00EA102A">
        <w:rPr>
          <w:rFonts w:ascii="Arial" w:eastAsia="Malgun Gothic" w:hAnsi="Arial" w:cs="Arial"/>
          <w:sz w:val="17"/>
          <w:szCs w:val="17"/>
          <w:lang w:eastAsia="ko-KR"/>
        </w:rPr>
        <w:t>accessed June 12, 2017, www.autonews.com/article/20150513/OEM01/</w:t>
      </w:r>
    </w:p>
    <w:p w14:paraId="605929E3" w14:textId="06CA8381" w:rsidR="009864BD" w:rsidRPr="00EA102A" w:rsidRDefault="009864BD" w:rsidP="00637632">
      <w:pPr>
        <w:pStyle w:val="EndnoteText"/>
        <w:jc w:val="both"/>
        <w:rPr>
          <w:rFonts w:ascii="Arial" w:eastAsia="Malgun Gothic" w:hAnsi="Arial" w:cs="Arial"/>
          <w:sz w:val="17"/>
          <w:szCs w:val="17"/>
          <w:lang w:eastAsia="ko-KR"/>
        </w:rPr>
      </w:pPr>
      <w:r w:rsidRPr="00EA102A">
        <w:rPr>
          <w:rFonts w:ascii="Arial" w:eastAsia="Malgun Gothic" w:hAnsi="Arial" w:cs="Arial"/>
          <w:sz w:val="17"/>
          <w:szCs w:val="17"/>
          <w:lang w:eastAsia="ko-KR"/>
        </w:rPr>
        <w:t xml:space="preserve">150519954/toyota-mazda-form-partnership-to-share-technologies-confront-cost. </w:t>
      </w:r>
    </w:p>
  </w:endnote>
  <w:endnote w:id="53">
    <w:p w14:paraId="57A8E2C6" w14:textId="726671C1" w:rsidR="009864BD" w:rsidRPr="00EA102A" w:rsidRDefault="009864BD" w:rsidP="00637632">
      <w:pPr>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w:t>
      </w:r>
      <w:r w:rsidRPr="00EA102A">
        <w:rPr>
          <w:rFonts w:ascii="Arial" w:eastAsia="Malgun Gothic" w:hAnsi="Arial" w:cs="Arial"/>
          <w:sz w:val="17"/>
          <w:szCs w:val="17"/>
          <w:lang w:eastAsia="ko-KR"/>
        </w:rPr>
        <w:t xml:space="preserve">Hans </w:t>
      </w:r>
      <w:proofErr w:type="spellStart"/>
      <w:r w:rsidRPr="00EA102A">
        <w:rPr>
          <w:rFonts w:ascii="Arial" w:eastAsia="Malgun Gothic" w:hAnsi="Arial" w:cs="Arial"/>
          <w:sz w:val="17"/>
          <w:szCs w:val="17"/>
          <w:lang w:eastAsia="ko-KR"/>
        </w:rPr>
        <w:t>Greimel</w:t>
      </w:r>
      <w:proofErr w:type="spellEnd"/>
      <w:r w:rsidRPr="00EA102A">
        <w:rPr>
          <w:rFonts w:ascii="Arial" w:eastAsia="Malgun Gothic" w:hAnsi="Arial" w:cs="Arial"/>
          <w:sz w:val="17"/>
          <w:szCs w:val="17"/>
          <w:lang w:eastAsia="ko-KR"/>
        </w:rPr>
        <w:t xml:space="preserve">, “Toyota, BMW to Cooperate on Sports Car: Fuel Cells, EV Batteries Also Part of Effort,” </w:t>
      </w:r>
      <w:proofErr w:type="spellStart"/>
      <w:r w:rsidRPr="00EA102A">
        <w:rPr>
          <w:rFonts w:ascii="Arial" w:eastAsia="Malgun Gothic" w:hAnsi="Arial" w:cs="Arial"/>
          <w:i/>
          <w:sz w:val="17"/>
          <w:szCs w:val="17"/>
          <w:lang w:eastAsia="ko-KR"/>
        </w:rPr>
        <w:t>Autoweek</w:t>
      </w:r>
      <w:proofErr w:type="spellEnd"/>
      <w:r w:rsidRPr="00EA102A">
        <w:rPr>
          <w:rFonts w:ascii="Arial" w:eastAsia="Malgun Gothic" w:hAnsi="Arial" w:cs="Arial"/>
          <w:sz w:val="17"/>
          <w:szCs w:val="17"/>
          <w:lang w:eastAsia="ko-KR"/>
        </w:rPr>
        <w:t>, January 23, 2015, accessed January 30, 2017, http://autoweek.com/article/car-news/toyota-bmw-cooperate-sports-car-fuel-cells-ev-batteries-also-part-effort.</w:t>
      </w:r>
    </w:p>
  </w:endnote>
  <w:endnote w:id="54">
    <w:p w14:paraId="0510A2B2" w14:textId="2C1660FF" w:rsidR="009864BD" w:rsidRPr="00EA102A" w:rsidRDefault="009864BD" w:rsidP="00637632">
      <w:pPr>
        <w:jc w:val="both"/>
        <w:rPr>
          <w:rFonts w:ascii="Arial" w:hAnsi="Arial" w:cs="Arial"/>
          <w:b/>
          <w:bCs/>
          <w:color w:val="333333"/>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w:t>
      </w:r>
      <w:r w:rsidRPr="00EA102A">
        <w:rPr>
          <w:rFonts w:ascii="Arial" w:eastAsia="Malgun Gothic" w:hAnsi="Arial" w:cs="Arial"/>
          <w:sz w:val="17"/>
          <w:szCs w:val="17"/>
          <w:lang w:eastAsia="ko-KR"/>
        </w:rPr>
        <w:t xml:space="preserve">Bernie Woodall, “GM, Honda to Announce Fuel Cell Technology Advance: Sources,” </w:t>
      </w:r>
      <w:r w:rsidRPr="00EA102A">
        <w:rPr>
          <w:rFonts w:ascii="Arial" w:eastAsia="Malgun Gothic" w:hAnsi="Arial" w:cs="Arial"/>
          <w:i/>
          <w:sz w:val="17"/>
          <w:szCs w:val="17"/>
          <w:lang w:eastAsia="ko-KR"/>
        </w:rPr>
        <w:t>Reuters</w:t>
      </w:r>
      <w:r w:rsidRPr="00EA102A">
        <w:rPr>
          <w:rFonts w:ascii="Arial" w:eastAsia="Malgun Gothic" w:hAnsi="Arial" w:cs="Arial"/>
          <w:sz w:val="17"/>
          <w:szCs w:val="17"/>
          <w:lang w:eastAsia="ko-KR"/>
        </w:rPr>
        <w:t>, January 27, 2017, accessed January 30, 2017, www.reuters.com/article/us-gm-honda-idUSKBN15B2EK.</w:t>
      </w:r>
    </w:p>
  </w:endnote>
  <w:endnote w:id="55">
    <w:p w14:paraId="6A3E3531" w14:textId="1C5C3814" w:rsidR="009864BD" w:rsidRPr="00EA102A" w:rsidRDefault="009864BD" w:rsidP="00637632">
      <w:pPr>
        <w:jc w:val="both"/>
        <w:rPr>
          <w:rFonts w:ascii="Arial" w:eastAsia="Malgun Gothic" w:hAnsi="Arial" w:cs="Arial"/>
          <w:sz w:val="17"/>
          <w:szCs w:val="17"/>
          <w:lang w:eastAsia="ko-KR"/>
        </w:rPr>
      </w:pPr>
      <w:r w:rsidRPr="00EA102A">
        <w:rPr>
          <w:rStyle w:val="EndnoteReference"/>
          <w:rFonts w:ascii="Arial" w:hAnsi="Arial" w:cs="Arial"/>
          <w:sz w:val="17"/>
          <w:szCs w:val="17"/>
        </w:rPr>
        <w:endnoteRef/>
      </w:r>
      <w:r w:rsidRPr="00EA102A">
        <w:rPr>
          <w:rFonts w:ascii="Arial" w:hAnsi="Arial" w:cs="Arial"/>
          <w:sz w:val="17"/>
          <w:szCs w:val="17"/>
        </w:rPr>
        <w:t xml:space="preserve"> </w:t>
      </w:r>
      <w:r w:rsidRPr="008452C7">
        <w:rPr>
          <w:rFonts w:ascii="Arial" w:hAnsi="Arial" w:cs="Arial"/>
          <w:spacing w:val="-8"/>
          <w:sz w:val="17"/>
          <w:szCs w:val="17"/>
        </w:rPr>
        <w:t xml:space="preserve">William Boston and Joe White, </w:t>
      </w:r>
      <w:r w:rsidRPr="008452C7">
        <w:rPr>
          <w:rFonts w:ascii="Arial" w:eastAsia="Malgun Gothic" w:hAnsi="Arial" w:cs="Arial"/>
          <w:spacing w:val="-8"/>
          <w:sz w:val="17"/>
          <w:szCs w:val="17"/>
          <w:lang w:eastAsia="ko-KR"/>
        </w:rPr>
        <w:t xml:space="preserve">“Daimler/BYD Joint Venture Unveil Plans for All-Electric Car for China,” </w:t>
      </w:r>
      <w:r w:rsidRPr="008452C7">
        <w:rPr>
          <w:rFonts w:ascii="Arial" w:eastAsia="Malgun Gothic" w:hAnsi="Arial" w:cs="Arial"/>
          <w:i/>
          <w:spacing w:val="-8"/>
          <w:sz w:val="17"/>
          <w:szCs w:val="17"/>
          <w:lang w:eastAsia="ko-KR"/>
        </w:rPr>
        <w:t>The Wall Street Journal</w:t>
      </w:r>
      <w:r w:rsidRPr="008452C7">
        <w:rPr>
          <w:rFonts w:ascii="Arial" w:eastAsia="Malgun Gothic" w:hAnsi="Arial" w:cs="Arial"/>
          <w:spacing w:val="-8"/>
          <w:sz w:val="17"/>
          <w:szCs w:val="17"/>
          <w:lang w:eastAsia="ko-KR"/>
        </w:rPr>
        <w:t xml:space="preserve">, </w:t>
      </w:r>
      <w:r w:rsidRPr="008452C7">
        <w:rPr>
          <w:rFonts w:ascii="Arial" w:hAnsi="Arial" w:cs="Arial"/>
          <w:spacing w:val="-8"/>
          <w:sz w:val="17"/>
          <w:szCs w:val="17"/>
        </w:rPr>
        <w:t>April 20, 2014</w:t>
      </w:r>
      <w:r w:rsidRPr="008452C7">
        <w:rPr>
          <w:rFonts w:ascii="Arial" w:eastAsia="Malgun Gothic" w:hAnsi="Arial" w:cs="Arial"/>
          <w:spacing w:val="-8"/>
          <w:sz w:val="17"/>
          <w:szCs w:val="17"/>
          <w:lang w:eastAsia="ko-KR"/>
        </w:rPr>
        <w:t>, accessed June 12, 2017, www.wsj.com/articles/daimler-byd-joint-venture-unveil-plans-for-all-electric-car-for-china-1398003739.</w:t>
      </w:r>
    </w:p>
  </w:endnote>
  <w:endnote w:id="56">
    <w:p w14:paraId="6F8B9148" w14:textId="63931D8E" w:rsidR="009864BD" w:rsidRPr="00EA102A" w:rsidRDefault="009864BD" w:rsidP="00637632">
      <w:pPr>
        <w:pStyle w:val="NoSpacing"/>
        <w:jc w:val="both"/>
        <w:rPr>
          <w:rFonts w:ascii="Arial" w:hAnsi="Arial" w:cs="Arial"/>
          <w:b/>
          <w:bCs/>
          <w:color w:val="333333"/>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w:t>
      </w:r>
      <w:r w:rsidRPr="00EA102A">
        <w:rPr>
          <w:rFonts w:ascii="Arial" w:eastAsia="Malgun Gothic" w:hAnsi="Arial"/>
          <w:color w:val="222222"/>
          <w:sz w:val="17"/>
          <w:szCs w:val="17"/>
          <w:lang w:eastAsia="ko-KR"/>
        </w:rPr>
        <w:t xml:space="preserve">Mazda Motor Corporation, </w:t>
      </w:r>
      <w:r w:rsidRPr="00EA102A">
        <w:rPr>
          <w:rFonts w:ascii="Arial" w:eastAsia="Malgun Gothic" w:hAnsi="Arial"/>
          <w:i/>
          <w:color w:val="222222"/>
          <w:sz w:val="17"/>
          <w:szCs w:val="17"/>
          <w:lang w:eastAsia="ko-KR"/>
        </w:rPr>
        <w:t>Annual Report 2016</w:t>
      </w:r>
      <w:r w:rsidRPr="00EA102A">
        <w:rPr>
          <w:rFonts w:ascii="Arial" w:eastAsia="Malgun Gothic" w:hAnsi="Arial"/>
          <w:color w:val="222222"/>
          <w:sz w:val="17"/>
          <w:szCs w:val="17"/>
          <w:lang w:eastAsia="ko-KR"/>
        </w:rPr>
        <w:t>, 45, op. cit.</w:t>
      </w:r>
    </w:p>
  </w:endnote>
  <w:endnote w:id="57">
    <w:p w14:paraId="58517A5B" w14:textId="1F04F07D"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w:t>
      </w:r>
      <w:proofErr w:type="spellStart"/>
      <w:r w:rsidRPr="00EA102A">
        <w:rPr>
          <w:rFonts w:ascii="Arial" w:eastAsia="Malgun Gothic" w:hAnsi="Arial" w:cs="Arial"/>
          <w:sz w:val="17"/>
          <w:szCs w:val="17"/>
          <w:lang w:eastAsia="ko-KR"/>
        </w:rPr>
        <w:t>Greimel</w:t>
      </w:r>
      <w:proofErr w:type="spellEnd"/>
      <w:r w:rsidRPr="00EA102A">
        <w:rPr>
          <w:rFonts w:ascii="Arial" w:eastAsia="Malgun Gothic" w:hAnsi="Arial" w:cs="Arial"/>
          <w:sz w:val="17"/>
          <w:szCs w:val="17"/>
          <w:lang w:eastAsia="ko-KR"/>
        </w:rPr>
        <w:t xml:space="preserve">, “Toyota, Mazda Form Partnership to Share Technologies, Confront Cost Challenges,” op. cit. </w:t>
      </w:r>
    </w:p>
  </w:endnote>
  <w:endnote w:id="58">
    <w:p w14:paraId="056D3EFD" w14:textId="72216917" w:rsidR="009864BD" w:rsidRDefault="009864BD" w:rsidP="00637632">
      <w:pPr>
        <w:pStyle w:val="EndnoteText"/>
      </w:pPr>
      <w:r w:rsidRPr="00CE6781">
        <w:rPr>
          <w:rStyle w:val="FootnoteChar"/>
          <w:vertAlign w:val="superscript"/>
        </w:rPr>
        <w:endnoteRef/>
      </w:r>
      <w:r>
        <w:t xml:space="preserve"> </w:t>
      </w:r>
      <w:r w:rsidRPr="00EA102A">
        <w:rPr>
          <w:rFonts w:ascii="Arial" w:hAnsi="Arial" w:cs="Arial"/>
          <w:sz w:val="17"/>
          <w:szCs w:val="17"/>
        </w:rPr>
        <w:t>Mazda</w:t>
      </w:r>
      <w:r w:rsidRPr="00EA102A">
        <w:rPr>
          <w:rFonts w:ascii="Arial" w:eastAsia="Malgun Gothic" w:hAnsi="Arial"/>
          <w:color w:val="222222"/>
          <w:sz w:val="17"/>
          <w:szCs w:val="17"/>
          <w:lang w:eastAsia="ko-KR"/>
        </w:rPr>
        <w:t xml:space="preserve"> Motor Corporation,</w:t>
      </w:r>
      <w:r w:rsidRPr="00EA102A">
        <w:rPr>
          <w:rFonts w:ascii="Arial" w:hAnsi="Arial" w:cs="Arial"/>
          <w:sz w:val="17"/>
          <w:szCs w:val="17"/>
        </w:rPr>
        <w:t xml:space="preserve"> </w:t>
      </w:r>
      <w:r w:rsidRPr="00EA102A">
        <w:rPr>
          <w:rFonts w:ascii="Arial" w:eastAsia="Malgun Gothic" w:hAnsi="Arial"/>
          <w:i/>
          <w:color w:val="222222"/>
          <w:sz w:val="17"/>
          <w:szCs w:val="17"/>
          <w:lang w:eastAsia="ko-KR"/>
        </w:rPr>
        <w:t>Annual Report 2016</w:t>
      </w:r>
      <w:r w:rsidRPr="00EA102A">
        <w:rPr>
          <w:rFonts w:ascii="Arial" w:eastAsia="Malgun Gothic" w:hAnsi="Arial"/>
          <w:color w:val="222222"/>
          <w:sz w:val="17"/>
          <w:szCs w:val="17"/>
          <w:lang w:eastAsia="ko-KR"/>
        </w:rPr>
        <w:t xml:space="preserve">, </w:t>
      </w:r>
      <w:r>
        <w:rPr>
          <w:rFonts w:ascii="Arial" w:eastAsia="Malgun Gothic" w:hAnsi="Arial"/>
          <w:color w:val="222222"/>
          <w:sz w:val="17"/>
          <w:szCs w:val="17"/>
          <w:lang w:eastAsia="ko-KR"/>
        </w:rPr>
        <w:t>15</w:t>
      </w:r>
      <w:r w:rsidRPr="00EA102A">
        <w:rPr>
          <w:rFonts w:ascii="Arial" w:eastAsia="Malgun Gothic" w:hAnsi="Arial"/>
          <w:color w:val="222222"/>
          <w:sz w:val="17"/>
          <w:szCs w:val="17"/>
          <w:lang w:eastAsia="ko-KR"/>
        </w:rPr>
        <w:t>, op. cit.</w:t>
      </w:r>
    </w:p>
  </w:endnote>
  <w:endnote w:id="59">
    <w:p w14:paraId="173E7DFB" w14:textId="5BAAC698" w:rsidR="009864BD" w:rsidRPr="00EA102A" w:rsidRDefault="009864BD" w:rsidP="00637632">
      <w:pPr>
        <w:pStyle w:val="Footnote"/>
        <w:rPr>
          <w:rFonts w:eastAsia="Malgun Gothic"/>
          <w:lang w:eastAsia="ko-KR"/>
        </w:rPr>
      </w:pPr>
      <w:r w:rsidRPr="00EA102A">
        <w:rPr>
          <w:rStyle w:val="EndnoteReference"/>
        </w:rPr>
        <w:endnoteRef/>
      </w:r>
      <w:r w:rsidRPr="00EA102A">
        <w:t xml:space="preserve"> </w:t>
      </w:r>
      <w:proofErr w:type="gramStart"/>
      <w:r w:rsidRPr="00EA102A">
        <w:rPr>
          <w:rFonts w:eastAsia="Malgun Gothic"/>
          <w:lang w:eastAsia="ko-KR"/>
        </w:rPr>
        <w:t>Ibid.,</w:t>
      </w:r>
      <w:proofErr w:type="gramEnd"/>
      <w:r w:rsidRPr="00EA102A">
        <w:rPr>
          <w:rFonts w:eastAsia="Malgun Gothic"/>
          <w:lang w:eastAsia="ko-KR"/>
        </w:rPr>
        <w:t xml:space="preserve"> </w:t>
      </w:r>
      <w:r>
        <w:rPr>
          <w:rFonts w:eastAsia="Malgun Gothic"/>
          <w:lang w:eastAsia="ko-KR"/>
        </w:rPr>
        <w:t>13–17</w:t>
      </w:r>
      <w:r w:rsidRPr="00EA102A">
        <w:rPr>
          <w:rFonts w:eastAsia="Malgun Gothic"/>
          <w:lang w:eastAsia="ko-KR"/>
        </w:rPr>
        <w:t>.</w:t>
      </w:r>
    </w:p>
  </w:endnote>
  <w:endnote w:id="60">
    <w:p w14:paraId="580B6266" w14:textId="1B8AAC87"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Mazda</w:t>
      </w:r>
      <w:r w:rsidRPr="00EA102A">
        <w:rPr>
          <w:rFonts w:ascii="Arial" w:eastAsia="Malgun Gothic" w:hAnsi="Arial"/>
          <w:color w:val="222222"/>
          <w:sz w:val="17"/>
          <w:szCs w:val="17"/>
          <w:lang w:eastAsia="ko-KR"/>
        </w:rPr>
        <w:t xml:space="preserve"> Motor Corporation,</w:t>
      </w:r>
      <w:r w:rsidRPr="00EA102A">
        <w:rPr>
          <w:rFonts w:ascii="Arial" w:hAnsi="Arial" w:cs="Arial"/>
          <w:sz w:val="17"/>
          <w:szCs w:val="17"/>
        </w:rPr>
        <w:t xml:space="preserve"> </w:t>
      </w:r>
      <w:r w:rsidRPr="00EA102A">
        <w:rPr>
          <w:rFonts w:ascii="Arial" w:eastAsia="Malgun Gothic" w:hAnsi="Arial" w:cs="Arial"/>
          <w:i/>
          <w:sz w:val="17"/>
          <w:szCs w:val="17"/>
          <w:lang w:eastAsia="ko-KR"/>
        </w:rPr>
        <w:t>Annual Report</w:t>
      </w:r>
      <w:r w:rsidRPr="00EA102A">
        <w:rPr>
          <w:rFonts w:ascii="Arial" w:eastAsia="Malgun Gothic" w:hAnsi="Arial" w:cs="Arial"/>
          <w:sz w:val="17"/>
          <w:szCs w:val="17"/>
          <w:lang w:eastAsia="ko-KR"/>
        </w:rPr>
        <w:t xml:space="preserve"> </w:t>
      </w:r>
      <w:r w:rsidRPr="00EA102A">
        <w:rPr>
          <w:rFonts w:ascii="Arial" w:eastAsia="Malgun Gothic" w:hAnsi="Arial" w:cs="Arial"/>
          <w:i/>
          <w:sz w:val="17"/>
          <w:szCs w:val="17"/>
          <w:lang w:eastAsia="ko-KR"/>
        </w:rPr>
        <w:t>2015</w:t>
      </w:r>
      <w:r w:rsidRPr="00EA102A">
        <w:rPr>
          <w:rFonts w:ascii="Arial" w:eastAsia="Malgun Gothic" w:hAnsi="Arial" w:cs="Arial"/>
          <w:sz w:val="17"/>
          <w:szCs w:val="17"/>
          <w:lang w:eastAsia="ko-KR"/>
        </w:rPr>
        <w:t>, 5</w:t>
      </w:r>
      <w:r>
        <w:rPr>
          <w:rFonts w:ascii="Arial" w:eastAsia="Malgun Gothic" w:hAnsi="Arial" w:cs="Arial"/>
          <w:sz w:val="17"/>
          <w:szCs w:val="17"/>
          <w:lang w:eastAsia="ko-KR"/>
        </w:rPr>
        <w:t>–</w:t>
      </w:r>
      <w:r w:rsidRPr="00EA102A">
        <w:rPr>
          <w:rFonts w:ascii="Arial" w:eastAsia="Malgun Gothic" w:hAnsi="Arial" w:cs="Arial"/>
          <w:sz w:val="17"/>
          <w:szCs w:val="17"/>
          <w:lang w:eastAsia="ko-KR"/>
        </w:rPr>
        <w:t>9, accessed June 27, 2017, www.mazda.com/globalassets/en/assets/investors/library/annual/files/mazdaar15_ie.pdf.</w:t>
      </w:r>
    </w:p>
  </w:endnote>
  <w:endnote w:id="61">
    <w:p w14:paraId="47CABBC5" w14:textId="31E69F93" w:rsidR="009864BD" w:rsidRPr="00EA102A" w:rsidRDefault="009864BD" w:rsidP="00637632">
      <w:pPr>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Mazda Motor Corporation, “</w:t>
      </w:r>
      <w:proofErr w:type="spellStart"/>
      <w:r w:rsidRPr="00EA102A">
        <w:rPr>
          <w:rFonts w:ascii="Arial" w:hAnsi="Arial" w:cs="Arial"/>
          <w:sz w:val="17"/>
          <w:szCs w:val="17"/>
        </w:rPr>
        <w:t>Masamichi</w:t>
      </w:r>
      <w:proofErr w:type="spellEnd"/>
      <w:r w:rsidRPr="00EA102A">
        <w:rPr>
          <w:rFonts w:ascii="Arial" w:hAnsi="Arial" w:cs="Arial"/>
          <w:sz w:val="17"/>
          <w:szCs w:val="17"/>
        </w:rPr>
        <w:t xml:space="preserve"> </w:t>
      </w:r>
      <w:proofErr w:type="spellStart"/>
      <w:r w:rsidRPr="00EA102A">
        <w:rPr>
          <w:rFonts w:ascii="Arial" w:hAnsi="Arial" w:cs="Arial"/>
          <w:sz w:val="17"/>
          <w:szCs w:val="17"/>
        </w:rPr>
        <w:t>Kogai</w:t>
      </w:r>
      <w:proofErr w:type="spellEnd"/>
      <w:r w:rsidRPr="00EA102A">
        <w:rPr>
          <w:rFonts w:ascii="Arial" w:hAnsi="Arial" w:cs="Arial"/>
          <w:sz w:val="17"/>
          <w:szCs w:val="17"/>
        </w:rPr>
        <w:t xml:space="preserve"> to Be Appointed President and CEO of Mazda Motor Corporation,” press release, May 10, 2013, accessed January 29, 2017, www.mazda-press.com/eu/news/2013/masamichi-kogai-to-be-appointed-president-and-ceo-of-mazda-motor-corporation/.</w:t>
      </w:r>
    </w:p>
  </w:endnote>
  <w:endnote w:id="62">
    <w:p w14:paraId="479250CE" w14:textId="7EBF895E"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eastAsia="Malgun Gothic" w:hAnsi="Arial" w:cs="Arial"/>
          <w:sz w:val="17"/>
          <w:szCs w:val="17"/>
          <w:lang w:eastAsia="ko-KR"/>
        </w:rPr>
        <w:t xml:space="preserve"> </w:t>
      </w:r>
      <w:r w:rsidRPr="00EA102A">
        <w:rPr>
          <w:rFonts w:ascii="Arial" w:hAnsi="Arial" w:cs="Arial"/>
          <w:sz w:val="17"/>
          <w:szCs w:val="17"/>
        </w:rPr>
        <w:t>Mazda</w:t>
      </w:r>
      <w:r w:rsidRPr="00EA102A">
        <w:rPr>
          <w:rFonts w:ascii="Arial" w:eastAsia="Malgun Gothic" w:hAnsi="Arial"/>
          <w:color w:val="222222"/>
          <w:sz w:val="17"/>
          <w:szCs w:val="17"/>
          <w:lang w:eastAsia="ko-KR"/>
        </w:rPr>
        <w:t xml:space="preserve"> Motor Corporation,</w:t>
      </w:r>
      <w:r w:rsidRPr="00EA102A">
        <w:rPr>
          <w:rFonts w:ascii="Arial" w:hAnsi="Arial" w:cs="Arial"/>
          <w:sz w:val="17"/>
          <w:szCs w:val="17"/>
        </w:rPr>
        <w:t xml:space="preserve"> </w:t>
      </w:r>
      <w:r w:rsidRPr="00EA102A">
        <w:rPr>
          <w:rFonts w:ascii="Arial" w:hAnsi="Arial" w:cs="Arial"/>
          <w:i/>
          <w:sz w:val="17"/>
          <w:szCs w:val="17"/>
        </w:rPr>
        <w:t>Annual Report 2014</w:t>
      </w:r>
      <w:r w:rsidRPr="00EA102A">
        <w:rPr>
          <w:rFonts w:ascii="Arial" w:hAnsi="Arial" w:cs="Arial"/>
          <w:sz w:val="17"/>
          <w:szCs w:val="17"/>
        </w:rPr>
        <w:t>, 6, op. cit.</w:t>
      </w:r>
    </w:p>
  </w:endnote>
  <w:endnote w:id="63">
    <w:p w14:paraId="5332B950" w14:textId="5992098A" w:rsidR="009864BD" w:rsidRPr="00EA102A"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w:t>
      </w:r>
      <w:proofErr w:type="gramStart"/>
      <w:r w:rsidRPr="00EA102A">
        <w:rPr>
          <w:rFonts w:ascii="Arial" w:hAnsi="Arial" w:cs="Arial"/>
          <w:sz w:val="17"/>
          <w:szCs w:val="17"/>
        </w:rPr>
        <w:t>Ibid.,</w:t>
      </w:r>
      <w:proofErr w:type="gramEnd"/>
      <w:r w:rsidRPr="00EA102A">
        <w:rPr>
          <w:rFonts w:ascii="Arial" w:hAnsi="Arial" w:cs="Arial"/>
          <w:sz w:val="17"/>
          <w:szCs w:val="17"/>
        </w:rPr>
        <w:t xml:space="preserve"> 8.</w:t>
      </w:r>
    </w:p>
  </w:endnote>
  <w:endnote w:id="64">
    <w:p w14:paraId="5BFC2108" w14:textId="3209649A" w:rsidR="009864BD" w:rsidRPr="00150868" w:rsidRDefault="009864BD" w:rsidP="00637632">
      <w:pPr>
        <w:pStyle w:val="EndnoteText"/>
        <w:jc w:val="both"/>
        <w:rPr>
          <w:rFonts w:ascii="Arial" w:hAnsi="Arial" w:cs="Arial"/>
          <w:sz w:val="17"/>
          <w:szCs w:val="17"/>
        </w:rPr>
      </w:pPr>
      <w:r w:rsidRPr="00EA102A">
        <w:rPr>
          <w:rStyle w:val="EndnoteReference"/>
          <w:rFonts w:ascii="Arial" w:hAnsi="Arial" w:cs="Arial"/>
          <w:sz w:val="17"/>
          <w:szCs w:val="17"/>
        </w:rPr>
        <w:endnoteRef/>
      </w:r>
      <w:r w:rsidRPr="00EA102A">
        <w:rPr>
          <w:rFonts w:ascii="Arial" w:hAnsi="Arial" w:cs="Arial"/>
          <w:sz w:val="17"/>
          <w:szCs w:val="17"/>
        </w:rPr>
        <w:t xml:space="preserve"> </w:t>
      </w:r>
      <w:proofErr w:type="spellStart"/>
      <w:r w:rsidRPr="00EA102A">
        <w:rPr>
          <w:rFonts w:ascii="Arial" w:eastAsia="Malgun Gothic" w:hAnsi="Arial" w:cs="Arial"/>
          <w:sz w:val="17"/>
          <w:szCs w:val="17"/>
          <w:lang w:eastAsia="ko-KR"/>
        </w:rPr>
        <w:t>Greimel</w:t>
      </w:r>
      <w:proofErr w:type="spellEnd"/>
      <w:r w:rsidRPr="00EA102A">
        <w:rPr>
          <w:rFonts w:ascii="Arial" w:eastAsia="Malgun Gothic" w:hAnsi="Arial" w:cs="Arial"/>
          <w:sz w:val="17"/>
          <w:szCs w:val="17"/>
          <w:lang w:eastAsia="ko-KR"/>
        </w:rPr>
        <w:t>, “Toyota, Mazda Form Partnership to Share Technologies, Confront Cost Challenges,” op. cit.</w:t>
      </w:r>
      <w:r w:rsidRPr="00236AAE">
        <w:rPr>
          <w:rFonts w:ascii="Arial" w:eastAsia="Malgun Gothic" w:hAnsi="Arial" w:cs="Arial"/>
          <w:sz w:val="17"/>
          <w:szCs w:val="17"/>
          <w:lang w:eastAsia="ko-KR"/>
        </w:rPr>
        <w:t xml:space="preserve"> </w:t>
      </w:r>
    </w:p>
  </w:endnote>
  <w:endnote w:id="65">
    <w:p w14:paraId="728C0A1E" w14:textId="475944CB" w:rsidR="009864BD" w:rsidRPr="00150868" w:rsidRDefault="009864BD" w:rsidP="00637632">
      <w:pPr>
        <w:pStyle w:val="Footnote"/>
      </w:pPr>
      <w:r w:rsidRPr="00150868">
        <w:rPr>
          <w:rStyle w:val="EndnoteReference"/>
        </w:rPr>
        <w:endnoteRef/>
      </w:r>
      <w:r w:rsidRPr="00150868">
        <w:t xml:space="preserve"> </w:t>
      </w:r>
      <w:r w:rsidRPr="00AE42FF">
        <w:rPr>
          <w:spacing w:val="-6"/>
        </w:rPr>
        <w:t xml:space="preserve">Tim Pollard, “Toyota and Mazda Strike Long-Term Partnership to Share Tech,” </w:t>
      </w:r>
      <w:r w:rsidRPr="00AE42FF">
        <w:rPr>
          <w:i/>
          <w:iCs/>
          <w:spacing w:val="-6"/>
        </w:rPr>
        <w:t>CAR Magazine</w:t>
      </w:r>
      <w:r w:rsidRPr="00AE42FF">
        <w:rPr>
          <w:spacing w:val="-6"/>
        </w:rPr>
        <w:t>, May 13, 2015, accessed February 2, 2017, www.carmagazine.co.uk/car-news/industry-news/toyota/toyota-and-mazda-strike-long-term-partnership-to-share-tech/.</w:t>
      </w:r>
    </w:p>
  </w:endnote>
  <w:endnote w:id="66">
    <w:p w14:paraId="016D156B" w14:textId="2EA6782E" w:rsidR="009864BD" w:rsidRPr="00150868" w:rsidRDefault="009864BD" w:rsidP="00637632">
      <w:pPr>
        <w:pStyle w:val="Footnote"/>
      </w:pPr>
      <w:r w:rsidRPr="00150868">
        <w:rPr>
          <w:rStyle w:val="EndnoteReference"/>
        </w:rPr>
        <w:endnoteRef/>
      </w:r>
      <w:r w:rsidRPr="00150868">
        <w:t xml:space="preserve"> </w:t>
      </w:r>
      <w:r>
        <w:t>Toyota Motor Corporation, “</w:t>
      </w:r>
      <w:r w:rsidRPr="00150868">
        <w:t>Toyota and Mazda Team up to Make Cars Better</w:t>
      </w:r>
      <w:r>
        <w:t xml:space="preserve">,” press release, </w:t>
      </w:r>
      <w:r w:rsidRPr="00150868">
        <w:t>May 1</w:t>
      </w:r>
      <w:r>
        <w:t xml:space="preserve">3, </w:t>
      </w:r>
      <w:r w:rsidRPr="00150868">
        <w:t>2015</w:t>
      </w:r>
      <w:r>
        <w:t>, accessed June 12, 2017,</w:t>
      </w:r>
      <w:r w:rsidRPr="00150868">
        <w:t xml:space="preserve"> </w:t>
      </w:r>
      <w:r w:rsidRPr="007D140B">
        <w:t>http://newsroo</w:t>
      </w:r>
      <w:r>
        <w:t>m.toyota.co.jp/en/detail/7871861.</w:t>
      </w:r>
    </w:p>
  </w:endnote>
  <w:endnote w:id="67">
    <w:p w14:paraId="332DD6A4" w14:textId="6E249886" w:rsidR="009864BD" w:rsidRPr="006233FB" w:rsidRDefault="009864BD" w:rsidP="00637632">
      <w:pPr>
        <w:pStyle w:val="EndnoteText"/>
        <w:jc w:val="both"/>
        <w:rPr>
          <w:rFonts w:ascii="Arial" w:hAnsi="Arial" w:cs="Arial"/>
          <w:sz w:val="17"/>
          <w:szCs w:val="17"/>
        </w:rPr>
      </w:pPr>
      <w:r w:rsidRPr="006233FB">
        <w:rPr>
          <w:rStyle w:val="FootnoteChar"/>
          <w:vertAlign w:val="superscript"/>
        </w:rPr>
        <w:endnoteRef/>
      </w:r>
      <w:r w:rsidRPr="006233FB">
        <w:rPr>
          <w:rStyle w:val="FootnoteChar"/>
          <w:vertAlign w:val="superscript"/>
        </w:rPr>
        <w:t xml:space="preserve"> </w:t>
      </w:r>
      <w:r w:rsidRPr="006233FB">
        <w:rPr>
          <w:rFonts w:ascii="Arial" w:hAnsi="Arial" w:cs="Arial"/>
          <w:sz w:val="17"/>
          <w:szCs w:val="17"/>
        </w:rPr>
        <w:t xml:space="preserve">Hans </w:t>
      </w:r>
      <w:proofErr w:type="spellStart"/>
      <w:r w:rsidRPr="006233FB">
        <w:rPr>
          <w:rFonts w:ascii="Arial" w:hAnsi="Arial" w:cs="Arial"/>
          <w:sz w:val="17"/>
          <w:szCs w:val="17"/>
        </w:rPr>
        <w:t>Greimel</w:t>
      </w:r>
      <w:proofErr w:type="spellEnd"/>
      <w:r w:rsidRPr="006233FB">
        <w:rPr>
          <w:rFonts w:ascii="Arial" w:hAnsi="Arial" w:cs="Arial"/>
          <w:sz w:val="17"/>
          <w:szCs w:val="17"/>
        </w:rPr>
        <w:t xml:space="preserve">, “What </w:t>
      </w:r>
      <w:r>
        <w:rPr>
          <w:rFonts w:ascii="Arial" w:hAnsi="Arial" w:cs="Arial"/>
          <w:sz w:val="17"/>
          <w:szCs w:val="17"/>
        </w:rPr>
        <w:t>D</w:t>
      </w:r>
      <w:r w:rsidRPr="006233FB">
        <w:rPr>
          <w:rFonts w:ascii="Arial" w:hAnsi="Arial" w:cs="Arial"/>
          <w:sz w:val="17"/>
          <w:szCs w:val="17"/>
        </w:rPr>
        <w:t xml:space="preserve">rew Mazda, Toyota </w:t>
      </w:r>
      <w:r>
        <w:rPr>
          <w:rFonts w:ascii="Arial" w:hAnsi="Arial" w:cs="Arial"/>
          <w:sz w:val="17"/>
          <w:szCs w:val="17"/>
        </w:rPr>
        <w:t>T</w:t>
      </w:r>
      <w:r w:rsidRPr="006233FB">
        <w:rPr>
          <w:rFonts w:ascii="Arial" w:hAnsi="Arial" w:cs="Arial"/>
          <w:sz w:val="17"/>
          <w:szCs w:val="17"/>
        </w:rPr>
        <w:t>ogether</w:t>
      </w:r>
      <w:proofErr w:type="gramStart"/>
      <w:r w:rsidRPr="006233FB">
        <w:rPr>
          <w:rFonts w:ascii="Arial" w:hAnsi="Arial" w:cs="Arial"/>
          <w:sz w:val="17"/>
          <w:szCs w:val="17"/>
        </w:rPr>
        <w:t>?,</w:t>
      </w:r>
      <w:proofErr w:type="gramEnd"/>
      <w:r>
        <w:rPr>
          <w:rFonts w:ascii="Arial" w:hAnsi="Arial" w:cs="Arial"/>
          <w:sz w:val="17"/>
          <w:szCs w:val="17"/>
        </w:rPr>
        <w:t>”</w:t>
      </w:r>
      <w:r w:rsidRPr="006233FB">
        <w:rPr>
          <w:rFonts w:ascii="Arial" w:hAnsi="Arial" w:cs="Arial"/>
          <w:sz w:val="17"/>
          <w:szCs w:val="17"/>
        </w:rPr>
        <w:t xml:space="preserve"> </w:t>
      </w:r>
      <w:r w:rsidRPr="006233FB">
        <w:rPr>
          <w:rFonts w:ascii="Arial" w:hAnsi="Arial" w:cs="Arial"/>
          <w:i/>
          <w:sz w:val="17"/>
          <w:szCs w:val="17"/>
        </w:rPr>
        <w:t>Automotive News</w:t>
      </w:r>
      <w:r w:rsidRPr="006233FB">
        <w:rPr>
          <w:rFonts w:ascii="Arial" w:hAnsi="Arial" w:cs="Arial"/>
          <w:sz w:val="17"/>
          <w:szCs w:val="17"/>
        </w:rPr>
        <w:t>, May 17, 2015, accessed June 12, 2017, www.autonews.com/article/20150517000100/OEM/305189954?template=print.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Arial Unicode MS"/>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ヒラギノ明朝 Pro W3">
    <w:charset w:val="4E"/>
    <w:family w:val="auto"/>
    <w:pitch w:val="variable"/>
    <w:sig w:usb0="E00002FF" w:usb1="7AC7FFFF" w:usb2="00000012" w:usb3="00000000" w:csb0="0002000D"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5D028" w14:textId="77777777" w:rsidR="009864BD" w:rsidRDefault="009864BD" w:rsidP="00D75295">
      <w:r>
        <w:separator/>
      </w:r>
    </w:p>
  </w:footnote>
  <w:footnote w:type="continuationSeparator" w:id="0">
    <w:p w14:paraId="6B4FD20B" w14:textId="77777777" w:rsidR="009864BD" w:rsidRDefault="009864BD"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F39EB" w14:textId="5D360E65" w:rsidR="009864BD" w:rsidRDefault="009864BD"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E76DC">
      <w:rPr>
        <w:rFonts w:ascii="Arial" w:hAnsi="Arial"/>
        <w:b/>
        <w:noProof/>
      </w:rPr>
      <w:t>15</w:t>
    </w:r>
    <w:r>
      <w:rPr>
        <w:rFonts w:ascii="Arial" w:hAnsi="Arial"/>
        <w:b/>
      </w:rPr>
      <w:fldChar w:fldCharType="end"/>
    </w:r>
    <w:r>
      <w:rPr>
        <w:rFonts w:ascii="Arial" w:hAnsi="Arial"/>
        <w:b/>
      </w:rPr>
      <w:tab/>
    </w:r>
    <w:r w:rsidR="00B10C46">
      <w:rPr>
        <w:rFonts w:ascii="Arial" w:hAnsi="Arial"/>
        <w:b/>
      </w:rPr>
      <w:t>9B17M117</w:t>
    </w:r>
  </w:p>
  <w:p w14:paraId="587DE082" w14:textId="77777777" w:rsidR="009864BD" w:rsidRPr="00C92CC4" w:rsidRDefault="009864BD">
    <w:pPr>
      <w:pStyle w:val="Header"/>
      <w:rPr>
        <w:sz w:val="18"/>
        <w:szCs w:val="18"/>
      </w:rPr>
    </w:pPr>
  </w:p>
  <w:p w14:paraId="701AC9E5" w14:textId="77777777" w:rsidR="009864BD" w:rsidRPr="00C92CC4" w:rsidRDefault="009864BD">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414D3D"/>
    <w:multiLevelType w:val="hybridMultilevel"/>
    <w:tmpl w:val="DAE62626"/>
    <w:lvl w:ilvl="0" w:tplc="59C696BA">
      <w:start w:val="24"/>
      <w:numFmt w:val="bullet"/>
      <w:lvlText w:val=""/>
      <w:lvlJc w:val="left"/>
      <w:pPr>
        <w:ind w:left="720" w:hanging="360"/>
      </w:pPr>
      <w:rPr>
        <w:rFonts w:ascii="Symbol" w:eastAsia="Malgun Gothic"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5AE1111"/>
    <w:multiLevelType w:val="hybridMultilevel"/>
    <w:tmpl w:val="D4149142"/>
    <w:lvl w:ilvl="0" w:tplc="A3F44030">
      <w:start w:val="24"/>
      <w:numFmt w:val="bullet"/>
      <w:lvlText w:val=""/>
      <w:lvlJc w:val="left"/>
      <w:pPr>
        <w:ind w:left="720" w:hanging="360"/>
      </w:pPr>
      <w:rPr>
        <w:rFonts w:ascii="Symbol" w:eastAsia="Malgun Gothic"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2"/>
  </w:num>
  <w:num w:numId="14">
    <w:abstractNumId w:val="20"/>
  </w:num>
  <w:num w:numId="15">
    <w:abstractNumId w:val="21"/>
  </w:num>
  <w:num w:numId="16">
    <w:abstractNumId w:val="22"/>
  </w:num>
  <w:num w:numId="17">
    <w:abstractNumId w:val="15"/>
  </w:num>
  <w:num w:numId="18">
    <w:abstractNumId w:val="24"/>
  </w:num>
  <w:num w:numId="19">
    <w:abstractNumId w:val="11"/>
  </w:num>
  <w:num w:numId="20">
    <w:abstractNumId w:val="10"/>
  </w:num>
  <w:num w:numId="21">
    <w:abstractNumId w:val="25"/>
  </w:num>
  <w:num w:numId="22">
    <w:abstractNumId w:val="18"/>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7"/>
  </w:num>
  <w:num w:numId="28">
    <w:abstractNumId w:val="16"/>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numFmt w:val="chicago"/>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E9B"/>
    <w:rsid w:val="000039E1"/>
    <w:rsid w:val="00003A44"/>
    <w:rsid w:val="00006C80"/>
    <w:rsid w:val="00013360"/>
    <w:rsid w:val="000216CE"/>
    <w:rsid w:val="00025DC7"/>
    <w:rsid w:val="00026486"/>
    <w:rsid w:val="0003103A"/>
    <w:rsid w:val="00033F29"/>
    <w:rsid w:val="00044ECC"/>
    <w:rsid w:val="00050FDE"/>
    <w:rsid w:val="000531D3"/>
    <w:rsid w:val="00055705"/>
    <w:rsid w:val="00055C75"/>
    <w:rsid w:val="0005646B"/>
    <w:rsid w:val="000576D3"/>
    <w:rsid w:val="00057A1B"/>
    <w:rsid w:val="00071544"/>
    <w:rsid w:val="00072EB6"/>
    <w:rsid w:val="00076B39"/>
    <w:rsid w:val="000772A4"/>
    <w:rsid w:val="0008102D"/>
    <w:rsid w:val="0008167D"/>
    <w:rsid w:val="00086D7C"/>
    <w:rsid w:val="00092FA4"/>
    <w:rsid w:val="00093B3D"/>
    <w:rsid w:val="00093FED"/>
    <w:rsid w:val="000946F8"/>
    <w:rsid w:val="00094C0E"/>
    <w:rsid w:val="000A18F0"/>
    <w:rsid w:val="000A27F4"/>
    <w:rsid w:val="000B70DB"/>
    <w:rsid w:val="000C40AA"/>
    <w:rsid w:val="000D0619"/>
    <w:rsid w:val="000D54A4"/>
    <w:rsid w:val="000E5F97"/>
    <w:rsid w:val="000F0C22"/>
    <w:rsid w:val="000F2FB7"/>
    <w:rsid w:val="000F5D89"/>
    <w:rsid w:val="000F6B09"/>
    <w:rsid w:val="000F6FDC"/>
    <w:rsid w:val="00101A7E"/>
    <w:rsid w:val="00102D17"/>
    <w:rsid w:val="00104567"/>
    <w:rsid w:val="0011028E"/>
    <w:rsid w:val="00124882"/>
    <w:rsid w:val="00127086"/>
    <w:rsid w:val="0012732D"/>
    <w:rsid w:val="00127C6B"/>
    <w:rsid w:val="001410DF"/>
    <w:rsid w:val="00142178"/>
    <w:rsid w:val="00144070"/>
    <w:rsid w:val="0014493C"/>
    <w:rsid w:val="00147D61"/>
    <w:rsid w:val="00150868"/>
    <w:rsid w:val="00150BC7"/>
    <w:rsid w:val="00151FA3"/>
    <w:rsid w:val="00154FC4"/>
    <w:rsid w:val="00154FC9"/>
    <w:rsid w:val="001551EA"/>
    <w:rsid w:val="00157474"/>
    <w:rsid w:val="00163E92"/>
    <w:rsid w:val="001656A7"/>
    <w:rsid w:val="00166A2A"/>
    <w:rsid w:val="001778A2"/>
    <w:rsid w:val="00185D80"/>
    <w:rsid w:val="001875CA"/>
    <w:rsid w:val="001908B5"/>
    <w:rsid w:val="0019241A"/>
    <w:rsid w:val="00196176"/>
    <w:rsid w:val="001969C2"/>
    <w:rsid w:val="001A1AC1"/>
    <w:rsid w:val="001A5335"/>
    <w:rsid w:val="001A752D"/>
    <w:rsid w:val="001B1A76"/>
    <w:rsid w:val="001B4EB0"/>
    <w:rsid w:val="001B5065"/>
    <w:rsid w:val="001C13CD"/>
    <w:rsid w:val="001C6172"/>
    <w:rsid w:val="001E4D40"/>
    <w:rsid w:val="001E78B3"/>
    <w:rsid w:val="001E7E9B"/>
    <w:rsid w:val="001F04AB"/>
    <w:rsid w:val="00203AA1"/>
    <w:rsid w:val="00207AFB"/>
    <w:rsid w:val="00210F9E"/>
    <w:rsid w:val="00213E98"/>
    <w:rsid w:val="002179C4"/>
    <w:rsid w:val="00232391"/>
    <w:rsid w:val="00236AAE"/>
    <w:rsid w:val="00241647"/>
    <w:rsid w:val="002468A3"/>
    <w:rsid w:val="00250980"/>
    <w:rsid w:val="00260DF1"/>
    <w:rsid w:val="00261C35"/>
    <w:rsid w:val="00274867"/>
    <w:rsid w:val="002769C1"/>
    <w:rsid w:val="002772F5"/>
    <w:rsid w:val="00290B27"/>
    <w:rsid w:val="002969AA"/>
    <w:rsid w:val="002A00B9"/>
    <w:rsid w:val="002A176E"/>
    <w:rsid w:val="002B0FE9"/>
    <w:rsid w:val="002B6264"/>
    <w:rsid w:val="002B7DEB"/>
    <w:rsid w:val="002D5824"/>
    <w:rsid w:val="002D6079"/>
    <w:rsid w:val="002E32F0"/>
    <w:rsid w:val="002F1783"/>
    <w:rsid w:val="002F460C"/>
    <w:rsid w:val="002F48D6"/>
    <w:rsid w:val="002F4C05"/>
    <w:rsid w:val="0030093E"/>
    <w:rsid w:val="0031090D"/>
    <w:rsid w:val="00311EDC"/>
    <w:rsid w:val="00325A41"/>
    <w:rsid w:val="00326700"/>
    <w:rsid w:val="0032679F"/>
    <w:rsid w:val="00327A2B"/>
    <w:rsid w:val="003440E1"/>
    <w:rsid w:val="00344A12"/>
    <w:rsid w:val="00350144"/>
    <w:rsid w:val="00354899"/>
    <w:rsid w:val="00355FD6"/>
    <w:rsid w:val="00360480"/>
    <w:rsid w:val="00360C75"/>
    <w:rsid w:val="00361C8E"/>
    <w:rsid w:val="00362DF1"/>
    <w:rsid w:val="00364A5C"/>
    <w:rsid w:val="003679E8"/>
    <w:rsid w:val="00373FB1"/>
    <w:rsid w:val="00380FD0"/>
    <w:rsid w:val="0038159B"/>
    <w:rsid w:val="0038568E"/>
    <w:rsid w:val="003954A5"/>
    <w:rsid w:val="00396DB4"/>
    <w:rsid w:val="00397BA1"/>
    <w:rsid w:val="003A4830"/>
    <w:rsid w:val="003A4917"/>
    <w:rsid w:val="003B30D8"/>
    <w:rsid w:val="003B3D71"/>
    <w:rsid w:val="003B7EF2"/>
    <w:rsid w:val="003C3FA4"/>
    <w:rsid w:val="003C54CC"/>
    <w:rsid w:val="003C7A5D"/>
    <w:rsid w:val="003D4F8F"/>
    <w:rsid w:val="003D5A2F"/>
    <w:rsid w:val="003E7F70"/>
    <w:rsid w:val="003F17BD"/>
    <w:rsid w:val="003F2B0C"/>
    <w:rsid w:val="003F5099"/>
    <w:rsid w:val="0040139A"/>
    <w:rsid w:val="0040451F"/>
    <w:rsid w:val="0041188A"/>
    <w:rsid w:val="00414FA3"/>
    <w:rsid w:val="00417168"/>
    <w:rsid w:val="004221E4"/>
    <w:rsid w:val="004247DF"/>
    <w:rsid w:val="0042547C"/>
    <w:rsid w:val="00427C03"/>
    <w:rsid w:val="00430358"/>
    <w:rsid w:val="00432A38"/>
    <w:rsid w:val="004560D4"/>
    <w:rsid w:val="00461086"/>
    <w:rsid w:val="00465418"/>
    <w:rsid w:val="00467BBB"/>
    <w:rsid w:val="00471088"/>
    <w:rsid w:val="0047314A"/>
    <w:rsid w:val="0047380D"/>
    <w:rsid w:val="00477689"/>
    <w:rsid w:val="004823AA"/>
    <w:rsid w:val="00483AF9"/>
    <w:rsid w:val="00485A5C"/>
    <w:rsid w:val="004864D1"/>
    <w:rsid w:val="004867B1"/>
    <w:rsid w:val="0049138A"/>
    <w:rsid w:val="0049587D"/>
    <w:rsid w:val="00495EA2"/>
    <w:rsid w:val="0049748B"/>
    <w:rsid w:val="00497D18"/>
    <w:rsid w:val="004A3E26"/>
    <w:rsid w:val="004B1CCB"/>
    <w:rsid w:val="004C3391"/>
    <w:rsid w:val="004C524F"/>
    <w:rsid w:val="004C7D4B"/>
    <w:rsid w:val="004D4103"/>
    <w:rsid w:val="004D73A5"/>
    <w:rsid w:val="004E0D8C"/>
    <w:rsid w:val="004E6EDE"/>
    <w:rsid w:val="0050170D"/>
    <w:rsid w:val="0050691A"/>
    <w:rsid w:val="00510053"/>
    <w:rsid w:val="00521650"/>
    <w:rsid w:val="00525610"/>
    <w:rsid w:val="00530EE5"/>
    <w:rsid w:val="005313CC"/>
    <w:rsid w:val="00532CF5"/>
    <w:rsid w:val="005364B6"/>
    <w:rsid w:val="005443ED"/>
    <w:rsid w:val="00546BDF"/>
    <w:rsid w:val="00550200"/>
    <w:rsid w:val="005528CB"/>
    <w:rsid w:val="00553086"/>
    <w:rsid w:val="005604CE"/>
    <w:rsid w:val="00561767"/>
    <w:rsid w:val="00562FF3"/>
    <w:rsid w:val="00566771"/>
    <w:rsid w:val="0057071F"/>
    <w:rsid w:val="00571FB8"/>
    <w:rsid w:val="00573BA2"/>
    <w:rsid w:val="00580D6B"/>
    <w:rsid w:val="00581E2E"/>
    <w:rsid w:val="00584F15"/>
    <w:rsid w:val="00590DEF"/>
    <w:rsid w:val="00591DF5"/>
    <w:rsid w:val="0059388C"/>
    <w:rsid w:val="00593C4B"/>
    <w:rsid w:val="00596539"/>
    <w:rsid w:val="005A12FD"/>
    <w:rsid w:val="005A252A"/>
    <w:rsid w:val="005A3E82"/>
    <w:rsid w:val="005A48F9"/>
    <w:rsid w:val="005B0F7E"/>
    <w:rsid w:val="005B18A3"/>
    <w:rsid w:val="005C3B2E"/>
    <w:rsid w:val="005C7FCD"/>
    <w:rsid w:val="005D00E8"/>
    <w:rsid w:val="005D41DA"/>
    <w:rsid w:val="005E1BED"/>
    <w:rsid w:val="00605358"/>
    <w:rsid w:val="00611034"/>
    <w:rsid w:val="00613A7D"/>
    <w:rsid w:val="006163F7"/>
    <w:rsid w:val="00617A99"/>
    <w:rsid w:val="00620E25"/>
    <w:rsid w:val="006213A3"/>
    <w:rsid w:val="0062318D"/>
    <w:rsid w:val="006233FB"/>
    <w:rsid w:val="00623E8E"/>
    <w:rsid w:val="006276F7"/>
    <w:rsid w:val="00636D84"/>
    <w:rsid w:val="00637632"/>
    <w:rsid w:val="00640619"/>
    <w:rsid w:val="00642E5E"/>
    <w:rsid w:val="00647392"/>
    <w:rsid w:val="0065040D"/>
    <w:rsid w:val="00652606"/>
    <w:rsid w:val="00653B63"/>
    <w:rsid w:val="00666715"/>
    <w:rsid w:val="00667EFC"/>
    <w:rsid w:val="00682754"/>
    <w:rsid w:val="00683FDD"/>
    <w:rsid w:val="00685BC6"/>
    <w:rsid w:val="006944E7"/>
    <w:rsid w:val="00695910"/>
    <w:rsid w:val="006A58A9"/>
    <w:rsid w:val="006A606D"/>
    <w:rsid w:val="006A60F2"/>
    <w:rsid w:val="006B266F"/>
    <w:rsid w:val="006B7F7A"/>
    <w:rsid w:val="006C0371"/>
    <w:rsid w:val="006C08B6"/>
    <w:rsid w:val="006C0B1A"/>
    <w:rsid w:val="006C4384"/>
    <w:rsid w:val="006C6065"/>
    <w:rsid w:val="006C7F9F"/>
    <w:rsid w:val="006D0B6E"/>
    <w:rsid w:val="006D63AA"/>
    <w:rsid w:val="006D705C"/>
    <w:rsid w:val="006D75E6"/>
    <w:rsid w:val="006E2F6D"/>
    <w:rsid w:val="006E58F6"/>
    <w:rsid w:val="006E77E1"/>
    <w:rsid w:val="006F131D"/>
    <w:rsid w:val="006F1D9E"/>
    <w:rsid w:val="00701D89"/>
    <w:rsid w:val="0070363B"/>
    <w:rsid w:val="0070609D"/>
    <w:rsid w:val="00716E29"/>
    <w:rsid w:val="00722781"/>
    <w:rsid w:val="00722A42"/>
    <w:rsid w:val="00723FEA"/>
    <w:rsid w:val="00727542"/>
    <w:rsid w:val="00730823"/>
    <w:rsid w:val="00734508"/>
    <w:rsid w:val="007517AA"/>
    <w:rsid w:val="00752BCD"/>
    <w:rsid w:val="0075372C"/>
    <w:rsid w:val="00760C4C"/>
    <w:rsid w:val="007640AB"/>
    <w:rsid w:val="007640BF"/>
    <w:rsid w:val="007641A8"/>
    <w:rsid w:val="00765EB2"/>
    <w:rsid w:val="00766DA1"/>
    <w:rsid w:val="0077781E"/>
    <w:rsid w:val="007812E8"/>
    <w:rsid w:val="00782404"/>
    <w:rsid w:val="007853DB"/>
    <w:rsid w:val="007866A6"/>
    <w:rsid w:val="0079530C"/>
    <w:rsid w:val="007A130D"/>
    <w:rsid w:val="007A2B24"/>
    <w:rsid w:val="007B0DB9"/>
    <w:rsid w:val="007B4424"/>
    <w:rsid w:val="007B6921"/>
    <w:rsid w:val="007C2F9A"/>
    <w:rsid w:val="007D140B"/>
    <w:rsid w:val="007D4102"/>
    <w:rsid w:val="007D42C3"/>
    <w:rsid w:val="007E5921"/>
    <w:rsid w:val="007E5A6A"/>
    <w:rsid w:val="007E5C60"/>
    <w:rsid w:val="007E76DC"/>
    <w:rsid w:val="007F390D"/>
    <w:rsid w:val="0080054F"/>
    <w:rsid w:val="00810FBC"/>
    <w:rsid w:val="00821FFC"/>
    <w:rsid w:val="008271CA"/>
    <w:rsid w:val="008324AA"/>
    <w:rsid w:val="00832E89"/>
    <w:rsid w:val="00842703"/>
    <w:rsid w:val="00844009"/>
    <w:rsid w:val="008452C7"/>
    <w:rsid w:val="008467D5"/>
    <w:rsid w:val="0084778B"/>
    <w:rsid w:val="00852840"/>
    <w:rsid w:val="00854557"/>
    <w:rsid w:val="0085596C"/>
    <w:rsid w:val="00856D9F"/>
    <w:rsid w:val="008574FE"/>
    <w:rsid w:val="00862A7F"/>
    <w:rsid w:val="00866F6D"/>
    <w:rsid w:val="008738A2"/>
    <w:rsid w:val="008849D4"/>
    <w:rsid w:val="008947D0"/>
    <w:rsid w:val="00895639"/>
    <w:rsid w:val="008A3CB4"/>
    <w:rsid w:val="008A4DC4"/>
    <w:rsid w:val="008A7C93"/>
    <w:rsid w:val="008B0082"/>
    <w:rsid w:val="008B0EF3"/>
    <w:rsid w:val="008C09C8"/>
    <w:rsid w:val="008C5995"/>
    <w:rsid w:val="008D142D"/>
    <w:rsid w:val="008D49D1"/>
    <w:rsid w:val="008D7A9A"/>
    <w:rsid w:val="008E363E"/>
    <w:rsid w:val="008F3518"/>
    <w:rsid w:val="009067A4"/>
    <w:rsid w:val="0090722E"/>
    <w:rsid w:val="00907C0C"/>
    <w:rsid w:val="00907C30"/>
    <w:rsid w:val="00915378"/>
    <w:rsid w:val="009211DC"/>
    <w:rsid w:val="009340DB"/>
    <w:rsid w:val="009350C8"/>
    <w:rsid w:val="00945B20"/>
    <w:rsid w:val="00945C72"/>
    <w:rsid w:val="00945F9E"/>
    <w:rsid w:val="00946259"/>
    <w:rsid w:val="00951C08"/>
    <w:rsid w:val="00952950"/>
    <w:rsid w:val="00953592"/>
    <w:rsid w:val="009565FE"/>
    <w:rsid w:val="00960EB9"/>
    <w:rsid w:val="009723A2"/>
    <w:rsid w:val="00972498"/>
    <w:rsid w:val="00974CC6"/>
    <w:rsid w:val="00976AD4"/>
    <w:rsid w:val="0098143E"/>
    <w:rsid w:val="0098146C"/>
    <w:rsid w:val="009832AE"/>
    <w:rsid w:val="009832B2"/>
    <w:rsid w:val="00985159"/>
    <w:rsid w:val="009864BD"/>
    <w:rsid w:val="00991E9B"/>
    <w:rsid w:val="0099367A"/>
    <w:rsid w:val="009A195C"/>
    <w:rsid w:val="009A312F"/>
    <w:rsid w:val="009A5348"/>
    <w:rsid w:val="009A67BB"/>
    <w:rsid w:val="009B143F"/>
    <w:rsid w:val="009B4221"/>
    <w:rsid w:val="009C76D5"/>
    <w:rsid w:val="009D09A6"/>
    <w:rsid w:val="009D0A3D"/>
    <w:rsid w:val="009D2811"/>
    <w:rsid w:val="009D3D6D"/>
    <w:rsid w:val="009D5C8F"/>
    <w:rsid w:val="009D61E4"/>
    <w:rsid w:val="009E571C"/>
    <w:rsid w:val="009E5835"/>
    <w:rsid w:val="009F2A26"/>
    <w:rsid w:val="009F7AA4"/>
    <w:rsid w:val="00A00EA1"/>
    <w:rsid w:val="00A03722"/>
    <w:rsid w:val="00A07565"/>
    <w:rsid w:val="00A30280"/>
    <w:rsid w:val="00A33C92"/>
    <w:rsid w:val="00A41A7B"/>
    <w:rsid w:val="00A41BC3"/>
    <w:rsid w:val="00A433AC"/>
    <w:rsid w:val="00A522C1"/>
    <w:rsid w:val="00A528B2"/>
    <w:rsid w:val="00A559DB"/>
    <w:rsid w:val="00A56FB8"/>
    <w:rsid w:val="00A616B1"/>
    <w:rsid w:val="00A64BAB"/>
    <w:rsid w:val="00A66656"/>
    <w:rsid w:val="00A7019E"/>
    <w:rsid w:val="00A719C8"/>
    <w:rsid w:val="00A74BE5"/>
    <w:rsid w:val="00A77843"/>
    <w:rsid w:val="00A77B86"/>
    <w:rsid w:val="00A87062"/>
    <w:rsid w:val="00A92227"/>
    <w:rsid w:val="00A9724B"/>
    <w:rsid w:val="00A97BE1"/>
    <w:rsid w:val="00AA120E"/>
    <w:rsid w:val="00AA3C9D"/>
    <w:rsid w:val="00AB540E"/>
    <w:rsid w:val="00AD0ACA"/>
    <w:rsid w:val="00AD146B"/>
    <w:rsid w:val="00AE00C2"/>
    <w:rsid w:val="00AE42FF"/>
    <w:rsid w:val="00AE7AAC"/>
    <w:rsid w:val="00AF19FE"/>
    <w:rsid w:val="00AF35FC"/>
    <w:rsid w:val="00AF54C4"/>
    <w:rsid w:val="00B018E5"/>
    <w:rsid w:val="00B03639"/>
    <w:rsid w:val="00B0652A"/>
    <w:rsid w:val="00B1056B"/>
    <w:rsid w:val="00B10C46"/>
    <w:rsid w:val="00B12036"/>
    <w:rsid w:val="00B15F59"/>
    <w:rsid w:val="00B2013D"/>
    <w:rsid w:val="00B208D4"/>
    <w:rsid w:val="00B34069"/>
    <w:rsid w:val="00B35387"/>
    <w:rsid w:val="00B3757D"/>
    <w:rsid w:val="00B4013B"/>
    <w:rsid w:val="00B40937"/>
    <w:rsid w:val="00B41CE8"/>
    <w:rsid w:val="00B423EF"/>
    <w:rsid w:val="00B453DE"/>
    <w:rsid w:val="00B4742F"/>
    <w:rsid w:val="00B5078B"/>
    <w:rsid w:val="00B52BC1"/>
    <w:rsid w:val="00B66874"/>
    <w:rsid w:val="00B72237"/>
    <w:rsid w:val="00B7396A"/>
    <w:rsid w:val="00B772B7"/>
    <w:rsid w:val="00B846E8"/>
    <w:rsid w:val="00B873D6"/>
    <w:rsid w:val="00B901F9"/>
    <w:rsid w:val="00B911CC"/>
    <w:rsid w:val="00B92830"/>
    <w:rsid w:val="00B9494F"/>
    <w:rsid w:val="00BA1187"/>
    <w:rsid w:val="00BA38B9"/>
    <w:rsid w:val="00BA6EC8"/>
    <w:rsid w:val="00BB0CDB"/>
    <w:rsid w:val="00BD3A9F"/>
    <w:rsid w:val="00BD525D"/>
    <w:rsid w:val="00BD6EFB"/>
    <w:rsid w:val="00BE7458"/>
    <w:rsid w:val="00C041C5"/>
    <w:rsid w:val="00C0628C"/>
    <w:rsid w:val="00C15BE2"/>
    <w:rsid w:val="00C15FD0"/>
    <w:rsid w:val="00C16520"/>
    <w:rsid w:val="00C22219"/>
    <w:rsid w:val="00C30DB8"/>
    <w:rsid w:val="00C323E9"/>
    <w:rsid w:val="00C3447F"/>
    <w:rsid w:val="00C37FD9"/>
    <w:rsid w:val="00C41FDE"/>
    <w:rsid w:val="00C46387"/>
    <w:rsid w:val="00C550D2"/>
    <w:rsid w:val="00C67C1B"/>
    <w:rsid w:val="00C7112A"/>
    <w:rsid w:val="00C7171C"/>
    <w:rsid w:val="00C73A77"/>
    <w:rsid w:val="00C73E67"/>
    <w:rsid w:val="00C747E6"/>
    <w:rsid w:val="00C7666B"/>
    <w:rsid w:val="00C77FA8"/>
    <w:rsid w:val="00C81491"/>
    <w:rsid w:val="00C81676"/>
    <w:rsid w:val="00C85162"/>
    <w:rsid w:val="00C879DA"/>
    <w:rsid w:val="00C92CC4"/>
    <w:rsid w:val="00C943BA"/>
    <w:rsid w:val="00CA0AFB"/>
    <w:rsid w:val="00CA2CE1"/>
    <w:rsid w:val="00CA3976"/>
    <w:rsid w:val="00CA7381"/>
    <w:rsid w:val="00CA757B"/>
    <w:rsid w:val="00CB27F8"/>
    <w:rsid w:val="00CB5067"/>
    <w:rsid w:val="00CB6B09"/>
    <w:rsid w:val="00CC16F9"/>
    <w:rsid w:val="00CC1787"/>
    <w:rsid w:val="00CC182C"/>
    <w:rsid w:val="00CC7791"/>
    <w:rsid w:val="00CD06FD"/>
    <w:rsid w:val="00CD0824"/>
    <w:rsid w:val="00CD2908"/>
    <w:rsid w:val="00CD70CC"/>
    <w:rsid w:val="00CE0ACF"/>
    <w:rsid w:val="00CE6781"/>
    <w:rsid w:val="00CF4250"/>
    <w:rsid w:val="00CF5E41"/>
    <w:rsid w:val="00CF7713"/>
    <w:rsid w:val="00D0254D"/>
    <w:rsid w:val="00D03A82"/>
    <w:rsid w:val="00D115CF"/>
    <w:rsid w:val="00D11D0B"/>
    <w:rsid w:val="00D15344"/>
    <w:rsid w:val="00D212CA"/>
    <w:rsid w:val="00D224DA"/>
    <w:rsid w:val="00D31BEC"/>
    <w:rsid w:val="00D31ED0"/>
    <w:rsid w:val="00D32629"/>
    <w:rsid w:val="00D347A7"/>
    <w:rsid w:val="00D36600"/>
    <w:rsid w:val="00D45951"/>
    <w:rsid w:val="00D50AD1"/>
    <w:rsid w:val="00D56EC7"/>
    <w:rsid w:val="00D63150"/>
    <w:rsid w:val="00D64A32"/>
    <w:rsid w:val="00D64EFC"/>
    <w:rsid w:val="00D67596"/>
    <w:rsid w:val="00D678F5"/>
    <w:rsid w:val="00D679BA"/>
    <w:rsid w:val="00D75295"/>
    <w:rsid w:val="00D76CE9"/>
    <w:rsid w:val="00D80E8A"/>
    <w:rsid w:val="00D91AEF"/>
    <w:rsid w:val="00D97F12"/>
    <w:rsid w:val="00DA23C3"/>
    <w:rsid w:val="00DA474D"/>
    <w:rsid w:val="00DB42E7"/>
    <w:rsid w:val="00DB48FC"/>
    <w:rsid w:val="00DB6C43"/>
    <w:rsid w:val="00DC15D4"/>
    <w:rsid w:val="00DC40A7"/>
    <w:rsid w:val="00DC40D1"/>
    <w:rsid w:val="00DC5F9A"/>
    <w:rsid w:val="00DC6BDA"/>
    <w:rsid w:val="00DC7563"/>
    <w:rsid w:val="00DD11F9"/>
    <w:rsid w:val="00DD5F9A"/>
    <w:rsid w:val="00DE3B98"/>
    <w:rsid w:val="00DF270F"/>
    <w:rsid w:val="00DF32C2"/>
    <w:rsid w:val="00DF4259"/>
    <w:rsid w:val="00E008DB"/>
    <w:rsid w:val="00E12561"/>
    <w:rsid w:val="00E16430"/>
    <w:rsid w:val="00E21954"/>
    <w:rsid w:val="00E253C4"/>
    <w:rsid w:val="00E449F7"/>
    <w:rsid w:val="00E44BB3"/>
    <w:rsid w:val="00E4526F"/>
    <w:rsid w:val="00E471A7"/>
    <w:rsid w:val="00E531CC"/>
    <w:rsid w:val="00E555A7"/>
    <w:rsid w:val="00E630CE"/>
    <w:rsid w:val="00E635CF"/>
    <w:rsid w:val="00E64CAA"/>
    <w:rsid w:val="00E7471C"/>
    <w:rsid w:val="00E8485D"/>
    <w:rsid w:val="00E8631C"/>
    <w:rsid w:val="00E92381"/>
    <w:rsid w:val="00EA102A"/>
    <w:rsid w:val="00EA14B4"/>
    <w:rsid w:val="00EA1FE3"/>
    <w:rsid w:val="00EA72C5"/>
    <w:rsid w:val="00EB457B"/>
    <w:rsid w:val="00EB4647"/>
    <w:rsid w:val="00EB5410"/>
    <w:rsid w:val="00EC043E"/>
    <w:rsid w:val="00EC1C0C"/>
    <w:rsid w:val="00EC6E0A"/>
    <w:rsid w:val="00EC6FF0"/>
    <w:rsid w:val="00ED0E26"/>
    <w:rsid w:val="00ED12A6"/>
    <w:rsid w:val="00ED4E18"/>
    <w:rsid w:val="00ED50AD"/>
    <w:rsid w:val="00ED6FA7"/>
    <w:rsid w:val="00EE1F37"/>
    <w:rsid w:val="00EE444C"/>
    <w:rsid w:val="00EE73EC"/>
    <w:rsid w:val="00EF3726"/>
    <w:rsid w:val="00F0159C"/>
    <w:rsid w:val="00F04035"/>
    <w:rsid w:val="00F06629"/>
    <w:rsid w:val="00F07ACF"/>
    <w:rsid w:val="00F07D01"/>
    <w:rsid w:val="00F1028C"/>
    <w:rsid w:val="00F105B7"/>
    <w:rsid w:val="00F11BFC"/>
    <w:rsid w:val="00F17A21"/>
    <w:rsid w:val="00F203DE"/>
    <w:rsid w:val="00F244B7"/>
    <w:rsid w:val="00F27517"/>
    <w:rsid w:val="00F41977"/>
    <w:rsid w:val="00F42C17"/>
    <w:rsid w:val="00F454DF"/>
    <w:rsid w:val="00F50E91"/>
    <w:rsid w:val="00F57D29"/>
    <w:rsid w:val="00F60170"/>
    <w:rsid w:val="00F625F3"/>
    <w:rsid w:val="00F646E8"/>
    <w:rsid w:val="00F703EC"/>
    <w:rsid w:val="00F70592"/>
    <w:rsid w:val="00F70A38"/>
    <w:rsid w:val="00F726FD"/>
    <w:rsid w:val="00F760B4"/>
    <w:rsid w:val="00F769A8"/>
    <w:rsid w:val="00F845FA"/>
    <w:rsid w:val="00F86012"/>
    <w:rsid w:val="00F8741A"/>
    <w:rsid w:val="00F911C7"/>
    <w:rsid w:val="00F92A99"/>
    <w:rsid w:val="00F94414"/>
    <w:rsid w:val="00F96201"/>
    <w:rsid w:val="00F9690E"/>
    <w:rsid w:val="00FA1F78"/>
    <w:rsid w:val="00FB6BB0"/>
    <w:rsid w:val="00FC30E9"/>
    <w:rsid w:val="00FD0B18"/>
    <w:rsid w:val="00FD0F82"/>
    <w:rsid w:val="00FD38A6"/>
    <w:rsid w:val="00FD3A0D"/>
    <w:rsid w:val="00FE12AF"/>
    <w:rsid w:val="00FE2069"/>
    <w:rsid w:val="00FE714F"/>
    <w:rsid w:val="00FF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D1A1622"/>
  <w15:docId w15:val="{969AD6C0-33C7-4D29-93DC-1E343F967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66715"/>
    <w:pPr>
      <w:keepNext/>
      <w:keepLines/>
      <w:widowControl w:val="0"/>
      <w:spacing w:before="240"/>
      <w:jc w:val="both"/>
      <w:outlineLvl w:val="0"/>
    </w:pPr>
    <w:rPr>
      <w:rFonts w:asciiTheme="majorHAnsi" w:eastAsiaTheme="majorEastAsia" w:hAnsiTheme="majorHAnsi" w:cstheme="majorBidi"/>
      <w:color w:val="365F91" w:themeColor="accent1" w:themeShade="BF"/>
      <w:sz w:val="32"/>
      <w:szCs w:val="32"/>
      <w:lang w:eastAsia="ja-JP"/>
    </w:rPr>
  </w:style>
  <w:style w:type="paragraph" w:styleId="Heading2">
    <w:name w:val="heading 2"/>
    <w:basedOn w:val="Normal"/>
    <w:link w:val="Heading2Char"/>
    <w:uiPriority w:val="9"/>
    <w:semiHidden/>
    <w:unhideWhenUsed/>
    <w:qFormat/>
    <w:rsid w:val="00666715"/>
    <w:pPr>
      <w:spacing w:before="100" w:beforeAutospacing="1" w:after="100" w:afterAutospacing="1"/>
      <w:outlineLvl w:val="1"/>
    </w:pPr>
    <w:rPr>
      <w:b/>
      <w:bCs/>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uiPriority w:val="99"/>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uiPriority w:val="99"/>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uiPriority w:val="99"/>
    <w:rsid w:val="003B7EF2"/>
    <w:pPr>
      <w:pBdr>
        <w:top w:val="none" w:sz="0" w:space="0" w:color="auto"/>
      </w:pBdr>
    </w:pPr>
  </w:style>
  <w:style w:type="paragraph" w:styleId="BodyText">
    <w:name w:val="Body Text"/>
    <w:basedOn w:val="Normal"/>
    <w:link w:val="BodyTextChar"/>
    <w:uiPriority w:val="99"/>
    <w:unhideWhenUsed/>
    <w:rsid w:val="00CA3976"/>
    <w:pPr>
      <w:spacing w:after="120"/>
    </w:p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paragraph" w:styleId="NoSpacing">
    <w:name w:val="No Spacing"/>
    <w:uiPriority w:val="1"/>
    <w:qFormat/>
    <w:rsid w:val="00991E9B"/>
    <w:pPr>
      <w:spacing w:after="0" w:line="240" w:lineRule="auto"/>
    </w:pPr>
    <w:rPr>
      <w:lang w:eastAsia="ja-JP"/>
    </w:rPr>
  </w:style>
  <w:style w:type="character" w:customStyle="1" w:styleId="citationtext">
    <w:name w:val="citation_text"/>
    <w:basedOn w:val="DefaultParagraphFont"/>
    <w:rsid w:val="00991E9B"/>
  </w:style>
  <w:style w:type="character" w:customStyle="1" w:styleId="tgc">
    <w:name w:val="_tgc"/>
    <w:basedOn w:val="DefaultParagraphFont"/>
    <w:rsid w:val="00991E9B"/>
  </w:style>
  <w:style w:type="character" w:customStyle="1" w:styleId="Heading1Char">
    <w:name w:val="Heading 1 Char"/>
    <w:basedOn w:val="DefaultParagraphFont"/>
    <w:link w:val="Heading1"/>
    <w:uiPriority w:val="9"/>
    <w:rsid w:val="00666715"/>
    <w:rPr>
      <w:rFonts w:asciiTheme="majorHAnsi" w:eastAsiaTheme="majorEastAsia" w:hAnsiTheme="majorHAnsi" w:cstheme="majorBidi"/>
      <w:color w:val="365F91" w:themeColor="accent1" w:themeShade="BF"/>
      <w:sz w:val="32"/>
      <w:szCs w:val="32"/>
      <w:lang w:eastAsia="ja-JP"/>
    </w:rPr>
  </w:style>
  <w:style w:type="character" w:customStyle="1" w:styleId="Heading2Char">
    <w:name w:val="Heading 2 Char"/>
    <w:basedOn w:val="DefaultParagraphFont"/>
    <w:link w:val="Heading2"/>
    <w:uiPriority w:val="9"/>
    <w:semiHidden/>
    <w:rsid w:val="00666715"/>
    <w:rPr>
      <w:rFonts w:ascii="Times New Roman" w:eastAsia="Times New Roman" w:hAnsi="Times New Roman" w:cs="Times New Roman"/>
      <w:b/>
      <w:bCs/>
      <w:sz w:val="36"/>
      <w:szCs w:val="36"/>
      <w:lang w:eastAsia="ja-JP"/>
    </w:rPr>
  </w:style>
  <w:style w:type="character" w:styleId="FollowedHyperlink">
    <w:name w:val="FollowedHyperlink"/>
    <w:basedOn w:val="DefaultParagraphFont"/>
    <w:uiPriority w:val="99"/>
    <w:semiHidden/>
    <w:unhideWhenUsed/>
    <w:rsid w:val="00666715"/>
    <w:rPr>
      <w:color w:val="800080" w:themeColor="followedHyperlink"/>
      <w:u w:val="single"/>
    </w:rPr>
  </w:style>
  <w:style w:type="paragraph" w:styleId="DocumentMap">
    <w:name w:val="Document Map"/>
    <w:basedOn w:val="Normal"/>
    <w:link w:val="DocumentMapChar"/>
    <w:uiPriority w:val="99"/>
    <w:semiHidden/>
    <w:unhideWhenUsed/>
    <w:rsid w:val="00666715"/>
    <w:rPr>
      <w:sz w:val="24"/>
      <w:szCs w:val="24"/>
    </w:rPr>
  </w:style>
  <w:style w:type="character" w:customStyle="1" w:styleId="DocumentMapChar">
    <w:name w:val="Document Map Char"/>
    <w:basedOn w:val="DefaultParagraphFont"/>
    <w:link w:val="DocumentMap"/>
    <w:uiPriority w:val="99"/>
    <w:semiHidden/>
    <w:rsid w:val="00666715"/>
    <w:rPr>
      <w:rFonts w:ascii="Times New Roman" w:eastAsia="Times New Roman" w:hAnsi="Times New Roman" w:cs="Times New Roman"/>
      <w:sz w:val="24"/>
      <w:szCs w:val="24"/>
    </w:rPr>
  </w:style>
  <w:style w:type="character" w:customStyle="1" w:styleId="IveyQuotesChar">
    <w:name w:val="Ivey Quotes Char"/>
    <w:basedOn w:val="DefaultParagraphFont"/>
    <w:link w:val="IveyQuotes"/>
    <w:locked/>
    <w:rsid w:val="00666715"/>
    <w:rPr>
      <w:rFonts w:ascii="Times New Roman" w:eastAsia="ヒラギノ明朝 Pro W3" w:hAnsi="Times New Roman" w:cs="Times New Roman"/>
      <w:lang w:eastAsia="ja-JP"/>
    </w:rPr>
  </w:style>
  <w:style w:type="paragraph" w:customStyle="1" w:styleId="IveyQuotes">
    <w:name w:val="Ivey Quotes"/>
    <w:basedOn w:val="Normal"/>
    <w:link w:val="IveyQuotesChar"/>
    <w:qFormat/>
    <w:rsid w:val="00666715"/>
    <w:pPr>
      <w:ind w:left="720"/>
      <w:contextualSpacing/>
      <w:jc w:val="right"/>
    </w:pPr>
    <w:rPr>
      <w:rFonts w:eastAsia="ヒラギノ明朝 Pro W3"/>
      <w:sz w:val="22"/>
      <w:szCs w:val="22"/>
      <w:lang w:eastAsia="ja-JP"/>
    </w:rPr>
  </w:style>
  <w:style w:type="paragraph" w:customStyle="1" w:styleId="p1">
    <w:name w:val="p1"/>
    <w:basedOn w:val="Normal"/>
    <w:uiPriority w:val="99"/>
    <w:rsid w:val="00666715"/>
    <w:rPr>
      <w:rFonts w:ascii="Helvetica" w:eastAsiaTheme="minorEastAsia" w:hAnsi="Helvetica"/>
      <w:color w:val="4F4F4F"/>
      <w:sz w:val="27"/>
      <w:szCs w:val="27"/>
    </w:rPr>
  </w:style>
  <w:style w:type="character" w:customStyle="1" w:styleId="s1">
    <w:name w:val="s1"/>
    <w:basedOn w:val="DefaultParagraphFont"/>
    <w:rsid w:val="00666715"/>
  </w:style>
  <w:style w:type="character" w:customStyle="1" w:styleId="citation">
    <w:name w:val="citation"/>
    <w:basedOn w:val="DefaultParagraphFont"/>
    <w:rsid w:val="00666715"/>
  </w:style>
  <w:style w:type="table" w:customStyle="1" w:styleId="PlainTable21">
    <w:name w:val="Plain Table 21"/>
    <w:basedOn w:val="TableNormal"/>
    <w:uiPriority w:val="42"/>
    <w:rsid w:val="00666715"/>
    <w:pPr>
      <w:spacing w:after="0" w:line="240" w:lineRule="auto"/>
    </w:pPr>
    <w:rPr>
      <w:lang w:eastAsia="ja-JP"/>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Cite">
    <w:name w:val="HTML Cite"/>
    <w:basedOn w:val="DefaultParagraphFont"/>
    <w:uiPriority w:val="99"/>
    <w:semiHidden/>
    <w:unhideWhenUsed/>
    <w:rsid w:val="006667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19016">
      <w:bodyDiv w:val="1"/>
      <w:marLeft w:val="0"/>
      <w:marRight w:val="0"/>
      <w:marTop w:val="0"/>
      <w:marBottom w:val="0"/>
      <w:divBdr>
        <w:top w:val="none" w:sz="0" w:space="0" w:color="auto"/>
        <w:left w:val="none" w:sz="0" w:space="0" w:color="auto"/>
        <w:bottom w:val="none" w:sz="0" w:space="0" w:color="auto"/>
        <w:right w:val="none" w:sz="0" w:space="0" w:color="auto"/>
      </w:divBdr>
      <w:divsChild>
        <w:div w:id="381489322">
          <w:marLeft w:val="0"/>
          <w:marRight w:val="0"/>
          <w:marTop w:val="0"/>
          <w:marBottom w:val="0"/>
          <w:divBdr>
            <w:top w:val="none" w:sz="0" w:space="0" w:color="auto"/>
            <w:left w:val="none" w:sz="0" w:space="0" w:color="auto"/>
            <w:bottom w:val="none" w:sz="0" w:space="0" w:color="auto"/>
            <w:right w:val="none" w:sz="0" w:space="0" w:color="auto"/>
          </w:divBdr>
        </w:div>
        <w:div w:id="1151944014">
          <w:marLeft w:val="0"/>
          <w:marRight w:val="0"/>
          <w:marTop w:val="0"/>
          <w:marBottom w:val="0"/>
          <w:divBdr>
            <w:top w:val="none" w:sz="0" w:space="0" w:color="auto"/>
            <w:left w:val="none" w:sz="0" w:space="0" w:color="auto"/>
            <w:bottom w:val="none" w:sz="0" w:space="0" w:color="auto"/>
            <w:right w:val="none" w:sz="0" w:space="0" w:color="auto"/>
          </w:divBdr>
        </w:div>
        <w:div w:id="1372657068">
          <w:marLeft w:val="0"/>
          <w:marRight w:val="0"/>
          <w:marTop w:val="0"/>
          <w:marBottom w:val="0"/>
          <w:divBdr>
            <w:top w:val="none" w:sz="0" w:space="0" w:color="auto"/>
            <w:left w:val="none" w:sz="0" w:space="0" w:color="auto"/>
            <w:bottom w:val="none" w:sz="0" w:space="0" w:color="auto"/>
            <w:right w:val="none" w:sz="0" w:space="0" w:color="auto"/>
          </w:divBdr>
        </w:div>
        <w:div w:id="1705213014">
          <w:marLeft w:val="0"/>
          <w:marRight w:val="0"/>
          <w:marTop w:val="0"/>
          <w:marBottom w:val="0"/>
          <w:divBdr>
            <w:top w:val="none" w:sz="0" w:space="0" w:color="auto"/>
            <w:left w:val="none" w:sz="0" w:space="0" w:color="auto"/>
            <w:bottom w:val="none" w:sz="0" w:space="0" w:color="auto"/>
            <w:right w:val="none" w:sz="0" w:space="0" w:color="auto"/>
          </w:divBdr>
        </w:div>
        <w:div w:id="1745027282">
          <w:marLeft w:val="0"/>
          <w:marRight w:val="0"/>
          <w:marTop w:val="0"/>
          <w:marBottom w:val="0"/>
          <w:divBdr>
            <w:top w:val="none" w:sz="0" w:space="0" w:color="auto"/>
            <w:left w:val="none" w:sz="0" w:space="0" w:color="auto"/>
            <w:bottom w:val="none" w:sz="0" w:space="0" w:color="auto"/>
            <w:right w:val="none" w:sz="0" w:space="0" w:color="auto"/>
          </w:divBdr>
        </w:div>
        <w:div w:id="1768767272">
          <w:marLeft w:val="0"/>
          <w:marRight w:val="0"/>
          <w:marTop w:val="0"/>
          <w:marBottom w:val="0"/>
          <w:divBdr>
            <w:top w:val="none" w:sz="0" w:space="0" w:color="auto"/>
            <w:left w:val="none" w:sz="0" w:space="0" w:color="auto"/>
            <w:bottom w:val="none" w:sz="0" w:space="0" w:color="auto"/>
            <w:right w:val="none" w:sz="0" w:space="0" w:color="auto"/>
          </w:divBdr>
        </w:div>
        <w:div w:id="1909418768">
          <w:marLeft w:val="0"/>
          <w:marRight w:val="0"/>
          <w:marTop w:val="0"/>
          <w:marBottom w:val="0"/>
          <w:divBdr>
            <w:top w:val="none" w:sz="0" w:space="0" w:color="auto"/>
            <w:left w:val="none" w:sz="0" w:space="0" w:color="auto"/>
            <w:bottom w:val="none" w:sz="0" w:space="0" w:color="auto"/>
            <w:right w:val="none" w:sz="0" w:space="0" w:color="auto"/>
          </w:divBdr>
        </w:div>
        <w:div w:id="2133983742">
          <w:marLeft w:val="0"/>
          <w:marRight w:val="0"/>
          <w:marTop w:val="0"/>
          <w:marBottom w:val="0"/>
          <w:divBdr>
            <w:top w:val="none" w:sz="0" w:space="0" w:color="auto"/>
            <w:left w:val="none" w:sz="0" w:space="0" w:color="auto"/>
            <w:bottom w:val="none" w:sz="0" w:space="0" w:color="auto"/>
            <w:right w:val="none" w:sz="0" w:space="0" w:color="auto"/>
          </w:divBdr>
        </w:div>
      </w:divsChild>
    </w:div>
    <w:div w:id="646783989">
      <w:bodyDiv w:val="1"/>
      <w:marLeft w:val="0"/>
      <w:marRight w:val="0"/>
      <w:marTop w:val="0"/>
      <w:marBottom w:val="0"/>
      <w:divBdr>
        <w:top w:val="none" w:sz="0" w:space="0" w:color="auto"/>
        <w:left w:val="none" w:sz="0" w:space="0" w:color="auto"/>
        <w:bottom w:val="none" w:sz="0" w:space="0" w:color="auto"/>
        <w:right w:val="none" w:sz="0" w:space="0" w:color="auto"/>
      </w:divBdr>
    </w:div>
    <w:div w:id="799806007">
      <w:bodyDiv w:val="1"/>
      <w:marLeft w:val="0"/>
      <w:marRight w:val="0"/>
      <w:marTop w:val="0"/>
      <w:marBottom w:val="0"/>
      <w:divBdr>
        <w:top w:val="none" w:sz="0" w:space="0" w:color="auto"/>
        <w:left w:val="none" w:sz="0" w:space="0" w:color="auto"/>
        <w:bottom w:val="none" w:sz="0" w:space="0" w:color="auto"/>
        <w:right w:val="none" w:sz="0" w:space="0" w:color="auto"/>
      </w:divBdr>
    </w:div>
    <w:div w:id="918905302">
      <w:bodyDiv w:val="1"/>
      <w:marLeft w:val="0"/>
      <w:marRight w:val="0"/>
      <w:marTop w:val="0"/>
      <w:marBottom w:val="0"/>
      <w:divBdr>
        <w:top w:val="none" w:sz="0" w:space="0" w:color="auto"/>
        <w:left w:val="none" w:sz="0" w:space="0" w:color="auto"/>
        <w:bottom w:val="none" w:sz="0" w:space="0" w:color="auto"/>
        <w:right w:val="none" w:sz="0" w:space="0" w:color="auto"/>
      </w:divBdr>
    </w:div>
    <w:div w:id="1361972151">
      <w:bodyDiv w:val="1"/>
      <w:marLeft w:val="0"/>
      <w:marRight w:val="0"/>
      <w:marTop w:val="0"/>
      <w:marBottom w:val="0"/>
      <w:divBdr>
        <w:top w:val="none" w:sz="0" w:space="0" w:color="auto"/>
        <w:left w:val="none" w:sz="0" w:space="0" w:color="auto"/>
        <w:bottom w:val="none" w:sz="0" w:space="0" w:color="auto"/>
        <w:right w:val="none" w:sz="0" w:space="0" w:color="auto"/>
      </w:divBdr>
    </w:div>
    <w:div w:id="1403064515">
      <w:bodyDiv w:val="1"/>
      <w:marLeft w:val="0"/>
      <w:marRight w:val="0"/>
      <w:marTop w:val="0"/>
      <w:marBottom w:val="0"/>
      <w:divBdr>
        <w:top w:val="none" w:sz="0" w:space="0" w:color="auto"/>
        <w:left w:val="none" w:sz="0" w:space="0" w:color="auto"/>
        <w:bottom w:val="none" w:sz="0" w:space="0" w:color="auto"/>
        <w:right w:val="none" w:sz="0" w:space="0" w:color="auto"/>
      </w:divBdr>
    </w:div>
    <w:div w:id="1541749285">
      <w:bodyDiv w:val="1"/>
      <w:marLeft w:val="0"/>
      <w:marRight w:val="0"/>
      <w:marTop w:val="0"/>
      <w:marBottom w:val="0"/>
      <w:divBdr>
        <w:top w:val="none" w:sz="0" w:space="0" w:color="auto"/>
        <w:left w:val="none" w:sz="0" w:space="0" w:color="auto"/>
        <w:bottom w:val="none" w:sz="0" w:space="0" w:color="auto"/>
        <w:right w:val="none" w:sz="0" w:space="0" w:color="auto"/>
      </w:divBdr>
    </w:div>
    <w:div w:id="1795708377">
      <w:bodyDiv w:val="1"/>
      <w:marLeft w:val="0"/>
      <w:marRight w:val="0"/>
      <w:marTop w:val="0"/>
      <w:marBottom w:val="0"/>
      <w:divBdr>
        <w:top w:val="none" w:sz="0" w:space="0" w:color="auto"/>
        <w:left w:val="none" w:sz="0" w:space="0" w:color="auto"/>
        <w:bottom w:val="none" w:sz="0" w:space="0" w:color="auto"/>
        <w:right w:val="none" w:sz="0" w:space="0" w:color="auto"/>
      </w:divBdr>
    </w:div>
    <w:div w:id="1839347563">
      <w:bodyDiv w:val="1"/>
      <w:marLeft w:val="0"/>
      <w:marRight w:val="0"/>
      <w:marTop w:val="0"/>
      <w:marBottom w:val="0"/>
      <w:divBdr>
        <w:top w:val="none" w:sz="0" w:space="0" w:color="auto"/>
        <w:left w:val="none" w:sz="0" w:space="0" w:color="auto"/>
        <w:bottom w:val="none" w:sz="0" w:space="0" w:color="auto"/>
        <w:right w:val="none" w:sz="0" w:space="0" w:color="auto"/>
      </w:divBdr>
    </w:div>
    <w:div w:id="2048215592">
      <w:bodyDiv w:val="1"/>
      <w:marLeft w:val="0"/>
      <w:marRight w:val="0"/>
      <w:marTop w:val="0"/>
      <w:marBottom w:val="0"/>
      <w:divBdr>
        <w:top w:val="none" w:sz="0" w:space="0" w:color="auto"/>
        <w:left w:val="none" w:sz="0" w:space="0" w:color="auto"/>
        <w:bottom w:val="none" w:sz="0" w:space="0" w:color="auto"/>
        <w:right w:val="none" w:sz="0" w:space="0" w:color="auto"/>
      </w:divBdr>
      <w:divsChild>
        <w:div w:id="1299534884">
          <w:marLeft w:val="0"/>
          <w:marRight w:val="0"/>
          <w:marTop w:val="300"/>
          <w:marBottom w:val="225"/>
          <w:divBdr>
            <w:top w:val="none" w:sz="0" w:space="0" w:color="auto"/>
            <w:left w:val="none" w:sz="0" w:space="0" w:color="auto"/>
            <w:bottom w:val="none" w:sz="0" w:space="0" w:color="auto"/>
            <w:right w:val="none" w:sz="0" w:space="0" w:color="auto"/>
          </w:divBdr>
          <w:divsChild>
            <w:div w:id="527106430">
              <w:marLeft w:val="0"/>
              <w:marRight w:val="0"/>
              <w:marTop w:val="0"/>
              <w:marBottom w:val="0"/>
              <w:divBdr>
                <w:top w:val="none" w:sz="0" w:space="0" w:color="auto"/>
                <w:left w:val="none" w:sz="0" w:space="0" w:color="auto"/>
                <w:bottom w:val="none" w:sz="0" w:space="0" w:color="auto"/>
                <w:right w:val="none" w:sz="0" w:space="0" w:color="auto"/>
              </w:divBdr>
              <w:divsChild>
                <w:div w:id="115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en.wikipedia.org/wiki/Mazda_B-Serie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spPr>
            <a:ln w="28575" cap="rnd" cmpd="sng" algn="ctr">
              <a:solidFill>
                <a:schemeClr val="dk1">
                  <a:tint val="88500"/>
                  <a:shade val="95000"/>
                  <a:satMod val="105000"/>
                </a:schemeClr>
              </a:solidFill>
              <a:prstDash val="solid"/>
              <a:round/>
            </a:ln>
            <a:effectLst/>
          </c:spPr>
          <c:marker>
            <c:symbol val="circle"/>
            <c:size val="5"/>
            <c:spPr>
              <a:solidFill>
                <a:schemeClr val="dk1">
                  <a:tint val="88500"/>
                </a:schemeClr>
              </a:solidFill>
              <a:ln w="9525" cap="flat" cmpd="sng" algn="ctr">
                <a:solidFill>
                  <a:schemeClr val="dk1">
                    <a:tint val="88500"/>
                    <a:shade val="95000"/>
                    <a:satMod val="105000"/>
                  </a:schemeClr>
                </a:solidFill>
                <a:prstDash val="solid"/>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Sheet1!$B$3:$B$14</c:f>
              <c:strCache>
                <c:ptCount val="12"/>
                <c:pt idx="0">
                  <c:v>Dec. 30, 2005</c:v>
                </c:pt>
                <c:pt idx="1">
                  <c:v>Dec. 29, 2006</c:v>
                </c:pt>
                <c:pt idx="2">
                  <c:v>Dec. 28, 2007</c:v>
                </c:pt>
                <c:pt idx="3">
                  <c:v>Dec. 30, 2008</c:v>
                </c:pt>
                <c:pt idx="4">
                  <c:v>Dec. 30, 2009</c:v>
                </c:pt>
                <c:pt idx="5">
                  <c:v>Dec. 30, 2010</c:v>
                </c:pt>
                <c:pt idx="6">
                  <c:v>Dec. 30, 2011</c:v>
                </c:pt>
                <c:pt idx="7">
                  <c:v>Dec. 28, 2012</c:v>
                </c:pt>
                <c:pt idx="8">
                  <c:v>Dec. 30, 2013</c:v>
                </c:pt>
                <c:pt idx="9">
                  <c:v>Dec. 30, 2014</c:v>
                </c:pt>
                <c:pt idx="10">
                  <c:v>Dec. 30, 2015</c:v>
                </c:pt>
                <c:pt idx="11">
                  <c:v>Dec. 30, 2016</c:v>
                </c:pt>
              </c:strCache>
            </c:strRef>
          </c:cat>
          <c:val>
            <c:numRef>
              <c:f>Sheet1!$C$3:$C$14</c:f>
              <c:numCache>
                <c:formatCode>General</c:formatCode>
                <c:ptCount val="12"/>
                <c:pt idx="0">
                  <c:v>2700</c:v>
                </c:pt>
                <c:pt idx="1">
                  <c:v>4065</c:v>
                </c:pt>
                <c:pt idx="2">
                  <c:v>2790</c:v>
                </c:pt>
                <c:pt idx="3">
                  <c:v>745</c:v>
                </c:pt>
                <c:pt idx="4">
                  <c:v>1060</c:v>
                </c:pt>
                <c:pt idx="5">
                  <c:v>1165</c:v>
                </c:pt>
                <c:pt idx="6">
                  <c:v>680</c:v>
                </c:pt>
                <c:pt idx="7">
                  <c:v>870</c:v>
                </c:pt>
                <c:pt idx="8">
                  <c:v>2720</c:v>
                </c:pt>
                <c:pt idx="9">
                  <c:v>2927.5</c:v>
                </c:pt>
                <c:pt idx="10">
                  <c:v>2524</c:v>
                </c:pt>
                <c:pt idx="11">
                  <c:v>1912</c:v>
                </c:pt>
              </c:numCache>
            </c:numRef>
          </c:val>
          <c:smooth val="0"/>
          <c:extLst xmlns:c16r2="http://schemas.microsoft.com/office/drawing/2015/06/chart">
            <c:ext xmlns:c16="http://schemas.microsoft.com/office/drawing/2014/chart" uri="{C3380CC4-5D6E-409C-BE32-E72D297353CC}">
              <c16:uniqueId val="{00000000-0A39-436D-BB67-A971CA2A5334}"/>
            </c:ext>
          </c:extLst>
        </c:ser>
        <c:dLbls>
          <c:dLblPos val="t"/>
          <c:showLegendKey val="0"/>
          <c:showVal val="1"/>
          <c:showCatName val="0"/>
          <c:showSerName val="0"/>
          <c:showPercent val="0"/>
          <c:showBubbleSize val="0"/>
        </c:dLbls>
        <c:marker val="1"/>
        <c:smooth val="0"/>
        <c:axId val="162426440"/>
        <c:axId val="162046896"/>
      </c:lineChart>
      <c:catAx>
        <c:axId val="16242644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solidFill>
                    <a:latin typeface="Arial" panose="020B0604020202020204" pitchFamily="34" charset="0"/>
                    <a:ea typeface="+mn-ea"/>
                    <a:cs typeface="Arial" panose="020B0604020202020204" pitchFamily="34" charset="0"/>
                  </a:defRPr>
                </a:pPr>
                <a:r>
                  <a:rPr lang="en-US"/>
                  <a:t>Date</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2046896"/>
        <c:crosses val="autoZero"/>
        <c:auto val="1"/>
        <c:lblAlgn val="ctr"/>
        <c:lblOffset val="100"/>
        <c:noMultiLvlLbl val="0"/>
      </c:catAx>
      <c:valAx>
        <c:axId val="162046896"/>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sz="900" b="1" i="0" u="none" strike="noStrike" kern="1200" baseline="0">
                    <a:solidFill>
                      <a:schemeClr val="tx1"/>
                    </a:solidFill>
                    <a:latin typeface="Arial" panose="020B0604020202020204" pitchFamily="34" charset="0"/>
                    <a:ea typeface="+mn-ea"/>
                    <a:cs typeface="Arial" panose="020B0604020202020204" pitchFamily="34" charset="0"/>
                  </a:defRPr>
                </a:pPr>
                <a:r>
                  <a:rPr lang="en-US"/>
                  <a:t>Price (in </a:t>
                </a:r>
                <a:r>
                  <a:rPr lang="en-US" sz="900" b="1" i="0" u="none" strike="noStrike" baseline="0">
                    <a:effectLst/>
                  </a:rPr>
                  <a:t>¥)</a:t>
                </a:r>
                <a:endParaRPr lang="en-US"/>
              </a:p>
            </c:rich>
          </c:tx>
          <c:layout/>
          <c:overlay val="0"/>
          <c:spPr>
            <a:noFill/>
            <a:ln>
              <a:noFill/>
            </a:ln>
            <a:effectLst/>
          </c:spPr>
        </c:title>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2426440"/>
        <c:crosses val="autoZero"/>
        <c:crossBetween val="between"/>
      </c:valAx>
      <c:spPr>
        <a:noFill/>
        <a:ln>
          <a:noFill/>
        </a:ln>
        <a:effectLst/>
      </c:spPr>
    </c:plotArea>
    <c:plotVisOnly val="1"/>
    <c:dispBlanksAs val="gap"/>
    <c:showDLblsOverMax val="0"/>
  </c:chart>
  <c:spPr>
    <a:solidFill>
      <a:schemeClr val="bg1"/>
    </a:solidFill>
    <a:ln w="9525" cap="flat" cmpd="sng" algn="ctr">
      <a:noFill/>
      <a:prstDash val="solid"/>
      <a:round/>
    </a:ln>
    <a:effectLst/>
  </c:spPr>
  <c:txPr>
    <a:bodyPr/>
    <a:lstStyle/>
    <a:p>
      <a:pPr>
        <a:defRPr sz="900">
          <a:latin typeface="Arial" panose="020B0604020202020204" pitchFamily="34" charset="0"/>
          <a:cs typeface="Arial" panose="020B0604020202020204"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9CDD7-34D6-4E29-9B7C-5A1EDA84A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5488</Words>
  <Characters>31288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McCutcheon, Amber</cp:lastModifiedBy>
  <cp:revision>2</cp:revision>
  <cp:lastPrinted>2017-07-26T16:44:00Z</cp:lastPrinted>
  <dcterms:created xsi:type="dcterms:W3CDTF">2017-11-20T14:29:00Z</dcterms:created>
  <dcterms:modified xsi:type="dcterms:W3CDTF">2017-11-20T14:29:00Z</dcterms:modified>
</cp:coreProperties>
</file>