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8319E" w14:textId="77777777" w:rsidR="007606EC" w:rsidRPr="00C866E0" w:rsidRDefault="007606EC" w:rsidP="00580662">
      <w:pPr>
        <w:tabs>
          <w:tab w:val="right" w:pos="9360"/>
        </w:tabs>
        <w:autoSpaceDE w:val="0"/>
        <w:autoSpaceDN w:val="0"/>
        <w:adjustRightInd w:val="0"/>
        <w:jc w:val="both"/>
        <w:textAlignment w:val="center"/>
        <w:rPr>
          <w:rFonts w:ascii="Arial" w:hAnsi="Arial"/>
          <w:i/>
          <w:iCs/>
          <w:color w:val="000000"/>
          <w:sz w:val="16"/>
          <w:lang w:val="en-GB"/>
        </w:rPr>
      </w:pPr>
      <w:r w:rsidRPr="00C866E0">
        <w:rPr>
          <w:rFonts w:ascii="Arial" w:hAnsi="Arial" w:cs="Arial"/>
          <w:b/>
          <w:noProof/>
          <w:sz w:val="24"/>
          <w:szCs w:val="16"/>
          <w:lang w:val="en-CA" w:eastAsia="en-CA"/>
        </w:rPr>
        <w:drawing>
          <wp:inline distT="0" distB="0" distL="0" distR="0" wp14:anchorId="2DB43E0F" wp14:editId="76BDA01C">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6C0E2DD" w14:textId="77777777" w:rsidR="00856D9F" w:rsidRPr="00C866E0"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00CBEE9D" w14:textId="45C9ADE2" w:rsidR="00D75295" w:rsidRPr="00C866E0" w:rsidRDefault="0046347E" w:rsidP="00F105B7">
      <w:pPr>
        <w:pStyle w:val="ProductNumber"/>
        <w:rPr>
          <w:lang w:val="en-GB"/>
        </w:rPr>
      </w:pPr>
      <w:r>
        <w:rPr>
          <w:lang w:val="en-GB"/>
        </w:rPr>
        <w:t>9B17M120</w:t>
      </w:r>
    </w:p>
    <w:p w14:paraId="2A8DA499" w14:textId="77777777" w:rsidR="00D75295" w:rsidRPr="00C866E0" w:rsidRDefault="00D75295" w:rsidP="00D75295">
      <w:pPr>
        <w:jc w:val="right"/>
        <w:rPr>
          <w:rFonts w:ascii="Arial" w:hAnsi="Arial"/>
          <w:b/>
          <w:sz w:val="28"/>
          <w:szCs w:val="28"/>
          <w:lang w:val="en-GB"/>
        </w:rPr>
      </w:pPr>
    </w:p>
    <w:p w14:paraId="16F057D4" w14:textId="77777777" w:rsidR="00866F6D" w:rsidRPr="00C866E0" w:rsidRDefault="00866F6D" w:rsidP="00D75295">
      <w:pPr>
        <w:jc w:val="right"/>
        <w:rPr>
          <w:rFonts w:ascii="Arial" w:hAnsi="Arial"/>
          <w:b/>
          <w:sz w:val="28"/>
          <w:szCs w:val="28"/>
          <w:lang w:val="en-GB"/>
        </w:rPr>
      </w:pPr>
    </w:p>
    <w:p w14:paraId="1D66219E" w14:textId="77777777" w:rsidR="00013360" w:rsidRPr="00C866E0" w:rsidRDefault="00726078" w:rsidP="00013360">
      <w:pPr>
        <w:pStyle w:val="CaseTitle"/>
        <w:spacing w:after="0" w:line="240" w:lineRule="auto"/>
        <w:rPr>
          <w:lang w:val="en-GB"/>
        </w:rPr>
      </w:pPr>
      <w:r w:rsidRPr="00C866E0">
        <w:rPr>
          <w:lang w:val="en-GB"/>
        </w:rPr>
        <w:t>b2b partnerships</w:t>
      </w:r>
      <w:r w:rsidR="009A18F3" w:rsidRPr="00C866E0">
        <w:rPr>
          <w:lang w:val="en-GB"/>
        </w:rPr>
        <w:t xml:space="preserve"> in </w:t>
      </w:r>
      <w:r w:rsidRPr="00C866E0">
        <w:rPr>
          <w:lang w:val="en-GB"/>
        </w:rPr>
        <w:t>the CARBONATED soft drink industry</w:t>
      </w:r>
    </w:p>
    <w:p w14:paraId="72247211" w14:textId="77777777" w:rsidR="00CA3976" w:rsidRPr="00C866E0" w:rsidRDefault="00CA3976" w:rsidP="00013360">
      <w:pPr>
        <w:pStyle w:val="CaseTitle"/>
        <w:spacing w:after="0" w:line="240" w:lineRule="auto"/>
        <w:rPr>
          <w:sz w:val="20"/>
          <w:szCs w:val="20"/>
          <w:lang w:val="en-GB"/>
        </w:rPr>
      </w:pPr>
    </w:p>
    <w:p w14:paraId="7B38D931" w14:textId="77777777" w:rsidR="00013360" w:rsidRDefault="00013360" w:rsidP="00013360">
      <w:pPr>
        <w:pStyle w:val="CaseTitle"/>
        <w:spacing w:after="0" w:line="240" w:lineRule="auto"/>
        <w:rPr>
          <w:sz w:val="20"/>
          <w:szCs w:val="20"/>
          <w:lang w:val="en-GB"/>
        </w:rPr>
      </w:pPr>
    </w:p>
    <w:p w14:paraId="5CCE42DC" w14:textId="77777777" w:rsidR="004B7E15" w:rsidRPr="00C866E0" w:rsidRDefault="004B7E15" w:rsidP="00013360">
      <w:pPr>
        <w:pStyle w:val="CaseTitle"/>
        <w:spacing w:after="0" w:line="240" w:lineRule="auto"/>
        <w:rPr>
          <w:sz w:val="20"/>
          <w:szCs w:val="20"/>
          <w:lang w:val="en-GB"/>
        </w:rPr>
      </w:pPr>
    </w:p>
    <w:p w14:paraId="4EF11B52" w14:textId="77777777" w:rsidR="00013360" w:rsidRPr="00C866E0" w:rsidRDefault="00726078" w:rsidP="00104567">
      <w:pPr>
        <w:pStyle w:val="StyleCopyrightStatementAfter0ptBottomSinglesolidline1"/>
        <w:rPr>
          <w:lang w:val="en-GB"/>
        </w:rPr>
      </w:pPr>
      <w:r w:rsidRPr="00C866E0">
        <w:rPr>
          <w:lang w:val="en-GB"/>
        </w:rPr>
        <w:t>Jyoti Kainth, Kannan TS, and Vinayak Drave</w:t>
      </w:r>
      <w:r w:rsidR="007E5921" w:rsidRPr="00C866E0">
        <w:rPr>
          <w:lang w:val="en-GB"/>
        </w:rPr>
        <w:t xml:space="preserve"> wrote this case sol</w:t>
      </w:r>
      <w:r w:rsidR="00D75295" w:rsidRPr="00C866E0">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2B1EFA2" w14:textId="77777777" w:rsidR="00013360" w:rsidRPr="00C866E0" w:rsidRDefault="00013360" w:rsidP="00104567">
      <w:pPr>
        <w:pStyle w:val="StyleCopyrightStatementAfter0ptBottomSinglesolidline1"/>
        <w:rPr>
          <w:lang w:val="en-GB"/>
        </w:rPr>
      </w:pPr>
    </w:p>
    <w:p w14:paraId="329B7A26" w14:textId="777F01E4" w:rsidR="007606EC" w:rsidRPr="00C866E0" w:rsidRDefault="007606EC" w:rsidP="00580662">
      <w:pPr>
        <w:tabs>
          <w:tab w:val="right" w:pos="9360"/>
        </w:tabs>
        <w:autoSpaceDE w:val="0"/>
        <w:autoSpaceDN w:val="0"/>
        <w:adjustRightInd w:val="0"/>
        <w:jc w:val="both"/>
        <w:textAlignment w:val="center"/>
        <w:rPr>
          <w:rFonts w:ascii="Arial" w:hAnsi="Arial"/>
          <w:i/>
          <w:iCs/>
          <w:color w:val="000000"/>
          <w:sz w:val="16"/>
          <w:lang w:val="en-GB"/>
        </w:rPr>
      </w:pPr>
      <w:r w:rsidRPr="00C866E0">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866E0">
          <w:rPr>
            <w:rFonts w:ascii="Arial" w:hAnsi="Arial"/>
            <w:i/>
            <w:iCs/>
            <w:color w:val="000000"/>
            <w:sz w:val="16"/>
            <w:lang w:val="en-GB"/>
          </w:rPr>
          <w:t>cases@ivey.ca</w:t>
        </w:r>
      </w:hyperlink>
      <w:r w:rsidRPr="00C866E0">
        <w:rPr>
          <w:rFonts w:ascii="Arial" w:hAnsi="Arial"/>
          <w:i/>
          <w:iCs/>
          <w:color w:val="000000"/>
          <w:sz w:val="16"/>
          <w:lang w:val="en-GB"/>
        </w:rPr>
        <w:t xml:space="preserve">; </w:t>
      </w:r>
      <w:hyperlink r:id="rId10" w:history="1">
        <w:r w:rsidRPr="00C866E0">
          <w:rPr>
            <w:rFonts w:ascii="Arial" w:hAnsi="Arial"/>
            <w:i/>
            <w:iCs/>
            <w:color w:val="000000"/>
            <w:sz w:val="16"/>
            <w:lang w:val="en-GB"/>
          </w:rPr>
          <w:t>www.iveycases.com</w:t>
        </w:r>
      </w:hyperlink>
      <w:r w:rsidRPr="00C866E0">
        <w:rPr>
          <w:rFonts w:ascii="Arial" w:hAnsi="Arial"/>
          <w:i/>
          <w:iCs/>
          <w:color w:val="000000"/>
          <w:sz w:val="16"/>
          <w:lang w:val="en-GB"/>
        </w:rPr>
        <w:t>.</w:t>
      </w:r>
    </w:p>
    <w:p w14:paraId="11A9CB11" w14:textId="77777777" w:rsidR="007606EC" w:rsidRPr="00C866E0" w:rsidRDefault="007606EC" w:rsidP="00580662">
      <w:pPr>
        <w:tabs>
          <w:tab w:val="right" w:pos="9360"/>
        </w:tabs>
        <w:autoSpaceDE w:val="0"/>
        <w:autoSpaceDN w:val="0"/>
        <w:adjustRightInd w:val="0"/>
        <w:jc w:val="both"/>
        <w:textAlignment w:val="center"/>
        <w:rPr>
          <w:rFonts w:ascii="Arial" w:hAnsi="Arial"/>
          <w:i/>
          <w:iCs/>
          <w:color w:val="000000"/>
          <w:sz w:val="16"/>
          <w:lang w:val="en-GB"/>
        </w:rPr>
      </w:pPr>
    </w:p>
    <w:p w14:paraId="32BD83CB" w14:textId="4A8C5C31" w:rsidR="003B7EF2" w:rsidRPr="00C866E0" w:rsidRDefault="007606EC" w:rsidP="007606EC">
      <w:pPr>
        <w:tabs>
          <w:tab w:val="right" w:pos="9360"/>
        </w:tabs>
        <w:autoSpaceDE w:val="0"/>
        <w:autoSpaceDN w:val="0"/>
        <w:adjustRightInd w:val="0"/>
        <w:jc w:val="both"/>
        <w:textAlignment w:val="center"/>
        <w:rPr>
          <w:rFonts w:ascii="Arial" w:hAnsi="Arial"/>
          <w:i/>
          <w:iCs/>
          <w:color w:val="000000"/>
          <w:sz w:val="16"/>
          <w:lang w:val="en-GB"/>
        </w:rPr>
      </w:pPr>
      <w:r w:rsidRPr="00C866E0">
        <w:rPr>
          <w:rFonts w:ascii="Arial" w:hAnsi="Arial"/>
          <w:i/>
          <w:iCs/>
          <w:color w:val="000000"/>
          <w:sz w:val="16"/>
          <w:lang w:val="en-GB"/>
        </w:rPr>
        <w:t>Copyright © 2017, Richard Ivey School of Business Foundation</w:t>
      </w:r>
      <w:r w:rsidR="003B7EF2" w:rsidRPr="00C866E0">
        <w:rPr>
          <w:lang w:val="en-GB"/>
        </w:rPr>
        <w:tab/>
      </w:r>
      <w:r w:rsidR="003B7EF2" w:rsidRPr="00C866E0">
        <w:rPr>
          <w:rFonts w:ascii="Arial" w:hAnsi="Arial" w:cs="Arial"/>
          <w:i/>
          <w:sz w:val="16"/>
          <w:lang w:val="en-GB"/>
        </w:rPr>
        <w:t xml:space="preserve">Version: </w:t>
      </w:r>
      <w:r w:rsidR="00361C8E" w:rsidRPr="00C866E0">
        <w:rPr>
          <w:rFonts w:ascii="Arial" w:hAnsi="Arial" w:cs="Arial"/>
          <w:i/>
          <w:sz w:val="16"/>
          <w:lang w:val="en-GB"/>
        </w:rPr>
        <w:t>201</w:t>
      </w:r>
      <w:r w:rsidR="007F51FC" w:rsidRPr="00C866E0">
        <w:rPr>
          <w:rFonts w:ascii="Arial" w:hAnsi="Arial" w:cs="Arial"/>
          <w:i/>
          <w:sz w:val="16"/>
          <w:lang w:val="en-GB"/>
        </w:rPr>
        <w:t>7</w:t>
      </w:r>
      <w:r w:rsidR="00361C8E" w:rsidRPr="00C866E0">
        <w:rPr>
          <w:rFonts w:ascii="Arial" w:hAnsi="Arial" w:cs="Arial"/>
          <w:i/>
          <w:sz w:val="16"/>
          <w:lang w:val="en-GB"/>
        </w:rPr>
        <w:t>-</w:t>
      </w:r>
      <w:r w:rsidR="0046347E">
        <w:rPr>
          <w:rFonts w:ascii="Arial" w:hAnsi="Arial" w:cs="Arial"/>
          <w:i/>
          <w:sz w:val="16"/>
          <w:lang w:val="en-GB"/>
        </w:rPr>
        <w:t>08</w:t>
      </w:r>
      <w:r w:rsidR="00361C8E" w:rsidRPr="00C866E0">
        <w:rPr>
          <w:rFonts w:ascii="Arial" w:hAnsi="Arial" w:cs="Arial"/>
          <w:i/>
          <w:sz w:val="16"/>
          <w:lang w:val="en-GB"/>
        </w:rPr>
        <w:t>-</w:t>
      </w:r>
      <w:r w:rsidR="0046347E">
        <w:rPr>
          <w:rFonts w:ascii="Arial" w:hAnsi="Arial" w:cs="Arial"/>
          <w:i/>
          <w:sz w:val="16"/>
          <w:lang w:val="en-GB"/>
        </w:rPr>
        <w:t>0</w:t>
      </w:r>
      <w:r w:rsidR="004B7E15">
        <w:rPr>
          <w:rFonts w:ascii="Arial" w:hAnsi="Arial" w:cs="Arial"/>
          <w:i/>
          <w:sz w:val="16"/>
          <w:lang w:val="en-GB"/>
        </w:rPr>
        <w:t>3</w:t>
      </w:r>
    </w:p>
    <w:p w14:paraId="2B75BEB1" w14:textId="77777777" w:rsidR="003B7EF2" w:rsidRDefault="003B7EF2" w:rsidP="00104567">
      <w:pPr>
        <w:pStyle w:val="StyleCopyrightStatementAfter0ptBottomSinglesolidline1"/>
        <w:rPr>
          <w:rFonts w:ascii="Times New Roman" w:hAnsi="Times New Roman"/>
          <w:sz w:val="20"/>
          <w:lang w:val="en-GB"/>
        </w:rPr>
      </w:pPr>
    </w:p>
    <w:p w14:paraId="2AD0ACA0" w14:textId="77777777" w:rsidR="0046347E" w:rsidRPr="00C866E0" w:rsidRDefault="0046347E" w:rsidP="00104567">
      <w:pPr>
        <w:pStyle w:val="StyleCopyrightStatementAfter0ptBottomSinglesolidline1"/>
        <w:rPr>
          <w:rFonts w:ascii="Times New Roman" w:hAnsi="Times New Roman"/>
          <w:sz w:val="20"/>
          <w:lang w:val="en-GB"/>
        </w:rPr>
      </w:pPr>
    </w:p>
    <w:p w14:paraId="5F214BC3" w14:textId="2D49A971" w:rsidR="001C2083" w:rsidRPr="00C866E0" w:rsidRDefault="001C2083" w:rsidP="00726078">
      <w:pPr>
        <w:pStyle w:val="BodyTextMain"/>
        <w:rPr>
          <w:lang w:val="en-GB"/>
        </w:rPr>
      </w:pPr>
      <w:r w:rsidRPr="00C866E0">
        <w:rPr>
          <w:lang w:val="en-GB"/>
        </w:rPr>
        <w:t>On February 7, 2017,</w:t>
      </w:r>
      <w:r w:rsidR="00DA12EF" w:rsidRPr="00C866E0">
        <w:rPr>
          <w:lang w:val="en-GB"/>
        </w:rPr>
        <w:t xml:space="preserve"> the</w:t>
      </w:r>
      <w:r w:rsidRPr="00C866E0">
        <w:rPr>
          <w:lang w:val="en-GB"/>
        </w:rPr>
        <w:t xml:space="preserve"> </w:t>
      </w:r>
      <w:r w:rsidRPr="00C866E0">
        <w:rPr>
          <w:i/>
          <w:lang w:val="en-GB"/>
        </w:rPr>
        <w:t>Utopian Business Times</w:t>
      </w:r>
      <w:r w:rsidRPr="00C866E0">
        <w:rPr>
          <w:lang w:val="en-GB"/>
        </w:rPr>
        <w:t xml:space="preserve"> </w:t>
      </w:r>
      <w:r w:rsidR="00DA12EF" w:rsidRPr="00C866E0">
        <w:rPr>
          <w:lang w:val="en-GB"/>
        </w:rPr>
        <w:t xml:space="preserve">newspaper </w:t>
      </w:r>
      <w:r w:rsidRPr="00C866E0">
        <w:rPr>
          <w:lang w:val="en-GB"/>
        </w:rPr>
        <w:t>broke news o</w:t>
      </w:r>
      <w:r w:rsidR="00C63C03" w:rsidRPr="00C866E0">
        <w:rPr>
          <w:lang w:val="en-GB"/>
        </w:rPr>
        <w:t>f</w:t>
      </w:r>
      <w:r w:rsidRPr="00C866E0">
        <w:rPr>
          <w:lang w:val="en-GB"/>
        </w:rPr>
        <w:t xml:space="preserve"> the t</w:t>
      </w:r>
      <w:r w:rsidR="00726078" w:rsidRPr="00C866E0">
        <w:rPr>
          <w:lang w:val="en-GB"/>
        </w:rPr>
        <w:t>ermination</w:t>
      </w:r>
      <w:r w:rsidRPr="00C866E0">
        <w:rPr>
          <w:lang w:val="en-GB"/>
        </w:rPr>
        <w:t xml:space="preserve"> of long</w:t>
      </w:r>
      <w:r w:rsidR="00C63C03" w:rsidRPr="00C866E0">
        <w:rPr>
          <w:lang w:val="en-GB"/>
        </w:rPr>
        <w:t>-</w:t>
      </w:r>
      <w:r w:rsidRPr="00C866E0">
        <w:rPr>
          <w:lang w:val="en-GB"/>
        </w:rPr>
        <w:t xml:space="preserve">standing contracts between </w:t>
      </w:r>
      <w:r w:rsidR="00B9466A" w:rsidRPr="00C866E0">
        <w:rPr>
          <w:lang w:val="en-GB"/>
        </w:rPr>
        <w:t xml:space="preserve">local </w:t>
      </w:r>
      <w:r w:rsidR="00726078" w:rsidRPr="00C866E0">
        <w:rPr>
          <w:lang w:val="en-GB"/>
        </w:rPr>
        <w:t>bottling companies</w:t>
      </w:r>
      <w:r w:rsidR="00C63C03" w:rsidRPr="00C866E0">
        <w:rPr>
          <w:lang w:val="en-GB"/>
        </w:rPr>
        <w:t xml:space="preserve"> (bottlers)</w:t>
      </w:r>
      <w:r w:rsidRPr="00C866E0">
        <w:rPr>
          <w:lang w:val="en-GB"/>
        </w:rPr>
        <w:t xml:space="preserve"> and</w:t>
      </w:r>
      <w:r w:rsidR="00726078" w:rsidRPr="00C866E0">
        <w:rPr>
          <w:lang w:val="en-GB"/>
        </w:rPr>
        <w:t xml:space="preserve"> </w:t>
      </w:r>
      <w:r w:rsidR="00C63C03" w:rsidRPr="00C866E0">
        <w:rPr>
          <w:lang w:val="en-GB"/>
        </w:rPr>
        <w:t xml:space="preserve">the owners of </w:t>
      </w:r>
      <w:r w:rsidR="00726078" w:rsidRPr="00C866E0">
        <w:rPr>
          <w:lang w:val="en-GB"/>
        </w:rPr>
        <w:t>two major carbonated soft drink (CSD) brand</w:t>
      </w:r>
      <w:r w:rsidR="00C63C03" w:rsidRPr="00C866E0">
        <w:rPr>
          <w:lang w:val="en-GB"/>
        </w:rPr>
        <w:t>s</w:t>
      </w:r>
      <w:r w:rsidRPr="00C866E0">
        <w:rPr>
          <w:lang w:val="en-GB"/>
        </w:rPr>
        <w:t>:</w:t>
      </w:r>
      <w:r w:rsidR="00726078" w:rsidRPr="00C866E0">
        <w:rPr>
          <w:lang w:val="en-GB"/>
        </w:rPr>
        <w:t xml:space="preserve"> Carbon Cola</w:t>
      </w:r>
      <w:r w:rsidR="00902327" w:rsidRPr="00C866E0">
        <w:rPr>
          <w:lang w:val="en-GB"/>
        </w:rPr>
        <w:t xml:space="preserve"> Limited (Carbon Cola)</w:t>
      </w:r>
      <w:r w:rsidR="00726078" w:rsidRPr="00C866E0">
        <w:rPr>
          <w:lang w:val="en-GB"/>
        </w:rPr>
        <w:t xml:space="preserve"> and Thunder Cola</w:t>
      </w:r>
      <w:r w:rsidR="00902327" w:rsidRPr="00C866E0">
        <w:rPr>
          <w:lang w:val="en-GB"/>
        </w:rPr>
        <w:t xml:space="preserve"> Limited (Thunder Cola)</w:t>
      </w:r>
      <w:r w:rsidRPr="00C866E0">
        <w:rPr>
          <w:lang w:val="en-GB"/>
        </w:rPr>
        <w:t xml:space="preserve">. In the </w:t>
      </w:r>
      <w:r w:rsidRPr="00C866E0">
        <w:rPr>
          <w:i/>
          <w:lang w:val="en-GB"/>
        </w:rPr>
        <w:t>Utopian Business Times</w:t>
      </w:r>
      <w:r w:rsidR="004B7E15">
        <w:rPr>
          <w:lang w:val="en-GB"/>
        </w:rPr>
        <w:t xml:space="preserve"> article</w:t>
      </w:r>
      <w:r w:rsidRPr="00C866E0">
        <w:rPr>
          <w:lang w:val="en-GB"/>
        </w:rPr>
        <w:t xml:space="preserve"> Christina Seth, strategy head of Carbon Cola, further explained</w:t>
      </w:r>
      <w:r w:rsidR="00580662">
        <w:rPr>
          <w:lang w:val="en-GB"/>
        </w:rPr>
        <w:t>:</w:t>
      </w:r>
    </w:p>
    <w:p w14:paraId="1B647246" w14:textId="77777777" w:rsidR="001C2083" w:rsidRPr="00C866E0" w:rsidRDefault="001C2083" w:rsidP="00726078">
      <w:pPr>
        <w:pStyle w:val="BodyTextMain"/>
        <w:rPr>
          <w:lang w:val="en-GB"/>
        </w:rPr>
      </w:pPr>
    </w:p>
    <w:p w14:paraId="7780B99F" w14:textId="7DF61503" w:rsidR="00726078" w:rsidRPr="00C866E0" w:rsidRDefault="001C2083" w:rsidP="001C2083">
      <w:pPr>
        <w:pStyle w:val="BodyTextMain"/>
        <w:ind w:left="720"/>
        <w:rPr>
          <w:lang w:val="en-GB"/>
        </w:rPr>
      </w:pPr>
      <w:r w:rsidRPr="00C866E0">
        <w:rPr>
          <w:lang w:val="en-GB"/>
        </w:rPr>
        <w:t>Carbon Cola</w:t>
      </w:r>
      <w:r w:rsidR="00726078" w:rsidRPr="00C866E0">
        <w:rPr>
          <w:lang w:val="en-GB"/>
        </w:rPr>
        <w:t xml:space="preserve"> ha</w:t>
      </w:r>
      <w:r w:rsidR="00C63C03" w:rsidRPr="00C866E0">
        <w:rPr>
          <w:lang w:val="en-GB"/>
        </w:rPr>
        <w:t>s</w:t>
      </w:r>
      <w:r w:rsidR="00726078" w:rsidRPr="00C866E0">
        <w:rPr>
          <w:lang w:val="en-GB"/>
        </w:rPr>
        <w:t xml:space="preserve"> terminated the long</w:t>
      </w:r>
      <w:r w:rsidR="00C63C03" w:rsidRPr="00C866E0">
        <w:rPr>
          <w:lang w:val="en-GB"/>
        </w:rPr>
        <w:t>-</w:t>
      </w:r>
      <w:r w:rsidR="00726078" w:rsidRPr="00C866E0">
        <w:rPr>
          <w:lang w:val="en-GB"/>
        </w:rPr>
        <w:t xml:space="preserve">term contract that we </w:t>
      </w:r>
      <w:r w:rsidR="00E16A84" w:rsidRPr="00C866E0">
        <w:rPr>
          <w:lang w:val="en-GB"/>
        </w:rPr>
        <w:t xml:space="preserve">had </w:t>
      </w:r>
      <w:r w:rsidR="00726078" w:rsidRPr="00C866E0">
        <w:rPr>
          <w:lang w:val="en-GB"/>
        </w:rPr>
        <w:t>with the local bottler in Utopia. Consequently, we invite prospective bottlers to initiate discussions on entering</w:t>
      </w:r>
      <w:r w:rsidR="004B7E15">
        <w:rPr>
          <w:lang w:val="en-GB"/>
        </w:rPr>
        <w:t xml:space="preserve"> into</w:t>
      </w:r>
      <w:r w:rsidRPr="00C866E0">
        <w:rPr>
          <w:lang w:val="en-GB"/>
        </w:rPr>
        <w:t xml:space="preserve"> a</w:t>
      </w:r>
      <w:r w:rsidR="00726078" w:rsidRPr="00C866E0">
        <w:rPr>
          <w:lang w:val="en-GB"/>
        </w:rPr>
        <w:t xml:space="preserve"> new contract with us. Generally, we enter into long</w:t>
      </w:r>
      <w:r w:rsidR="00E16A84" w:rsidRPr="00C866E0">
        <w:rPr>
          <w:lang w:val="en-GB"/>
        </w:rPr>
        <w:t>-</w:t>
      </w:r>
      <w:r w:rsidR="00726078" w:rsidRPr="00C866E0">
        <w:rPr>
          <w:lang w:val="en-GB"/>
        </w:rPr>
        <w:t>term bottling contracts and consider them as B2B</w:t>
      </w:r>
      <w:r w:rsidR="007B17B2" w:rsidRPr="00C866E0">
        <w:rPr>
          <w:lang w:val="en-GB"/>
        </w:rPr>
        <w:t xml:space="preserve"> [business-to-business]</w:t>
      </w:r>
      <w:r w:rsidR="00726078" w:rsidRPr="00C866E0">
        <w:rPr>
          <w:rStyle w:val="FootnoteReference"/>
          <w:lang w:val="en-GB"/>
        </w:rPr>
        <w:footnoteReference w:id="1"/>
      </w:r>
      <w:r w:rsidR="00726078" w:rsidRPr="00C866E0">
        <w:rPr>
          <w:lang w:val="en-GB"/>
        </w:rPr>
        <w:t xml:space="preserve"> partnerships. However, considering the current scenario, we are looking at entering into a one</w:t>
      </w:r>
      <w:r w:rsidR="007B17B2" w:rsidRPr="00C866E0">
        <w:rPr>
          <w:lang w:val="en-GB"/>
        </w:rPr>
        <w:t>-</w:t>
      </w:r>
      <w:r w:rsidR="00726078" w:rsidRPr="00C866E0">
        <w:rPr>
          <w:lang w:val="en-GB"/>
        </w:rPr>
        <w:t xml:space="preserve">year contract, which can be extended upon mutual consent. </w:t>
      </w:r>
    </w:p>
    <w:p w14:paraId="205E12EF" w14:textId="77777777" w:rsidR="001C2083" w:rsidRPr="00C866E0" w:rsidRDefault="001C2083" w:rsidP="001C2083">
      <w:pPr>
        <w:pStyle w:val="BodyTextMain"/>
        <w:ind w:left="720"/>
        <w:rPr>
          <w:lang w:val="en-GB"/>
        </w:rPr>
      </w:pPr>
    </w:p>
    <w:p w14:paraId="54090C33" w14:textId="4A1B5C6B" w:rsidR="00726078" w:rsidRPr="00C866E0" w:rsidRDefault="00A46469" w:rsidP="00726078">
      <w:pPr>
        <w:pStyle w:val="BodyTextMain"/>
        <w:rPr>
          <w:lang w:val="en-GB"/>
        </w:rPr>
      </w:pPr>
      <w:r w:rsidRPr="00C866E0">
        <w:rPr>
          <w:lang w:val="en-GB"/>
        </w:rPr>
        <w:t>Th</w:t>
      </w:r>
      <w:r w:rsidR="0057734B" w:rsidRPr="00C866E0">
        <w:rPr>
          <w:lang w:val="en-GB"/>
        </w:rPr>
        <w:t>e</w:t>
      </w:r>
      <w:r w:rsidRPr="00C866E0">
        <w:rPr>
          <w:lang w:val="en-GB"/>
        </w:rPr>
        <w:t xml:space="preserve"> contract dissolution created turbulence in the C</w:t>
      </w:r>
      <w:r w:rsidR="00C63C03" w:rsidRPr="00C866E0">
        <w:rPr>
          <w:lang w:val="en-GB"/>
        </w:rPr>
        <w:t>SD</w:t>
      </w:r>
      <w:r w:rsidRPr="00C866E0">
        <w:rPr>
          <w:lang w:val="en-GB"/>
        </w:rPr>
        <w:t xml:space="preserve"> </w:t>
      </w:r>
      <w:r w:rsidRPr="00D86263">
        <w:rPr>
          <w:lang w:val="en-GB"/>
        </w:rPr>
        <w:t>industry in Utopia</w:t>
      </w:r>
      <w:r w:rsidRPr="00C866E0">
        <w:rPr>
          <w:lang w:val="en-GB"/>
        </w:rPr>
        <w:t>,</w:t>
      </w:r>
      <w:r w:rsidR="007B17B2" w:rsidRPr="00C866E0">
        <w:rPr>
          <w:rStyle w:val="FootnoteReference"/>
          <w:lang w:val="en-GB"/>
        </w:rPr>
        <w:footnoteReference w:id="2"/>
      </w:r>
      <w:r w:rsidR="00726078" w:rsidRPr="00C866E0">
        <w:rPr>
          <w:lang w:val="en-GB"/>
        </w:rPr>
        <w:t xml:space="preserve"> </w:t>
      </w:r>
      <w:r w:rsidRPr="00C866E0">
        <w:rPr>
          <w:lang w:val="en-GB"/>
        </w:rPr>
        <w:t xml:space="preserve">and </w:t>
      </w:r>
      <w:r w:rsidR="00726078" w:rsidRPr="00C866E0">
        <w:rPr>
          <w:lang w:val="en-GB"/>
        </w:rPr>
        <w:t xml:space="preserve">raised </w:t>
      </w:r>
      <w:r w:rsidRPr="00C866E0">
        <w:rPr>
          <w:lang w:val="en-GB"/>
        </w:rPr>
        <w:t>concerns</w:t>
      </w:r>
      <w:r w:rsidR="00726078" w:rsidRPr="00C866E0">
        <w:rPr>
          <w:lang w:val="en-GB"/>
        </w:rPr>
        <w:t xml:space="preserve"> among the value chain players in th</w:t>
      </w:r>
      <w:r w:rsidR="007B17B2" w:rsidRPr="00C866E0">
        <w:rPr>
          <w:lang w:val="en-GB"/>
        </w:rPr>
        <w:t>at</w:t>
      </w:r>
      <w:r w:rsidR="00726078" w:rsidRPr="00C866E0">
        <w:rPr>
          <w:lang w:val="en-GB"/>
        </w:rPr>
        <w:t xml:space="preserve"> industry</w:t>
      </w:r>
      <w:r w:rsidR="001C2083" w:rsidRPr="00C866E0">
        <w:rPr>
          <w:lang w:val="en-GB"/>
        </w:rPr>
        <w:t xml:space="preserve">. </w:t>
      </w:r>
      <w:r w:rsidR="007B17B2" w:rsidRPr="00C866E0">
        <w:rPr>
          <w:lang w:val="en-GB"/>
        </w:rPr>
        <w:t>N</w:t>
      </w:r>
      <w:r w:rsidR="00105B36" w:rsidRPr="00C866E0">
        <w:rPr>
          <w:lang w:val="en-GB"/>
        </w:rPr>
        <w:t xml:space="preserve">egotiations </w:t>
      </w:r>
      <w:r w:rsidR="00BD44D8" w:rsidRPr="00C866E0">
        <w:rPr>
          <w:lang w:val="en-GB"/>
        </w:rPr>
        <w:t>for new contracts between the value chain players</w:t>
      </w:r>
      <w:r w:rsidR="00580662">
        <w:rPr>
          <w:lang w:val="en-GB"/>
        </w:rPr>
        <w:t>—</w:t>
      </w:r>
      <w:r w:rsidR="00BD44D8" w:rsidRPr="00C866E0">
        <w:rPr>
          <w:lang w:val="en-GB"/>
        </w:rPr>
        <w:t>which would involve decisions regarding volume of production, marketing budgets</w:t>
      </w:r>
      <w:r w:rsidR="00580662">
        <w:rPr>
          <w:lang w:val="en-GB"/>
        </w:rPr>
        <w:t>,</w:t>
      </w:r>
      <w:r w:rsidR="00BD44D8" w:rsidRPr="00C866E0">
        <w:rPr>
          <w:lang w:val="en-GB"/>
        </w:rPr>
        <w:t xml:space="preserve"> and retail discounts</w:t>
      </w:r>
      <w:r w:rsidR="00580662">
        <w:rPr>
          <w:lang w:val="en-GB"/>
        </w:rPr>
        <w:t>—needed</w:t>
      </w:r>
      <w:r w:rsidR="00580662" w:rsidRPr="00C866E0">
        <w:rPr>
          <w:lang w:val="en-GB"/>
        </w:rPr>
        <w:t xml:space="preserve"> </w:t>
      </w:r>
      <w:r w:rsidR="00105B36" w:rsidRPr="00C866E0">
        <w:rPr>
          <w:lang w:val="en-GB"/>
        </w:rPr>
        <w:t>to be finalized before May 30</w:t>
      </w:r>
      <w:r w:rsidR="00E16A84" w:rsidRPr="00C866E0">
        <w:rPr>
          <w:lang w:val="en-GB"/>
        </w:rPr>
        <w:t>,</w:t>
      </w:r>
      <w:r w:rsidR="00105B36" w:rsidRPr="00C866E0">
        <w:rPr>
          <w:lang w:val="en-GB"/>
        </w:rPr>
        <w:t xml:space="preserve"> the start of the peak season for the CSD industry in Utopia.</w:t>
      </w:r>
      <w:r w:rsidR="007B17B2" w:rsidRPr="00C866E0">
        <w:rPr>
          <w:lang w:val="en-GB"/>
        </w:rPr>
        <w:t xml:space="preserve"> The peak season’s imminent </w:t>
      </w:r>
      <w:r w:rsidR="00E16A84" w:rsidRPr="00C866E0">
        <w:rPr>
          <w:lang w:val="en-GB"/>
        </w:rPr>
        <w:t>arrival</w:t>
      </w:r>
      <w:r w:rsidR="007B17B2" w:rsidRPr="00C866E0">
        <w:rPr>
          <w:lang w:val="en-GB"/>
        </w:rPr>
        <w:t xml:space="preserve"> put t</w:t>
      </w:r>
      <w:r w:rsidR="001C2083" w:rsidRPr="00C866E0">
        <w:rPr>
          <w:lang w:val="en-GB"/>
        </w:rPr>
        <w:t>he CSD brand owners</w:t>
      </w:r>
      <w:r w:rsidRPr="00C866E0">
        <w:rPr>
          <w:lang w:val="en-GB"/>
        </w:rPr>
        <w:t xml:space="preserve"> in a difficult position</w:t>
      </w:r>
      <w:r w:rsidR="007B17B2" w:rsidRPr="00C866E0">
        <w:rPr>
          <w:lang w:val="en-GB"/>
        </w:rPr>
        <w:t>,</w:t>
      </w:r>
      <w:r w:rsidRPr="00C866E0">
        <w:rPr>
          <w:lang w:val="en-GB"/>
        </w:rPr>
        <w:t xml:space="preserve"> </w:t>
      </w:r>
      <w:r w:rsidR="00E16A84" w:rsidRPr="00C866E0">
        <w:rPr>
          <w:lang w:val="en-GB"/>
        </w:rPr>
        <w:t>giving them</w:t>
      </w:r>
      <w:r w:rsidRPr="00C866E0">
        <w:rPr>
          <w:lang w:val="en-GB"/>
        </w:rPr>
        <w:t xml:space="preserve"> only </w:t>
      </w:r>
      <w:r w:rsidR="001C2083" w:rsidRPr="00C866E0">
        <w:rPr>
          <w:lang w:val="en-GB"/>
        </w:rPr>
        <w:t>limited time to</w:t>
      </w:r>
      <w:r w:rsidR="00726078" w:rsidRPr="00C866E0">
        <w:rPr>
          <w:lang w:val="en-GB"/>
        </w:rPr>
        <w:t xml:space="preserve"> enter into new contracts. </w:t>
      </w:r>
      <w:r w:rsidR="001C2083" w:rsidRPr="00C866E0">
        <w:rPr>
          <w:lang w:val="en-GB"/>
        </w:rPr>
        <w:t>H</w:t>
      </w:r>
      <w:r w:rsidRPr="00C866E0">
        <w:rPr>
          <w:lang w:val="en-GB"/>
        </w:rPr>
        <w:t xml:space="preserve">owever, this was a great opportunity for </w:t>
      </w:r>
      <w:r w:rsidR="00726078" w:rsidRPr="00C866E0">
        <w:rPr>
          <w:lang w:val="en-GB"/>
        </w:rPr>
        <w:t>p</w:t>
      </w:r>
      <w:r w:rsidRPr="00C866E0">
        <w:rPr>
          <w:lang w:val="en-GB"/>
        </w:rPr>
        <w:t>rospective</w:t>
      </w:r>
      <w:r w:rsidR="00726078" w:rsidRPr="00C866E0">
        <w:rPr>
          <w:lang w:val="en-GB"/>
        </w:rPr>
        <w:t xml:space="preserve"> bottlers</w:t>
      </w:r>
      <w:r w:rsidRPr="00C866E0">
        <w:rPr>
          <w:lang w:val="en-GB"/>
        </w:rPr>
        <w:t xml:space="preserve"> looking to enter the CSD market</w:t>
      </w:r>
      <w:r w:rsidR="00105B36" w:rsidRPr="00C866E0">
        <w:rPr>
          <w:lang w:val="en-GB"/>
        </w:rPr>
        <w:t>,</w:t>
      </w:r>
      <w:r w:rsidR="00726078" w:rsidRPr="00C866E0">
        <w:rPr>
          <w:lang w:val="en-GB"/>
        </w:rPr>
        <w:t xml:space="preserve"> </w:t>
      </w:r>
      <w:r w:rsidRPr="00C866E0">
        <w:rPr>
          <w:lang w:val="en-GB"/>
        </w:rPr>
        <w:t>as they could now</w:t>
      </w:r>
      <w:r w:rsidR="00726078" w:rsidRPr="00C866E0">
        <w:rPr>
          <w:lang w:val="en-GB"/>
        </w:rPr>
        <w:t xml:space="preserve"> initiate discussions with the </w:t>
      </w:r>
      <w:r w:rsidR="00105B36" w:rsidRPr="00C866E0">
        <w:rPr>
          <w:lang w:val="en-GB"/>
        </w:rPr>
        <w:t>previously locked</w:t>
      </w:r>
      <w:r w:rsidR="00E16A84" w:rsidRPr="00C866E0">
        <w:rPr>
          <w:lang w:val="en-GB"/>
        </w:rPr>
        <w:t>-</w:t>
      </w:r>
      <w:r w:rsidR="00105B36" w:rsidRPr="00C866E0">
        <w:rPr>
          <w:lang w:val="en-GB"/>
        </w:rPr>
        <w:t xml:space="preserve">in </w:t>
      </w:r>
      <w:r w:rsidR="00726078" w:rsidRPr="00C866E0">
        <w:rPr>
          <w:lang w:val="en-GB"/>
        </w:rPr>
        <w:t xml:space="preserve">CSD brand owners and existing retailers. </w:t>
      </w:r>
    </w:p>
    <w:p w14:paraId="7A25F543" w14:textId="77777777" w:rsidR="00726078" w:rsidRPr="00C866E0" w:rsidRDefault="00726078" w:rsidP="00726078">
      <w:pPr>
        <w:pStyle w:val="BodyTextMain"/>
        <w:rPr>
          <w:lang w:val="en-GB"/>
        </w:rPr>
      </w:pPr>
    </w:p>
    <w:p w14:paraId="1D3F0B65" w14:textId="77777777" w:rsidR="00105B36" w:rsidRPr="00C866E0" w:rsidRDefault="00105B36" w:rsidP="00726078">
      <w:pPr>
        <w:pStyle w:val="BodyTextMain"/>
        <w:rPr>
          <w:lang w:val="en-GB"/>
        </w:rPr>
      </w:pPr>
    </w:p>
    <w:p w14:paraId="16A4E581" w14:textId="77777777" w:rsidR="00105B36" w:rsidRPr="00C866E0" w:rsidRDefault="00105B36" w:rsidP="00105B36">
      <w:pPr>
        <w:pStyle w:val="Casehead1"/>
        <w:rPr>
          <w:lang w:val="en-GB"/>
        </w:rPr>
      </w:pPr>
      <w:r w:rsidRPr="00C866E0">
        <w:rPr>
          <w:lang w:val="en-GB"/>
        </w:rPr>
        <w:t>The Challenge</w:t>
      </w:r>
    </w:p>
    <w:p w14:paraId="4F054819" w14:textId="77777777" w:rsidR="00105B36" w:rsidRPr="00C866E0" w:rsidRDefault="00105B36" w:rsidP="00726078">
      <w:pPr>
        <w:pStyle w:val="BodyTextMain"/>
        <w:rPr>
          <w:lang w:val="en-GB"/>
        </w:rPr>
      </w:pPr>
    </w:p>
    <w:p w14:paraId="18ABD6CE" w14:textId="16B560D8" w:rsidR="00726078" w:rsidRPr="00C866E0" w:rsidRDefault="00726078" w:rsidP="00726078">
      <w:pPr>
        <w:pStyle w:val="BodyTextMain"/>
        <w:rPr>
          <w:lang w:val="en-GB"/>
        </w:rPr>
      </w:pPr>
      <w:r w:rsidRPr="00C866E0">
        <w:rPr>
          <w:lang w:val="en-GB"/>
        </w:rPr>
        <w:t>To stabilize the CSD industry value chain in Utopia, you</w:t>
      </w:r>
      <w:r w:rsidR="00D86263">
        <w:rPr>
          <w:lang w:val="en-GB"/>
        </w:rPr>
        <w:t>,</w:t>
      </w:r>
      <w:r w:rsidRPr="00C866E0">
        <w:rPr>
          <w:lang w:val="en-GB"/>
        </w:rPr>
        <w:t xml:space="preserve"> as a team</w:t>
      </w:r>
      <w:r w:rsidR="00D86263">
        <w:rPr>
          <w:lang w:val="en-GB"/>
        </w:rPr>
        <w:t>,</w:t>
      </w:r>
      <w:r w:rsidRPr="00C866E0">
        <w:rPr>
          <w:lang w:val="en-GB"/>
        </w:rPr>
        <w:t xml:space="preserve"> </w:t>
      </w:r>
      <w:r w:rsidR="00580662">
        <w:rPr>
          <w:lang w:val="en-GB"/>
        </w:rPr>
        <w:t>will</w:t>
      </w:r>
      <w:r w:rsidR="00580662" w:rsidRPr="00C866E0">
        <w:rPr>
          <w:lang w:val="en-GB"/>
        </w:rPr>
        <w:t xml:space="preserve"> </w:t>
      </w:r>
      <w:r w:rsidR="00A46469" w:rsidRPr="00C866E0">
        <w:rPr>
          <w:lang w:val="en-GB"/>
        </w:rPr>
        <w:t xml:space="preserve">take on </w:t>
      </w:r>
      <w:r w:rsidRPr="00C866E0">
        <w:rPr>
          <w:lang w:val="en-GB"/>
        </w:rPr>
        <w:t xml:space="preserve">the role of either </w:t>
      </w:r>
      <w:r w:rsidR="00E16A84" w:rsidRPr="00C866E0">
        <w:rPr>
          <w:lang w:val="en-GB"/>
        </w:rPr>
        <w:t>a</w:t>
      </w:r>
      <w:r w:rsidRPr="00C866E0">
        <w:rPr>
          <w:lang w:val="en-GB"/>
        </w:rPr>
        <w:t xml:space="preserve"> CSD</w:t>
      </w:r>
      <w:r w:rsidR="00A46469" w:rsidRPr="00C866E0">
        <w:rPr>
          <w:lang w:val="en-GB"/>
        </w:rPr>
        <w:t xml:space="preserve"> </w:t>
      </w:r>
      <w:r w:rsidR="00E16A84" w:rsidRPr="00C866E0">
        <w:rPr>
          <w:lang w:val="en-GB"/>
        </w:rPr>
        <w:t>b</w:t>
      </w:r>
      <w:r w:rsidR="00A46469" w:rsidRPr="00C866E0">
        <w:rPr>
          <w:lang w:val="en-GB"/>
        </w:rPr>
        <w:t xml:space="preserve">rand </w:t>
      </w:r>
      <w:r w:rsidR="00E16A84" w:rsidRPr="00C866E0">
        <w:rPr>
          <w:lang w:val="en-GB"/>
        </w:rPr>
        <w:t>o</w:t>
      </w:r>
      <w:r w:rsidR="00A46469" w:rsidRPr="00C866E0">
        <w:rPr>
          <w:lang w:val="en-GB"/>
        </w:rPr>
        <w:t xml:space="preserve">wner, a CSD </w:t>
      </w:r>
      <w:r w:rsidR="00E16A84" w:rsidRPr="00C866E0">
        <w:rPr>
          <w:lang w:val="en-GB"/>
        </w:rPr>
        <w:t>b</w:t>
      </w:r>
      <w:r w:rsidRPr="00C866E0">
        <w:rPr>
          <w:lang w:val="en-GB"/>
        </w:rPr>
        <w:t>ottler</w:t>
      </w:r>
      <w:r w:rsidR="00A46469" w:rsidRPr="00C866E0">
        <w:rPr>
          <w:lang w:val="en-GB"/>
        </w:rPr>
        <w:t>,</w:t>
      </w:r>
      <w:r w:rsidRPr="00C866E0">
        <w:rPr>
          <w:lang w:val="en-GB"/>
        </w:rPr>
        <w:t xml:space="preserve"> or </w:t>
      </w:r>
      <w:r w:rsidR="00A46469" w:rsidRPr="00C866E0">
        <w:rPr>
          <w:lang w:val="en-GB"/>
        </w:rPr>
        <w:t xml:space="preserve">a CSD </w:t>
      </w:r>
      <w:r w:rsidR="00E16A84" w:rsidRPr="00C866E0">
        <w:rPr>
          <w:lang w:val="en-GB"/>
        </w:rPr>
        <w:t>r</w:t>
      </w:r>
      <w:r w:rsidRPr="00C866E0">
        <w:rPr>
          <w:lang w:val="en-GB"/>
        </w:rPr>
        <w:t>etailer</w:t>
      </w:r>
      <w:r w:rsidR="00E16A84" w:rsidRPr="00C866E0">
        <w:rPr>
          <w:lang w:val="en-GB"/>
        </w:rPr>
        <w:t>,</w:t>
      </w:r>
      <w:r w:rsidRPr="00C866E0">
        <w:rPr>
          <w:lang w:val="en-GB"/>
        </w:rPr>
        <w:t xml:space="preserve"> as assigned by the instructor. Based on the </w:t>
      </w:r>
      <w:r w:rsidR="00A46469" w:rsidRPr="00C866E0">
        <w:rPr>
          <w:lang w:val="en-GB"/>
        </w:rPr>
        <w:t>information provided in this document</w:t>
      </w:r>
      <w:r w:rsidRPr="00C866E0">
        <w:rPr>
          <w:lang w:val="en-GB"/>
        </w:rPr>
        <w:t xml:space="preserve"> and </w:t>
      </w:r>
      <w:r w:rsidR="00A46469" w:rsidRPr="00C866E0">
        <w:rPr>
          <w:lang w:val="en-GB"/>
        </w:rPr>
        <w:t xml:space="preserve">the </w:t>
      </w:r>
      <w:r w:rsidRPr="00C866E0">
        <w:rPr>
          <w:lang w:val="en-GB"/>
        </w:rPr>
        <w:t>specific</w:t>
      </w:r>
      <w:r w:rsidR="00E16A84" w:rsidRPr="00C866E0">
        <w:rPr>
          <w:lang w:val="en-GB"/>
        </w:rPr>
        <w:t>,</w:t>
      </w:r>
      <w:r w:rsidRPr="00C866E0">
        <w:rPr>
          <w:lang w:val="en-GB"/>
        </w:rPr>
        <w:t xml:space="preserve"> confidential information </w:t>
      </w:r>
      <w:r w:rsidR="00105B36" w:rsidRPr="00C866E0">
        <w:rPr>
          <w:lang w:val="en-GB"/>
        </w:rPr>
        <w:t xml:space="preserve">provided in your role sheet </w:t>
      </w:r>
      <w:r w:rsidRPr="00C866E0">
        <w:rPr>
          <w:lang w:val="en-GB"/>
        </w:rPr>
        <w:t>(</w:t>
      </w:r>
      <w:r w:rsidR="00105B36" w:rsidRPr="00C866E0">
        <w:rPr>
          <w:lang w:val="en-GB"/>
        </w:rPr>
        <w:t xml:space="preserve">to be </w:t>
      </w:r>
      <w:r w:rsidR="00E16A84" w:rsidRPr="00C866E0">
        <w:rPr>
          <w:lang w:val="en-GB"/>
        </w:rPr>
        <w:lastRenderedPageBreak/>
        <w:t>distributed</w:t>
      </w:r>
      <w:r w:rsidRPr="00C866E0">
        <w:rPr>
          <w:lang w:val="en-GB"/>
        </w:rPr>
        <w:t xml:space="preserve"> separately</w:t>
      </w:r>
      <w:r w:rsidR="00105B36" w:rsidRPr="00C866E0">
        <w:rPr>
          <w:lang w:val="en-GB"/>
        </w:rPr>
        <w:t xml:space="preserve"> by </w:t>
      </w:r>
      <w:r w:rsidR="00E16A84" w:rsidRPr="00C866E0">
        <w:rPr>
          <w:lang w:val="en-GB"/>
        </w:rPr>
        <w:t>the</w:t>
      </w:r>
      <w:r w:rsidR="00105B36" w:rsidRPr="00C866E0">
        <w:rPr>
          <w:lang w:val="en-GB"/>
        </w:rPr>
        <w:t xml:space="preserve"> instructor</w:t>
      </w:r>
      <w:r w:rsidRPr="00C866E0">
        <w:rPr>
          <w:lang w:val="en-GB"/>
        </w:rPr>
        <w:t xml:space="preserve">), your team </w:t>
      </w:r>
      <w:r w:rsidR="00105B36" w:rsidRPr="00C866E0">
        <w:rPr>
          <w:lang w:val="en-GB"/>
        </w:rPr>
        <w:t>will attempt</w:t>
      </w:r>
      <w:r w:rsidRPr="00C866E0">
        <w:rPr>
          <w:lang w:val="en-GB"/>
        </w:rPr>
        <w:t xml:space="preserve"> to enter into contracts </w:t>
      </w:r>
      <w:r w:rsidR="00105B36" w:rsidRPr="00C866E0">
        <w:rPr>
          <w:lang w:val="en-GB"/>
        </w:rPr>
        <w:t xml:space="preserve">with the goal of establishing </w:t>
      </w:r>
      <w:r w:rsidRPr="00C866E0">
        <w:rPr>
          <w:lang w:val="en-GB"/>
        </w:rPr>
        <w:t xml:space="preserve">profitable B2B partnerships both upstream and downstream in the value chain. </w:t>
      </w:r>
    </w:p>
    <w:p w14:paraId="135C49A5" w14:textId="77777777" w:rsidR="00726078" w:rsidRPr="00C866E0" w:rsidRDefault="00726078" w:rsidP="00726078">
      <w:pPr>
        <w:pStyle w:val="BodyTextMain"/>
        <w:rPr>
          <w:b/>
          <w:lang w:val="en-GB"/>
        </w:rPr>
      </w:pPr>
    </w:p>
    <w:p w14:paraId="56820A3E" w14:textId="27AA2F2C" w:rsidR="0017531D" w:rsidRPr="00C866E0" w:rsidRDefault="0017531D" w:rsidP="001D7BDE">
      <w:pPr>
        <w:pStyle w:val="BodyTextMain"/>
        <w:tabs>
          <w:tab w:val="left" w:pos="3544"/>
        </w:tabs>
        <w:rPr>
          <w:lang w:val="en-GB"/>
        </w:rPr>
      </w:pPr>
      <w:r w:rsidRPr="00C866E0">
        <w:rPr>
          <w:lang w:val="en-GB"/>
        </w:rPr>
        <w:t xml:space="preserve">The </w:t>
      </w:r>
      <w:r w:rsidR="00D856B1" w:rsidRPr="00C866E0">
        <w:rPr>
          <w:lang w:val="en-GB"/>
        </w:rPr>
        <w:t xml:space="preserve">two </w:t>
      </w:r>
      <w:r w:rsidRPr="00C866E0">
        <w:rPr>
          <w:lang w:val="en-GB"/>
        </w:rPr>
        <w:t>CSD brand owners</w:t>
      </w:r>
      <w:r w:rsidR="00D856B1" w:rsidRPr="00C866E0">
        <w:rPr>
          <w:lang w:val="en-GB"/>
        </w:rPr>
        <w:t xml:space="preserve"> in Utopia</w:t>
      </w:r>
      <w:r w:rsidRPr="00C866E0">
        <w:rPr>
          <w:lang w:val="en-GB"/>
        </w:rPr>
        <w:t xml:space="preserve"> decide</w:t>
      </w:r>
      <w:r w:rsidR="00580662">
        <w:rPr>
          <w:lang w:val="en-GB"/>
        </w:rPr>
        <w:t>d</w:t>
      </w:r>
      <w:r w:rsidRPr="00C866E0">
        <w:rPr>
          <w:lang w:val="en-GB"/>
        </w:rPr>
        <w:t xml:space="preserve"> the </w:t>
      </w:r>
      <w:r w:rsidR="00E16A84" w:rsidRPr="00C866E0">
        <w:rPr>
          <w:lang w:val="en-GB"/>
        </w:rPr>
        <w:t>m</w:t>
      </w:r>
      <w:r w:rsidRPr="00C866E0">
        <w:rPr>
          <w:lang w:val="en-GB"/>
        </w:rPr>
        <w:t xml:space="preserve">aximum </w:t>
      </w:r>
      <w:r w:rsidR="00E16A84" w:rsidRPr="00C866E0">
        <w:rPr>
          <w:lang w:val="en-GB"/>
        </w:rPr>
        <w:t>r</w:t>
      </w:r>
      <w:r w:rsidRPr="00C866E0">
        <w:rPr>
          <w:lang w:val="en-GB"/>
        </w:rPr>
        <w:t xml:space="preserve">etail </w:t>
      </w:r>
      <w:r w:rsidR="00E16A84" w:rsidRPr="00C866E0">
        <w:rPr>
          <w:lang w:val="en-GB"/>
        </w:rPr>
        <w:t>p</w:t>
      </w:r>
      <w:r w:rsidRPr="00C866E0">
        <w:rPr>
          <w:lang w:val="en-GB"/>
        </w:rPr>
        <w:t>rice (MRP) of the product</w:t>
      </w:r>
      <w:r w:rsidR="00D856B1" w:rsidRPr="00C866E0">
        <w:rPr>
          <w:lang w:val="en-GB"/>
        </w:rPr>
        <w:t xml:space="preserve">, and both CSD brands in the market </w:t>
      </w:r>
      <w:r w:rsidR="007B1F88" w:rsidRPr="00C866E0">
        <w:rPr>
          <w:lang w:val="en-GB"/>
        </w:rPr>
        <w:t>use</w:t>
      </w:r>
      <w:r w:rsidR="00580662">
        <w:rPr>
          <w:lang w:val="en-GB"/>
        </w:rPr>
        <w:t>d</w:t>
      </w:r>
      <w:r w:rsidR="00D856B1" w:rsidRPr="00C866E0">
        <w:rPr>
          <w:lang w:val="en-GB"/>
        </w:rPr>
        <w:t xml:space="preserve"> the same</w:t>
      </w:r>
      <w:r w:rsidRPr="00C866E0">
        <w:rPr>
          <w:lang w:val="en-GB"/>
        </w:rPr>
        <w:t xml:space="preserve"> product packag</w:t>
      </w:r>
      <w:r w:rsidR="00D856B1" w:rsidRPr="00C866E0">
        <w:rPr>
          <w:lang w:val="en-GB"/>
        </w:rPr>
        <w:t>ing,</w:t>
      </w:r>
      <w:r w:rsidRPr="00C866E0">
        <w:rPr>
          <w:lang w:val="en-GB"/>
        </w:rPr>
        <w:t xml:space="preserve"> i.e.</w:t>
      </w:r>
      <w:r w:rsidR="00E16A84" w:rsidRPr="00C866E0">
        <w:rPr>
          <w:lang w:val="en-GB"/>
        </w:rPr>
        <w:t>,</w:t>
      </w:r>
      <w:r w:rsidRPr="00C866E0">
        <w:rPr>
          <w:lang w:val="en-GB"/>
        </w:rPr>
        <w:t xml:space="preserve"> </w:t>
      </w:r>
      <w:r w:rsidR="00E16A84" w:rsidRPr="00C866E0">
        <w:rPr>
          <w:lang w:val="en-GB"/>
        </w:rPr>
        <w:t>one-litre</w:t>
      </w:r>
      <w:r w:rsidR="00AF2712" w:rsidRPr="00C866E0">
        <w:rPr>
          <w:lang w:val="en-GB"/>
        </w:rPr>
        <w:t xml:space="preserve"> plastic </w:t>
      </w:r>
      <w:r w:rsidRPr="00C866E0">
        <w:rPr>
          <w:lang w:val="en-GB"/>
        </w:rPr>
        <w:t>bottles</w:t>
      </w:r>
      <w:r w:rsidR="00580662">
        <w:rPr>
          <w:lang w:val="en-GB"/>
        </w:rPr>
        <w:t>.</w:t>
      </w:r>
      <w:r w:rsidR="00AF2712" w:rsidRPr="00C866E0">
        <w:rPr>
          <w:rStyle w:val="FootnoteReference"/>
          <w:lang w:val="en-GB"/>
        </w:rPr>
        <w:footnoteReference w:id="3"/>
      </w:r>
      <w:r w:rsidRPr="00C866E0">
        <w:rPr>
          <w:lang w:val="en-GB"/>
        </w:rPr>
        <w:t xml:space="preserve"> The shelf life of the CSD </w:t>
      </w:r>
      <w:r w:rsidR="00580662">
        <w:rPr>
          <w:lang w:val="en-GB"/>
        </w:rPr>
        <w:t>wa</w:t>
      </w:r>
      <w:r w:rsidR="00580662" w:rsidRPr="00C866E0">
        <w:rPr>
          <w:lang w:val="en-GB"/>
        </w:rPr>
        <w:t xml:space="preserve">s </w:t>
      </w:r>
      <w:r w:rsidRPr="00C866E0">
        <w:rPr>
          <w:lang w:val="en-GB"/>
        </w:rPr>
        <w:t>six months from the date of manufactur</w:t>
      </w:r>
      <w:r w:rsidR="0057734B" w:rsidRPr="00C866E0">
        <w:rPr>
          <w:lang w:val="en-GB"/>
        </w:rPr>
        <w:t>e</w:t>
      </w:r>
      <w:r w:rsidRPr="00C866E0">
        <w:rPr>
          <w:lang w:val="en-GB"/>
        </w:rPr>
        <w:t xml:space="preserve">. </w:t>
      </w:r>
      <w:r w:rsidR="00527528" w:rsidRPr="00C866E0">
        <w:rPr>
          <w:lang w:val="en-GB"/>
        </w:rPr>
        <w:t>R</w:t>
      </w:r>
      <w:r w:rsidRPr="00C866E0">
        <w:rPr>
          <w:lang w:val="en-GB"/>
        </w:rPr>
        <w:t xml:space="preserve">etailers </w:t>
      </w:r>
      <w:r w:rsidR="00580662">
        <w:rPr>
          <w:lang w:val="en-GB"/>
        </w:rPr>
        <w:t xml:space="preserve">could </w:t>
      </w:r>
      <w:r w:rsidR="00580662" w:rsidRPr="00C866E0">
        <w:rPr>
          <w:lang w:val="en-GB"/>
        </w:rPr>
        <w:t xml:space="preserve">not </w:t>
      </w:r>
      <w:r w:rsidRPr="00C866E0">
        <w:rPr>
          <w:lang w:val="en-GB"/>
        </w:rPr>
        <w:t xml:space="preserve">sell </w:t>
      </w:r>
      <w:r w:rsidR="00527528" w:rsidRPr="00C866E0">
        <w:rPr>
          <w:lang w:val="en-GB"/>
        </w:rPr>
        <w:t xml:space="preserve">the product </w:t>
      </w:r>
      <w:r w:rsidR="001D7BDE">
        <w:rPr>
          <w:lang w:val="en-GB"/>
        </w:rPr>
        <w:t>for more than</w:t>
      </w:r>
      <w:r w:rsidR="001D7BDE" w:rsidRPr="00C866E0">
        <w:rPr>
          <w:lang w:val="en-GB"/>
        </w:rPr>
        <w:t xml:space="preserve"> </w:t>
      </w:r>
      <w:r w:rsidRPr="00C866E0">
        <w:rPr>
          <w:lang w:val="en-GB"/>
        </w:rPr>
        <w:t xml:space="preserve">the MRP, but </w:t>
      </w:r>
      <w:r w:rsidR="00580662" w:rsidRPr="00C866E0">
        <w:rPr>
          <w:lang w:val="en-GB"/>
        </w:rPr>
        <w:t>c</w:t>
      </w:r>
      <w:r w:rsidR="00580662">
        <w:rPr>
          <w:lang w:val="en-GB"/>
        </w:rPr>
        <w:t>ould</w:t>
      </w:r>
      <w:r w:rsidR="00580662" w:rsidRPr="00C866E0">
        <w:rPr>
          <w:lang w:val="en-GB"/>
        </w:rPr>
        <w:t xml:space="preserve"> </w:t>
      </w:r>
      <w:r w:rsidRPr="00C866E0">
        <w:rPr>
          <w:lang w:val="en-GB"/>
        </w:rPr>
        <w:t xml:space="preserve">offer discounts and launch in-store promotion schemes. </w:t>
      </w:r>
      <w:r w:rsidR="00527528" w:rsidRPr="00C866E0">
        <w:rPr>
          <w:lang w:val="en-GB"/>
        </w:rPr>
        <w:t>R</w:t>
      </w:r>
      <w:r w:rsidRPr="00C866E0">
        <w:rPr>
          <w:lang w:val="en-GB"/>
        </w:rPr>
        <w:t>etailers need</w:t>
      </w:r>
      <w:r w:rsidR="00580662">
        <w:rPr>
          <w:lang w:val="en-GB"/>
        </w:rPr>
        <w:t>ed</w:t>
      </w:r>
      <w:r w:rsidRPr="00C866E0">
        <w:rPr>
          <w:lang w:val="en-GB"/>
        </w:rPr>
        <w:t xml:space="preserve"> to assign shelf space to the two CSD brands. The total shelf space visibility </w:t>
      </w:r>
      <w:r w:rsidR="00580662">
        <w:rPr>
          <w:lang w:val="en-GB"/>
        </w:rPr>
        <w:t>wa</w:t>
      </w:r>
      <w:r w:rsidR="00580662" w:rsidRPr="00C866E0">
        <w:rPr>
          <w:lang w:val="en-GB"/>
        </w:rPr>
        <w:t xml:space="preserve">s </w:t>
      </w:r>
      <w:r w:rsidRPr="00C866E0">
        <w:rPr>
          <w:lang w:val="en-GB"/>
        </w:rPr>
        <w:t xml:space="preserve">indexed as </w:t>
      </w:r>
      <w:r w:rsidR="00580662">
        <w:rPr>
          <w:lang w:val="en-GB"/>
        </w:rPr>
        <w:t>10</w:t>
      </w:r>
      <w:r w:rsidR="00580662" w:rsidRPr="00C866E0">
        <w:rPr>
          <w:lang w:val="en-GB"/>
        </w:rPr>
        <w:t xml:space="preserve"> </w:t>
      </w:r>
      <w:r w:rsidRPr="00C866E0">
        <w:rPr>
          <w:lang w:val="en-GB"/>
        </w:rPr>
        <w:t>units</w:t>
      </w:r>
      <w:r w:rsidR="00527528" w:rsidRPr="00C866E0">
        <w:rPr>
          <w:lang w:val="en-GB"/>
        </w:rPr>
        <w:t>,</w:t>
      </w:r>
      <w:r w:rsidRPr="00C866E0">
        <w:rPr>
          <w:lang w:val="en-GB"/>
        </w:rPr>
        <w:t xml:space="preserve"> i.e.</w:t>
      </w:r>
      <w:r w:rsidR="00527528" w:rsidRPr="00C866E0">
        <w:rPr>
          <w:lang w:val="en-GB"/>
        </w:rPr>
        <w:t>,</w:t>
      </w:r>
      <w:r w:rsidRPr="00C866E0">
        <w:rPr>
          <w:lang w:val="en-GB"/>
        </w:rPr>
        <w:t xml:space="preserve"> the retailer’s shelf space </w:t>
      </w:r>
      <w:r w:rsidR="00580662" w:rsidRPr="00C866E0">
        <w:rPr>
          <w:lang w:val="en-GB"/>
        </w:rPr>
        <w:t>c</w:t>
      </w:r>
      <w:r w:rsidR="00580662">
        <w:rPr>
          <w:lang w:val="en-GB"/>
        </w:rPr>
        <w:t>ould</w:t>
      </w:r>
      <w:r w:rsidR="00580662" w:rsidRPr="00C866E0">
        <w:rPr>
          <w:lang w:val="en-GB"/>
        </w:rPr>
        <w:t xml:space="preserve"> </w:t>
      </w:r>
      <w:r w:rsidRPr="00C866E0">
        <w:rPr>
          <w:lang w:val="en-GB"/>
        </w:rPr>
        <w:t xml:space="preserve">accommodate </w:t>
      </w:r>
      <w:r w:rsidR="00580662">
        <w:rPr>
          <w:lang w:val="en-GB"/>
        </w:rPr>
        <w:t>10</w:t>
      </w:r>
      <w:r w:rsidR="00580662" w:rsidRPr="00C866E0">
        <w:rPr>
          <w:lang w:val="en-GB"/>
        </w:rPr>
        <w:t xml:space="preserve"> </w:t>
      </w:r>
      <w:r w:rsidRPr="00C866E0">
        <w:rPr>
          <w:lang w:val="en-GB"/>
        </w:rPr>
        <w:t>units of CSDs</w:t>
      </w:r>
      <w:r w:rsidR="00580662">
        <w:rPr>
          <w:lang w:val="en-GB"/>
        </w:rPr>
        <w:t>,</w:t>
      </w:r>
      <w:r w:rsidRPr="00C866E0">
        <w:rPr>
          <w:lang w:val="en-GB"/>
        </w:rPr>
        <w:t xml:space="preserve"> and the retailer </w:t>
      </w:r>
      <w:r w:rsidR="00580662">
        <w:rPr>
          <w:lang w:val="en-GB"/>
        </w:rPr>
        <w:t>needed to</w:t>
      </w:r>
      <w:r w:rsidR="00580662" w:rsidRPr="00C866E0">
        <w:rPr>
          <w:lang w:val="en-GB"/>
        </w:rPr>
        <w:t xml:space="preserve"> </w:t>
      </w:r>
      <w:r w:rsidRPr="00C866E0">
        <w:rPr>
          <w:lang w:val="en-GB"/>
        </w:rPr>
        <w:t>assign</w:t>
      </w:r>
      <w:r w:rsidR="00527528" w:rsidRPr="00C866E0">
        <w:rPr>
          <w:lang w:val="en-GB"/>
        </w:rPr>
        <w:t xml:space="preserve"> and </w:t>
      </w:r>
      <w:r w:rsidRPr="00C866E0">
        <w:rPr>
          <w:lang w:val="en-GB"/>
        </w:rPr>
        <w:t xml:space="preserve">divide that shelf space between both CSD brands. There </w:t>
      </w:r>
      <w:r w:rsidR="00580662">
        <w:rPr>
          <w:lang w:val="en-GB"/>
        </w:rPr>
        <w:t>wa</w:t>
      </w:r>
      <w:r w:rsidR="00580662" w:rsidRPr="00C866E0">
        <w:rPr>
          <w:lang w:val="en-GB"/>
        </w:rPr>
        <w:t xml:space="preserve">s </w:t>
      </w:r>
      <w:r w:rsidRPr="00C866E0">
        <w:rPr>
          <w:lang w:val="en-GB"/>
        </w:rPr>
        <w:t xml:space="preserve">no difference between the different units </w:t>
      </w:r>
      <w:r w:rsidR="006750C1" w:rsidRPr="00C866E0">
        <w:rPr>
          <w:lang w:val="en-GB"/>
        </w:rPr>
        <w:t xml:space="preserve">in terms </w:t>
      </w:r>
      <w:r w:rsidRPr="00C866E0">
        <w:rPr>
          <w:lang w:val="en-GB"/>
        </w:rPr>
        <w:t>of visibility</w:t>
      </w:r>
      <w:r w:rsidR="006750C1" w:rsidRPr="00C866E0">
        <w:rPr>
          <w:lang w:val="en-GB"/>
        </w:rPr>
        <w:t>—</w:t>
      </w:r>
      <w:r w:rsidRPr="00C866E0">
        <w:rPr>
          <w:lang w:val="en-GB"/>
        </w:rPr>
        <w:t>the top racks and bottom racks</w:t>
      </w:r>
      <w:r w:rsidR="00EC420A" w:rsidRPr="00C866E0">
        <w:rPr>
          <w:lang w:val="en-GB"/>
        </w:rPr>
        <w:t xml:space="preserve"> </w:t>
      </w:r>
      <w:r w:rsidR="00580662" w:rsidRPr="00C866E0">
        <w:rPr>
          <w:lang w:val="en-GB"/>
        </w:rPr>
        <w:t>c</w:t>
      </w:r>
      <w:r w:rsidR="00580662">
        <w:rPr>
          <w:lang w:val="en-GB"/>
        </w:rPr>
        <w:t>ould</w:t>
      </w:r>
      <w:r w:rsidR="00580662" w:rsidRPr="00C866E0">
        <w:rPr>
          <w:lang w:val="en-GB"/>
        </w:rPr>
        <w:t xml:space="preserve"> </w:t>
      </w:r>
      <w:r w:rsidR="00EC420A" w:rsidRPr="00C866E0">
        <w:rPr>
          <w:lang w:val="en-GB"/>
        </w:rPr>
        <w:t xml:space="preserve">both equally </w:t>
      </w:r>
      <w:r w:rsidR="00580662">
        <w:rPr>
          <w:lang w:val="en-GB"/>
        </w:rPr>
        <w:t>attract</w:t>
      </w:r>
      <w:r w:rsidR="00580662" w:rsidRPr="00C866E0">
        <w:rPr>
          <w:lang w:val="en-GB"/>
        </w:rPr>
        <w:t xml:space="preserve"> </w:t>
      </w:r>
      <w:r w:rsidR="00EC420A" w:rsidRPr="00C866E0">
        <w:rPr>
          <w:lang w:val="en-GB"/>
        </w:rPr>
        <w:t>the customer’s attention</w:t>
      </w:r>
      <w:r w:rsidRPr="00C866E0">
        <w:rPr>
          <w:lang w:val="en-GB"/>
        </w:rPr>
        <w:t xml:space="preserve">. </w:t>
      </w:r>
    </w:p>
    <w:p w14:paraId="55CFDB6B" w14:textId="77777777" w:rsidR="0017531D" w:rsidRPr="00C866E0" w:rsidRDefault="0017531D" w:rsidP="0017531D">
      <w:pPr>
        <w:pStyle w:val="BodyTextMain"/>
        <w:rPr>
          <w:lang w:val="en-GB"/>
        </w:rPr>
      </w:pPr>
    </w:p>
    <w:p w14:paraId="22216B1E" w14:textId="3AC5D7B0" w:rsidR="0017531D" w:rsidRPr="00C866E0" w:rsidRDefault="0017531D" w:rsidP="0017531D">
      <w:pPr>
        <w:pStyle w:val="BodyTextMain"/>
        <w:keepNext/>
        <w:rPr>
          <w:lang w:val="en-GB"/>
        </w:rPr>
      </w:pPr>
      <w:r w:rsidRPr="00C866E0">
        <w:rPr>
          <w:lang w:val="en-GB"/>
        </w:rPr>
        <w:t xml:space="preserve">The objective of every team is to increase revenue and profits. Teams are required to negotiate the terms and conditions </w:t>
      </w:r>
      <w:r w:rsidR="00EC420A" w:rsidRPr="00C866E0">
        <w:rPr>
          <w:lang w:val="en-GB"/>
        </w:rPr>
        <w:t xml:space="preserve">of the contract </w:t>
      </w:r>
      <w:r w:rsidRPr="00C866E0">
        <w:rPr>
          <w:lang w:val="en-GB"/>
        </w:rPr>
        <w:t>with their suppliers and buyers</w:t>
      </w:r>
      <w:r w:rsidR="00EC420A" w:rsidRPr="00C866E0">
        <w:rPr>
          <w:lang w:val="en-GB"/>
        </w:rPr>
        <w:t>,</w:t>
      </w:r>
      <w:r w:rsidRPr="00C866E0">
        <w:rPr>
          <w:lang w:val="en-GB"/>
        </w:rPr>
        <w:t xml:space="preserve"> keeping in mind that profits can be realized by increasing the number of units sold and/or by increasing the margin per unit on the number of units sold. To ensure that all teams have a fair chance to compete, a budget has been allocated to each team </w:t>
      </w:r>
      <w:r w:rsidR="00EC420A" w:rsidRPr="00C866E0">
        <w:rPr>
          <w:lang w:val="en-GB"/>
        </w:rPr>
        <w:t>that</w:t>
      </w:r>
      <w:r w:rsidRPr="00C866E0">
        <w:rPr>
          <w:lang w:val="en-GB"/>
        </w:rPr>
        <w:t xml:space="preserve"> cannot be exceeded. Teams cannot take </w:t>
      </w:r>
      <w:r w:rsidR="00EC420A" w:rsidRPr="00C866E0">
        <w:rPr>
          <w:lang w:val="en-GB"/>
        </w:rPr>
        <w:t>out a</w:t>
      </w:r>
      <w:r w:rsidRPr="00C866E0">
        <w:rPr>
          <w:lang w:val="en-GB"/>
        </w:rPr>
        <w:t xml:space="preserve"> loan. There are no taxes in Utopia, making the net profit equal to the gross profit. </w:t>
      </w:r>
    </w:p>
    <w:p w14:paraId="7717302B" w14:textId="77777777" w:rsidR="0017531D" w:rsidRPr="00C866E0" w:rsidRDefault="0017531D" w:rsidP="0017531D">
      <w:pPr>
        <w:pStyle w:val="BodyTextMain"/>
        <w:rPr>
          <w:lang w:val="en-GB"/>
        </w:rPr>
      </w:pPr>
    </w:p>
    <w:p w14:paraId="4F9FCC65" w14:textId="2D23B209" w:rsidR="0017531D" w:rsidRPr="00C866E0" w:rsidRDefault="00E3764D" w:rsidP="0017531D">
      <w:pPr>
        <w:pStyle w:val="BodyTextMain"/>
        <w:rPr>
          <w:lang w:val="en-GB"/>
        </w:rPr>
      </w:pPr>
      <w:r>
        <w:rPr>
          <w:lang w:val="en-GB"/>
        </w:rPr>
        <w:t>T</w:t>
      </w:r>
      <w:r w:rsidRPr="00C866E0">
        <w:rPr>
          <w:lang w:val="en-GB"/>
        </w:rPr>
        <w:t xml:space="preserve">o decide </w:t>
      </w:r>
      <w:r>
        <w:rPr>
          <w:lang w:val="en-GB"/>
        </w:rPr>
        <w:t xml:space="preserve">on </w:t>
      </w:r>
      <w:r w:rsidRPr="00C866E0">
        <w:rPr>
          <w:lang w:val="en-GB"/>
        </w:rPr>
        <w:t>and evaluate the terms of the contract</w:t>
      </w:r>
      <w:r>
        <w:rPr>
          <w:lang w:val="en-GB"/>
        </w:rPr>
        <w:t>,</w:t>
      </w:r>
      <w:r w:rsidRPr="00C866E0">
        <w:rPr>
          <w:lang w:val="en-GB"/>
        </w:rPr>
        <w:t xml:space="preserve"> </w:t>
      </w:r>
      <w:r>
        <w:rPr>
          <w:lang w:val="en-GB"/>
        </w:rPr>
        <w:t>e</w:t>
      </w:r>
      <w:r w:rsidR="00AF2712" w:rsidRPr="00C866E0">
        <w:rPr>
          <w:lang w:val="en-GB"/>
        </w:rPr>
        <w:t>ach team should consider v</w:t>
      </w:r>
      <w:r w:rsidR="0017531D" w:rsidRPr="00C866E0">
        <w:rPr>
          <w:lang w:val="en-GB"/>
        </w:rPr>
        <w:t>arious factors that affect sales</w:t>
      </w:r>
      <w:r>
        <w:rPr>
          <w:lang w:val="en-GB"/>
        </w:rPr>
        <w:t>,</w:t>
      </w:r>
      <w:r w:rsidR="0017531D" w:rsidRPr="00C866E0">
        <w:rPr>
          <w:lang w:val="en-GB"/>
        </w:rPr>
        <w:t xml:space="preserve"> </w:t>
      </w:r>
      <w:r w:rsidR="00AF2712" w:rsidRPr="00C866E0">
        <w:rPr>
          <w:lang w:val="en-GB"/>
        </w:rPr>
        <w:t xml:space="preserve">such as </w:t>
      </w:r>
      <w:r w:rsidR="0017531D" w:rsidRPr="00C866E0">
        <w:rPr>
          <w:lang w:val="en-GB"/>
        </w:rPr>
        <w:t xml:space="preserve">the marketing expenditure incurred by the CSD brand owners, </w:t>
      </w:r>
      <w:r w:rsidR="00580662">
        <w:rPr>
          <w:lang w:val="en-GB"/>
        </w:rPr>
        <w:t xml:space="preserve">the </w:t>
      </w:r>
      <w:r w:rsidR="007C6EEE" w:rsidRPr="00C866E0">
        <w:rPr>
          <w:lang w:val="en-GB"/>
        </w:rPr>
        <w:t>price of the product</w:t>
      </w:r>
      <w:r w:rsidR="00580662">
        <w:rPr>
          <w:lang w:val="en-GB"/>
        </w:rPr>
        <w:t>,</w:t>
      </w:r>
      <w:r w:rsidR="007C6EEE" w:rsidRPr="00C866E0">
        <w:rPr>
          <w:lang w:val="en-GB"/>
        </w:rPr>
        <w:t xml:space="preserve"> and </w:t>
      </w:r>
      <w:r w:rsidR="00EC420A" w:rsidRPr="00C866E0">
        <w:rPr>
          <w:lang w:val="en-GB"/>
        </w:rPr>
        <w:t>the product’s</w:t>
      </w:r>
      <w:r w:rsidR="0017531D" w:rsidRPr="00C866E0">
        <w:rPr>
          <w:lang w:val="en-GB"/>
        </w:rPr>
        <w:t xml:space="preserve"> availability</w:t>
      </w:r>
      <w:r w:rsidR="00B2030C" w:rsidRPr="00C866E0">
        <w:rPr>
          <w:lang w:val="en-GB"/>
        </w:rPr>
        <w:t xml:space="preserve"> and </w:t>
      </w:r>
      <w:r w:rsidR="0017531D" w:rsidRPr="00C866E0">
        <w:rPr>
          <w:lang w:val="en-GB"/>
        </w:rPr>
        <w:t>visibility</w:t>
      </w:r>
      <w:r w:rsidR="00B2030C" w:rsidRPr="00C866E0">
        <w:rPr>
          <w:lang w:val="en-GB"/>
        </w:rPr>
        <w:t>.</w:t>
      </w:r>
    </w:p>
    <w:p w14:paraId="40711263" w14:textId="77777777" w:rsidR="0017531D" w:rsidRPr="00C866E0" w:rsidRDefault="0017531D" w:rsidP="00726078">
      <w:pPr>
        <w:pStyle w:val="BodyTextMain"/>
        <w:rPr>
          <w:b/>
          <w:lang w:val="en-GB"/>
        </w:rPr>
      </w:pPr>
    </w:p>
    <w:p w14:paraId="4CDB35AF" w14:textId="77777777" w:rsidR="00726078" w:rsidRPr="00C866E0" w:rsidRDefault="00726078" w:rsidP="00726078">
      <w:pPr>
        <w:pStyle w:val="Casehead1"/>
        <w:rPr>
          <w:lang w:val="en-GB"/>
        </w:rPr>
      </w:pPr>
    </w:p>
    <w:p w14:paraId="10A74CA0" w14:textId="77777777" w:rsidR="00726078" w:rsidRPr="00C866E0" w:rsidRDefault="00726078" w:rsidP="00726078">
      <w:pPr>
        <w:pStyle w:val="Casehead1"/>
        <w:rPr>
          <w:lang w:val="en-GB"/>
        </w:rPr>
      </w:pPr>
      <w:r w:rsidRPr="00C866E0">
        <w:rPr>
          <w:lang w:val="en-GB"/>
        </w:rPr>
        <w:t xml:space="preserve">Rules and Expectations </w:t>
      </w:r>
    </w:p>
    <w:p w14:paraId="7D3345A0" w14:textId="77777777" w:rsidR="00726078" w:rsidRPr="00C866E0" w:rsidRDefault="00726078" w:rsidP="00726078">
      <w:pPr>
        <w:pStyle w:val="BodyTextMain"/>
        <w:rPr>
          <w:b/>
          <w:lang w:val="en-GB"/>
        </w:rPr>
      </w:pPr>
    </w:p>
    <w:p w14:paraId="33031179" w14:textId="11477572" w:rsidR="00726078" w:rsidRPr="00C866E0" w:rsidRDefault="00726078" w:rsidP="00726078">
      <w:pPr>
        <w:pStyle w:val="BodyTextMain"/>
        <w:numPr>
          <w:ilvl w:val="0"/>
          <w:numId w:val="28"/>
        </w:numPr>
        <w:rPr>
          <w:lang w:val="en-GB"/>
        </w:rPr>
      </w:pPr>
      <w:r w:rsidRPr="00C866E0">
        <w:rPr>
          <w:lang w:val="en-GB"/>
        </w:rPr>
        <w:t>Since this is a time</w:t>
      </w:r>
      <w:r w:rsidR="00BB3905" w:rsidRPr="00C866E0">
        <w:rPr>
          <w:lang w:val="en-GB"/>
        </w:rPr>
        <w:t>-</w:t>
      </w:r>
      <w:r w:rsidRPr="00C866E0">
        <w:rPr>
          <w:lang w:val="en-GB"/>
        </w:rPr>
        <w:t xml:space="preserve">bound exercise, all teams need to act swiftly (as per the schedule </w:t>
      </w:r>
      <w:r w:rsidR="00B26244" w:rsidRPr="00C866E0">
        <w:rPr>
          <w:lang w:val="en-GB"/>
        </w:rPr>
        <w:t>determined</w:t>
      </w:r>
      <w:r w:rsidRPr="00C866E0">
        <w:rPr>
          <w:lang w:val="en-GB"/>
        </w:rPr>
        <w:t xml:space="preserve"> by the instructor).</w:t>
      </w:r>
    </w:p>
    <w:p w14:paraId="17C21CA9" w14:textId="20A4763B" w:rsidR="00726078" w:rsidRPr="00C866E0" w:rsidRDefault="00726078" w:rsidP="00726078">
      <w:pPr>
        <w:pStyle w:val="BodyTextMain"/>
        <w:numPr>
          <w:ilvl w:val="0"/>
          <w:numId w:val="28"/>
        </w:numPr>
        <w:rPr>
          <w:lang w:val="en-GB"/>
        </w:rPr>
      </w:pPr>
      <w:r w:rsidRPr="00C866E0">
        <w:rPr>
          <w:lang w:val="en-GB"/>
        </w:rPr>
        <w:t xml:space="preserve">Teams </w:t>
      </w:r>
      <w:r w:rsidR="00105B36" w:rsidRPr="00C866E0">
        <w:rPr>
          <w:lang w:val="en-GB"/>
        </w:rPr>
        <w:t xml:space="preserve">may </w:t>
      </w:r>
      <w:r w:rsidRPr="00C866E0">
        <w:rPr>
          <w:lang w:val="en-GB"/>
        </w:rPr>
        <w:t>use</w:t>
      </w:r>
      <w:r w:rsidR="00BB3905" w:rsidRPr="00C866E0">
        <w:rPr>
          <w:lang w:val="en-GB"/>
        </w:rPr>
        <w:t xml:space="preserve"> only</w:t>
      </w:r>
      <w:r w:rsidRPr="00C866E0">
        <w:rPr>
          <w:lang w:val="en-GB"/>
        </w:rPr>
        <w:t xml:space="preserve"> the information shared with them for strategic planning and action</w:t>
      </w:r>
      <w:r w:rsidR="00105B36" w:rsidRPr="00C866E0">
        <w:rPr>
          <w:lang w:val="en-GB"/>
        </w:rPr>
        <w:t xml:space="preserve">; </w:t>
      </w:r>
      <w:r w:rsidR="00BB3905" w:rsidRPr="00C866E0">
        <w:rPr>
          <w:lang w:val="en-GB"/>
        </w:rPr>
        <w:t xml:space="preserve">use of the Internet </w:t>
      </w:r>
      <w:r w:rsidR="00E3764D">
        <w:rPr>
          <w:lang w:val="en-GB"/>
        </w:rPr>
        <w:t>or</w:t>
      </w:r>
      <w:r w:rsidR="00E3764D" w:rsidRPr="00C866E0">
        <w:rPr>
          <w:lang w:val="en-GB"/>
        </w:rPr>
        <w:t xml:space="preserve"> </w:t>
      </w:r>
      <w:r w:rsidRPr="00C866E0">
        <w:rPr>
          <w:lang w:val="en-GB"/>
        </w:rPr>
        <w:t>any external medium of</w:t>
      </w:r>
      <w:r w:rsidR="00105B36" w:rsidRPr="00C866E0">
        <w:rPr>
          <w:lang w:val="en-GB"/>
        </w:rPr>
        <w:t xml:space="preserve"> communication </w:t>
      </w:r>
      <w:r w:rsidR="00BB3905" w:rsidRPr="00C866E0">
        <w:rPr>
          <w:lang w:val="en-GB"/>
        </w:rPr>
        <w:t xml:space="preserve">is prohibited </w:t>
      </w:r>
      <w:r w:rsidR="00105B36" w:rsidRPr="00C866E0">
        <w:rPr>
          <w:lang w:val="en-GB"/>
        </w:rPr>
        <w:t>during</w:t>
      </w:r>
      <w:r w:rsidRPr="00C866E0">
        <w:rPr>
          <w:lang w:val="en-GB"/>
        </w:rPr>
        <w:t xml:space="preserve"> the classroom exer</w:t>
      </w:r>
      <w:r w:rsidR="00105B36" w:rsidRPr="00C866E0">
        <w:rPr>
          <w:lang w:val="en-GB"/>
        </w:rPr>
        <w:t>cise</w:t>
      </w:r>
      <w:r w:rsidRPr="00C866E0">
        <w:rPr>
          <w:lang w:val="en-GB"/>
        </w:rPr>
        <w:t xml:space="preserve">. </w:t>
      </w:r>
    </w:p>
    <w:p w14:paraId="0CD240BC" w14:textId="135A95DE" w:rsidR="00726078" w:rsidRPr="00C866E0" w:rsidRDefault="00105B36" w:rsidP="00726078">
      <w:pPr>
        <w:pStyle w:val="BodyTextMain"/>
        <w:numPr>
          <w:ilvl w:val="0"/>
          <w:numId w:val="28"/>
        </w:numPr>
        <w:rPr>
          <w:lang w:val="en-GB"/>
        </w:rPr>
      </w:pPr>
      <w:r w:rsidRPr="00C866E0">
        <w:rPr>
          <w:lang w:val="en-GB"/>
        </w:rPr>
        <w:t>D</w:t>
      </w:r>
      <w:r w:rsidR="004563F6" w:rsidRPr="00C866E0">
        <w:rPr>
          <w:lang w:val="en-GB"/>
        </w:rPr>
        <w:t>ecisions may be agreed on</w:t>
      </w:r>
      <w:r w:rsidRPr="00C866E0">
        <w:rPr>
          <w:lang w:val="en-GB"/>
        </w:rPr>
        <w:t xml:space="preserve"> </w:t>
      </w:r>
      <w:r w:rsidR="00E3764D">
        <w:rPr>
          <w:lang w:val="en-GB"/>
        </w:rPr>
        <w:t xml:space="preserve">only </w:t>
      </w:r>
      <w:r w:rsidRPr="00C866E0">
        <w:rPr>
          <w:lang w:val="en-GB"/>
        </w:rPr>
        <w:t>after</w:t>
      </w:r>
      <w:r w:rsidR="00726078" w:rsidRPr="00C866E0">
        <w:rPr>
          <w:lang w:val="en-GB"/>
        </w:rPr>
        <w:t xml:space="preserve"> due discussion and consensus </w:t>
      </w:r>
      <w:r w:rsidR="00E3764D">
        <w:rPr>
          <w:lang w:val="en-GB"/>
        </w:rPr>
        <w:t>among</w:t>
      </w:r>
      <w:r w:rsidR="00E3764D" w:rsidRPr="00C866E0">
        <w:rPr>
          <w:lang w:val="en-GB"/>
        </w:rPr>
        <w:t xml:space="preserve"> </w:t>
      </w:r>
      <w:r w:rsidRPr="00C866E0">
        <w:rPr>
          <w:lang w:val="en-GB"/>
        </w:rPr>
        <w:t>all</w:t>
      </w:r>
      <w:r w:rsidR="00726078" w:rsidRPr="00C866E0">
        <w:rPr>
          <w:lang w:val="en-GB"/>
        </w:rPr>
        <w:t xml:space="preserve"> team members.</w:t>
      </w:r>
    </w:p>
    <w:p w14:paraId="790A2EC1" w14:textId="15342E8E" w:rsidR="00726078" w:rsidRPr="00C866E0" w:rsidRDefault="00726078" w:rsidP="00726078">
      <w:pPr>
        <w:pStyle w:val="BodyTextMain"/>
        <w:numPr>
          <w:ilvl w:val="0"/>
          <w:numId w:val="28"/>
        </w:numPr>
        <w:rPr>
          <w:lang w:val="en-GB"/>
        </w:rPr>
      </w:pPr>
      <w:r w:rsidRPr="00C866E0">
        <w:rPr>
          <w:lang w:val="en-GB"/>
        </w:rPr>
        <w:t xml:space="preserve">Teams </w:t>
      </w:r>
      <w:r w:rsidR="00105B36" w:rsidRPr="00C866E0">
        <w:rPr>
          <w:lang w:val="en-GB"/>
        </w:rPr>
        <w:t xml:space="preserve">may enter into negotiations </w:t>
      </w:r>
      <w:r w:rsidRPr="00C866E0">
        <w:rPr>
          <w:lang w:val="en-GB"/>
        </w:rPr>
        <w:t xml:space="preserve">with </w:t>
      </w:r>
      <w:r w:rsidR="00BB3905" w:rsidRPr="00C866E0">
        <w:rPr>
          <w:lang w:val="en-GB"/>
        </w:rPr>
        <w:t xml:space="preserve">only </w:t>
      </w:r>
      <w:r w:rsidRPr="00C866E0">
        <w:rPr>
          <w:lang w:val="en-GB"/>
        </w:rPr>
        <w:t xml:space="preserve">their immediate value chain </w:t>
      </w:r>
      <w:r w:rsidR="004563F6" w:rsidRPr="00C866E0">
        <w:rPr>
          <w:lang w:val="en-GB"/>
        </w:rPr>
        <w:t>partner</w:t>
      </w:r>
      <w:r w:rsidRPr="00C866E0">
        <w:rPr>
          <w:lang w:val="en-GB"/>
        </w:rPr>
        <w:t xml:space="preserve">. </w:t>
      </w:r>
      <w:r w:rsidR="004563F6" w:rsidRPr="00C866E0">
        <w:rPr>
          <w:lang w:val="en-GB"/>
        </w:rPr>
        <w:t>Thus</w:t>
      </w:r>
      <w:r w:rsidR="00BB3905" w:rsidRPr="00C866E0">
        <w:rPr>
          <w:lang w:val="en-GB"/>
        </w:rPr>
        <w:t>,</w:t>
      </w:r>
      <w:r w:rsidR="004563F6" w:rsidRPr="00C866E0">
        <w:rPr>
          <w:lang w:val="en-GB"/>
        </w:rPr>
        <w:t xml:space="preserve"> </w:t>
      </w:r>
      <w:r w:rsidRPr="00C866E0">
        <w:rPr>
          <w:lang w:val="en-GB"/>
        </w:rPr>
        <w:t>the CSD brand owners</w:t>
      </w:r>
      <w:r w:rsidR="004563F6" w:rsidRPr="00C866E0">
        <w:rPr>
          <w:lang w:val="en-GB"/>
        </w:rPr>
        <w:t xml:space="preserve"> and CSD retailers</w:t>
      </w:r>
      <w:r w:rsidRPr="00C866E0">
        <w:rPr>
          <w:lang w:val="en-GB"/>
        </w:rPr>
        <w:t xml:space="preserve"> </w:t>
      </w:r>
      <w:r w:rsidR="004563F6" w:rsidRPr="00C866E0">
        <w:rPr>
          <w:lang w:val="en-GB"/>
        </w:rPr>
        <w:t xml:space="preserve">may interact </w:t>
      </w:r>
      <w:r w:rsidR="00E3764D">
        <w:rPr>
          <w:lang w:val="en-GB"/>
        </w:rPr>
        <w:t xml:space="preserve">only </w:t>
      </w:r>
      <w:r w:rsidR="004563F6" w:rsidRPr="00C866E0">
        <w:rPr>
          <w:lang w:val="en-GB"/>
        </w:rPr>
        <w:t>with the bottlers, while</w:t>
      </w:r>
      <w:r w:rsidRPr="00C866E0">
        <w:rPr>
          <w:lang w:val="en-GB"/>
        </w:rPr>
        <w:t xml:space="preserve"> the bottlers </w:t>
      </w:r>
      <w:r w:rsidR="004563F6" w:rsidRPr="00C866E0">
        <w:rPr>
          <w:lang w:val="en-GB"/>
        </w:rPr>
        <w:t xml:space="preserve">can negotiate with </w:t>
      </w:r>
      <w:r w:rsidRPr="00C866E0">
        <w:rPr>
          <w:lang w:val="en-GB"/>
        </w:rPr>
        <w:t xml:space="preserve">both the CSD brand owners and the retailers. </w:t>
      </w:r>
      <w:r w:rsidR="004563F6" w:rsidRPr="00C866E0">
        <w:rPr>
          <w:lang w:val="en-GB"/>
        </w:rPr>
        <w:t>B</w:t>
      </w:r>
      <w:r w:rsidRPr="00C866E0">
        <w:rPr>
          <w:lang w:val="en-GB"/>
        </w:rPr>
        <w:t>ypassing the value chain is strictly prohibited.</w:t>
      </w:r>
    </w:p>
    <w:p w14:paraId="16B0A6BD" w14:textId="0DEACD50" w:rsidR="00726078" w:rsidRPr="00C866E0" w:rsidRDefault="00726078" w:rsidP="00105B36">
      <w:pPr>
        <w:pStyle w:val="BodyTextMain"/>
        <w:numPr>
          <w:ilvl w:val="0"/>
          <w:numId w:val="28"/>
        </w:numPr>
        <w:rPr>
          <w:lang w:val="en-GB"/>
        </w:rPr>
      </w:pPr>
      <w:r w:rsidRPr="00C866E0">
        <w:rPr>
          <w:lang w:val="en-GB"/>
        </w:rPr>
        <w:t>Cartel formation and/or anti-competitive associations are strictly prohibited.</w:t>
      </w:r>
      <w:r w:rsidR="00105B36" w:rsidRPr="00C866E0">
        <w:rPr>
          <w:lang w:val="en-GB"/>
        </w:rPr>
        <w:t xml:space="preserve"> The instructor shall </w:t>
      </w:r>
      <w:r w:rsidR="00BB3905" w:rsidRPr="00C866E0">
        <w:rPr>
          <w:lang w:val="en-GB"/>
        </w:rPr>
        <w:t>en</w:t>
      </w:r>
      <w:r w:rsidR="00B26244" w:rsidRPr="00C866E0">
        <w:rPr>
          <w:lang w:val="en-GB"/>
        </w:rPr>
        <w:t>force</w:t>
      </w:r>
      <w:r w:rsidR="00BB3905" w:rsidRPr="00C866E0">
        <w:rPr>
          <w:lang w:val="en-GB"/>
        </w:rPr>
        <w:t xml:space="preserve"> this </w:t>
      </w:r>
      <w:r w:rsidR="00E3764D">
        <w:rPr>
          <w:lang w:val="en-GB"/>
        </w:rPr>
        <w:t xml:space="preserve">ruling </w:t>
      </w:r>
      <w:r w:rsidR="00BB3905" w:rsidRPr="00C866E0">
        <w:rPr>
          <w:lang w:val="en-GB"/>
        </w:rPr>
        <w:t xml:space="preserve">by </w:t>
      </w:r>
      <w:r w:rsidR="00105B36" w:rsidRPr="00C866E0">
        <w:rPr>
          <w:lang w:val="en-GB"/>
        </w:rPr>
        <w:t>oversee</w:t>
      </w:r>
      <w:r w:rsidR="00BB3905" w:rsidRPr="00C866E0">
        <w:rPr>
          <w:lang w:val="en-GB"/>
        </w:rPr>
        <w:t>ing</w:t>
      </w:r>
      <w:r w:rsidR="00105B36" w:rsidRPr="00C866E0">
        <w:rPr>
          <w:lang w:val="en-GB"/>
        </w:rPr>
        <w:t xml:space="preserve"> both inter- and intra-team interactions.</w:t>
      </w:r>
      <w:r w:rsidRPr="00C866E0">
        <w:rPr>
          <w:lang w:val="en-GB"/>
        </w:rPr>
        <w:t xml:space="preserve"> </w:t>
      </w:r>
    </w:p>
    <w:p w14:paraId="11F9679F" w14:textId="396D6C7E" w:rsidR="00726078" w:rsidRPr="00C866E0" w:rsidRDefault="00105B36" w:rsidP="00726078">
      <w:pPr>
        <w:pStyle w:val="BodyTextMain"/>
        <w:numPr>
          <w:ilvl w:val="0"/>
          <w:numId w:val="28"/>
        </w:numPr>
        <w:rPr>
          <w:lang w:val="en-GB"/>
        </w:rPr>
      </w:pPr>
      <w:r w:rsidRPr="00C866E0">
        <w:rPr>
          <w:lang w:val="en-GB"/>
        </w:rPr>
        <w:t>Transactions will be considered</w:t>
      </w:r>
      <w:r w:rsidR="00726078" w:rsidRPr="00C866E0">
        <w:rPr>
          <w:lang w:val="en-GB"/>
        </w:rPr>
        <w:t xml:space="preserve"> valid </w:t>
      </w:r>
      <w:r w:rsidR="00E3764D">
        <w:rPr>
          <w:lang w:val="en-GB"/>
        </w:rPr>
        <w:t xml:space="preserve">only </w:t>
      </w:r>
      <w:r w:rsidRPr="00C866E0">
        <w:rPr>
          <w:lang w:val="en-GB"/>
        </w:rPr>
        <w:t xml:space="preserve">when </w:t>
      </w:r>
      <w:r w:rsidR="00B26244" w:rsidRPr="00C866E0">
        <w:rPr>
          <w:lang w:val="en-GB"/>
        </w:rPr>
        <w:t xml:space="preserve">both negotiating parties </w:t>
      </w:r>
      <w:r w:rsidRPr="00C866E0">
        <w:rPr>
          <w:lang w:val="en-GB"/>
        </w:rPr>
        <w:t>ha</w:t>
      </w:r>
      <w:r w:rsidR="00B26244" w:rsidRPr="00C866E0">
        <w:rPr>
          <w:lang w:val="en-GB"/>
        </w:rPr>
        <w:t>ve</w:t>
      </w:r>
      <w:r w:rsidRPr="00C866E0">
        <w:rPr>
          <w:lang w:val="en-GB"/>
        </w:rPr>
        <w:t xml:space="preserve"> filled</w:t>
      </w:r>
      <w:r w:rsidR="00BB3905" w:rsidRPr="00C866E0">
        <w:rPr>
          <w:lang w:val="en-GB"/>
        </w:rPr>
        <w:t xml:space="preserve"> out</w:t>
      </w:r>
      <w:r w:rsidRPr="00C866E0">
        <w:rPr>
          <w:lang w:val="en-GB"/>
        </w:rPr>
        <w:t xml:space="preserve">, signed, and </w:t>
      </w:r>
      <w:r w:rsidR="00BB3905" w:rsidRPr="00C866E0">
        <w:rPr>
          <w:lang w:val="en-GB"/>
        </w:rPr>
        <w:t>submitted</w:t>
      </w:r>
      <w:r w:rsidRPr="00C866E0">
        <w:rPr>
          <w:lang w:val="en-GB"/>
        </w:rPr>
        <w:t xml:space="preserve"> </w:t>
      </w:r>
      <w:r w:rsidR="00B26244" w:rsidRPr="00C866E0">
        <w:rPr>
          <w:lang w:val="en-GB"/>
        </w:rPr>
        <w:t xml:space="preserve">to the instructor the </w:t>
      </w:r>
      <w:r w:rsidR="004B7E15">
        <w:rPr>
          <w:lang w:val="en-GB"/>
        </w:rPr>
        <w:t>“Negotiation Template” (distributed by instructor</w:t>
      </w:r>
      <w:r w:rsidR="00B26244" w:rsidRPr="00C866E0">
        <w:rPr>
          <w:lang w:val="en-GB"/>
        </w:rPr>
        <w:t>)</w:t>
      </w:r>
      <w:r w:rsidRPr="00C866E0">
        <w:rPr>
          <w:lang w:val="en-GB"/>
        </w:rPr>
        <w:t>.</w:t>
      </w:r>
    </w:p>
    <w:p w14:paraId="2808F2C4" w14:textId="77777777" w:rsidR="00105B36" w:rsidRPr="00C866E0" w:rsidRDefault="00105B36" w:rsidP="00105B36">
      <w:pPr>
        <w:pStyle w:val="BodyTextMain"/>
        <w:ind w:left="360"/>
        <w:rPr>
          <w:lang w:val="en-GB"/>
        </w:rPr>
      </w:pPr>
    </w:p>
    <w:p w14:paraId="7A55FEEC" w14:textId="751C6A2B" w:rsidR="00726078" w:rsidRPr="00C866E0" w:rsidRDefault="00105B36" w:rsidP="00726078">
      <w:pPr>
        <w:pStyle w:val="BodyTextMain"/>
        <w:rPr>
          <w:b/>
          <w:lang w:val="en-GB"/>
        </w:rPr>
      </w:pPr>
      <w:r w:rsidRPr="00C866E0">
        <w:rPr>
          <w:lang w:val="en-GB"/>
        </w:rPr>
        <w:t>Once negotiations are complete</w:t>
      </w:r>
      <w:r w:rsidR="00726078" w:rsidRPr="00C866E0">
        <w:rPr>
          <w:lang w:val="en-GB"/>
        </w:rPr>
        <w:t xml:space="preserve">, each team </w:t>
      </w:r>
      <w:r w:rsidRPr="00C866E0">
        <w:rPr>
          <w:lang w:val="en-GB"/>
        </w:rPr>
        <w:t>will present</w:t>
      </w:r>
      <w:r w:rsidR="004563F6" w:rsidRPr="00C866E0">
        <w:rPr>
          <w:lang w:val="en-GB"/>
        </w:rPr>
        <w:t xml:space="preserve"> </w:t>
      </w:r>
      <w:r w:rsidR="00B26244" w:rsidRPr="00C866E0">
        <w:rPr>
          <w:lang w:val="en-GB"/>
        </w:rPr>
        <w:t>its</w:t>
      </w:r>
      <w:r w:rsidR="004563F6" w:rsidRPr="00C866E0">
        <w:rPr>
          <w:lang w:val="en-GB"/>
        </w:rPr>
        <w:t xml:space="preserve"> strategy as</w:t>
      </w:r>
      <w:r w:rsidR="00726078" w:rsidRPr="00C866E0">
        <w:rPr>
          <w:lang w:val="en-GB"/>
        </w:rPr>
        <w:t xml:space="preserve"> implemented in the negotiation exercise. The presentation </w:t>
      </w:r>
      <w:r w:rsidR="004563F6" w:rsidRPr="00C866E0">
        <w:rPr>
          <w:lang w:val="en-GB"/>
        </w:rPr>
        <w:t>will</w:t>
      </w:r>
      <w:r w:rsidR="00726078" w:rsidRPr="00C866E0">
        <w:rPr>
          <w:lang w:val="en-GB"/>
        </w:rPr>
        <w:t xml:space="preserve"> be followed by a brief question</w:t>
      </w:r>
      <w:r w:rsidR="00B26244" w:rsidRPr="00C866E0">
        <w:rPr>
          <w:lang w:val="en-GB"/>
        </w:rPr>
        <w:t>-</w:t>
      </w:r>
      <w:r w:rsidR="00726078" w:rsidRPr="00C866E0">
        <w:rPr>
          <w:lang w:val="en-GB"/>
        </w:rPr>
        <w:t>and</w:t>
      </w:r>
      <w:r w:rsidR="00B26244" w:rsidRPr="00C866E0">
        <w:rPr>
          <w:lang w:val="en-GB"/>
        </w:rPr>
        <w:t>-</w:t>
      </w:r>
      <w:r w:rsidR="00726078" w:rsidRPr="00C866E0">
        <w:rPr>
          <w:lang w:val="en-GB"/>
        </w:rPr>
        <w:t>answer</w:t>
      </w:r>
      <w:r w:rsidR="004563F6" w:rsidRPr="00C866E0">
        <w:rPr>
          <w:lang w:val="en-GB"/>
        </w:rPr>
        <w:t xml:space="preserve"> </w:t>
      </w:r>
      <w:r w:rsidR="00B26244" w:rsidRPr="00C866E0">
        <w:rPr>
          <w:lang w:val="en-GB"/>
        </w:rPr>
        <w:t>session</w:t>
      </w:r>
      <w:r w:rsidR="004563F6" w:rsidRPr="00C866E0">
        <w:rPr>
          <w:lang w:val="en-GB"/>
        </w:rPr>
        <w:t>.</w:t>
      </w:r>
    </w:p>
    <w:p w14:paraId="5021AD01" w14:textId="77777777" w:rsidR="00726078" w:rsidRPr="00C866E0" w:rsidRDefault="00726078" w:rsidP="00726078">
      <w:pPr>
        <w:pStyle w:val="BodyTextMain"/>
        <w:rPr>
          <w:b/>
          <w:lang w:val="en-GB"/>
        </w:rPr>
      </w:pPr>
    </w:p>
    <w:p w14:paraId="36F6D036" w14:textId="77777777" w:rsidR="004563F6" w:rsidRPr="00C866E0" w:rsidRDefault="004563F6" w:rsidP="00726078">
      <w:pPr>
        <w:pStyle w:val="BodyTextMain"/>
        <w:rPr>
          <w:b/>
          <w:lang w:val="en-GB"/>
        </w:rPr>
      </w:pPr>
    </w:p>
    <w:p w14:paraId="359E8115" w14:textId="77777777" w:rsidR="00726078" w:rsidRPr="00C866E0" w:rsidRDefault="00726078" w:rsidP="00726078">
      <w:pPr>
        <w:pStyle w:val="Casehead1"/>
        <w:rPr>
          <w:lang w:val="en-GB"/>
        </w:rPr>
      </w:pPr>
      <w:r w:rsidRPr="00C866E0">
        <w:rPr>
          <w:lang w:val="en-GB"/>
        </w:rPr>
        <w:t xml:space="preserve">global SOFT DRINK Industry Overview </w:t>
      </w:r>
    </w:p>
    <w:p w14:paraId="1CCAD7D3" w14:textId="77777777" w:rsidR="00726078" w:rsidRPr="00C866E0" w:rsidRDefault="00726078" w:rsidP="00726078">
      <w:pPr>
        <w:pStyle w:val="BodyTextMain"/>
        <w:rPr>
          <w:b/>
          <w:lang w:val="en-GB"/>
        </w:rPr>
      </w:pPr>
    </w:p>
    <w:p w14:paraId="2CC68149" w14:textId="35E80267" w:rsidR="00D7264E" w:rsidRPr="00C866E0" w:rsidRDefault="003A019A" w:rsidP="00726078">
      <w:pPr>
        <w:pStyle w:val="BodyTextMain"/>
        <w:rPr>
          <w:lang w:val="en-GB"/>
        </w:rPr>
      </w:pPr>
      <w:r w:rsidRPr="00C866E0">
        <w:rPr>
          <w:lang w:val="en-GB"/>
        </w:rPr>
        <w:t>The</w:t>
      </w:r>
      <w:r w:rsidR="00726078" w:rsidRPr="00C866E0">
        <w:rPr>
          <w:lang w:val="en-GB"/>
        </w:rPr>
        <w:t xml:space="preserve"> </w:t>
      </w:r>
      <w:r w:rsidRPr="00C866E0">
        <w:rPr>
          <w:lang w:val="en-GB"/>
        </w:rPr>
        <w:t xml:space="preserve">global </w:t>
      </w:r>
      <w:r w:rsidR="00726078" w:rsidRPr="00C866E0">
        <w:rPr>
          <w:lang w:val="en-GB"/>
        </w:rPr>
        <w:t xml:space="preserve">soft drink industry </w:t>
      </w:r>
      <w:r w:rsidRPr="00C866E0">
        <w:rPr>
          <w:lang w:val="en-GB"/>
        </w:rPr>
        <w:t>produce</w:t>
      </w:r>
      <w:r w:rsidR="00134324" w:rsidRPr="00C866E0">
        <w:rPr>
          <w:lang w:val="en-GB"/>
        </w:rPr>
        <w:t>d</w:t>
      </w:r>
      <w:r w:rsidR="00726078" w:rsidRPr="00C866E0">
        <w:rPr>
          <w:lang w:val="en-GB"/>
        </w:rPr>
        <w:t xml:space="preserve"> CSDs, fruit juices, bottled water, probiotics, sports drinks</w:t>
      </w:r>
      <w:r w:rsidR="00134324" w:rsidRPr="00C866E0">
        <w:rPr>
          <w:lang w:val="en-GB"/>
        </w:rPr>
        <w:t>,</w:t>
      </w:r>
      <w:r w:rsidR="00726078" w:rsidRPr="00C866E0">
        <w:rPr>
          <w:lang w:val="en-GB"/>
        </w:rPr>
        <w:t xml:space="preserve"> and functional drinks </w:t>
      </w:r>
      <w:r w:rsidR="00134324" w:rsidRPr="00C866E0">
        <w:rPr>
          <w:lang w:val="en-GB"/>
        </w:rPr>
        <w:t>such as</w:t>
      </w:r>
      <w:r w:rsidR="00726078" w:rsidRPr="00C866E0">
        <w:rPr>
          <w:lang w:val="en-GB"/>
        </w:rPr>
        <w:t xml:space="preserve"> energy drinks</w:t>
      </w:r>
      <w:r w:rsidR="00330F94" w:rsidRPr="00C866E0">
        <w:rPr>
          <w:lang w:val="en-GB"/>
        </w:rPr>
        <w:t xml:space="preserve"> and</w:t>
      </w:r>
      <w:r w:rsidR="00726078" w:rsidRPr="00C866E0">
        <w:rPr>
          <w:lang w:val="en-GB"/>
        </w:rPr>
        <w:t xml:space="preserve"> ready</w:t>
      </w:r>
      <w:r w:rsidR="00134324" w:rsidRPr="00C866E0">
        <w:rPr>
          <w:lang w:val="en-GB"/>
        </w:rPr>
        <w:t>-</w:t>
      </w:r>
      <w:r w:rsidR="00726078" w:rsidRPr="00C866E0">
        <w:rPr>
          <w:lang w:val="en-GB"/>
        </w:rPr>
        <w:t>to</w:t>
      </w:r>
      <w:r w:rsidR="00134324" w:rsidRPr="00C866E0">
        <w:rPr>
          <w:lang w:val="en-GB"/>
        </w:rPr>
        <w:t>-</w:t>
      </w:r>
      <w:r w:rsidR="00726078" w:rsidRPr="00C866E0">
        <w:rPr>
          <w:lang w:val="en-GB"/>
        </w:rPr>
        <w:t>drink tea</w:t>
      </w:r>
      <w:r w:rsidR="00134324" w:rsidRPr="00C866E0">
        <w:rPr>
          <w:lang w:val="en-GB"/>
        </w:rPr>
        <w:t>s</w:t>
      </w:r>
      <w:r w:rsidR="00726078" w:rsidRPr="00C866E0">
        <w:rPr>
          <w:lang w:val="en-GB"/>
        </w:rPr>
        <w:t xml:space="preserve"> and coffee. </w:t>
      </w:r>
      <w:r w:rsidR="009A1436" w:rsidRPr="00C866E0">
        <w:rPr>
          <w:lang w:val="en-GB"/>
        </w:rPr>
        <w:t>The industry</w:t>
      </w:r>
      <w:r w:rsidR="00134324" w:rsidRPr="00C866E0">
        <w:rPr>
          <w:lang w:val="en-GB"/>
        </w:rPr>
        <w:t xml:space="preserve"> was</w:t>
      </w:r>
      <w:r w:rsidR="00726078" w:rsidRPr="00C866E0">
        <w:rPr>
          <w:lang w:val="en-GB"/>
        </w:rPr>
        <w:t xml:space="preserve"> projected to </w:t>
      </w:r>
      <w:r w:rsidR="00726078" w:rsidRPr="00C866E0">
        <w:rPr>
          <w:lang w:val="en-GB"/>
        </w:rPr>
        <w:lastRenderedPageBreak/>
        <w:t xml:space="preserve">grow from </w:t>
      </w:r>
      <w:r w:rsidRPr="00C866E0">
        <w:rPr>
          <w:lang w:val="en-GB"/>
        </w:rPr>
        <w:t>approximately US</w:t>
      </w:r>
      <w:r w:rsidR="00E3764D">
        <w:rPr>
          <w:lang w:val="en-GB"/>
        </w:rPr>
        <w:t>$</w:t>
      </w:r>
      <w:r w:rsidRPr="00C866E0">
        <w:rPr>
          <w:lang w:val="en-GB"/>
        </w:rPr>
        <w:t>160 billion</w:t>
      </w:r>
      <w:r w:rsidR="00134324" w:rsidRPr="00C866E0">
        <w:rPr>
          <w:rStyle w:val="FootnoteReference"/>
          <w:lang w:val="en-GB"/>
        </w:rPr>
        <w:footnoteReference w:id="4"/>
      </w:r>
      <w:r w:rsidRPr="00C866E0">
        <w:rPr>
          <w:lang w:val="en-GB"/>
        </w:rPr>
        <w:t xml:space="preserve"> in 2008</w:t>
      </w:r>
      <w:r w:rsidR="00726078" w:rsidRPr="00C866E0">
        <w:rPr>
          <w:lang w:val="en-GB"/>
        </w:rPr>
        <w:t xml:space="preserve"> to approximately </w:t>
      </w:r>
      <w:r w:rsidR="00E3764D">
        <w:rPr>
          <w:lang w:val="en-GB"/>
        </w:rPr>
        <w:t>$</w:t>
      </w:r>
      <w:r w:rsidR="00726078" w:rsidRPr="00C866E0">
        <w:rPr>
          <w:lang w:val="en-GB"/>
        </w:rPr>
        <w:t xml:space="preserve">190 billion by 2020. </w:t>
      </w:r>
      <w:r w:rsidR="00330F94" w:rsidRPr="00C866E0">
        <w:rPr>
          <w:lang w:val="en-GB"/>
        </w:rPr>
        <w:t>G</w:t>
      </w:r>
      <w:r w:rsidR="00726078" w:rsidRPr="00C866E0">
        <w:rPr>
          <w:lang w:val="en-GB"/>
        </w:rPr>
        <w:t>rowth in the sub-categories of</w:t>
      </w:r>
      <w:r w:rsidRPr="00C866E0">
        <w:rPr>
          <w:lang w:val="en-GB"/>
        </w:rPr>
        <w:t xml:space="preserve"> the</w:t>
      </w:r>
      <w:r w:rsidR="00726078" w:rsidRPr="00C866E0">
        <w:rPr>
          <w:lang w:val="en-GB"/>
        </w:rPr>
        <w:t xml:space="preserve"> soft drink industry c</w:t>
      </w:r>
      <w:r w:rsidR="009A1436" w:rsidRPr="00C866E0">
        <w:rPr>
          <w:lang w:val="en-GB"/>
        </w:rPr>
        <w:t>ould</w:t>
      </w:r>
      <w:r w:rsidR="00726078" w:rsidRPr="00C866E0">
        <w:rPr>
          <w:lang w:val="en-GB"/>
        </w:rPr>
        <w:t xml:space="preserve"> be attributed to growing health consciousness among consumers. </w:t>
      </w:r>
      <w:r w:rsidR="00D7264E" w:rsidRPr="00C866E0">
        <w:rPr>
          <w:lang w:val="en-GB"/>
        </w:rPr>
        <w:t>The CSD industry ha</w:t>
      </w:r>
      <w:r w:rsidR="009A1436" w:rsidRPr="00C866E0">
        <w:rPr>
          <w:lang w:val="en-GB"/>
        </w:rPr>
        <w:t>d</w:t>
      </w:r>
      <w:r w:rsidR="00726078" w:rsidRPr="00C866E0">
        <w:rPr>
          <w:lang w:val="en-GB"/>
        </w:rPr>
        <w:t xml:space="preserve"> two key manufacturing </w:t>
      </w:r>
      <w:r w:rsidR="00D7264E" w:rsidRPr="00C866E0">
        <w:rPr>
          <w:lang w:val="en-GB"/>
        </w:rPr>
        <w:t>processes:</w:t>
      </w:r>
      <w:r w:rsidR="00E6490E">
        <w:rPr>
          <w:lang w:val="en-GB"/>
        </w:rPr>
        <w:t xml:space="preserve"> making the flavouring syrup and concentrate; and making soft drinks.</w:t>
      </w:r>
    </w:p>
    <w:p w14:paraId="565A99DF" w14:textId="77777777" w:rsidR="00D7264E" w:rsidRPr="00C866E0" w:rsidRDefault="00D7264E" w:rsidP="00726078">
      <w:pPr>
        <w:pStyle w:val="BodyTextMain"/>
        <w:rPr>
          <w:lang w:val="en-GB"/>
        </w:rPr>
      </w:pPr>
    </w:p>
    <w:p w14:paraId="6CCDDD5F" w14:textId="0EA217F2" w:rsidR="00726078" w:rsidRPr="00C866E0" w:rsidRDefault="00726078" w:rsidP="00726078">
      <w:pPr>
        <w:pStyle w:val="BodyTextMain"/>
        <w:rPr>
          <w:lang w:val="en-GB"/>
        </w:rPr>
      </w:pPr>
      <w:r w:rsidRPr="00C866E0">
        <w:rPr>
          <w:i/>
          <w:lang w:val="en-GB"/>
        </w:rPr>
        <w:t>Flavouring syrup and concentrate manufacturing</w:t>
      </w:r>
      <w:r w:rsidRPr="00C866E0">
        <w:rPr>
          <w:lang w:val="en-GB"/>
        </w:rPr>
        <w:t xml:space="preserve">: </w:t>
      </w:r>
      <w:r w:rsidR="00E6490E">
        <w:rPr>
          <w:lang w:val="en-GB"/>
        </w:rPr>
        <w:t xml:space="preserve">The brand owners </w:t>
      </w:r>
      <w:r w:rsidRPr="00C866E0">
        <w:rPr>
          <w:lang w:val="en-GB"/>
        </w:rPr>
        <w:t xml:space="preserve">tightly controlled </w:t>
      </w:r>
      <w:r w:rsidR="00E6490E">
        <w:rPr>
          <w:lang w:val="en-GB"/>
        </w:rPr>
        <w:t>this process</w:t>
      </w:r>
      <w:r w:rsidR="004B4E09" w:rsidRPr="00C866E0">
        <w:rPr>
          <w:lang w:val="en-GB"/>
        </w:rPr>
        <w:t>,</w:t>
      </w:r>
      <w:r w:rsidRPr="00C866E0">
        <w:rPr>
          <w:lang w:val="en-GB"/>
        </w:rPr>
        <w:t xml:space="preserve"> as the formula </w:t>
      </w:r>
      <w:r w:rsidR="009A1436" w:rsidRPr="00C866E0">
        <w:rPr>
          <w:lang w:val="en-GB"/>
        </w:rPr>
        <w:t>was</w:t>
      </w:r>
      <w:r w:rsidRPr="00C866E0">
        <w:rPr>
          <w:lang w:val="en-GB"/>
        </w:rPr>
        <w:t xml:space="preserve"> key to their competitive advantage. In addition </w:t>
      </w:r>
      <w:r w:rsidR="00D7264E" w:rsidRPr="00C866E0">
        <w:rPr>
          <w:lang w:val="en-GB"/>
        </w:rPr>
        <w:t>to the brand flavours</w:t>
      </w:r>
      <w:r w:rsidRPr="00C866E0">
        <w:rPr>
          <w:lang w:val="en-GB"/>
        </w:rPr>
        <w:t>, syrup manufacturers also offer</w:t>
      </w:r>
      <w:r w:rsidR="004B4E09" w:rsidRPr="00C866E0">
        <w:rPr>
          <w:lang w:val="en-GB"/>
        </w:rPr>
        <w:t>ed</w:t>
      </w:r>
      <w:r w:rsidRPr="00C866E0">
        <w:rPr>
          <w:lang w:val="en-GB"/>
        </w:rPr>
        <w:t xml:space="preserve"> generic syrups </w:t>
      </w:r>
      <w:r w:rsidR="004B4E09" w:rsidRPr="00C866E0">
        <w:rPr>
          <w:lang w:val="en-GB"/>
        </w:rPr>
        <w:t>that could</w:t>
      </w:r>
      <w:r w:rsidRPr="00C866E0">
        <w:rPr>
          <w:lang w:val="en-GB"/>
        </w:rPr>
        <w:t xml:space="preserve"> be used by large retailers to make their own </w:t>
      </w:r>
      <w:r w:rsidR="00AB044C" w:rsidRPr="00C866E0">
        <w:rPr>
          <w:lang w:val="en-GB"/>
        </w:rPr>
        <w:t>private brand</w:t>
      </w:r>
      <w:r w:rsidRPr="00C866E0">
        <w:rPr>
          <w:lang w:val="en-GB"/>
        </w:rPr>
        <w:t xml:space="preserve">. </w:t>
      </w:r>
    </w:p>
    <w:p w14:paraId="30B26BCA" w14:textId="77777777" w:rsidR="00726078" w:rsidRPr="00C866E0" w:rsidRDefault="00726078" w:rsidP="00726078">
      <w:pPr>
        <w:pStyle w:val="BodyTextMain"/>
        <w:rPr>
          <w:lang w:val="en-GB"/>
        </w:rPr>
      </w:pPr>
    </w:p>
    <w:p w14:paraId="47DDFBF9" w14:textId="498C7D14" w:rsidR="00726078" w:rsidRPr="00C866E0" w:rsidRDefault="00726078" w:rsidP="00726078">
      <w:pPr>
        <w:pStyle w:val="BodyTextMain"/>
        <w:rPr>
          <w:lang w:val="en-GB"/>
        </w:rPr>
      </w:pPr>
      <w:r w:rsidRPr="00C866E0">
        <w:rPr>
          <w:i/>
          <w:lang w:val="en-GB"/>
        </w:rPr>
        <w:t>Soft drink manufacturing</w:t>
      </w:r>
      <w:r w:rsidRPr="00C866E0">
        <w:rPr>
          <w:lang w:val="en-GB"/>
        </w:rPr>
        <w:t xml:space="preserve">: </w:t>
      </w:r>
      <w:r w:rsidR="00D7264E" w:rsidRPr="00C866E0">
        <w:rPr>
          <w:lang w:val="en-GB"/>
        </w:rPr>
        <w:t>This</w:t>
      </w:r>
      <w:r w:rsidRPr="00C866E0">
        <w:rPr>
          <w:lang w:val="en-GB"/>
        </w:rPr>
        <w:t xml:space="preserve"> sector</w:t>
      </w:r>
      <w:r w:rsidR="00D7264E" w:rsidRPr="00C866E0">
        <w:rPr>
          <w:lang w:val="en-GB"/>
        </w:rPr>
        <w:t xml:space="preserve"> contain</w:t>
      </w:r>
      <w:r w:rsidR="004B4E09" w:rsidRPr="00C866E0">
        <w:rPr>
          <w:lang w:val="en-GB"/>
        </w:rPr>
        <w:t>ed</w:t>
      </w:r>
      <w:r w:rsidRPr="00C866E0">
        <w:rPr>
          <w:lang w:val="en-GB"/>
        </w:rPr>
        <w:t xml:space="preserve"> nearly </w:t>
      </w:r>
      <w:r w:rsidR="004B4E09" w:rsidRPr="00C866E0">
        <w:rPr>
          <w:lang w:val="en-GB"/>
        </w:rPr>
        <w:t>10</w:t>
      </w:r>
      <w:r w:rsidRPr="00C866E0">
        <w:rPr>
          <w:lang w:val="en-GB"/>
        </w:rPr>
        <w:t xml:space="preserve"> times </w:t>
      </w:r>
      <w:r w:rsidR="00D7264E" w:rsidRPr="00C866E0">
        <w:rPr>
          <w:lang w:val="en-GB"/>
        </w:rPr>
        <w:t xml:space="preserve">the number of companies </w:t>
      </w:r>
      <w:r w:rsidR="00F87DAE" w:rsidRPr="00C866E0">
        <w:rPr>
          <w:lang w:val="en-GB"/>
        </w:rPr>
        <w:t>in</w:t>
      </w:r>
      <w:r w:rsidR="00D7264E" w:rsidRPr="00C866E0">
        <w:rPr>
          <w:lang w:val="en-GB"/>
        </w:rPr>
        <w:t xml:space="preserve"> the</w:t>
      </w:r>
      <w:r w:rsidRPr="00C866E0">
        <w:rPr>
          <w:lang w:val="en-GB"/>
        </w:rPr>
        <w:t xml:space="preserve"> flavouring syrup and concentrate</w:t>
      </w:r>
      <w:r w:rsidR="00E6490E">
        <w:rPr>
          <w:lang w:val="en-GB"/>
        </w:rPr>
        <w:t>-</w:t>
      </w:r>
      <w:r w:rsidRPr="00C866E0">
        <w:rPr>
          <w:lang w:val="en-GB"/>
        </w:rPr>
        <w:t>manufacturing sector</w:t>
      </w:r>
      <w:r w:rsidR="00E6490E">
        <w:rPr>
          <w:lang w:val="en-GB"/>
        </w:rPr>
        <w:t>s</w:t>
      </w:r>
      <w:r w:rsidRPr="00C866E0">
        <w:rPr>
          <w:lang w:val="en-GB"/>
        </w:rPr>
        <w:t xml:space="preserve">. </w:t>
      </w:r>
      <w:r w:rsidR="00D7264E" w:rsidRPr="00C866E0">
        <w:rPr>
          <w:lang w:val="en-GB"/>
        </w:rPr>
        <w:t>Companies</w:t>
      </w:r>
      <w:r w:rsidRPr="00C866E0">
        <w:rPr>
          <w:lang w:val="en-GB"/>
        </w:rPr>
        <w:t xml:space="preserve"> blend</w:t>
      </w:r>
      <w:r w:rsidR="004B4E09" w:rsidRPr="00C866E0">
        <w:rPr>
          <w:lang w:val="en-GB"/>
        </w:rPr>
        <w:t>ed</w:t>
      </w:r>
      <w:r w:rsidRPr="00C866E0">
        <w:rPr>
          <w:lang w:val="en-GB"/>
        </w:rPr>
        <w:t xml:space="preserve"> ingredients such as water, liquid beverage bases/syrup,</w:t>
      </w:r>
      <w:r w:rsidR="00D7264E" w:rsidRPr="00C866E0">
        <w:rPr>
          <w:lang w:val="en-GB"/>
        </w:rPr>
        <w:t xml:space="preserve"> and</w:t>
      </w:r>
      <w:r w:rsidRPr="00C866E0">
        <w:rPr>
          <w:lang w:val="en-GB"/>
        </w:rPr>
        <w:t xml:space="preserve"> sweeteners to manufacture soft drinks</w:t>
      </w:r>
      <w:r w:rsidR="00D7264E" w:rsidRPr="00C866E0">
        <w:rPr>
          <w:lang w:val="en-GB"/>
        </w:rPr>
        <w:t xml:space="preserve">. They </w:t>
      </w:r>
      <w:r w:rsidRPr="00C866E0">
        <w:rPr>
          <w:lang w:val="en-GB"/>
        </w:rPr>
        <w:t>also package</w:t>
      </w:r>
      <w:r w:rsidR="004B4E09" w:rsidRPr="00C866E0">
        <w:rPr>
          <w:lang w:val="en-GB"/>
        </w:rPr>
        <w:t>d</w:t>
      </w:r>
      <w:r w:rsidRPr="00C866E0">
        <w:rPr>
          <w:lang w:val="en-GB"/>
        </w:rPr>
        <w:t xml:space="preserve"> and distribute</w:t>
      </w:r>
      <w:r w:rsidR="004B4E09" w:rsidRPr="00C866E0">
        <w:rPr>
          <w:lang w:val="en-GB"/>
        </w:rPr>
        <w:t>d</w:t>
      </w:r>
      <w:r w:rsidRPr="00C866E0">
        <w:rPr>
          <w:lang w:val="en-GB"/>
        </w:rPr>
        <w:t xml:space="preserve"> the</w:t>
      </w:r>
      <w:r w:rsidR="004B4E09" w:rsidRPr="00C866E0">
        <w:rPr>
          <w:lang w:val="en-GB"/>
        </w:rPr>
        <w:t>se</w:t>
      </w:r>
      <w:r w:rsidR="00F87DAE" w:rsidRPr="00C866E0">
        <w:rPr>
          <w:lang w:val="en-GB"/>
        </w:rPr>
        <w:t xml:space="preserve"> soft drinks</w:t>
      </w:r>
      <w:r w:rsidR="00D7264E" w:rsidRPr="00C866E0">
        <w:rPr>
          <w:lang w:val="en-GB"/>
        </w:rPr>
        <w:t xml:space="preserve"> for sale</w:t>
      </w:r>
      <w:r w:rsidR="0057734B" w:rsidRPr="00C866E0">
        <w:rPr>
          <w:lang w:val="en-GB"/>
        </w:rPr>
        <w:t>.</w:t>
      </w:r>
      <w:r w:rsidR="00D7264E" w:rsidRPr="00C866E0">
        <w:rPr>
          <w:lang w:val="en-GB"/>
        </w:rPr>
        <w:t xml:space="preserve"> (</w:t>
      </w:r>
      <w:r w:rsidR="0057734B" w:rsidRPr="00C866E0">
        <w:rPr>
          <w:lang w:val="en-GB"/>
        </w:rPr>
        <w:t>T</w:t>
      </w:r>
      <w:r w:rsidR="00D7264E" w:rsidRPr="00C866E0">
        <w:rPr>
          <w:lang w:val="en-GB"/>
        </w:rPr>
        <w:t>his sector</w:t>
      </w:r>
      <w:r w:rsidRPr="00C866E0">
        <w:rPr>
          <w:lang w:val="en-GB"/>
        </w:rPr>
        <w:t xml:space="preserve"> exclude</w:t>
      </w:r>
      <w:r w:rsidR="004B4E09" w:rsidRPr="00C866E0">
        <w:rPr>
          <w:lang w:val="en-GB"/>
        </w:rPr>
        <w:t>d</w:t>
      </w:r>
      <w:r w:rsidRPr="00C866E0">
        <w:rPr>
          <w:lang w:val="en-GB"/>
        </w:rPr>
        <w:t xml:space="preserve"> companies that only manufacture</w:t>
      </w:r>
      <w:r w:rsidR="004B4E09" w:rsidRPr="00C866E0">
        <w:rPr>
          <w:lang w:val="en-GB"/>
        </w:rPr>
        <w:t>d</w:t>
      </w:r>
      <w:r w:rsidRPr="00C866E0">
        <w:rPr>
          <w:lang w:val="en-GB"/>
        </w:rPr>
        <w:t xml:space="preserve"> </w:t>
      </w:r>
      <w:r w:rsidR="00D7264E" w:rsidRPr="00C866E0">
        <w:rPr>
          <w:lang w:val="en-GB"/>
        </w:rPr>
        <w:t xml:space="preserve">or </w:t>
      </w:r>
      <w:r w:rsidR="00157F83">
        <w:rPr>
          <w:lang w:val="en-GB"/>
        </w:rPr>
        <w:t xml:space="preserve">only </w:t>
      </w:r>
      <w:r w:rsidR="00D7264E" w:rsidRPr="00C866E0">
        <w:rPr>
          <w:lang w:val="en-GB"/>
        </w:rPr>
        <w:t>distribute</w:t>
      </w:r>
      <w:r w:rsidR="004B4E09" w:rsidRPr="00C866E0">
        <w:rPr>
          <w:lang w:val="en-GB"/>
        </w:rPr>
        <w:t>d</w:t>
      </w:r>
      <w:r w:rsidR="00D7264E" w:rsidRPr="00C866E0">
        <w:rPr>
          <w:lang w:val="en-GB"/>
        </w:rPr>
        <w:t xml:space="preserve"> </w:t>
      </w:r>
      <w:r w:rsidRPr="00C866E0">
        <w:rPr>
          <w:lang w:val="en-GB"/>
        </w:rPr>
        <w:t>soft drinks</w:t>
      </w:r>
      <w:r w:rsidR="00E6490E">
        <w:rPr>
          <w:lang w:val="en-GB"/>
        </w:rPr>
        <w:t>.</w:t>
      </w:r>
      <w:r w:rsidRPr="00C866E0">
        <w:rPr>
          <w:lang w:val="en-GB"/>
        </w:rPr>
        <w:t xml:space="preserve">) The demand determinants of this industry </w:t>
      </w:r>
      <w:r w:rsidR="00F87DAE" w:rsidRPr="00C866E0">
        <w:rPr>
          <w:lang w:val="en-GB"/>
        </w:rPr>
        <w:t>were</w:t>
      </w:r>
      <w:r w:rsidRPr="00C866E0">
        <w:rPr>
          <w:lang w:val="en-GB"/>
        </w:rPr>
        <w:t xml:space="preserve"> price (as price increase</w:t>
      </w:r>
      <w:r w:rsidR="00F87DAE" w:rsidRPr="00C866E0">
        <w:rPr>
          <w:lang w:val="en-GB"/>
        </w:rPr>
        <w:t>d</w:t>
      </w:r>
      <w:r w:rsidRPr="00C866E0">
        <w:rPr>
          <w:lang w:val="en-GB"/>
        </w:rPr>
        <w:t>, the quantity demanded decrease</w:t>
      </w:r>
      <w:r w:rsidR="00F87DAE" w:rsidRPr="00C866E0">
        <w:rPr>
          <w:lang w:val="en-GB"/>
        </w:rPr>
        <w:t>d</w:t>
      </w:r>
      <w:r w:rsidRPr="00C866E0">
        <w:rPr>
          <w:lang w:val="en-GB"/>
        </w:rPr>
        <w:t xml:space="preserve"> with high elasticity)</w:t>
      </w:r>
      <w:r w:rsidR="00157F83">
        <w:rPr>
          <w:lang w:val="en-GB"/>
        </w:rPr>
        <w:t>,</w:t>
      </w:r>
      <w:r w:rsidRPr="00C866E0">
        <w:rPr>
          <w:lang w:val="en-GB"/>
        </w:rPr>
        <w:t xml:space="preserve"> income (as income decrease</w:t>
      </w:r>
      <w:r w:rsidR="00F87DAE" w:rsidRPr="00C866E0">
        <w:rPr>
          <w:lang w:val="en-GB"/>
        </w:rPr>
        <w:t>d</w:t>
      </w:r>
      <w:r w:rsidRPr="00C866E0">
        <w:rPr>
          <w:lang w:val="en-GB"/>
        </w:rPr>
        <w:t xml:space="preserve">, </w:t>
      </w:r>
      <w:r w:rsidR="00F87DAE" w:rsidRPr="00C866E0">
        <w:rPr>
          <w:lang w:val="en-GB"/>
        </w:rPr>
        <w:t xml:space="preserve">the </w:t>
      </w:r>
      <w:r w:rsidRPr="00C866E0">
        <w:rPr>
          <w:lang w:val="en-GB"/>
        </w:rPr>
        <w:t>quantity demanded decrease</w:t>
      </w:r>
      <w:r w:rsidR="00F87DAE" w:rsidRPr="00C866E0">
        <w:rPr>
          <w:lang w:val="en-GB"/>
        </w:rPr>
        <w:t>d</w:t>
      </w:r>
      <w:r w:rsidRPr="00C866E0">
        <w:rPr>
          <w:lang w:val="en-GB"/>
        </w:rPr>
        <w:t xml:space="preserve"> with high elasticity)</w:t>
      </w:r>
      <w:r w:rsidR="00157F83">
        <w:rPr>
          <w:lang w:val="en-GB"/>
        </w:rPr>
        <w:t>,</w:t>
      </w:r>
      <w:r w:rsidRPr="00C866E0">
        <w:rPr>
          <w:lang w:val="en-GB"/>
        </w:rPr>
        <w:t xml:space="preserve"> consumer lifestyles</w:t>
      </w:r>
      <w:r w:rsidR="00157F83">
        <w:rPr>
          <w:lang w:val="en-GB"/>
        </w:rPr>
        <w:t>,</w:t>
      </w:r>
      <w:r w:rsidRPr="00C866E0">
        <w:rPr>
          <w:lang w:val="en-GB"/>
        </w:rPr>
        <w:t xml:space="preserve"> and changing consumer preferences. </w:t>
      </w:r>
    </w:p>
    <w:p w14:paraId="2A186643" w14:textId="77777777" w:rsidR="00726078" w:rsidRPr="00C866E0" w:rsidRDefault="00726078" w:rsidP="00726078">
      <w:pPr>
        <w:pStyle w:val="BodyTextMain"/>
        <w:rPr>
          <w:lang w:val="en-GB"/>
        </w:rPr>
      </w:pPr>
    </w:p>
    <w:p w14:paraId="0517D3E9" w14:textId="021ED453" w:rsidR="00726078" w:rsidRPr="00C866E0" w:rsidRDefault="00733335" w:rsidP="00726078">
      <w:pPr>
        <w:pStyle w:val="BodyTextMain"/>
        <w:rPr>
          <w:lang w:val="en-GB"/>
        </w:rPr>
      </w:pPr>
      <w:r w:rsidRPr="00C866E0">
        <w:rPr>
          <w:lang w:val="en-GB"/>
        </w:rPr>
        <w:t xml:space="preserve">Demand for </w:t>
      </w:r>
      <w:r w:rsidR="00726078" w:rsidRPr="00C866E0">
        <w:rPr>
          <w:lang w:val="en-GB"/>
        </w:rPr>
        <w:t xml:space="preserve">syrup </w:t>
      </w:r>
      <w:r w:rsidR="00E6490E" w:rsidRPr="00C866E0">
        <w:rPr>
          <w:lang w:val="en-GB"/>
        </w:rPr>
        <w:t>depende</w:t>
      </w:r>
      <w:r w:rsidR="00E6490E">
        <w:rPr>
          <w:lang w:val="en-GB"/>
        </w:rPr>
        <w:t>d</w:t>
      </w:r>
      <w:r w:rsidR="00E6490E" w:rsidRPr="00C866E0">
        <w:rPr>
          <w:lang w:val="en-GB"/>
        </w:rPr>
        <w:t xml:space="preserve"> </w:t>
      </w:r>
      <w:r w:rsidR="00726078" w:rsidRPr="00C866E0">
        <w:rPr>
          <w:lang w:val="en-GB"/>
        </w:rPr>
        <w:t xml:space="preserve">on </w:t>
      </w:r>
      <w:r w:rsidRPr="00C866E0">
        <w:rPr>
          <w:lang w:val="en-GB"/>
        </w:rPr>
        <w:t>the demand for soft drinks</w:t>
      </w:r>
      <w:r w:rsidR="00F87DAE" w:rsidRPr="00C866E0">
        <w:rPr>
          <w:lang w:val="en-GB"/>
        </w:rPr>
        <w:t>,</w:t>
      </w:r>
      <w:r w:rsidRPr="00C866E0">
        <w:rPr>
          <w:lang w:val="en-GB"/>
        </w:rPr>
        <w:t xml:space="preserve"> creating a </w:t>
      </w:r>
      <w:r w:rsidR="00726078" w:rsidRPr="00C866E0">
        <w:rPr>
          <w:lang w:val="en-GB"/>
        </w:rPr>
        <w:t>high positive correlation</w:t>
      </w:r>
      <w:r w:rsidRPr="00C866E0">
        <w:rPr>
          <w:lang w:val="en-GB"/>
        </w:rPr>
        <w:t xml:space="preserve"> between the two manufacturing sectors</w:t>
      </w:r>
      <w:r w:rsidR="00726078" w:rsidRPr="00C866E0">
        <w:rPr>
          <w:lang w:val="en-GB"/>
        </w:rPr>
        <w:t>. However, the flavouring syrup and concentrate manufacturing sector fare</w:t>
      </w:r>
      <w:r w:rsidR="00F87DAE" w:rsidRPr="00C866E0">
        <w:rPr>
          <w:lang w:val="en-GB"/>
        </w:rPr>
        <w:t>d</w:t>
      </w:r>
      <w:r w:rsidR="00726078" w:rsidRPr="00C866E0">
        <w:rPr>
          <w:lang w:val="en-GB"/>
        </w:rPr>
        <w:t xml:space="preserve"> relatively better than the soft drink manufacturing sector</w:t>
      </w:r>
      <w:r w:rsidRPr="00C866E0">
        <w:rPr>
          <w:lang w:val="en-GB"/>
        </w:rPr>
        <w:t xml:space="preserve"> in terms of profitability</w:t>
      </w:r>
      <w:r w:rsidR="00F87DAE" w:rsidRPr="00C866E0">
        <w:rPr>
          <w:lang w:val="en-GB"/>
        </w:rPr>
        <w:t>,</w:t>
      </w:r>
      <w:r w:rsidRPr="00C866E0">
        <w:rPr>
          <w:lang w:val="en-GB"/>
        </w:rPr>
        <w:t xml:space="preserve"> possibly </w:t>
      </w:r>
      <w:r w:rsidR="00726078" w:rsidRPr="00C866E0">
        <w:rPr>
          <w:lang w:val="en-GB"/>
        </w:rPr>
        <w:t>because of t</w:t>
      </w:r>
      <w:r w:rsidRPr="00C866E0">
        <w:rPr>
          <w:lang w:val="en-GB"/>
        </w:rPr>
        <w:t xml:space="preserve">he strong </w:t>
      </w:r>
      <w:r w:rsidR="00CF49F0" w:rsidRPr="00C866E0">
        <w:rPr>
          <w:lang w:val="en-GB"/>
        </w:rPr>
        <w:t xml:space="preserve">brand presence of </w:t>
      </w:r>
      <w:r w:rsidR="00F87DAE" w:rsidRPr="00C866E0">
        <w:rPr>
          <w:lang w:val="en-GB"/>
        </w:rPr>
        <w:t xml:space="preserve">the </w:t>
      </w:r>
      <w:r w:rsidR="00CF49F0" w:rsidRPr="00C866E0">
        <w:rPr>
          <w:lang w:val="en-GB"/>
        </w:rPr>
        <w:t>Coca-Cola</w:t>
      </w:r>
      <w:r w:rsidR="00F87DAE" w:rsidRPr="00C866E0">
        <w:rPr>
          <w:lang w:val="en-GB"/>
        </w:rPr>
        <w:t xml:space="preserve"> Company</w:t>
      </w:r>
      <w:r w:rsidR="00433282" w:rsidRPr="00C866E0">
        <w:rPr>
          <w:lang w:val="en-GB"/>
        </w:rPr>
        <w:t xml:space="preserve"> (Coca-Cola)</w:t>
      </w:r>
      <w:r w:rsidR="00CF49F0" w:rsidRPr="00C866E0">
        <w:rPr>
          <w:lang w:val="en-GB"/>
        </w:rPr>
        <w:t xml:space="preserve"> and PepsiCo</w:t>
      </w:r>
      <w:r w:rsidR="00726078" w:rsidRPr="00C866E0">
        <w:rPr>
          <w:lang w:val="en-GB"/>
        </w:rPr>
        <w:t xml:space="preserve">, which </w:t>
      </w:r>
      <w:r w:rsidR="00330F94" w:rsidRPr="00C866E0">
        <w:rPr>
          <w:lang w:val="en-GB"/>
        </w:rPr>
        <w:t>gave</w:t>
      </w:r>
      <w:r w:rsidR="00726078" w:rsidRPr="00C866E0">
        <w:rPr>
          <w:lang w:val="en-GB"/>
        </w:rPr>
        <w:t xml:space="preserve"> </w:t>
      </w:r>
      <w:r w:rsidR="00212BF7" w:rsidRPr="00C866E0">
        <w:rPr>
          <w:lang w:val="en-GB"/>
        </w:rPr>
        <w:t xml:space="preserve">the flavouring syrup and concentrate manufacturing sector </w:t>
      </w:r>
      <w:r w:rsidR="00726078" w:rsidRPr="00C866E0">
        <w:rPr>
          <w:lang w:val="en-GB"/>
        </w:rPr>
        <w:t xml:space="preserve">an opportunity to pass </w:t>
      </w:r>
      <w:r w:rsidR="0057734B" w:rsidRPr="00C866E0">
        <w:rPr>
          <w:lang w:val="en-GB"/>
        </w:rPr>
        <w:t>along</w:t>
      </w:r>
      <w:r w:rsidR="00726078" w:rsidRPr="00C866E0">
        <w:rPr>
          <w:lang w:val="en-GB"/>
        </w:rPr>
        <w:t xml:space="preserve"> increases in input costs and </w:t>
      </w:r>
      <w:r w:rsidR="00212BF7" w:rsidRPr="00C866E0">
        <w:rPr>
          <w:lang w:val="en-GB"/>
        </w:rPr>
        <w:t>to</w:t>
      </w:r>
      <w:r w:rsidR="00726078" w:rsidRPr="00C866E0">
        <w:rPr>
          <w:lang w:val="en-GB"/>
        </w:rPr>
        <w:t xml:space="preserve"> </w:t>
      </w:r>
      <w:r w:rsidRPr="00C866E0">
        <w:rPr>
          <w:lang w:val="en-GB"/>
        </w:rPr>
        <w:t>command</w:t>
      </w:r>
      <w:r w:rsidR="00726078" w:rsidRPr="00C866E0">
        <w:rPr>
          <w:lang w:val="en-GB"/>
        </w:rPr>
        <w:t xml:space="preserve"> higher margins. </w:t>
      </w:r>
    </w:p>
    <w:p w14:paraId="2F5492E2" w14:textId="77777777" w:rsidR="00F87DAE" w:rsidRPr="00C866E0" w:rsidRDefault="00F87DAE" w:rsidP="00726078">
      <w:pPr>
        <w:pStyle w:val="BodyTextMain"/>
        <w:rPr>
          <w:lang w:val="en-GB"/>
        </w:rPr>
      </w:pPr>
    </w:p>
    <w:p w14:paraId="7E2954A1" w14:textId="49C6E1F8" w:rsidR="00726078" w:rsidRPr="00C866E0" w:rsidRDefault="00212BF7" w:rsidP="00726078">
      <w:pPr>
        <w:pStyle w:val="BodyTextMain"/>
        <w:rPr>
          <w:lang w:val="en-GB"/>
        </w:rPr>
      </w:pPr>
      <w:r w:rsidRPr="00C866E0">
        <w:rPr>
          <w:lang w:val="en-GB"/>
        </w:rPr>
        <w:t>Coca-Cola</w:t>
      </w:r>
      <w:r w:rsidR="00433282" w:rsidRPr="00C866E0">
        <w:rPr>
          <w:lang w:val="en-GB"/>
        </w:rPr>
        <w:t xml:space="preserve"> </w:t>
      </w:r>
      <w:r w:rsidRPr="00C866E0">
        <w:rPr>
          <w:lang w:val="en-GB"/>
        </w:rPr>
        <w:t>became</w:t>
      </w:r>
      <w:r w:rsidR="00733335" w:rsidRPr="00C866E0">
        <w:rPr>
          <w:lang w:val="en-GB"/>
        </w:rPr>
        <w:t xml:space="preserve"> </w:t>
      </w:r>
      <w:r w:rsidR="00726078" w:rsidRPr="00C866E0">
        <w:rPr>
          <w:lang w:val="en-GB"/>
        </w:rPr>
        <w:t>the manufacturer, distributor</w:t>
      </w:r>
      <w:r w:rsidRPr="00C866E0">
        <w:rPr>
          <w:lang w:val="en-GB"/>
        </w:rPr>
        <w:t>,</w:t>
      </w:r>
      <w:r w:rsidR="00726078" w:rsidRPr="00C866E0">
        <w:rPr>
          <w:lang w:val="en-GB"/>
        </w:rPr>
        <w:t xml:space="preserve"> and marketer of </w:t>
      </w:r>
      <w:r w:rsidR="00CF49F0" w:rsidRPr="00C866E0">
        <w:rPr>
          <w:lang w:val="en-GB"/>
        </w:rPr>
        <w:t xml:space="preserve">its </w:t>
      </w:r>
      <w:r w:rsidR="00726078" w:rsidRPr="00C866E0">
        <w:rPr>
          <w:lang w:val="en-GB"/>
        </w:rPr>
        <w:t>soft drink concentrat</w:t>
      </w:r>
      <w:r w:rsidR="00CF49F0" w:rsidRPr="00C866E0">
        <w:rPr>
          <w:lang w:val="en-GB"/>
        </w:rPr>
        <w:t>es and syrups. Before 2010, Coca-Cola sold</w:t>
      </w:r>
      <w:r w:rsidR="004B7E15">
        <w:rPr>
          <w:lang w:val="en-GB"/>
        </w:rPr>
        <w:t xml:space="preserve"> its syrups and concentrates to</w:t>
      </w:r>
      <w:r w:rsidR="00726078" w:rsidRPr="00C866E0">
        <w:rPr>
          <w:lang w:val="en-GB"/>
        </w:rPr>
        <w:t xml:space="preserve"> contracted independent bottlers</w:t>
      </w:r>
      <w:r w:rsidR="00CF49F0" w:rsidRPr="00C866E0">
        <w:rPr>
          <w:lang w:val="en-GB"/>
        </w:rPr>
        <w:t xml:space="preserve"> who would then</w:t>
      </w:r>
      <w:r w:rsidR="00726078" w:rsidRPr="00C866E0">
        <w:rPr>
          <w:lang w:val="en-GB"/>
        </w:rPr>
        <w:t xml:space="preserve"> produce, bottle</w:t>
      </w:r>
      <w:r w:rsidR="00CF49F0" w:rsidRPr="00C866E0">
        <w:rPr>
          <w:lang w:val="en-GB"/>
        </w:rPr>
        <w:t>,</w:t>
      </w:r>
      <w:r w:rsidR="00726078" w:rsidRPr="00C866E0">
        <w:rPr>
          <w:lang w:val="en-GB"/>
        </w:rPr>
        <w:t xml:space="preserve"> a</w:t>
      </w:r>
      <w:r w:rsidR="00CF49F0" w:rsidRPr="00C866E0">
        <w:rPr>
          <w:lang w:val="en-GB"/>
        </w:rPr>
        <w:t xml:space="preserve">nd distribute the final soft drink product. In 2010, Coca-Cola </w:t>
      </w:r>
      <w:r w:rsidR="00726078" w:rsidRPr="00C866E0">
        <w:rPr>
          <w:lang w:val="en-GB"/>
        </w:rPr>
        <w:t xml:space="preserve">bought </w:t>
      </w:r>
      <w:r w:rsidR="00CF49F0" w:rsidRPr="00C866E0">
        <w:rPr>
          <w:lang w:val="en-GB"/>
        </w:rPr>
        <w:t>out</w:t>
      </w:r>
      <w:r w:rsidR="00726078" w:rsidRPr="00C866E0">
        <w:rPr>
          <w:lang w:val="en-GB"/>
        </w:rPr>
        <w:t xml:space="preserve"> </w:t>
      </w:r>
      <w:r w:rsidR="00E6490E">
        <w:rPr>
          <w:lang w:val="en-GB"/>
        </w:rPr>
        <w:t xml:space="preserve">its </w:t>
      </w:r>
      <w:r w:rsidR="00726078" w:rsidRPr="00C866E0">
        <w:rPr>
          <w:lang w:val="en-GB"/>
        </w:rPr>
        <w:t>ownership</w:t>
      </w:r>
      <w:r w:rsidRPr="00C866E0">
        <w:rPr>
          <w:lang w:val="en-GB"/>
        </w:rPr>
        <w:t>,</w:t>
      </w:r>
      <w:r w:rsidR="00726078" w:rsidRPr="00C866E0">
        <w:rPr>
          <w:lang w:val="en-GB"/>
        </w:rPr>
        <w:t xml:space="preserve"> and </w:t>
      </w:r>
      <w:r w:rsidRPr="00C866E0">
        <w:rPr>
          <w:lang w:val="en-GB"/>
        </w:rPr>
        <w:t>eventually</w:t>
      </w:r>
      <w:r w:rsidR="00726078" w:rsidRPr="00C866E0">
        <w:rPr>
          <w:lang w:val="en-GB"/>
        </w:rPr>
        <w:t xml:space="preserve"> ha</w:t>
      </w:r>
      <w:r w:rsidRPr="00C866E0">
        <w:rPr>
          <w:lang w:val="en-GB"/>
        </w:rPr>
        <w:t>d</w:t>
      </w:r>
      <w:r w:rsidR="00726078" w:rsidRPr="00C866E0">
        <w:rPr>
          <w:lang w:val="en-GB"/>
        </w:rPr>
        <w:t xml:space="preserve"> a dedicated con</w:t>
      </w:r>
      <w:r w:rsidR="00CF49F0" w:rsidRPr="00C866E0">
        <w:rPr>
          <w:lang w:val="en-GB"/>
        </w:rPr>
        <w:t>tracted bottler and control</w:t>
      </w:r>
      <w:r w:rsidR="00E6490E">
        <w:rPr>
          <w:lang w:val="en-GB"/>
        </w:rPr>
        <w:t>led</w:t>
      </w:r>
      <w:r w:rsidR="00CF49F0" w:rsidRPr="00C866E0">
        <w:rPr>
          <w:lang w:val="en-GB"/>
        </w:rPr>
        <w:t xml:space="preserve"> </w:t>
      </w:r>
      <w:r w:rsidRPr="00C866E0">
        <w:rPr>
          <w:lang w:val="en-GB"/>
        </w:rPr>
        <w:t xml:space="preserve">over </w:t>
      </w:r>
      <w:r w:rsidR="00CF49F0" w:rsidRPr="00C866E0">
        <w:rPr>
          <w:lang w:val="en-GB"/>
        </w:rPr>
        <w:t>90 per cent</w:t>
      </w:r>
      <w:r w:rsidR="00726078" w:rsidRPr="00C866E0">
        <w:rPr>
          <w:lang w:val="en-GB"/>
        </w:rPr>
        <w:t xml:space="preserve"> of </w:t>
      </w:r>
      <w:r w:rsidR="00E6490E">
        <w:rPr>
          <w:lang w:val="en-GB"/>
        </w:rPr>
        <w:t>its</w:t>
      </w:r>
      <w:r w:rsidR="00E6490E" w:rsidRPr="00C866E0">
        <w:rPr>
          <w:lang w:val="en-GB"/>
        </w:rPr>
        <w:t xml:space="preserve"> </w:t>
      </w:r>
      <w:r w:rsidR="00726F4E" w:rsidRPr="00C866E0">
        <w:rPr>
          <w:lang w:val="en-GB"/>
        </w:rPr>
        <w:t xml:space="preserve">sales </w:t>
      </w:r>
      <w:r w:rsidR="00726078" w:rsidRPr="00C866E0">
        <w:rPr>
          <w:lang w:val="en-GB"/>
        </w:rPr>
        <w:t>volume</w:t>
      </w:r>
      <w:r w:rsidRPr="00C866E0">
        <w:rPr>
          <w:lang w:val="en-GB"/>
        </w:rPr>
        <w:t>.</w:t>
      </w:r>
      <w:r w:rsidR="00726078" w:rsidRPr="00C866E0">
        <w:rPr>
          <w:vertAlign w:val="superscript"/>
          <w:lang w:val="en-GB"/>
        </w:rPr>
        <w:footnoteReference w:id="5"/>
      </w:r>
    </w:p>
    <w:p w14:paraId="12A08D2B" w14:textId="77777777" w:rsidR="00726078" w:rsidRPr="00C866E0" w:rsidRDefault="00726078" w:rsidP="00726078">
      <w:pPr>
        <w:pStyle w:val="BodyTextMain"/>
        <w:rPr>
          <w:lang w:val="en-GB"/>
        </w:rPr>
      </w:pPr>
    </w:p>
    <w:p w14:paraId="345454A8" w14:textId="77777777" w:rsidR="00726078" w:rsidRPr="00C866E0" w:rsidRDefault="00726078" w:rsidP="00726078">
      <w:pPr>
        <w:pStyle w:val="BodyTextMain"/>
        <w:rPr>
          <w:lang w:val="en-GB"/>
        </w:rPr>
      </w:pPr>
    </w:p>
    <w:p w14:paraId="2240870D" w14:textId="03142262" w:rsidR="00726078" w:rsidRPr="00C866E0" w:rsidRDefault="00726078" w:rsidP="00726078">
      <w:pPr>
        <w:pStyle w:val="Casehead1"/>
        <w:rPr>
          <w:lang w:val="en-GB"/>
        </w:rPr>
      </w:pPr>
      <w:r w:rsidRPr="00C866E0">
        <w:rPr>
          <w:lang w:val="en-GB"/>
        </w:rPr>
        <w:t xml:space="preserve">csd industry </w:t>
      </w:r>
    </w:p>
    <w:p w14:paraId="2089C548" w14:textId="77777777" w:rsidR="00726078" w:rsidRPr="00C866E0" w:rsidRDefault="00726078" w:rsidP="00726078">
      <w:pPr>
        <w:pStyle w:val="BodyTextMain"/>
        <w:rPr>
          <w:b/>
          <w:lang w:val="en-GB"/>
        </w:rPr>
      </w:pPr>
    </w:p>
    <w:p w14:paraId="6062208A" w14:textId="61D6721C" w:rsidR="00726078" w:rsidRPr="00C866E0" w:rsidRDefault="00726078" w:rsidP="00726078">
      <w:pPr>
        <w:pStyle w:val="BodyTextMain"/>
        <w:rPr>
          <w:lang w:val="en-GB"/>
        </w:rPr>
      </w:pPr>
      <w:r w:rsidRPr="00C866E0">
        <w:rPr>
          <w:lang w:val="en-GB"/>
        </w:rPr>
        <w:t xml:space="preserve">CSDs </w:t>
      </w:r>
      <w:r w:rsidR="00E6490E">
        <w:rPr>
          <w:lang w:val="en-GB"/>
        </w:rPr>
        <w:t>represented</w:t>
      </w:r>
      <w:r w:rsidR="00E6490E" w:rsidRPr="00C866E0">
        <w:rPr>
          <w:lang w:val="en-GB"/>
        </w:rPr>
        <w:t xml:space="preserve"> </w:t>
      </w:r>
      <w:r w:rsidRPr="00C866E0">
        <w:rPr>
          <w:lang w:val="en-GB"/>
        </w:rPr>
        <w:t>the largest category in the soft drink industry</w:t>
      </w:r>
      <w:r w:rsidR="00157F83">
        <w:rPr>
          <w:lang w:val="en-GB"/>
        </w:rPr>
        <w:t>,</w:t>
      </w:r>
      <w:r w:rsidRPr="00C866E0">
        <w:rPr>
          <w:lang w:val="en-GB"/>
        </w:rPr>
        <w:t xml:space="preserve"> </w:t>
      </w:r>
      <w:r w:rsidR="00330F94" w:rsidRPr="00C866E0">
        <w:rPr>
          <w:lang w:val="en-GB"/>
        </w:rPr>
        <w:t xml:space="preserve">and </w:t>
      </w:r>
      <w:r w:rsidR="00157F83">
        <w:rPr>
          <w:lang w:val="en-GB"/>
        </w:rPr>
        <w:t>many</w:t>
      </w:r>
      <w:r w:rsidR="001E786B" w:rsidRPr="00C866E0">
        <w:rPr>
          <w:lang w:val="en-GB"/>
        </w:rPr>
        <w:t xml:space="preserve"> considered</w:t>
      </w:r>
      <w:r w:rsidRPr="00C866E0">
        <w:rPr>
          <w:lang w:val="en-GB"/>
        </w:rPr>
        <w:t xml:space="preserve"> </w:t>
      </w:r>
      <w:r w:rsidR="00157F83">
        <w:rPr>
          <w:lang w:val="en-GB"/>
        </w:rPr>
        <w:t xml:space="preserve">CSD </w:t>
      </w:r>
      <w:r w:rsidR="0030500C">
        <w:rPr>
          <w:lang w:val="en-GB"/>
        </w:rPr>
        <w:t>production</w:t>
      </w:r>
      <w:r w:rsidR="00157F83">
        <w:rPr>
          <w:lang w:val="en-GB"/>
        </w:rPr>
        <w:t xml:space="preserve"> to be </w:t>
      </w:r>
      <w:r w:rsidRPr="00C866E0">
        <w:rPr>
          <w:lang w:val="en-GB"/>
        </w:rPr>
        <w:t xml:space="preserve">an industry in itself, with approximately </w:t>
      </w:r>
      <w:r w:rsidR="00E3764D">
        <w:rPr>
          <w:lang w:val="en-GB"/>
        </w:rPr>
        <w:t>$</w:t>
      </w:r>
      <w:r w:rsidRPr="00C866E0">
        <w:rPr>
          <w:lang w:val="en-GB"/>
        </w:rPr>
        <w:t xml:space="preserve">71 billion </w:t>
      </w:r>
      <w:r w:rsidR="00330F94" w:rsidRPr="00C866E0">
        <w:rPr>
          <w:lang w:val="en-GB"/>
        </w:rPr>
        <w:t>in annual sales in</w:t>
      </w:r>
      <w:r w:rsidR="00CF49F0" w:rsidRPr="00C866E0">
        <w:rPr>
          <w:lang w:val="en-GB"/>
        </w:rPr>
        <w:t xml:space="preserve"> </w:t>
      </w:r>
      <w:r w:rsidRPr="00C866E0">
        <w:rPr>
          <w:lang w:val="en-GB"/>
        </w:rPr>
        <w:t xml:space="preserve">2013. However, per capita consumption of CSDs </w:t>
      </w:r>
      <w:r w:rsidR="00CF49F0" w:rsidRPr="00C866E0">
        <w:rPr>
          <w:lang w:val="en-GB"/>
        </w:rPr>
        <w:t>decreased by 23 per cent</w:t>
      </w:r>
      <w:r w:rsidRPr="00C866E0">
        <w:rPr>
          <w:lang w:val="en-GB"/>
        </w:rPr>
        <w:t xml:space="preserve"> between 2003 and 2013 because of growing health consciousness among consumers, while</w:t>
      </w:r>
      <w:r w:rsidR="00E6490E">
        <w:rPr>
          <w:lang w:val="en-GB"/>
        </w:rPr>
        <w:t>, during the same period,</w:t>
      </w:r>
      <w:r w:rsidRPr="00C866E0">
        <w:rPr>
          <w:lang w:val="en-GB"/>
        </w:rPr>
        <w:t xml:space="preserve"> the bottled water category </w:t>
      </w:r>
      <w:r w:rsidR="00B361A7" w:rsidRPr="00C866E0">
        <w:rPr>
          <w:lang w:val="en-GB"/>
        </w:rPr>
        <w:t>saw</w:t>
      </w:r>
      <w:r w:rsidR="00CF49F0" w:rsidRPr="00C866E0">
        <w:rPr>
          <w:lang w:val="en-GB"/>
        </w:rPr>
        <w:t xml:space="preserve"> a 105 per cent</w:t>
      </w:r>
      <w:r w:rsidRPr="00C866E0">
        <w:rPr>
          <w:lang w:val="en-GB"/>
        </w:rPr>
        <w:t xml:space="preserve"> increase in per capita consumption. The decline in CSDs </w:t>
      </w:r>
      <w:r w:rsidR="00B361A7" w:rsidRPr="00C866E0">
        <w:rPr>
          <w:lang w:val="en-GB"/>
        </w:rPr>
        <w:t>was</w:t>
      </w:r>
      <w:r w:rsidRPr="00C866E0">
        <w:rPr>
          <w:lang w:val="en-GB"/>
        </w:rPr>
        <w:t xml:space="preserve"> expected to continue</w:t>
      </w:r>
      <w:r w:rsidR="00B361A7" w:rsidRPr="00C866E0">
        <w:rPr>
          <w:lang w:val="en-GB"/>
        </w:rPr>
        <w:t>,</w:t>
      </w:r>
      <w:r w:rsidRPr="00C866E0">
        <w:rPr>
          <w:lang w:val="en-GB"/>
        </w:rPr>
        <w:t xml:space="preserve"> with a projected five</w:t>
      </w:r>
      <w:r w:rsidR="00212BF7" w:rsidRPr="00C866E0">
        <w:rPr>
          <w:lang w:val="en-GB"/>
        </w:rPr>
        <w:t>-</w:t>
      </w:r>
      <w:r w:rsidRPr="00C866E0">
        <w:rPr>
          <w:lang w:val="en-GB"/>
        </w:rPr>
        <w:t xml:space="preserve">year </w:t>
      </w:r>
      <w:r w:rsidR="00212BF7" w:rsidRPr="00C866E0">
        <w:rPr>
          <w:lang w:val="en-GB"/>
        </w:rPr>
        <w:t>compound annual growth rate</w:t>
      </w:r>
      <w:r w:rsidRPr="00C866E0">
        <w:rPr>
          <w:lang w:val="en-GB"/>
        </w:rPr>
        <w:t xml:space="preserve"> of </w:t>
      </w:r>
      <w:r w:rsidR="00B361A7" w:rsidRPr="00C866E0">
        <w:rPr>
          <w:lang w:val="en-GB"/>
        </w:rPr>
        <w:t>−</w:t>
      </w:r>
      <w:r w:rsidRPr="00C866E0">
        <w:rPr>
          <w:lang w:val="en-GB"/>
        </w:rPr>
        <w:t>3.1</w:t>
      </w:r>
      <w:r w:rsidR="00B361A7" w:rsidRPr="00C866E0">
        <w:rPr>
          <w:lang w:val="en-GB"/>
        </w:rPr>
        <w:t xml:space="preserve"> per cent</w:t>
      </w:r>
      <w:r w:rsidRPr="00C866E0">
        <w:rPr>
          <w:lang w:val="en-GB"/>
        </w:rPr>
        <w:t xml:space="preserve">. However, </w:t>
      </w:r>
      <w:r w:rsidR="00B361A7" w:rsidRPr="00C866E0">
        <w:rPr>
          <w:lang w:val="en-GB"/>
        </w:rPr>
        <w:t xml:space="preserve">it was possible that </w:t>
      </w:r>
      <w:r w:rsidRPr="00C866E0">
        <w:rPr>
          <w:lang w:val="en-GB"/>
        </w:rPr>
        <w:t xml:space="preserve">the soft drink industry </w:t>
      </w:r>
      <w:r w:rsidR="00B361A7" w:rsidRPr="00C866E0">
        <w:rPr>
          <w:lang w:val="en-GB"/>
        </w:rPr>
        <w:t>could</w:t>
      </w:r>
      <w:r w:rsidR="00CF49F0" w:rsidRPr="00C866E0">
        <w:rPr>
          <w:lang w:val="en-GB"/>
        </w:rPr>
        <w:t xml:space="preserve"> </w:t>
      </w:r>
      <w:r w:rsidR="00B361A7" w:rsidRPr="00C866E0">
        <w:rPr>
          <w:lang w:val="en-GB"/>
        </w:rPr>
        <w:t>offset this</w:t>
      </w:r>
      <w:r w:rsidR="00C866E0" w:rsidRPr="00C866E0">
        <w:rPr>
          <w:lang w:val="en-GB"/>
        </w:rPr>
        <w:t xml:space="preserve"> </w:t>
      </w:r>
      <w:r w:rsidR="00E6490E">
        <w:rPr>
          <w:lang w:val="en-GB"/>
        </w:rPr>
        <w:t xml:space="preserve">negative growth </w:t>
      </w:r>
      <w:r w:rsidR="00726F4E" w:rsidRPr="00C866E0">
        <w:rPr>
          <w:lang w:val="en-GB"/>
        </w:rPr>
        <w:t xml:space="preserve">because of the </w:t>
      </w:r>
      <w:r w:rsidRPr="00C866E0">
        <w:rPr>
          <w:lang w:val="en-GB"/>
        </w:rPr>
        <w:t xml:space="preserve">projected increase in per capita consumption of </w:t>
      </w:r>
      <w:r w:rsidR="00B361A7" w:rsidRPr="00C866E0">
        <w:rPr>
          <w:lang w:val="en-GB"/>
        </w:rPr>
        <w:t>its</w:t>
      </w:r>
      <w:r w:rsidRPr="00C866E0">
        <w:rPr>
          <w:lang w:val="en-GB"/>
        </w:rPr>
        <w:t xml:space="preserve"> </w:t>
      </w:r>
      <w:r w:rsidR="00B361A7" w:rsidRPr="00C866E0">
        <w:rPr>
          <w:lang w:val="en-GB"/>
        </w:rPr>
        <w:t>“</w:t>
      </w:r>
      <w:r w:rsidRPr="00C866E0">
        <w:rPr>
          <w:lang w:val="en-GB"/>
        </w:rPr>
        <w:t>healthy</w:t>
      </w:r>
      <w:r w:rsidR="00B361A7" w:rsidRPr="00C866E0">
        <w:rPr>
          <w:lang w:val="en-GB"/>
        </w:rPr>
        <w:t>”</w:t>
      </w:r>
      <w:r w:rsidRPr="00C866E0">
        <w:rPr>
          <w:lang w:val="en-GB"/>
        </w:rPr>
        <w:t xml:space="preserve"> alternatives. </w:t>
      </w:r>
    </w:p>
    <w:p w14:paraId="2F872F9E" w14:textId="77777777" w:rsidR="00726078" w:rsidRPr="00C866E0" w:rsidRDefault="00726078" w:rsidP="00726078">
      <w:pPr>
        <w:pStyle w:val="BodyTextMain"/>
        <w:rPr>
          <w:lang w:val="en-GB"/>
        </w:rPr>
      </w:pPr>
    </w:p>
    <w:p w14:paraId="703A7FEF" w14:textId="77777777" w:rsidR="001E786B" w:rsidRPr="00C866E0" w:rsidRDefault="001E786B" w:rsidP="00726078">
      <w:pPr>
        <w:pStyle w:val="BodyTextMain"/>
        <w:rPr>
          <w:lang w:val="en-GB"/>
        </w:rPr>
      </w:pPr>
    </w:p>
    <w:p w14:paraId="0F4AF53B" w14:textId="25E4CEB9" w:rsidR="00726078" w:rsidRPr="00C866E0" w:rsidRDefault="00726078" w:rsidP="002F6E10">
      <w:pPr>
        <w:pStyle w:val="Casehead2"/>
        <w:keepNext/>
        <w:rPr>
          <w:lang w:val="en-GB"/>
        </w:rPr>
      </w:pPr>
      <w:r w:rsidRPr="00C866E0">
        <w:rPr>
          <w:lang w:val="en-GB"/>
        </w:rPr>
        <w:lastRenderedPageBreak/>
        <w:t>Operating Model of Bottled C</w:t>
      </w:r>
      <w:r w:rsidR="007B1F88" w:rsidRPr="00C866E0">
        <w:rPr>
          <w:lang w:val="en-GB"/>
        </w:rPr>
        <w:t>SD</w:t>
      </w:r>
      <w:r w:rsidRPr="00C866E0">
        <w:rPr>
          <w:lang w:val="en-GB"/>
        </w:rPr>
        <w:t xml:space="preserve">s </w:t>
      </w:r>
    </w:p>
    <w:p w14:paraId="49AE8038" w14:textId="77777777" w:rsidR="00726078" w:rsidRPr="00C866E0" w:rsidRDefault="00726078" w:rsidP="002F6E10">
      <w:pPr>
        <w:pStyle w:val="BodyTextMain"/>
        <w:keepNext/>
        <w:rPr>
          <w:i/>
          <w:lang w:val="en-GB"/>
        </w:rPr>
      </w:pPr>
    </w:p>
    <w:p w14:paraId="4679CF7E" w14:textId="54B85E37" w:rsidR="00726078" w:rsidRDefault="001E786B" w:rsidP="002F6E10">
      <w:pPr>
        <w:pStyle w:val="BodyTextMain"/>
        <w:keepNext/>
        <w:rPr>
          <w:lang w:val="en-GB"/>
        </w:rPr>
      </w:pPr>
      <w:r w:rsidRPr="00C866E0">
        <w:rPr>
          <w:lang w:val="en-GB"/>
        </w:rPr>
        <w:t>The s</w:t>
      </w:r>
      <w:r w:rsidR="00726078" w:rsidRPr="00C866E0">
        <w:rPr>
          <w:lang w:val="en-GB"/>
        </w:rPr>
        <w:t>yrup manufacturer blend</w:t>
      </w:r>
      <w:r w:rsidR="00B361A7" w:rsidRPr="00C866E0">
        <w:rPr>
          <w:lang w:val="en-GB"/>
        </w:rPr>
        <w:t>ed</w:t>
      </w:r>
      <w:r w:rsidR="00726078" w:rsidRPr="00C866E0">
        <w:rPr>
          <w:lang w:val="en-GB"/>
        </w:rPr>
        <w:t xml:space="preserve"> raw materials (i.e.</w:t>
      </w:r>
      <w:r w:rsidR="00B361A7" w:rsidRPr="00C866E0">
        <w:rPr>
          <w:lang w:val="en-GB"/>
        </w:rPr>
        <w:t>,</w:t>
      </w:r>
      <w:r w:rsidR="00726078" w:rsidRPr="00C866E0">
        <w:rPr>
          <w:lang w:val="en-GB"/>
        </w:rPr>
        <w:t xml:space="preserve"> flavourings, syrup</w:t>
      </w:r>
      <w:r w:rsidR="00B361A7" w:rsidRPr="00C866E0">
        <w:rPr>
          <w:lang w:val="en-GB"/>
        </w:rPr>
        <w:t>,</w:t>
      </w:r>
      <w:r w:rsidR="00726078" w:rsidRPr="00C866E0">
        <w:rPr>
          <w:lang w:val="en-GB"/>
        </w:rPr>
        <w:t xml:space="preserve"> and sweetener)</w:t>
      </w:r>
      <w:r w:rsidR="00B361A7" w:rsidRPr="00C866E0">
        <w:rPr>
          <w:lang w:val="en-GB"/>
        </w:rPr>
        <w:t>,</w:t>
      </w:r>
      <w:r w:rsidR="00726078" w:rsidRPr="00C866E0">
        <w:rPr>
          <w:lang w:val="en-GB"/>
        </w:rPr>
        <w:t xml:space="preserve"> which constitute</w:t>
      </w:r>
      <w:r w:rsidR="00B361A7" w:rsidRPr="00C866E0">
        <w:rPr>
          <w:lang w:val="en-GB"/>
        </w:rPr>
        <w:t>d</w:t>
      </w:r>
      <w:r w:rsidR="00726078" w:rsidRPr="00C866E0">
        <w:rPr>
          <w:lang w:val="en-GB"/>
        </w:rPr>
        <w:t xml:space="preserve"> 6</w:t>
      </w:r>
      <w:r w:rsidR="00B361A7" w:rsidRPr="00C866E0">
        <w:rPr>
          <w:lang w:val="en-GB"/>
        </w:rPr>
        <w:t>–</w:t>
      </w:r>
      <w:r w:rsidR="00726078" w:rsidRPr="00C866E0">
        <w:rPr>
          <w:lang w:val="en-GB"/>
        </w:rPr>
        <w:t>12</w:t>
      </w:r>
      <w:r w:rsidRPr="00C866E0">
        <w:rPr>
          <w:lang w:val="en-GB"/>
        </w:rPr>
        <w:t xml:space="preserve"> per cent</w:t>
      </w:r>
      <w:r w:rsidR="00726078" w:rsidRPr="00C866E0">
        <w:rPr>
          <w:lang w:val="en-GB"/>
        </w:rPr>
        <w:t xml:space="preserve"> of the </w:t>
      </w:r>
      <w:r w:rsidR="00B361A7" w:rsidRPr="00C866E0">
        <w:rPr>
          <w:lang w:val="en-GB"/>
        </w:rPr>
        <w:t xml:space="preserve">soft </w:t>
      </w:r>
      <w:r w:rsidR="00726078" w:rsidRPr="00C866E0">
        <w:rPr>
          <w:lang w:val="en-GB"/>
        </w:rPr>
        <w:t xml:space="preserve">drink, to form syrup concentrate for a specific CSD. The mixing formulae of the </w:t>
      </w:r>
      <w:r w:rsidRPr="00C866E0">
        <w:rPr>
          <w:lang w:val="en-GB"/>
        </w:rPr>
        <w:t xml:space="preserve">major brands’ syrups </w:t>
      </w:r>
      <w:r w:rsidR="00B361A7" w:rsidRPr="00C866E0">
        <w:rPr>
          <w:lang w:val="en-GB"/>
        </w:rPr>
        <w:t>were</w:t>
      </w:r>
      <w:r w:rsidR="00726078" w:rsidRPr="00C866E0">
        <w:rPr>
          <w:lang w:val="en-GB"/>
        </w:rPr>
        <w:t xml:space="preserve"> kept confidential. </w:t>
      </w:r>
    </w:p>
    <w:p w14:paraId="26CCBF02" w14:textId="77777777" w:rsidR="00E6490E" w:rsidRPr="00C866E0" w:rsidRDefault="00E6490E" w:rsidP="00726078">
      <w:pPr>
        <w:pStyle w:val="BodyTextMain"/>
        <w:rPr>
          <w:lang w:val="en-GB"/>
        </w:rPr>
      </w:pPr>
    </w:p>
    <w:p w14:paraId="5E6E1F85" w14:textId="6EE3DDA0" w:rsidR="00726078" w:rsidRPr="00C866E0" w:rsidRDefault="00726078" w:rsidP="00726078">
      <w:pPr>
        <w:pStyle w:val="BodyTextMain"/>
        <w:rPr>
          <w:lang w:val="en-GB"/>
        </w:rPr>
      </w:pPr>
      <w:r w:rsidRPr="00C866E0">
        <w:rPr>
          <w:lang w:val="en-GB"/>
        </w:rPr>
        <w:t>The bottler incorporate</w:t>
      </w:r>
      <w:r w:rsidR="00B361A7" w:rsidRPr="00C866E0">
        <w:rPr>
          <w:lang w:val="en-GB"/>
        </w:rPr>
        <w:t>d</w:t>
      </w:r>
      <w:r w:rsidRPr="00C866E0">
        <w:rPr>
          <w:lang w:val="en-GB"/>
        </w:rPr>
        <w:t xml:space="preserve"> the sweetener into the syrup that </w:t>
      </w:r>
      <w:r w:rsidR="00B361A7" w:rsidRPr="00C866E0">
        <w:rPr>
          <w:lang w:val="en-GB"/>
        </w:rPr>
        <w:t>was</w:t>
      </w:r>
      <w:r w:rsidRPr="00C866E0">
        <w:rPr>
          <w:lang w:val="en-GB"/>
        </w:rPr>
        <w:t xml:space="preserve"> supplied from the soft drink brand owner and mixe</w:t>
      </w:r>
      <w:r w:rsidR="00B361A7" w:rsidRPr="00C866E0">
        <w:rPr>
          <w:lang w:val="en-GB"/>
        </w:rPr>
        <w:t>d</w:t>
      </w:r>
      <w:r w:rsidRPr="00C866E0">
        <w:rPr>
          <w:lang w:val="en-GB"/>
        </w:rPr>
        <w:t xml:space="preserve"> the ingredients together in batch tanks. </w:t>
      </w:r>
      <w:r w:rsidR="001E6786" w:rsidRPr="00C866E0">
        <w:rPr>
          <w:lang w:val="en-GB"/>
        </w:rPr>
        <w:t>D</w:t>
      </w:r>
      <w:r w:rsidRPr="00C866E0">
        <w:rPr>
          <w:lang w:val="en-GB"/>
        </w:rPr>
        <w:t xml:space="preserve">istilled water </w:t>
      </w:r>
      <w:r w:rsidR="00B361A7" w:rsidRPr="00C866E0">
        <w:rPr>
          <w:lang w:val="en-GB"/>
        </w:rPr>
        <w:t>was</w:t>
      </w:r>
      <w:r w:rsidRPr="00C866E0">
        <w:rPr>
          <w:lang w:val="en-GB"/>
        </w:rPr>
        <w:t xml:space="preserve"> </w:t>
      </w:r>
      <w:r w:rsidR="001E6786" w:rsidRPr="00C866E0">
        <w:rPr>
          <w:lang w:val="en-GB"/>
        </w:rPr>
        <w:t xml:space="preserve">then </w:t>
      </w:r>
      <w:r w:rsidRPr="00C866E0">
        <w:rPr>
          <w:lang w:val="en-GB"/>
        </w:rPr>
        <w:t>added to the mix</w:t>
      </w:r>
      <w:r w:rsidR="00B361A7" w:rsidRPr="00C866E0">
        <w:rPr>
          <w:lang w:val="en-GB"/>
        </w:rPr>
        <w:t>,</w:t>
      </w:r>
      <w:r w:rsidRPr="00C866E0">
        <w:rPr>
          <w:lang w:val="en-GB"/>
        </w:rPr>
        <w:t xml:space="preserve"> </w:t>
      </w:r>
      <w:r w:rsidR="001E6786" w:rsidRPr="00C866E0">
        <w:rPr>
          <w:lang w:val="en-GB"/>
        </w:rPr>
        <w:t>which</w:t>
      </w:r>
      <w:r w:rsidRPr="00C866E0">
        <w:rPr>
          <w:lang w:val="en-GB"/>
        </w:rPr>
        <w:t xml:space="preserve"> </w:t>
      </w:r>
      <w:r w:rsidR="00B361A7" w:rsidRPr="00C866E0">
        <w:rPr>
          <w:lang w:val="en-GB"/>
        </w:rPr>
        <w:t>was</w:t>
      </w:r>
      <w:r w:rsidR="001E6786" w:rsidRPr="00C866E0">
        <w:rPr>
          <w:lang w:val="en-GB"/>
        </w:rPr>
        <w:t xml:space="preserve"> then carbonated</w:t>
      </w:r>
      <w:r w:rsidRPr="00C866E0">
        <w:rPr>
          <w:lang w:val="en-GB"/>
        </w:rPr>
        <w:t xml:space="preserve">. The </w:t>
      </w:r>
      <w:r w:rsidR="001E6786" w:rsidRPr="00C866E0">
        <w:rPr>
          <w:lang w:val="en-GB"/>
        </w:rPr>
        <w:t>mixture containers</w:t>
      </w:r>
      <w:r w:rsidRPr="00C866E0">
        <w:rPr>
          <w:lang w:val="en-GB"/>
        </w:rPr>
        <w:t xml:space="preserve"> </w:t>
      </w:r>
      <w:r w:rsidR="00B361A7" w:rsidRPr="00C866E0">
        <w:rPr>
          <w:lang w:val="en-GB"/>
        </w:rPr>
        <w:t>were</w:t>
      </w:r>
      <w:r w:rsidRPr="00C866E0">
        <w:rPr>
          <w:lang w:val="en-GB"/>
        </w:rPr>
        <w:t xml:space="preserve"> immediately sealed with pressure-resistant closures (</w:t>
      </w:r>
      <w:r w:rsidR="00C87F6E">
        <w:rPr>
          <w:lang w:val="en-GB"/>
        </w:rPr>
        <w:t xml:space="preserve">i.e., </w:t>
      </w:r>
      <w:r w:rsidRPr="00C866E0">
        <w:rPr>
          <w:lang w:val="en-GB"/>
        </w:rPr>
        <w:t>tin</w:t>
      </w:r>
      <w:r w:rsidR="00B361A7" w:rsidRPr="00C866E0">
        <w:rPr>
          <w:lang w:val="en-GB"/>
        </w:rPr>
        <w:t xml:space="preserve"> </w:t>
      </w:r>
      <w:r w:rsidRPr="00C866E0">
        <w:rPr>
          <w:lang w:val="en-GB"/>
        </w:rPr>
        <w:t>plate or steel crowns with corrugated edges)</w:t>
      </w:r>
      <w:r w:rsidR="001E6786" w:rsidRPr="00C866E0">
        <w:rPr>
          <w:lang w:val="en-GB"/>
        </w:rPr>
        <w:t xml:space="preserve"> and </w:t>
      </w:r>
      <w:r w:rsidRPr="00C866E0">
        <w:rPr>
          <w:lang w:val="en-GB"/>
        </w:rPr>
        <w:t xml:space="preserve">packaged </w:t>
      </w:r>
      <w:r w:rsidR="001E6786" w:rsidRPr="00C866E0">
        <w:rPr>
          <w:lang w:val="en-GB"/>
        </w:rPr>
        <w:t>according to</w:t>
      </w:r>
      <w:r w:rsidRPr="00C866E0">
        <w:rPr>
          <w:lang w:val="en-GB"/>
        </w:rPr>
        <w:t xml:space="preserve"> quantity requirements into </w:t>
      </w:r>
      <w:r w:rsidR="007B1F88" w:rsidRPr="00C866E0">
        <w:rPr>
          <w:lang w:val="en-GB"/>
        </w:rPr>
        <w:t xml:space="preserve">containers of </w:t>
      </w:r>
      <w:r w:rsidRPr="00C866E0">
        <w:rPr>
          <w:lang w:val="en-GB"/>
        </w:rPr>
        <w:t>pre-specified</w:t>
      </w:r>
      <w:r w:rsidR="00B06945" w:rsidRPr="00C866E0">
        <w:rPr>
          <w:lang w:val="en-GB"/>
        </w:rPr>
        <w:t xml:space="preserve"> </w:t>
      </w:r>
      <w:r w:rsidRPr="00C866E0">
        <w:rPr>
          <w:lang w:val="en-GB"/>
        </w:rPr>
        <w:t>size</w:t>
      </w:r>
      <w:r w:rsidR="007B1F88" w:rsidRPr="00C866E0">
        <w:rPr>
          <w:lang w:val="en-GB"/>
        </w:rPr>
        <w:t>s</w:t>
      </w:r>
      <w:r w:rsidRPr="00C866E0">
        <w:rPr>
          <w:lang w:val="en-GB"/>
        </w:rPr>
        <w:t xml:space="preserve"> (e.g.</w:t>
      </w:r>
      <w:r w:rsidR="00B361A7" w:rsidRPr="00C866E0">
        <w:rPr>
          <w:lang w:val="en-GB"/>
        </w:rPr>
        <w:t>,</w:t>
      </w:r>
      <w:r w:rsidRPr="00C866E0">
        <w:rPr>
          <w:lang w:val="en-GB"/>
        </w:rPr>
        <w:t xml:space="preserve"> 12</w:t>
      </w:r>
      <w:r w:rsidR="007B1F88" w:rsidRPr="00C866E0">
        <w:rPr>
          <w:lang w:val="en-GB"/>
        </w:rPr>
        <w:t>-</w:t>
      </w:r>
      <w:r w:rsidRPr="00C866E0">
        <w:rPr>
          <w:lang w:val="en-GB"/>
        </w:rPr>
        <w:t xml:space="preserve">can boxes or six bottles joined with rings or in cartons) for resale to distributors </w:t>
      </w:r>
      <w:r w:rsidR="007B1F88" w:rsidRPr="00C866E0">
        <w:rPr>
          <w:lang w:val="en-GB"/>
        </w:rPr>
        <w:t>and</w:t>
      </w:r>
      <w:r w:rsidRPr="00C866E0">
        <w:rPr>
          <w:lang w:val="en-GB"/>
        </w:rPr>
        <w:t xml:space="preserve"> merchants. Distributors </w:t>
      </w:r>
      <w:r w:rsidR="007B1F88" w:rsidRPr="00C866E0">
        <w:rPr>
          <w:lang w:val="en-GB"/>
        </w:rPr>
        <w:t>could</w:t>
      </w:r>
      <w:r w:rsidRPr="00C866E0">
        <w:rPr>
          <w:lang w:val="en-GB"/>
        </w:rPr>
        <w:t xml:space="preserve"> choose to repackage the product according to demand. </w:t>
      </w:r>
    </w:p>
    <w:p w14:paraId="41BC095B" w14:textId="77777777" w:rsidR="00726078" w:rsidRPr="00C866E0" w:rsidRDefault="00726078" w:rsidP="00726078">
      <w:pPr>
        <w:pStyle w:val="BodyTextMain"/>
        <w:rPr>
          <w:lang w:val="en-GB"/>
        </w:rPr>
      </w:pPr>
    </w:p>
    <w:p w14:paraId="65BFD24E" w14:textId="1FDE800F" w:rsidR="00726078" w:rsidRPr="00C866E0" w:rsidRDefault="00726078" w:rsidP="00726078">
      <w:pPr>
        <w:pStyle w:val="BodyTextMain"/>
        <w:rPr>
          <w:lang w:val="en-GB"/>
        </w:rPr>
      </w:pPr>
      <w:r w:rsidRPr="00C866E0">
        <w:rPr>
          <w:lang w:val="en-GB"/>
        </w:rPr>
        <w:t>The bottler c</w:t>
      </w:r>
      <w:r w:rsidR="007B1F88" w:rsidRPr="00C866E0">
        <w:rPr>
          <w:lang w:val="en-GB"/>
        </w:rPr>
        <w:t>ould</w:t>
      </w:r>
      <w:r w:rsidRPr="00C866E0">
        <w:rPr>
          <w:lang w:val="en-GB"/>
        </w:rPr>
        <w:t xml:space="preserve"> ship </w:t>
      </w:r>
      <w:r w:rsidR="001E6786" w:rsidRPr="00C866E0">
        <w:rPr>
          <w:lang w:val="en-GB"/>
        </w:rPr>
        <w:t>the consignment</w:t>
      </w:r>
      <w:r w:rsidRPr="00C866E0">
        <w:rPr>
          <w:lang w:val="en-GB"/>
        </w:rPr>
        <w:t xml:space="preserve"> to </w:t>
      </w:r>
      <w:r w:rsidR="001E6786" w:rsidRPr="00C866E0">
        <w:rPr>
          <w:lang w:val="en-GB"/>
        </w:rPr>
        <w:t xml:space="preserve">either </w:t>
      </w:r>
      <w:r w:rsidRPr="00C866E0">
        <w:rPr>
          <w:lang w:val="en-GB"/>
        </w:rPr>
        <w:t>the merchant</w:t>
      </w:r>
      <w:r w:rsidR="00C87F6E">
        <w:rPr>
          <w:lang w:val="en-GB"/>
        </w:rPr>
        <w:t>,</w:t>
      </w:r>
      <w:r w:rsidR="001E6786" w:rsidRPr="00C866E0">
        <w:rPr>
          <w:lang w:val="en-GB"/>
        </w:rPr>
        <w:t xml:space="preserve"> </w:t>
      </w:r>
      <w:r w:rsidRPr="00C866E0">
        <w:rPr>
          <w:lang w:val="en-GB"/>
        </w:rPr>
        <w:t xml:space="preserve">the distributor </w:t>
      </w:r>
      <w:r w:rsidR="00C87F6E">
        <w:rPr>
          <w:lang w:val="en-GB"/>
        </w:rPr>
        <w:t>(</w:t>
      </w:r>
      <w:r w:rsidR="007B1F88" w:rsidRPr="00C866E0">
        <w:rPr>
          <w:lang w:val="en-GB"/>
        </w:rPr>
        <w:t>who</w:t>
      </w:r>
      <w:r w:rsidRPr="00C866E0">
        <w:rPr>
          <w:lang w:val="en-GB"/>
        </w:rPr>
        <w:t xml:space="preserve"> supplie</w:t>
      </w:r>
      <w:r w:rsidR="007B1F88" w:rsidRPr="00C866E0">
        <w:rPr>
          <w:lang w:val="en-GB"/>
        </w:rPr>
        <w:t>d</w:t>
      </w:r>
      <w:r w:rsidRPr="00C866E0">
        <w:rPr>
          <w:lang w:val="en-GB"/>
        </w:rPr>
        <w:t xml:space="preserve"> to the merchant</w:t>
      </w:r>
      <w:r w:rsidR="00C87F6E">
        <w:rPr>
          <w:lang w:val="en-GB"/>
        </w:rPr>
        <w:t>)</w:t>
      </w:r>
      <w:r w:rsidR="001E6786" w:rsidRPr="00C866E0">
        <w:rPr>
          <w:lang w:val="en-GB"/>
        </w:rPr>
        <w:t>,</w:t>
      </w:r>
      <w:r w:rsidRPr="00C866E0">
        <w:rPr>
          <w:lang w:val="en-GB"/>
        </w:rPr>
        <w:t xml:space="preserve"> or</w:t>
      </w:r>
      <w:r w:rsidR="001E6786" w:rsidRPr="00C866E0">
        <w:rPr>
          <w:lang w:val="en-GB"/>
        </w:rPr>
        <w:t xml:space="preserve"> directly to</w:t>
      </w:r>
      <w:r w:rsidRPr="00C866E0">
        <w:rPr>
          <w:lang w:val="en-GB"/>
        </w:rPr>
        <w:t xml:space="preserve"> the final consumer (see Exhibit 1). </w:t>
      </w:r>
    </w:p>
    <w:p w14:paraId="0AF3E9E8" w14:textId="77777777" w:rsidR="00726078" w:rsidRPr="00C866E0" w:rsidRDefault="00726078" w:rsidP="00726078">
      <w:pPr>
        <w:pStyle w:val="BodyTextMain"/>
        <w:rPr>
          <w:lang w:val="en-GB"/>
        </w:rPr>
      </w:pPr>
    </w:p>
    <w:p w14:paraId="4A612E84" w14:textId="77777777" w:rsidR="00726078" w:rsidRPr="00C866E0" w:rsidRDefault="00726078" w:rsidP="00726078">
      <w:pPr>
        <w:pStyle w:val="BodyTextMain"/>
        <w:rPr>
          <w:lang w:val="en-GB"/>
        </w:rPr>
      </w:pPr>
    </w:p>
    <w:p w14:paraId="0D425180" w14:textId="2BEA6198" w:rsidR="00726078" w:rsidRPr="00C866E0" w:rsidRDefault="00624FD3" w:rsidP="00726078">
      <w:pPr>
        <w:pStyle w:val="Casehead1"/>
        <w:keepNext/>
        <w:rPr>
          <w:lang w:val="en-GB"/>
        </w:rPr>
      </w:pPr>
      <w:r>
        <w:rPr>
          <w:lang w:val="en-GB"/>
        </w:rPr>
        <w:t xml:space="preserve">THE </w:t>
      </w:r>
      <w:r w:rsidR="00726078" w:rsidRPr="00C866E0">
        <w:rPr>
          <w:lang w:val="en-GB"/>
        </w:rPr>
        <w:t>c</w:t>
      </w:r>
      <w:r>
        <w:rPr>
          <w:lang w:val="en-GB"/>
        </w:rPr>
        <w:t xml:space="preserve">arbonated </w:t>
      </w:r>
      <w:r w:rsidR="00726078" w:rsidRPr="00C866E0">
        <w:rPr>
          <w:lang w:val="en-GB"/>
        </w:rPr>
        <w:t>s</w:t>
      </w:r>
      <w:r>
        <w:rPr>
          <w:lang w:val="en-GB"/>
        </w:rPr>
        <w:t xml:space="preserve">oft </w:t>
      </w:r>
      <w:r w:rsidR="00726078" w:rsidRPr="00C866E0">
        <w:rPr>
          <w:lang w:val="en-GB"/>
        </w:rPr>
        <w:t>d</w:t>
      </w:r>
      <w:r>
        <w:rPr>
          <w:lang w:val="en-GB"/>
        </w:rPr>
        <w:t>rink</w:t>
      </w:r>
      <w:r w:rsidR="00726078" w:rsidRPr="00C866E0">
        <w:rPr>
          <w:lang w:val="en-GB"/>
        </w:rPr>
        <w:t xml:space="preserve"> industry in utopia for thIS Exercise </w:t>
      </w:r>
    </w:p>
    <w:p w14:paraId="443D6348" w14:textId="77777777" w:rsidR="00726078" w:rsidRPr="00C866E0" w:rsidRDefault="00726078" w:rsidP="00726078">
      <w:pPr>
        <w:pStyle w:val="Casehead1"/>
        <w:keepNext/>
        <w:rPr>
          <w:lang w:val="en-GB"/>
        </w:rPr>
      </w:pPr>
    </w:p>
    <w:p w14:paraId="02169B73" w14:textId="74C7BCB8" w:rsidR="00726078" w:rsidRPr="00C866E0" w:rsidRDefault="00726078" w:rsidP="00726078">
      <w:pPr>
        <w:pStyle w:val="BodyTextMain"/>
        <w:rPr>
          <w:lang w:val="en-GB"/>
        </w:rPr>
      </w:pPr>
      <w:r w:rsidRPr="00C866E0">
        <w:rPr>
          <w:lang w:val="en-GB"/>
        </w:rPr>
        <w:t xml:space="preserve">In Utopia, there </w:t>
      </w:r>
      <w:r w:rsidR="007B1F88" w:rsidRPr="00C866E0">
        <w:rPr>
          <w:lang w:val="en-GB"/>
        </w:rPr>
        <w:t>were</w:t>
      </w:r>
      <w:r w:rsidRPr="00C866E0">
        <w:rPr>
          <w:lang w:val="en-GB"/>
        </w:rPr>
        <w:t xml:space="preserve"> two major CSD brand </w:t>
      </w:r>
      <w:r w:rsidR="001E6786" w:rsidRPr="00C866E0">
        <w:rPr>
          <w:lang w:val="en-GB"/>
        </w:rPr>
        <w:t>owners:</w:t>
      </w:r>
      <w:r w:rsidRPr="00C866E0">
        <w:rPr>
          <w:lang w:val="en-GB"/>
        </w:rPr>
        <w:t xml:space="preserve"> Carbon Cola and Thunder Cola</w:t>
      </w:r>
      <w:r w:rsidR="001E6786" w:rsidRPr="00C866E0">
        <w:rPr>
          <w:lang w:val="en-GB"/>
        </w:rPr>
        <w:t xml:space="preserve">. Their only products </w:t>
      </w:r>
      <w:r w:rsidR="007B1F88" w:rsidRPr="00C866E0">
        <w:rPr>
          <w:lang w:val="en-GB"/>
        </w:rPr>
        <w:t>were</w:t>
      </w:r>
      <w:r w:rsidR="001E6786" w:rsidRPr="00C866E0">
        <w:rPr>
          <w:lang w:val="en-GB"/>
        </w:rPr>
        <w:t xml:space="preserve"> CSDs</w:t>
      </w:r>
      <w:r w:rsidR="000260CC" w:rsidRPr="00C866E0">
        <w:rPr>
          <w:lang w:val="en-GB"/>
        </w:rPr>
        <w:t xml:space="preserve">, and these products </w:t>
      </w:r>
      <w:r w:rsidR="007B1F88" w:rsidRPr="00C866E0">
        <w:rPr>
          <w:lang w:val="en-GB"/>
        </w:rPr>
        <w:t>were</w:t>
      </w:r>
      <w:r w:rsidR="000260CC" w:rsidRPr="00C866E0">
        <w:rPr>
          <w:lang w:val="en-GB"/>
        </w:rPr>
        <w:t xml:space="preserve"> identical in all aspects (e.g., taste and quality)</w:t>
      </w:r>
      <w:r w:rsidR="001E6786" w:rsidRPr="00C866E0">
        <w:rPr>
          <w:lang w:val="en-GB"/>
        </w:rPr>
        <w:t>.</w:t>
      </w:r>
      <w:r w:rsidRPr="00C866E0">
        <w:rPr>
          <w:lang w:val="en-GB"/>
        </w:rPr>
        <w:t xml:space="preserve"> For </w:t>
      </w:r>
      <w:r w:rsidR="001E6786" w:rsidRPr="00C866E0">
        <w:rPr>
          <w:lang w:val="en-GB"/>
        </w:rPr>
        <w:t xml:space="preserve">the </w:t>
      </w:r>
      <w:r w:rsidR="00624FD3">
        <w:rPr>
          <w:lang w:val="en-GB"/>
        </w:rPr>
        <w:t>p</w:t>
      </w:r>
      <w:r w:rsidR="00624FD3" w:rsidRPr="00C866E0">
        <w:rPr>
          <w:lang w:val="en-GB"/>
        </w:rPr>
        <w:t xml:space="preserve">ast </w:t>
      </w:r>
      <w:r w:rsidRPr="00C866E0">
        <w:rPr>
          <w:lang w:val="en-GB"/>
        </w:rPr>
        <w:t xml:space="preserve">five years, the CSD brand owners had </w:t>
      </w:r>
      <w:r w:rsidR="001E6786" w:rsidRPr="00C866E0">
        <w:rPr>
          <w:lang w:val="en-GB"/>
        </w:rPr>
        <w:t xml:space="preserve">an </w:t>
      </w:r>
      <w:r w:rsidRPr="00C866E0">
        <w:rPr>
          <w:lang w:val="en-GB"/>
        </w:rPr>
        <w:t xml:space="preserve">almost equal market share and </w:t>
      </w:r>
      <w:r w:rsidR="00B06945" w:rsidRPr="00C866E0">
        <w:rPr>
          <w:lang w:val="en-GB"/>
        </w:rPr>
        <w:t>were</w:t>
      </w:r>
      <w:r w:rsidRPr="00C866E0">
        <w:rPr>
          <w:lang w:val="en-GB"/>
        </w:rPr>
        <w:t xml:space="preserve"> in direct competition with each other. The brand owners outsource</w:t>
      </w:r>
      <w:r w:rsidR="00624FD3">
        <w:rPr>
          <w:lang w:val="en-GB"/>
        </w:rPr>
        <w:t>d</w:t>
      </w:r>
      <w:r w:rsidRPr="00C866E0">
        <w:rPr>
          <w:lang w:val="en-GB"/>
        </w:rPr>
        <w:t xml:space="preserve"> </w:t>
      </w:r>
      <w:r w:rsidR="00624FD3">
        <w:rPr>
          <w:lang w:val="en-GB"/>
        </w:rPr>
        <w:t xml:space="preserve">the </w:t>
      </w:r>
      <w:r w:rsidRPr="00C866E0">
        <w:rPr>
          <w:lang w:val="en-GB"/>
        </w:rPr>
        <w:t>manufacturing and distribution of the CSDs to bottlers who operated as their franchisees</w:t>
      </w:r>
      <w:r w:rsidR="001E6786" w:rsidRPr="00C866E0">
        <w:rPr>
          <w:lang w:val="en-GB"/>
        </w:rPr>
        <w:t>. T</w:t>
      </w:r>
      <w:r w:rsidRPr="00C866E0">
        <w:rPr>
          <w:lang w:val="en-GB"/>
        </w:rPr>
        <w:t>he brand owners</w:t>
      </w:r>
      <w:r w:rsidR="001E6786" w:rsidRPr="00C866E0">
        <w:rPr>
          <w:lang w:val="en-GB"/>
        </w:rPr>
        <w:t xml:space="preserve"> would receive the key flavour ingredients from their trusted syrup</w:t>
      </w:r>
      <w:r w:rsidR="007B1F88" w:rsidRPr="00C866E0">
        <w:rPr>
          <w:lang w:val="en-GB"/>
        </w:rPr>
        <w:t xml:space="preserve"> and </w:t>
      </w:r>
      <w:r w:rsidR="001E6786" w:rsidRPr="00C866E0">
        <w:rPr>
          <w:lang w:val="en-GB"/>
        </w:rPr>
        <w:t>concentrate manufacturers</w:t>
      </w:r>
      <w:r w:rsidR="007B1F88" w:rsidRPr="00C866E0">
        <w:rPr>
          <w:lang w:val="en-GB"/>
        </w:rPr>
        <w:t>,</w:t>
      </w:r>
      <w:r w:rsidR="001E6786" w:rsidRPr="00C866E0">
        <w:rPr>
          <w:lang w:val="en-GB"/>
        </w:rPr>
        <w:t xml:space="preserve"> and then </w:t>
      </w:r>
      <w:r w:rsidR="00940706" w:rsidRPr="00C866E0">
        <w:rPr>
          <w:lang w:val="en-GB"/>
        </w:rPr>
        <w:t>pass them on to</w:t>
      </w:r>
      <w:r w:rsidR="001E6786" w:rsidRPr="00C866E0">
        <w:rPr>
          <w:lang w:val="en-GB"/>
        </w:rPr>
        <w:t xml:space="preserve"> </w:t>
      </w:r>
      <w:r w:rsidRPr="00C866E0">
        <w:rPr>
          <w:lang w:val="en-GB"/>
        </w:rPr>
        <w:t>the bottle</w:t>
      </w:r>
      <w:r w:rsidR="00940706" w:rsidRPr="00C866E0">
        <w:rPr>
          <w:lang w:val="en-GB"/>
        </w:rPr>
        <w:t>rs</w:t>
      </w:r>
      <w:r w:rsidRPr="00C866E0">
        <w:rPr>
          <w:lang w:val="en-GB"/>
        </w:rPr>
        <w:t xml:space="preserve">. </w:t>
      </w:r>
      <w:r w:rsidR="00940706" w:rsidRPr="00C866E0">
        <w:rPr>
          <w:lang w:val="en-GB"/>
        </w:rPr>
        <w:t>However, i</w:t>
      </w:r>
      <w:r w:rsidRPr="00C866E0">
        <w:rPr>
          <w:lang w:val="en-GB"/>
        </w:rPr>
        <w:t xml:space="preserve">n January 2017, both Carbon Cola and Thunder Cola </w:t>
      </w:r>
      <w:r w:rsidR="00940706" w:rsidRPr="00C866E0">
        <w:rPr>
          <w:lang w:val="en-GB"/>
        </w:rPr>
        <w:t>terminated their</w:t>
      </w:r>
      <w:r w:rsidRPr="00C866E0">
        <w:rPr>
          <w:lang w:val="en-GB"/>
        </w:rPr>
        <w:t xml:space="preserve"> </w:t>
      </w:r>
      <w:r w:rsidR="00940706" w:rsidRPr="00C866E0">
        <w:rPr>
          <w:lang w:val="en-GB"/>
        </w:rPr>
        <w:t>long-standing bottling contracts</w:t>
      </w:r>
      <w:r w:rsidRPr="00C866E0">
        <w:rPr>
          <w:lang w:val="en-GB"/>
        </w:rPr>
        <w:t xml:space="preserve"> on the ground</w:t>
      </w:r>
      <w:r w:rsidR="00940706" w:rsidRPr="00C866E0">
        <w:rPr>
          <w:lang w:val="en-GB"/>
        </w:rPr>
        <w:t>s</w:t>
      </w:r>
      <w:r w:rsidRPr="00C866E0">
        <w:rPr>
          <w:lang w:val="en-GB"/>
        </w:rPr>
        <w:t xml:space="preserve"> of non-adherence to</w:t>
      </w:r>
      <w:r w:rsidR="00940706" w:rsidRPr="00C866E0">
        <w:rPr>
          <w:lang w:val="en-GB"/>
        </w:rPr>
        <w:t xml:space="preserve"> contractually agreed-upon</w:t>
      </w:r>
      <w:r w:rsidRPr="00C866E0">
        <w:rPr>
          <w:lang w:val="en-GB"/>
        </w:rPr>
        <w:t xml:space="preserve"> qua</w:t>
      </w:r>
      <w:r w:rsidR="00940706" w:rsidRPr="00C866E0">
        <w:rPr>
          <w:lang w:val="en-GB"/>
        </w:rPr>
        <w:t>lity standards</w:t>
      </w:r>
      <w:r w:rsidRPr="00C866E0">
        <w:rPr>
          <w:lang w:val="en-GB"/>
        </w:rPr>
        <w:t xml:space="preserve">. </w:t>
      </w:r>
    </w:p>
    <w:p w14:paraId="38563989" w14:textId="77777777" w:rsidR="00726078" w:rsidRPr="00C866E0" w:rsidRDefault="00726078" w:rsidP="00726078">
      <w:pPr>
        <w:pStyle w:val="BodyTextMain"/>
        <w:rPr>
          <w:lang w:val="en-GB"/>
        </w:rPr>
      </w:pPr>
    </w:p>
    <w:p w14:paraId="5EE9FD6F" w14:textId="04179DB6" w:rsidR="00726078" w:rsidRPr="00C866E0" w:rsidRDefault="007B1F88" w:rsidP="00726078">
      <w:pPr>
        <w:pStyle w:val="BodyTextMain"/>
        <w:rPr>
          <w:lang w:val="en-GB"/>
        </w:rPr>
      </w:pPr>
      <w:r w:rsidRPr="00C866E0">
        <w:rPr>
          <w:lang w:val="en-GB"/>
        </w:rPr>
        <w:t>B</w:t>
      </w:r>
      <w:r w:rsidR="00726078" w:rsidRPr="00C866E0">
        <w:rPr>
          <w:lang w:val="en-GB"/>
        </w:rPr>
        <w:t xml:space="preserve">oth CSD brand owners </w:t>
      </w:r>
      <w:r w:rsidR="00B06945" w:rsidRPr="00C866E0">
        <w:rPr>
          <w:lang w:val="en-GB"/>
        </w:rPr>
        <w:t>were</w:t>
      </w:r>
      <w:r w:rsidR="00940706" w:rsidRPr="00C866E0">
        <w:rPr>
          <w:lang w:val="en-GB"/>
        </w:rPr>
        <w:t xml:space="preserve"> looking to enter</w:t>
      </w:r>
      <w:r w:rsidR="00726078" w:rsidRPr="00C866E0">
        <w:rPr>
          <w:lang w:val="en-GB"/>
        </w:rPr>
        <w:t xml:space="preserve"> into one</w:t>
      </w:r>
      <w:r w:rsidRPr="00C866E0">
        <w:rPr>
          <w:lang w:val="en-GB"/>
        </w:rPr>
        <w:t>-</w:t>
      </w:r>
      <w:r w:rsidR="00726078" w:rsidRPr="00C866E0">
        <w:rPr>
          <w:lang w:val="en-GB"/>
        </w:rPr>
        <w:t>ye</w:t>
      </w:r>
      <w:r w:rsidR="00940706" w:rsidRPr="00C866E0">
        <w:rPr>
          <w:lang w:val="en-GB"/>
        </w:rPr>
        <w:t xml:space="preserve">ar contracts with new bottlers. This </w:t>
      </w:r>
      <w:r w:rsidR="00624FD3">
        <w:rPr>
          <w:lang w:val="en-GB"/>
        </w:rPr>
        <w:t xml:space="preserve">situation </w:t>
      </w:r>
      <w:r w:rsidRPr="00C866E0">
        <w:rPr>
          <w:lang w:val="en-GB"/>
        </w:rPr>
        <w:t>presented</w:t>
      </w:r>
      <w:r w:rsidR="00940706" w:rsidRPr="00C866E0">
        <w:rPr>
          <w:lang w:val="en-GB"/>
        </w:rPr>
        <w:t xml:space="preserve"> a great opportunity </w:t>
      </w:r>
      <w:r w:rsidR="00624FD3">
        <w:rPr>
          <w:lang w:val="en-GB"/>
        </w:rPr>
        <w:t>for</w:t>
      </w:r>
      <w:r w:rsidR="00624FD3" w:rsidRPr="00C866E0">
        <w:rPr>
          <w:lang w:val="en-GB"/>
        </w:rPr>
        <w:t xml:space="preserve"> </w:t>
      </w:r>
      <w:r w:rsidR="00940706" w:rsidRPr="00C866E0">
        <w:rPr>
          <w:lang w:val="en-GB"/>
        </w:rPr>
        <w:t>two prospective entrant bottlers:</w:t>
      </w:r>
      <w:r w:rsidR="00726078" w:rsidRPr="00C866E0">
        <w:rPr>
          <w:lang w:val="en-GB"/>
        </w:rPr>
        <w:t xml:space="preserve"> Electra Beverages Limited and </w:t>
      </w:r>
      <w:proofErr w:type="spellStart"/>
      <w:r w:rsidR="00726078" w:rsidRPr="00C866E0">
        <w:rPr>
          <w:lang w:val="en-GB"/>
        </w:rPr>
        <w:t>Drinko</w:t>
      </w:r>
      <w:proofErr w:type="spellEnd"/>
      <w:r w:rsidR="00726078" w:rsidRPr="00C866E0">
        <w:rPr>
          <w:lang w:val="en-GB"/>
        </w:rPr>
        <w:t xml:space="preserve"> Beverages Limited. The bottlers and CSD brand owners</w:t>
      </w:r>
      <w:r w:rsidR="00940706" w:rsidRPr="00C866E0">
        <w:rPr>
          <w:lang w:val="en-GB"/>
        </w:rPr>
        <w:t xml:space="preserve"> </w:t>
      </w:r>
      <w:r w:rsidRPr="00C866E0">
        <w:rPr>
          <w:lang w:val="en-GB"/>
        </w:rPr>
        <w:t>were</w:t>
      </w:r>
      <w:r w:rsidR="00940706" w:rsidRPr="00C866E0">
        <w:rPr>
          <w:lang w:val="en-GB"/>
        </w:rPr>
        <w:t xml:space="preserve"> expected to negotiate </w:t>
      </w:r>
      <w:r w:rsidR="00726078" w:rsidRPr="00C866E0">
        <w:rPr>
          <w:lang w:val="en-GB"/>
        </w:rPr>
        <w:t>exclusive partnerships. If Electra Beverages</w:t>
      </w:r>
      <w:r w:rsidRPr="00C866E0">
        <w:rPr>
          <w:lang w:val="en-GB"/>
        </w:rPr>
        <w:t xml:space="preserve"> Limited</w:t>
      </w:r>
      <w:r w:rsidR="00726078" w:rsidRPr="00C866E0">
        <w:rPr>
          <w:lang w:val="en-GB"/>
        </w:rPr>
        <w:t xml:space="preserve"> and </w:t>
      </w:r>
      <w:proofErr w:type="spellStart"/>
      <w:r w:rsidR="00726078" w:rsidRPr="00C866E0">
        <w:rPr>
          <w:lang w:val="en-GB"/>
        </w:rPr>
        <w:t>Drinko</w:t>
      </w:r>
      <w:proofErr w:type="spellEnd"/>
      <w:r w:rsidR="00726078" w:rsidRPr="00C866E0">
        <w:rPr>
          <w:lang w:val="en-GB"/>
        </w:rPr>
        <w:t xml:space="preserve"> Beverages</w:t>
      </w:r>
      <w:r w:rsidRPr="00C866E0">
        <w:rPr>
          <w:lang w:val="en-GB"/>
        </w:rPr>
        <w:t xml:space="preserve"> Limited</w:t>
      </w:r>
      <w:r w:rsidR="00726078" w:rsidRPr="00C866E0">
        <w:rPr>
          <w:lang w:val="en-GB"/>
        </w:rPr>
        <w:t xml:space="preserve"> </w:t>
      </w:r>
      <w:r w:rsidRPr="00C866E0">
        <w:rPr>
          <w:lang w:val="en-GB"/>
        </w:rPr>
        <w:t>could</w:t>
      </w:r>
      <w:r w:rsidR="00940706" w:rsidRPr="00C866E0">
        <w:rPr>
          <w:lang w:val="en-GB"/>
        </w:rPr>
        <w:t xml:space="preserve"> win </w:t>
      </w:r>
      <w:r w:rsidR="00726078" w:rsidRPr="00C866E0">
        <w:rPr>
          <w:lang w:val="en-GB"/>
        </w:rPr>
        <w:t xml:space="preserve">the bottling contracts with the CSD brand owners, </w:t>
      </w:r>
      <w:r w:rsidR="00940706" w:rsidRPr="00C866E0">
        <w:rPr>
          <w:lang w:val="en-GB"/>
        </w:rPr>
        <w:t xml:space="preserve">they </w:t>
      </w:r>
      <w:r w:rsidRPr="00C866E0">
        <w:rPr>
          <w:lang w:val="en-GB"/>
        </w:rPr>
        <w:t>would</w:t>
      </w:r>
      <w:r w:rsidR="00940706" w:rsidRPr="00C866E0">
        <w:rPr>
          <w:lang w:val="en-GB"/>
        </w:rPr>
        <w:t xml:space="preserve"> have</w:t>
      </w:r>
      <w:r w:rsidR="00726078" w:rsidRPr="00C866E0">
        <w:rPr>
          <w:lang w:val="en-GB"/>
        </w:rPr>
        <w:t xml:space="preserve"> </w:t>
      </w:r>
      <w:r w:rsidR="00940706" w:rsidRPr="00C866E0">
        <w:rPr>
          <w:lang w:val="en-GB"/>
        </w:rPr>
        <w:t>manufacturing and distributing rights to</w:t>
      </w:r>
      <w:r w:rsidR="00726078" w:rsidRPr="00C866E0">
        <w:rPr>
          <w:lang w:val="en-GB"/>
        </w:rPr>
        <w:t xml:space="preserve"> the CSDs as dedicated bottlers for the period of the contract. For ease of calculations, </w:t>
      </w:r>
      <w:r w:rsidRPr="00C866E0">
        <w:rPr>
          <w:lang w:val="en-GB"/>
        </w:rPr>
        <w:t>approximately</w:t>
      </w:r>
      <w:r w:rsidR="00726078" w:rsidRPr="00C866E0">
        <w:rPr>
          <w:lang w:val="en-GB"/>
        </w:rPr>
        <w:t xml:space="preserve"> one litre of syrup </w:t>
      </w:r>
      <w:r w:rsidRPr="00C866E0">
        <w:rPr>
          <w:lang w:val="en-GB"/>
        </w:rPr>
        <w:t xml:space="preserve">was </w:t>
      </w:r>
      <w:r w:rsidR="00726078" w:rsidRPr="00C866E0">
        <w:rPr>
          <w:lang w:val="en-GB"/>
        </w:rPr>
        <w:t>required to make one litre of the final product</w:t>
      </w:r>
      <w:r w:rsidR="0030500C">
        <w:rPr>
          <w:lang w:val="en-GB"/>
        </w:rPr>
        <w:t>—</w:t>
      </w:r>
      <w:r w:rsidR="00726078" w:rsidRPr="00C866E0">
        <w:rPr>
          <w:lang w:val="en-GB"/>
        </w:rPr>
        <w:t>i.e.</w:t>
      </w:r>
      <w:r w:rsidR="00624FD3">
        <w:rPr>
          <w:lang w:val="en-GB"/>
        </w:rPr>
        <w:t>,</w:t>
      </w:r>
      <w:r w:rsidR="00726078" w:rsidRPr="00C866E0">
        <w:rPr>
          <w:lang w:val="en-GB"/>
        </w:rPr>
        <w:t xml:space="preserve"> the CSD. The </w:t>
      </w:r>
      <w:r w:rsidR="00940706" w:rsidRPr="00C866E0">
        <w:rPr>
          <w:lang w:val="en-GB"/>
        </w:rPr>
        <w:t xml:space="preserve">final </w:t>
      </w:r>
      <w:r w:rsidR="00624FD3">
        <w:rPr>
          <w:lang w:val="en-GB"/>
        </w:rPr>
        <w:t>players</w:t>
      </w:r>
      <w:r w:rsidR="00624FD3" w:rsidRPr="00C866E0">
        <w:rPr>
          <w:lang w:val="en-GB"/>
        </w:rPr>
        <w:t xml:space="preserve"> </w:t>
      </w:r>
      <w:r w:rsidR="00624FD3">
        <w:rPr>
          <w:lang w:val="en-GB"/>
        </w:rPr>
        <w:t>in</w:t>
      </w:r>
      <w:r w:rsidR="00624FD3" w:rsidRPr="00C866E0">
        <w:rPr>
          <w:lang w:val="en-GB"/>
        </w:rPr>
        <w:t xml:space="preserve"> </w:t>
      </w:r>
      <w:r w:rsidR="00726078" w:rsidRPr="00C866E0">
        <w:rPr>
          <w:lang w:val="en-GB"/>
        </w:rPr>
        <w:t xml:space="preserve">the value chain process </w:t>
      </w:r>
      <w:r w:rsidR="00624FD3" w:rsidRPr="00C866E0">
        <w:rPr>
          <w:lang w:val="en-GB"/>
        </w:rPr>
        <w:t>w</w:t>
      </w:r>
      <w:r w:rsidR="00624FD3">
        <w:rPr>
          <w:lang w:val="en-GB"/>
        </w:rPr>
        <w:t>ere</w:t>
      </w:r>
      <w:r w:rsidR="00624FD3" w:rsidRPr="00C866E0">
        <w:rPr>
          <w:lang w:val="en-GB"/>
        </w:rPr>
        <w:t xml:space="preserve"> </w:t>
      </w:r>
      <w:r w:rsidR="00726078" w:rsidRPr="00C866E0">
        <w:rPr>
          <w:lang w:val="en-GB"/>
        </w:rPr>
        <w:t xml:space="preserve">the retailers. There </w:t>
      </w:r>
      <w:r w:rsidRPr="00C866E0">
        <w:rPr>
          <w:lang w:val="en-GB"/>
        </w:rPr>
        <w:t>were</w:t>
      </w:r>
      <w:r w:rsidR="00726078" w:rsidRPr="00C866E0">
        <w:rPr>
          <w:lang w:val="en-GB"/>
        </w:rPr>
        <w:t xml:space="preserve"> three</w:t>
      </w:r>
      <w:r w:rsidR="00940706" w:rsidRPr="00C866E0">
        <w:rPr>
          <w:lang w:val="en-GB"/>
        </w:rPr>
        <w:t xml:space="preserve"> </w:t>
      </w:r>
      <w:r w:rsidR="0030500C">
        <w:rPr>
          <w:lang w:val="en-GB"/>
        </w:rPr>
        <w:t xml:space="preserve">retailers </w:t>
      </w:r>
      <w:r w:rsidR="00940706" w:rsidRPr="00C866E0">
        <w:rPr>
          <w:lang w:val="en-GB"/>
        </w:rPr>
        <w:t xml:space="preserve">in Utopia: </w:t>
      </w:r>
      <w:proofErr w:type="spellStart"/>
      <w:r w:rsidR="00726078" w:rsidRPr="00C866E0">
        <w:rPr>
          <w:lang w:val="en-GB"/>
        </w:rPr>
        <w:t>FarMore</w:t>
      </w:r>
      <w:proofErr w:type="spellEnd"/>
      <w:r w:rsidR="00726078" w:rsidRPr="00C866E0">
        <w:rPr>
          <w:lang w:val="en-GB"/>
        </w:rPr>
        <w:t xml:space="preserve"> Retail Limited, </w:t>
      </w:r>
      <w:proofErr w:type="spellStart"/>
      <w:r w:rsidR="00726078" w:rsidRPr="00C866E0">
        <w:rPr>
          <w:lang w:val="en-GB"/>
        </w:rPr>
        <w:t>GreatDepot</w:t>
      </w:r>
      <w:proofErr w:type="spellEnd"/>
      <w:r w:rsidR="00726078" w:rsidRPr="00C866E0">
        <w:rPr>
          <w:lang w:val="en-GB"/>
        </w:rPr>
        <w:t xml:space="preserve"> Retail Limited</w:t>
      </w:r>
      <w:r w:rsidR="001A7109" w:rsidRPr="00C866E0">
        <w:rPr>
          <w:lang w:val="en-GB"/>
        </w:rPr>
        <w:t>,</w:t>
      </w:r>
      <w:r w:rsidR="00726078" w:rsidRPr="00C866E0">
        <w:rPr>
          <w:lang w:val="en-GB"/>
        </w:rPr>
        <w:t xml:space="preserve"> and </w:t>
      </w:r>
      <w:proofErr w:type="spellStart"/>
      <w:r w:rsidR="00726078" w:rsidRPr="00C866E0">
        <w:rPr>
          <w:lang w:val="en-GB"/>
        </w:rPr>
        <w:t>HomeMart</w:t>
      </w:r>
      <w:proofErr w:type="spellEnd"/>
      <w:r w:rsidR="00726078" w:rsidRPr="00C866E0">
        <w:rPr>
          <w:lang w:val="en-GB"/>
        </w:rPr>
        <w:t xml:space="preserve"> Retail </w:t>
      </w:r>
      <w:r w:rsidR="00940706" w:rsidRPr="00C866E0">
        <w:rPr>
          <w:lang w:val="en-GB"/>
        </w:rPr>
        <w:t>Limited</w:t>
      </w:r>
      <w:r w:rsidR="00726078" w:rsidRPr="00C866E0">
        <w:rPr>
          <w:lang w:val="en-GB"/>
        </w:rPr>
        <w:t xml:space="preserve">. </w:t>
      </w:r>
    </w:p>
    <w:p w14:paraId="51AC72CD" w14:textId="77777777" w:rsidR="00726078" w:rsidRPr="00C866E0" w:rsidRDefault="00726078" w:rsidP="00726078">
      <w:pPr>
        <w:pStyle w:val="BodyTextMain"/>
        <w:rPr>
          <w:lang w:val="en-GB"/>
        </w:rPr>
      </w:pPr>
    </w:p>
    <w:p w14:paraId="5FBCF664" w14:textId="3753809A" w:rsidR="00726078" w:rsidRPr="00C866E0" w:rsidRDefault="00726078" w:rsidP="00726078">
      <w:pPr>
        <w:pStyle w:val="BodyTextMain"/>
        <w:keepNext/>
        <w:rPr>
          <w:lang w:val="en-GB"/>
        </w:rPr>
      </w:pPr>
      <w:r w:rsidRPr="00C866E0">
        <w:rPr>
          <w:lang w:val="en-GB"/>
        </w:rPr>
        <w:t xml:space="preserve">In </w:t>
      </w:r>
      <w:r w:rsidR="001A7109" w:rsidRPr="00C866E0">
        <w:rPr>
          <w:lang w:val="en-GB"/>
        </w:rPr>
        <w:t>2016</w:t>
      </w:r>
      <w:r w:rsidRPr="00C866E0">
        <w:rPr>
          <w:lang w:val="en-GB"/>
        </w:rPr>
        <w:t>, the CSD industry in Utopia had a total turnover of $45 billion</w:t>
      </w:r>
      <w:r w:rsidR="001A7109" w:rsidRPr="00C866E0">
        <w:rPr>
          <w:lang w:val="en-GB"/>
        </w:rPr>
        <w:t xml:space="preserve"> (see Exhibit 2).</w:t>
      </w:r>
      <w:r w:rsidR="00A425F4">
        <w:rPr>
          <w:lang w:val="en-GB"/>
        </w:rPr>
        <w:t xml:space="preserve"> </w:t>
      </w:r>
      <w:r w:rsidRPr="00C866E0">
        <w:rPr>
          <w:lang w:val="en-GB"/>
        </w:rPr>
        <w:t xml:space="preserve">The industry </w:t>
      </w:r>
      <w:r w:rsidR="00B06945" w:rsidRPr="00C866E0">
        <w:rPr>
          <w:lang w:val="en-GB"/>
        </w:rPr>
        <w:t>was</w:t>
      </w:r>
      <w:r w:rsidRPr="00C866E0">
        <w:rPr>
          <w:lang w:val="en-GB"/>
        </w:rPr>
        <w:t xml:space="preserve"> expected to grow by 4</w:t>
      </w:r>
      <w:r w:rsidR="00940706" w:rsidRPr="00C866E0">
        <w:rPr>
          <w:lang w:val="en-GB"/>
        </w:rPr>
        <w:t>–5 per cent</w:t>
      </w:r>
      <w:r w:rsidRPr="00C866E0">
        <w:rPr>
          <w:lang w:val="en-GB"/>
        </w:rPr>
        <w:t xml:space="preserve"> </w:t>
      </w:r>
      <w:r w:rsidR="001A7109" w:rsidRPr="00C866E0">
        <w:rPr>
          <w:lang w:val="en-GB"/>
        </w:rPr>
        <w:t>in 2017</w:t>
      </w:r>
      <w:r w:rsidR="000260CC" w:rsidRPr="00C866E0">
        <w:rPr>
          <w:lang w:val="en-GB"/>
        </w:rPr>
        <w:t>, depending on the marketing expenses</w:t>
      </w:r>
      <w:r w:rsidRPr="00C866E0">
        <w:rPr>
          <w:lang w:val="en-GB"/>
        </w:rPr>
        <w:t xml:space="preserve"> incurred by the CSD brand owners and the average selling price of the CSDs.</w:t>
      </w:r>
    </w:p>
    <w:p w14:paraId="6F4544F3" w14:textId="77777777" w:rsidR="00726078" w:rsidRPr="00C866E0" w:rsidRDefault="00726078" w:rsidP="00726078">
      <w:pPr>
        <w:pStyle w:val="BodyTextMain"/>
        <w:rPr>
          <w:lang w:val="en-GB"/>
        </w:rPr>
      </w:pPr>
    </w:p>
    <w:p w14:paraId="4F730A53" w14:textId="77777777" w:rsidR="000260CC" w:rsidRPr="00C866E0" w:rsidRDefault="000260CC" w:rsidP="00726078">
      <w:pPr>
        <w:pStyle w:val="BodyTextMain"/>
        <w:rPr>
          <w:lang w:val="en-GB"/>
        </w:rPr>
      </w:pPr>
    </w:p>
    <w:p w14:paraId="0B5FE94C" w14:textId="77777777" w:rsidR="000260CC" w:rsidRPr="00C866E0" w:rsidRDefault="000260CC" w:rsidP="00726078">
      <w:pPr>
        <w:pStyle w:val="BodyTextMain"/>
        <w:rPr>
          <w:lang w:val="en-GB"/>
        </w:rPr>
      </w:pPr>
    </w:p>
    <w:p w14:paraId="7985C599" w14:textId="77777777" w:rsidR="00726078" w:rsidRPr="00C866E0" w:rsidRDefault="00726078" w:rsidP="00726078">
      <w:pPr>
        <w:pStyle w:val="ExhibitHeading"/>
        <w:rPr>
          <w:lang w:val="en-GB"/>
        </w:rPr>
      </w:pPr>
      <w:r w:rsidRPr="00C866E0">
        <w:rPr>
          <w:lang w:val="en-GB"/>
        </w:rPr>
        <w:br w:type="page"/>
      </w:r>
      <w:r w:rsidRPr="00C866E0">
        <w:rPr>
          <w:noProof/>
          <w:lang w:val="en-CA" w:eastAsia="en-CA"/>
        </w:rPr>
        <w:lastRenderedPageBreak/>
        <w:drawing>
          <wp:anchor distT="0" distB="0" distL="114300" distR="114300" simplePos="0" relativeHeight="251659264" behindDoc="0" locked="0" layoutInCell="1" allowOverlap="1" wp14:anchorId="519D0A9E" wp14:editId="10AD30E2">
            <wp:simplePos x="0" y="0"/>
            <wp:positionH relativeFrom="margin">
              <wp:align>center</wp:align>
            </wp:positionH>
            <wp:positionV relativeFrom="paragraph">
              <wp:posOffset>283210</wp:posOffset>
            </wp:positionV>
            <wp:extent cx="5513832" cy="2176272"/>
            <wp:effectExtent l="0" t="0" r="10795"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Pr="00C866E0">
        <w:rPr>
          <w:lang w:val="en-GB"/>
        </w:rPr>
        <w:t>EXHIBIT 1: OPERATING MODEL OF BOTTLED CARBONATED SOFT DRINKS</w:t>
      </w:r>
    </w:p>
    <w:p w14:paraId="1BFA793E" w14:textId="77777777" w:rsidR="00726078" w:rsidRPr="00C866E0" w:rsidRDefault="00726078" w:rsidP="0087042A">
      <w:pPr>
        <w:pStyle w:val="Footnote"/>
        <w:jc w:val="center"/>
        <w:rPr>
          <w:lang w:val="en-GB"/>
        </w:rPr>
      </w:pPr>
    </w:p>
    <w:p w14:paraId="730A0055" w14:textId="77777777" w:rsidR="00726078" w:rsidRPr="00C866E0" w:rsidRDefault="00726078" w:rsidP="00726078">
      <w:pPr>
        <w:pStyle w:val="Footnote"/>
        <w:rPr>
          <w:lang w:val="en-GB"/>
        </w:rPr>
      </w:pPr>
    </w:p>
    <w:p w14:paraId="61BBC1A6" w14:textId="34CF8FCF" w:rsidR="00726078" w:rsidRPr="00C866E0" w:rsidRDefault="00726078" w:rsidP="00726078">
      <w:pPr>
        <w:pStyle w:val="Footnote"/>
        <w:rPr>
          <w:lang w:val="en-GB"/>
        </w:rPr>
      </w:pPr>
      <w:r w:rsidRPr="00C866E0">
        <w:rPr>
          <w:lang w:val="en-GB"/>
        </w:rPr>
        <w:t xml:space="preserve">Source: </w:t>
      </w:r>
      <w:r w:rsidR="0021590F" w:rsidRPr="00C866E0">
        <w:rPr>
          <w:lang w:val="en-GB"/>
        </w:rPr>
        <w:t xml:space="preserve">Created by </w:t>
      </w:r>
      <w:r w:rsidR="004D00F3" w:rsidRPr="00C866E0">
        <w:rPr>
          <w:lang w:val="en-GB"/>
        </w:rPr>
        <w:t xml:space="preserve">the </w:t>
      </w:r>
      <w:r w:rsidR="0021590F" w:rsidRPr="00C866E0">
        <w:rPr>
          <w:lang w:val="en-GB"/>
        </w:rPr>
        <w:t xml:space="preserve">case authors. </w:t>
      </w:r>
    </w:p>
    <w:p w14:paraId="7B00F869" w14:textId="77777777" w:rsidR="00726078" w:rsidRPr="00C866E0" w:rsidRDefault="00726078" w:rsidP="00726078">
      <w:pPr>
        <w:pStyle w:val="ExhibitHeading"/>
        <w:jc w:val="left"/>
        <w:rPr>
          <w:rFonts w:ascii="Times New Roman" w:hAnsi="Times New Roman" w:cs="Times New Roman"/>
          <w:b w:val="0"/>
          <w:caps w:val="0"/>
          <w:sz w:val="22"/>
          <w:szCs w:val="22"/>
          <w:lang w:val="en-GB"/>
        </w:rPr>
      </w:pPr>
    </w:p>
    <w:p w14:paraId="6F46BEB1" w14:textId="77777777" w:rsidR="00726078" w:rsidRPr="00C866E0" w:rsidRDefault="00726078" w:rsidP="00726078">
      <w:pPr>
        <w:pStyle w:val="ExhibitHeading"/>
        <w:jc w:val="left"/>
        <w:rPr>
          <w:rFonts w:ascii="Times New Roman" w:hAnsi="Times New Roman" w:cs="Times New Roman"/>
          <w:b w:val="0"/>
          <w:caps w:val="0"/>
          <w:sz w:val="22"/>
          <w:szCs w:val="22"/>
          <w:lang w:val="en-GB"/>
        </w:rPr>
      </w:pPr>
    </w:p>
    <w:p w14:paraId="080E7188" w14:textId="0112BF6E" w:rsidR="00726078" w:rsidRPr="00C866E0" w:rsidRDefault="00726078" w:rsidP="00726078">
      <w:pPr>
        <w:pStyle w:val="ExhibitHeading"/>
        <w:rPr>
          <w:lang w:val="en-GB"/>
        </w:rPr>
      </w:pPr>
      <w:r w:rsidRPr="00C866E0">
        <w:rPr>
          <w:lang w:val="en-GB"/>
        </w:rPr>
        <w:t xml:space="preserve">Exhibit 2: PERFORMANCE Values from </w:t>
      </w:r>
      <w:r w:rsidR="0030500C">
        <w:rPr>
          <w:lang w:val="en-GB"/>
        </w:rPr>
        <w:t xml:space="preserve">the </w:t>
      </w:r>
      <w:r w:rsidR="004D00F3" w:rsidRPr="00C866E0">
        <w:rPr>
          <w:lang w:val="en-GB"/>
        </w:rPr>
        <w:t>2016</w:t>
      </w:r>
      <w:r w:rsidRPr="00C866E0">
        <w:rPr>
          <w:lang w:val="en-GB"/>
        </w:rPr>
        <w:t xml:space="preserve"> C</w:t>
      </w:r>
      <w:r w:rsidR="004D00F3" w:rsidRPr="00C866E0">
        <w:rPr>
          <w:lang w:val="en-GB"/>
        </w:rPr>
        <w:t xml:space="preserve">arbonated </w:t>
      </w:r>
      <w:r w:rsidRPr="00C866E0">
        <w:rPr>
          <w:lang w:val="en-GB"/>
        </w:rPr>
        <w:t>S</w:t>
      </w:r>
      <w:r w:rsidR="004D00F3" w:rsidRPr="00C866E0">
        <w:rPr>
          <w:lang w:val="en-GB"/>
        </w:rPr>
        <w:t xml:space="preserve">oft </w:t>
      </w:r>
      <w:r w:rsidRPr="00C866E0">
        <w:rPr>
          <w:lang w:val="en-GB"/>
        </w:rPr>
        <w:t>D</w:t>
      </w:r>
      <w:r w:rsidR="004D00F3" w:rsidRPr="00C866E0">
        <w:rPr>
          <w:lang w:val="en-GB"/>
        </w:rPr>
        <w:t>rink</w:t>
      </w:r>
      <w:r w:rsidRPr="00C866E0">
        <w:rPr>
          <w:lang w:val="en-GB"/>
        </w:rPr>
        <w:t xml:space="preserve"> SECTOR Reports</w:t>
      </w:r>
    </w:p>
    <w:p w14:paraId="2D26312B" w14:textId="77777777" w:rsidR="00726078" w:rsidRPr="00C866E0" w:rsidRDefault="00726078" w:rsidP="00726078">
      <w:pPr>
        <w:pStyle w:val="ExhibitHeading"/>
        <w:rPr>
          <w:lang w:val="en-GB"/>
        </w:rPr>
      </w:pPr>
    </w:p>
    <w:tbl>
      <w:tblPr>
        <w:tblStyle w:val="TableGrid"/>
        <w:tblW w:w="0" w:type="auto"/>
        <w:jc w:val="center"/>
        <w:tblLook w:val="04A0" w:firstRow="1" w:lastRow="0" w:firstColumn="1" w:lastColumn="0" w:noHBand="0" w:noVBand="1"/>
      </w:tblPr>
      <w:tblGrid>
        <w:gridCol w:w="3780"/>
        <w:gridCol w:w="3711"/>
      </w:tblGrid>
      <w:tr w:rsidR="00726078" w:rsidRPr="00C866E0" w14:paraId="287A5E61" w14:textId="77777777" w:rsidTr="00B361A7">
        <w:trPr>
          <w:trHeight w:val="331"/>
          <w:jc w:val="center"/>
        </w:trPr>
        <w:tc>
          <w:tcPr>
            <w:tcW w:w="3780" w:type="dxa"/>
            <w:tcBorders>
              <w:top w:val="single" w:sz="4" w:space="0" w:color="auto"/>
              <w:left w:val="single" w:sz="4" w:space="0" w:color="auto"/>
              <w:bottom w:val="single" w:sz="4" w:space="0" w:color="auto"/>
              <w:right w:val="single" w:sz="4" w:space="0" w:color="auto"/>
            </w:tcBorders>
            <w:vAlign w:val="center"/>
            <w:hideMark/>
          </w:tcPr>
          <w:p w14:paraId="2D391264" w14:textId="77777777" w:rsidR="00726078" w:rsidRPr="00C866E0" w:rsidRDefault="00726078" w:rsidP="00B361A7">
            <w:pPr>
              <w:pStyle w:val="BodyTextMain"/>
              <w:rPr>
                <w:rFonts w:ascii="Arial" w:hAnsi="Arial" w:cs="Arial"/>
                <w:i/>
                <w:sz w:val="20"/>
                <w:szCs w:val="20"/>
                <w:lang w:val="en-GB"/>
              </w:rPr>
            </w:pPr>
            <w:r w:rsidRPr="00C866E0">
              <w:rPr>
                <w:rFonts w:ascii="Arial" w:hAnsi="Arial" w:cs="Arial"/>
                <w:sz w:val="20"/>
                <w:szCs w:val="20"/>
                <w:lang w:val="en-GB"/>
              </w:rPr>
              <w:t>Total Sales in Utopia (Value)</w:t>
            </w:r>
          </w:p>
        </w:tc>
        <w:tc>
          <w:tcPr>
            <w:tcW w:w="3711" w:type="dxa"/>
            <w:tcBorders>
              <w:top w:val="single" w:sz="4" w:space="0" w:color="auto"/>
              <w:left w:val="single" w:sz="4" w:space="0" w:color="auto"/>
              <w:bottom w:val="single" w:sz="4" w:space="0" w:color="auto"/>
              <w:right w:val="single" w:sz="4" w:space="0" w:color="auto"/>
            </w:tcBorders>
            <w:vAlign w:val="center"/>
            <w:hideMark/>
          </w:tcPr>
          <w:p w14:paraId="01836305" w14:textId="190A0B96" w:rsidR="00726078" w:rsidRPr="00C866E0" w:rsidRDefault="00726078">
            <w:pPr>
              <w:pStyle w:val="BodyTextMain"/>
              <w:jc w:val="right"/>
              <w:rPr>
                <w:rFonts w:ascii="Arial" w:hAnsi="Arial" w:cs="Arial"/>
                <w:sz w:val="20"/>
                <w:szCs w:val="20"/>
                <w:lang w:val="en-GB"/>
              </w:rPr>
            </w:pPr>
            <w:r w:rsidRPr="00C866E0">
              <w:rPr>
                <w:rFonts w:ascii="Arial" w:hAnsi="Arial" w:cs="Arial"/>
                <w:sz w:val="20"/>
                <w:szCs w:val="20"/>
                <w:lang w:val="en-GB"/>
              </w:rPr>
              <w:t xml:space="preserve">$45 </w:t>
            </w:r>
            <w:r w:rsidR="00624FD3">
              <w:rPr>
                <w:rFonts w:ascii="Arial" w:hAnsi="Arial" w:cs="Arial"/>
                <w:sz w:val="20"/>
                <w:szCs w:val="20"/>
                <w:lang w:val="en-GB"/>
              </w:rPr>
              <w:t>b</w:t>
            </w:r>
            <w:r w:rsidRPr="00C866E0">
              <w:rPr>
                <w:rFonts w:ascii="Arial" w:hAnsi="Arial" w:cs="Arial"/>
                <w:sz w:val="20"/>
                <w:szCs w:val="20"/>
                <w:lang w:val="en-GB"/>
              </w:rPr>
              <w:t>illion</w:t>
            </w:r>
          </w:p>
        </w:tc>
      </w:tr>
      <w:tr w:rsidR="00726078" w:rsidRPr="00C866E0" w14:paraId="58C05303" w14:textId="77777777" w:rsidTr="00B361A7">
        <w:trPr>
          <w:trHeight w:val="331"/>
          <w:jc w:val="center"/>
        </w:trPr>
        <w:tc>
          <w:tcPr>
            <w:tcW w:w="3780" w:type="dxa"/>
            <w:tcBorders>
              <w:top w:val="single" w:sz="4" w:space="0" w:color="auto"/>
              <w:left w:val="single" w:sz="4" w:space="0" w:color="auto"/>
              <w:bottom w:val="single" w:sz="4" w:space="0" w:color="auto"/>
              <w:right w:val="single" w:sz="4" w:space="0" w:color="auto"/>
            </w:tcBorders>
            <w:vAlign w:val="center"/>
            <w:hideMark/>
          </w:tcPr>
          <w:p w14:paraId="7983857B" w14:textId="1298493D" w:rsidR="00726078" w:rsidRPr="00C866E0" w:rsidRDefault="00726078" w:rsidP="00E16A84">
            <w:pPr>
              <w:pStyle w:val="BodyTextMain"/>
              <w:rPr>
                <w:rFonts w:ascii="Arial" w:hAnsi="Arial" w:cs="Arial"/>
                <w:sz w:val="20"/>
                <w:szCs w:val="20"/>
                <w:lang w:val="en-GB"/>
              </w:rPr>
            </w:pPr>
            <w:r w:rsidRPr="00C866E0">
              <w:rPr>
                <w:rFonts w:ascii="Arial" w:hAnsi="Arial" w:cs="Arial"/>
                <w:sz w:val="20"/>
                <w:szCs w:val="20"/>
                <w:lang w:val="en-GB"/>
              </w:rPr>
              <w:t>Total Volume Sold (in Litres)</w:t>
            </w:r>
          </w:p>
        </w:tc>
        <w:tc>
          <w:tcPr>
            <w:tcW w:w="3711" w:type="dxa"/>
            <w:tcBorders>
              <w:top w:val="single" w:sz="4" w:space="0" w:color="auto"/>
              <w:left w:val="single" w:sz="4" w:space="0" w:color="auto"/>
              <w:bottom w:val="single" w:sz="4" w:space="0" w:color="auto"/>
              <w:right w:val="single" w:sz="4" w:space="0" w:color="auto"/>
            </w:tcBorders>
            <w:vAlign w:val="center"/>
            <w:hideMark/>
          </w:tcPr>
          <w:p w14:paraId="45A4A7A6" w14:textId="316B435F" w:rsidR="00726078" w:rsidRPr="00C866E0" w:rsidRDefault="00726078">
            <w:pPr>
              <w:pStyle w:val="BodyTextMain"/>
              <w:jc w:val="right"/>
              <w:rPr>
                <w:rFonts w:ascii="Arial" w:hAnsi="Arial" w:cs="Arial"/>
                <w:sz w:val="20"/>
                <w:szCs w:val="20"/>
                <w:lang w:val="en-GB"/>
              </w:rPr>
            </w:pPr>
            <w:r w:rsidRPr="00C866E0">
              <w:rPr>
                <w:rFonts w:ascii="Arial" w:hAnsi="Arial" w:cs="Arial"/>
                <w:sz w:val="20"/>
                <w:szCs w:val="20"/>
                <w:lang w:val="en-GB"/>
              </w:rPr>
              <w:t xml:space="preserve">5 </w:t>
            </w:r>
            <w:r w:rsidR="00624FD3">
              <w:rPr>
                <w:rFonts w:ascii="Arial" w:hAnsi="Arial" w:cs="Arial"/>
                <w:sz w:val="20"/>
                <w:szCs w:val="20"/>
                <w:lang w:val="en-GB"/>
              </w:rPr>
              <w:t>b</w:t>
            </w:r>
            <w:r w:rsidRPr="00C866E0">
              <w:rPr>
                <w:rFonts w:ascii="Arial" w:hAnsi="Arial" w:cs="Arial"/>
                <w:sz w:val="20"/>
                <w:szCs w:val="20"/>
                <w:lang w:val="en-GB"/>
              </w:rPr>
              <w:t>illion</w:t>
            </w:r>
          </w:p>
        </w:tc>
      </w:tr>
      <w:tr w:rsidR="00726078" w:rsidRPr="00C866E0" w14:paraId="5C4F4C40" w14:textId="77777777" w:rsidTr="00B361A7">
        <w:trPr>
          <w:trHeight w:val="331"/>
          <w:jc w:val="center"/>
        </w:trPr>
        <w:tc>
          <w:tcPr>
            <w:tcW w:w="3780" w:type="dxa"/>
            <w:tcBorders>
              <w:top w:val="single" w:sz="4" w:space="0" w:color="auto"/>
              <w:left w:val="single" w:sz="4" w:space="0" w:color="auto"/>
              <w:bottom w:val="single" w:sz="4" w:space="0" w:color="auto"/>
              <w:right w:val="single" w:sz="4" w:space="0" w:color="auto"/>
            </w:tcBorders>
            <w:vAlign w:val="center"/>
          </w:tcPr>
          <w:p w14:paraId="653D6D68" w14:textId="773E5DD5" w:rsidR="00726078" w:rsidRPr="00C866E0" w:rsidRDefault="00726078" w:rsidP="00E16A84">
            <w:pPr>
              <w:pStyle w:val="BodyTextMain"/>
              <w:rPr>
                <w:rFonts w:ascii="Arial" w:hAnsi="Arial" w:cs="Arial"/>
                <w:sz w:val="20"/>
                <w:szCs w:val="20"/>
                <w:lang w:val="en-GB"/>
              </w:rPr>
            </w:pPr>
            <w:r w:rsidRPr="00C866E0">
              <w:rPr>
                <w:rFonts w:ascii="Arial" w:hAnsi="Arial" w:cs="Arial"/>
                <w:sz w:val="20"/>
                <w:szCs w:val="20"/>
                <w:lang w:val="en-GB"/>
              </w:rPr>
              <w:t>Market Share of Carbon Cola</w:t>
            </w:r>
          </w:p>
        </w:tc>
        <w:tc>
          <w:tcPr>
            <w:tcW w:w="3711" w:type="dxa"/>
            <w:tcBorders>
              <w:top w:val="single" w:sz="4" w:space="0" w:color="auto"/>
              <w:left w:val="single" w:sz="4" w:space="0" w:color="auto"/>
              <w:bottom w:val="single" w:sz="4" w:space="0" w:color="auto"/>
              <w:right w:val="single" w:sz="4" w:space="0" w:color="auto"/>
            </w:tcBorders>
            <w:vAlign w:val="center"/>
          </w:tcPr>
          <w:p w14:paraId="009B2E63" w14:textId="77777777" w:rsidR="00726078" w:rsidRPr="00C866E0" w:rsidRDefault="00726078" w:rsidP="00726078">
            <w:pPr>
              <w:pStyle w:val="BodyTextMain"/>
              <w:jc w:val="right"/>
              <w:rPr>
                <w:rFonts w:ascii="Arial" w:hAnsi="Arial" w:cs="Arial"/>
                <w:sz w:val="20"/>
                <w:szCs w:val="20"/>
                <w:lang w:val="en-GB"/>
              </w:rPr>
            </w:pPr>
            <w:r w:rsidRPr="00C866E0">
              <w:rPr>
                <w:rFonts w:ascii="Arial" w:hAnsi="Arial" w:cs="Arial"/>
                <w:sz w:val="20"/>
                <w:szCs w:val="20"/>
                <w:lang w:val="en-GB"/>
              </w:rPr>
              <w:t>50%</w:t>
            </w:r>
          </w:p>
        </w:tc>
      </w:tr>
      <w:tr w:rsidR="00726078" w:rsidRPr="00C866E0" w14:paraId="591E1FB1" w14:textId="77777777" w:rsidTr="00B361A7">
        <w:trPr>
          <w:trHeight w:val="331"/>
          <w:jc w:val="center"/>
        </w:trPr>
        <w:tc>
          <w:tcPr>
            <w:tcW w:w="3780" w:type="dxa"/>
            <w:tcBorders>
              <w:top w:val="single" w:sz="4" w:space="0" w:color="auto"/>
              <w:left w:val="single" w:sz="4" w:space="0" w:color="auto"/>
              <w:bottom w:val="single" w:sz="4" w:space="0" w:color="auto"/>
              <w:right w:val="single" w:sz="4" w:space="0" w:color="auto"/>
            </w:tcBorders>
            <w:vAlign w:val="center"/>
          </w:tcPr>
          <w:p w14:paraId="692D2D9B" w14:textId="2EA2A8D2" w:rsidR="00726078" w:rsidRPr="00C866E0" w:rsidRDefault="00726078" w:rsidP="004D00F3">
            <w:pPr>
              <w:pStyle w:val="BodyTextMain"/>
              <w:rPr>
                <w:rFonts w:ascii="Arial" w:hAnsi="Arial" w:cs="Arial"/>
                <w:sz w:val="20"/>
                <w:szCs w:val="20"/>
                <w:lang w:val="en-GB"/>
              </w:rPr>
            </w:pPr>
            <w:r w:rsidRPr="00C866E0">
              <w:rPr>
                <w:rFonts w:ascii="Arial" w:hAnsi="Arial" w:cs="Arial"/>
                <w:sz w:val="20"/>
                <w:szCs w:val="20"/>
                <w:lang w:val="en-GB"/>
              </w:rPr>
              <w:t xml:space="preserve">Market </w:t>
            </w:r>
            <w:r w:rsidR="004D00F3" w:rsidRPr="00C866E0">
              <w:rPr>
                <w:rFonts w:ascii="Arial" w:hAnsi="Arial" w:cs="Arial"/>
                <w:sz w:val="20"/>
                <w:szCs w:val="20"/>
                <w:lang w:val="en-GB"/>
              </w:rPr>
              <w:t>S</w:t>
            </w:r>
            <w:r w:rsidRPr="00C866E0">
              <w:rPr>
                <w:rFonts w:ascii="Arial" w:hAnsi="Arial" w:cs="Arial"/>
                <w:sz w:val="20"/>
                <w:szCs w:val="20"/>
                <w:lang w:val="en-GB"/>
              </w:rPr>
              <w:t>hare of Thunder Cola</w:t>
            </w:r>
          </w:p>
        </w:tc>
        <w:tc>
          <w:tcPr>
            <w:tcW w:w="3711" w:type="dxa"/>
            <w:tcBorders>
              <w:top w:val="single" w:sz="4" w:space="0" w:color="auto"/>
              <w:left w:val="single" w:sz="4" w:space="0" w:color="auto"/>
              <w:bottom w:val="single" w:sz="4" w:space="0" w:color="auto"/>
              <w:right w:val="single" w:sz="4" w:space="0" w:color="auto"/>
            </w:tcBorders>
            <w:vAlign w:val="center"/>
          </w:tcPr>
          <w:p w14:paraId="053B905E" w14:textId="77777777" w:rsidR="00726078" w:rsidRPr="00C866E0" w:rsidRDefault="00726078" w:rsidP="00726078">
            <w:pPr>
              <w:pStyle w:val="BodyTextMain"/>
              <w:jc w:val="right"/>
              <w:rPr>
                <w:rFonts w:ascii="Arial" w:hAnsi="Arial" w:cs="Arial"/>
                <w:sz w:val="20"/>
                <w:szCs w:val="20"/>
                <w:lang w:val="en-GB"/>
              </w:rPr>
            </w:pPr>
            <w:r w:rsidRPr="00C866E0">
              <w:rPr>
                <w:rFonts w:ascii="Arial" w:hAnsi="Arial" w:cs="Arial"/>
                <w:sz w:val="20"/>
                <w:szCs w:val="20"/>
                <w:lang w:val="en-GB"/>
              </w:rPr>
              <w:t>50%</w:t>
            </w:r>
          </w:p>
        </w:tc>
      </w:tr>
      <w:tr w:rsidR="00726078" w:rsidRPr="00C866E0" w14:paraId="41CE1C4D" w14:textId="77777777" w:rsidTr="00B361A7">
        <w:trPr>
          <w:trHeight w:val="331"/>
          <w:jc w:val="center"/>
        </w:trPr>
        <w:tc>
          <w:tcPr>
            <w:tcW w:w="3780" w:type="dxa"/>
            <w:tcBorders>
              <w:top w:val="single" w:sz="4" w:space="0" w:color="auto"/>
              <w:left w:val="single" w:sz="4" w:space="0" w:color="auto"/>
              <w:bottom w:val="single" w:sz="4" w:space="0" w:color="auto"/>
              <w:right w:val="single" w:sz="4" w:space="0" w:color="auto"/>
            </w:tcBorders>
            <w:vAlign w:val="center"/>
          </w:tcPr>
          <w:p w14:paraId="73B2B652" w14:textId="15E825C6" w:rsidR="00726078" w:rsidRPr="00C866E0" w:rsidRDefault="00726078" w:rsidP="004D00F3">
            <w:pPr>
              <w:pStyle w:val="BodyTextMain"/>
              <w:rPr>
                <w:rFonts w:ascii="Arial" w:hAnsi="Arial" w:cs="Arial"/>
                <w:sz w:val="20"/>
                <w:szCs w:val="20"/>
                <w:lang w:val="en-GB"/>
              </w:rPr>
            </w:pPr>
            <w:r w:rsidRPr="00C866E0">
              <w:rPr>
                <w:rFonts w:ascii="Arial" w:hAnsi="Arial" w:cs="Arial"/>
                <w:sz w:val="20"/>
                <w:szCs w:val="20"/>
                <w:lang w:val="en-GB"/>
              </w:rPr>
              <w:t xml:space="preserve">Expected </w:t>
            </w:r>
            <w:r w:rsidR="004D00F3" w:rsidRPr="00C866E0">
              <w:rPr>
                <w:rFonts w:ascii="Arial" w:hAnsi="Arial" w:cs="Arial"/>
                <w:sz w:val="20"/>
                <w:szCs w:val="20"/>
                <w:lang w:val="en-GB"/>
              </w:rPr>
              <w:t>G</w:t>
            </w:r>
            <w:r w:rsidRPr="00C866E0">
              <w:rPr>
                <w:rFonts w:ascii="Arial" w:hAnsi="Arial" w:cs="Arial"/>
                <w:sz w:val="20"/>
                <w:szCs w:val="20"/>
                <w:lang w:val="en-GB"/>
              </w:rPr>
              <w:t xml:space="preserve">rowth </w:t>
            </w:r>
            <w:r w:rsidR="004D00F3" w:rsidRPr="00C866E0">
              <w:rPr>
                <w:rFonts w:ascii="Arial" w:hAnsi="Arial" w:cs="Arial"/>
                <w:sz w:val="20"/>
                <w:szCs w:val="20"/>
                <w:lang w:val="en-GB"/>
              </w:rPr>
              <w:t>R</w:t>
            </w:r>
            <w:r w:rsidRPr="00C866E0">
              <w:rPr>
                <w:rFonts w:ascii="Arial" w:hAnsi="Arial" w:cs="Arial"/>
                <w:sz w:val="20"/>
                <w:szCs w:val="20"/>
                <w:lang w:val="en-GB"/>
              </w:rPr>
              <w:t xml:space="preserve">ate </w:t>
            </w:r>
          </w:p>
        </w:tc>
        <w:tc>
          <w:tcPr>
            <w:tcW w:w="3711" w:type="dxa"/>
            <w:tcBorders>
              <w:top w:val="single" w:sz="4" w:space="0" w:color="auto"/>
              <w:left w:val="single" w:sz="4" w:space="0" w:color="auto"/>
              <w:bottom w:val="single" w:sz="4" w:space="0" w:color="auto"/>
              <w:right w:val="single" w:sz="4" w:space="0" w:color="auto"/>
            </w:tcBorders>
            <w:vAlign w:val="center"/>
          </w:tcPr>
          <w:p w14:paraId="2A094CA5" w14:textId="3F6B3560" w:rsidR="00726078" w:rsidRPr="00C866E0" w:rsidRDefault="00726078" w:rsidP="00B06945">
            <w:pPr>
              <w:pStyle w:val="BodyTextMain"/>
              <w:jc w:val="right"/>
              <w:rPr>
                <w:rFonts w:ascii="Arial" w:hAnsi="Arial" w:cs="Arial"/>
                <w:sz w:val="20"/>
                <w:szCs w:val="20"/>
                <w:lang w:val="en-GB"/>
              </w:rPr>
            </w:pPr>
            <w:r w:rsidRPr="00C866E0">
              <w:rPr>
                <w:rFonts w:ascii="Arial" w:hAnsi="Arial" w:cs="Arial"/>
                <w:sz w:val="20"/>
                <w:szCs w:val="20"/>
                <w:lang w:val="en-GB"/>
              </w:rPr>
              <w:t>5% (</w:t>
            </w:r>
            <w:r w:rsidR="004D00F3" w:rsidRPr="00C866E0">
              <w:rPr>
                <w:rFonts w:ascii="Arial" w:hAnsi="Arial" w:cs="Arial"/>
                <w:sz w:val="20"/>
                <w:szCs w:val="20"/>
                <w:lang w:val="en-GB"/>
              </w:rPr>
              <w:t>V</w:t>
            </w:r>
            <w:r w:rsidRPr="00C866E0">
              <w:rPr>
                <w:rFonts w:ascii="Arial" w:hAnsi="Arial" w:cs="Arial"/>
                <w:sz w:val="20"/>
                <w:szCs w:val="20"/>
                <w:lang w:val="en-GB"/>
              </w:rPr>
              <w:t xml:space="preserve">olume </w:t>
            </w:r>
            <w:r w:rsidR="004D00F3" w:rsidRPr="00C866E0">
              <w:rPr>
                <w:rFonts w:ascii="Arial" w:hAnsi="Arial" w:cs="Arial"/>
                <w:sz w:val="20"/>
                <w:szCs w:val="20"/>
                <w:lang w:val="en-GB"/>
              </w:rPr>
              <w:t>T</w:t>
            </w:r>
            <w:r w:rsidRPr="00C866E0">
              <w:rPr>
                <w:rFonts w:ascii="Arial" w:hAnsi="Arial" w:cs="Arial"/>
                <w:sz w:val="20"/>
                <w:szCs w:val="20"/>
                <w:lang w:val="en-GB"/>
              </w:rPr>
              <w:t>erms)</w:t>
            </w:r>
          </w:p>
        </w:tc>
      </w:tr>
    </w:tbl>
    <w:p w14:paraId="1B207EF5" w14:textId="77777777" w:rsidR="00726078" w:rsidRPr="00C866E0" w:rsidRDefault="00726078" w:rsidP="00726078">
      <w:pPr>
        <w:pStyle w:val="BodyTextMain"/>
        <w:rPr>
          <w:sz w:val="17"/>
          <w:szCs w:val="17"/>
          <w:lang w:val="en-GB"/>
        </w:rPr>
      </w:pPr>
    </w:p>
    <w:p w14:paraId="30880D0B" w14:textId="19CCBD36" w:rsidR="00726078" w:rsidRPr="00C866E0" w:rsidRDefault="00726078" w:rsidP="0021590F">
      <w:pPr>
        <w:pStyle w:val="Footnote"/>
        <w:rPr>
          <w:lang w:val="en-GB"/>
        </w:rPr>
      </w:pPr>
      <w:bookmarkStart w:id="0" w:name="_GoBack"/>
      <w:bookmarkEnd w:id="0"/>
      <w:r w:rsidRPr="00C866E0">
        <w:rPr>
          <w:lang w:val="en-GB"/>
        </w:rPr>
        <w:t>Source:</w:t>
      </w:r>
      <w:r w:rsidR="0021590F" w:rsidRPr="00C866E0">
        <w:rPr>
          <w:lang w:val="en-GB"/>
        </w:rPr>
        <w:t xml:space="preserve"> Created by </w:t>
      </w:r>
      <w:r w:rsidR="004D00F3" w:rsidRPr="00C866E0">
        <w:rPr>
          <w:lang w:val="en-GB"/>
        </w:rPr>
        <w:t xml:space="preserve">the </w:t>
      </w:r>
      <w:r w:rsidR="0021590F" w:rsidRPr="00C866E0">
        <w:rPr>
          <w:lang w:val="en-GB"/>
        </w:rPr>
        <w:t>case authors.</w:t>
      </w:r>
    </w:p>
    <w:p w14:paraId="6E691D7C" w14:textId="77777777" w:rsidR="003B7EF2" w:rsidRPr="00C866E0" w:rsidRDefault="003B7EF2" w:rsidP="00726078">
      <w:pPr>
        <w:pStyle w:val="Footnote"/>
        <w:rPr>
          <w:lang w:val="en-GB"/>
        </w:rPr>
      </w:pPr>
    </w:p>
    <w:sectPr w:rsidR="003B7EF2" w:rsidRPr="00C866E0" w:rsidSect="00EB5410">
      <w:headerReference w:type="default" r:id="rId16"/>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11ACB" w14:textId="77777777" w:rsidR="004D4670" w:rsidRDefault="004D4670" w:rsidP="00D75295">
      <w:r>
        <w:separator/>
      </w:r>
    </w:p>
  </w:endnote>
  <w:endnote w:type="continuationSeparator" w:id="0">
    <w:p w14:paraId="1A91416B" w14:textId="77777777" w:rsidR="004D4670" w:rsidRDefault="004D467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58ABE" w14:textId="77777777" w:rsidR="004D4670" w:rsidRDefault="004D4670" w:rsidP="00D75295">
      <w:r>
        <w:separator/>
      </w:r>
    </w:p>
  </w:footnote>
  <w:footnote w:type="continuationSeparator" w:id="0">
    <w:p w14:paraId="26C731E8" w14:textId="77777777" w:rsidR="004D4670" w:rsidRDefault="004D4670" w:rsidP="00D75295">
      <w:r>
        <w:continuationSeparator/>
      </w:r>
    </w:p>
  </w:footnote>
  <w:footnote w:id="1">
    <w:p w14:paraId="0E6531AB" w14:textId="73F33EF7" w:rsidR="0030500C" w:rsidRDefault="0030500C" w:rsidP="00B238F7">
      <w:pPr>
        <w:pStyle w:val="Footnote"/>
      </w:pPr>
      <w:r>
        <w:rPr>
          <w:rStyle w:val="FootnoteReference"/>
        </w:rPr>
        <w:footnoteRef/>
      </w:r>
      <w:r>
        <w:t xml:space="preserve"> B2B referr</w:t>
      </w:r>
      <w:r w:rsidR="004B7E15">
        <w:t xml:space="preserve">ed to transactions </w:t>
      </w:r>
      <w:r>
        <w:t xml:space="preserve">between businesses/companies, rather than between a company and the final consumers. A B2B partnership could involve a manufacturer and a wholesaler or a wholesaler and a retailer. Strong B2B partnerships were the result of a mutual understanding among various businesses as they helped each other achieve profitable growth. </w:t>
      </w:r>
    </w:p>
  </w:footnote>
  <w:footnote w:id="2">
    <w:p w14:paraId="5B2F26D1" w14:textId="66A35E63" w:rsidR="0030500C" w:rsidRPr="00B238F7" w:rsidRDefault="0030500C">
      <w:pPr>
        <w:pStyle w:val="FootnoteText"/>
        <w:rPr>
          <w:lang w:val="en-CA"/>
        </w:rPr>
      </w:pPr>
      <w:r w:rsidRPr="004B7E15">
        <w:rPr>
          <w:rStyle w:val="FootnoteReference"/>
          <w:rFonts w:ascii="Arial" w:hAnsi="Arial" w:cs="Arial"/>
          <w:sz w:val="17"/>
          <w:szCs w:val="17"/>
        </w:rPr>
        <w:footnoteRef/>
      </w:r>
      <w:r>
        <w:t xml:space="preserve"> </w:t>
      </w:r>
      <w:r w:rsidRPr="00B238F7">
        <w:rPr>
          <w:rStyle w:val="FootnoteChar"/>
        </w:rPr>
        <w:t xml:space="preserve">Utopia </w:t>
      </w:r>
      <w:r>
        <w:rPr>
          <w:rStyle w:val="FootnoteChar"/>
        </w:rPr>
        <w:t>was</w:t>
      </w:r>
      <w:r w:rsidRPr="00B238F7">
        <w:rPr>
          <w:rStyle w:val="FootnoteChar"/>
        </w:rPr>
        <w:t xml:space="preserve"> an imaginary place where people consume</w:t>
      </w:r>
      <w:r>
        <w:rPr>
          <w:rStyle w:val="FootnoteChar"/>
        </w:rPr>
        <w:t>d</w:t>
      </w:r>
      <w:r w:rsidRPr="00B238F7">
        <w:rPr>
          <w:rStyle w:val="FootnoteChar"/>
        </w:rPr>
        <w:t xml:space="preserve"> CSDs on a regular basis.</w:t>
      </w:r>
    </w:p>
  </w:footnote>
  <w:footnote w:id="3">
    <w:p w14:paraId="428B2A19" w14:textId="7CEC9ED2" w:rsidR="0030500C" w:rsidRDefault="0030500C" w:rsidP="002F6E10">
      <w:pPr>
        <w:pStyle w:val="Footnote"/>
      </w:pPr>
      <w:r>
        <w:rPr>
          <w:rStyle w:val="FootnoteReference"/>
        </w:rPr>
        <w:footnoteRef/>
      </w:r>
      <w:r>
        <w:t xml:space="preserve"> The one-</w:t>
      </w:r>
      <w:proofErr w:type="spellStart"/>
      <w:r>
        <w:t>litre</w:t>
      </w:r>
      <w:proofErr w:type="spellEnd"/>
      <w:r>
        <w:t xml:space="preserve"> plastic bottles were made from p</w:t>
      </w:r>
      <w:r w:rsidRPr="00AF2712">
        <w:t xml:space="preserve">olyethylene </w:t>
      </w:r>
      <w:r>
        <w:t>t</w:t>
      </w:r>
      <w:r w:rsidRPr="00AF2712">
        <w:t>erephthalate</w:t>
      </w:r>
      <w:r>
        <w:t xml:space="preserve"> commonly known as PET, which could be recycled and was widely used as packaging solution for carbonated beverages. </w:t>
      </w:r>
    </w:p>
  </w:footnote>
  <w:footnote w:id="4">
    <w:p w14:paraId="24005B7F" w14:textId="750F2A4B" w:rsidR="0030500C" w:rsidRPr="007E3C1B" w:rsidRDefault="0030500C" w:rsidP="007E3C1B">
      <w:pPr>
        <w:pStyle w:val="Footnote"/>
      </w:pPr>
      <w:r w:rsidRPr="007E3C1B">
        <w:rPr>
          <w:vertAlign w:val="superscript"/>
        </w:rPr>
        <w:t>4</w:t>
      </w:r>
      <w:r w:rsidRPr="007E3C1B">
        <w:t xml:space="preserve"> </w:t>
      </w:r>
      <w:r w:rsidR="004B7E15">
        <w:t>All currency amounts are</w:t>
      </w:r>
      <w:r>
        <w:t xml:space="preserve"> in</w:t>
      </w:r>
      <w:r w:rsidRPr="007E3C1B">
        <w:t xml:space="preserve"> U.S. </w:t>
      </w:r>
      <w:r>
        <w:t>d</w:t>
      </w:r>
      <w:r w:rsidRPr="007E3C1B">
        <w:t>ollar</w:t>
      </w:r>
      <w:r w:rsidR="004B7E15">
        <w:t>s</w:t>
      </w:r>
      <w:r>
        <w:t xml:space="preserve"> unless otherwise specified.</w:t>
      </w:r>
    </w:p>
  </w:footnote>
  <w:footnote w:id="5">
    <w:p w14:paraId="0B69676C" w14:textId="5960C091" w:rsidR="0030500C" w:rsidRPr="008471DF" w:rsidRDefault="0030500C" w:rsidP="007E3C1B">
      <w:pPr>
        <w:pStyle w:val="Footnote"/>
      </w:pPr>
      <w:r>
        <w:rPr>
          <w:rStyle w:val="FootnoteReference"/>
        </w:rPr>
        <w:footnoteRef/>
      </w:r>
      <w:r>
        <w:t xml:space="preserve"> Nicole Fry and Hana Kim, </w:t>
      </w:r>
      <w:r>
        <w:rPr>
          <w:i/>
        </w:rPr>
        <w:t>The Evolving Non-Alcoholic Beverage Landscape</w:t>
      </w:r>
      <w:r>
        <w:t xml:space="preserve"> (Los Angeles, CA: First Beverage Group, March 2015), accessed June 19, 2017, </w:t>
      </w:r>
      <w:r w:rsidRPr="00726078">
        <w:t>www.firstbev.com/wordpress/wp-content/uploads/2015/03/FBG_Non-Alc-White-Paper_March-2015.pdf</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A63AD" w14:textId="586E8731" w:rsidR="0030500C" w:rsidRDefault="0030500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425F4">
      <w:rPr>
        <w:rFonts w:ascii="Arial" w:hAnsi="Arial"/>
        <w:b/>
        <w:noProof/>
      </w:rPr>
      <w:t>4</w:t>
    </w:r>
    <w:r>
      <w:rPr>
        <w:rFonts w:ascii="Arial" w:hAnsi="Arial"/>
        <w:b/>
      </w:rPr>
      <w:fldChar w:fldCharType="end"/>
    </w:r>
    <w:r>
      <w:rPr>
        <w:rFonts w:ascii="Arial" w:hAnsi="Arial"/>
        <w:b/>
      </w:rPr>
      <w:tab/>
    </w:r>
    <w:r w:rsidR="0046347E">
      <w:rPr>
        <w:rFonts w:ascii="Arial" w:hAnsi="Arial"/>
        <w:b/>
      </w:rPr>
      <w:t>9B17M120</w:t>
    </w:r>
  </w:p>
  <w:p w14:paraId="354EA6D6" w14:textId="77777777" w:rsidR="0030500C" w:rsidRPr="00C92CC4" w:rsidRDefault="0030500C">
    <w:pPr>
      <w:pStyle w:val="Header"/>
      <w:rPr>
        <w:sz w:val="18"/>
        <w:szCs w:val="18"/>
      </w:rPr>
    </w:pPr>
  </w:p>
  <w:p w14:paraId="2563220E" w14:textId="77777777" w:rsidR="0030500C" w:rsidRPr="00C92CC4" w:rsidRDefault="0030500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43E3B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3B4FAD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C0886E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91EA0D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26ACA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C65CF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E40E7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090AD7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CD0F1D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248A3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FCCF7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14A71"/>
    <w:multiLevelType w:val="hybridMultilevel"/>
    <w:tmpl w:val="41667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A3838"/>
    <w:multiLevelType w:val="hybridMultilevel"/>
    <w:tmpl w:val="6B54F2E0"/>
    <w:lvl w:ilvl="0" w:tplc="06E01348">
      <w:start w:val="1"/>
      <w:numFmt w:val="bullet"/>
      <w:lvlText w:val=""/>
      <w:lvlJc w:val="left"/>
      <w:pPr>
        <w:ind w:left="360" w:hanging="360"/>
      </w:pPr>
      <w:rPr>
        <w:rFonts w:ascii="Symbol" w:hAnsi="Symbol" w:hint="default"/>
        <w:sz w:val="20"/>
        <w:szCs w:val="2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1"/>
  </w:num>
  <w:num w:numId="13">
    <w:abstractNumId w:val="14"/>
  </w:num>
  <w:num w:numId="14">
    <w:abstractNumId w:val="22"/>
  </w:num>
  <w:num w:numId="15">
    <w:abstractNumId w:val="23"/>
  </w:num>
  <w:num w:numId="16">
    <w:abstractNumId w:val="24"/>
  </w:num>
  <w:num w:numId="17">
    <w:abstractNumId w:val="17"/>
  </w:num>
  <w:num w:numId="18">
    <w:abstractNumId w:val="25"/>
  </w:num>
  <w:num w:numId="19">
    <w:abstractNumId w:val="13"/>
  </w:num>
  <w:num w:numId="20">
    <w:abstractNumId w:val="12"/>
  </w:num>
  <w:num w:numId="21">
    <w:abstractNumId w:val="26"/>
  </w:num>
  <w:num w:numId="22">
    <w:abstractNumId w:val="20"/>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18"/>
  </w:num>
  <w:num w:numId="29">
    <w:abstractNumId w:val="1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29B3"/>
    <w:rsid w:val="00025DC7"/>
    <w:rsid w:val="000260CC"/>
    <w:rsid w:val="00026486"/>
    <w:rsid w:val="00044ECC"/>
    <w:rsid w:val="000531D3"/>
    <w:rsid w:val="0005646B"/>
    <w:rsid w:val="0007559A"/>
    <w:rsid w:val="0008102D"/>
    <w:rsid w:val="0008263F"/>
    <w:rsid w:val="0009041D"/>
    <w:rsid w:val="00094C0E"/>
    <w:rsid w:val="000F0C22"/>
    <w:rsid w:val="000F6B09"/>
    <w:rsid w:val="000F6FDC"/>
    <w:rsid w:val="00104567"/>
    <w:rsid w:val="00105B36"/>
    <w:rsid w:val="0012732D"/>
    <w:rsid w:val="00134324"/>
    <w:rsid w:val="00154FC9"/>
    <w:rsid w:val="00157F83"/>
    <w:rsid w:val="0017531D"/>
    <w:rsid w:val="0019241A"/>
    <w:rsid w:val="001A5335"/>
    <w:rsid w:val="001A7109"/>
    <w:rsid w:val="001A752D"/>
    <w:rsid w:val="001C2083"/>
    <w:rsid w:val="001D7BDE"/>
    <w:rsid w:val="001E6786"/>
    <w:rsid w:val="001E786B"/>
    <w:rsid w:val="001F5E0C"/>
    <w:rsid w:val="00203AA1"/>
    <w:rsid w:val="00212BF7"/>
    <w:rsid w:val="00213E98"/>
    <w:rsid w:val="0021590F"/>
    <w:rsid w:val="002818AE"/>
    <w:rsid w:val="002E32F0"/>
    <w:rsid w:val="002F460C"/>
    <w:rsid w:val="002F48D6"/>
    <w:rsid w:val="002F6E10"/>
    <w:rsid w:val="0030500C"/>
    <w:rsid w:val="00330F94"/>
    <w:rsid w:val="00343565"/>
    <w:rsid w:val="00343C26"/>
    <w:rsid w:val="00354899"/>
    <w:rsid w:val="00355FD6"/>
    <w:rsid w:val="00361C8E"/>
    <w:rsid w:val="00364A5C"/>
    <w:rsid w:val="00373FB1"/>
    <w:rsid w:val="00381169"/>
    <w:rsid w:val="003A019A"/>
    <w:rsid w:val="003B30D8"/>
    <w:rsid w:val="003B7EF2"/>
    <w:rsid w:val="003C3FA4"/>
    <w:rsid w:val="003F2B0C"/>
    <w:rsid w:val="004009E8"/>
    <w:rsid w:val="004221E4"/>
    <w:rsid w:val="00433282"/>
    <w:rsid w:val="00455032"/>
    <w:rsid w:val="004563F6"/>
    <w:rsid w:val="0046347E"/>
    <w:rsid w:val="004678E1"/>
    <w:rsid w:val="00471088"/>
    <w:rsid w:val="00483AF9"/>
    <w:rsid w:val="004B1CCB"/>
    <w:rsid w:val="004B4E09"/>
    <w:rsid w:val="004B7E15"/>
    <w:rsid w:val="004D00F3"/>
    <w:rsid w:val="004D4670"/>
    <w:rsid w:val="004D73A5"/>
    <w:rsid w:val="00527528"/>
    <w:rsid w:val="00531887"/>
    <w:rsid w:val="00532CF5"/>
    <w:rsid w:val="005528CB"/>
    <w:rsid w:val="00566771"/>
    <w:rsid w:val="0057734B"/>
    <w:rsid w:val="00580662"/>
    <w:rsid w:val="00581E2E"/>
    <w:rsid w:val="00584F15"/>
    <w:rsid w:val="005C69A1"/>
    <w:rsid w:val="005D09F1"/>
    <w:rsid w:val="006163F7"/>
    <w:rsid w:val="00624FD3"/>
    <w:rsid w:val="00652606"/>
    <w:rsid w:val="006750C1"/>
    <w:rsid w:val="00682754"/>
    <w:rsid w:val="006A58A9"/>
    <w:rsid w:val="006A606D"/>
    <w:rsid w:val="006B7F7A"/>
    <w:rsid w:val="006C0371"/>
    <w:rsid w:val="006C08B6"/>
    <w:rsid w:val="006C0B1A"/>
    <w:rsid w:val="006C4384"/>
    <w:rsid w:val="006C6065"/>
    <w:rsid w:val="006C7F9F"/>
    <w:rsid w:val="006E2F6D"/>
    <w:rsid w:val="006E58F6"/>
    <w:rsid w:val="006E77E1"/>
    <w:rsid w:val="006F131D"/>
    <w:rsid w:val="00726078"/>
    <w:rsid w:val="00726F4E"/>
    <w:rsid w:val="00727059"/>
    <w:rsid w:val="00733335"/>
    <w:rsid w:val="00752BCD"/>
    <w:rsid w:val="007606EC"/>
    <w:rsid w:val="00766DA1"/>
    <w:rsid w:val="007866A6"/>
    <w:rsid w:val="007A130D"/>
    <w:rsid w:val="007B17B2"/>
    <w:rsid w:val="007B1F88"/>
    <w:rsid w:val="007C6EEE"/>
    <w:rsid w:val="007D4102"/>
    <w:rsid w:val="007E1265"/>
    <w:rsid w:val="007E3C1B"/>
    <w:rsid w:val="007E5921"/>
    <w:rsid w:val="007F51FC"/>
    <w:rsid w:val="00821FFC"/>
    <w:rsid w:val="008271CA"/>
    <w:rsid w:val="008467D5"/>
    <w:rsid w:val="00856D9F"/>
    <w:rsid w:val="008575B3"/>
    <w:rsid w:val="00866F6D"/>
    <w:rsid w:val="0087042A"/>
    <w:rsid w:val="008A4DC4"/>
    <w:rsid w:val="00902327"/>
    <w:rsid w:val="009067A4"/>
    <w:rsid w:val="0090722E"/>
    <w:rsid w:val="0091227B"/>
    <w:rsid w:val="009125F2"/>
    <w:rsid w:val="009340DB"/>
    <w:rsid w:val="00940706"/>
    <w:rsid w:val="00972498"/>
    <w:rsid w:val="00974CC6"/>
    <w:rsid w:val="00976AD4"/>
    <w:rsid w:val="009A1436"/>
    <w:rsid w:val="009A18F3"/>
    <w:rsid w:val="009A312F"/>
    <w:rsid w:val="009A5348"/>
    <w:rsid w:val="009A67BB"/>
    <w:rsid w:val="009C76D5"/>
    <w:rsid w:val="009F7AA4"/>
    <w:rsid w:val="00A425F4"/>
    <w:rsid w:val="00A46469"/>
    <w:rsid w:val="00A52FC6"/>
    <w:rsid w:val="00A559DB"/>
    <w:rsid w:val="00AB044C"/>
    <w:rsid w:val="00AF2712"/>
    <w:rsid w:val="00AF35FC"/>
    <w:rsid w:val="00B03639"/>
    <w:rsid w:val="00B0652A"/>
    <w:rsid w:val="00B06945"/>
    <w:rsid w:val="00B2030C"/>
    <w:rsid w:val="00B238F7"/>
    <w:rsid w:val="00B26244"/>
    <w:rsid w:val="00B361A7"/>
    <w:rsid w:val="00B3757D"/>
    <w:rsid w:val="00B40937"/>
    <w:rsid w:val="00B423EF"/>
    <w:rsid w:val="00B453DE"/>
    <w:rsid w:val="00B4742F"/>
    <w:rsid w:val="00B901F9"/>
    <w:rsid w:val="00B9466A"/>
    <w:rsid w:val="00BB3905"/>
    <w:rsid w:val="00BD30B9"/>
    <w:rsid w:val="00BD44D8"/>
    <w:rsid w:val="00BD6EFB"/>
    <w:rsid w:val="00BE5FA0"/>
    <w:rsid w:val="00BF600C"/>
    <w:rsid w:val="00C15BE2"/>
    <w:rsid w:val="00C22219"/>
    <w:rsid w:val="00C3447F"/>
    <w:rsid w:val="00C40C41"/>
    <w:rsid w:val="00C40E42"/>
    <w:rsid w:val="00C63C03"/>
    <w:rsid w:val="00C81491"/>
    <w:rsid w:val="00C81676"/>
    <w:rsid w:val="00C866E0"/>
    <w:rsid w:val="00C87F6E"/>
    <w:rsid w:val="00C92CC4"/>
    <w:rsid w:val="00CA0AFB"/>
    <w:rsid w:val="00CA2CE1"/>
    <w:rsid w:val="00CA3976"/>
    <w:rsid w:val="00CA757B"/>
    <w:rsid w:val="00CC1787"/>
    <w:rsid w:val="00CC182C"/>
    <w:rsid w:val="00CD0824"/>
    <w:rsid w:val="00CD2908"/>
    <w:rsid w:val="00CE21EE"/>
    <w:rsid w:val="00CE5B9D"/>
    <w:rsid w:val="00CE6757"/>
    <w:rsid w:val="00CF49F0"/>
    <w:rsid w:val="00D03A82"/>
    <w:rsid w:val="00D15344"/>
    <w:rsid w:val="00D31BEC"/>
    <w:rsid w:val="00D63150"/>
    <w:rsid w:val="00D64A32"/>
    <w:rsid w:val="00D64EFC"/>
    <w:rsid w:val="00D67D23"/>
    <w:rsid w:val="00D7264E"/>
    <w:rsid w:val="00D75295"/>
    <w:rsid w:val="00D76CE9"/>
    <w:rsid w:val="00D856B1"/>
    <w:rsid w:val="00D86263"/>
    <w:rsid w:val="00D97F12"/>
    <w:rsid w:val="00DA12EF"/>
    <w:rsid w:val="00DB42E7"/>
    <w:rsid w:val="00DF32C2"/>
    <w:rsid w:val="00E16A84"/>
    <w:rsid w:val="00E3764D"/>
    <w:rsid w:val="00E471A7"/>
    <w:rsid w:val="00E635CF"/>
    <w:rsid w:val="00E6490E"/>
    <w:rsid w:val="00EB37D1"/>
    <w:rsid w:val="00EB5410"/>
    <w:rsid w:val="00EC420A"/>
    <w:rsid w:val="00EC6E0A"/>
    <w:rsid w:val="00ED4E18"/>
    <w:rsid w:val="00EE1F37"/>
    <w:rsid w:val="00F0159C"/>
    <w:rsid w:val="00F105B7"/>
    <w:rsid w:val="00F17A21"/>
    <w:rsid w:val="00F50E91"/>
    <w:rsid w:val="00F57D29"/>
    <w:rsid w:val="00F60570"/>
    <w:rsid w:val="00F87DAE"/>
    <w:rsid w:val="00F92A99"/>
    <w:rsid w:val="00F95E9B"/>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3137366"/>
  <w15:docId w15:val="{0446D987-98E2-4780-8A83-47E36853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C95EB6-0F5D-4DB7-8A8A-3213E7C329D0}" type="doc">
      <dgm:prSet loTypeId="urn:microsoft.com/office/officeart/2005/8/layout/hProcess9" loCatId="process" qsTypeId="urn:microsoft.com/office/officeart/2005/8/quickstyle/simple1" qsCatId="simple" csTypeId="urn:microsoft.com/office/officeart/2005/8/colors/accent1_2" csCatId="accent1" phldr="1"/>
      <dgm:spPr/>
    </dgm:pt>
    <dgm:pt modelId="{E3552DE2-28F8-4980-BD83-AE3C15807684}">
      <dgm:prSet phldrT="[Text]"/>
      <dgm:spPr>
        <a:xfrm>
          <a:off x="218228" y="651129"/>
          <a:ext cx="2264158" cy="86817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IN">
              <a:solidFill>
                <a:sysClr val="window" lastClr="FFFFFF"/>
              </a:solidFill>
              <a:latin typeface="Calibri"/>
              <a:ea typeface="+mn-ea"/>
              <a:cs typeface="+mn-cs"/>
            </a:rPr>
            <a:t>SYRUP MANUFACTURER </a:t>
          </a:r>
        </a:p>
      </dgm:t>
    </dgm:pt>
    <dgm:pt modelId="{F849513E-58B9-4C97-81D7-FA1FBAD57EBB}" type="parTrans" cxnId="{2619F25F-FCB4-4885-86F1-6D19B8EBB9DD}">
      <dgm:prSet/>
      <dgm:spPr/>
      <dgm:t>
        <a:bodyPr/>
        <a:lstStyle/>
        <a:p>
          <a:endParaRPr lang="en-IN"/>
        </a:p>
      </dgm:t>
    </dgm:pt>
    <dgm:pt modelId="{8DB6FFFD-E162-4004-880D-20D77BD44A7C}" type="sibTrans" cxnId="{2619F25F-FCB4-4885-86F1-6D19B8EBB9DD}">
      <dgm:prSet/>
      <dgm:spPr/>
      <dgm:t>
        <a:bodyPr/>
        <a:lstStyle/>
        <a:p>
          <a:endParaRPr lang="en-IN"/>
        </a:p>
      </dgm:t>
    </dgm:pt>
    <dgm:pt modelId="{887C9B35-9F6B-4BF1-A810-BAD333DC20CD}">
      <dgm:prSet phldrT="[Text]"/>
      <dgm:spPr>
        <a:xfrm>
          <a:off x="2606503" y="651129"/>
          <a:ext cx="2264158" cy="86817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IN">
              <a:solidFill>
                <a:sysClr val="window" lastClr="FFFFFF"/>
              </a:solidFill>
              <a:latin typeface="Calibri"/>
              <a:ea typeface="+mn-ea"/>
              <a:cs typeface="+mn-cs"/>
            </a:rPr>
            <a:t>BOTTLER </a:t>
          </a:r>
        </a:p>
      </dgm:t>
    </dgm:pt>
    <dgm:pt modelId="{38E20189-0F0C-4617-B92D-62D62B3D58F4}" type="parTrans" cxnId="{C3624328-6CC7-4199-8216-C48F03AA7E12}">
      <dgm:prSet/>
      <dgm:spPr/>
      <dgm:t>
        <a:bodyPr/>
        <a:lstStyle/>
        <a:p>
          <a:endParaRPr lang="en-IN"/>
        </a:p>
      </dgm:t>
    </dgm:pt>
    <dgm:pt modelId="{F122669F-46C5-4DF2-8DD1-E24B36CBC8FA}" type="sibTrans" cxnId="{C3624328-6CC7-4199-8216-C48F03AA7E12}">
      <dgm:prSet/>
      <dgm:spPr/>
      <dgm:t>
        <a:bodyPr/>
        <a:lstStyle/>
        <a:p>
          <a:endParaRPr lang="en-IN"/>
        </a:p>
      </dgm:t>
    </dgm:pt>
    <dgm:pt modelId="{9BA72BE9-3426-46D3-B798-FA116B8F7020}">
      <dgm:prSet phldrT="[Text]"/>
      <dgm:spPr>
        <a:xfrm>
          <a:off x="2606503" y="651129"/>
          <a:ext cx="2264158" cy="86817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IN" b="1">
              <a:solidFill>
                <a:sysClr val="window" lastClr="FFFFFF"/>
              </a:solidFill>
              <a:latin typeface="Calibri"/>
              <a:ea typeface="+mn-ea"/>
              <a:cs typeface="+mn-cs"/>
            </a:rPr>
            <a:t>RETAILER</a:t>
          </a:r>
          <a:endParaRPr lang="en-IN">
            <a:solidFill>
              <a:sysClr val="window" lastClr="FFFFFF"/>
            </a:solidFill>
            <a:latin typeface="Calibri"/>
            <a:ea typeface="+mn-ea"/>
            <a:cs typeface="+mn-cs"/>
          </a:endParaRPr>
        </a:p>
      </dgm:t>
    </dgm:pt>
    <dgm:pt modelId="{C5FEF49C-269D-4A7D-B2AB-7CE16769EC3C}" type="parTrans" cxnId="{3E947940-24CD-481F-B74F-00D0F23835C2}">
      <dgm:prSet/>
      <dgm:spPr/>
      <dgm:t>
        <a:bodyPr/>
        <a:lstStyle/>
        <a:p>
          <a:endParaRPr lang="en-US"/>
        </a:p>
      </dgm:t>
    </dgm:pt>
    <dgm:pt modelId="{46131292-920C-44D8-9A8D-5086B1AA2DEF}" type="sibTrans" cxnId="{3E947940-24CD-481F-B74F-00D0F23835C2}">
      <dgm:prSet/>
      <dgm:spPr/>
      <dgm:t>
        <a:bodyPr/>
        <a:lstStyle/>
        <a:p>
          <a:endParaRPr lang="en-US"/>
        </a:p>
      </dgm:t>
    </dgm:pt>
    <dgm:pt modelId="{A835FB9C-9EC4-4D5B-AB05-62B5AF73358F}" type="pres">
      <dgm:prSet presAssocID="{E3C95EB6-0F5D-4DB7-8A8A-3213E7C329D0}" presName="CompostProcess" presStyleCnt="0">
        <dgm:presLayoutVars>
          <dgm:dir/>
          <dgm:resizeHandles val="exact"/>
        </dgm:presLayoutVars>
      </dgm:prSet>
      <dgm:spPr/>
    </dgm:pt>
    <dgm:pt modelId="{5DCC03B6-F693-4ECC-B77B-6023189D6E8C}" type="pres">
      <dgm:prSet presAssocID="{E3C95EB6-0F5D-4DB7-8A8A-3213E7C329D0}" presName="arrow" presStyleLbl="bgShp" presStyleIdx="0" presStyleCnt="1" custScaleX="117647"/>
      <dgm:spPr>
        <a:xfrm>
          <a:off x="381666" y="0"/>
          <a:ext cx="4325556" cy="2170430"/>
        </a:xfrm>
        <a:prstGeom prst="rightArrow">
          <a:avLst/>
        </a:prstGeom>
        <a:solidFill>
          <a:srgbClr val="4F81BD">
            <a:tint val="40000"/>
            <a:hueOff val="0"/>
            <a:satOff val="0"/>
            <a:lumOff val="0"/>
            <a:alphaOff val="0"/>
          </a:srgbClr>
        </a:solidFill>
        <a:ln>
          <a:noFill/>
        </a:ln>
        <a:effectLst/>
      </dgm:spPr>
    </dgm:pt>
    <dgm:pt modelId="{4D3F7F00-9A26-4C18-807E-CC0283E646F4}" type="pres">
      <dgm:prSet presAssocID="{E3C95EB6-0F5D-4DB7-8A8A-3213E7C329D0}" presName="linearProcess" presStyleCnt="0"/>
      <dgm:spPr/>
    </dgm:pt>
    <dgm:pt modelId="{A52410A1-3ECF-4783-A8D2-3A868E4E330B}" type="pres">
      <dgm:prSet presAssocID="{E3552DE2-28F8-4980-BD83-AE3C15807684}" presName="textNode" presStyleLbl="node1" presStyleIdx="0" presStyleCnt="3">
        <dgm:presLayoutVars>
          <dgm:bulletEnabled val="1"/>
        </dgm:presLayoutVars>
      </dgm:prSet>
      <dgm:spPr>
        <a:prstGeom prst="roundRect">
          <a:avLst/>
        </a:prstGeom>
      </dgm:spPr>
      <dgm:t>
        <a:bodyPr/>
        <a:lstStyle/>
        <a:p>
          <a:endParaRPr lang="en-IN"/>
        </a:p>
      </dgm:t>
    </dgm:pt>
    <dgm:pt modelId="{ABD2AF8F-9086-4475-A0C7-48DE3BC87888}" type="pres">
      <dgm:prSet presAssocID="{8DB6FFFD-E162-4004-880D-20D77BD44A7C}" presName="sibTrans" presStyleCnt="0"/>
      <dgm:spPr/>
    </dgm:pt>
    <dgm:pt modelId="{498855E1-5EE1-41A0-9A79-9778A081767C}" type="pres">
      <dgm:prSet presAssocID="{887C9B35-9F6B-4BF1-A810-BAD333DC20CD}" presName="textNode" presStyleLbl="node1" presStyleIdx="1" presStyleCnt="3">
        <dgm:presLayoutVars>
          <dgm:bulletEnabled val="1"/>
        </dgm:presLayoutVars>
      </dgm:prSet>
      <dgm:spPr>
        <a:prstGeom prst="roundRect">
          <a:avLst/>
        </a:prstGeom>
      </dgm:spPr>
      <dgm:t>
        <a:bodyPr/>
        <a:lstStyle/>
        <a:p>
          <a:endParaRPr lang="en-IN"/>
        </a:p>
      </dgm:t>
    </dgm:pt>
    <dgm:pt modelId="{9895BFD6-4E69-4BE2-B2E6-B975B976D7BB}" type="pres">
      <dgm:prSet presAssocID="{F122669F-46C5-4DF2-8DD1-E24B36CBC8FA}" presName="sibTrans" presStyleCnt="0"/>
      <dgm:spPr/>
    </dgm:pt>
    <dgm:pt modelId="{F4246838-0D46-4430-850C-7090A25BD15A}" type="pres">
      <dgm:prSet presAssocID="{9BA72BE9-3426-46D3-B798-FA116B8F7020}" presName="textNode" presStyleLbl="node1" presStyleIdx="2" presStyleCnt="3">
        <dgm:presLayoutVars>
          <dgm:bulletEnabled val="1"/>
        </dgm:presLayoutVars>
      </dgm:prSet>
      <dgm:spPr/>
      <dgm:t>
        <a:bodyPr/>
        <a:lstStyle/>
        <a:p>
          <a:endParaRPr lang="en-US"/>
        </a:p>
      </dgm:t>
    </dgm:pt>
  </dgm:ptLst>
  <dgm:cxnLst>
    <dgm:cxn modelId="{2619F25F-FCB4-4885-86F1-6D19B8EBB9DD}" srcId="{E3C95EB6-0F5D-4DB7-8A8A-3213E7C329D0}" destId="{E3552DE2-28F8-4980-BD83-AE3C15807684}" srcOrd="0" destOrd="0" parTransId="{F849513E-58B9-4C97-81D7-FA1FBAD57EBB}" sibTransId="{8DB6FFFD-E162-4004-880D-20D77BD44A7C}"/>
    <dgm:cxn modelId="{6E4C42F4-2B09-4BAA-9B45-DB096706BA43}" type="presOf" srcId="{E3C95EB6-0F5D-4DB7-8A8A-3213E7C329D0}" destId="{A835FB9C-9EC4-4D5B-AB05-62B5AF73358F}" srcOrd="0" destOrd="0" presId="urn:microsoft.com/office/officeart/2005/8/layout/hProcess9"/>
    <dgm:cxn modelId="{9E9F55B2-8218-4336-B49C-A2D64F2353DA}" type="presOf" srcId="{E3552DE2-28F8-4980-BD83-AE3C15807684}" destId="{A52410A1-3ECF-4783-A8D2-3A868E4E330B}" srcOrd="0" destOrd="0" presId="urn:microsoft.com/office/officeart/2005/8/layout/hProcess9"/>
    <dgm:cxn modelId="{EFDE955B-9F0B-479F-A7CB-3F75A0C590A0}" type="presOf" srcId="{9BA72BE9-3426-46D3-B798-FA116B8F7020}" destId="{F4246838-0D46-4430-850C-7090A25BD15A}" srcOrd="0" destOrd="0" presId="urn:microsoft.com/office/officeart/2005/8/layout/hProcess9"/>
    <dgm:cxn modelId="{3E947940-24CD-481F-B74F-00D0F23835C2}" srcId="{E3C95EB6-0F5D-4DB7-8A8A-3213E7C329D0}" destId="{9BA72BE9-3426-46D3-B798-FA116B8F7020}" srcOrd="2" destOrd="0" parTransId="{C5FEF49C-269D-4A7D-B2AB-7CE16769EC3C}" sibTransId="{46131292-920C-44D8-9A8D-5086B1AA2DEF}"/>
    <dgm:cxn modelId="{C3624328-6CC7-4199-8216-C48F03AA7E12}" srcId="{E3C95EB6-0F5D-4DB7-8A8A-3213E7C329D0}" destId="{887C9B35-9F6B-4BF1-A810-BAD333DC20CD}" srcOrd="1" destOrd="0" parTransId="{38E20189-0F0C-4617-B92D-62D62B3D58F4}" sibTransId="{F122669F-46C5-4DF2-8DD1-E24B36CBC8FA}"/>
    <dgm:cxn modelId="{150C5AFB-FB35-4487-93DD-66D05B698B27}" type="presOf" srcId="{887C9B35-9F6B-4BF1-A810-BAD333DC20CD}" destId="{498855E1-5EE1-41A0-9A79-9778A081767C}" srcOrd="0" destOrd="0" presId="urn:microsoft.com/office/officeart/2005/8/layout/hProcess9"/>
    <dgm:cxn modelId="{348D0200-2B9E-4D71-846E-BE692951BFC9}" type="presParOf" srcId="{A835FB9C-9EC4-4D5B-AB05-62B5AF73358F}" destId="{5DCC03B6-F693-4ECC-B77B-6023189D6E8C}" srcOrd="0" destOrd="0" presId="urn:microsoft.com/office/officeart/2005/8/layout/hProcess9"/>
    <dgm:cxn modelId="{7B1E85FD-6BC4-4D15-8C33-B4EB323D1437}" type="presParOf" srcId="{A835FB9C-9EC4-4D5B-AB05-62B5AF73358F}" destId="{4D3F7F00-9A26-4C18-807E-CC0283E646F4}" srcOrd="1" destOrd="0" presId="urn:microsoft.com/office/officeart/2005/8/layout/hProcess9"/>
    <dgm:cxn modelId="{0FB5A264-187D-4F51-913F-1D83DCFFAE16}" type="presParOf" srcId="{4D3F7F00-9A26-4C18-807E-CC0283E646F4}" destId="{A52410A1-3ECF-4783-A8D2-3A868E4E330B}" srcOrd="0" destOrd="0" presId="urn:microsoft.com/office/officeart/2005/8/layout/hProcess9"/>
    <dgm:cxn modelId="{97977CDD-745A-432F-B0EB-F1CC92D64C56}" type="presParOf" srcId="{4D3F7F00-9A26-4C18-807E-CC0283E646F4}" destId="{ABD2AF8F-9086-4475-A0C7-48DE3BC87888}" srcOrd="1" destOrd="0" presId="urn:microsoft.com/office/officeart/2005/8/layout/hProcess9"/>
    <dgm:cxn modelId="{1E76E871-A0BF-4545-A492-468A1FA6F4BC}" type="presParOf" srcId="{4D3F7F00-9A26-4C18-807E-CC0283E646F4}" destId="{498855E1-5EE1-41A0-9A79-9778A081767C}" srcOrd="2" destOrd="0" presId="urn:microsoft.com/office/officeart/2005/8/layout/hProcess9"/>
    <dgm:cxn modelId="{88CA6B9C-8B25-437E-8620-FEF56BA59042}" type="presParOf" srcId="{4D3F7F00-9A26-4C18-807E-CC0283E646F4}" destId="{9895BFD6-4E69-4BE2-B2E6-B975B976D7BB}" srcOrd="3" destOrd="0" presId="urn:microsoft.com/office/officeart/2005/8/layout/hProcess9"/>
    <dgm:cxn modelId="{1FEFF067-A62D-47D2-8683-4C0BD258FDE5}" type="presParOf" srcId="{4D3F7F00-9A26-4C18-807E-CC0283E646F4}" destId="{F4246838-0D46-4430-850C-7090A25BD15A}"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CC03B6-F693-4ECC-B77B-6023189D6E8C}">
      <dsp:nvSpPr>
        <dsp:cNvPr id="0" name=""/>
        <dsp:cNvSpPr/>
      </dsp:nvSpPr>
      <dsp:spPr>
        <a:xfrm>
          <a:off x="1" y="0"/>
          <a:ext cx="5513829" cy="2176272"/>
        </a:xfrm>
        <a:prstGeom prst="rightArrow">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A52410A1-3ECF-4783-A8D2-3A868E4E330B}">
      <dsp:nvSpPr>
        <dsp:cNvPr id="0" name=""/>
        <dsp:cNvSpPr/>
      </dsp:nvSpPr>
      <dsp:spPr>
        <a:xfrm>
          <a:off x="5923" y="652881"/>
          <a:ext cx="1774764" cy="87050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IN" sz="1700" kern="1200">
              <a:solidFill>
                <a:sysClr val="window" lastClr="FFFFFF"/>
              </a:solidFill>
              <a:latin typeface="Calibri"/>
              <a:ea typeface="+mn-ea"/>
              <a:cs typeface="+mn-cs"/>
            </a:rPr>
            <a:t>SYRUP MANUFACTURER </a:t>
          </a:r>
        </a:p>
      </dsp:txBody>
      <dsp:txXfrm>
        <a:off x="48418" y="695376"/>
        <a:ext cx="1689774" cy="785518"/>
      </dsp:txXfrm>
    </dsp:sp>
    <dsp:sp modelId="{498855E1-5EE1-41A0-9A79-9778A081767C}">
      <dsp:nvSpPr>
        <dsp:cNvPr id="0" name=""/>
        <dsp:cNvSpPr/>
      </dsp:nvSpPr>
      <dsp:spPr>
        <a:xfrm>
          <a:off x="1869533" y="652881"/>
          <a:ext cx="1774764" cy="87050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IN" sz="1700" kern="1200">
              <a:solidFill>
                <a:sysClr val="window" lastClr="FFFFFF"/>
              </a:solidFill>
              <a:latin typeface="Calibri"/>
              <a:ea typeface="+mn-ea"/>
              <a:cs typeface="+mn-cs"/>
            </a:rPr>
            <a:t>BOTTLER </a:t>
          </a:r>
        </a:p>
      </dsp:txBody>
      <dsp:txXfrm>
        <a:off x="1912028" y="695376"/>
        <a:ext cx="1689774" cy="785518"/>
      </dsp:txXfrm>
    </dsp:sp>
    <dsp:sp modelId="{F4246838-0D46-4430-850C-7090A25BD15A}">
      <dsp:nvSpPr>
        <dsp:cNvPr id="0" name=""/>
        <dsp:cNvSpPr/>
      </dsp:nvSpPr>
      <dsp:spPr>
        <a:xfrm>
          <a:off x="3733144" y="652881"/>
          <a:ext cx="1774764" cy="87050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IN" sz="1700" b="1" kern="1200">
              <a:solidFill>
                <a:sysClr val="window" lastClr="FFFFFF"/>
              </a:solidFill>
              <a:latin typeface="Calibri"/>
              <a:ea typeface="+mn-ea"/>
              <a:cs typeface="+mn-cs"/>
            </a:rPr>
            <a:t>RETAILER</a:t>
          </a:r>
          <a:endParaRPr lang="en-IN" sz="1700" kern="1200">
            <a:solidFill>
              <a:sysClr val="window" lastClr="FFFFFF"/>
            </a:solidFill>
            <a:latin typeface="Calibri"/>
            <a:ea typeface="+mn-ea"/>
            <a:cs typeface="+mn-cs"/>
          </a:endParaRPr>
        </a:p>
      </dsp:txBody>
      <dsp:txXfrm>
        <a:off x="3775639" y="695376"/>
        <a:ext cx="1689774" cy="78551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E5B42-0682-4278-9ABE-9764399C1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3</cp:revision>
  <cp:lastPrinted>2011-06-23T13:34:00Z</cp:lastPrinted>
  <dcterms:created xsi:type="dcterms:W3CDTF">2017-08-01T16:00:00Z</dcterms:created>
  <dcterms:modified xsi:type="dcterms:W3CDTF">2017-08-03T19:05:00Z</dcterms:modified>
</cp:coreProperties>
</file>