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27892" w14:textId="6B18CD3F" w:rsidR="007D1A2D" w:rsidRPr="00FF4D95" w:rsidRDefault="006D1D8F" w:rsidP="008467D5">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GB" w:eastAsia="en-GB"/>
        </w:rPr>
        <w:drawing>
          <wp:inline distT="0" distB="0" distL="0" distR="0" wp14:anchorId="3186E5F8" wp14:editId="1F312D24">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0484CBB" w14:textId="77777777" w:rsidR="00F13220" w:rsidRPr="00FF4D95" w:rsidRDefault="00F13220" w:rsidP="008467D5">
      <w:pPr>
        <w:pBdr>
          <w:bottom w:val="single" w:sz="18" w:space="1" w:color="auto"/>
        </w:pBdr>
        <w:tabs>
          <w:tab w:val="left" w:pos="-1440"/>
          <w:tab w:val="left" w:pos="-720"/>
          <w:tab w:val="left" w:pos="1"/>
        </w:tabs>
        <w:jc w:val="both"/>
        <w:rPr>
          <w:rFonts w:ascii="Arial" w:hAnsi="Arial"/>
          <w:b/>
          <w:sz w:val="24"/>
          <w:lang w:val="en-GB"/>
        </w:rPr>
      </w:pPr>
    </w:p>
    <w:p w14:paraId="50B49E04" w14:textId="3BC7D489" w:rsidR="00D75295" w:rsidRPr="00FF4D95" w:rsidRDefault="006D1D8F" w:rsidP="00F105B7">
      <w:pPr>
        <w:pStyle w:val="ProductNumber"/>
        <w:rPr>
          <w:lang w:val="en-GB"/>
        </w:rPr>
      </w:pPr>
      <w:r>
        <w:rPr>
          <w:lang w:val="en-GB"/>
        </w:rPr>
        <w:t>9B17M121</w:t>
      </w:r>
    </w:p>
    <w:p w14:paraId="3C1ED180" w14:textId="77777777" w:rsidR="00D75295" w:rsidRPr="00FF4D95" w:rsidRDefault="00D75295" w:rsidP="00D75295">
      <w:pPr>
        <w:jc w:val="right"/>
        <w:rPr>
          <w:rFonts w:ascii="Arial" w:hAnsi="Arial"/>
          <w:b/>
          <w:sz w:val="28"/>
          <w:szCs w:val="28"/>
          <w:lang w:val="en-GB"/>
        </w:rPr>
      </w:pPr>
    </w:p>
    <w:p w14:paraId="0557F15F" w14:textId="77777777" w:rsidR="00013360" w:rsidRPr="00FF4D95" w:rsidRDefault="00013360" w:rsidP="00D75295">
      <w:pPr>
        <w:jc w:val="right"/>
        <w:rPr>
          <w:rFonts w:ascii="Arial" w:hAnsi="Arial"/>
          <w:b/>
          <w:sz w:val="28"/>
          <w:szCs w:val="28"/>
          <w:lang w:val="en-GB"/>
        </w:rPr>
      </w:pPr>
    </w:p>
    <w:p w14:paraId="19D38322" w14:textId="3FB18F38" w:rsidR="00CA3976" w:rsidRPr="00FF4D95" w:rsidRDefault="00B62BA8" w:rsidP="00013360">
      <w:pPr>
        <w:pStyle w:val="CaseTitle"/>
        <w:spacing w:after="0" w:line="240" w:lineRule="auto"/>
        <w:rPr>
          <w:rFonts w:eastAsia="Arial"/>
          <w:lang w:val="en-GB"/>
        </w:rPr>
      </w:pPr>
      <w:r w:rsidRPr="00FF4D95">
        <w:rPr>
          <w:rFonts w:eastAsia="Arial"/>
          <w:lang w:val="en-GB"/>
        </w:rPr>
        <w:t>Tervita</w:t>
      </w:r>
      <w:r w:rsidR="00E7699B" w:rsidRPr="00FF4D95">
        <w:rPr>
          <w:rFonts w:eastAsia="Arial"/>
          <w:lang w:val="en-GB"/>
        </w:rPr>
        <w:t>’s</w:t>
      </w:r>
      <w:r w:rsidRPr="00FF4D95">
        <w:rPr>
          <w:rFonts w:eastAsia="Arial"/>
          <w:lang w:val="en-GB"/>
        </w:rPr>
        <w:t xml:space="preserve"> </w:t>
      </w:r>
      <w:r w:rsidR="002D2C69" w:rsidRPr="00FF4D95">
        <w:rPr>
          <w:rFonts w:eastAsia="Arial"/>
          <w:lang w:val="en-GB"/>
        </w:rPr>
        <w:t>ACQUISITION OF COMPLETE ENVIRONMENTAL INC.</w:t>
      </w:r>
      <w:r w:rsidR="00B738B6">
        <w:rPr>
          <w:rFonts w:eastAsia="Arial"/>
          <w:lang w:val="en-GB"/>
        </w:rPr>
        <w:t xml:space="preserve"> (A)</w:t>
      </w:r>
      <w:r w:rsidR="00FC2383">
        <w:rPr>
          <w:rStyle w:val="FootnoteReference"/>
          <w:rFonts w:eastAsia="Arial"/>
          <w:lang w:val="en-GB"/>
        </w:rPr>
        <w:footnoteReference w:id="1"/>
      </w:r>
    </w:p>
    <w:p w14:paraId="625A7CFA" w14:textId="77777777" w:rsidR="00EB4340" w:rsidRPr="00FF4D95" w:rsidRDefault="00EB4340" w:rsidP="00013360">
      <w:pPr>
        <w:pStyle w:val="CaseTitle"/>
        <w:spacing w:after="0" w:line="240" w:lineRule="auto"/>
        <w:rPr>
          <w:sz w:val="20"/>
          <w:szCs w:val="20"/>
          <w:lang w:val="en-GB"/>
        </w:rPr>
      </w:pPr>
    </w:p>
    <w:p w14:paraId="4479638E" w14:textId="77777777" w:rsidR="00013360" w:rsidRPr="00FF4D95" w:rsidRDefault="00013360" w:rsidP="00013360">
      <w:pPr>
        <w:pStyle w:val="CaseTitle"/>
        <w:spacing w:after="0" w:line="240" w:lineRule="auto"/>
        <w:rPr>
          <w:sz w:val="20"/>
          <w:szCs w:val="20"/>
          <w:lang w:val="en-GB"/>
        </w:rPr>
      </w:pPr>
    </w:p>
    <w:p w14:paraId="7FED052A" w14:textId="7025A699" w:rsidR="00627C63" w:rsidRPr="00FF4D95" w:rsidRDefault="007151DE" w:rsidP="00627C63">
      <w:pPr>
        <w:pStyle w:val="StyleCopyrightStatementAfter0ptBottomSinglesolidline1"/>
        <w:rPr>
          <w:lang w:val="en-GB"/>
        </w:rPr>
      </w:pPr>
      <w:r w:rsidRPr="00FF4D95">
        <w:rPr>
          <w:lang w:val="en-GB"/>
        </w:rPr>
        <w:t>Ken Mark</w:t>
      </w:r>
      <w:r w:rsidR="004B632F" w:rsidRPr="00FF4D95">
        <w:rPr>
          <w:lang w:val="en-GB"/>
        </w:rPr>
        <w:t xml:space="preserve"> wrote this </w:t>
      </w:r>
      <w:r w:rsidR="00152682" w:rsidRPr="00FF4D95">
        <w:rPr>
          <w:lang w:val="en-GB"/>
        </w:rPr>
        <w:t>case</w:t>
      </w:r>
      <w:r w:rsidR="004B632F" w:rsidRPr="00FF4D95">
        <w:rPr>
          <w:lang w:val="en-GB"/>
        </w:rPr>
        <w:t xml:space="preserve"> </w:t>
      </w:r>
      <w:r w:rsidR="00751E0B" w:rsidRPr="00FF4D95">
        <w:rPr>
          <w:lang w:val="en-GB"/>
        </w:rPr>
        <w:t>under the supervision of</w:t>
      </w:r>
      <w:r w:rsidR="001F79BE">
        <w:rPr>
          <w:lang w:val="en-GB"/>
        </w:rPr>
        <w:t xml:space="preserve"> Professor </w:t>
      </w:r>
      <w:r w:rsidR="00B62BA8" w:rsidRPr="00FF4D95">
        <w:rPr>
          <w:lang w:val="en-GB"/>
        </w:rPr>
        <w:t>Brandon Schaufele</w:t>
      </w:r>
      <w:r w:rsidR="00751E0B" w:rsidRPr="00FF4D95">
        <w:rPr>
          <w:lang w:val="en-GB"/>
        </w:rPr>
        <w:t xml:space="preserve"> </w:t>
      </w:r>
      <w:r w:rsidR="00152682" w:rsidRPr="00FF4D95">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42EC2082" w14:textId="77777777" w:rsidR="00751E0B" w:rsidRPr="00FF4D95" w:rsidRDefault="00751E0B" w:rsidP="00751E0B">
      <w:pPr>
        <w:pStyle w:val="StyleCopyrightStatementAfter0ptBottomSinglesolidline1"/>
        <w:rPr>
          <w:lang w:val="en-GB"/>
        </w:rPr>
      </w:pPr>
    </w:p>
    <w:p w14:paraId="77A7E5A1" w14:textId="617A672E" w:rsidR="007507C6" w:rsidRPr="00FF4D95" w:rsidRDefault="006D1D8F" w:rsidP="007507C6">
      <w:pPr>
        <w:jc w:val="both"/>
        <w:rPr>
          <w:rFonts w:ascii="Arial" w:hAnsi="Arial" w:cs="Arial"/>
          <w:i/>
          <w:iCs/>
          <w:sz w:val="16"/>
          <w:szCs w:val="16"/>
          <w:lang w:val="en-GB"/>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p>
    <w:p w14:paraId="7F21397C" w14:textId="77777777" w:rsidR="00777980" w:rsidRPr="00FF4D95" w:rsidRDefault="00777980" w:rsidP="007507C6">
      <w:pPr>
        <w:jc w:val="both"/>
        <w:rPr>
          <w:rFonts w:ascii="Arial" w:hAnsi="Arial" w:cs="Arial"/>
          <w:i/>
          <w:iCs/>
          <w:sz w:val="16"/>
          <w:szCs w:val="16"/>
          <w:lang w:val="en-GB"/>
        </w:rPr>
      </w:pPr>
    </w:p>
    <w:p w14:paraId="28C6774B" w14:textId="52E1117B" w:rsidR="00751E0B" w:rsidRPr="00FF4D95" w:rsidRDefault="00751E0B" w:rsidP="00751E0B">
      <w:pPr>
        <w:pStyle w:val="StyleStyleCopyrightStatementAfter0ptBottomSinglesolid"/>
        <w:rPr>
          <w:lang w:val="en-GB"/>
        </w:rPr>
      </w:pPr>
      <w:r w:rsidRPr="00FF4D95">
        <w:rPr>
          <w:lang w:val="en-GB"/>
        </w:rPr>
        <w:t>Copyright © 20</w:t>
      </w:r>
      <w:r w:rsidR="003B6929" w:rsidRPr="00FF4D95">
        <w:rPr>
          <w:lang w:val="en-GB"/>
        </w:rPr>
        <w:t>1</w:t>
      </w:r>
      <w:r w:rsidR="006D1D8F">
        <w:rPr>
          <w:lang w:val="en-GB"/>
        </w:rPr>
        <w:t>7</w:t>
      </w:r>
      <w:r w:rsidRPr="00FF4D95">
        <w:rPr>
          <w:lang w:val="en-GB"/>
        </w:rPr>
        <w:t>, Richard Ivey School of Business Foundation</w:t>
      </w:r>
      <w:r w:rsidRPr="00FF4D95">
        <w:rPr>
          <w:lang w:val="en-GB"/>
        </w:rPr>
        <w:tab/>
        <w:t>Version: 20</w:t>
      </w:r>
      <w:r w:rsidR="0003648E" w:rsidRPr="00FF4D95">
        <w:rPr>
          <w:lang w:val="en-GB"/>
        </w:rPr>
        <w:t>1</w:t>
      </w:r>
      <w:r w:rsidR="006D1D8F">
        <w:rPr>
          <w:lang w:val="en-GB"/>
        </w:rPr>
        <w:t>7</w:t>
      </w:r>
      <w:r w:rsidR="00EB4340" w:rsidRPr="00FF4D95">
        <w:rPr>
          <w:lang w:val="en-GB"/>
        </w:rPr>
        <w:t>-</w:t>
      </w:r>
      <w:r w:rsidR="00057D19">
        <w:rPr>
          <w:lang w:val="en-GB"/>
        </w:rPr>
        <w:t>0</w:t>
      </w:r>
      <w:r w:rsidR="006D1D8F">
        <w:rPr>
          <w:lang w:val="en-GB"/>
        </w:rPr>
        <w:t>8</w:t>
      </w:r>
      <w:r w:rsidR="00A01F17" w:rsidRPr="00FF4D95">
        <w:rPr>
          <w:lang w:val="en-GB"/>
        </w:rPr>
        <w:t>-</w:t>
      </w:r>
      <w:r w:rsidR="003F649E">
        <w:rPr>
          <w:lang w:val="en-GB"/>
        </w:rPr>
        <w:t>17</w:t>
      </w:r>
    </w:p>
    <w:p w14:paraId="60DB3802" w14:textId="77777777" w:rsidR="00751E0B" w:rsidRPr="00AA19C2" w:rsidRDefault="00751E0B" w:rsidP="00751E0B">
      <w:pPr>
        <w:pStyle w:val="StyleCopyrightStatementAfter0ptBottomSinglesolidline1"/>
        <w:rPr>
          <w:rFonts w:ascii="Times New Roman" w:hAnsi="Times New Roman"/>
          <w:sz w:val="18"/>
          <w:szCs w:val="18"/>
          <w:lang w:val="en-GB"/>
        </w:rPr>
      </w:pPr>
    </w:p>
    <w:p w14:paraId="550094AB" w14:textId="77777777" w:rsidR="004B632F" w:rsidRPr="00AA19C2" w:rsidRDefault="004B632F" w:rsidP="004B632F">
      <w:pPr>
        <w:pStyle w:val="StyleCopyrightStatementAfter0ptBottomSinglesolidline1"/>
        <w:rPr>
          <w:rFonts w:ascii="Times New Roman" w:hAnsi="Times New Roman"/>
          <w:sz w:val="18"/>
          <w:szCs w:val="18"/>
          <w:lang w:val="en-GB"/>
        </w:rPr>
      </w:pPr>
    </w:p>
    <w:p w14:paraId="4C84683F" w14:textId="1F688436" w:rsidR="00F71FC5" w:rsidRPr="00FF4D95" w:rsidRDefault="009D4AA9" w:rsidP="009D4AA9">
      <w:pPr>
        <w:pStyle w:val="BodyTextMain"/>
        <w:rPr>
          <w:lang w:val="en-GB"/>
        </w:rPr>
      </w:pPr>
      <w:r>
        <w:rPr>
          <w:lang w:val="en-GB"/>
        </w:rPr>
        <w:t>On January 26, 2011, Melanie Aitken, Commissioner of Competition at the Canadian Competition Bureau</w:t>
      </w:r>
      <w:r w:rsidR="003F649E">
        <w:rPr>
          <w:lang w:val="en-GB"/>
        </w:rPr>
        <w:t xml:space="preserve"> (Competition Bureau)</w:t>
      </w:r>
      <w:r w:rsidR="00B738B6">
        <w:rPr>
          <w:lang w:val="en-GB"/>
        </w:rPr>
        <w:t>,</w:t>
      </w:r>
      <w:r>
        <w:rPr>
          <w:lang w:val="en-GB"/>
        </w:rPr>
        <w:t xml:space="preserve"> announced that the Competition Bureau would seek an order to dissolve </w:t>
      </w:r>
      <w:r w:rsidRPr="009D4AA9">
        <w:rPr>
          <w:lang w:val="en-GB"/>
        </w:rPr>
        <w:t>CCS Corporation</w:t>
      </w:r>
      <w:r>
        <w:rPr>
          <w:lang w:val="en-GB"/>
        </w:rPr>
        <w:t>’s</w:t>
      </w:r>
      <w:r w:rsidRPr="009D4AA9">
        <w:rPr>
          <w:lang w:val="en-GB"/>
        </w:rPr>
        <w:t xml:space="preserve"> (Tervita</w:t>
      </w:r>
      <w:r>
        <w:rPr>
          <w:lang w:val="en-GB"/>
        </w:rPr>
        <w:t>’s</w:t>
      </w:r>
      <w:r w:rsidRPr="009D4AA9">
        <w:rPr>
          <w:lang w:val="en-GB"/>
        </w:rPr>
        <w:t xml:space="preserve">) </w:t>
      </w:r>
      <w:r>
        <w:rPr>
          <w:lang w:val="en-GB"/>
        </w:rPr>
        <w:t>acquisition of</w:t>
      </w:r>
      <w:r w:rsidRPr="009D4AA9">
        <w:rPr>
          <w:lang w:val="en-GB"/>
        </w:rPr>
        <w:t xml:space="preserve"> Complet</w:t>
      </w:r>
      <w:r>
        <w:rPr>
          <w:lang w:val="en-GB"/>
        </w:rPr>
        <w:t xml:space="preserve">e Environmental Inc. (Complete). </w:t>
      </w:r>
      <w:r w:rsidR="00D64E4B" w:rsidRPr="00FF4D95">
        <w:rPr>
          <w:lang w:val="en-GB"/>
        </w:rPr>
        <w:t xml:space="preserve">Prior to </w:t>
      </w:r>
      <w:r w:rsidR="00795A89" w:rsidRPr="00FF4D95">
        <w:rPr>
          <w:lang w:val="en-GB"/>
        </w:rPr>
        <w:t>its</w:t>
      </w:r>
      <w:r w:rsidR="00F71FC5" w:rsidRPr="00FF4D95">
        <w:rPr>
          <w:lang w:val="en-GB"/>
        </w:rPr>
        <w:t xml:space="preserve"> </w:t>
      </w:r>
      <w:r w:rsidR="00D64E4B" w:rsidRPr="00FF4D95">
        <w:rPr>
          <w:lang w:val="en-GB"/>
        </w:rPr>
        <w:t>acquisition</w:t>
      </w:r>
      <w:r w:rsidR="00F71FC5" w:rsidRPr="00FF4D95">
        <w:rPr>
          <w:lang w:val="en-GB"/>
        </w:rPr>
        <w:t xml:space="preserve"> by Tervita</w:t>
      </w:r>
      <w:r w:rsidR="00D64E4B" w:rsidRPr="00FF4D95">
        <w:rPr>
          <w:lang w:val="en-GB"/>
        </w:rPr>
        <w:t xml:space="preserve">, </w:t>
      </w:r>
      <w:r w:rsidR="00CA1FFF" w:rsidRPr="00FF4D95">
        <w:rPr>
          <w:lang w:val="en-GB"/>
        </w:rPr>
        <w:t>Complete had received regulatory approval to operate a secure landfill site on its Babkirk facility in North</w:t>
      </w:r>
      <w:r w:rsidR="009B51E9" w:rsidRPr="00FF4D95">
        <w:rPr>
          <w:lang w:val="en-GB"/>
        </w:rPr>
        <w:t>e</w:t>
      </w:r>
      <w:r w:rsidR="00CA1FFF" w:rsidRPr="00FF4D95">
        <w:rPr>
          <w:lang w:val="en-GB"/>
        </w:rPr>
        <w:t>astern British Columbia (NEBC).</w:t>
      </w:r>
    </w:p>
    <w:p w14:paraId="0EA027EF" w14:textId="77777777" w:rsidR="00F71FC5" w:rsidRPr="00FF4D95" w:rsidRDefault="00F71FC5" w:rsidP="00CA1FFF">
      <w:pPr>
        <w:pStyle w:val="BodyTextMain"/>
        <w:rPr>
          <w:lang w:val="en-GB"/>
        </w:rPr>
      </w:pPr>
    </w:p>
    <w:p w14:paraId="3128B6A5" w14:textId="1530328C" w:rsidR="00F71FC5" w:rsidRPr="00FF4D95" w:rsidRDefault="009D4AA9" w:rsidP="00CA1FFF">
      <w:pPr>
        <w:pStyle w:val="BodyTextMain"/>
        <w:rPr>
          <w:lang w:val="en-GB"/>
        </w:rPr>
      </w:pPr>
      <w:r>
        <w:rPr>
          <w:lang w:val="en-GB"/>
        </w:rPr>
        <w:t>A</w:t>
      </w:r>
      <w:r w:rsidR="00A06F04" w:rsidRPr="00FF4D95">
        <w:rPr>
          <w:lang w:val="en-GB"/>
        </w:rPr>
        <w:t xml:space="preserve"> complaint </w:t>
      </w:r>
      <w:r w:rsidR="00F71FC5" w:rsidRPr="00FF4D95">
        <w:rPr>
          <w:lang w:val="en-GB"/>
        </w:rPr>
        <w:t>about the purchase was filed by</w:t>
      </w:r>
      <w:r w:rsidR="00A06F04" w:rsidRPr="00FF4D95">
        <w:rPr>
          <w:lang w:val="en-GB"/>
        </w:rPr>
        <w:t xml:space="preserve"> S</w:t>
      </w:r>
      <w:r w:rsidR="00415675" w:rsidRPr="00FF4D95">
        <w:rPr>
          <w:lang w:val="en-GB"/>
        </w:rPr>
        <w:t>ECURE</w:t>
      </w:r>
      <w:r w:rsidR="00A06F04" w:rsidRPr="00FF4D95">
        <w:rPr>
          <w:lang w:val="en-GB"/>
        </w:rPr>
        <w:t xml:space="preserve"> Energy Services Inc. (SE</w:t>
      </w:r>
      <w:r w:rsidR="00415675" w:rsidRPr="00FF4D95">
        <w:rPr>
          <w:lang w:val="en-GB"/>
        </w:rPr>
        <w:t>CURE</w:t>
      </w:r>
      <w:r w:rsidR="00A06F04" w:rsidRPr="00FF4D95">
        <w:rPr>
          <w:lang w:val="en-GB"/>
        </w:rPr>
        <w:t>)</w:t>
      </w:r>
      <w:r w:rsidR="0019260D" w:rsidRPr="00FF4D95">
        <w:rPr>
          <w:lang w:val="en-GB"/>
        </w:rPr>
        <w:t>,</w:t>
      </w:r>
      <w:r w:rsidR="00415675" w:rsidRPr="00FF4D95">
        <w:rPr>
          <w:lang w:val="en-GB"/>
        </w:rPr>
        <w:t xml:space="preserve"> one of Tervita’s competitors</w:t>
      </w:r>
      <w:r w:rsidR="00A06F04" w:rsidRPr="00FF4D95">
        <w:rPr>
          <w:lang w:val="en-GB"/>
        </w:rPr>
        <w:t xml:space="preserve">. </w:t>
      </w:r>
      <w:r w:rsidR="00F71FC5" w:rsidRPr="00FF4D95">
        <w:rPr>
          <w:lang w:val="en-GB"/>
        </w:rPr>
        <w:t xml:space="preserve">The complaint </w:t>
      </w:r>
      <w:r w:rsidR="00507DD3" w:rsidRPr="00FF4D95">
        <w:rPr>
          <w:lang w:val="en-GB"/>
        </w:rPr>
        <w:t xml:space="preserve">claimed </w:t>
      </w:r>
      <w:r w:rsidR="0019260D" w:rsidRPr="00FF4D95">
        <w:rPr>
          <w:lang w:val="en-GB"/>
        </w:rPr>
        <w:t xml:space="preserve">that </w:t>
      </w:r>
      <w:r w:rsidR="00507DD3" w:rsidRPr="00FF4D95">
        <w:rPr>
          <w:lang w:val="en-GB"/>
        </w:rPr>
        <w:t xml:space="preserve">the </w:t>
      </w:r>
      <w:r w:rsidR="008C75E1" w:rsidRPr="00FF4D95">
        <w:rPr>
          <w:lang w:val="en-GB"/>
        </w:rPr>
        <w:t xml:space="preserve">price </w:t>
      </w:r>
      <w:r w:rsidR="00D64E4B" w:rsidRPr="00FF4D95">
        <w:rPr>
          <w:lang w:val="en-GB"/>
        </w:rPr>
        <w:t xml:space="preserve">Tervita </w:t>
      </w:r>
      <w:r w:rsidR="00F71FC5" w:rsidRPr="00FF4D95">
        <w:rPr>
          <w:lang w:val="en-GB"/>
        </w:rPr>
        <w:t xml:space="preserve">paid </w:t>
      </w:r>
      <w:r w:rsidR="008C75E1" w:rsidRPr="00FF4D95">
        <w:rPr>
          <w:lang w:val="en-GB"/>
        </w:rPr>
        <w:t xml:space="preserve">for </w:t>
      </w:r>
      <w:r w:rsidR="00D64E4B" w:rsidRPr="00FF4D95">
        <w:rPr>
          <w:lang w:val="en-GB"/>
        </w:rPr>
        <w:t>Complete</w:t>
      </w:r>
      <w:r w:rsidR="00507DD3" w:rsidRPr="00FF4D95">
        <w:rPr>
          <w:lang w:val="en-GB"/>
        </w:rPr>
        <w:t xml:space="preserve"> was </w:t>
      </w:r>
      <w:r w:rsidR="008C75E1" w:rsidRPr="00FF4D95">
        <w:rPr>
          <w:lang w:val="en-GB"/>
        </w:rPr>
        <w:t xml:space="preserve">well </w:t>
      </w:r>
      <w:r w:rsidR="00507DD3" w:rsidRPr="00FF4D95">
        <w:rPr>
          <w:lang w:val="en-GB"/>
        </w:rPr>
        <w:t>above fair market value</w:t>
      </w:r>
      <w:r w:rsidR="00F71FC5" w:rsidRPr="00FF4D95">
        <w:rPr>
          <w:lang w:val="en-GB"/>
        </w:rPr>
        <w:t>,</w:t>
      </w:r>
      <w:r w:rsidR="00507DD3" w:rsidRPr="00FF4D95">
        <w:rPr>
          <w:lang w:val="en-GB"/>
        </w:rPr>
        <w:t xml:space="preserve"> and that </w:t>
      </w:r>
      <w:r w:rsidR="00F71FC5" w:rsidRPr="00FF4D95">
        <w:rPr>
          <w:lang w:val="en-GB"/>
        </w:rPr>
        <w:t>the purchase</w:t>
      </w:r>
      <w:r w:rsidR="00507DD3" w:rsidRPr="00FF4D95">
        <w:rPr>
          <w:lang w:val="en-GB"/>
        </w:rPr>
        <w:t xml:space="preserve"> would eliminate a competitor</w:t>
      </w:r>
      <w:r w:rsidR="00D64E4B" w:rsidRPr="00FF4D95">
        <w:rPr>
          <w:lang w:val="en-GB"/>
        </w:rPr>
        <w:t xml:space="preserve"> in the NEBC market</w:t>
      </w:r>
      <w:r w:rsidR="00507DD3" w:rsidRPr="00FF4D95">
        <w:rPr>
          <w:lang w:val="en-GB"/>
        </w:rPr>
        <w:t>.</w:t>
      </w:r>
      <w:r w:rsidR="00A06F04" w:rsidRPr="00FF4D95">
        <w:rPr>
          <w:lang w:val="en-GB"/>
        </w:rPr>
        <w:t xml:space="preserve"> </w:t>
      </w:r>
    </w:p>
    <w:p w14:paraId="01F3A1FA" w14:textId="77777777" w:rsidR="00F71FC5" w:rsidRPr="00FF4D95" w:rsidRDefault="00F71FC5" w:rsidP="00CA1FFF">
      <w:pPr>
        <w:pStyle w:val="BodyTextMain"/>
        <w:rPr>
          <w:lang w:val="en-GB"/>
        </w:rPr>
      </w:pPr>
    </w:p>
    <w:p w14:paraId="54D2A3B0" w14:textId="7ED37DC7" w:rsidR="00052A7A" w:rsidRDefault="009D4AA9" w:rsidP="00CA1FFF">
      <w:pPr>
        <w:pStyle w:val="BodyTextMain"/>
        <w:rPr>
          <w:lang w:val="en-GB"/>
        </w:rPr>
      </w:pPr>
      <w:r>
        <w:rPr>
          <w:lang w:val="en-GB"/>
        </w:rPr>
        <w:t>The question was</w:t>
      </w:r>
      <w:r w:rsidR="00CA1FFF" w:rsidRPr="00FF4D95">
        <w:rPr>
          <w:lang w:val="en-GB"/>
        </w:rPr>
        <w:t xml:space="preserve"> whether the Competition Bureau should </w:t>
      </w:r>
      <w:r w:rsidR="008C75E1" w:rsidRPr="00FF4D95">
        <w:rPr>
          <w:lang w:val="en-GB"/>
        </w:rPr>
        <w:t xml:space="preserve">challenge </w:t>
      </w:r>
      <w:r w:rsidR="00CA1FFF" w:rsidRPr="00FF4D95">
        <w:rPr>
          <w:lang w:val="en-GB"/>
        </w:rPr>
        <w:t>Tervita’s acquisition</w:t>
      </w:r>
      <w:r w:rsidR="00052A7A" w:rsidRPr="00FF4D95">
        <w:rPr>
          <w:lang w:val="en-GB"/>
        </w:rPr>
        <w:t>. According to the complaint, the acquisition</w:t>
      </w:r>
      <w:r w:rsidR="00CA1FFF" w:rsidRPr="00FF4D95">
        <w:rPr>
          <w:lang w:val="en-GB"/>
        </w:rPr>
        <w:t xml:space="preserve"> would </w:t>
      </w:r>
      <w:r w:rsidR="000057C0" w:rsidRPr="00FF4D95">
        <w:rPr>
          <w:lang w:val="en-GB"/>
        </w:rPr>
        <w:t>lower</w:t>
      </w:r>
      <w:r w:rsidR="00052A7A" w:rsidRPr="00FF4D95">
        <w:rPr>
          <w:lang w:val="en-GB"/>
        </w:rPr>
        <w:t xml:space="preserve"> or eliminate</w:t>
      </w:r>
      <w:r w:rsidR="00CA1FFF" w:rsidRPr="00FF4D95">
        <w:rPr>
          <w:lang w:val="en-GB"/>
        </w:rPr>
        <w:t xml:space="preserve"> competition in the region.</w:t>
      </w:r>
      <w:r w:rsidR="0019260D" w:rsidRPr="00FF4D95">
        <w:rPr>
          <w:lang w:val="en-GB"/>
        </w:rPr>
        <w:t xml:space="preserve"> </w:t>
      </w:r>
      <w:r w:rsidR="000057C0" w:rsidRPr="00FF4D95">
        <w:rPr>
          <w:lang w:val="en-GB"/>
        </w:rPr>
        <w:t>At the time</w:t>
      </w:r>
      <w:r w:rsidR="009B51E9" w:rsidRPr="00FF4D95">
        <w:rPr>
          <w:lang w:val="en-GB"/>
        </w:rPr>
        <w:t>, o</w:t>
      </w:r>
      <w:r w:rsidR="009F2B63" w:rsidRPr="00FF4D95">
        <w:rPr>
          <w:lang w:val="en-GB"/>
        </w:rPr>
        <w:t xml:space="preserve">nly </w:t>
      </w:r>
      <w:r w:rsidR="003F5324" w:rsidRPr="00FF4D95">
        <w:rPr>
          <w:lang w:val="en-GB"/>
        </w:rPr>
        <w:t>two</w:t>
      </w:r>
      <w:r w:rsidR="009F2B63" w:rsidRPr="00FF4D95">
        <w:rPr>
          <w:lang w:val="en-GB"/>
        </w:rPr>
        <w:t xml:space="preserve"> secure landfills </w:t>
      </w:r>
      <w:r w:rsidR="00D64E4B" w:rsidRPr="00FF4D95">
        <w:rPr>
          <w:lang w:val="en-GB"/>
        </w:rPr>
        <w:t xml:space="preserve">operated </w:t>
      </w:r>
      <w:r w:rsidR="009F2B63" w:rsidRPr="00FF4D95">
        <w:rPr>
          <w:lang w:val="en-GB"/>
        </w:rPr>
        <w:t>in NEBC</w:t>
      </w:r>
      <w:r w:rsidR="00052A7A" w:rsidRPr="00FF4D95">
        <w:rPr>
          <w:lang w:val="en-GB"/>
        </w:rPr>
        <w:t xml:space="preserve">: </w:t>
      </w:r>
      <w:r w:rsidR="00D64E4B" w:rsidRPr="00FF4D95">
        <w:rPr>
          <w:lang w:val="en-GB"/>
        </w:rPr>
        <w:t>Silverberry and Northern Rockies</w:t>
      </w:r>
      <w:r w:rsidR="00052A7A" w:rsidRPr="00FF4D95">
        <w:rPr>
          <w:lang w:val="en-GB"/>
        </w:rPr>
        <w:t>. B</w:t>
      </w:r>
      <w:r w:rsidR="003F5324" w:rsidRPr="00FF4D95">
        <w:rPr>
          <w:lang w:val="en-GB"/>
        </w:rPr>
        <w:t>oth</w:t>
      </w:r>
      <w:r w:rsidR="009F2B63" w:rsidRPr="00FF4D95">
        <w:rPr>
          <w:lang w:val="en-GB"/>
        </w:rPr>
        <w:t xml:space="preserve"> </w:t>
      </w:r>
      <w:r w:rsidR="00052A7A" w:rsidRPr="00FF4D95">
        <w:rPr>
          <w:lang w:val="en-GB"/>
        </w:rPr>
        <w:t xml:space="preserve">sites </w:t>
      </w:r>
      <w:r w:rsidR="000057C0" w:rsidRPr="00FF4D95">
        <w:rPr>
          <w:lang w:val="en-GB"/>
        </w:rPr>
        <w:t>we</w:t>
      </w:r>
      <w:r w:rsidR="000A169E" w:rsidRPr="00FF4D95">
        <w:rPr>
          <w:lang w:val="en-GB"/>
        </w:rPr>
        <w:t xml:space="preserve">re </w:t>
      </w:r>
      <w:r w:rsidR="009F2B63" w:rsidRPr="00FF4D95">
        <w:rPr>
          <w:lang w:val="en-GB"/>
        </w:rPr>
        <w:t>owned by Tervita</w:t>
      </w:r>
      <w:r w:rsidR="00052A7A" w:rsidRPr="00FF4D95">
        <w:rPr>
          <w:lang w:val="en-GB"/>
        </w:rPr>
        <w:t>,</w:t>
      </w:r>
      <w:r w:rsidR="000057C0" w:rsidRPr="00FF4D95">
        <w:rPr>
          <w:lang w:val="en-GB"/>
        </w:rPr>
        <w:t xml:space="preserve"> a </w:t>
      </w:r>
      <w:r w:rsidR="005A0842" w:rsidRPr="00FF4D95">
        <w:rPr>
          <w:lang w:val="en-GB"/>
        </w:rPr>
        <w:t xml:space="preserve">large diversified </w:t>
      </w:r>
      <w:r w:rsidR="009B51E9" w:rsidRPr="00FF4D95">
        <w:rPr>
          <w:lang w:val="en-GB"/>
        </w:rPr>
        <w:t>company</w:t>
      </w:r>
      <w:r w:rsidR="00052A7A" w:rsidRPr="00FF4D95">
        <w:rPr>
          <w:lang w:val="en-GB"/>
        </w:rPr>
        <w:t>.</w:t>
      </w:r>
      <w:r w:rsidR="000057C0" w:rsidRPr="00FF4D95">
        <w:rPr>
          <w:lang w:val="en-GB"/>
        </w:rPr>
        <w:t xml:space="preserve"> Tervita</w:t>
      </w:r>
      <w:r w:rsidR="005A0842" w:rsidRPr="00FF4D95">
        <w:rPr>
          <w:lang w:val="en-GB"/>
        </w:rPr>
        <w:t xml:space="preserve"> </w:t>
      </w:r>
      <w:r w:rsidR="008C75E1" w:rsidRPr="00FF4D95">
        <w:rPr>
          <w:lang w:val="en-GB"/>
        </w:rPr>
        <w:t>provide</w:t>
      </w:r>
      <w:r w:rsidR="000057C0" w:rsidRPr="00FF4D95">
        <w:rPr>
          <w:lang w:val="en-GB"/>
        </w:rPr>
        <w:t>d</w:t>
      </w:r>
      <w:r w:rsidR="009B51E9" w:rsidRPr="00FF4D95">
        <w:rPr>
          <w:lang w:val="en-GB"/>
        </w:rPr>
        <w:t xml:space="preserve"> a wide</w:t>
      </w:r>
      <w:r w:rsidR="00B738B6">
        <w:rPr>
          <w:lang w:val="en-GB"/>
        </w:rPr>
        <w:t xml:space="preserve"> </w:t>
      </w:r>
      <w:r w:rsidR="009B51E9" w:rsidRPr="00FF4D95">
        <w:rPr>
          <w:lang w:val="en-GB"/>
        </w:rPr>
        <w:t>range of</w:t>
      </w:r>
      <w:r w:rsidR="005A0842" w:rsidRPr="00FF4D95">
        <w:rPr>
          <w:lang w:val="en-GB"/>
        </w:rPr>
        <w:t xml:space="preserve"> waste management, recovery</w:t>
      </w:r>
      <w:r w:rsidR="000057C0" w:rsidRPr="00FF4D95">
        <w:rPr>
          <w:lang w:val="en-GB"/>
        </w:rPr>
        <w:t>,</w:t>
      </w:r>
      <w:r w:rsidR="005A0842" w:rsidRPr="00FF4D95">
        <w:rPr>
          <w:lang w:val="en-GB"/>
        </w:rPr>
        <w:t xml:space="preserve"> and disposal s</w:t>
      </w:r>
      <w:r w:rsidR="009B51E9" w:rsidRPr="00FF4D95">
        <w:rPr>
          <w:lang w:val="en-GB"/>
        </w:rPr>
        <w:t>ervices</w:t>
      </w:r>
      <w:r w:rsidR="005A0842" w:rsidRPr="00FF4D95">
        <w:rPr>
          <w:lang w:val="en-GB"/>
        </w:rPr>
        <w:t xml:space="preserve"> to the</w:t>
      </w:r>
      <w:r w:rsidR="009B51E9" w:rsidRPr="00FF4D95">
        <w:rPr>
          <w:lang w:val="en-GB"/>
        </w:rPr>
        <w:t xml:space="preserve"> North American</w:t>
      </w:r>
      <w:r w:rsidR="005A0842" w:rsidRPr="00FF4D95">
        <w:rPr>
          <w:lang w:val="en-GB"/>
        </w:rPr>
        <w:t xml:space="preserve"> oil and gas industry. </w:t>
      </w:r>
      <w:r>
        <w:rPr>
          <w:lang w:val="en-GB"/>
        </w:rPr>
        <w:t>Aitken seemed to agree, stating:</w:t>
      </w:r>
    </w:p>
    <w:p w14:paraId="05D7EA8E" w14:textId="77777777" w:rsidR="009D4AA9" w:rsidRDefault="009D4AA9" w:rsidP="00CA1FFF">
      <w:pPr>
        <w:pStyle w:val="BodyTextMain"/>
        <w:rPr>
          <w:lang w:val="en-GB"/>
        </w:rPr>
      </w:pPr>
    </w:p>
    <w:p w14:paraId="474E0E84" w14:textId="5C9F6CDB" w:rsidR="009D4AA9" w:rsidRPr="00FF4D95" w:rsidRDefault="009D4AA9" w:rsidP="001A1BA8">
      <w:pPr>
        <w:pStyle w:val="BodyTextMain"/>
        <w:ind w:left="720"/>
        <w:rPr>
          <w:lang w:val="en-GB"/>
        </w:rPr>
      </w:pPr>
      <w:r>
        <w:rPr>
          <w:lang w:val="en-GB"/>
        </w:rPr>
        <w:t xml:space="preserve">(Tervita’s) purchase of the Babkirk Secure Landfill prevents competition substantially. </w:t>
      </w:r>
      <w:r w:rsidRPr="009D4AA9">
        <w:rPr>
          <w:lang w:val="en-GB"/>
        </w:rPr>
        <w:t>By purchasing, rather than face competing with the Babkirk Secure Landfill, CCS will prevent the entry of competition into the market for secure hazardous waste disposal in Northeastern British Columbia.</w:t>
      </w:r>
      <w:r>
        <w:rPr>
          <w:rStyle w:val="FootnoteReference"/>
          <w:lang w:val="en-GB"/>
        </w:rPr>
        <w:footnoteReference w:id="2"/>
      </w:r>
    </w:p>
    <w:p w14:paraId="2EB3C05D" w14:textId="77777777" w:rsidR="005A0842" w:rsidRPr="00FF4D95" w:rsidRDefault="005A0842" w:rsidP="00CA1FFF">
      <w:pPr>
        <w:pStyle w:val="BodyTextMain"/>
        <w:rPr>
          <w:lang w:val="en-GB"/>
        </w:rPr>
      </w:pPr>
    </w:p>
    <w:p w14:paraId="40E78C2C" w14:textId="128D43F7" w:rsidR="008C75E1" w:rsidRDefault="000057C0" w:rsidP="00CA1FFF">
      <w:pPr>
        <w:pStyle w:val="BodyTextMain"/>
        <w:rPr>
          <w:lang w:val="en-GB"/>
        </w:rPr>
      </w:pPr>
      <w:r w:rsidRPr="00FF4D95">
        <w:rPr>
          <w:lang w:val="en-GB"/>
        </w:rPr>
        <w:t xml:space="preserve">In addition to the two landfill sites </w:t>
      </w:r>
      <w:r w:rsidR="00256BE1" w:rsidRPr="00FF4D95">
        <w:rPr>
          <w:lang w:val="en-GB"/>
        </w:rPr>
        <w:t>owned by</w:t>
      </w:r>
      <w:r w:rsidR="00D64E4B" w:rsidRPr="00FF4D95">
        <w:rPr>
          <w:lang w:val="en-GB"/>
        </w:rPr>
        <w:t xml:space="preserve"> Tervita, </w:t>
      </w:r>
      <w:r w:rsidR="003F5324" w:rsidRPr="00FF4D95">
        <w:rPr>
          <w:lang w:val="en-GB"/>
        </w:rPr>
        <w:t>two</w:t>
      </w:r>
      <w:r w:rsidR="00D64E4B" w:rsidRPr="00FF4D95">
        <w:rPr>
          <w:lang w:val="en-GB"/>
        </w:rPr>
        <w:t xml:space="preserve"> </w:t>
      </w:r>
      <w:r w:rsidRPr="00FF4D95">
        <w:rPr>
          <w:lang w:val="en-GB"/>
        </w:rPr>
        <w:t>other</w:t>
      </w:r>
      <w:r w:rsidR="003F5324" w:rsidRPr="00FF4D95">
        <w:rPr>
          <w:lang w:val="en-GB"/>
        </w:rPr>
        <w:t xml:space="preserve"> secure landfill sites had been granted </w:t>
      </w:r>
      <w:r w:rsidR="00D64E4B" w:rsidRPr="00FF4D95">
        <w:rPr>
          <w:lang w:val="en-GB"/>
        </w:rPr>
        <w:t xml:space="preserve">regulatory </w:t>
      </w:r>
      <w:r w:rsidR="003F5324" w:rsidRPr="00FF4D95">
        <w:rPr>
          <w:lang w:val="en-GB"/>
        </w:rPr>
        <w:t xml:space="preserve">approval to operate: </w:t>
      </w:r>
      <w:r w:rsidRPr="00FF4D95">
        <w:rPr>
          <w:lang w:val="en-GB"/>
        </w:rPr>
        <w:t>Babkirk and Peejay.</w:t>
      </w:r>
      <w:r w:rsidR="003F5324" w:rsidRPr="00FF4D95">
        <w:rPr>
          <w:lang w:val="en-GB"/>
        </w:rPr>
        <w:t xml:space="preserve"> </w:t>
      </w:r>
      <w:r w:rsidRPr="00FF4D95">
        <w:rPr>
          <w:lang w:val="en-GB"/>
        </w:rPr>
        <w:t xml:space="preserve">The </w:t>
      </w:r>
      <w:r w:rsidR="009F2B63" w:rsidRPr="00FF4D95">
        <w:rPr>
          <w:lang w:val="en-GB"/>
        </w:rPr>
        <w:t xml:space="preserve">Babkirk facility, </w:t>
      </w:r>
      <w:r w:rsidR="00881305" w:rsidRPr="00FF4D95">
        <w:rPr>
          <w:lang w:val="en-GB"/>
        </w:rPr>
        <w:t xml:space="preserve">which was </w:t>
      </w:r>
      <w:r w:rsidR="003F5324" w:rsidRPr="00FF4D95">
        <w:rPr>
          <w:lang w:val="en-GB"/>
        </w:rPr>
        <w:t xml:space="preserve">granted approval in February 2010, </w:t>
      </w:r>
      <w:r w:rsidRPr="00FF4D95">
        <w:rPr>
          <w:lang w:val="en-GB"/>
        </w:rPr>
        <w:t>was located a 90-minute drive from the Silverberry facility (see Exhibit 1).</w:t>
      </w:r>
      <w:r w:rsidR="009F2B63" w:rsidRPr="00FF4D95">
        <w:rPr>
          <w:lang w:val="en-GB"/>
        </w:rPr>
        <w:t xml:space="preserve"> </w:t>
      </w:r>
      <w:r w:rsidRPr="00FF4D95">
        <w:rPr>
          <w:lang w:val="en-GB"/>
        </w:rPr>
        <w:t>T</w:t>
      </w:r>
      <w:r w:rsidR="003F5324" w:rsidRPr="00FF4D95">
        <w:rPr>
          <w:lang w:val="en-GB"/>
        </w:rPr>
        <w:t xml:space="preserve">he Peejay </w:t>
      </w:r>
      <w:r w:rsidRPr="00FF4D95">
        <w:rPr>
          <w:lang w:val="en-GB"/>
        </w:rPr>
        <w:t>s</w:t>
      </w:r>
      <w:r w:rsidR="003F5324" w:rsidRPr="00FF4D95">
        <w:rPr>
          <w:lang w:val="en-GB"/>
        </w:rPr>
        <w:t xml:space="preserve">ecure </w:t>
      </w:r>
      <w:r w:rsidRPr="00FF4D95">
        <w:rPr>
          <w:lang w:val="en-GB"/>
        </w:rPr>
        <w:t>l</w:t>
      </w:r>
      <w:r w:rsidR="003F5324" w:rsidRPr="00FF4D95">
        <w:rPr>
          <w:lang w:val="en-GB"/>
        </w:rPr>
        <w:t xml:space="preserve">andfill project, </w:t>
      </w:r>
      <w:r w:rsidR="00881305" w:rsidRPr="00FF4D95">
        <w:rPr>
          <w:lang w:val="en-GB"/>
        </w:rPr>
        <w:t xml:space="preserve">which was </w:t>
      </w:r>
      <w:r w:rsidR="003F5324" w:rsidRPr="00FF4D95">
        <w:rPr>
          <w:lang w:val="en-GB"/>
        </w:rPr>
        <w:t>approved in 2008</w:t>
      </w:r>
      <w:r w:rsidRPr="00FF4D95">
        <w:rPr>
          <w:lang w:val="en-GB"/>
        </w:rPr>
        <w:t>,</w:t>
      </w:r>
      <w:r w:rsidR="003F5324" w:rsidRPr="00FF4D95">
        <w:rPr>
          <w:lang w:val="en-GB"/>
        </w:rPr>
        <w:t xml:space="preserve"> </w:t>
      </w:r>
      <w:r w:rsidR="00A0269E" w:rsidRPr="00FF4D95">
        <w:rPr>
          <w:lang w:val="en-GB"/>
        </w:rPr>
        <w:t xml:space="preserve">was </w:t>
      </w:r>
      <w:r w:rsidR="003F5324" w:rsidRPr="00FF4D95">
        <w:rPr>
          <w:lang w:val="en-GB"/>
        </w:rPr>
        <w:t>not yet operational</w:t>
      </w:r>
      <w:r w:rsidR="00256BE1" w:rsidRPr="00FF4D95">
        <w:rPr>
          <w:lang w:val="en-GB"/>
        </w:rPr>
        <w:t>; in</w:t>
      </w:r>
      <w:r w:rsidR="00052A7A" w:rsidRPr="00FF4D95">
        <w:rPr>
          <w:lang w:val="en-GB"/>
        </w:rPr>
        <w:t xml:space="preserve"> </w:t>
      </w:r>
      <w:r w:rsidR="00256BE1" w:rsidRPr="00FF4D95">
        <w:rPr>
          <w:lang w:val="en-GB"/>
        </w:rPr>
        <w:t>fact,</w:t>
      </w:r>
      <w:r w:rsidR="00881305" w:rsidRPr="00FF4D95">
        <w:rPr>
          <w:lang w:val="en-GB"/>
        </w:rPr>
        <w:t xml:space="preserve"> construction had not even </w:t>
      </w:r>
      <w:r w:rsidR="00FB0C88" w:rsidRPr="00FF4D95">
        <w:rPr>
          <w:lang w:val="en-GB"/>
        </w:rPr>
        <w:t>started</w:t>
      </w:r>
      <w:r w:rsidR="003F5324" w:rsidRPr="00FF4D95">
        <w:rPr>
          <w:lang w:val="en-GB"/>
        </w:rPr>
        <w:t>.</w:t>
      </w:r>
      <w:r w:rsidR="00A0269E" w:rsidRPr="00FF4D95">
        <w:rPr>
          <w:lang w:val="en-GB"/>
        </w:rPr>
        <w:t xml:space="preserve"> </w:t>
      </w:r>
    </w:p>
    <w:p w14:paraId="2FF4CBC8" w14:textId="50751A32" w:rsidR="003F5324" w:rsidRPr="00FF4D95" w:rsidRDefault="009D4AA9" w:rsidP="00CA1FFF">
      <w:pPr>
        <w:pStyle w:val="BodyTextMain"/>
        <w:rPr>
          <w:lang w:val="en-GB"/>
        </w:rPr>
      </w:pPr>
      <w:r>
        <w:rPr>
          <w:lang w:val="en-GB"/>
        </w:rPr>
        <w:lastRenderedPageBreak/>
        <w:t xml:space="preserve">The Competition Bureau, as part of the challenge, would </w:t>
      </w:r>
      <w:r w:rsidR="008C75E1" w:rsidRPr="00FF4D95">
        <w:rPr>
          <w:lang w:val="en-GB"/>
        </w:rPr>
        <w:t xml:space="preserve">evaluate the economics underlying Tervita’s decision to pay a premium </w:t>
      </w:r>
      <w:r w:rsidR="00052A7A" w:rsidRPr="00FF4D95">
        <w:rPr>
          <w:lang w:val="en-GB"/>
        </w:rPr>
        <w:t xml:space="preserve">price </w:t>
      </w:r>
      <w:r w:rsidR="009B51E9" w:rsidRPr="00FF4D95">
        <w:rPr>
          <w:lang w:val="en-GB"/>
        </w:rPr>
        <w:t xml:space="preserve">for </w:t>
      </w:r>
      <w:r w:rsidR="008C75E1" w:rsidRPr="00FF4D95">
        <w:rPr>
          <w:lang w:val="en-GB"/>
        </w:rPr>
        <w:t xml:space="preserve">Complete. </w:t>
      </w:r>
      <w:r>
        <w:rPr>
          <w:lang w:val="en-GB"/>
        </w:rPr>
        <w:t>It would also</w:t>
      </w:r>
      <w:r w:rsidR="008C75E1" w:rsidRPr="00FF4D95">
        <w:rPr>
          <w:lang w:val="en-GB"/>
        </w:rPr>
        <w:t xml:space="preserve"> need to determine whether the acquisition violated the </w:t>
      </w:r>
      <w:r w:rsidR="008C75E1" w:rsidRPr="00FF4D95">
        <w:rPr>
          <w:i/>
          <w:lang w:val="en-GB"/>
        </w:rPr>
        <w:t>Competition Act</w:t>
      </w:r>
      <w:r w:rsidR="00FB0C88" w:rsidRPr="00FF4D95">
        <w:rPr>
          <w:i/>
          <w:lang w:val="en-GB"/>
        </w:rPr>
        <w:t>,</w:t>
      </w:r>
      <w:r w:rsidR="008C75E1" w:rsidRPr="00FF4D95">
        <w:rPr>
          <w:i/>
          <w:lang w:val="en-GB"/>
        </w:rPr>
        <w:t xml:space="preserve"> </w:t>
      </w:r>
      <w:r w:rsidR="008C75E1" w:rsidRPr="00FF4D95">
        <w:rPr>
          <w:lang w:val="en-GB"/>
        </w:rPr>
        <w:t>or whether the complaint was</w:t>
      </w:r>
      <w:r w:rsidR="009B51E9" w:rsidRPr="00FF4D95">
        <w:rPr>
          <w:lang w:val="en-GB"/>
        </w:rPr>
        <w:t xml:space="preserve"> merely</w:t>
      </w:r>
      <w:r w:rsidR="008C75E1" w:rsidRPr="00FF4D95">
        <w:rPr>
          <w:lang w:val="en-GB"/>
        </w:rPr>
        <w:t xml:space="preserve"> </w:t>
      </w:r>
      <w:r w:rsidR="00FB0C88" w:rsidRPr="00FF4D95">
        <w:rPr>
          <w:lang w:val="en-GB"/>
        </w:rPr>
        <w:t xml:space="preserve">a </w:t>
      </w:r>
      <w:r w:rsidR="008C75E1" w:rsidRPr="00FF4D95">
        <w:rPr>
          <w:lang w:val="en-GB"/>
        </w:rPr>
        <w:t>frivolous</w:t>
      </w:r>
      <w:r w:rsidR="00FB0C88" w:rsidRPr="00FF4D95">
        <w:rPr>
          <w:lang w:val="en-GB"/>
        </w:rPr>
        <w:t xml:space="preserve"> case of</w:t>
      </w:r>
      <w:r w:rsidR="009B51E9" w:rsidRPr="00FF4D95">
        <w:rPr>
          <w:lang w:val="en-GB"/>
        </w:rPr>
        <w:t xml:space="preserve"> “sour</w:t>
      </w:r>
      <w:r w:rsidR="00B738B6">
        <w:rPr>
          <w:lang w:val="en-GB"/>
        </w:rPr>
        <w:t xml:space="preserve"> </w:t>
      </w:r>
      <w:r w:rsidR="009B51E9" w:rsidRPr="00FF4D95">
        <w:rPr>
          <w:lang w:val="en-GB"/>
        </w:rPr>
        <w:t>grapes</w:t>
      </w:r>
      <w:r w:rsidR="00FB0C88" w:rsidRPr="00FF4D95">
        <w:rPr>
          <w:lang w:val="en-GB"/>
        </w:rPr>
        <w:t>,</w:t>
      </w:r>
      <w:r w:rsidR="009B51E9" w:rsidRPr="00FF4D95">
        <w:rPr>
          <w:lang w:val="en-GB"/>
        </w:rPr>
        <w:t xml:space="preserve">” </w:t>
      </w:r>
      <w:r w:rsidR="00FB0C88" w:rsidRPr="00FF4D95">
        <w:rPr>
          <w:lang w:val="en-GB"/>
        </w:rPr>
        <w:t xml:space="preserve">an expression of </w:t>
      </w:r>
      <w:r w:rsidR="009B51E9" w:rsidRPr="00FF4D95">
        <w:rPr>
          <w:lang w:val="en-GB"/>
        </w:rPr>
        <w:t>ang</w:t>
      </w:r>
      <w:r w:rsidR="00FB0C88" w:rsidRPr="00FF4D95">
        <w:rPr>
          <w:lang w:val="en-GB"/>
        </w:rPr>
        <w:t>e</w:t>
      </w:r>
      <w:r w:rsidR="009B51E9" w:rsidRPr="00FF4D95">
        <w:rPr>
          <w:lang w:val="en-GB"/>
        </w:rPr>
        <w:t>r</w:t>
      </w:r>
      <w:r w:rsidR="00FB0C88" w:rsidRPr="00FF4D95">
        <w:rPr>
          <w:lang w:val="en-GB"/>
        </w:rPr>
        <w:t xml:space="preserve"> </w:t>
      </w:r>
      <w:r w:rsidR="00052A7A" w:rsidRPr="00FF4D95">
        <w:rPr>
          <w:lang w:val="en-GB"/>
        </w:rPr>
        <w:t>by SECURE stemming from its own</w:t>
      </w:r>
      <w:r w:rsidR="008C75E1" w:rsidRPr="00FF4D95">
        <w:rPr>
          <w:lang w:val="en-GB"/>
        </w:rPr>
        <w:t xml:space="preserve"> </w:t>
      </w:r>
      <w:r w:rsidR="00287E31" w:rsidRPr="00FF4D95">
        <w:rPr>
          <w:lang w:val="en-GB"/>
        </w:rPr>
        <w:t>fail</w:t>
      </w:r>
      <w:r w:rsidR="00FB0C88" w:rsidRPr="00FF4D95">
        <w:rPr>
          <w:lang w:val="en-GB"/>
        </w:rPr>
        <w:t xml:space="preserve">ure </w:t>
      </w:r>
      <w:r w:rsidR="008C75E1" w:rsidRPr="00FF4D95">
        <w:rPr>
          <w:lang w:val="en-GB"/>
        </w:rPr>
        <w:t xml:space="preserve">to acquire Complete. </w:t>
      </w:r>
      <w:r>
        <w:rPr>
          <w:lang w:val="en-GB"/>
        </w:rPr>
        <w:t>Observers wondered if the Competition Bureau had</w:t>
      </w:r>
      <w:r w:rsidR="00A0269E" w:rsidRPr="00FF4D95">
        <w:rPr>
          <w:lang w:val="en-GB"/>
        </w:rPr>
        <w:t xml:space="preserve"> a strong </w:t>
      </w:r>
      <w:r w:rsidR="009B51E9" w:rsidRPr="00FF4D95">
        <w:rPr>
          <w:lang w:val="en-GB"/>
        </w:rPr>
        <w:t xml:space="preserve">legal and economic </w:t>
      </w:r>
      <w:r>
        <w:rPr>
          <w:lang w:val="en-GB"/>
        </w:rPr>
        <w:t>case.</w:t>
      </w:r>
    </w:p>
    <w:p w14:paraId="7B22FE1E" w14:textId="77777777" w:rsidR="000A169E" w:rsidRDefault="000A169E" w:rsidP="00D600C3">
      <w:pPr>
        <w:pStyle w:val="BodyTextMain"/>
        <w:rPr>
          <w:lang w:val="en-GB"/>
        </w:rPr>
      </w:pPr>
    </w:p>
    <w:p w14:paraId="0D2B0F36" w14:textId="77777777" w:rsidR="00C86A31" w:rsidRPr="00FF4D95" w:rsidRDefault="00C86A31" w:rsidP="00D600C3">
      <w:pPr>
        <w:pStyle w:val="BodyTextMain"/>
        <w:rPr>
          <w:lang w:val="en-GB"/>
        </w:rPr>
      </w:pPr>
    </w:p>
    <w:p w14:paraId="10BDD754" w14:textId="77777777" w:rsidR="009A39DD" w:rsidRPr="00FF4D95" w:rsidRDefault="009B51E9" w:rsidP="00D600C3">
      <w:pPr>
        <w:pStyle w:val="BodyTextMain"/>
        <w:rPr>
          <w:rFonts w:ascii="Arial" w:hAnsi="Arial" w:cs="Arial"/>
          <w:b/>
          <w:sz w:val="20"/>
          <w:szCs w:val="20"/>
          <w:lang w:val="en-GB"/>
        </w:rPr>
      </w:pPr>
      <w:r w:rsidRPr="00FF4D95">
        <w:rPr>
          <w:rFonts w:ascii="Arial" w:hAnsi="Arial" w:cs="Arial"/>
          <w:b/>
          <w:sz w:val="20"/>
          <w:szCs w:val="20"/>
          <w:lang w:val="en-GB"/>
        </w:rPr>
        <w:t>CANADIAN COMPETITION ACT</w:t>
      </w:r>
    </w:p>
    <w:p w14:paraId="5DFA6FB4" w14:textId="77777777" w:rsidR="00CE5A43" w:rsidRPr="00FF4D95" w:rsidRDefault="00CE5A43" w:rsidP="00777980">
      <w:pPr>
        <w:pStyle w:val="BodyTextMain"/>
        <w:rPr>
          <w:lang w:val="en-GB"/>
        </w:rPr>
      </w:pPr>
    </w:p>
    <w:p w14:paraId="6B9C4373" w14:textId="0FC75B2B" w:rsidR="004F57D7" w:rsidRPr="00FF4D95" w:rsidRDefault="00B75B9A" w:rsidP="00777980">
      <w:pPr>
        <w:pStyle w:val="BodyTextMain"/>
        <w:rPr>
          <w:lang w:val="en-GB"/>
        </w:rPr>
      </w:pPr>
      <w:r w:rsidRPr="00FF4D95">
        <w:rPr>
          <w:lang w:val="en-GB"/>
        </w:rPr>
        <w:t xml:space="preserve">The Government of Canada </w:t>
      </w:r>
      <w:r w:rsidR="004F57D7" w:rsidRPr="00FF4D95">
        <w:rPr>
          <w:lang w:val="en-GB"/>
        </w:rPr>
        <w:t xml:space="preserve">cited its reasons for </w:t>
      </w:r>
      <w:r w:rsidRPr="00FF4D95">
        <w:rPr>
          <w:lang w:val="en-GB"/>
        </w:rPr>
        <w:t>enact</w:t>
      </w:r>
      <w:r w:rsidR="004F57D7" w:rsidRPr="00FF4D95">
        <w:rPr>
          <w:lang w:val="en-GB"/>
        </w:rPr>
        <w:t>ing</w:t>
      </w:r>
      <w:r w:rsidRPr="00FF4D95">
        <w:rPr>
          <w:lang w:val="en-GB"/>
        </w:rPr>
        <w:t xml:space="preserve"> the </w:t>
      </w:r>
      <w:r w:rsidRPr="00FF4D95">
        <w:rPr>
          <w:i/>
          <w:lang w:val="en-GB"/>
        </w:rPr>
        <w:t>Competition Act</w:t>
      </w:r>
      <w:r w:rsidR="00052A7A" w:rsidRPr="00FF4D95">
        <w:rPr>
          <w:lang w:val="en-GB"/>
        </w:rPr>
        <w:t xml:space="preserve"> as follows:</w:t>
      </w:r>
    </w:p>
    <w:p w14:paraId="64D484AB" w14:textId="77777777" w:rsidR="004F57D7" w:rsidRPr="00FF4D95" w:rsidRDefault="004F57D7" w:rsidP="00777980">
      <w:pPr>
        <w:pStyle w:val="BodyTextMain"/>
        <w:rPr>
          <w:lang w:val="en-GB"/>
        </w:rPr>
      </w:pPr>
    </w:p>
    <w:p w14:paraId="47F2718E" w14:textId="587FD3A7" w:rsidR="004F57D7" w:rsidRPr="00FF4D95" w:rsidRDefault="004F57D7" w:rsidP="003E3B9D">
      <w:pPr>
        <w:pStyle w:val="BodyTextMain"/>
        <w:ind w:left="720"/>
        <w:rPr>
          <w:lang w:val="en-GB"/>
        </w:rPr>
      </w:pPr>
      <w:r w:rsidRPr="00FF4D95">
        <w:rPr>
          <w:lang w:val="en-GB"/>
        </w:rPr>
        <w:t>T</w:t>
      </w:r>
      <w:r w:rsidR="00B75B9A" w:rsidRPr="00FF4D95">
        <w:rPr>
          <w:lang w:val="en-GB"/>
        </w:rPr>
        <w:t xml:space="preserve">o promote the efficiency and adaptability of the Canadian economy, expand opportunities for Canadian participation in world markets while at the same time recognizing the role of foreign competition in Canada, ensure that small and medium-sized enterprises have an equitable opportunity to participate in the Canadian economy and </w:t>
      </w:r>
      <w:r w:rsidR="00D64E4B" w:rsidRPr="00FF4D95">
        <w:rPr>
          <w:lang w:val="en-GB"/>
        </w:rPr>
        <w:t xml:space="preserve">[to] </w:t>
      </w:r>
      <w:r w:rsidR="00B75B9A" w:rsidRPr="00FF4D95">
        <w:rPr>
          <w:lang w:val="en-GB"/>
        </w:rPr>
        <w:t>provide consumers with competitive prices and product choices.</w:t>
      </w:r>
      <w:r w:rsidR="00B75B9A" w:rsidRPr="00FF4D95">
        <w:rPr>
          <w:rStyle w:val="FootnoteReference"/>
          <w:lang w:val="en-GB"/>
        </w:rPr>
        <w:footnoteReference w:id="3"/>
      </w:r>
      <w:r w:rsidR="008C75E1" w:rsidRPr="00FF4D95">
        <w:rPr>
          <w:lang w:val="en-GB"/>
        </w:rPr>
        <w:t xml:space="preserve"> </w:t>
      </w:r>
    </w:p>
    <w:p w14:paraId="3AFB41D5" w14:textId="77777777" w:rsidR="004F57D7" w:rsidRPr="00FF4D95" w:rsidRDefault="004F57D7" w:rsidP="00777980">
      <w:pPr>
        <w:pStyle w:val="BodyTextMain"/>
        <w:rPr>
          <w:lang w:val="en-GB"/>
        </w:rPr>
      </w:pPr>
    </w:p>
    <w:p w14:paraId="54195BC6" w14:textId="392D1C65" w:rsidR="00CE5A43" w:rsidRPr="00FF4D95" w:rsidRDefault="004F57D7" w:rsidP="00777980">
      <w:pPr>
        <w:pStyle w:val="BodyTextMain"/>
        <w:rPr>
          <w:lang w:val="en-GB"/>
        </w:rPr>
      </w:pPr>
      <w:r w:rsidRPr="00FF4D95">
        <w:rPr>
          <w:lang w:val="en-GB"/>
        </w:rPr>
        <w:t xml:space="preserve">The act was </w:t>
      </w:r>
      <w:r w:rsidR="008C75E1" w:rsidRPr="00FF4D95">
        <w:rPr>
          <w:lang w:val="en-GB"/>
        </w:rPr>
        <w:t>the</w:t>
      </w:r>
      <w:r w:rsidR="006925C0" w:rsidRPr="00FF4D95">
        <w:rPr>
          <w:lang w:val="en-GB"/>
        </w:rPr>
        <w:t xml:space="preserve"> federal l</w:t>
      </w:r>
      <w:r w:rsidR="008C75E1" w:rsidRPr="00FF4D95">
        <w:rPr>
          <w:lang w:val="en-GB"/>
        </w:rPr>
        <w:t>egislation</w:t>
      </w:r>
      <w:r w:rsidR="006925C0" w:rsidRPr="00FF4D95">
        <w:rPr>
          <w:lang w:val="en-GB"/>
        </w:rPr>
        <w:t xml:space="preserve"> govern</w:t>
      </w:r>
      <w:r w:rsidR="002D6FFF" w:rsidRPr="00FF4D95">
        <w:rPr>
          <w:lang w:val="en-GB"/>
        </w:rPr>
        <w:t>ing</w:t>
      </w:r>
      <w:r w:rsidR="006925C0" w:rsidRPr="00FF4D95">
        <w:rPr>
          <w:lang w:val="en-GB"/>
        </w:rPr>
        <w:t xml:space="preserve"> competition law in Canada</w:t>
      </w:r>
      <w:r w:rsidR="008506A3" w:rsidRPr="00FF4D95">
        <w:rPr>
          <w:lang w:val="en-GB"/>
        </w:rPr>
        <w:t>. I</w:t>
      </w:r>
      <w:r w:rsidR="00D64E4B" w:rsidRPr="00FF4D95">
        <w:rPr>
          <w:lang w:val="en-GB"/>
        </w:rPr>
        <w:t xml:space="preserve">ts </w:t>
      </w:r>
      <w:r w:rsidR="006925C0" w:rsidRPr="00FF4D95">
        <w:rPr>
          <w:lang w:val="en-GB"/>
        </w:rPr>
        <w:t xml:space="preserve">enforcement and administration </w:t>
      </w:r>
      <w:r w:rsidR="002D6FFF" w:rsidRPr="00FF4D95">
        <w:rPr>
          <w:lang w:val="en-GB"/>
        </w:rPr>
        <w:t>w</w:t>
      </w:r>
      <w:r w:rsidR="00052A7A" w:rsidRPr="00FF4D95">
        <w:rPr>
          <w:lang w:val="en-GB"/>
        </w:rPr>
        <w:t>ere</w:t>
      </w:r>
      <w:r w:rsidR="006925C0" w:rsidRPr="00FF4D95">
        <w:rPr>
          <w:lang w:val="en-GB"/>
        </w:rPr>
        <w:t xml:space="preserve"> performed by the Competition Bureau</w:t>
      </w:r>
      <w:r w:rsidR="00052A7A" w:rsidRPr="00FF4D95">
        <w:rPr>
          <w:lang w:val="en-GB"/>
        </w:rPr>
        <w:t>,</w:t>
      </w:r>
      <w:r w:rsidR="006925C0" w:rsidRPr="00FF4D95">
        <w:rPr>
          <w:lang w:val="en-GB"/>
        </w:rPr>
        <w:t xml:space="preserve"> with cases adjudicated by the Competition Tribunal. </w:t>
      </w:r>
      <w:r w:rsidR="00357F71" w:rsidRPr="00FF4D95">
        <w:rPr>
          <w:lang w:val="en-GB"/>
        </w:rPr>
        <w:t xml:space="preserve">Headed by the </w:t>
      </w:r>
      <w:r w:rsidR="006D7857" w:rsidRPr="00FF4D95">
        <w:rPr>
          <w:lang w:val="en-GB"/>
        </w:rPr>
        <w:t>c</w:t>
      </w:r>
      <w:r w:rsidR="00357F71" w:rsidRPr="00FF4D95">
        <w:rPr>
          <w:lang w:val="en-GB"/>
        </w:rPr>
        <w:t>ommission</w:t>
      </w:r>
      <w:r w:rsidR="008C75E1" w:rsidRPr="00FF4D95">
        <w:rPr>
          <w:lang w:val="en-GB"/>
        </w:rPr>
        <w:t>er</w:t>
      </w:r>
      <w:r w:rsidR="00357F71" w:rsidRPr="00FF4D95">
        <w:rPr>
          <w:lang w:val="en-GB"/>
        </w:rPr>
        <w:t xml:space="preserve"> of </w:t>
      </w:r>
      <w:r w:rsidR="006D7857" w:rsidRPr="00FF4D95">
        <w:rPr>
          <w:lang w:val="en-GB"/>
        </w:rPr>
        <w:t>c</w:t>
      </w:r>
      <w:r w:rsidR="00357F71" w:rsidRPr="00FF4D95">
        <w:rPr>
          <w:lang w:val="en-GB"/>
        </w:rPr>
        <w:t>ompetition, t</w:t>
      </w:r>
      <w:r w:rsidR="006925C0" w:rsidRPr="00FF4D95">
        <w:rPr>
          <w:lang w:val="en-GB"/>
        </w:rPr>
        <w:t xml:space="preserve">he Competition Bureau </w:t>
      </w:r>
      <w:r w:rsidR="002D6FFF" w:rsidRPr="00FF4D95">
        <w:rPr>
          <w:lang w:val="en-GB"/>
        </w:rPr>
        <w:t>wa</w:t>
      </w:r>
      <w:r w:rsidR="00287E31" w:rsidRPr="00FF4D95">
        <w:rPr>
          <w:lang w:val="en-GB"/>
        </w:rPr>
        <w:t xml:space="preserve">s </w:t>
      </w:r>
      <w:r w:rsidR="006925C0" w:rsidRPr="00FF4D95">
        <w:rPr>
          <w:lang w:val="en-GB"/>
        </w:rPr>
        <w:t>an independent law enforcement agency of the federal government.</w:t>
      </w:r>
      <w:r w:rsidR="00357F71" w:rsidRPr="00FF4D95">
        <w:rPr>
          <w:lang w:val="en-GB"/>
        </w:rPr>
        <w:t xml:space="preserve"> The Competition Bureau’s </w:t>
      </w:r>
      <w:r w:rsidR="008506A3" w:rsidRPr="00FF4D95">
        <w:rPr>
          <w:lang w:val="en-GB"/>
        </w:rPr>
        <w:t xml:space="preserve">main </w:t>
      </w:r>
      <w:r w:rsidR="00357F71" w:rsidRPr="00FF4D95">
        <w:rPr>
          <w:lang w:val="en-GB"/>
        </w:rPr>
        <w:t xml:space="preserve">operating assumption </w:t>
      </w:r>
      <w:r w:rsidR="002D6FFF" w:rsidRPr="00FF4D95">
        <w:rPr>
          <w:lang w:val="en-GB"/>
        </w:rPr>
        <w:t>wa</w:t>
      </w:r>
      <w:r w:rsidR="00357F71" w:rsidRPr="00FF4D95">
        <w:rPr>
          <w:lang w:val="en-GB"/>
        </w:rPr>
        <w:t xml:space="preserve">s that competition </w:t>
      </w:r>
      <w:r w:rsidR="002D6FFF" w:rsidRPr="00FF4D95">
        <w:rPr>
          <w:lang w:val="en-GB"/>
        </w:rPr>
        <w:t>wa</w:t>
      </w:r>
      <w:r w:rsidR="00357F71" w:rsidRPr="00FF4D95">
        <w:rPr>
          <w:lang w:val="en-GB"/>
        </w:rPr>
        <w:t>s good for both business and consumers.</w:t>
      </w:r>
    </w:p>
    <w:p w14:paraId="6BE29B23" w14:textId="77777777" w:rsidR="006925C0" w:rsidRPr="00FF4D95" w:rsidRDefault="006925C0" w:rsidP="00777980">
      <w:pPr>
        <w:pStyle w:val="BodyTextMain"/>
        <w:rPr>
          <w:lang w:val="en-GB"/>
        </w:rPr>
      </w:pPr>
    </w:p>
    <w:p w14:paraId="6F66703E" w14:textId="7D87566A" w:rsidR="00D31579" w:rsidRPr="00FF4D95" w:rsidRDefault="002424BC" w:rsidP="00777980">
      <w:pPr>
        <w:pStyle w:val="BodyTextMain"/>
        <w:rPr>
          <w:lang w:val="en-GB"/>
        </w:rPr>
      </w:pPr>
      <w:r>
        <w:rPr>
          <w:lang w:val="en-GB"/>
        </w:rPr>
        <w:t xml:space="preserve">In the evaluation of the Tervita case, the </w:t>
      </w:r>
      <w:r w:rsidR="007E2CE0">
        <w:rPr>
          <w:lang w:val="en-GB"/>
        </w:rPr>
        <w:t>Competition Bureau</w:t>
      </w:r>
      <w:r>
        <w:rPr>
          <w:lang w:val="en-GB"/>
        </w:rPr>
        <w:t xml:space="preserve"> </w:t>
      </w:r>
      <w:r w:rsidR="00287E31" w:rsidRPr="00FF4D95">
        <w:rPr>
          <w:lang w:val="en-GB"/>
        </w:rPr>
        <w:t>focused on sections</w:t>
      </w:r>
      <w:r w:rsidR="00B75B9A" w:rsidRPr="00FF4D95">
        <w:rPr>
          <w:lang w:val="en-GB"/>
        </w:rPr>
        <w:t xml:space="preserve"> 92 and 96</w:t>
      </w:r>
      <w:r w:rsidR="002D6FFF" w:rsidRPr="00FF4D95">
        <w:rPr>
          <w:lang w:val="en-GB"/>
        </w:rPr>
        <w:t xml:space="preserve"> of the act</w:t>
      </w:r>
      <w:r w:rsidR="00287E31" w:rsidRPr="00FF4D95">
        <w:rPr>
          <w:lang w:val="en-GB"/>
        </w:rPr>
        <w:t xml:space="preserve">. </w:t>
      </w:r>
      <w:r w:rsidR="00D31579" w:rsidRPr="00FF4D95">
        <w:rPr>
          <w:lang w:val="en-GB"/>
        </w:rPr>
        <w:t xml:space="preserve">Section 92 </w:t>
      </w:r>
      <w:r w:rsidR="00B75B9A" w:rsidRPr="00FF4D95">
        <w:rPr>
          <w:lang w:val="en-GB"/>
        </w:rPr>
        <w:t xml:space="preserve">stated that the </w:t>
      </w:r>
      <w:r w:rsidR="006D7857" w:rsidRPr="00FF4D95">
        <w:rPr>
          <w:lang w:val="en-GB"/>
        </w:rPr>
        <w:t>c</w:t>
      </w:r>
      <w:r w:rsidR="008506A3" w:rsidRPr="00FF4D95">
        <w:rPr>
          <w:lang w:val="en-GB"/>
        </w:rPr>
        <w:t>ommissioner</w:t>
      </w:r>
      <w:r w:rsidR="00B75B9A" w:rsidRPr="00FF4D95">
        <w:rPr>
          <w:lang w:val="en-GB"/>
        </w:rPr>
        <w:t xml:space="preserve"> c</w:t>
      </w:r>
      <w:r w:rsidR="002D6FFF" w:rsidRPr="00FF4D95">
        <w:rPr>
          <w:lang w:val="en-GB"/>
        </w:rPr>
        <w:t>ould</w:t>
      </w:r>
      <w:r w:rsidR="00B75B9A" w:rsidRPr="00FF4D95">
        <w:rPr>
          <w:lang w:val="en-GB"/>
        </w:rPr>
        <w:t xml:space="preserve"> challenge a merger if the “merger or proposed merger prevents or lessens, or is likely to prevent or lessen, competition substantially.”</w:t>
      </w:r>
      <w:r w:rsidR="00306F6F" w:rsidRPr="00FF4D95">
        <w:rPr>
          <w:rStyle w:val="FootnoteReference"/>
          <w:lang w:val="en-GB"/>
        </w:rPr>
        <w:footnoteReference w:id="4"/>
      </w:r>
      <w:r w:rsidR="00B75B9A" w:rsidRPr="00FF4D95">
        <w:rPr>
          <w:lang w:val="en-GB"/>
        </w:rPr>
        <w:t xml:space="preserve"> </w:t>
      </w:r>
      <w:r w:rsidR="008506A3" w:rsidRPr="00FF4D95">
        <w:rPr>
          <w:lang w:val="en-GB"/>
        </w:rPr>
        <w:t xml:space="preserve">The words “prevents” and “lessens” </w:t>
      </w:r>
      <w:r w:rsidR="002D6FFF" w:rsidRPr="00FF4D95">
        <w:rPr>
          <w:lang w:val="en-GB"/>
        </w:rPr>
        <w:t>we</w:t>
      </w:r>
      <w:r w:rsidR="008506A3" w:rsidRPr="00FF4D95">
        <w:rPr>
          <w:lang w:val="en-GB"/>
        </w:rPr>
        <w:t xml:space="preserve">re pivotal in this section. </w:t>
      </w:r>
      <w:r w:rsidR="00CA37EE" w:rsidRPr="00FF4D95">
        <w:rPr>
          <w:lang w:val="en-GB"/>
        </w:rPr>
        <w:t>When</w:t>
      </w:r>
      <w:r w:rsidR="006925C0" w:rsidRPr="00FF4D95">
        <w:rPr>
          <w:lang w:val="en-GB"/>
        </w:rPr>
        <w:t xml:space="preserve"> an</w:t>
      </w:r>
      <w:r w:rsidR="008506A3" w:rsidRPr="00FF4D95">
        <w:rPr>
          <w:lang w:val="en-GB"/>
        </w:rPr>
        <w:t>y firm</w:t>
      </w:r>
      <w:r w:rsidR="006925C0" w:rsidRPr="00FF4D95">
        <w:rPr>
          <w:lang w:val="en-GB"/>
        </w:rPr>
        <w:t xml:space="preserve"> acqui</w:t>
      </w:r>
      <w:r w:rsidR="00CA37EE" w:rsidRPr="00FF4D95">
        <w:rPr>
          <w:lang w:val="en-GB"/>
        </w:rPr>
        <w:t>re</w:t>
      </w:r>
      <w:r w:rsidR="002D6FFF" w:rsidRPr="00FF4D95">
        <w:rPr>
          <w:lang w:val="en-GB"/>
        </w:rPr>
        <w:t>d</w:t>
      </w:r>
      <w:r w:rsidR="006925C0" w:rsidRPr="00FF4D95">
        <w:rPr>
          <w:lang w:val="en-GB"/>
        </w:rPr>
        <w:t xml:space="preserve"> a competitor</w:t>
      </w:r>
      <w:r w:rsidR="00777980" w:rsidRPr="00FF4D95">
        <w:rPr>
          <w:lang w:val="en-GB"/>
        </w:rPr>
        <w:t>—</w:t>
      </w:r>
      <w:r w:rsidR="006925C0" w:rsidRPr="00FF4D95">
        <w:rPr>
          <w:lang w:val="en-GB"/>
        </w:rPr>
        <w:t>or future competitor</w:t>
      </w:r>
      <w:r w:rsidR="00777980" w:rsidRPr="00FF4D95">
        <w:rPr>
          <w:lang w:val="en-GB"/>
        </w:rPr>
        <w:t>—</w:t>
      </w:r>
      <w:r w:rsidR="002D6FFF" w:rsidRPr="00FF4D95">
        <w:rPr>
          <w:lang w:val="en-GB"/>
        </w:rPr>
        <w:t>t</w:t>
      </w:r>
      <w:r w:rsidR="006925C0" w:rsidRPr="00FF4D95">
        <w:rPr>
          <w:lang w:val="en-GB"/>
        </w:rPr>
        <w:t xml:space="preserve">he Competition Bureau </w:t>
      </w:r>
      <w:r w:rsidR="008506A3" w:rsidRPr="00FF4D95">
        <w:rPr>
          <w:lang w:val="en-GB"/>
        </w:rPr>
        <w:t>c</w:t>
      </w:r>
      <w:r w:rsidR="002D6FFF" w:rsidRPr="00FF4D95">
        <w:rPr>
          <w:lang w:val="en-GB"/>
        </w:rPr>
        <w:t>ould</w:t>
      </w:r>
      <w:r w:rsidR="008506A3" w:rsidRPr="00FF4D95">
        <w:rPr>
          <w:lang w:val="en-GB"/>
        </w:rPr>
        <w:t xml:space="preserve"> </w:t>
      </w:r>
      <w:r w:rsidR="006925C0" w:rsidRPr="00FF4D95">
        <w:rPr>
          <w:lang w:val="en-GB"/>
        </w:rPr>
        <w:t>argue that the proposed or completed merger be disallowed or dissolved on the premise that the combination of the two firms would substantially prevent or lessen competition</w:t>
      </w:r>
      <w:r w:rsidR="008506A3" w:rsidRPr="00FF4D95">
        <w:rPr>
          <w:lang w:val="en-GB"/>
        </w:rPr>
        <w:t xml:space="preserve">. This lessening or prevention of competition </w:t>
      </w:r>
      <w:r w:rsidR="002D6FFF" w:rsidRPr="00FF4D95">
        <w:rPr>
          <w:lang w:val="en-GB"/>
        </w:rPr>
        <w:t>could</w:t>
      </w:r>
      <w:r w:rsidR="008506A3" w:rsidRPr="00FF4D95">
        <w:rPr>
          <w:lang w:val="en-GB"/>
        </w:rPr>
        <w:t xml:space="preserve"> be</w:t>
      </w:r>
      <w:r w:rsidR="006925C0" w:rsidRPr="00FF4D95">
        <w:rPr>
          <w:lang w:val="en-GB"/>
        </w:rPr>
        <w:t xml:space="preserve"> </w:t>
      </w:r>
      <w:r w:rsidR="006D7857" w:rsidRPr="00FF4D95">
        <w:rPr>
          <w:lang w:val="en-GB"/>
        </w:rPr>
        <w:t xml:space="preserve">either </w:t>
      </w:r>
      <w:r w:rsidR="008506A3" w:rsidRPr="00FF4D95">
        <w:rPr>
          <w:lang w:val="en-GB"/>
        </w:rPr>
        <w:t>immediate</w:t>
      </w:r>
      <w:r w:rsidR="006925C0" w:rsidRPr="00FF4D95">
        <w:rPr>
          <w:lang w:val="en-GB"/>
        </w:rPr>
        <w:t xml:space="preserve"> or</w:t>
      </w:r>
      <w:r w:rsidR="008506A3" w:rsidRPr="00FF4D95">
        <w:rPr>
          <w:lang w:val="en-GB"/>
        </w:rPr>
        <w:t xml:space="preserve"> occur</w:t>
      </w:r>
      <w:r w:rsidR="006D7857" w:rsidRPr="00FF4D95">
        <w:rPr>
          <w:lang w:val="en-GB"/>
        </w:rPr>
        <w:t>ring</w:t>
      </w:r>
      <w:r w:rsidR="006925C0" w:rsidRPr="00FF4D95">
        <w:rPr>
          <w:lang w:val="en-GB"/>
        </w:rPr>
        <w:t xml:space="preserve"> in the future. </w:t>
      </w:r>
    </w:p>
    <w:p w14:paraId="47ECF555" w14:textId="77777777" w:rsidR="00D31579" w:rsidRPr="00FF4D95" w:rsidRDefault="00D31579" w:rsidP="00777980">
      <w:pPr>
        <w:pStyle w:val="BodyTextMain"/>
        <w:rPr>
          <w:lang w:val="en-GB"/>
        </w:rPr>
      </w:pPr>
    </w:p>
    <w:p w14:paraId="688C8CA0" w14:textId="12A04294" w:rsidR="006925C0" w:rsidRPr="00FC2383" w:rsidRDefault="00D31579" w:rsidP="00777980">
      <w:pPr>
        <w:pStyle w:val="BodyTextMain"/>
        <w:rPr>
          <w:spacing w:val="-2"/>
          <w:lang w:val="en-GB"/>
        </w:rPr>
      </w:pPr>
      <w:r w:rsidRPr="00FC2383">
        <w:rPr>
          <w:spacing w:val="-2"/>
          <w:lang w:val="en-GB"/>
        </w:rPr>
        <w:t xml:space="preserve">Section 96 then </w:t>
      </w:r>
      <w:r w:rsidR="008506A3" w:rsidRPr="00FC2383">
        <w:rPr>
          <w:spacing w:val="-2"/>
          <w:lang w:val="en-GB"/>
        </w:rPr>
        <w:t>place</w:t>
      </w:r>
      <w:r w:rsidR="006D7857" w:rsidRPr="00FC2383">
        <w:rPr>
          <w:spacing w:val="-2"/>
          <w:lang w:val="en-GB"/>
        </w:rPr>
        <w:t>d</w:t>
      </w:r>
      <w:r w:rsidR="008506A3" w:rsidRPr="00FC2383">
        <w:rPr>
          <w:spacing w:val="-2"/>
          <w:lang w:val="en-GB"/>
        </w:rPr>
        <w:t xml:space="preserve"> conditions</w:t>
      </w:r>
      <w:r w:rsidR="00CA37EE" w:rsidRPr="00FC2383">
        <w:rPr>
          <w:spacing w:val="-2"/>
          <w:lang w:val="en-GB"/>
        </w:rPr>
        <w:t>, or limitations,</w:t>
      </w:r>
      <w:r w:rsidR="008506A3" w:rsidRPr="00FC2383">
        <w:rPr>
          <w:spacing w:val="-2"/>
          <w:lang w:val="en-GB"/>
        </w:rPr>
        <w:t xml:space="preserve"> on</w:t>
      </w:r>
      <w:r w:rsidR="00CA37EE" w:rsidRPr="00FC2383">
        <w:rPr>
          <w:spacing w:val="-2"/>
          <w:lang w:val="en-GB"/>
        </w:rPr>
        <w:t xml:space="preserve"> the scope of</w:t>
      </w:r>
      <w:r w:rsidR="00B75B9A" w:rsidRPr="00FC2383">
        <w:rPr>
          <w:spacing w:val="-2"/>
          <w:lang w:val="en-GB"/>
        </w:rPr>
        <w:t xml:space="preserve"> section 92</w:t>
      </w:r>
      <w:r w:rsidR="008506A3" w:rsidRPr="00FC2383">
        <w:rPr>
          <w:spacing w:val="-2"/>
          <w:lang w:val="en-GB"/>
        </w:rPr>
        <w:t xml:space="preserve">. </w:t>
      </w:r>
      <w:r w:rsidR="000B0569" w:rsidRPr="00FC2383">
        <w:rPr>
          <w:spacing w:val="-2"/>
          <w:lang w:val="en-GB"/>
        </w:rPr>
        <w:t xml:space="preserve">Section 96 </w:t>
      </w:r>
      <w:r w:rsidR="006D7857" w:rsidRPr="00FC2383">
        <w:rPr>
          <w:spacing w:val="-2"/>
          <w:lang w:val="en-GB"/>
        </w:rPr>
        <w:t>wa</w:t>
      </w:r>
      <w:r w:rsidR="000B0569" w:rsidRPr="00FC2383">
        <w:rPr>
          <w:spacing w:val="-2"/>
          <w:lang w:val="en-GB"/>
        </w:rPr>
        <w:t xml:space="preserve">s known as the efficiencies clause. </w:t>
      </w:r>
      <w:r w:rsidR="008506A3" w:rsidRPr="00FC2383">
        <w:rPr>
          <w:spacing w:val="-2"/>
          <w:lang w:val="en-GB"/>
        </w:rPr>
        <w:t>It state</w:t>
      </w:r>
      <w:r w:rsidR="006D7857" w:rsidRPr="00FC2383">
        <w:rPr>
          <w:spacing w:val="-2"/>
          <w:lang w:val="en-GB"/>
        </w:rPr>
        <w:t>d</w:t>
      </w:r>
      <w:r w:rsidR="008506A3" w:rsidRPr="00FC2383">
        <w:rPr>
          <w:spacing w:val="-2"/>
          <w:lang w:val="en-GB"/>
        </w:rPr>
        <w:t xml:space="preserve"> that </w:t>
      </w:r>
      <w:r w:rsidR="008F7869" w:rsidRPr="00FC2383">
        <w:rPr>
          <w:spacing w:val="-2"/>
          <w:lang w:val="en-GB"/>
        </w:rPr>
        <w:t xml:space="preserve">the merger should be allowed to proceed </w:t>
      </w:r>
      <w:r w:rsidR="00B75B9A" w:rsidRPr="00FC2383">
        <w:rPr>
          <w:spacing w:val="-2"/>
          <w:lang w:val="en-GB"/>
        </w:rPr>
        <w:t xml:space="preserve">if </w:t>
      </w:r>
      <w:r w:rsidR="008F7869" w:rsidRPr="00FC2383">
        <w:rPr>
          <w:spacing w:val="-2"/>
          <w:lang w:val="en-GB"/>
        </w:rPr>
        <w:t xml:space="preserve">it </w:t>
      </w:r>
      <w:r w:rsidR="006D7857" w:rsidRPr="00FC2383">
        <w:rPr>
          <w:spacing w:val="-2"/>
          <w:lang w:val="en-GB"/>
        </w:rPr>
        <w:t>wa</w:t>
      </w:r>
      <w:r w:rsidR="008F7869" w:rsidRPr="00FC2383">
        <w:rPr>
          <w:spacing w:val="-2"/>
          <w:lang w:val="en-GB"/>
        </w:rPr>
        <w:t xml:space="preserve">s </w:t>
      </w:r>
      <w:r w:rsidR="00B75B9A" w:rsidRPr="00FC2383">
        <w:rPr>
          <w:spacing w:val="-2"/>
          <w:lang w:val="en-GB"/>
        </w:rPr>
        <w:t>“likely to bring about gains in efficiency that will be greater than, and will offset, the effects of any prevention or less</w:t>
      </w:r>
      <w:r w:rsidR="008506A3" w:rsidRPr="00FC2383">
        <w:rPr>
          <w:spacing w:val="-2"/>
          <w:lang w:val="en-GB"/>
        </w:rPr>
        <w:t>en</w:t>
      </w:r>
      <w:r w:rsidR="00B75B9A" w:rsidRPr="00FC2383">
        <w:rPr>
          <w:spacing w:val="-2"/>
          <w:lang w:val="en-GB"/>
        </w:rPr>
        <w:t>ing of competition that will result or is likely to result from the merger</w:t>
      </w:r>
      <w:r w:rsidR="008F7869" w:rsidRPr="00FC2383">
        <w:rPr>
          <w:spacing w:val="-2"/>
          <w:lang w:val="en-GB"/>
        </w:rPr>
        <w:t>.</w:t>
      </w:r>
      <w:r w:rsidR="00881305" w:rsidRPr="00FC2383">
        <w:rPr>
          <w:spacing w:val="-2"/>
          <w:lang w:val="en-GB"/>
        </w:rPr>
        <w:t>”</w:t>
      </w:r>
      <w:r w:rsidR="00881305" w:rsidRPr="00FC2383">
        <w:rPr>
          <w:rStyle w:val="FootnoteReference"/>
          <w:spacing w:val="-2"/>
          <w:lang w:val="en-GB"/>
        </w:rPr>
        <w:footnoteReference w:id="5"/>
      </w:r>
      <w:r w:rsidR="00881305" w:rsidRPr="00FC2383">
        <w:rPr>
          <w:spacing w:val="-2"/>
          <w:lang w:val="en-GB"/>
        </w:rPr>
        <w:t xml:space="preserve"> </w:t>
      </w:r>
      <w:r w:rsidR="000B0569" w:rsidRPr="00FC2383">
        <w:rPr>
          <w:spacing w:val="-2"/>
          <w:lang w:val="en-GB"/>
        </w:rPr>
        <w:t>S</w:t>
      </w:r>
      <w:r w:rsidR="00B75B9A" w:rsidRPr="00FC2383">
        <w:rPr>
          <w:spacing w:val="-2"/>
          <w:lang w:val="en-GB"/>
        </w:rPr>
        <w:t>ection 96</w:t>
      </w:r>
      <w:r w:rsidR="006D7857" w:rsidRPr="00FC2383">
        <w:rPr>
          <w:spacing w:val="-2"/>
          <w:lang w:val="en-GB"/>
        </w:rPr>
        <w:t xml:space="preserve"> went</w:t>
      </w:r>
      <w:r w:rsidR="000B0569" w:rsidRPr="00FC2383">
        <w:rPr>
          <w:spacing w:val="-2"/>
          <w:lang w:val="en-GB"/>
        </w:rPr>
        <w:t xml:space="preserve"> on to </w:t>
      </w:r>
      <w:r w:rsidR="00B75B9A" w:rsidRPr="00FC2383">
        <w:rPr>
          <w:spacing w:val="-2"/>
          <w:lang w:val="en-GB"/>
        </w:rPr>
        <w:t xml:space="preserve">state that </w:t>
      </w:r>
      <w:r w:rsidR="000B0569" w:rsidRPr="00FC2383">
        <w:rPr>
          <w:spacing w:val="-2"/>
          <w:lang w:val="en-GB"/>
        </w:rPr>
        <w:t>the</w:t>
      </w:r>
      <w:r w:rsidR="00357F71" w:rsidRPr="00FC2383">
        <w:rPr>
          <w:spacing w:val="-2"/>
          <w:lang w:val="en-GB"/>
        </w:rPr>
        <w:t xml:space="preserve"> merger </w:t>
      </w:r>
      <w:r w:rsidR="006D7857" w:rsidRPr="00FC2383">
        <w:rPr>
          <w:spacing w:val="-2"/>
          <w:lang w:val="en-GB"/>
        </w:rPr>
        <w:t>wa</w:t>
      </w:r>
      <w:r w:rsidR="00287E31" w:rsidRPr="00FC2383">
        <w:rPr>
          <w:spacing w:val="-2"/>
          <w:lang w:val="en-GB"/>
        </w:rPr>
        <w:t>s</w:t>
      </w:r>
      <w:r w:rsidR="00357F71" w:rsidRPr="00FC2383">
        <w:rPr>
          <w:spacing w:val="-2"/>
          <w:lang w:val="en-GB"/>
        </w:rPr>
        <w:t xml:space="preserve"> allowed to proceed if the anticipated gains </w:t>
      </w:r>
      <w:r w:rsidR="006D7857" w:rsidRPr="00FC2383">
        <w:rPr>
          <w:spacing w:val="-2"/>
          <w:lang w:val="en-GB"/>
        </w:rPr>
        <w:t>we</w:t>
      </w:r>
      <w:r w:rsidR="000A169E" w:rsidRPr="00FC2383">
        <w:rPr>
          <w:spacing w:val="-2"/>
          <w:lang w:val="en-GB"/>
        </w:rPr>
        <w:t>re</w:t>
      </w:r>
      <w:r w:rsidR="00357F71" w:rsidRPr="00FC2383">
        <w:rPr>
          <w:spacing w:val="-2"/>
          <w:lang w:val="en-GB"/>
        </w:rPr>
        <w:t xml:space="preserve"> not possible without the </w:t>
      </w:r>
      <w:r w:rsidR="000A169E" w:rsidRPr="00FC2383">
        <w:rPr>
          <w:spacing w:val="-2"/>
          <w:lang w:val="en-GB"/>
        </w:rPr>
        <w:t xml:space="preserve">completion of the </w:t>
      </w:r>
      <w:r w:rsidR="00357F71" w:rsidRPr="00FC2383">
        <w:rPr>
          <w:spacing w:val="-2"/>
          <w:lang w:val="en-GB"/>
        </w:rPr>
        <w:t>merger.</w:t>
      </w:r>
    </w:p>
    <w:p w14:paraId="72FBD2A7" w14:textId="77777777" w:rsidR="00CE5A43" w:rsidRDefault="00CE5A43" w:rsidP="00777980">
      <w:pPr>
        <w:pStyle w:val="BodyTextMain"/>
        <w:rPr>
          <w:lang w:val="en-GB"/>
        </w:rPr>
      </w:pPr>
    </w:p>
    <w:p w14:paraId="41CD4C86" w14:textId="77777777" w:rsidR="00CE5A43" w:rsidRPr="00FF4D95" w:rsidRDefault="00CE5A43" w:rsidP="00777980">
      <w:pPr>
        <w:pStyle w:val="BodyTextMain"/>
        <w:rPr>
          <w:lang w:val="en-GB"/>
        </w:rPr>
      </w:pPr>
    </w:p>
    <w:p w14:paraId="7BFD9442" w14:textId="77777777" w:rsidR="009A39DD" w:rsidRPr="00FF4D95" w:rsidRDefault="00E3516A" w:rsidP="009A39DD">
      <w:pPr>
        <w:pStyle w:val="BodyTextMain"/>
        <w:rPr>
          <w:rFonts w:ascii="Arial" w:hAnsi="Arial" w:cs="Arial"/>
          <w:b/>
          <w:sz w:val="20"/>
          <w:szCs w:val="20"/>
          <w:lang w:val="en-GB"/>
        </w:rPr>
      </w:pPr>
      <w:r w:rsidRPr="00FF4D95">
        <w:rPr>
          <w:rFonts w:ascii="Arial" w:hAnsi="Arial" w:cs="Arial"/>
          <w:b/>
          <w:sz w:val="20"/>
          <w:szCs w:val="20"/>
          <w:lang w:val="en-GB"/>
        </w:rPr>
        <w:t>NORTHEASTERN BRITISH COLUMBIA SECURE LANDFILL MARKET</w:t>
      </w:r>
    </w:p>
    <w:p w14:paraId="4A2D912D" w14:textId="77777777" w:rsidR="009E00AB" w:rsidRPr="00107874" w:rsidRDefault="009E00AB" w:rsidP="009A39DD">
      <w:pPr>
        <w:pStyle w:val="BodyTextMain"/>
        <w:rPr>
          <w:sz w:val="18"/>
          <w:szCs w:val="18"/>
          <w:lang w:val="en-GB"/>
        </w:rPr>
      </w:pPr>
    </w:p>
    <w:p w14:paraId="51274616" w14:textId="4C0B183E" w:rsidR="009E00AB" w:rsidRPr="00FF4D95" w:rsidRDefault="002C0299" w:rsidP="00D17976">
      <w:pPr>
        <w:pStyle w:val="BodyTextMain"/>
        <w:rPr>
          <w:lang w:val="en-GB"/>
        </w:rPr>
      </w:pPr>
      <w:r w:rsidRPr="00FF4D95">
        <w:rPr>
          <w:lang w:val="en-GB"/>
        </w:rPr>
        <w:t>H</w:t>
      </w:r>
      <w:r w:rsidR="00D17976" w:rsidRPr="00FF4D95">
        <w:rPr>
          <w:lang w:val="en-GB"/>
        </w:rPr>
        <w:t>azardous waste generated by the oil and gas industry</w:t>
      </w:r>
      <w:r w:rsidRPr="00FF4D95">
        <w:rPr>
          <w:lang w:val="en-GB"/>
        </w:rPr>
        <w:t>,</w:t>
      </w:r>
      <w:r w:rsidR="00D17976" w:rsidRPr="00FF4D95">
        <w:rPr>
          <w:lang w:val="en-GB"/>
        </w:rPr>
        <w:t xml:space="preserve"> located in the Western Canadian Sedimentary Basin</w:t>
      </w:r>
      <w:r w:rsidR="00093CE1" w:rsidRPr="00FF4D95">
        <w:rPr>
          <w:lang w:val="en-GB"/>
        </w:rPr>
        <w:t xml:space="preserve"> (WCSB),</w:t>
      </w:r>
      <w:r w:rsidRPr="00FF4D95">
        <w:rPr>
          <w:lang w:val="en-GB"/>
        </w:rPr>
        <w:t xml:space="preserve"> </w:t>
      </w:r>
      <w:r w:rsidR="00093CE1" w:rsidRPr="00FF4D95">
        <w:rPr>
          <w:lang w:val="en-GB"/>
        </w:rPr>
        <w:t>created demand for secure landfills in NEBC</w:t>
      </w:r>
      <w:r w:rsidR="00306F6F" w:rsidRPr="00FF4D95">
        <w:rPr>
          <w:lang w:val="en-GB"/>
        </w:rPr>
        <w:t xml:space="preserve">. </w:t>
      </w:r>
      <w:r w:rsidR="00093CE1" w:rsidRPr="00FF4D95">
        <w:rPr>
          <w:lang w:val="en-GB"/>
        </w:rPr>
        <w:t>The WCSB</w:t>
      </w:r>
      <w:r w:rsidR="00D17976" w:rsidRPr="00FF4D95">
        <w:rPr>
          <w:lang w:val="en-GB"/>
        </w:rPr>
        <w:t xml:space="preserve"> </w:t>
      </w:r>
      <w:r w:rsidR="00306F6F" w:rsidRPr="00FF4D95">
        <w:rPr>
          <w:lang w:val="en-GB"/>
        </w:rPr>
        <w:t>stretch</w:t>
      </w:r>
      <w:r w:rsidR="000A169E" w:rsidRPr="00FF4D95">
        <w:rPr>
          <w:lang w:val="en-GB"/>
        </w:rPr>
        <w:t>e</w:t>
      </w:r>
      <w:r w:rsidR="00093CE1" w:rsidRPr="00FF4D95">
        <w:rPr>
          <w:lang w:val="en-GB"/>
        </w:rPr>
        <w:t>d</w:t>
      </w:r>
      <w:r w:rsidR="00306F6F" w:rsidRPr="00FF4D95">
        <w:rPr>
          <w:lang w:val="en-GB"/>
        </w:rPr>
        <w:t xml:space="preserve"> </w:t>
      </w:r>
      <w:r w:rsidR="00D17976" w:rsidRPr="00FF4D95">
        <w:rPr>
          <w:lang w:val="en-GB"/>
        </w:rPr>
        <w:t xml:space="preserve">from </w:t>
      </w:r>
      <w:r w:rsidR="00FA5DD3" w:rsidRPr="00FF4D95">
        <w:rPr>
          <w:lang w:val="en-GB"/>
        </w:rPr>
        <w:t>NEBC</w:t>
      </w:r>
      <w:r w:rsidR="00D17976" w:rsidRPr="00FF4D95">
        <w:rPr>
          <w:lang w:val="en-GB"/>
        </w:rPr>
        <w:t xml:space="preserve"> t</w:t>
      </w:r>
      <w:r w:rsidR="00FA5DD3" w:rsidRPr="00FF4D95">
        <w:rPr>
          <w:lang w:val="en-GB"/>
        </w:rPr>
        <w:t>hrough t</w:t>
      </w:r>
      <w:r w:rsidR="00D17976" w:rsidRPr="00FF4D95">
        <w:rPr>
          <w:lang w:val="en-GB"/>
        </w:rPr>
        <w:t>o Manitoba</w:t>
      </w:r>
      <w:r w:rsidR="000A169E" w:rsidRPr="00FF4D95">
        <w:rPr>
          <w:lang w:val="en-GB"/>
        </w:rPr>
        <w:t xml:space="preserve">. </w:t>
      </w:r>
      <w:r w:rsidR="00093CE1" w:rsidRPr="00FF4D95">
        <w:rPr>
          <w:lang w:val="en-GB"/>
        </w:rPr>
        <w:t>The oil and gas industry</w:t>
      </w:r>
      <w:r w:rsidR="000A169E" w:rsidRPr="00FF4D95">
        <w:rPr>
          <w:lang w:val="en-GB"/>
        </w:rPr>
        <w:t xml:space="preserve"> </w:t>
      </w:r>
      <w:r w:rsidR="00D17976" w:rsidRPr="00FF4D95">
        <w:rPr>
          <w:lang w:val="en-GB"/>
        </w:rPr>
        <w:t xml:space="preserve">contaminated </w:t>
      </w:r>
      <w:r w:rsidR="00093CE1" w:rsidRPr="00FF4D95">
        <w:rPr>
          <w:lang w:val="en-GB"/>
        </w:rPr>
        <w:t xml:space="preserve">the soil </w:t>
      </w:r>
      <w:r w:rsidR="000A169E" w:rsidRPr="00FF4D95">
        <w:rPr>
          <w:lang w:val="en-GB"/>
        </w:rPr>
        <w:t>with crude oil</w:t>
      </w:r>
      <w:r w:rsidR="00D17976" w:rsidRPr="00FF4D95">
        <w:rPr>
          <w:lang w:val="en-GB"/>
        </w:rPr>
        <w:t xml:space="preserve">, salt water, refined fuels, </w:t>
      </w:r>
      <w:r w:rsidR="00D17976" w:rsidRPr="00FF4D95">
        <w:rPr>
          <w:lang w:val="en-GB"/>
        </w:rPr>
        <w:lastRenderedPageBreak/>
        <w:t xml:space="preserve">metals and drilling waste, </w:t>
      </w:r>
      <w:r w:rsidR="00093CE1" w:rsidRPr="00FF4D95">
        <w:rPr>
          <w:lang w:val="en-GB"/>
        </w:rPr>
        <w:t>and</w:t>
      </w:r>
      <w:r w:rsidR="00D17976" w:rsidRPr="00FF4D95">
        <w:rPr>
          <w:lang w:val="en-GB"/>
        </w:rPr>
        <w:t xml:space="preserve"> other </w:t>
      </w:r>
      <w:r w:rsidR="000A169E" w:rsidRPr="00FF4D95">
        <w:rPr>
          <w:lang w:val="en-GB"/>
        </w:rPr>
        <w:t>toxic materials</w:t>
      </w:r>
      <w:r w:rsidR="00D17976" w:rsidRPr="00FF4D95">
        <w:rPr>
          <w:lang w:val="en-GB"/>
        </w:rPr>
        <w:t xml:space="preserve">. Hazardous waste </w:t>
      </w:r>
      <w:r w:rsidR="00093CE1" w:rsidRPr="00FF4D95">
        <w:rPr>
          <w:lang w:val="en-GB"/>
        </w:rPr>
        <w:t xml:space="preserve">was </w:t>
      </w:r>
      <w:r w:rsidR="00D17976" w:rsidRPr="00FF4D95">
        <w:rPr>
          <w:lang w:val="en-GB"/>
        </w:rPr>
        <w:t xml:space="preserve">not </w:t>
      </w:r>
      <w:r w:rsidR="00093CE1" w:rsidRPr="00FF4D95">
        <w:rPr>
          <w:lang w:val="en-GB"/>
        </w:rPr>
        <w:t>allowed</w:t>
      </w:r>
      <w:r w:rsidR="00306F6F" w:rsidRPr="00FF4D95">
        <w:rPr>
          <w:lang w:val="en-GB"/>
        </w:rPr>
        <w:t xml:space="preserve"> </w:t>
      </w:r>
      <w:r w:rsidR="00D17976" w:rsidRPr="00FF4D95">
        <w:rPr>
          <w:lang w:val="en-GB"/>
        </w:rPr>
        <w:t>in regular landfills</w:t>
      </w:r>
      <w:r w:rsidR="00093CE1" w:rsidRPr="00FF4D95">
        <w:rPr>
          <w:lang w:val="en-GB"/>
        </w:rPr>
        <w:t>. R</w:t>
      </w:r>
      <w:r w:rsidR="000A169E" w:rsidRPr="00FF4D95">
        <w:rPr>
          <w:lang w:val="en-GB"/>
        </w:rPr>
        <w:t>egulations require</w:t>
      </w:r>
      <w:r w:rsidR="00093CE1" w:rsidRPr="00FF4D95">
        <w:rPr>
          <w:lang w:val="en-GB"/>
        </w:rPr>
        <w:t>d</w:t>
      </w:r>
      <w:r w:rsidR="000A169E" w:rsidRPr="00FF4D95">
        <w:rPr>
          <w:lang w:val="en-GB"/>
        </w:rPr>
        <w:t xml:space="preserve"> that </w:t>
      </w:r>
      <w:r w:rsidR="00093CE1" w:rsidRPr="00FF4D95">
        <w:rPr>
          <w:lang w:val="en-GB"/>
        </w:rPr>
        <w:t>hazardous waste be</w:t>
      </w:r>
      <w:r w:rsidR="00D17976" w:rsidRPr="00FF4D95">
        <w:rPr>
          <w:lang w:val="en-GB"/>
        </w:rPr>
        <w:t xml:space="preserve"> remediated onsite or disposed of in secure landfills. </w:t>
      </w:r>
    </w:p>
    <w:p w14:paraId="6AB8928E" w14:textId="77777777" w:rsidR="003326EA" w:rsidRPr="00107874" w:rsidRDefault="003326EA" w:rsidP="00D17976">
      <w:pPr>
        <w:pStyle w:val="BodyTextMain"/>
        <w:rPr>
          <w:sz w:val="18"/>
          <w:szCs w:val="18"/>
          <w:lang w:val="en-GB"/>
        </w:rPr>
      </w:pPr>
    </w:p>
    <w:p w14:paraId="45DB4640" w14:textId="7DD0D597" w:rsidR="003326EA" w:rsidRPr="00FF4D95" w:rsidRDefault="003326EA" w:rsidP="00D17976">
      <w:pPr>
        <w:pStyle w:val="BodyTextMain"/>
        <w:rPr>
          <w:lang w:val="en-GB"/>
        </w:rPr>
      </w:pPr>
      <w:r w:rsidRPr="00FF4D95">
        <w:rPr>
          <w:lang w:val="en-GB"/>
        </w:rPr>
        <w:t>Secure landfills feature</w:t>
      </w:r>
      <w:r w:rsidR="00093CE1" w:rsidRPr="00FF4D95">
        <w:rPr>
          <w:lang w:val="en-GB"/>
        </w:rPr>
        <w:t>d</w:t>
      </w:r>
      <w:r w:rsidRPr="00FF4D95">
        <w:rPr>
          <w:lang w:val="en-GB"/>
        </w:rPr>
        <w:t xml:space="preserve"> polyethylene liners as the primary containment layer </w:t>
      </w:r>
      <w:r w:rsidR="00093CE1" w:rsidRPr="00FF4D95">
        <w:rPr>
          <w:lang w:val="en-GB"/>
        </w:rPr>
        <w:t>plus</w:t>
      </w:r>
      <w:r w:rsidRPr="00FF4D95">
        <w:rPr>
          <w:lang w:val="en-GB"/>
        </w:rPr>
        <w:t xml:space="preserve"> an engineered clay liner as the secondary containment layer. Waste liquids leaching from the deposits </w:t>
      </w:r>
      <w:r w:rsidR="00093CE1" w:rsidRPr="00FF4D95">
        <w:rPr>
          <w:lang w:val="en-GB"/>
        </w:rPr>
        <w:t>we</w:t>
      </w:r>
      <w:r w:rsidRPr="00FF4D95">
        <w:rPr>
          <w:lang w:val="en-GB"/>
        </w:rPr>
        <w:t xml:space="preserve">re collected and </w:t>
      </w:r>
      <w:r w:rsidR="000A169E" w:rsidRPr="00FF4D95">
        <w:rPr>
          <w:lang w:val="en-GB"/>
        </w:rPr>
        <w:t xml:space="preserve">processed before final </w:t>
      </w:r>
      <w:r w:rsidRPr="00FF4D95">
        <w:rPr>
          <w:lang w:val="en-GB"/>
        </w:rPr>
        <w:t>dispos</w:t>
      </w:r>
      <w:r w:rsidR="000A169E" w:rsidRPr="00FF4D95">
        <w:rPr>
          <w:lang w:val="en-GB"/>
        </w:rPr>
        <w:t>al</w:t>
      </w:r>
      <w:r w:rsidRPr="00FF4D95">
        <w:rPr>
          <w:lang w:val="en-GB"/>
        </w:rPr>
        <w:t xml:space="preserve">. In addition, devices </w:t>
      </w:r>
      <w:r w:rsidR="00306F6F" w:rsidRPr="00FF4D95">
        <w:rPr>
          <w:lang w:val="en-GB"/>
        </w:rPr>
        <w:t>monitor</w:t>
      </w:r>
      <w:r w:rsidR="00093CE1" w:rsidRPr="00FF4D95">
        <w:rPr>
          <w:lang w:val="en-GB"/>
        </w:rPr>
        <w:t>ed</w:t>
      </w:r>
      <w:r w:rsidR="00306F6F" w:rsidRPr="00FF4D95">
        <w:rPr>
          <w:lang w:val="en-GB"/>
        </w:rPr>
        <w:t xml:space="preserve"> </w:t>
      </w:r>
      <w:r w:rsidRPr="00FF4D95">
        <w:rPr>
          <w:lang w:val="en-GB"/>
        </w:rPr>
        <w:t xml:space="preserve">the quality of ground water around the site to ensure that hazardous waste </w:t>
      </w:r>
      <w:r w:rsidR="00306F6F" w:rsidRPr="00FF4D95">
        <w:rPr>
          <w:lang w:val="en-GB"/>
        </w:rPr>
        <w:t>d</w:t>
      </w:r>
      <w:r w:rsidR="00093CE1" w:rsidRPr="00FF4D95">
        <w:rPr>
          <w:lang w:val="en-GB"/>
        </w:rPr>
        <w:t>id</w:t>
      </w:r>
      <w:r w:rsidR="00306F6F" w:rsidRPr="00FF4D95">
        <w:rPr>
          <w:lang w:val="en-GB"/>
        </w:rPr>
        <w:t xml:space="preserve"> </w:t>
      </w:r>
      <w:r w:rsidRPr="00FF4D95">
        <w:rPr>
          <w:lang w:val="en-GB"/>
        </w:rPr>
        <w:t xml:space="preserve">not </w:t>
      </w:r>
      <w:r w:rsidR="00306F6F" w:rsidRPr="00FF4D95">
        <w:rPr>
          <w:lang w:val="en-GB"/>
        </w:rPr>
        <w:t xml:space="preserve">contaminate </w:t>
      </w:r>
      <w:r w:rsidRPr="00FF4D95">
        <w:rPr>
          <w:lang w:val="en-GB"/>
        </w:rPr>
        <w:t>the surrounding soil</w:t>
      </w:r>
      <w:r w:rsidR="00FA5DD3" w:rsidRPr="00FF4D95">
        <w:rPr>
          <w:lang w:val="en-GB"/>
        </w:rPr>
        <w:t xml:space="preserve"> and aquifers</w:t>
      </w:r>
      <w:r w:rsidRPr="00FF4D95">
        <w:rPr>
          <w:lang w:val="en-GB"/>
        </w:rPr>
        <w:t>.</w:t>
      </w:r>
    </w:p>
    <w:p w14:paraId="0822D7F9" w14:textId="77777777" w:rsidR="00403E7C" w:rsidRPr="00107874" w:rsidRDefault="00403E7C" w:rsidP="00D17976">
      <w:pPr>
        <w:pStyle w:val="BodyTextMain"/>
        <w:rPr>
          <w:sz w:val="18"/>
          <w:szCs w:val="18"/>
          <w:lang w:val="en-GB"/>
        </w:rPr>
      </w:pPr>
    </w:p>
    <w:p w14:paraId="3BC43350" w14:textId="1B2459F8" w:rsidR="00FA5DD3" w:rsidRPr="00FF4D95" w:rsidRDefault="00403E7C" w:rsidP="00D17976">
      <w:pPr>
        <w:pStyle w:val="BodyTextMain"/>
        <w:rPr>
          <w:lang w:val="en-GB"/>
        </w:rPr>
      </w:pPr>
      <w:r w:rsidRPr="00FF4D95">
        <w:rPr>
          <w:lang w:val="en-GB"/>
        </w:rPr>
        <w:t>Some hazardous waste</w:t>
      </w:r>
      <w:r w:rsidR="00306F6F" w:rsidRPr="00FF4D95">
        <w:rPr>
          <w:lang w:val="en-GB"/>
        </w:rPr>
        <w:t xml:space="preserve"> from the oil and gas industry</w:t>
      </w:r>
      <w:r w:rsidRPr="00FF4D95">
        <w:rPr>
          <w:lang w:val="en-GB"/>
        </w:rPr>
        <w:t xml:space="preserve"> c</w:t>
      </w:r>
      <w:r w:rsidR="00821410" w:rsidRPr="00FF4D95">
        <w:rPr>
          <w:lang w:val="en-GB"/>
        </w:rPr>
        <w:t>ould</w:t>
      </w:r>
      <w:r w:rsidRPr="00FF4D95">
        <w:rPr>
          <w:lang w:val="en-GB"/>
        </w:rPr>
        <w:t xml:space="preserve"> be remediated </w:t>
      </w:r>
      <w:r w:rsidR="000A169E" w:rsidRPr="00FF4D95">
        <w:rPr>
          <w:lang w:val="en-GB"/>
        </w:rPr>
        <w:t xml:space="preserve">on </w:t>
      </w:r>
      <w:r w:rsidR="00821410" w:rsidRPr="00FF4D95">
        <w:rPr>
          <w:lang w:val="en-GB"/>
        </w:rPr>
        <w:t xml:space="preserve">the </w:t>
      </w:r>
      <w:r w:rsidR="000A169E" w:rsidRPr="00FF4D95">
        <w:rPr>
          <w:lang w:val="en-GB"/>
        </w:rPr>
        <w:t>actual drilling site</w:t>
      </w:r>
      <w:r w:rsidR="00821410" w:rsidRPr="00FF4D95">
        <w:rPr>
          <w:lang w:val="en-GB"/>
        </w:rPr>
        <w:t>. This process was referred to a</w:t>
      </w:r>
      <w:r w:rsidR="000A169E" w:rsidRPr="00FF4D95">
        <w:rPr>
          <w:lang w:val="en-GB"/>
        </w:rPr>
        <w:t xml:space="preserve">s </w:t>
      </w:r>
      <w:r w:rsidRPr="00FF4D95">
        <w:rPr>
          <w:lang w:val="en-GB"/>
        </w:rPr>
        <w:t>onsite</w:t>
      </w:r>
      <w:r w:rsidR="000A169E" w:rsidRPr="00FF4D95">
        <w:rPr>
          <w:lang w:val="en-GB"/>
        </w:rPr>
        <w:t xml:space="preserve"> remediation</w:t>
      </w:r>
      <w:r w:rsidRPr="00FF4D95">
        <w:rPr>
          <w:lang w:val="en-GB"/>
        </w:rPr>
        <w:t xml:space="preserve">. </w:t>
      </w:r>
      <w:r w:rsidR="00821410" w:rsidRPr="00FF4D95">
        <w:rPr>
          <w:lang w:val="en-GB"/>
        </w:rPr>
        <w:t>For example, c</w:t>
      </w:r>
      <w:r w:rsidRPr="00FF4D95">
        <w:rPr>
          <w:lang w:val="en-GB"/>
        </w:rPr>
        <w:t xml:space="preserve">ontaminated soil </w:t>
      </w:r>
      <w:r w:rsidR="00821410" w:rsidRPr="00FF4D95">
        <w:rPr>
          <w:lang w:val="en-GB"/>
        </w:rPr>
        <w:t xml:space="preserve">could </w:t>
      </w:r>
      <w:r w:rsidRPr="00FF4D95">
        <w:rPr>
          <w:lang w:val="en-GB"/>
        </w:rPr>
        <w:t xml:space="preserve">be treated and sifted to </w:t>
      </w:r>
      <w:r w:rsidR="000A169E" w:rsidRPr="00FF4D95">
        <w:rPr>
          <w:lang w:val="en-GB"/>
        </w:rPr>
        <w:t>encourage</w:t>
      </w:r>
      <w:r w:rsidRPr="00FF4D95">
        <w:rPr>
          <w:lang w:val="en-GB"/>
        </w:rPr>
        <w:t xml:space="preserve"> the breakdown of contaminants by </w:t>
      </w:r>
      <w:r w:rsidR="00FA5DD3" w:rsidRPr="00FF4D95">
        <w:rPr>
          <w:lang w:val="en-GB"/>
        </w:rPr>
        <w:t xml:space="preserve">natural </w:t>
      </w:r>
      <w:r w:rsidRPr="00FF4D95">
        <w:rPr>
          <w:lang w:val="en-GB"/>
        </w:rPr>
        <w:t xml:space="preserve">microbes. However, onsite remediation </w:t>
      </w:r>
      <w:r w:rsidR="00821410" w:rsidRPr="00FF4D95">
        <w:rPr>
          <w:lang w:val="en-GB"/>
        </w:rPr>
        <w:t>wa</w:t>
      </w:r>
      <w:r w:rsidRPr="00FF4D95">
        <w:rPr>
          <w:lang w:val="en-GB"/>
        </w:rPr>
        <w:t xml:space="preserve">s less effective </w:t>
      </w:r>
      <w:r w:rsidR="00821410" w:rsidRPr="00FF4D95">
        <w:rPr>
          <w:lang w:val="en-GB"/>
        </w:rPr>
        <w:t>than disposal in a secure landfill. It was also</w:t>
      </w:r>
      <w:r w:rsidR="00306F6F" w:rsidRPr="00FF4D95">
        <w:rPr>
          <w:lang w:val="en-GB"/>
        </w:rPr>
        <w:t xml:space="preserve"> </w:t>
      </w:r>
      <w:r w:rsidRPr="00FF4D95">
        <w:rPr>
          <w:lang w:val="en-GB"/>
        </w:rPr>
        <w:t xml:space="preserve">more costly </w:t>
      </w:r>
      <w:r w:rsidR="007D26C2" w:rsidRPr="00FF4D95">
        <w:rPr>
          <w:lang w:val="en-GB"/>
        </w:rPr>
        <w:t>i</w:t>
      </w:r>
      <w:r w:rsidRPr="00FF4D95">
        <w:rPr>
          <w:lang w:val="en-GB"/>
        </w:rPr>
        <w:t>n NEBC</w:t>
      </w:r>
      <w:r w:rsidR="00821410" w:rsidRPr="00FF4D95">
        <w:rPr>
          <w:lang w:val="en-GB"/>
        </w:rPr>
        <w:t>,</w:t>
      </w:r>
      <w:r w:rsidRPr="00FF4D95">
        <w:rPr>
          <w:lang w:val="en-GB"/>
        </w:rPr>
        <w:t xml:space="preserve"> due to the cold climate.</w:t>
      </w:r>
      <w:r w:rsidR="00FD2D1A" w:rsidRPr="00FF4D95">
        <w:rPr>
          <w:lang w:val="en-GB"/>
        </w:rPr>
        <w:t xml:space="preserve"> </w:t>
      </w:r>
      <w:r w:rsidR="00821410" w:rsidRPr="00FF4D95">
        <w:rPr>
          <w:lang w:val="en-GB"/>
        </w:rPr>
        <w:t>Therefore</w:t>
      </w:r>
      <w:r w:rsidR="000A169E" w:rsidRPr="00FF4D95">
        <w:rPr>
          <w:lang w:val="en-GB"/>
        </w:rPr>
        <w:t xml:space="preserve">, </w:t>
      </w:r>
      <w:r w:rsidR="00FA5DD3" w:rsidRPr="00FF4D95">
        <w:rPr>
          <w:lang w:val="en-GB"/>
        </w:rPr>
        <w:t xml:space="preserve">the majority of hazardous waste from oil and gas activity </w:t>
      </w:r>
      <w:r w:rsidR="00821410" w:rsidRPr="00FF4D95">
        <w:rPr>
          <w:lang w:val="en-GB"/>
        </w:rPr>
        <w:t>in this region was</w:t>
      </w:r>
      <w:r w:rsidR="00FA5DD3" w:rsidRPr="00FF4D95">
        <w:rPr>
          <w:lang w:val="en-GB"/>
        </w:rPr>
        <w:t xml:space="preserve"> shipped to a secure landfill site.</w:t>
      </w:r>
    </w:p>
    <w:p w14:paraId="70F16551" w14:textId="77777777" w:rsidR="00FA5DD3" w:rsidRPr="00107874" w:rsidRDefault="00FA5DD3" w:rsidP="00D17976">
      <w:pPr>
        <w:pStyle w:val="BodyTextMain"/>
        <w:rPr>
          <w:sz w:val="18"/>
          <w:szCs w:val="18"/>
          <w:lang w:val="en-GB"/>
        </w:rPr>
      </w:pPr>
    </w:p>
    <w:p w14:paraId="77C8CBC9" w14:textId="4EA70B58" w:rsidR="00654AF9" w:rsidRPr="00FF4D95" w:rsidRDefault="00FA5DD3" w:rsidP="00D17976">
      <w:pPr>
        <w:pStyle w:val="BodyTextMain"/>
        <w:rPr>
          <w:lang w:val="en-GB"/>
        </w:rPr>
      </w:pPr>
      <w:r w:rsidRPr="00FF4D95">
        <w:rPr>
          <w:lang w:val="en-GB"/>
        </w:rPr>
        <w:t>T</w:t>
      </w:r>
      <w:r w:rsidR="00403E7C" w:rsidRPr="00FF4D95">
        <w:rPr>
          <w:lang w:val="en-GB"/>
        </w:rPr>
        <w:t xml:space="preserve">here </w:t>
      </w:r>
      <w:r w:rsidR="00905946" w:rsidRPr="00FF4D95">
        <w:rPr>
          <w:lang w:val="en-GB"/>
        </w:rPr>
        <w:t>we</w:t>
      </w:r>
      <w:r w:rsidR="00403E7C" w:rsidRPr="00FF4D95">
        <w:rPr>
          <w:lang w:val="en-GB"/>
        </w:rPr>
        <w:t xml:space="preserve">re two </w:t>
      </w:r>
      <w:r w:rsidR="00FD2D1A" w:rsidRPr="00FF4D95">
        <w:rPr>
          <w:lang w:val="en-GB"/>
        </w:rPr>
        <w:t>costs</w:t>
      </w:r>
      <w:r w:rsidR="00403E7C" w:rsidRPr="00FF4D95">
        <w:rPr>
          <w:lang w:val="en-GB"/>
        </w:rPr>
        <w:t xml:space="preserve"> </w:t>
      </w:r>
      <w:r w:rsidR="000A169E" w:rsidRPr="00FF4D95">
        <w:rPr>
          <w:lang w:val="en-GB"/>
        </w:rPr>
        <w:t>associated with</w:t>
      </w:r>
      <w:r w:rsidR="00FD2D1A" w:rsidRPr="00FF4D95">
        <w:rPr>
          <w:lang w:val="en-GB"/>
        </w:rPr>
        <w:t xml:space="preserve"> dispos</w:t>
      </w:r>
      <w:r w:rsidRPr="00FF4D95">
        <w:rPr>
          <w:lang w:val="en-GB"/>
        </w:rPr>
        <w:t>al of</w:t>
      </w:r>
      <w:r w:rsidR="00403E7C" w:rsidRPr="00FF4D95">
        <w:rPr>
          <w:lang w:val="en-GB"/>
        </w:rPr>
        <w:t xml:space="preserve"> hazardous waste. First, </w:t>
      </w:r>
      <w:r w:rsidR="000A169E" w:rsidRPr="00FF4D95">
        <w:rPr>
          <w:lang w:val="en-GB"/>
        </w:rPr>
        <w:t xml:space="preserve">the waste </w:t>
      </w:r>
      <w:r w:rsidR="00905946" w:rsidRPr="00FF4D95">
        <w:rPr>
          <w:lang w:val="en-GB"/>
        </w:rPr>
        <w:t>needed to</w:t>
      </w:r>
      <w:r w:rsidR="000A169E" w:rsidRPr="00FF4D95">
        <w:rPr>
          <w:lang w:val="en-GB"/>
        </w:rPr>
        <w:t xml:space="preserve"> be transported to a disposal site</w:t>
      </w:r>
      <w:r w:rsidR="00905946" w:rsidRPr="00FF4D95">
        <w:rPr>
          <w:lang w:val="en-GB"/>
        </w:rPr>
        <w:t>, for a cost of approximately</w:t>
      </w:r>
      <w:r w:rsidR="00306F6F" w:rsidRPr="00FF4D95">
        <w:rPr>
          <w:lang w:val="en-GB"/>
        </w:rPr>
        <w:t xml:space="preserve"> </w:t>
      </w:r>
      <w:r w:rsidR="00316EBD">
        <w:rPr>
          <w:lang w:val="en-GB"/>
        </w:rPr>
        <w:t>CA</w:t>
      </w:r>
      <w:r w:rsidR="00403E7C" w:rsidRPr="00FF4D95">
        <w:rPr>
          <w:lang w:val="en-GB"/>
        </w:rPr>
        <w:t>$4</w:t>
      </w:r>
      <w:r w:rsidR="00905946" w:rsidRPr="00FF4D95">
        <w:rPr>
          <w:rStyle w:val="FootnoteReference"/>
          <w:lang w:val="en-GB"/>
        </w:rPr>
        <w:footnoteReference w:id="6"/>
      </w:r>
      <w:r w:rsidR="00403E7C" w:rsidRPr="00FF4D95">
        <w:rPr>
          <w:lang w:val="en-GB"/>
        </w:rPr>
        <w:t xml:space="preserve"> per tonne</w:t>
      </w:r>
      <w:r w:rsidRPr="00FF4D95">
        <w:rPr>
          <w:lang w:val="en-GB"/>
        </w:rPr>
        <w:t>-</w:t>
      </w:r>
      <w:r w:rsidR="00403E7C" w:rsidRPr="00FF4D95">
        <w:rPr>
          <w:lang w:val="en-GB"/>
        </w:rPr>
        <w:t xml:space="preserve">hour. </w:t>
      </w:r>
      <w:r w:rsidR="00FD2D1A" w:rsidRPr="00FF4D95">
        <w:rPr>
          <w:lang w:val="en-GB"/>
        </w:rPr>
        <w:t xml:space="preserve">Total transportation costs </w:t>
      </w:r>
      <w:r w:rsidR="00A86825" w:rsidRPr="00FF4D95">
        <w:rPr>
          <w:lang w:val="en-GB"/>
        </w:rPr>
        <w:t>we</w:t>
      </w:r>
      <w:r w:rsidR="00FD2D1A" w:rsidRPr="00FF4D95">
        <w:rPr>
          <w:lang w:val="en-GB"/>
        </w:rPr>
        <w:t>re calculated on a round</w:t>
      </w:r>
      <w:r w:rsidR="00A86825" w:rsidRPr="00FF4D95">
        <w:rPr>
          <w:lang w:val="en-GB"/>
        </w:rPr>
        <w:t>-</w:t>
      </w:r>
      <w:r w:rsidR="00FD2D1A" w:rsidRPr="00FF4D95">
        <w:rPr>
          <w:lang w:val="en-GB"/>
        </w:rPr>
        <w:t xml:space="preserve">trip basis. </w:t>
      </w:r>
      <w:r w:rsidR="00E76B2F" w:rsidRPr="00FF4D95">
        <w:rPr>
          <w:lang w:val="en-GB"/>
        </w:rPr>
        <w:t>Landfill sites</w:t>
      </w:r>
      <w:r w:rsidR="000A169E" w:rsidRPr="00FF4D95">
        <w:rPr>
          <w:lang w:val="en-GB"/>
        </w:rPr>
        <w:t xml:space="preserve">, such as </w:t>
      </w:r>
      <w:r w:rsidRPr="00FF4D95">
        <w:rPr>
          <w:lang w:val="en-GB"/>
        </w:rPr>
        <w:t>Silverberry</w:t>
      </w:r>
      <w:r w:rsidR="000A169E" w:rsidRPr="00FF4D95">
        <w:rPr>
          <w:lang w:val="en-GB"/>
        </w:rPr>
        <w:t xml:space="preserve">, </w:t>
      </w:r>
      <w:r w:rsidR="00E76B2F" w:rsidRPr="00FF4D95">
        <w:rPr>
          <w:lang w:val="en-GB"/>
        </w:rPr>
        <w:t>t</w:t>
      </w:r>
      <w:r w:rsidR="00A86825" w:rsidRPr="00FF4D95">
        <w:rPr>
          <w:lang w:val="en-GB"/>
        </w:rPr>
        <w:t>ook</w:t>
      </w:r>
      <w:r w:rsidR="00E76B2F" w:rsidRPr="00FF4D95">
        <w:rPr>
          <w:lang w:val="en-GB"/>
        </w:rPr>
        <w:t xml:space="preserve"> transportation costs into account when </w:t>
      </w:r>
      <w:r w:rsidR="000A169E" w:rsidRPr="00FF4D95">
        <w:rPr>
          <w:lang w:val="en-GB"/>
        </w:rPr>
        <w:t>negotiating</w:t>
      </w:r>
      <w:r w:rsidR="00E76B2F" w:rsidRPr="00FF4D95">
        <w:rPr>
          <w:lang w:val="en-GB"/>
        </w:rPr>
        <w:t xml:space="preserve"> with customers. </w:t>
      </w:r>
      <w:r w:rsidR="00403E7C" w:rsidRPr="00FF4D95">
        <w:rPr>
          <w:lang w:val="en-GB"/>
        </w:rPr>
        <w:t xml:space="preserve">Second, once the waste </w:t>
      </w:r>
      <w:r w:rsidR="00A86825" w:rsidRPr="00FF4D95">
        <w:rPr>
          <w:lang w:val="en-GB"/>
        </w:rPr>
        <w:t>wa</w:t>
      </w:r>
      <w:r w:rsidR="00403E7C" w:rsidRPr="00FF4D95">
        <w:rPr>
          <w:lang w:val="en-GB"/>
        </w:rPr>
        <w:t xml:space="preserve">s </w:t>
      </w:r>
      <w:r w:rsidR="00A86825" w:rsidRPr="00FF4D95">
        <w:rPr>
          <w:lang w:val="en-GB"/>
        </w:rPr>
        <w:t>taken to</w:t>
      </w:r>
      <w:r w:rsidR="00403E7C" w:rsidRPr="00FF4D95">
        <w:rPr>
          <w:lang w:val="en-GB"/>
        </w:rPr>
        <w:t xml:space="preserve"> </w:t>
      </w:r>
      <w:r w:rsidR="000A169E" w:rsidRPr="00FF4D95">
        <w:rPr>
          <w:lang w:val="en-GB"/>
        </w:rPr>
        <w:t>a</w:t>
      </w:r>
      <w:r w:rsidR="00403E7C" w:rsidRPr="00FF4D95">
        <w:rPr>
          <w:lang w:val="en-GB"/>
        </w:rPr>
        <w:t xml:space="preserve"> secure landfill facility, tipping fees </w:t>
      </w:r>
      <w:r w:rsidR="00A86825" w:rsidRPr="00FF4D95">
        <w:rPr>
          <w:lang w:val="en-GB"/>
        </w:rPr>
        <w:t xml:space="preserve">were charged, for a cost </w:t>
      </w:r>
      <w:r w:rsidR="00403E7C" w:rsidRPr="00FF4D95">
        <w:rPr>
          <w:lang w:val="en-GB"/>
        </w:rPr>
        <w:t xml:space="preserve">of </w:t>
      </w:r>
      <w:r w:rsidR="000A169E" w:rsidRPr="00FF4D95">
        <w:rPr>
          <w:lang w:val="en-GB"/>
        </w:rPr>
        <w:t xml:space="preserve">approximately </w:t>
      </w:r>
      <w:r w:rsidR="00403E7C" w:rsidRPr="00FF4D95">
        <w:rPr>
          <w:lang w:val="en-GB"/>
        </w:rPr>
        <w:t>$18 per tonne.</w:t>
      </w:r>
      <w:r w:rsidR="00472E20" w:rsidRPr="00FF4D95">
        <w:rPr>
          <w:lang w:val="en-GB"/>
        </w:rPr>
        <w:t xml:space="preserve"> Tipping fees var</w:t>
      </w:r>
      <w:r w:rsidR="00A86825" w:rsidRPr="00FF4D95">
        <w:rPr>
          <w:lang w:val="en-GB"/>
        </w:rPr>
        <w:t>ied</w:t>
      </w:r>
      <w:r w:rsidR="00472E20" w:rsidRPr="00FF4D95">
        <w:rPr>
          <w:lang w:val="en-GB"/>
        </w:rPr>
        <w:t xml:space="preserve"> by customer</w:t>
      </w:r>
      <w:r w:rsidR="00A86825" w:rsidRPr="00FF4D95">
        <w:rPr>
          <w:lang w:val="en-GB"/>
        </w:rPr>
        <w:t>,</w:t>
      </w:r>
      <w:r w:rsidR="00472E20" w:rsidRPr="00FF4D95">
        <w:rPr>
          <w:lang w:val="en-GB"/>
        </w:rPr>
        <w:t xml:space="preserve"> and volume discounts </w:t>
      </w:r>
      <w:r w:rsidR="00A86825" w:rsidRPr="00FF4D95">
        <w:rPr>
          <w:lang w:val="en-GB"/>
        </w:rPr>
        <w:t>applied in some cases</w:t>
      </w:r>
      <w:r w:rsidR="00472E20" w:rsidRPr="00FF4D95">
        <w:rPr>
          <w:lang w:val="en-GB"/>
        </w:rPr>
        <w:t>. Tervita’s book rates and average tipping fees</w:t>
      </w:r>
      <w:r w:rsidR="00881305" w:rsidRPr="00FF4D95">
        <w:rPr>
          <w:lang w:val="en-GB"/>
        </w:rPr>
        <w:t xml:space="preserve"> </w:t>
      </w:r>
      <w:r w:rsidR="00472E20" w:rsidRPr="00FF4D95">
        <w:rPr>
          <w:lang w:val="en-GB"/>
        </w:rPr>
        <w:t>var</w:t>
      </w:r>
      <w:r w:rsidR="00A86825" w:rsidRPr="00FF4D95">
        <w:rPr>
          <w:lang w:val="en-GB"/>
        </w:rPr>
        <w:t>ied</w:t>
      </w:r>
      <w:r w:rsidR="00472E20" w:rsidRPr="00FF4D95">
        <w:rPr>
          <w:lang w:val="en-GB"/>
        </w:rPr>
        <w:t xml:space="preserve"> by landfill site.</w:t>
      </w:r>
      <w:r w:rsidR="00472E20" w:rsidRPr="00FF4D95">
        <w:rPr>
          <w:rStyle w:val="FootnoteReference"/>
          <w:lang w:val="en-GB"/>
        </w:rPr>
        <w:footnoteReference w:id="7"/>
      </w:r>
      <w:r w:rsidR="00472E20" w:rsidRPr="00FF4D95">
        <w:rPr>
          <w:lang w:val="en-GB"/>
        </w:rPr>
        <w:t xml:space="preserve"> </w:t>
      </w:r>
    </w:p>
    <w:p w14:paraId="6D3EC57E" w14:textId="77777777" w:rsidR="00654AF9" w:rsidRPr="00107874" w:rsidRDefault="00654AF9" w:rsidP="00D17976">
      <w:pPr>
        <w:pStyle w:val="BodyTextMain"/>
        <w:rPr>
          <w:sz w:val="18"/>
          <w:szCs w:val="18"/>
          <w:lang w:val="en-GB"/>
        </w:rPr>
      </w:pPr>
    </w:p>
    <w:p w14:paraId="1C2B6D22" w14:textId="3F44DDF7" w:rsidR="00403E7C" w:rsidRPr="00FF4D95" w:rsidRDefault="005302C2" w:rsidP="00D17976">
      <w:pPr>
        <w:pStyle w:val="BodyTextMain"/>
        <w:rPr>
          <w:lang w:val="en-GB"/>
        </w:rPr>
      </w:pPr>
      <w:r w:rsidRPr="00FF4D95">
        <w:rPr>
          <w:lang w:val="en-GB"/>
        </w:rPr>
        <w:t>Secure</w:t>
      </w:r>
      <w:r w:rsidR="004904BE" w:rsidRPr="00FF4D95">
        <w:rPr>
          <w:lang w:val="en-GB"/>
        </w:rPr>
        <w:t xml:space="preserve"> landfill site operators </w:t>
      </w:r>
      <w:r w:rsidRPr="00FF4D95">
        <w:rPr>
          <w:lang w:val="en-GB"/>
        </w:rPr>
        <w:t>normally offered</w:t>
      </w:r>
      <w:r w:rsidR="004904BE" w:rsidRPr="00FF4D95">
        <w:rPr>
          <w:lang w:val="en-GB"/>
        </w:rPr>
        <w:t xml:space="preserve"> </w:t>
      </w:r>
      <w:r w:rsidR="005A08DA" w:rsidRPr="00FF4D95">
        <w:rPr>
          <w:lang w:val="en-GB"/>
        </w:rPr>
        <w:t>discount</w:t>
      </w:r>
      <w:r w:rsidRPr="00FF4D95">
        <w:rPr>
          <w:lang w:val="en-GB"/>
        </w:rPr>
        <w:t>s on</w:t>
      </w:r>
      <w:r w:rsidR="004904BE" w:rsidRPr="00FF4D95">
        <w:rPr>
          <w:lang w:val="en-GB"/>
        </w:rPr>
        <w:t xml:space="preserve"> tipping fees to attract business to </w:t>
      </w:r>
      <w:r w:rsidR="005A08DA" w:rsidRPr="00FF4D95">
        <w:rPr>
          <w:lang w:val="en-GB"/>
        </w:rPr>
        <w:t>their</w:t>
      </w:r>
      <w:r w:rsidR="004904BE" w:rsidRPr="00FF4D95">
        <w:rPr>
          <w:lang w:val="en-GB"/>
        </w:rPr>
        <w:t xml:space="preserve"> site</w:t>
      </w:r>
      <w:r w:rsidRPr="00FF4D95">
        <w:rPr>
          <w:lang w:val="en-GB"/>
        </w:rPr>
        <w:t xml:space="preserve">, </w:t>
      </w:r>
      <w:r w:rsidR="001A4B48" w:rsidRPr="00FF4D95">
        <w:rPr>
          <w:lang w:val="en-GB"/>
        </w:rPr>
        <w:t xml:space="preserve">especially </w:t>
      </w:r>
      <w:r w:rsidR="005A08DA" w:rsidRPr="00FF4D95">
        <w:rPr>
          <w:lang w:val="en-GB"/>
        </w:rPr>
        <w:t xml:space="preserve">if </w:t>
      </w:r>
      <w:r w:rsidR="004904BE" w:rsidRPr="00FF4D95">
        <w:rPr>
          <w:lang w:val="en-GB"/>
        </w:rPr>
        <w:t>competit</w:t>
      </w:r>
      <w:r w:rsidRPr="00FF4D95">
        <w:rPr>
          <w:lang w:val="en-GB"/>
        </w:rPr>
        <w:t>ion was strong</w:t>
      </w:r>
      <w:r w:rsidR="004904BE" w:rsidRPr="00FF4D95">
        <w:rPr>
          <w:lang w:val="en-GB"/>
        </w:rPr>
        <w:t xml:space="preserve"> </w:t>
      </w:r>
      <w:r w:rsidR="001A4B48" w:rsidRPr="00FF4D95">
        <w:rPr>
          <w:lang w:val="en-GB"/>
        </w:rPr>
        <w:t>in the region</w:t>
      </w:r>
      <w:r w:rsidR="004904BE" w:rsidRPr="00FF4D95">
        <w:rPr>
          <w:lang w:val="en-GB"/>
        </w:rPr>
        <w:t>. Tervita</w:t>
      </w:r>
      <w:r w:rsidRPr="00FF4D95">
        <w:rPr>
          <w:lang w:val="en-GB"/>
        </w:rPr>
        <w:t xml:space="preserve"> tended to</w:t>
      </w:r>
      <w:r w:rsidR="004904BE" w:rsidRPr="00FF4D95">
        <w:rPr>
          <w:lang w:val="en-GB"/>
        </w:rPr>
        <w:t xml:space="preserve"> charge lower tipping fees at sites </w:t>
      </w:r>
      <w:r w:rsidR="00881305" w:rsidRPr="00FF4D95">
        <w:rPr>
          <w:lang w:val="en-GB"/>
        </w:rPr>
        <w:t xml:space="preserve">located </w:t>
      </w:r>
      <w:r w:rsidR="005A08DA" w:rsidRPr="00FF4D95">
        <w:rPr>
          <w:lang w:val="en-GB"/>
        </w:rPr>
        <w:t>near</w:t>
      </w:r>
      <w:r w:rsidRPr="00FF4D95">
        <w:rPr>
          <w:lang w:val="en-GB"/>
        </w:rPr>
        <w:t xml:space="preserve"> competitors</w:t>
      </w:r>
      <w:r w:rsidR="004904BE" w:rsidRPr="00FF4D95">
        <w:rPr>
          <w:lang w:val="en-GB"/>
        </w:rPr>
        <w:t xml:space="preserve"> and higher </w:t>
      </w:r>
      <w:r w:rsidRPr="00FF4D95">
        <w:rPr>
          <w:lang w:val="en-GB"/>
        </w:rPr>
        <w:t>tipping</w:t>
      </w:r>
      <w:r w:rsidR="004904BE" w:rsidRPr="00FF4D95">
        <w:rPr>
          <w:lang w:val="en-GB"/>
        </w:rPr>
        <w:t xml:space="preserve"> fees at sites </w:t>
      </w:r>
      <w:r w:rsidRPr="00FF4D95">
        <w:rPr>
          <w:lang w:val="en-GB"/>
        </w:rPr>
        <w:t>located farther from</w:t>
      </w:r>
      <w:r w:rsidR="004904BE" w:rsidRPr="00FF4D95">
        <w:rPr>
          <w:lang w:val="en-GB"/>
        </w:rPr>
        <w:t xml:space="preserve"> competitors.</w:t>
      </w:r>
      <w:r w:rsidR="004904BE" w:rsidRPr="00FF4D95">
        <w:rPr>
          <w:rStyle w:val="FootnoteReference"/>
          <w:lang w:val="en-GB"/>
        </w:rPr>
        <w:footnoteReference w:id="8"/>
      </w:r>
      <w:r w:rsidR="004904BE" w:rsidRPr="00FF4D95">
        <w:rPr>
          <w:lang w:val="en-GB"/>
        </w:rPr>
        <w:t xml:space="preserve"> </w:t>
      </w:r>
    </w:p>
    <w:p w14:paraId="49067CA7" w14:textId="77777777" w:rsidR="001A4B48" w:rsidRPr="00107874" w:rsidRDefault="001A4B48" w:rsidP="00D17976">
      <w:pPr>
        <w:pStyle w:val="BodyTextMain"/>
        <w:rPr>
          <w:sz w:val="18"/>
          <w:szCs w:val="18"/>
          <w:lang w:val="en-GB"/>
        </w:rPr>
      </w:pPr>
    </w:p>
    <w:p w14:paraId="18E90191" w14:textId="51E460BC" w:rsidR="00FD2D1A" w:rsidRPr="00FF4D95" w:rsidRDefault="0052024A" w:rsidP="00D17976">
      <w:pPr>
        <w:pStyle w:val="BodyTextMain"/>
        <w:rPr>
          <w:lang w:val="en-GB"/>
        </w:rPr>
      </w:pPr>
      <w:r w:rsidRPr="00FF4D95">
        <w:rPr>
          <w:lang w:val="en-GB"/>
        </w:rPr>
        <w:t>The two secure landfills operati</w:t>
      </w:r>
      <w:r w:rsidR="005A08DA" w:rsidRPr="00FF4D95">
        <w:rPr>
          <w:lang w:val="en-GB"/>
        </w:rPr>
        <w:t>ng</w:t>
      </w:r>
      <w:r w:rsidRPr="00FF4D95">
        <w:rPr>
          <w:lang w:val="en-GB"/>
        </w:rPr>
        <w:t xml:space="preserve"> in NEBC</w:t>
      </w:r>
      <w:r w:rsidR="005A08DA" w:rsidRPr="00FF4D95">
        <w:rPr>
          <w:lang w:val="en-GB"/>
        </w:rPr>
        <w:t xml:space="preserve"> </w:t>
      </w:r>
      <w:r w:rsidR="005302C2" w:rsidRPr="00FF4D95">
        <w:rPr>
          <w:lang w:val="en-GB"/>
        </w:rPr>
        <w:t>we</w:t>
      </w:r>
      <w:r w:rsidR="005A08DA" w:rsidRPr="00FF4D95">
        <w:rPr>
          <w:lang w:val="en-GB"/>
        </w:rPr>
        <w:t>re</w:t>
      </w:r>
      <w:r w:rsidRPr="00FF4D95">
        <w:rPr>
          <w:lang w:val="en-GB"/>
        </w:rPr>
        <w:t xml:space="preserve"> both owned by Tervita</w:t>
      </w:r>
      <w:r w:rsidR="00956593">
        <w:rPr>
          <w:lang w:val="en-GB"/>
        </w:rPr>
        <w:t>,</w:t>
      </w:r>
      <w:r w:rsidR="005302C2" w:rsidRPr="00FF4D95">
        <w:rPr>
          <w:lang w:val="en-GB"/>
        </w:rPr>
        <w:t xml:space="preserve"> and b</w:t>
      </w:r>
      <w:r w:rsidRPr="00FF4D95">
        <w:rPr>
          <w:lang w:val="en-GB"/>
        </w:rPr>
        <w:t xml:space="preserve">oth </w:t>
      </w:r>
      <w:r w:rsidR="005302C2" w:rsidRPr="00FF4D95">
        <w:rPr>
          <w:lang w:val="en-GB"/>
        </w:rPr>
        <w:t>we</w:t>
      </w:r>
      <w:r w:rsidRPr="00FF4D95">
        <w:rPr>
          <w:lang w:val="en-GB"/>
        </w:rPr>
        <w:t xml:space="preserve">re located in the heart of the oil and gas region of NEBC. </w:t>
      </w:r>
      <w:r w:rsidR="005302C2" w:rsidRPr="00FF4D95">
        <w:rPr>
          <w:lang w:val="en-GB"/>
        </w:rPr>
        <w:t>The</w:t>
      </w:r>
      <w:r w:rsidRPr="00FF4D95">
        <w:rPr>
          <w:lang w:val="en-GB"/>
        </w:rPr>
        <w:t xml:space="preserve"> Silverberry</w:t>
      </w:r>
      <w:r w:rsidR="005302C2" w:rsidRPr="00FF4D95">
        <w:rPr>
          <w:lang w:val="en-GB"/>
        </w:rPr>
        <w:t xml:space="preserve"> site was</w:t>
      </w:r>
      <w:r w:rsidRPr="00FF4D95">
        <w:rPr>
          <w:lang w:val="en-GB"/>
        </w:rPr>
        <w:t xml:space="preserve"> 50 kilometres</w:t>
      </w:r>
      <w:r w:rsidR="005302C2" w:rsidRPr="00FF4D95">
        <w:rPr>
          <w:lang w:val="en-GB"/>
        </w:rPr>
        <w:t xml:space="preserve"> (km)</w:t>
      </w:r>
      <w:r w:rsidRPr="00FF4D95">
        <w:rPr>
          <w:lang w:val="en-GB"/>
        </w:rPr>
        <w:t xml:space="preserve"> northwest of F</w:t>
      </w:r>
      <w:r w:rsidR="005302C2" w:rsidRPr="00FF4D95">
        <w:rPr>
          <w:lang w:val="en-GB"/>
        </w:rPr>
        <w:t>or</w:t>
      </w:r>
      <w:r w:rsidRPr="00FF4D95">
        <w:rPr>
          <w:lang w:val="en-GB"/>
        </w:rPr>
        <w:t>t St. John</w:t>
      </w:r>
      <w:r w:rsidR="006D7857" w:rsidRPr="00FF4D95">
        <w:rPr>
          <w:lang w:val="en-GB"/>
        </w:rPr>
        <w:t>;</w:t>
      </w:r>
      <w:r w:rsidR="005302C2" w:rsidRPr="00FF4D95">
        <w:rPr>
          <w:lang w:val="en-GB"/>
        </w:rPr>
        <w:t xml:space="preserve"> the</w:t>
      </w:r>
      <w:r w:rsidRPr="00FF4D95">
        <w:rPr>
          <w:lang w:val="en-GB"/>
        </w:rPr>
        <w:t xml:space="preserve"> Northern Rockies</w:t>
      </w:r>
      <w:r w:rsidR="005302C2" w:rsidRPr="00FF4D95">
        <w:rPr>
          <w:lang w:val="en-GB"/>
        </w:rPr>
        <w:t xml:space="preserve"> site was</w:t>
      </w:r>
      <w:r w:rsidRPr="00FF4D95">
        <w:rPr>
          <w:lang w:val="en-GB"/>
        </w:rPr>
        <w:t xml:space="preserve"> 20 k</w:t>
      </w:r>
      <w:r w:rsidR="005302C2" w:rsidRPr="00FF4D95">
        <w:rPr>
          <w:lang w:val="en-GB"/>
        </w:rPr>
        <w:t>m</w:t>
      </w:r>
      <w:r w:rsidRPr="00FF4D95">
        <w:rPr>
          <w:lang w:val="en-GB"/>
        </w:rPr>
        <w:t xml:space="preserve"> south of F</w:t>
      </w:r>
      <w:r w:rsidR="005302C2" w:rsidRPr="00FF4D95">
        <w:rPr>
          <w:lang w:val="en-GB"/>
        </w:rPr>
        <w:t>or</w:t>
      </w:r>
      <w:r w:rsidRPr="00FF4D95">
        <w:rPr>
          <w:lang w:val="en-GB"/>
        </w:rPr>
        <w:t xml:space="preserve">t Nelson. </w:t>
      </w:r>
      <w:r w:rsidR="005302C2" w:rsidRPr="00FF4D95">
        <w:rPr>
          <w:lang w:val="en-GB"/>
        </w:rPr>
        <w:t>The distance between the two sites was</w:t>
      </w:r>
      <w:r w:rsidRPr="00FF4D95">
        <w:rPr>
          <w:lang w:val="en-GB"/>
        </w:rPr>
        <w:t xml:space="preserve"> 340 k</w:t>
      </w:r>
      <w:r w:rsidR="005302C2" w:rsidRPr="00FF4D95">
        <w:rPr>
          <w:lang w:val="en-GB"/>
        </w:rPr>
        <w:t>m (s</w:t>
      </w:r>
      <w:r w:rsidR="00881305" w:rsidRPr="00FF4D95">
        <w:rPr>
          <w:lang w:val="en-GB"/>
        </w:rPr>
        <w:t>ee Exhibit 1</w:t>
      </w:r>
      <w:r w:rsidR="005302C2" w:rsidRPr="00FF4D95">
        <w:rPr>
          <w:lang w:val="en-GB"/>
        </w:rPr>
        <w:t>)</w:t>
      </w:r>
      <w:r w:rsidR="00881305" w:rsidRPr="00FF4D95">
        <w:rPr>
          <w:lang w:val="en-GB"/>
        </w:rPr>
        <w:t>.</w:t>
      </w:r>
    </w:p>
    <w:p w14:paraId="3DEDC48F" w14:textId="77777777" w:rsidR="00DC3E0F" w:rsidRPr="00107874" w:rsidRDefault="00DC3E0F" w:rsidP="00D17976">
      <w:pPr>
        <w:pStyle w:val="BodyTextMain"/>
        <w:rPr>
          <w:sz w:val="18"/>
          <w:szCs w:val="18"/>
          <w:lang w:val="en-GB"/>
        </w:rPr>
      </w:pPr>
    </w:p>
    <w:p w14:paraId="659A7438" w14:textId="0A6CDC22" w:rsidR="00D17976" w:rsidRPr="00FF4D95" w:rsidRDefault="00D316D5" w:rsidP="00D17976">
      <w:pPr>
        <w:pStyle w:val="BodyTextMain"/>
        <w:rPr>
          <w:lang w:val="en-GB"/>
        </w:rPr>
      </w:pPr>
      <w:r w:rsidRPr="00FF4D95">
        <w:rPr>
          <w:lang w:val="en-GB"/>
        </w:rPr>
        <w:t xml:space="preserve">The nearest competitors to </w:t>
      </w:r>
      <w:r w:rsidR="006D7857" w:rsidRPr="00FF4D95">
        <w:rPr>
          <w:lang w:val="en-GB"/>
        </w:rPr>
        <w:t xml:space="preserve">the </w:t>
      </w:r>
      <w:r w:rsidRPr="00FF4D95">
        <w:rPr>
          <w:lang w:val="en-GB"/>
        </w:rPr>
        <w:t>Sil</w:t>
      </w:r>
      <w:r w:rsidR="005A08DA" w:rsidRPr="00FF4D95">
        <w:rPr>
          <w:lang w:val="en-GB"/>
        </w:rPr>
        <w:t xml:space="preserve">verberry and Northern Rockies </w:t>
      </w:r>
      <w:r w:rsidR="00AE104D" w:rsidRPr="00FF4D95">
        <w:rPr>
          <w:lang w:val="en-GB"/>
        </w:rPr>
        <w:t>landfill</w:t>
      </w:r>
      <w:r w:rsidR="00032DBF" w:rsidRPr="00FF4D95">
        <w:rPr>
          <w:lang w:val="en-GB"/>
        </w:rPr>
        <w:t xml:space="preserve"> sites were</w:t>
      </w:r>
      <w:r w:rsidR="00AE104D" w:rsidRPr="00FF4D95">
        <w:rPr>
          <w:lang w:val="en-GB"/>
        </w:rPr>
        <w:t xml:space="preserve"> located</w:t>
      </w:r>
      <w:r w:rsidR="00881305" w:rsidRPr="00FF4D95">
        <w:rPr>
          <w:lang w:val="en-GB"/>
        </w:rPr>
        <w:t xml:space="preserve"> </w:t>
      </w:r>
      <w:r w:rsidRPr="00FF4D95">
        <w:rPr>
          <w:lang w:val="en-GB"/>
        </w:rPr>
        <w:t xml:space="preserve">in </w:t>
      </w:r>
      <w:r w:rsidR="00AE104D" w:rsidRPr="00FF4D95">
        <w:rPr>
          <w:lang w:val="en-GB"/>
        </w:rPr>
        <w:t xml:space="preserve">the province of </w:t>
      </w:r>
      <w:r w:rsidRPr="00FF4D95">
        <w:rPr>
          <w:lang w:val="en-GB"/>
        </w:rPr>
        <w:t xml:space="preserve">Alberta. </w:t>
      </w:r>
      <w:r w:rsidR="005A08DA" w:rsidRPr="00FF4D95">
        <w:rPr>
          <w:lang w:val="en-GB"/>
        </w:rPr>
        <w:t xml:space="preserve">The Newalta Fairview landfill </w:t>
      </w:r>
      <w:r w:rsidR="005302C2" w:rsidRPr="00FF4D95">
        <w:rPr>
          <w:lang w:val="en-GB"/>
        </w:rPr>
        <w:t>wa</w:t>
      </w:r>
      <w:r w:rsidRPr="00FF4D95">
        <w:rPr>
          <w:lang w:val="en-GB"/>
        </w:rPr>
        <w:t>s 246 k</w:t>
      </w:r>
      <w:r w:rsidR="005302C2" w:rsidRPr="00FF4D95">
        <w:rPr>
          <w:lang w:val="en-GB"/>
        </w:rPr>
        <w:t>m</w:t>
      </w:r>
      <w:r w:rsidRPr="00FF4D95">
        <w:rPr>
          <w:lang w:val="en-GB"/>
        </w:rPr>
        <w:t xml:space="preserve"> from Silverberry</w:t>
      </w:r>
      <w:r w:rsidR="00032DBF" w:rsidRPr="00FF4D95">
        <w:rPr>
          <w:lang w:val="en-GB"/>
        </w:rPr>
        <w:t>, for an</w:t>
      </w:r>
      <w:r w:rsidRPr="00FF4D95">
        <w:rPr>
          <w:lang w:val="en-GB"/>
        </w:rPr>
        <w:t xml:space="preserve"> eight</w:t>
      </w:r>
      <w:r w:rsidR="00032DBF" w:rsidRPr="00FF4D95">
        <w:rPr>
          <w:lang w:val="en-GB"/>
        </w:rPr>
        <w:t>-</w:t>
      </w:r>
      <w:r w:rsidRPr="00FF4D95">
        <w:rPr>
          <w:lang w:val="en-GB"/>
        </w:rPr>
        <w:t>hour round trip</w:t>
      </w:r>
      <w:r w:rsidR="00032DBF" w:rsidRPr="00FF4D95">
        <w:rPr>
          <w:lang w:val="en-GB"/>
        </w:rPr>
        <w:t>, and</w:t>
      </w:r>
      <w:r w:rsidR="00AE104D" w:rsidRPr="00FF4D95">
        <w:rPr>
          <w:lang w:val="en-GB"/>
        </w:rPr>
        <w:t xml:space="preserve"> </w:t>
      </w:r>
      <w:r w:rsidRPr="00FF4D95">
        <w:rPr>
          <w:lang w:val="en-GB"/>
        </w:rPr>
        <w:t>562 k</w:t>
      </w:r>
      <w:r w:rsidR="00AE104D" w:rsidRPr="00FF4D95">
        <w:rPr>
          <w:lang w:val="en-GB"/>
        </w:rPr>
        <w:t>m</w:t>
      </w:r>
      <w:r w:rsidRPr="00FF4D95">
        <w:rPr>
          <w:lang w:val="en-GB"/>
        </w:rPr>
        <w:t xml:space="preserve"> away from Northern Rockies, </w:t>
      </w:r>
      <w:r w:rsidR="00AE104D" w:rsidRPr="00FF4D95">
        <w:rPr>
          <w:lang w:val="en-GB"/>
        </w:rPr>
        <w:t xml:space="preserve">for </w:t>
      </w:r>
      <w:r w:rsidRPr="00FF4D95">
        <w:rPr>
          <w:lang w:val="en-GB"/>
        </w:rPr>
        <w:t>a 16</w:t>
      </w:r>
      <w:r w:rsidR="00032DBF" w:rsidRPr="00FF4D95">
        <w:rPr>
          <w:lang w:val="en-GB"/>
        </w:rPr>
        <w:t>-</w:t>
      </w:r>
      <w:r w:rsidRPr="00FF4D95">
        <w:rPr>
          <w:lang w:val="en-GB"/>
        </w:rPr>
        <w:t xml:space="preserve">hour round trip. The South Grande Prairie landfill </w:t>
      </w:r>
      <w:r w:rsidR="00AE104D" w:rsidRPr="00FF4D95">
        <w:rPr>
          <w:lang w:val="en-GB"/>
        </w:rPr>
        <w:t>wa</w:t>
      </w:r>
      <w:r w:rsidRPr="00FF4D95">
        <w:rPr>
          <w:lang w:val="en-GB"/>
        </w:rPr>
        <w:t>s 290 k</w:t>
      </w:r>
      <w:r w:rsidR="00AE104D" w:rsidRPr="00FF4D95">
        <w:rPr>
          <w:lang w:val="en-GB"/>
        </w:rPr>
        <w:t>m</w:t>
      </w:r>
      <w:r w:rsidRPr="00FF4D95">
        <w:rPr>
          <w:lang w:val="en-GB"/>
        </w:rPr>
        <w:t xml:space="preserve"> from Silverberry, </w:t>
      </w:r>
      <w:r w:rsidR="00AE104D" w:rsidRPr="00FF4D95">
        <w:rPr>
          <w:lang w:val="en-GB"/>
        </w:rPr>
        <w:t xml:space="preserve">for </w:t>
      </w:r>
      <w:r w:rsidRPr="00FF4D95">
        <w:rPr>
          <w:lang w:val="en-GB"/>
        </w:rPr>
        <w:t>an eight</w:t>
      </w:r>
      <w:r w:rsidR="00032DBF" w:rsidRPr="00FF4D95">
        <w:rPr>
          <w:lang w:val="en-GB"/>
        </w:rPr>
        <w:t>-</w:t>
      </w:r>
      <w:r w:rsidRPr="00FF4D95">
        <w:rPr>
          <w:lang w:val="en-GB"/>
        </w:rPr>
        <w:t>hour round trip, and 606 k</w:t>
      </w:r>
      <w:r w:rsidR="00AE104D" w:rsidRPr="00FF4D95">
        <w:rPr>
          <w:lang w:val="en-GB"/>
        </w:rPr>
        <w:t>m</w:t>
      </w:r>
      <w:r w:rsidRPr="00FF4D95">
        <w:rPr>
          <w:lang w:val="en-GB"/>
        </w:rPr>
        <w:t xml:space="preserve"> from Northern Rockies, </w:t>
      </w:r>
      <w:r w:rsidR="00AE104D" w:rsidRPr="00FF4D95">
        <w:rPr>
          <w:lang w:val="en-GB"/>
        </w:rPr>
        <w:t xml:space="preserve">for </w:t>
      </w:r>
      <w:r w:rsidRPr="00FF4D95">
        <w:rPr>
          <w:lang w:val="en-GB"/>
        </w:rPr>
        <w:t>a 16.5</w:t>
      </w:r>
      <w:r w:rsidR="00032DBF" w:rsidRPr="00FF4D95">
        <w:rPr>
          <w:lang w:val="en-GB"/>
        </w:rPr>
        <w:t>-</w:t>
      </w:r>
      <w:r w:rsidRPr="00FF4D95">
        <w:rPr>
          <w:lang w:val="en-GB"/>
        </w:rPr>
        <w:t>hour round trip.</w:t>
      </w:r>
      <w:r w:rsidRPr="00FF4D95">
        <w:rPr>
          <w:rStyle w:val="FootnoteReference"/>
          <w:lang w:val="en-GB"/>
        </w:rPr>
        <w:footnoteReference w:id="9"/>
      </w:r>
    </w:p>
    <w:p w14:paraId="7169731D" w14:textId="77777777" w:rsidR="00D17976" w:rsidRPr="00107874" w:rsidRDefault="00D17976" w:rsidP="00D17976">
      <w:pPr>
        <w:pStyle w:val="BodyTextMain"/>
        <w:rPr>
          <w:sz w:val="18"/>
          <w:szCs w:val="18"/>
          <w:lang w:val="en-GB"/>
        </w:rPr>
      </w:pPr>
    </w:p>
    <w:p w14:paraId="679C5114" w14:textId="3CBB3FCF" w:rsidR="00766549" w:rsidRPr="00FF4D95" w:rsidRDefault="00AE104D" w:rsidP="009A39DD">
      <w:pPr>
        <w:pStyle w:val="BodyTextMain"/>
        <w:rPr>
          <w:lang w:val="en-GB"/>
        </w:rPr>
      </w:pPr>
      <w:r w:rsidRPr="00FF4D95">
        <w:rPr>
          <w:lang w:val="en-GB"/>
        </w:rPr>
        <w:t>As noted earlier, t</w:t>
      </w:r>
      <w:r w:rsidR="00B45B37" w:rsidRPr="00FF4D95">
        <w:rPr>
          <w:lang w:val="en-GB"/>
        </w:rPr>
        <w:t xml:space="preserve">wo </w:t>
      </w:r>
      <w:r w:rsidRPr="00FF4D95">
        <w:rPr>
          <w:lang w:val="en-GB"/>
        </w:rPr>
        <w:t>other</w:t>
      </w:r>
      <w:r w:rsidR="00881305" w:rsidRPr="00FF4D95">
        <w:rPr>
          <w:lang w:val="en-GB"/>
        </w:rPr>
        <w:t xml:space="preserve"> </w:t>
      </w:r>
      <w:r w:rsidR="00B45B37" w:rsidRPr="00FF4D95">
        <w:rPr>
          <w:lang w:val="en-GB"/>
        </w:rPr>
        <w:t xml:space="preserve">secure landfill sites </w:t>
      </w:r>
      <w:r w:rsidRPr="00FF4D95">
        <w:rPr>
          <w:lang w:val="en-GB"/>
        </w:rPr>
        <w:t>were</w:t>
      </w:r>
      <w:r w:rsidR="00B45B37" w:rsidRPr="00FF4D95">
        <w:rPr>
          <w:lang w:val="en-GB"/>
        </w:rPr>
        <w:t xml:space="preserve"> granted approval to operate</w:t>
      </w:r>
      <w:r w:rsidRPr="00FF4D95">
        <w:rPr>
          <w:lang w:val="en-GB"/>
        </w:rPr>
        <w:t>.</w:t>
      </w:r>
      <w:r w:rsidR="00B45B37" w:rsidRPr="00FF4D95">
        <w:rPr>
          <w:lang w:val="en-GB"/>
        </w:rPr>
        <w:t xml:space="preserve"> </w:t>
      </w:r>
      <w:r w:rsidRPr="00FF4D95">
        <w:rPr>
          <w:lang w:val="en-GB"/>
        </w:rPr>
        <w:t>T</w:t>
      </w:r>
      <w:r w:rsidR="00B45B37" w:rsidRPr="00FF4D95">
        <w:rPr>
          <w:lang w:val="en-GB"/>
        </w:rPr>
        <w:t>he Babkirk facility</w:t>
      </w:r>
      <w:r w:rsidR="008D20F8" w:rsidRPr="00FF4D95">
        <w:rPr>
          <w:lang w:val="en-GB"/>
        </w:rPr>
        <w:t>, owned by Complete,</w:t>
      </w:r>
      <w:r w:rsidRPr="00FF4D95">
        <w:rPr>
          <w:lang w:val="en-GB"/>
        </w:rPr>
        <w:t xml:space="preserve"> was</w:t>
      </w:r>
      <w:r w:rsidR="00B45B37" w:rsidRPr="00FF4D95">
        <w:rPr>
          <w:lang w:val="en-GB"/>
        </w:rPr>
        <w:t xml:space="preserve"> granted approval in February 2010</w:t>
      </w:r>
      <w:r w:rsidR="008D20F8" w:rsidRPr="00FF4D95">
        <w:rPr>
          <w:lang w:val="en-GB"/>
        </w:rPr>
        <w:t>. T</w:t>
      </w:r>
      <w:r w:rsidR="00B45B37" w:rsidRPr="00FF4D95">
        <w:rPr>
          <w:lang w:val="en-GB"/>
        </w:rPr>
        <w:t>he Peejay Secure Landfill project</w:t>
      </w:r>
      <w:r w:rsidR="008D20F8" w:rsidRPr="00FF4D95">
        <w:rPr>
          <w:lang w:val="en-GB"/>
        </w:rPr>
        <w:t>, owned by Doig River Environmental</w:t>
      </w:r>
      <w:r w:rsidR="00B45B37" w:rsidRPr="00FF4D95">
        <w:rPr>
          <w:lang w:val="en-GB"/>
        </w:rPr>
        <w:t xml:space="preserve">, </w:t>
      </w:r>
      <w:r w:rsidR="008D20F8" w:rsidRPr="00FF4D95">
        <w:rPr>
          <w:lang w:val="en-GB"/>
        </w:rPr>
        <w:t xml:space="preserve">was </w:t>
      </w:r>
      <w:r w:rsidR="00B45B37" w:rsidRPr="00FF4D95">
        <w:rPr>
          <w:lang w:val="en-GB"/>
        </w:rPr>
        <w:t xml:space="preserve">approved in 2008 but </w:t>
      </w:r>
      <w:r w:rsidRPr="00FF4D95">
        <w:rPr>
          <w:lang w:val="en-GB"/>
        </w:rPr>
        <w:t xml:space="preserve">was </w:t>
      </w:r>
      <w:r w:rsidR="00B45B37" w:rsidRPr="00FF4D95">
        <w:rPr>
          <w:lang w:val="en-GB"/>
        </w:rPr>
        <w:t>not yet operational.</w:t>
      </w:r>
      <w:r w:rsidR="009A0A79" w:rsidRPr="00FF4D95">
        <w:rPr>
          <w:lang w:val="en-GB"/>
        </w:rPr>
        <w:t xml:space="preserve"> </w:t>
      </w:r>
      <w:r w:rsidR="004716A3" w:rsidRPr="00FF4D95">
        <w:rPr>
          <w:lang w:val="en-GB"/>
        </w:rPr>
        <w:t xml:space="preserve">The Peejay </w:t>
      </w:r>
      <w:r w:rsidR="008D20F8" w:rsidRPr="00FF4D95">
        <w:rPr>
          <w:lang w:val="en-GB"/>
        </w:rPr>
        <w:t xml:space="preserve">site </w:t>
      </w:r>
      <w:r w:rsidR="004323B3" w:rsidRPr="00FF4D95">
        <w:rPr>
          <w:lang w:val="en-GB"/>
        </w:rPr>
        <w:t>wa</w:t>
      </w:r>
      <w:r w:rsidR="009A0A79" w:rsidRPr="00FF4D95">
        <w:rPr>
          <w:lang w:val="en-GB"/>
        </w:rPr>
        <w:t>s located in a remote region not easily accessible by customers.</w:t>
      </w:r>
      <w:r w:rsidR="004716A3" w:rsidRPr="00FF4D95">
        <w:rPr>
          <w:lang w:val="en-GB"/>
        </w:rPr>
        <w:t xml:space="preserve"> </w:t>
      </w:r>
      <w:r w:rsidR="004323B3" w:rsidRPr="00FF4D95">
        <w:rPr>
          <w:lang w:val="en-GB"/>
        </w:rPr>
        <w:t xml:space="preserve">With a round trip of </w:t>
      </w:r>
      <w:r w:rsidR="00B81E48" w:rsidRPr="00FF4D95">
        <w:rPr>
          <w:lang w:val="en-GB"/>
        </w:rPr>
        <w:t>seven and a half hour</w:t>
      </w:r>
      <w:r w:rsidR="004323B3" w:rsidRPr="00FF4D95">
        <w:rPr>
          <w:lang w:val="en-GB"/>
        </w:rPr>
        <w:t xml:space="preserve">s, the site was too far away </w:t>
      </w:r>
      <w:r w:rsidR="00E75D69" w:rsidRPr="00FF4D95">
        <w:rPr>
          <w:lang w:val="en-GB"/>
        </w:rPr>
        <w:t>to</w:t>
      </w:r>
      <w:r w:rsidR="001A4B48" w:rsidRPr="00FF4D95">
        <w:rPr>
          <w:lang w:val="en-GB"/>
        </w:rPr>
        <w:t xml:space="preserve"> </w:t>
      </w:r>
      <w:r w:rsidR="00E75D69" w:rsidRPr="00FF4D95">
        <w:rPr>
          <w:lang w:val="en-GB"/>
        </w:rPr>
        <w:t>have an impact on the business</w:t>
      </w:r>
      <w:r w:rsidR="004323B3" w:rsidRPr="00FF4D95">
        <w:rPr>
          <w:lang w:val="en-GB"/>
        </w:rPr>
        <w:t xml:space="preserve"> of the Babkirk facility</w:t>
      </w:r>
      <w:r w:rsidR="00E75D69" w:rsidRPr="00FF4D95">
        <w:rPr>
          <w:lang w:val="en-GB"/>
        </w:rPr>
        <w:t>.</w:t>
      </w:r>
      <w:r w:rsidR="005A08DA" w:rsidRPr="00FF4D95">
        <w:rPr>
          <w:lang w:val="en-GB"/>
        </w:rPr>
        <w:t xml:space="preserve"> </w:t>
      </w:r>
    </w:p>
    <w:p w14:paraId="7B911FF8" w14:textId="77777777" w:rsidR="00766549" w:rsidRPr="00107874" w:rsidRDefault="00766549" w:rsidP="009A39DD">
      <w:pPr>
        <w:pStyle w:val="BodyTextMain"/>
        <w:rPr>
          <w:sz w:val="18"/>
          <w:szCs w:val="18"/>
          <w:lang w:val="en-GB"/>
        </w:rPr>
      </w:pPr>
    </w:p>
    <w:p w14:paraId="75721984" w14:textId="569A28BC" w:rsidR="004716A3" w:rsidRPr="00FF4D95" w:rsidRDefault="008B3391" w:rsidP="009A39DD">
      <w:pPr>
        <w:pStyle w:val="BodyTextMain"/>
        <w:rPr>
          <w:lang w:val="en-GB"/>
        </w:rPr>
      </w:pPr>
      <w:r w:rsidRPr="00FF4D95">
        <w:rPr>
          <w:lang w:val="en-GB"/>
        </w:rPr>
        <w:lastRenderedPageBreak/>
        <w:t xml:space="preserve">The </w:t>
      </w:r>
      <w:r w:rsidR="005A08DA" w:rsidRPr="00FF4D95">
        <w:rPr>
          <w:lang w:val="en-GB"/>
        </w:rPr>
        <w:t xml:space="preserve">Peejay </w:t>
      </w:r>
      <w:r w:rsidRPr="00FF4D95">
        <w:rPr>
          <w:lang w:val="en-GB"/>
        </w:rPr>
        <w:t>site</w:t>
      </w:r>
      <w:r w:rsidR="00766549" w:rsidRPr="00FF4D95">
        <w:rPr>
          <w:lang w:val="en-GB"/>
        </w:rPr>
        <w:t>, which</w:t>
      </w:r>
      <w:r w:rsidRPr="00FF4D95">
        <w:rPr>
          <w:lang w:val="en-GB"/>
        </w:rPr>
        <w:t xml:space="preserve"> </w:t>
      </w:r>
      <w:r w:rsidR="00DB1BEA" w:rsidRPr="00FF4D95">
        <w:rPr>
          <w:lang w:val="en-GB"/>
        </w:rPr>
        <w:t>wa</w:t>
      </w:r>
      <w:r w:rsidR="00B81E48" w:rsidRPr="00FF4D95">
        <w:rPr>
          <w:lang w:val="en-GB"/>
        </w:rPr>
        <w:t xml:space="preserve">s </w:t>
      </w:r>
      <w:r w:rsidR="00DB1BEA" w:rsidRPr="00FF4D95">
        <w:rPr>
          <w:lang w:val="en-GB"/>
        </w:rPr>
        <w:t>a round trip of</w:t>
      </w:r>
      <w:r w:rsidR="00B81E48" w:rsidRPr="00FF4D95">
        <w:rPr>
          <w:lang w:val="en-GB"/>
        </w:rPr>
        <w:t xml:space="preserve"> 16 hour</w:t>
      </w:r>
      <w:r w:rsidR="00DB1BEA" w:rsidRPr="00FF4D95">
        <w:rPr>
          <w:lang w:val="en-GB"/>
        </w:rPr>
        <w:t>s</w:t>
      </w:r>
      <w:r w:rsidR="00B81E48" w:rsidRPr="00FF4D95">
        <w:rPr>
          <w:lang w:val="en-GB"/>
        </w:rPr>
        <w:t xml:space="preserve"> from Northern Rockies</w:t>
      </w:r>
      <w:r w:rsidR="00766549" w:rsidRPr="00FF4D95">
        <w:rPr>
          <w:lang w:val="en-GB"/>
        </w:rPr>
        <w:t>,</w:t>
      </w:r>
      <w:r w:rsidR="00B81E48" w:rsidRPr="00FF4D95">
        <w:rPr>
          <w:rStyle w:val="FootnoteReference"/>
          <w:lang w:val="en-GB"/>
        </w:rPr>
        <w:footnoteReference w:id="10"/>
      </w:r>
      <w:r w:rsidR="005A08DA" w:rsidRPr="00FF4D95">
        <w:rPr>
          <w:lang w:val="en-GB"/>
        </w:rPr>
        <w:t xml:space="preserve"> </w:t>
      </w:r>
      <w:r w:rsidR="00DB1BEA" w:rsidRPr="00FF4D95">
        <w:rPr>
          <w:lang w:val="en-GB"/>
        </w:rPr>
        <w:t>was</w:t>
      </w:r>
      <w:r w:rsidR="004716A3" w:rsidRPr="00FF4D95">
        <w:rPr>
          <w:lang w:val="en-GB"/>
        </w:rPr>
        <w:t xml:space="preserve"> estimated t</w:t>
      </w:r>
      <w:r w:rsidR="00DB1BEA" w:rsidRPr="00FF4D95">
        <w:rPr>
          <w:lang w:val="en-GB"/>
        </w:rPr>
        <w:t>o</w:t>
      </w:r>
      <w:r w:rsidR="004716A3" w:rsidRPr="00FF4D95">
        <w:rPr>
          <w:lang w:val="en-GB"/>
        </w:rPr>
        <w:t xml:space="preserve"> cost $4 million in capital expenditures to </w:t>
      </w:r>
      <w:r w:rsidR="00766549" w:rsidRPr="00FF4D95">
        <w:rPr>
          <w:lang w:val="en-GB"/>
        </w:rPr>
        <w:t>become</w:t>
      </w:r>
      <w:r w:rsidR="004716A3" w:rsidRPr="00FF4D95">
        <w:rPr>
          <w:lang w:val="en-GB"/>
        </w:rPr>
        <w:t xml:space="preserve"> an operational secure landfill.</w:t>
      </w:r>
      <w:r w:rsidR="00C1114B" w:rsidRPr="00FF4D95">
        <w:rPr>
          <w:lang w:val="en-GB"/>
        </w:rPr>
        <w:t xml:space="preserve"> Typical costs to devel</w:t>
      </w:r>
      <w:r w:rsidR="005A08DA" w:rsidRPr="00FF4D95">
        <w:rPr>
          <w:lang w:val="en-GB"/>
        </w:rPr>
        <w:t>op a secure landfill site range</w:t>
      </w:r>
      <w:r w:rsidR="00DB1BEA" w:rsidRPr="00FF4D95">
        <w:rPr>
          <w:lang w:val="en-GB"/>
        </w:rPr>
        <w:t>d</w:t>
      </w:r>
      <w:r w:rsidR="00C1114B" w:rsidRPr="00FF4D95">
        <w:rPr>
          <w:lang w:val="en-GB"/>
        </w:rPr>
        <w:t xml:space="preserve"> from $2 million to $7 million</w:t>
      </w:r>
      <w:r w:rsidR="00DB1BEA" w:rsidRPr="00FF4D95">
        <w:rPr>
          <w:lang w:val="en-GB"/>
        </w:rPr>
        <w:t>,</w:t>
      </w:r>
      <w:r w:rsidR="00C1114B" w:rsidRPr="00FF4D95">
        <w:rPr>
          <w:lang w:val="en-GB"/>
        </w:rPr>
        <w:t xml:space="preserve"> and </w:t>
      </w:r>
      <w:r w:rsidR="005A08DA" w:rsidRPr="00FF4D95">
        <w:rPr>
          <w:lang w:val="en-GB"/>
        </w:rPr>
        <w:t xml:space="preserve">construction time </w:t>
      </w:r>
      <w:r w:rsidR="00DB1BEA" w:rsidRPr="00FF4D95">
        <w:rPr>
          <w:lang w:val="en-GB"/>
        </w:rPr>
        <w:t>was</w:t>
      </w:r>
      <w:r w:rsidR="00C1114B" w:rsidRPr="00FF4D95">
        <w:rPr>
          <w:lang w:val="en-GB"/>
        </w:rPr>
        <w:t xml:space="preserve"> about four months.</w:t>
      </w:r>
      <w:r w:rsidR="00D74E2E" w:rsidRPr="00FF4D95">
        <w:rPr>
          <w:lang w:val="en-GB"/>
        </w:rPr>
        <w:t xml:space="preserve"> These costs include</w:t>
      </w:r>
      <w:r w:rsidR="00DB1BEA" w:rsidRPr="00FF4D95">
        <w:rPr>
          <w:lang w:val="en-GB"/>
        </w:rPr>
        <w:t>d</w:t>
      </w:r>
      <w:r w:rsidR="00D74E2E" w:rsidRPr="00FF4D95">
        <w:rPr>
          <w:lang w:val="en-GB"/>
        </w:rPr>
        <w:t xml:space="preserve"> preparing the site, putting in a liner, and building infrastructure such as roads, offices</w:t>
      </w:r>
      <w:r w:rsidR="00DB1BEA" w:rsidRPr="00FF4D95">
        <w:rPr>
          <w:lang w:val="en-GB"/>
        </w:rPr>
        <w:t>,</w:t>
      </w:r>
      <w:r w:rsidR="00D74E2E" w:rsidRPr="00FF4D95">
        <w:rPr>
          <w:lang w:val="en-GB"/>
        </w:rPr>
        <w:t xml:space="preserve"> and gates.</w:t>
      </w:r>
      <w:r w:rsidR="00C1114B" w:rsidRPr="00FF4D95">
        <w:rPr>
          <w:rStyle w:val="FootnoteReference"/>
          <w:lang w:val="en-GB"/>
        </w:rPr>
        <w:footnoteReference w:id="11"/>
      </w:r>
      <w:r w:rsidR="00881305" w:rsidRPr="00FF4D95">
        <w:rPr>
          <w:lang w:val="en-GB"/>
        </w:rPr>
        <w:t xml:space="preserve"> </w:t>
      </w:r>
      <w:r w:rsidR="005A08DA" w:rsidRPr="00FF4D95">
        <w:rPr>
          <w:lang w:val="en-GB"/>
        </w:rPr>
        <w:t>In January 2011</w:t>
      </w:r>
      <w:r w:rsidR="00881305" w:rsidRPr="00FF4D95">
        <w:rPr>
          <w:lang w:val="en-GB"/>
        </w:rPr>
        <w:t xml:space="preserve">, construction had not </w:t>
      </w:r>
      <w:r w:rsidR="00DB1BEA" w:rsidRPr="00FF4D95">
        <w:rPr>
          <w:lang w:val="en-GB"/>
        </w:rPr>
        <w:t>yet started</w:t>
      </w:r>
      <w:r w:rsidR="00881305" w:rsidRPr="00FF4D95">
        <w:rPr>
          <w:lang w:val="en-GB"/>
        </w:rPr>
        <w:t xml:space="preserve"> at the Peejay site.</w:t>
      </w:r>
    </w:p>
    <w:p w14:paraId="3549D211" w14:textId="77777777" w:rsidR="004716A3" w:rsidRPr="003F649E" w:rsidRDefault="004716A3" w:rsidP="009A39DD">
      <w:pPr>
        <w:pStyle w:val="BodyTextMain"/>
        <w:rPr>
          <w:lang w:val="en-GB"/>
        </w:rPr>
      </w:pPr>
      <w:bookmarkStart w:id="0" w:name="_GoBack"/>
    </w:p>
    <w:bookmarkEnd w:id="0"/>
    <w:p w14:paraId="6C0CAC6A" w14:textId="13CF0459" w:rsidR="00AC3495" w:rsidRPr="00FF4D95" w:rsidRDefault="005A08DA" w:rsidP="009A39DD">
      <w:pPr>
        <w:pStyle w:val="BodyTextMain"/>
        <w:rPr>
          <w:lang w:val="en-GB"/>
        </w:rPr>
      </w:pPr>
      <w:r w:rsidRPr="00FF4D95">
        <w:rPr>
          <w:lang w:val="en-GB"/>
        </w:rPr>
        <w:t xml:space="preserve">Two additional secure landfill sites had been proposed </w:t>
      </w:r>
      <w:r w:rsidR="004716A3" w:rsidRPr="00FF4D95">
        <w:rPr>
          <w:lang w:val="en-GB"/>
        </w:rPr>
        <w:t xml:space="preserve">in NEBC, but </w:t>
      </w:r>
      <w:r w:rsidRPr="00FF4D95">
        <w:rPr>
          <w:lang w:val="en-GB"/>
        </w:rPr>
        <w:t>both</w:t>
      </w:r>
      <w:r w:rsidR="004716A3" w:rsidRPr="00FF4D95">
        <w:rPr>
          <w:lang w:val="en-GB"/>
        </w:rPr>
        <w:t xml:space="preserve"> applications were rejected. </w:t>
      </w:r>
      <w:r w:rsidR="00FA5DD3" w:rsidRPr="00FF4D95">
        <w:rPr>
          <w:lang w:val="en-GB"/>
        </w:rPr>
        <w:t>SE</w:t>
      </w:r>
      <w:r w:rsidR="00EA4ED7" w:rsidRPr="00FF4D95">
        <w:rPr>
          <w:lang w:val="en-GB"/>
        </w:rPr>
        <w:t>CURE</w:t>
      </w:r>
      <w:r w:rsidR="00FA5DD3" w:rsidRPr="00FF4D95">
        <w:rPr>
          <w:lang w:val="en-GB"/>
        </w:rPr>
        <w:t xml:space="preserve"> </w:t>
      </w:r>
      <w:r w:rsidR="004716A3" w:rsidRPr="00FF4D95">
        <w:rPr>
          <w:lang w:val="en-GB"/>
        </w:rPr>
        <w:t>attempted to obtain a secure landfill permit</w:t>
      </w:r>
      <w:r w:rsidR="00FA5DD3" w:rsidRPr="00FF4D95">
        <w:rPr>
          <w:lang w:val="en-GB"/>
        </w:rPr>
        <w:t xml:space="preserve"> for its Heritage Project near Tupper, B</w:t>
      </w:r>
      <w:r w:rsidR="001B6773" w:rsidRPr="00FF4D95">
        <w:rPr>
          <w:lang w:val="en-GB"/>
        </w:rPr>
        <w:t xml:space="preserve">ritish </w:t>
      </w:r>
      <w:r w:rsidR="00FA5DD3" w:rsidRPr="00FF4D95">
        <w:rPr>
          <w:lang w:val="en-GB"/>
        </w:rPr>
        <w:t>C</w:t>
      </w:r>
      <w:r w:rsidR="001B6773" w:rsidRPr="00FF4D95">
        <w:rPr>
          <w:lang w:val="en-GB"/>
        </w:rPr>
        <w:t>olumbia</w:t>
      </w:r>
      <w:r w:rsidRPr="00FF4D95">
        <w:rPr>
          <w:lang w:val="en-GB"/>
        </w:rPr>
        <w:t>. A</w:t>
      </w:r>
      <w:r w:rsidR="004716A3" w:rsidRPr="00FF4D95">
        <w:rPr>
          <w:lang w:val="en-GB"/>
        </w:rPr>
        <w:t>fter three years and $1.3 million</w:t>
      </w:r>
      <w:r w:rsidR="00EA4ED7" w:rsidRPr="00FF4D95">
        <w:rPr>
          <w:lang w:val="en-GB"/>
        </w:rPr>
        <w:t xml:space="preserve"> in expenses</w:t>
      </w:r>
      <w:r w:rsidR="004716A3" w:rsidRPr="00FF4D95">
        <w:rPr>
          <w:lang w:val="en-GB"/>
        </w:rPr>
        <w:t xml:space="preserve">, continued public opposition to </w:t>
      </w:r>
      <w:r w:rsidR="00FA5DD3" w:rsidRPr="00FF4D95">
        <w:rPr>
          <w:lang w:val="en-GB"/>
        </w:rPr>
        <w:t>the Heritage</w:t>
      </w:r>
      <w:r w:rsidR="004716A3" w:rsidRPr="00FF4D95">
        <w:rPr>
          <w:lang w:val="en-GB"/>
        </w:rPr>
        <w:t xml:space="preserve"> application </w:t>
      </w:r>
      <w:r w:rsidRPr="00FF4D95">
        <w:rPr>
          <w:lang w:val="en-GB"/>
        </w:rPr>
        <w:t>led to its</w:t>
      </w:r>
      <w:r w:rsidR="004716A3" w:rsidRPr="00FF4D95">
        <w:rPr>
          <w:lang w:val="en-GB"/>
        </w:rPr>
        <w:t xml:space="preserve"> reject</w:t>
      </w:r>
      <w:r w:rsidRPr="00FF4D95">
        <w:rPr>
          <w:lang w:val="en-GB"/>
        </w:rPr>
        <w:t>ion</w:t>
      </w:r>
      <w:r w:rsidR="004716A3" w:rsidRPr="00FF4D95">
        <w:rPr>
          <w:lang w:val="en-GB"/>
        </w:rPr>
        <w:t xml:space="preserve"> in 2010. Tervita </w:t>
      </w:r>
      <w:r w:rsidRPr="00FF4D95">
        <w:rPr>
          <w:lang w:val="en-GB"/>
        </w:rPr>
        <w:t xml:space="preserve">also attempted </w:t>
      </w:r>
      <w:r w:rsidR="004716A3" w:rsidRPr="00FF4D95">
        <w:rPr>
          <w:lang w:val="en-GB"/>
        </w:rPr>
        <w:t>to open another landfill in Bessborough</w:t>
      </w:r>
      <w:r w:rsidR="001B6773" w:rsidRPr="00FF4D95">
        <w:rPr>
          <w:lang w:val="en-GB"/>
        </w:rPr>
        <w:t>,</w:t>
      </w:r>
      <w:r w:rsidR="008B0028" w:rsidRPr="00FF4D95">
        <w:rPr>
          <w:lang w:val="en-GB"/>
        </w:rPr>
        <w:t xml:space="preserve"> near Dawson Creek, B</w:t>
      </w:r>
      <w:r w:rsidR="001B6773" w:rsidRPr="00FF4D95">
        <w:rPr>
          <w:lang w:val="en-GB"/>
        </w:rPr>
        <w:t xml:space="preserve">ritish </w:t>
      </w:r>
      <w:r w:rsidR="008B0028" w:rsidRPr="00FF4D95">
        <w:rPr>
          <w:lang w:val="en-GB"/>
        </w:rPr>
        <w:t>C</w:t>
      </w:r>
      <w:r w:rsidR="001B6773" w:rsidRPr="00FF4D95">
        <w:rPr>
          <w:lang w:val="en-GB"/>
        </w:rPr>
        <w:t>olumbia</w:t>
      </w:r>
      <w:r w:rsidR="008B0028" w:rsidRPr="00FF4D95">
        <w:rPr>
          <w:lang w:val="en-GB"/>
        </w:rPr>
        <w:t xml:space="preserve">. </w:t>
      </w:r>
      <w:r w:rsidR="001B6773" w:rsidRPr="00FF4D95">
        <w:rPr>
          <w:lang w:val="en-GB"/>
        </w:rPr>
        <w:t>S</w:t>
      </w:r>
      <w:r w:rsidR="008B0028" w:rsidRPr="00FF4D95">
        <w:rPr>
          <w:lang w:val="en-GB"/>
        </w:rPr>
        <w:t xml:space="preserve">imilar </w:t>
      </w:r>
      <w:r w:rsidR="001B6773" w:rsidRPr="00FF4D95">
        <w:rPr>
          <w:lang w:val="en-GB"/>
        </w:rPr>
        <w:t xml:space="preserve">opposition </w:t>
      </w:r>
      <w:r w:rsidR="008B0028" w:rsidRPr="00FF4D95">
        <w:rPr>
          <w:lang w:val="en-GB"/>
        </w:rPr>
        <w:t xml:space="preserve">to </w:t>
      </w:r>
      <w:r w:rsidR="001B6773" w:rsidRPr="00FF4D95">
        <w:rPr>
          <w:lang w:val="en-GB"/>
        </w:rPr>
        <w:t>the Heritage Project</w:t>
      </w:r>
      <w:r w:rsidR="008B0028" w:rsidRPr="00FF4D95">
        <w:rPr>
          <w:lang w:val="en-GB"/>
        </w:rPr>
        <w:t xml:space="preserve"> led Tervita to</w:t>
      </w:r>
      <w:r w:rsidR="004716A3" w:rsidRPr="00FF4D95">
        <w:rPr>
          <w:lang w:val="en-GB"/>
        </w:rPr>
        <w:t xml:space="preserve"> abandon </w:t>
      </w:r>
      <w:r w:rsidR="008B0028" w:rsidRPr="00FF4D95">
        <w:rPr>
          <w:lang w:val="en-GB"/>
        </w:rPr>
        <w:t>th</w:t>
      </w:r>
      <w:r w:rsidR="001B6773" w:rsidRPr="00FF4D95">
        <w:rPr>
          <w:lang w:val="en-GB"/>
        </w:rPr>
        <w:t>e site</w:t>
      </w:r>
      <w:r w:rsidR="004716A3" w:rsidRPr="00FF4D95">
        <w:rPr>
          <w:lang w:val="en-GB"/>
        </w:rPr>
        <w:t xml:space="preserve"> three years into the permitting process. </w:t>
      </w:r>
    </w:p>
    <w:p w14:paraId="3D3F6155" w14:textId="77777777" w:rsidR="00821F0D" w:rsidRPr="003F649E" w:rsidRDefault="00821F0D" w:rsidP="009A39DD">
      <w:pPr>
        <w:pStyle w:val="BodyTextMain"/>
        <w:rPr>
          <w:lang w:val="en-GB"/>
        </w:rPr>
      </w:pPr>
    </w:p>
    <w:p w14:paraId="4385D96A" w14:textId="6989D2DA" w:rsidR="00821F0D" w:rsidRPr="00FF4D95" w:rsidRDefault="005A08DA" w:rsidP="009A39DD">
      <w:pPr>
        <w:pStyle w:val="BodyTextMain"/>
        <w:rPr>
          <w:lang w:val="en-GB"/>
        </w:rPr>
      </w:pPr>
      <w:r w:rsidRPr="00FF4D95">
        <w:rPr>
          <w:lang w:val="en-GB"/>
        </w:rPr>
        <w:t>Several</w:t>
      </w:r>
      <w:r w:rsidR="008B0028" w:rsidRPr="00FF4D95">
        <w:rPr>
          <w:lang w:val="en-GB"/>
        </w:rPr>
        <w:t xml:space="preserve"> oil and gas</w:t>
      </w:r>
      <w:r w:rsidR="00821F0D" w:rsidRPr="00FF4D95">
        <w:rPr>
          <w:lang w:val="en-GB"/>
        </w:rPr>
        <w:t xml:space="preserve"> c</w:t>
      </w:r>
      <w:r w:rsidR="008B0028" w:rsidRPr="00FF4D95">
        <w:rPr>
          <w:lang w:val="en-GB"/>
        </w:rPr>
        <w:t>ompanie</w:t>
      </w:r>
      <w:r w:rsidR="00821F0D" w:rsidRPr="00FF4D95">
        <w:rPr>
          <w:lang w:val="en-GB"/>
        </w:rPr>
        <w:t xml:space="preserve">s in NEBC </w:t>
      </w:r>
      <w:r w:rsidR="008B0028" w:rsidRPr="00FF4D95">
        <w:rPr>
          <w:lang w:val="en-GB"/>
        </w:rPr>
        <w:t>chose</w:t>
      </w:r>
      <w:r w:rsidR="00821F0D" w:rsidRPr="00FF4D95">
        <w:rPr>
          <w:lang w:val="en-GB"/>
        </w:rPr>
        <w:t xml:space="preserve"> to ship their hazardous waste to secure landfill sites outside </w:t>
      </w:r>
      <w:r w:rsidR="001B6773" w:rsidRPr="00FF4D95">
        <w:rPr>
          <w:lang w:val="en-GB"/>
        </w:rPr>
        <w:t>the</w:t>
      </w:r>
      <w:r w:rsidR="00EA4ED7" w:rsidRPr="00FF4D95">
        <w:rPr>
          <w:lang w:val="en-GB"/>
        </w:rPr>
        <w:t xml:space="preserve"> area</w:t>
      </w:r>
      <w:r w:rsidR="00821F0D" w:rsidRPr="00FF4D95">
        <w:rPr>
          <w:lang w:val="en-GB"/>
        </w:rPr>
        <w:t xml:space="preserve">, </w:t>
      </w:r>
      <w:r w:rsidR="001A4B48" w:rsidRPr="00FF4D95">
        <w:rPr>
          <w:lang w:val="en-GB"/>
        </w:rPr>
        <w:t xml:space="preserve">particularly </w:t>
      </w:r>
      <w:r w:rsidR="00821F0D" w:rsidRPr="00FF4D95">
        <w:rPr>
          <w:lang w:val="en-GB"/>
        </w:rPr>
        <w:t xml:space="preserve">to locations in Alberta, </w:t>
      </w:r>
      <w:r w:rsidR="001A4B48" w:rsidRPr="00FF4D95">
        <w:rPr>
          <w:lang w:val="en-GB"/>
        </w:rPr>
        <w:t>a</w:t>
      </w:r>
      <w:r w:rsidR="001B6773" w:rsidRPr="00FF4D95">
        <w:rPr>
          <w:lang w:val="en-GB"/>
        </w:rPr>
        <w:t>s well as</w:t>
      </w:r>
      <w:r w:rsidR="001A4B48" w:rsidRPr="00FF4D95">
        <w:rPr>
          <w:lang w:val="en-GB"/>
        </w:rPr>
        <w:t xml:space="preserve"> </w:t>
      </w:r>
      <w:r w:rsidR="00821F0D" w:rsidRPr="00FF4D95">
        <w:rPr>
          <w:lang w:val="en-GB"/>
        </w:rPr>
        <w:t xml:space="preserve">to </w:t>
      </w:r>
      <w:r w:rsidR="001A4B48" w:rsidRPr="00FF4D95">
        <w:rPr>
          <w:lang w:val="en-GB"/>
        </w:rPr>
        <w:t xml:space="preserve">other </w:t>
      </w:r>
      <w:r w:rsidR="00821F0D" w:rsidRPr="00FF4D95">
        <w:rPr>
          <w:lang w:val="en-GB"/>
        </w:rPr>
        <w:t xml:space="preserve">secure landfill sites </w:t>
      </w:r>
      <w:r w:rsidR="001B6773" w:rsidRPr="00FF4D95">
        <w:rPr>
          <w:lang w:val="en-GB"/>
        </w:rPr>
        <w:t xml:space="preserve">such as </w:t>
      </w:r>
      <w:r w:rsidR="00472E20" w:rsidRPr="00FF4D95">
        <w:rPr>
          <w:lang w:val="en-GB"/>
        </w:rPr>
        <w:t>Spirit River and LaGlace</w:t>
      </w:r>
      <w:r w:rsidR="001B6773" w:rsidRPr="00FF4D95">
        <w:rPr>
          <w:lang w:val="en-GB"/>
        </w:rPr>
        <w:t>,</w:t>
      </w:r>
      <w:r w:rsidR="00472E20" w:rsidRPr="00FF4D95">
        <w:rPr>
          <w:lang w:val="en-GB"/>
        </w:rPr>
        <w:t xml:space="preserve"> </w:t>
      </w:r>
      <w:r w:rsidR="00821F0D" w:rsidRPr="00FF4D95">
        <w:rPr>
          <w:lang w:val="en-GB"/>
        </w:rPr>
        <w:t>owned by Tervita.</w:t>
      </w:r>
    </w:p>
    <w:p w14:paraId="00F281B1" w14:textId="77777777" w:rsidR="00AC3495" w:rsidRPr="003F649E" w:rsidRDefault="00AC3495" w:rsidP="009A39DD">
      <w:pPr>
        <w:pStyle w:val="BodyTextMain"/>
        <w:rPr>
          <w:lang w:val="en-GB"/>
        </w:rPr>
      </w:pPr>
    </w:p>
    <w:p w14:paraId="72661008" w14:textId="77777777" w:rsidR="00AC3495" w:rsidRPr="003F649E" w:rsidRDefault="00AC3495" w:rsidP="009A39DD">
      <w:pPr>
        <w:pStyle w:val="BodyTextMain"/>
        <w:rPr>
          <w:lang w:val="en-GB"/>
        </w:rPr>
      </w:pPr>
    </w:p>
    <w:p w14:paraId="5081ED9B" w14:textId="77777777" w:rsidR="009A39DD" w:rsidRPr="00FF4D95" w:rsidRDefault="00AC3495" w:rsidP="009A39DD">
      <w:pPr>
        <w:pStyle w:val="BodyTextMain"/>
        <w:rPr>
          <w:rFonts w:ascii="Arial" w:hAnsi="Arial" w:cs="Arial"/>
          <w:b/>
          <w:sz w:val="20"/>
          <w:szCs w:val="20"/>
          <w:lang w:val="en-GB"/>
        </w:rPr>
      </w:pPr>
      <w:r w:rsidRPr="00FF4D95">
        <w:rPr>
          <w:rFonts w:ascii="Arial" w:hAnsi="Arial" w:cs="Arial"/>
          <w:b/>
          <w:sz w:val="20"/>
          <w:szCs w:val="20"/>
          <w:lang w:val="en-GB"/>
        </w:rPr>
        <w:t>T</w:t>
      </w:r>
      <w:r w:rsidR="00573BCE" w:rsidRPr="00FF4D95">
        <w:rPr>
          <w:rFonts w:ascii="Arial" w:hAnsi="Arial" w:cs="Arial"/>
          <w:b/>
          <w:sz w:val="20"/>
          <w:szCs w:val="20"/>
          <w:lang w:val="en-GB"/>
        </w:rPr>
        <w:t>ervita</w:t>
      </w:r>
    </w:p>
    <w:p w14:paraId="23852B80" w14:textId="77777777" w:rsidR="00AC3495" w:rsidRPr="003F649E" w:rsidRDefault="00AC3495" w:rsidP="00365FE5">
      <w:pPr>
        <w:pStyle w:val="BodyTextMain"/>
        <w:rPr>
          <w:lang w:val="en-GB"/>
        </w:rPr>
      </w:pPr>
    </w:p>
    <w:p w14:paraId="46E29F52" w14:textId="4F9BD461" w:rsidR="00AC3495" w:rsidRPr="00FF4D95" w:rsidRDefault="00AC3495" w:rsidP="00365FE5">
      <w:pPr>
        <w:pStyle w:val="BodyTextMain"/>
        <w:rPr>
          <w:lang w:val="en-GB"/>
        </w:rPr>
      </w:pPr>
      <w:r w:rsidRPr="00FF4D95">
        <w:rPr>
          <w:lang w:val="en-GB"/>
        </w:rPr>
        <w:t xml:space="preserve">David P. Werklund co-founded Tervita </w:t>
      </w:r>
      <w:r w:rsidR="004E31FA" w:rsidRPr="00FF4D95">
        <w:rPr>
          <w:lang w:val="en-GB"/>
        </w:rPr>
        <w:t>in 1979 under the name</w:t>
      </w:r>
      <w:r w:rsidRPr="00FF4D95">
        <w:rPr>
          <w:lang w:val="en-GB"/>
        </w:rPr>
        <w:t xml:space="preserve"> Concord Well Servicing. </w:t>
      </w:r>
      <w:r w:rsidR="005A08DA" w:rsidRPr="00FF4D95">
        <w:rPr>
          <w:lang w:val="en-GB"/>
        </w:rPr>
        <w:t xml:space="preserve">Originally, </w:t>
      </w:r>
      <w:r w:rsidR="004E31FA" w:rsidRPr="00FF4D95">
        <w:rPr>
          <w:lang w:val="en-GB"/>
        </w:rPr>
        <w:t>the company</w:t>
      </w:r>
      <w:r w:rsidRPr="00FF4D95">
        <w:rPr>
          <w:lang w:val="en-GB"/>
        </w:rPr>
        <w:t xml:space="preserve"> was a privately owned firm based in Alberta. In 1984, it was renamed Canadian Crude Separators Corporation</w:t>
      </w:r>
      <w:r w:rsidR="004E31FA" w:rsidRPr="00FF4D95">
        <w:rPr>
          <w:lang w:val="en-GB"/>
        </w:rPr>
        <w:t>. I</w:t>
      </w:r>
      <w:r w:rsidR="005A08DA" w:rsidRPr="00FF4D95">
        <w:rPr>
          <w:lang w:val="en-GB"/>
        </w:rPr>
        <w:t>n 2012</w:t>
      </w:r>
      <w:r w:rsidR="004E31FA" w:rsidRPr="00FF4D95">
        <w:rPr>
          <w:lang w:val="en-GB"/>
        </w:rPr>
        <w:t>,</w:t>
      </w:r>
      <w:r w:rsidR="009E5F7B" w:rsidRPr="00FF4D95">
        <w:rPr>
          <w:lang w:val="en-GB"/>
        </w:rPr>
        <w:t xml:space="preserve"> after</w:t>
      </w:r>
      <w:r w:rsidR="005A08DA" w:rsidRPr="00FF4D95">
        <w:rPr>
          <w:lang w:val="en-GB"/>
        </w:rPr>
        <w:t xml:space="preserve"> growing into a conglomeration of </w:t>
      </w:r>
      <w:r w:rsidRPr="00FF4D95">
        <w:rPr>
          <w:lang w:val="en-GB"/>
        </w:rPr>
        <w:t xml:space="preserve">12 companies </w:t>
      </w:r>
      <w:r w:rsidR="004E31FA" w:rsidRPr="00FF4D95">
        <w:rPr>
          <w:lang w:val="en-GB"/>
        </w:rPr>
        <w:t xml:space="preserve">that </w:t>
      </w:r>
      <w:r w:rsidRPr="00FF4D95">
        <w:rPr>
          <w:lang w:val="en-GB"/>
        </w:rPr>
        <w:t>specializ</w:t>
      </w:r>
      <w:r w:rsidR="004E31FA" w:rsidRPr="00FF4D95">
        <w:rPr>
          <w:lang w:val="en-GB"/>
        </w:rPr>
        <w:t>ed</w:t>
      </w:r>
      <w:r w:rsidRPr="00FF4D95">
        <w:rPr>
          <w:lang w:val="en-GB"/>
        </w:rPr>
        <w:t xml:space="preserve"> in energy and environmental waste, </w:t>
      </w:r>
      <w:r w:rsidR="005A08DA" w:rsidRPr="00FF4D95">
        <w:rPr>
          <w:lang w:val="en-GB"/>
        </w:rPr>
        <w:t>Canadian Crude Separators</w:t>
      </w:r>
      <w:r w:rsidRPr="00FF4D95">
        <w:rPr>
          <w:lang w:val="en-GB"/>
        </w:rPr>
        <w:t xml:space="preserve"> </w:t>
      </w:r>
      <w:r w:rsidR="0000760F" w:rsidRPr="00FF4D95">
        <w:rPr>
          <w:lang w:val="en-GB"/>
        </w:rPr>
        <w:t>adopted the name</w:t>
      </w:r>
      <w:r w:rsidRPr="00FF4D95">
        <w:rPr>
          <w:lang w:val="en-GB"/>
        </w:rPr>
        <w:t xml:space="preserve"> Tervit</w:t>
      </w:r>
      <w:r w:rsidR="009E5F7B" w:rsidRPr="00FF4D95">
        <w:rPr>
          <w:lang w:val="en-GB"/>
        </w:rPr>
        <w:t>a</w:t>
      </w:r>
      <w:r w:rsidRPr="00FF4D95">
        <w:rPr>
          <w:lang w:val="en-GB"/>
        </w:rPr>
        <w:t>. T</w:t>
      </w:r>
      <w:r w:rsidR="009E5F7B" w:rsidRPr="00FF4D95">
        <w:rPr>
          <w:lang w:val="en-GB"/>
        </w:rPr>
        <w:t>ervita</w:t>
      </w:r>
      <w:r w:rsidRPr="00FF4D95">
        <w:rPr>
          <w:lang w:val="en-GB"/>
        </w:rPr>
        <w:t xml:space="preserve"> </w:t>
      </w:r>
      <w:r w:rsidR="00D32779" w:rsidRPr="00FF4D95">
        <w:rPr>
          <w:lang w:val="en-GB"/>
        </w:rPr>
        <w:t xml:space="preserve">catered to companies in Canada and the United States, </w:t>
      </w:r>
      <w:r w:rsidRPr="00FF4D95">
        <w:rPr>
          <w:lang w:val="en-GB"/>
        </w:rPr>
        <w:t>offer</w:t>
      </w:r>
      <w:r w:rsidR="00D32779" w:rsidRPr="00FF4D95">
        <w:rPr>
          <w:lang w:val="en-GB"/>
        </w:rPr>
        <w:t>ing</w:t>
      </w:r>
      <w:r w:rsidR="00F15140" w:rsidRPr="00FF4D95">
        <w:rPr>
          <w:lang w:val="en-GB"/>
        </w:rPr>
        <w:t xml:space="preserve"> various</w:t>
      </w:r>
      <w:r w:rsidR="00CF4C45" w:rsidRPr="00FF4D95">
        <w:rPr>
          <w:lang w:val="en-GB"/>
        </w:rPr>
        <w:t xml:space="preserve"> services including</w:t>
      </w:r>
      <w:r w:rsidRPr="00FF4D95">
        <w:rPr>
          <w:lang w:val="en-GB"/>
        </w:rPr>
        <w:t xml:space="preserve"> oil field waste disposal, landfill remediation, demolition, metals recycling, water treatment, civil and environmental construction, oil sands exploration, construction drilling</w:t>
      </w:r>
      <w:r w:rsidR="00491433">
        <w:rPr>
          <w:lang w:val="en-GB"/>
        </w:rPr>
        <w:t>,</w:t>
      </w:r>
      <w:r w:rsidRPr="00FF4D95">
        <w:rPr>
          <w:lang w:val="en-GB"/>
        </w:rPr>
        <w:t xml:space="preserve"> and oil spill clean-up.</w:t>
      </w:r>
      <w:r w:rsidR="0000760F" w:rsidRPr="00FF4D95">
        <w:rPr>
          <w:lang w:val="en-GB"/>
        </w:rPr>
        <w:t xml:space="preserve"> </w:t>
      </w:r>
      <w:r w:rsidR="00D32779" w:rsidRPr="00FF4D95">
        <w:rPr>
          <w:lang w:val="en-GB"/>
        </w:rPr>
        <w:t>The company</w:t>
      </w:r>
      <w:r w:rsidR="009E5F7B" w:rsidRPr="00FF4D95">
        <w:rPr>
          <w:lang w:val="en-GB"/>
        </w:rPr>
        <w:t xml:space="preserve"> own</w:t>
      </w:r>
      <w:r w:rsidR="00D32779" w:rsidRPr="00FF4D95">
        <w:rPr>
          <w:lang w:val="en-GB"/>
        </w:rPr>
        <w:t>ed</w:t>
      </w:r>
      <w:r w:rsidR="009E5F7B" w:rsidRPr="00FF4D95">
        <w:rPr>
          <w:lang w:val="en-GB"/>
        </w:rPr>
        <w:t xml:space="preserve"> and operate</w:t>
      </w:r>
      <w:r w:rsidR="00FA3953" w:rsidRPr="00FF4D95">
        <w:rPr>
          <w:lang w:val="en-GB"/>
        </w:rPr>
        <w:t>d</w:t>
      </w:r>
      <w:r w:rsidRPr="00FF4D95">
        <w:rPr>
          <w:lang w:val="en-GB"/>
        </w:rPr>
        <w:t xml:space="preserve"> 18 hazardous waste landfills in Canada</w:t>
      </w:r>
      <w:r w:rsidR="00B45269" w:rsidRPr="00FF4D95">
        <w:rPr>
          <w:lang w:val="en-GB"/>
        </w:rPr>
        <w:t>, as well as</w:t>
      </w:r>
      <w:r w:rsidRPr="00FF4D95">
        <w:rPr>
          <w:lang w:val="en-GB"/>
        </w:rPr>
        <w:t xml:space="preserve"> several waste disposal facilities in</w:t>
      </w:r>
      <w:r w:rsidR="009E5F7B" w:rsidRPr="00FF4D95">
        <w:rPr>
          <w:lang w:val="en-GB"/>
        </w:rPr>
        <w:t xml:space="preserve"> both</w:t>
      </w:r>
      <w:r w:rsidRPr="00FF4D95">
        <w:rPr>
          <w:lang w:val="en-GB"/>
        </w:rPr>
        <w:t xml:space="preserve"> Canada and the U</w:t>
      </w:r>
      <w:r w:rsidR="00B45269" w:rsidRPr="00FF4D95">
        <w:rPr>
          <w:lang w:val="en-GB"/>
        </w:rPr>
        <w:t xml:space="preserve">nited </w:t>
      </w:r>
      <w:r w:rsidRPr="00FF4D95">
        <w:rPr>
          <w:lang w:val="en-GB"/>
        </w:rPr>
        <w:t>S</w:t>
      </w:r>
      <w:r w:rsidR="00B45269" w:rsidRPr="00FF4D95">
        <w:rPr>
          <w:lang w:val="en-GB"/>
        </w:rPr>
        <w:t>tates</w:t>
      </w:r>
      <w:r w:rsidRPr="00FF4D95">
        <w:rPr>
          <w:lang w:val="en-GB"/>
        </w:rPr>
        <w:t xml:space="preserve">. </w:t>
      </w:r>
      <w:r w:rsidR="00B45269" w:rsidRPr="00FF4D95">
        <w:rPr>
          <w:lang w:val="en-GB"/>
        </w:rPr>
        <w:t>Tervita e</w:t>
      </w:r>
      <w:r w:rsidRPr="00FF4D95">
        <w:rPr>
          <w:lang w:val="en-GB"/>
        </w:rPr>
        <w:t>mploy</w:t>
      </w:r>
      <w:r w:rsidR="00B45269" w:rsidRPr="00FF4D95">
        <w:rPr>
          <w:lang w:val="en-GB"/>
        </w:rPr>
        <w:t>ed</w:t>
      </w:r>
      <w:r w:rsidRPr="00FF4D95">
        <w:rPr>
          <w:lang w:val="en-GB"/>
        </w:rPr>
        <w:t xml:space="preserve"> over 3,000 people</w:t>
      </w:r>
      <w:r w:rsidR="00B45269" w:rsidRPr="00FF4D95">
        <w:rPr>
          <w:lang w:val="en-GB"/>
        </w:rPr>
        <w:t xml:space="preserve"> and</w:t>
      </w:r>
      <w:r w:rsidRPr="00FF4D95">
        <w:rPr>
          <w:lang w:val="en-GB"/>
        </w:rPr>
        <w:t xml:space="preserve"> generat</w:t>
      </w:r>
      <w:r w:rsidR="009E5F7B" w:rsidRPr="00FF4D95">
        <w:rPr>
          <w:lang w:val="en-GB"/>
        </w:rPr>
        <w:t>ed $2.79 billion in</w:t>
      </w:r>
      <w:r w:rsidRPr="00FF4D95">
        <w:rPr>
          <w:lang w:val="en-GB"/>
        </w:rPr>
        <w:t xml:space="preserve"> revenue in 2010.</w:t>
      </w:r>
      <w:r w:rsidR="00A16079" w:rsidRPr="00FF4D95">
        <w:rPr>
          <w:rStyle w:val="FootnoteReference"/>
          <w:lang w:val="en-GB"/>
        </w:rPr>
        <w:footnoteReference w:id="12"/>
      </w:r>
    </w:p>
    <w:p w14:paraId="7F06F41D" w14:textId="77777777" w:rsidR="00B45B37" w:rsidRPr="003F649E" w:rsidRDefault="00B45B37" w:rsidP="00365FE5">
      <w:pPr>
        <w:pStyle w:val="BodyTextMain"/>
        <w:rPr>
          <w:lang w:val="en-GB"/>
        </w:rPr>
      </w:pPr>
    </w:p>
    <w:p w14:paraId="48CFE8E2" w14:textId="0D45A83F" w:rsidR="00AC3495" w:rsidRPr="00FF4D95" w:rsidRDefault="009E5F7B" w:rsidP="00365FE5">
      <w:pPr>
        <w:pStyle w:val="BodyTextMain"/>
        <w:rPr>
          <w:lang w:val="en-GB"/>
        </w:rPr>
      </w:pPr>
      <w:r w:rsidRPr="00FF4D95">
        <w:rPr>
          <w:lang w:val="en-GB"/>
        </w:rPr>
        <w:t xml:space="preserve">At the time of its acquisition of Complete, </w:t>
      </w:r>
      <w:r w:rsidR="00B45269" w:rsidRPr="00FF4D95">
        <w:rPr>
          <w:lang w:val="en-GB"/>
        </w:rPr>
        <w:t>the</w:t>
      </w:r>
      <w:r w:rsidR="008B6FF3" w:rsidRPr="00FF4D95">
        <w:rPr>
          <w:lang w:val="en-GB"/>
        </w:rPr>
        <w:t xml:space="preserve"> </w:t>
      </w:r>
      <w:r w:rsidR="0000760F" w:rsidRPr="00FF4D95">
        <w:rPr>
          <w:lang w:val="en-GB"/>
        </w:rPr>
        <w:t xml:space="preserve">residual </w:t>
      </w:r>
      <w:r w:rsidR="008B6FF3" w:rsidRPr="00FF4D95">
        <w:rPr>
          <w:lang w:val="en-GB"/>
        </w:rPr>
        <w:t xml:space="preserve">capacity </w:t>
      </w:r>
      <w:r w:rsidR="00B45269" w:rsidRPr="00FF4D95">
        <w:rPr>
          <w:lang w:val="en-GB"/>
        </w:rPr>
        <w:t xml:space="preserve">at the Silverberry site </w:t>
      </w:r>
      <w:r w:rsidR="008B6FF3" w:rsidRPr="00FF4D95">
        <w:rPr>
          <w:lang w:val="en-GB"/>
        </w:rPr>
        <w:t>was</w:t>
      </w:r>
      <w:r w:rsidR="005200CD" w:rsidRPr="00FF4D95">
        <w:rPr>
          <w:lang w:val="en-GB"/>
        </w:rPr>
        <w:t xml:space="preserve"> about 4.5 million tonnes, </w:t>
      </w:r>
      <w:r w:rsidR="000B0EB4" w:rsidRPr="00FF4D95">
        <w:rPr>
          <w:lang w:val="en-GB"/>
        </w:rPr>
        <w:t xml:space="preserve">which was </w:t>
      </w:r>
      <w:r w:rsidR="005200CD" w:rsidRPr="00FF4D95">
        <w:rPr>
          <w:lang w:val="en-GB"/>
        </w:rPr>
        <w:t xml:space="preserve">sufficient for several years of operation </w:t>
      </w:r>
      <w:r w:rsidR="00B45269" w:rsidRPr="00FF4D95">
        <w:rPr>
          <w:lang w:val="en-GB"/>
        </w:rPr>
        <w:t>based</w:t>
      </w:r>
      <w:r w:rsidR="00C719D1" w:rsidRPr="00FF4D95">
        <w:rPr>
          <w:lang w:val="en-GB"/>
        </w:rPr>
        <w:t xml:space="preserve"> </w:t>
      </w:r>
      <w:r w:rsidR="00B45269" w:rsidRPr="00FF4D95">
        <w:rPr>
          <w:lang w:val="en-GB"/>
        </w:rPr>
        <w:t>on</w:t>
      </w:r>
      <w:r w:rsidR="005200CD" w:rsidRPr="00FF4D95">
        <w:rPr>
          <w:lang w:val="en-GB"/>
        </w:rPr>
        <w:t xml:space="preserve"> </w:t>
      </w:r>
      <w:r w:rsidRPr="00FF4D95">
        <w:rPr>
          <w:lang w:val="en-GB"/>
        </w:rPr>
        <w:t>the projected growth in waste disposal</w:t>
      </w:r>
      <w:r w:rsidR="005200CD" w:rsidRPr="00FF4D95">
        <w:rPr>
          <w:lang w:val="en-GB"/>
        </w:rPr>
        <w:t xml:space="preserve"> volumes</w:t>
      </w:r>
      <w:r w:rsidRPr="00FF4D95">
        <w:rPr>
          <w:lang w:val="en-GB"/>
        </w:rPr>
        <w:t xml:space="preserve"> in NEBC</w:t>
      </w:r>
      <w:r w:rsidR="005200CD" w:rsidRPr="00FF4D95">
        <w:rPr>
          <w:lang w:val="en-GB"/>
        </w:rPr>
        <w:t>.</w:t>
      </w:r>
      <w:r w:rsidR="005200CD" w:rsidRPr="00FF4D95">
        <w:rPr>
          <w:rStyle w:val="FootnoteReference"/>
          <w:lang w:val="en-GB"/>
        </w:rPr>
        <w:footnoteReference w:id="13"/>
      </w:r>
      <w:r w:rsidR="00DC3E0F" w:rsidRPr="00FF4D95">
        <w:rPr>
          <w:lang w:val="en-GB"/>
        </w:rPr>
        <w:t xml:space="preserve"> </w:t>
      </w:r>
      <w:r w:rsidR="00B45269" w:rsidRPr="00FF4D95">
        <w:rPr>
          <w:lang w:val="en-GB"/>
        </w:rPr>
        <w:t>Information about the r</w:t>
      </w:r>
      <w:r w:rsidR="00DC3E0F" w:rsidRPr="00FF4D95">
        <w:rPr>
          <w:lang w:val="en-GB"/>
        </w:rPr>
        <w:t xml:space="preserve">emaining capacity at </w:t>
      </w:r>
      <w:r w:rsidR="00B45269" w:rsidRPr="00FF4D95">
        <w:rPr>
          <w:lang w:val="en-GB"/>
        </w:rPr>
        <w:t xml:space="preserve">the </w:t>
      </w:r>
      <w:r w:rsidR="00DC3E0F" w:rsidRPr="00FF4D95">
        <w:rPr>
          <w:lang w:val="en-GB"/>
        </w:rPr>
        <w:t xml:space="preserve">Northern Rockies </w:t>
      </w:r>
      <w:r w:rsidR="00B45269" w:rsidRPr="00FF4D95">
        <w:rPr>
          <w:lang w:val="en-GB"/>
        </w:rPr>
        <w:t xml:space="preserve">site </w:t>
      </w:r>
      <w:r w:rsidR="00DC3E0F" w:rsidRPr="00FF4D95">
        <w:rPr>
          <w:lang w:val="en-GB"/>
        </w:rPr>
        <w:t>was not publicly</w:t>
      </w:r>
      <w:r w:rsidR="00B45269" w:rsidRPr="00FF4D95">
        <w:rPr>
          <w:lang w:val="en-GB"/>
        </w:rPr>
        <w:t xml:space="preserve"> </w:t>
      </w:r>
      <w:r w:rsidR="00DC3E0F" w:rsidRPr="00FF4D95">
        <w:rPr>
          <w:lang w:val="en-GB"/>
        </w:rPr>
        <w:t>available.</w:t>
      </w:r>
    </w:p>
    <w:p w14:paraId="6B25F2C0" w14:textId="77777777" w:rsidR="00B45B37" w:rsidRPr="003F649E" w:rsidRDefault="00B45B37" w:rsidP="00365FE5">
      <w:pPr>
        <w:pStyle w:val="BodyTextMain"/>
        <w:rPr>
          <w:strike/>
          <w:lang w:val="en-GB"/>
        </w:rPr>
      </w:pPr>
    </w:p>
    <w:p w14:paraId="29DEA8FC" w14:textId="2EDE6B62" w:rsidR="00AC3495" w:rsidRPr="00FF4D95" w:rsidRDefault="00AC3495" w:rsidP="00365FE5">
      <w:pPr>
        <w:pStyle w:val="BodyTextMain"/>
        <w:rPr>
          <w:lang w:val="en-GB"/>
        </w:rPr>
      </w:pPr>
      <w:r w:rsidRPr="00FF4D95">
        <w:rPr>
          <w:lang w:val="en-GB"/>
        </w:rPr>
        <w:t>In late 2010, Tervita began talks with</w:t>
      </w:r>
      <w:r w:rsidR="00A16079" w:rsidRPr="00FF4D95">
        <w:rPr>
          <w:lang w:val="en-GB"/>
        </w:rPr>
        <w:t xml:space="preserve"> Complete, a privately owned </w:t>
      </w:r>
      <w:r w:rsidR="00145308" w:rsidRPr="00FF4D95">
        <w:rPr>
          <w:lang w:val="en-GB"/>
        </w:rPr>
        <w:t>company that was</w:t>
      </w:r>
      <w:r w:rsidR="00A16079" w:rsidRPr="00FF4D95">
        <w:rPr>
          <w:lang w:val="en-GB"/>
        </w:rPr>
        <w:t xml:space="preserve"> operating a waste disposal service on </w:t>
      </w:r>
      <w:r w:rsidR="000B0EB4" w:rsidRPr="00FF4D95">
        <w:rPr>
          <w:lang w:val="en-GB"/>
        </w:rPr>
        <w:t xml:space="preserve">a </w:t>
      </w:r>
      <w:r w:rsidR="00A16079" w:rsidRPr="00FF4D95">
        <w:rPr>
          <w:lang w:val="en-GB"/>
        </w:rPr>
        <w:t>former landfarm</w:t>
      </w:r>
      <w:r w:rsidR="00C719D1" w:rsidRPr="00FF4D95">
        <w:rPr>
          <w:lang w:val="en-GB"/>
        </w:rPr>
        <w:t>ing site</w:t>
      </w:r>
      <w:r w:rsidR="00A16079" w:rsidRPr="00FF4D95">
        <w:rPr>
          <w:lang w:val="en-GB"/>
        </w:rPr>
        <w:t>.</w:t>
      </w:r>
      <w:r w:rsidR="009E5F7B" w:rsidRPr="00FF4D95">
        <w:rPr>
          <w:rStyle w:val="FootnoteReference"/>
          <w:lang w:val="en-GB"/>
        </w:rPr>
        <w:footnoteReference w:id="14"/>
      </w:r>
      <w:r w:rsidR="00A16079" w:rsidRPr="00FF4D95">
        <w:rPr>
          <w:lang w:val="en-GB"/>
        </w:rPr>
        <w:t xml:space="preserve"> Complete’s most attractive asset was its permit to operate a secure landfill site in </w:t>
      </w:r>
      <w:r w:rsidR="000B0EB4" w:rsidRPr="00FF4D95">
        <w:rPr>
          <w:lang w:val="en-GB"/>
        </w:rPr>
        <w:t xml:space="preserve">the </w:t>
      </w:r>
      <w:r w:rsidR="00A16079" w:rsidRPr="00FF4D95">
        <w:rPr>
          <w:lang w:val="en-GB"/>
        </w:rPr>
        <w:t>Babkirk facility.</w:t>
      </w:r>
      <w:r w:rsidR="009A0A79" w:rsidRPr="00FF4D95">
        <w:rPr>
          <w:lang w:val="en-GB"/>
        </w:rPr>
        <w:t xml:space="preserve"> </w:t>
      </w:r>
      <w:r w:rsidR="000B0EB4" w:rsidRPr="00FF4D95">
        <w:rPr>
          <w:lang w:val="en-GB"/>
        </w:rPr>
        <w:t xml:space="preserve">The site </w:t>
      </w:r>
      <w:r w:rsidR="009A0A79" w:rsidRPr="00FF4D95">
        <w:rPr>
          <w:lang w:val="en-GB"/>
        </w:rPr>
        <w:t>had 750,000 tonnes of permitted capacity and could remediate about 90,000 tonnes of contaminated soil.</w:t>
      </w:r>
      <w:r w:rsidR="009A0A79" w:rsidRPr="00FF4D95">
        <w:rPr>
          <w:rStyle w:val="FootnoteReference"/>
          <w:lang w:val="en-GB"/>
        </w:rPr>
        <w:footnoteReference w:id="15"/>
      </w:r>
    </w:p>
    <w:p w14:paraId="5E05A17D" w14:textId="77777777" w:rsidR="00A0269E" w:rsidRPr="00FF4D95" w:rsidRDefault="00A0269E" w:rsidP="00365FE5">
      <w:pPr>
        <w:pStyle w:val="BodyTextMain"/>
        <w:rPr>
          <w:lang w:val="en-GB"/>
        </w:rPr>
      </w:pPr>
    </w:p>
    <w:p w14:paraId="19111F5D" w14:textId="77777777" w:rsidR="00A0269E" w:rsidRPr="00FF4D95" w:rsidRDefault="00A0269E" w:rsidP="00365FE5">
      <w:pPr>
        <w:pStyle w:val="BodyTextMain"/>
        <w:rPr>
          <w:lang w:val="en-GB"/>
        </w:rPr>
      </w:pPr>
    </w:p>
    <w:p w14:paraId="40ECFC4A" w14:textId="77777777" w:rsidR="00F20A5D" w:rsidRPr="00FF4D95" w:rsidRDefault="00F20A5D" w:rsidP="00F20A5D">
      <w:pPr>
        <w:pStyle w:val="BodyTextMain"/>
        <w:rPr>
          <w:lang w:val="en-GB"/>
        </w:rPr>
      </w:pPr>
      <w:r w:rsidRPr="00FF4D95">
        <w:rPr>
          <w:rFonts w:ascii="Arial" w:hAnsi="Arial" w:cs="Arial"/>
          <w:b/>
          <w:sz w:val="20"/>
          <w:szCs w:val="20"/>
          <w:lang w:val="en-GB"/>
        </w:rPr>
        <w:lastRenderedPageBreak/>
        <w:t>C</w:t>
      </w:r>
      <w:r w:rsidR="00573BCE" w:rsidRPr="00FF4D95">
        <w:rPr>
          <w:rFonts w:ascii="Arial" w:hAnsi="Arial" w:cs="Arial"/>
          <w:b/>
          <w:sz w:val="20"/>
          <w:szCs w:val="20"/>
          <w:lang w:val="en-GB"/>
        </w:rPr>
        <w:t>omplete Environmental</w:t>
      </w:r>
    </w:p>
    <w:p w14:paraId="5E9783FD" w14:textId="77777777" w:rsidR="00F20A5D" w:rsidRPr="00FF4D95" w:rsidRDefault="00F20A5D" w:rsidP="00A21267">
      <w:pPr>
        <w:pStyle w:val="BodyTextMain"/>
        <w:rPr>
          <w:lang w:val="en-GB"/>
        </w:rPr>
      </w:pPr>
    </w:p>
    <w:p w14:paraId="75AF6A55" w14:textId="47576E0F" w:rsidR="00A06F04" w:rsidRPr="00FF4D95" w:rsidRDefault="00E6570C" w:rsidP="00A21267">
      <w:pPr>
        <w:pStyle w:val="BodyTextMain"/>
        <w:rPr>
          <w:lang w:val="en-GB"/>
        </w:rPr>
      </w:pPr>
      <w:r w:rsidRPr="00FF4D95">
        <w:rPr>
          <w:lang w:val="en-GB"/>
        </w:rPr>
        <w:t>In 1998, a landfarm</w:t>
      </w:r>
      <w:r w:rsidR="00592DEC" w:rsidRPr="00FF4D95">
        <w:rPr>
          <w:lang w:val="en-GB"/>
        </w:rPr>
        <w:t>ing site</w:t>
      </w:r>
      <w:r w:rsidRPr="00FF4D95">
        <w:rPr>
          <w:lang w:val="en-GB"/>
        </w:rPr>
        <w:t xml:space="preserve"> was opened on what </w:t>
      </w:r>
      <w:r w:rsidR="00BF6BE3" w:rsidRPr="00FF4D95">
        <w:rPr>
          <w:lang w:val="en-GB"/>
        </w:rPr>
        <w:t>i</w:t>
      </w:r>
      <w:r w:rsidRPr="00FF4D95">
        <w:rPr>
          <w:lang w:val="en-GB"/>
        </w:rPr>
        <w:t xml:space="preserve">s now the Babkirk site. The </w:t>
      </w:r>
      <w:r w:rsidR="00592DEC" w:rsidRPr="00FF4D95">
        <w:rPr>
          <w:lang w:val="en-GB"/>
        </w:rPr>
        <w:t>land</w:t>
      </w:r>
      <w:r w:rsidRPr="00FF4D95">
        <w:rPr>
          <w:lang w:val="en-GB"/>
        </w:rPr>
        <w:t xml:space="preserve"> was acquired in April 2009 by Karen Baker, Ronald Bake</w:t>
      </w:r>
      <w:r w:rsidR="00BF6BE3" w:rsidRPr="00FF4D95">
        <w:rPr>
          <w:lang w:val="en-GB"/>
        </w:rPr>
        <w:t>r, Kenneth Watson, Randy Wolsey</w:t>
      </w:r>
      <w:r w:rsidR="00592DEC" w:rsidRPr="00FF4D95">
        <w:rPr>
          <w:lang w:val="en-GB"/>
        </w:rPr>
        <w:t>,</w:t>
      </w:r>
      <w:r w:rsidRPr="00FF4D95">
        <w:rPr>
          <w:lang w:val="en-GB"/>
        </w:rPr>
        <w:t xml:space="preserve"> and Thomas Wolsey</w:t>
      </w:r>
      <w:r w:rsidR="00C1114B" w:rsidRPr="00FF4D95">
        <w:rPr>
          <w:lang w:val="en-GB"/>
        </w:rPr>
        <w:t xml:space="preserve">. Complete spent $300,000 over four years to obtain a secure landfill permit for </w:t>
      </w:r>
      <w:r w:rsidR="00E32305" w:rsidRPr="00FF4D95">
        <w:rPr>
          <w:lang w:val="en-GB"/>
        </w:rPr>
        <w:t xml:space="preserve">the </w:t>
      </w:r>
      <w:r w:rsidR="00C1114B" w:rsidRPr="00FF4D95">
        <w:rPr>
          <w:lang w:val="en-GB"/>
        </w:rPr>
        <w:t>Babkirk</w:t>
      </w:r>
      <w:r w:rsidR="00E32305" w:rsidRPr="00FF4D95">
        <w:rPr>
          <w:lang w:val="en-GB"/>
        </w:rPr>
        <w:t xml:space="preserve"> site</w:t>
      </w:r>
      <w:r w:rsidR="00C1114B" w:rsidRPr="00FF4D95">
        <w:rPr>
          <w:lang w:val="en-GB"/>
        </w:rPr>
        <w:t>.</w:t>
      </w:r>
      <w:r w:rsidR="00C1114B" w:rsidRPr="00FF4D95">
        <w:rPr>
          <w:rStyle w:val="FootnoteReference"/>
          <w:lang w:val="en-GB"/>
        </w:rPr>
        <w:footnoteReference w:id="16"/>
      </w:r>
      <w:r w:rsidR="00D2479E" w:rsidRPr="00FF4D95">
        <w:rPr>
          <w:lang w:val="en-GB"/>
        </w:rPr>
        <w:t xml:space="preserve"> Complete did not have experience in the design, development</w:t>
      </w:r>
      <w:r w:rsidR="00E32305" w:rsidRPr="00FF4D95">
        <w:rPr>
          <w:lang w:val="en-GB"/>
        </w:rPr>
        <w:t>,</w:t>
      </w:r>
      <w:r w:rsidR="00D2479E" w:rsidRPr="00FF4D95">
        <w:rPr>
          <w:lang w:val="en-GB"/>
        </w:rPr>
        <w:t xml:space="preserve"> or operation of secure landfills. In contrast to Tervita</w:t>
      </w:r>
      <w:r w:rsidR="0000760F" w:rsidRPr="00FF4D95">
        <w:rPr>
          <w:lang w:val="en-GB"/>
        </w:rPr>
        <w:t>’s large workforce</w:t>
      </w:r>
      <w:r w:rsidR="00D2479E" w:rsidRPr="00FF4D95">
        <w:rPr>
          <w:lang w:val="en-GB"/>
        </w:rPr>
        <w:t xml:space="preserve">, Complete had </w:t>
      </w:r>
      <w:r w:rsidR="000B0EB4" w:rsidRPr="00FF4D95">
        <w:rPr>
          <w:lang w:val="en-GB"/>
        </w:rPr>
        <w:t xml:space="preserve">only </w:t>
      </w:r>
      <w:r w:rsidR="00D2479E" w:rsidRPr="00FF4D95">
        <w:rPr>
          <w:lang w:val="en-GB"/>
        </w:rPr>
        <w:t>a handful of employees, some of whom were part-time</w:t>
      </w:r>
      <w:r w:rsidR="00E32305" w:rsidRPr="00FF4D95">
        <w:rPr>
          <w:lang w:val="en-GB"/>
        </w:rPr>
        <w:t xml:space="preserve"> workers</w:t>
      </w:r>
      <w:r w:rsidR="00D2479E" w:rsidRPr="00FF4D95">
        <w:rPr>
          <w:lang w:val="en-GB"/>
        </w:rPr>
        <w:t xml:space="preserve">. </w:t>
      </w:r>
    </w:p>
    <w:p w14:paraId="658F2E85" w14:textId="77777777" w:rsidR="009E5F7B" w:rsidRPr="00FF4D95" w:rsidRDefault="009E5F7B" w:rsidP="00A21267">
      <w:pPr>
        <w:pStyle w:val="BodyTextMain"/>
        <w:rPr>
          <w:lang w:val="en-GB"/>
        </w:rPr>
      </w:pPr>
    </w:p>
    <w:p w14:paraId="40F89708" w14:textId="77777777" w:rsidR="0000760F" w:rsidRPr="00FF4D95" w:rsidRDefault="0000760F" w:rsidP="00A21267">
      <w:pPr>
        <w:pStyle w:val="BodyTextMain"/>
        <w:rPr>
          <w:lang w:val="en-GB"/>
        </w:rPr>
      </w:pPr>
    </w:p>
    <w:p w14:paraId="1BC6EB45" w14:textId="608B8EEE" w:rsidR="008B6FF3" w:rsidRPr="00FF4D95" w:rsidRDefault="008B6FF3" w:rsidP="008B6FF3">
      <w:pPr>
        <w:pStyle w:val="BodyTextMain"/>
        <w:rPr>
          <w:lang w:val="en-GB"/>
        </w:rPr>
      </w:pPr>
      <w:r w:rsidRPr="00FF4D95">
        <w:rPr>
          <w:rFonts w:ascii="Arial" w:hAnsi="Arial" w:cs="Arial"/>
          <w:b/>
          <w:sz w:val="20"/>
          <w:szCs w:val="20"/>
          <w:lang w:val="en-GB"/>
        </w:rPr>
        <w:t>S</w:t>
      </w:r>
      <w:r w:rsidR="000B0EB4" w:rsidRPr="00FF4D95">
        <w:rPr>
          <w:rFonts w:ascii="Arial" w:hAnsi="Arial" w:cs="Arial"/>
          <w:b/>
          <w:sz w:val="20"/>
          <w:szCs w:val="20"/>
          <w:lang w:val="en-GB"/>
        </w:rPr>
        <w:t>ECURE</w:t>
      </w:r>
      <w:r w:rsidR="00573BCE" w:rsidRPr="00FF4D95">
        <w:rPr>
          <w:rFonts w:ascii="Arial" w:hAnsi="Arial" w:cs="Arial"/>
          <w:b/>
          <w:sz w:val="20"/>
          <w:szCs w:val="20"/>
          <w:lang w:val="en-GB"/>
        </w:rPr>
        <w:t xml:space="preserve"> Energy Services</w:t>
      </w:r>
    </w:p>
    <w:p w14:paraId="393C75FB" w14:textId="77777777" w:rsidR="008B6FF3" w:rsidRPr="00FF4D95" w:rsidRDefault="008B6FF3" w:rsidP="00602241">
      <w:pPr>
        <w:pStyle w:val="BodyTextMain"/>
        <w:rPr>
          <w:lang w:val="en-GB"/>
        </w:rPr>
      </w:pPr>
    </w:p>
    <w:p w14:paraId="5F86F5B3" w14:textId="6C3F5D11" w:rsidR="00A06F04" w:rsidRPr="00FF4D95" w:rsidRDefault="00BF6BE3" w:rsidP="00A21267">
      <w:pPr>
        <w:pStyle w:val="BodyTextMain"/>
        <w:rPr>
          <w:lang w:val="en-GB"/>
        </w:rPr>
      </w:pPr>
      <w:r w:rsidRPr="00FF4D95">
        <w:rPr>
          <w:lang w:val="en-GB"/>
        </w:rPr>
        <w:t>SE</w:t>
      </w:r>
      <w:r w:rsidR="000B0EB4" w:rsidRPr="00FF4D95">
        <w:rPr>
          <w:lang w:val="en-GB"/>
        </w:rPr>
        <w:t>CURE was</w:t>
      </w:r>
      <w:r w:rsidR="00573BCE" w:rsidRPr="00FF4D95">
        <w:rPr>
          <w:lang w:val="en-GB"/>
        </w:rPr>
        <w:t xml:space="preserve"> one of Tervita’s main competitors in the NEBC and Albertan secure landfill markets. </w:t>
      </w:r>
      <w:r w:rsidR="00A06F04" w:rsidRPr="00FF4D95">
        <w:rPr>
          <w:lang w:val="en-GB"/>
        </w:rPr>
        <w:t>In November 2007, S</w:t>
      </w:r>
      <w:r w:rsidR="005E29A7">
        <w:rPr>
          <w:lang w:val="en-GB"/>
        </w:rPr>
        <w:t>ECURE</w:t>
      </w:r>
      <w:r w:rsidR="00A06F04" w:rsidRPr="00FF4D95">
        <w:rPr>
          <w:lang w:val="en-GB"/>
        </w:rPr>
        <w:t xml:space="preserve"> opened its </w:t>
      </w:r>
      <w:r w:rsidRPr="00FF4D95">
        <w:rPr>
          <w:lang w:val="en-GB"/>
        </w:rPr>
        <w:t>South Grande Prairie</w:t>
      </w:r>
      <w:r w:rsidR="00A06F04" w:rsidRPr="00FF4D95">
        <w:rPr>
          <w:lang w:val="en-GB"/>
        </w:rPr>
        <w:t xml:space="preserve"> landfill in Alberta, a round</w:t>
      </w:r>
      <w:r w:rsidR="004A7BC6" w:rsidRPr="00FF4D95">
        <w:rPr>
          <w:lang w:val="en-GB"/>
        </w:rPr>
        <w:t>-</w:t>
      </w:r>
      <w:r w:rsidR="00A06F04" w:rsidRPr="00FF4D95">
        <w:rPr>
          <w:lang w:val="en-GB"/>
        </w:rPr>
        <w:t xml:space="preserve">trip </w:t>
      </w:r>
      <w:r w:rsidR="004A7BC6" w:rsidRPr="00FF4D95">
        <w:rPr>
          <w:lang w:val="en-GB"/>
        </w:rPr>
        <w:t xml:space="preserve">distance of two and a half hours </w:t>
      </w:r>
      <w:r w:rsidR="00A06F04" w:rsidRPr="00FF4D95">
        <w:rPr>
          <w:lang w:val="en-GB"/>
        </w:rPr>
        <w:t>from Tervita’s LaGlace</w:t>
      </w:r>
      <w:r w:rsidR="005E29A7">
        <w:rPr>
          <w:lang w:val="en-GB"/>
        </w:rPr>
        <w:t>,</w:t>
      </w:r>
      <w:r w:rsidR="00A06F04" w:rsidRPr="00FF4D95">
        <w:rPr>
          <w:lang w:val="en-GB"/>
        </w:rPr>
        <w:t xml:space="preserve"> </w:t>
      </w:r>
      <w:r w:rsidR="008B6FF3" w:rsidRPr="00FF4D95">
        <w:rPr>
          <w:lang w:val="en-GB"/>
        </w:rPr>
        <w:t xml:space="preserve">Alberta </w:t>
      </w:r>
      <w:r w:rsidR="00A06F04" w:rsidRPr="00FF4D95">
        <w:rPr>
          <w:lang w:val="en-GB"/>
        </w:rPr>
        <w:t xml:space="preserve">site. </w:t>
      </w:r>
      <w:r w:rsidR="008B6FF3" w:rsidRPr="00FF4D95">
        <w:rPr>
          <w:lang w:val="en-GB"/>
        </w:rPr>
        <w:t>Immediately upon the opening of th</w:t>
      </w:r>
      <w:r w:rsidRPr="00FF4D95">
        <w:rPr>
          <w:lang w:val="en-GB"/>
        </w:rPr>
        <w:t>is</w:t>
      </w:r>
      <w:r w:rsidR="008B6FF3" w:rsidRPr="00FF4D95">
        <w:rPr>
          <w:lang w:val="en-GB"/>
        </w:rPr>
        <w:t xml:space="preserve"> site, </w:t>
      </w:r>
      <w:r w:rsidR="00A06F04" w:rsidRPr="00FF4D95">
        <w:rPr>
          <w:lang w:val="en-GB"/>
        </w:rPr>
        <w:t>Tervita’s tipping fees at LaGlace d</w:t>
      </w:r>
      <w:r w:rsidR="004A7BC6" w:rsidRPr="00FF4D95">
        <w:rPr>
          <w:lang w:val="en-GB"/>
        </w:rPr>
        <w:t>ropped</w:t>
      </w:r>
      <w:r w:rsidR="00A06F04" w:rsidRPr="00FF4D95">
        <w:rPr>
          <w:lang w:val="en-GB"/>
        </w:rPr>
        <w:t xml:space="preserve"> by 22 </w:t>
      </w:r>
      <w:r w:rsidR="00A655D5" w:rsidRPr="00FF4D95">
        <w:rPr>
          <w:lang w:val="en-GB"/>
        </w:rPr>
        <w:t>per</w:t>
      </w:r>
      <w:r w:rsidR="00777980" w:rsidRPr="00FF4D95">
        <w:rPr>
          <w:lang w:val="en-GB"/>
        </w:rPr>
        <w:t xml:space="preserve"> </w:t>
      </w:r>
      <w:r w:rsidR="00A655D5" w:rsidRPr="00FF4D95">
        <w:rPr>
          <w:lang w:val="en-GB"/>
        </w:rPr>
        <w:t>cent</w:t>
      </w:r>
      <w:r w:rsidR="00A06F04" w:rsidRPr="00FF4D95">
        <w:rPr>
          <w:lang w:val="en-GB"/>
        </w:rPr>
        <w:t>. SE</w:t>
      </w:r>
      <w:r w:rsidR="00F644F3" w:rsidRPr="00FF4D95">
        <w:rPr>
          <w:lang w:val="en-GB"/>
        </w:rPr>
        <w:t>CURE</w:t>
      </w:r>
      <w:r w:rsidR="00A06F04" w:rsidRPr="00FF4D95">
        <w:rPr>
          <w:lang w:val="en-GB"/>
        </w:rPr>
        <w:t xml:space="preserve"> </w:t>
      </w:r>
      <w:r w:rsidR="008B6FF3" w:rsidRPr="00FF4D95">
        <w:rPr>
          <w:lang w:val="en-GB"/>
        </w:rPr>
        <w:t xml:space="preserve">subsequently </w:t>
      </w:r>
      <w:r w:rsidR="00A06F04" w:rsidRPr="00FF4D95">
        <w:rPr>
          <w:lang w:val="en-GB"/>
        </w:rPr>
        <w:t xml:space="preserve">opened its Willesden Green landfill, </w:t>
      </w:r>
      <w:r w:rsidR="004A7BC6" w:rsidRPr="00FF4D95">
        <w:rPr>
          <w:lang w:val="en-GB"/>
        </w:rPr>
        <w:t xml:space="preserve">which was </w:t>
      </w:r>
      <w:r w:rsidR="00A06F04" w:rsidRPr="00FF4D95">
        <w:rPr>
          <w:lang w:val="en-GB"/>
        </w:rPr>
        <w:t xml:space="preserve">a round trip </w:t>
      </w:r>
      <w:r w:rsidR="004A7BC6" w:rsidRPr="00FF4D95">
        <w:rPr>
          <w:lang w:val="en-GB"/>
        </w:rPr>
        <w:t xml:space="preserve">of two hours away </w:t>
      </w:r>
      <w:r w:rsidR="00A06F04" w:rsidRPr="00FF4D95">
        <w:rPr>
          <w:lang w:val="en-GB"/>
        </w:rPr>
        <w:t xml:space="preserve">from Tervita’s Rocky Mountain House </w:t>
      </w:r>
      <w:r w:rsidR="008B6FF3" w:rsidRPr="00FF4D95">
        <w:rPr>
          <w:lang w:val="en-GB"/>
        </w:rPr>
        <w:t>facility</w:t>
      </w:r>
      <w:r w:rsidR="00A06F04" w:rsidRPr="00FF4D95">
        <w:rPr>
          <w:lang w:val="en-GB"/>
        </w:rPr>
        <w:t xml:space="preserve">. </w:t>
      </w:r>
      <w:r w:rsidR="008B6FF3" w:rsidRPr="00FF4D95">
        <w:rPr>
          <w:lang w:val="en-GB"/>
        </w:rPr>
        <w:t>T</w:t>
      </w:r>
      <w:r w:rsidR="00A06F04" w:rsidRPr="00FF4D95">
        <w:rPr>
          <w:lang w:val="en-GB"/>
        </w:rPr>
        <w:t>ipping fees at Rocky Mountain House</w:t>
      </w:r>
      <w:r w:rsidR="00777980" w:rsidRPr="00FF4D95">
        <w:rPr>
          <w:lang w:val="en-GB"/>
        </w:rPr>
        <w:t>—</w:t>
      </w:r>
      <w:r w:rsidR="00A06F04" w:rsidRPr="00FF4D95">
        <w:rPr>
          <w:lang w:val="en-GB"/>
        </w:rPr>
        <w:t>for contaminated soil</w:t>
      </w:r>
      <w:r w:rsidR="00777980" w:rsidRPr="00FF4D95">
        <w:rPr>
          <w:lang w:val="en-GB"/>
        </w:rPr>
        <w:t>—</w:t>
      </w:r>
      <w:r w:rsidR="00A06F04" w:rsidRPr="00FF4D95">
        <w:rPr>
          <w:lang w:val="en-GB"/>
        </w:rPr>
        <w:t>d</w:t>
      </w:r>
      <w:r w:rsidR="004A7BC6" w:rsidRPr="00FF4D95">
        <w:rPr>
          <w:lang w:val="en-GB"/>
        </w:rPr>
        <w:t>ropped</w:t>
      </w:r>
      <w:r w:rsidR="00A06F04" w:rsidRPr="00FF4D95">
        <w:rPr>
          <w:lang w:val="en-GB"/>
        </w:rPr>
        <w:t xml:space="preserve"> by 17 per cent</w:t>
      </w:r>
      <w:r w:rsidR="008B6FF3" w:rsidRPr="00FF4D95">
        <w:rPr>
          <w:lang w:val="en-GB"/>
        </w:rPr>
        <w:t xml:space="preserve"> when </w:t>
      </w:r>
      <w:r w:rsidR="00F644F3" w:rsidRPr="00FF4D95">
        <w:rPr>
          <w:lang w:val="en-GB"/>
        </w:rPr>
        <w:t xml:space="preserve">the </w:t>
      </w:r>
      <w:r w:rsidR="008B6FF3" w:rsidRPr="00FF4D95">
        <w:rPr>
          <w:lang w:val="en-GB"/>
        </w:rPr>
        <w:t xml:space="preserve">Willesden Green </w:t>
      </w:r>
      <w:r w:rsidR="00F644F3" w:rsidRPr="00FF4D95">
        <w:rPr>
          <w:lang w:val="en-GB"/>
        </w:rPr>
        <w:t xml:space="preserve">site </w:t>
      </w:r>
      <w:r w:rsidR="008B6FF3" w:rsidRPr="00FF4D95">
        <w:rPr>
          <w:lang w:val="en-GB"/>
        </w:rPr>
        <w:t>opened</w:t>
      </w:r>
      <w:r w:rsidR="00A06F04" w:rsidRPr="00FF4D95">
        <w:rPr>
          <w:lang w:val="en-GB"/>
        </w:rPr>
        <w:t>.</w:t>
      </w:r>
      <w:r w:rsidR="00A06F04" w:rsidRPr="00FF4D95">
        <w:rPr>
          <w:rStyle w:val="FootnoteReference"/>
          <w:lang w:val="en-GB"/>
        </w:rPr>
        <w:footnoteReference w:id="17"/>
      </w:r>
      <w:r w:rsidR="00A06F04" w:rsidRPr="00FF4D95">
        <w:rPr>
          <w:lang w:val="en-GB"/>
        </w:rPr>
        <w:t xml:space="preserve"> </w:t>
      </w:r>
    </w:p>
    <w:p w14:paraId="578CB3DC" w14:textId="77777777" w:rsidR="009A39DD" w:rsidRPr="00FF4D95" w:rsidRDefault="009A39DD" w:rsidP="00D600C3">
      <w:pPr>
        <w:pStyle w:val="BodyTextMain"/>
        <w:rPr>
          <w:lang w:val="en-GB"/>
        </w:rPr>
      </w:pPr>
    </w:p>
    <w:p w14:paraId="4BDCE4F9" w14:textId="77777777" w:rsidR="008B6FF3" w:rsidRPr="00FF4D95" w:rsidRDefault="008B6FF3" w:rsidP="00D600C3">
      <w:pPr>
        <w:pStyle w:val="BodyTextMain"/>
        <w:rPr>
          <w:lang w:val="en-GB"/>
        </w:rPr>
      </w:pPr>
    </w:p>
    <w:p w14:paraId="74490D6E" w14:textId="6506B206" w:rsidR="009A39DD" w:rsidRPr="00FF4D95" w:rsidRDefault="008B6C92" w:rsidP="00573BCE">
      <w:pPr>
        <w:pStyle w:val="BodyText"/>
        <w:spacing w:after="0"/>
        <w:jc w:val="both"/>
        <w:rPr>
          <w:rFonts w:ascii="Arial" w:hAnsi="Arial" w:cs="Arial"/>
          <w:b/>
          <w:lang w:val="en-GB"/>
        </w:rPr>
      </w:pPr>
      <w:r w:rsidRPr="00FF4D95">
        <w:rPr>
          <w:rFonts w:ascii="Arial" w:hAnsi="Arial" w:cs="Arial"/>
          <w:b/>
          <w:lang w:val="en-GB"/>
        </w:rPr>
        <w:t>B</w:t>
      </w:r>
      <w:r w:rsidR="00573BCE" w:rsidRPr="00FF4D95">
        <w:rPr>
          <w:rFonts w:ascii="Arial" w:hAnsi="Arial" w:cs="Arial"/>
          <w:b/>
          <w:lang w:val="en-GB"/>
        </w:rPr>
        <w:t>ASIC ECONOMICS</w:t>
      </w:r>
      <w:r w:rsidRPr="00FF4D95">
        <w:rPr>
          <w:rFonts w:ascii="Arial" w:hAnsi="Arial" w:cs="Arial"/>
          <w:b/>
          <w:lang w:val="en-GB"/>
        </w:rPr>
        <w:t xml:space="preserve"> U</w:t>
      </w:r>
      <w:r w:rsidR="00573BCE" w:rsidRPr="00FF4D95">
        <w:rPr>
          <w:rFonts w:ascii="Arial" w:hAnsi="Arial" w:cs="Arial"/>
          <w:b/>
          <w:lang w:val="en-GB"/>
        </w:rPr>
        <w:t xml:space="preserve">NDERLYING </w:t>
      </w:r>
      <w:r w:rsidR="002424BC">
        <w:rPr>
          <w:rFonts w:ascii="Arial" w:hAnsi="Arial" w:cs="Arial"/>
          <w:b/>
          <w:lang w:val="en-GB"/>
        </w:rPr>
        <w:t>THE</w:t>
      </w:r>
      <w:r w:rsidR="002424BC" w:rsidRPr="00FF4D95">
        <w:rPr>
          <w:rFonts w:ascii="Arial" w:hAnsi="Arial" w:cs="Arial"/>
          <w:b/>
          <w:lang w:val="en-GB"/>
        </w:rPr>
        <w:t xml:space="preserve"> </w:t>
      </w:r>
      <w:r w:rsidR="00573BCE" w:rsidRPr="00FF4D95">
        <w:rPr>
          <w:rFonts w:ascii="Arial" w:hAnsi="Arial" w:cs="Arial"/>
          <w:b/>
          <w:lang w:val="en-GB"/>
        </w:rPr>
        <w:t>RECOMMENDATION</w:t>
      </w:r>
    </w:p>
    <w:p w14:paraId="31952129" w14:textId="77777777" w:rsidR="00573BCE" w:rsidRPr="00FF4D95" w:rsidRDefault="00573BCE" w:rsidP="00C317D1">
      <w:pPr>
        <w:pStyle w:val="BodyText"/>
        <w:spacing w:after="0"/>
        <w:jc w:val="both"/>
        <w:rPr>
          <w:sz w:val="22"/>
          <w:szCs w:val="22"/>
          <w:lang w:val="en-GB"/>
        </w:rPr>
      </w:pPr>
    </w:p>
    <w:p w14:paraId="4125E076" w14:textId="55A62DCA" w:rsidR="00D25647" w:rsidRPr="00FF4D95" w:rsidRDefault="00D25647" w:rsidP="00C317D1">
      <w:pPr>
        <w:pStyle w:val="BodyText"/>
        <w:spacing w:after="0"/>
        <w:jc w:val="both"/>
        <w:rPr>
          <w:sz w:val="22"/>
          <w:szCs w:val="22"/>
          <w:lang w:val="en-GB"/>
        </w:rPr>
      </w:pPr>
      <w:r w:rsidRPr="00FF4D95">
        <w:rPr>
          <w:sz w:val="22"/>
          <w:szCs w:val="22"/>
          <w:lang w:val="en-GB"/>
        </w:rPr>
        <w:t>Most economic analys</w:t>
      </w:r>
      <w:r w:rsidR="00573BCE" w:rsidRPr="00FF4D95">
        <w:rPr>
          <w:sz w:val="22"/>
          <w:szCs w:val="22"/>
          <w:lang w:val="en-GB"/>
        </w:rPr>
        <w:t>e</w:t>
      </w:r>
      <w:r w:rsidRPr="00FF4D95">
        <w:rPr>
          <w:sz w:val="22"/>
          <w:szCs w:val="22"/>
          <w:lang w:val="en-GB"/>
        </w:rPr>
        <w:t>s</w:t>
      </w:r>
      <w:r w:rsidR="008B6FF3" w:rsidRPr="00FF4D95">
        <w:rPr>
          <w:sz w:val="22"/>
          <w:szCs w:val="22"/>
          <w:lang w:val="en-GB"/>
        </w:rPr>
        <w:t xml:space="preserve"> </w:t>
      </w:r>
      <w:r w:rsidR="00573BCE" w:rsidRPr="00FF4D95">
        <w:rPr>
          <w:sz w:val="22"/>
          <w:szCs w:val="22"/>
          <w:lang w:val="en-GB"/>
        </w:rPr>
        <w:t>beg</w:t>
      </w:r>
      <w:r w:rsidR="00642C70" w:rsidRPr="00FF4D95">
        <w:rPr>
          <w:sz w:val="22"/>
          <w:szCs w:val="22"/>
          <w:lang w:val="en-GB"/>
        </w:rPr>
        <w:t>a</w:t>
      </w:r>
      <w:r w:rsidR="00573BCE" w:rsidRPr="00FF4D95">
        <w:rPr>
          <w:sz w:val="22"/>
          <w:szCs w:val="22"/>
          <w:lang w:val="en-GB"/>
        </w:rPr>
        <w:t>n</w:t>
      </w:r>
      <w:r w:rsidRPr="00FF4D95">
        <w:rPr>
          <w:sz w:val="22"/>
          <w:szCs w:val="22"/>
          <w:lang w:val="en-GB"/>
        </w:rPr>
        <w:t xml:space="preserve"> with a model of perfect competition. I</w:t>
      </w:r>
      <w:r w:rsidR="00C60AAB" w:rsidRPr="00FF4D95">
        <w:rPr>
          <w:sz w:val="22"/>
          <w:szCs w:val="22"/>
          <w:lang w:val="en-GB"/>
        </w:rPr>
        <w:t xml:space="preserve">n </w:t>
      </w:r>
      <w:r w:rsidR="004A7BC6" w:rsidRPr="00FF4D95">
        <w:rPr>
          <w:sz w:val="22"/>
          <w:szCs w:val="22"/>
          <w:lang w:val="en-GB"/>
        </w:rPr>
        <w:t xml:space="preserve">a </w:t>
      </w:r>
      <w:r w:rsidR="00C60AAB" w:rsidRPr="00FF4D95">
        <w:rPr>
          <w:sz w:val="22"/>
          <w:szCs w:val="22"/>
          <w:lang w:val="en-GB"/>
        </w:rPr>
        <w:t>perfect competition</w:t>
      </w:r>
      <w:r w:rsidR="004A7BC6" w:rsidRPr="00FF4D95">
        <w:rPr>
          <w:sz w:val="22"/>
          <w:szCs w:val="22"/>
          <w:lang w:val="en-GB"/>
        </w:rPr>
        <w:t xml:space="preserve"> environment</w:t>
      </w:r>
      <w:r w:rsidR="005E29A7">
        <w:rPr>
          <w:sz w:val="22"/>
          <w:szCs w:val="22"/>
          <w:lang w:val="en-GB"/>
        </w:rPr>
        <w:t>,</w:t>
      </w:r>
      <w:r w:rsidR="004A7BC6" w:rsidRPr="00FF4D95">
        <w:rPr>
          <w:sz w:val="22"/>
          <w:szCs w:val="22"/>
          <w:lang w:val="en-GB"/>
        </w:rPr>
        <w:t xml:space="preserve"> there </w:t>
      </w:r>
      <w:r w:rsidR="00642C70" w:rsidRPr="00FF4D95">
        <w:rPr>
          <w:sz w:val="22"/>
          <w:szCs w:val="22"/>
          <w:lang w:val="en-GB"/>
        </w:rPr>
        <w:t>we</w:t>
      </w:r>
      <w:r w:rsidR="004A7BC6" w:rsidRPr="00FF4D95">
        <w:rPr>
          <w:sz w:val="22"/>
          <w:szCs w:val="22"/>
          <w:lang w:val="en-GB"/>
        </w:rPr>
        <w:t>re several assumptions:</w:t>
      </w:r>
      <w:r w:rsidR="00C60AAB" w:rsidRPr="00FF4D95">
        <w:rPr>
          <w:sz w:val="22"/>
          <w:szCs w:val="22"/>
          <w:lang w:val="en-GB"/>
        </w:rPr>
        <w:t xml:space="preserve"> </w:t>
      </w:r>
      <w:r w:rsidR="0061219B">
        <w:rPr>
          <w:sz w:val="22"/>
          <w:szCs w:val="22"/>
          <w:lang w:val="en-GB"/>
        </w:rPr>
        <w:t>all companies</w:t>
      </w:r>
      <w:r w:rsidR="0061219B" w:rsidRPr="00FF4D95">
        <w:rPr>
          <w:sz w:val="22"/>
          <w:szCs w:val="22"/>
          <w:lang w:val="en-GB"/>
        </w:rPr>
        <w:t xml:space="preserve"> </w:t>
      </w:r>
      <w:r w:rsidR="00C317D1" w:rsidRPr="00FF4D95">
        <w:rPr>
          <w:sz w:val="22"/>
          <w:szCs w:val="22"/>
          <w:lang w:val="en-GB"/>
        </w:rPr>
        <w:t>offer</w:t>
      </w:r>
      <w:r w:rsidR="00642C70" w:rsidRPr="00FF4D95">
        <w:rPr>
          <w:sz w:val="22"/>
          <w:szCs w:val="22"/>
          <w:lang w:val="en-GB"/>
        </w:rPr>
        <w:t>ed</w:t>
      </w:r>
      <w:r w:rsidR="00C317D1" w:rsidRPr="00FF4D95">
        <w:rPr>
          <w:sz w:val="22"/>
          <w:szCs w:val="22"/>
          <w:lang w:val="en-GB"/>
        </w:rPr>
        <w:t xml:space="preserve"> </w:t>
      </w:r>
      <w:r w:rsidRPr="00FF4D95">
        <w:rPr>
          <w:sz w:val="22"/>
          <w:szCs w:val="22"/>
          <w:lang w:val="en-GB"/>
        </w:rPr>
        <w:t xml:space="preserve">homogenous </w:t>
      </w:r>
      <w:r w:rsidR="00C317D1" w:rsidRPr="00FF4D95">
        <w:rPr>
          <w:sz w:val="22"/>
          <w:szCs w:val="22"/>
          <w:lang w:val="en-GB"/>
        </w:rPr>
        <w:t>products</w:t>
      </w:r>
      <w:r w:rsidR="004A7BC6" w:rsidRPr="00FF4D95">
        <w:rPr>
          <w:sz w:val="22"/>
          <w:szCs w:val="22"/>
          <w:lang w:val="en-GB"/>
        </w:rPr>
        <w:t>;</w:t>
      </w:r>
      <w:r w:rsidR="00C317D1" w:rsidRPr="00FF4D95">
        <w:rPr>
          <w:sz w:val="22"/>
          <w:szCs w:val="22"/>
          <w:lang w:val="en-GB"/>
        </w:rPr>
        <w:t xml:space="preserve"> </w:t>
      </w:r>
      <w:r w:rsidRPr="00FF4D95">
        <w:rPr>
          <w:sz w:val="22"/>
          <w:szCs w:val="22"/>
          <w:lang w:val="en-GB"/>
        </w:rPr>
        <w:t>prices equal</w:t>
      </w:r>
      <w:r w:rsidR="00642C70" w:rsidRPr="00FF4D95">
        <w:rPr>
          <w:sz w:val="22"/>
          <w:szCs w:val="22"/>
          <w:lang w:val="en-GB"/>
        </w:rPr>
        <w:t>led</w:t>
      </w:r>
      <w:r w:rsidRPr="00FF4D95">
        <w:rPr>
          <w:sz w:val="22"/>
          <w:szCs w:val="22"/>
          <w:lang w:val="en-GB"/>
        </w:rPr>
        <w:t xml:space="preserve"> marginal costs</w:t>
      </w:r>
      <w:r w:rsidR="004A7BC6" w:rsidRPr="00FF4D95">
        <w:rPr>
          <w:sz w:val="22"/>
          <w:szCs w:val="22"/>
          <w:lang w:val="en-GB"/>
        </w:rPr>
        <w:t>;</w:t>
      </w:r>
      <w:r w:rsidR="008B6FF3" w:rsidRPr="00FF4D95">
        <w:rPr>
          <w:sz w:val="22"/>
          <w:szCs w:val="22"/>
          <w:lang w:val="en-GB"/>
        </w:rPr>
        <w:t xml:space="preserve"> </w:t>
      </w:r>
      <w:r w:rsidR="004A7BC6" w:rsidRPr="00FF4D95">
        <w:rPr>
          <w:sz w:val="22"/>
          <w:szCs w:val="22"/>
          <w:lang w:val="en-GB"/>
        </w:rPr>
        <w:t>the</w:t>
      </w:r>
      <w:r w:rsidR="0061219B">
        <w:rPr>
          <w:sz w:val="22"/>
          <w:szCs w:val="22"/>
          <w:lang w:val="en-GB"/>
        </w:rPr>
        <w:t xml:space="preserve"> market had</w:t>
      </w:r>
      <w:r w:rsidR="004A7BC6" w:rsidRPr="00FF4D95">
        <w:rPr>
          <w:sz w:val="22"/>
          <w:szCs w:val="22"/>
          <w:lang w:val="en-GB"/>
        </w:rPr>
        <w:t xml:space="preserve"> low barriers to </w:t>
      </w:r>
      <w:r w:rsidR="008B6FF3" w:rsidRPr="00FF4D95">
        <w:rPr>
          <w:sz w:val="22"/>
          <w:szCs w:val="22"/>
          <w:lang w:val="en-GB"/>
        </w:rPr>
        <w:t>entry and exit</w:t>
      </w:r>
      <w:r w:rsidR="004A7BC6" w:rsidRPr="00FF4D95">
        <w:rPr>
          <w:sz w:val="22"/>
          <w:szCs w:val="22"/>
          <w:lang w:val="en-GB"/>
        </w:rPr>
        <w:t>;</w:t>
      </w:r>
      <w:r w:rsidR="008B6FF3" w:rsidRPr="00FF4D95">
        <w:rPr>
          <w:sz w:val="22"/>
          <w:szCs w:val="22"/>
          <w:lang w:val="en-GB"/>
        </w:rPr>
        <w:t xml:space="preserve"> and</w:t>
      </w:r>
      <w:r w:rsidRPr="00FF4D95">
        <w:rPr>
          <w:sz w:val="22"/>
          <w:szCs w:val="22"/>
          <w:lang w:val="en-GB"/>
        </w:rPr>
        <w:t xml:space="preserve"> there </w:t>
      </w:r>
      <w:r w:rsidR="00642C70" w:rsidRPr="00FF4D95">
        <w:rPr>
          <w:sz w:val="22"/>
          <w:szCs w:val="22"/>
          <w:lang w:val="en-GB"/>
        </w:rPr>
        <w:t>we</w:t>
      </w:r>
      <w:r w:rsidRPr="00FF4D95">
        <w:rPr>
          <w:sz w:val="22"/>
          <w:szCs w:val="22"/>
          <w:lang w:val="en-GB"/>
        </w:rPr>
        <w:t xml:space="preserve">re </w:t>
      </w:r>
      <w:r w:rsidR="005B61AB">
        <w:rPr>
          <w:sz w:val="22"/>
          <w:szCs w:val="22"/>
          <w:lang w:val="en-GB"/>
        </w:rPr>
        <w:t>many</w:t>
      </w:r>
      <w:r w:rsidRPr="00FF4D95">
        <w:rPr>
          <w:sz w:val="22"/>
          <w:szCs w:val="22"/>
          <w:lang w:val="en-GB"/>
        </w:rPr>
        <w:t xml:space="preserve"> suppliers</w:t>
      </w:r>
      <w:r w:rsidR="00642C70" w:rsidRPr="00FF4D95">
        <w:rPr>
          <w:sz w:val="22"/>
          <w:szCs w:val="22"/>
          <w:lang w:val="en-GB"/>
        </w:rPr>
        <w:t>,</w:t>
      </w:r>
      <w:r w:rsidRPr="00FF4D95">
        <w:rPr>
          <w:sz w:val="22"/>
          <w:szCs w:val="22"/>
          <w:lang w:val="en-GB"/>
        </w:rPr>
        <w:t xml:space="preserve"> each with</w:t>
      </w:r>
      <w:r w:rsidR="00C317D1" w:rsidRPr="00FF4D95">
        <w:rPr>
          <w:sz w:val="22"/>
          <w:szCs w:val="22"/>
          <w:lang w:val="en-GB"/>
        </w:rPr>
        <w:t xml:space="preserve"> relatively small market shares</w:t>
      </w:r>
      <w:r w:rsidRPr="00FF4D95">
        <w:rPr>
          <w:sz w:val="22"/>
          <w:szCs w:val="22"/>
          <w:lang w:val="en-GB"/>
        </w:rPr>
        <w:t>.</w:t>
      </w:r>
      <w:r w:rsidR="00AF548E" w:rsidRPr="00FF4D95">
        <w:rPr>
          <w:sz w:val="22"/>
          <w:szCs w:val="22"/>
          <w:lang w:val="en-GB"/>
        </w:rPr>
        <w:t xml:space="preserve"> Perfect competi</w:t>
      </w:r>
      <w:r w:rsidR="008B6FF3" w:rsidRPr="00FF4D95">
        <w:rPr>
          <w:sz w:val="22"/>
          <w:szCs w:val="22"/>
          <w:lang w:val="en-GB"/>
        </w:rPr>
        <w:t>ti</w:t>
      </w:r>
      <w:r w:rsidR="00AF548E" w:rsidRPr="00FF4D95">
        <w:rPr>
          <w:sz w:val="22"/>
          <w:szCs w:val="22"/>
          <w:lang w:val="en-GB"/>
        </w:rPr>
        <w:t>on impl</w:t>
      </w:r>
      <w:r w:rsidR="008B6FF3" w:rsidRPr="00FF4D95">
        <w:rPr>
          <w:sz w:val="22"/>
          <w:szCs w:val="22"/>
          <w:lang w:val="en-GB"/>
        </w:rPr>
        <w:t>ie</w:t>
      </w:r>
      <w:r w:rsidR="00642C70" w:rsidRPr="00FF4D95">
        <w:rPr>
          <w:sz w:val="22"/>
          <w:szCs w:val="22"/>
          <w:lang w:val="en-GB"/>
        </w:rPr>
        <w:t>d</w:t>
      </w:r>
      <w:r w:rsidR="00AF548E" w:rsidRPr="00FF4D95">
        <w:rPr>
          <w:sz w:val="22"/>
          <w:szCs w:val="22"/>
          <w:lang w:val="en-GB"/>
        </w:rPr>
        <w:t xml:space="preserve"> that while the market demand curve slope</w:t>
      </w:r>
      <w:r w:rsidR="00642C70" w:rsidRPr="00FF4D95">
        <w:rPr>
          <w:sz w:val="22"/>
          <w:szCs w:val="22"/>
          <w:lang w:val="en-GB"/>
        </w:rPr>
        <w:t>d</w:t>
      </w:r>
      <w:r w:rsidR="00AF548E" w:rsidRPr="00FF4D95">
        <w:rPr>
          <w:sz w:val="22"/>
          <w:szCs w:val="22"/>
          <w:lang w:val="en-GB"/>
        </w:rPr>
        <w:t xml:space="preserve"> downward, any given firm’s demand curve </w:t>
      </w:r>
      <w:r w:rsidR="00642C70" w:rsidRPr="00FF4D95">
        <w:rPr>
          <w:sz w:val="22"/>
          <w:szCs w:val="22"/>
          <w:lang w:val="en-GB"/>
        </w:rPr>
        <w:t>wa</w:t>
      </w:r>
      <w:r w:rsidR="00AF548E" w:rsidRPr="00FF4D95">
        <w:rPr>
          <w:sz w:val="22"/>
          <w:szCs w:val="22"/>
          <w:lang w:val="en-GB"/>
        </w:rPr>
        <w:t xml:space="preserve">s perfectly flat. </w:t>
      </w:r>
      <w:r w:rsidR="002424BC">
        <w:rPr>
          <w:sz w:val="22"/>
          <w:szCs w:val="22"/>
          <w:lang w:val="en-GB"/>
        </w:rPr>
        <w:t xml:space="preserve">The </w:t>
      </w:r>
      <w:r w:rsidR="007E2CE0">
        <w:rPr>
          <w:sz w:val="22"/>
          <w:szCs w:val="22"/>
          <w:lang w:val="en-GB"/>
        </w:rPr>
        <w:t>Competition Bureau</w:t>
      </w:r>
      <w:r w:rsidR="002424BC">
        <w:rPr>
          <w:sz w:val="22"/>
          <w:szCs w:val="22"/>
          <w:lang w:val="en-GB"/>
        </w:rPr>
        <w:t xml:space="preserve"> </w:t>
      </w:r>
      <w:r w:rsidR="00BF6BE3" w:rsidRPr="00FF4D95">
        <w:rPr>
          <w:sz w:val="22"/>
          <w:szCs w:val="22"/>
          <w:lang w:val="en-GB"/>
        </w:rPr>
        <w:t>dismissed the perfectly competitive model</w:t>
      </w:r>
      <w:r w:rsidR="00642C70" w:rsidRPr="00FF4D95">
        <w:rPr>
          <w:sz w:val="22"/>
          <w:szCs w:val="22"/>
          <w:lang w:val="en-GB"/>
        </w:rPr>
        <w:t xml:space="preserve">. </w:t>
      </w:r>
      <w:r w:rsidR="00471C5A">
        <w:rPr>
          <w:sz w:val="22"/>
          <w:szCs w:val="22"/>
          <w:lang w:val="en-GB"/>
        </w:rPr>
        <w:t>N</w:t>
      </w:r>
      <w:r w:rsidR="008B6C92" w:rsidRPr="00FF4D95">
        <w:rPr>
          <w:sz w:val="22"/>
          <w:szCs w:val="22"/>
          <w:lang w:val="en-GB"/>
        </w:rPr>
        <w:t xml:space="preserve">egotiated prices </w:t>
      </w:r>
      <w:r w:rsidR="005B61AB">
        <w:rPr>
          <w:sz w:val="22"/>
          <w:szCs w:val="22"/>
          <w:lang w:val="en-GB"/>
        </w:rPr>
        <w:t xml:space="preserve">and few companies </w:t>
      </w:r>
      <w:r w:rsidR="008B6C92" w:rsidRPr="00FF4D95">
        <w:rPr>
          <w:sz w:val="22"/>
          <w:szCs w:val="22"/>
          <w:lang w:val="en-GB"/>
        </w:rPr>
        <w:t xml:space="preserve">at </w:t>
      </w:r>
      <w:r w:rsidR="00642C70" w:rsidRPr="00FF4D95">
        <w:rPr>
          <w:sz w:val="22"/>
          <w:szCs w:val="22"/>
          <w:lang w:val="en-GB"/>
        </w:rPr>
        <w:t xml:space="preserve">the </w:t>
      </w:r>
      <w:r w:rsidR="008B6C92" w:rsidRPr="00FF4D95">
        <w:rPr>
          <w:sz w:val="22"/>
          <w:szCs w:val="22"/>
          <w:lang w:val="en-GB"/>
        </w:rPr>
        <w:t xml:space="preserve">NEBC landfill sites </w:t>
      </w:r>
      <w:r w:rsidR="00573BCE" w:rsidRPr="00FF4D95">
        <w:rPr>
          <w:sz w:val="22"/>
          <w:szCs w:val="22"/>
          <w:lang w:val="en-GB"/>
        </w:rPr>
        <w:t xml:space="preserve">immediately ruled </w:t>
      </w:r>
      <w:r w:rsidR="00BF6BE3" w:rsidRPr="00FF4D95">
        <w:rPr>
          <w:sz w:val="22"/>
          <w:szCs w:val="22"/>
          <w:lang w:val="en-GB"/>
        </w:rPr>
        <w:t xml:space="preserve">it </w:t>
      </w:r>
      <w:r w:rsidR="00573BCE" w:rsidRPr="00FF4D95">
        <w:rPr>
          <w:sz w:val="22"/>
          <w:szCs w:val="22"/>
          <w:lang w:val="en-GB"/>
        </w:rPr>
        <w:t xml:space="preserve">out </w:t>
      </w:r>
      <w:r w:rsidR="00BF6BE3" w:rsidRPr="00FF4D95">
        <w:rPr>
          <w:sz w:val="22"/>
          <w:szCs w:val="22"/>
          <w:lang w:val="en-GB"/>
        </w:rPr>
        <w:t>as a reasonable option</w:t>
      </w:r>
      <w:r w:rsidR="00C317D1" w:rsidRPr="00FF4D95">
        <w:rPr>
          <w:sz w:val="22"/>
          <w:szCs w:val="22"/>
          <w:lang w:val="en-GB"/>
        </w:rPr>
        <w:t xml:space="preserve">. </w:t>
      </w:r>
    </w:p>
    <w:p w14:paraId="6520DC0B" w14:textId="77777777" w:rsidR="008B6FF3" w:rsidRPr="00FF4D95" w:rsidRDefault="008B6FF3" w:rsidP="00C317D1">
      <w:pPr>
        <w:pStyle w:val="BodyText"/>
        <w:spacing w:after="0"/>
        <w:jc w:val="both"/>
        <w:rPr>
          <w:sz w:val="22"/>
          <w:szCs w:val="22"/>
          <w:lang w:val="en-GB"/>
        </w:rPr>
      </w:pPr>
    </w:p>
    <w:p w14:paraId="38A66F48" w14:textId="63378ACD" w:rsidR="005200CD" w:rsidRPr="00FF4D95" w:rsidRDefault="00C317D1" w:rsidP="00C317D1">
      <w:pPr>
        <w:pStyle w:val="BodyText"/>
        <w:spacing w:after="0"/>
        <w:jc w:val="both"/>
        <w:rPr>
          <w:sz w:val="22"/>
          <w:szCs w:val="22"/>
          <w:lang w:val="en-GB"/>
        </w:rPr>
      </w:pPr>
      <w:r w:rsidRPr="00FF4D95">
        <w:rPr>
          <w:sz w:val="22"/>
          <w:szCs w:val="22"/>
          <w:lang w:val="en-GB"/>
        </w:rPr>
        <w:t xml:space="preserve">At the other end of the spectrum </w:t>
      </w:r>
      <w:r w:rsidR="008B6FF3" w:rsidRPr="00FF4D95">
        <w:rPr>
          <w:sz w:val="22"/>
          <w:szCs w:val="22"/>
          <w:lang w:val="en-GB"/>
        </w:rPr>
        <w:t xml:space="preserve">from perfect competition </w:t>
      </w:r>
      <w:r w:rsidR="00642C70" w:rsidRPr="00FF4D95">
        <w:rPr>
          <w:sz w:val="22"/>
          <w:szCs w:val="22"/>
          <w:lang w:val="en-GB"/>
        </w:rPr>
        <w:t>wa</w:t>
      </w:r>
      <w:r w:rsidR="00D25647" w:rsidRPr="00FF4D95">
        <w:rPr>
          <w:sz w:val="22"/>
          <w:szCs w:val="22"/>
          <w:lang w:val="en-GB"/>
        </w:rPr>
        <w:t xml:space="preserve">s </w:t>
      </w:r>
      <w:r w:rsidR="00642C70" w:rsidRPr="00FF4D95">
        <w:rPr>
          <w:sz w:val="22"/>
          <w:szCs w:val="22"/>
          <w:lang w:val="en-GB"/>
        </w:rPr>
        <w:t xml:space="preserve">a </w:t>
      </w:r>
      <w:r w:rsidRPr="00FF4D95">
        <w:rPr>
          <w:sz w:val="22"/>
          <w:szCs w:val="22"/>
          <w:lang w:val="en-GB"/>
        </w:rPr>
        <w:t>monopoly</w:t>
      </w:r>
      <w:r w:rsidR="008B6C92" w:rsidRPr="00FF4D95">
        <w:rPr>
          <w:sz w:val="22"/>
          <w:szCs w:val="22"/>
          <w:lang w:val="en-GB"/>
        </w:rPr>
        <w:t xml:space="preserve">, </w:t>
      </w:r>
      <w:r w:rsidR="00573BCE" w:rsidRPr="00FF4D95">
        <w:rPr>
          <w:sz w:val="22"/>
          <w:szCs w:val="22"/>
          <w:lang w:val="en-GB"/>
        </w:rPr>
        <w:t xml:space="preserve">a model </w:t>
      </w:r>
      <w:r w:rsidR="008B6C92" w:rsidRPr="00FF4D95">
        <w:rPr>
          <w:sz w:val="22"/>
          <w:szCs w:val="22"/>
          <w:lang w:val="en-GB"/>
        </w:rPr>
        <w:t>where</w:t>
      </w:r>
      <w:r w:rsidR="00D25647" w:rsidRPr="00FF4D95">
        <w:rPr>
          <w:sz w:val="22"/>
          <w:szCs w:val="22"/>
          <w:lang w:val="en-GB"/>
        </w:rPr>
        <w:t xml:space="preserve"> </w:t>
      </w:r>
      <w:r w:rsidRPr="00FF4D95">
        <w:rPr>
          <w:sz w:val="22"/>
          <w:szCs w:val="22"/>
          <w:lang w:val="en-GB"/>
        </w:rPr>
        <w:t xml:space="preserve">a single firm </w:t>
      </w:r>
      <w:r w:rsidR="00AF548E" w:rsidRPr="00FF4D95">
        <w:rPr>
          <w:sz w:val="22"/>
          <w:szCs w:val="22"/>
          <w:lang w:val="en-GB"/>
        </w:rPr>
        <w:t>control</w:t>
      </w:r>
      <w:r w:rsidR="00642C70" w:rsidRPr="00FF4D95">
        <w:rPr>
          <w:sz w:val="22"/>
          <w:szCs w:val="22"/>
          <w:lang w:val="en-GB"/>
        </w:rPr>
        <w:t>led</w:t>
      </w:r>
      <w:r w:rsidR="00AF548E" w:rsidRPr="00FF4D95">
        <w:rPr>
          <w:sz w:val="22"/>
          <w:szCs w:val="22"/>
          <w:lang w:val="en-GB"/>
        </w:rPr>
        <w:t xml:space="preserve"> </w:t>
      </w:r>
      <w:r w:rsidRPr="00FF4D95">
        <w:rPr>
          <w:sz w:val="22"/>
          <w:szCs w:val="22"/>
          <w:lang w:val="en-GB"/>
        </w:rPr>
        <w:t xml:space="preserve">the </w:t>
      </w:r>
      <w:r w:rsidR="00AF548E" w:rsidRPr="00FF4D95">
        <w:rPr>
          <w:sz w:val="22"/>
          <w:szCs w:val="22"/>
          <w:lang w:val="en-GB"/>
        </w:rPr>
        <w:t xml:space="preserve">entire </w:t>
      </w:r>
      <w:r w:rsidRPr="00FF4D95">
        <w:rPr>
          <w:sz w:val="22"/>
          <w:szCs w:val="22"/>
          <w:lang w:val="en-GB"/>
        </w:rPr>
        <w:t xml:space="preserve">market. </w:t>
      </w:r>
      <w:r w:rsidR="00AF548E" w:rsidRPr="00FF4D95">
        <w:rPr>
          <w:sz w:val="22"/>
          <w:szCs w:val="22"/>
          <w:lang w:val="en-GB"/>
        </w:rPr>
        <w:t>In a monopoly,</w:t>
      </w:r>
      <w:r w:rsidRPr="00FF4D95">
        <w:rPr>
          <w:sz w:val="22"/>
          <w:szCs w:val="22"/>
          <w:lang w:val="en-GB"/>
        </w:rPr>
        <w:t xml:space="preserve"> </w:t>
      </w:r>
      <w:r w:rsidR="00573BCE" w:rsidRPr="00FF4D95">
        <w:rPr>
          <w:sz w:val="22"/>
          <w:szCs w:val="22"/>
          <w:lang w:val="en-GB"/>
        </w:rPr>
        <w:t>on</w:t>
      </w:r>
      <w:r w:rsidRPr="00FF4D95">
        <w:rPr>
          <w:sz w:val="22"/>
          <w:szCs w:val="22"/>
          <w:lang w:val="en-GB"/>
        </w:rPr>
        <w:t xml:space="preserve">e firm </w:t>
      </w:r>
      <w:r w:rsidR="00AF548E" w:rsidRPr="00FF4D95">
        <w:rPr>
          <w:sz w:val="22"/>
          <w:szCs w:val="22"/>
          <w:lang w:val="en-GB"/>
        </w:rPr>
        <w:t>ha</w:t>
      </w:r>
      <w:r w:rsidR="00642C70" w:rsidRPr="00FF4D95">
        <w:rPr>
          <w:sz w:val="22"/>
          <w:szCs w:val="22"/>
          <w:lang w:val="en-GB"/>
        </w:rPr>
        <w:t>d</w:t>
      </w:r>
      <w:r w:rsidR="00AF548E" w:rsidRPr="00FF4D95">
        <w:rPr>
          <w:sz w:val="22"/>
          <w:szCs w:val="22"/>
          <w:lang w:val="en-GB"/>
        </w:rPr>
        <w:t xml:space="preserve"> the ability to </w:t>
      </w:r>
      <w:r w:rsidR="008B6C92" w:rsidRPr="00FF4D95">
        <w:rPr>
          <w:sz w:val="22"/>
          <w:szCs w:val="22"/>
          <w:lang w:val="en-GB"/>
        </w:rPr>
        <w:t xml:space="preserve">unilaterally </w:t>
      </w:r>
      <w:r w:rsidR="00AF548E" w:rsidRPr="00FF4D95">
        <w:rPr>
          <w:sz w:val="22"/>
          <w:szCs w:val="22"/>
          <w:lang w:val="en-GB"/>
        </w:rPr>
        <w:t>set price</w:t>
      </w:r>
      <w:r w:rsidR="00642C70" w:rsidRPr="00FF4D95">
        <w:rPr>
          <w:sz w:val="22"/>
          <w:szCs w:val="22"/>
          <w:lang w:val="en-GB"/>
        </w:rPr>
        <w:t>s</w:t>
      </w:r>
      <w:r w:rsidR="008B6C92" w:rsidRPr="00FF4D95">
        <w:rPr>
          <w:sz w:val="22"/>
          <w:szCs w:val="22"/>
          <w:lang w:val="en-GB"/>
        </w:rPr>
        <w:t xml:space="preserve"> without worrying about adverse consequences from competition</w:t>
      </w:r>
      <w:r w:rsidR="00AF548E" w:rsidRPr="00FF4D95">
        <w:rPr>
          <w:sz w:val="22"/>
          <w:szCs w:val="22"/>
          <w:lang w:val="en-GB"/>
        </w:rPr>
        <w:t xml:space="preserve">. </w:t>
      </w:r>
      <w:r w:rsidR="00642C70" w:rsidRPr="00FF4D95">
        <w:rPr>
          <w:sz w:val="22"/>
          <w:szCs w:val="22"/>
          <w:lang w:val="en-GB"/>
        </w:rPr>
        <w:t>Because</w:t>
      </w:r>
      <w:r w:rsidR="00AF548E" w:rsidRPr="00FF4D95">
        <w:rPr>
          <w:sz w:val="22"/>
          <w:szCs w:val="22"/>
          <w:lang w:val="en-GB"/>
        </w:rPr>
        <w:t xml:space="preserve"> consumers </w:t>
      </w:r>
      <w:r w:rsidR="00642C70" w:rsidRPr="00FF4D95">
        <w:rPr>
          <w:sz w:val="22"/>
          <w:szCs w:val="22"/>
          <w:lang w:val="en-GB"/>
        </w:rPr>
        <w:t>we</w:t>
      </w:r>
      <w:r w:rsidR="00AF548E" w:rsidRPr="00FF4D95">
        <w:rPr>
          <w:sz w:val="22"/>
          <w:szCs w:val="22"/>
          <w:lang w:val="en-GB"/>
        </w:rPr>
        <w:t xml:space="preserve">re willing to pay </w:t>
      </w:r>
      <w:r w:rsidR="00A14793" w:rsidRPr="00FF4D95">
        <w:rPr>
          <w:sz w:val="22"/>
          <w:szCs w:val="22"/>
          <w:lang w:val="en-GB"/>
        </w:rPr>
        <w:t xml:space="preserve">more for goods and services as </w:t>
      </w:r>
      <w:r w:rsidR="00AF548E" w:rsidRPr="00FF4D95">
        <w:rPr>
          <w:sz w:val="22"/>
          <w:szCs w:val="22"/>
          <w:lang w:val="en-GB"/>
        </w:rPr>
        <w:t>quantity decrease</w:t>
      </w:r>
      <w:r w:rsidR="00642C70" w:rsidRPr="00FF4D95">
        <w:rPr>
          <w:sz w:val="22"/>
          <w:szCs w:val="22"/>
          <w:lang w:val="en-GB"/>
        </w:rPr>
        <w:t>d</w:t>
      </w:r>
      <w:r w:rsidR="00AF548E" w:rsidRPr="00FF4D95">
        <w:rPr>
          <w:sz w:val="22"/>
          <w:szCs w:val="22"/>
          <w:lang w:val="en-GB"/>
        </w:rPr>
        <w:t>, monopolists set prices</w:t>
      </w:r>
      <w:r w:rsidR="00A14793" w:rsidRPr="00FF4D95">
        <w:rPr>
          <w:sz w:val="22"/>
          <w:szCs w:val="22"/>
          <w:lang w:val="en-GB"/>
        </w:rPr>
        <w:t xml:space="preserve"> above the perfectly competitive level. Higher prices mean</w:t>
      </w:r>
      <w:r w:rsidR="00642C70" w:rsidRPr="00FF4D95">
        <w:rPr>
          <w:sz w:val="22"/>
          <w:szCs w:val="22"/>
          <w:lang w:val="en-GB"/>
        </w:rPr>
        <w:t>t</w:t>
      </w:r>
      <w:r w:rsidR="00A14793" w:rsidRPr="00FF4D95">
        <w:rPr>
          <w:sz w:val="22"/>
          <w:szCs w:val="22"/>
          <w:lang w:val="en-GB"/>
        </w:rPr>
        <w:t xml:space="preserve"> that the monopolist w</w:t>
      </w:r>
      <w:r w:rsidR="00642C70" w:rsidRPr="00FF4D95">
        <w:rPr>
          <w:sz w:val="22"/>
          <w:szCs w:val="22"/>
          <w:lang w:val="en-GB"/>
        </w:rPr>
        <w:t>ould</w:t>
      </w:r>
      <w:r w:rsidR="00A14793" w:rsidRPr="00FF4D95">
        <w:rPr>
          <w:sz w:val="22"/>
          <w:szCs w:val="22"/>
          <w:lang w:val="en-GB"/>
        </w:rPr>
        <w:t xml:space="preserve"> lose </w:t>
      </w:r>
      <w:r w:rsidR="008B6C92" w:rsidRPr="00FF4D95">
        <w:rPr>
          <w:sz w:val="22"/>
          <w:szCs w:val="22"/>
          <w:lang w:val="en-GB"/>
        </w:rPr>
        <w:t>some</w:t>
      </w:r>
      <w:r w:rsidR="003206E1" w:rsidRPr="00FF4D95">
        <w:rPr>
          <w:sz w:val="22"/>
          <w:szCs w:val="22"/>
          <w:lang w:val="en-GB"/>
        </w:rPr>
        <w:t xml:space="preserve"> portion of </w:t>
      </w:r>
      <w:r w:rsidR="005E29A7">
        <w:rPr>
          <w:sz w:val="22"/>
          <w:szCs w:val="22"/>
          <w:lang w:val="en-GB"/>
        </w:rPr>
        <w:t>its</w:t>
      </w:r>
      <w:r w:rsidR="00A14793" w:rsidRPr="00FF4D95">
        <w:rPr>
          <w:sz w:val="22"/>
          <w:szCs w:val="22"/>
          <w:lang w:val="en-GB"/>
        </w:rPr>
        <w:t xml:space="preserve"> sales</w:t>
      </w:r>
      <w:r w:rsidR="008B6C92" w:rsidRPr="00FF4D95">
        <w:rPr>
          <w:sz w:val="22"/>
          <w:szCs w:val="22"/>
          <w:lang w:val="en-GB"/>
        </w:rPr>
        <w:t xml:space="preserve"> (lower quantity)</w:t>
      </w:r>
      <w:r w:rsidR="00A14793" w:rsidRPr="00FF4D95">
        <w:rPr>
          <w:sz w:val="22"/>
          <w:szCs w:val="22"/>
          <w:lang w:val="en-GB"/>
        </w:rPr>
        <w:t>, but that it earn</w:t>
      </w:r>
      <w:r w:rsidR="00642C70" w:rsidRPr="00FF4D95">
        <w:rPr>
          <w:sz w:val="22"/>
          <w:szCs w:val="22"/>
          <w:lang w:val="en-GB"/>
        </w:rPr>
        <w:t>ed</w:t>
      </w:r>
      <w:r w:rsidR="00A14793" w:rsidRPr="00FF4D95">
        <w:rPr>
          <w:sz w:val="22"/>
          <w:szCs w:val="22"/>
          <w:lang w:val="en-GB"/>
        </w:rPr>
        <w:t xml:space="preserve"> more money on </w:t>
      </w:r>
      <w:r w:rsidR="008B6C92" w:rsidRPr="00FF4D95">
        <w:rPr>
          <w:sz w:val="22"/>
          <w:szCs w:val="22"/>
          <w:lang w:val="en-GB"/>
        </w:rPr>
        <w:t xml:space="preserve">each </w:t>
      </w:r>
      <w:r w:rsidR="00A14793" w:rsidRPr="00FF4D95">
        <w:rPr>
          <w:sz w:val="22"/>
          <w:szCs w:val="22"/>
          <w:lang w:val="en-GB"/>
        </w:rPr>
        <w:t xml:space="preserve">sale that </w:t>
      </w:r>
      <w:r w:rsidR="00642C70" w:rsidRPr="00FF4D95">
        <w:rPr>
          <w:sz w:val="22"/>
          <w:szCs w:val="22"/>
          <w:lang w:val="en-GB"/>
        </w:rPr>
        <w:t>the company</w:t>
      </w:r>
      <w:r w:rsidR="00A14793" w:rsidRPr="00FF4D95">
        <w:rPr>
          <w:sz w:val="22"/>
          <w:szCs w:val="22"/>
          <w:lang w:val="en-GB"/>
        </w:rPr>
        <w:t xml:space="preserve"> ma</w:t>
      </w:r>
      <w:r w:rsidR="00642C70" w:rsidRPr="00FF4D95">
        <w:rPr>
          <w:sz w:val="22"/>
          <w:szCs w:val="22"/>
          <w:lang w:val="en-GB"/>
        </w:rPr>
        <w:t>d</w:t>
      </w:r>
      <w:r w:rsidR="00A14793" w:rsidRPr="00FF4D95">
        <w:rPr>
          <w:sz w:val="22"/>
          <w:szCs w:val="22"/>
          <w:lang w:val="en-GB"/>
        </w:rPr>
        <w:t>e. Based on th</w:t>
      </w:r>
      <w:r w:rsidR="00BF6BE3" w:rsidRPr="00FF4D95">
        <w:rPr>
          <w:sz w:val="22"/>
          <w:szCs w:val="22"/>
          <w:lang w:val="en-GB"/>
        </w:rPr>
        <w:t>e</w:t>
      </w:r>
      <w:r w:rsidR="00A14793" w:rsidRPr="00FF4D95">
        <w:rPr>
          <w:sz w:val="22"/>
          <w:szCs w:val="22"/>
          <w:lang w:val="en-GB"/>
        </w:rPr>
        <w:t xml:space="preserve"> trade</w:t>
      </w:r>
      <w:r w:rsidR="00C70918">
        <w:rPr>
          <w:sz w:val="22"/>
          <w:szCs w:val="22"/>
          <w:lang w:val="en-GB"/>
        </w:rPr>
        <w:t>-</w:t>
      </w:r>
      <w:r w:rsidR="00A14793" w:rsidRPr="00FF4D95">
        <w:rPr>
          <w:sz w:val="22"/>
          <w:szCs w:val="22"/>
          <w:lang w:val="en-GB"/>
        </w:rPr>
        <w:t xml:space="preserve">off between lost sales </w:t>
      </w:r>
      <w:r w:rsidR="00C70918">
        <w:rPr>
          <w:sz w:val="22"/>
          <w:szCs w:val="22"/>
          <w:lang w:val="en-GB"/>
        </w:rPr>
        <w:t>and</w:t>
      </w:r>
      <w:r w:rsidR="00A14793" w:rsidRPr="00FF4D95">
        <w:rPr>
          <w:sz w:val="22"/>
          <w:szCs w:val="22"/>
          <w:lang w:val="en-GB"/>
        </w:rPr>
        <w:t xml:space="preserve"> </w:t>
      </w:r>
      <w:r w:rsidR="003206E1" w:rsidRPr="00FF4D95">
        <w:rPr>
          <w:sz w:val="22"/>
          <w:szCs w:val="22"/>
          <w:lang w:val="en-GB"/>
        </w:rPr>
        <w:t>higher</w:t>
      </w:r>
      <w:r w:rsidR="00A14793" w:rsidRPr="00FF4D95">
        <w:rPr>
          <w:sz w:val="22"/>
          <w:szCs w:val="22"/>
          <w:lang w:val="en-GB"/>
        </w:rPr>
        <w:t xml:space="preserve"> revenue</w:t>
      </w:r>
      <w:r w:rsidR="003206E1" w:rsidRPr="00FF4D95">
        <w:rPr>
          <w:sz w:val="22"/>
          <w:szCs w:val="22"/>
          <w:lang w:val="en-GB"/>
        </w:rPr>
        <w:t>s</w:t>
      </w:r>
      <w:r w:rsidR="00A14793" w:rsidRPr="00FF4D95">
        <w:rPr>
          <w:sz w:val="22"/>
          <w:szCs w:val="22"/>
          <w:lang w:val="en-GB"/>
        </w:rPr>
        <w:t xml:space="preserve"> </w:t>
      </w:r>
      <w:r w:rsidR="003206E1" w:rsidRPr="00FF4D95">
        <w:rPr>
          <w:sz w:val="22"/>
          <w:szCs w:val="22"/>
          <w:lang w:val="en-GB"/>
        </w:rPr>
        <w:t xml:space="preserve">on </w:t>
      </w:r>
      <w:r w:rsidR="00C70918">
        <w:rPr>
          <w:sz w:val="22"/>
          <w:szCs w:val="22"/>
          <w:lang w:val="en-GB"/>
        </w:rPr>
        <w:t>the</w:t>
      </w:r>
      <w:r w:rsidR="003206E1" w:rsidRPr="00FF4D95">
        <w:rPr>
          <w:sz w:val="22"/>
          <w:szCs w:val="22"/>
          <w:lang w:val="en-GB"/>
        </w:rPr>
        <w:t xml:space="preserve"> remaining</w:t>
      </w:r>
      <w:r w:rsidR="00A14793" w:rsidRPr="00FF4D95">
        <w:rPr>
          <w:sz w:val="22"/>
          <w:szCs w:val="22"/>
          <w:lang w:val="en-GB"/>
        </w:rPr>
        <w:t xml:space="preserve"> sale</w:t>
      </w:r>
      <w:r w:rsidR="003206E1" w:rsidRPr="00FF4D95">
        <w:rPr>
          <w:sz w:val="22"/>
          <w:szCs w:val="22"/>
          <w:lang w:val="en-GB"/>
        </w:rPr>
        <w:t>s</w:t>
      </w:r>
      <w:r w:rsidR="00A14793" w:rsidRPr="00FF4D95">
        <w:rPr>
          <w:sz w:val="22"/>
          <w:szCs w:val="22"/>
          <w:lang w:val="en-GB"/>
        </w:rPr>
        <w:t xml:space="preserve">, </w:t>
      </w:r>
      <w:r w:rsidR="009B751D" w:rsidRPr="00FF4D95">
        <w:rPr>
          <w:sz w:val="22"/>
          <w:szCs w:val="22"/>
          <w:lang w:val="en-GB"/>
        </w:rPr>
        <w:t>monopolist</w:t>
      </w:r>
      <w:r w:rsidR="003206E1" w:rsidRPr="00FF4D95">
        <w:rPr>
          <w:sz w:val="22"/>
          <w:szCs w:val="22"/>
          <w:lang w:val="en-GB"/>
        </w:rPr>
        <w:t>s</w:t>
      </w:r>
      <w:r w:rsidR="009B751D" w:rsidRPr="00FF4D95">
        <w:rPr>
          <w:sz w:val="22"/>
          <w:szCs w:val="22"/>
          <w:lang w:val="en-GB"/>
        </w:rPr>
        <w:t xml:space="preserve"> chose to price</w:t>
      </w:r>
      <w:r w:rsidR="00A14793" w:rsidRPr="00FF4D95">
        <w:rPr>
          <w:sz w:val="22"/>
          <w:szCs w:val="22"/>
          <w:lang w:val="en-GB"/>
        </w:rPr>
        <w:t xml:space="preserve"> </w:t>
      </w:r>
      <w:r w:rsidR="00642C70" w:rsidRPr="00FF4D95">
        <w:rPr>
          <w:sz w:val="22"/>
          <w:szCs w:val="22"/>
          <w:lang w:val="en-GB"/>
        </w:rPr>
        <w:t xml:space="preserve">goods and services </w:t>
      </w:r>
      <w:r w:rsidR="009B751D" w:rsidRPr="00FF4D95">
        <w:rPr>
          <w:sz w:val="22"/>
          <w:szCs w:val="22"/>
          <w:lang w:val="en-GB"/>
        </w:rPr>
        <w:t xml:space="preserve">at the </w:t>
      </w:r>
      <w:r w:rsidR="00A14793" w:rsidRPr="00FF4D95">
        <w:rPr>
          <w:sz w:val="22"/>
          <w:szCs w:val="22"/>
          <w:lang w:val="en-GB"/>
        </w:rPr>
        <w:t>point where marginal revenue</w:t>
      </w:r>
      <w:r w:rsidR="003206E1" w:rsidRPr="00FF4D95">
        <w:rPr>
          <w:sz w:val="22"/>
          <w:szCs w:val="22"/>
          <w:lang w:val="en-GB"/>
        </w:rPr>
        <w:t>s</w:t>
      </w:r>
      <w:r w:rsidR="00A14793" w:rsidRPr="00FF4D95">
        <w:rPr>
          <w:sz w:val="22"/>
          <w:szCs w:val="22"/>
          <w:lang w:val="en-GB"/>
        </w:rPr>
        <w:t xml:space="preserve"> equal</w:t>
      </w:r>
      <w:r w:rsidR="00642C70" w:rsidRPr="00FF4D95">
        <w:rPr>
          <w:sz w:val="22"/>
          <w:szCs w:val="22"/>
          <w:lang w:val="en-GB"/>
        </w:rPr>
        <w:t>led</w:t>
      </w:r>
      <w:r w:rsidR="00A14793" w:rsidRPr="00FF4D95">
        <w:rPr>
          <w:sz w:val="22"/>
          <w:szCs w:val="22"/>
          <w:lang w:val="en-GB"/>
        </w:rPr>
        <w:t xml:space="preserve"> marginal costs.</w:t>
      </w:r>
      <w:r w:rsidR="009B751D" w:rsidRPr="00FF4D95" w:rsidDel="00AF548E">
        <w:rPr>
          <w:sz w:val="22"/>
          <w:szCs w:val="22"/>
          <w:lang w:val="en-GB"/>
        </w:rPr>
        <w:t xml:space="preserve"> </w:t>
      </w:r>
      <w:r w:rsidR="00573BCE" w:rsidRPr="00FF4D95">
        <w:rPr>
          <w:sz w:val="22"/>
          <w:szCs w:val="22"/>
          <w:lang w:val="en-GB"/>
        </w:rPr>
        <w:t>However, the willingness of several NEBC oil companies to ship their hazardous waste to Alberta suggested that the monopoly framework did not apply in this situation.</w:t>
      </w:r>
    </w:p>
    <w:p w14:paraId="6407FC77" w14:textId="77777777" w:rsidR="005200CD" w:rsidRPr="00FF4D95" w:rsidRDefault="005200CD" w:rsidP="00C317D1">
      <w:pPr>
        <w:pStyle w:val="BodyText"/>
        <w:spacing w:after="0"/>
        <w:jc w:val="both"/>
        <w:rPr>
          <w:sz w:val="22"/>
          <w:szCs w:val="22"/>
          <w:lang w:val="en-GB"/>
        </w:rPr>
      </w:pPr>
    </w:p>
    <w:p w14:paraId="1987E14B" w14:textId="0BA33C1F" w:rsidR="00642C70" w:rsidRPr="00FF4D95" w:rsidRDefault="002424BC" w:rsidP="00C317D1">
      <w:pPr>
        <w:pStyle w:val="BodyText"/>
        <w:spacing w:after="0"/>
        <w:jc w:val="both"/>
        <w:rPr>
          <w:sz w:val="22"/>
          <w:szCs w:val="22"/>
          <w:lang w:val="en-GB"/>
        </w:rPr>
      </w:pPr>
      <w:r>
        <w:rPr>
          <w:sz w:val="22"/>
          <w:szCs w:val="22"/>
          <w:lang w:val="en-GB"/>
        </w:rPr>
        <w:t xml:space="preserve">The </w:t>
      </w:r>
      <w:r w:rsidR="00102CB8">
        <w:rPr>
          <w:sz w:val="22"/>
          <w:szCs w:val="22"/>
          <w:lang w:val="en-GB"/>
        </w:rPr>
        <w:t>Competition Bureau</w:t>
      </w:r>
      <w:r w:rsidR="00AF548E" w:rsidRPr="00FF4D95">
        <w:rPr>
          <w:sz w:val="22"/>
          <w:szCs w:val="22"/>
          <w:lang w:val="en-GB"/>
        </w:rPr>
        <w:t xml:space="preserve"> understood the economic building blocks of perfect competition and monopoly</w:t>
      </w:r>
      <w:r>
        <w:rPr>
          <w:sz w:val="22"/>
          <w:szCs w:val="22"/>
          <w:lang w:val="en-GB"/>
        </w:rPr>
        <w:t>,</w:t>
      </w:r>
      <w:r w:rsidR="00C70918">
        <w:rPr>
          <w:sz w:val="22"/>
          <w:szCs w:val="22"/>
          <w:lang w:val="en-GB"/>
        </w:rPr>
        <w:t xml:space="preserve"> </w:t>
      </w:r>
      <w:r>
        <w:rPr>
          <w:sz w:val="22"/>
          <w:szCs w:val="22"/>
          <w:lang w:val="en-GB"/>
        </w:rPr>
        <w:t>however</w:t>
      </w:r>
      <w:r w:rsidR="00AF548E" w:rsidRPr="00FF4D95">
        <w:rPr>
          <w:sz w:val="22"/>
          <w:szCs w:val="22"/>
          <w:lang w:val="en-GB"/>
        </w:rPr>
        <w:t xml:space="preserve">, in the real world markets usually sat at a point between the two extremes. </w:t>
      </w:r>
      <w:r w:rsidR="008B6C92" w:rsidRPr="00FF4D95">
        <w:rPr>
          <w:sz w:val="22"/>
          <w:szCs w:val="22"/>
          <w:lang w:val="en-GB"/>
        </w:rPr>
        <w:t xml:space="preserve">Neither perfect competition nor monopoly </w:t>
      </w:r>
      <w:r w:rsidR="00573BCE" w:rsidRPr="00FF4D95">
        <w:rPr>
          <w:sz w:val="22"/>
          <w:szCs w:val="22"/>
          <w:lang w:val="en-GB"/>
        </w:rPr>
        <w:t>adequately described</w:t>
      </w:r>
      <w:r w:rsidR="008B6C92" w:rsidRPr="00FF4D95">
        <w:rPr>
          <w:sz w:val="22"/>
          <w:szCs w:val="22"/>
          <w:lang w:val="en-GB"/>
        </w:rPr>
        <w:t xml:space="preserve"> </w:t>
      </w:r>
      <w:r w:rsidR="00642C70" w:rsidRPr="00FF4D95">
        <w:rPr>
          <w:sz w:val="22"/>
          <w:szCs w:val="22"/>
          <w:lang w:val="en-GB"/>
        </w:rPr>
        <w:t xml:space="preserve">the </w:t>
      </w:r>
      <w:r w:rsidR="00573BCE" w:rsidRPr="00FF4D95">
        <w:rPr>
          <w:sz w:val="22"/>
          <w:szCs w:val="22"/>
          <w:lang w:val="en-GB"/>
        </w:rPr>
        <w:t>NEBC secure landfill market</w:t>
      </w:r>
      <w:r w:rsidR="008B6C92" w:rsidRPr="00FF4D95">
        <w:rPr>
          <w:sz w:val="22"/>
          <w:szCs w:val="22"/>
          <w:lang w:val="en-GB"/>
        </w:rPr>
        <w:t xml:space="preserve">. </w:t>
      </w:r>
      <w:r w:rsidR="0034407B" w:rsidRPr="00FF4D95">
        <w:rPr>
          <w:sz w:val="22"/>
          <w:szCs w:val="22"/>
          <w:lang w:val="en-GB"/>
        </w:rPr>
        <w:t xml:space="preserve">In economics, markets </w:t>
      </w:r>
      <w:r w:rsidR="00642C70" w:rsidRPr="00FF4D95">
        <w:rPr>
          <w:sz w:val="22"/>
          <w:szCs w:val="22"/>
          <w:lang w:val="en-GB"/>
        </w:rPr>
        <w:t>we</w:t>
      </w:r>
      <w:r w:rsidR="0034407B" w:rsidRPr="00FF4D95">
        <w:rPr>
          <w:sz w:val="22"/>
          <w:szCs w:val="22"/>
          <w:lang w:val="en-GB"/>
        </w:rPr>
        <w:t>re usually defined a</w:t>
      </w:r>
      <w:r w:rsidR="00324F10">
        <w:rPr>
          <w:sz w:val="22"/>
          <w:szCs w:val="22"/>
          <w:lang w:val="en-GB"/>
        </w:rPr>
        <w:t>ccording to</w:t>
      </w:r>
      <w:r w:rsidR="0034407B" w:rsidRPr="00FF4D95">
        <w:rPr>
          <w:sz w:val="22"/>
          <w:szCs w:val="22"/>
          <w:lang w:val="en-GB"/>
        </w:rPr>
        <w:t xml:space="preserve"> two dimensions: a set of products or services and the geographic area served. </w:t>
      </w:r>
      <w:r w:rsidR="008B6C92" w:rsidRPr="00FF4D95">
        <w:rPr>
          <w:sz w:val="22"/>
          <w:szCs w:val="22"/>
          <w:lang w:val="en-GB"/>
        </w:rPr>
        <w:t>The NEBC</w:t>
      </w:r>
      <w:r w:rsidR="0034407B" w:rsidRPr="00FF4D95">
        <w:rPr>
          <w:sz w:val="22"/>
          <w:szCs w:val="22"/>
          <w:lang w:val="en-GB"/>
        </w:rPr>
        <w:t xml:space="preserve"> and Northern Alberta</w:t>
      </w:r>
      <w:r w:rsidR="008B6C92" w:rsidRPr="00FF4D95">
        <w:rPr>
          <w:sz w:val="22"/>
          <w:szCs w:val="22"/>
          <w:lang w:val="en-GB"/>
        </w:rPr>
        <w:t xml:space="preserve"> </w:t>
      </w:r>
      <w:r w:rsidR="00573BCE" w:rsidRPr="00FF4D95">
        <w:rPr>
          <w:sz w:val="22"/>
          <w:szCs w:val="22"/>
          <w:lang w:val="en-GB"/>
        </w:rPr>
        <w:t>secure landfill</w:t>
      </w:r>
      <w:r w:rsidR="008B6C92" w:rsidRPr="00FF4D95">
        <w:rPr>
          <w:sz w:val="22"/>
          <w:szCs w:val="22"/>
          <w:lang w:val="en-GB"/>
        </w:rPr>
        <w:t xml:space="preserve"> market </w:t>
      </w:r>
      <w:r w:rsidR="00573BCE" w:rsidRPr="00FF4D95">
        <w:rPr>
          <w:sz w:val="22"/>
          <w:szCs w:val="22"/>
          <w:lang w:val="en-GB"/>
        </w:rPr>
        <w:t>included</w:t>
      </w:r>
      <w:r w:rsidR="00277582" w:rsidRPr="00FF4D95">
        <w:rPr>
          <w:sz w:val="22"/>
          <w:szCs w:val="22"/>
          <w:lang w:val="en-GB"/>
        </w:rPr>
        <w:t xml:space="preserve"> several </w:t>
      </w:r>
      <w:r w:rsidR="0034407B" w:rsidRPr="00FF4D95">
        <w:rPr>
          <w:sz w:val="22"/>
          <w:szCs w:val="22"/>
          <w:lang w:val="en-GB"/>
        </w:rPr>
        <w:t xml:space="preserve">landfill sites, each </w:t>
      </w:r>
      <w:r w:rsidR="008B6C92" w:rsidRPr="00FF4D95">
        <w:rPr>
          <w:sz w:val="22"/>
          <w:szCs w:val="22"/>
          <w:lang w:val="en-GB"/>
        </w:rPr>
        <w:t>offer</w:t>
      </w:r>
      <w:r w:rsidR="00642C70" w:rsidRPr="00FF4D95">
        <w:rPr>
          <w:sz w:val="22"/>
          <w:szCs w:val="22"/>
          <w:lang w:val="en-GB"/>
        </w:rPr>
        <w:t>ing</w:t>
      </w:r>
      <w:r w:rsidR="00277582" w:rsidRPr="00FF4D95">
        <w:rPr>
          <w:sz w:val="22"/>
          <w:szCs w:val="22"/>
          <w:lang w:val="en-GB"/>
        </w:rPr>
        <w:t xml:space="preserve"> </w:t>
      </w:r>
      <w:r w:rsidR="0034407B" w:rsidRPr="00FF4D95">
        <w:rPr>
          <w:sz w:val="22"/>
          <w:szCs w:val="22"/>
          <w:lang w:val="en-GB"/>
        </w:rPr>
        <w:t xml:space="preserve">very </w:t>
      </w:r>
      <w:r w:rsidR="00277582" w:rsidRPr="00FF4D95">
        <w:rPr>
          <w:sz w:val="22"/>
          <w:szCs w:val="22"/>
          <w:lang w:val="en-GB"/>
        </w:rPr>
        <w:t xml:space="preserve">similar </w:t>
      </w:r>
      <w:r w:rsidR="008B6C92" w:rsidRPr="00FF4D95">
        <w:rPr>
          <w:sz w:val="22"/>
          <w:szCs w:val="22"/>
          <w:lang w:val="en-GB"/>
        </w:rPr>
        <w:t>service</w:t>
      </w:r>
      <w:r w:rsidR="00AF548E" w:rsidRPr="00FF4D95">
        <w:rPr>
          <w:sz w:val="22"/>
          <w:szCs w:val="22"/>
          <w:lang w:val="en-GB"/>
        </w:rPr>
        <w:t>s</w:t>
      </w:r>
      <w:r w:rsidR="008B6C92" w:rsidRPr="00FF4D95">
        <w:rPr>
          <w:sz w:val="22"/>
          <w:szCs w:val="22"/>
          <w:lang w:val="en-GB"/>
        </w:rPr>
        <w:t xml:space="preserve">. </w:t>
      </w:r>
      <w:r>
        <w:rPr>
          <w:sz w:val="22"/>
          <w:szCs w:val="22"/>
          <w:lang w:val="en-GB"/>
        </w:rPr>
        <w:t>T</w:t>
      </w:r>
      <w:r w:rsidR="008B6C92" w:rsidRPr="00FF4D95">
        <w:rPr>
          <w:sz w:val="22"/>
          <w:szCs w:val="22"/>
          <w:lang w:val="en-GB"/>
        </w:rPr>
        <w:t xml:space="preserve">he largest source of differentiation between the competitors was the </w:t>
      </w:r>
      <w:r w:rsidR="008B6C92" w:rsidRPr="00FF4D95">
        <w:rPr>
          <w:sz w:val="22"/>
          <w:szCs w:val="22"/>
          <w:lang w:val="en-GB"/>
        </w:rPr>
        <w:lastRenderedPageBreak/>
        <w:t>distance needed to transport the contaminated soil and other hazardous waste</w:t>
      </w:r>
      <w:r w:rsidR="00642C70" w:rsidRPr="00FF4D95">
        <w:rPr>
          <w:sz w:val="22"/>
          <w:szCs w:val="22"/>
          <w:lang w:val="en-GB"/>
        </w:rPr>
        <w:t xml:space="preserve"> (</w:t>
      </w:r>
      <w:r w:rsidR="00BF6BE3" w:rsidRPr="00FF4D95">
        <w:rPr>
          <w:sz w:val="22"/>
          <w:szCs w:val="22"/>
          <w:lang w:val="en-GB"/>
        </w:rPr>
        <w:t xml:space="preserve">i.e., </w:t>
      </w:r>
      <w:r w:rsidR="0034407B" w:rsidRPr="00FF4D95">
        <w:rPr>
          <w:sz w:val="22"/>
          <w:szCs w:val="22"/>
          <w:lang w:val="en-GB"/>
        </w:rPr>
        <w:t>the</w:t>
      </w:r>
      <w:r w:rsidR="00BF6BE3" w:rsidRPr="00FF4D95">
        <w:rPr>
          <w:sz w:val="22"/>
          <w:szCs w:val="22"/>
          <w:lang w:val="en-GB"/>
        </w:rPr>
        <w:t xml:space="preserve"> location or</w:t>
      </w:r>
      <w:r w:rsidR="0034407B" w:rsidRPr="00FF4D95">
        <w:rPr>
          <w:sz w:val="22"/>
          <w:szCs w:val="22"/>
          <w:lang w:val="en-GB"/>
        </w:rPr>
        <w:t xml:space="preserve"> geographic area</w:t>
      </w:r>
      <w:r w:rsidR="00642C70" w:rsidRPr="00FF4D95">
        <w:rPr>
          <w:sz w:val="22"/>
          <w:szCs w:val="22"/>
          <w:lang w:val="en-GB"/>
        </w:rPr>
        <w:t>)</w:t>
      </w:r>
      <w:r w:rsidR="00AF548E" w:rsidRPr="00FF4D95">
        <w:rPr>
          <w:sz w:val="22"/>
          <w:szCs w:val="22"/>
          <w:lang w:val="en-GB"/>
        </w:rPr>
        <w:t xml:space="preserve">. </w:t>
      </w:r>
      <w:r w:rsidR="0034407B" w:rsidRPr="00FF4D95">
        <w:rPr>
          <w:sz w:val="22"/>
          <w:szCs w:val="22"/>
          <w:lang w:val="en-GB"/>
        </w:rPr>
        <w:t xml:space="preserve">Given that the firms </w:t>
      </w:r>
      <w:r w:rsidR="00642C70" w:rsidRPr="00FF4D95">
        <w:rPr>
          <w:sz w:val="22"/>
          <w:szCs w:val="22"/>
          <w:lang w:val="en-GB"/>
        </w:rPr>
        <w:t>we</w:t>
      </w:r>
      <w:r w:rsidR="0034407B" w:rsidRPr="00FF4D95">
        <w:rPr>
          <w:sz w:val="22"/>
          <w:szCs w:val="22"/>
          <w:lang w:val="en-GB"/>
        </w:rPr>
        <w:t>re differentiated by the distance that customers needed to travel</w:t>
      </w:r>
      <w:r w:rsidR="00277582" w:rsidRPr="00FF4D95">
        <w:rPr>
          <w:sz w:val="22"/>
          <w:szCs w:val="22"/>
          <w:lang w:val="en-GB"/>
        </w:rPr>
        <w:t xml:space="preserve">, </w:t>
      </w:r>
      <w:r w:rsidR="0034407B" w:rsidRPr="00FF4D95">
        <w:rPr>
          <w:sz w:val="22"/>
          <w:szCs w:val="22"/>
          <w:lang w:val="en-GB"/>
        </w:rPr>
        <w:t xml:space="preserve">an </w:t>
      </w:r>
      <w:r w:rsidR="00A62B4E" w:rsidRPr="00FF4D95">
        <w:rPr>
          <w:sz w:val="22"/>
          <w:szCs w:val="22"/>
          <w:lang w:val="en-GB"/>
        </w:rPr>
        <w:t xml:space="preserve">alternative </w:t>
      </w:r>
      <w:r w:rsidR="0034407B" w:rsidRPr="00FF4D95">
        <w:rPr>
          <w:sz w:val="22"/>
          <w:szCs w:val="22"/>
          <w:lang w:val="en-GB"/>
        </w:rPr>
        <w:t>analytical framework</w:t>
      </w:r>
      <w:r w:rsidR="003B3B79" w:rsidRPr="00FF4D95">
        <w:rPr>
          <w:sz w:val="22"/>
          <w:szCs w:val="22"/>
          <w:lang w:val="en-GB"/>
        </w:rPr>
        <w:t xml:space="preserve"> </w:t>
      </w:r>
      <w:r w:rsidR="0034407B" w:rsidRPr="00FF4D95">
        <w:rPr>
          <w:sz w:val="22"/>
          <w:szCs w:val="22"/>
          <w:lang w:val="en-GB"/>
        </w:rPr>
        <w:t>was required</w:t>
      </w:r>
      <w:r w:rsidR="00A62B4E" w:rsidRPr="00FF4D95">
        <w:rPr>
          <w:sz w:val="22"/>
          <w:szCs w:val="22"/>
          <w:lang w:val="en-GB"/>
        </w:rPr>
        <w:t>.</w:t>
      </w:r>
      <w:r w:rsidR="00BF6BE3" w:rsidRPr="00FF4D95">
        <w:rPr>
          <w:sz w:val="22"/>
          <w:szCs w:val="22"/>
          <w:lang w:val="en-GB"/>
        </w:rPr>
        <w:t xml:space="preserve"> </w:t>
      </w:r>
    </w:p>
    <w:p w14:paraId="3F77BF27" w14:textId="77777777" w:rsidR="00642C70" w:rsidRPr="00FF4D95" w:rsidRDefault="00642C70" w:rsidP="00C317D1">
      <w:pPr>
        <w:pStyle w:val="BodyText"/>
        <w:spacing w:after="0"/>
        <w:jc w:val="both"/>
        <w:rPr>
          <w:sz w:val="22"/>
          <w:szCs w:val="22"/>
          <w:lang w:val="en-GB"/>
        </w:rPr>
      </w:pPr>
    </w:p>
    <w:p w14:paraId="216D3CDF" w14:textId="6E2D1622" w:rsidR="009A39DD" w:rsidRPr="00FF4D95" w:rsidRDefault="00BF6BE3" w:rsidP="00C317D1">
      <w:pPr>
        <w:pStyle w:val="BodyText"/>
        <w:spacing w:after="0"/>
        <w:jc w:val="both"/>
        <w:rPr>
          <w:sz w:val="22"/>
          <w:szCs w:val="22"/>
          <w:lang w:val="en-GB"/>
        </w:rPr>
      </w:pPr>
      <w:r w:rsidRPr="00FF4D95">
        <w:rPr>
          <w:sz w:val="22"/>
          <w:szCs w:val="22"/>
          <w:lang w:val="en-GB"/>
        </w:rPr>
        <w:t>Oligopoly w</w:t>
      </w:r>
      <w:r w:rsidR="008513CD">
        <w:rPr>
          <w:sz w:val="22"/>
          <w:szCs w:val="22"/>
          <w:lang w:val="en-GB"/>
        </w:rPr>
        <w:t>as a third possible</w:t>
      </w:r>
      <w:r w:rsidRPr="00FF4D95">
        <w:rPr>
          <w:sz w:val="22"/>
          <w:szCs w:val="22"/>
          <w:lang w:val="en-GB"/>
        </w:rPr>
        <w:t xml:space="preserve"> option</w:t>
      </w:r>
      <w:r w:rsidR="008513CD">
        <w:rPr>
          <w:sz w:val="22"/>
          <w:szCs w:val="22"/>
          <w:lang w:val="en-GB"/>
        </w:rPr>
        <w:t xml:space="preserve"> to define the NEBC market</w:t>
      </w:r>
      <w:r w:rsidRPr="00FF4D95">
        <w:rPr>
          <w:sz w:val="22"/>
          <w:szCs w:val="22"/>
          <w:lang w:val="en-GB"/>
        </w:rPr>
        <w:t>.</w:t>
      </w:r>
      <w:r w:rsidR="00A62B4E" w:rsidRPr="00FF4D95">
        <w:rPr>
          <w:sz w:val="22"/>
          <w:szCs w:val="22"/>
          <w:lang w:val="en-GB"/>
        </w:rPr>
        <w:t xml:space="preserve"> </w:t>
      </w:r>
      <w:r w:rsidR="008513CD">
        <w:rPr>
          <w:sz w:val="22"/>
          <w:szCs w:val="22"/>
          <w:lang w:val="en-GB"/>
        </w:rPr>
        <w:t>T</w:t>
      </w:r>
      <w:r w:rsidRPr="00FF4D95">
        <w:rPr>
          <w:sz w:val="22"/>
          <w:szCs w:val="22"/>
          <w:lang w:val="en-GB"/>
        </w:rPr>
        <w:t xml:space="preserve">he </w:t>
      </w:r>
      <w:r w:rsidR="00277582" w:rsidRPr="00FF4D95">
        <w:rPr>
          <w:sz w:val="22"/>
          <w:szCs w:val="22"/>
          <w:lang w:val="en-GB"/>
        </w:rPr>
        <w:t xml:space="preserve">Cournot </w:t>
      </w:r>
      <w:r w:rsidRPr="00FF4D95">
        <w:rPr>
          <w:sz w:val="22"/>
          <w:szCs w:val="22"/>
          <w:lang w:val="en-GB"/>
        </w:rPr>
        <w:t xml:space="preserve">model </w:t>
      </w:r>
      <w:r w:rsidR="008513CD">
        <w:rPr>
          <w:sz w:val="22"/>
          <w:szCs w:val="22"/>
          <w:lang w:val="en-GB"/>
        </w:rPr>
        <w:t>of oligopoly, a</w:t>
      </w:r>
      <w:r w:rsidR="003A4277" w:rsidRPr="00FF4D95">
        <w:rPr>
          <w:sz w:val="22"/>
          <w:szCs w:val="22"/>
          <w:lang w:val="en-GB"/>
        </w:rPr>
        <w:t>lso known as “quantity</w:t>
      </w:r>
      <w:r w:rsidR="005E29A7">
        <w:rPr>
          <w:sz w:val="22"/>
          <w:szCs w:val="22"/>
          <w:lang w:val="en-GB"/>
        </w:rPr>
        <w:t>-</w:t>
      </w:r>
      <w:r w:rsidR="003A4277" w:rsidRPr="00FF4D95">
        <w:rPr>
          <w:sz w:val="22"/>
          <w:szCs w:val="22"/>
          <w:lang w:val="en-GB"/>
        </w:rPr>
        <w:t>setting behaviour,</w:t>
      </w:r>
      <w:r w:rsidR="00921356">
        <w:rPr>
          <w:sz w:val="22"/>
          <w:szCs w:val="22"/>
          <w:lang w:val="en-GB"/>
        </w:rPr>
        <w:t>”</w:t>
      </w:r>
      <w:r w:rsidR="003A4277" w:rsidRPr="00FF4D95">
        <w:rPr>
          <w:sz w:val="22"/>
          <w:szCs w:val="22"/>
          <w:lang w:val="en-GB"/>
        </w:rPr>
        <w:t xml:space="preserve"> </w:t>
      </w:r>
      <w:r w:rsidR="008513CD">
        <w:rPr>
          <w:sz w:val="22"/>
          <w:szCs w:val="22"/>
          <w:lang w:val="en-GB"/>
        </w:rPr>
        <w:t>described</w:t>
      </w:r>
      <w:r w:rsidR="008513CD" w:rsidRPr="00FF4D95">
        <w:rPr>
          <w:sz w:val="22"/>
          <w:szCs w:val="22"/>
          <w:lang w:val="en-GB"/>
        </w:rPr>
        <w:t xml:space="preserve"> </w:t>
      </w:r>
      <w:r w:rsidR="00277582" w:rsidRPr="00FF4D95">
        <w:rPr>
          <w:sz w:val="22"/>
          <w:szCs w:val="22"/>
          <w:lang w:val="en-GB"/>
        </w:rPr>
        <w:t xml:space="preserve">competitors </w:t>
      </w:r>
      <w:r w:rsidR="008513CD">
        <w:rPr>
          <w:sz w:val="22"/>
          <w:szCs w:val="22"/>
          <w:lang w:val="en-GB"/>
        </w:rPr>
        <w:t xml:space="preserve">as working </w:t>
      </w:r>
      <w:r w:rsidR="003A4277" w:rsidRPr="00FF4D95">
        <w:rPr>
          <w:sz w:val="22"/>
          <w:szCs w:val="22"/>
          <w:lang w:val="en-GB"/>
        </w:rPr>
        <w:t>independently</w:t>
      </w:r>
      <w:r w:rsidR="00277582" w:rsidRPr="00FF4D95">
        <w:rPr>
          <w:sz w:val="22"/>
          <w:szCs w:val="22"/>
          <w:lang w:val="en-GB"/>
        </w:rPr>
        <w:t xml:space="preserve"> to maximize profit</w:t>
      </w:r>
      <w:r w:rsidR="00642C70" w:rsidRPr="00FF4D95">
        <w:rPr>
          <w:sz w:val="22"/>
          <w:szCs w:val="22"/>
          <w:lang w:val="en-GB"/>
        </w:rPr>
        <w:t>s</w:t>
      </w:r>
      <w:r w:rsidR="00277582" w:rsidRPr="00FF4D95">
        <w:rPr>
          <w:sz w:val="22"/>
          <w:szCs w:val="22"/>
          <w:lang w:val="en-GB"/>
        </w:rPr>
        <w:t xml:space="preserve"> by </w:t>
      </w:r>
      <w:r w:rsidR="003A4277" w:rsidRPr="00FF4D95">
        <w:rPr>
          <w:sz w:val="22"/>
          <w:szCs w:val="22"/>
          <w:lang w:val="en-GB"/>
        </w:rPr>
        <w:t>finding a</w:t>
      </w:r>
      <w:r w:rsidR="00A62B4E" w:rsidRPr="00FF4D95">
        <w:rPr>
          <w:sz w:val="22"/>
          <w:szCs w:val="22"/>
          <w:lang w:val="en-GB"/>
        </w:rPr>
        <w:t>n equilibrium</w:t>
      </w:r>
      <w:r w:rsidR="003A4277" w:rsidRPr="00FF4D95">
        <w:rPr>
          <w:sz w:val="22"/>
          <w:szCs w:val="22"/>
          <w:lang w:val="en-GB"/>
        </w:rPr>
        <w:t xml:space="preserve"> level of production</w:t>
      </w:r>
      <w:r w:rsidR="00642C70" w:rsidRPr="00FF4D95">
        <w:rPr>
          <w:sz w:val="22"/>
          <w:szCs w:val="22"/>
          <w:lang w:val="en-GB"/>
        </w:rPr>
        <w:t>. For example</w:t>
      </w:r>
      <w:r w:rsidR="003B3B79" w:rsidRPr="00FF4D95">
        <w:rPr>
          <w:sz w:val="22"/>
          <w:szCs w:val="22"/>
          <w:lang w:val="en-GB"/>
        </w:rPr>
        <w:t xml:space="preserve">, </w:t>
      </w:r>
      <w:r w:rsidR="0034407B" w:rsidRPr="00FF4D95">
        <w:rPr>
          <w:sz w:val="22"/>
          <w:szCs w:val="22"/>
          <w:lang w:val="en-GB"/>
        </w:rPr>
        <w:t xml:space="preserve">each firm </w:t>
      </w:r>
      <w:r w:rsidR="003B3B79" w:rsidRPr="00FF4D95">
        <w:rPr>
          <w:sz w:val="22"/>
          <w:szCs w:val="22"/>
          <w:lang w:val="en-GB"/>
        </w:rPr>
        <w:t>chos</w:t>
      </w:r>
      <w:r w:rsidR="0034407B" w:rsidRPr="00FF4D95">
        <w:rPr>
          <w:sz w:val="22"/>
          <w:szCs w:val="22"/>
          <w:lang w:val="en-GB"/>
        </w:rPr>
        <w:t>e</w:t>
      </w:r>
      <w:r w:rsidR="003B3B79" w:rsidRPr="00FF4D95">
        <w:rPr>
          <w:sz w:val="22"/>
          <w:szCs w:val="22"/>
          <w:lang w:val="en-GB"/>
        </w:rPr>
        <w:t xml:space="preserve"> a quantity</w:t>
      </w:r>
      <w:r w:rsidR="00642C70" w:rsidRPr="00FF4D95">
        <w:rPr>
          <w:sz w:val="22"/>
          <w:szCs w:val="22"/>
          <w:lang w:val="en-GB"/>
        </w:rPr>
        <w:t>,</w:t>
      </w:r>
      <w:r w:rsidR="003B3B79" w:rsidRPr="00FF4D95">
        <w:rPr>
          <w:sz w:val="22"/>
          <w:szCs w:val="22"/>
          <w:lang w:val="en-GB"/>
        </w:rPr>
        <w:t xml:space="preserve"> or level of output</w:t>
      </w:r>
      <w:r w:rsidR="00642C70" w:rsidRPr="00FF4D95">
        <w:rPr>
          <w:sz w:val="22"/>
          <w:szCs w:val="22"/>
          <w:lang w:val="en-GB"/>
        </w:rPr>
        <w:t>,</w:t>
      </w:r>
      <w:r w:rsidR="003B3B79" w:rsidRPr="00FF4D95">
        <w:rPr>
          <w:sz w:val="22"/>
          <w:szCs w:val="22"/>
          <w:lang w:val="en-GB"/>
        </w:rPr>
        <w:t xml:space="preserve"> </w:t>
      </w:r>
      <w:r w:rsidR="00642C70" w:rsidRPr="00FF4D95">
        <w:rPr>
          <w:sz w:val="22"/>
          <w:szCs w:val="22"/>
          <w:lang w:val="en-GB"/>
        </w:rPr>
        <w:t>based on</w:t>
      </w:r>
      <w:r w:rsidR="003B3B79" w:rsidRPr="00FF4D95">
        <w:rPr>
          <w:sz w:val="22"/>
          <w:szCs w:val="22"/>
          <w:lang w:val="en-GB"/>
        </w:rPr>
        <w:t xml:space="preserve"> the other firms’ quantity choices</w:t>
      </w:r>
      <w:r w:rsidR="003A4277" w:rsidRPr="00FF4D95">
        <w:rPr>
          <w:sz w:val="22"/>
          <w:szCs w:val="22"/>
          <w:lang w:val="en-GB"/>
        </w:rPr>
        <w:t xml:space="preserve">. Alternatively, Bertrand competition, </w:t>
      </w:r>
      <w:r w:rsidR="00921356">
        <w:rPr>
          <w:sz w:val="22"/>
          <w:szCs w:val="22"/>
          <w:lang w:val="en-GB"/>
        </w:rPr>
        <w:t>known as</w:t>
      </w:r>
      <w:r w:rsidR="003A4277" w:rsidRPr="00FF4D95">
        <w:rPr>
          <w:sz w:val="22"/>
          <w:szCs w:val="22"/>
          <w:lang w:val="en-GB"/>
        </w:rPr>
        <w:t xml:space="preserve"> </w:t>
      </w:r>
      <w:r w:rsidR="00921356">
        <w:rPr>
          <w:sz w:val="22"/>
          <w:szCs w:val="22"/>
          <w:lang w:val="en-GB"/>
        </w:rPr>
        <w:t>the “</w:t>
      </w:r>
      <w:r w:rsidR="003A4277" w:rsidRPr="00FF4D95">
        <w:rPr>
          <w:sz w:val="22"/>
          <w:szCs w:val="22"/>
          <w:lang w:val="en-GB"/>
        </w:rPr>
        <w:t>price</w:t>
      </w:r>
      <w:r w:rsidR="005E29A7">
        <w:rPr>
          <w:sz w:val="22"/>
          <w:szCs w:val="22"/>
          <w:lang w:val="en-GB"/>
        </w:rPr>
        <w:t>-</w:t>
      </w:r>
      <w:r w:rsidR="003A4277" w:rsidRPr="00FF4D95">
        <w:rPr>
          <w:sz w:val="22"/>
          <w:szCs w:val="22"/>
          <w:lang w:val="en-GB"/>
        </w:rPr>
        <w:t>setting behaviour</w:t>
      </w:r>
      <w:r w:rsidR="00642C70" w:rsidRPr="00FF4D95">
        <w:rPr>
          <w:sz w:val="22"/>
          <w:szCs w:val="22"/>
          <w:lang w:val="en-GB"/>
        </w:rPr>
        <w:t>,</w:t>
      </w:r>
      <w:r w:rsidR="00921356">
        <w:rPr>
          <w:sz w:val="22"/>
          <w:szCs w:val="22"/>
          <w:lang w:val="en-GB"/>
        </w:rPr>
        <w:t>”</w:t>
      </w:r>
      <w:r w:rsidR="00642C70" w:rsidRPr="00FF4D95">
        <w:rPr>
          <w:sz w:val="22"/>
          <w:szCs w:val="22"/>
          <w:lang w:val="en-GB"/>
        </w:rPr>
        <w:t xml:space="preserve"> could</w:t>
      </w:r>
      <w:r w:rsidR="00A62B4E" w:rsidRPr="00FF4D95">
        <w:rPr>
          <w:sz w:val="22"/>
          <w:szCs w:val="22"/>
          <w:lang w:val="en-GB"/>
        </w:rPr>
        <w:t xml:space="preserve"> </w:t>
      </w:r>
      <w:r w:rsidR="00921356">
        <w:rPr>
          <w:sz w:val="22"/>
          <w:szCs w:val="22"/>
          <w:lang w:val="en-GB"/>
        </w:rPr>
        <w:t>apply. In this case,</w:t>
      </w:r>
      <w:r w:rsidR="003A4277" w:rsidRPr="00FF4D95">
        <w:rPr>
          <w:sz w:val="22"/>
          <w:szCs w:val="22"/>
          <w:lang w:val="en-GB"/>
        </w:rPr>
        <w:t xml:space="preserve"> competitors f</w:t>
      </w:r>
      <w:r w:rsidR="00642C70" w:rsidRPr="00FF4D95">
        <w:rPr>
          <w:sz w:val="22"/>
          <w:szCs w:val="22"/>
          <w:lang w:val="en-GB"/>
        </w:rPr>
        <w:t>ou</w:t>
      </w:r>
      <w:r w:rsidR="003A4277" w:rsidRPr="00FF4D95">
        <w:rPr>
          <w:sz w:val="22"/>
          <w:szCs w:val="22"/>
          <w:lang w:val="en-GB"/>
        </w:rPr>
        <w:t>nd equilibrium in the market by setting prices for their products</w:t>
      </w:r>
      <w:r w:rsidR="003B3B79" w:rsidRPr="00FF4D95">
        <w:rPr>
          <w:sz w:val="22"/>
          <w:szCs w:val="22"/>
          <w:lang w:val="en-GB"/>
        </w:rPr>
        <w:t xml:space="preserve"> conditional</w:t>
      </w:r>
      <w:r w:rsidR="00921356">
        <w:rPr>
          <w:sz w:val="22"/>
          <w:szCs w:val="22"/>
          <w:lang w:val="en-GB"/>
        </w:rPr>
        <w:t>ly, based</w:t>
      </w:r>
      <w:r w:rsidR="003B3B79" w:rsidRPr="00FF4D95">
        <w:rPr>
          <w:sz w:val="22"/>
          <w:szCs w:val="22"/>
          <w:lang w:val="en-GB"/>
        </w:rPr>
        <w:t xml:space="preserve"> on all </w:t>
      </w:r>
      <w:r w:rsidR="00116484" w:rsidRPr="00FF4D95">
        <w:rPr>
          <w:sz w:val="22"/>
          <w:szCs w:val="22"/>
          <w:lang w:val="en-GB"/>
        </w:rPr>
        <w:t xml:space="preserve">other </w:t>
      </w:r>
      <w:r w:rsidR="003B3B79" w:rsidRPr="00FF4D95">
        <w:rPr>
          <w:sz w:val="22"/>
          <w:szCs w:val="22"/>
          <w:lang w:val="en-GB"/>
        </w:rPr>
        <w:t>competitors’ price decisions</w:t>
      </w:r>
      <w:r w:rsidR="003A4277" w:rsidRPr="00FF4D95">
        <w:rPr>
          <w:sz w:val="22"/>
          <w:szCs w:val="22"/>
          <w:lang w:val="en-GB"/>
        </w:rPr>
        <w:t>.</w:t>
      </w:r>
    </w:p>
    <w:p w14:paraId="76C4F01B" w14:textId="77777777" w:rsidR="00A62B4E" w:rsidRPr="00FF4D95" w:rsidRDefault="00A62B4E" w:rsidP="00C317D1">
      <w:pPr>
        <w:pStyle w:val="BodyText"/>
        <w:spacing w:after="0"/>
        <w:jc w:val="both"/>
        <w:rPr>
          <w:sz w:val="22"/>
          <w:szCs w:val="22"/>
          <w:lang w:val="en-GB"/>
        </w:rPr>
      </w:pPr>
    </w:p>
    <w:p w14:paraId="7C3C2561" w14:textId="7491FF9A" w:rsidR="00A62B4E" w:rsidRPr="00FF4D95" w:rsidRDefault="00A62B4E" w:rsidP="006A588F">
      <w:pPr>
        <w:pStyle w:val="BodyTextMain"/>
        <w:rPr>
          <w:lang w:val="en-GB"/>
        </w:rPr>
      </w:pPr>
      <w:r w:rsidRPr="00FF4D95">
        <w:rPr>
          <w:lang w:val="en-GB"/>
        </w:rPr>
        <w:t>Beyond the basics of market structure</w:t>
      </w:r>
      <w:r w:rsidR="00777980" w:rsidRPr="00FF4D95">
        <w:rPr>
          <w:lang w:val="en-GB"/>
        </w:rPr>
        <w:t>—</w:t>
      </w:r>
      <w:r w:rsidR="003206E1" w:rsidRPr="00FF4D95">
        <w:rPr>
          <w:lang w:val="en-GB"/>
        </w:rPr>
        <w:t>perfect competition, monopoly</w:t>
      </w:r>
      <w:r w:rsidR="00642C70" w:rsidRPr="00FF4D95">
        <w:rPr>
          <w:lang w:val="en-GB"/>
        </w:rPr>
        <w:t>,</w:t>
      </w:r>
      <w:r w:rsidR="003206E1" w:rsidRPr="00FF4D95">
        <w:rPr>
          <w:lang w:val="en-GB"/>
        </w:rPr>
        <w:t xml:space="preserve"> or oligopoly</w:t>
      </w:r>
      <w:r w:rsidR="00777980" w:rsidRPr="00FF4D95">
        <w:rPr>
          <w:lang w:val="en-GB"/>
        </w:rPr>
        <w:t>—</w:t>
      </w:r>
      <w:r w:rsidR="003206E1" w:rsidRPr="00FF4D95">
        <w:rPr>
          <w:lang w:val="en-GB"/>
        </w:rPr>
        <w:t xml:space="preserve">there </w:t>
      </w:r>
      <w:r w:rsidRPr="00FF4D95">
        <w:rPr>
          <w:lang w:val="en-GB"/>
        </w:rPr>
        <w:t xml:space="preserve">were a range of additional factors that </w:t>
      </w:r>
      <w:r w:rsidR="0078048D">
        <w:rPr>
          <w:lang w:val="en-GB"/>
        </w:rPr>
        <w:t>it</w:t>
      </w:r>
      <w:r w:rsidR="003206E1" w:rsidRPr="00FF4D95">
        <w:rPr>
          <w:lang w:val="en-GB"/>
        </w:rPr>
        <w:t>needed</w:t>
      </w:r>
      <w:r w:rsidRPr="00FF4D95">
        <w:rPr>
          <w:lang w:val="en-GB"/>
        </w:rPr>
        <w:t xml:space="preserve"> to consider. For example, </w:t>
      </w:r>
      <w:r w:rsidR="0034407B" w:rsidRPr="00FF4D95">
        <w:rPr>
          <w:lang w:val="en-GB"/>
        </w:rPr>
        <w:t xml:space="preserve">exactly </w:t>
      </w:r>
      <w:r w:rsidRPr="00FF4D95">
        <w:rPr>
          <w:lang w:val="en-GB"/>
        </w:rPr>
        <w:t xml:space="preserve">what role did geographical space </w:t>
      </w:r>
      <w:r w:rsidR="00BF6BE3" w:rsidRPr="00FF4D95">
        <w:rPr>
          <w:lang w:val="en-GB"/>
        </w:rPr>
        <w:t xml:space="preserve">or location </w:t>
      </w:r>
      <w:r w:rsidR="0034407B" w:rsidRPr="00FF4D95">
        <w:rPr>
          <w:lang w:val="en-GB"/>
        </w:rPr>
        <w:t>play</w:t>
      </w:r>
      <w:r w:rsidRPr="00FF4D95">
        <w:rPr>
          <w:lang w:val="en-GB"/>
        </w:rPr>
        <w:t xml:space="preserve"> in Tervita’s acquisition?</w:t>
      </w:r>
      <w:r w:rsidR="00BF6BE3" w:rsidRPr="00FF4D95">
        <w:rPr>
          <w:lang w:val="en-GB"/>
        </w:rPr>
        <w:t xml:space="preserve"> Was there a way to explicitly incorporate distance into </w:t>
      </w:r>
      <w:r w:rsidR="00020C31">
        <w:rPr>
          <w:lang w:val="en-GB"/>
        </w:rPr>
        <w:t>the</w:t>
      </w:r>
      <w:r w:rsidR="00020C31" w:rsidRPr="00FF4D95">
        <w:rPr>
          <w:lang w:val="en-GB"/>
        </w:rPr>
        <w:t xml:space="preserve"> </w:t>
      </w:r>
      <w:r w:rsidR="00BF6BE3" w:rsidRPr="00FF4D95">
        <w:rPr>
          <w:lang w:val="en-GB"/>
        </w:rPr>
        <w:t>analysis? Also</w:t>
      </w:r>
      <w:r w:rsidR="0034407B" w:rsidRPr="00FF4D95">
        <w:rPr>
          <w:lang w:val="en-GB"/>
        </w:rPr>
        <w:t xml:space="preserve">, how broadly should </w:t>
      </w:r>
      <w:r w:rsidR="00102CB8">
        <w:rPr>
          <w:lang w:val="en-GB"/>
        </w:rPr>
        <w:t>it</w:t>
      </w:r>
      <w:r w:rsidR="00102CB8" w:rsidRPr="00FF4D95">
        <w:rPr>
          <w:lang w:val="en-GB"/>
        </w:rPr>
        <w:t xml:space="preserve"> </w:t>
      </w:r>
      <w:r w:rsidR="0034407B" w:rsidRPr="00FF4D95">
        <w:rPr>
          <w:lang w:val="en-GB"/>
        </w:rPr>
        <w:t>define</w:t>
      </w:r>
      <w:r w:rsidRPr="00FF4D95">
        <w:rPr>
          <w:lang w:val="en-GB"/>
        </w:rPr>
        <w:t xml:space="preserve"> </w:t>
      </w:r>
      <w:r w:rsidR="00630884">
        <w:rPr>
          <w:lang w:val="en-GB"/>
        </w:rPr>
        <w:t xml:space="preserve">the </w:t>
      </w:r>
      <w:r w:rsidR="009B751D" w:rsidRPr="00FF4D95">
        <w:rPr>
          <w:lang w:val="en-GB"/>
        </w:rPr>
        <w:t>NEBC</w:t>
      </w:r>
      <w:r w:rsidRPr="00FF4D95">
        <w:rPr>
          <w:lang w:val="en-GB"/>
        </w:rPr>
        <w:t xml:space="preserve"> </w:t>
      </w:r>
      <w:r w:rsidR="0034407B" w:rsidRPr="00FF4D95">
        <w:rPr>
          <w:lang w:val="en-GB"/>
        </w:rPr>
        <w:t xml:space="preserve">secure landfill </w:t>
      </w:r>
      <w:r w:rsidRPr="00FF4D95">
        <w:rPr>
          <w:lang w:val="en-GB"/>
        </w:rPr>
        <w:t>market</w:t>
      </w:r>
      <w:r w:rsidR="00A655D5" w:rsidRPr="00FF4D95">
        <w:rPr>
          <w:lang w:val="en-GB"/>
        </w:rPr>
        <w:t xml:space="preserve"> geographically</w:t>
      </w:r>
      <w:r w:rsidR="0034407B" w:rsidRPr="00FF4D95">
        <w:rPr>
          <w:lang w:val="en-GB"/>
        </w:rPr>
        <w:t>?</w:t>
      </w:r>
      <w:r w:rsidR="00BF6BE3" w:rsidRPr="00FF4D95">
        <w:rPr>
          <w:lang w:val="en-GB"/>
        </w:rPr>
        <w:t xml:space="preserve"> </w:t>
      </w:r>
      <w:r w:rsidR="0034407B" w:rsidRPr="00FF4D95">
        <w:rPr>
          <w:lang w:val="en-GB"/>
        </w:rPr>
        <w:t>How might this definition affect the analysis of Tervita’s acquisition</w:t>
      </w:r>
      <w:r w:rsidR="00642C70" w:rsidRPr="00FF4D95">
        <w:rPr>
          <w:lang w:val="en-GB"/>
        </w:rPr>
        <w:t>? S</w:t>
      </w:r>
      <w:r w:rsidR="0034407B" w:rsidRPr="00FF4D95">
        <w:rPr>
          <w:lang w:val="en-GB"/>
        </w:rPr>
        <w:t>pecifically</w:t>
      </w:r>
      <w:r w:rsidR="00642C70" w:rsidRPr="00FF4D95">
        <w:rPr>
          <w:lang w:val="en-GB"/>
        </w:rPr>
        <w:t>, would</w:t>
      </w:r>
      <w:r w:rsidR="0034407B" w:rsidRPr="00FF4D95">
        <w:rPr>
          <w:lang w:val="en-GB"/>
        </w:rPr>
        <w:t xml:space="preserve"> the acquisition result in a significant lessening or prevention of competition? </w:t>
      </w:r>
      <w:r w:rsidR="00BF6BE3" w:rsidRPr="00FF4D95">
        <w:rPr>
          <w:lang w:val="en-GB"/>
        </w:rPr>
        <w:t>Further</w:t>
      </w:r>
      <w:r w:rsidR="0034407B" w:rsidRPr="00FF4D95">
        <w:rPr>
          <w:lang w:val="en-GB"/>
        </w:rPr>
        <w:t>, what about future competitors?</w:t>
      </w:r>
      <w:r w:rsidR="009B751D" w:rsidRPr="00FF4D95">
        <w:rPr>
          <w:lang w:val="en-GB"/>
        </w:rPr>
        <w:t xml:space="preserve"> </w:t>
      </w:r>
      <w:r w:rsidR="0034407B" w:rsidRPr="00FF4D95">
        <w:rPr>
          <w:lang w:val="en-GB"/>
        </w:rPr>
        <w:t>W</w:t>
      </w:r>
      <w:r w:rsidR="009B751D" w:rsidRPr="00FF4D95">
        <w:rPr>
          <w:lang w:val="en-GB"/>
        </w:rPr>
        <w:t xml:space="preserve">ere there barriers preventing other firms </w:t>
      </w:r>
      <w:r w:rsidR="00A655D5" w:rsidRPr="00FF4D95">
        <w:rPr>
          <w:lang w:val="en-GB"/>
        </w:rPr>
        <w:t>from entering</w:t>
      </w:r>
      <w:r w:rsidR="009B751D" w:rsidRPr="00FF4D95">
        <w:rPr>
          <w:lang w:val="en-GB"/>
        </w:rPr>
        <w:t xml:space="preserve"> the NEBC market?</w:t>
      </w:r>
      <w:r w:rsidR="006A588F" w:rsidRPr="00FF4D95">
        <w:rPr>
          <w:lang w:val="en-GB"/>
        </w:rPr>
        <w:t xml:space="preserve"> The </w:t>
      </w:r>
      <w:r w:rsidR="0034407B" w:rsidRPr="00FF4D95">
        <w:rPr>
          <w:lang w:val="en-GB"/>
        </w:rPr>
        <w:t>potential for future</w:t>
      </w:r>
      <w:r w:rsidR="006A588F" w:rsidRPr="00FF4D95">
        <w:rPr>
          <w:lang w:val="en-GB"/>
        </w:rPr>
        <w:t xml:space="preserve"> entrants could drastically alter </w:t>
      </w:r>
      <w:r w:rsidR="00020C31">
        <w:rPr>
          <w:lang w:val="en-GB"/>
        </w:rPr>
        <w:t xml:space="preserve">the </w:t>
      </w:r>
      <w:r w:rsidR="0034407B" w:rsidRPr="00FF4D95">
        <w:rPr>
          <w:lang w:val="en-GB"/>
        </w:rPr>
        <w:t>recommendation</w:t>
      </w:r>
      <w:r w:rsidR="006A588F" w:rsidRPr="00FF4D95">
        <w:rPr>
          <w:lang w:val="en-GB"/>
        </w:rPr>
        <w:t>. For example,</w:t>
      </w:r>
      <w:r w:rsidR="009B751D" w:rsidRPr="00FF4D95">
        <w:rPr>
          <w:lang w:val="en-GB"/>
        </w:rPr>
        <w:t xml:space="preserve"> </w:t>
      </w:r>
      <w:r w:rsidR="006A588F" w:rsidRPr="00FF4D95">
        <w:rPr>
          <w:lang w:val="en-GB"/>
        </w:rPr>
        <w:t xml:space="preserve">prior to Tervita’s acquisition of Complete, one expert estimated that opening </w:t>
      </w:r>
      <w:r w:rsidR="0034407B" w:rsidRPr="00FF4D95">
        <w:rPr>
          <w:lang w:val="en-GB"/>
        </w:rPr>
        <w:t>the</w:t>
      </w:r>
      <w:r w:rsidR="006A588F" w:rsidRPr="00FF4D95">
        <w:rPr>
          <w:lang w:val="en-GB"/>
        </w:rPr>
        <w:t xml:space="preserve"> Babkirk secure landfill facility would prompt average tipping fees in NEBC to d</w:t>
      </w:r>
      <w:r w:rsidR="00642C70" w:rsidRPr="00FF4D95">
        <w:rPr>
          <w:lang w:val="en-GB"/>
        </w:rPr>
        <w:t>rop</w:t>
      </w:r>
      <w:r w:rsidR="006A588F" w:rsidRPr="00FF4D95">
        <w:rPr>
          <w:lang w:val="en-GB"/>
        </w:rPr>
        <w:t xml:space="preserve"> by at least 10 per</w:t>
      </w:r>
      <w:r w:rsidR="00777980" w:rsidRPr="00FF4D95">
        <w:rPr>
          <w:lang w:val="en-GB"/>
        </w:rPr>
        <w:t xml:space="preserve"> </w:t>
      </w:r>
      <w:r w:rsidR="006A588F" w:rsidRPr="00FF4D95">
        <w:rPr>
          <w:lang w:val="en-GB"/>
        </w:rPr>
        <w:t>cent</w:t>
      </w:r>
      <w:r w:rsidR="00642C70" w:rsidRPr="00FF4D95">
        <w:rPr>
          <w:lang w:val="en-GB"/>
        </w:rPr>
        <w:t>—</w:t>
      </w:r>
      <w:r w:rsidR="0034407B" w:rsidRPr="00FF4D95">
        <w:rPr>
          <w:lang w:val="en-GB"/>
        </w:rPr>
        <w:t>potentially more</w:t>
      </w:r>
      <w:r w:rsidR="006A588F" w:rsidRPr="00FF4D95">
        <w:rPr>
          <w:lang w:val="en-GB"/>
        </w:rPr>
        <w:t>.</w:t>
      </w:r>
      <w:r w:rsidR="006A588F" w:rsidRPr="00FF4D95">
        <w:rPr>
          <w:rStyle w:val="FootnoteReference"/>
          <w:lang w:val="en-GB"/>
        </w:rPr>
        <w:footnoteReference w:id="18"/>
      </w:r>
      <w:r w:rsidR="006A588F" w:rsidRPr="00FF4D95">
        <w:rPr>
          <w:lang w:val="en-GB"/>
        </w:rPr>
        <w:t xml:space="preserve"> </w:t>
      </w:r>
    </w:p>
    <w:p w14:paraId="2A72F7E5" w14:textId="77777777" w:rsidR="009E5F7B" w:rsidRPr="00FF4D95" w:rsidRDefault="009E5F7B" w:rsidP="00C317D1">
      <w:pPr>
        <w:pStyle w:val="BodyText"/>
        <w:spacing w:after="0"/>
        <w:jc w:val="both"/>
        <w:rPr>
          <w:sz w:val="22"/>
          <w:szCs w:val="22"/>
          <w:lang w:val="en-GB"/>
        </w:rPr>
      </w:pPr>
    </w:p>
    <w:p w14:paraId="179CD733" w14:textId="77777777" w:rsidR="009E5F7B" w:rsidRPr="00FF4D95" w:rsidRDefault="009E5F7B" w:rsidP="00C317D1">
      <w:pPr>
        <w:pStyle w:val="BodyText"/>
        <w:spacing w:after="0"/>
        <w:jc w:val="both"/>
        <w:rPr>
          <w:sz w:val="22"/>
          <w:szCs w:val="22"/>
          <w:lang w:val="en-GB"/>
        </w:rPr>
      </w:pPr>
    </w:p>
    <w:p w14:paraId="76F86C2E" w14:textId="77777777" w:rsidR="00DC3130" w:rsidRPr="00FF4D95" w:rsidRDefault="009A39DD" w:rsidP="009018C3">
      <w:pPr>
        <w:pStyle w:val="BodyText"/>
        <w:spacing w:after="0"/>
        <w:jc w:val="both"/>
        <w:rPr>
          <w:rFonts w:ascii="Arial" w:hAnsi="Arial" w:cs="Arial"/>
          <w:b/>
          <w:lang w:val="en-GB"/>
        </w:rPr>
      </w:pPr>
      <w:r w:rsidRPr="00FF4D95">
        <w:rPr>
          <w:rFonts w:ascii="Arial" w:hAnsi="Arial" w:cs="Arial"/>
          <w:b/>
          <w:lang w:val="en-GB"/>
        </w:rPr>
        <w:t>D</w:t>
      </w:r>
      <w:r w:rsidR="009018C3" w:rsidRPr="00FF4D95">
        <w:rPr>
          <w:rFonts w:ascii="Arial" w:hAnsi="Arial" w:cs="Arial"/>
          <w:b/>
          <w:lang w:val="en-GB"/>
        </w:rPr>
        <w:t>ECISION</w:t>
      </w:r>
    </w:p>
    <w:p w14:paraId="335B2ACE" w14:textId="77777777" w:rsidR="009018C3" w:rsidRPr="00FF4D95" w:rsidRDefault="009018C3" w:rsidP="006A588F">
      <w:pPr>
        <w:pStyle w:val="BodyText"/>
        <w:spacing w:after="0"/>
        <w:jc w:val="both"/>
        <w:rPr>
          <w:sz w:val="22"/>
          <w:szCs w:val="22"/>
          <w:lang w:val="en-GB"/>
        </w:rPr>
      </w:pPr>
    </w:p>
    <w:p w14:paraId="3A427408" w14:textId="2D898D17" w:rsidR="00AE5942" w:rsidRPr="00FF4D95" w:rsidRDefault="009D4AA9" w:rsidP="006A588F">
      <w:pPr>
        <w:pStyle w:val="BodyText"/>
        <w:spacing w:after="0"/>
        <w:jc w:val="both"/>
        <w:rPr>
          <w:sz w:val="22"/>
          <w:szCs w:val="22"/>
          <w:lang w:val="en-GB"/>
        </w:rPr>
      </w:pPr>
      <w:r>
        <w:rPr>
          <w:sz w:val="22"/>
          <w:szCs w:val="22"/>
          <w:lang w:val="en-GB"/>
        </w:rPr>
        <w:t>The facts were that Tervita</w:t>
      </w:r>
      <w:r w:rsidR="00A0269E" w:rsidRPr="00FF4D95">
        <w:rPr>
          <w:sz w:val="22"/>
          <w:szCs w:val="22"/>
          <w:lang w:val="en-GB"/>
        </w:rPr>
        <w:t xml:space="preserve"> </w:t>
      </w:r>
      <w:r w:rsidR="005E29A7">
        <w:rPr>
          <w:sz w:val="22"/>
          <w:szCs w:val="22"/>
          <w:lang w:val="en-GB"/>
        </w:rPr>
        <w:t xml:space="preserve">paid </w:t>
      </w:r>
      <w:r w:rsidR="00A0269E" w:rsidRPr="00FF4D95">
        <w:rPr>
          <w:sz w:val="22"/>
          <w:szCs w:val="22"/>
          <w:lang w:val="en-GB"/>
        </w:rPr>
        <w:t>$6.1 million for this facility, a small operation which handled normal, non</w:t>
      </w:r>
      <w:r w:rsidR="005E29A7">
        <w:rPr>
          <w:sz w:val="22"/>
          <w:szCs w:val="22"/>
          <w:lang w:val="en-GB"/>
        </w:rPr>
        <w:noBreakHyphen/>
      </w:r>
      <w:r w:rsidR="00A0269E" w:rsidRPr="00FF4D95">
        <w:rPr>
          <w:sz w:val="22"/>
          <w:szCs w:val="22"/>
          <w:lang w:val="en-GB"/>
        </w:rPr>
        <w:t>secure waste</w:t>
      </w:r>
      <w:r>
        <w:rPr>
          <w:sz w:val="22"/>
          <w:szCs w:val="22"/>
          <w:lang w:val="en-GB"/>
        </w:rPr>
        <w:t>. Given the price paid, it could be argued that</w:t>
      </w:r>
      <w:r w:rsidR="00A0269E" w:rsidRPr="00FF4D95">
        <w:rPr>
          <w:sz w:val="22"/>
          <w:szCs w:val="22"/>
          <w:lang w:val="en-GB"/>
        </w:rPr>
        <w:t xml:space="preserve"> a large part of the value in Babkirk was its secure landfill permit. Attaining a secure landfill permit could cost </w:t>
      </w:r>
      <w:r w:rsidR="001F7833">
        <w:rPr>
          <w:sz w:val="22"/>
          <w:szCs w:val="22"/>
          <w:lang w:val="en-GB"/>
        </w:rPr>
        <w:t>the requesting company</w:t>
      </w:r>
      <w:r w:rsidR="00A0269E" w:rsidRPr="00FF4D95">
        <w:rPr>
          <w:sz w:val="22"/>
          <w:szCs w:val="22"/>
          <w:lang w:val="en-GB"/>
        </w:rPr>
        <w:t xml:space="preserve"> several hundred thousand dollars and could take several years. The Competition Bureau </w:t>
      </w:r>
      <w:r w:rsidR="003206E1" w:rsidRPr="00FF4D95">
        <w:rPr>
          <w:sz w:val="22"/>
          <w:szCs w:val="22"/>
          <w:lang w:val="en-GB"/>
        </w:rPr>
        <w:t xml:space="preserve">learned of </w:t>
      </w:r>
      <w:r w:rsidR="00A0269E" w:rsidRPr="00FF4D95">
        <w:rPr>
          <w:sz w:val="22"/>
          <w:szCs w:val="22"/>
          <w:lang w:val="en-GB"/>
        </w:rPr>
        <w:t>the impending merger in early December 2010</w:t>
      </w:r>
      <w:r w:rsidR="000B515B" w:rsidRPr="00FF4D95">
        <w:rPr>
          <w:sz w:val="22"/>
          <w:szCs w:val="22"/>
          <w:lang w:val="en-GB"/>
        </w:rPr>
        <w:t>,</w:t>
      </w:r>
      <w:r w:rsidR="00A0269E" w:rsidRPr="00FF4D95">
        <w:rPr>
          <w:sz w:val="22"/>
          <w:szCs w:val="22"/>
          <w:lang w:val="en-GB"/>
        </w:rPr>
        <w:t xml:space="preserve"> when Tervita notified the</w:t>
      </w:r>
      <w:r w:rsidR="001F7833">
        <w:rPr>
          <w:sz w:val="22"/>
          <w:szCs w:val="22"/>
          <w:lang w:val="en-GB"/>
        </w:rPr>
        <w:t xml:space="preserve"> </w:t>
      </w:r>
      <w:r w:rsidR="001F79BE">
        <w:rPr>
          <w:sz w:val="22"/>
          <w:szCs w:val="22"/>
          <w:lang w:val="en-GB"/>
        </w:rPr>
        <w:t>b</w:t>
      </w:r>
      <w:r w:rsidR="001F7833">
        <w:rPr>
          <w:sz w:val="22"/>
          <w:szCs w:val="22"/>
          <w:lang w:val="en-GB"/>
        </w:rPr>
        <w:t>ureau</w:t>
      </w:r>
      <w:r w:rsidR="00A0269E" w:rsidRPr="00FF4D95">
        <w:rPr>
          <w:sz w:val="22"/>
          <w:szCs w:val="22"/>
          <w:lang w:val="en-GB"/>
        </w:rPr>
        <w:t xml:space="preserve">, even though it was not mandatory to do so. </w:t>
      </w:r>
    </w:p>
    <w:p w14:paraId="452665A6" w14:textId="77777777" w:rsidR="00A423B9" w:rsidRDefault="00A423B9" w:rsidP="001F79BE">
      <w:pPr>
        <w:pStyle w:val="BodyText"/>
        <w:spacing w:after="0"/>
        <w:jc w:val="both"/>
        <w:rPr>
          <w:sz w:val="22"/>
          <w:szCs w:val="22"/>
          <w:lang w:val="en-GB"/>
        </w:rPr>
      </w:pPr>
    </w:p>
    <w:p w14:paraId="5E881E8C" w14:textId="6025D097" w:rsidR="009D4AA9" w:rsidRDefault="009D4AA9" w:rsidP="009A39DD">
      <w:pPr>
        <w:pStyle w:val="BodyText"/>
        <w:jc w:val="both"/>
        <w:rPr>
          <w:sz w:val="22"/>
          <w:szCs w:val="22"/>
          <w:lang w:val="en-GB"/>
        </w:rPr>
      </w:pPr>
      <w:r>
        <w:rPr>
          <w:sz w:val="22"/>
          <w:szCs w:val="22"/>
          <w:lang w:val="en-GB"/>
        </w:rPr>
        <w:t xml:space="preserve">Observers noted that the Competition Bureau would need to review the evidence to see if there was enough to bring a case against Tervita. It would need to have a recommendation based on solid economic theory. </w:t>
      </w:r>
    </w:p>
    <w:p w14:paraId="2873B0B9" w14:textId="77777777" w:rsidR="00E506B3" w:rsidRPr="00FF4D95" w:rsidRDefault="00DC3130" w:rsidP="00213FCC">
      <w:pPr>
        <w:pStyle w:val="BodyTextMain"/>
        <w:rPr>
          <w:lang w:val="en-GB"/>
        </w:rPr>
      </w:pPr>
      <w:r w:rsidRPr="00FF4D95">
        <w:rPr>
          <w:lang w:val="en-GB"/>
        </w:rPr>
        <w:br w:type="page"/>
      </w:r>
    </w:p>
    <w:p w14:paraId="794F7C86" w14:textId="77777777" w:rsidR="00DC3130" w:rsidRDefault="00DC3130" w:rsidP="00777980">
      <w:pPr>
        <w:pStyle w:val="Casehead1"/>
        <w:jc w:val="center"/>
        <w:rPr>
          <w:lang w:val="en-GB"/>
        </w:rPr>
      </w:pPr>
      <w:r w:rsidRPr="00FF4D95">
        <w:rPr>
          <w:lang w:val="en-GB"/>
        </w:rPr>
        <w:lastRenderedPageBreak/>
        <w:t>Exhibit 1</w:t>
      </w:r>
      <w:r w:rsidR="00777980" w:rsidRPr="00FF4D95">
        <w:rPr>
          <w:lang w:val="en-GB"/>
        </w:rPr>
        <w:t xml:space="preserve">: </w:t>
      </w:r>
      <w:r w:rsidR="004E3746" w:rsidRPr="00FF4D95">
        <w:rPr>
          <w:lang w:val="en-GB"/>
        </w:rPr>
        <w:t>The Landfill Sites and the Babkirk Site</w:t>
      </w:r>
    </w:p>
    <w:p w14:paraId="0DB08CF5" w14:textId="77777777" w:rsidR="00D0563C" w:rsidRDefault="00D0563C" w:rsidP="00777980">
      <w:pPr>
        <w:pStyle w:val="Casehead1"/>
        <w:jc w:val="center"/>
        <w:rPr>
          <w:lang w:val="en-GB"/>
        </w:rPr>
      </w:pPr>
    </w:p>
    <w:p w14:paraId="491C4BCD" w14:textId="4183ADB8" w:rsidR="00D0563C" w:rsidRPr="00FF4D95" w:rsidRDefault="00D0563C" w:rsidP="00777980">
      <w:pPr>
        <w:pStyle w:val="Casehead1"/>
        <w:jc w:val="center"/>
        <w:rPr>
          <w:b w:val="0"/>
          <w:lang w:val="en-GB"/>
        </w:rPr>
      </w:pPr>
      <w:r w:rsidRPr="001A7366">
        <w:rPr>
          <w:b w:val="0"/>
          <w:noProof/>
          <w:lang w:val="en-GB" w:eastAsia="en-GB"/>
        </w:rPr>
        <w:drawing>
          <wp:inline distT="0" distB="0" distL="0" distR="0" wp14:anchorId="73AC3CFD" wp14:editId="22B5378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blip>
                    <a:stretch>
                      <a:fillRect/>
                    </a:stretch>
                  </pic:blipFill>
                  <pic:spPr>
                    <a:xfrm>
                      <a:off x="0" y="0"/>
                      <a:ext cx="5943600" cy="3343275"/>
                    </a:xfrm>
                    <a:prstGeom prst="rect">
                      <a:avLst/>
                    </a:prstGeom>
                  </pic:spPr>
                </pic:pic>
              </a:graphicData>
            </a:graphic>
          </wp:inline>
        </w:drawing>
      </w:r>
    </w:p>
    <w:p w14:paraId="79692048" w14:textId="77777777" w:rsidR="004E3746" w:rsidRPr="00FF4D95" w:rsidRDefault="004E3746" w:rsidP="00777980">
      <w:pPr>
        <w:pStyle w:val="BodyTextMain"/>
        <w:rPr>
          <w:lang w:val="en-GB"/>
        </w:rPr>
      </w:pPr>
    </w:p>
    <w:p w14:paraId="052F145A" w14:textId="6444F564" w:rsidR="004E3746" w:rsidRPr="00FF4D95" w:rsidRDefault="004E3746" w:rsidP="00777980">
      <w:pPr>
        <w:pStyle w:val="FootnoteText1"/>
        <w:rPr>
          <w:lang w:val="en-GB"/>
        </w:rPr>
      </w:pPr>
      <w:r w:rsidRPr="00FF4D95">
        <w:rPr>
          <w:lang w:val="en-GB"/>
        </w:rPr>
        <w:t xml:space="preserve">Source: </w:t>
      </w:r>
      <w:r w:rsidR="00D31B3A">
        <w:rPr>
          <w:lang w:val="en-GB"/>
        </w:rPr>
        <w:t>Created by case authors.</w:t>
      </w:r>
    </w:p>
    <w:p w14:paraId="7A2C6E8C" w14:textId="77777777" w:rsidR="004E3746" w:rsidRPr="00FF4D95" w:rsidRDefault="004E3746" w:rsidP="00777980">
      <w:pPr>
        <w:pStyle w:val="BodyTextMain"/>
        <w:rPr>
          <w:lang w:val="en-GB"/>
        </w:rPr>
      </w:pPr>
    </w:p>
    <w:sectPr w:rsidR="004E3746" w:rsidRPr="00FF4D95" w:rsidSect="00751E0B">
      <w:headerReference w:type="default" r:id="rId13"/>
      <w:footerReference w:type="default" r:id="rId14"/>
      <w:endnotePr>
        <w:numFmt w:val="decimal"/>
      </w:endnotePr>
      <w:pgSz w:w="12240" w:h="15840" w:code="1"/>
      <w:pgMar w:top="1080" w:right="1440" w:bottom="1440" w:left="1440" w:header="108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12180" w15:done="0"/>
  <w15:commentEx w15:paraId="00A5B9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C411E" w14:textId="77777777" w:rsidR="00BE4A83" w:rsidRDefault="00BE4A83" w:rsidP="00D75295">
      <w:r>
        <w:separator/>
      </w:r>
    </w:p>
  </w:endnote>
  <w:endnote w:type="continuationSeparator" w:id="0">
    <w:p w14:paraId="3E3AB024" w14:textId="77777777" w:rsidR="00BE4A83" w:rsidRDefault="00BE4A8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B9D3B" w14:textId="77777777" w:rsidR="001F23EE" w:rsidRDefault="001F23EE">
    <w:pPr>
      <w:pStyle w:val="Footer"/>
      <w:jc w:val="right"/>
    </w:pPr>
  </w:p>
  <w:p w14:paraId="24EB9988" w14:textId="77777777" w:rsidR="001F23EE" w:rsidRDefault="001F2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304F54" w14:textId="77777777" w:rsidR="00BE4A83" w:rsidRDefault="00BE4A83" w:rsidP="00D75295">
      <w:r>
        <w:separator/>
      </w:r>
    </w:p>
  </w:footnote>
  <w:footnote w:type="continuationSeparator" w:id="0">
    <w:p w14:paraId="5B281804" w14:textId="77777777" w:rsidR="00BE4A83" w:rsidRDefault="00BE4A83" w:rsidP="00D75295">
      <w:r>
        <w:continuationSeparator/>
      </w:r>
    </w:p>
  </w:footnote>
  <w:footnote w:id="1">
    <w:p w14:paraId="19D01B15" w14:textId="07A4CE02" w:rsidR="00FC2383" w:rsidRDefault="00FC2383" w:rsidP="00AA19C2">
      <w:pPr>
        <w:pStyle w:val="FootnoteText1"/>
      </w:pPr>
      <w:r>
        <w:rPr>
          <w:rStyle w:val="FootnoteReference"/>
        </w:rPr>
        <w:footnoteRef/>
      </w:r>
      <w:r>
        <w:t xml:space="preserve"> This case has been written on the basis of published sources only. Consequently, the interpretation and perspectives presented in this case are not necessarily those of the Canadian Competition Bureau, CCS Corporation</w:t>
      </w:r>
      <w:r w:rsidR="00AA19C2">
        <w:t xml:space="preserve">, </w:t>
      </w:r>
      <w:r>
        <w:t>Complete Environmental Inc.</w:t>
      </w:r>
      <w:r w:rsidR="003F649E">
        <w:t>,</w:t>
      </w:r>
      <w:r w:rsidR="00AA19C2">
        <w:t xml:space="preserve"> </w:t>
      </w:r>
      <w:r>
        <w:t xml:space="preserve">or any of </w:t>
      </w:r>
      <w:r w:rsidR="00AA19C2">
        <w:t>their</w:t>
      </w:r>
      <w:r>
        <w:t xml:space="preserve"> employees.</w:t>
      </w:r>
    </w:p>
  </w:footnote>
  <w:footnote w:id="2">
    <w:p w14:paraId="6B1FF8EE" w14:textId="631A909F" w:rsidR="009D4AA9" w:rsidRPr="001A1BA8" w:rsidRDefault="009D4AA9" w:rsidP="001A1BA8">
      <w:pPr>
        <w:pStyle w:val="FootnoteText1"/>
      </w:pPr>
      <w:r w:rsidRPr="001A1BA8">
        <w:rPr>
          <w:rStyle w:val="FootnoteReference"/>
        </w:rPr>
        <w:footnoteRef/>
      </w:r>
      <w:r w:rsidRPr="001A1BA8">
        <w:t xml:space="preserve"> </w:t>
      </w:r>
      <w:r w:rsidR="001A1BA8" w:rsidRPr="001A1BA8">
        <w:t xml:space="preserve">“Archived—Competition Bureau Challenges BC Landfill Merger,” Government of Canada, January 26, 2011, accessed June 3, 2017, </w:t>
      </w:r>
      <w:r w:rsidRPr="00C86A31">
        <w:t>www.competitionbureau.gc.ca/eic/site/cb-bc.nsf/eng/03343.html</w:t>
      </w:r>
      <w:r w:rsidRPr="001A1BA8">
        <w:t>.</w:t>
      </w:r>
    </w:p>
  </w:footnote>
  <w:footnote w:id="3">
    <w:p w14:paraId="05F4249E" w14:textId="25C00860" w:rsidR="001F23EE" w:rsidRPr="00BD1778" w:rsidRDefault="001F23EE" w:rsidP="00777980">
      <w:pPr>
        <w:pStyle w:val="FootnoteText1"/>
        <w:rPr>
          <w:lang w:val="en-GB"/>
        </w:rPr>
      </w:pPr>
      <w:r w:rsidRPr="00BD1778">
        <w:rPr>
          <w:rStyle w:val="FootnoteReference"/>
          <w:lang w:val="en-GB"/>
        </w:rPr>
        <w:footnoteRef/>
      </w:r>
      <w:r w:rsidR="00B738B6">
        <w:rPr>
          <w:lang w:val="en-GB"/>
        </w:rPr>
        <w:t xml:space="preserve"> </w:t>
      </w:r>
      <w:r w:rsidRPr="00BD1778">
        <w:rPr>
          <w:lang w:val="en-GB"/>
        </w:rPr>
        <w:t xml:space="preserve">“What </w:t>
      </w:r>
      <w:r w:rsidR="006D7857" w:rsidRPr="00BD1778">
        <w:rPr>
          <w:lang w:val="en-GB"/>
        </w:rPr>
        <w:t>I</w:t>
      </w:r>
      <w:r w:rsidRPr="00BD1778">
        <w:rPr>
          <w:lang w:val="en-GB"/>
        </w:rPr>
        <w:t xml:space="preserve">s the Competition Act?” </w:t>
      </w:r>
      <w:r w:rsidR="000B0569" w:rsidRPr="00BD1778">
        <w:rPr>
          <w:lang w:val="en-GB"/>
        </w:rPr>
        <w:t xml:space="preserve">Competition Bureau of Canada, 2016, accessed June 21, 2016, </w:t>
      </w:r>
      <w:r w:rsidRPr="00BD1778">
        <w:rPr>
          <w:lang w:val="en-GB"/>
        </w:rPr>
        <w:t>www.competitionbureau.gc.ca/eic/site/cb-bc.nsf/eng/h_00148.html#competition.</w:t>
      </w:r>
    </w:p>
  </w:footnote>
  <w:footnote w:id="4">
    <w:p w14:paraId="022D6EBC" w14:textId="6F245917" w:rsidR="001F23EE" w:rsidRPr="00BD1778" w:rsidRDefault="001F23EE" w:rsidP="00777980">
      <w:pPr>
        <w:pStyle w:val="FootnoteText1"/>
        <w:rPr>
          <w:lang w:val="en-GB"/>
        </w:rPr>
      </w:pPr>
      <w:r w:rsidRPr="00BD1778">
        <w:rPr>
          <w:rStyle w:val="FootnoteReference"/>
          <w:lang w:val="en-GB"/>
        </w:rPr>
        <w:footnoteRef/>
      </w:r>
      <w:r w:rsidRPr="00BD1778">
        <w:rPr>
          <w:lang w:val="en-GB"/>
        </w:rPr>
        <w:t xml:space="preserve"> </w:t>
      </w:r>
      <w:r w:rsidR="000B0569" w:rsidRPr="00BD1778">
        <w:rPr>
          <w:lang w:val="en-GB"/>
        </w:rPr>
        <w:t>“</w:t>
      </w:r>
      <w:r w:rsidRPr="00BD1778">
        <w:rPr>
          <w:lang w:val="en-GB"/>
        </w:rPr>
        <w:t>Competition Act (R.S.C., 1985, c. C-34)</w:t>
      </w:r>
      <w:r w:rsidR="000B0569" w:rsidRPr="00BD1778">
        <w:rPr>
          <w:lang w:val="en-GB"/>
        </w:rPr>
        <w:t xml:space="preserve">,” Government of Canada, Justice Laws Acts, accessed June 21, 2016, </w:t>
      </w:r>
      <w:r w:rsidRPr="00BD1778">
        <w:rPr>
          <w:lang w:val="en-GB"/>
        </w:rPr>
        <w:t>www.laws.justice.gc.ca/eng/acts/C-34/FullText.html.</w:t>
      </w:r>
    </w:p>
  </w:footnote>
  <w:footnote w:id="5">
    <w:p w14:paraId="23FDD1A7" w14:textId="48309394" w:rsidR="001F23EE" w:rsidRPr="00BD1778" w:rsidRDefault="001F23EE" w:rsidP="00777980">
      <w:pPr>
        <w:pStyle w:val="FootnoteText1"/>
        <w:rPr>
          <w:lang w:val="en-GB"/>
        </w:rPr>
      </w:pPr>
      <w:r w:rsidRPr="00BD1778">
        <w:rPr>
          <w:rStyle w:val="FootnoteReference"/>
          <w:lang w:val="en-GB"/>
        </w:rPr>
        <w:footnoteRef/>
      </w:r>
      <w:r w:rsidRPr="00BD1778">
        <w:rPr>
          <w:lang w:val="en-GB"/>
        </w:rPr>
        <w:t xml:space="preserve"> </w:t>
      </w:r>
      <w:r w:rsidR="00B738B6">
        <w:rPr>
          <w:lang w:val="en-GB"/>
        </w:rPr>
        <w:t>Ibid.</w:t>
      </w:r>
    </w:p>
  </w:footnote>
  <w:footnote w:id="6">
    <w:p w14:paraId="5B60C5B7" w14:textId="77777777" w:rsidR="00905946" w:rsidRPr="00BD1778" w:rsidRDefault="00905946" w:rsidP="001A1BA8">
      <w:pPr>
        <w:pStyle w:val="FootnoteText1"/>
        <w:rPr>
          <w:lang w:val="en-GB"/>
        </w:rPr>
      </w:pPr>
      <w:r w:rsidRPr="00BD1778">
        <w:rPr>
          <w:rStyle w:val="FootnoteReference"/>
          <w:lang w:val="en-GB"/>
        </w:rPr>
        <w:footnoteRef/>
      </w:r>
      <w:r w:rsidRPr="00BD1778">
        <w:rPr>
          <w:lang w:val="en-GB"/>
        </w:rPr>
        <w:t xml:space="preserve"> All currency amounts are in Canadian dollars unless otherwise specified. </w:t>
      </w:r>
    </w:p>
  </w:footnote>
  <w:footnote w:id="7">
    <w:p w14:paraId="2A8DEA5A" w14:textId="633B6ED7" w:rsidR="001F23EE" w:rsidRPr="00BD1778" w:rsidRDefault="001F23EE" w:rsidP="00BD62ED">
      <w:pPr>
        <w:pStyle w:val="FootnoteText1"/>
        <w:rPr>
          <w:lang w:val="en-GB"/>
        </w:rPr>
      </w:pPr>
      <w:r w:rsidRPr="00BD1778">
        <w:rPr>
          <w:rStyle w:val="FootnoteReference"/>
          <w:lang w:val="en-GB"/>
        </w:rPr>
        <w:footnoteRef/>
      </w:r>
      <w:r w:rsidRPr="00BD1778">
        <w:rPr>
          <w:lang w:val="en-GB"/>
        </w:rPr>
        <w:t xml:space="preserve"> Michael Baye, </w:t>
      </w:r>
      <w:r w:rsidR="00E6520F">
        <w:rPr>
          <w:i/>
          <w:lang w:val="en-GB"/>
        </w:rPr>
        <w:t>“</w:t>
      </w:r>
      <w:r w:rsidR="00BD62ED">
        <w:rPr>
          <w:lang w:val="en-GB"/>
        </w:rPr>
        <w:t>Competition Tribunal – Between: The Commissioner of Competition and CCS Corporation, Complete Environmental Inc., Babkirk Land Services Inc., Karen Louise Baker, Ronald John Baker, Kenneth Scott Watson, Randy John Wolsey, and Thomas Craig Wolsey</w:t>
      </w:r>
      <w:r w:rsidR="00E6520F">
        <w:rPr>
          <w:lang w:val="en-GB"/>
        </w:rPr>
        <w:t>,”</w:t>
      </w:r>
      <w:r w:rsidR="00BD62ED">
        <w:rPr>
          <w:lang w:val="en-GB"/>
        </w:rPr>
        <w:t xml:space="preserve"> </w:t>
      </w:r>
      <w:r w:rsidRPr="00BD1778">
        <w:rPr>
          <w:lang w:val="en-GB"/>
        </w:rPr>
        <w:t>September 2011, 22.</w:t>
      </w:r>
    </w:p>
  </w:footnote>
  <w:footnote w:id="8">
    <w:p w14:paraId="2164559D" w14:textId="7B06DCA7" w:rsidR="001F23EE" w:rsidRPr="00BD1778" w:rsidRDefault="001F23EE" w:rsidP="00777980">
      <w:pPr>
        <w:pStyle w:val="FootnoteText1"/>
        <w:rPr>
          <w:lang w:val="en-GB"/>
        </w:rPr>
      </w:pPr>
      <w:r w:rsidRPr="00BD1778">
        <w:rPr>
          <w:rStyle w:val="FootnoteReference"/>
          <w:lang w:val="en-GB"/>
        </w:rPr>
        <w:footnoteRef/>
      </w:r>
      <w:r w:rsidRPr="00BD1778">
        <w:rPr>
          <w:lang w:val="en-GB"/>
        </w:rPr>
        <w:t xml:space="preserve"> </w:t>
      </w:r>
      <w:r w:rsidR="00E6520F">
        <w:rPr>
          <w:lang w:val="en-GB"/>
        </w:rPr>
        <w:t>Ibid</w:t>
      </w:r>
      <w:r w:rsidR="00A423B9">
        <w:rPr>
          <w:lang w:val="en-GB"/>
        </w:rPr>
        <w:t>.</w:t>
      </w:r>
      <w:r w:rsidR="00AE5942">
        <w:rPr>
          <w:lang w:val="en-GB"/>
        </w:rPr>
        <w:t>,</w:t>
      </w:r>
      <w:r w:rsidR="00A423B9">
        <w:rPr>
          <w:lang w:val="en-GB"/>
        </w:rPr>
        <w:t xml:space="preserve"> </w:t>
      </w:r>
      <w:r w:rsidRPr="00BD1778">
        <w:rPr>
          <w:lang w:val="en-GB"/>
        </w:rPr>
        <w:t>30.</w:t>
      </w:r>
    </w:p>
  </w:footnote>
  <w:footnote w:id="9">
    <w:p w14:paraId="2135367D" w14:textId="6E73FE9C" w:rsidR="001F23EE" w:rsidRPr="00BD1778" w:rsidRDefault="001F23EE" w:rsidP="00777980">
      <w:pPr>
        <w:pStyle w:val="FootnoteText1"/>
        <w:rPr>
          <w:lang w:val="en-GB"/>
        </w:rPr>
      </w:pPr>
      <w:r w:rsidRPr="00BD1778">
        <w:rPr>
          <w:rStyle w:val="FootnoteReference"/>
          <w:lang w:val="en-GB"/>
        </w:rPr>
        <w:footnoteRef/>
      </w:r>
      <w:r w:rsidR="00E6520F">
        <w:rPr>
          <w:lang w:val="en-GB"/>
        </w:rPr>
        <w:t xml:space="preserve"> Ibid</w:t>
      </w:r>
      <w:r w:rsidR="00A423B9">
        <w:rPr>
          <w:lang w:val="en-GB"/>
        </w:rPr>
        <w:t xml:space="preserve">., </w:t>
      </w:r>
      <w:r w:rsidRPr="00BD1778">
        <w:rPr>
          <w:lang w:val="en-GB"/>
        </w:rPr>
        <w:t>13</w:t>
      </w:r>
      <w:r w:rsidR="00506B53" w:rsidRPr="00BD1778">
        <w:rPr>
          <w:lang w:val="en-GB"/>
        </w:rPr>
        <w:t>–</w:t>
      </w:r>
      <w:r w:rsidRPr="00BD1778">
        <w:rPr>
          <w:lang w:val="en-GB"/>
        </w:rPr>
        <w:t>14</w:t>
      </w:r>
      <w:r w:rsidR="00E6520F">
        <w:rPr>
          <w:lang w:val="en-GB"/>
        </w:rPr>
        <w:t>.</w:t>
      </w:r>
    </w:p>
  </w:footnote>
  <w:footnote w:id="10">
    <w:p w14:paraId="117813B5" w14:textId="049B51FE" w:rsidR="001F23EE" w:rsidRPr="00BD1778" w:rsidRDefault="001F23EE" w:rsidP="00777980">
      <w:pPr>
        <w:pStyle w:val="FootnoteText1"/>
        <w:rPr>
          <w:lang w:val="en-GB"/>
        </w:rPr>
      </w:pPr>
      <w:r w:rsidRPr="00BD1778">
        <w:rPr>
          <w:rStyle w:val="FootnoteReference"/>
          <w:lang w:val="en-GB"/>
        </w:rPr>
        <w:footnoteRef/>
      </w:r>
      <w:r w:rsidRPr="00BD1778">
        <w:rPr>
          <w:lang w:val="en-GB"/>
        </w:rPr>
        <w:t xml:space="preserve"> </w:t>
      </w:r>
      <w:r w:rsidR="00491433">
        <w:rPr>
          <w:lang w:val="en-GB"/>
        </w:rPr>
        <w:t>Ibid.,</w:t>
      </w:r>
      <w:r w:rsidR="00A423B9">
        <w:rPr>
          <w:lang w:val="en-GB"/>
        </w:rPr>
        <w:t xml:space="preserve"> </w:t>
      </w:r>
      <w:r w:rsidRPr="00BD1778">
        <w:rPr>
          <w:lang w:val="en-GB"/>
        </w:rPr>
        <w:t>15.</w:t>
      </w:r>
    </w:p>
  </w:footnote>
  <w:footnote w:id="11">
    <w:p w14:paraId="4698C65E" w14:textId="1720E217" w:rsidR="001F23EE" w:rsidRPr="00BD1778" w:rsidRDefault="001F23EE" w:rsidP="00777980">
      <w:pPr>
        <w:pStyle w:val="FootnoteText1"/>
        <w:rPr>
          <w:lang w:val="en-GB"/>
        </w:rPr>
      </w:pPr>
      <w:r w:rsidRPr="00BD1778">
        <w:rPr>
          <w:rStyle w:val="FootnoteReference"/>
          <w:lang w:val="en-GB"/>
        </w:rPr>
        <w:footnoteRef/>
      </w:r>
      <w:r w:rsidRPr="00BD1778">
        <w:rPr>
          <w:lang w:val="en-GB"/>
        </w:rPr>
        <w:t xml:space="preserve"> </w:t>
      </w:r>
      <w:r w:rsidR="00491433">
        <w:rPr>
          <w:lang w:val="en-GB"/>
        </w:rPr>
        <w:t xml:space="preserve">Ibid., </w:t>
      </w:r>
      <w:r w:rsidRPr="00491433">
        <w:rPr>
          <w:lang w:val="en-GB"/>
        </w:rPr>
        <w:t>40</w:t>
      </w:r>
      <w:r w:rsidR="00506B53" w:rsidRPr="00BD1778">
        <w:rPr>
          <w:lang w:val="en-GB"/>
        </w:rPr>
        <w:t>–</w:t>
      </w:r>
      <w:r w:rsidRPr="00BD1778">
        <w:rPr>
          <w:lang w:val="en-GB"/>
        </w:rPr>
        <w:t>41.</w:t>
      </w:r>
    </w:p>
  </w:footnote>
  <w:footnote w:id="12">
    <w:p w14:paraId="6DFEE627" w14:textId="1017D559" w:rsidR="001F23EE" w:rsidRPr="00491433" w:rsidRDefault="001F23EE" w:rsidP="00777980">
      <w:pPr>
        <w:pStyle w:val="FootnoteText1"/>
        <w:rPr>
          <w:lang w:val="en-GB"/>
        </w:rPr>
      </w:pPr>
      <w:r w:rsidRPr="00BD1778">
        <w:rPr>
          <w:rStyle w:val="FootnoteReference"/>
          <w:lang w:val="en-GB"/>
        </w:rPr>
        <w:footnoteRef/>
      </w:r>
      <w:r w:rsidR="00491433">
        <w:rPr>
          <w:lang w:val="en-GB"/>
        </w:rPr>
        <w:t xml:space="preserve"> </w:t>
      </w:r>
      <w:r w:rsidR="00491433" w:rsidRPr="00491433">
        <w:rPr>
          <w:lang w:val="en-GB"/>
        </w:rPr>
        <w:t>Ibid.</w:t>
      </w:r>
      <w:r w:rsidR="00BD62ED" w:rsidRPr="001F79BE">
        <w:rPr>
          <w:lang w:val="en-GB"/>
        </w:rPr>
        <w:t>,</w:t>
      </w:r>
      <w:r w:rsidR="00CB4198" w:rsidRPr="00491433">
        <w:rPr>
          <w:lang w:val="en-GB"/>
        </w:rPr>
        <w:t>1</w:t>
      </w:r>
      <w:r w:rsidRPr="00491433">
        <w:rPr>
          <w:lang w:val="en-GB"/>
        </w:rPr>
        <w:t>.</w:t>
      </w:r>
    </w:p>
  </w:footnote>
  <w:footnote w:id="13">
    <w:p w14:paraId="66D0567C" w14:textId="09550DD8" w:rsidR="001F23EE" w:rsidRPr="00BD1778" w:rsidRDefault="001F23EE" w:rsidP="00777980">
      <w:pPr>
        <w:pStyle w:val="FootnoteText1"/>
        <w:rPr>
          <w:lang w:val="en-GB"/>
        </w:rPr>
      </w:pPr>
      <w:r w:rsidRPr="00BD1778">
        <w:rPr>
          <w:rStyle w:val="FootnoteReference"/>
          <w:lang w:val="en-GB"/>
        </w:rPr>
        <w:footnoteRef/>
      </w:r>
      <w:r w:rsidR="00491433">
        <w:rPr>
          <w:lang w:val="en-GB"/>
        </w:rPr>
        <w:t xml:space="preserve"> Ibid.</w:t>
      </w:r>
      <w:r w:rsidR="00BD62ED" w:rsidRPr="00BD62ED">
        <w:rPr>
          <w:i/>
          <w:lang w:val="en-GB"/>
        </w:rPr>
        <w:t xml:space="preserve">, </w:t>
      </w:r>
      <w:r w:rsidRPr="00BD1778">
        <w:rPr>
          <w:lang w:val="en-GB"/>
        </w:rPr>
        <w:t>37.</w:t>
      </w:r>
    </w:p>
  </w:footnote>
  <w:footnote w:id="14">
    <w:p w14:paraId="6192B7AD" w14:textId="228B9D49" w:rsidR="001F23EE" w:rsidRPr="00BD1778" w:rsidRDefault="001F23EE" w:rsidP="00777980">
      <w:pPr>
        <w:pStyle w:val="FootnoteText1"/>
        <w:rPr>
          <w:i/>
          <w:lang w:val="en-GB"/>
        </w:rPr>
      </w:pPr>
      <w:r w:rsidRPr="00BD1778">
        <w:rPr>
          <w:rStyle w:val="FootnoteReference"/>
          <w:lang w:val="en-GB"/>
        </w:rPr>
        <w:footnoteRef/>
      </w:r>
      <w:r w:rsidRPr="00BD1778">
        <w:rPr>
          <w:lang w:val="en-GB"/>
        </w:rPr>
        <w:t xml:space="preserve"> Land farming is a type of bioremediation, which entails introducing microbes into the soil mound and turning the soil every so often to aerate it in order for the microbes to </w:t>
      </w:r>
      <w:r w:rsidR="00C719D1" w:rsidRPr="00BD1778">
        <w:rPr>
          <w:lang w:val="en-GB"/>
        </w:rPr>
        <w:t>erode</w:t>
      </w:r>
      <w:r w:rsidRPr="00BD1778">
        <w:rPr>
          <w:lang w:val="en-GB"/>
        </w:rPr>
        <w:t xml:space="preserve"> the hazardous waste</w:t>
      </w:r>
      <w:r w:rsidR="00C719D1" w:rsidRPr="00BD1778">
        <w:rPr>
          <w:lang w:val="en-GB"/>
        </w:rPr>
        <w:t xml:space="preserve">; Government of Canada, </w:t>
      </w:r>
      <w:r w:rsidR="00C719D1" w:rsidRPr="00BD1778">
        <w:rPr>
          <w:i/>
          <w:lang w:val="en-GB"/>
        </w:rPr>
        <w:t>Federal Contaminated Sites Action Plan (FCSAP): Federal Guidelines for Landfarming Petroleum Hydorcarbon Contaminated Soils</w:t>
      </w:r>
      <w:r w:rsidR="00BD1778">
        <w:rPr>
          <w:i/>
          <w:lang w:val="en-GB"/>
        </w:rPr>
        <w:t>,</w:t>
      </w:r>
      <w:r w:rsidR="00C719D1" w:rsidRPr="00BD1778">
        <w:rPr>
          <w:lang w:val="en-GB"/>
        </w:rPr>
        <w:t xml:space="preserve"> March 2006, accessed May 6, 2017, www.federalcontaminatedsites.gc.ca/B15E990A-C0A8-4780-9124-07650F3A68EA/Landfarming_en.pdf.</w:t>
      </w:r>
      <w:r w:rsidR="00C719D1" w:rsidRPr="00BD1778">
        <w:rPr>
          <w:i/>
          <w:lang w:val="en-GB"/>
        </w:rPr>
        <w:t xml:space="preserve"> </w:t>
      </w:r>
    </w:p>
  </w:footnote>
  <w:footnote w:id="15">
    <w:p w14:paraId="549D3F83" w14:textId="4BFEF2EB" w:rsidR="001F23EE" w:rsidRPr="00BD1778" w:rsidRDefault="001F23EE" w:rsidP="00777980">
      <w:pPr>
        <w:pStyle w:val="FootnoteText1"/>
        <w:rPr>
          <w:lang w:val="en-GB"/>
        </w:rPr>
      </w:pPr>
      <w:r w:rsidRPr="00BD1778">
        <w:rPr>
          <w:rStyle w:val="FootnoteReference"/>
          <w:lang w:val="en-GB"/>
        </w:rPr>
        <w:footnoteRef/>
      </w:r>
      <w:r w:rsidR="00491433">
        <w:rPr>
          <w:lang w:val="en-GB"/>
        </w:rPr>
        <w:t xml:space="preserve"> Michael Baye, op. cit.</w:t>
      </w:r>
      <w:r w:rsidR="00BD62ED" w:rsidRPr="00BD62ED">
        <w:rPr>
          <w:i/>
          <w:lang w:val="en-GB"/>
        </w:rPr>
        <w:t xml:space="preserve">, </w:t>
      </w:r>
      <w:r w:rsidRPr="00BD1778">
        <w:rPr>
          <w:lang w:val="en-GB"/>
        </w:rPr>
        <w:t>36.</w:t>
      </w:r>
    </w:p>
  </w:footnote>
  <w:footnote w:id="16">
    <w:p w14:paraId="2F9A725C" w14:textId="3432F767" w:rsidR="001F23EE" w:rsidRPr="00BD1778" w:rsidRDefault="001F23EE" w:rsidP="00777980">
      <w:pPr>
        <w:pStyle w:val="FootnoteText1"/>
        <w:rPr>
          <w:lang w:val="en-GB"/>
        </w:rPr>
      </w:pPr>
      <w:r w:rsidRPr="00BD1778">
        <w:rPr>
          <w:rStyle w:val="FootnoteReference"/>
          <w:lang w:val="en-GB"/>
        </w:rPr>
        <w:footnoteRef/>
      </w:r>
      <w:r w:rsidRPr="00BD1778">
        <w:rPr>
          <w:lang w:val="en-GB"/>
        </w:rPr>
        <w:t xml:space="preserve"> </w:t>
      </w:r>
      <w:r w:rsidR="005F374B">
        <w:rPr>
          <w:lang w:val="en-GB"/>
        </w:rPr>
        <w:t>Ibid.</w:t>
      </w:r>
      <w:r w:rsidR="00A423B9">
        <w:rPr>
          <w:lang w:val="en-GB"/>
        </w:rPr>
        <w:t xml:space="preserve">, </w:t>
      </w:r>
      <w:r w:rsidRPr="00491433">
        <w:rPr>
          <w:lang w:val="en-GB"/>
        </w:rPr>
        <w:t>40</w:t>
      </w:r>
      <w:r w:rsidRPr="00BD1778">
        <w:rPr>
          <w:lang w:val="en-GB"/>
        </w:rPr>
        <w:t>.</w:t>
      </w:r>
    </w:p>
  </w:footnote>
  <w:footnote w:id="17">
    <w:p w14:paraId="5CFBEE28" w14:textId="13F6C473" w:rsidR="001F23EE" w:rsidRPr="00BD1778" w:rsidRDefault="001F23EE" w:rsidP="00777980">
      <w:pPr>
        <w:pStyle w:val="FootnoteText1"/>
        <w:rPr>
          <w:lang w:val="en-GB"/>
        </w:rPr>
      </w:pPr>
      <w:r w:rsidRPr="00BD1778">
        <w:rPr>
          <w:rStyle w:val="FootnoteReference"/>
          <w:lang w:val="en-GB"/>
        </w:rPr>
        <w:footnoteRef/>
      </w:r>
      <w:r w:rsidRPr="00BD1778">
        <w:rPr>
          <w:lang w:val="en-GB"/>
        </w:rPr>
        <w:t xml:space="preserve"> </w:t>
      </w:r>
      <w:r w:rsidR="005F374B">
        <w:rPr>
          <w:lang w:val="en-GB"/>
        </w:rPr>
        <w:t>Ibid.,</w:t>
      </w:r>
      <w:r w:rsidR="00491433">
        <w:rPr>
          <w:lang w:val="en-GB"/>
        </w:rPr>
        <w:t xml:space="preserve"> </w:t>
      </w:r>
      <w:r w:rsidRPr="00491433">
        <w:rPr>
          <w:lang w:val="en-GB"/>
        </w:rPr>
        <w:t>53</w:t>
      </w:r>
      <w:r w:rsidRPr="00BD1778">
        <w:rPr>
          <w:lang w:val="en-GB"/>
        </w:rPr>
        <w:t>.</w:t>
      </w:r>
    </w:p>
  </w:footnote>
  <w:footnote w:id="18">
    <w:p w14:paraId="47EC59AF" w14:textId="2384825A" w:rsidR="001F23EE" w:rsidRPr="00BD1778" w:rsidRDefault="001F23EE" w:rsidP="00777980">
      <w:pPr>
        <w:pStyle w:val="FootnoteText1"/>
        <w:rPr>
          <w:lang w:val="en-GB"/>
        </w:rPr>
      </w:pPr>
      <w:r w:rsidRPr="00BD1778">
        <w:rPr>
          <w:rStyle w:val="FootnoteReference"/>
          <w:lang w:val="en-GB"/>
        </w:rPr>
        <w:footnoteRef/>
      </w:r>
      <w:r w:rsidRPr="00BD1778">
        <w:rPr>
          <w:lang w:val="en-GB"/>
        </w:rPr>
        <w:t xml:space="preserve"> </w:t>
      </w:r>
      <w:r w:rsidR="005F374B">
        <w:rPr>
          <w:lang w:val="en-GB"/>
        </w:rPr>
        <w:t>Ibid.</w:t>
      </w:r>
      <w:r w:rsidR="00BD62ED" w:rsidRPr="00BD62ED">
        <w:rPr>
          <w:i/>
          <w:lang w:val="en-GB"/>
        </w:rPr>
        <w:t xml:space="preserve">, </w:t>
      </w:r>
      <w:r w:rsidRPr="00BD1778">
        <w:rPr>
          <w:lang w:val="en-GB"/>
        </w:rPr>
        <w:t>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23244" w14:textId="3E78E108" w:rsidR="001F23EE" w:rsidRDefault="001F23EE"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F649E">
      <w:rPr>
        <w:rFonts w:ascii="Arial" w:hAnsi="Arial"/>
        <w:b/>
        <w:noProof/>
      </w:rPr>
      <w:t>7</w:t>
    </w:r>
    <w:r>
      <w:rPr>
        <w:rFonts w:ascii="Arial" w:hAnsi="Arial"/>
        <w:b/>
      </w:rPr>
      <w:fldChar w:fldCharType="end"/>
    </w:r>
    <w:r>
      <w:rPr>
        <w:rFonts w:ascii="Arial" w:hAnsi="Arial"/>
        <w:b/>
      </w:rPr>
      <w:tab/>
    </w:r>
    <w:r w:rsidR="006D1D8F">
      <w:rPr>
        <w:rFonts w:ascii="Arial" w:hAnsi="Arial"/>
        <w:b/>
      </w:rPr>
      <w:t>9B17M121</w:t>
    </w:r>
  </w:p>
  <w:p w14:paraId="7FAF0662" w14:textId="77777777" w:rsidR="001F23EE" w:rsidRPr="00C92CC4" w:rsidRDefault="001F23EE" w:rsidP="00D13667">
    <w:pPr>
      <w:pStyle w:val="Header"/>
      <w:tabs>
        <w:tab w:val="clear" w:pos="4680"/>
      </w:tabs>
      <w:rPr>
        <w:sz w:val="18"/>
        <w:szCs w:val="18"/>
      </w:rPr>
    </w:pPr>
  </w:p>
  <w:p w14:paraId="7894D9D4" w14:textId="77777777" w:rsidR="001F23EE" w:rsidRPr="00C92CC4" w:rsidRDefault="001F23EE"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5F68930"/>
    <w:lvl w:ilvl="0">
      <w:start w:val="1"/>
      <w:numFmt w:val="decimal"/>
      <w:lvlText w:val="%1."/>
      <w:lvlJc w:val="left"/>
      <w:pPr>
        <w:tabs>
          <w:tab w:val="num" w:pos="1800"/>
        </w:tabs>
        <w:ind w:left="1800" w:hanging="360"/>
      </w:pPr>
    </w:lvl>
  </w:abstractNum>
  <w:abstractNum w:abstractNumId="1">
    <w:nsid w:val="FFFFFF7D"/>
    <w:multiLevelType w:val="singleLevel"/>
    <w:tmpl w:val="D2EEA6B6"/>
    <w:lvl w:ilvl="0">
      <w:start w:val="1"/>
      <w:numFmt w:val="decimal"/>
      <w:lvlText w:val="%1."/>
      <w:lvlJc w:val="left"/>
      <w:pPr>
        <w:tabs>
          <w:tab w:val="num" w:pos="1440"/>
        </w:tabs>
        <w:ind w:left="1440" w:hanging="360"/>
      </w:pPr>
    </w:lvl>
  </w:abstractNum>
  <w:abstractNum w:abstractNumId="2">
    <w:nsid w:val="FFFFFF7E"/>
    <w:multiLevelType w:val="singleLevel"/>
    <w:tmpl w:val="47D28FE2"/>
    <w:lvl w:ilvl="0">
      <w:start w:val="1"/>
      <w:numFmt w:val="decimal"/>
      <w:lvlText w:val="%1."/>
      <w:lvlJc w:val="left"/>
      <w:pPr>
        <w:tabs>
          <w:tab w:val="num" w:pos="1080"/>
        </w:tabs>
        <w:ind w:left="1080" w:hanging="360"/>
      </w:pPr>
    </w:lvl>
  </w:abstractNum>
  <w:abstractNum w:abstractNumId="3">
    <w:nsid w:val="FFFFFF7F"/>
    <w:multiLevelType w:val="singleLevel"/>
    <w:tmpl w:val="F47262DA"/>
    <w:lvl w:ilvl="0">
      <w:start w:val="1"/>
      <w:numFmt w:val="decimal"/>
      <w:lvlText w:val="%1."/>
      <w:lvlJc w:val="left"/>
      <w:pPr>
        <w:tabs>
          <w:tab w:val="num" w:pos="720"/>
        </w:tabs>
        <w:ind w:left="720" w:hanging="360"/>
      </w:pPr>
    </w:lvl>
  </w:abstractNum>
  <w:abstractNum w:abstractNumId="4">
    <w:nsid w:val="FFFFFF80"/>
    <w:multiLevelType w:val="singleLevel"/>
    <w:tmpl w:val="4AE461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AA426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63AC5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336BCB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48074E8"/>
    <w:lvl w:ilvl="0">
      <w:start w:val="1"/>
      <w:numFmt w:val="decimal"/>
      <w:lvlText w:val="%1."/>
      <w:lvlJc w:val="left"/>
      <w:pPr>
        <w:tabs>
          <w:tab w:val="num" w:pos="360"/>
        </w:tabs>
        <w:ind w:left="360" w:hanging="360"/>
      </w:pPr>
    </w:lvl>
  </w:abstractNum>
  <w:abstractNum w:abstractNumId="9">
    <w:nsid w:val="FFFFFF89"/>
    <w:multiLevelType w:val="singleLevel"/>
    <w:tmpl w:val="7FB83DA4"/>
    <w:lvl w:ilvl="0">
      <w:start w:val="1"/>
      <w:numFmt w:val="bullet"/>
      <w:lvlText w:val=""/>
      <w:lvlJc w:val="left"/>
      <w:pPr>
        <w:tabs>
          <w:tab w:val="num" w:pos="360"/>
        </w:tabs>
        <w:ind w:left="360" w:hanging="360"/>
      </w:pPr>
      <w:rPr>
        <w:rFonts w:ascii="Symbol" w:hAnsi="Symbol" w:hint="default"/>
      </w:rPr>
    </w:lvl>
  </w:abstractNum>
  <w:abstractNum w:abstractNumId="10">
    <w:nsid w:val="091520BF"/>
    <w:multiLevelType w:val="multilevel"/>
    <w:tmpl w:val="EC446B50"/>
    <w:lvl w:ilvl="0">
      <w:start w:val="1"/>
      <w:numFmt w:val="bullet"/>
      <w:lvlText w:val="●"/>
      <w:lvlJc w:val="left"/>
      <w:pPr>
        <w:ind w:left="720" w:firstLine="36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1">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4">
    <w:nsid w:val="50201E1D"/>
    <w:multiLevelType w:val="hybridMultilevel"/>
    <w:tmpl w:val="E9063E2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65715C"/>
    <w:multiLevelType w:val="hybridMultilevel"/>
    <w:tmpl w:val="09AC8AEC"/>
    <w:lvl w:ilvl="0" w:tplc="977E351E">
      <w:start w:val="2016"/>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5"/>
  </w:num>
  <w:num w:numId="4">
    <w:abstractNumId w:val="11"/>
  </w:num>
  <w:num w:numId="5">
    <w:abstractNumId w:val="13"/>
  </w:num>
  <w:num w:numId="6">
    <w:abstractNumId w:val="10"/>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K edit">
    <w15:presenceInfo w15:providerId="None" w15:userId="JK ed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57C0"/>
    <w:rsid w:val="0000760F"/>
    <w:rsid w:val="00013360"/>
    <w:rsid w:val="00016759"/>
    <w:rsid w:val="00020C31"/>
    <w:rsid w:val="000216CE"/>
    <w:rsid w:val="00025DC7"/>
    <w:rsid w:val="00032DBF"/>
    <w:rsid w:val="0003648E"/>
    <w:rsid w:val="000420C6"/>
    <w:rsid w:val="00044ECC"/>
    <w:rsid w:val="00052A7A"/>
    <w:rsid w:val="000531D3"/>
    <w:rsid w:val="0005646B"/>
    <w:rsid w:val="00057D19"/>
    <w:rsid w:val="0006422D"/>
    <w:rsid w:val="0008102D"/>
    <w:rsid w:val="000820D6"/>
    <w:rsid w:val="00093CE1"/>
    <w:rsid w:val="00094C0E"/>
    <w:rsid w:val="000A169E"/>
    <w:rsid w:val="000B0569"/>
    <w:rsid w:val="000B0EB4"/>
    <w:rsid w:val="000B515B"/>
    <w:rsid w:val="000B628D"/>
    <w:rsid w:val="000C657E"/>
    <w:rsid w:val="000D27E1"/>
    <w:rsid w:val="000F0C22"/>
    <w:rsid w:val="000F6B09"/>
    <w:rsid w:val="000F6FDC"/>
    <w:rsid w:val="001018D0"/>
    <w:rsid w:val="00102CB8"/>
    <w:rsid w:val="00104567"/>
    <w:rsid w:val="00104916"/>
    <w:rsid w:val="00104AA7"/>
    <w:rsid w:val="0010643B"/>
    <w:rsid w:val="00107874"/>
    <w:rsid w:val="00110869"/>
    <w:rsid w:val="00114BED"/>
    <w:rsid w:val="00116484"/>
    <w:rsid w:val="0012732D"/>
    <w:rsid w:val="0014019F"/>
    <w:rsid w:val="00143F25"/>
    <w:rsid w:val="00145308"/>
    <w:rsid w:val="00152682"/>
    <w:rsid w:val="00154FC9"/>
    <w:rsid w:val="001607D9"/>
    <w:rsid w:val="001858BB"/>
    <w:rsid w:val="001906A0"/>
    <w:rsid w:val="0019241A"/>
    <w:rsid w:val="0019260D"/>
    <w:rsid w:val="001A1BA8"/>
    <w:rsid w:val="001A4B48"/>
    <w:rsid w:val="001A7366"/>
    <w:rsid w:val="001A752D"/>
    <w:rsid w:val="001A757E"/>
    <w:rsid w:val="001B5032"/>
    <w:rsid w:val="001B6773"/>
    <w:rsid w:val="001D5CDB"/>
    <w:rsid w:val="001E364F"/>
    <w:rsid w:val="001E5E3C"/>
    <w:rsid w:val="001E617A"/>
    <w:rsid w:val="001F23EE"/>
    <w:rsid w:val="001F7833"/>
    <w:rsid w:val="001F79BE"/>
    <w:rsid w:val="002033FA"/>
    <w:rsid w:val="00203AA1"/>
    <w:rsid w:val="00213E98"/>
    <w:rsid w:val="00213FCC"/>
    <w:rsid w:val="00223271"/>
    <w:rsid w:val="00231EB0"/>
    <w:rsid w:val="002424BC"/>
    <w:rsid w:val="00256BE1"/>
    <w:rsid w:val="00276EAD"/>
    <w:rsid w:val="00277582"/>
    <w:rsid w:val="00280C6C"/>
    <w:rsid w:val="00287E31"/>
    <w:rsid w:val="002A6331"/>
    <w:rsid w:val="002C0299"/>
    <w:rsid w:val="002C0ED2"/>
    <w:rsid w:val="002D2C69"/>
    <w:rsid w:val="002D5240"/>
    <w:rsid w:val="002D6FFF"/>
    <w:rsid w:val="002F460C"/>
    <w:rsid w:val="002F48D6"/>
    <w:rsid w:val="00301229"/>
    <w:rsid w:val="00306F6F"/>
    <w:rsid w:val="003114AB"/>
    <w:rsid w:val="00316EBD"/>
    <w:rsid w:val="00317391"/>
    <w:rsid w:val="003206E1"/>
    <w:rsid w:val="00324F10"/>
    <w:rsid w:val="003259F5"/>
    <w:rsid w:val="00326216"/>
    <w:rsid w:val="003326EA"/>
    <w:rsid w:val="00336580"/>
    <w:rsid w:val="0034407B"/>
    <w:rsid w:val="0034752F"/>
    <w:rsid w:val="00354899"/>
    <w:rsid w:val="00355FD6"/>
    <w:rsid w:val="00357581"/>
    <w:rsid w:val="00357F71"/>
    <w:rsid w:val="00364A5C"/>
    <w:rsid w:val="00365FE5"/>
    <w:rsid w:val="00373FB1"/>
    <w:rsid w:val="00376085"/>
    <w:rsid w:val="00377EEB"/>
    <w:rsid w:val="00390940"/>
    <w:rsid w:val="00396C76"/>
    <w:rsid w:val="003A4277"/>
    <w:rsid w:val="003B30D8"/>
    <w:rsid w:val="003B3B79"/>
    <w:rsid w:val="003B6929"/>
    <w:rsid w:val="003B7EF2"/>
    <w:rsid w:val="003C3FA4"/>
    <w:rsid w:val="003D3474"/>
    <w:rsid w:val="003E3B9D"/>
    <w:rsid w:val="003F2B0C"/>
    <w:rsid w:val="003F5324"/>
    <w:rsid w:val="003F649E"/>
    <w:rsid w:val="00403E7C"/>
    <w:rsid w:val="004119B2"/>
    <w:rsid w:val="00413D15"/>
    <w:rsid w:val="00415675"/>
    <w:rsid w:val="004221E4"/>
    <w:rsid w:val="004273F8"/>
    <w:rsid w:val="004323B3"/>
    <w:rsid w:val="004355A3"/>
    <w:rsid w:val="00440E1C"/>
    <w:rsid w:val="00446546"/>
    <w:rsid w:val="00452769"/>
    <w:rsid w:val="0046161E"/>
    <w:rsid w:val="00467010"/>
    <w:rsid w:val="004716A3"/>
    <w:rsid w:val="00471C5A"/>
    <w:rsid w:val="00472E20"/>
    <w:rsid w:val="004904BE"/>
    <w:rsid w:val="00491433"/>
    <w:rsid w:val="004A7BC6"/>
    <w:rsid w:val="004B1CCB"/>
    <w:rsid w:val="004B632F"/>
    <w:rsid w:val="004D3FB1"/>
    <w:rsid w:val="004D6F21"/>
    <w:rsid w:val="004D73A5"/>
    <w:rsid w:val="004E31FA"/>
    <w:rsid w:val="004E3746"/>
    <w:rsid w:val="004F57D7"/>
    <w:rsid w:val="00506B53"/>
    <w:rsid w:val="00507DD3"/>
    <w:rsid w:val="005160F1"/>
    <w:rsid w:val="005200CD"/>
    <w:rsid w:val="0052024A"/>
    <w:rsid w:val="00524F2F"/>
    <w:rsid w:val="00527E5C"/>
    <w:rsid w:val="005302C2"/>
    <w:rsid w:val="00532CF5"/>
    <w:rsid w:val="005330B3"/>
    <w:rsid w:val="005528CB"/>
    <w:rsid w:val="005543BA"/>
    <w:rsid w:val="00557E00"/>
    <w:rsid w:val="00566771"/>
    <w:rsid w:val="005714E9"/>
    <w:rsid w:val="00573BCE"/>
    <w:rsid w:val="00575A2B"/>
    <w:rsid w:val="00581E2E"/>
    <w:rsid w:val="00583AF7"/>
    <w:rsid w:val="00584F15"/>
    <w:rsid w:val="00592DEC"/>
    <w:rsid w:val="00592EF0"/>
    <w:rsid w:val="0059514B"/>
    <w:rsid w:val="00597AA8"/>
    <w:rsid w:val="005A0842"/>
    <w:rsid w:val="005A08DA"/>
    <w:rsid w:val="005B61AB"/>
    <w:rsid w:val="005E29A7"/>
    <w:rsid w:val="005F374B"/>
    <w:rsid w:val="005F5A83"/>
    <w:rsid w:val="00602241"/>
    <w:rsid w:val="0060256E"/>
    <w:rsid w:val="0060373C"/>
    <w:rsid w:val="00605DC4"/>
    <w:rsid w:val="00610DD8"/>
    <w:rsid w:val="0061219B"/>
    <w:rsid w:val="00612495"/>
    <w:rsid w:val="006163F7"/>
    <w:rsid w:val="006167B2"/>
    <w:rsid w:val="00627C63"/>
    <w:rsid w:val="00630884"/>
    <w:rsid w:val="006370F6"/>
    <w:rsid w:val="00637887"/>
    <w:rsid w:val="00642C70"/>
    <w:rsid w:val="00645C77"/>
    <w:rsid w:val="00652606"/>
    <w:rsid w:val="00654AF9"/>
    <w:rsid w:val="00671D63"/>
    <w:rsid w:val="00686C6D"/>
    <w:rsid w:val="006925C0"/>
    <w:rsid w:val="006946EE"/>
    <w:rsid w:val="006A56D0"/>
    <w:rsid w:val="006A588F"/>
    <w:rsid w:val="006A58A9"/>
    <w:rsid w:val="006A606D"/>
    <w:rsid w:val="006B4628"/>
    <w:rsid w:val="006C0371"/>
    <w:rsid w:val="006C08B6"/>
    <w:rsid w:val="006C0B1A"/>
    <w:rsid w:val="006C6065"/>
    <w:rsid w:val="006C7F9F"/>
    <w:rsid w:val="006D1D8F"/>
    <w:rsid w:val="006D7857"/>
    <w:rsid w:val="006E2F6D"/>
    <w:rsid w:val="006E58F6"/>
    <w:rsid w:val="006E77E1"/>
    <w:rsid w:val="006F131D"/>
    <w:rsid w:val="00711642"/>
    <w:rsid w:val="007151DE"/>
    <w:rsid w:val="007250FD"/>
    <w:rsid w:val="0074243E"/>
    <w:rsid w:val="007507C6"/>
    <w:rsid w:val="00751E0B"/>
    <w:rsid w:val="00752BCD"/>
    <w:rsid w:val="00753712"/>
    <w:rsid w:val="00760869"/>
    <w:rsid w:val="00766549"/>
    <w:rsid w:val="00766DA1"/>
    <w:rsid w:val="00777980"/>
    <w:rsid w:val="0078048D"/>
    <w:rsid w:val="007866A6"/>
    <w:rsid w:val="00795A89"/>
    <w:rsid w:val="007A02A7"/>
    <w:rsid w:val="007A130D"/>
    <w:rsid w:val="007B7FA2"/>
    <w:rsid w:val="007D1A2D"/>
    <w:rsid w:val="007D26C2"/>
    <w:rsid w:val="007D4102"/>
    <w:rsid w:val="007E2CE0"/>
    <w:rsid w:val="007F43B7"/>
    <w:rsid w:val="00821410"/>
    <w:rsid w:val="00821F0D"/>
    <w:rsid w:val="00821FFC"/>
    <w:rsid w:val="008271CA"/>
    <w:rsid w:val="008467D5"/>
    <w:rsid w:val="008506A3"/>
    <w:rsid w:val="008513CD"/>
    <w:rsid w:val="008521CF"/>
    <w:rsid w:val="00864703"/>
    <w:rsid w:val="0087506D"/>
    <w:rsid w:val="00881305"/>
    <w:rsid w:val="008A205A"/>
    <w:rsid w:val="008A4DC4"/>
    <w:rsid w:val="008B0028"/>
    <w:rsid w:val="008B3391"/>
    <w:rsid w:val="008B438C"/>
    <w:rsid w:val="008B6C92"/>
    <w:rsid w:val="008B6FF3"/>
    <w:rsid w:val="008C75E1"/>
    <w:rsid w:val="008D20F8"/>
    <w:rsid w:val="008D3A46"/>
    <w:rsid w:val="008F6BDE"/>
    <w:rsid w:val="008F7869"/>
    <w:rsid w:val="009018C3"/>
    <w:rsid w:val="00905946"/>
    <w:rsid w:val="009067A4"/>
    <w:rsid w:val="00913B12"/>
    <w:rsid w:val="0091678C"/>
    <w:rsid w:val="00921356"/>
    <w:rsid w:val="00921448"/>
    <w:rsid w:val="00933D68"/>
    <w:rsid w:val="009340DB"/>
    <w:rsid w:val="0094618C"/>
    <w:rsid w:val="00950D31"/>
    <w:rsid w:val="00951D2D"/>
    <w:rsid w:val="00956593"/>
    <w:rsid w:val="0095684B"/>
    <w:rsid w:val="00967BA1"/>
    <w:rsid w:val="00972498"/>
    <w:rsid w:val="0097481F"/>
    <w:rsid w:val="00974CC6"/>
    <w:rsid w:val="00976AD4"/>
    <w:rsid w:val="00981D9D"/>
    <w:rsid w:val="00984937"/>
    <w:rsid w:val="00992229"/>
    <w:rsid w:val="00995547"/>
    <w:rsid w:val="009A0A79"/>
    <w:rsid w:val="009A312F"/>
    <w:rsid w:val="009A39DD"/>
    <w:rsid w:val="009A5348"/>
    <w:rsid w:val="009B0655"/>
    <w:rsid w:val="009B0AB7"/>
    <w:rsid w:val="009B51E9"/>
    <w:rsid w:val="009B751D"/>
    <w:rsid w:val="009C76D5"/>
    <w:rsid w:val="009D0AD0"/>
    <w:rsid w:val="009D4AA9"/>
    <w:rsid w:val="009E00AB"/>
    <w:rsid w:val="009E5F7B"/>
    <w:rsid w:val="009F2B63"/>
    <w:rsid w:val="009F7AA4"/>
    <w:rsid w:val="00A01F17"/>
    <w:rsid w:val="00A0269E"/>
    <w:rsid w:val="00A06F04"/>
    <w:rsid w:val="00A10AD7"/>
    <w:rsid w:val="00A12FD5"/>
    <w:rsid w:val="00A14793"/>
    <w:rsid w:val="00A156CE"/>
    <w:rsid w:val="00A16079"/>
    <w:rsid w:val="00A21267"/>
    <w:rsid w:val="00A221D8"/>
    <w:rsid w:val="00A423B9"/>
    <w:rsid w:val="00A559DB"/>
    <w:rsid w:val="00A62B4E"/>
    <w:rsid w:val="00A655D5"/>
    <w:rsid w:val="00A7137F"/>
    <w:rsid w:val="00A86825"/>
    <w:rsid w:val="00AA0AD2"/>
    <w:rsid w:val="00AA19C2"/>
    <w:rsid w:val="00AC3495"/>
    <w:rsid w:val="00AD4FB9"/>
    <w:rsid w:val="00AE104D"/>
    <w:rsid w:val="00AE5942"/>
    <w:rsid w:val="00AF00F3"/>
    <w:rsid w:val="00AF35FC"/>
    <w:rsid w:val="00AF548E"/>
    <w:rsid w:val="00AF5556"/>
    <w:rsid w:val="00B03639"/>
    <w:rsid w:val="00B0652A"/>
    <w:rsid w:val="00B11C3E"/>
    <w:rsid w:val="00B1246C"/>
    <w:rsid w:val="00B13B60"/>
    <w:rsid w:val="00B204AF"/>
    <w:rsid w:val="00B37EC9"/>
    <w:rsid w:val="00B40937"/>
    <w:rsid w:val="00B423EF"/>
    <w:rsid w:val="00B45269"/>
    <w:rsid w:val="00B453DE"/>
    <w:rsid w:val="00B45B37"/>
    <w:rsid w:val="00B56759"/>
    <w:rsid w:val="00B62BA8"/>
    <w:rsid w:val="00B738B6"/>
    <w:rsid w:val="00B75B9A"/>
    <w:rsid w:val="00B81E48"/>
    <w:rsid w:val="00B84ED7"/>
    <w:rsid w:val="00B901F9"/>
    <w:rsid w:val="00BB36B7"/>
    <w:rsid w:val="00BC51F1"/>
    <w:rsid w:val="00BD047A"/>
    <w:rsid w:val="00BD1778"/>
    <w:rsid w:val="00BD62ED"/>
    <w:rsid w:val="00BD6EFB"/>
    <w:rsid w:val="00BE4A83"/>
    <w:rsid w:val="00BF158C"/>
    <w:rsid w:val="00BF6BE3"/>
    <w:rsid w:val="00C1114B"/>
    <w:rsid w:val="00C1584D"/>
    <w:rsid w:val="00C15BE2"/>
    <w:rsid w:val="00C317D1"/>
    <w:rsid w:val="00C3447F"/>
    <w:rsid w:val="00C379D7"/>
    <w:rsid w:val="00C545DD"/>
    <w:rsid w:val="00C574A9"/>
    <w:rsid w:val="00C60AAB"/>
    <w:rsid w:val="00C64832"/>
    <w:rsid w:val="00C67422"/>
    <w:rsid w:val="00C70918"/>
    <w:rsid w:val="00C719D1"/>
    <w:rsid w:val="00C81491"/>
    <w:rsid w:val="00C81676"/>
    <w:rsid w:val="00C85C5D"/>
    <w:rsid w:val="00C86A31"/>
    <w:rsid w:val="00C8737B"/>
    <w:rsid w:val="00C92CC4"/>
    <w:rsid w:val="00C967D9"/>
    <w:rsid w:val="00CA0AFB"/>
    <w:rsid w:val="00CA1FFF"/>
    <w:rsid w:val="00CA2CE1"/>
    <w:rsid w:val="00CA37EE"/>
    <w:rsid w:val="00CA3976"/>
    <w:rsid w:val="00CA50E3"/>
    <w:rsid w:val="00CA757B"/>
    <w:rsid w:val="00CB4198"/>
    <w:rsid w:val="00CB6C7A"/>
    <w:rsid w:val="00CC1787"/>
    <w:rsid w:val="00CC182C"/>
    <w:rsid w:val="00CC4449"/>
    <w:rsid w:val="00CD0824"/>
    <w:rsid w:val="00CD2908"/>
    <w:rsid w:val="00CD6C10"/>
    <w:rsid w:val="00CE5A43"/>
    <w:rsid w:val="00CE6AE1"/>
    <w:rsid w:val="00CE7CAE"/>
    <w:rsid w:val="00CF363C"/>
    <w:rsid w:val="00CF4C45"/>
    <w:rsid w:val="00D03A82"/>
    <w:rsid w:val="00D0563C"/>
    <w:rsid w:val="00D13667"/>
    <w:rsid w:val="00D15344"/>
    <w:rsid w:val="00D17976"/>
    <w:rsid w:val="00D2031B"/>
    <w:rsid w:val="00D2479E"/>
    <w:rsid w:val="00D25647"/>
    <w:rsid w:val="00D31579"/>
    <w:rsid w:val="00D316D5"/>
    <w:rsid w:val="00D31B3A"/>
    <w:rsid w:val="00D31BEC"/>
    <w:rsid w:val="00D32779"/>
    <w:rsid w:val="00D34BBB"/>
    <w:rsid w:val="00D56634"/>
    <w:rsid w:val="00D600C3"/>
    <w:rsid w:val="00D63150"/>
    <w:rsid w:val="00D636BA"/>
    <w:rsid w:val="00D64A32"/>
    <w:rsid w:val="00D64E4B"/>
    <w:rsid w:val="00D64EFC"/>
    <w:rsid w:val="00D74E2E"/>
    <w:rsid w:val="00D75295"/>
    <w:rsid w:val="00D76CE9"/>
    <w:rsid w:val="00D864B5"/>
    <w:rsid w:val="00D97F12"/>
    <w:rsid w:val="00DA6095"/>
    <w:rsid w:val="00DB1BEA"/>
    <w:rsid w:val="00DB396F"/>
    <w:rsid w:val="00DB42E7"/>
    <w:rsid w:val="00DC3130"/>
    <w:rsid w:val="00DC3E0F"/>
    <w:rsid w:val="00DD110C"/>
    <w:rsid w:val="00DE01A6"/>
    <w:rsid w:val="00DE7A98"/>
    <w:rsid w:val="00DF2FB7"/>
    <w:rsid w:val="00DF32C2"/>
    <w:rsid w:val="00E22FF5"/>
    <w:rsid w:val="00E25159"/>
    <w:rsid w:val="00E26701"/>
    <w:rsid w:val="00E32305"/>
    <w:rsid w:val="00E34396"/>
    <w:rsid w:val="00E3516A"/>
    <w:rsid w:val="00E40740"/>
    <w:rsid w:val="00E471A7"/>
    <w:rsid w:val="00E506B3"/>
    <w:rsid w:val="00E548FF"/>
    <w:rsid w:val="00E635CF"/>
    <w:rsid w:val="00E6520F"/>
    <w:rsid w:val="00E6570C"/>
    <w:rsid w:val="00E75D69"/>
    <w:rsid w:val="00E7699B"/>
    <w:rsid w:val="00E76B2F"/>
    <w:rsid w:val="00EA4ED7"/>
    <w:rsid w:val="00EB4340"/>
    <w:rsid w:val="00EC0BFF"/>
    <w:rsid w:val="00EC1D11"/>
    <w:rsid w:val="00EC6E0A"/>
    <w:rsid w:val="00ED3F41"/>
    <w:rsid w:val="00ED4E18"/>
    <w:rsid w:val="00EE1F37"/>
    <w:rsid w:val="00F0159C"/>
    <w:rsid w:val="00F105B7"/>
    <w:rsid w:val="00F13220"/>
    <w:rsid w:val="00F15140"/>
    <w:rsid w:val="00F17A21"/>
    <w:rsid w:val="00F20A5D"/>
    <w:rsid w:val="00F3073C"/>
    <w:rsid w:val="00F34CAA"/>
    <w:rsid w:val="00F35E6F"/>
    <w:rsid w:val="00F37B27"/>
    <w:rsid w:val="00F46556"/>
    <w:rsid w:val="00F50E91"/>
    <w:rsid w:val="00F57155"/>
    <w:rsid w:val="00F57D29"/>
    <w:rsid w:val="00F644F3"/>
    <w:rsid w:val="00F71FC5"/>
    <w:rsid w:val="00F7418E"/>
    <w:rsid w:val="00F85BE0"/>
    <w:rsid w:val="00F85F28"/>
    <w:rsid w:val="00F90CF8"/>
    <w:rsid w:val="00F91C51"/>
    <w:rsid w:val="00F96201"/>
    <w:rsid w:val="00FA3953"/>
    <w:rsid w:val="00FA5DD3"/>
    <w:rsid w:val="00FB0C88"/>
    <w:rsid w:val="00FC05CC"/>
    <w:rsid w:val="00FC2383"/>
    <w:rsid w:val="00FC4E7D"/>
    <w:rsid w:val="00FD0B18"/>
    <w:rsid w:val="00FD2D1A"/>
    <w:rsid w:val="00FD2FAD"/>
    <w:rsid w:val="00FE3838"/>
    <w:rsid w:val="00FE714F"/>
    <w:rsid w:val="00FF4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955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777980"/>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styleId="Revision">
    <w:name w:val="Revision"/>
    <w:hidden/>
    <w:uiPriority w:val="99"/>
    <w:semiHidden/>
    <w:rsid w:val="00557E00"/>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DC3130"/>
    <w:pPr>
      <w:jc w:val="both"/>
    </w:pPr>
    <w:rPr>
      <w:rFonts w:ascii="Arial" w:hAnsi="Arial"/>
      <w:b/>
      <w:caps/>
    </w:rPr>
  </w:style>
  <w:style w:type="character" w:customStyle="1" w:styleId="citation">
    <w:name w:val="citation"/>
    <w:rsid w:val="00DC3130"/>
  </w:style>
  <w:style w:type="character" w:customStyle="1" w:styleId="reference-accessdate">
    <w:name w:val="reference-accessdate"/>
    <w:rsid w:val="00DC31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777980"/>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styleId="Revision">
    <w:name w:val="Revision"/>
    <w:hidden/>
    <w:uiPriority w:val="99"/>
    <w:semiHidden/>
    <w:rsid w:val="00557E00"/>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DC3130"/>
    <w:pPr>
      <w:jc w:val="both"/>
    </w:pPr>
    <w:rPr>
      <w:rFonts w:ascii="Arial" w:hAnsi="Arial"/>
      <w:b/>
      <w:caps/>
    </w:rPr>
  </w:style>
  <w:style w:type="character" w:customStyle="1" w:styleId="citation">
    <w:name w:val="citation"/>
    <w:rsid w:val="00DC3130"/>
  </w:style>
  <w:style w:type="character" w:customStyle="1" w:styleId="reference-accessdate">
    <w:name w:val="reference-accessdate"/>
    <w:rsid w:val="00DC3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64201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DC8FF-D7BF-49B0-AE14-BBAE78D22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9</cp:revision>
  <cp:lastPrinted>2017-07-18T23:23:00Z</cp:lastPrinted>
  <dcterms:created xsi:type="dcterms:W3CDTF">2017-08-08T14:50:00Z</dcterms:created>
  <dcterms:modified xsi:type="dcterms:W3CDTF">2017-08-17T18:23:00Z</dcterms:modified>
</cp:coreProperties>
</file>