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49F6F" w14:textId="5B7A9D54" w:rsidR="007D1A2D" w:rsidRPr="00981F74" w:rsidRDefault="00910E21" w:rsidP="008467D5">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GB" w:eastAsia="en-GB"/>
        </w:rPr>
        <w:drawing>
          <wp:inline distT="0" distB="0" distL="0" distR="0" wp14:anchorId="09F2832D" wp14:editId="379EF8CA">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B5542D5" w14:textId="77777777" w:rsidR="00F13220" w:rsidRPr="00981F74" w:rsidRDefault="00F13220" w:rsidP="008467D5">
      <w:pPr>
        <w:pBdr>
          <w:bottom w:val="single" w:sz="18" w:space="1" w:color="auto"/>
        </w:pBdr>
        <w:tabs>
          <w:tab w:val="left" w:pos="-1440"/>
          <w:tab w:val="left" w:pos="-720"/>
          <w:tab w:val="left" w:pos="1"/>
        </w:tabs>
        <w:jc w:val="both"/>
        <w:rPr>
          <w:rFonts w:ascii="Arial" w:hAnsi="Arial"/>
          <w:b/>
          <w:sz w:val="24"/>
          <w:lang w:val="en-GB"/>
        </w:rPr>
      </w:pPr>
    </w:p>
    <w:p w14:paraId="40F1D998" w14:textId="27CCB3CD" w:rsidR="00D75295" w:rsidRPr="00981F74" w:rsidRDefault="00910E21" w:rsidP="00F105B7">
      <w:pPr>
        <w:pStyle w:val="ProductNumber"/>
        <w:rPr>
          <w:lang w:val="en-GB"/>
        </w:rPr>
      </w:pPr>
      <w:r>
        <w:rPr>
          <w:lang w:val="en-GB"/>
        </w:rPr>
        <w:t>9B17M122</w:t>
      </w:r>
    </w:p>
    <w:p w14:paraId="19356B92" w14:textId="77777777" w:rsidR="00D75295" w:rsidRPr="00981F74" w:rsidRDefault="00D75295" w:rsidP="00D75295">
      <w:pPr>
        <w:jc w:val="right"/>
        <w:rPr>
          <w:rFonts w:ascii="Arial" w:hAnsi="Arial"/>
          <w:b/>
          <w:sz w:val="28"/>
          <w:szCs w:val="28"/>
          <w:lang w:val="en-GB"/>
        </w:rPr>
      </w:pPr>
    </w:p>
    <w:p w14:paraId="316C813A" w14:textId="77777777" w:rsidR="00013360" w:rsidRPr="00981F74" w:rsidRDefault="00013360" w:rsidP="00D75295">
      <w:pPr>
        <w:jc w:val="right"/>
        <w:rPr>
          <w:rFonts w:ascii="Arial" w:hAnsi="Arial"/>
          <w:b/>
          <w:sz w:val="28"/>
          <w:szCs w:val="28"/>
          <w:lang w:val="en-GB"/>
        </w:rPr>
      </w:pPr>
    </w:p>
    <w:p w14:paraId="2AA668F6" w14:textId="796CA52D" w:rsidR="00CA3976" w:rsidRPr="00981F74" w:rsidRDefault="00B62BA8" w:rsidP="00013360">
      <w:pPr>
        <w:pStyle w:val="CaseTitle"/>
        <w:spacing w:after="0" w:line="240" w:lineRule="auto"/>
        <w:rPr>
          <w:rFonts w:eastAsia="Arial"/>
          <w:lang w:val="en-GB"/>
        </w:rPr>
      </w:pPr>
      <w:r w:rsidRPr="00981F74">
        <w:rPr>
          <w:rFonts w:eastAsia="Arial"/>
          <w:lang w:val="en-GB"/>
        </w:rPr>
        <w:t>Tervita</w:t>
      </w:r>
      <w:r w:rsidR="00BF6EA7" w:rsidRPr="00981F74">
        <w:rPr>
          <w:rFonts w:eastAsia="Arial"/>
          <w:lang w:val="en-GB"/>
        </w:rPr>
        <w:t xml:space="preserve">’s </w:t>
      </w:r>
      <w:r w:rsidR="002D2C69" w:rsidRPr="00981F74">
        <w:rPr>
          <w:rFonts w:eastAsia="Arial"/>
          <w:lang w:val="en-GB"/>
        </w:rPr>
        <w:t>ACQUISITION OF COMPLETE ENVIRONMENTAL INC.</w:t>
      </w:r>
      <w:r w:rsidR="000D5C0F" w:rsidRPr="00981F74">
        <w:rPr>
          <w:rFonts w:eastAsia="Arial"/>
          <w:lang w:val="en-GB"/>
        </w:rPr>
        <w:t xml:space="preserve"> (B)</w:t>
      </w:r>
      <w:r w:rsidR="00C84B99">
        <w:rPr>
          <w:rStyle w:val="FootnoteReference"/>
          <w:rFonts w:eastAsia="Arial"/>
          <w:lang w:val="en-GB"/>
        </w:rPr>
        <w:footnoteReference w:id="1"/>
      </w:r>
    </w:p>
    <w:p w14:paraId="4D156581" w14:textId="77777777" w:rsidR="00EB4340" w:rsidRPr="00981F74" w:rsidRDefault="00EB4340" w:rsidP="00013360">
      <w:pPr>
        <w:pStyle w:val="CaseTitle"/>
        <w:spacing w:after="0" w:line="240" w:lineRule="auto"/>
        <w:rPr>
          <w:sz w:val="20"/>
          <w:szCs w:val="20"/>
          <w:lang w:val="en-GB"/>
        </w:rPr>
      </w:pPr>
    </w:p>
    <w:p w14:paraId="48E3F249" w14:textId="77777777" w:rsidR="00013360" w:rsidRPr="00981F74" w:rsidRDefault="00013360" w:rsidP="00013360">
      <w:pPr>
        <w:pStyle w:val="CaseTitle"/>
        <w:spacing w:after="0" w:line="240" w:lineRule="auto"/>
        <w:rPr>
          <w:sz w:val="20"/>
          <w:szCs w:val="20"/>
          <w:lang w:val="en-GB"/>
        </w:rPr>
      </w:pPr>
    </w:p>
    <w:p w14:paraId="6BD2ADFD" w14:textId="6F752BD2" w:rsidR="00627C63" w:rsidRPr="00981F74" w:rsidRDefault="007151DE" w:rsidP="00627C63">
      <w:pPr>
        <w:pStyle w:val="StyleCopyrightStatementAfter0ptBottomSinglesolidline1"/>
        <w:rPr>
          <w:lang w:val="en-GB"/>
        </w:rPr>
      </w:pPr>
      <w:r w:rsidRPr="00981F74">
        <w:rPr>
          <w:lang w:val="en-GB"/>
        </w:rPr>
        <w:t>Ken Mark</w:t>
      </w:r>
      <w:r w:rsidR="004B632F" w:rsidRPr="00981F74">
        <w:rPr>
          <w:lang w:val="en-GB"/>
        </w:rPr>
        <w:t xml:space="preserve"> wrote this </w:t>
      </w:r>
      <w:r w:rsidR="00152682" w:rsidRPr="00981F74">
        <w:rPr>
          <w:lang w:val="en-GB"/>
        </w:rPr>
        <w:t>case</w:t>
      </w:r>
      <w:r w:rsidR="004B632F" w:rsidRPr="00981F74">
        <w:rPr>
          <w:lang w:val="en-GB"/>
        </w:rPr>
        <w:t xml:space="preserve"> </w:t>
      </w:r>
      <w:r w:rsidR="00751E0B" w:rsidRPr="00981F74">
        <w:rPr>
          <w:lang w:val="en-GB"/>
        </w:rPr>
        <w:t xml:space="preserve">under the supervision of </w:t>
      </w:r>
      <w:r w:rsidR="00297FC5">
        <w:rPr>
          <w:lang w:val="en-GB"/>
        </w:rPr>
        <w:t xml:space="preserve">Professor </w:t>
      </w:r>
      <w:r w:rsidR="00B62BA8" w:rsidRPr="00981F74">
        <w:rPr>
          <w:lang w:val="en-GB"/>
        </w:rPr>
        <w:t>Brandon Schaufele</w:t>
      </w:r>
      <w:r w:rsidR="00751E0B" w:rsidRPr="00981F74">
        <w:rPr>
          <w:lang w:val="en-GB"/>
        </w:rPr>
        <w:t xml:space="preserve"> </w:t>
      </w:r>
      <w:r w:rsidR="00152682" w:rsidRPr="00981F74">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0C69AA17" w14:textId="77777777" w:rsidR="00751E0B" w:rsidRPr="00981F74" w:rsidRDefault="00751E0B" w:rsidP="00751E0B">
      <w:pPr>
        <w:pStyle w:val="StyleCopyrightStatementAfter0ptBottomSinglesolidline1"/>
        <w:rPr>
          <w:lang w:val="en-GB"/>
        </w:rPr>
      </w:pPr>
    </w:p>
    <w:p w14:paraId="4CAEEC7A" w14:textId="134B3455" w:rsidR="000354F6" w:rsidRPr="00981F74" w:rsidRDefault="00910E21" w:rsidP="00751E0B">
      <w:pPr>
        <w:pStyle w:val="StyleCopyrightStatementAfter0ptBottomSinglesolidline1"/>
        <w:rPr>
          <w:lang w:val="en-GB"/>
        </w:rPr>
      </w:pPr>
      <w:r w:rsidRPr="00E23AB7">
        <w:t>This publication may not be transmitted, photocopied, digitized</w:t>
      </w:r>
      <w:r>
        <w:t>,</w:t>
      </w:r>
      <w:r w:rsidRPr="00E23AB7">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t>cases@ivey.ca</w:t>
        </w:r>
      </w:hyperlink>
      <w:r w:rsidRPr="00E23AB7">
        <w:t xml:space="preserve">; </w:t>
      </w:r>
      <w:hyperlink r:id="rId11" w:history="1">
        <w:r w:rsidRPr="00E23AB7">
          <w:t>www.iveycases.com</w:t>
        </w:r>
      </w:hyperlink>
      <w:r w:rsidRPr="00E23AB7">
        <w:t>.</w:t>
      </w:r>
    </w:p>
    <w:p w14:paraId="6C59B649" w14:textId="77777777" w:rsidR="000354F6" w:rsidRPr="00981F74" w:rsidRDefault="000354F6" w:rsidP="00751E0B">
      <w:pPr>
        <w:pStyle w:val="StyleCopyrightStatementAfter0ptBottomSinglesolidline1"/>
        <w:rPr>
          <w:lang w:val="en-GB"/>
        </w:rPr>
      </w:pPr>
    </w:p>
    <w:p w14:paraId="48B30E1F" w14:textId="7685D699" w:rsidR="00751E0B" w:rsidRPr="00981F74" w:rsidRDefault="00751E0B" w:rsidP="00751E0B">
      <w:pPr>
        <w:pStyle w:val="StyleStyleCopyrightStatementAfter0ptBottomSinglesolid"/>
        <w:rPr>
          <w:lang w:val="en-GB"/>
        </w:rPr>
      </w:pPr>
      <w:r w:rsidRPr="00981F74">
        <w:rPr>
          <w:lang w:val="en-GB"/>
        </w:rPr>
        <w:t>Copyright © 20</w:t>
      </w:r>
      <w:r w:rsidR="003B6929" w:rsidRPr="00981F74">
        <w:rPr>
          <w:lang w:val="en-GB"/>
        </w:rPr>
        <w:t>1</w:t>
      </w:r>
      <w:r w:rsidR="00910E21">
        <w:rPr>
          <w:lang w:val="en-GB"/>
        </w:rPr>
        <w:t>7</w:t>
      </w:r>
      <w:r w:rsidRPr="00981F74">
        <w:rPr>
          <w:lang w:val="en-GB"/>
        </w:rPr>
        <w:t>, Richard Ivey School of Business Foundation</w:t>
      </w:r>
      <w:r w:rsidRPr="00981F74">
        <w:rPr>
          <w:lang w:val="en-GB"/>
        </w:rPr>
        <w:tab/>
        <w:t>Version: 20</w:t>
      </w:r>
      <w:r w:rsidR="0003648E" w:rsidRPr="00981F74">
        <w:rPr>
          <w:lang w:val="en-GB"/>
        </w:rPr>
        <w:t>1</w:t>
      </w:r>
      <w:r w:rsidR="00910E21">
        <w:rPr>
          <w:lang w:val="en-GB"/>
        </w:rPr>
        <w:t>7</w:t>
      </w:r>
      <w:r w:rsidR="00EB4340" w:rsidRPr="00981F74">
        <w:rPr>
          <w:lang w:val="en-GB"/>
        </w:rPr>
        <w:t>-</w:t>
      </w:r>
      <w:r w:rsidR="00910E21">
        <w:rPr>
          <w:lang w:val="en-GB"/>
        </w:rPr>
        <w:t>08</w:t>
      </w:r>
      <w:r w:rsidR="00A01F17" w:rsidRPr="00981F74">
        <w:rPr>
          <w:lang w:val="en-GB"/>
        </w:rPr>
        <w:t>-</w:t>
      </w:r>
      <w:r w:rsidR="00C84B99">
        <w:rPr>
          <w:lang w:val="en-GB"/>
        </w:rPr>
        <w:t>17</w:t>
      </w:r>
    </w:p>
    <w:p w14:paraId="1831A1FE" w14:textId="77777777" w:rsidR="00751E0B" w:rsidRPr="00981F74" w:rsidRDefault="00751E0B" w:rsidP="00751E0B">
      <w:pPr>
        <w:pStyle w:val="StyleCopyrightStatementAfter0ptBottomSinglesolidline1"/>
        <w:rPr>
          <w:rFonts w:ascii="Times New Roman" w:hAnsi="Times New Roman"/>
          <w:sz w:val="20"/>
          <w:lang w:val="en-GB"/>
        </w:rPr>
      </w:pPr>
    </w:p>
    <w:p w14:paraId="432041E0" w14:textId="77777777" w:rsidR="004B632F" w:rsidRPr="00981F74" w:rsidRDefault="004B632F" w:rsidP="004B632F">
      <w:pPr>
        <w:pStyle w:val="StyleCopyrightStatementAfter0ptBottomSinglesolidline1"/>
        <w:rPr>
          <w:rFonts w:ascii="Times New Roman" w:hAnsi="Times New Roman"/>
          <w:sz w:val="20"/>
          <w:lang w:val="en-GB"/>
        </w:rPr>
      </w:pPr>
    </w:p>
    <w:p w14:paraId="478BF57B" w14:textId="575F2DCB" w:rsidR="00A0269E" w:rsidRPr="00981F74" w:rsidRDefault="00CA1FFF" w:rsidP="006112FF">
      <w:pPr>
        <w:pStyle w:val="BodyTextMain"/>
        <w:rPr>
          <w:lang w:val="en-GB"/>
        </w:rPr>
      </w:pPr>
      <w:r w:rsidRPr="00981F74">
        <w:rPr>
          <w:lang w:val="en-GB"/>
        </w:rPr>
        <w:t xml:space="preserve">On January </w:t>
      </w:r>
      <w:r w:rsidR="006112FF" w:rsidRPr="00981F74">
        <w:rPr>
          <w:lang w:val="en-GB"/>
        </w:rPr>
        <w:t xml:space="preserve">24, 2011, the </w:t>
      </w:r>
      <w:r w:rsidR="00490AAF" w:rsidRPr="00981F74">
        <w:rPr>
          <w:lang w:val="en-GB"/>
        </w:rPr>
        <w:t>c</w:t>
      </w:r>
      <w:r w:rsidR="006112FF" w:rsidRPr="00981F74">
        <w:rPr>
          <w:lang w:val="en-GB"/>
        </w:rPr>
        <w:t>ommission</w:t>
      </w:r>
      <w:r w:rsidR="00BF6EA7" w:rsidRPr="00981F74">
        <w:rPr>
          <w:lang w:val="en-GB"/>
        </w:rPr>
        <w:t>er</w:t>
      </w:r>
      <w:r w:rsidR="006112FF" w:rsidRPr="00981F74">
        <w:rPr>
          <w:lang w:val="en-GB"/>
        </w:rPr>
        <w:t xml:space="preserve"> of </w:t>
      </w:r>
      <w:r w:rsidR="00490AAF" w:rsidRPr="00981F74">
        <w:rPr>
          <w:lang w:val="en-GB"/>
        </w:rPr>
        <w:t xml:space="preserve">the Canadian </w:t>
      </w:r>
      <w:r w:rsidR="006112FF" w:rsidRPr="00981F74">
        <w:rPr>
          <w:lang w:val="en-GB"/>
        </w:rPr>
        <w:t xml:space="preserve">Competition </w:t>
      </w:r>
      <w:r w:rsidR="00490AAF" w:rsidRPr="00981F74">
        <w:rPr>
          <w:lang w:val="en-GB"/>
        </w:rPr>
        <w:t xml:space="preserve">Bureau </w:t>
      </w:r>
      <w:r w:rsidR="00C84B99">
        <w:rPr>
          <w:lang w:val="en-GB"/>
        </w:rPr>
        <w:t xml:space="preserve">(Competition Bureau) </w:t>
      </w:r>
      <w:r w:rsidR="006112FF" w:rsidRPr="00981F74">
        <w:rPr>
          <w:lang w:val="en-GB"/>
        </w:rPr>
        <w:t xml:space="preserve">filed </w:t>
      </w:r>
      <w:r w:rsidR="00391C81" w:rsidRPr="00981F74">
        <w:rPr>
          <w:lang w:val="en-GB"/>
        </w:rPr>
        <w:t>an application</w:t>
      </w:r>
      <w:r w:rsidR="006112FF" w:rsidRPr="00981F74">
        <w:rPr>
          <w:lang w:val="en-GB"/>
        </w:rPr>
        <w:t xml:space="preserve"> </w:t>
      </w:r>
      <w:r w:rsidR="00BF6EA7" w:rsidRPr="00981F74">
        <w:rPr>
          <w:lang w:val="en-GB"/>
        </w:rPr>
        <w:t>with</w:t>
      </w:r>
      <w:r w:rsidR="006112FF" w:rsidRPr="00981F74">
        <w:rPr>
          <w:lang w:val="en-GB"/>
        </w:rPr>
        <w:t xml:space="preserve"> the Competition Tribunal </w:t>
      </w:r>
      <w:r w:rsidR="006510F4" w:rsidRPr="00981F74">
        <w:rPr>
          <w:lang w:val="en-GB"/>
        </w:rPr>
        <w:t xml:space="preserve">(Tribunal) </w:t>
      </w:r>
      <w:r w:rsidR="00391C81" w:rsidRPr="00981F74">
        <w:rPr>
          <w:lang w:val="en-GB"/>
        </w:rPr>
        <w:t>seeking to dissolve</w:t>
      </w:r>
      <w:r w:rsidR="006112FF" w:rsidRPr="00981F74">
        <w:rPr>
          <w:lang w:val="en-GB"/>
        </w:rPr>
        <w:t xml:space="preserve"> the acquisition of </w:t>
      </w:r>
      <w:r w:rsidR="00490AAF" w:rsidRPr="00981F74">
        <w:rPr>
          <w:lang w:val="en-GB"/>
        </w:rPr>
        <w:t>Complete Environmental Inc. (</w:t>
      </w:r>
      <w:r w:rsidR="006112FF" w:rsidRPr="00981F74">
        <w:rPr>
          <w:lang w:val="en-GB"/>
        </w:rPr>
        <w:t>Complete</w:t>
      </w:r>
      <w:r w:rsidR="00490AAF" w:rsidRPr="00981F74">
        <w:rPr>
          <w:lang w:val="en-GB"/>
        </w:rPr>
        <w:t>)</w:t>
      </w:r>
      <w:r w:rsidR="006112FF" w:rsidRPr="00981F74">
        <w:rPr>
          <w:lang w:val="en-GB"/>
        </w:rPr>
        <w:t xml:space="preserve"> by </w:t>
      </w:r>
      <w:r w:rsidR="00490AAF" w:rsidRPr="00981F74">
        <w:rPr>
          <w:lang w:val="en-GB"/>
        </w:rPr>
        <w:t>CCS Corporation (</w:t>
      </w:r>
      <w:r w:rsidR="006112FF" w:rsidRPr="00981F74">
        <w:rPr>
          <w:lang w:val="en-GB"/>
        </w:rPr>
        <w:t>Tervita</w:t>
      </w:r>
      <w:r w:rsidR="00490AAF" w:rsidRPr="00981F74">
        <w:rPr>
          <w:lang w:val="en-GB"/>
        </w:rPr>
        <w:t>)</w:t>
      </w:r>
      <w:r w:rsidR="006112FF" w:rsidRPr="00981F74">
        <w:rPr>
          <w:lang w:val="en-GB"/>
        </w:rPr>
        <w:t xml:space="preserve">. The application stated that the acquisition would </w:t>
      </w:r>
      <w:r w:rsidR="00E8334B" w:rsidRPr="00981F74">
        <w:rPr>
          <w:lang w:val="en-GB"/>
        </w:rPr>
        <w:t xml:space="preserve">prevent competition in the secure landfill industry by </w:t>
      </w:r>
      <w:r w:rsidR="006112FF" w:rsidRPr="00981F74">
        <w:rPr>
          <w:lang w:val="en-GB"/>
        </w:rPr>
        <w:t>eliminat</w:t>
      </w:r>
      <w:r w:rsidR="00E8334B" w:rsidRPr="00981F74">
        <w:rPr>
          <w:lang w:val="en-GB"/>
        </w:rPr>
        <w:t>ing</w:t>
      </w:r>
      <w:r w:rsidR="006112FF" w:rsidRPr="00981F74">
        <w:rPr>
          <w:lang w:val="en-GB"/>
        </w:rPr>
        <w:t xml:space="preserve"> a viable </w:t>
      </w:r>
      <w:r w:rsidR="00391C81" w:rsidRPr="00981F74">
        <w:rPr>
          <w:lang w:val="en-GB"/>
        </w:rPr>
        <w:t xml:space="preserve">potential </w:t>
      </w:r>
      <w:r w:rsidR="006112FF" w:rsidRPr="00981F74">
        <w:rPr>
          <w:lang w:val="en-GB"/>
        </w:rPr>
        <w:t>competitor</w:t>
      </w:r>
      <w:r w:rsidR="00E8334B" w:rsidRPr="00981F74">
        <w:rPr>
          <w:lang w:val="en-GB"/>
        </w:rPr>
        <w:t>. The commissioner also noted</w:t>
      </w:r>
      <w:r w:rsidR="006112FF" w:rsidRPr="00981F74">
        <w:rPr>
          <w:lang w:val="en-GB"/>
        </w:rPr>
        <w:t xml:space="preserve"> that other </w:t>
      </w:r>
      <w:r w:rsidR="00BF6EA7" w:rsidRPr="00981F74">
        <w:rPr>
          <w:lang w:val="en-GB"/>
        </w:rPr>
        <w:t xml:space="preserve">firms </w:t>
      </w:r>
      <w:r w:rsidR="006112FF" w:rsidRPr="00981F74">
        <w:rPr>
          <w:lang w:val="en-GB"/>
        </w:rPr>
        <w:t>were unlikely</w:t>
      </w:r>
      <w:r w:rsidR="00BF6EA7" w:rsidRPr="00981F74">
        <w:rPr>
          <w:lang w:val="en-GB"/>
        </w:rPr>
        <w:t xml:space="preserve"> to enter</w:t>
      </w:r>
      <w:r w:rsidR="006112FF" w:rsidRPr="00981F74">
        <w:rPr>
          <w:lang w:val="en-GB"/>
        </w:rPr>
        <w:t xml:space="preserve"> </w:t>
      </w:r>
      <w:r w:rsidR="00E8334B" w:rsidRPr="00981F74">
        <w:rPr>
          <w:lang w:val="en-GB"/>
        </w:rPr>
        <w:t xml:space="preserve">the market </w:t>
      </w:r>
      <w:r w:rsidR="006112FF" w:rsidRPr="00981F74">
        <w:rPr>
          <w:lang w:val="en-GB"/>
        </w:rPr>
        <w:t xml:space="preserve">due to the lengthy permit approval process. </w:t>
      </w:r>
      <w:r w:rsidR="00B94CB6" w:rsidRPr="00981F74">
        <w:rPr>
          <w:lang w:val="en-GB"/>
        </w:rPr>
        <w:t xml:space="preserve">In response, Tervita </w:t>
      </w:r>
      <w:r w:rsidR="00BF6EA7" w:rsidRPr="00981F74">
        <w:rPr>
          <w:lang w:val="en-GB"/>
        </w:rPr>
        <w:t>counter-</w:t>
      </w:r>
      <w:r w:rsidR="00B94CB6" w:rsidRPr="00981F74">
        <w:rPr>
          <w:lang w:val="en-GB"/>
        </w:rPr>
        <w:t xml:space="preserve">argued that Complete </w:t>
      </w:r>
      <w:r w:rsidR="00E8334B" w:rsidRPr="00981F74">
        <w:rPr>
          <w:lang w:val="en-GB"/>
        </w:rPr>
        <w:t xml:space="preserve">did not </w:t>
      </w:r>
      <w:r w:rsidR="00B94CB6" w:rsidRPr="00981F74">
        <w:rPr>
          <w:lang w:val="en-GB"/>
        </w:rPr>
        <w:t xml:space="preserve">intend to </w:t>
      </w:r>
      <w:r w:rsidR="00E8334B" w:rsidRPr="00981F74">
        <w:rPr>
          <w:lang w:val="en-GB"/>
        </w:rPr>
        <w:t>operate its</w:t>
      </w:r>
      <w:r w:rsidR="00B94CB6" w:rsidRPr="00981F74">
        <w:rPr>
          <w:lang w:val="en-GB"/>
        </w:rPr>
        <w:t xml:space="preserve"> Babkirk </w:t>
      </w:r>
      <w:r w:rsidR="00B62E65" w:rsidRPr="00981F74">
        <w:rPr>
          <w:lang w:val="en-GB"/>
        </w:rPr>
        <w:t xml:space="preserve">site </w:t>
      </w:r>
      <w:r w:rsidR="00B94CB6" w:rsidRPr="00981F74">
        <w:rPr>
          <w:lang w:val="en-GB"/>
        </w:rPr>
        <w:t xml:space="preserve">as a </w:t>
      </w:r>
      <w:r w:rsidR="00E8334B" w:rsidRPr="00981F74">
        <w:rPr>
          <w:lang w:val="en-GB"/>
        </w:rPr>
        <w:t xml:space="preserve">secure landfill site. The company planned to use it as a </w:t>
      </w:r>
      <w:r w:rsidR="00B94CB6" w:rsidRPr="00981F74">
        <w:rPr>
          <w:lang w:val="en-GB"/>
        </w:rPr>
        <w:t>bioremediation facility</w:t>
      </w:r>
      <w:r w:rsidR="00E8334B" w:rsidRPr="00981F74">
        <w:rPr>
          <w:lang w:val="en-GB"/>
        </w:rPr>
        <w:t>, rather than</w:t>
      </w:r>
      <w:r w:rsidR="00B94CB6" w:rsidRPr="00981F74">
        <w:rPr>
          <w:lang w:val="en-GB"/>
        </w:rPr>
        <w:t xml:space="preserve"> invest </w:t>
      </w:r>
      <w:r w:rsidR="00F8568F" w:rsidRPr="00981F74">
        <w:rPr>
          <w:lang w:val="en-GB"/>
        </w:rPr>
        <w:t xml:space="preserve">funds </w:t>
      </w:r>
      <w:r w:rsidR="00B94CB6" w:rsidRPr="00981F74">
        <w:rPr>
          <w:lang w:val="en-GB"/>
        </w:rPr>
        <w:t>to transform the facility into a secure landfill</w:t>
      </w:r>
      <w:r w:rsidR="00F8568F" w:rsidRPr="00981F74">
        <w:rPr>
          <w:lang w:val="en-GB"/>
        </w:rPr>
        <w:t xml:space="preserve"> site</w:t>
      </w:r>
      <w:r w:rsidR="00B94CB6" w:rsidRPr="00981F74">
        <w:rPr>
          <w:lang w:val="en-GB"/>
        </w:rPr>
        <w:t>. As a result, the alleged competition from Babkirk would not materialize</w:t>
      </w:r>
      <w:r w:rsidR="00E8334B" w:rsidRPr="00981F74">
        <w:rPr>
          <w:lang w:val="en-GB"/>
        </w:rPr>
        <w:t>, according to Tervita</w:t>
      </w:r>
      <w:r w:rsidR="00B94CB6" w:rsidRPr="00981F74">
        <w:rPr>
          <w:lang w:val="en-GB"/>
        </w:rPr>
        <w:t>.</w:t>
      </w:r>
      <w:r w:rsidRPr="00981F74">
        <w:rPr>
          <w:lang w:val="en-GB"/>
        </w:rPr>
        <w:t xml:space="preserve"> </w:t>
      </w:r>
    </w:p>
    <w:p w14:paraId="5F5557FB" w14:textId="77777777" w:rsidR="00B94CB6" w:rsidRPr="00C84B99" w:rsidRDefault="00B94CB6" w:rsidP="006112FF">
      <w:pPr>
        <w:pStyle w:val="BodyTextMain"/>
        <w:rPr>
          <w:sz w:val="18"/>
          <w:szCs w:val="18"/>
          <w:lang w:val="en-GB"/>
        </w:rPr>
      </w:pPr>
    </w:p>
    <w:p w14:paraId="681D3264" w14:textId="5B26B6C6" w:rsidR="003D6F5E" w:rsidRPr="00981F74" w:rsidRDefault="00B94CB6" w:rsidP="006112FF">
      <w:pPr>
        <w:pStyle w:val="BodyTextMain"/>
        <w:rPr>
          <w:lang w:val="en-GB"/>
        </w:rPr>
      </w:pPr>
      <w:r w:rsidRPr="00981F74">
        <w:rPr>
          <w:lang w:val="en-GB"/>
        </w:rPr>
        <w:t>On May 29, 2012, the Tribunal ruled in</w:t>
      </w:r>
      <w:r w:rsidR="00BF6EA7" w:rsidRPr="00981F74">
        <w:rPr>
          <w:lang w:val="en-GB"/>
        </w:rPr>
        <w:t xml:space="preserve"> the Competition Bureau’s</w:t>
      </w:r>
      <w:r w:rsidRPr="00981F74">
        <w:rPr>
          <w:lang w:val="en-GB"/>
        </w:rPr>
        <w:t xml:space="preserve"> favour, finding that the acquisition likely prevented competition in the market. The Tribunal cast doubt on the viability of Complete’s bioremediation business</w:t>
      </w:r>
      <w:r w:rsidR="006510F4" w:rsidRPr="00981F74">
        <w:rPr>
          <w:lang w:val="en-GB"/>
        </w:rPr>
        <w:t>. The company</w:t>
      </w:r>
      <w:r w:rsidRPr="00981F74">
        <w:rPr>
          <w:lang w:val="en-GB"/>
        </w:rPr>
        <w:t xml:space="preserve"> would have failed within a year</w:t>
      </w:r>
      <w:r w:rsidR="006510F4" w:rsidRPr="00981F74">
        <w:rPr>
          <w:lang w:val="en-GB"/>
        </w:rPr>
        <w:t>, it suggested,</w:t>
      </w:r>
      <w:r w:rsidRPr="00981F74">
        <w:rPr>
          <w:lang w:val="en-GB"/>
        </w:rPr>
        <w:t xml:space="preserve"> and </w:t>
      </w:r>
      <w:r w:rsidR="006510F4" w:rsidRPr="00981F74">
        <w:rPr>
          <w:lang w:val="en-GB"/>
        </w:rPr>
        <w:t>it</w:t>
      </w:r>
      <w:r w:rsidRPr="00981F74">
        <w:rPr>
          <w:lang w:val="en-GB"/>
        </w:rPr>
        <w:t xml:space="preserve"> would </w:t>
      </w:r>
      <w:r w:rsidR="006510F4" w:rsidRPr="00981F74">
        <w:rPr>
          <w:lang w:val="en-GB"/>
        </w:rPr>
        <w:t>need</w:t>
      </w:r>
      <w:r w:rsidRPr="00981F74">
        <w:rPr>
          <w:lang w:val="en-GB"/>
        </w:rPr>
        <w:t xml:space="preserve"> to be sold to a competitor. </w:t>
      </w:r>
      <w:r w:rsidR="006510F4" w:rsidRPr="00981F74">
        <w:rPr>
          <w:lang w:val="en-GB"/>
        </w:rPr>
        <w:t>T</w:t>
      </w:r>
      <w:r w:rsidR="003D6F5E" w:rsidRPr="00981F74">
        <w:rPr>
          <w:lang w:val="en-GB"/>
        </w:rPr>
        <w:t xml:space="preserve">he Tribunal </w:t>
      </w:r>
      <w:r w:rsidR="006510F4" w:rsidRPr="00981F74">
        <w:rPr>
          <w:lang w:val="en-GB"/>
        </w:rPr>
        <w:t xml:space="preserve">also </w:t>
      </w:r>
      <w:r w:rsidR="003D6F5E" w:rsidRPr="00981F74">
        <w:rPr>
          <w:lang w:val="en-GB"/>
        </w:rPr>
        <w:t xml:space="preserve">concluded that a “direct and substantial” secure landfill competitor would have emerged at </w:t>
      </w:r>
      <w:r w:rsidR="006510F4" w:rsidRPr="00981F74">
        <w:rPr>
          <w:lang w:val="en-GB"/>
        </w:rPr>
        <w:t xml:space="preserve">the </w:t>
      </w:r>
      <w:r w:rsidR="003D6F5E" w:rsidRPr="00981F74">
        <w:rPr>
          <w:lang w:val="en-GB"/>
        </w:rPr>
        <w:t>Babkirk</w:t>
      </w:r>
      <w:r w:rsidR="006510F4" w:rsidRPr="00981F74">
        <w:rPr>
          <w:lang w:val="en-GB"/>
        </w:rPr>
        <w:t xml:space="preserve"> site</w:t>
      </w:r>
      <w:r w:rsidR="003D6F5E" w:rsidRPr="00981F74">
        <w:rPr>
          <w:lang w:val="en-GB"/>
        </w:rPr>
        <w:t xml:space="preserve"> by the spring of 2013.</w:t>
      </w:r>
    </w:p>
    <w:p w14:paraId="432309FC" w14:textId="77777777" w:rsidR="003D6F5E" w:rsidRPr="00C84B99" w:rsidRDefault="003D6F5E" w:rsidP="006112FF">
      <w:pPr>
        <w:pStyle w:val="BodyTextMain"/>
        <w:rPr>
          <w:sz w:val="18"/>
          <w:szCs w:val="18"/>
          <w:lang w:val="en-GB"/>
        </w:rPr>
      </w:pPr>
    </w:p>
    <w:p w14:paraId="3242D25A" w14:textId="60A4B70D" w:rsidR="00B94CB6" w:rsidRPr="00981F74" w:rsidRDefault="00E665AE" w:rsidP="006112FF">
      <w:pPr>
        <w:pStyle w:val="BodyTextMain"/>
        <w:rPr>
          <w:lang w:val="en-GB"/>
        </w:rPr>
      </w:pPr>
      <w:r>
        <w:rPr>
          <w:lang w:val="en-GB"/>
        </w:rPr>
        <w:t>O</w:t>
      </w:r>
      <w:r w:rsidRPr="00981F74">
        <w:rPr>
          <w:lang w:val="en-GB"/>
        </w:rPr>
        <w:t>n June 26, 2012,</w:t>
      </w:r>
      <w:r w:rsidR="008965FD">
        <w:rPr>
          <w:lang w:val="en-GB"/>
        </w:rPr>
        <w:t xml:space="preserve"> </w:t>
      </w:r>
      <w:r w:rsidR="00B94CB6" w:rsidRPr="00981F74">
        <w:rPr>
          <w:lang w:val="en-GB"/>
        </w:rPr>
        <w:t>Tervita appealed the Tribunal’s decision to the Federal Court of Appeals</w:t>
      </w:r>
      <w:r w:rsidR="00D920FB" w:rsidRPr="00981F74">
        <w:rPr>
          <w:lang w:val="en-GB"/>
        </w:rPr>
        <w:t xml:space="preserve"> (FCA)</w:t>
      </w:r>
      <w:r w:rsidR="00B94CB6" w:rsidRPr="00981F74">
        <w:rPr>
          <w:lang w:val="en-GB"/>
        </w:rPr>
        <w:t>. Tervita argued that the Tribunal was speculating on a future event</w:t>
      </w:r>
      <w:r w:rsidR="000354F6" w:rsidRPr="00981F74">
        <w:rPr>
          <w:lang w:val="en-GB"/>
        </w:rPr>
        <w:t>—</w:t>
      </w:r>
      <w:r w:rsidR="00BF6EA7" w:rsidRPr="00981F74">
        <w:rPr>
          <w:lang w:val="en-GB"/>
        </w:rPr>
        <w:t xml:space="preserve">the </w:t>
      </w:r>
      <w:r w:rsidR="00B94CB6" w:rsidRPr="00981F74">
        <w:rPr>
          <w:lang w:val="en-GB"/>
        </w:rPr>
        <w:t>likely market entry by a competitor</w:t>
      </w:r>
      <w:r w:rsidR="000354F6" w:rsidRPr="00981F74">
        <w:rPr>
          <w:lang w:val="en-GB"/>
        </w:rPr>
        <w:t>—</w:t>
      </w:r>
      <w:r w:rsidR="00B94CB6" w:rsidRPr="00981F74">
        <w:rPr>
          <w:lang w:val="en-GB"/>
        </w:rPr>
        <w:t xml:space="preserve">and not on the merger itself. Tervita </w:t>
      </w:r>
      <w:r w:rsidR="006510F4" w:rsidRPr="00981F74">
        <w:rPr>
          <w:lang w:val="en-GB"/>
        </w:rPr>
        <w:t xml:space="preserve">also </w:t>
      </w:r>
      <w:r w:rsidR="00B94CB6" w:rsidRPr="00981F74">
        <w:rPr>
          <w:lang w:val="en-GB"/>
        </w:rPr>
        <w:t xml:space="preserve">argued that there were errors in the Tribunal’s assessment of Tervita’s </w:t>
      </w:r>
      <w:r w:rsidR="006510F4" w:rsidRPr="00981F74">
        <w:rPr>
          <w:lang w:val="en-GB"/>
        </w:rPr>
        <w:t>defen</w:t>
      </w:r>
      <w:r w:rsidR="009D0850">
        <w:rPr>
          <w:lang w:val="en-GB"/>
        </w:rPr>
        <w:t>c</w:t>
      </w:r>
      <w:r w:rsidR="006510F4" w:rsidRPr="00981F74">
        <w:rPr>
          <w:lang w:val="en-GB"/>
        </w:rPr>
        <w:t xml:space="preserve">e of its </w:t>
      </w:r>
      <w:r w:rsidR="00B94CB6" w:rsidRPr="00981F74">
        <w:rPr>
          <w:lang w:val="en-GB"/>
        </w:rPr>
        <w:t xml:space="preserve">efficiencies. </w:t>
      </w:r>
    </w:p>
    <w:p w14:paraId="488C9D50" w14:textId="77777777" w:rsidR="00B94CB6" w:rsidRPr="00C84B99" w:rsidRDefault="00B94CB6" w:rsidP="006112FF">
      <w:pPr>
        <w:pStyle w:val="BodyTextMain"/>
        <w:rPr>
          <w:sz w:val="18"/>
          <w:szCs w:val="18"/>
          <w:lang w:val="en-GB"/>
        </w:rPr>
      </w:pPr>
    </w:p>
    <w:p w14:paraId="557BDF00" w14:textId="05A62703" w:rsidR="007E695B" w:rsidRPr="00981F74" w:rsidRDefault="003D6F5E" w:rsidP="006112FF">
      <w:pPr>
        <w:pStyle w:val="BodyTextMain"/>
        <w:rPr>
          <w:lang w:val="en-GB"/>
        </w:rPr>
      </w:pPr>
      <w:r w:rsidRPr="00981F74">
        <w:rPr>
          <w:lang w:val="en-GB"/>
        </w:rPr>
        <w:t>On February 25, 2013, the FCA upheld the Tribunal’s decision</w:t>
      </w:r>
      <w:r w:rsidR="00391C81" w:rsidRPr="00981F74">
        <w:rPr>
          <w:lang w:val="en-GB"/>
        </w:rPr>
        <w:t xml:space="preserve"> and agreed that the acquisition likely prevented competition in the market</w:t>
      </w:r>
      <w:r w:rsidRPr="00981F74">
        <w:rPr>
          <w:lang w:val="en-GB"/>
        </w:rPr>
        <w:t xml:space="preserve">. The FCA endorsed a forward-looking approach to merger review. It argued that the Tribunal was required to evaluate the impact of future events in order to determine their effects on the market. It based its argument on Sections 92 and 96 of the </w:t>
      </w:r>
      <w:r w:rsidRPr="00BB78BD">
        <w:rPr>
          <w:i/>
          <w:lang w:val="en-GB"/>
        </w:rPr>
        <w:t>Competition Act.</w:t>
      </w:r>
      <w:r w:rsidRPr="00981F74">
        <w:rPr>
          <w:lang w:val="en-GB"/>
        </w:rPr>
        <w:t xml:space="preserve"> The FCA indicated </w:t>
      </w:r>
      <w:r w:rsidR="006510F4" w:rsidRPr="00981F74">
        <w:rPr>
          <w:lang w:val="en-GB"/>
        </w:rPr>
        <w:t xml:space="preserve">that </w:t>
      </w:r>
      <w:r w:rsidRPr="00981F74">
        <w:rPr>
          <w:lang w:val="en-GB"/>
        </w:rPr>
        <w:t xml:space="preserve">the Tribunal should only consider market entry occurring within a reasonable period of time. In </w:t>
      </w:r>
      <w:r w:rsidR="004F7E8B" w:rsidRPr="00981F74">
        <w:rPr>
          <w:lang w:val="en-GB"/>
        </w:rPr>
        <w:t>this</w:t>
      </w:r>
      <w:r w:rsidRPr="00981F74">
        <w:rPr>
          <w:lang w:val="en-GB"/>
        </w:rPr>
        <w:t xml:space="preserve"> case, </w:t>
      </w:r>
      <w:r w:rsidR="004F7E8B" w:rsidRPr="00981F74">
        <w:rPr>
          <w:lang w:val="en-GB"/>
        </w:rPr>
        <w:t>a reasonable length of time</w:t>
      </w:r>
      <w:r w:rsidRPr="00981F74">
        <w:rPr>
          <w:lang w:val="en-GB"/>
        </w:rPr>
        <w:t xml:space="preserve"> was about 30 months</w:t>
      </w:r>
      <w:r w:rsidR="00686A2D" w:rsidRPr="00981F74">
        <w:rPr>
          <w:lang w:val="en-GB"/>
        </w:rPr>
        <w:t>. D</w:t>
      </w:r>
      <w:r w:rsidRPr="00981F74">
        <w:rPr>
          <w:lang w:val="en-GB"/>
        </w:rPr>
        <w:t xml:space="preserve">uring </w:t>
      </w:r>
      <w:r w:rsidR="00686A2D" w:rsidRPr="00981F74">
        <w:rPr>
          <w:lang w:val="en-GB"/>
        </w:rPr>
        <w:t>that time, the Babkirk site’s</w:t>
      </w:r>
      <w:r w:rsidRPr="00981F74">
        <w:rPr>
          <w:lang w:val="en-GB"/>
        </w:rPr>
        <w:t xml:space="preserve"> owners</w:t>
      </w:r>
      <w:r w:rsidR="000354F6" w:rsidRPr="00981F74">
        <w:rPr>
          <w:lang w:val="en-GB"/>
        </w:rPr>
        <w:t>—</w:t>
      </w:r>
      <w:r w:rsidRPr="00981F74">
        <w:rPr>
          <w:lang w:val="en-GB"/>
        </w:rPr>
        <w:t>current or future</w:t>
      </w:r>
      <w:r w:rsidR="000354F6" w:rsidRPr="00981F74">
        <w:rPr>
          <w:lang w:val="en-GB"/>
        </w:rPr>
        <w:t>—</w:t>
      </w:r>
      <w:r w:rsidRPr="00981F74">
        <w:rPr>
          <w:lang w:val="en-GB"/>
        </w:rPr>
        <w:t xml:space="preserve">could have invested </w:t>
      </w:r>
      <w:r w:rsidR="00686A2D" w:rsidRPr="00981F74">
        <w:rPr>
          <w:lang w:val="en-GB"/>
        </w:rPr>
        <w:t xml:space="preserve">funds </w:t>
      </w:r>
      <w:r w:rsidRPr="00981F74">
        <w:rPr>
          <w:lang w:val="en-GB"/>
        </w:rPr>
        <w:t>in the facility to create an</w:t>
      </w:r>
      <w:r w:rsidR="00BF6EA7" w:rsidRPr="00981F74">
        <w:rPr>
          <w:lang w:val="en-GB"/>
        </w:rPr>
        <w:t>d</w:t>
      </w:r>
      <w:r w:rsidRPr="00981F74">
        <w:rPr>
          <w:lang w:val="en-GB"/>
        </w:rPr>
        <w:t xml:space="preserve"> </w:t>
      </w:r>
      <w:r w:rsidR="00BF6EA7" w:rsidRPr="00981F74">
        <w:rPr>
          <w:lang w:val="en-GB"/>
        </w:rPr>
        <w:t xml:space="preserve">operate a </w:t>
      </w:r>
      <w:r w:rsidRPr="00981F74">
        <w:rPr>
          <w:lang w:val="en-GB"/>
        </w:rPr>
        <w:t xml:space="preserve">secure </w:t>
      </w:r>
      <w:r w:rsidRPr="00981F74">
        <w:rPr>
          <w:lang w:val="en-GB"/>
        </w:rPr>
        <w:lastRenderedPageBreak/>
        <w:t xml:space="preserve">landfill site </w:t>
      </w:r>
      <w:r w:rsidR="00BF6EA7" w:rsidRPr="00981F74">
        <w:rPr>
          <w:lang w:val="en-GB"/>
        </w:rPr>
        <w:t>t</w:t>
      </w:r>
      <w:r w:rsidR="00686A2D" w:rsidRPr="00981F74">
        <w:rPr>
          <w:lang w:val="en-GB"/>
        </w:rPr>
        <w:t>o</w:t>
      </w:r>
      <w:r w:rsidR="00BF6EA7" w:rsidRPr="00981F74">
        <w:rPr>
          <w:lang w:val="en-GB"/>
        </w:rPr>
        <w:t xml:space="preserve"> </w:t>
      </w:r>
      <w:r w:rsidRPr="00981F74">
        <w:rPr>
          <w:lang w:val="en-GB"/>
        </w:rPr>
        <w:t xml:space="preserve">compete </w:t>
      </w:r>
      <w:r w:rsidR="00686A2D" w:rsidRPr="00981F74">
        <w:rPr>
          <w:lang w:val="en-GB"/>
        </w:rPr>
        <w:t>against Tervita’s</w:t>
      </w:r>
      <w:r w:rsidRPr="00981F74">
        <w:rPr>
          <w:lang w:val="en-GB"/>
        </w:rPr>
        <w:t xml:space="preserve"> Silverberry</w:t>
      </w:r>
      <w:r w:rsidR="00686A2D" w:rsidRPr="00981F74">
        <w:rPr>
          <w:lang w:val="en-GB"/>
        </w:rPr>
        <w:t xml:space="preserve"> site</w:t>
      </w:r>
      <w:r w:rsidRPr="00981F74">
        <w:rPr>
          <w:lang w:val="en-GB"/>
        </w:rPr>
        <w:t>.</w:t>
      </w:r>
      <w:r w:rsidR="001A0DAD" w:rsidRPr="00981F74">
        <w:rPr>
          <w:lang w:val="en-GB"/>
        </w:rPr>
        <w:t xml:space="preserve"> </w:t>
      </w:r>
      <w:r w:rsidR="00686A2D" w:rsidRPr="00981F74">
        <w:rPr>
          <w:lang w:val="en-GB"/>
        </w:rPr>
        <w:t>T</w:t>
      </w:r>
      <w:r w:rsidR="001A0DAD" w:rsidRPr="00981F74">
        <w:rPr>
          <w:lang w:val="en-GB"/>
        </w:rPr>
        <w:t xml:space="preserve">he FCA </w:t>
      </w:r>
      <w:r w:rsidR="00686A2D" w:rsidRPr="00981F74">
        <w:rPr>
          <w:lang w:val="en-GB"/>
        </w:rPr>
        <w:t xml:space="preserve">also </w:t>
      </w:r>
      <w:r w:rsidR="001A0DAD" w:rsidRPr="00981F74">
        <w:rPr>
          <w:lang w:val="en-GB"/>
        </w:rPr>
        <w:t xml:space="preserve">indicated that the </w:t>
      </w:r>
      <w:r w:rsidR="00686A2D" w:rsidRPr="00981F74">
        <w:rPr>
          <w:lang w:val="en-GB"/>
        </w:rPr>
        <w:t>c</w:t>
      </w:r>
      <w:r w:rsidR="001A0DAD" w:rsidRPr="00981F74">
        <w:rPr>
          <w:lang w:val="en-GB"/>
        </w:rPr>
        <w:t xml:space="preserve">ommissioner had to </w:t>
      </w:r>
      <w:r w:rsidR="00686A2D" w:rsidRPr="00981F74">
        <w:rPr>
          <w:lang w:val="en-GB"/>
        </w:rPr>
        <w:t>determine</w:t>
      </w:r>
      <w:r w:rsidR="001A0DAD" w:rsidRPr="00981F74">
        <w:rPr>
          <w:lang w:val="en-GB"/>
        </w:rPr>
        <w:t xml:space="preserve"> the qualitative and quantitative anti-competitive effects of the merger and compare them against the efficiencies that would have been gained following the merger. </w:t>
      </w:r>
      <w:r w:rsidR="00BF6EA7" w:rsidRPr="00981F74">
        <w:rPr>
          <w:lang w:val="en-GB"/>
        </w:rPr>
        <w:t>T</w:t>
      </w:r>
      <w:r w:rsidR="001A0DAD" w:rsidRPr="00981F74">
        <w:rPr>
          <w:lang w:val="en-GB"/>
        </w:rPr>
        <w:t>he FCA indicated that when quantifying the anti-competitive effects, the analysis had to be “as objective as is reasonably possible and where an objective determination cannot be made, it must be reasonable</w:t>
      </w:r>
      <w:r w:rsidR="00297FC5">
        <w:rPr>
          <w:lang w:val="en-GB"/>
        </w:rPr>
        <w:t>.</w:t>
      </w:r>
      <w:r w:rsidR="001A0DAD" w:rsidRPr="00981F74">
        <w:rPr>
          <w:lang w:val="en-GB"/>
        </w:rPr>
        <w:t>”</w:t>
      </w:r>
      <w:r w:rsidR="001A0DAD" w:rsidRPr="00981F74">
        <w:rPr>
          <w:rStyle w:val="FootnoteReference"/>
          <w:lang w:val="en-GB"/>
        </w:rPr>
        <w:footnoteReference w:id="2"/>
      </w:r>
      <w:r w:rsidR="00981807" w:rsidRPr="00981F74">
        <w:rPr>
          <w:lang w:val="en-GB"/>
        </w:rPr>
        <w:t xml:space="preserve"> </w:t>
      </w:r>
    </w:p>
    <w:p w14:paraId="0C26F425" w14:textId="77777777" w:rsidR="00686A2D" w:rsidRPr="00C84B99" w:rsidRDefault="00686A2D" w:rsidP="006112FF">
      <w:pPr>
        <w:pStyle w:val="BodyTextMain"/>
        <w:rPr>
          <w:sz w:val="18"/>
          <w:szCs w:val="18"/>
          <w:lang w:val="en-GB"/>
        </w:rPr>
      </w:pPr>
    </w:p>
    <w:p w14:paraId="4D70ED8E" w14:textId="035DBF72" w:rsidR="00C7684F" w:rsidRPr="00981F74" w:rsidRDefault="00981807" w:rsidP="006112FF">
      <w:pPr>
        <w:pStyle w:val="BodyTextMain"/>
        <w:rPr>
          <w:lang w:val="en-GB"/>
        </w:rPr>
      </w:pPr>
      <w:r w:rsidRPr="00981F74">
        <w:rPr>
          <w:lang w:val="en-GB"/>
        </w:rPr>
        <w:t xml:space="preserve">Tervita appealed </w:t>
      </w:r>
      <w:r w:rsidR="00E36B38" w:rsidRPr="00981F74">
        <w:rPr>
          <w:lang w:val="en-GB"/>
        </w:rPr>
        <w:t>the FCA’s decision to the Supreme Court of Canada</w:t>
      </w:r>
      <w:r w:rsidR="00C7684F" w:rsidRPr="00981F74">
        <w:rPr>
          <w:lang w:val="en-GB"/>
        </w:rPr>
        <w:t xml:space="preserve"> (S</w:t>
      </w:r>
      <w:r w:rsidR="009D0850">
        <w:rPr>
          <w:lang w:val="en-GB"/>
        </w:rPr>
        <w:t>CC</w:t>
      </w:r>
      <w:r w:rsidR="00C7684F" w:rsidRPr="00981F74">
        <w:rPr>
          <w:lang w:val="en-GB"/>
        </w:rPr>
        <w:t xml:space="preserve">) on the basis of </w:t>
      </w:r>
      <w:r w:rsidR="009D0850">
        <w:rPr>
          <w:lang w:val="en-GB"/>
        </w:rPr>
        <w:t xml:space="preserve">its </w:t>
      </w:r>
      <w:r w:rsidR="00336E9F" w:rsidRPr="00981F74">
        <w:rPr>
          <w:lang w:val="en-GB"/>
        </w:rPr>
        <w:t>efficiencies defence</w:t>
      </w:r>
      <w:r w:rsidR="009D0850">
        <w:rPr>
          <w:lang w:val="en-GB"/>
        </w:rPr>
        <w:t>, consistent with</w:t>
      </w:r>
      <w:r w:rsidR="00336E9F" w:rsidRPr="00981F74">
        <w:rPr>
          <w:lang w:val="en-GB"/>
        </w:rPr>
        <w:t xml:space="preserve"> </w:t>
      </w:r>
      <w:r w:rsidR="00C7684F" w:rsidRPr="00981F74">
        <w:rPr>
          <w:lang w:val="en-GB"/>
        </w:rPr>
        <w:t>section 96</w:t>
      </w:r>
      <w:r w:rsidR="00336E9F" w:rsidRPr="00981F74">
        <w:rPr>
          <w:lang w:val="en-GB"/>
        </w:rPr>
        <w:t xml:space="preserve"> of the </w:t>
      </w:r>
      <w:r w:rsidR="00336E9F" w:rsidRPr="00BB78BD">
        <w:rPr>
          <w:i/>
          <w:lang w:val="en-GB"/>
        </w:rPr>
        <w:t>Competition Act</w:t>
      </w:r>
      <w:r w:rsidR="00E36B38" w:rsidRPr="00981F74">
        <w:rPr>
          <w:lang w:val="en-GB"/>
        </w:rPr>
        <w:t xml:space="preserve">. </w:t>
      </w:r>
      <w:r w:rsidR="00207DCD" w:rsidRPr="00981F74">
        <w:rPr>
          <w:lang w:val="en-GB"/>
        </w:rPr>
        <w:t>The S</w:t>
      </w:r>
      <w:r w:rsidR="009D0850">
        <w:rPr>
          <w:lang w:val="en-GB"/>
        </w:rPr>
        <w:t>CC</w:t>
      </w:r>
      <w:r w:rsidR="00207DCD" w:rsidRPr="00981F74">
        <w:rPr>
          <w:lang w:val="en-GB"/>
        </w:rPr>
        <w:t xml:space="preserve"> agreed to hear the case</w:t>
      </w:r>
      <w:r w:rsidR="00336E9F" w:rsidRPr="00981F74">
        <w:rPr>
          <w:lang w:val="en-GB"/>
        </w:rPr>
        <w:t>. T</w:t>
      </w:r>
      <w:r w:rsidR="00C7684F" w:rsidRPr="00981F74">
        <w:rPr>
          <w:lang w:val="en-GB"/>
        </w:rPr>
        <w:t>he Tervita Case would be the first merger case argued in front of the S</w:t>
      </w:r>
      <w:r w:rsidR="009D0850">
        <w:rPr>
          <w:lang w:val="en-GB"/>
        </w:rPr>
        <w:t>CC</w:t>
      </w:r>
      <w:r w:rsidR="00C7684F" w:rsidRPr="00981F74">
        <w:rPr>
          <w:lang w:val="en-GB"/>
        </w:rPr>
        <w:t xml:space="preserve"> in over 17 years.</w:t>
      </w:r>
    </w:p>
    <w:p w14:paraId="005650AF" w14:textId="77777777" w:rsidR="00C7684F" w:rsidRPr="00C84B99" w:rsidRDefault="00C7684F" w:rsidP="006112FF">
      <w:pPr>
        <w:pStyle w:val="BodyTextMain"/>
        <w:rPr>
          <w:sz w:val="18"/>
          <w:szCs w:val="18"/>
          <w:lang w:val="en-GB"/>
        </w:rPr>
      </w:pPr>
    </w:p>
    <w:p w14:paraId="0A61F2DD" w14:textId="77777777" w:rsidR="00BA680C" w:rsidRPr="00C84B99" w:rsidRDefault="00BA680C" w:rsidP="006112FF">
      <w:pPr>
        <w:pStyle w:val="BodyTextMain"/>
        <w:rPr>
          <w:sz w:val="18"/>
          <w:szCs w:val="18"/>
          <w:lang w:val="en-GB"/>
        </w:rPr>
      </w:pPr>
    </w:p>
    <w:p w14:paraId="6AAEBEFB" w14:textId="6DB242CD" w:rsidR="00C7684F" w:rsidRPr="00981F74" w:rsidRDefault="00C7684F" w:rsidP="000354F6">
      <w:pPr>
        <w:pStyle w:val="Casehead1"/>
        <w:rPr>
          <w:lang w:val="en-GB"/>
        </w:rPr>
      </w:pPr>
      <w:r w:rsidRPr="00981F74">
        <w:rPr>
          <w:lang w:val="en-GB"/>
        </w:rPr>
        <w:t>TERVITA’S EFFICIENCIES DEFEN</w:t>
      </w:r>
      <w:r w:rsidR="00336E9F" w:rsidRPr="00981F74">
        <w:rPr>
          <w:lang w:val="en-GB"/>
        </w:rPr>
        <w:t>c</w:t>
      </w:r>
      <w:r w:rsidRPr="00981F74">
        <w:rPr>
          <w:lang w:val="en-GB"/>
        </w:rPr>
        <w:t>E</w:t>
      </w:r>
    </w:p>
    <w:p w14:paraId="4CE1A254" w14:textId="77777777" w:rsidR="00C7684F" w:rsidRPr="00C84B99" w:rsidRDefault="00C7684F" w:rsidP="006112FF">
      <w:pPr>
        <w:pStyle w:val="BodyTextMain"/>
        <w:rPr>
          <w:sz w:val="18"/>
          <w:szCs w:val="18"/>
          <w:lang w:val="en-GB"/>
        </w:rPr>
      </w:pPr>
    </w:p>
    <w:p w14:paraId="071D4470" w14:textId="2C4F9040" w:rsidR="00E36B38" w:rsidRPr="00981F74" w:rsidRDefault="00E36B38" w:rsidP="006112FF">
      <w:pPr>
        <w:pStyle w:val="BodyTextMain"/>
        <w:rPr>
          <w:lang w:val="en-GB"/>
        </w:rPr>
      </w:pPr>
      <w:r w:rsidRPr="00981F74">
        <w:rPr>
          <w:lang w:val="en-GB"/>
        </w:rPr>
        <w:t>There were three parts to Tervita’s efficiencies defen</w:t>
      </w:r>
      <w:r w:rsidR="009D0850">
        <w:rPr>
          <w:lang w:val="en-GB"/>
        </w:rPr>
        <w:t>c</w:t>
      </w:r>
      <w:r w:rsidRPr="00981F74">
        <w:rPr>
          <w:lang w:val="en-GB"/>
        </w:rPr>
        <w:t>e:</w:t>
      </w:r>
      <w:r w:rsidR="00336E9F" w:rsidRPr="00981F74">
        <w:rPr>
          <w:lang w:val="en-GB"/>
        </w:rPr>
        <w:t xml:space="preserve"> allocative, productive, and dynamic efficiencies.</w:t>
      </w:r>
    </w:p>
    <w:p w14:paraId="08D740F3" w14:textId="77777777" w:rsidR="00E36B38" w:rsidRPr="00C84B99" w:rsidRDefault="00E36B38" w:rsidP="006112FF">
      <w:pPr>
        <w:pStyle w:val="BodyTextMain"/>
        <w:rPr>
          <w:sz w:val="18"/>
          <w:szCs w:val="18"/>
          <w:lang w:val="en-GB"/>
        </w:rPr>
      </w:pPr>
    </w:p>
    <w:p w14:paraId="44E36FF6" w14:textId="77777777" w:rsidR="000354F6" w:rsidRPr="00C84B99" w:rsidRDefault="000354F6" w:rsidP="006112FF">
      <w:pPr>
        <w:pStyle w:val="BodyTextMain"/>
        <w:rPr>
          <w:sz w:val="18"/>
          <w:szCs w:val="18"/>
          <w:lang w:val="en-GB"/>
        </w:rPr>
      </w:pPr>
    </w:p>
    <w:p w14:paraId="644B075B" w14:textId="77777777" w:rsidR="00E36B38" w:rsidRPr="00981F74" w:rsidRDefault="00E36B38" w:rsidP="000354F6">
      <w:pPr>
        <w:pStyle w:val="Casehead2"/>
        <w:rPr>
          <w:lang w:val="en-GB"/>
        </w:rPr>
      </w:pPr>
      <w:r w:rsidRPr="00981F74">
        <w:rPr>
          <w:lang w:val="en-GB"/>
        </w:rPr>
        <w:t>Allocative Efficiencies</w:t>
      </w:r>
    </w:p>
    <w:p w14:paraId="2D6629D7" w14:textId="77777777" w:rsidR="00E36B38" w:rsidRPr="00C84B99" w:rsidRDefault="00E36B38" w:rsidP="006112FF">
      <w:pPr>
        <w:pStyle w:val="BodyTextMain"/>
        <w:rPr>
          <w:sz w:val="18"/>
          <w:szCs w:val="18"/>
          <w:lang w:val="en-GB"/>
        </w:rPr>
      </w:pPr>
    </w:p>
    <w:p w14:paraId="435FF9A4" w14:textId="3E8623DF" w:rsidR="00E36B38" w:rsidRPr="00981F74" w:rsidRDefault="00E36B38" w:rsidP="006112FF">
      <w:pPr>
        <w:pStyle w:val="BodyTextMain"/>
        <w:rPr>
          <w:lang w:val="en-GB"/>
        </w:rPr>
      </w:pPr>
      <w:r w:rsidRPr="00981F74">
        <w:rPr>
          <w:lang w:val="en-GB"/>
        </w:rPr>
        <w:t>Tervita argued that Complete had no plans to operate a secure landfill on the Babkirk site</w:t>
      </w:r>
      <w:r w:rsidR="00336E9F" w:rsidRPr="00981F74">
        <w:rPr>
          <w:lang w:val="en-GB"/>
        </w:rPr>
        <w:t>;</w:t>
      </w:r>
      <w:r w:rsidRPr="00981F74">
        <w:rPr>
          <w:lang w:val="en-GB"/>
        </w:rPr>
        <w:t xml:space="preserve"> </w:t>
      </w:r>
      <w:r w:rsidR="00336E9F" w:rsidRPr="00981F74">
        <w:rPr>
          <w:lang w:val="en-GB"/>
        </w:rPr>
        <w:t xml:space="preserve">it </w:t>
      </w:r>
      <w:r w:rsidRPr="00981F74">
        <w:rPr>
          <w:lang w:val="en-GB"/>
        </w:rPr>
        <w:t xml:space="preserve">only </w:t>
      </w:r>
      <w:r w:rsidR="00336E9F" w:rsidRPr="00981F74">
        <w:rPr>
          <w:lang w:val="en-GB"/>
        </w:rPr>
        <w:t xml:space="preserve">planned to operate </w:t>
      </w:r>
      <w:r w:rsidRPr="00981F74">
        <w:rPr>
          <w:lang w:val="en-GB"/>
        </w:rPr>
        <w:t>a bioremediation site and perhaps a small hazardous waste landfill. In contrast, Tervita aimed to develop Babkirk into a secure landfill site to serve customers located close</w:t>
      </w:r>
      <w:r w:rsidR="00740D88" w:rsidRPr="00981F74">
        <w:rPr>
          <w:lang w:val="en-GB"/>
        </w:rPr>
        <w:t>r</w:t>
      </w:r>
      <w:r w:rsidRPr="00981F74">
        <w:rPr>
          <w:lang w:val="en-GB"/>
        </w:rPr>
        <w:t xml:space="preserve"> to </w:t>
      </w:r>
      <w:r w:rsidR="00336E9F" w:rsidRPr="00981F74">
        <w:rPr>
          <w:lang w:val="en-GB"/>
        </w:rPr>
        <w:t xml:space="preserve">the </w:t>
      </w:r>
      <w:r w:rsidRPr="00981F74">
        <w:rPr>
          <w:lang w:val="en-GB"/>
        </w:rPr>
        <w:t xml:space="preserve">Babkirk </w:t>
      </w:r>
      <w:r w:rsidR="00336E9F" w:rsidRPr="00981F74">
        <w:rPr>
          <w:lang w:val="en-GB"/>
        </w:rPr>
        <w:t xml:space="preserve">site </w:t>
      </w:r>
      <w:r w:rsidRPr="00981F74">
        <w:rPr>
          <w:lang w:val="en-GB"/>
        </w:rPr>
        <w:t xml:space="preserve">than </w:t>
      </w:r>
      <w:r w:rsidR="00336E9F" w:rsidRPr="00981F74">
        <w:rPr>
          <w:lang w:val="en-GB"/>
        </w:rPr>
        <w:t xml:space="preserve">its </w:t>
      </w:r>
      <w:r w:rsidRPr="00981F74">
        <w:rPr>
          <w:lang w:val="en-GB"/>
        </w:rPr>
        <w:t>Silverberry or Northern Rockies</w:t>
      </w:r>
      <w:r w:rsidR="00336E9F" w:rsidRPr="00981F74">
        <w:rPr>
          <w:lang w:val="en-GB"/>
        </w:rPr>
        <w:t xml:space="preserve"> sites</w:t>
      </w:r>
      <w:r w:rsidRPr="00981F74">
        <w:rPr>
          <w:lang w:val="en-GB"/>
        </w:rPr>
        <w:t>. The allocative efficiencies would come from putting the Babkirk site to a more valuable use.</w:t>
      </w:r>
    </w:p>
    <w:p w14:paraId="53F8EEEE" w14:textId="77777777" w:rsidR="00E36B38" w:rsidRPr="00C84B99" w:rsidRDefault="00E36B38" w:rsidP="006112FF">
      <w:pPr>
        <w:pStyle w:val="BodyTextMain"/>
        <w:rPr>
          <w:sz w:val="18"/>
          <w:szCs w:val="18"/>
          <w:lang w:val="en-GB"/>
        </w:rPr>
      </w:pPr>
    </w:p>
    <w:p w14:paraId="0FF2FEF3" w14:textId="77777777" w:rsidR="000354F6" w:rsidRPr="00C84B99" w:rsidRDefault="000354F6" w:rsidP="006112FF">
      <w:pPr>
        <w:pStyle w:val="BodyTextMain"/>
        <w:rPr>
          <w:sz w:val="18"/>
          <w:szCs w:val="18"/>
          <w:lang w:val="en-GB"/>
        </w:rPr>
      </w:pPr>
    </w:p>
    <w:p w14:paraId="782B65A0" w14:textId="77777777" w:rsidR="00E36B38" w:rsidRPr="00981F74" w:rsidRDefault="00E36B38" w:rsidP="000354F6">
      <w:pPr>
        <w:pStyle w:val="Casehead2"/>
        <w:rPr>
          <w:lang w:val="en-GB"/>
        </w:rPr>
      </w:pPr>
      <w:r w:rsidRPr="00981F74">
        <w:rPr>
          <w:lang w:val="en-GB"/>
        </w:rPr>
        <w:t>Productive Efficiencies</w:t>
      </w:r>
    </w:p>
    <w:p w14:paraId="33E6918E" w14:textId="77777777" w:rsidR="00E36B38" w:rsidRPr="00C84B99" w:rsidRDefault="00E36B38" w:rsidP="006112FF">
      <w:pPr>
        <w:pStyle w:val="BodyTextMain"/>
        <w:rPr>
          <w:sz w:val="18"/>
          <w:szCs w:val="18"/>
          <w:lang w:val="en-GB"/>
        </w:rPr>
      </w:pPr>
    </w:p>
    <w:p w14:paraId="2F6AB3C0" w14:textId="2BF63A69" w:rsidR="00E36B38" w:rsidRPr="00981F74" w:rsidRDefault="00E36B38" w:rsidP="006112FF">
      <w:pPr>
        <w:pStyle w:val="BodyTextMain"/>
        <w:rPr>
          <w:lang w:val="en-GB"/>
        </w:rPr>
      </w:pPr>
      <w:r w:rsidRPr="00981F74">
        <w:rPr>
          <w:lang w:val="en-GB"/>
        </w:rPr>
        <w:t xml:space="preserve">Tervita argued that customers closest to Babkirk would save on transportation costs by shipping their hazardous waste to Babkirk instead of Silverberry or Northern Rockies. Other productive efficiencies could be achieved by allowing Tervita to </w:t>
      </w:r>
      <w:r w:rsidR="007A4062" w:rsidRPr="00981F74">
        <w:rPr>
          <w:lang w:val="en-GB"/>
        </w:rPr>
        <w:t xml:space="preserve">service </w:t>
      </w:r>
      <w:proofErr w:type="spellStart"/>
      <w:r w:rsidR="007A4062" w:rsidRPr="00981F74">
        <w:rPr>
          <w:lang w:val="en-GB"/>
        </w:rPr>
        <w:t>Babkirk</w:t>
      </w:r>
      <w:proofErr w:type="spellEnd"/>
      <w:r w:rsidR="007A4062" w:rsidRPr="00981F74">
        <w:rPr>
          <w:lang w:val="en-GB"/>
        </w:rPr>
        <w:t xml:space="preserve"> by </w:t>
      </w:r>
      <w:r w:rsidRPr="00981F74">
        <w:rPr>
          <w:lang w:val="en-GB"/>
        </w:rPr>
        <w:t>us</w:t>
      </w:r>
      <w:r w:rsidR="007A4062" w:rsidRPr="00981F74">
        <w:rPr>
          <w:lang w:val="en-GB"/>
        </w:rPr>
        <w:t>ing</w:t>
      </w:r>
      <w:r w:rsidRPr="00981F74">
        <w:rPr>
          <w:lang w:val="en-GB"/>
        </w:rPr>
        <w:t xml:space="preserve"> its back</w:t>
      </w:r>
      <w:r w:rsidR="008F6D69" w:rsidRPr="00981F74">
        <w:rPr>
          <w:lang w:val="en-GB"/>
        </w:rPr>
        <w:t xml:space="preserve"> </w:t>
      </w:r>
      <w:r w:rsidRPr="00981F74">
        <w:rPr>
          <w:lang w:val="en-GB"/>
        </w:rPr>
        <w:t>office capabilities</w:t>
      </w:r>
      <w:r w:rsidR="007A4062" w:rsidRPr="00981F74">
        <w:rPr>
          <w:lang w:val="en-GB"/>
        </w:rPr>
        <w:t xml:space="preserve">, including </w:t>
      </w:r>
      <w:r w:rsidRPr="00981F74">
        <w:rPr>
          <w:lang w:val="en-GB"/>
        </w:rPr>
        <w:t xml:space="preserve">customer service, training, legal </w:t>
      </w:r>
      <w:r w:rsidR="008F6D69" w:rsidRPr="00981F74">
        <w:rPr>
          <w:lang w:val="en-GB"/>
        </w:rPr>
        <w:t xml:space="preserve">services, </w:t>
      </w:r>
      <w:r w:rsidRPr="00981F74">
        <w:rPr>
          <w:lang w:val="en-GB"/>
        </w:rPr>
        <w:t xml:space="preserve">and other general and administrative capabilities. </w:t>
      </w:r>
      <w:r w:rsidR="007A4062" w:rsidRPr="00981F74">
        <w:rPr>
          <w:lang w:val="en-GB"/>
        </w:rPr>
        <w:t>Other</w:t>
      </w:r>
      <w:r w:rsidRPr="00981F74">
        <w:rPr>
          <w:lang w:val="en-GB"/>
        </w:rPr>
        <w:t xml:space="preserve"> cost savings could </w:t>
      </w:r>
      <w:r w:rsidR="007A4062" w:rsidRPr="00981F74">
        <w:rPr>
          <w:lang w:val="en-GB"/>
        </w:rPr>
        <w:t xml:space="preserve">also </w:t>
      </w:r>
      <w:r w:rsidRPr="00981F74">
        <w:rPr>
          <w:lang w:val="en-GB"/>
        </w:rPr>
        <w:t xml:space="preserve">be achieved in </w:t>
      </w:r>
      <w:r w:rsidR="007A4062" w:rsidRPr="00981F74">
        <w:rPr>
          <w:lang w:val="en-GB"/>
        </w:rPr>
        <w:t xml:space="preserve">roll-off business at the </w:t>
      </w:r>
      <w:r w:rsidRPr="00981F74">
        <w:rPr>
          <w:lang w:val="en-GB"/>
        </w:rPr>
        <w:t>Babkirk</w:t>
      </w:r>
      <w:r w:rsidR="007A4062" w:rsidRPr="00981F74">
        <w:rPr>
          <w:lang w:val="en-GB"/>
        </w:rPr>
        <w:t xml:space="preserve"> site</w:t>
      </w:r>
      <w:r w:rsidRPr="00981F74">
        <w:rPr>
          <w:lang w:val="en-GB"/>
        </w:rPr>
        <w:t>.</w:t>
      </w:r>
    </w:p>
    <w:p w14:paraId="2B7EAB50" w14:textId="77777777" w:rsidR="00E36B38" w:rsidRPr="00C84B99" w:rsidRDefault="00E36B38" w:rsidP="006112FF">
      <w:pPr>
        <w:pStyle w:val="BodyTextMain"/>
        <w:rPr>
          <w:sz w:val="18"/>
          <w:szCs w:val="18"/>
          <w:lang w:val="en-GB"/>
        </w:rPr>
      </w:pPr>
    </w:p>
    <w:p w14:paraId="357ED861" w14:textId="77777777" w:rsidR="000354F6" w:rsidRPr="00C84B99" w:rsidRDefault="000354F6" w:rsidP="006112FF">
      <w:pPr>
        <w:pStyle w:val="BodyTextMain"/>
        <w:rPr>
          <w:sz w:val="18"/>
          <w:szCs w:val="18"/>
          <w:lang w:val="en-GB"/>
        </w:rPr>
      </w:pPr>
    </w:p>
    <w:p w14:paraId="5E3FE38B" w14:textId="77777777" w:rsidR="00E36B38" w:rsidRPr="00981F74" w:rsidRDefault="00E36B38" w:rsidP="000354F6">
      <w:pPr>
        <w:pStyle w:val="Casehead2"/>
        <w:rPr>
          <w:lang w:val="en-GB"/>
        </w:rPr>
      </w:pPr>
      <w:r w:rsidRPr="00981F74">
        <w:rPr>
          <w:lang w:val="en-GB"/>
        </w:rPr>
        <w:t>Dynamic Efficiencies</w:t>
      </w:r>
    </w:p>
    <w:p w14:paraId="54093153" w14:textId="77777777" w:rsidR="00E36B38" w:rsidRPr="00C84B99" w:rsidRDefault="00E36B38" w:rsidP="006112FF">
      <w:pPr>
        <w:pStyle w:val="BodyTextMain"/>
        <w:rPr>
          <w:sz w:val="18"/>
          <w:szCs w:val="18"/>
          <w:lang w:val="en-GB"/>
        </w:rPr>
      </w:pPr>
    </w:p>
    <w:p w14:paraId="7FB61138" w14:textId="0E6CAAF2" w:rsidR="00E36B38" w:rsidRPr="00981F74" w:rsidRDefault="00E36B38" w:rsidP="006112FF">
      <w:pPr>
        <w:pStyle w:val="BodyTextMain"/>
        <w:rPr>
          <w:lang w:val="en-GB"/>
        </w:rPr>
      </w:pPr>
      <w:r w:rsidRPr="00981F74">
        <w:rPr>
          <w:lang w:val="en-GB"/>
        </w:rPr>
        <w:t xml:space="preserve">Tervita argued that significant </w:t>
      </w:r>
      <w:r w:rsidR="00BF6EA7" w:rsidRPr="00981F74">
        <w:rPr>
          <w:lang w:val="en-GB"/>
        </w:rPr>
        <w:t xml:space="preserve">volumes </w:t>
      </w:r>
      <w:r w:rsidRPr="00981F74">
        <w:rPr>
          <w:lang w:val="en-GB"/>
        </w:rPr>
        <w:t xml:space="preserve">of waste </w:t>
      </w:r>
      <w:r w:rsidR="00617A2C" w:rsidRPr="00981F74">
        <w:rPr>
          <w:lang w:val="en-GB"/>
        </w:rPr>
        <w:t xml:space="preserve">were being stored </w:t>
      </w:r>
      <w:r w:rsidRPr="00981F74">
        <w:rPr>
          <w:lang w:val="en-GB"/>
        </w:rPr>
        <w:t xml:space="preserve">at </w:t>
      </w:r>
      <w:r w:rsidR="00617A2C" w:rsidRPr="00981F74">
        <w:rPr>
          <w:lang w:val="en-GB"/>
        </w:rPr>
        <w:t xml:space="preserve">potential </w:t>
      </w:r>
      <w:r w:rsidRPr="00981F74">
        <w:rPr>
          <w:lang w:val="en-GB"/>
        </w:rPr>
        <w:t>customers’ sites</w:t>
      </w:r>
      <w:r w:rsidR="00617A2C" w:rsidRPr="00981F74">
        <w:rPr>
          <w:lang w:val="en-GB"/>
        </w:rPr>
        <w:t>.</w:t>
      </w:r>
      <w:r w:rsidRPr="00981F74">
        <w:rPr>
          <w:lang w:val="en-GB"/>
        </w:rPr>
        <w:t xml:space="preserve"> </w:t>
      </w:r>
      <w:r w:rsidR="004C65B9" w:rsidRPr="00981F74">
        <w:rPr>
          <w:lang w:val="en-GB"/>
        </w:rPr>
        <w:t>According to Tervita,</w:t>
      </w:r>
      <w:r w:rsidRPr="00981F74">
        <w:rPr>
          <w:lang w:val="en-GB"/>
        </w:rPr>
        <w:t xml:space="preserve"> these customers </w:t>
      </w:r>
      <w:r w:rsidR="004C65B9" w:rsidRPr="00981F74">
        <w:rPr>
          <w:lang w:val="en-GB"/>
        </w:rPr>
        <w:t xml:space="preserve">could be swayed </w:t>
      </w:r>
      <w:r w:rsidRPr="00981F74">
        <w:rPr>
          <w:lang w:val="en-GB"/>
        </w:rPr>
        <w:t>to dispose of their hazardous waste</w:t>
      </w:r>
      <w:r w:rsidR="004C65B9" w:rsidRPr="00981F74">
        <w:rPr>
          <w:lang w:val="en-GB"/>
        </w:rPr>
        <w:t xml:space="preserve"> at Babkirk,</w:t>
      </w:r>
      <w:r w:rsidRPr="00981F74">
        <w:rPr>
          <w:lang w:val="en-GB"/>
        </w:rPr>
        <w:t xml:space="preserve"> instead of continuing to store it onsite</w:t>
      </w:r>
      <w:r w:rsidR="004C65B9" w:rsidRPr="00981F74">
        <w:rPr>
          <w:lang w:val="en-GB"/>
        </w:rPr>
        <w:t>, by being offered a more economical option</w:t>
      </w:r>
      <w:r w:rsidRPr="00981F74">
        <w:rPr>
          <w:lang w:val="en-GB"/>
        </w:rPr>
        <w:t>.</w:t>
      </w:r>
    </w:p>
    <w:p w14:paraId="06BF89E8" w14:textId="77777777" w:rsidR="00E36B38" w:rsidRPr="00C84B99" w:rsidRDefault="00E36B38" w:rsidP="006112FF">
      <w:pPr>
        <w:pStyle w:val="BodyTextMain"/>
        <w:rPr>
          <w:sz w:val="18"/>
          <w:szCs w:val="18"/>
          <w:lang w:val="en-GB"/>
        </w:rPr>
      </w:pPr>
    </w:p>
    <w:p w14:paraId="7D1A46CB" w14:textId="77777777" w:rsidR="00C7684F" w:rsidRPr="00C84B99" w:rsidRDefault="00C7684F" w:rsidP="006112FF">
      <w:pPr>
        <w:pStyle w:val="BodyTextMain"/>
        <w:rPr>
          <w:sz w:val="18"/>
          <w:szCs w:val="18"/>
          <w:lang w:val="en-GB"/>
        </w:rPr>
      </w:pPr>
    </w:p>
    <w:p w14:paraId="741ADED1" w14:textId="77777777" w:rsidR="00C7684F" w:rsidRPr="00981F74" w:rsidRDefault="00C7684F" w:rsidP="000354F6">
      <w:pPr>
        <w:pStyle w:val="Casehead1"/>
        <w:rPr>
          <w:lang w:val="en-GB"/>
        </w:rPr>
      </w:pPr>
      <w:proofErr w:type="gramStart"/>
      <w:r w:rsidRPr="00981F74">
        <w:rPr>
          <w:lang w:val="en-GB"/>
        </w:rPr>
        <w:t>NEW COURSE OF ACTION?</w:t>
      </w:r>
      <w:proofErr w:type="gramEnd"/>
    </w:p>
    <w:p w14:paraId="45E2E88B" w14:textId="77777777" w:rsidR="00C7684F" w:rsidRPr="00C84B99" w:rsidRDefault="00C7684F" w:rsidP="00391C81">
      <w:pPr>
        <w:pStyle w:val="BodyTextMain"/>
        <w:rPr>
          <w:sz w:val="18"/>
          <w:szCs w:val="18"/>
          <w:lang w:val="en-GB"/>
        </w:rPr>
      </w:pPr>
      <w:bookmarkStart w:id="0" w:name="_GoBack"/>
    </w:p>
    <w:bookmarkEnd w:id="0"/>
    <w:p w14:paraId="2CFFF6A3" w14:textId="29FA0D7E" w:rsidR="007A328E" w:rsidRPr="00981F74" w:rsidRDefault="00E36B38" w:rsidP="00391C81">
      <w:pPr>
        <w:pStyle w:val="BodyTextMain"/>
        <w:rPr>
          <w:lang w:val="en-GB"/>
        </w:rPr>
      </w:pPr>
      <w:r w:rsidRPr="00981F74">
        <w:rPr>
          <w:lang w:val="en-GB"/>
        </w:rPr>
        <w:t>In its appeal</w:t>
      </w:r>
      <w:r w:rsidR="007E695B" w:rsidRPr="00981F74">
        <w:rPr>
          <w:lang w:val="en-GB"/>
        </w:rPr>
        <w:t xml:space="preserve"> to the S</w:t>
      </w:r>
      <w:r w:rsidR="009D0850">
        <w:rPr>
          <w:lang w:val="en-GB"/>
        </w:rPr>
        <w:t>CC</w:t>
      </w:r>
      <w:r w:rsidRPr="00981F74">
        <w:rPr>
          <w:lang w:val="en-GB"/>
        </w:rPr>
        <w:t xml:space="preserve">, Tervita claimed </w:t>
      </w:r>
      <w:r w:rsidR="007E695B" w:rsidRPr="00981F74">
        <w:rPr>
          <w:lang w:val="en-GB"/>
        </w:rPr>
        <w:t xml:space="preserve">total </w:t>
      </w:r>
      <w:r w:rsidRPr="00981F74">
        <w:rPr>
          <w:lang w:val="en-GB"/>
        </w:rPr>
        <w:t>efficiencies of $26,000 from the merger.</w:t>
      </w:r>
      <w:r w:rsidR="007A328E" w:rsidRPr="00981F74">
        <w:rPr>
          <w:lang w:val="en-GB"/>
        </w:rPr>
        <w:t xml:space="preserve"> </w:t>
      </w:r>
      <w:r w:rsidR="008740DD" w:rsidRPr="00981F74">
        <w:rPr>
          <w:lang w:val="en-GB"/>
        </w:rPr>
        <w:t>In preparation for the case,</w:t>
      </w:r>
      <w:r w:rsidR="00C7684F" w:rsidRPr="00981F74">
        <w:rPr>
          <w:lang w:val="en-GB"/>
        </w:rPr>
        <w:t xml:space="preserve"> the first merger case </w:t>
      </w:r>
      <w:r w:rsidR="008740DD" w:rsidRPr="00981F74">
        <w:rPr>
          <w:lang w:val="en-GB"/>
        </w:rPr>
        <w:t xml:space="preserve">to be </w:t>
      </w:r>
      <w:r w:rsidR="00C7684F" w:rsidRPr="00981F74">
        <w:rPr>
          <w:lang w:val="en-GB"/>
        </w:rPr>
        <w:t>heard by the S</w:t>
      </w:r>
      <w:r w:rsidR="009D0850">
        <w:rPr>
          <w:lang w:val="en-GB"/>
        </w:rPr>
        <w:t>CC</w:t>
      </w:r>
      <w:r w:rsidR="00C7684F" w:rsidRPr="00981F74">
        <w:rPr>
          <w:lang w:val="en-GB"/>
        </w:rPr>
        <w:t xml:space="preserve"> in </w:t>
      </w:r>
      <w:r w:rsidR="008740DD" w:rsidRPr="00981F74">
        <w:rPr>
          <w:lang w:val="en-GB"/>
        </w:rPr>
        <w:t>17 years</w:t>
      </w:r>
      <w:r w:rsidR="00C7684F" w:rsidRPr="00981F74">
        <w:rPr>
          <w:lang w:val="en-GB"/>
        </w:rPr>
        <w:t xml:space="preserve">, the </w:t>
      </w:r>
      <w:r w:rsidR="00BB78BD">
        <w:rPr>
          <w:lang w:val="en-GB"/>
        </w:rPr>
        <w:t>c</w:t>
      </w:r>
      <w:r w:rsidR="00C7684F" w:rsidRPr="00981F74">
        <w:rPr>
          <w:lang w:val="en-GB"/>
        </w:rPr>
        <w:t xml:space="preserve">ommissioner </w:t>
      </w:r>
      <w:r w:rsidR="008740DD" w:rsidRPr="00981F74">
        <w:rPr>
          <w:lang w:val="en-GB"/>
        </w:rPr>
        <w:t>consulted the Competition Bureau’s special economic advisor</w:t>
      </w:r>
      <w:r w:rsidR="008965FD">
        <w:rPr>
          <w:lang w:val="en-GB"/>
        </w:rPr>
        <w:t>,</w:t>
      </w:r>
      <w:r w:rsidR="009D0850">
        <w:rPr>
          <w:lang w:val="en-GB"/>
        </w:rPr>
        <w:t xml:space="preserve"> and asked for more information</w:t>
      </w:r>
      <w:r w:rsidR="00C7684F" w:rsidRPr="00981F74">
        <w:rPr>
          <w:lang w:val="en-GB"/>
        </w:rPr>
        <w:t xml:space="preserve">. </w:t>
      </w:r>
      <w:r w:rsidR="008740DD" w:rsidRPr="00981F74">
        <w:rPr>
          <w:lang w:val="en-GB"/>
        </w:rPr>
        <w:t>“D</w:t>
      </w:r>
      <w:r w:rsidR="00C7684F" w:rsidRPr="00981F74">
        <w:rPr>
          <w:lang w:val="en-GB"/>
        </w:rPr>
        <w:t>o we have cause for concern? I</w:t>
      </w:r>
      <w:r w:rsidR="007A328E" w:rsidRPr="00981F74">
        <w:rPr>
          <w:lang w:val="en-GB"/>
        </w:rPr>
        <w:t>s a $26,000 efficiencies defen</w:t>
      </w:r>
      <w:r w:rsidR="008740DD" w:rsidRPr="00981F74">
        <w:rPr>
          <w:lang w:val="en-GB"/>
        </w:rPr>
        <w:t>c</w:t>
      </w:r>
      <w:r w:rsidR="007A328E" w:rsidRPr="00981F74">
        <w:rPr>
          <w:lang w:val="en-GB"/>
        </w:rPr>
        <w:t>e something we should be worried about?</w:t>
      </w:r>
      <w:r w:rsidR="00DF5F4C" w:rsidRPr="00981F74">
        <w:rPr>
          <w:lang w:val="en-GB"/>
        </w:rPr>
        <w:t xml:space="preserve"> Do we need a new course of action?</w:t>
      </w:r>
      <w:r w:rsidR="007A328E" w:rsidRPr="00981F74">
        <w:rPr>
          <w:lang w:val="en-GB"/>
        </w:rPr>
        <w:t xml:space="preserve">” </w:t>
      </w:r>
      <w:r w:rsidR="00644788">
        <w:rPr>
          <w:lang w:val="en-GB"/>
        </w:rPr>
        <w:t>The special economic advisor</w:t>
      </w:r>
      <w:r w:rsidR="00644788" w:rsidRPr="00981F74">
        <w:rPr>
          <w:lang w:val="en-GB"/>
        </w:rPr>
        <w:t xml:space="preserve"> </w:t>
      </w:r>
      <w:r w:rsidR="007A328E" w:rsidRPr="00981F74">
        <w:rPr>
          <w:lang w:val="en-GB"/>
        </w:rPr>
        <w:t xml:space="preserve">was </w:t>
      </w:r>
      <w:r w:rsidR="008740DD" w:rsidRPr="00981F74">
        <w:rPr>
          <w:lang w:val="en-GB"/>
        </w:rPr>
        <w:t xml:space="preserve">asked </w:t>
      </w:r>
      <w:r w:rsidR="007A328E" w:rsidRPr="00981F74">
        <w:rPr>
          <w:lang w:val="en-GB"/>
        </w:rPr>
        <w:t xml:space="preserve">to </w:t>
      </w:r>
      <w:r w:rsidR="008740DD" w:rsidRPr="00981F74">
        <w:rPr>
          <w:lang w:val="en-GB"/>
        </w:rPr>
        <w:t>provide a</w:t>
      </w:r>
      <w:r w:rsidR="00A87411" w:rsidRPr="00981F74">
        <w:rPr>
          <w:lang w:val="en-GB"/>
        </w:rPr>
        <w:t>dvice</w:t>
      </w:r>
      <w:r w:rsidR="007A328E" w:rsidRPr="00981F74">
        <w:rPr>
          <w:lang w:val="en-GB"/>
        </w:rPr>
        <w:t xml:space="preserve"> by the end of the day</w:t>
      </w:r>
      <w:r w:rsidR="00644788">
        <w:rPr>
          <w:lang w:val="en-GB"/>
        </w:rPr>
        <w:t xml:space="preserve"> and</w:t>
      </w:r>
      <w:r w:rsidR="00C7684F" w:rsidRPr="00981F74">
        <w:rPr>
          <w:lang w:val="en-GB"/>
        </w:rPr>
        <w:t xml:space="preserve"> knew that the S</w:t>
      </w:r>
      <w:r w:rsidR="009D0850">
        <w:rPr>
          <w:lang w:val="en-GB"/>
        </w:rPr>
        <w:t>CC</w:t>
      </w:r>
      <w:r w:rsidR="008740DD" w:rsidRPr="00981F74">
        <w:rPr>
          <w:lang w:val="en-GB"/>
        </w:rPr>
        <w:t>’s decision</w:t>
      </w:r>
      <w:r w:rsidR="00C7684F" w:rsidRPr="00981F74">
        <w:rPr>
          <w:lang w:val="en-GB"/>
        </w:rPr>
        <w:t xml:space="preserve"> would </w:t>
      </w:r>
      <w:r w:rsidR="008740DD" w:rsidRPr="00981F74">
        <w:rPr>
          <w:lang w:val="en-GB"/>
        </w:rPr>
        <w:t>be</w:t>
      </w:r>
      <w:r w:rsidR="00C7684F" w:rsidRPr="00981F74">
        <w:rPr>
          <w:lang w:val="en-GB"/>
        </w:rPr>
        <w:t xml:space="preserve"> the final word on this issue.</w:t>
      </w:r>
    </w:p>
    <w:p w14:paraId="72A59265" w14:textId="77777777" w:rsidR="007A328E" w:rsidRPr="00981F74" w:rsidRDefault="007A328E" w:rsidP="00391C81">
      <w:pPr>
        <w:pStyle w:val="BodyTextMain"/>
        <w:rPr>
          <w:lang w:val="en-GB"/>
        </w:rPr>
      </w:pPr>
    </w:p>
    <w:sectPr w:rsidR="007A328E" w:rsidRPr="00981F74" w:rsidSect="00751E0B">
      <w:headerReference w:type="default" r:id="rId12"/>
      <w:endnotePr>
        <w:numFmt w:val="decimal"/>
      </w:endnotePr>
      <w:pgSz w:w="12240" w:h="15840" w:code="1"/>
      <w:pgMar w:top="1080" w:right="1440" w:bottom="1440" w:left="1440" w:header="108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8CF5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5C9CA" w14:textId="77777777" w:rsidR="006C3C76" w:rsidRDefault="006C3C76" w:rsidP="00D75295">
      <w:r>
        <w:separator/>
      </w:r>
    </w:p>
  </w:endnote>
  <w:endnote w:type="continuationSeparator" w:id="0">
    <w:p w14:paraId="45D4CA81" w14:textId="77777777" w:rsidR="006C3C76" w:rsidRDefault="006C3C7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F73A35" w14:textId="77777777" w:rsidR="006C3C76" w:rsidRDefault="006C3C76" w:rsidP="00D75295">
      <w:r>
        <w:separator/>
      </w:r>
    </w:p>
  </w:footnote>
  <w:footnote w:type="continuationSeparator" w:id="0">
    <w:p w14:paraId="2EBA89E5" w14:textId="77777777" w:rsidR="006C3C76" w:rsidRDefault="006C3C76" w:rsidP="00D75295">
      <w:r>
        <w:continuationSeparator/>
      </w:r>
    </w:p>
  </w:footnote>
  <w:footnote w:id="1">
    <w:p w14:paraId="5809A6C8" w14:textId="6B6F403F" w:rsidR="00C84B99" w:rsidRDefault="00C84B99" w:rsidP="00C84B99">
      <w:pPr>
        <w:pStyle w:val="FootnoteText1"/>
      </w:pPr>
      <w:r>
        <w:rPr>
          <w:rStyle w:val="FootnoteReference"/>
        </w:rPr>
        <w:footnoteRef/>
      </w:r>
      <w:r>
        <w:t xml:space="preserve"> </w:t>
      </w:r>
      <w:r>
        <w:t>This case has been written on the basis of published sources only. Consequently, the interpretation and perspectives presented in this case are not necessarily those of the Canadian Competition Bureau, CCS Corporation, Complete Environmental Inc., or any of their employees.</w:t>
      </w:r>
    </w:p>
  </w:footnote>
  <w:footnote w:id="2">
    <w:p w14:paraId="07DD9BE8" w14:textId="78E4670C" w:rsidR="001A0DAD" w:rsidRDefault="001A0DAD" w:rsidP="000354F6">
      <w:pPr>
        <w:pStyle w:val="FootnoteText1"/>
      </w:pPr>
      <w:r>
        <w:rPr>
          <w:rStyle w:val="FootnoteReference"/>
        </w:rPr>
        <w:footnoteRef/>
      </w:r>
      <w:r>
        <w:t xml:space="preserve"> </w:t>
      </w:r>
      <w:r w:rsidR="009D0850">
        <w:t>“</w:t>
      </w:r>
      <w:r w:rsidRPr="001A0DAD">
        <w:t>Tervita Corporation v. Commissioner of Competition, 2013 FCA 28</w:t>
      </w:r>
      <w:r w:rsidR="009D0850">
        <w:t>,</w:t>
      </w:r>
      <w:r w:rsidR="008965FD">
        <w:t>”</w:t>
      </w:r>
      <w:r>
        <w:t xml:space="preserve"> </w:t>
      </w:r>
      <w:r w:rsidR="009D0850">
        <w:t>p</w:t>
      </w:r>
      <w:r w:rsidR="00981807">
        <w:t>aragraph 148</w:t>
      </w:r>
      <w:r w:rsidR="009D0850">
        <w:t xml:space="preserve">, Federal Court of Appeal, </w:t>
      </w:r>
      <w:proofErr w:type="spellStart"/>
      <w:r w:rsidR="009D0850">
        <w:t>CanLII</w:t>
      </w:r>
      <w:proofErr w:type="spellEnd"/>
      <w:r w:rsidR="009D0850">
        <w:t>, May</w:t>
      </w:r>
      <w:r w:rsidR="008965FD">
        <w:t> </w:t>
      </w:r>
      <w:r w:rsidR="009D0850">
        <w:t xml:space="preserve">29, 2012, accessed May 6, 2017, </w:t>
      </w:r>
      <w:r w:rsidR="009D0850" w:rsidRPr="007A5DAF">
        <w:t>www.canlii.org/en/ca/fca/doc/2013/2013fca28/2013fca28.html</w:t>
      </w:r>
      <w:r w:rsidR="00981807">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A7E28" w14:textId="6BDF9576" w:rsidR="00B56759" w:rsidRDefault="00B56759"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84B99">
      <w:rPr>
        <w:rFonts w:ascii="Arial" w:hAnsi="Arial"/>
        <w:b/>
        <w:noProof/>
      </w:rPr>
      <w:t>2</w:t>
    </w:r>
    <w:r>
      <w:rPr>
        <w:rFonts w:ascii="Arial" w:hAnsi="Arial"/>
        <w:b/>
      </w:rPr>
      <w:fldChar w:fldCharType="end"/>
    </w:r>
    <w:r>
      <w:rPr>
        <w:rFonts w:ascii="Arial" w:hAnsi="Arial"/>
        <w:b/>
      </w:rPr>
      <w:tab/>
    </w:r>
    <w:r w:rsidR="00910E21">
      <w:rPr>
        <w:rFonts w:ascii="Arial" w:hAnsi="Arial"/>
        <w:b/>
      </w:rPr>
      <w:t>9B17M122</w:t>
    </w:r>
  </w:p>
  <w:p w14:paraId="32C6BBBE" w14:textId="77777777" w:rsidR="00B56759" w:rsidRPr="00C92CC4" w:rsidRDefault="00B56759" w:rsidP="00D13667">
    <w:pPr>
      <w:pStyle w:val="Header"/>
      <w:tabs>
        <w:tab w:val="clear" w:pos="4680"/>
      </w:tabs>
      <w:rPr>
        <w:sz w:val="18"/>
        <w:szCs w:val="18"/>
      </w:rPr>
    </w:pPr>
  </w:p>
  <w:p w14:paraId="0D1D417E" w14:textId="77777777" w:rsidR="00B56759" w:rsidRPr="00C92CC4" w:rsidRDefault="00B56759"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520BF"/>
    <w:multiLevelType w:val="multilevel"/>
    <w:tmpl w:val="EC446B50"/>
    <w:lvl w:ilvl="0">
      <w:start w:val="1"/>
      <w:numFmt w:val="bullet"/>
      <w:lvlText w:val="●"/>
      <w:lvlJc w:val="left"/>
      <w:pPr>
        <w:ind w:left="720" w:firstLine="36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1">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4">
    <w:nsid w:val="50201E1D"/>
    <w:multiLevelType w:val="hybridMultilevel"/>
    <w:tmpl w:val="E9063E2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E65715C"/>
    <w:multiLevelType w:val="hybridMultilevel"/>
    <w:tmpl w:val="09AC8AEC"/>
    <w:lvl w:ilvl="0" w:tplc="977E351E">
      <w:start w:val="2016"/>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3"/>
  </w:num>
  <w:num w:numId="6">
    <w:abstractNumId w:val="0"/>
  </w:num>
  <w:num w:numId="7">
    <w:abstractNumId w:val="4"/>
  </w:num>
  <w:num w:numId="8">
    <w:abstractNumId w:val="7"/>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K edit">
    <w15:presenceInfo w15:providerId="None" w15:userId="JK ed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3806"/>
    <w:rsid w:val="00025DC7"/>
    <w:rsid w:val="000354F6"/>
    <w:rsid w:val="0003648E"/>
    <w:rsid w:val="00041BCD"/>
    <w:rsid w:val="000420C6"/>
    <w:rsid w:val="00044ECC"/>
    <w:rsid w:val="000531D3"/>
    <w:rsid w:val="0005646B"/>
    <w:rsid w:val="0006422D"/>
    <w:rsid w:val="0008102D"/>
    <w:rsid w:val="000820D6"/>
    <w:rsid w:val="00094C0E"/>
    <w:rsid w:val="000B628D"/>
    <w:rsid w:val="000D27E1"/>
    <w:rsid w:val="000D5C0F"/>
    <w:rsid w:val="000F0C22"/>
    <w:rsid w:val="000F37FA"/>
    <w:rsid w:val="000F4C38"/>
    <w:rsid w:val="000F6B09"/>
    <w:rsid w:val="000F6FDC"/>
    <w:rsid w:val="00104567"/>
    <w:rsid w:val="00104916"/>
    <w:rsid w:val="00104AA7"/>
    <w:rsid w:val="00110869"/>
    <w:rsid w:val="00117441"/>
    <w:rsid w:val="0012732D"/>
    <w:rsid w:val="00143F25"/>
    <w:rsid w:val="00152682"/>
    <w:rsid w:val="00154FC9"/>
    <w:rsid w:val="001607D9"/>
    <w:rsid w:val="00175763"/>
    <w:rsid w:val="0018272F"/>
    <w:rsid w:val="0019241A"/>
    <w:rsid w:val="001A0DAD"/>
    <w:rsid w:val="001A3EB5"/>
    <w:rsid w:val="001A752D"/>
    <w:rsid w:val="001A757E"/>
    <w:rsid w:val="001B5032"/>
    <w:rsid w:val="001D5CDB"/>
    <w:rsid w:val="001E364F"/>
    <w:rsid w:val="001E5E3C"/>
    <w:rsid w:val="002033FA"/>
    <w:rsid w:val="00203AA1"/>
    <w:rsid w:val="00207DCD"/>
    <w:rsid w:val="00213E98"/>
    <w:rsid w:val="00213FCC"/>
    <w:rsid w:val="00223271"/>
    <w:rsid w:val="00231EB0"/>
    <w:rsid w:val="0023640A"/>
    <w:rsid w:val="00277582"/>
    <w:rsid w:val="00297FC5"/>
    <w:rsid w:val="002C0ED2"/>
    <w:rsid w:val="002D2C69"/>
    <w:rsid w:val="002F460C"/>
    <w:rsid w:val="002F48D6"/>
    <w:rsid w:val="00317391"/>
    <w:rsid w:val="003259F5"/>
    <w:rsid w:val="00326216"/>
    <w:rsid w:val="003326EA"/>
    <w:rsid w:val="00336580"/>
    <w:rsid w:val="00336E9F"/>
    <w:rsid w:val="00354899"/>
    <w:rsid w:val="00355FD6"/>
    <w:rsid w:val="00357581"/>
    <w:rsid w:val="00357F71"/>
    <w:rsid w:val="00364A5C"/>
    <w:rsid w:val="00365BD2"/>
    <w:rsid w:val="00365FE5"/>
    <w:rsid w:val="00373FB1"/>
    <w:rsid w:val="00390940"/>
    <w:rsid w:val="00391C81"/>
    <w:rsid w:val="00396C76"/>
    <w:rsid w:val="003A4277"/>
    <w:rsid w:val="003B30D8"/>
    <w:rsid w:val="003B6929"/>
    <w:rsid w:val="003B7EF2"/>
    <w:rsid w:val="003C3FA4"/>
    <w:rsid w:val="003C62DA"/>
    <w:rsid w:val="003D6F5E"/>
    <w:rsid w:val="003F2B0C"/>
    <w:rsid w:val="003F5324"/>
    <w:rsid w:val="00403E7C"/>
    <w:rsid w:val="004221E4"/>
    <w:rsid w:val="004273F8"/>
    <w:rsid w:val="004355A3"/>
    <w:rsid w:val="00440E1C"/>
    <w:rsid w:val="00446546"/>
    <w:rsid w:val="00452769"/>
    <w:rsid w:val="0046161E"/>
    <w:rsid w:val="004716A3"/>
    <w:rsid w:val="00472E20"/>
    <w:rsid w:val="004904BE"/>
    <w:rsid w:val="00490AAF"/>
    <w:rsid w:val="00493680"/>
    <w:rsid w:val="004B1CCB"/>
    <w:rsid w:val="004B632F"/>
    <w:rsid w:val="004C4446"/>
    <w:rsid w:val="004C65B9"/>
    <w:rsid w:val="004D3FB1"/>
    <w:rsid w:val="004D6F21"/>
    <w:rsid w:val="004D73A5"/>
    <w:rsid w:val="004E3746"/>
    <w:rsid w:val="004F37C1"/>
    <w:rsid w:val="004F7E8B"/>
    <w:rsid w:val="005160F1"/>
    <w:rsid w:val="005200CD"/>
    <w:rsid w:val="0052024A"/>
    <w:rsid w:val="00524F2F"/>
    <w:rsid w:val="00527E5C"/>
    <w:rsid w:val="00532CF5"/>
    <w:rsid w:val="005445C8"/>
    <w:rsid w:val="005528CB"/>
    <w:rsid w:val="00557E00"/>
    <w:rsid w:val="00566771"/>
    <w:rsid w:val="005714E9"/>
    <w:rsid w:val="00575A2B"/>
    <w:rsid w:val="00581E2E"/>
    <w:rsid w:val="00584F15"/>
    <w:rsid w:val="0059514B"/>
    <w:rsid w:val="00597AA8"/>
    <w:rsid w:val="005A0842"/>
    <w:rsid w:val="005F28A8"/>
    <w:rsid w:val="005F5A83"/>
    <w:rsid w:val="0060256E"/>
    <w:rsid w:val="0060373C"/>
    <w:rsid w:val="00605DC4"/>
    <w:rsid w:val="006112FF"/>
    <w:rsid w:val="00612495"/>
    <w:rsid w:val="00613663"/>
    <w:rsid w:val="006163F7"/>
    <w:rsid w:val="006167B2"/>
    <w:rsid w:val="00617A2C"/>
    <w:rsid w:val="00627C63"/>
    <w:rsid w:val="00630397"/>
    <w:rsid w:val="00637887"/>
    <w:rsid w:val="00644788"/>
    <w:rsid w:val="00645C77"/>
    <w:rsid w:val="006510F4"/>
    <w:rsid w:val="00652606"/>
    <w:rsid w:val="00654AF9"/>
    <w:rsid w:val="00671D63"/>
    <w:rsid w:val="00686A2D"/>
    <w:rsid w:val="006874BD"/>
    <w:rsid w:val="006925C0"/>
    <w:rsid w:val="006946EE"/>
    <w:rsid w:val="006A58A9"/>
    <w:rsid w:val="006A606D"/>
    <w:rsid w:val="006B4628"/>
    <w:rsid w:val="006C0371"/>
    <w:rsid w:val="006C08B6"/>
    <w:rsid w:val="006C0B1A"/>
    <w:rsid w:val="006C3C76"/>
    <w:rsid w:val="006C6065"/>
    <w:rsid w:val="006C7F9F"/>
    <w:rsid w:val="006E2F6D"/>
    <w:rsid w:val="006E58F6"/>
    <w:rsid w:val="006E77E1"/>
    <w:rsid w:val="006F131D"/>
    <w:rsid w:val="00711642"/>
    <w:rsid w:val="007151DE"/>
    <w:rsid w:val="007250FD"/>
    <w:rsid w:val="00740D88"/>
    <w:rsid w:val="0074243E"/>
    <w:rsid w:val="007507C6"/>
    <w:rsid w:val="00751E0B"/>
    <w:rsid w:val="00752BCD"/>
    <w:rsid w:val="00766DA1"/>
    <w:rsid w:val="007866A6"/>
    <w:rsid w:val="007A02A7"/>
    <w:rsid w:val="007A130D"/>
    <w:rsid w:val="007A328E"/>
    <w:rsid w:val="007A4062"/>
    <w:rsid w:val="007A5DAF"/>
    <w:rsid w:val="007D1A2D"/>
    <w:rsid w:val="007D4102"/>
    <w:rsid w:val="007E695B"/>
    <w:rsid w:val="007F43B7"/>
    <w:rsid w:val="00821F0D"/>
    <w:rsid w:val="00821FFC"/>
    <w:rsid w:val="00825115"/>
    <w:rsid w:val="008271CA"/>
    <w:rsid w:val="008467D5"/>
    <w:rsid w:val="00853212"/>
    <w:rsid w:val="008740DD"/>
    <w:rsid w:val="0087506D"/>
    <w:rsid w:val="008965FD"/>
    <w:rsid w:val="008A4DC4"/>
    <w:rsid w:val="008B438C"/>
    <w:rsid w:val="008B5922"/>
    <w:rsid w:val="008D3A46"/>
    <w:rsid w:val="008F6D69"/>
    <w:rsid w:val="009067A4"/>
    <w:rsid w:val="00910E21"/>
    <w:rsid w:val="0091509F"/>
    <w:rsid w:val="0091678C"/>
    <w:rsid w:val="00921448"/>
    <w:rsid w:val="00933B11"/>
    <w:rsid w:val="00933D68"/>
    <w:rsid w:val="009340DB"/>
    <w:rsid w:val="0094618C"/>
    <w:rsid w:val="00950D31"/>
    <w:rsid w:val="0095684B"/>
    <w:rsid w:val="00972498"/>
    <w:rsid w:val="0097481F"/>
    <w:rsid w:val="00974CC6"/>
    <w:rsid w:val="00976AD4"/>
    <w:rsid w:val="00981807"/>
    <w:rsid w:val="00981D9D"/>
    <w:rsid w:val="00981F74"/>
    <w:rsid w:val="00984937"/>
    <w:rsid w:val="00995547"/>
    <w:rsid w:val="009A0A79"/>
    <w:rsid w:val="009A312F"/>
    <w:rsid w:val="009A39DD"/>
    <w:rsid w:val="009A5348"/>
    <w:rsid w:val="009B0655"/>
    <w:rsid w:val="009B0AB7"/>
    <w:rsid w:val="009C76D5"/>
    <w:rsid w:val="009D0850"/>
    <w:rsid w:val="009D71D0"/>
    <w:rsid w:val="009E00AB"/>
    <w:rsid w:val="009F2B63"/>
    <w:rsid w:val="009F7AA4"/>
    <w:rsid w:val="00A01F17"/>
    <w:rsid w:val="00A0269E"/>
    <w:rsid w:val="00A10AD7"/>
    <w:rsid w:val="00A12FD5"/>
    <w:rsid w:val="00A156CE"/>
    <w:rsid w:val="00A16079"/>
    <w:rsid w:val="00A21267"/>
    <w:rsid w:val="00A310C1"/>
    <w:rsid w:val="00A559DB"/>
    <w:rsid w:val="00A7137F"/>
    <w:rsid w:val="00A87411"/>
    <w:rsid w:val="00A93BDF"/>
    <w:rsid w:val="00AB07FA"/>
    <w:rsid w:val="00AC3495"/>
    <w:rsid w:val="00AF00F3"/>
    <w:rsid w:val="00AF35FC"/>
    <w:rsid w:val="00AF5556"/>
    <w:rsid w:val="00AF701C"/>
    <w:rsid w:val="00B03639"/>
    <w:rsid w:val="00B0652A"/>
    <w:rsid w:val="00B11C3E"/>
    <w:rsid w:val="00B13B60"/>
    <w:rsid w:val="00B204AF"/>
    <w:rsid w:val="00B34746"/>
    <w:rsid w:val="00B37EC9"/>
    <w:rsid w:val="00B40937"/>
    <w:rsid w:val="00B423EF"/>
    <w:rsid w:val="00B453DE"/>
    <w:rsid w:val="00B45B37"/>
    <w:rsid w:val="00B56759"/>
    <w:rsid w:val="00B62BA8"/>
    <w:rsid w:val="00B62E65"/>
    <w:rsid w:val="00B81E48"/>
    <w:rsid w:val="00B84ED7"/>
    <w:rsid w:val="00B901F9"/>
    <w:rsid w:val="00B94CB6"/>
    <w:rsid w:val="00BA680C"/>
    <w:rsid w:val="00BB36B7"/>
    <w:rsid w:val="00BB78BD"/>
    <w:rsid w:val="00BD047A"/>
    <w:rsid w:val="00BD6EFB"/>
    <w:rsid w:val="00BF6EA7"/>
    <w:rsid w:val="00C1114B"/>
    <w:rsid w:val="00C1584D"/>
    <w:rsid w:val="00C15BE2"/>
    <w:rsid w:val="00C317D1"/>
    <w:rsid w:val="00C3447F"/>
    <w:rsid w:val="00C545DD"/>
    <w:rsid w:val="00C7684F"/>
    <w:rsid w:val="00C81491"/>
    <w:rsid w:val="00C81676"/>
    <w:rsid w:val="00C84B99"/>
    <w:rsid w:val="00C85C5D"/>
    <w:rsid w:val="00C8737B"/>
    <w:rsid w:val="00C92CC4"/>
    <w:rsid w:val="00C967D9"/>
    <w:rsid w:val="00CA0AFB"/>
    <w:rsid w:val="00CA1FFF"/>
    <w:rsid w:val="00CA2CE1"/>
    <w:rsid w:val="00CA3976"/>
    <w:rsid w:val="00CA50E3"/>
    <w:rsid w:val="00CA757B"/>
    <w:rsid w:val="00CB21D5"/>
    <w:rsid w:val="00CC1787"/>
    <w:rsid w:val="00CC182C"/>
    <w:rsid w:val="00CC4449"/>
    <w:rsid w:val="00CD0824"/>
    <w:rsid w:val="00CD2908"/>
    <w:rsid w:val="00CD6C10"/>
    <w:rsid w:val="00CE5A43"/>
    <w:rsid w:val="00CE7CAE"/>
    <w:rsid w:val="00D03A82"/>
    <w:rsid w:val="00D13667"/>
    <w:rsid w:val="00D15344"/>
    <w:rsid w:val="00D17976"/>
    <w:rsid w:val="00D2031B"/>
    <w:rsid w:val="00D2479E"/>
    <w:rsid w:val="00D316D5"/>
    <w:rsid w:val="00D31BEC"/>
    <w:rsid w:val="00D5731A"/>
    <w:rsid w:val="00D600C3"/>
    <w:rsid w:val="00D63150"/>
    <w:rsid w:val="00D636BA"/>
    <w:rsid w:val="00D64A32"/>
    <w:rsid w:val="00D64EFC"/>
    <w:rsid w:val="00D74E2E"/>
    <w:rsid w:val="00D75295"/>
    <w:rsid w:val="00D76CE9"/>
    <w:rsid w:val="00D810F8"/>
    <w:rsid w:val="00D864B5"/>
    <w:rsid w:val="00D920FB"/>
    <w:rsid w:val="00D97F12"/>
    <w:rsid w:val="00DA6095"/>
    <w:rsid w:val="00DB396F"/>
    <w:rsid w:val="00DB42E7"/>
    <w:rsid w:val="00DC3130"/>
    <w:rsid w:val="00DC3E0F"/>
    <w:rsid w:val="00DE01A6"/>
    <w:rsid w:val="00DE7A98"/>
    <w:rsid w:val="00DF2FB7"/>
    <w:rsid w:val="00DF32C2"/>
    <w:rsid w:val="00DF5F4C"/>
    <w:rsid w:val="00E26701"/>
    <w:rsid w:val="00E34396"/>
    <w:rsid w:val="00E36B38"/>
    <w:rsid w:val="00E43E96"/>
    <w:rsid w:val="00E471A7"/>
    <w:rsid w:val="00E506B3"/>
    <w:rsid w:val="00E635CF"/>
    <w:rsid w:val="00E6570C"/>
    <w:rsid w:val="00E665AE"/>
    <w:rsid w:val="00E75D69"/>
    <w:rsid w:val="00E76B2F"/>
    <w:rsid w:val="00E8334B"/>
    <w:rsid w:val="00E96315"/>
    <w:rsid w:val="00EB4340"/>
    <w:rsid w:val="00EC0BFF"/>
    <w:rsid w:val="00EC1D11"/>
    <w:rsid w:val="00EC6E0A"/>
    <w:rsid w:val="00ED4E18"/>
    <w:rsid w:val="00EE1F37"/>
    <w:rsid w:val="00F0159C"/>
    <w:rsid w:val="00F105B7"/>
    <w:rsid w:val="00F13220"/>
    <w:rsid w:val="00F17A21"/>
    <w:rsid w:val="00F20A5D"/>
    <w:rsid w:val="00F3073C"/>
    <w:rsid w:val="00F35E6F"/>
    <w:rsid w:val="00F37B27"/>
    <w:rsid w:val="00F46556"/>
    <w:rsid w:val="00F50E91"/>
    <w:rsid w:val="00F57155"/>
    <w:rsid w:val="00F57D29"/>
    <w:rsid w:val="00F7418E"/>
    <w:rsid w:val="00F8568F"/>
    <w:rsid w:val="00F85BE0"/>
    <w:rsid w:val="00F85F28"/>
    <w:rsid w:val="00F90CF8"/>
    <w:rsid w:val="00F91C51"/>
    <w:rsid w:val="00F96201"/>
    <w:rsid w:val="00FD0B18"/>
    <w:rsid w:val="00FD2D1A"/>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9B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0354F6"/>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styleId="Revision">
    <w:name w:val="Revision"/>
    <w:hidden/>
    <w:uiPriority w:val="99"/>
    <w:semiHidden/>
    <w:rsid w:val="00557E00"/>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DC3130"/>
    <w:pPr>
      <w:jc w:val="both"/>
    </w:pPr>
    <w:rPr>
      <w:rFonts w:ascii="Arial" w:hAnsi="Arial"/>
      <w:b/>
      <w:caps/>
    </w:rPr>
  </w:style>
  <w:style w:type="character" w:customStyle="1" w:styleId="citation">
    <w:name w:val="citation"/>
    <w:rsid w:val="00DC3130"/>
  </w:style>
  <w:style w:type="character" w:customStyle="1" w:styleId="reference-accessdate">
    <w:name w:val="reference-accessdate"/>
    <w:rsid w:val="00DC31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0354F6"/>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styleId="Revision">
    <w:name w:val="Revision"/>
    <w:hidden/>
    <w:uiPriority w:val="99"/>
    <w:semiHidden/>
    <w:rsid w:val="00557E00"/>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DC3130"/>
    <w:pPr>
      <w:jc w:val="both"/>
    </w:pPr>
    <w:rPr>
      <w:rFonts w:ascii="Arial" w:hAnsi="Arial"/>
      <w:b/>
      <w:caps/>
    </w:rPr>
  </w:style>
  <w:style w:type="character" w:customStyle="1" w:styleId="citation">
    <w:name w:val="citation"/>
    <w:rsid w:val="00DC3130"/>
  </w:style>
  <w:style w:type="character" w:customStyle="1" w:styleId="reference-accessdate">
    <w:name w:val="reference-accessdate"/>
    <w:rsid w:val="00DC3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0EA26-6892-4819-A394-05FC62FE3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6336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5</cp:revision>
  <cp:lastPrinted>2017-07-17T17:09:00Z</cp:lastPrinted>
  <dcterms:created xsi:type="dcterms:W3CDTF">2017-08-08T14:55:00Z</dcterms:created>
  <dcterms:modified xsi:type="dcterms:W3CDTF">2017-08-17T18:33:00Z</dcterms:modified>
</cp:coreProperties>
</file>