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77A32" w14:textId="1D4BD127" w:rsidR="00AF4070" w:rsidRDefault="0008446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00A38263" wp14:editId="1BCDD2C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21CDD36" w14:textId="77777777" w:rsidR="00084465" w:rsidRPr="00D62BF7" w:rsidRDefault="00084465">
      <w:pPr>
        <w:pBdr>
          <w:bottom w:val="single" w:sz="18" w:space="1" w:color="auto"/>
        </w:pBdr>
        <w:tabs>
          <w:tab w:val="left" w:pos="-1440"/>
          <w:tab w:val="left" w:pos="-720"/>
          <w:tab w:val="left" w:pos="1"/>
        </w:tabs>
        <w:jc w:val="both"/>
        <w:rPr>
          <w:rFonts w:ascii="Arial" w:hAnsi="Arial"/>
          <w:b/>
          <w:sz w:val="24"/>
          <w:lang w:val="en-GB"/>
        </w:rPr>
      </w:pPr>
    </w:p>
    <w:p w14:paraId="2C07B22C" w14:textId="4999B9BF" w:rsidR="00AF4070" w:rsidRPr="00D62BF7" w:rsidRDefault="00084465">
      <w:pPr>
        <w:tabs>
          <w:tab w:val="left" w:pos="-1440"/>
          <w:tab w:val="left" w:pos="-720"/>
          <w:tab w:val="left" w:pos="1"/>
        </w:tabs>
        <w:jc w:val="right"/>
        <w:rPr>
          <w:rFonts w:ascii="Arial" w:hAnsi="Arial"/>
          <w:b/>
          <w:sz w:val="24"/>
          <w:lang w:val="en-GB"/>
        </w:rPr>
      </w:pPr>
      <w:r>
        <w:rPr>
          <w:rFonts w:ascii="Arial" w:hAnsi="Arial"/>
          <w:b/>
          <w:sz w:val="24"/>
          <w:lang w:val="en-GB"/>
        </w:rPr>
        <w:t>9B17M123</w:t>
      </w:r>
    </w:p>
    <w:p w14:paraId="3E4B0BF0" w14:textId="77777777" w:rsidR="00AF4070" w:rsidRPr="00D62BF7" w:rsidRDefault="00AF4070">
      <w:pPr>
        <w:tabs>
          <w:tab w:val="left" w:pos="-1440"/>
          <w:tab w:val="left" w:pos="-720"/>
          <w:tab w:val="left" w:pos="1"/>
        </w:tabs>
        <w:jc w:val="both"/>
        <w:rPr>
          <w:rFonts w:ascii="Arial" w:hAnsi="Arial"/>
          <w:b/>
          <w:sz w:val="28"/>
          <w:lang w:val="en-GB"/>
        </w:rPr>
      </w:pPr>
    </w:p>
    <w:p w14:paraId="6015DABD" w14:textId="77777777" w:rsidR="00AF4070" w:rsidRPr="00D62BF7" w:rsidRDefault="00AF4070">
      <w:pPr>
        <w:tabs>
          <w:tab w:val="left" w:pos="-1440"/>
          <w:tab w:val="left" w:pos="-720"/>
          <w:tab w:val="left" w:pos="1"/>
        </w:tabs>
        <w:jc w:val="both"/>
        <w:rPr>
          <w:rFonts w:ascii="Arial" w:hAnsi="Arial"/>
          <w:b/>
          <w:sz w:val="28"/>
          <w:lang w:val="en-GB"/>
        </w:rPr>
      </w:pPr>
    </w:p>
    <w:p w14:paraId="41757BB9" w14:textId="77777777" w:rsidR="00AF4070" w:rsidRPr="00D62BF7" w:rsidRDefault="00DC3F0D" w:rsidP="00A814DF">
      <w:pPr>
        <w:tabs>
          <w:tab w:val="left" w:pos="-1440"/>
          <w:tab w:val="left" w:pos="-720"/>
          <w:tab w:val="left" w:pos="1"/>
        </w:tabs>
        <w:rPr>
          <w:rFonts w:ascii="Arial Bold" w:hAnsi="Arial Bold"/>
          <w:caps/>
          <w:lang w:val="en-GB"/>
        </w:rPr>
      </w:pPr>
      <w:r w:rsidRPr="00D62BF7">
        <w:rPr>
          <w:rFonts w:ascii="Arial" w:hAnsi="Arial"/>
          <w:b/>
          <w:sz w:val="28"/>
          <w:lang w:val="en-GB"/>
        </w:rPr>
        <w:tab/>
      </w:r>
      <w:r w:rsidR="00AF4070" w:rsidRPr="00D62BF7">
        <w:rPr>
          <w:rFonts w:ascii="Arial Bold" w:hAnsi="Arial Bold"/>
          <w:b/>
          <w:caps/>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D62BF7">
        <w:rPr>
          <w:rFonts w:ascii="Arial Bold" w:hAnsi="Arial Bold"/>
          <w:b/>
          <w:caps/>
          <w:sz w:val="28"/>
          <w:lang w:val="en-GB"/>
        </w:rPr>
        <w:instrText xml:space="preserve"> FORMTEXT </w:instrText>
      </w:r>
      <w:r w:rsidR="00AF4070" w:rsidRPr="00D62BF7">
        <w:rPr>
          <w:rFonts w:ascii="Arial Bold" w:hAnsi="Arial Bold"/>
          <w:b/>
          <w:caps/>
          <w:sz w:val="28"/>
          <w:lang w:val="en-GB"/>
        </w:rPr>
      </w:r>
      <w:r w:rsidR="00AF4070" w:rsidRPr="00D62BF7">
        <w:rPr>
          <w:rFonts w:ascii="Arial Bold" w:hAnsi="Arial Bold"/>
          <w:b/>
          <w:caps/>
          <w:sz w:val="28"/>
          <w:lang w:val="en-GB"/>
        </w:rPr>
        <w:fldChar w:fldCharType="separate"/>
      </w:r>
      <w:r w:rsidR="007E10E1" w:rsidRPr="00D62BF7">
        <w:rPr>
          <w:rFonts w:ascii="Arial Bold" w:hAnsi="Arial Bold"/>
          <w:b/>
          <w:caps/>
          <w:sz w:val="28"/>
          <w:lang w:val="en-GB"/>
        </w:rPr>
        <w:t>Macroeconomic Forces, the National Hockey League, and Winning the Stanley Cup</w:t>
      </w:r>
      <w:r w:rsidR="00AF4070" w:rsidRPr="00D62BF7">
        <w:rPr>
          <w:rFonts w:ascii="Arial Bold" w:hAnsi="Arial Bold"/>
          <w:b/>
          <w:caps/>
          <w:sz w:val="28"/>
          <w:lang w:val="en-GB"/>
        </w:rPr>
        <w:fldChar w:fldCharType="end"/>
      </w:r>
      <w:bookmarkEnd w:id="0"/>
      <w:r w:rsidR="00143940" w:rsidRPr="00D62BF7">
        <w:rPr>
          <w:rStyle w:val="FootnoteReference"/>
          <w:rFonts w:ascii="Arial Bold" w:hAnsi="Arial Bold"/>
          <w:b/>
          <w:caps/>
          <w:sz w:val="28"/>
          <w:lang w:val="en-GB"/>
        </w:rPr>
        <w:footnoteReference w:id="1"/>
      </w:r>
    </w:p>
    <w:p w14:paraId="531833BC" w14:textId="77777777" w:rsidR="00AF4070" w:rsidRPr="00D62BF7" w:rsidRDefault="00AF4070" w:rsidP="00A814DF">
      <w:pPr>
        <w:tabs>
          <w:tab w:val="left" w:pos="-1440"/>
          <w:tab w:val="left" w:pos="-720"/>
          <w:tab w:val="left" w:pos="1"/>
        </w:tabs>
        <w:jc w:val="both"/>
        <w:rPr>
          <w:rFonts w:ascii="Arial" w:hAnsi="Arial"/>
          <w:lang w:val="en-GB"/>
        </w:rPr>
      </w:pPr>
    </w:p>
    <w:p w14:paraId="390E432E" w14:textId="77777777" w:rsidR="00AF4070" w:rsidRPr="00D62BF7" w:rsidRDefault="00AF4070" w:rsidP="00A814DF">
      <w:pPr>
        <w:pBdr>
          <w:bottom w:val="single" w:sz="8" w:space="1" w:color="auto"/>
        </w:pBdr>
        <w:tabs>
          <w:tab w:val="left" w:pos="-1440"/>
          <w:tab w:val="left" w:pos="-720"/>
          <w:tab w:val="left" w:pos="1"/>
        </w:tabs>
        <w:jc w:val="both"/>
        <w:rPr>
          <w:rFonts w:ascii="Arial" w:hAnsi="Arial"/>
          <w:lang w:val="en-GB"/>
        </w:rPr>
      </w:pPr>
    </w:p>
    <w:p w14:paraId="73340F1A" w14:textId="77777777" w:rsidR="00AF4070" w:rsidRPr="00D62BF7" w:rsidRDefault="00AF4070" w:rsidP="00A814DF">
      <w:pPr>
        <w:jc w:val="both"/>
        <w:rPr>
          <w:rFonts w:ascii="Arial" w:hAnsi="Arial"/>
          <w:i/>
          <w:sz w:val="16"/>
          <w:lang w:val="en-GB"/>
        </w:rPr>
      </w:pPr>
      <w:r w:rsidRPr="00D62BF7">
        <w:rPr>
          <w:rFonts w:ascii="Arial" w:hAnsi="Arial"/>
          <w:lang w:val="en-GB"/>
        </w:rPr>
        <w:fldChar w:fldCharType="begin"/>
      </w:r>
      <w:r w:rsidRPr="00D62BF7">
        <w:rPr>
          <w:rFonts w:ascii="Arial" w:hAnsi="Arial"/>
          <w:lang w:val="en-GB"/>
        </w:rPr>
        <w:instrText>ADVANCE \d 2"</w:instrText>
      </w:r>
      <w:r w:rsidRPr="00D62BF7">
        <w:rPr>
          <w:rFonts w:ascii="Arial" w:hAnsi="Arial"/>
          <w:lang w:val="en-GB"/>
        </w:rPr>
        <w:fldChar w:fldCharType="end"/>
      </w:r>
      <w:r w:rsidRPr="00D62BF7">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1" w:name="Text3"/>
      <w:r w:rsidRPr="00D62BF7">
        <w:rPr>
          <w:rFonts w:ascii="Arial" w:hAnsi="Arial"/>
          <w:i/>
          <w:sz w:val="16"/>
          <w:lang w:val="en-GB"/>
        </w:rPr>
        <w:instrText xml:space="preserve"> FORMTEXT </w:instrText>
      </w:r>
      <w:r w:rsidRPr="00D62BF7">
        <w:rPr>
          <w:rFonts w:ascii="Arial" w:hAnsi="Arial"/>
          <w:i/>
          <w:sz w:val="16"/>
          <w:lang w:val="en-GB"/>
        </w:rPr>
      </w:r>
      <w:r w:rsidRPr="00D62BF7">
        <w:rPr>
          <w:rFonts w:ascii="Arial" w:hAnsi="Arial"/>
          <w:i/>
          <w:sz w:val="16"/>
          <w:lang w:val="en-GB"/>
        </w:rPr>
        <w:fldChar w:fldCharType="separate"/>
      </w:r>
      <w:r w:rsidR="00882F43" w:rsidRPr="00D62BF7">
        <w:rPr>
          <w:rFonts w:ascii="Arial" w:hAnsi="Arial"/>
          <w:i/>
          <w:sz w:val="16"/>
          <w:lang w:val="en-GB"/>
        </w:rPr>
        <w:t>Davin Raiha</w:t>
      </w:r>
      <w:r w:rsidRPr="00D62BF7">
        <w:rPr>
          <w:rFonts w:ascii="Arial" w:hAnsi="Arial"/>
          <w:i/>
          <w:sz w:val="16"/>
          <w:lang w:val="en-GB"/>
        </w:rPr>
        <w:fldChar w:fldCharType="end"/>
      </w:r>
      <w:bookmarkEnd w:id="1"/>
      <w:r w:rsidRPr="00D62BF7">
        <w:rPr>
          <w:rFonts w:ascii="Arial" w:hAnsi="Arial"/>
          <w:i/>
          <w:sz w:val="16"/>
          <w:lang w:val="en-GB"/>
        </w:rPr>
        <w:t xml:space="preserve"> </w:t>
      </w:r>
      <w:r w:rsidR="00285451" w:rsidRPr="00D62BF7">
        <w:rPr>
          <w:rFonts w:ascii="Arial" w:hAnsi="Arial"/>
          <w:i/>
          <w:sz w:val="16"/>
          <w:lang w:val="en-GB"/>
        </w:rPr>
        <w:t>wrote</w:t>
      </w:r>
      <w:r w:rsidRPr="00D62BF7">
        <w:rPr>
          <w:rFonts w:ascii="Arial" w:hAnsi="Arial"/>
          <w:i/>
          <w:sz w:val="16"/>
          <w:lang w:val="en-GB"/>
        </w:rPr>
        <w:t xml:space="preserve"> this case solely to provide material for class discussion. The author do</w:t>
      </w:r>
      <w:r w:rsidR="00EC1B66" w:rsidRPr="00D62BF7">
        <w:rPr>
          <w:rFonts w:ascii="Arial" w:hAnsi="Arial"/>
          <w:i/>
          <w:sz w:val="16"/>
          <w:lang w:val="en-GB"/>
        </w:rPr>
        <w:t>es</w:t>
      </w:r>
      <w:r w:rsidRPr="00D62BF7">
        <w:rPr>
          <w:rFonts w:ascii="Arial" w:hAnsi="Arial"/>
          <w:i/>
          <w:sz w:val="16"/>
          <w:lang w:val="en-GB"/>
        </w:rPr>
        <w:t xml:space="preserve"> not intend to illustrate either effective or ineffective handling of a managerial situation. </w:t>
      </w:r>
      <w:r w:rsidR="00EC1B66" w:rsidRPr="00D62BF7">
        <w:rPr>
          <w:rFonts w:ascii="Arial" w:hAnsi="Arial"/>
          <w:i/>
          <w:sz w:val="16"/>
          <w:lang w:val="en-GB"/>
        </w:rPr>
        <w:t>The author</w:t>
      </w:r>
      <w:r w:rsidRPr="00D62BF7">
        <w:rPr>
          <w:rFonts w:ascii="Arial" w:hAnsi="Arial"/>
          <w:i/>
          <w:sz w:val="16"/>
          <w:lang w:val="en-GB"/>
        </w:rPr>
        <w:t xml:space="preserve"> may have disguised certain names and other identifying information to protect confidentiality.</w:t>
      </w:r>
    </w:p>
    <w:p w14:paraId="2F345F05" w14:textId="77777777" w:rsidR="00AF4070" w:rsidRPr="00D62BF7" w:rsidRDefault="00AF4070" w:rsidP="00A814DF">
      <w:pPr>
        <w:jc w:val="both"/>
        <w:rPr>
          <w:rFonts w:ascii="Arial" w:hAnsi="Arial"/>
          <w:i/>
          <w:sz w:val="16"/>
          <w:lang w:val="en-GB"/>
        </w:rPr>
      </w:pPr>
    </w:p>
    <w:p w14:paraId="072DFEFD" w14:textId="2FB676C1" w:rsidR="00EC1B66" w:rsidRPr="00D62BF7" w:rsidRDefault="00A042BB" w:rsidP="00A814DF">
      <w:pPr>
        <w:tabs>
          <w:tab w:val="left" w:pos="-1440"/>
          <w:tab w:val="left" w:pos="-720"/>
          <w:tab w:val="left" w:pos="1"/>
        </w:tabs>
        <w:jc w:val="both"/>
        <w:rPr>
          <w:rFonts w:ascii="Arial" w:hAnsi="Arial" w:cs="Arial"/>
          <w:i/>
          <w:iCs/>
          <w:sz w:val="16"/>
          <w:szCs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A9BDDEB" w14:textId="77777777" w:rsidR="00EC1B66" w:rsidRPr="00D62BF7" w:rsidRDefault="00EC1B66" w:rsidP="00A814DF">
      <w:pPr>
        <w:tabs>
          <w:tab w:val="left" w:pos="-1440"/>
          <w:tab w:val="left" w:pos="-720"/>
          <w:tab w:val="left" w:pos="1"/>
        </w:tabs>
        <w:jc w:val="both"/>
        <w:rPr>
          <w:rFonts w:ascii="Arial" w:hAnsi="Arial" w:cs="Arial"/>
          <w:i/>
          <w:iCs/>
          <w:sz w:val="16"/>
          <w:szCs w:val="16"/>
          <w:lang w:val="en-GB"/>
        </w:rPr>
      </w:pPr>
    </w:p>
    <w:p w14:paraId="72B425BB" w14:textId="12BE2009" w:rsidR="00AF4070" w:rsidRPr="00D62BF7"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r w:rsidRPr="00D62BF7">
        <w:rPr>
          <w:rFonts w:ascii="Arial" w:hAnsi="Arial"/>
          <w:i/>
          <w:sz w:val="16"/>
          <w:lang w:val="en-GB"/>
        </w:rPr>
        <w:t>Copyright</w:t>
      </w:r>
      <w:r w:rsidR="00D6063F">
        <w:rPr>
          <w:rFonts w:ascii="Arial" w:hAnsi="Arial"/>
          <w:i/>
          <w:sz w:val="16"/>
          <w:lang w:val="en-GB"/>
        </w:rPr>
        <w:t xml:space="preserve"> </w:t>
      </w:r>
      <w:r w:rsidRPr="00D62BF7">
        <w:rPr>
          <w:rFonts w:ascii="Arial" w:hAnsi="Arial"/>
          <w:i/>
          <w:sz w:val="16"/>
          <w:lang w:val="en-GB"/>
        </w:rPr>
        <w:t>©</w:t>
      </w:r>
      <w:r w:rsidR="00D6063F">
        <w:rPr>
          <w:rFonts w:ascii="Arial" w:hAnsi="Arial"/>
          <w:i/>
          <w:sz w:val="16"/>
          <w:lang w:val="en-GB"/>
        </w:rPr>
        <w:t xml:space="preserve"> </w:t>
      </w:r>
      <w:r w:rsidRPr="00D62BF7">
        <w:rPr>
          <w:rFonts w:ascii="Arial" w:hAnsi="Arial"/>
          <w:i/>
          <w:sz w:val="16"/>
          <w:lang w:val="en-GB"/>
        </w:rPr>
        <w:fldChar w:fldCharType="begin">
          <w:ffData>
            <w:name w:val="Text4"/>
            <w:enabled/>
            <w:calcOnExit w:val="0"/>
            <w:statusText w:type="text" w:val="Input the year of the actual copyright."/>
            <w:textInput>
              <w:type w:val="number"/>
              <w:maxLength w:val="4"/>
            </w:textInput>
          </w:ffData>
        </w:fldChar>
      </w:r>
      <w:bookmarkStart w:id="2" w:name="Text4"/>
      <w:r w:rsidRPr="00D62BF7">
        <w:rPr>
          <w:rFonts w:ascii="Arial" w:hAnsi="Arial"/>
          <w:i/>
          <w:sz w:val="16"/>
          <w:lang w:val="en-GB"/>
        </w:rPr>
        <w:instrText xml:space="preserve"> FORMTEXT </w:instrText>
      </w:r>
      <w:r w:rsidRPr="00D62BF7">
        <w:rPr>
          <w:rFonts w:ascii="Arial" w:hAnsi="Arial"/>
          <w:i/>
          <w:sz w:val="16"/>
          <w:lang w:val="en-GB"/>
        </w:rPr>
      </w:r>
      <w:r w:rsidRPr="00D62BF7">
        <w:rPr>
          <w:rFonts w:ascii="Arial" w:hAnsi="Arial"/>
          <w:i/>
          <w:sz w:val="16"/>
          <w:lang w:val="en-GB"/>
        </w:rPr>
        <w:fldChar w:fldCharType="separate"/>
      </w:r>
      <w:r w:rsidR="00882F43" w:rsidRPr="00D62BF7">
        <w:rPr>
          <w:rFonts w:ascii="Arial" w:hAnsi="Arial"/>
          <w:i/>
          <w:sz w:val="16"/>
          <w:lang w:val="en-GB"/>
        </w:rPr>
        <w:t>2017</w:t>
      </w:r>
      <w:r w:rsidRPr="00D62BF7">
        <w:rPr>
          <w:rFonts w:ascii="Arial" w:hAnsi="Arial"/>
          <w:i/>
          <w:sz w:val="16"/>
          <w:lang w:val="en-GB"/>
        </w:rPr>
        <w:fldChar w:fldCharType="end"/>
      </w:r>
      <w:bookmarkEnd w:id="2"/>
      <w:r w:rsidRPr="00D62BF7">
        <w:rPr>
          <w:rFonts w:ascii="Arial" w:hAnsi="Arial"/>
          <w:i/>
          <w:sz w:val="16"/>
          <w:lang w:val="en-GB"/>
        </w:rPr>
        <w:t xml:space="preserve">, </w:t>
      </w:r>
      <w:r w:rsidR="00742A7E" w:rsidRPr="00D62BF7">
        <w:rPr>
          <w:rFonts w:ascii="Arial" w:hAnsi="Arial"/>
          <w:i/>
          <w:sz w:val="16"/>
          <w:lang w:val="en-GB"/>
        </w:rPr>
        <w:t>Richard Ivey School of Business Foundation</w:t>
      </w:r>
      <w:r w:rsidRPr="00D62BF7">
        <w:rPr>
          <w:rFonts w:ascii="Arial" w:hAnsi="Arial"/>
          <w:sz w:val="16"/>
          <w:lang w:val="en-GB"/>
        </w:rPr>
        <w:tab/>
      </w:r>
      <w:r w:rsidRPr="00D62BF7">
        <w:rPr>
          <w:rFonts w:ascii="Arial" w:hAnsi="Arial"/>
          <w:i/>
          <w:sz w:val="16"/>
          <w:lang w:val="en-GB"/>
        </w:rPr>
        <w:t xml:space="preserve">Version: </w:t>
      </w:r>
      <w:r w:rsidR="00084465">
        <w:rPr>
          <w:rFonts w:ascii="Arial" w:hAnsi="Arial"/>
          <w:i/>
          <w:sz w:val="16"/>
          <w:lang w:val="en-GB"/>
        </w:rPr>
        <w:t>2017-08-</w:t>
      </w:r>
      <w:r w:rsidR="006800FE">
        <w:rPr>
          <w:rFonts w:ascii="Arial" w:hAnsi="Arial"/>
          <w:i/>
          <w:sz w:val="16"/>
          <w:lang w:val="en-GB"/>
        </w:rPr>
        <w:t>22</w:t>
      </w:r>
    </w:p>
    <w:p w14:paraId="04185D97" w14:textId="77777777" w:rsidR="00AF4070" w:rsidRPr="00D62BF7" w:rsidRDefault="00AF4070" w:rsidP="00A814DF">
      <w:pPr>
        <w:tabs>
          <w:tab w:val="left" w:pos="-1440"/>
          <w:tab w:val="left" w:pos="-720"/>
          <w:tab w:val="left" w:pos="1"/>
          <w:tab w:val="right" w:pos="7920"/>
        </w:tabs>
        <w:jc w:val="both"/>
        <w:rPr>
          <w:rFonts w:ascii="Arial" w:hAnsi="Arial"/>
          <w:sz w:val="16"/>
          <w:lang w:val="en-GB"/>
        </w:rPr>
      </w:pPr>
    </w:p>
    <w:p w14:paraId="35CB17A3" w14:textId="77777777" w:rsidR="00AF4070" w:rsidRPr="00D62BF7" w:rsidRDefault="00AF4070" w:rsidP="00A814DF">
      <w:pPr>
        <w:tabs>
          <w:tab w:val="left" w:pos="-1440"/>
          <w:tab w:val="left" w:pos="-720"/>
          <w:tab w:val="left" w:pos="1"/>
        </w:tabs>
        <w:jc w:val="both"/>
        <w:rPr>
          <w:rFonts w:ascii="Arial" w:hAnsi="Arial"/>
          <w:sz w:val="16"/>
          <w:lang w:val="en-GB"/>
        </w:rPr>
      </w:pPr>
    </w:p>
    <w:p w14:paraId="4B56A161" w14:textId="57E88B23" w:rsidR="00341ED5" w:rsidRPr="00D62BF7" w:rsidRDefault="00341ED5" w:rsidP="00341ED5">
      <w:pPr>
        <w:pStyle w:val="BodyText"/>
        <w:rPr>
          <w:lang w:val="en-GB"/>
        </w:rPr>
      </w:pPr>
      <w:r w:rsidRPr="00D62BF7">
        <w:rPr>
          <w:lang w:val="en-GB"/>
        </w:rPr>
        <w:t>On June 15, 2015</w:t>
      </w:r>
      <w:r w:rsidR="00D62BF7">
        <w:rPr>
          <w:lang w:val="en-GB"/>
        </w:rPr>
        <w:t>,</w:t>
      </w:r>
      <w:r w:rsidRPr="00D62BF7">
        <w:rPr>
          <w:lang w:val="en-GB"/>
        </w:rPr>
        <w:t xml:space="preserve"> another season of </w:t>
      </w:r>
      <w:r w:rsidR="00625BBB">
        <w:rPr>
          <w:lang w:val="en-GB"/>
        </w:rPr>
        <w:t xml:space="preserve">the </w:t>
      </w:r>
      <w:r w:rsidR="00625BBB" w:rsidRPr="00D62BF7">
        <w:rPr>
          <w:lang w:val="en-GB"/>
        </w:rPr>
        <w:t>N</w:t>
      </w:r>
      <w:r w:rsidR="00625BBB">
        <w:rPr>
          <w:lang w:val="en-GB"/>
        </w:rPr>
        <w:t xml:space="preserve">ational </w:t>
      </w:r>
      <w:r w:rsidR="00625BBB" w:rsidRPr="00D62BF7">
        <w:rPr>
          <w:lang w:val="en-GB"/>
        </w:rPr>
        <w:t>H</w:t>
      </w:r>
      <w:r w:rsidR="00625BBB">
        <w:rPr>
          <w:lang w:val="en-GB"/>
        </w:rPr>
        <w:t xml:space="preserve">ockey </w:t>
      </w:r>
      <w:r w:rsidR="00625BBB" w:rsidRPr="00D62BF7">
        <w:rPr>
          <w:lang w:val="en-GB"/>
        </w:rPr>
        <w:t>L</w:t>
      </w:r>
      <w:r w:rsidR="00625BBB">
        <w:rPr>
          <w:lang w:val="en-GB"/>
        </w:rPr>
        <w:t>eague (</w:t>
      </w:r>
      <w:r w:rsidRPr="00D62BF7">
        <w:rPr>
          <w:lang w:val="en-GB"/>
        </w:rPr>
        <w:t>NHL</w:t>
      </w:r>
      <w:r w:rsidR="00625BBB">
        <w:rPr>
          <w:lang w:val="en-GB"/>
        </w:rPr>
        <w:t>)</w:t>
      </w:r>
      <w:r w:rsidRPr="00D62BF7">
        <w:rPr>
          <w:lang w:val="en-GB"/>
        </w:rPr>
        <w:t xml:space="preserve"> came to a close with the Chicago Blackhawks defeating the Tampa Bay Lightning 2</w:t>
      </w:r>
      <w:r w:rsidR="00D62BF7">
        <w:rPr>
          <w:lang w:val="en-GB"/>
        </w:rPr>
        <w:t>–</w:t>
      </w:r>
      <w:r w:rsidRPr="00D62BF7">
        <w:rPr>
          <w:lang w:val="en-GB"/>
        </w:rPr>
        <w:t xml:space="preserve">0 in </w:t>
      </w:r>
      <w:r w:rsidR="00E644FB">
        <w:rPr>
          <w:lang w:val="en-GB"/>
        </w:rPr>
        <w:t>g</w:t>
      </w:r>
      <w:r w:rsidRPr="00D62BF7">
        <w:rPr>
          <w:lang w:val="en-GB"/>
        </w:rPr>
        <w:t xml:space="preserve">ame </w:t>
      </w:r>
      <w:r w:rsidR="00364153">
        <w:rPr>
          <w:lang w:val="en-GB"/>
        </w:rPr>
        <w:t>six</w:t>
      </w:r>
      <w:r w:rsidR="00364153" w:rsidRPr="00D62BF7">
        <w:rPr>
          <w:lang w:val="en-GB"/>
        </w:rPr>
        <w:t xml:space="preserve"> </w:t>
      </w:r>
      <w:r w:rsidRPr="00D62BF7">
        <w:rPr>
          <w:lang w:val="en-GB"/>
        </w:rPr>
        <w:t xml:space="preserve">of the Stanley Cup finals. </w:t>
      </w:r>
      <w:r w:rsidR="00364153">
        <w:rPr>
          <w:lang w:val="en-GB"/>
        </w:rPr>
        <w:t>It</w:t>
      </w:r>
      <w:r w:rsidR="00364153" w:rsidRPr="00D62BF7">
        <w:rPr>
          <w:lang w:val="en-GB"/>
        </w:rPr>
        <w:t xml:space="preserve"> </w:t>
      </w:r>
      <w:r w:rsidRPr="00D62BF7">
        <w:rPr>
          <w:lang w:val="en-GB"/>
        </w:rPr>
        <w:t>was the Blackhawks</w:t>
      </w:r>
      <w:r w:rsidR="00D62BF7">
        <w:rPr>
          <w:lang w:val="en-GB"/>
        </w:rPr>
        <w:t>’</w:t>
      </w:r>
      <w:r w:rsidRPr="00D62BF7">
        <w:rPr>
          <w:lang w:val="en-GB"/>
        </w:rPr>
        <w:t xml:space="preserve"> third league title in six seasons—an amazing feat in the salary</w:t>
      </w:r>
      <w:r w:rsidR="00D62BF7">
        <w:rPr>
          <w:lang w:val="en-GB"/>
        </w:rPr>
        <w:t>-</w:t>
      </w:r>
      <w:r w:rsidRPr="00D62BF7">
        <w:rPr>
          <w:lang w:val="en-GB"/>
        </w:rPr>
        <w:t>cap era. The chief arc</w:t>
      </w:r>
      <w:bookmarkStart w:id="3" w:name="_GoBack"/>
      <w:bookmarkEnd w:id="3"/>
      <w:r w:rsidRPr="00D62BF7">
        <w:rPr>
          <w:lang w:val="en-GB"/>
        </w:rPr>
        <w:t>hitect for these championship teams was general manager (GM) Stan Bowman</w:t>
      </w:r>
      <w:r w:rsidR="00D62BF7">
        <w:rPr>
          <w:lang w:val="en-GB"/>
        </w:rPr>
        <w:t>,</w:t>
      </w:r>
      <w:r w:rsidRPr="00D62BF7">
        <w:rPr>
          <w:lang w:val="en-GB"/>
        </w:rPr>
        <w:t xml:space="preserve"> who had assembled a powerhouse team that not only featured star players but also </w:t>
      </w:r>
      <w:r w:rsidR="00D62BF7">
        <w:rPr>
          <w:lang w:val="en-GB"/>
        </w:rPr>
        <w:t xml:space="preserve">had </w:t>
      </w:r>
      <w:r w:rsidRPr="00D62BF7">
        <w:rPr>
          <w:lang w:val="en-GB"/>
        </w:rPr>
        <w:t>depth at every position. In previous years</w:t>
      </w:r>
      <w:r w:rsidR="00D62BF7">
        <w:rPr>
          <w:lang w:val="en-GB"/>
        </w:rPr>
        <w:t>,</w:t>
      </w:r>
      <w:r w:rsidRPr="00D62BF7">
        <w:rPr>
          <w:lang w:val="en-GB"/>
        </w:rPr>
        <w:t xml:space="preserve"> the off-seasons immediately following Stanley Cup victories had been challenging for Bowman. Stacked with undeniable player talent</w:t>
      </w:r>
      <w:r w:rsidR="00D62BF7">
        <w:rPr>
          <w:lang w:val="en-GB"/>
        </w:rPr>
        <w:t>,</w:t>
      </w:r>
      <w:r w:rsidRPr="00D62BF7">
        <w:rPr>
          <w:lang w:val="en-GB"/>
        </w:rPr>
        <w:t xml:space="preserve"> Bowman was forced by the NHL’s salary cap to change </w:t>
      </w:r>
      <w:r w:rsidR="00EF1724">
        <w:rPr>
          <w:lang w:val="en-GB"/>
        </w:rPr>
        <w:t xml:space="preserve">key </w:t>
      </w:r>
      <w:r w:rsidRPr="00D62BF7">
        <w:rPr>
          <w:lang w:val="en-GB"/>
        </w:rPr>
        <w:t>components of his championship rosters. But in late</w:t>
      </w:r>
      <w:r w:rsidR="00A317ED">
        <w:rPr>
          <w:lang w:val="en-GB"/>
        </w:rPr>
        <w:t xml:space="preserve"> </w:t>
      </w:r>
      <w:r w:rsidRPr="00D62BF7">
        <w:rPr>
          <w:lang w:val="en-GB"/>
        </w:rPr>
        <w:t>June 2015</w:t>
      </w:r>
      <w:r w:rsidR="00A317ED">
        <w:rPr>
          <w:lang w:val="en-GB"/>
        </w:rPr>
        <w:t>,</w:t>
      </w:r>
      <w:r w:rsidRPr="00D62BF7">
        <w:rPr>
          <w:lang w:val="en-GB"/>
        </w:rPr>
        <w:t xml:space="preserve"> Bowman’s situation </w:t>
      </w:r>
      <w:r w:rsidR="00697774" w:rsidRPr="00D62BF7">
        <w:rPr>
          <w:lang w:val="en-GB"/>
        </w:rPr>
        <w:t>differ</w:t>
      </w:r>
      <w:r w:rsidR="00697774">
        <w:rPr>
          <w:lang w:val="en-GB"/>
        </w:rPr>
        <w:t>ed</w:t>
      </w:r>
      <w:r w:rsidR="00697774" w:rsidRPr="00D62BF7">
        <w:rPr>
          <w:lang w:val="en-GB"/>
        </w:rPr>
        <w:t xml:space="preserve"> </w:t>
      </w:r>
      <w:r w:rsidR="00697774">
        <w:rPr>
          <w:lang w:val="en-GB"/>
        </w:rPr>
        <w:t>from</w:t>
      </w:r>
      <w:r w:rsidR="00697774" w:rsidRPr="00D62BF7">
        <w:rPr>
          <w:lang w:val="en-GB"/>
        </w:rPr>
        <w:t xml:space="preserve"> </w:t>
      </w:r>
      <w:r w:rsidRPr="00D62BF7">
        <w:rPr>
          <w:lang w:val="en-GB"/>
        </w:rPr>
        <w:t>in the past. Two superstar forwards</w:t>
      </w:r>
      <w:r w:rsidR="0007157E">
        <w:rPr>
          <w:lang w:val="en-GB"/>
        </w:rPr>
        <w:t>,</w:t>
      </w:r>
      <w:r w:rsidRPr="00D62BF7">
        <w:rPr>
          <w:lang w:val="en-GB"/>
        </w:rPr>
        <w:t xml:space="preserve"> Jonathan Toews and Patrick Kane</w:t>
      </w:r>
      <w:r w:rsidR="0007157E">
        <w:rPr>
          <w:lang w:val="en-GB"/>
        </w:rPr>
        <w:t>, were</w:t>
      </w:r>
      <w:r w:rsidRPr="00D62BF7">
        <w:rPr>
          <w:lang w:val="en-GB"/>
        </w:rPr>
        <w:t xml:space="preserve"> locked into identical </w:t>
      </w:r>
      <w:r w:rsidR="0007157E">
        <w:rPr>
          <w:lang w:val="en-GB"/>
        </w:rPr>
        <w:t>eight</w:t>
      </w:r>
      <w:r w:rsidRPr="00D62BF7">
        <w:rPr>
          <w:lang w:val="en-GB"/>
        </w:rPr>
        <w:t>-year</w:t>
      </w:r>
      <w:r w:rsidR="00817CDF">
        <w:rPr>
          <w:lang w:val="en-GB"/>
        </w:rPr>
        <w:t xml:space="preserve"> contracts worth</w:t>
      </w:r>
      <w:r w:rsidRPr="00D62BF7">
        <w:rPr>
          <w:lang w:val="en-GB"/>
        </w:rPr>
        <w:t xml:space="preserve"> </w:t>
      </w:r>
      <w:r w:rsidR="0007157E">
        <w:rPr>
          <w:lang w:val="en-GB"/>
        </w:rPr>
        <w:t>US</w:t>
      </w:r>
      <w:r w:rsidRPr="00D62BF7">
        <w:rPr>
          <w:lang w:val="en-GB"/>
        </w:rPr>
        <w:t>$10.5 million</w:t>
      </w:r>
      <w:r w:rsidR="0007157E">
        <w:rPr>
          <w:rStyle w:val="FootnoteReference"/>
          <w:lang w:val="en-GB"/>
        </w:rPr>
        <w:footnoteReference w:id="2"/>
      </w:r>
      <w:r w:rsidR="0007157E">
        <w:rPr>
          <w:lang w:val="en-GB"/>
        </w:rPr>
        <w:t xml:space="preserve"> per </w:t>
      </w:r>
      <w:r w:rsidRPr="00D62BF7">
        <w:rPr>
          <w:lang w:val="en-GB"/>
        </w:rPr>
        <w:t>year begin</w:t>
      </w:r>
      <w:r w:rsidR="00625BBB">
        <w:rPr>
          <w:lang w:val="en-GB"/>
        </w:rPr>
        <w:t>ning</w:t>
      </w:r>
      <w:r w:rsidRPr="00D62BF7">
        <w:rPr>
          <w:lang w:val="en-GB"/>
        </w:rPr>
        <w:t xml:space="preserve"> July 1, 2015</w:t>
      </w:r>
      <w:r w:rsidR="00625BBB">
        <w:rPr>
          <w:lang w:val="en-GB"/>
        </w:rPr>
        <w:t xml:space="preserve">. However, </w:t>
      </w:r>
      <w:r w:rsidRPr="00D62BF7">
        <w:rPr>
          <w:lang w:val="en-GB"/>
        </w:rPr>
        <w:t>significant macroeconomic events, in Canada and around the world had unfolded rapidly. How would these macroeconomic forces shape the future of the NHL and the Blackhawks?</w:t>
      </w:r>
    </w:p>
    <w:p w14:paraId="5579E5EC" w14:textId="77777777" w:rsidR="00341ED5" w:rsidRPr="00D62BF7" w:rsidRDefault="00341ED5" w:rsidP="00341ED5">
      <w:pPr>
        <w:pStyle w:val="BodyText"/>
        <w:rPr>
          <w:lang w:val="en-GB"/>
        </w:rPr>
      </w:pPr>
    </w:p>
    <w:p w14:paraId="407666DA" w14:textId="77777777" w:rsidR="00341ED5" w:rsidRPr="00D62BF7" w:rsidRDefault="00341ED5" w:rsidP="00341ED5">
      <w:pPr>
        <w:pStyle w:val="BodyText"/>
        <w:rPr>
          <w:lang w:val="en-GB"/>
        </w:rPr>
      </w:pPr>
    </w:p>
    <w:p w14:paraId="1954840D" w14:textId="77777777" w:rsidR="00341ED5" w:rsidRPr="00D62BF7" w:rsidRDefault="00341ED5" w:rsidP="00341ED5">
      <w:pPr>
        <w:pStyle w:val="casehead1"/>
        <w:rPr>
          <w:lang w:val="en-GB"/>
        </w:rPr>
      </w:pPr>
      <w:r w:rsidRPr="00D62BF7">
        <w:rPr>
          <w:lang w:val="en-GB"/>
        </w:rPr>
        <w:t>N</w:t>
      </w:r>
      <w:r w:rsidR="0077541B">
        <w:rPr>
          <w:lang w:val="en-GB"/>
        </w:rPr>
        <w:t xml:space="preserve">ational </w:t>
      </w:r>
      <w:r w:rsidRPr="00D62BF7">
        <w:rPr>
          <w:lang w:val="en-GB"/>
        </w:rPr>
        <w:t>H</w:t>
      </w:r>
      <w:r w:rsidR="0077541B">
        <w:rPr>
          <w:lang w:val="en-GB"/>
        </w:rPr>
        <w:t xml:space="preserve">ockey </w:t>
      </w:r>
      <w:r w:rsidRPr="00D62BF7">
        <w:rPr>
          <w:lang w:val="en-GB"/>
        </w:rPr>
        <w:t>L</w:t>
      </w:r>
      <w:r w:rsidR="0077541B">
        <w:rPr>
          <w:lang w:val="en-GB"/>
        </w:rPr>
        <w:t>eague</w:t>
      </w:r>
      <w:r w:rsidRPr="00D62BF7">
        <w:rPr>
          <w:lang w:val="en-GB"/>
        </w:rPr>
        <w:t xml:space="preserve"> Salary Cap</w:t>
      </w:r>
      <w:r w:rsidRPr="00D62BF7">
        <w:rPr>
          <w:rFonts w:cs="Arial"/>
          <w:lang w:val="en-GB"/>
        </w:rPr>
        <w:t>—</w:t>
      </w:r>
      <w:r w:rsidRPr="00D62BF7">
        <w:rPr>
          <w:lang w:val="en-GB"/>
        </w:rPr>
        <w:t>History</w:t>
      </w:r>
    </w:p>
    <w:p w14:paraId="5A5AABCE" w14:textId="77777777" w:rsidR="00341ED5" w:rsidRPr="00D62BF7" w:rsidRDefault="00341ED5" w:rsidP="00341ED5">
      <w:pPr>
        <w:pStyle w:val="BodyText"/>
        <w:rPr>
          <w:lang w:val="en-GB"/>
        </w:rPr>
      </w:pPr>
    </w:p>
    <w:p w14:paraId="637DE9CE" w14:textId="0B6FFDA1" w:rsidR="00341ED5" w:rsidRPr="00A042BB" w:rsidRDefault="00341ED5" w:rsidP="00341ED5">
      <w:pPr>
        <w:pStyle w:val="BodyText"/>
        <w:rPr>
          <w:spacing w:val="-2"/>
          <w:lang w:val="en-GB"/>
        </w:rPr>
      </w:pPr>
      <w:r w:rsidRPr="00A042BB">
        <w:rPr>
          <w:spacing w:val="-2"/>
          <w:lang w:val="en-GB"/>
        </w:rPr>
        <w:t xml:space="preserve">The NHL had </w:t>
      </w:r>
      <w:r w:rsidR="001038E5" w:rsidRPr="00A042BB">
        <w:rPr>
          <w:spacing w:val="-2"/>
          <w:lang w:val="en-GB"/>
        </w:rPr>
        <w:t xml:space="preserve">been </w:t>
      </w:r>
      <w:r w:rsidRPr="00A042BB">
        <w:rPr>
          <w:spacing w:val="-2"/>
          <w:lang w:val="en-GB"/>
        </w:rPr>
        <w:t>operat</w:t>
      </w:r>
      <w:r w:rsidR="001038E5" w:rsidRPr="00A042BB">
        <w:rPr>
          <w:spacing w:val="-2"/>
          <w:lang w:val="en-GB"/>
        </w:rPr>
        <w:t>ing</w:t>
      </w:r>
      <w:r w:rsidRPr="00A042BB">
        <w:rPr>
          <w:spacing w:val="-2"/>
          <w:lang w:val="en-GB"/>
        </w:rPr>
        <w:t xml:space="preserve"> with a salary cap since the beginning of the 2005</w:t>
      </w:r>
      <w:r w:rsidR="003B6ABE" w:rsidRPr="00A042BB">
        <w:rPr>
          <w:spacing w:val="-2"/>
          <w:lang w:val="en-GB"/>
        </w:rPr>
        <w:t>–</w:t>
      </w:r>
      <w:r w:rsidRPr="00A042BB">
        <w:rPr>
          <w:spacing w:val="-2"/>
          <w:lang w:val="en-GB"/>
        </w:rPr>
        <w:t xml:space="preserve">06 season. The previous </w:t>
      </w:r>
      <w:r w:rsidR="003B6ABE" w:rsidRPr="00A042BB">
        <w:rPr>
          <w:spacing w:val="-2"/>
          <w:lang w:val="en-GB"/>
        </w:rPr>
        <w:t xml:space="preserve">season </w:t>
      </w:r>
      <w:r w:rsidRPr="00A042BB">
        <w:rPr>
          <w:spacing w:val="-2"/>
          <w:lang w:val="en-GB"/>
        </w:rPr>
        <w:t>(2004</w:t>
      </w:r>
      <w:r w:rsidR="003B6ABE" w:rsidRPr="00A042BB">
        <w:rPr>
          <w:spacing w:val="-2"/>
          <w:lang w:val="en-GB"/>
        </w:rPr>
        <w:t>–</w:t>
      </w:r>
      <w:r w:rsidRPr="00A042BB">
        <w:rPr>
          <w:spacing w:val="-2"/>
          <w:lang w:val="en-GB"/>
        </w:rPr>
        <w:t>05) had been lost due to a year-long labour dispute between the NHL club owners and the NHL players over the economic structure of the league. The outcome of the dispute was a new collective bargaining agreement (CBA)</w:t>
      </w:r>
      <w:r w:rsidR="003B6ABE" w:rsidRPr="00A042BB">
        <w:rPr>
          <w:spacing w:val="-2"/>
          <w:lang w:val="en-GB"/>
        </w:rPr>
        <w:t>,</w:t>
      </w:r>
      <w:r w:rsidRPr="00A042BB">
        <w:rPr>
          <w:spacing w:val="-2"/>
          <w:lang w:val="en-GB"/>
        </w:rPr>
        <w:t xml:space="preserve"> wherein the total salaries paid to players would be capped at a fixed percentage of league revenues. </w:t>
      </w:r>
      <w:r w:rsidR="003B6ABE" w:rsidRPr="00A042BB">
        <w:rPr>
          <w:spacing w:val="-2"/>
          <w:lang w:val="en-GB"/>
        </w:rPr>
        <w:t>T</w:t>
      </w:r>
      <w:r w:rsidRPr="00A042BB">
        <w:rPr>
          <w:spacing w:val="-2"/>
          <w:lang w:val="en-GB"/>
        </w:rPr>
        <w:t xml:space="preserve">he CBA stipulated that the NHL’s new system would be </w:t>
      </w:r>
      <w:r w:rsidR="003B6ABE" w:rsidRPr="00A042BB">
        <w:rPr>
          <w:spacing w:val="-2"/>
          <w:lang w:val="en-GB"/>
        </w:rPr>
        <w:t xml:space="preserve">defined as </w:t>
      </w:r>
      <w:r w:rsidRPr="00A042BB">
        <w:rPr>
          <w:spacing w:val="-2"/>
          <w:lang w:val="en-GB"/>
        </w:rPr>
        <w:t xml:space="preserve">a hard </w:t>
      </w:r>
      <w:r w:rsidR="003B6ABE" w:rsidRPr="00A042BB">
        <w:rPr>
          <w:spacing w:val="-2"/>
          <w:lang w:val="en-GB"/>
        </w:rPr>
        <w:t xml:space="preserve">salary </w:t>
      </w:r>
      <w:r w:rsidRPr="00A042BB">
        <w:rPr>
          <w:spacing w:val="-2"/>
          <w:lang w:val="en-GB"/>
        </w:rPr>
        <w:t>cap</w:t>
      </w:r>
      <w:r w:rsidR="003B6ABE" w:rsidRPr="00A042BB">
        <w:rPr>
          <w:spacing w:val="-2"/>
          <w:lang w:val="en-GB"/>
        </w:rPr>
        <w:t>, which meant that</w:t>
      </w:r>
      <w:r w:rsidRPr="00A042BB">
        <w:rPr>
          <w:spacing w:val="-2"/>
          <w:lang w:val="en-GB"/>
        </w:rPr>
        <w:t xml:space="preserve"> teams would under no circumstances be allowed to have a roster whose total salaries exceeded the cap—as opposed to a soft </w:t>
      </w:r>
      <w:r w:rsidR="003B6ABE" w:rsidRPr="00A042BB">
        <w:rPr>
          <w:spacing w:val="-2"/>
          <w:lang w:val="en-GB"/>
        </w:rPr>
        <w:t xml:space="preserve">salary </w:t>
      </w:r>
      <w:r w:rsidRPr="00A042BB">
        <w:rPr>
          <w:spacing w:val="-2"/>
          <w:lang w:val="en-GB"/>
        </w:rPr>
        <w:t>cap</w:t>
      </w:r>
      <w:r w:rsidR="003B6ABE" w:rsidRPr="00A042BB">
        <w:rPr>
          <w:spacing w:val="-2"/>
          <w:lang w:val="en-GB"/>
        </w:rPr>
        <w:t>,</w:t>
      </w:r>
      <w:r w:rsidRPr="00A042BB">
        <w:rPr>
          <w:spacing w:val="-2"/>
          <w:lang w:val="en-GB"/>
        </w:rPr>
        <w:t xml:space="preserve"> where </w:t>
      </w:r>
      <w:r w:rsidR="003B6ABE" w:rsidRPr="00A042BB">
        <w:rPr>
          <w:spacing w:val="-2"/>
          <w:lang w:val="en-GB"/>
        </w:rPr>
        <w:t xml:space="preserve">a </w:t>
      </w:r>
      <w:r w:rsidRPr="00A042BB">
        <w:rPr>
          <w:spacing w:val="-2"/>
          <w:lang w:val="en-GB"/>
        </w:rPr>
        <w:t>team</w:t>
      </w:r>
      <w:r w:rsidR="003B6ABE" w:rsidRPr="00A042BB">
        <w:rPr>
          <w:spacing w:val="-2"/>
          <w:lang w:val="en-GB"/>
        </w:rPr>
        <w:t xml:space="preserve"> could choose to exceed the cap by paying a</w:t>
      </w:r>
      <w:r w:rsidRPr="00A042BB">
        <w:rPr>
          <w:spacing w:val="-2"/>
          <w:lang w:val="en-GB"/>
        </w:rPr>
        <w:t xml:space="preserve"> financial penalt</w:t>
      </w:r>
      <w:r w:rsidR="003B6ABE" w:rsidRPr="00A042BB">
        <w:rPr>
          <w:spacing w:val="-2"/>
          <w:lang w:val="en-GB"/>
        </w:rPr>
        <w:t>y. The soft cap system was used in</w:t>
      </w:r>
      <w:r w:rsidRPr="00A042BB">
        <w:rPr>
          <w:spacing w:val="-2"/>
          <w:lang w:val="en-GB"/>
        </w:rPr>
        <w:t xml:space="preserve"> the National Basketball Association and Major League Baseball. W</w:t>
      </w:r>
      <w:r w:rsidR="00267E77" w:rsidRPr="00A042BB">
        <w:rPr>
          <w:spacing w:val="-2"/>
          <w:lang w:val="en-GB"/>
        </w:rPr>
        <w:t>ith</w:t>
      </w:r>
      <w:r w:rsidRPr="00A042BB">
        <w:rPr>
          <w:spacing w:val="-2"/>
          <w:lang w:val="en-GB"/>
        </w:rPr>
        <w:t xml:space="preserve"> each NHL team </w:t>
      </w:r>
      <w:r w:rsidR="00267E77" w:rsidRPr="00A042BB">
        <w:rPr>
          <w:spacing w:val="-2"/>
          <w:lang w:val="en-GB"/>
        </w:rPr>
        <w:t>abiding by</w:t>
      </w:r>
      <w:r w:rsidRPr="00A042BB">
        <w:rPr>
          <w:spacing w:val="-2"/>
          <w:lang w:val="en-GB"/>
        </w:rPr>
        <w:t xml:space="preserve"> the same salary cap, the new system forced teams and their general managers to be mindful of their payrolls and especially careful in signing and trading for players. </w:t>
      </w:r>
    </w:p>
    <w:p w14:paraId="6580B63F" w14:textId="0A789025" w:rsidR="00341ED5" w:rsidRPr="00D62BF7" w:rsidRDefault="00341ED5" w:rsidP="00341ED5">
      <w:pPr>
        <w:pStyle w:val="BodyText"/>
        <w:rPr>
          <w:lang w:val="en-GB"/>
        </w:rPr>
      </w:pPr>
      <w:r w:rsidRPr="00D62BF7">
        <w:rPr>
          <w:lang w:val="en-GB"/>
        </w:rPr>
        <w:lastRenderedPageBreak/>
        <w:t xml:space="preserve">The key determinant of the NHL salary cap was league revenues. The cap </w:t>
      </w:r>
      <w:r w:rsidR="00E77B73">
        <w:rPr>
          <w:lang w:val="en-GB"/>
        </w:rPr>
        <w:t>was</w:t>
      </w:r>
      <w:r w:rsidRPr="00D62BF7">
        <w:rPr>
          <w:lang w:val="en-GB"/>
        </w:rPr>
        <w:t xml:space="preserve"> created to ensure that growth in player salaries, </w:t>
      </w:r>
      <w:r w:rsidR="00E77B73">
        <w:rPr>
          <w:lang w:val="en-GB"/>
        </w:rPr>
        <w:t xml:space="preserve">which consisted of </w:t>
      </w:r>
      <w:r w:rsidRPr="00D62BF7">
        <w:rPr>
          <w:lang w:val="en-GB"/>
        </w:rPr>
        <w:t xml:space="preserve">the largest cost to NHL teams, would never outpace revenue growth. </w:t>
      </w:r>
      <w:r w:rsidR="00E77B73">
        <w:rPr>
          <w:lang w:val="en-GB"/>
        </w:rPr>
        <w:t>T</w:t>
      </w:r>
      <w:r w:rsidRPr="00D62BF7">
        <w:rPr>
          <w:lang w:val="en-GB"/>
        </w:rPr>
        <w:t>he initial salary cap for the 2005</w:t>
      </w:r>
      <w:r w:rsidR="00E77B73">
        <w:rPr>
          <w:lang w:val="en-GB"/>
        </w:rPr>
        <w:t>–</w:t>
      </w:r>
      <w:r w:rsidRPr="00D62BF7">
        <w:rPr>
          <w:lang w:val="en-GB"/>
        </w:rPr>
        <w:t>06 season was set at $39</w:t>
      </w:r>
      <w:r w:rsidR="00AD2642">
        <w:rPr>
          <w:lang w:val="en-GB"/>
        </w:rPr>
        <w:t xml:space="preserve"> </w:t>
      </w:r>
      <w:r w:rsidRPr="00D62BF7">
        <w:rPr>
          <w:lang w:val="en-GB"/>
        </w:rPr>
        <w:t>million</w:t>
      </w:r>
      <w:r w:rsidR="00E77B73">
        <w:rPr>
          <w:lang w:val="en-GB"/>
        </w:rPr>
        <w:t>. However</w:t>
      </w:r>
      <w:r w:rsidRPr="00D62BF7">
        <w:rPr>
          <w:lang w:val="en-GB"/>
        </w:rPr>
        <w:t xml:space="preserve">, </w:t>
      </w:r>
      <w:r w:rsidR="00697774">
        <w:rPr>
          <w:lang w:val="en-GB"/>
        </w:rPr>
        <w:t xml:space="preserve">by the 2014–15 </w:t>
      </w:r>
      <w:proofErr w:type="gramStart"/>
      <w:r w:rsidR="00697774">
        <w:rPr>
          <w:lang w:val="en-GB"/>
        </w:rPr>
        <w:t>season</w:t>
      </w:r>
      <w:proofErr w:type="gramEnd"/>
      <w:r w:rsidR="00697774">
        <w:rPr>
          <w:lang w:val="en-GB"/>
        </w:rPr>
        <w:t xml:space="preserve">, </w:t>
      </w:r>
      <w:r w:rsidR="00364153">
        <w:rPr>
          <w:lang w:val="en-GB"/>
        </w:rPr>
        <w:t xml:space="preserve">nearly 10 years later, </w:t>
      </w:r>
      <w:r w:rsidR="00E77B73">
        <w:rPr>
          <w:lang w:val="en-GB"/>
        </w:rPr>
        <w:t xml:space="preserve">the salary cap reached </w:t>
      </w:r>
      <w:r w:rsidRPr="00D62BF7">
        <w:rPr>
          <w:lang w:val="en-GB"/>
        </w:rPr>
        <w:t>$69</w:t>
      </w:r>
      <w:r w:rsidR="00AD2642">
        <w:rPr>
          <w:lang w:val="en-GB"/>
        </w:rPr>
        <w:t xml:space="preserve"> </w:t>
      </w:r>
      <w:r w:rsidRPr="00D62BF7">
        <w:rPr>
          <w:lang w:val="en-GB"/>
        </w:rPr>
        <w:t xml:space="preserve">million, </w:t>
      </w:r>
      <w:r w:rsidR="00E77B73">
        <w:rPr>
          <w:lang w:val="en-GB"/>
        </w:rPr>
        <w:t xml:space="preserve">which </w:t>
      </w:r>
      <w:r w:rsidRPr="00D62BF7">
        <w:rPr>
          <w:lang w:val="en-GB"/>
        </w:rPr>
        <w:t>reflect</w:t>
      </w:r>
      <w:r w:rsidR="00E77B73">
        <w:rPr>
          <w:lang w:val="en-GB"/>
        </w:rPr>
        <w:t>ed</w:t>
      </w:r>
      <w:r w:rsidRPr="00D62BF7">
        <w:rPr>
          <w:lang w:val="en-GB"/>
        </w:rPr>
        <w:t xml:space="preserve"> the significant growth</w:t>
      </w:r>
      <w:r w:rsidR="00697774">
        <w:rPr>
          <w:lang w:val="en-GB"/>
        </w:rPr>
        <w:t>, both</w:t>
      </w:r>
      <w:r w:rsidRPr="00D62BF7">
        <w:rPr>
          <w:lang w:val="en-GB"/>
        </w:rPr>
        <w:t xml:space="preserve"> of league revenues and </w:t>
      </w:r>
      <w:r w:rsidR="00AD2642">
        <w:rPr>
          <w:lang w:val="en-GB"/>
        </w:rPr>
        <w:t xml:space="preserve">of </w:t>
      </w:r>
      <w:r w:rsidRPr="00D62BF7">
        <w:rPr>
          <w:lang w:val="en-GB"/>
        </w:rPr>
        <w:t>the game of hockey</w:t>
      </w:r>
      <w:r w:rsidR="00E77B73">
        <w:rPr>
          <w:lang w:val="en-GB"/>
        </w:rPr>
        <w:t xml:space="preserve"> itself</w:t>
      </w:r>
      <w:r w:rsidRPr="00D62BF7">
        <w:rPr>
          <w:lang w:val="en-GB"/>
        </w:rPr>
        <w:t xml:space="preserve"> (</w:t>
      </w:r>
      <w:r w:rsidR="00143940" w:rsidRPr="00D62BF7">
        <w:rPr>
          <w:lang w:val="en-GB"/>
        </w:rPr>
        <w:t xml:space="preserve">see </w:t>
      </w:r>
      <w:r w:rsidRPr="00D62BF7">
        <w:rPr>
          <w:lang w:val="en-GB"/>
        </w:rPr>
        <w:t xml:space="preserve">Exhibit 1). Along with </w:t>
      </w:r>
      <w:r w:rsidR="00E77B73">
        <w:rPr>
          <w:lang w:val="en-GB"/>
        </w:rPr>
        <w:t>the new</w:t>
      </w:r>
      <w:r w:rsidRPr="00D62BF7">
        <w:rPr>
          <w:lang w:val="en-GB"/>
        </w:rPr>
        <w:t xml:space="preserve"> salary cap</w:t>
      </w:r>
      <w:r w:rsidR="00E77B73">
        <w:rPr>
          <w:lang w:val="en-GB"/>
        </w:rPr>
        <w:t>,</w:t>
      </w:r>
      <w:r w:rsidRPr="00D62BF7">
        <w:rPr>
          <w:lang w:val="en-GB"/>
        </w:rPr>
        <w:t xml:space="preserve"> the CBA also stipulated </w:t>
      </w:r>
      <w:r w:rsidR="00E77B73">
        <w:rPr>
          <w:lang w:val="en-GB"/>
        </w:rPr>
        <w:t xml:space="preserve">that </w:t>
      </w:r>
      <w:r w:rsidRPr="00D62BF7">
        <w:rPr>
          <w:lang w:val="en-GB"/>
        </w:rPr>
        <w:t>a salary floor</w:t>
      </w:r>
      <w:r w:rsidR="00E77B73">
        <w:rPr>
          <w:lang w:val="en-GB"/>
        </w:rPr>
        <w:t xml:space="preserve"> would apply, which consisted of </w:t>
      </w:r>
      <w:r w:rsidRPr="00D62BF7">
        <w:rPr>
          <w:lang w:val="en-GB"/>
        </w:rPr>
        <w:t>a minimum payroll for each NHL team</w:t>
      </w:r>
      <w:r w:rsidR="00E77B73">
        <w:rPr>
          <w:lang w:val="en-GB"/>
        </w:rPr>
        <w:t>. The salary floor</w:t>
      </w:r>
      <w:r w:rsidRPr="00D62BF7">
        <w:rPr>
          <w:lang w:val="en-GB"/>
        </w:rPr>
        <w:t xml:space="preserve">, which </w:t>
      </w:r>
      <w:r w:rsidR="00E77B73">
        <w:rPr>
          <w:lang w:val="en-GB"/>
        </w:rPr>
        <w:t>was</w:t>
      </w:r>
      <w:r w:rsidRPr="00D62BF7">
        <w:rPr>
          <w:lang w:val="en-GB"/>
        </w:rPr>
        <w:t xml:space="preserve"> set </w:t>
      </w:r>
      <w:r w:rsidR="00E77B73">
        <w:rPr>
          <w:lang w:val="en-GB"/>
        </w:rPr>
        <w:t>at</w:t>
      </w:r>
      <w:r w:rsidRPr="00D62BF7">
        <w:rPr>
          <w:lang w:val="en-GB"/>
        </w:rPr>
        <w:t xml:space="preserve"> $18</w:t>
      </w:r>
      <w:r w:rsidR="00AD2642">
        <w:rPr>
          <w:lang w:val="en-GB"/>
        </w:rPr>
        <w:t xml:space="preserve"> </w:t>
      </w:r>
      <w:r w:rsidRPr="00D62BF7">
        <w:rPr>
          <w:lang w:val="en-GB"/>
        </w:rPr>
        <w:t>million below the salary cap</w:t>
      </w:r>
      <w:r w:rsidR="00E77B73">
        <w:rPr>
          <w:lang w:val="en-GB"/>
        </w:rPr>
        <w:t>, was intended</w:t>
      </w:r>
      <w:r w:rsidRPr="00D62BF7">
        <w:rPr>
          <w:lang w:val="en-GB"/>
        </w:rPr>
        <w:t xml:space="preserve"> to ensure</w:t>
      </w:r>
      <w:r w:rsidR="00AD2642">
        <w:rPr>
          <w:lang w:val="en-GB"/>
        </w:rPr>
        <w:t xml:space="preserve"> a</w:t>
      </w:r>
      <w:r w:rsidRPr="00D62BF7">
        <w:rPr>
          <w:lang w:val="en-GB"/>
        </w:rPr>
        <w:t xml:space="preserve"> competitive balance and a threshold of player salaries </w:t>
      </w:r>
      <w:r w:rsidR="00E77B73">
        <w:rPr>
          <w:lang w:val="en-GB"/>
        </w:rPr>
        <w:t>across the league</w:t>
      </w:r>
      <w:r w:rsidRPr="00D62BF7">
        <w:rPr>
          <w:lang w:val="en-GB"/>
        </w:rPr>
        <w:t xml:space="preserve">. </w:t>
      </w:r>
    </w:p>
    <w:p w14:paraId="15DC6B20" w14:textId="77777777" w:rsidR="00341ED5" w:rsidRPr="00D62BF7" w:rsidRDefault="00341ED5" w:rsidP="00341ED5">
      <w:pPr>
        <w:pStyle w:val="BodyText"/>
        <w:rPr>
          <w:lang w:val="en-GB"/>
        </w:rPr>
      </w:pPr>
    </w:p>
    <w:p w14:paraId="4406751B" w14:textId="10B56C36" w:rsidR="00341ED5" w:rsidRPr="00D62BF7" w:rsidRDefault="00991811" w:rsidP="00341ED5">
      <w:pPr>
        <w:pStyle w:val="BodyText"/>
        <w:rPr>
          <w:lang w:val="en-GB"/>
        </w:rPr>
      </w:pPr>
      <w:r>
        <w:rPr>
          <w:lang w:val="en-GB"/>
        </w:rPr>
        <w:t>A</w:t>
      </w:r>
      <w:r w:rsidR="00341ED5" w:rsidRPr="00D62BF7">
        <w:rPr>
          <w:lang w:val="en-GB"/>
        </w:rPr>
        <w:t xml:space="preserve">ll salaries paid to players, as well as the salary </w:t>
      </w:r>
      <w:r w:rsidR="00E77B73">
        <w:rPr>
          <w:lang w:val="en-GB"/>
        </w:rPr>
        <w:t xml:space="preserve">floor and </w:t>
      </w:r>
      <w:r w:rsidR="00341ED5" w:rsidRPr="00D62BF7">
        <w:rPr>
          <w:lang w:val="en-GB"/>
        </w:rPr>
        <w:t xml:space="preserve">cap </w:t>
      </w:r>
      <w:r w:rsidR="00E77B73">
        <w:rPr>
          <w:lang w:val="en-GB"/>
        </w:rPr>
        <w:t>amounts</w:t>
      </w:r>
      <w:r w:rsidR="00341ED5" w:rsidRPr="00D62BF7">
        <w:rPr>
          <w:lang w:val="en-GB"/>
        </w:rPr>
        <w:t xml:space="preserve">, </w:t>
      </w:r>
      <w:r>
        <w:rPr>
          <w:lang w:val="en-GB"/>
        </w:rPr>
        <w:t>were denominated in</w:t>
      </w:r>
      <w:r w:rsidRPr="00D62BF7">
        <w:rPr>
          <w:lang w:val="en-GB"/>
        </w:rPr>
        <w:t xml:space="preserve"> </w:t>
      </w:r>
      <w:r w:rsidR="00341ED5" w:rsidRPr="00D62BF7">
        <w:rPr>
          <w:lang w:val="en-GB"/>
        </w:rPr>
        <w:t xml:space="preserve">U.S. dollars, even though </w:t>
      </w:r>
      <w:r w:rsidR="00E77B73">
        <w:rPr>
          <w:lang w:val="en-GB"/>
        </w:rPr>
        <w:t xml:space="preserve">the league originated in Canada and </w:t>
      </w:r>
      <w:r w:rsidR="00341ED5" w:rsidRPr="00D62BF7">
        <w:rPr>
          <w:lang w:val="en-GB"/>
        </w:rPr>
        <w:t xml:space="preserve">seven NHL franchises were </w:t>
      </w:r>
      <w:r w:rsidR="00E77B73">
        <w:rPr>
          <w:lang w:val="en-GB"/>
        </w:rPr>
        <w:t xml:space="preserve">still </w:t>
      </w:r>
      <w:r w:rsidR="00341ED5" w:rsidRPr="00D62BF7">
        <w:rPr>
          <w:lang w:val="en-GB"/>
        </w:rPr>
        <w:t>based in Canada.</w:t>
      </w:r>
      <w:r w:rsidR="00341ED5" w:rsidRPr="00D62BF7">
        <w:rPr>
          <w:rStyle w:val="FootnoteReference"/>
          <w:lang w:val="en-GB"/>
        </w:rPr>
        <w:footnoteReference w:id="3"/>
      </w:r>
      <w:r w:rsidR="00341ED5" w:rsidRPr="00D62BF7">
        <w:rPr>
          <w:lang w:val="en-GB"/>
        </w:rPr>
        <w:t xml:space="preserve"> Th</w:t>
      </w:r>
      <w:r w:rsidR="00E77B73">
        <w:rPr>
          <w:lang w:val="en-GB"/>
        </w:rPr>
        <w:t xml:space="preserve">e </w:t>
      </w:r>
      <w:r w:rsidR="00661A63">
        <w:rPr>
          <w:lang w:val="en-GB"/>
        </w:rPr>
        <w:t>exclusive use of</w:t>
      </w:r>
      <w:r w:rsidR="000A0EE8">
        <w:rPr>
          <w:lang w:val="en-GB"/>
        </w:rPr>
        <w:t xml:space="preserve"> the U.S. dollar currency</w:t>
      </w:r>
      <w:r w:rsidR="00341ED5" w:rsidRPr="00D62BF7">
        <w:rPr>
          <w:lang w:val="en-GB"/>
        </w:rPr>
        <w:t xml:space="preserve"> originated in the 1990s</w:t>
      </w:r>
      <w:r w:rsidR="000A0EE8">
        <w:rPr>
          <w:lang w:val="en-GB"/>
        </w:rPr>
        <w:t>,</w:t>
      </w:r>
      <w:r w:rsidR="00341ED5" w:rsidRPr="00D62BF7">
        <w:rPr>
          <w:lang w:val="en-GB"/>
        </w:rPr>
        <w:t xml:space="preserve"> when volatility in the </w:t>
      </w:r>
      <w:r w:rsidR="000A0EE8">
        <w:rPr>
          <w:lang w:val="en-GB"/>
        </w:rPr>
        <w:t xml:space="preserve">exchange rate of the </w:t>
      </w:r>
      <w:r w:rsidR="00341ED5" w:rsidRPr="00D62BF7">
        <w:rPr>
          <w:lang w:val="en-GB"/>
        </w:rPr>
        <w:t>U.S. dollar</w:t>
      </w:r>
      <w:r w:rsidR="000A0EE8">
        <w:rPr>
          <w:lang w:val="en-GB"/>
        </w:rPr>
        <w:t xml:space="preserve"> against the </w:t>
      </w:r>
      <w:r w:rsidR="00341ED5" w:rsidRPr="00D62BF7">
        <w:rPr>
          <w:lang w:val="en-GB"/>
        </w:rPr>
        <w:t xml:space="preserve">Canadian dollar necessitated a standardization of player contracts to </w:t>
      </w:r>
      <w:r w:rsidR="000A0EE8">
        <w:rPr>
          <w:lang w:val="en-GB"/>
        </w:rPr>
        <w:t xml:space="preserve">ensure a fair </w:t>
      </w:r>
      <w:r w:rsidR="00661A63">
        <w:rPr>
          <w:lang w:val="en-GB"/>
        </w:rPr>
        <w:t>comparison of salary</w:t>
      </w:r>
      <w:r w:rsidR="00341ED5" w:rsidRPr="00D62BF7">
        <w:rPr>
          <w:lang w:val="en-GB"/>
        </w:rPr>
        <w:t xml:space="preserve"> value</w:t>
      </w:r>
      <w:r w:rsidR="00661A63">
        <w:rPr>
          <w:lang w:val="en-GB"/>
        </w:rPr>
        <w:t>s</w:t>
      </w:r>
      <w:r w:rsidR="00341ED5" w:rsidRPr="00D62BF7">
        <w:rPr>
          <w:lang w:val="en-GB"/>
        </w:rPr>
        <w:t>.</w:t>
      </w:r>
      <w:r w:rsidR="00341ED5" w:rsidRPr="00D62BF7">
        <w:rPr>
          <w:rStyle w:val="FootnoteReference"/>
          <w:lang w:val="en-GB"/>
        </w:rPr>
        <w:footnoteReference w:id="4"/>
      </w:r>
      <w:r w:rsidR="00341ED5" w:rsidRPr="00D62BF7">
        <w:rPr>
          <w:lang w:val="en-GB"/>
        </w:rPr>
        <w:t xml:space="preserve"> In contrast to other major North American Sports leagues, </w:t>
      </w:r>
      <w:r w:rsidR="00661A63">
        <w:rPr>
          <w:lang w:val="en-GB"/>
        </w:rPr>
        <w:t>the NHL</w:t>
      </w:r>
      <w:r w:rsidR="00341ED5" w:rsidRPr="00D62BF7">
        <w:rPr>
          <w:lang w:val="en-GB"/>
        </w:rPr>
        <w:t xml:space="preserve"> generated </w:t>
      </w:r>
      <w:r w:rsidR="00661A63">
        <w:rPr>
          <w:lang w:val="en-GB"/>
        </w:rPr>
        <w:t xml:space="preserve">a considerable amount of revenue </w:t>
      </w:r>
      <w:r w:rsidR="00341ED5" w:rsidRPr="00D62BF7">
        <w:rPr>
          <w:lang w:val="en-GB"/>
        </w:rPr>
        <w:t>in Canadian dollars</w:t>
      </w:r>
      <w:r w:rsidR="00143940" w:rsidRPr="00D62BF7">
        <w:rPr>
          <w:lang w:val="en-GB"/>
        </w:rPr>
        <w:t>—</w:t>
      </w:r>
      <w:r w:rsidR="00341ED5" w:rsidRPr="00D62BF7">
        <w:rPr>
          <w:lang w:val="en-GB"/>
        </w:rPr>
        <w:t>typically 35</w:t>
      </w:r>
      <w:r w:rsidR="00661A63">
        <w:rPr>
          <w:lang w:val="en-GB"/>
        </w:rPr>
        <w:t xml:space="preserve"> to </w:t>
      </w:r>
      <w:r w:rsidR="00341ED5" w:rsidRPr="00D62BF7">
        <w:rPr>
          <w:lang w:val="en-GB"/>
        </w:rPr>
        <w:t>40 per cent.</w:t>
      </w:r>
      <w:r w:rsidR="00341ED5" w:rsidRPr="00D62BF7">
        <w:rPr>
          <w:rStyle w:val="FootnoteReference"/>
          <w:lang w:val="en-GB"/>
        </w:rPr>
        <w:footnoteReference w:id="5"/>
      </w:r>
      <w:r w:rsidR="00341ED5" w:rsidRPr="00D62BF7">
        <w:rPr>
          <w:lang w:val="en-GB"/>
        </w:rPr>
        <w:t xml:space="preserve"> Revenues were generated from a variety of sources beyond television rights, including sales of tickets, sponsorships, and advertising space. </w:t>
      </w:r>
    </w:p>
    <w:p w14:paraId="46C7556A" w14:textId="77777777" w:rsidR="00341ED5" w:rsidRPr="00D62BF7" w:rsidRDefault="00341ED5" w:rsidP="00341ED5">
      <w:pPr>
        <w:pStyle w:val="BodyText"/>
        <w:rPr>
          <w:lang w:val="en-GB"/>
        </w:rPr>
      </w:pPr>
    </w:p>
    <w:p w14:paraId="68249DB8" w14:textId="77777777" w:rsidR="00341ED5" w:rsidRPr="00D62BF7" w:rsidRDefault="00341ED5" w:rsidP="00341ED5">
      <w:pPr>
        <w:pStyle w:val="BodyText"/>
        <w:rPr>
          <w:lang w:val="en-GB"/>
        </w:rPr>
      </w:pPr>
    </w:p>
    <w:p w14:paraId="5FC3905B" w14:textId="77777777" w:rsidR="00341ED5" w:rsidRPr="00D62BF7" w:rsidRDefault="00341ED5" w:rsidP="00341ED5">
      <w:pPr>
        <w:pStyle w:val="casehead1"/>
        <w:rPr>
          <w:lang w:val="en-GB"/>
        </w:rPr>
      </w:pPr>
      <w:r w:rsidRPr="00D62BF7">
        <w:rPr>
          <w:lang w:val="en-GB"/>
        </w:rPr>
        <w:t>A Historic Deal</w:t>
      </w:r>
    </w:p>
    <w:p w14:paraId="6C85DE34" w14:textId="77777777" w:rsidR="00341ED5" w:rsidRPr="00D62BF7" w:rsidRDefault="00341ED5" w:rsidP="00341ED5">
      <w:pPr>
        <w:pStyle w:val="BodyText"/>
        <w:rPr>
          <w:lang w:val="en-GB"/>
        </w:rPr>
      </w:pPr>
    </w:p>
    <w:p w14:paraId="66AA675A" w14:textId="2D2FBB66" w:rsidR="00341ED5" w:rsidRPr="00D62BF7" w:rsidRDefault="00341ED5" w:rsidP="00341ED5">
      <w:pPr>
        <w:pStyle w:val="BodyText"/>
        <w:rPr>
          <w:lang w:val="en-GB"/>
        </w:rPr>
      </w:pPr>
      <w:r w:rsidRPr="00D62BF7">
        <w:rPr>
          <w:lang w:val="en-GB"/>
        </w:rPr>
        <w:t xml:space="preserve">The </w:t>
      </w:r>
      <w:r w:rsidR="00A32CC9">
        <w:rPr>
          <w:lang w:val="en-GB"/>
        </w:rPr>
        <w:t xml:space="preserve">NHL’s </w:t>
      </w:r>
      <w:r w:rsidRPr="00D62BF7">
        <w:rPr>
          <w:lang w:val="en-GB"/>
        </w:rPr>
        <w:t xml:space="preserve">Canadian dollar revenues were projected to climb considerably as a result of </w:t>
      </w:r>
      <w:r w:rsidR="00A32CC9">
        <w:rPr>
          <w:lang w:val="en-GB"/>
        </w:rPr>
        <w:t>a</w:t>
      </w:r>
      <w:r w:rsidRPr="00D62BF7">
        <w:rPr>
          <w:lang w:val="en-GB"/>
        </w:rPr>
        <w:t xml:space="preserve"> television</w:t>
      </w:r>
      <w:r w:rsidR="00881420">
        <w:rPr>
          <w:lang w:val="en-GB"/>
        </w:rPr>
        <w:t xml:space="preserve"> broadcasting</w:t>
      </w:r>
      <w:r w:rsidRPr="00D62BF7">
        <w:rPr>
          <w:lang w:val="en-GB"/>
        </w:rPr>
        <w:t xml:space="preserve"> rights </w:t>
      </w:r>
      <w:r w:rsidR="00881420">
        <w:rPr>
          <w:lang w:val="en-GB"/>
        </w:rPr>
        <w:t>agreement</w:t>
      </w:r>
      <w:r w:rsidRPr="00D62BF7">
        <w:rPr>
          <w:lang w:val="en-GB"/>
        </w:rPr>
        <w:t xml:space="preserve"> between Rogers Communications Inc. </w:t>
      </w:r>
      <w:r w:rsidR="00A32CC9">
        <w:rPr>
          <w:lang w:val="en-GB"/>
        </w:rPr>
        <w:t xml:space="preserve">(Rogers) </w:t>
      </w:r>
      <w:r w:rsidRPr="00D62BF7">
        <w:rPr>
          <w:lang w:val="en-GB"/>
        </w:rPr>
        <w:t xml:space="preserve">and the NHL signed in November 2013. The 12-year deal for exclusive national broadcast rights in Canada was valued at </w:t>
      </w:r>
      <w:r w:rsidR="00A32CC9">
        <w:rPr>
          <w:lang w:val="en-GB"/>
        </w:rPr>
        <w:t>CA</w:t>
      </w:r>
      <w:r w:rsidRPr="00D62BF7">
        <w:rPr>
          <w:lang w:val="en-GB"/>
        </w:rPr>
        <w:t>$5.2</w:t>
      </w:r>
      <w:r w:rsidR="00A32CC9">
        <w:rPr>
          <w:lang w:val="en-GB"/>
        </w:rPr>
        <w:t xml:space="preserve"> </w:t>
      </w:r>
      <w:r w:rsidRPr="00D62BF7">
        <w:rPr>
          <w:lang w:val="en-GB"/>
        </w:rPr>
        <w:t xml:space="preserve">billion and became the largest </w:t>
      </w:r>
      <w:r w:rsidR="003C58C2">
        <w:rPr>
          <w:lang w:val="en-GB"/>
        </w:rPr>
        <w:t>television rights</w:t>
      </w:r>
      <w:r w:rsidRPr="00D62BF7">
        <w:rPr>
          <w:lang w:val="en-GB"/>
        </w:rPr>
        <w:t xml:space="preserve"> deal in league history. It officially commenced at the beginning of the 2014</w:t>
      </w:r>
      <w:r w:rsidR="00A32CC9">
        <w:rPr>
          <w:lang w:val="en-GB"/>
        </w:rPr>
        <w:t>–</w:t>
      </w:r>
      <w:r w:rsidRPr="00D62BF7">
        <w:rPr>
          <w:lang w:val="en-GB"/>
        </w:rPr>
        <w:t>15 NHL season. On an annual basis</w:t>
      </w:r>
      <w:r w:rsidR="003C58C2">
        <w:rPr>
          <w:lang w:val="en-GB"/>
        </w:rPr>
        <w:t>,</w:t>
      </w:r>
      <w:r w:rsidRPr="00D62BF7">
        <w:rPr>
          <w:lang w:val="en-GB"/>
        </w:rPr>
        <w:t xml:space="preserve"> the deal would see Rogers pay the NHL </w:t>
      </w:r>
      <w:r w:rsidR="00A32CC9">
        <w:rPr>
          <w:lang w:val="en-GB"/>
        </w:rPr>
        <w:t>CA</w:t>
      </w:r>
      <w:r w:rsidRPr="00D62BF7">
        <w:rPr>
          <w:lang w:val="en-GB"/>
        </w:rPr>
        <w:t>$300</w:t>
      </w:r>
      <w:r w:rsidR="00991811">
        <w:rPr>
          <w:lang w:val="en-GB"/>
        </w:rPr>
        <w:t xml:space="preserve"> million</w:t>
      </w:r>
      <w:r w:rsidR="00A32CC9">
        <w:rPr>
          <w:lang w:val="en-GB"/>
        </w:rPr>
        <w:t>–</w:t>
      </w:r>
      <w:r w:rsidR="00084465">
        <w:rPr>
          <w:lang w:val="en-GB"/>
        </w:rPr>
        <w:t>CA$</w:t>
      </w:r>
      <w:r w:rsidRPr="00D62BF7">
        <w:rPr>
          <w:lang w:val="en-GB"/>
        </w:rPr>
        <w:t>500 million, equivalent to 7</w:t>
      </w:r>
      <w:r w:rsidR="00A32CC9">
        <w:rPr>
          <w:lang w:val="en-GB"/>
        </w:rPr>
        <w:t>–</w:t>
      </w:r>
      <w:r w:rsidRPr="00D62BF7">
        <w:rPr>
          <w:lang w:val="en-GB"/>
        </w:rPr>
        <w:t>10 per</w:t>
      </w:r>
      <w:r w:rsidR="00143940" w:rsidRPr="00D62BF7">
        <w:rPr>
          <w:lang w:val="en-GB"/>
        </w:rPr>
        <w:t xml:space="preserve"> </w:t>
      </w:r>
      <w:r w:rsidRPr="00D62BF7">
        <w:rPr>
          <w:lang w:val="en-GB"/>
        </w:rPr>
        <w:t>cent of total NHL revenue</w:t>
      </w:r>
      <w:r w:rsidR="00A32CC9">
        <w:rPr>
          <w:lang w:val="en-GB"/>
        </w:rPr>
        <w:t>s</w:t>
      </w:r>
      <w:r w:rsidRPr="00D62BF7">
        <w:rPr>
          <w:lang w:val="en-GB"/>
        </w:rPr>
        <w:t xml:space="preserve"> at the time.</w:t>
      </w:r>
      <w:r w:rsidRPr="00084465">
        <w:rPr>
          <w:rStyle w:val="FootnoteReference"/>
          <w:lang w:val="en-GB"/>
        </w:rPr>
        <w:footnoteReference w:id="6"/>
      </w:r>
      <w:r w:rsidRPr="00D62BF7">
        <w:rPr>
          <w:lang w:val="en-GB"/>
        </w:rPr>
        <w:t xml:space="preserve"> In the weeks following the deal’s announcement</w:t>
      </w:r>
      <w:r w:rsidR="00A32CC9">
        <w:rPr>
          <w:lang w:val="en-GB"/>
        </w:rPr>
        <w:t>,</w:t>
      </w:r>
      <w:r w:rsidRPr="00D62BF7">
        <w:rPr>
          <w:lang w:val="en-GB"/>
        </w:rPr>
        <w:t xml:space="preserve"> many analysts projected the impact </w:t>
      </w:r>
      <w:r w:rsidR="000D25ED">
        <w:rPr>
          <w:lang w:val="en-GB"/>
        </w:rPr>
        <w:t>that</w:t>
      </w:r>
      <w:r w:rsidRPr="00D62BF7">
        <w:rPr>
          <w:lang w:val="en-GB"/>
        </w:rPr>
        <w:t xml:space="preserve"> this increase in revenue </w:t>
      </w:r>
      <w:r w:rsidR="000D25ED">
        <w:rPr>
          <w:lang w:val="en-GB"/>
        </w:rPr>
        <w:t xml:space="preserve">would have </w:t>
      </w:r>
      <w:r w:rsidRPr="00D62BF7">
        <w:rPr>
          <w:lang w:val="en-GB"/>
        </w:rPr>
        <w:t xml:space="preserve">on future salary cap </w:t>
      </w:r>
      <w:r w:rsidR="000D25ED">
        <w:rPr>
          <w:lang w:val="en-GB"/>
        </w:rPr>
        <w:t>amounts</w:t>
      </w:r>
      <w:r w:rsidRPr="00D62BF7">
        <w:rPr>
          <w:lang w:val="en-GB"/>
        </w:rPr>
        <w:t>. Several estimate</w:t>
      </w:r>
      <w:r w:rsidR="00D1608A">
        <w:rPr>
          <w:lang w:val="en-GB"/>
        </w:rPr>
        <w:t>s expected</w:t>
      </w:r>
      <w:r w:rsidRPr="00D62BF7">
        <w:rPr>
          <w:lang w:val="en-GB"/>
        </w:rPr>
        <w:t xml:space="preserve"> the salary cap </w:t>
      </w:r>
      <w:r w:rsidR="00D1608A">
        <w:rPr>
          <w:lang w:val="en-GB"/>
        </w:rPr>
        <w:t>to</w:t>
      </w:r>
      <w:r w:rsidRPr="00D62BF7">
        <w:rPr>
          <w:lang w:val="en-GB"/>
        </w:rPr>
        <w:t xml:space="preserve"> grow by nearly $7</w:t>
      </w:r>
      <w:r w:rsidR="00D1608A">
        <w:rPr>
          <w:lang w:val="en-GB"/>
        </w:rPr>
        <w:t xml:space="preserve"> </w:t>
      </w:r>
      <w:r w:rsidRPr="00D62BF7">
        <w:rPr>
          <w:lang w:val="en-GB"/>
        </w:rPr>
        <w:t>million for the 2015</w:t>
      </w:r>
      <w:r w:rsidR="00D1608A">
        <w:rPr>
          <w:lang w:val="en-GB"/>
        </w:rPr>
        <w:t>–</w:t>
      </w:r>
      <w:r w:rsidRPr="00D62BF7">
        <w:rPr>
          <w:lang w:val="en-GB"/>
        </w:rPr>
        <w:t>16 season</w:t>
      </w:r>
      <w:r w:rsidR="00D1608A">
        <w:rPr>
          <w:lang w:val="en-GB"/>
        </w:rPr>
        <w:t>,</w:t>
      </w:r>
      <w:r w:rsidRPr="00D62BF7">
        <w:rPr>
          <w:lang w:val="en-GB"/>
        </w:rPr>
        <w:t xml:space="preserve"> to approximately $75</w:t>
      </w:r>
      <w:r w:rsidR="00D1608A">
        <w:rPr>
          <w:lang w:val="en-GB"/>
        </w:rPr>
        <w:t xml:space="preserve"> </w:t>
      </w:r>
      <w:r w:rsidRPr="00D62BF7">
        <w:rPr>
          <w:lang w:val="en-GB"/>
        </w:rPr>
        <w:t>million, followed by an increase to $80</w:t>
      </w:r>
      <w:r w:rsidR="00D1608A">
        <w:rPr>
          <w:lang w:val="en-GB"/>
        </w:rPr>
        <w:t xml:space="preserve"> </w:t>
      </w:r>
      <w:r w:rsidRPr="00D62BF7">
        <w:rPr>
          <w:lang w:val="en-GB"/>
        </w:rPr>
        <w:t>million for the 2016</w:t>
      </w:r>
      <w:r w:rsidR="00D1608A">
        <w:rPr>
          <w:lang w:val="en-GB"/>
        </w:rPr>
        <w:t>–</w:t>
      </w:r>
      <w:r w:rsidRPr="00D62BF7">
        <w:rPr>
          <w:lang w:val="en-GB"/>
        </w:rPr>
        <w:t>17 season.</w:t>
      </w:r>
      <w:r w:rsidRPr="00084465">
        <w:rPr>
          <w:rStyle w:val="FootnoteReference"/>
          <w:lang w:val="en-GB"/>
        </w:rPr>
        <w:footnoteReference w:id="7"/>
      </w:r>
      <w:r w:rsidRPr="00D62BF7">
        <w:rPr>
          <w:lang w:val="en-GB"/>
        </w:rPr>
        <w:t xml:space="preserve"> </w:t>
      </w:r>
      <w:r w:rsidR="00D1608A">
        <w:rPr>
          <w:lang w:val="en-GB"/>
        </w:rPr>
        <w:t>A h</w:t>
      </w:r>
      <w:r w:rsidRPr="00D62BF7">
        <w:rPr>
          <w:lang w:val="en-GB"/>
        </w:rPr>
        <w:t xml:space="preserve">ealthy growth </w:t>
      </w:r>
      <w:r w:rsidR="00D1608A">
        <w:rPr>
          <w:lang w:val="en-GB"/>
        </w:rPr>
        <w:t xml:space="preserve">rate </w:t>
      </w:r>
      <w:r w:rsidRPr="00D62BF7">
        <w:rPr>
          <w:lang w:val="en-GB"/>
        </w:rPr>
        <w:t xml:space="preserve">in the salary cap had never seemed more certain </w:t>
      </w:r>
      <w:r w:rsidR="00D1608A">
        <w:rPr>
          <w:lang w:val="en-GB"/>
        </w:rPr>
        <w:t xml:space="preserve">than after the Rogers </w:t>
      </w:r>
      <w:r w:rsidR="00793592">
        <w:rPr>
          <w:lang w:val="en-GB"/>
        </w:rPr>
        <w:t>agreement with the NHL</w:t>
      </w:r>
      <w:r w:rsidR="00D1608A">
        <w:rPr>
          <w:lang w:val="en-GB"/>
        </w:rPr>
        <w:t xml:space="preserve"> </w:t>
      </w:r>
      <w:r w:rsidRPr="00D62BF7">
        <w:rPr>
          <w:lang w:val="en-GB"/>
        </w:rPr>
        <w:t>(</w:t>
      </w:r>
      <w:r w:rsidR="00143940" w:rsidRPr="00D62BF7">
        <w:rPr>
          <w:lang w:val="en-GB"/>
        </w:rPr>
        <w:t xml:space="preserve">see </w:t>
      </w:r>
      <w:r w:rsidRPr="00D62BF7">
        <w:rPr>
          <w:lang w:val="en-GB"/>
        </w:rPr>
        <w:t>Exhibit 2).</w:t>
      </w:r>
    </w:p>
    <w:p w14:paraId="324BC847" w14:textId="77777777" w:rsidR="00341ED5" w:rsidRPr="00D62BF7" w:rsidRDefault="00341ED5" w:rsidP="00341ED5">
      <w:pPr>
        <w:pStyle w:val="BodyText"/>
        <w:rPr>
          <w:lang w:val="en-GB"/>
        </w:rPr>
      </w:pPr>
    </w:p>
    <w:p w14:paraId="204F2ACE" w14:textId="77777777" w:rsidR="00341ED5" w:rsidRPr="00D62BF7" w:rsidRDefault="00341ED5" w:rsidP="00341ED5">
      <w:pPr>
        <w:pStyle w:val="BodyText"/>
        <w:rPr>
          <w:lang w:val="en-GB"/>
        </w:rPr>
      </w:pPr>
    </w:p>
    <w:p w14:paraId="1829E09A" w14:textId="77777777" w:rsidR="00341ED5" w:rsidRPr="00D62BF7" w:rsidRDefault="00341ED5" w:rsidP="00341ED5">
      <w:pPr>
        <w:pStyle w:val="casehead1"/>
        <w:rPr>
          <w:lang w:val="en-GB"/>
        </w:rPr>
      </w:pPr>
      <w:r w:rsidRPr="00D62BF7">
        <w:rPr>
          <w:lang w:val="en-GB"/>
        </w:rPr>
        <w:t>The Chicago Blackhawks</w:t>
      </w:r>
      <w:r w:rsidRPr="00D62BF7">
        <w:rPr>
          <w:rFonts w:cs="Arial"/>
          <w:lang w:val="en-GB"/>
        </w:rPr>
        <w:t>—</w:t>
      </w:r>
      <w:r w:rsidRPr="00D62BF7">
        <w:rPr>
          <w:lang w:val="en-GB"/>
        </w:rPr>
        <w:t xml:space="preserve">A Modern Dynasty </w:t>
      </w:r>
    </w:p>
    <w:p w14:paraId="199A3D87" w14:textId="77777777" w:rsidR="00341ED5" w:rsidRPr="00D62BF7" w:rsidRDefault="00341ED5" w:rsidP="00341ED5">
      <w:pPr>
        <w:pStyle w:val="BodyText"/>
        <w:rPr>
          <w:lang w:val="en-GB"/>
        </w:rPr>
      </w:pPr>
    </w:p>
    <w:p w14:paraId="4D3725C1" w14:textId="02308D6C" w:rsidR="00341ED5" w:rsidRPr="00A042BB" w:rsidRDefault="00341ED5" w:rsidP="00341ED5">
      <w:pPr>
        <w:pStyle w:val="BodyText"/>
        <w:rPr>
          <w:spacing w:val="-2"/>
          <w:lang w:val="en-GB"/>
        </w:rPr>
      </w:pPr>
      <w:r w:rsidRPr="00A042BB">
        <w:rPr>
          <w:spacing w:val="-2"/>
          <w:lang w:val="en-GB"/>
        </w:rPr>
        <w:t xml:space="preserve">Even </w:t>
      </w:r>
      <w:r w:rsidR="00793592" w:rsidRPr="00A042BB">
        <w:rPr>
          <w:spacing w:val="-2"/>
          <w:lang w:val="en-GB"/>
        </w:rPr>
        <w:t>before</w:t>
      </w:r>
      <w:r w:rsidRPr="00A042BB">
        <w:rPr>
          <w:spacing w:val="-2"/>
          <w:lang w:val="en-GB"/>
        </w:rPr>
        <w:t xml:space="preserve"> the 2014</w:t>
      </w:r>
      <w:r w:rsidR="006F525A" w:rsidRPr="00A042BB">
        <w:rPr>
          <w:spacing w:val="-2"/>
          <w:lang w:val="en-GB"/>
        </w:rPr>
        <w:t>–</w:t>
      </w:r>
      <w:r w:rsidRPr="00A042BB">
        <w:rPr>
          <w:spacing w:val="-2"/>
          <w:lang w:val="en-GB"/>
        </w:rPr>
        <w:t>15 NHL season, the Chicago Blackhawks had been one of the most successful teams in the salary</w:t>
      </w:r>
      <w:r w:rsidR="009D05FA" w:rsidRPr="00A042BB">
        <w:rPr>
          <w:spacing w:val="-2"/>
          <w:lang w:val="en-GB"/>
        </w:rPr>
        <w:t>-</w:t>
      </w:r>
      <w:r w:rsidRPr="00A042BB">
        <w:rPr>
          <w:spacing w:val="-2"/>
          <w:lang w:val="en-GB"/>
        </w:rPr>
        <w:t>cap era (</w:t>
      </w:r>
      <w:r w:rsidR="009D05FA" w:rsidRPr="00A042BB">
        <w:rPr>
          <w:spacing w:val="-2"/>
          <w:lang w:val="en-GB"/>
        </w:rPr>
        <w:t xml:space="preserve">i.e., </w:t>
      </w:r>
      <w:r w:rsidRPr="00A042BB">
        <w:rPr>
          <w:spacing w:val="-2"/>
          <w:lang w:val="en-GB"/>
        </w:rPr>
        <w:t>2005</w:t>
      </w:r>
      <w:r w:rsidR="006F525A" w:rsidRPr="00A042BB">
        <w:rPr>
          <w:spacing w:val="-2"/>
          <w:lang w:val="en-GB"/>
        </w:rPr>
        <w:t>–</w:t>
      </w:r>
      <w:r w:rsidRPr="00A042BB">
        <w:rPr>
          <w:spacing w:val="-2"/>
          <w:lang w:val="en-GB"/>
        </w:rPr>
        <w:t xml:space="preserve">present), having won two Stanley Cup championships (2010 and 2013) and </w:t>
      </w:r>
      <w:r w:rsidR="00A80939" w:rsidRPr="00A042BB">
        <w:rPr>
          <w:spacing w:val="-2"/>
          <w:lang w:val="en-GB"/>
        </w:rPr>
        <w:lastRenderedPageBreak/>
        <w:t xml:space="preserve">having been </w:t>
      </w:r>
      <w:r w:rsidRPr="00A042BB">
        <w:rPr>
          <w:spacing w:val="-2"/>
          <w:lang w:val="en-GB"/>
        </w:rPr>
        <w:t>perennial contenders every season since 2008</w:t>
      </w:r>
      <w:r w:rsidR="006F525A" w:rsidRPr="00A042BB">
        <w:rPr>
          <w:spacing w:val="-2"/>
          <w:lang w:val="en-GB"/>
        </w:rPr>
        <w:t>–</w:t>
      </w:r>
      <w:r w:rsidRPr="00A042BB">
        <w:rPr>
          <w:spacing w:val="-2"/>
          <w:lang w:val="en-GB"/>
        </w:rPr>
        <w:t xml:space="preserve">09, the season before Bowman became the team’s GM. Bowman had </w:t>
      </w:r>
      <w:r w:rsidR="006F525A" w:rsidRPr="00A042BB">
        <w:rPr>
          <w:spacing w:val="-2"/>
          <w:lang w:val="en-GB"/>
        </w:rPr>
        <w:t>work</w:t>
      </w:r>
      <w:r w:rsidRPr="00A042BB">
        <w:rPr>
          <w:spacing w:val="-2"/>
          <w:lang w:val="en-GB"/>
        </w:rPr>
        <w:t xml:space="preserve">ed in Chicago’s front office since 2001, </w:t>
      </w:r>
      <w:r w:rsidR="00A80939" w:rsidRPr="00A042BB">
        <w:rPr>
          <w:spacing w:val="-2"/>
          <w:lang w:val="en-GB"/>
        </w:rPr>
        <w:t>as</w:t>
      </w:r>
      <w:r w:rsidRPr="00A042BB">
        <w:rPr>
          <w:spacing w:val="-2"/>
          <w:lang w:val="en-GB"/>
        </w:rPr>
        <w:t xml:space="preserve"> a special assistant to general managers Mike Smith and Bob Pulford</w:t>
      </w:r>
      <w:r w:rsidR="006F525A" w:rsidRPr="00A042BB">
        <w:rPr>
          <w:spacing w:val="-2"/>
          <w:lang w:val="en-GB"/>
        </w:rPr>
        <w:t xml:space="preserve"> for four years</w:t>
      </w:r>
      <w:r w:rsidRPr="00A042BB">
        <w:rPr>
          <w:spacing w:val="-2"/>
          <w:lang w:val="en-GB"/>
        </w:rPr>
        <w:t xml:space="preserve"> before becoming </w:t>
      </w:r>
      <w:r w:rsidR="006F525A" w:rsidRPr="00A042BB">
        <w:rPr>
          <w:spacing w:val="-2"/>
          <w:lang w:val="en-GB"/>
        </w:rPr>
        <w:t>d</w:t>
      </w:r>
      <w:r w:rsidRPr="00A042BB">
        <w:rPr>
          <w:spacing w:val="-2"/>
          <w:lang w:val="en-GB"/>
        </w:rPr>
        <w:t xml:space="preserve">irector of </w:t>
      </w:r>
      <w:r w:rsidR="006F525A" w:rsidRPr="00A042BB">
        <w:rPr>
          <w:spacing w:val="-2"/>
          <w:lang w:val="en-GB"/>
        </w:rPr>
        <w:t>h</w:t>
      </w:r>
      <w:r w:rsidRPr="00A042BB">
        <w:rPr>
          <w:spacing w:val="-2"/>
          <w:lang w:val="en-GB"/>
        </w:rPr>
        <w:t xml:space="preserve">ockey </w:t>
      </w:r>
      <w:r w:rsidR="006F525A" w:rsidRPr="00A042BB">
        <w:rPr>
          <w:spacing w:val="-2"/>
          <w:lang w:val="en-GB"/>
        </w:rPr>
        <w:t>o</w:t>
      </w:r>
      <w:r w:rsidRPr="00A042BB">
        <w:rPr>
          <w:spacing w:val="-2"/>
          <w:lang w:val="en-GB"/>
        </w:rPr>
        <w:t xml:space="preserve">perations in 2005. In 2007, </w:t>
      </w:r>
      <w:r w:rsidR="006F525A" w:rsidRPr="00A042BB">
        <w:rPr>
          <w:spacing w:val="-2"/>
          <w:lang w:val="en-GB"/>
        </w:rPr>
        <w:t>Bowman</w:t>
      </w:r>
      <w:r w:rsidRPr="00A042BB">
        <w:rPr>
          <w:spacing w:val="-2"/>
          <w:lang w:val="en-GB"/>
        </w:rPr>
        <w:t xml:space="preserve"> was promoted to </w:t>
      </w:r>
      <w:r w:rsidR="006F525A" w:rsidRPr="00A042BB">
        <w:rPr>
          <w:spacing w:val="-2"/>
          <w:lang w:val="en-GB"/>
        </w:rPr>
        <w:t>a</w:t>
      </w:r>
      <w:r w:rsidRPr="00A042BB">
        <w:rPr>
          <w:spacing w:val="-2"/>
          <w:lang w:val="en-GB"/>
        </w:rPr>
        <w:t>ssistant GM</w:t>
      </w:r>
      <w:r w:rsidR="006F525A" w:rsidRPr="00A042BB">
        <w:rPr>
          <w:spacing w:val="-2"/>
          <w:lang w:val="en-GB"/>
        </w:rPr>
        <w:t>;</w:t>
      </w:r>
      <w:r w:rsidRPr="00A042BB">
        <w:rPr>
          <w:spacing w:val="-2"/>
          <w:lang w:val="en-GB"/>
        </w:rPr>
        <w:t xml:space="preserve"> </w:t>
      </w:r>
      <w:r w:rsidR="006F525A" w:rsidRPr="00A042BB">
        <w:rPr>
          <w:spacing w:val="-2"/>
          <w:lang w:val="en-GB"/>
        </w:rPr>
        <w:t>on July 14, 2009, he</w:t>
      </w:r>
      <w:r w:rsidRPr="00A042BB">
        <w:rPr>
          <w:spacing w:val="-2"/>
          <w:lang w:val="en-GB"/>
        </w:rPr>
        <w:t xml:space="preserve"> became the Blackhawks</w:t>
      </w:r>
      <w:r w:rsidR="009D05FA" w:rsidRPr="00A042BB">
        <w:rPr>
          <w:spacing w:val="-2"/>
          <w:lang w:val="en-GB"/>
        </w:rPr>
        <w:t>’</w:t>
      </w:r>
      <w:r w:rsidRPr="00A042BB">
        <w:rPr>
          <w:spacing w:val="-2"/>
          <w:lang w:val="en-GB"/>
        </w:rPr>
        <w:t xml:space="preserve"> GM. </w:t>
      </w:r>
    </w:p>
    <w:p w14:paraId="57B0426A" w14:textId="77777777" w:rsidR="00341ED5" w:rsidRPr="00D62BF7" w:rsidRDefault="00341ED5" w:rsidP="00341ED5">
      <w:pPr>
        <w:pStyle w:val="BodyText"/>
        <w:rPr>
          <w:lang w:val="en-GB"/>
        </w:rPr>
      </w:pPr>
    </w:p>
    <w:p w14:paraId="1FF0CC87" w14:textId="189F4C23" w:rsidR="00341ED5" w:rsidRPr="00D62BF7" w:rsidRDefault="00341ED5" w:rsidP="00341ED5">
      <w:pPr>
        <w:pStyle w:val="BodyText"/>
        <w:rPr>
          <w:lang w:val="en-GB"/>
        </w:rPr>
      </w:pPr>
      <w:r w:rsidRPr="00D62BF7">
        <w:rPr>
          <w:lang w:val="en-GB"/>
        </w:rPr>
        <w:t>The 2013</w:t>
      </w:r>
      <w:r w:rsidR="006F525A">
        <w:rPr>
          <w:lang w:val="en-GB"/>
        </w:rPr>
        <w:t>–</w:t>
      </w:r>
      <w:r w:rsidRPr="00D62BF7">
        <w:rPr>
          <w:lang w:val="en-GB"/>
        </w:rPr>
        <w:t>14 Blackhawks were a strong team, narrowly los</w:t>
      </w:r>
      <w:r w:rsidR="006F525A">
        <w:rPr>
          <w:lang w:val="en-GB"/>
        </w:rPr>
        <w:t>ing</w:t>
      </w:r>
      <w:r w:rsidRPr="00D62BF7">
        <w:rPr>
          <w:lang w:val="en-GB"/>
        </w:rPr>
        <w:t xml:space="preserve"> the Western Conference finals to the eventual Stanley Cup champion</w:t>
      </w:r>
      <w:r w:rsidR="006F525A">
        <w:rPr>
          <w:lang w:val="en-GB"/>
        </w:rPr>
        <w:t>,</w:t>
      </w:r>
      <w:r w:rsidRPr="00D62BF7">
        <w:rPr>
          <w:lang w:val="en-GB"/>
        </w:rPr>
        <w:t xml:space="preserve"> </w:t>
      </w:r>
      <w:r w:rsidR="006F525A">
        <w:rPr>
          <w:lang w:val="en-GB"/>
        </w:rPr>
        <w:t xml:space="preserve">the </w:t>
      </w:r>
      <w:r w:rsidRPr="00D62BF7">
        <w:rPr>
          <w:lang w:val="en-GB"/>
        </w:rPr>
        <w:t xml:space="preserve">Los Angeles Kings. </w:t>
      </w:r>
      <w:r w:rsidR="006F525A">
        <w:rPr>
          <w:lang w:val="en-GB"/>
        </w:rPr>
        <w:t>M</w:t>
      </w:r>
      <w:r w:rsidRPr="00D62BF7">
        <w:rPr>
          <w:lang w:val="en-GB"/>
        </w:rPr>
        <w:t xml:space="preserve">ost of the previous season’s roster </w:t>
      </w:r>
      <w:r w:rsidR="006F525A">
        <w:rPr>
          <w:lang w:val="en-GB"/>
        </w:rPr>
        <w:t xml:space="preserve">had </w:t>
      </w:r>
      <w:r w:rsidRPr="00D62BF7">
        <w:rPr>
          <w:lang w:val="en-GB"/>
        </w:rPr>
        <w:t>remained intact for the 2014</w:t>
      </w:r>
      <w:r w:rsidR="006F525A">
        <w:rPr>
          <w:lang w:val="en-GB"/>
        </w:rPr>
        <w:t>–</w:t>
      </w:r>
      <w:r w:rsidRPr="00D62BF7">
        <w:rPr>
          <w:lang w:val="en-GB"/>
        </w:rPr>
        <w:t xml:space="preserve">15 season, </w:t>
      </w:r>
      <w:r w:rsidR="006F525A">
        <w:rPr>
          <w:lang w:val="en-GB"/>
        </w:rPr>
        <w:t xml:space="preserve">but </w:t>
      </w:r>
      <w:r w:rsidRPr="00D62BF7">
        <w:rPr>
          <w:lang w:val="en-GB"/>
        </w:rPr>
        <w:t>Bowman managed to further augment the team</w:t>
      </w:r>
      <w:r w:rsidR="006F525A">
        <w:rPr>
          <w:lang w:val="en-GB"/>
        </w:rPr>
        <w:t>’s lineup</w:t>
      </w:r>
      <w:r w:rsidRPr="00D62BF7">
        <w:rPr>
          <w:lang w:val="en-GB"/>
        </w:rPr>
        <w:t>. In the off-season, he signed free-agent veteran centreman Brad Richards</w:t>
      </w:r>
      <w:r w:rsidR="00F801A3">
        <w:rPr>
          <w:lang w:val="en-GB"/>
        </w:rPr>
        <w:t xml:space="preserve"> </w:t>
      </w:r>
      <w:r w:rsidR="00F801A3" w:rsidRPr="00D62BF7">
        <w:rPr>
          <w:lang w:val="en-GB"/>
        </w:rPr>
        <w:t>to a one-year deal</w:t>
      </w:r>
      <w:r w:rsidR="00F801A3">
        <w:rPr>
          <w:lang w:val="en-GB"/>
        </w:rPr>
        <w:t xml:space="preserve">. </w:t>
      </w:r>
      <w:r w:rsidR="00407861">
        <w:rPr>
          <w:lang w:val="en-GB"/>
        </w:rPr>
        <w:t xml:space="preserve">When playing for the Tampa Bay Lightning, </w:t>
      </w:r>
      <w:r w:rsidR="00F801A3">
        <w:rPr>
          <w:lang w:val="en-GB"/>
        </w:rPr>
        <w:t xml:space="preserve">Richards </w:t>
      </w:r>
      <w:r w:rsidR="00407861">
        <w:rPr>
          <w:lang w:val="en-GB"/>
        </w:rPr>
        <w:t>had been</w:t>
      </w:r>
      <w:r w:rsidR="00407861" w:rsidRPr="00D62BF7">
        <w:rPr>
          <w:lang w:val="en-GB"/>
        </w:rPr>
        <w:t xml:space="preserve"> </w:t>
      </w:r>
      <w:r w:rsidRPr="00D62BF7">
        <w:rPr>
          <w:lang w:val="en-GB"/>
        </w:rPr>
        <w:t xml:space="preserve">a Stanley Cup winner and </w:t>
      </w:r>
      <w:r w:rsidR="00FD6440">
        <w:rPr>
          <w:lang w:val="en-GB"/>
        </w:rPr>
        <w:t xml:space="preserve">in </w:t>
      </w:r>
      <w:r w:rsidR="00407861">
        <w:rPr>
          <w:lang w:val="en-GB"/>
        </w:rPr>
        <w:t xml:space="preserve">the </w:t>
      </w:r>
      <w:r w:rsidRPr="00D62BF7">
        <w:rPr>
          <w:lang w:val="en-GB"/>
        </w:rPr>
        <w:t>playoff</w:t>
      </w:r>
      <w:r w:rsidR="00407861">
        <w:rPr>
          <w:lang w:val="en-GB"/>
        </w:rPr>
        <w:t>s</w:t>
      </w:r>
      <w:r w:rsidRPr="00D62BF7">
        <w:rPr>
          <w:lang w:val="en-GB"/>
        </w:rPr>
        <w:t xml:space="preserve"> </w:t>
      </w:r>
      <w:r w:rsidR="00FD6440">
        <w:rPr>
          <w:lang w:val="en-GB"/>
        </w:rPr>
        <w:t xml:space="preserve">had been named </w:t>
      </w:r>
      <w:r w:rsidR="00F801A3">
        <w:rPr>
          <w:lang w:val="en-GB"/>
        </w:rPr>
        <w:t>most valuable player</w:t>
      </w:r>
      <w:r w:rsidRPr="00D62BF7">
        <w:rPr>
          <w:lang w:val="en-GB"/>
        </w:rPr>
        <w:t>. At the trade deadline</w:t>
      </w:r>
      <w:r w:rsidR="00F801A3">
        <w:rPr>
          <w:lang w:val="en-GB"/>
        </w:rPr>
        <w:t>,</w:t>
      </w:r>
      <w:r w:rsidRPr="00D62BF7">
        <w:rPr>
          <w:lang w:val="en-GB"/>
        </w:rPr>
        <w:t xml:space="preserve"> </w:t>
      </w:r>
      <w:r w:rsidR="009D05FA">
        <w:rPr>
          <w:lang w:val="en-GB"/>
        </w:rPr>
        <w:t>Bowman</w:t>
      </w:r>
      <w:r w:rsidR="009D05FA" w:rsidRPr="00D62BF7">
        <w:rPr>
          <w:lang w:val="en-GB"/>
        </w:rPr>
        <w:t xml:space="preserve"> </w:t>
      </w:r>
      <w:r w:rsidRPr="00D62BF7">
        <w:rPr>
          <w:lang w:val="en-GB"/>
        </w:rPr>
        <w:t>made the biggest deals in the league by acquiring veteran defen</w:t>
      </w:r>
      <w:r w:rsidR="0006437E">
        <w:rPr>
          <w:lang w:val="en-GB"/>
        </w:rPr>
        <w:t>c</w:t>
      </w:r>
      <w:r w:rsidRPr="00D62BF7">
        <w:rPr>
          <w:lang w:val="en-GB"/>
        </w:rPr>
        <w:t xml:space="preserve">eman Kimmo Timonen and coveted forward Antoine </w:t>
      </w:r>
      <w:proofErr w:type="spellStart"/>
      <w:r w:rsidRPr="00D62BF7">
        <w:rPr>
          <w:lang w:val="en-GB"/>
        </w:rPr>
        <w:t>Vermette</w:t>
      </w:r>
      <w:proofErr w:type="spellEnd"/>
      <w:r w:rsidR="00F801A3">
        <w:rPr>
          <w:lang w:val="en-GB"/>
        </w:rPr>
        <w:t xml:space="preserve">, </w:t>
      </w:r>
      <w:r w:rsidRPr="00D62BF7">
        <w:rPr>
          <w:lang w:val="en-GB"/>
        </w:rPr>
        <w:t xml:space="preserve">in both cases surrendering high draft picks. </w:t>
      </w:r>
    </w:p>
    <w:p w14:paraId="73E31FB8" w14:textId="77777777" w:rsidR="00341ED5" w:rsidRPr="00D62BF7" w:rsidRDefault="00341ED5" w:rsidP="00341ED5">
      <w:pPr>
        <w:pStyle w:val="BodyText"/>
        <w:rPr>
          <w:lang w:val="en-GB"/>
        </w:rPr>
      </w:pPr>
    </w:p>
    <w:p w14:paraId="6B44DD63" w14:textId="48BBD77F" w:rsidR="00341ED5" w:rsidRPr="00D62BF7" w:rsidRDefault="00341ED5" w:rsidP="00341ED5">
      <w:pPr>
        <w:pStyle w:val="BodyText"/>
        <w:rPr>
          <w:lang w:val="en-GB"/>
        </w:rPr>
      </w:pPr>
      <w:r w:rsidRPr="00D62BF7">
        <w:rPr>
          <w:lang w:val="en-GB"/>
        </w:rPr>
        <w:t>The high</w:t>
      </w:r>
      <w:r w:rsidR="009D05FA">
        <w:rPr>
          <w:lang w:val="en-GB"/>
        </w:rPr>
        <w:t>-</w:t>
      </w:r>
      <w:r w:rsidRPr="00D62BF7">
        <w:rPr>
          <w:lang w:val="en-GB"/>
        </w:rPr>
        <w:t>profile additions complemented a strong roster with depth at every position. For example, six Blackhawk</w:t>
      </w:r>
      <w:r w:rsidR="00407861">
        <w:rPr>
          <w:lang w:val="en-GB"/>
        </w:rPr>
        <w:t>s</w:t>
      </w:r>
      <w:r w:rsidRPr="00D62BF7">
        <w:rPr>
          <w:lang w:val="en-GB"/>
        </w:rPr>
        <w:t xml:space="preserve"> players were selected to the 2015 (</w:t>
      </w:r>
      <w:r w:rsidR="00F801A3">
        <w:rPr>
          <w:lang w:val="en-GB"/>
        </w:rPr>
        <w:t>m</w:t>
      </w:r>
      <w:r w:rsidRPr="00D62BF7">
        <w:rPr>
          <w:lang w:val="en-GB"/>
        </w:rPr>
        <w:t>id-</w:t>
      </w:r>
      <w:r w:rsidR="00F801A3">
        <w:rPr>
          <w:lang w:val="en-GB"/>
        </w:rPr>
        <w:t>s</w:t>
      </w:r>
      <w:r w:rsidRPr="00D62BF7">
        <w:rPr>
          <w:lang w:val="en-GB"/>
        </w:rPr>
        <w:t xml:space="preserve">eason) </w:t>
      </w:r>
      <w:r w:rsidR="00307078">
        <w:rPr>
          <w:lang w:val="en-GB"/>
        </w:rPr>
        <w:t>a</w:t>
      </w:r>
      <w:r w:rsidRPr="00D62BF7">
        <w:rPr>
          <w:lang w:val="en-GB"/>
        </w:rPr>
        <w:t>ll-</w:t>
      </w:r>
      <w:r w:rsidR="00307078">
        <w:rPr>
          <w:lang w:val="en-GB"/>
        </w:rPr>
        <w:t>s</w:t>
      </w:r>
      <w:r w:rsidRPr="00D62BF7">
        <w:rPr>
          <w:lang w:val="en-GB"/>
        </w:rPr>
        <w:t xml:space="preserve">tar </w:t>
      </w:r>
      <w:r w:rsidR="00307078">
        <w:rPr>
          <w:lang w:val="en-GB"/>
        </w:rPr>
        <w:t>g</w:t>
      </w:r>
      <w:r w:rsidRPr="00D62BF7">
        <w:rPr>
          <w:lang w:val="en-GB"/>
        </w:rPr>
        <w:t>ame</w:t>
      </w:r>
      <w:r w:rsidR="00143940" w:rsidRPr="00D62BF7">
        <w:rPr>
          <w:lang w:val="en-GB"/>
        </w:rPr>
        <w:t>—</w:t>
      </w:r>
      <w:r w:rsidRPr="00D62BF7">
        <w:rPr>
          <w:lang w:val="en-GB"/>
        </w:rPr>
        <w:t xml:space="preserve">the most from any team in the NHL. The forwards were led by superstar players </w:t>
      </w:r>
      <w:proofErr w:type="spellStart"/>
      <w:r w:rsidRPr="00D62BF7">
        <w:rPr>
          <w:lang w:val="en-GB"/>
        </w:rPr>
        <w:t>Toews</w:t>
      </w:r>
      <w:proofErr w:type="spellEnd"/>
      <w:r w:rsidRPr="00D62BF7">
        <w:rPr>
          <w:lang w:val="en-GB"/>
        </w:rPr>
        <w:t xml:space="preserve"> and Kane, but also featured </w:t>
      </w:r>
      <w:r w:rsidR="00661BE8">
        <w:rPr>
          <w:lang w:val="en-GB"/>
        </w:rPr>
        <w:t xml:space="preserve">the </w:t>
      </w:r>
      <w:r w:rsidRPr="00D62BF7">
        <w:rPr>
          <w:lang w:val="en-GB"/>
        </w:rPr>
        <w:t xml:space="preserve">sublimely talented young players Brandon </w:t>
      </w:r>
      <w:proofErr w:type="spellStart"/>
      <w:r w:rsidRPr="00D62BF7">
        <w:rPr>
          <w:lang w:val="en-GB"/>
        </w:rPr>
        <w:t>Saad</w:t>
      </w:r>
      <w:proofErr w:type="spellEnd"/>
      <w:r w:rsidRPr="00D62BF7">
        <w:rPr>
          <w:lang w:val="en-GB"/>
        </w:rPr>
        <w:t xml:space="preserve"> and </w:t>
      </w:r>
      <w:proofErr w:type="spellStart"/>
      <w:r w:rsidRPr="00D62BF7">
        <w:rPr>
          <w:lang w:val="en-GB"/>
        </w:rPr>
        <w:t>Teuvo</w:t>
      </w:r>
      <w:proofErr w:type="spellEnd"/>
      <w:r w:rsidRPr="00D62BF7">
        <w:rPr>
          <w:lang w:val="en-GB"/>
        </w:rPr>
        <w:t xml:space="preserve"> </w:t>
      </w:r>
      <w:proofErr w:type="spellStart"/>
      <w:r w:rsidRPr="00D62BF7">
        <w:rPr>
          <w:lang w:val="en-GB"/>
        </w:rPr>
        <w:t>Teravainen</w:t>
      </w:r>
      <w:proofErr w:type="spellEnd"/>
      <w:r w:rsidRPr="00D62BF7">
        <w:rPr>
          <w:lang w:val="en-GB"/>
        </w:rPr>
        <w:t>, alongside experienced two-way forwards Patrick Sharp and Marian Hossa. The defen</w:t>
      </w:r>
      <w:r w:rsidR="00661BE8">
        <w:rPr>
          <w:lang w:val="en-GB"/>
        </w:rPr>
        <w:t>c</w:t>
      </w:r>
      <w:r w:rsidRPr="00D62BF7">
        <w:rPr>
          <w:lang w:val="en-GB"/>
        </w:rPr>
        <w:t xml:space="preserve">e was led by Duncan Keith, who </w:t>
      </w:r>
      <w:r w:rsidR="00407861">
        <w:rPr>
          <w:lang w:val="en-GB"/>
        </w:rPr>
        <w:t>had been</w:t>
      </w:r>
      <w:r w:rsidR="00407861" w:rsidRPr="00D62BF7">
        <w:rPr>
          <w:lang w:val="en-GB"/>
        </w:rPr>
        <w:t xml:space="preserve"> </w:t>
      </w:r>
      <w:r w:rsidRPr="00D62BF7">
        <w:rPr>
          <w:lang w:val="en-GB"/>
        </w:rPr>
        <w:t>decorated as the NHL’s top defen</w:t>
      </w:r>
      <w:r w:rsidR="00661BE8">
        <w:rPr>
          <w:lang w:val="en-GB"/>
        </w:rPr>
        <w:t>c</w:t>
      </w:r>
      <w:r w:rsidRPr="00D62BF7">
        <w:rPr>
          <w:lang w:val="en-GB"/>
        </w:rPr>
        <w:t xml:space="preserve">eman the previous season. Beyond Keith were fellow </w:t>
      </w:r>
      <w:r w:rsidR="00307078">
        <w:rPr>
          <w:lang w:val="en-GB"/>
        </w:rPr>
        <w:t>a</w:t>
      </w:r>
      <w:r w:rsidRPr="00D62BF7">
        <w:rPr>
          <w:lang w:val="en-GB"/>
        </w:rPr>
        <w:t>ll-</w:t>
      </w:r>
      <w:r w:rsidR="00307078">
        <w:rPr>
          <w:lang w:val="en-GB"/>
        </w:rPr>
        <w:t>s</w:t>
      </w:r>
      <w:r w:rsidRPr="00D62BF7">
        <w:rPr>
          <w:lang w:val="en-GB"/>
        </w:rPr>
        <w:t xml:space="preserve">tar </w:t>
      </w:r>
      <w:r w:rsidR="00661BE8">
        <w:rPr>
          <w:lang w:val="en-GB"/>
        </w:rPr>
        <w:t xml:space="preserve">player </w:t>
      </w:r>
      <w:r w:rsidRPr="00D62BF7">
        <w:rPr>
          <w:lang w:val="en-GB"/>
        </w:rPr>
        <w:t>Brent Seabrook</w:t>
      </w:r>
      <w:r w:rsidR="00661BE8">
        <w:rPr>
          <w:lang w:val="en-GB"/>
        </w:rPr>
        <w:t xml:space="preserve"> and three</w:t>
      </w:r>
      <w:r w:rsidRPr="00D62BF7">
        <w:rPr>
          <w:lang w:val="en-GB"/>
        </w:rPr>
        <w:t xml:space="preserve"> experienced and reliable defen</w:t>
      </w:r>
      <w:r w:rsidR="00661BE8">
        <w:rPr>
          <w:lang w:val="en-GB"/>
        </w:rPr>
        <w:t>c</w:t>
      </w:r>
      <w:r w:rsidRPr="00D62BF7">
        <w:rPr>
          <w:lang w:val="en-GB"/>
        </w:rPr>
        <w:t>emen</w:t>
      </w:r>
      <w:r w:rsidR="00407861">
        <w:rPr>
          <w:lang w:val="en-GB"/>
        </w:rPr>
        <w:t>—</w:t>
      </w:r>
      <w:r w:rsidRPr="00D62BF7">
        <w:rPr>
          <w:lang w:val="en-GB"/>
        </w:rPr>
        <w:t xml:space="preserve">Johnny </w:t>
      </w:r>
      <w:proofErr w:type="spellStart"/>
      <w:r w:rsidRPr="00D62BF7">
        <w:rPr>
          <w:lang w:val="en-GB"/>
        </w:rPr>
        <w:t>Oduya</w:t>
      </w:r>
      <w:proofErr w:type="spellEnd"/>
      <w:r w:rsidRPr="00D62BF7">
        <w:rPr>
          <w:lang w:val="en-GB"/>
        </w:rPr>
        <w:t xml:space="preserve">, Michal </w:t>
      </w:r>
      <w:proofErr w:type="spellStart"/>
      <w:r w:rsidRPr="00D62BF7">
        <w:rPr>
          <w:lang w:val="en-GB"/>
        </w:rPr>
        <w:t>Rozsival</w:t>
      </w:r>
      <w:proofErr w:type="spellEnd"/>
      <w:r w:rsidRPr="00D62BF7">
        <w:rPr>
          <w:lang w:val="en-GB"/>
        </w:rPr>
        <w:t xml:space="preserve">, and </w:t>
      </w:r>
      <w:proofErr w:type="spellStart"/>
      <w:r w:rsidRPr="00D62BF7">
        <w:rPr>
          <w:lang w:val="en-GB"/>
        </w:rPr>
        <w:t>Niklas</w:t>
      </w:r>
      <w:proofErr w:type="spellEnd"/>
      <w:r w:rsidRPr="00D62BF7">
        <w:rPr>
          <w:lang w:val="en-GB"/>
        </w:rPr>
        <w:t xml:space="preserve"> </w:t>
      </w:r>
      <w:proofErr w:type="spellStart"/>
      <w:r w:rsidRPr="00D62BF7">
        <w:rPr>
          <w:lang w:val="en-GB"/>
        </w:rPr>
        <w:t>Hjalmarsson</w:t>
      </w:r>
      <w:proofErr w:type="spellEnd"/>
      <w:r w:rsidRPr="00D62BF7">
        <w:rPr>
          <w:lang w:val="en-GB"/>
        </w:rPr>
        <w:t xml:space="preserve">. </w:t>
      </w:r>
      <w:r w:rsidR="00661BE8">
        <w:rPr>
          <w:lang w:val="en-GB"/>
        </w:rPr>
        <w:t>I</w:t>
      </w:r>
      <w:r w:rsidRPr="00D62BF7">
        <w:rPr>
          <w:lang w:val="en-GB"/>
        </w:rPr>
        <w:t xml:space="preserve">n net, the Blackhawks </w:t>
      </w:r>
      <w:r w:rsidR="00661BE8">
        <w:rPr>
          <w:lang w:val="en-GB"/>
        </w:rPr>
        <w:t xml:space="preserve">relied on </w:t>
      </w:r>
      <w:r w:rsidR="00661BE8" w:rsidRPr="00D62BF7">
        <w:rPr>
          <w:lang w:val="en-GB"/>
        </w:rPr>
        <w:t>Corey Crawford</w:t>
      </w:r>
      <w:r w:rsidR="00661BE8">
        <w:rPr>
          <w:lang w:val="en-GB"/>
        </w:rPr>
        <w:t xml:space="preserve">, who was an </w:t>
      </w:r>
      <w:r w:rsidR="00307078">
        <w:rPr>
          <w:lang w:val="en-GB"/>
        </w:rPr>
        <w:t>a</w:t>
      </w:r>
      <w:r w:rsidR="00661BE8" w:rsidRPr="00D62BF7">
        <w:rPr>
          <w:lang w:val="en-GB"/>
        </w:rPr>
        <w:t>ll-</w:t>
      </w:r>
      <w:r w:rsidR="00307078">
        <w:rPr>
          <w:lang w:val="en-GB"/>
        </w:rPr>
        <w:t>s</w:t>
      </w:r>
      <w:r w:rsidR="00661BE8" w:rsidRPr="00D62BF7">
        <w:rPr>
          <w:lang w:val="en-GB"/>
        </w:rPr>
        <w:t>tar goaltender</w:t>
      </w:r>
      <w:r w:rsidR="00661BE8">
        <w:rPr>
          <w:lang w:val="en-GB"/>
        </w:rPr>
        <w:t xml:space="preserve"> and a recipient of the</w:t>
      </w:r>
      <w:r w:rsidRPr="00D62BF7">
        <w:rPr>
          <w:lang w:val="en-GB"/>
        </w:rPr>
        <w:t xml:space="preserve"> William M. Jennings Trophy</w:t>
      </w:r>
      <w:r w:rsidR="00661BE8">
        <w:rPr>
          <w:lang w:val="en-GB"/>
        </w:rPr>
        <w:t xml:space="preserve">. The trophy was </w:t>
      </w:r>
      <w:r w:rsidRPr="00D62BF7">
        <w:rPr>
          <w:lang w:val="en-GB"/>
        </w:rPr>
        <w:t xml:space="preserve">awarded to a goalie </w:t>
      </w:r>
      <w:proofErr w:type="gramStart"/>
      <w:r w:rsidRPr="00D62BF7">
        <w:rPr>
          <w:lang w:val="en-GB"/>
        </w:rPr>
        <w:t>who</w:t>
      </w:r>
      <w:proofErr w:type="gramEnd"/>
      <w:r w:rsidRPr="00D62BF7">
        <w:rPr>
          <w:lang w:val="en-GB"/>
        </w:rPr>
        <w:t xml:space="preserve"> had played in </w:t>
      </w:r>
      <w:r w:rsidR="00661BE8">
        <w:rPr>
          <w:lang w:val="en-GB"/>
        </w:rPr>
        <w:t>at least</w:t>
      </w:r>
      <w:r w:rsidRPr="00D62BF7">
        <w:rPr>
          <w:lang w:val="en-GB"/>
        </w:rPr>
        <w:t xml:space="preserve"> 25 games</w:t>
      </w:r>
      <w:r w:rsidR="00661BE8">
        <w:rPr>
          <w:lang w:val="en-GB"/>
        </w:rPr>
        <w:t>,</w:t>
      </w:r>
      <w:r w:rsidRPr="00D62BF7">
        <w:rPr>
          <w:lang w:val="en-GB"/>
        </w:rPr>
        <w:t xml:space="preserve"> </w:t>
      </w:r>
      <w:r w:rsidR="00661BE8">
        <w:rPr>
          <w:lang w:val="en-GB"/>
        </w:rPr>
        <w:t>of an</w:t>
      </w:r>
      <w:r w:rsidRPr="00D62BF7">
        <w:rPr>
          <w:lang w:val="en-GB"/>
        </w:rPr>
        <w:t xml:space="preserve"> 82</w:t>
      </w:r>
      <w:r w:rsidR="00661BE8">
        <w:rPr>
          <w:lang w:val="en-GB"/>
        </w:rPr>
        <w:t>-</w:t>
      </w:r>
      <w:r w:rsidRPr="00D62BF7">
        <w:rPr>
          <w:lang w:val="en-GB"/>
        </w:rPr>
        <w:t>game regular season</w:t>
      </w:r>
      <w:r w:rsidR="00661BE8">
        <w:rPr>
          <w:lang w:val="en-GB"/>
        </w:rPr>
        <w:t>,</w:t>
      </w:r>
      <w:r w:rsidRPr="00D62BF7">
        <w:rPr>
          <w:lang w:val="en-GB"/>
        </w:rPr>
        <w:t xml:space="preserve"> </w:t>
      </w:r>
      <w:r w:rsidR="00661BE8">
        <w:rPr>
          <w:lang w:val="en-GB"/>
        </w:rPr>
        <w:t>for</w:t>
      </w:r>
      <w:r w:rsidRPr="00D62BF7">
        <w:rPr>
          <w:lang w:val="en-GB"/>
        </w:rPr>
        <w:t xml:space="preserve"> the team </w:t>
      </w:r>
      <w:r w:rsidR="00661BE8">
        <w:rPr>
          <w:lang w:val="en-GB"/>
        </w:rPr>
        <w:t>with</w:t>
      </w:r>
      <w:r w:rsidRPr="00D62BF7">
        <w:rPr>
          <w:lang w:val="en-GB"/>
        </w:rPr>
        <w:t xml:space="preserve"> the fewest goals scored against.</w:t>
      </w:r>
    </w:p>
    <w:p w14:paraId="4BEE0F6F" w14:textId="77777777" w:rsidR="00341ED5" w:rsidRPr="00D62BF7" w:rsidRDefault="00341ED5" w:rsidP="00341ED5">
      <w:pPr>
        <w:pStyle w:val="BodyText"/>
        <w:rPr>
          <w:lang w:val="en-GB"/>
        </w:rPr>
      </w:pPr>
    </w:p>
    <w:p w14:paraId="06D2E188" w14:textId="4E3377A7" w:rsidR="00341ED5" w:rsidRPr="00D62BF7" w:rsidRDefault="00341ED5" w:rsidP="00341ED5">
      <w:pPr>
        <w:pStyle w:val="BodyText"/>
        <w:rPr>
          <w:lang w:val="en-GB"/>
        </w:rPr>
      </w:pPr>
      <w:r w:rsidRPr="00D62BF7">
        <w:rPr>
          <w:lang w:val="en-GB"/>
        </w:rPr>
        <w:t xml:space="preserve">Assembling a team with such depth and talent would normally be impossible under the NHL’s hard salary cap, but Bowman had benefited from several contracts smartly </w:t>
      </w:r>
      <w:r w:rsidR="00307078">
        <w:rPr>
          <w:lang w:val="en-GB"/>
        </w:rPr>
        <w:t>signed</w:t>
      </w:r>
      <w:r w:rsidRPr="00D62BF7">
        <w:rPr>
          <w:lang w:val="en-GB"/>
        </w:rPr>
        <w:t xml:space="preserve"> years earlier. Prior to the 2010</w:t>
      </w:r>
      <w:r w:rsidR="006750F4">
        <w:rPr>
          <w:lang w:val="en-GB"/>
        </w:rPr>
        <w:t>–</w:t>
      </w:r>
      <w:r w:rsidRPr="00D62BF7">
        <w:rPr>
          <w:lang w:val="en-GB"/>
        </w:rPr>
        <w:t xml:space="preserve">11 </w:t>
      </w:r>
      <w:proofErr w:type="gramStart"/>
      <w:r w:rsidRPr="00D62BF7">
        <w:rPr>
          <w:lang w:val="en-GB"/>
        </w:rPr>
        <w:t>season</w:t>
      </w:r>
      <w:proofErr w:type="gramEnd"/>
      <w:r w:rsidRPr="00D62BF7">
        <w:rPr>
          <w:lang w:val="en-GB"/>
        </w:rPr>
        <w:t>, at a time when the salary cap was a mere $59.4</w:t>
      </w:r>
      <w:r w:rsidR="00307078">
        <w:rPr>
          <w:lang w:val="en-GB"/>
        </w:rPr>
        <w:t xml:space="preserve"> </w:t>
      </w:r>
      <w:r w:rsidRPr="00D62BF7">
        <w:rPr>
          <w:lang w:val="en-GB"/>
        </w:rPr>
        <w:t xml:space="preserve">million, Bowman </w:t>
      </w:r>
      <w:r w:rsidR="00EB2533">
        <w:rPr>
          <w:lang w:val="en-GB"/>
        </w:rPr>
        <w:t xml:space="preserve">had </w:t>
      </w:r>
      <w:r w:rsidRPr="00D62BF7">
        <w:rPr>
          <w:lang w:val="en-GB"/>
        </w:rPr>
        <w:t>signed his key superstars to cap</w:t>
      </w:r>
      <w:r w:rsidR="006750F4">
        <w:rPr>
          <w:lang w:val="en-GB"/>
        </w:rPr>
        <w:t>-</w:t>
      </w:r>
      <w:r w:rsidRPr="00D62BF7">
        <w:rPr>
          <w:lang w:val="en-GB"/>
        </w:rPr>
        <w:t xml:space="preserve">friendly deals. Keith was signed to a 13-year deal with an annual </w:t>
      </w:r>
      <w:r w:rsidR="00EB2533">
        <w:rPr>
          <w:lang w:val="en-GB"/>
        </w:rPr>
        <w:t>salary</w:t>
      </w:r>
      <w:r w:rsidR="00EB2533" w:rsidRPr="00D62BF7">
        <w:rPr>
          <w:lang w:val="en-GB"/>
        </w:rPr>
        <w:t xml:space="preserve"> </w:t>
      </w:r>
      <w:r w:rsidRPr="00D62BF7">
        <w:rPr>
          <w:lang w:val="en-GB"/>
        </w:rPr>
        <w:t>of $5.5</w:t>
      </w:r>
      <w:r w:rsidR="006750F4">
        <w:rPr>
          <w:lang w:val="en-GB"/>
        </w:rPr>
        <w:t xml:space="preserve"> </w:t>
      </w:r>
      <w:r w:rsidRPr="00D62BF7">
        <w:rPr>
          <w:lang w:val="en-GB"/>
        </w:rPr>
        <w:t>million</w:t>
      </w:r>
      <w:r w:rsidR="00307078">
        <w:rPr>
          <w:lang w:val="en-GB"/>
        </w:rPr>
        <w:t>. E</w:t>
      </w:r>
      <w:r w:rsidRPr="00D62BF7">
        <w:rPr>
          <w:lang w:val="en-GB"/>
        </w:rPr>
        <w:t>ven more impressively</w:t>
      </w:r>
      <w:r w:rsidR="00307078">
        <w:rPr>
          <w:lang w:val="en-GB"/>
        </w:rPr>
        <w:t>,</w:t>
      </w:r>
      <w:r w:rsidRPr="00D62BF7">
        <w:rPr>
          <w:lang w:val="en-GB"/>
        </w:rPr>
        <w:t xml:space="preserve"> Bowman </w:t>
      </w:r>
      <w:r w:rsidR="006750F4">
        <w:rPr>
          <w:lang w:val="en-GB"/>
        </w:rPr>
        <w:t>signed</w:t>
      </w:r>
      <w:r w:rsidRPr="00D62BF7">
        <w:rPr>
          <w:lang w:val="en-GB"/>
        </w:rPr>
        <w:t xml:space="preserve"> </w:t>
      </w:r>
      <w:proofErr w:type="spellStart"/>
      <w:r w:rsidRPr="00D62BF7">
        <w:rPr>
          <w:lang w:val="en-GB"/>
        </w:rPr>
        <w:t>Toews</w:t>
      </w:r>
      <w:proofErr w:type="spellEnd"/>
      <w:r w:rsidRPr="00D62BF7">
        <w:rPr>
          <w:lang w:val="en-GB"/>
        </w:rPr>
        <w:t xml:space="preserve"> and Kane each to identical </w:t>
      </w:r>
      <w:r w:rsidR="006750F4">
        <w:rPr>
          <w:lang w:val="en-GB"/>
        </w:rPr>
        <w:t>five</w:t>
      </w:r>
      <w:r w:rsidRPr="00D62BF7">
        <w:rPr>
          <w:lang w:val="en-GB"/>
        </w:rPr>
        <w:t>-year deals of $6.5</w:t>
      </w:r>
      <w:r w:rsidR="006750F4">
        <w:rPr>
          <w:lang w:val="en-GB"/>
        </w:rPr>
        <w:t xml:space="preserve"> </w:t>
      </w:r>
      <w:r w:rsidRPr="00D62BF7">
        <w:rPr>
          <w:lang w:val="en-GB"/>
        </w:rPr>
        <w:t>million per year. By the 2014</w:t>
      </w:r>
      <w:r w:rsidR="006750F4">
        <w:rPr>
          <w:lang w:val="en-GB"/>
        </w:rPr>
        <w:t>–</w:t>
      </w:r>
      <w:r w:rsidRPr="00D62BF7">
        <w:rPr>
          <w:lang w:val="en-GB"/>
        </w:rPr>
        <w:t xml:space="preserve">15 </w:t>
      </w:r>
      <w:proofErr w:type="gramStart"/>
      <w:r w:rsidRPr="00D62BF7">
        <w:rPr>
          <w:lang w:val="en-GB"/>
        </w:rPr>
        <w:t>season</w:t>
      </w:r>
      <w:proofErr w:type="gramEnd"/>
      <w:r w:rsidRPr="00D62BF7">
        <w:rPr>
          <w:lang w:val="en-GB"/>
        </w:rPr>
        <w:t>, w</w:t>
      </w:r>
      <w:r w:rsidR="006750F4">
        <w:rPr>
          <w:lang w:val="en-GB"/>
        </w:rPr>
        <w:t>hen</w:t>
      </w:r>
      <w:r w:rsidRPr="00D62BF7">
        <w:rPr>
          <w:lang w:val="en-GB"/>
        </w:rPr>
        <w:t xml:space="preserve"> the salary cap </w:t>
      </w:r>
      <w:r w:rsidR="006750F4">
        <w:rPr>
          <w:lang w:val="en-GB"/>
        </w:rPr>
        <w:t>reached</w:t>
      </w:r>
      <w:r w:rsidRPr="00D62BF7">
        <w:rPr>
          <w:lang w:val="en-GB"/>
        </w:rPr>
        <w:t xml:space="preserve"> $69</w:t>
      </w:r>
      <w:r w:rsidR="006750F4">
        <w:rPr>
          <w:lang w:val="en-GB"/>
        </w:rPr>
        <w:t xml:space="preserve"> </w:t>
      </w:r>
      <w:r w:rsidRPr="00D62BF7">
        <w:rPr>
          <w:lang w:val="en-GB"/>
        </w:rPr>
        <w:t xml:space="preserve">million, the contracts of </w:t>
      </w:r>
      <w:proofErr w:type="spellStart"/>
      <w:r w:rsidRPr="00D62BF7">
        <w:rPr>
          <w:lang w:val="en-GB"/>
        </w:rPr>
        <w:t>Toews</w:t>
      </w:r>
      <w:proofErr w:type="spellEnd"/>
      <w:r w:rsidRPr="00D62BF7">
        <w:rPr>
          <w:lang w:val="en-GB"/>
        </w:rPr>
        <w:t xml:space="preserve"> and Kane were </w:t>
      </w:r>
      <w:r w:rsidR="00307078">
        <w:rPr>
          <w:lang w:val="en-GB"/>
        </w:rPr>
        <w:t xml:space="preserve">relative </w:t>
      </w:r>
      <w:r w:rsidRPr="00D62BF7">
        <w:rPr>
          <w:lang w:val="en-GB"/>
        </w:rPr>
        <w:t>bargains</w:t>
      </w:r>
      <w:r w:rsidR="00207491">
        <w:rPr>
          <w:lang w:val="en-GB"/>
        </w:rPr>
        <w:t>. E</w:t>
      </w:r>
      <w:r w:rsidRPr="00D62BF7">
        <w:rPr>
          <w:lang w:val="en-GB"/>
        </w:rPr>
        <w:t xml:space="preserve">ach </w:t>
      </w:r>
      <w:r w:rsidR="00207491">
        <w:rPr>
          <w:lang w:val="en-GB"/>
        </w:rPr>
        <w:t>of the two salaries ranked</w:t>
      </w:r>
      <w:r w:rsidRPr="00D62BF7">
        <w:rPr>
          <w:lang w:val="en-GB"/>
        </w:rPr>
        <w:t xml:space="preserve"> 38th highest in the league, even though both players were considered among the top</w:t>
      </w:r>
      <w:r w:rsidR="00207491">
        <w:rPr>
          <w:lang w:val="en-GB"/>
        </w:rPr>
        <w:t xml:space="preserve"> </w:t>
      </w:r>
      <w:r w:rsidRPr="00D62BF7">
        <w:rPr>
          <w:lang w:val="en-GB"/>
        </w:rPr>
        <w:t>10 NHL players.</w:t>
      </w:r>
      <w:r w:rsidRPr="00084465">
        <w:rPr>
          <w:rStyle w:val="FootnoteReference"/>
          <w:lang w:val="en-GB"/>
        </w:rPr>
        <w:footnoteReference w:id="8"/>
      </w:r>
      <w:r w:rsidRPr="00D62BF7">
        <w:rPr>
          <w:lang w:val="en-GB"/>
        </w:rPr>
        <w:t xml:space="preserve"> However, the bargain contracts of </w:t>
      </w:r>
      <w:proofErr w:type="spellStart"/>
      <w:r w:rsidRPr="00D62BF7">
        <w:rPr>
          <w:lang w:val="en-GB"/>
        </w:rPr>
        <w:t>Toews</w:t>
      </w:r>
      <w:proofErr w:type="spellEnd"/>
      <w:r w:rsidRPr="00D62BF7">
        <w:rPr>
          <w:lang w:val="en-GB"/>
        </w:rPr>
        <w:t xml:space="preserve"> and Kane were due to end </w:t>
      </w:r>
      <w:r w:rsidR="00307078">
        <w:rPr>
          <w:lang w:val="en-GB"/>
        </w:rPr>
        <w:t>by</w:t>
      </w:r>
      <w:r w:rsidRPr="00D62BF7">
        <w:rPr>
          <w:lang w:val="en-GB"/>
        </w:rPr>
        <w:t xml:space="preserve"> the summer of 2015. In July 2014</w:t>
      </w:r>
      <w:r w:rsidR="00207491">
        <w:rPr>
          <w:lang w:val="en-GB"/>
        </w:rPr>
        <w:t>,</w:t>
      </w:r>
      <w:r w:rsidRPr="00D62BF7">
        <w:rPr>
          <w:lang w:val="en-GB"/>
        </w:rPr>
        <w:t xml:space="preserve"> Bowman had signed both players to identical </w:t>
      </w:r>
      <w:r w:rsidR="00207491">
        <w:rPr>
          <w:lang w:val="en-GB"/>
        </w:rPr>
        <w:t>eight</w:t>
      </w:r>
      <w:r w:rsidRPr="00D62BF7">
        <w:rPr>
          <w:lang w:val="en-GB"/>
        </w:rPr>
        <w:t>-year deals that would make them the highest paid players in the NHL. The new contracts, which would commence at the beginning of the 2015</w:t>
      </w:r>
      <w:r w:rsidR="00207491">
        <w:rPr>
          <w:lang w:val="en-GB"/>
        </w:rPr>
        <w:t>–</w:t>
      </w:r>
      <w:r w:rsidRPr="00D62BF7">
        <w:rPr>
          <w:lang w:val="en-GB"/>
        </w:rPr>
        <w:t xml:space="preserve">16 </w:t>
      </w:r>
      <w:proofErr w:type="gramStart"/>
      <w:r w:rsidRPr="00D62BF7">
        <w:rPr>
          <w:lang w:val="en-GB"/>
        </w:rPr>
        <w:t>season</w:t>
      </w:r>
      <w:proofErr w:type="gramEnd"/>
      <w:r w:rsidRPr="00D62BF7">
        <w:rPr>
          <w:lang w:val="en-GB"/>
        </w:rPr>
        <w:t xml:space="preserve">, would see the combined </w:t>
      </w:r>
      <w:r w:rsidR="00207491">
        <w:rPr>
          <w:lang w:val="en-GB"/>
        </w:rPr>
        <w:t>annual salary amounts</w:t>
      </w:r>
      <w:r w:rsidRPr="00D62BF7">
        <w:rPr>
          <w:lang w:val="en-GB"/>
        </w:rPr>
        <w:t xml:space="preserve"> of </w:t>
      </w:r>
      <w:proofErr w:type="spellStart"/>
      <w:r w:rsidRPr="00D62BF7">
        <w:rPr>
          <w:lang w:val="en-GB"/>
        </w:rPr>
        <w:t>Toews</w:t>
      </w:r>
      <w:proofErr w:type="spellEnd"/>
      <w:r w:rsidRPr="00D62BF7">
        <w:rPr>
          <w:lang w:val="en-GB"/>
        </w:rPr>
        <w:t xml:space="preserve"> and Kane rise by $8</w:t>
      </w:r>
      <w:r w:rsidR="00885CA8">
        <w:rPr>
          <w:lang w:val="en-GB"/>
        </w:rPr>
        <w:t xml:space="preserve"> </w:t>
      </w:r>
      <w:r w:rsidRPr="00D62BF7">
        <w:rPr>
          <w:lang w:val="en-GB"/>
        </w:rPr>
        <w:t xml:space="preserve">million. </w:t>
      </w:r>
    </w:p>
    <w:p w14:paraId="6322C777" w14:textId="77777777" w:rsidR="00341ED5" w:rsidRPr="00D62BF7" w:rsidRDefault="00341ED5" w:rsidP="00341ED5">
      <w:pPr>
        <w:pStyle w:val="BodyText"/>
        <w:rPr>
          <w:lang w:val="en-GB"/>
        </w:rPr>
      </w:pPr>
    </w:p>
    <w:p w14:paraId="484B0EC0" w14:textId="77777777" w:rsidR="00341ED5" w:rsidRPr="00D62BF7" w:rsidRDefault="00341ED5" w:rsidP="00341ED5">
      <w:pPr>
        <w:pStyle w:val="BodyText"/>
        <w:rPr>
          <w:lang w:val="en-GB"/>
        </w:rPr>
      </w:pPr>
    </w:p>
    <w:p w14:paraId="0281B285" w14:textId="77777777" w:rsidR="00341ED5" w:rsidRPr="00D62BF7" w:rsidRDefault="00341ED5" w:rsidP="00341ED5">
      <w:pPr>
        <w:pStyle w:val="casehead1"/>
        <w:rPr>
          <w:lang w:val="en-GB"/>
        </w:rPr>
      </w:pPr>
      <w:r w:rsidRPr="00D62BF7">
        <w:rPr>
          <w:lang w:val="en-GB"/>
        </w:rPr>
        <w:t>The Fall of Oil</w:t>
      </w:r>
    </w:p>
    <w:p w14:paraId="44AA58D4" w14:textId="77777777" w:rsidR="00341ED5" w:rsidRPr="00D62BF7" w:rsidRDefault="00341ED5" w:rsidP="00341ED5">
      <w:pPr>
        <w:pStyle w:val="BodyText"/>
        <w:rPr>
          <w:lang w:val="en-GB"/>
        </w:rPr>
      </w:pPr>
    </w:p>
    <w:p w14:paraId="561EA5EB" w14:textId="45475273" w:rsidR="00341ED5" w:rsidRPr="00D62BF7" w:rsidRDefault="00341ED5" w:rsidP="00341ED5">
      <w:pPr>
        <w:pStyle w:val="BodyText"/>
        <w:rPr>
          <w:lang w:val="en-GB"/>
        </w:rPr>
      </w:pPr>
      <w:r w:rsidRPr="00D62BF7">
        <w:rPr>
          <w:lang w:val="en-GB"/>
        </w:rPr>
        <w:t xml:space="preserve">On July 9, 2014, the day </w:t>
      </w:r>
      <w:r w:rsidR="00323713">
        <w:rPr>
          <w:lang w:val="en-GB"/>
        </w:rPr>
        <w:t xml:space="preserve">that </w:t>
      </w:r>
      <w:proofErr w:type="spellStart"/>
      <w:r w:rsidRPr="00D62BF7">
        <w:rPr>
          <w:lang w:val="en-GB"/>
        </w:rPr>
        <w:t>Toews</w:t>
      </w:r>
      <w:proofErr w:type="spellEnd"/>
      <w:r w:rsidRPr="00D62BF7">
        <w:rPr>
          <w:lang w:val="en-GB"/>
        </w:rPr>
        <w:t xml:space="preserve"> and Kane signed their latest contracts, crude oil was trading at a price of $102.93</w:t>
      </w:r>
      <w:r w:rsidRPr="00084465">
        <w:rPr>
          <w:rStyle w:val="FootnoteReference"/>
          <w:lang w:val="en-GB"/>
        </w:rPr>
        <w:footnoteReference w:id="9"/>
      </w:r>
      <w:r w:rsidR="00307078">
        <w:rPr>
          <w:lang w:val="en-GB"/>
        </w:rPr>
        <w:t xml:space="preserve"> per barrel</w:t>
      </w:r>
      <w:r w:rsidR="00F14234">
        <w:rPr>
          <w:lang w:val="en-GB"/>
        </w:rPr>
        <w:t>—</w:t>
      </w:r>
      <w:r w:rsidRPr="00D62BF7">
        <w:rPr>
          <w:lang w:val="en-GB"/>
        </w:rPr>
        <w:t xml:space="preserve">the highest level </w:t>
      </w:r>
      <w:r w:rsidR="00F14234">
        <w:rPr>
          <w:lang w:val="en-GB"/>
        </w:rPr>
        <w:t xml:space="preserve">that </w:t>
      </w:r>
      <w:r w:rsidRPr="00D62BF7">
        <w:rPr>
          <w:lang w:val="en-GB"/>
        </w:rPr>
        <w:t xml:space="preserve">oil prices would reach </w:t>
      </w:r>
      <w:r w:rsidR="00F14234">
        <w:rPr>
          <w:lang w:val="en-GB"/>
        </w:rPr>
        <w:t>that year</w:t>
      </w:r>
      <w:r w:rsidRPr="00D62BF7">
        <w:rPr>
          <w:lang w:val="en-GB"/>
        </w:rPr>
        <w:t>. Within a month</w:t>
      </w:r>
      <w:r w:rsidR="00F14234">
        <w:rPr>
          <w:lang w:val="en-GB"/>
        </w:rPr>
        <w:t>,</w:t>
      </w:r>
      <w:r w:rsidRPr="00D62BF7">
        <w:rPr>
          <w:lang w:val="en-GB"/>
        </w:rPr>
        <w:t xml:space="preserve"> the price of oil began its steady and significant decline</w:t>
      </w:r>
      <w:r w:rsidR="00307078">
        <w:rPr>
          <w:lang w:val="en-GB"/>
        </w:rPr>
        <w:t xml:space="preserve"> due to</w:t>
      </w:r>
      <w:r w:rsidR="00F14234">
        <w:rPr>
          <w:lang w:val="en-GB"/>
        </w:rPr>
        <w:t xml:space="preserve"> various </w:t>
      </w:r>
      <w:r w:rsidRPr="00D62BF7">
        <w:rPr>
          <w:lang w:val="en-GB"/>
        </w:rPr>
        <w:t xml:space="preserve">factors. </w:t>
      </w:r>
      <w:proofErr w:type="gramStart"/>
      <w:r w:rsidRPr="00D62BF7">
        <w:rPr>
          <w:lang w:val="en-GB"/>
        </w:rPr>
        <w:t xml:space="preserve">First, slow economic growth in several </w:t>
      </w:r>
      <w:r w:rsidRPr="00D62BF7">
        <w:rPr>
          <w:lang w:val="en-GB"/>
        </w:rPr>
        <w:lastRenderedPageBreak/>
        <w:t>major economies—namely Europe, China, and Japan—stifled demand for oil.</w:t>
      </w:r>
      <w:proofErr w:type="gramEnd"/>
      <w:r w:rsidRPr="00084465">
        <w:rPr>
          <w:rStyle w:val="FootnoteReference"/>
          <w:lang w:val="en-GB"/>
        </w:rPr>
        <w:footnoteReference w:id="10"/>
      </w:r>
      <w:r w:rsidRPr="00D62BF7">
        <w:rPr>
          <w:lang w:val="en-GB"/>
        </w:rPr>
        <w:t xml:space="preserve"> Second, shale oil producers in the U</w:t>
      </w:r>
      <w:r w:rsidR="00444CEA">
        <w:rPr>
          <w:lang w:val="en-GB"/>
        </w:rPr>
        <w:t xml:space="preserve">nited </w:t>
      </w:r>
      <w:r w:rsidRPr="00D62BF7">
        <w:rPr>
          <w:lang w:val="en-GB"/>
        </w:rPr>
        <w:t>S</w:t>
      </w:r>
      <w:r w:rsidR="00444CEA">
        <w:rPr>
          <w:lang w:val="en-GB"/>
        </w:rPr>
        <w:t>tates</w:t>
      </w:r>
      <w:r w:rsidRPr="00D62BF7">
        <w:rPr>
          <w:lang w:val="en-GB"/>
        </w:rPr>
        <w:t xml:space="preserve"> had rapidly increased production</w:t>
      </w:r>
      <w:r w:rsidR="00444CEA">
        <w:rPr>
          <w:lang w:val="en-GB"/>
        </w:rPr>
        <w:t>,</w:t>
      </w:r>
      <w:r w:rsidRPr="00D62BF7">
        <w:rPr>
          <w:lang w:val="en-GB"/>
        </w:rPr>
        <w:t xml:space="preserve"> nearly doubling U.S. oil production in 2014 </w:t>
      </w:r>
      <w:r w:rsidR="00444CEA">
        <w:rPr>
          <w:lang w:val="en-GB"/>
        </w:rPr>
        <w:t xml:space="preserve">compared </w:t>
      </w:r>
      <w:r w:rsidR="00EB2533">
        <w:rPr>
          <w:lang w:val="en-GB"/>
        </w:rPr>
        <w:t xml:space="preserve">with </w:t>
      </w:r>
      <w:r w:rsidR="00444CEA">
        <w:rPr>
          <w:lang w:val="en-GB"/>
        </w:rPr>
        <w:t>just three years earlier</w:t>
      </w:r>
      <w:r w:rsidRPr="00D62BF7">
        <w:rPr>
          <w:lang w:val="en-GB"/>
        </w:rPr>
        <w:t xml:space="preserve">. Third, and most significant, oil production policies </w:t>
      </w:r>
      <w:r w:rsidR="00444CEA">
        <w:rPr>
          <w:lang w:val="en-GB"/>
        </w:rPr>
        <w:t>in</w:t>
      </w:r>
      <w:r w:rsidRPr="00D62BF7">
        <w:rPr>
          <w:lang w:val="en-GB"/>
        </w:rPr>
        <w:t xml:space="preserve"> Saudi Arabia</w:t>
      </w:r>
      <w:r w:rsidR="00444CEA">
        <w:rPr>
          <w:lang w:val="en-GB"/>
        </w:rPr>
        <w:t xml:space="preserve"> </w:t>
      </w:r>
      <w:r w:rsidR="005013DC">
        <w:rPr>
          <w:lang w:val="en-GB"/>
        </w:rPr>
        <w:t>caused</w:t>
      </w:r>
      <w:r w:rsidR="00444CEA">
        <w:rPr>
          <w:lang w:val="en-GB"/>
        </w:rPr>
        <w:t xml:space="preserve"> a major shift</w:t>
      </w:r>
      <w:r w:rsidRPr="00D62BF7">
        <w:rPr>
          <w:lang w:val="en-GB"/>
        </w:rPr>
        <w:t xml:space="preserve">. At the meeting of the Organization of </w:t>
      </w:r>
      <w:r w:rsidR="00307078">
        <w:rPr>
          <w:lang w:val="en-GB"/>
        </w:rPr>
        <w:t xml:space="preserve">the </w:t>
      </w:r>
      <w:r w:rsidRPr="00D62BF7">
        <w:rPr>
          <w:lang w:val="en-GB"/>
        </w:rPr>
        <w:t xml:space="preserve">Petroleum Exporting Countries (OPEC) </w:t>
      </w:r>
      <w:r w:rsidR="001D5D0F">
        <w:rPr>
          <w:lang w:val="en-GB"/>
        </w:rPr>
        <w:t xml:space="preserve">on </w:t>
      </w:r>
      <w:r w:rsidR="001D5D0F" w:rsidRPr="00D62BF7">
        <w:rPr>
          <w:lang w:val="en-GB"/>
        </w:rPr>
        <w:t>November 27, 2014</w:t>
      </w:r>
      <w:r w:rsidR="001D5D0F">
        <w:rPr>
          <w:lang w:val="en-GB"/>
        </w:rPr>
        <w:t>,</w:t>
      </w:r>
      <w:r w:rsidR="001D5D0F" w:rsidRPr="00D62BF7">
        <w:rPr>
          <w:lang w:val="en-GB"/>
        </w:rPr>
        <w:t xml:space="preserve"> </w:t>
      </w:r>
      <w:r w:rsidRPr="00D62BF7">
        <w:rPr>
          <w:lang w:val="en-GB"/>
        </w:rPr>
        <w:t xml:space="preserve">Saudi Arabia declared its intention </w:t>
      </w:r>
      <w:r w:rsidR="004B5EC5">
        <w:rPr>
          <w:lang w:val="en-GB"/>
        </w:rPr>
        <w:t xml:space="preserve">to </w:t>
      </w:r>
      <w:r w:rsidR="005013DC">
        <w:rPr>
          <w:lang w:val="en-GB"/>
        </w:rPr>
        <w:t>increase</w:t>
      </w:r>
      <w:r w:rsidRPr="00D62BF7">
        <w:rPr>
          <w:lang w:val="en-GB"/>
        </w:rPr>
        <w:t xml:space="preserve"> production </w:t>
      </w:r>
      <w:r w:rsidR="005013DC">
        <w:rPr>
          <w:lang w:val="en-GB"/>
        </w:rPr>
        <w:t>to gain</w:t>
      </w:r>
      <w:r w:rsidRPr="00D62BF7">
        <w:rPr>
          <w:lang w:val="en-GB"/>
        </w:rPr>
        <w:t xml:space="preserve"> market share </w:t>
      </w:r>
      <w:r w:rsidR="005013DC">
        <w:rPr>
          <w:lang w:val="en-GB"/>
        </w:rPr>
        <w:t>against</w:t>
      </w:r>
      <w:r w:rsidRPr="00D62BF7">
        <w:rPr>
          <w:lang w:val="en-GB"/>
        </w:rPr>
        <w:t xml:space="preserve"> higher</w:t>
      </w:r>
      <w:r w:rsidR="001D5D0F">
        <w:rPr>
          <w:lang w:val="en-GB"/>
        </w:rPr>
        <w:t>-</w:t>
      </w:r>
      <w:r w:rsidRPr="00D62BF7">
        <w:rPr>
          <w:lang w:val="en-GB"/>
        </w:rPr>
        <w:t>cost oil producers (namely U.S. shale producers).</w:t>
      </w:r>
      <w:r w:rsidRPr="00084465">
        <w:rPr>
          <w:rStyle w:val="FootnoteReference"/>
          <w:lang w:val="en-GB"/>
        </w:rPr>
        <w:footnoteReference w:id="11"/>
      </w:r>
      <w:r w:rsidRPr="00D62BF7">
        <w:rPr>
          <w:lang w:val="en-GB"/>
        </w:rPr>
        <w:t xml:space="preserve"> Saudi </w:t>
      </w:r>
      <w:r w:rsidR="005013DC">
        <w:rPr>
          <w:lang w:val="en-GB"/>
        </w:rPr>
        <w:t>Arabia was</w:t>
      </w:r>
      <w:r w:rsidR="005013DC" w:rsidRPr="00D62BF7">
        <w:rPr>
          <w:lang w:val="en-GB"/>
        </w:rPr>
        <w:t xml:space="preserve"> the largest producer among OPEC members</w:t>
      </w:r>
      <w:r w:rsidR="005013DC">
        <w:rPr>
          <w:lang w:val="en-GB"/>
        </w:rPr>
        <w:t xml:space="preserve">. Its </w:t>
      </w:r>
      <w:r w:rsidRPr="00D62BF7">
        <w:rPr>
          <w:lang w:val="en-GB"/>
        </w:rPr>
        <w:t>oil minister</w:t>
      </w:r>
      <w:r w:rsidR="005013DC">
        <w:rPr>
          <w:lang w:val="en-GB"/>
        </w:rPr>
        <w:t>,</w:t>
      </w:r>
      <w:r w:rsidRPr="00D62BF7">
        <w:rPr>
          <w:lang w:val="en-GB"/>
        </w:rPr>
        <w:t xml:space="preserve"> Ali al-</w:t>
      </w:r>
      <w:proofErr w:type="spellStart"/>
      <w:r w:rsidRPr="00D62BF7">
        <w:rPr>
          <w:lang w:val="en-GB"/>
        </w:rPr>
        <w:t>Naimi</w:t>
      </w:r>
      <w:proofErr w:type="spellEnd"/>
      <w:r w:rsidR="005013DC">
        <w:rPr>
          <w:lang w:val="en-GB"/>
        </w:rPr>
        <w:t>,</w:t>
      </w:r>
      <w:r w:rsidRPr="00D62BF7">
        <w:rPr>
          <w:lang w:val="en-GB"/>
        </w:rPr>
        <w:t xml:space="preserve"> claimed that cutting production would only decrease the market share of OPEC members</w:t>
      </w:r>
      <w:r w:rsidR="001A14FD">
        <w:rPr>
          <w:lang w:val="en-GB"/>
        </w:rPr>
        <w:t>. The minister claimed that Saudi Arabia was</w:t>
      </w:r>
      <w:r w:rsidRPr="00D62BF7">
        <w:rPr>
          <w:lang w:val="en-GB"/>
        </w:rPr>
        <w:t xml:space="preserve"> focused on the cost advantage of </w:t>
      </w:r>
      <w:r w:rsidR="001A14FD">
        <w:rPr>
          <w:lang w:val="en-GB"/>
        </w:rPr>
        <w:t xml:space="preserve">all </w:t>
      </w:r>
      <w:r w:rsidRPr="00D62BF7">
        <w:rPr>
          <w:lang w:val="en-GB"/>
        </w:rPr>
        <w:t xml:space="preserve">OPEC members, many of whom </w:t>
      </w:r>
      <w:r w:rsidR="001A14FD">
        <w:rPr>
          <w:lang w:val="en-GB"/>
        </w:rPr>
        <w:t>we</w:t>
      </w:r>
      <w:r w:rsidRPr="00D62BF7">
        <w:rPr>
          <w:lang w:val="en-GB"/>
        </w:rPr>
        <w:t>re the lowest</w:t>
      </w:r>
      <w:r w:rsidR="001D5D0F">
        <w:rPr>
          <w:lang w:val="en-GB"/>
        </w:rPr>
        <w:t>-</w:t>
      </w:r>
      <w:r w:rsidRPr="00D62BF7">
        <w:rPr>
          <w:lang w:val="en-GB"/>
        </w:rPr>
        <w:t>cost producers of oil in the world.</w:t>
      </w:r>
      <w:r w:rsidRPr="00084465">
        <w:rPr>
          <w:rStyle w:val="FootnoteReference"/>
          <w:lang w:val="en-GB"/>
        </w:rPr>
        <w:footnoteReference w:id="12"/>
      </w:r>
      <w:r w:rsidRPr="00D62BF7">
        <w:rPr>
          <w:lang w:val="en-GB"/>
        </w:rPr>
        <w:t xml:space="preserve"> </w:t>
      </w:r>
      <w:r w:rsidR="001A14FD">
        <w:rPr>
          <w:lang w:val="en-GB"/>
        </w:rPr>
        <w:t>He also stressed</w:t>
      </w:r>
      <w:r w:rsidRPr="00D62BF7">
        <w:rPr>
          <w:lang w:val="en-GB"/>
        </w:rPr>
        <w:t xml:space="preserve"> that the shift in policy would be permanent</w:t>
      </w:r>
      <w:r w:rsidR="001A14FD">
        <w:rPr>
          <w:lang w:val="en-GB"/>
        </w:rPr>
        <w:t>,</w:t>
      </w:r>
      <w:r w:rsidRPr="00D62BF7">
        <w:rPr>
          <w:lang w:val="en-GB"/>
        </w:rPr>
        <w:t xml:space="preserve"> stating</w:t>
      </w:r>
      <w:r w:rsidR="00DA5283">
        <w:rPr>
          <w:lang w:val="en-GB"/>
        </w:rPr>
        <w:t xml:space="preserve"> that</w:t>
      </w:r>
      <w:r w:rsidRPr="00D62BF7">
        <w:rPr>
          <w:lang w:val="en-GB"/>
        </w:rPr>
        <w:t xml:space="preserve"> “</w:t>
      </w:r>
      <w:r w:rsidR="00DA5283">
        <w:rPr>
          <w:lang w:val="en-GB"/>
        </w:rPr>
        <w:t>w</w:t>
      </w:r>
      <w:r w:rsidRPr="00D62BF7">
        <w:rPr>
          <w:lang w:val="en-GB"/>
        </w:rPr>
        <w:t>e’re not going to cut production</w:t>
      </w:r>
      <w:r w:rsidR="001A14FD">
        <w:rPr>
          <w:lang w:val="en-GB"/>
        </w:rPr>
        <w:t xml:space="preserve"> . . . </w:t>
      </w:r>
      <w:r w:rsidRPr="00D62BF7">
        <w:rPr>
          <w:lang w:val="en-GB"/>
        </w:rPr>
        <w:t>it’s the position that will hold forever.”</w:t>
      </w:r>
      <w:r w:rsidRPr="00084465">
        <w:rPr>
          <w:rStyle w:val="FootnoteReference"/>
          <w:lang w:val="en-GB"/>
        </w:rPr>
        <w:footnoteReference w:id="13"/>
      </w:r>
    </w:p>
    <w:p w14:paraId="0EE885F0" w14:textId="77777777" w:rsidR="001D5D0F" w:rsidRPr="00D62BF7" w:rsidRDefault="001D5D0F" w:rsidP="00341ED5">
      <w:pPr>
        <w:pStyle w:val="BodyText"/>
        <w:rPr>
          <w:lang w:val="en-GB"/>
        </w:rPr>
      </w:pPr>
    </w:p>
    <w:p w14:paraId="76594A24" w14:textId="50EA4273" w:rsidR="00341ED5" w:rsidRPr="00D62BF7" w:rsidRDefault="00341ED5" w:rsidP="00341ED5">
      <w:pPr>
        <w:pStyle w:val="BodyText"/>
        <w:rPr>
          <w:lang w:val="en-GB"/>
        </w:rPr>
      </w:pPr>
      <w:r w:rsidRPr="00D62BF7">
        <w:rPr>
          <w:lang w:val="en-GB"/>
        </w:rPr>
        <w:t>From July 2014 to the beginning of 2015</w:t>
      </w:r>
      <w:r w:rsidR="00DA5283">
        <w:rPr>
          <w:lang w:val="en-GB"/>
        </w:rPr>
        <w:t>,</w:t>
      </w:r>
      <w:r w:rsidRPr="00D62BF7">
        <w:rPr>
          <w:lang w:val="en-GB"/>
        </w:rPr>
        <w:t xml:space="preserve"> the price of oil fell by 50 per</w:t>
      </w:r>
      <w:r w:rsidR="00143940" w:rsidRPr="00D62BF7">
        <w:rPr>
          <w:lang w:val="en-GB"/>
        </w:rPr>
        <w:t xml:space="preserve"> </w:t>
      </w:r>
      <w:r w:rsidRPr="00D62BF7">
        <w:rPr>
          <w:lang w:val="en-GB"/>
        </w:rPr>
        <w:t>cent (</w:t>
      </w:r>
      <w:r w:rsidR="00143940" w:rsidRPr="00D62BF7">
        <w:rPr>
          <w:lang w:val="en-GB"/>
        </w:rPr>
        <w:t xml:space="preserve">see </w:t>
      </w:r>
      <w:r w:rsidRPr="00D62BF7">
        <w:rPr>
          <w:lang w:val="en-GB"/>
        </w:rPr>
        <w:t>Exhibit 3). This sudden and dramatic shock severely impacted Canada’s oil patch, where the costs of production were significantly higher than in Saudi Arabia.</w:t>
      </w:r>
      <w:r w:rsidRPr="00084465">
        <w:rPr>
          <w:rStyle w:val="FootnoteReference"/>
          <w:lang w:val="en-GB"/>
        </w:rPr>
        <w:footnoteReference w:id="14"/>
      </w:r>
      <w:r w:rsidRPr="00D62BF7">
        <w:rPr>
          <w:lang w:val="en-GB"/>
        </w:rPr>
        <w:t xml:space="preserve"> Canada’s </w:t>
      </w:r>
      <w:r w:rsidR="0085498D">
        <w:rPr>
          <w:lang w:val="en-GB"/>
        </w:rPr>
        <w:t>g</w:t>
      </w:r>
      <w:r w:rsidRPr="00D62BF7">
        <w:rPr>
          <w:lang w:val="en-GB"/>
        </w:rPr>
        <w:t xml:space="preserve">ross </w:t>
      </w:r>
      <w:r w:rsidR="0085498D">
        <w:rPr>
          <w:lang w:val="en-GB"/>
        </w:rPr>
        <w:t>d</w:t>
      </w:r>
      <w:r w:rsidRPr="00D62BF7">
        <w:rPr>
          <w:lang w:val="en-GB"/>
        </w:rPr>
        <w:t xml:space="preserve">omestic </w:t>
      </w:r>
      <w:r w:rsidR="0085498D">
        <w:rPr>
          <w:lang w:val="en-GB"/>
        </w:rPr>
        <w:t>p</w:t>
      </w:r>
      <w:r w:rsidRPr="00D62BF7">
        <w:rPr>
          <w:lang w:val="en-GB"/>
        </w:rPr>
        <w:t>roduct fell in the first</w:t>
      </w:r>
      <w:r w:rsidR="0085498D">
        <w:rPr>
          <w:lang w:val="en-GB"/>
        </w:rPr>
        <w:t xml:space="preserve"> </w:t>
      </w:r>
      <w:r w:rsidRPr="00D62BF7">
        <w:rPr>
          <w:lang w:val="en-GB"/>
        </w:rPr>
        <w:t xml:space="preserve">quarter of 2015—the first contraction in the Canadian economy in four years—largely due to falling activity and investment in the </w:t>
      </w:r>
      <w:r w:rsidR="0085498D">
        <w:rPr>
          <w:lang w:val="en-GB"/>
        </w:rPr>
        <w:t>o</w:t>
      </w:r>
      <w:r w:rsidRPr="00D62BF7">
        <w:rPr>
          <w:lang w:val="en-GB"/>
        </w:rPr>
        <w:t xml:space="preserve">il and </w:t>
      </w:r>
      <w:r w:rsidR="0085498D">
        <w:rPr>
          <w:lang w:val="en-GB"/>
        </w:rPr>
        <w:t>g</w:t>
      </w:r>
      <w:r w:rsidRPr="00D62BF7">
        <w:rPr>
          <w:lang w:val="en-GB"/>
        </w:rPr>
        <w:t>as sector.</w:t>
      </w:r>
      <w:r w:rsidRPr="00084465">
        <w:rPr>
          <w:rStyle w:val="FootnoteReference"/>
          <w:lang w:val="en-GB"/>
        </w:rPr>
        <w:footnoteReference w:id="15"/>
      </w:r>
      <w:r w:rsidRPr="00D62BF7">
        <w:rPr>
          <w:lang w:val="en-GB"/>
        </w:rPr>
        <w:t xml:space="preserve"> Projections </w:t>
      </w:r>
      <w:r w:rsidR="00C85923">
        <w:rPr>
          <w:lang w:val="en-GB"/>
        </w:rPr>
        <w:t xml:space="preserve">for 2015 </w:t>
      </w:r>
      <w:r w:rsidRPr="00D62BF7">
        <w:rPr>
          <w:lang w:val="en-GB"/>
        </w:rPr>
        <w:t>by the Canadian Association of Petroleum Producers estimated that</w:t>
      </w:r>
      <w:r w:rsidR="00C85923">
        <w:rPr>
          <w:lang w:val="en-GB"/>
        </w:rPr>
        <w:t>, compared with 2014,</w:t>
      </w:r>
      <w:r w:rsidRPr="00D62BF7">
        <w:rPr>
          <w:lang w:val="en-GB"/>
        </w:rPr>
        <w:t xml:space="preserve"> capital investments would decline by 33 per</w:t>
      </w:r>
      <w:r w:rsidR="00143940" w:rsidRPr="00D62BF7">
        <w:rPr>
          <w:lang w:val="en-GB"/>
        </w:rPr>
        <w:t xml:space="preserve"> </w:t>
      </w:r>
      <w:r w:rsidRPr="00D62BF7">
        <w:rPr>
          <w:lang w:val="en-GB"/>
        </w:rPr>
        <w:t>cent, the number of wells drilled would fall by 30 per</w:t>
      </w:r>
      <w:r w:rsidR="00143940" w:rsidRPr="00D62BF7">
        <w:rPr>
          <w:lang w:val="en-GB"/>
        </w:rPr>
        <w:t xml:space="preserve"> </w:t>
      </w:r>
      <w:r w:rsidRPr="00D62BF7">
        <w:rPr>
          <w:lang w:val="en-GB"/>
        </w:rPr>
        <w:t>cent, and oil production would fall by 46 per</w:t>
      </w:r>
      <w:r w:rsidR="00143940" w:rsidRPr="00D62BF7">
        <w:rPr>
          <w:lang w:val="en-GB"/>
        </w:rPr>
        <w:t xml:space="preserve"> </w:t>
      </w:r>
      <w:r w:rsidRPr="00D62BF7">
        <w:rPr>
          <w:lang w:val="en-GB"/>
        </w:rPr>
        <w:t>cent</w:t>
      </w:r>
      <w:r w:rsidR="0085498D">
        <w:rPr>
          <w:lang w:val="en-GB"/>
        </w:rPr>
        <w:t>,</w:t>
      </w:r>
      <w:r w:rsidRPr="00D62BF7">
        <w:rPr>
          <w:lang w:val="en-GB"/>
        </w:rPr>
        <w:t xml:space="preserve"> due to the sharp drop in oil prices.</w:t>
      </w:r>
      <w:r w:rsidRPr="00084465">
        <w:rPr>
          <w:rStyle w:val="FootnoteReference"/>
          <w:lang w:val="en-GB"/>
        </w:rPr>
        <w:footnoteReference w:id="16"/>
      </w:r>
      <w:r w:rsidRPr="00D62BF7">
        <w:rPr>
          <w:lang w:val="en-GB"/>
        </w:rPr>
        <w:t xml:space="preserve"> From the fourth</w:t>
      </w:r>
      <w:r w:rsidR="00DA5283">
        <w:rPr>
          <w:lang w:val="en-GB"/>
        </w:rPr>
        <w:t xml:space="preserve"> </w:t>
      </w:r>
      <w:r w:rsidRPr="00D62BF7">
        <w:rPr>
          <w:lang w:val="en-GB"/>
        </w:rPr>
        <w:t>quarter of 2014 to the first</w:t>
      </w:r>
      <w:r w:rsidR="00DA5283">
        <w:rPr>
          <w:lang w:val="en-GB"/>
        </w:rPr>
        <w:t xml:space="preserve"> </w:t>
      </w:r>
      <w:r w:rsidRPr="00D62BF7">
        <w:rPr>
          <w:lang w:val="en-GB"/>
        </w:rPr>
        <w:t>quarter of 2015</w:t>
      </w:r>
      <w:r w:rsidR="00DA5283">
        <w:rPr>
          <w:lang w:val="en-GB"/>
        </w:rPr>
        <w:t>,</w:t>
      </w:r>
      <w:r w:rsidRPr="00D62BF7">
        <w:rPr>
          <w:lang w:val="en-GB"/>
        </w:rPr>
        <w:t xml:space="preserve"> oil and gas capital expenditures dropped by over </w:t>
      </w:r>
      <w:r w:rsidR="00841C67">
        <w:rPr>
          <w:lang w:val="en-GB"/>
        </w:rPr>
        <w:t>CA</w:t>
      </w:r>
      <w:r w:rsidRPr="00D62BF7">
        <w:rPr>
          <w:lang w:val="en-GB"/>
        </w:rPr>
        <w:t>$6.5</w:t>
      </w:r>
      <w:r w:rsidR="0085498D">
        <w:rPr>
          <w:lang w:val="en-GB"/>
        </w:rPr>
        <w:t xml:space="preserve"> </w:t>
      </w:r>
      <w:r w:rsidRPr="00D62BF7">
        <w:rPr>
          <w:lang w:val="en-GB"/>
        </w:rPr>
        <w:t xml:space="preserve">billion—a </w:t>
      </w:r>
      <w:r w:rsidR="0085498D">
        <w:rPr>
          <w:lang w:val="en-GB"/>
        </w:rPr>
        <w:t xml:space="preserve">drop of </w:t>
      </w:r>
      <w:r w:rsidRPr="00D62BF7">
        <w:rPr>
          <w:lang w:val="en-GB"/>
        </w:rPr>
        <w:t>29.6 per</w:t>
      </w:r>
      <w:r w:rsidR="00143940" w:rsidRPr="00D62BF7">
        <w:rPr>
          <w:lang w:val="en-GB"/>
        </w:rPr>
        <w:t xml:space="preserve"> </w:t>
      </w:r>
      <w:r w:rsidRPr="00D62BF7">
        <w:rPr>
          <w:lang w:val="en-GB"/>
        </w:rPr>
        <w:t>cent.</w:t>
      </w:r>
      <w:r w:rsidRPr="00084465">
        <w:rPr>
          <w:rStyle w:val="FootnoteReference"/>
          <w:lang w:val="en-GB"/>
        </w:rPr>
        <w:footnoteReference w:id="17"/>
      </w:r>
      <w:r w:rsidRPr="00D62BF7">
        <w:rPr>
          <w:lang w:val="en-GB"/>
        </w:rPr>
        <w:t xml:space="preserve"> </w:t>
      </w:r>
      <w:r w:rsidR="0085498D">
        <w:rPr>
          <w:lang w:val="en-GB"/>
        </w:rPr>
        <w:t>C</w:t>
      </w:r>
      <w:r w:rsidRPr="00D62BF7">
        <w:rPr>
          <w:lang w:val="en-GB"/>
        </w:rPr>
        <w:t xml:space="preserve">rude oil and bitumen </w:t>
      </w:r>
      <w:r w:rsidR="0085498D">
        <w:rPr>
          <w:lang w:val="en-GB"/>
        </w:rPr>
        <w:t>consisted of</w:t>
      </w:r>
      <w:r w:rsidRPr="00D62BF7">
        <w:rPr>
          <w:lang w:val="en-GB"/>
        </w:rPr>
        <w:t xml:space="preserve"> Canada’s largest single export by far, valued at over </w:t>
      </w:r>
      <w:r w:rsidR="00DA5283">
        <w:rPr>
          <w:lang w:val="en-GB"/>
        </w:rPr>
        <w:t>CA</w:t>
      </w:r>
      <w:r w:rsidRPr="00D62BF7">
        <w:rPr>
          <w:lang w:val="en-GB"/>
        </w:rPr>
        <w:t>$92</w:t>
      </w:r>
      <w:r w:rsidR="0085498D">
        <w:rPr>
          <w:lang w:val="en-GB"/>
        </w:rPr>
        <w:t xml:space="preserve"> </w:t>
      </w:r>
      <w:r w:rsidRPr="00D62BF7">
        <w:rPr>
          <w:lang w:val="en-GB"/>
        </w:rPr>
        <w:t>billion in 2014.</w:t>
      </w:r>
      <w:r w:rsidRPr="00084465">
        <w:rPr>
          <w:rStyle w:val="FootnoteReference"/>
          <w:lang w:val="en-GB"/>
        </w:rPr>
        <w:footnoteReference w:id="18"/>
      </w:r>
      <w:r w:rsidRPr="00D62BF7">
        <w:rPr>
          <w:lang w:val="en-GB"/>
        </w:rPr>
        <w:t xml:space="preserve"> </w:t>
      </w:r>
      <w:r w:rsidR="0085498D">
        <w:rPr>
          <w:lang w:val="en-GB"/>
        </w:rPr>
        <w:t>Therefore</w:t>
      </w:r>
      <w:r w:rsidRPr="00D62BF7">
        <w:rPr>
          <w:lang w:val="en-GB"/>
        </w:rPr>
        <w:t>, the Bank of Canada lowered its target for the overnight interest rate in January 2015</w:t>
      </w:r>
      <w:r w:rsidR="0085498D">
        <w:rPr>
          <w:lang w:val="en-GB"/>
        </w:rPr>
        <w:t xml:space="preserve"> in response to recent events</w:t>
      </w:r>
      <w:r w:rsidRPr="00D62BF7">
        <w:rPr>
          <w:lang w:val="en-GB"/>
        </w:rPr>
        <w:t>.</w:t>
      </w:r>
      <w:r w:rsidRPr="00084465">
        <w:rPr>
          <w:rStyle w:val="FootnoteReference"/>
          <w:lang w:val="en-GB"/>
        </w:rPr>
        <w:footnoteReference w:id="19"/>
      </w:r>
      <w:r w:rsidRPr="00D62BF7">
        <w:rPr>
          <w:lang w:val="en-GB"/>
        </w:rPr>
        <w:t xml:space="preserve"> </w:t>
      </w:r>
    </w:p>
    <w:p w14:paraId="5A7E3B24" w14:textId="77777777" w:rsidR="00143940" w:rsidRPr="00D62BF7" w:rsidRDefault="00143940" w:rsidP="00341ED5">
      <w:pPr>
        <w:pStyle w:val="BodyText"/>
        <w:rPr>
          <w:lang w:val="en-GB"/>
        </w:rPr>
      </w:pPr>
    </w:p>
    <w:p w14:paraId="37AFBBDB" w14:textId="4604195B" w:rsidR="00341ED5" w:rsidRPr="00D62BF7" w:rsidRDefault="00341ED5" w:rsidP="00341ED5">
      <w:pPr>
        <w:pStyle w:val="BodyText"/>
        <w:rPr>
          <w:lang w:val="en-GB"/>
        </w:rPr>
      </w:pPr>
      <w:r w:rsidRPr="00D62BF7">
        <w:rPr>
          <w:lang w:val="en-GB"/>
        </w:rPr>
        <w:t>These economic shocks significantly influenced the Canadian</w:t>
      </w:r>
      <w:r w:rsidR="004E6AF2">
        <w:rPr>
          <w:lang w:val="en-GB"/>
        </w:rPr>
        <w:t>–</w:t>
      </w:r>
      <w:r w:rsidRPr="00D62BF7">
        <w:rPr>
          <w:lang w:val="en-GB"/>
        </w:rPr>
        <w:t xml:space="preserve">U.S. dollar exchange rate, which was affected by the price of oil, the performance of the Canadian economy, and interest rates. When the </w:t>
      </w:r>
      <w:r w:rsidRPr="00D62BF7">
        <w:rPr>
          <w:lang w:val="en-GB"/>
        </w:rPr>
        <w:lastRenderedPageBreak/>
        <w:t xml:space="preserve">contract extensions of </w:t>
      </w:r>
      <w:proofErr w:type="spellStart"/>
      <w:r w:rsidRPr="00D62BF7">
        <w:rPr>
          <w:lang w:val="en-GB"/>
        </w:rPr>
        <w:t>Toews</w:t>
      </w:r>
      <w:proofErr w:type="spellEnd"/>
      <w:r w:rsidRPr="00D62BF7">
        <w:rPr>
          <w:lang w:val="en-GB"/>
        </w:rPr>
        <w:t xml:space="preserve"> and Kane were announced in July 2014</w:t>
      </w:r>
      <w:r w:rsidR="004E6AF2">
        <w:rPr>
          <w:lang w:val="en-GB"/>
        </w:rPr>
        <w:t>,</w:t>
      </w:r>
      <w:r w:rsidRPr="00D62BF7">
        <w:rPr>
          <w:lang w:val="en-GB"/>
        </w:rPr>
        <w:t xml:space="preserve"> the Canadian dollar was trading above </w:t>
      </w:r>
      <w:r w:rsidR="00143940" w:rsidRPr="00D62BF7">
        <w:rPr>
          <w:lang w:val="en-GB"/>
        </w:rPr>
        <w:t>US</w:t>
      </w:r>
      <w:r w:rsidRPr="00D62BF7">
        <w:rPr>
          <w:lang w:val="en-GB"/>
        </w:rPr>
        <w:t>$0.93</w:t>
      </w:r>
      <w:r w:rsidR="004E6AF2">
        <w:rPr>
          <w:lang w:val="en-GB"/>
        </w:rPr>
        <w:t>; b</w:t>
      </w:r>
      <w:r w:rsidRPr="00D62BF7">
        <w:rPr>
          <w:lang w:val="en-GB"/>
        </w:rPr>
        <w:t xml:space="preserve">y February 2015, </w:t>
      </w:r>
      <w:r w:rsidR="004E6AF2">
        <w:rPr>
          <w:lang w:val="en-GB"/>
        </w:rPr>
        <w:t>i</w:t>
      </w:r>
      <w:r w:rsidRPr="00D62BF7">
        <w:rPr>
          <w:lang w:val="en-GB"/>
        </w:rPr>
        <w:t xml:space="preserve">t had fallen below </w:t>
      </w:r>
      <w:r w:rsidR="00143940" w:rsidRPr="00D62BF7">
        <w:rPr>
          <w:lang w:val="en-GB"/>
        </w:rPr>
        <w:t>US</w:t>
      </w:r>
      <w:r w:rsidRPr="00D62BF7">
        <w:rPr>
          <w:lang w:val="en-GB"/>
        </w:rPr>
        <w:t xml:space="preserve">$0.79. </w:t>
      </w:r>
    </w:p>
    <w:p w14:paraId="6BC689FC" w14:textId="77777777" w:rsidR="00341ED5" w:rsidRPr="00D62BF7" w:rsidRDefault="00341ED5" w:rsidP="00341ED5">
      <w:pPr>
        <w:pStyle w:val="BodyText"/>
        <w:rPr>
          <w:lang w:val="en-GB"/>
        </w:rPr>
      </w:pPr>
    </w:p>
    <w:p w14:paraId="3AA8890D" w14:textId="77777777" w:rsidR="00341ED5" w:rsidRPr="00D62BF7" w:rsidRDefault="00341ED5" w:rsidP="00341ED5">
      <w:pPr>
        <w:pStyle w:val="BodyText"/>
        <w:rPr>
          <w:lang w:val="en-GB"/>
        </w:rPr>
      </w:pPr>
    </w:p>
    <w:p w14:paraId="6E9E7EFA" w14:textId="77777777" w:rsidR="00341ED5" w:rsidRPr="00D62BF7" w:rsidRDefault="00341ED5" w:rsidP="00341ED5">
      <w:pPr>
        <w:pStyle w:val="casehead1"/>
        <w:rPr>
          <w:lang w:val="en-GB"/>
        </w:rPr>
      </w:pPr>
      <w:r w:rsidRPr="00D62BF7">
        <w:rPr>
          <w:lang w:val="en-GB"/>
        </w:rPr>
        <w:t>Defending the Cup?</w:t>
      </w:r>
    </w:p>
    <w:p w14:paraId="517A330E" w14:textId="77777777" w:rsidR="00341ED5" w:rsidRPr="00D62BF7" w:rsidRDefault="00341ED5" w:rsidP="00341ED5">
      <w:pPr>
        <w:pStyle w:val="BodyText"/>
        <w:rPr>
          <w:lang w:val="en-GB"/>
        </w:rPr>
      </w:pPr>
    </w:p>
    <w:p w14:paraId="58059233" w14:textId="29E86C1E" w:rsidR="00341ED5" w:rsidRPr="00A042BB" w:rsidRDefault="00341ED5" w:rsidP="00341ED5">
      <w:pPr>
        <w:pStyle w:val="BodyText"/>
        <w:rPr>
          <w:spacing w:val="-2"/>
          <w:lang w:val="en-GB"/>
        </w:rPr>
      </w:pPr>
      <w:r w:rsidRPr="00A042BB">
        <w:rPr>
          <w:spacing w:val="-2"/>
          <w:lang w:val="en-GB"/>
        </w:rPr>
        <w:t xml:space="preserve">Bowman and the Chicago Blackhawks had once again reached the summit of the NHL </w:t>
      </w:r>
      <w:r w:rsidR="000B7409" w:rsidRPr="00A042BB">
        <w:rPr>
          <w:spacing w:val="-2"/>
          <w:lang w:val="en-GB"/>
        </w:rPr>
        <w:t>by</w:t>
      </w:r>
      <w:r w:rsidRPr="00A042BB">
        <w:rPr>
          <w:spacing w:val="-2"/>
          <w:lang w:val="en-GB"/>
        </w:rPr>
        <w:t xml:space="preserve"> winning the 2014</w:t>
      </w:r>
      <w:r w:rsidR="000B7409" w:rsidRPr="00A042BB">
        <w:rPr>
          <w:spacing w:val="-2"/>
          <w:lang w:val="en-GB"/>
        </w:rPr>
        <w:t>–</w:t>
      </w:r>
      <w:r w:rsidRPr="00A042BB">
        <w:rPr>
          <w:spacing w:val="-2"/>
          <w:lang w:val="en-GB"/>
        </w:rPr>
        <w:t>15 Stanley Cup</w:t>
      </w:r>
      <w:r w:rsidR="000B7409" w:rsidRPr="00A042BB">
        <w:rPr>
          <w:spacing w:val="-2"/>
          <w:lang w:val="en-GB"/>
        </w:rPr>
        <w:t>. However</w:t>
      </w:r>
      <w:r w:rsidRPr="00A042BB">
        <w:rPr>
          <w:spacing w:val="-2"/>
          <w:lang w:val="en-GB"/>
        </w:rPr>
        <w:t xml:space="preserve">, the Canadian and world economies </w:t>
      </w:r>
      <w:r w:rsidR="00856473" w:rsidRPr="00A042BB">
        <w:rPr>
          <w:spacing w:val="-2"/>
          <w:lang w:val="en-GB"/>
        </w:rPr>
        <w:t xml:space="preserve">had experienced considerable changes </w:t>
      </w:r>
      <w:r w:rsidRPr="00A042BB">
        <w:rPr>
          <w:spacing w:val="-2"/>
          <w:lang w:val="en-GB"/>
        </w:rPr>
        <w:t>from only a year earlier. On June 23, 2015</w:t>
      </w:r>
      <w:r w:rsidR="000B7409" w:rsidRPr="00A042BB">
        <w:rPr>
          <w:spacing w:val="-2"/>
          <w:lang w:val="en-GB"/>
        </w:rPr>
        <w:t>,</w:t>
      </w:r>
      <w:r w:rsidRPr="00A042BB">
        <w:rPr>
          <w:spacing w:val="-2"/>
          <w:lang w:val="en-GB"/>
        </w:rPr>
        <w:t xml:space="preserve"> the NHL and the NHL Players’ Association officially announced that the salary cap for the upcoming 2015</w:t>
      </w:r>
      <w:r w:rsidR="000B7409" w:rsidRPr="00A042BB">
        <w:rPr>
          <w:spacing w:val="-2"/>
          <w:lang w:val="en-GB"/>
        </w:rPr>
        <w:t>–</w:t>
      </w:r>
      <w:r w:rsidRPr="00A042BB">
        <w:rPr>
          <w:spacing w:val="-2"/>
          <w:lang w:val="en-GB"/>
        </w:rPr>
        <w:t>16 season would be set at $71.4</w:t>
      </w:r>
      <w:r w:rsidR="000B7409" w:rsidRPr="00A042BB">
        <w:rPr>
          <w:spacing w:val="-2"/>
          <w:lang w:val="en-GB"/>
        </w:rPr>
        <w:t xml:space="preserve"> </w:t>
      </w:r>
      <w:r w:rsidRPr="00A042BB">
        <w:rPr>
          <w:spacing w:val="-2"/>
          <w:lang w:val="en-GB"/>
        </w:rPr>
        <w:t>million—an increase of only $2.1</w:t>
      </w:r>
      <w:r w:rsidR="000B7409" w:rsidRPr="00A042BB">
        <w:rPr>
          <w:spacing w:val="-2"/>
          <w:lang w:val="en-GB"/>
        </w:rPr>
        <w:t xml:space="preserve"> </w:t>
      </w:r>
      <w:r w:rsidRPr="00A042BB">
        <w:rPr>
          <w:spacing w:val="-2"/>
          <w:lang w:val="en-GB"/>
        </w:rPr>
        <w:t xml:space="preserve">million—well </w:t>
      </w:r>
      <w:r w:rsidR="00856473" w:rsidRPr="00A042BB">
        <w:rPr>
          <w:spacing w:val="-2"/>
          <w:lang w:val="en-GB"/>
        </w:rPr>
        <w:t>below</w:t>
      </w:r>
      <w:r w:rsidRPr="00A042BB">
        <w:rPr>
          <w:spacing w:val="-2"/>
          <w:lang w:val="en-GB"/>
        </w:rPr>
        <w:t xml:space="preserve"> the $74.8</w:t>
      </w:r>
      <w:r w:rsidR="000B7409" w:rsidRPr="00A042BB">
        <w:rPr>
          <w:spacing w:val="-2"/>
          <w:lang w:val="en-GB"/>
        </w:rPr>
        <w:t xml:space="preserve"> </w:t>
      </w:r>
      <w:r w:rsidRPr="00A042BB">
        <w:rPr>
          <w:spacing w:val="-2"/>
          <w:lang w:val="en-GB"/>
        </w:rPr>
        <w:t xml:space="preserve">million cap </w:t>
      </w:r>
      <w:r w:rsidR="00856473" w:rsidRPr="00A042BB">
        <w:rPr>
          <w:spacing w:val="-2"/>
          <w:lang w:val="en-GB"/>
        </w:rPr>
        <w:t xml:space="preserve">that had been </w:t>
      </w:r>
      <w:r w:rsidRPr="00A042BB">
        <w:rPr>
          <w:spacing w:val="-2"/>
          <w:lang w:val="en-GB"/>
        </w:rPr>
        <w:t xml:space="preserve">expected </w:t>
      </w:r>
      <w:r w:rsidR="00856473" w:rsidRPr="00A042BB">
        <w:rPr>
          <w:spacing w:val="-2"/>
          <w:lang w:val="en-GB"/>
        </w:rPr>
        <w:t xml:space="preserve">back </w:t>
      </w:r>
      <w:r w:rsidRPr="00A042BB">
        <w:rPr>
          <w:spacing w:val="-2"/>
          <w:lang w:val="en-GB"/>
        </w:rPr>
        <w:t>in 2013 (see Exhibit 2).</w:t>
      </w:r>
      <w:r w:rsidRPr="00A042BB">
        <w:rPr>
          <w:rStyle w:val="FootnoteReference"/>
          <w:spacing w:val="-2"/>
          <w:lang w:val="en-GB"/>
        </w:rPr>
        <w:footnoteReference w:id="20"/>
      </w:r>
      <w:r w:rsidRPr="00A042BB">
        <w:rPr>
          <w:spacing w:val="-2"/>
          <w:lang w:val="en-GB"/>
        </w:rPr>
        <w:t xml:space="preserve"> Blackhawk</w:t>
      </w:r>
      <w:r w:rsidR="00407861" w:rsidRPr="00A042BB">
        <w:rPr>
          <w:spacing w:val="-2"/>
          <w:lang w:val="en-GB"/>
        </w:rPr>
        <w:t>s</w:t>
      </w:r>
      <w:r w:rsidRPr="00A042BB">
        <w:rPr>
          <w:spacing w:val="-2"/>
          <w:lang w:val="en-GB"/>
        </w:rPr>
        <w:t xml:space="preserve"> players had </w:t>
      </w:r>
      <w:r w:rsidR="000B7409" w:rsidRPr="00A042BB">
        <w:rPr>
          <w:spacing w:val="-2"/>
          <w:lang w:val="en-GB"/>
        </w:rPr>
        <w:t xml:space="preserve">also </w:t>
      </w:r>
      <w:r w:rsidRPr="00A042BB">
        <w:rPr>
          <w:spacing w:val="-2"/>
          <w:lang w:val="en-GB"/>
        </w:rPr>
        <w:t>earned a combined $750</w:t>
      </w:r>
      <w:r w:rsidR="000B7409" w:rsidRPr="00A042BB">
        <w:rPr>
          <w:spacing w:val="-2"/>
          <w:lang w:val="en-GB"/>
        </w:rPr>
        <w:t>,</w:t>
      </w:r>
      <w:r w:rsidRPr="00A042BB">
        <w:rPr>
          <w:spacing w:val="-2"/>
          <w:lang w:val="en-GB"/>
        </w:rPr>
        <w:t>000 in bonuses from the 2014</w:t>
      </w:r>
      <w:r w:rsidR="000B7409" w:rsidRPr="00A042BB">
        <w:rPr>
          <w:spacing w:val="-2"/>
          <w:lang w:val="en-GB"/>
        </w:rPr>
        <w:t>–</w:t>
      </w:r>
      <w:r w:rsidRPr="00A042BB">
        <w:rPr>
          <w:spacing w:val="-2"/>
          <w:lang w:val="en-GB"/>
        </w:rPr>
        <w:t>15 season, which would be applied against the team’s salary cap for the 2015</w:t>
      </w:r>
      <w:r w:rsidR="000B7409" w:rsidRPr="00A042BB">
        <w:rPr>
          <w:spacing w:val="-2"/>
          <w:lang w:val="en-GB"/>
        </w:rPr>
        <w:t>–</w:t>
      </w:r>
      <w:r w:rsidRPr="00A042BB">
        <w:rPr>
          <w:spacing w:val="-2"/>
          <w:lang w:val="en-GB"/>
        </w:rPr>
        <w:t>16 season—meaning that</w:t>
      </w:r>
      <w:r w:rsidR="000D2707" w:rsidRPr="00A042BB">
        <w:rPr>
          <w:spacing w:val="-2"/>
          <w:lang w:val="en-GB"/>
        </w:rPr>
        <w:t>, compared with the previous season,</w:t>
      </w:r>
      <w:r w:rsidRPr="00A042BB">
        <w:rPr>
          <w:spacing w:val="-2"/>
          <w:lang w:val="en-GB"/>
        </w:rPr>
        <w:t xml:space="preserve"> Bowman would have </w:t>
      </w:r>
      <w:r w:rsidR="000D2707" w:rsidRPr="00A042BB">
        <w:rPr>
          <w:spacing w:val="-2"/>
          <w:lang w:val="en-GB"/>
        </w:rPr>
        <w:t xml:space="preserve">only </w:t>
      </w:r>
      <w:r w:rsidRPr="00A042BB">
        <w:rPr>
          <w:spacing w:val="-2"/>
          <w:lang w:val="en-GB"/>
        </w:rPr>
        <w:t>$1.35</w:t>
      </w:r>
      <w:r w:rsidR="000B7409" w:rsidRPr="00A042BB">
        <w:rPr>
          <w:spacing w:val="-2"/>
          <w:lang w:val="en-GB"/>
        </w:rPr>
        <w:t xml:space="preserve"> </w:t>
      </w:r>
      <w:r w:rsidRPr="00A042BB">
        <w:rPr>
          <w:spacing w:val="-2"/>
          <w:lang w:val="en-GB"/>
        </w:rPr>
        <w:t>million in additional cap</w:t>
      </w:r>
      <w:r w:rsidR="000D2707" w:rsidRPr="00A042BB">
        <w:rPr>
          <w:spacing w:val="-2"/>
          <w:lang w:val="en-GB"/>
        </w:rPr>
        <w:t>,</w:t>
      </w:r>
      <w:r w:rsidRPr="00A042BB">
        <w:rPr>
          <w:spacing w:val="-2"/>
          <w:lang w:val="en-GB"/>
        </w:rPr>
        <w:t xml:space="preserve"> </w:t>
      </w:r>
      <w:r w:rsidR="00054D8D" w:rsidRPr="00A042BB">
        <w:rPr>
          <w:spacing w:val="-2"/>
          <w:lang w:val="en-GB"/>
        </w:rPr>
        <w:t>or payroll room</w:t>
      </w:r>
      <w:r w:rsidRPr="00A042BB">
        <w:rPr>
          <w:spacing w:val="-2"/>
          <w:lang w:val="en-GB"/>
        </w:rPr>
        <w:t xml:space="preserve">. </w:t>
      </w:r>
    </w:p>
    <w:p w14:paraId="68C6A0DE" w14:textId="77777777" w:rsidR="00341ED5" w:rsidRPr="00D62BF7" w:rsidRDefault="00341ED5" w:rsidP="00341ED5">
      <w:pPr>
        <w:pStyle w:val="BodyText"/>
        <w:rPr>
          <w:lang w:val="en-GB"/>
        </w:rPr>
      </w:pPr>
    </w:p>
    <w:p w14:paraId="27164588" w14:textId="6CEE7979" w:rsidR="00341ED5" w:rsidRPr="00D62BF7" w:rsidRDefault="00341ED5" w:rsidP="00341ED5">
      <w:pPr>
        <w:pStyle w:val="BodyText"/>
        <w:rPr>
          <w:lang w:val="en-GB"/>
        </w:rPr>
      </w:pPr>
      <w:r w:rsidRPr="00D62BF7">
        <w:rPr>
          <w:lang w:val="en-GB"/>
        </w:rPr>
        <w:t xml:space="preserve">With </w:t>
      </w:r>
      <w:r w:rsidR="00054D8D">
        <w:rPr>
          <w:lang w:val="en-GB"/>
        </w:rPr>
        <w:t xml:space="preserve">the salaries of </w:t>
      </w:r>
      <w:proofErr w:type="spellStart"/>
      <w:r w:rsidRPr="00D62BF7">
        <w:rPr>
          <w:lang w:val="en-GB"/>
        </w:rPr>
        <w:t>Toews</w:t>
      </w:r>
      <w:proofErr w:type="spellEnd"/>
      <w:r w:rsidRPr="00D62BF7">
        <w:rPr>
          <w:lang w:val="en-GB"/>
        </w:rPr>
        <w:t xml:space="preserve"> and Kane due to increase by a combined $8</w:t>
      </w:r>
      <w:r w:rsidR="00054D8D">
        <w:rPr>
          <w:lang w:val="en-GB"/>
        </w:rPr>
        <w:t xml:space="preserve"> </w:t>
      </w:r>
      <w:r w:rsidRPr="00D62BF7">
        <w:rPr>
          <w:lang w:val="en-GB"/>
        </w:rPr>
        <w:t xml:space="preserve">million, </w:t>
      </w:r>
      <w:r w:rsidR="00054D8D">
        <w:rPr>
          <w:lang w:val="en-GB"/>
        </w:rPr>
        <w:t>consisting of</w:t>
      </w:r>
      <w:r w:rsidRPr="00D62BF7">
        <w:rPr>
          <w:lang w:val="en-GB"/>
        </w:rPr>
        <w:t xml:space="preserve"> 29 per</w:t>
      </w:r>
      <w:r w:rsidR="00143940" w:rsidRPr="00D62BF7">
        <w:rPr>
          <w:lang w:val="en-GB"/>
        </w:rPr>
        <w:t xml:space="preserve"> </w:t>
      </w:r>
      <w:r w:rsidRPr="00D62BF7">
        <w:rPr>
          <w:lang w:val="en-GB"/>
        </w:rPr>
        <w:t xml:space="preserve">cent of the team’s salary cap, Bowman faced a substantial challenge. Twelve players from the </w:t>
      </w:r>
      <w:r w:rsidR="00054D8D">
        <w:rPr>
          <w:lang w:val="en-GB"/>
        </w:rPr>
        <w:t xml:space="preserve">Stanley </w:t>
      </w:r>
      <w:r w:rsidRPr="00D62BF7">
        <w:rPr>
          <w:lang w:val="en-GB"/>
        </w:rPr>
        <w:t xml:space="preserve">Cup winning team were not under contract for the upcoming season, including key players such as Antoine </w:t>
      </w:r>
      <w:proofErr w:type="spellStart"/>
      <w:r w:rsidRPr="00D62BF7">
        <w:rPr>
          <w:lang w:val="en-GB"/>
        </w:rPr>
        <w:t>Vermette</w:t>
      </w:r>
      <w:proofErr w:type="spellEnd"/>
      <w:r w:rsidRPr="00D62BF7">
        <w:rPr>
          <w:lang w:val="en-GB"/>
        </w:rPr>
        <w:t xml:space="preserve"> and Brandon </w:t>
      </w:r>
      <w:proofErr w:type="spellStart"/>
      <w:r w:rsidRPr="00D62BF7">
        <w:rPr>
          <w:lang w:val="en-GB"/>
        </w:rPr>
        <w:t>Saad</w:t>
      </w:r>
      <w:proofErr w:type="spellEnd"/>
      <w:r w:rsidR="00143940" w:rsidRPr="00D62BF7">
        <w:rPr>
          <w:lang w:val="en-GB"/>
        </w:rPr>
        <w:t>—</w:t>
      </w:r>
      <w:r w:rsidRPr="00D62BF7">
        <w:rPr>
          <w:lang w:val="en-GB"/>
        </w:rPr>
        <w:t xml:space="preserve">two players who had combined for </w:t>
      </w:r>
      <w:r w:rsidR="00054D8D">
        <w:rPr>
          <w:lang w:val="en-GB"/>
        </w:rPr>
        <w:t>five</w:t>
      </w:r>
      <w:r w:rsidRPr="00D62BF7">
        <w:rPr>
          <w:lang w:val="en-GB"/>
        </w:rPr>
        <w:t xml:space="preserve"> game</w:t>
      </w:r>
      <w:r w:rsidR="00054D8D">
        <w:rPr>
          <w:lang w:val="en-GB"/>
        </w:rPr>
        <w:t>-</w:t>
      </w:r>
      <w:r w:rsidRPr="00D62BF7">
        <w:rPr>
          <w:lang w:val="en-GB"/>
        </w:rPr>
        <w:t>winning goals in the playoffs (</w:t>
      </w:r>
      <w:r w:rsidR="00143940" w:rsidRPr="00D62BF7">
        <w:rPr>
          <w:lang w:val="en-GB"/>
        </w:rPr>
        <w:t xml:space="preserve">see </w:t>
      </w:r>
      <w:r w:rsidRPr="00D62BF7">
        <w:rPr>
          <w:lang w:val="en-GB"/>
        </w:rPr>
        <w:t xml:space="preserve">Exhibit 4). Defending the Stanley Cup title had always been a challenge </w:t>
      </w:r>
      <w:r w:rsidR="00054D8D">
        <w:rPr>
          <w:lang w:val="en-GB"/>
        </w:rPr>
        <w:t xml:space="preserve">that </w:t>
      </w:r>
      <w:r w:rsidRPr="00D62BF7">
        <w:rPr>
          <w:lang w:val="en-GB"/>
        </w:rPr>
        <w:t xml:space="preserve">Bowman had </w:t>
      </w:r>
      <w:r w:rsidR="00054D8D">
        <w:rPr>
          <w:lang w:val="en-GB"/>
        </w:rPr>
        <w:t xml:space="preserve">managed to </w:t>
      </w:r>
      <w:r w:rsidRPr="00D62BF7">
        <w:rPr>
          <w:lang w:val="en-GB"/>
        </w:rPr>
        <w:t>overcome in the past</w:t>
      </w:r>
      <w:r w:rsidR="00054D8D">
        <w:rPr>
          <w:lang w:val="en-GB"/>
        </w:rPr>
        <w:t>. However</w:t>
      </w:r>
      <w:r w:rsidRPr="00D62BF7">
        <w:rPr>
          <w:lang w:val="en-GB"/>
        </w:rPr>
        <w:t>, heading into the summer of 2015</w:t>
      </w:r>
      <w:r w:rsidR="00054D8D">
        <w:rPr>
          <w:lang w:val="en-GB"/>
        </w:rPr>
        <w:t>,</w:t>
      </w:r>
      <w:r w:rsidRPr="00D62BF7">
        <w:rPr>
          <w:lang w:val="en-GB"/>
        </w:rPr>
        <w:t xml:space="preserve"> the sources behind the challenge were altogether different than </w:t>
      </w:r>
      <w:r w:rsidR="00054D8D">
        <w:rPr>
          <w:lang w:val="en-GB"/>
        </w:rPr>
        <w:t>those of</w:t>
      </w:r>
      <w:r w:rsidRPr="00D62BF7">
        <w:rPr>
          <w:lang w:val="en-GB"/>
        </w:rPr>
        <w:t xml:space="preserve"> past years. Would Bowman be able to overcome this new challenge and assemble a Blackhawks team that would defend </w:t>
      </w:r>
      <w:r w:rsidR="00054D8D">
        <w:rPr>
          <w:lang w:val="en-GB"/>
        </w:rPr>
        <w:t>its</w:t>
      </w:r>
      <w:r w:rsidRPr="00D62BF7">
        <w:rPr>
          <w:lang w:val="en-GB"/>
        </w:rPr>
        <w:t xml:space="preserve"> Stanley Cup title in </w:t>
      </w:r>
      <w:r w:rsidR="00054D8D">
        <w:rPr>
          <w:lang w:val="en-GB"/>
        </w:rPr>
        <w:t xml:space="preserve">the </w:t>
      </w:r>
      <w:r w:rsidRPr="00D62BF7">
        <w:rPr>
          <w:lang w:val="en-GB"/>
        </w:rPr>
        <w:t>2015</w:t>
      </w:r>
      <w:r w:rsidR="00054D8D">
        <w:rPr>
          <w:lang w:val="en-GB"/>
        </w:rPr>
        <w:t>–</w:t>
      </w:r>
      <w:r w:rsidRPr="00D62BF7">
        <w:rPr>
          <w:lang w:val="en-GB"/>
        </w:rPr>
        <w:t>16</w:t>
      </w:r>
      <w:r w:rsidR="00054D8D">
        <w:rPr>
          <w:lang w:val="en-GB"/>
        </w:rPr>
        <w:t xml:space="preserve"> </w:t>
      </w:r>
      <w:proofErr w:type="gramStart"/>
      <w:r w:rsidR="00054D8D">
        <w:rPr>
          <w:lang w:val="en-GB"/>
        </w:rPr>
        <w:t>season</w:t>
      </w:r>
      <w:proofErr w:type="gramEnd"/>
      <w:r w:rsidRPr="00D62BF7">
        <w:rPr>
          <w:lang w:val="en-GB"/>
        </w:rPr>
        <w:t>?</w:t>
      </w:r>
    </w:p>
    <w:p w14:paraId="1C7646EE" w14:textId="77777777" w:rsidR="00341ED5" w:rsidRPr="00D62BF7" w:rsidRDefault="00341ED5" w:rsidP="00341ED5">
      <w:pPr>
        <w:pStyle w:val="BodyText"/>
        <w:rPr>
          <w:lang w:val="en-GB"/>
        </w:rPr>
      </w:pPr>
    </w:p>
    <w:p w14:paraId="008BC7BF" w14:textId="77777777" w:rsidR="00EC1B66" w:rsidRPr="00D62BF7" w:rsidRDefault="00EC1B66" w:rsidP="00341ED5">
      <w:pPr>
        <w:pStyle w:val="BodyText"/>
        <w:rPr>
          <w:lang w:val="en-GB"/>
        </w:rPr>
      </w:pPr>
      <w:r w:rsidRPr="00D62BF7">
        <w:rPr>
          <w:lang w:val="en-GB"/>
        </w:rPr>
        <w:br w:type="page"/>
      </w:r>
    </w:p>
    <w:p w14:paraId="7387AC40" w14:textId="2FFE7F0C" w:rsidR="009F0CA9" w:rsidRDefault="00327569" w:rsidP="00EC1B66">
      <w:pPr>
        <w:pStyle w:val="casehead1"/>
        <w:jc w:val="center"/>
        <w:rPr>
          <w:lang w:val="en-GB"/>
        </w:rPr>
      </w:pPr>
      <w:r w:rsidRPr="00D62BF7">
        <w:rPr>
          <w:lang w:val="en-GB"/>
        </w:rPr>
        <w:lastRenderedPageBreak/>
        <w:t>Exhibit 1</w:t>
      </w:r>
      <w:r w:rsidR="00EC1B66" w:rsidRPr="00D62BF7">
        <w:rPr>
          <w:lang w:val="en-GB"/>
        </w:rPr>
        <w:t>:</w:t>
      </w:r>
      <w:r w:rsidRPr="00D62BF7">
        <w:rPr>
          <w:lang w:val="en-GB"/>
        </w:rPr>
        <w:t xml:space="preserve"> </w:t>
      </w:r>
      <w:r w:rsidR="008226F7">
        <w:rPr>
          <w:lang w:val="en-GB"/>
        </w:rPr>
        <w:t>national hockey lea</w:t>
      </w:r>
      <w:r w:rsidR="009F0CA9">
        <w:rPr>
          <w:lang w:val="en-GB"/>
        </w:rPr>
        <w:t>g</w:t>
      </w:r>
      <w:r w:rsidR="008226F7">
        <w:rPr>
          <w:lang w:val="en-GB"/>
        </w:rPr>
        <w:t>u</w:t>
      </w:r>
      <w:r w:rsidR="009F0CA9">
        <w:rPr>
          <w:lang w:val="en-GB"/>
        </w:rPr>
        <w:t xml:space="preserve">e </w:t>
      </w:r>
      <w:r w:rsidRPr="00D62BF7">
        <w:rPr>
          <w:lang w:val="en-GB"/>
        </w:rPr>
        <w:t xml:space="preserve">Salary Cap </w:t>
      </w:r>
      <w:r w:rsidR="00054D8D">
        <w:rPr>
          <w:lang w:val="en-GB"/>
        </w:rPr>
        <w:t>and</w:t>
      </w:r>
      <w:r w:rsidRPr="00D62BF7">
        <w:rPr>
          <w:lang w:val="en-GB"/>
        </w:rPr>
        <w:t xml:space="preserve"> Floor History</w:t>
      </w:r>
      <w:r w:rsidR="00403D0F">
        <w:rPr>
          <w:lang w:val="en-GB"/>
        </w:rPr>
        <w:t xml:space="preserve"> </w:t>
      </w:r>
    </w:p>
    <w:p w14:paraId="0D7A8F1B" w14:textId="36E7F6D5" w:rsidR="00327569" w:rsidRPr="00D62BF7" w:rsidRDefault="00403D0F" w:rsidP="00EC1B66">
      <w:pPr>
        <w:pStyle w:val="casehead1"/>
        <w:jc w:val="center"/>
        <w:rPr>
          <w:lang w:val="en-GB"/>
        </w:rPr>
      </w:pPr>
      <w:r>
        <w:rPr>
          <w:lang w:val="en-GB"/>
        </w:rPr>
        <w:t>(2005–06 to 2014–15)</w:t>
      </w:r>
    </w:p>
    <w:p w14:paraId="31D0B270" w14:textId="77777777" w:rsidR="00327569" w:rsidRPr="00D62BF7" w:rsidRDefault="00327569" w:rsidP="00327569">
      <w:pPr>
        <w:pStyle w:val="BodyText"/>
        <w:rPr>
          <w:lang w:val="en-GB"/>
        </w:rPr>
      </w:pPr>
    </w:p>
    <w:p w14:paraId="2E5A3770" w14:textId="77777777" w:rsidR="00327569" w:rsidRPr="00A042BB" w:rsidRDefault="00327569" w:rsidP="00A042BB">
      <w:pPr>
        <w:pStyle w:val="BodyText"/>
        <w:jc w:val="center"/>
      </w:pPr>
      <w:r w:rsidRPr="00D62BF7">
        <w:rPr>
          <w:noProof/>
          <w:lang w:val="en-GB" w:eastAsia="en-GB"/>
        </w:rPr>
        <w:drawing>
          <wp:inline distT="0" distB="0" distL="0" distR="0" wp14:anchorId="5387FD9B" wp14:editId="473BC052">
            <wp:extent cx="5943600" cy="3211830"/>
            <wp:effectExtent l="0" t="0" r="1905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0D7D1E" w14:textId="77777777" w:rsidR="00EC1B66" w:rsidRPr="00D62BF7" w:rsidRDefault="00EC1B66" w:rsidP="00EC1B66">
      <w:pPr>
        <w:pStyle w:val="FootnoteText1"/>
        <w:rPr>
          <w:lang w:val="en-GB"/>
        </w:rPr>
      </w:pPr>
    </w:p>
    <w:p w14:paraId="5E85DDA6" w14:textId="454C1CCC" w:rsidR="00327569" w:rsidRPr="00D62BF7" w:rsidRDefault="00327569" w:rsidP="00EC1B66">
      <w:pPr>
        <w:pStyle w:val="FootnoteText1"/>
        <w:rPr>
          <w:lang w:val="en-GB"/>
        </w:rPr>
      </w:pPr>
      <w:r w:rsidRPr="00D62BF7">
        <w:rPr>
          <w:lang w:val="en-GB"/>
        </w:rPr>
        <w:t xml:space="preserve">Source: Created by author using information from </w:t>
      </w:r>
      <w:r w:rsidR="00955F81">
        <w:rPr>
          <w:lang w:val="en-GB"/>
        </w:rPr>
        <w:t>National Hockey League, accessed</w:t>
      </w:r>
      <w:r w:rsidR="000575B5">
        <w:rPr>
          <w:lang w:val="en-GB"/>
        </w:rPr>
        <w:t xml:space="preserve"> May </w:t>
      </w:r>
      <w:r w:rsidR="00873B21">
        <w:rPr>
          <w:lang w:val="en-GB"/>
        </w:rPr>
        <w:t>26</w:t>
      </w:r>
      <w:r w:rsidR="000575B5">
        <w:rPr>
          <w:lang w:val="en-GB"/>
        </w:rPr>
        <w:t>,</w:t>
      </w:r>
      <w:r w:rsidR="00955F81">
        <w:rPr>
          <w:lang w:val="en-GB"/>
        </w:rPr>
        <w:t xml:space="preserve"> 2017, www.</w:t>
      </w:r>
      <w:r w:rsidR="00955F81" w:rsidRPr="00A56BC5">
        <w:rPr>
          <w:lang w:val="en-GB"/>
        </w:rPr>
        <w:t>nhl.com</w:t>
      </w:r>
      <w:r w:rsidR="00955F81">
        <w:rPr>
          <w:lang w:val="en-GB"/>
        </w:rPr>
        <w:t>/.</w:t>
      </w:r>
    </w:p>
    <w:p w14:paraId="5095011F" w14:textId="77777777" w:rsidR="00327569" w:rsidRPr="00D62BF7" w:rsidRDefault="00327569" w:rsidP="00327569">
      <w:pPr>
        <w:pStyle w:val="BodyText"/>
        <w:rPr>
          <w:lang w:val="en-GB"/>
        </w:rPr>
      </w:pPr>
    </w:p>
    <w:p w14:paraId="7F58D79A" w14:textId="77777777" w:rsidR="00EC1B66" w:rsidRPr="00D62BF7" w:rsidRDefault="00EC1B66" w:rsidP="00327569">
      <w:pPr>
        <w:pStyle w:val="BodyText"/>
        <w:rPr>
          <w:lang w:val="en-GB"/>
        </w:rPr>
      </w:pPr>
    </w:p>
    <w:p w14:paraId="77364ACA" w14:textId="2B9885CB" w:rsidR="009F0CA9" w:rsidRDefault="003D6D8F" w:rsidP="00EC1B66">
      <w:pPr>
        <w:pStyle w:val="casehead1"/>
        <w:jc w:val="center"/>
        <w:rPr>
          <w:lang w:val="en-GB"/>
        </w:rPr>
      </w:pPr>
      <w:r w:rsidRPr="00D62BF7">
        <w:rPr>
          <w:lang w:val="en-GB"/>
        </w:rPr>
        <w:t>Exhibit 2</w:t>
      </w:r>
      <w:r w:rsidR="00EC1B66" w:rsidRPr="00D62BF7">
        <w:rPr>
          <w:lang w:val="en-GB"/>
        </w:rPr>
        <w:t>:</w:t>
      </w:r>
      <w:r w:rsidRPr="00D62BF7">
        <w:rPr>
          <w:lang w:val="en-GB"/>
        </w:rPr>
        <w:t xml:space="preserve"> </w:t>
      </w:r>
      <w:r w:rsidR="00E11F38">
        <w:rPr>
          <w:lang w:val="en-GB"/>
        </w:rPr>
        <w:t xml:space="preserve">National Hockey League </w:t>
      </w:r>
      <w:r w:rsidRPr="00D62BF7">
        <w:rPr>
          <w:lang w:val="en-GB"/>
        </w:rPr>
        <w:t>Project</w:t>
      </w:r>
      <w:r w:rsidR="00E11F38">
        <w:rPr>
          <w:lang w:val="en-GB"/>
        </w:rPr>
        <w:t>ed Revenues</w:t>
      </w:r>
      <w:r w:rsidR="00537C93">
        <w:rPr>
          <w:lang w:val="en-GB"/>
        </w:rPr>
        <w:t xml:space="preserve">, </w:t>
      </w:r>
      <w:r w:rsidR="009F0CA9">
        <w:rPr>
          <w:lang w:val="en-GB"/>
        </w:rPr>
        <w:t>2014–15 to 2021–22,</w:t>
      </w:r>
      <w:r w:rsidR="000D598E">
        <w:rPr>
          <w:lang w:val="en-GB"/>
        </w:rPr>
        <w:t xml:space="preserve"> </w:t>
      </w:r>
    </w:p>
    <w:p w14:paraId="0E542AE1" w14:textId="69E97BDF" w:rsidR="00327569" w:rsidRDefault="00955F81" w:rsidP="00EC1B66">
      <w:pPr>
        <w:pStyle w:val="casehead1"/>
        <w:jc w:val="center"/>
        <w:rPr>
          <w:lang w:val="en-GB"/>
        </w:rPr>
      </w:pPr>
      <w:r>
        <w:rPr>
          <w:lang w:val="en-GB"/>
        </w:rPr>
        <w:t xml:space="preserve">as of </w:t>
      </w:r>
      <w:r w:rsidR="003D6D8F" w:rsidRPr="00D62BF7">
        <w:rPr>
          <w:lang w:val="en-GB"/>
        </w:rPr>
        <w:t>Nov</w:t>
      </w:r>
      <w:r>
        <w:rPr>
          <w:lang w:val="en-GB"/>
        </w:rPr>
        <w:t>ember</w:t>
      </w:r>
      <w:r w:rsidR="003D6D8F" w:rsidRPr="00D62BF7">
        <w:rPr>
          <w:lang w:val="en-GB"/>
        </w:rPr>
        <w:t xml:space="preserve"> 2013</w:t>
      </w:r>
      <w:r w:rsidR="000024DD">
        <w:rPr>
          <w:lang w:val="en-GB"/>
        </w:rPr>
        <w:t xml:space="preserve"> </w:t>
      </w:r>
      <w:r w:rsidR="00537C93">
        <w:rPr>
          <w:lang w:val="en-GB"/>
        </w:rPr>
        <w:t>(</w:t>
      </w:r>
      <w:r w:rsidR="000024DD">
        <w:rPr>
          <w:lang w:val="en-GB"/>
        </w:rPr>
        <w:t>in US$ Million</w:t>
      </w:r>
      <w:r w:rsidR="003D6D8F" w:rsidRPr="00D62BF7">
        <w:rPr>
          <w:lang w:val="en-GB"/>
        </w:rPr>
        <w:t>)</w:t>
      </w:r>
    </w:p>
    <w:p w14:paraId="036914F7" w14:textId="77777777" w:rsidR="00537C93" w:rsidRDefault="00537C93" w:rsidP="00537C93">
      <w:pPr>
        <w:pStyle w:val="BodyText"/>
      </w:pPr>
    </w:p>
    <w:tbl>
      <w:tblPr>
        <w:tblStyle w:val="TableGrid"/>
        <w:tblW w:w="0" w:type="auto"/>
        <w:jc w:val="center"/>
        <w:tblInd w:w="-287" w:type="dxa"/>
        <w:tblLook w:val="04A0" w:firstRow="1" w:lastRow="0" w:firstColumn="1" w:lastColumn="0" w:noHBand="0" w:noVBand="1"/>
      </w:tblPr>
      <w:tblGrid>
        <w:gridCol w:w="4346"/>
        <w:gridCol w:w="2160"/>
        <w:gridCol w:w="1379"/>
        <w:gridCol w:w="1312"/>
      </w:tblGrid>
      <w:tr w:rsidR="00537C93" w:rsidRPr="00537C93" w14:paraId="215CF064" w14:textId="77777777" w:rsidTr="00084465">
        <w:trPr>
          <w:jc w:val="center"/>
        </w:trPr>
        <w:tc>
          <w:tcPr>
            <w:tcW w:w="4346" w:type="dxa"/>
          </w:tcPr>
          <w:p w14:paraId="36188011" w14:textId="2ABFF881" w:rsidR="00537C93" w:rsidRPr="00537C93" w:rsidRDefault="00537C93" w:rsidP="00537C93">
            <w:pPr>
              <w:pStyle w:val="BodyText"/>
              <w:rPr>
                <w:rFonts w:ascii="Arial" w:hAnsi="Arial" w:cs="Arial"/>
              </w:rPr>
            </w:pPr>
            <w:r w:rsidRPr="00537C93">
              <w:rPr>
                <w:rFonts w:ascii="Arial" w:eastAsia="Times New Roman" w:hAnsi="Arial" w:cs="Arial"/>
                <w:b/>
                <w:bCs/>
                <w:color w:val="000000"/>
                <w:sz w:val="20"/>
                <w:szCs w:val="20"/>
                <w:bdr w:val="none" w:sz="0" w:space="0" w:color="auto" w:frame="1"/>
                <w:shd w:val="clear" w:color="auto" w:fill="FFFFFF"/>
                <w:lang w:val="en-GB" w:eastAsia="nb-NO"/>
              </w:rPr>
              <w:t>Season</w:t>
            </w:r>
          </w:p>
        </w:tc>
        <w:tc>
          <w:tcPr>
            <w:tcW w:w="2160" w:type="dxa"/>
          </w:tcPr>
          <w:p w14:paraId="64F5EE68" w14:textId="21AD3AF1" w:rsidR="00537C93" w:rsidRPr="00537C93" w:rsidRDefault="00537C93" w:rsidP="00537C93">
            <w:pPr>
              <w:pStyle w:val="BodyText"/>
              <w:jc w:val="center"/>
              <w:rPr>
                <w:rFonts w:ascii="Arial" w:hAnsi="Arial" w:cs="Arial"/>
              </w:rPr>
            </w:pPr>
            <w:r w:rsidRPr="00537C93">
              <w:rPr>
                <w:rFonts w:ascii="Arial" w:eastAsia="Times New Roman" w:hAnsi="Arial" w:cs="Arial"/>
                <w:b/>
                <w:bCs/>
                <w:color w:val="000000"/>
                <w:sz w:val="20"/>
                <w:szCs w:val="20"/>
                <w:bdr w:val="none" w:sz="0" w:space="0" w:color="auto" w:frame="1"/>
                <w:shd w:val="clear" w:color="auto" w:fill="FFFFFF"/>
                <w:lang w:val="en-GB" w:eastAsia="nb-NO"/>
              </w:rPr>
              <w:t>Projected Revenue (from previous year)</w:t>
            </w:r>
          </w:p>
        </w:tc>
        <w:tc>
          <w:tcPr>
            <w:tcW w:w="1379" w:type="dxa"/>
          </w:tcPr>
          <w:p w14:paraId="49C7EAA4" w14:textId="0DBAED5F" w:rsidR="00537C93" w:rsidRPr="00537C93" w:rsidRDefault="00537C93" w:rsidP="00537C93">
            <w:pPr>
              <w:pStyle w:val="BodyText"/>
              <w:jc w:val="center"/>
              <w:rPr>
                <w:rFonts w:ascii="Arial" w:hAnsi="Arial" w:cs="Arial"/>
              </w:rPr>
            </w:pPr>
            <w:r w:rsidRPr="00537C93">
              <w:rPr>
                <w:rFonts w:ascii="Arial" w:eastAsia="Times New Roman" w:hAnsi="Arial" w:cs="Arial"/>
                <w:b/>
                <w:bCs/>
                <w:color w:val="000000"/>
                <w:sz w:val="20"/>
                <w:szCs w:val="20"/>
                <w:bdr w:val="none" w:sz="0" w:space="0" w:color="auto" w:frame="1"/>
                <w:shd w:val="clear" w:color="auto" w:fill="FFFFFF"/>
                <w:lang w:val="en-GB" w:eastAsia="nb-NO"/>
              </w:rPr>
              <w:t>Projected Salary Floor</w:t>
            </w:r>
          </w:p>
        </w:tc>
        <w:tc>
          <w:tcPr>
            <w:tcW w:w="1312" w:type="dxa"/>
          </w:tcPr>
          <w:p w14:paraId="15816DC6" w14:textId="5731035E" w:rsidR="00537C93" w:rsidRPr="00537C93" w:rsidRDefault="00537C93" w:rsidP="00537C93">
            <w:pPr>
              <w:pStyle w:val="BodyText"/>
              <w:jc w:val="center"/>
              <w:rPr>
                <w:rFonts w:ascii="Arial" w:hAnsi="Arial" w:cs="Arial"/>
              </w:rPr>
            </w:pPr>
            <w:r w:rsidRPr="00537C93">
              <w:rPr>
                <w:rFonts w:ascii="Arial" w:eastAsia="Times New Roman" w:hAnsi="Arial" w:cs="Arial"/>
                <w:b/>
                <w:bCs/>
                <w:color w:val="000000"/>
                <w:sz w:val="20"/>
                <w:szCs w:val="20"/>
                <w:bdr w:val="none" w:sz="0" w:space="0" w:color="auto" w:frame="1"/>
                <w:shd w:val="clear" w:color="auto" w:fill="FFFFFF"/>
                <w:lang w:val="en-GB" w:eastAsia="nb-NO"/>
              </w:rPr>
              <w:t>Projected Salary Cap</w:t>
            </w:r>
          </w:p>
        </w:tc>
      </w:tr>
      <w:tr w:rsidR="00537C93" w:rsidRPr="00537C93" w14:paraId="02CF362C" w14:textId="77777777" w:rsidTr="00084465">
        <w:trPr>
          <w:jc w:val="center"/>
        </w:trPr>
        <w:tc>
          <w:tcPr>
            <w:tcW w:w="4346" w:type="dxa"/>
          </w:tcPr>
          <w:p w14:paraId="057EED4B" w14:textId="410FB02D" w:rsidR="00537C93" w:rsidRPr="00537C93" w:rsidRDefault="00537C93" w:rsidP="00537C93">
            <w:pPr>
              <w:pStyle w:val="BodyText"/>
              <w:rPr>
                <w:rFonts w:ascii="Arial" w:hAnsi="Arial" w:cs="Arial"/>
              </w:rPr>
            </w:pPr>
            <w:r w:rsidRPr="00537C93">
              <w:rPr>
                <w:rFonts w:ascii="Arial" w:eastAsia="Times New Roman" w:hAnsi="Arial" w:cs="Arial"/>
                <w:color w:val="000000"/>
                <w:sz w:val="20"/>
                <w:szCs w:val="20"/>
                <w:shd w:val="clear" w:color="auto" w:fill="FFFFFF"/>
                <w:lang w:val="en-GB" w:eastAsia="nb-NO"/>
              </w:rPr>
              <w:t xml:space="preserve">2014–15 (no impact from </w:t>
            </w:r>
            <w:r w:rsidR="00321487">
              <w:rPr>
                <w:rFonts w:ascii="Arial" w:eastAsia="Times New Roman" w:hAnsi="Arial" w:cs="Arial"/>
                <w:color w:val="000000"/>
                <w:sz w:val="20"/>
                <w:szCs w:val="20"/>
                <w:shd w:val="clear" w:color="auto" w:fill="FFFFFF"/>
                <w:lang w:val="en-GB" w:eastAsia="nb-NO"/>
              </w:rPr>
              <w:t xml:space="preserve">the </w:t>
            </w:r>
            <w:r w:rsidRPr="00537C93">
              <w:rPr>
                <w:rFonts w:ascii="Arial" w:eastAsia="Times New Roman" w:hAnsi="Arial" w:cs="Arial"/>
                <w:color w:val="000000"/>
                <w:sz w:val="20"/>
                <w:szCs w:val="20"/>
                <w:shd w:val="clear" w:color="auto" w:fill="FFFFFF"/>
                <w:lang w:val="en-GB" w:eastAsia="nb-NO"/>
              </w:rPr>
              <w:t>Rogers deal)</w:t>
            </w:r>
          </w:p>
        </w:tc>
        <w:tc>
          <w:tcPr>
            <w:tcW w:w="2160" w:type="dxa"/>
          </w:tcPr>
          <w:p w14:paraId="71621C3A" w14:textId="43C7C3A3" w:rsidR="00537C93" w:rsidRPr="00537C93" w:rsidRDefault="00537C93" w:rsidP="00537C93">
            <w:pPr>
              <w:pStyle w:val="BodyText"/>
              <w:jc w:val="center"/>
              <w:rPr>
                <w:rFonts w:ascii="Arial" w:hAnsi="Arial" w:cs="Arial"/>
              </w:rPr>
            </w:pPr>
            <w:r w:rsidRPr="00537C93">
              <w:rPr>
                <w:rFonts w:ascii="Arial" w:eastAsia="Times New Roman" w:hAnsi="Arial" w:cs="Arial"/>
                <w:color w:val="000000"/>
                <w:sz w:val="20"/>
                <w:szCs w:val="20"/>
                <w:shd w:val="clear" w:color="auto" w:fill="FFFFFF"/>
                <w:lang w:val="en-GB" w:eastAsia="nb-NO"/>
              </w:rPr>
              <w:t>3,564</w:t>
            </w:r>
          </w:p>
        </w:tc>
        <w:tc>
          <w:tcPr>
            <w:tcW w:w="1379" w:type="dxa"/>
          </w:tcPr>
          <w:p w14:paraId="5BE1CFEF" w14:textId="61A92432" w:rsidR="00537C93" w:rsidRPr="00537C93" w:rsidRDefault="00537C93" w:rsidP="00537C93">
            <w:pPr>
              <w:pStyle w:val="BodyText"/>
              <w:jc w:val="center"/>
              <w:rPr>
                <w:rFonts w:ascii="Arial" w:hAnsi="Arial" w:cs="Arial"/>
              </w:rPr>
            </w:pPr>
            <w:r w:rsidRPr="00537C93">
              <w:rPr>
                <w:rFonts w:ascii="Arial" w:eastAsia="Times New Roman" w:hAnsi="Arial" w:cs="Arial"/>
                <w:color w:val="000000"/>
                <w:sz w:val="20"/>
                <w:szCs w:val="20"/>
                <w:shd w:val="clear" w:color="auto" w:fill="FFFFFF"/>
                <w:lang w:val="en-GB" w:eastAsia="nb-NO"/>
              </w:rPr>
              <w:t>50.0</w:t>
            </w:r>
          </w:p>
        </w:tc>
        <w:tc>
          <w:tcPr>
            <w:tcW w:w="1312" w:type="dxa"/>
          </w:tcPr>
          <w:p w14:paraId="00F2EF33" w14:textId="30DE8628" w:rsidR="00537C93" w:rsidRPr="00537C93" w:rsidRDefault="00537C93" w:rsidP="00084465">
            <w:pPr>
              <w:pStyle w:val="BodyText"/>
              <w:tabs>
                <w:tab w:val="decimal" w:pos="574"/>
              </w:tabs>
              <w:rPr>
                <w:rFonts w:ascii="Arial" w:eastAsia="Times New Roman" w:hAnsi="Arial" w:cs="Arial"/>
              </w:rPr>
            </w:pPr>
            <w:r w:rsidRPr="00537C93">
              <w:rPr>
                <w:rFonts w:ascii="Arial" w:eastAsia="Times New Roman" w:hAnsi="Arial" w:cs="Arial"/>
                <w:color w:val="000000"/>
                <w:sz w:val="20"/>
                <w:szCs w:val="20"/>
                <w:shd w:val="clear" w:color="auto" w:fill="FFFFFF"/>
                <w:lang w:val="en-GB" w:eastAsia="nb-NO"/>
              </w:rPr>
              <w:t>67.7</w:t>
            </w:r>
          </w:p>
        </w:tc>
      </w:tr>
      <w:tr w:rsidR="00537C93" w:rsidRPr="00537C93" w14:paraId="6CE2C1A0" w14:textId="77777777" w:rsidTr="00084465">
        <w:trPr>
          <w:jc w:val="center"/>
        </w:trPr>
        <w:tc>
          <w:tcPr>
            <w:tcW w:w="4346" w:type="dxa"/>
          </w:tcPr>
          <w:p w14:paraId="625DE3C4" w14:textId="000B20F8" w:rsidR="00537C93" w:rsidRPr="00537C93" w:rsidRDefault="00537C93" w:rsidP="009F0CA9">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2015</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16 (</w:t>
            </w:r>
            <w:r>
              <w:rPr>
                <w:rFonts w:ascii="Helvetica" w:eastAsia="Times New Roman" w:hAnsi="Helvetica" w:cs="Times New Roman"/>
                <w:color w:val="000000"/>
                <w:sz w:val="20"/>
                <w:szCs w:val="20"/>
                <w:shd w:val="clear" w:color="auto" w:fill="FFFFFF"/>
                <w:lang w:val="en-GB" w:eastAsia="nb-NO"/>
              </w:rPr>
              <w:t xml:space="preserve">without impact from </w:t>
            </w:r>
            <w:r w:rsidR="00321487">
              <w:rPr>
                <w:rFonts w:ascii="Helvetica" w:eastAsia="Times New Roman" w:hAnsi="Helvetica" w:cs="Times New Roman"/>
                <w:color w:val="000000"/>
                <w:sz w:val="20"/>
                <w:szCs w:val="20"/>
                <w:shd w:val="clear" w:color="auto" w:fill="FFFFFF"/>
                <w:lang w:val="en-GB" w:eastAsia="nb-NO"/>
              </w:rPr>
              <w:t xml:space="preserve">the </w:t>
            </w:r>
            <w:r>
              <w:rPr>
                <w:rFonts w:ascii="Helvetica" w:eastAsia="Times New Roman" w:hAnsi="Helvetica" w:cs="Times New Roman"/>
                <w:color w:val="000000"/>
                <w:sz w:val="20"/>
                <w:szCs w:val="20"/>
                <w:shd w:val="clear" w:color="auto" w:fill="FFFFFF"/>
                <w:lang w:val="en-GB" w:eastAsia="nb-NO"/>
              </w:rPr>
              <w:t>Rogers</w:t>
            </w:r>
            <w:r w:rsidRPr="00D62BF7">
              <w:rPr>
                <w:rFonts w:ascii="Helvetica" w:eastAsia="Times New Roman" w:hAnsi="Helvetica" w:cs="Times New Roman"/>
                <w:color w:val="000000"/>
                <w:sz w:val="20"/>
                <w:szCs w:val="20"/>
                <w:shd w:val="clear" w:color="auto" w:fill="FFFFFF"/>
                <w:lang w:val="en-GB" w:eastAsia="nb-NO"/>
              </w:rPr>
              <w:t xml:space="preserve"> deal)</w:t>
            </w:r>
          </w:p>
        </w:tc>
        <w:tc>
          <w:tcPr>
            <w:tcW w:w="2160" w:type="dxa"/>
          </w:tcPr>
          <w:p w14:paraId="46F7BADE" w14:textId="414DF2D4" w:rsidR="00537C93" w:rsidRPr="00537C93" w:rsidRDefault="00537C93" w:rsidP="00537C93">
            <w:pPr>
              <w:pStyle w:val="BodyText"/>
              <w:jc w:val="center"/>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3</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742</w:t>
            </w:r>
          </w:p>
        </w:tc>
        <w:tc>
          <w:tcPr>
            <w:tcW w:w="1379" w:type="dxa"/>
          </w:tcPr>
          <w:p w14:paraId="28C8AE04" w14:textId="66698BDA" w:rsidR="00537C93" w:rsidRPr="00537C93" w:rsidRDefault="00537C93" w:rsidP="00537C93">
            <w:pPr>
              <w:pStyle w:val="BodyText"/>
              <w:jc w:val="center"/>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52.7</w:t>
            </w:r>
          </w:p>
        </w:tc>
        <w:tc>
          <w:tcPr>
            <w:tcW w:w="1312" w:type="dxa"/>
          </w:tcPr>
          <w:p w14:paraId="35C8A15A" w14:textId="7A27060E" w:rsidR="00537C93" w:rsidRPr="00537C93" w:rsidRDefault="00537C93"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71.3</w:t>
            </w:r>
          </w:p>
        </w:tc>
      </w:tr>
      <w:tr w:rsidR="00800DBC" w:rsidRPr="00537C93" w14:paraId="3AA44067" w14:textId="77777777" w:rsidTr="00084465">
        <w:trPr>
          <w:jc w:val="center"/>
        </w:trPr>
        <w:tc>
          <w:tcPr>
            <w:tcW w:w="4346" w:type="dxa"/>
          </w:tcPr>
          <w:p w14:paraId="522AFF59" w14:textId="393ECB96"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2015</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 xml:space="preserve">16 (with </w:t>
            </w:r>
            <w:r>
              <w:rPr>
                <w:rFonts w:ascii="Helvetica" w:eastAsia="Times New Roman" w:hAnsi="Helvetica" w:cs="Times New Roman"/>
                <w:color w:val="000000"/>
                <w:sz w:val="20"/>
                <w:szCs w:val="20"/>
                <w:shd w:val="clear" w:color="auto" w:fill="FFFFFF"/>
                <w:lang w:val="en-GB" w:eastAsia="nb-NO"/>
              </w:rPr>
              <w:t xml:space="preserve">impact from </w:t>
            </w:r>
            <w:r w:rsidR="00321487">
              <w:rPr>
                <w:rFonts w:ascii="Helvetica" w:eastAsia="Times New Roman" w:hAnsi="Helvetica" w:cs="Times New Roman"/>
                <w:color w:val="000000"/>
                <w:sz w:val="20"/>
                <w:szCs w:val="20"/>
                <w:shd w:val="clear" w:color="auto" w:fill="FFFFFF"/>
                <w:lang w:val="en-GB" w:eastAsia="nb-NO"/>
              </w:rPr>
              <w:t xml:space="preserve">the </w:t>
            </w:r>
            <w:r>
              <w:rPr>
                <w:rFonts w:ascii="Helvetica" w:eastAsia="Times New Roman" w:hAnsi="Helvetica" w:cs="Times New Roman"/>
                <w:color w:val="000000"/>
                <w:sz w:val="20"/>
                <w:szCs w:val="20"/>
                <w:shd w:val="clear" w:color="auto" w:fill="FFFFFF"/>
                <w:lang w:val="en-GB" w:eastAsia="nb-NO"/>
              </w:rPr>
              <w:t>Rogers</w:t>
            </w:r>
            <w:r w:rsidRPr="00D62BF7">
              <w:rPr>
                <w:rFonts w:ascii="Helvetica" w:eastAsia="Times New Roman" w:hAnsi="Helvetica" w:cs="Times New Roman"/>
                <w:color w:val="000000"/>
                <w:sz w:val="20"/>
                <w:szCs w:val="20"/>
                <w:shd w:val="clear" w:color="auto" w:fill="FFFFFF"/>
                <w:lang w:val="en-GB" w:eastAsia="nb-NO"/>
              </w:rPr>
              <w:t xml:space="preserve"> deal)</w:t>
            </w:r>
          </w:p>
        </w:tc>
        <w:tc>
          <w:tcPr>
            <w:tcW w:w="2160" w:type="dxa"/>
          </w:tcPr>
          <w:p w14:paraId="5692ECA5" w14:textId="41974D11"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3</w:t>
            </w:r>
            <w:r>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918</w:t>
            </w:r>
          </w:p>
        </w:tc>
        <w:tc>
          <w:tcPr>
            <w:tcW w:w="1379" w:type="dxa"/>
          </w:tcPr>
          <w:p w14:paraId="5D8D64AF" w14:textId="64745370"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55.3</w:t>
            </w:r>
          </w:p>
        </w:tc>
        <w:tc>
          <w:tcPr>
            <w:tcW w:w="1312" w:type="dxa"/>
          </w:tcPr>
          <w:p w14:paraId="145C7940" w14:textId="5DB1D224"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74.8</w:t>
            </w:r>
          </w:p>
        </w:tc>
      </w:tr>
      <w:tr w:rsidR="00800DBC" w:rsidRPr="00537C93" w14:paraId="5C3BE65B" w14:textId="77777777" w:rsidTr="00084465">
        <w:trPr>
          <w:jc w:val="center"/>
        </w:trPr>
        <w:tc>
          <w:tcPr>
            <w:tcW w:w="4346" w:type="dxa"/>
          </w:tcPr>
          <w:p w14:paraId="4A477314" w14:textId="7BBFD87D"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2016</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17</w:t>
            </w:r>
          </w:p>
        </w:tc>
        <w:tc>
          <w:tcPr>
            <w:tcW w:w="2160" w:type="dxa"/>
          </w:tcPr>
          <w:p w14:paraId="3216A0EE" w14:textId="7204A5BF"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4</w:t>
            </w:r>
            <w:r>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189</w:t>
            </w:r>
          </w:p>
        </w:tc>
        <w:tc>
          <w:tcPr>
            <w:tcW w:w="1379" w:type="dxa"/>
          </w:tcPr>
          <w:p w14:paraId="29289C0F" w14:textId="37578B58"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59.3</w:t>
            </w:r>
          </w:p>
        </w:tc>
        <w:tc>
          <w:tcPr>
            <w:tcW w:w="1312" w:type="dxa"/>
          </w:tcPr>
          <w:p w14:paraId="15F7BDE0" w14:textId="34898BA8"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80.2</w:t>
            </w:r>
          </w:p>
        </w:tc>
      </w:tr>
      <w:tr w:rsidR="00800DBC" w:rsidRPr="00537C93" w14:paraId="01765972" w14:textId="77777777" w:rsidTr="00084465">
        <w:trPr>
          <w:jc w:val="center"/>
        </w:trPr>
        <w:tc>
          <w:tcPr>
            <w:tcW w:w="4346" w:type="dxa"/>
          </w:tcPr>
          <w:p w14:paraId="010122CE" w14:textId="09E13557"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2017</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18</w:t>
            </w:r>
          </w:p>
        </w:tc>
        <w:tc>
          <w:tcPr>
            <w:tcW w:w="2160" w:type="dxa"/>
          </w:tcPr>
          <w:p w14:paraId="23A0E1F9" w14:textId="32E075B8"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4</w:t>
            </w:r>
            <w:r>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398</w:t>
            </w:r>
          </w:p>
        </w:tc>
        <w:tc>
          <w:tcPr>
            <w:tcW w:w="1379" w:type="dxa"/>
          </w:tcPr>
          <w:p w14:paraId="6E09DC94" w14:textId="6810D208"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62.4</w:t>
            </w:r>
          </w:p>
        </w:tc>
        <w:tc>
          <w:tcPr>
            <w:tcW w:w="1312" w:type="dxa"/>
          </w:tcPr>
          <w:p w14:paraId="0B601E48" w14:textId="685673F7"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84.4</w:t>
            </w:r>
          </w:p>
        </w:tc>
      </w:tr>
      <w:tr w:rsidR="00800DBC" w:rsidRPr="00537C93" w14:paraId="2C20ACFD" w14:textId="77777777" w:rsidTr="00084465">
        <w:trPr>
          <w:jc w:val="center"/>
        </w:trPr>
        <w:tc>
          <w:tcPr>
            <w:tcW w:w="4346" w:type="dxa"/>
          </w:tcPr>
          <w:p w14:paraId="3452211D" w14:textId="1FC7FCBC"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2018</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19</w:t>
            </w:r>
          </w:p>
        </w:tc>
        <w:tc>
          <w:tcPr>
            <w:tcW w:w="2160" w:type="dxa"/>
          </w:tcPr>
          <w:p w14:paraId="4DCD1FF1" w14:textId="726FFD32"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4</w:t>
            </w:r>
            <w:r>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618</w:t>
            </w:r>
          </w:p>
        </w:tc>
        <w:tc>
          <w:tcPr>
            <w:tcW w:w="1379" w:type="dxa"/>
          </w:tcPr>
          <w:p w14:paraId="514F2DB0" w14:textId="4D515469"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65.6</w:t>
            </w:r>
          </w:p>
        </w:tc>
        <w:tc>
          <w:tcPr>
            <w:tcW w:w="1312" w:type="dxa"/>
          </w:tcPr>
          <w:p w14:paraId="6598A5E2" w14:textId="442013B1"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88.8</w:t>
            </w:r>
          </w:p>
        </w:tc>
      </w:tr>
      <w:tr w:rsidR="00800DBC" w:rsidRPr="00537C93" w14:paraId="6C4FDF1B" w14:textId="77777777" w:rsidTr="00084465">
        <w:trPr>
          <w:jc w:val="center"/>
        </w:trPr>
        <w:tc>
          <w:tcPr>
            <w:tcW w:w="4346" w:type="dxa"/>
          </w:tcPr>
          <w:p w14:paraId="7C99303C" w14:textId="56377FA1"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2019</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20</w:t>
            </w:r>
          </w:p>
        </w:tc>
        <w:tc>
          <w:tcPr>
            <w:tcW w:w="2160" w:type="dxa"/>
          </w:tcPr>
          <w:p w14:paraId="1BDC7532" w14:textId="262140EB"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4</w:t>
            </w:r>
            <w:r>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849</w:t>
            </w:r>
          </w:p>
        </w:tc>
        <w:tc>
          <w:tcPr>
            <w:tcW w:w="1379" w:type="dxa"/>
          </w:tcPr>
          <w:p w14:paraId="7388BB54" w14:textId="64C44C7D"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69.0</w:t>
            </w:r>
          </w:p>
        </w:tc>
        <w:tc>
          <w:tcPr>
            <w:tcW w:w="1312" w:type="dxa"/>
          </w:tcPr>
          <w:p w14:paraId="5F87803F" w14:textId="59B73E6F"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93.4</w:t>
            </w:r>
          </w:p>
        </w:tc>
      </w:tr>
      <w:tr w:rsidR="00800DBC" w:rsidRPr="00537C93" w14:paraId="60358728" w14:textId="77777777" w:rsidTr="00084465">
        <w:trPr>
          <w:jc w:val="center"/>
        </w:trPr>
        <w:tc>
          <w:tcPr>
            <w:tcW w:w="4346" w:type="dxa"/>
          </w:tcPr>
          <w:p w14:paraId="5B652223" w14:textId="2A281A55"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2020</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21</w:t>
            </w:r>
          </w:p>
        </w:tc>
        <w:tc>
          <w:tcPr>
            <w:tcW w:w="2160" w:type="dxa"/>
          </w:tcPr>
          <w:p w14:paraId="51DB721B" w14:textId="552F44E1"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5</w:t>
            </w:r>
            <w:r>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092</w:t>
            </w:r>
          </w:p>
        </w:tc>
        <w:tc>
          <w:tcPr>
            <w:tcW w:w="1379" w:type="dxa"/>
          </w:tcPr>
          <w:p w14:paraId="6AB54408" w14:textId="1172558A"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72.6</w:t>
            </w:r>
          </w:p>
        </w:tc>
        <w:tc>
          <w:tcPr>
            <w:tcW w:w="1312" w:type="dxa"/>
          </w:tcPr>
          <w:p w14:paraId="46FFD906" w14:textId="6A4854E4"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98.2</w:t>
            </w:r>
          </w:p>
        </w:tc>
      </w:tr>
      <w:tr w:rsidR="00800DBC" w:rsidRPr="00537C93" w14:paraId="069F4B20" w14:textId="77777777" w:rsidTr="00084465">
        <w:trPr>
          <w:jc w:val="center"/>
        </w:trPr>
        <w:tc>
          <w:tcPr>
            <w:tcW w:w="4346" w:type="dxa"/>
          </w:tcPr>
          <w:p w14:paraId="008EEA6B" w14:textId="5F86F65C" w:rsidR="00800DBC" w:rsidRPr="00537C93" w:rsidRDefault="00800DBC" w:rsidP="00537C93">
            <w:pPr>
              <w:pStyle w:val="BodyText"/>
              <w:rPr>
                <w:rFonts w:ascii="Arial" w:hAnsi="Arial" w:cs="Arial"/>
              </w:rPr>
            </w:pPr>
            <w:r w:rsidRPr="00D62BF7">
              <w:rPr>
                <w:rFonts w:ascii="Helvetica" w:eastAsia="Times New Roman" w:hAnsi="Helvetica" w:cs="Times New Roman"/>
                <w:color w:val="000000"/>
                <w:sz w:val="20"/>
                <w:szCs w:val="20"/>
                <w:shd w:val="clear" w:color="auto" w:fill="FFFFFF"/>
                <w:lang w:val="en-GB" w:eastAsia="nb-NO"/>
              </w:rPr>
              <w:t>2021</w:t>
            </w:r>
            <w:r>
              <w:rPr>
                <w:rFonts w:ascii="Helvetica" w:eastAsia="Times New Roman" w:hAnsi="Helvetica" w:cs="Times New Roman"/>
                <w:color w:val="000000"/>
                <w:sz w:val="20"/>
                <w:szCs w:val="20"/>
                <w:shd w:val="clear" w:color="auto" w:fill="FFFFFF"/>
                <w:lang w:val="en-GB" w:eastAsia="nb-NO"/>
              </w:rPr>
              <w:t>–</w:t>
            </w:r>
            <w:r w:rsidRPr="00D62BF7">
              <w:rPr>
                <w:rFonts w:ascii="Helvetica" w:eastAsia="Times New Roman" w:hAnsi="Helvetica" w:cs="Times New Roman"/>
                <w:color w:val="000000"/>
                <w:sz w:val="20"/>
                <w:szCs w:val="20"/>
                <w:shd w:val="clear" w:color="auto" w:fill="FFFFFF"/>
                <w:lang w:val="en-GB" w:eastAsia="nb-NO"/>
              </w:rPr>
              <w:t>22</w:t>
            </w:r>
          </w:p>
        </w:tc>
        <w:tc>
          <w:tcPr>
            <w:tcW w:w="2160" w:type="dxa"/>
          </w:tcPr>
          <w:p w14:paraId="05C3B908" w14:textId="5A3F6584"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5</w:t>
            </w:r>
            <w:r w:rsidR="007941EA">
              <w:rPr>
                <w:rFonts w:ascii="Helvetica" w:hAnsi="Helvetica" w:cs="Times New Roman"/>
                <w:color w:val="000000"/>
                <w:sz w:val="20"/>
                <w:szCs w:val="20"/>
                <w:lang w:val="en-GB" w:eastAsia="nb-NO"/>
              </w:rPr>
              <w:t>,</w:t>
            </w:r>
            <w:r w:rsidRPr="00D62BF7">
              <w:rPr>
                <w:rFonts w:ascii="Helvetica" w:hAnsi="Helvetica" w:cs="Times New Roman"/>
                <w:color w:val="000000"/>
                <w:sz w:val="20"/>
                <w:szCs w:val="20"/>
                <w:lang w:val="en-GB" w:eastAsia="nb-NO"/>
              </w:rPr>
              <w:t>346</w:t>
            </w:r>
          </w:p>
        </w:tc>
        <w:tc>
          <w:tcPr>
            <w:tcW w:w="1379" w:type="dxa"/>
          </w:tcPr>
          <w:p w14:paraId="409E1730" w14:textId="38F0DA33" w:rsidR="00800DBC" w:rsidRPr="00537C93" w:rsidRDefault="00800DBC" w:rsidP="00537C93">
            <w:pPr>
              <w:pStyle w:val="BodyText"/>
              <w:jc w:val="center"/>
              <w:rPr>
                <w:rFonts w:ascii="Arial" w:hAnsi="Arial" w:cs="Arial"/>
              </w:rPr>
            </w:pPr>
            <w:r w:rsidRPr="00D62BF7">
              <w:rPr>
                <w:rFonts w:ascii="Helvetica" w:hAnsi="Helvetica" w:cs="Times New Roman"/>
                <w:color w:val="000000"/>
                <w:sz w:val="20"/>
                <w:szCs w:val="20"/>
                <w:lang w:val="en-GB" w:eastAsia="nb-NO"/>
              </w:rPr>
              <w:t>76.3</w:t>
            </w:r>
          </w:p>
        </w:tc>
        <w:tc>
          <w:tcPr>
            <w:tcW w:w="1312" w:type="dxa"/>
          </w:tcPr>
          <w:p w14:paraId="0BEC6304" w14:textId="0AEF9A0B" w:rsidR="00800DBC" w:rsidRPr="00537C93" w:rsidRDefault="00800DBC" w:rsidP="00084465">
            <w:pPr>
              <w:pStyle w:val="BodyText"/>
              <w:tabs>
                <w:tab w:val="decimal" w:pos="574"/>
              </w:tabs>
              <w:rPr>
                <w:rFonts w:ascii="Arial" w:eastAsia="Times New Roman" w:hAnsi="Arial" w:cs="Arial"/>
              </w:rPr>
            </w:pPr>
            <w:r w:rsidRPr="00D62BF7">
              <w:rPr>
                <w:rFonts w:ascii="Helvetica" w:eastAsia="Times New Roman" w:hAnsi="Helvetica" w:cs="Times New Roman"/>
                <w:color w:val="000000"/>
                <w:sz w:val="20"/>
                <w:szCs w:val="20"/>
                <w:shd w:val="clear" w:color="auto" w:fill="FFFFFF"/>
                <w:lang w:val="en-GB" w:eastAsia="nb-NO"/>
              </w:rPr>
              <w:t>103.3</w:t>
            </w:r>
          </w:p>
        </w:tc>
      </w:tr>
    </w:tbl>
    <w:p w14:paraId="24F53E5D" w14:textId="77777777" w:rsidR="00800DBC" w:rsidRDefault="00800DBC" w:rsidP="00EC1B66">
      <w:pPr>
        <w:pStyle w:val="FootnoteText1"/>
        <w:rPr>
          <w:lang w:val="en-GB"/>
        </w:rPr>
      </w:pPr>
    </w:p>
    <w:p w14:paraId="5DDF4696" w14:textId="140D0760" w:rsidR="003D6D8F" w:rsidRPr="00D62BF7" w:rsidRDefault="003D6D8F" w:rsidP="00EC1B66">
      <w:pPr>
        <w:pStyle w:val="FootnoteText1"/>
        <w:rPr>
          <w:lang w:val="en-GB"/>
        </w:rPr>
      </w:pPr>
      <w:r w:rsidRPr="00D62BF7">
        <w:rPr>
          <w:lang w:val="en-GB"/>
        </w:rPr>
        <w:t>Source: James</w:t>
      </w:r>
      <w:r w:rsidR="00955F81">
        <w:rPr>
          <w:lang w:val="en-GB"/>
        </w:rPr>
        <w:t xml:space="preserve"> </w:t>
      </w:r>
      <w:proofErr w:type="spellStart"/>
      <w:r w:rsidR="00955F81">
        <w:rPr>
          <w:lang w:val="en-GB"/>
        </w:rPr>
        <w:t>Mirtle</w:t>
      </w:r>
      <w:proofErr w:type="spellEnd"/>
      <w:r w:rsidR="00955F81" w:rsidRPr="00A56BC5">
        <w:rPr>
          <w:lang w:val="en-GB"/>
        </w:rPr>
        <w:t>,</w:t>
      </w:r>
      <w:r w:rsidR="000575B5">
        <w:rPr>
          <w:lang w:val="en-GB"/>
        </w:rPr>
        <w:t xml:space="preserve"> </w:t>
      </w:r>
      <w:r w:rsidRPr="00D62BF7">
        <w:rPr>
          <w:lang w:val="en-GB"/>
        </w:rPr>
        <w:t>Twitter post, November 27, 2013, 9:15</w:t>
      </w:r>
      <w:r w:rsidR="00955F81">
        <w:rPr>
          <w:lang w:val="en-GB"/>
        </w:rPr>
        <w:t xml:space="preserve"> </w:t>
      </w:r>
      <w:r w:rsidRPr="00D62BF7">
        <w:rPr>
          <w:lang w:val="en-GB"/>
        </w:rPr>
        <w:t>a</w:t>
      </w:r>
      <w:r w:rsidR="009F0CA9">
        <w:rPr>
          <w:lang w:val="en-GB"/>
        </w:rPr>
        <w:t>.</w:t>
      </w:r>
      <w:r w:rsidRPr="00D62BF7">
        <w:rPr>
          <w:lang w:val="en-GB"/>
        </w:rPr>
        <w:t>m</w:t>
      </w:r>
      <w:r w:rsidR="009F0CA9">
        <w:rPr>
          <w:lang w:val="en-GB"/>
        </w:rPr>
        <w:t>.</w:t>
      </w:r>
      <w:r w:rsidRPr="00D62BF7">
        <w:rPr>
          <w:lang w:val="en-GB"/>
        </w:rPr>
        <w:t>, https://twitter.com/mirtle.</w:t>
      </w:r>
    </w:p>
    <w:p w14:paraId="59A3BEBC" w14:textId="77777777" w:rsidR="00EC1B66" w:rsidRPr="00D62BF7" w:rsidRDefault="00EC1B66">
      <w:pPr>
        <w:rPr>
          <w:spacing w:val="-1"/>
          <w:sz w:val="22"/>
          <w:szCs w:val="22"/>
          <w:lang w:val="en-GB"/>
        </w:rPr>
      </w:pPr>
      <w:r w:rsidRPr="00D62BF7">
        <w:rPr>
          <w:lang w:val="en-GB"/>
        </w:rPr>
        <w:br w:type="page"/>
      </w:r>
    </w:p>
    <w:p w14:paraId="79D90EC1" w14:textId="4C13B713" w:rsidR="006003C2" w:rsidRPr="00D62BF7" w:rsidRDefault="00FC30A8" w:rsidP="00EC1B66">
      <w:pPr>
        <w:pStyle w:val="casehead1"/>
        <w:jc w:val="center"/>
        <w:rPr>
          <w:lang w:val="en-GB"/>
        </w:rPr>
      </w:pPr>
      <w:r w:rsidRPr="00D62BF7">
        <w:rPr>
          <w:lang w:val="en-GB"/>
        </w:rPr>
        <w:lastRenderedPageBreak/>
        <w:t>Exhibit 3</w:t>
      </w:r>
      <w:r w:rsidR="006D1A53">
        <w:rPr>
          <w:lang w:val="en-GB"/>
        </w:rPr>
        <w:t>:</w:t>
      </w:r>
      <w:r w:rsidRPr="00D62BF7">
        <w:rPr>
          <w:lang w:val="en-GB"/>
        </w:rPr>
        <w:t xml:space="preserve"> Timeline of </w:t>
      </w:r>
      <w:r w:rsidR="00D278F7">
        <w:rPr>
          <w:lang w:val="en-GB"/>
        </w:rPr>
        <w:t xml:space="preserve">significant </w:t>
      </w:r>
      <w:r w:rsidRPr="00D62BF7">
        <w:rPr>
          <w:lang w:val="en-GB"/>
        </w:rPr>
        <w:t>events</w:t>
      </w:r>
      <w:r w:rsidR="00D278F7">
        <w:rPr>
          <w:lang w:val="en-GB"/>
        </w:rPr>
        <w:t xml:space="preserve"> for the National Hockey League</w:t>
      </w:r>
      <w:r w:rsidR="001722E5">
        <w:rPr>
          <w:lang w:val="en-GB"/>
        </w:rPr>
        <w:t xml:space="preserve"> and the </w:t>
      </w:r>
      <w:r w:rsidR="00D278F7">
        <w:rPr>
          <w:lang w:val="en-GB"/>
        </w:rPr>
        <w:t>Chicago blackhawks</w:t>
      </w:r>
      <w:r w:rsidRPr="00D62BF7">
        <w:rPr>
          <w:lang w:val="en-GB"/>
        </w:rPr>
        <w:t>, with Oil price History</w:t>
      </w:r>
      <w:r w:rsidR="00D278F7">
        <w:rPr>
          <w:lang w:val="en-GB"/>
        </w:rPr>
        <w:t>, October 2o13 to June 2015</w:t>
      </w:r>
    </w:p>
    <w:p w14:paraId="171807DD" w14:textId="77777777" w:rsidR="00FC30A8" w:rsidRPr="00D62BF7" w:rsidRDefault="00FC30A8" w:rsidP="00FC30A8">
      <w:pPr>
        <w:pStyle w:val="BodyText"/>
        <w:rPr>
          <w:lang w:val="en-GB"/>
        </w:rPr>
      </w:pPr>
    </w:p>
    <w:p w14:paraId="0FF2659B" w14:textId="77777777" w:rsidR="00FC30A8" w:rsidRPr="00D62BF7" w:rsidRDefault="00FC30A8" w:rsidP="00EC1B66">
      <w:pPr>
        <w:pStyle w:val="BodyText"/>
        <w:jc w:val="center"/>
        <w:rPr>
          <w:sz w:val="24"/>
          <w:lang w:val="en-GB"/>
        </w:rPr>
      </w:pPr>
      <w:r w:rsidRPr="00D62BF7">
        <w:rPr>
          <w:noProof/>
          <w:lang w:val="en-GB" w:eastAsia="en-GB"/>
        </w:rPr>
        <w:drawing>
          <wp:inline distT="0" distB="0" distL="0" distR="0" wp14:anchorId="1277B82D" wp14:editId="46C322C7">
            <wp:extent cx="5943600" cy="4351020"/>
            <wp:effectExtent l="0" t="0" r="2540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30A740" w14:textId="77777777" w:rsidR="00EC1B66" w:rsidRPr="00D62BF7" w:rsidRDefault="00EC1B66" w:rsidP="00EC1B66">
      <w:pPr>
        <w:pStyle w:val="FootnoteText1"/>
        <w:rPr>
          <w:lang w:val="en-GB"/>
        </w:rPr>
      </w:pPr>
    </w:p>
    <w:p w14:paraId="7C38F50B" w14:textId="0341825D" w:rsidR="006D1A53" w:rsidRDefault="006D1A53" w:rsidP="00EC1B66">
      <w:pPr>
        <w:pStyle w:val="FootnoteText1"/>
        <w:rPr>
          <w:lang w:val="en-GB"/>
        </w:rPr>
      </w:pPr>
      <w:r>
        <w:rPr>
          <w:lang w:val="en-GB"/>
        </w:rPr>
        <w:t xml:space="preserve">Note: </w:t>
      </w:r>
      <w:r w:rsidR="00AB55E0">
        <w:rPr>
          <w:lang w:val="en-GB"/>
        </w:rPr>
        <w:t>OPEC = Organization of the Petroleum Exporting Countries</w:t>
      </w:r>
    </w:p>
    <w:p w14:paraId="228D2814" w14:textId="13B61540" w:rsidR="00FC30A8" w:rsidRPr="00D62BF7" w:rsidRDefault="00FC30A8" w:rsidP="00EC1B66">
      <w:pPr>
        <w:pStyle w:val="FootnoteText1"/>
        <w:rPr>
          <w:lang w:val="en-GB"/>
        </w:rPr>
      </w:pPr>
      <w:r w:rsidRPr="00D62BF7">
        <w:rPr>
          <w:lang w:val="en-GB"/>
        </w:rPr>
        <w:t xml:space="preserve">Source: </w:t>
      </w:r>
      <w:r w:rsidR="00AB55E0">
        <w:rPr>
          <w:lang w:val="en-GB"/>
        </w:rPr>
        <w:t xml:space="preserve">Created by the authors with information from </w:t>
      </w:r>
      <w:r w:rsidRPr="00D62BF7">
        <w:rPr>
          <w:lang w:val="en-GB"/>
        </w:rPr>
        <w:t>“</w:t>
      </w:r>
      <w:r w:rsidR="00AB55E0">
        <w:rPr>
          <w:lang w:val="en-GB"/>
        </w:rPr>
        <w:t xml:space="preserve">Petroleum &amp; Other Liquids: </w:t>
      </w:r>
      <w:r w:rsidRPr="00D62BF7">
        <w:rPr>
          <w:lang w:val="en-GB"/>
        </w:rPr>
        <w:t>Spot Prices</w:t>
      </w:r>
      <w:r w:rsidR="00AB55E0">
        <w:rPr>
          <w:lang w:val="en-GB"/>
        </w:rPr>
        <w:t>,</w:t>
      </w:r>
      <w:r w:rsidRPr="00D62BF7">
        <w:rPr>
          <w:lang w:val="en-GB"/>
        </w:rPr>
        <w:t>”</w:t>
      </w:r>
      <w:r w:rsidR="00AB55E0">
        <w:rPr>
          <w:lang w:val="en-GB"/>
        </w:rPr>
        <w:t xml:space="preserve"> </w:t>
      </w:r>
      <w:r w:rsidR="00AB55E0" w:rsidRPr="00D62BF7">
        <w:rPr>
          <w:lang w:val="en-GB"/>
        </w:rPr>
        <w:t xml:space="preserve">U.S. Energy Information Administration, </w:t>
      </w:r>
      <w:r w:rsidR="00AB55E0">
        <w:rPr>
          <w:lang w:val="en-GB"/>
        </w:rPr>
        <w:t>accessed May 26, 2017</w:t>
      </w:r>
      <w:r w:rsidRPr="00D62BF7">
        <w:rPr>
          <w:lang w:val="en-GB"/>
        </w:rPr>
        <w:t>, www.eia.gov/dnav/pet/pet_pri_spt_s1_a.htm.</w:t>
      </w:r>
    </w:p>
    <w:p w14:paraId="1C475B56" w14:textId="77777777" w:rsidR="00FC30A8" w:rsidRPr="00D62BF7" w:rsidRDefault="00FC30A8" w:rsidP="00FC30A8">
      <w:pPr>
        <w:pStyle w:val="BodyText"/>
        <w:rPr>
          <w:lang w:val="en-GB"/>
        </w:rPr>
      </w:pPr>
    </w:p>
    <w:p w14:paraId="7887C46F" w14:textId="77777777" w:rsidR="00EC1B66" w:rsidRPr="00D62BF7" w:rsidRDefault="00EC1B66">
      <w:pPr>
        <w:rPr>
          <w:spacing w:val="-1"/>
          <w:sz w:val="22"/>
          <w:szCs w:val="22"/>
          <w:lang w:val="en-GB"/>
        </w:rPr>
      </w:pPr>
      <w:r w:rsidRPr="00D62BF7">
        <w:rPr>
          <w:lang w:val="en-GB"/>
        </w:rPr>
        <w:br w:type="page"/>
      </w:r>
    </w:p>
    <w:p w14:paraId="0B87E07F" w14:textId="0F03DF71" w:rsidR="00B62A78" w:rsidRPr="00D62BF7" w:rsidRDefault="00B62A78" w:rsidP="00EC1B66">
      <w:pPr>
        <w:pStyle w:val="casehead1"/>
        <w:jc w:val="center"/>
        <w:rPr>
          <w:lang w:val="en-GB"/>
        </w:rPr>
      </w:pPr>
      <w:r w:rsidRPr="00D62BF7">
        <w:rPr>
          <w:lang w:val="en-GB"/>
        </w:rPr>
        <w:lastRenderedPageBreak/>
        <w:t>Exhibit 4</w:t>
      </w:r>
      <w:r w:rsidR="00EC1B66" w:rsidRPr="00D62BF7">
        <w:rPr>
          <w:lang w:val="en-GB"/>
        </w:rPr>
        <w:t xml:space="preserve">: </w:t>
      </w:r>
      <w:r w:rsidRPr="00D62BF7">
        <w:rPr>
          <w:lang w:val="en-GB"/>
        </w:rPr>
        <w:t xml:space="preserve">Chicago Blackhawks </w:t>
      </w:r>
      <w:r w:rsidR="00060E2F">
        <w:rPr>
          <w:lang w:val="en-GB"/>
        </w:rPr>
        <w:t xml:space="preserve">team members’ </w:t>
      </w:r>
      <w:r w:rsidRPr="00D62BF7">
        <w:rPr>
          <w:lang w:val="en-GB"/>
        </w:rPr>
        <w:t>2014</w:t>
      </w:r>
      <w:r w:rsidR="006D1A53">
        <w:rPr>
          <w:lang w:val="en-GB"/>
        </w:rPr>
        <w:t>–</w:t>
      </w:r>
      <w:r w:rsidRPr="00D62BF7">
        <w:rPr>
          <w:lang w:val="en-GB"/>
        </w:rPr>
        <w:t xml:space="preserve">15 Playoff Statistics </w:t>
      </w:r>
      <w:r w:rsidR="0056690C">
        <w:rPr>
          <w:lang w:val="en-GB"/>
        </w:rPr>
        <w:t>and contract status</w:t>
      </w:r>
    </w:p>
    <w:p w14:paraId="76BC1983" w14:textId="77777777" w:rsidR="00B62A78" w:rsidRPr="00D62BF7" w:rsidRDefault="00B62A78" w:rsidP="00EC1B66">
      <w:pPr>
        <w:pStyle w:val="BodyText"/>
        <w:rPr>
          <w:lang w:val="en-GB"/>
        </w:rPr>
      </w:pPr>
    </w:p>
    <w:tbl>
      <w:tblPr>
        <w:tblStyle w:val="ListTable1Light1"/>
        <w:tblW w:w="0" w:type="auto"/>
        <w:jc w:val="center"/>
        <w:tblLayout w:type="fixed"/>
        <w:tblLook w:val="04A0" w:firstRow="1" w:lastRow="0" w:firstColumn="1" w:lastColumn="0" w:noHBand="0" w:noVBand="1"/>
      </w:tblPr>
      <w:tblGrid>
        <w:gridCol w:w="2448"/>
        <w:gridCol w:w="967"/>
        <w:gridCol w:w="968"/>
        <w:gridCol w:w="967"/>
        <w:gridCol w:w="968"/>
        <w:gridCol w:w="3258"/>
      </w:tblGrid>
      <w:tr w:rsidR="00B62A78" w:rsidRPr="00D62BF7" w14:paraId="7279803F" w14:textId="77777777" w:rsidTr="004879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92BAB54" w14:textId="77777777" w:rsidR="00B62A78" w:rsidRPr="00D62BF7" w:rsidRDefault="00B62A78" w:rsidP="00A32CC9">
            <w:pPr>
              <w:spacing w:line="360" w:lineRule="auto"/>
              <w:rPr>
                <w:rFonts w:ascii="Helvetica" w:hAnsi="Helvetica" w:cs="Helvetica"/>
                <w:sz w:val="20"/>
                <w:szCs w:val="20"/>
                <w:lang w:val="en-GB"/>
              </w:rPr>
            </w:pPr>
            <w:r w:rsidRPr="00D62BF7">
              <w:rPr>
                <w:rFonts w:ascii="Helvetica" w:hAnsi="Helvetica" w:cs="Helvetica"/>
                <w:sz w:val="20"/>
                <w:szCs w:val="20"/>
                <w:lang w:val="en-GB"/>
              </w:rPr>
              <w:t>Player Name</w:t>
            </w:r>
          </w:p>
        </w:tc>
        <w:tc>
          <w:tcPr>
            <w:tcW w:w="967" w:type="dxa"/>
            <w:shd w:val="clear" w:color="auto" w:fill="auto"/>
          </w:tcPr>
          <w:p w14:paraId="0B588F5C" w14:textId="77777777" w:rsidR="00B62A78" w:rsidRPr="00D62BF7" w:rsidRDefault="00B62A78" w:rsidP="00A32CC9">
            <w:pPr>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Games</w:t>
            </w:r>
          </w:p>
        </w:tc>
        <w:tc>
          <w:tcPr>
            <w:tcW w:w="968" w:type="dxa"/>
            <w:shd w:val="clear" w:color="auto" w:fill="auto"/>
          </w:tcPr>
          <w:p w14:paraId="5F8067BB" w14:textId="77777777" w:rsidR="00B62A78" w:rsidRPr="00D62BF7" w:rsidRDefault="00B62A78" w:rsidP="00A32CC9">
            <w:pPr>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Goals</w:t>
            </w:r>
          </w:p>
        </w:tc>
        <w:tc>
          <w:tcPr>
            <w:tcW w:w="967" w:type="dxa"/>
            <w:shd w:val="clear" w:color="auto" w:fill="auto"/>
          </w:tcPr>
          <w:p w14:paraId="5C184A52" w14:textId="77777777" w:rsidR="00B62A78" w:rsidRPr="00D62BF7" w:rsidRDefault="00B62A78" w:rsidP="00A32CC9">
            <w:pPr>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Assists</w:t>
            </w:r>
          </w:p>
        </w:tc>
        <w:tc>
          <w:tcPr>
            <w:tcW w:w="968" w:type="dxa"/>
            <w:shd w:val="clear" w:color="auto" w:fill="auto"/>
          </w:tcPr>
          <w:p w14:paraId="2AE82061" w14:textId="77777777" w:rsidR="00B62A78" w:rsidRPr="00D62BF7" w:rsidRDefault="00B62A78" w:rsidP="00A32CC9">
            <w:pPr>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Points</w:t>
            </w:r>
          </w:p>
        </w:tc>
        <w:tc>
          <w:tcPr>
            <w:tcW w:w="3258" w:type="dxa"/>
            <w:shd w:val="clear" w:color="auto" w:fill="auto"/>
          </w:tcPr>
          <w:p w14:paraId="262EF4FE" w14:textId="77777777" w:rsidR="00B62A78" w:rsidRPr="00D62BF7" w:rsidRDefault="00B62A78" w:rsidP="00A32CC9">
            <w:pPr>
              <w:spacing w:line="360" w:lineRule="auto"/>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Contract Status</w:t>
            </w:r>
          </w:p>
        </w:tc>
      </w:tr>
      <w:tr w:rsidR="00B62A78" w:rsidRPr="00D62BF7" w14:paraId="7E5614EA"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A39F822"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Patrick Kane</w:t>
            </w:r>
          </w:p>
        </w:tc>
        <w:tc>
          <w:tcPr>
            <w:tcW w:w="967" w:type="dxa"/>
            <w:shd w:val="clear" w:color="auto" w:fill="auto"/>
          </w:tcPr>
          <w:p w14:paraId="5CF104F2"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25579487"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11</w:t>
            </w:r>
          </w:p>
        </w:tc>
        <w:tc>
          <w:tcPr>
            <w:tcW w:w="967" w:type="dxa"/>
            <w:shd w:val="clear" w:color="auto" w:fill="auto"/>
          </w:tcPr>
          <w:p w14:paraId="2BE9C600"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12</w:t>
            </w:r>
          </w:p>
        </w:tc>
        <w:tc>
          <w:tcPr>
            <w:tcW w:w="968" w:type="dxa"/>
            <w:shd w:val="clear" w:color="auto" w:fill="auto"/>
          </w:tcPr>
          <w:p w14:paraId="425DC85D"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3258" w:type="dxa"/>
            <w:shd w:val="clear" w:color="auto" w:fill="auto"/>
          </w:tcPr>
          <w:p w14:paraId="22DC73E0" w14:textId="229FBA6F"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2022</w:t>
            </w:r>
            <w:r w:rsidR="00D278F7">
              <w:rPr>
                <w:rFonts w:ascii="Helvetica" w:hAnsi="Helvetica" w:cs="Helvetica"/>
                <w:sz w:val="20"/>
                <w:szCs w:val="20"/>
                <w:lang w:val="en-GB"/>
              </w:rPr>
              <w:t>–</w:t>
            </w:r>
            <w:r w:rsidRPr="00D62BF7">
              <w:rPr>
                <w:rFonts w:ascii="Helvetica" w:hAnsi="Helvetica" w:cs="Helvetica"/>
                <w:sz w:val="20"/>
                <w:szCs w:val="20"/>
                <w:lang w:val="en-GB"/>
              </w:rPr>
              <w:t>23</w:t>
            </w:r>
          </w:p>
        </w:tc>
      </w:tr>
      <w:tr w:rsidR="00B62A78" w:rsidRPr="00D62BF7" w14:paraId="5E766AE4"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6D4C38"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Jonathan </w:t>
            </w:r>
            <w:proofErr w:type="spellStart"/>
            <w:r w:rsidRPr="00D62BF7">
              <w:rPr>
                <w:rFonts w:ascii="Helvetica" w:hAnsi="Helvetica" w:cs="Helvetica"/>
                <w:b w:val="0"/>
                <w:sz w:val="20"/>
                <w:szCs w:val="20"/>
                <w:lang w:val="en-GB"/>
              </w:rPr>
              <w:t>Toews</w:t>
            </w:r>
            <w:proofErr w:type="spellEnd"/>
          </w:p>
        </w:tc>
        <w:tc>
          <w:tcPr>
            <w:tcW w:w="967" w:type="dxa"/>
            <w:shd w:val="clear" w:color="auto" w:fill="auto"/>
          </w:tcPr>
          <w:p w14:paraId="4711D9E2"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12E08F44"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10</w:t>
            </w:r>
          </w:p>
        </w:tc>
        <w:tc>
          <w:tcPr>
            <w:tcW w:w="967" w:type="dxa"/>
            <w:shd w:val="clear" w:color="auto" w:fill="auto"/>
          </w:tcPr>
          <w:p w14:paraId="4BE4E737"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11</w:t>
            </w:r>
          </w:p>
        </w:tc>
        <w:tc>
          <w:tcPr>
            <w:tcW w:w="968" w:type="dxa"/>
            <w:shd w:val="clear" w:color="auto" w:fill="auto"/>
          </w:tcPr>
          <w:p w14:paraId="2786F5B5"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21</w:t>
            </w:r>
          </w:p>
        </w:tc>
        <w:tc>
          <w:tcPr>
            <w:tcW w:w="3258" w:type="dxa"/>
            <w:shd w:val="clear" w:color="auto" w:fill="auto"/>
          </w:tcPr>
          <w:p w14:paraId="7F8CFA97" w14:textId="64BFF9A2"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2022</w:t>
            </w:r>
            <w:r w:rsidR="00D278F7">
              <w:rPr>
                <w:rFonts w:ascii="Helvetica" w:hAnsi="Helvetica" w:cs="Helvetica"/>
                <w:sz w:val="20"/>
                <w:szCs w:val="20"/>
                <w:lang w:val="en-GB"/>
              </w:rPr>
              <w:t>–</w:t>
            </w:r>
            <w:r w:rsidRPr="00D62BF7">
              <w:rPr>
                <w:rFonts w:ascii="Helvetica" w:hAnsi="Helvetica" w:cs="Helvetica"/>
                <w:sz w:val="20"/>
                <w:szCs w:val="20"/>
                <w:lang w:val="en-GB"/>
              </w:rPr>
              <w:t>23</w:t>
            </w:r>
          </w:p>
        </w:tc>
      </w:tr>
      <w:tr w:rsidR="00B62A78" w:rsidRPr="00D62BF7" w14:paraId="236AACF0"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FEF865D"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Duncan Keith</w:t>
            </w:r>
          </w:p>
        </w:tc>
        <w:tc>
          <w:tcPr>
            <w:tcW w:w="967" w:type="dxa"/>
            <w:shd w:val="clear" w:color="auto" w:fill="auto"/>
          </w:tcPr>
          <w:p w14:paraId="2302A050"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36CCE0B9"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7" w:type="dxa"/>
            <w:shd w:val="clear" w:color="auto" w:fill="auto"/>
          </w:tcPr>
          <w:p w14:paraId="6CD5F3DE"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18</w:t>
            </w:r>
          </w:p>
        </w:tc>
        <w:tc>
          <w:tcPr>
            <w:tcW w:w="968" w:type="dxa"/>
            <w:shd w:val="clear" w:color="auto" w:fill="auto"/>
          </w:tcPr>
          <w:p w14:paraId="66F9839B"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21</w:t>
            </w:r>
          </w:p>
        </w:tc>
        <w:tc>
          <w:tcPr>
            <w:tcW w:w="3258" w:type="dxa"/>
            <w:shd w:val="clear" w:color="auto" w:fill="auto"/>
          </w:tcPr>
          <w:p w14:paraId="0D3ACA2C" w14:textId="33D8965E"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2022</w:t>
            </w:r>
            <w:r w:rsidR="00D278F7">
              <w:rPr>
                <w:rFonts w:ascii="Helvetica" w:hAnsi="Helvetica" w:cs="Helvetica"/>
                <w:sz w:val="20"/>
                <w:szCs w:val="20"/>
                <w:lang w:val="en-GB"/>
              </w:rPr>
              <w:t>–</w:t>
            </w:r>
            <w:r w:rsidRPr="00D62BF7">
              <w:rPr>
                <w:rFonts w:ascii="Helvetica" w:hAnsi="Helvetica" w:cs="Helvetica"/>
                <w:sz w:val="20"/>
                <w:szCs w:val="20"/>
                <w:lang w:val="en-GB"/>
              </w:rPr>
              <w:t>23</w:t>
            </w:r>
          </w:p>
        </w:tc>
      </w:tr>
      <w:tr w:rsidR="00B62A78" w:rsidRPr="00D62BF7" w14:paraId="40CA17A0"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E793A72"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Marian Hossa</w:t>
            </w:r>
          </w:p>
        </w:tc>
        <w:tc>
          <w:tcPr>
            <w:tcW w:w="967" w:type="dxa"/>
            <w:shd w:val="clear" w:color="auto" w:fill="auto"/>
          </w:tcPr>
          <w:p w14:paraId="1BC3F74A"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47F29D7C"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967" w:type="dxa"/>
            <w:shd w:val="clear" w:color="auto" w:fill="auto"/>
          </w:tcPr>
          <w:p w14:paraId="41908273"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13</w:t>
            </w:r>
          </w:p>
        </w:tc>
        <w:tc>
          <w:tcPr>
            <w:tcW w:w="968" w:type="dxa"/>
            <w:shd w:val="clear" w:color="auto" w:fill="auto"/>
          </w:tcPr>
          <w:p w14:paraId="5FE95EE6"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17</w:t>
            </w:r>
          </w:p>
        </w:tc>
        <w:tc>
          <w:tcPr>
            <w:tcW w:w="3258" w:type="dxa"/>
            <w:shd w:val="clear" w:color="auto" w:fill="auto"/>
          </w:tcPr>
          <w:p w14:paraId="16EA97B1" w14:textId="170D57D0"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2020</w:t>
            </w:r>
            <w:r w:rsidR="00D278F7">
              <w:rPr>
                <w:rFonts w:ascii="Helvetica" w:hAnsi="Helvetica" w:cs="Helvetica"/>
                <w:sz w:val="20"/>
                <w:szCs w:val="20"/>
                <w:lang w:val="en-GB"/>
              </w:rPr>
              <w:t>–</w:t>
            </w:r>
            <w:r w:rsidRPr="00D62BF7">
              <w:rPr>
                <w:rFonts w:ascii="Helvetica" w:hAnsi="Helvetica" w:cs="Helvetica"/>
                <w:sz w:val="20"/>
                <w:szCs w:val="20"/>
                <w:lang w:val="en-GB"/>
              </w:rPr>
              <w:t>21</w:t>
            </w:r>
          </w:p>
        </w:tc>
      </w:tr>
      <w:tr w:rsidR="00B62A78" w:rsidRPr="00D62BF7" w14:paraId="5C0A3F91"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F9230D"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Patrick Sharp</w:t>
            </w:r>
          </w:p>
        </w:tc>
        <w:tc>
          <w:tcPr>
            <w:tcW w:w="967" w:type="dxa"/>
            <w:shd w:val="clear" w:color="auto" w:fill="auto"/>
          </w:tcPr>
          <w:p w14:paraId="27C27FF8"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6BB40331"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7" w:type="dxa"/>
            <w:shd w:val="clear" w:color="auto" w:fill="auto"/>
          </w:tcPr>
          <w:p w14:paraId="73EB4E2F"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10</w:t>
            </w:r>
          </w:p>
        </w:tc>
        <w:tc>
          <w:tcPr>
            <w:tcW w:w="968" w:type="dxa"/>
            <w:shd w:val="clear" w:color="auto" w:fill="auto"/>
          </w:tcPr>
          <w:p w14:paraId="252343C2"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15</w:t>
            </w:r>
          </w:p>
        </w:tc>
        <w:tc>
          <w:tcPr>
            <w:tcW w:w="3258" w:type="dxa"/>
            <w:shd w:val="clear" w:color="auto" w:fill="auto"/>
          </w:tcPr>
          <w:p w14:paraId="54EB257E" w14:textId="75EE7ADC"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2016</w:t>
            </w:r>
            <w:r w:rsidR="00D278F7">
              <w:rPr>
                <w:rFonts w:ascii="Helvetica" w:hAnsi="Helvetica" w:cs="Helvetica"/>
                <w:sz w:val="20"/>
                <w:szCs w:val="20"/>
                <w:lang w:val="en-GB"/>
              </w:rPr>
              <w:t>–</w:t>
            </w:r>
            <w:r w:rsidRPr="00D62BF7">
              <w:rPr>
                <w:rFonts w:ascii="Helvetica" w:hAnsi="Helvetica" w:cs="Helvetica"/>
                <w:sz w:val="20"/>
                <w:szCs w:val="20"/>
                <w:lang w:val="en-GB"/>
              </w:rPr>
              <w:t>17</w:t>
            </w:r>
          </w:p>
        </w:tc>
      </w:tr>
      <w:tr w:rsidR="00B62A78" w:rsidRPr="00D62BF7" w14:paraId="1E1AE8ED"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3593FE"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Brad Richards</w:t>
            </w:r>
          </w:p>
        </w:tc>
        <w:tc>
          <w:tcPr>
            <w:tcW w:w="967" w:type="dxa"/>
            <w:shd w:val="clear" w:color="auto" w:fill="auto"/>
          </w:tcPr>
          <w:p w14:paraId="727B237A"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790D05F7"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7" w:type="dxa"/>
            <w:shd w:val="clear" w:color="auto" w:fill="auto"/>
          </w:tcPr>
          <w:p w14:paraId="03AABE4F"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11</w:t>
            </w:r>
          </w:p>
        </w:tc>
        <w:tc>
          <w:tcPr>
            <w:tcW w:w="968" w:type="dxa"/>
            <w:shd w:val="clear" w:color="auto" w:fill="auto"/>
          </w:tcPr>
          <w:p w14:paraId="48538DA1"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14</w:t>
            </w:r>
          </w:p>
        </w:tc>
        <w:tc>
          <w:tcPr>
            <w:tcW w:w="3258" w:type="dxa"/>
            <w:shd w:val="clear" w:color="auto" w:fill="auto"/>
          </w:tcPr>
          <w:p w14:paraId="486D246B" w14:textId="58EC41E2"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204AB461"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668D97"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Andrew Shaw</w:t>
            </w:r>
          </w:p>
        </w:tc>
        <w:tc>
          <w:tcPr>
            <w:tcW w:w="967" w:type="dxa"/>
            <w:shd w:val="clear" w:color="auto" w:fill="auto"/>
          </w:tcPr>
          <w:p w14:paraId="3E5283E4"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7E9A97D8"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7" w:type="dxa"/>
            <w:shd w:val="clear" w:color="auto" w:fill="auto"/>
          </w:tcPr>
          <w:p w14:paraId="0BC02764"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7</w:t>
            </w:r>
          </w:p>
        </w:tc>
        <w:tc>
          <w:tcPr>
            <w:tcW w:w="968" w:type="dxa"/>
            <w:shd w:val="clear" w:color="auto" w:fill="auto"/>
          </w:tcPr>
          <w:p w14:paraId="65B3ECC9"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12</w:t>
            </w:r>
          </w:p>
        </w:tc>
        <w:tc>
          <w:tcPr>
            <w:tcW w:w="3258" w:type="dxa"/>
            <w:shd w:val="clear" w:color="auto" w:fill="auto"/>
          </w:tcPr>
          <w:p w14:paraId="428FC378" w14:textId="7AA84D98"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0174B863"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CF6A249"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Brandon </w:t>
            </w:r>
            <w:proofErr w:type="spellStart"/>
            <w:r w:rsidRPr="00D62BF7">
              <w:rPr>
                <w:rFonts w:ascii="Helvetica" w:hAnsi="Helvetica" w:cs="Helvetica"/>
                <w:b w:val="0"/>
                <w:sz w:val="20"/>
                <w:szCs w:val="20"/>
                <w:lang w:val="en-GB"/>
              </w:rPr>
              <w:t>Saad</w:t>
            </w:r>
            <w:proofErr w:type="spellEnd"/>
          </w:p>
        </w:tc>
        <w:tc>
          <w:tcPr>
            <w:tcW w:w="967" w:type="dxa"/>
            <w:shd w:val="clear" w:color="auto" w:fill="auto"/>
          </w:tcPr>
          <w:p w14:paraId="4CBCBB70"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7F6F8755"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8</w:t>
            </w:r>
          </w:p>
        </w:tc>
        <w:tc>
          <w:tcPr>
            <w:tcW w:w="967" w:type="dxa"/>
            <w:shd w:val="clear" w:color="auto" w:fill="auto"/>
          </w:tcPr>
          <w:p w14:paraId="74A7CB4D"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8" w:type="dxa"/>
            <w:shd w:val="clear" w:color="auto" w:fill="auto"/>
          </w:tcPr>
          <w:p w14:paraId="642F39E3"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11</w:t>
            </w:r>
          </w:p>
        </w:tc>
        <w:tc>
          <w:tcPr>
            <w:tcW w:w="3258" w:type="dxa"/>
            <w:shd w:val="clear" w:color="auto" w:fill="auto"/>
          </w:tcPr>
          <w:p w14:paraId="02CCAF7B" w14:textId="25B5BFE6"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3449B4B9"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5D25201"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Brent Seabrook</w:t>
            </w:r>
          </w:p>
        </w:tc>
        <w:tc>
          <w:tcPr>
            <w:tcW w:w="967" w:type="dxa"/>
            <w:shd w:val="clear" w:color="auto" w:fill="auto"/>
          </w:tcPr>
          <w:p w14:paraId="20A0EF5D"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590B84F2"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7</w:t>
            </w:r>
          </w:p>
        </w:tc>
        <w:tc>
          <w:tcPr>
            <w:tcW w:w="967" w:type="dxa"/>
            <w:shd w:val="clear" w:color="auto" w:fill="auto"/>
          </w:tcPr>
          <w:p w14:paraId="29F820AA"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968" w:type="dxa"/>
            <w:shd w:val="clear" w:color="auto" w:fill="auto"/>
          </w:tcPr>
          <w:p w14:paraId="2F09F10D"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11</w:t>
            </w:r>
          </w:p>
        </w:tc>
        <w:tc>
          <w:tcPr>
            <w:tcW w:w="3258" w:type="dxa"/>
            <w:shd w:val="clear" w:color="auto" w:fill="auto"/>
          </w:tcPr>
          <w:p w14:paraId="2B714AA7" w14:textId="488FA1D0"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06C4B5F7"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A6DEB3" w14:textId="77777777" w:rsidR="00B62A78" w:rsidRPr="00D62BF7" w:rsidRDefault="00B62A78" w:rsidP="00A32CC9">
            <w:pPr>
              <w:spacing w:line="360" w:lineRule="auto"/>
              <w:rPr>
                <w:rFonts w:ascii="Helvetica" w:hAnsi="Helvetica" w:cs="Helvetica"/>
                <w:b w:val="0"/>
                <w:sz w:val="20"/>
                <w:szCs w:val="20"/>
                <w:lang w:val="en-GB"/>
              </w:rPr>
            </w:pPr>
            <w:proofErr w:type="spellStart"/>
            <w:r w:rsidRPr="00D62BF7">
              <w:rPr>
                <w:rFonts w:ascii="Helvetica" w:hAnsi="Helvetica" w:cs="Helvetica"/>
                <w:b w:val="0"/>
                <w:sz w:val="20"/>
                <w:szCs w:val="20"/>
                <w:lang w:val="en-GB"/>
              </w:rPr>
              <w:t>Teuvo</w:t>
            </w:r>
            <w:proofErr w:type="spellEnd"/>
            <w:r w:rsidRPr="00D62BF7">
              <w:rPr>
                <w:rFonts w:ascii="Helvetica" w:hAnsi="Helvetica" w:cs="Helvetica"/>
                <w:b w:val="0"/>
                <w:sz w:val="20"/>
                <w:szCs w:val="20"/>
                <w:lang w:val="en-GB"/>
              </w:rPr>
              <w:t xml:space="preserve"> </w:t>
            </w:r>
            <w:proofErr w:type="spellStart"/>
            <w:r w:rsidRPr="00D62BF7">
              <w:rPr>
                <w:rFonts w:ascii="Helvetica" w:hAnsi="Helvetica" w:cs="Helvetica"/>
                <w:b w:val="0"/>
                <w:sz w:val="20"/>
                <w:szCs w:val="20"/>
                <w:lang w:val="en-GB"/>
              </w:rPr>
              <w:t>Teravainen</w:t>
            </w:r>
            <w:proofErr w:type="spellEnd"/>
          </w:p>
        </w:tc>
        <w:tc>
          <w:tcPr>
            <w:tcW w:w="967" w:type="dxa"/>
            <w:shd w:val="clear" w:color="auto" w:fill="auto"/>
          </w:tcPr>
          <w:p w14:paraId="3EBA2310"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18</w:t>
            </w:r>
          </w:p>
        </w:tc>
        <w:tc>
          <w:tcPr>
            <w:tcW w:w="968" w:type="dxa"/>
            <w:shd w:val="clear" w:color="auto" w:fill="auto"/>
          </w:tcPr>
          <w:p w14:paraId="05DFF2D6"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967" w:type="dxa"/>
            <w:shd w:val="clear" w:color="auto" w:fill="auto"/>
          </w:tcPr>
          <w:p w14:paraId="7B739CEF"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6</w:t>
            </w:r>
          </w:p>
        </w:tc>
        <w:tc>
          <w:tcPr>
            <w:tcW w:w="968" w:type="dxa"/>
            <w:shd w:val="clear" w:color="auto" w:fill="auto"/>
          </w:tcPr>
          <w:p w14:paraId="1D586893"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10</w:t>
            </w:r>
          </w:p>
        </w:tc>
        <w:tc>
          <w:tcPr>
            <w:tcW w:w="3258" w:type="dxa"/>
            <w:shd w:val="clear" w:color="auto" w:fill="auto"/>
          </w:tcPr>
          <w:p w14:paraId="63B08AAB" w14:textId="493F7870"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2016</w:t>
            </w:r>
            <w:r w:rsidR="00D278F7">
              <w:rPr>
                <w:rFonts w:ascii="Helvetica" w:hAnsi="Helvetica" w:cs="Helvetica"/>
                <w:sz w:val="20"/>
                <w:szCs w:val="20"/>
                <w:lang w:val="en-GB"/>
              </w:rPr>
              <w:t>–</w:t>
            </w:r>
            <w:r w:rsidRPr="00D62BF7">
              <w:rPr>
                <w:rFonts w:ascii="Helvetica" w:hAnsi="Helvetica" w:cs="Helvetica"/>
                <w:sz w:val="20"/>
                <w:szCs w:val="20"/>
                <w:lang w:val="en-GB"/>
              </w:rPr>
              <w:t>17</w:t>
            </w:r>
          </w:p>
        </w:tc>
      </w:tr>
      <w:tr w:rsidR="00B62A78" w:rsidRPr="00D62BF7" w14:paraId="36BD971B"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85712A"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Antoine </w:t>
            </w:r>
            <w:proofErr w:type="spellStart"/>
            <w:r w:rsidRPr="00D62BF7">
              <w:rPr>
                <w:rFonts w:ascii="Helvetica" w:hAnsi="Helvetica" w:cs="Helvetica"/>
                <w:b w:val="0"/>
                <w:sz w:val="20"/>
                <w:szCs w:val="20"/>
                <w:lang w:val="en-GB"/>
              </w:rPr>
              <w:t>Vermette</w:t>
            </w:r>
            <w:proofErr w:type="spellEnd"/>
          </w:p>
        </w:tc>
        <w:tc>
          <w:tcPr>
            <w:tcW w:w="967" w:type="dxa"/>
            <w:shd w:val="clear" w:color="auto" w:fill="auto"/>
          </w:tcPr>
          <w:p w14:paraId="71532714"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20</w:t>
            </w:r>
          </w:p>
        </w:tc>
        <w:tc>
          <w:tcPr>
            <w:tcW w:w="968" w:type="dxa"/>
            <w:shd w:val="clear" w:color="auto" w:fill="auto"/>
          </w:tcPr>
          <w:p w14:paraId="1E0F2DC4"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967" w:type="dxa"/>
            <w:shd w:val="clear" w:color="auto" w:fill="auto"/>
          </w:tcPr>
          <w:p w14:paraId="475B89A6"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8" w:type="dxa"/>
            <w:shd w:val="clear" w:color="auto" w:fill="auto"/>
          </w:tcPr>
          <w:p w14:paraId="1DBC9028"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7</w:t>
            </w:r>
          </w:p>
        </w:tc>
        <w:tc>
          <w:tcPr>
            <w:tcW w:w="3258" w:type="dxa"/>
            <w:shd w:val="clear" w:color="auto" w:fill="auto"/>
          </w:tcPr>
          <w:p w14:paraId="65F302C1" w14:textId="22FC2C4B"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79E3B1A8"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5ABD5A" w14:textId="77777777" w:rsidR="00B62A78" w:rsidRPr="00D62BF7" w:rsidRDefault="00B62A78" w:rsidP="00A32CC9">
            <w:pPr>
              <w:spacing w:line="360" w:lineRule="auto"/>
              <w:rPr>
                <w:rFonts w:ascii="Helvetica" w:hAnsi="Helvetica" w:cs="Helvetica"/>
                <w:b w:val="0"/>
                <w:sz w:val="20"/>
                <w:szCs w:val="20"/>
                <w:lang w:val="en-GB"/>
              </w:rPr>
            </w:pPr>
            <w:proofErr w:type="spellStart"/>
            <w:r w:rsidRPr="00D62BF7">
              <w:rPr>
                <w:rFonts w:ascii="Helvetica" w:hAnsi="Helvetica" w:cs="Helvetica"/>
                <w:b w:val="0"/>
                <w:sz w:val="20"/>
                <w:szCs w:val="20"/>
                <w:lang w:val="en-GB"/>
              </w:rPr>
              <w:t>Niklas</w:t>
            </w:r>
            <w:proofErr w:type="spellEnd"/>
            <w:r w:rsidRPr="00D62BF7">
              <w:rPr>
                <w:rFonts w:ascii="Helvetica" w:hAnsi="Helvetica" w:cs="Helvetica"/>
                <w:b w:val="0"/>
                <w:sz w:val="20"/>
                <w:szCs w:val="20"/>
                <w:lang w:val="en-GB"/>
              </w:rPr>
              <w:t xml:space="preserve"> </w:t>
            </w:r>
            <w:proofErr w:type="spellStart"/>
            <w:r w:rsidRPr="00D62BF7">
              <w:rPr>
                <w:rFonts w:ascii="Helvetica" w:hAnsi="Helvetica" w:cs="Helvetica"/>
                <w:b w:val="0"/>
                <w:sz w:val="20"/>
                <w:szCs w:val="20"/>
                <w:lang w:val="en-GB"/>
              </w:rPr>
              <w:t>Hjalmarsson</w:t>
            </w:r>
            <w:proofErr w:type="spellEnd"/>
          </w:p>
        </w:tc>
        <w:tc>
          <w:tcPr>
            <w:tcW w:w="967" w:type="dxa"/>
            <w:shd w:val="clear" w:color="auto" w:fill="auto"/>
          </w:tcPr>
          <w:p w14:paraId="0E1EF7AC"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55102A05"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967" w:type="dxa"/>
            <w:shd w:val="clear" w:color="auto" w:fill="auto"/>
          </w:tcPr>
          <w:p w14:paraId="6828E5EB"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8" w:type="dxa"/>
            <w:shd w:val="clear" w:color="auto" w:fill="auto"/>
          </w:tcPr>
          <w:p w14:paraId="04095BFD"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6</w:t>
            </w:r>
          </w:p>
        </w:tc>
        <w:tc>
          <w:tcPr>
            <w:tcW w:w="3258" w:type="dxa"/>
            <w:shd w:val="clear" w:color="auto" w:fill="auto"/>
          </w:tcPr>
          <w:p w14:paraId="761AB6CC" w14:textId="3F3BF749"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2018</w:t>
            </w:r>
            <w:r w:rsidR="00D278F7">
              <w:rPr>
                <w:rFonts w:ascii="Helvetica" w:hAnsi="Helvetica" w:cs="Helvetica"/>
                <w:sz w:val="20"/>
                <w:szCs w:val="20"/>
                <w:lang w:val="en-GB"/>
              </w:rPr>
              <w:t>–</w:t>
            </w:r>
            <w:r w:rsidRPr="00D62BF7">
              <w:rPr>
                <w:rFonts w:ascii="Helvetica" w:hAnsi="Helvetica" w:cs="Helvetica"/>
                <w:sz w:val="20"/>
                <w:szCs w:val="20"/>
                <w:lang w:val="en-GB"/>
              </w:rPr>
              <w:t>19</w:t>
            </w:r>
          </w:p>
        </w:tc>
      </w:tr>
      <w:tr w:rsidR="00B62A78" w:rsidRPr="00D62BF7" w14:paraId="1F9B7FA6"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237C7C"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Johnny </w:t>
            </w:r>
            <w:proofErr w:type="spellStart"/>
            <w:r w:rsidRPr="00D62BF7">
              <w:rPr>
                <w:rFonts w:ascii="Helvetica" w:hAnsi="Helvetica" w:cs="Helvetica"/>
                <w:b w:val="0"/>
                <w:sz w:val="20"/>
                <w:szCs w:val="20"/>
                <w:lang w:val="en-GB"/>
              </w:rPr>
              <w:t>Oduya</w:t>
            </w:r>
            <w:proofErr w:type="spellEnd"/>
          </w:p>
        </w:tc>
        <w:tc>
          <w:tcPr>
            <w:tcW w:w="967" w:type="dxa"/>
            <w:shd w:val="clear" w:color="auto" w:fill="auto"/>
          </w:tcPr>
          <w:p w14:paraId="7F6B5DA9"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54F51A93"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5A094EBF"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8" w:type="dxa"/>
            <w:shd w:val="clear" w:color="auto" w:fill="auto"/>
          </w:tcPr>
          <w:p w14:paraId="321ECAF5"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3258" w:type="dxa"/>
            <w:shd w:val="clear" w:color="auto" w:fill="auto"/>
          </w:tcPr>
          <w:p w14:paraId="625CDD1D" w14:textId="7A8A94A4"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368DBD1A"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B7CBC2D"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Bryan </w:t>
            </w:r>
            <w:proofErr w:type="spellStart"/>
            <w:r w:rsidRPr="00D62BF7">
              <w:rPr>
                <w:rFonts w:ascii="Helvetica" w:hAnsi="Helvetica" w:cs="Helvetica"/>
                <w:b w:val="0"/>
                <w:sz w:val="20"/>
                <w:szCs w:val="20"/>
                <w:lang w:val="en-GB"/>
              </w:rPr>
              <w:t>Bickell</w:t>
            </w:r>
            <w:proofErr w:type="spellEnd"/>
          </w:p>
        </w:tc>
        <w:tc>
          <w:tcPr>
            <w:tcW w:w="967" w:type="dxa"/>
            <w:shd w:val="clear" w:color="auto" w:fill="auto"/>
          </w:tcPr>
          <w:p w14:paraId="6B4BDF04"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18</w:t>
            </w:r>
          </w:p>
        </w:tc>
        <w:tc>
          <w:tcPr>
            <w:tcW w:w="968" w:type="dxa"/>
            <w:shd w:val="clear" w:color="auto" w:fill="auto"/>
          </w:tcPr>
          <w:p w14:paraId="58B78008"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12B79C2F"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8" w:type="dxa"/>
            <w:shd w:val="clear" w:color="auto" w:fill="auto"/>
          </w:tcPr>
          <w:p w14:paraId="28EF726B"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3258" w:type="dxa"/>
            <w:shd w:val="clear" w:color="auto" w:fill="auto"/>
          </w:tcPr>
          <w:p w14:paraId="05054752" w14:textId="317551B6"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2016</w:t>
            </w:r>
            <w:r w:rsidR="00D278F7">
              <w:rPr>
                <w:rFonts w:ascii="Helvetica" w:hAnsi="Helvetica" w:cs="Helvetica"/>
                <w:sz w:val="20"/>
                <w:szCs w:val="20"/>
                <w:lang w:val="en-GB"/>
              </w:rPr>
              <w:t>–</w:t>
            </w:r>
            <w:r w:rsidRPr="00D62BF7">
              <w:rPr>
                <w:rFonts w:ascii="Helvetica" w:hAnsi="Helvetica" w:cs="Helvetica"/>
                <w:sz w:val="20"/>
                <w:szCs w:val="20"/>
                <w:lang w:val="en-GB"/>
              </w:rPr>
              <w:t>17</w:t>
            </w:r>
          </w:p>
        </w:tc>
      </w:tr>
      <w:tr w:rsidR="00B62A78" w:rsidRPr="00D62BF7" w14:paraId="6C4A19E7"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9C5DA4"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Marcus Kruger</w:t>
            </w:r>
          </w:p>
        </w:tc>
        <w:tc>
          <w:tcPr>
            <w:tcW w:w="967" w:type="dxa"/>
            <w:shd w:val="clear" w:color="auto" w:fill="auto"/>
          </w:tcPr>
          <w:p w14:paraId="67C15C8E"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w:t>
            </w:r>
          </w:p>
        </w:tc>
        <w:tc>
          <w:tcPr>
            <w:tcW w:w="968" w:type="dxa"/>
            <w:shd w:val="clear" w:color="auto" w:fill="auto"/>
          </w:tcPr>
          <w:p w14:paraId="000896B8"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w:t>
            </w:r>
          </w:p>
        </w:tc>
        <w:tc>
          <w:tcPr>
            <w:tcW w:w="967" w:type="dxa"/>
            <w:shd w:val="clear" w:color="auto" w:fill="auto"/>
          </w:tcPr>
          <w:p w14:paraId="648AD03B"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w:t>
            </w:r>
          </w:p>
        </w:tc>
        <w:tc>
          <w:tcPr>
            <w:tcW w:w="968" w:type="dxa"/>
            <w:shd w:val="clear" w:color="auto" w:fill="auto"/>
          </w:tcPr>
          <w:p w14:paraId="3C635AE6"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3258" w:type="dxa"/>
            <w:shd w:val="clear" w:color="auto" w:fill="auto"/>
          </w:tcPr>
          <w:p w14:paraId="4AA30D82" w14:textId="7CCC8FCD"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3574754C"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1D09F69"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Andrew Desjardins</w:t>
            </w:r>
          </w:p>
        </w:tc>
        <w:tc>
          <w:tcPr>
            <w:tcW w:w="967" w:type="dxa"/>
            <w:shd w:val="clear" w:color="auto" w:fill="auto"/>
          </w:tcPr>
          <w:p w14:paraId="6B807FF2"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21</w:t>
            </w:r>
          </w:p>
        </w:tc>
        <w:tc>
          <w:tcPr>
            <w:tcW w:w="968" w:type="dxa"/>
            <w:shd w:val="clear" w:color="auto" w:fill="auto"/>
          </w:tcPr>
          <w:p w14:paraId="3BB94A0B"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967" w:type="dxa"/>
            <w:shd w:val="clear" w:color="auto" w:fill="auto"/>
          </w:tcPr>
          <w:p w14:paraId="4E5A6DD3"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8" w:type="dxa"/>
            <w:shd w:val="clear" w:color="auto" w:fill="auto"/>
          </w:tcPr>
          <w:p w14:paraId="7E340BB8"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3258" w:type="dxa"/>
            <w:shd w:val="clear" w:color="auto" w:fill="auto"/>
          </w:tcPr>
          <w:p w14:paraId="2DB28A68" w14:textId="4EB59FC3"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26CADB85"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C4C351"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Kris </w:t>
            </w:r>
            <w:proofErr w:type="spellStart"/>
            <w:r w:rsidRPr="00D62BF7">
              <w:rPr>
                <w:rFonts w:ascii="Helvetica" w:hAnsi="Helvetica" w:cs="Helvetica"/>
                <w:b w:val="0"/>
                <w:sz w:val="20"/>
                <w:szCs w:val="20"/>
                <w:lang w:val="en-GB"/>
              </w:rPr>
              <w:t>Versteeg</w:t>
            </w:r>
            <w:proofErr w:type="spellEnd"/>
          </w:p>
        </w:tc>
        <w:tc>
          <w:tcPr>
            <w:tcW w:w="967" w:type="dxa"/>
            <w:shd w:val="clear" w:color="auto" w:fill="auto"/>
          </w:tcPr>
          <w:p w14:paraId="4A85EB0B"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12</w:t>
            </w:r>
          </w:p>
        </w:tc>
        <w:tc>
          <w:tcPr>
            <w:tcW w:w="968" w:type="dxa"/>
            <w:shd w:val="clear" w:color="auto" w:fill="auto"/>
          </w:tcPr>
          <w:p w14:paraId="0E96DF10"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967" w:type="dxa"/>
            <w:shd w:val="clear" w:color="auto" w:fill="auto"/>
          </w:tcPr>
          <w:p w14:paraId="4CF82907"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968" w:type="dxa"/>
            <w:shd w:val="clear" w:color="auto" w:fill="auto"/>
          </w:tcPr>
          <w:p w14:paraId="674ABE91"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w:t>
            </w:r>
          </w:p>
        </w:tc>
        <w:tc>
          <w:tcPr>
            <w:tcW w:w="3258" w:type="dxa"/>
            <w:shd w:val="clear" w:color="auto" w:fill="auto"/>
          </w:tcPr>
          <w:p w14:paraId="397DB664" w14:textId="28BED216"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2E968E70"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5431D7"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Michal </w:t>
            </w:r>
            <w:proofErr w:type="spellStart"/>
            <w:r w:rsidRPr="00D62BF7">
              <w:rPr>
                <w:rFonts w:ascii="Helvetica" w:hAnsi="Helvetica" w:cs="Helvetica"/>
                <w:b w:val="0"/>
                <w:sz w:val="20"/>
                <w:szCs w:val="20"/>
                <w:lang w:val="en-GB"/>
              </w:rPr>
              <w:t>Rozsival</w:t>
            </w:r>
            <w:proofErr w:type="spellEnd"/>
          </w:p>
        </w:tc>
        <w:tc>
          <w:tcPr>
            <w:tcW w:w="967" w:type="dxa"/>
            <w:shd w:val="clear" w:color="auto" w:fill="auto"/>
          </w:tcPr>
          <w:p w14:paraId="6C08EB9B"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10</w:t>
            </w:r>
          </w:p>
        </w:tc>
        <w:tc>
          <w:tcPr>
            <w:tcW w:w="968" w:type="dxa"/>
            <w:shd w:val="clear" w:color="auto" w:fill="auto"/>
          </w:tcPr>
          <w:p w14:paraId="2D4385BB"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126E2A7B"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968" w:type="dxa"/>
            <w:shd w:val="clear" w:color="auto" w:fill="auto"/>
          </w:tcPr>
          <w:p w14:paraId="27607877"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3258" w:type="dxa"/>
            <w:shd w:val="clear" w:color="auto" w:fill="auto"/>
          </w:tcPr>
          <w:p w14:paraId="3AFA4785" w14:textId="3B8E4C17"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26D809AF"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E31F59"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Kimmo Timonen</w:t>
            </w:r>
          </w:p>
        </w:tc>
        <w:tc>
          <w:tcPr>
            <w:tcW w:w="967" w:type="dxa"/>
            <w:shd w:val="clear" w:color="auto" w:fill="auto"/>
          </w:tcPr>
          <w:p w14:paraId="0436902C"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18</w:t>
            </w:r>
          </w:p>
        </w:tc>
        <w:tc>
          <w:tcPr>
            <w:tcW w:w="968" w:type="dxa"/>
            <w:shd w:val="clear" w:color="auto" w:fill="auto"/>
          </w:tcPr>
          <w:p w14:paraId="3C459E9C"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55E28A1B"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8" w:type="dxa"/>
            <w:shd w:val="clear" w:color="auto" w:fill="auto"/>
          </w:tcPr>
          <w:p w14:paraId="6ED919ED"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3258" w:type="dxa"/>
            <w:shd w:val="clear" w:color="auto" w:fill="auto"/>
          </w:tcPr>
          <w:p w14:paraId="19C49D6C" w14:textId="5D09EDBD"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74E79E64"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8F8430F"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Kyle </w:t>
            </w:r>
            <w:proofErr w:type="spellStart"/>
            <w:r w:rsidRPr="00D62BF7">
              <w:rPr>
                <w:rFonts w:ascii="Helvetica" w:hAnsi="Helvetica" w:cs="Helvetica"/>
                <w:b w:val="0"/>
                <w:sz w:val="20"/>
                <w:szCs w:val="20"/>
                <w:lang w:val="en-GB"/>
              </w:rPr>
              <w:t>Cumiskey</w:t>
            </w:r>
            <w:proofErr w:type="spellEnd"/>
          </w:p>
        </w:tc>
        <w:tc>
          <w:tcPr>
            <w:tcW w:w="967" w:type="dxa"/>
            <w:shd w:val="clear" w:color="auto" w:fill="auto"/>
          </w:tcPr>
          <w:p w14:paraId="77317109"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9</w:t>
            </w:r>
          </w:p>
        </w:tc>
        <w:tc>
          <w:tcPr>
            <w:tcW w:w="968" w:type="dxa"/>
            <w:shd w:val="clear" w:color="auto" w:fill="auto"/>
          </w:tcPr>
          <w:p w14:paraId="3ECA5743"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73827BE1"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8" w:type="dxa"/>
            <w:shd w:val="clear" w:color="auto" w:fill="auto"/>
          </w:tcPr>
          <w:p w14:paraId="6FD75F12"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3258" w:type="dxa"/>
            <w:shd w:val="clear" w:color="auto" w:fill="auto"/>
          </w:tcPr>
          <w:p w14:paraId="34672AF4" w14:textId="60F24E44"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5795A822"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B454AA"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David </w:t>
            </w:r>
            <w:proofErr w:type="spellStart"/>
            <w:r w:rsidRPr="00D62BF7">
              <w:rPr>
                <w:rFonts w:ascii="Helvetica" w:hAnsi="Helvetica" w:cs="Helvetica"/>
                <w:b w:val="0"/>
                <w:sz w:val="20"/>
                <w:szCs w:val="20"/>
                <w:lang w:val="en-GB"/>
              </w:rPr>
              <w:t>Rundblad</w:t>
            </w:r>
            <w:proofErr w:type="spellEnd"/>
          </w:p>
        </w:tc>
        <w:tc>
          <w:tcPr>
            <w:tcW w:w="967" w:type="dxa"/>
            <w:shd w:val="clear" w:color="auto" w:fill="auto"/>
          </w:tcPr>
          <w:p w14:paraId="45210527"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8" w:type="dxa"/>
            <w:shd w:val="clear" w:color="auto" w:fill="auto"/>
          </w:tcPr>
          <w:p w14:paraId="1ECF8BB3"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1B2F2666"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8" w:type="dxa"/>
            <w:shd w:val="clear" w:color="auto" w:fill="auto"/>
          </w:tcPr>
          <w:p w14:paraId="7AE0DEC2"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3258" w:type="dxa"/>
            <w:shd w:val="clear" w:color="auto" w:fill="auto"/>
          </w:tcPr>
          <w:p w14:paraId="1FCEB22A" w14:textId="4AB1620A"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59CBA171"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600701"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 xml:space="preserve">Trevor van </w:t>
            </w:r>
            <w:proofErr w:type="spellStart"/>
            <w:r w:rsidRPr="00D62BF7">
              <w:rPr>
                <w:rFonts w:ascii="Helvetica" w:hAnsi="Helvetica" w:cs="Helvetica"/>
                <w:b w:val="0"/>
                <w:sz w:val="20"/>
                <w:szCs w:val="20"/>
                <w:lang w:val="en-GB"/>
              </w:rPr>
              <w:t>Riemsdyk</w:t>
            </w:r>
            <w:proofErr w:type="spellEnd"/>
          </w:p>
        </w:tc>
        <w:tc>
          <w:tcPr>
            <w:tcW w:w="967" w:type="dxa"/>
            <w:shd w:val="clear" w:color="auto" w:fill="auto"/>
          </w:tcPr>
          <w:p w14:paraId="35F9855C"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4</w:t>
            </w:r>
          </w:p>
        </w:tc>
        <w:tc>
          <w:tcPr>
            <w:tcW w:w="968" w:type="dxa"/>
            <w:shd w:val="clear" w:color="auto" w:fill="auto"/>
          </w:tcPr>
          <w:p w14:paraId="407DE5A6"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38DFF93B"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8" w:type="dxa"/>
            <w:shd w:val="clear" w:color="auto" w:fill="auto"/>
          </w:tcPr>
          <w:p w14:paraId="036923CE"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3258" w:type="dxa"/>
            <w:shd w:val="clear" w:color="auto" w:fill="auto"/>
          </w:tcPr>
          <w:p w14:paraId="738F415E" w14:textId="120B0396"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sz w:val="20"/>
                <w:szCs w:val="20"/>
                <w:lang w:val="en-GB"/>
              </w:rPr>
              <w:t>Signed through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249DE7E8"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FD5446" w14:textId="77777777" w:rsidR="00B62A78" w:rsidRPr="00D62BF7" w:rsidRDefault="00B62A78" w:rsidP="00A32CC9">
            <w:pPr>
              <w:spacing w:line="360" w:lineRule="auto"/>
              <w:rPr>
                <w:rFonts w:ascii="Helvetica" w:hAnsi="Helvetica" w:cs="Helvetica"/>
                <w:b w:val="0"/>
                <w:sz w:val="20"/>
                <w:szCs w:val="20"/>
                <w:lang w:val="en-GB"/>
              </w:rPr>
            </w:pPr>
            <w:proofErr w:type="spellStart"/>
            <w:r w:rsidRPr="00D62BF7">
              <w:rPr>
                <w:rFonts w:ascii="Helvetica" w:hAnsi="Helvetica" w:cs="Helvetica"/>
                <w:b w:val="0"/>
                <w:sz w:val="20"/>
                <w:szCs w:val="20"/>
                <w:lang w:val="en-GB"/>
              </w:rPr>
              <w:t>Joakim</w:t>
            </w:r>
            <w:proofErr w:type="spellEnd"/>
            <w:r w:rsidRPr="00D62BF7">
              <w:rPr>
                <w:rFonts w:ascii="Helvetica" w:hAnsi="Helvetica" w:cs="Helvetica"/>
                <w:b w:val="0"/>
                <w:sz w:val="20"/>
                <w:szCs w:val="20"/>
                <w:lang w:val="en-GB"/>
              </w:rPr>
              <w:t xml:space="preserve"> Nordstrom</w:t>
            </w:r>
          </w:p>
        </w:tc>
        <w:tc>
          <w:tcPr>
            <w:tcW w:w="967" w:type="dxa"/>
            <w:shd w:val="clear" w:color="auto" w:fill="auto"/>
          </w:tcPr>
          <w:p w14:paraId="5896F4AB"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8" w:type="dxa"/>
            <w:shd w:val="clear" w:color="auto" w:fill="auto"/>
          </w:tcPr>
          <w:p w14:paraId="32352C0C"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7" w:type="dxa"/>
            <w:shd w:val="clear" w:color="auto" w:fill="auto"/>
          </w:tcPr>
          <w:p w14:paraId="3CE79FBA"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968" w:type="dxa"/>
            <w:shd w:val="clear" w:color="auto" w:fill="auto"/>
          </w:tcPr>
          <w:p w14:paraId="1CE77478"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0</w:t>
            </w:r>
          </w:p>
        </w:tc>
        <w:tc>
          <w:tcPr>
            <w:tcW w:w="3258" w:type="dxa"/>
            <w:shd w:val="clear" w:color="auto" w:fill="auto"/>
          </w:tcPr>
          <w:p w14:paraId="766BE786" w14:textId="4B953ED3"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r w:rsidR="00B62A78" w:rsidRPr="00D62BF7" w14:paraId="21DD1F6C"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8D67C3B" w14:textId="77777777" w:rsidR="00B62A78" w:rsidRPr="00D62BF7" w:rsidRDefault="00B62A78" w:rsidP="00A32CC9">
            <w:pPr>
              <w:spacing w:line="360" w:lineRule="auto"/>
              <w:rPr>
                <w:rFonts w:ascii="Helvetica" w:hAnsi="Helvetica" w:cs="Helvetica"/>
                <w:sz w:val="20"/>
                <w:szCs w:val="20"/>
                <w:lang w:val="en-GB"/>
              </w:rPr>
            </w:pPr>
          </w:p>
          <w:p w14:paraId="3768D22E" w14:textId="77777777" w:rsidR="00B62A78" w:rsidRPr="00D62BF7" w:rsidRDefault="00B62A78" w:rsidP="00A32CC9">
            <w:pPr>
              <w:spacing w:line="360" w:lineRule="auto"/>
              <w:rPr>
                <w:rFonts w:ascii="Helvetica" w:hAnsi="Helvetica" w:cs="Helvetica"/>
                <w:sz w:val="20"/>
                <w:szCs w:val="20"/>
                <w:lang w:val="en-GB"/>
              </w:rPr>
            </w:pPr>
            <w:r w:rsidRPr="00D62BF7">
              <w:rPr>
                <w:rFonts w:ascii="Helvetica" w:hAnsi="Helvetica" w:cs="Helvetica"/>
                <w:sz w:val="20"/>
                <w:szCs w:val="20"/>
                <w:lang w:val="en-GB"/>
              </w:rPr>
              <w:t>Goaltenders</w:t>
            </w:r>
          </w:p>
        </w:tc>
        <w:tc>
          <w:tcPr>
            <w:tcW w:w="967" w:type="dxa"/>
            <w:shd w:val="clear" w:color="auto" w:fill="auto"/>
          </w:tcPr>
          <w:p w14:paraId="4B53F405"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pacing w:val="-1"/>
                <w:sz w:val="20"/>
                <w:szCs w:val="20"/>
                <w:lang w:val="en-GB"/>
              </w:rPr>
            </w:pPr>
          </w:p>
          <w:p w14:paraId="6EC53E54"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z w:val="20"/>
                <w:szCs w:val="20"/>
                <w:lang w:val="en-GB"/>
              </w:rPr>
            </w:pPr>
            <w:r w:rsidRPr="00D62BF7">
              <w:rPr>
                <w:rFonts w:ascii="Helvetica" w:hAnsi="Helvetica" w:cs="Helvetica"/>
                <w:b/>
                <w:sz w:val="20"/>
                <w:szCs w:val="20"/>
                <w:lang w:val="en-GB"/>
              </w:rPr>
              <w:t>Games</w:t>
            </w:r>
          </w:p>
        </w:tc>
        <w:tc>
          <w:tcPr>
            <w:tcW w:w="968" w:type="dxa"/>
            <w:shd w:val="clear" w:color="auto" w:fill="auto"/>
          </w:tcPr>
          <w:p w14:paraId="1FF5068B"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pacing w:val="-1"/>
                <w:sz w:val="20"/>
                <w:szCs w:val="20"/>
                <w:lang w:val="en-GB"/>
              </w:rPr>
            </w:pPr>
          </w:p>
          <w:p w14:paraId="1608B6E0"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z w:val="20"/>
                <w:szCs w:val="20"/>
                <w:lang w:val="en-GB"/>
              </w:rPr>
            </w:pPr>
            <w:r w:rsidRPr="00D62BF7">
              <w:rPr>
                <w:rFonts w:ascii="Helvetica" w:hAnsi="Helvetica" w:cs="Helvetica"/>
                <w:b/>
                <w:sz w:val="20"/>
                <w:szCs w:val="20"/>
                <w:lang w:val="en-GB"/>
              </w:rPr>
              <w:t>Wins</w:t>
            </w:r>
          </w:p>
        </w:tc>
        <w:tc>
          <w:tcPr>
            <w:tcW w:w="967" w:type="dxa"/>
            <w:shd w:val="clear" w:color="auto" w:fill="auto"/>
          </w:tcPr>
          <w:p w14:paraId="675C6193"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pacing w:val="-1"/>
                <w:sz w:val="20"/>
                <w:szCs w:val="20"/>
                <w:lang w:val="en-GB"/>
              </w:rPr>
            </w:pPr>
          </w:p>
          <w:p w14:paraId="5E183910"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z w:val="20"/>
                <w:szCs w:val="20"/>
                <w:lang w:val="en-GB"/>
              </w:rPr>
            </w:pPr>
            <w:r w:rsidRPr="00D62BF7">
              <w:rPr>
                <w:rFonts w:ascii="Helvetica" w:hAnsi="Helvetica" w:cs="Helvetica"/>
                <w:b/>
                <w:sz w:val="20"/>
                <w:szCs w:val="20"/>
                <w:lang w:val="en-GB"/>
              </w:rPr>
              <w:t>Losses</w:t>
            </w:r>
          </w:p>
        </w:tc>
        <w:tc>
          <w:tcPr>
            <w:tcW w:w="968" w:type="dxa"/>
            <w:shd w:val="clear" w:color="auto" w:fill="auto"/>
          </w:tcPr>
          <w:p w14:paraId="625213E5"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pacing w:val="-1"/>
                <w:sz w:val="20"/>
                <w:szCs w:val="20"/>
                <w:lang w:val="en-GB"/>
              </w:rPr>
            </w:pPr>
          </w:p>
          <w:p w14:paraId="01D2266A" w14:textId="1B4B16D8"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
                <w:sz w:val="20"/>
                <w:szCs w:val="20"/>
                <w:lang w:val="en-GB"/>
              </w:rPr>
            </w:pPr>
            <w:r w:rsidRPr="00D62BF7">
              <w:rPr>
                <w:rFonts w:ascii="Helvetica" w:hAnsi="Helvetica" w:cs="Helvetica"/>
                <w:b/>
                <w:sz w:val="20"/>
                <w:szCs w:val="20"/>
                <w:lang w:val="en-GB"/>
              </w:rPr>
              <w:t>GAA</w:t>
            </w:r>
          </w:p>
        </w:tc>
        <w:tc>
          <w:tcPr>
            <w:tcW w:w="3258" w:type="dxa"/>
            <w:shd w:val="clear" w:color="auto" w:fill="auto"/>
          </w:tcPr>
          <w:p w14:paraId="76186B66" w14:textId="77777777"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
                <w:sz w:val="20"/>
                <w:szCs w:val="20"/>
                <w:lang w:val="en-GB"/>
              </w:rPr>
            </w:pPr>
          </w:p>
        </w:tc>
      </w:tr>
      <w:tr w:rsidR="00B62A78" w:rsidRPr="00D62BF7" w14:paraId="14299EC7" w14:textId="77777777" w:rsidTr="004879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0B23EA"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Corey Crawford</w:t>
            </w:r>
          </w:p>
        </w:tc>
        <w:tc>
          <w:tcPr>
            <w:tcW w:w="967" w:type="dxa"/>
            <w:shd w:val="clear" w:color="auto" w:fill="auto"/>
          </w:tcPr>
          <w:p w14:paraId="356D8BE5" w14:textId="77777777" w:rsidR="00B62A78" w:rsidRPr="00D62BF7" w:rsidRDefault="00B62A78" w:rsidP="00084465">
            <w:pPr>
              <w:tabs>
                <w:tab w:val="decimal" w:pos="387"/>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20</w:t>
            </w:r>
          </w:p>
        </w:tc>
        <w:tc>
          <w:tcPr>
            <w:tcW w:w="968" w:type="dxa"/>
            <w:shd w:val="clear" w:color="auto" w:fill="auto"/>
          </w:tcPr>
          <w:p w14:paraId="469C9965" w14:textId="77777777" w:rsidR="00B62A78" w:rsidRPr="00D62BF7" w:rsidRDefault="00B62A78" w:rsidP="00084465">
            <w:pPr>
              <w:tabs>
                <w:tab w:val="decimal" w:pos="2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13</w:t>
            </w:r>
          </w:p>
        </w:tc>
        <w:tc>
          <w:tcPr>
            <w:tcW w:w="967" w:type="dxa"/>
            <w:shd w:val="clear" w:color="auto" w:fill="auto"/>
          </w:tcPr>
          <w:p w14:paraId="00B5A34B" w14:textId="77777777" w:rsidR="00B62A78" w:rsidRPr="00D62BF7" w:rsidRDefault="00B62A78" w:rsidP="00084465">
            <w:pPr>
              <w:tabs>
                <w:tab w:val="decimal" w:pos="295"/>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6</w:t>
            </w:r>
          </w:p>
        </w:tc>
        <w:tc>
          <w:tcPr>
            <w:tcW w:w="968" w:type="dxa"/>
            <w:shd w:val="clear" w:color="auto" w:fill="auto"/>
          </w:tcPr>
          <w:p w14:paraId="5346216D" w14:textId="77777777" w:rsidR="00B62A78" w:rsidRPr="00D62BF7" w:rsidRDefault="00B62A78" w:rsidP="00084465">
            <w:pPr>
              <w:tabs>
                <w:tab w:val="decimal" w:pos="3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2.31</w:t>
            </w:r>
          </w:p>
        </w:tc>
        <w:tc>
          <w:tcPr>
            <w:tcW w:w="3258" w:type="dxa"/>
            <w:shd w:val="clear" w:color="auto" w:fill="auto"/>
          </w:tcPr>
          <w:p w14:paraId="447D40BE" w14:textId="3797FA5F" w:rsidR="00B62A78" w:rsidRPr="00D62BF7" w:rsidRDefault="00B62A78" w:rsidP="00A32CC9">
            <w:pPr>
              <w:spacing w:line="360"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
                <w:sz w:val="20"/>
                <w:szCs w:val="20"/>
                <w:lang w:val="en-GB"/>
              </w:rPr>
            </w:pPr>
            <w:r w:rsidRPr="00D62BF7">
              <w:rPr>
                <w:rFonts w:ascii="Helvetica" w:hAnsi="Helvetica" w:cs="Helvetica"/>
                <w:sz w:val="20"/>
                <w:szCs w:val="20"/>
                <w:lang w:val="en-GB"/>
              </w:rPr>
              <w:t>Signed through 2019</w:t>
            </w:r>
            <w:r w:rsidR="00D278F7">
              <w:rPr>
                <w:rFonts w:ascii="Helvetica" w:hAnsi="Helvetica" w:cs="Helvetica"/>
                <w:sz w:val="20"/>
                <w:szCs w:val="20"/>
                <w:lang w:val="en-GB"/>
              </w:rPr>
              <w:t>–</w:t>
            </w:r>
            <w:r w:rsidRPr="00D62BF7">
              <w:rPr>
                <w:rFonts w:ascii="Helvetica" w:hAnsi="Helvetica" w:cs="Helvetica"/>
                <w:sz w:val="20"/>
                <w:szCs w:val="20"/>
                <w:lang w:val="en-GB"/>
              </w:rPr>
              <w:t>20</w:t>
            </w:r>
          </w:p>
        </w:tc>
      </w:tr>
      <w:tr w:rsidR="00B62A78" w:rsidRPr="00D62BF7" w14:paraId="47EAB341" w14:textId="77777777" w:rsidTr="00487918">
        <w:trPr>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BBD0566" w14:textId="77777777" w:rsidR="00B62A78" w:rsidRPr="00D62BF7" w:rsidRDefault="00B62A78" w:rsidP="00A32CC9">
            <w:pPr>
              <w:spacing w:line="360" w:lineRule="auto"/>
              <w:rPr>
                <w:rFonts w:ascii="Helvetica" w:hAnsi="Helvetica" w:cs="Helvetica"/>
                <w:b w:val="0"/>
                <w:sz w:val="20"/>
                <w:szCs w:val="20"/>
                <w:lang w:val="en-GB"/>
              </w:rPr>
            </w:pPr>
            <w:r w:rsidRPr="00D62BF7">
              <w:rPr>
                <w:rFonts w:ascii="Helvetica" w:hAnsi="Helvetica" w:cs="Helvetica"/>
                <w:b w:val="0"/>
                <w:sz w:val="20"/>
                <w:szCs w:val="20"/>
                <w:lang w:val="en-GB"/>
              </w:rPr>
              <w:t>Scott Darling</w:t>
            </w:r>
          </w:p>
        </w:tc>
        <w:tc>
          <w:tcPr>
            <w:tcW w:w="967" w:type="dxa"/>
            <w:shd w:val="clear" w:color="auto" w:fill="auto"/>
          </w:tcPr>
          <w:p w14:paraId="3D84CA02" w14:textId="77777777" w:rsidR="00B62A78" w:rsidRPr="00D62BF7" w:rsidRDefault="00B62A78" w:rsidP="00084465">
            <w:pPr>
              <w:tabs>
                <w:tab w:val="decimal" w:pos="387"/>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5</w:t>
            </w:r>
          </w:p>
        </w:tc>
        <w:tc>
          <w:tcPr>
            <w:tcW w:w="968" w:type="dxa"/>
            <w:shd w:val="clear" w:color="auto" w:fill="auto"/>
          </w:tcPr>
          <w:p w14:paraId="2A469228" w14:textId="77777777" w:rsidR="00B62A78" w:rsidRPr="00D62BF7" w:rsidRDefault="00B62A78" w:rsidP="00084465">
            <w:pPr>
              <w:tabs>
                <w:tab w:val="decimal" w:pos="271"/>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3</w:t>
            </w:r>
          </w:p>
        </w:tc>
        <w:tc>
          <w:tcPr>
            <w:tcW w:w="967" w:type="dxa"/>
            <w:shd w:val="clear" w:color="auto" w:fill="auto"/>
          </w:tcPr>
          <w:p w14:paraId="7061E3CB" w14:textId="77777777" w:rsidR="00B62A78" w:rsidRPr="00D62BF7" w:rsidRDefault="00B62A78" w:rsidP="00084465">
            <w:pPr>
              <w:tabs>
                <w:tab w:val="decimal" w:pos="295"/>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w:t>
            </w:r>
          </w:p>
        </w:tc>
        <w:tc>
          <w:tcPr>
            <w:tcW w:w="968" w:type="dxa"/>
            <w:shd w:val="clear" w:color="auto" w:fill="auto"/>
          </w:tcPr>
          <w:p w14:paraId="766CC5B9" w14:textId="77777777" w:rsidR="00B62A78" w:rsidRPr="00D62BF7" w:rsidRDefault="00B62A78" w:rsidP="00084465">
            <w:pPr>
              <w:tabs>
                <w:tab w:val="decimal" w:pos="3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GB"/>
              </w:rPr>
            </w:pPr>
            <w:r w:rsidRPr="00D62BF7">
              <w:rPr>
                <w:rFonts w:ascii="Helvetica" w:hAnsi="Helvetica" w:cs="Helvetica"/>
                <w:sz w:val="20"/>
                <w:szCs w:val="20"/>
                <w:lang w:val="en-GB"/>
              </w:rPr>
              <w:t>11</w:t>
            </w:r>
          </w:p>
        </w:tc>
        <w:tc>
          <w:tcPr>
            <w:tcW w:w="3258" w:type="dxa"/>
            <w:shd w:val="clear" w:color="auto" w:fill="auto"/>
          </w:tcPr>
          <w:p w14:paraId="45EA4876" w14:textId="5C6CE08F" w:rsidR="00B62A78" w:rsidRPr="00D62BF7" w:rsidRDefault="00B62A78" w:rsidP="00A32CC9">
            <w:pPr>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
                <w:sz w:val="20"/>
                <w:szCs w:val="20"/>
                <w:lang w:val="en-GB"/>
              </w:rPr>
            </w:pPr>
            <w:r w:rsidRPr="00D62BF7">
              <w:rPr>
                <w:rFonts w:ascii="Helvetica" w:hAnsi="Helvetica" w:cs="Helvetica"/>
                <w:b/>
                <w:sz w:val="20"/>
                <w:szCs w:val="20"/>
                <w:lang w:val="en-GB"/>
              </w:rPr>
              <w:t>No contract</w:t>
            </w:r>
            <w:r w:rsidRPr="00D62BF7">
              <w:rPr>
                <w:rFonts w:ascii="Helvetica" w:hAnsi="Helvetica" w:cs="Helvetica"/>
                <w:sz w:val="20"/>
                <w:szCs w:val="20"/>
                <w:lang w:val="en-GB"/>
              </w:rPr>
              <w:t xml:space="preserve"> for 2015</w:t>
            </w:r>
            <w:r w:rsidR="00D278F7">
              <w:rPr>
                <w:rFonts w:ascii="Helvetica" w:hAnsi="Helvetica" w:cs="Helvetica"/>
                <w:sz w:val="20"/>
                <w:szCs w:val="20"/>
                <w:lang w:val="en-GB"/>
              </w:rPr>
              <w:t>–</w:t>
            </w:r>
            <w:r w:rsidRPr="00D62BF7">
              <w:rPr>
                <w:rFonts w:ascii="Helvetica" w:hAnsi="Helvetica" w:cs="Helvetica"/>
                <w:sz w:val="20"/>
                <w:szCs w:val="20"/>
                <w:lang w:val="en-GB"/>
              </w:rPr>
              <w:t>16</w:t>
            </w:r>
          </w:p>
        </w:tc>
      </w:tr>
    </w:tbl>
    <w:p w14:paraId="11EB9D08" w14:textId="77777777" w:rsidR="00B62A78" w:rsidRPr="00D62BF7" w:rsidRDefault="00B62A78" w:rsidP="00EC1B66">
      <w:pPr>
        <w:pStyle w:val="FootnoteText1"/>
        <w:rPr>
          <w:lang w:val="en-GB"/>
        </w:rPr>
      </w:pPr>
    </w:p>
    <w:p w14:paraId="61C0D007" w14:textId="126C0B12" w:rsidR="0047717E" w:rsidRDefault="0047717E" w:rsidP="00EC1B66">
      <w:pPr>
        <w:pStyle w:val="FootnoteText1"/>
        <w:rPr>
          <w:lang w:val="en-GB"/>
        </w:rPr>
      </w:pPr>
      <w:r>
        <w:rPr>
          <w:lang w:val="en-GB"/>
        </w:rPr>
        <w:t xml:space="preserve">Note: </w:t>
      </w:r>
      <w:r w:rsidRPr="00D62BF7">
        <w:rPr>
          <w:lang w:val="en-GB"/>
        </w:rPr>
        <w:t>GAA</w:t>
      </w:r>
      <w:r>
        <w:rPr>
          <w:lang w:val="en-GB"/>
        </w:rPr>
        <w:t xml:space="preserve"> = g</w:t>
      </w:r>
      <w:r w:rsidRPr="00D62BF7">
        <w:rPr>
          <w:lang w:val="en-GB"/>
        </w:rPr>
        <w:t xml:space="preserve">oals </w:t>
      </w:r>
      <w:r>
        <w:rPr>
          <w:lang w:val="en-GB"/>
        </w:rPr>
        <w:t>a</w:t>
      </w:r>
      <w:r w:rsidRPr="00D62BF7">
        <w:rPr>
          <w:lang w:val="en-GB"/>
        </w:rPr>
        <w:t xml:space="preserve">gainst </w:t>
      </w:r>
      <w:r>
        <w:rPr>
          <w:lang w:val="en-GB"/>
        </w:rPr>
        <w:t>a</w:t>
      </w:r>
      <w:r w:rsidRPr="00D62BF7">
        <w:rPr>
          <w:lang w:val="en-GB"/>
        </w:rPr>
        <w:t>verage</w:t>
      </w:r>
    </w:p>
    <w:p w14:paraId="16F3FC46" w14:textId="1D92C8F9" w:rsidR="00B62A78" w:rsidRPr="00D62BF7" w:rsidRDefault="00B62A78" w:rsidP="00EC1B66">
      <w:pPr>
        <w:pStyle w:val="FootnoteText1"/>
        <w:rPr>
          <w:lang w:val="en-GB"/>
        </w:rPr>
      </w:pPr>
      <w:r w:rsidRPr="00D62BF7">
        <w:rPr>
          <w:lang w:val="en-GB"/>
        </w:rPr>
        <w:t xml:space="preserve">Source: Created by author using information from </w:t>
      </w:r>
      <w:r w:rsidR="00D278F7">
        <w:rPr>
          <w:lang w:val="en-GB"/>
        </w:rPr>
        <w:t xml:space="preserve">National Hockey League, </w:t>
      </w:r>
      <w:r w:rsidR="00873B21">
        <w:rPr>
          <w:lang w:val="en-GB"/>
        </w:rPr>
        <w:t xml:space="preserve">“Statistics,” </w:t>
      </w:r>
      <w:r w:rsidR="00BB52EC">
        <w:rPr>
          <w:lang w:val="en-GB"/>
        </w:rPr>
        <w:t xml:space="preserve">accessed May 28, 2017, </w:t>
      </w:r>
      <w:r w:rsidR="00873B21" w:rsidRPr="00873B21">
        <w:t>www.nhl.com/stats/player?aggregate=0&amp;gameType=3&amp;report=skatersummary&amp;teamId=16&amp;pos=S&amp;reportType=season&amp;seasonFrom=20142015&amp;seasonTo=20142015&amp;filter=gamesPlayed,gte,1&amp;sort=points,goals,assists</w:t>
      </w:r>
      <w:r w:rsidR="00BB52EC">
        <w:rPr>
          <w:lang w:val="en-GB"/>
        </w:rPr>
        <w:t>;</w:t>
      </w:r>
      <w:r w:rsidRPr="00D62BF7">
        <w:rPr>
          <w:lang w:val="en-GB"/>
        </w:rPr>
        <w:t xml:space="preserve"> </w:t>
      </w:r>
      <w:proofErr w:type="spellStart"/>
      <w:r w:rsidR="00A55631">
        <w:rPr>
          <w:lang w:val="en-GB"/>
        </w:rPr>
        <w:t>CapFriendly</w:t>
      </w:r>
      <w:proofErr w:type="spellEnd"/>
      <w:r w:rsidR="00A55631">
        <w:rPr>
          <w:lang w:val="en-GB"/>
        </w:rPr>
        <w:t>, accessed May 28, 2017,</w:t>
      </w:r>
      <w:r w:rsidRPr="00D62BF7">
        <w:rPr>
          <w:lang w:val="en-GB"/>
        </w:rPr>
        <w:t xml:space="preserve"> </w:t>
      </w:r>
      <w:r w:rsidR="00A55631">
        <w:rPr>
          <w:lang w:val="en-GB"/>
        </w:rPr>
        <w:t>www.</w:t>
      </w:r>
      <w:r w:rsidRPr="00D62BF7">
        <w:rPr>
          <w:lang w:val="en-GB"/>
        </w:rPr>
        <w:t>capfriendly.com</w:t>
      </w:r>
      <w:r w:rsidR="00873B21">
        <w:rPr>
          <w:lang w:val="en-GB"/>
        </w:rPr>
        <w:t>.</w:t>
      </w:r>
    </w:p>
    <w:p w14:paraId="0E840004" w14:textId="77777777" w:rsidR="00341ED5" w:rsidRPr="00D62BF7" w:rsidRDefault="00341ED5">
      <w:pPr>
        <w:rPr>
          <w:spacing w:val="-1"/>
          <w:sz w:val="22"/>
          <w:szCs w:val="22"/>
          <w:lang w:val="en-GB"/>
        </w:rPr>
      </w:pPr>
    </w:p>
    <w:sectPr w:rsidR="00341ED5" w:rsidRPr="00D62BF7" w:rsidSect="00BD2E29">
      <w:headerReference w:type="default" r:id="rId13"/>
      <w:endnotePr>
        <w:numFmt w:val="decimal"/>
      </w:endnotePr>
      <w:type w:val="continuous"/>
      <w:pgSz w:w="12240" w:h="15840" w:code="1"/>
      <w:pgMar w:top="1080" w:right="1440" w:bottom="1440" w:left="1440" w:header="1080" w:footer="720" w:gutter="0"/>
      <w:cols w:space="720"/>
      <w:formProt w:val="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BF3624" w15:done="0"/>
  <w15:commentEx w15:paraId="548A5482" w15:done="0"/>
  <w15:commentEx w15:paraId="2388F795" w15:done="0"/>
  <w15:commentEx w15:paraId="398AD5E9" w15:done="0"/>
  <w15:commentEx w15:paraId="6201F754" w15:done="0"/>
  <w15:commentEx w15:paraId="3D362672" w15:done="0"/>
  <w15:commentEx w15:paraId="59F9744F" w15:done="0"/>
  <w15:commentEx w15:paraId="6744333F" w15:done="0"/>
  <w15:commentEx w15:paraId="033288AF" w15:done="0"/>
  <w15:commentEx w15:paraId="5D42C001" w15:done="0"/>
  <w15:commentEx w15:paraId="6F1802D5" w15:done="0"/>
  <w15:commentEx w15:paraId="58FFB619" w15:done="0"/>
  <w15:commentEx w15:paraId="006B0895" w15:done="0"/>
  <w15:commentEx w15:paraId="344D5FA4" w15:done="0"/>
  <w15:commentEx w15:paraId="124303B3" w15:done="0"/>
  <w15:commentEx w15:paraId="74A0B982" w15:done="0"/>
  <w15:commentEx w15:paraId="7C725011" w15:done="0"/>
  <w15:commentEx w15:paraId="5E1DA1BB" w15:done="0"/>
  <w15:commentEx w15:paraId="5C1D220E" w15:done="0"/>
  <w15:commentEx w15:paraId="3EB38D22" w15:done="0"/>
  <w15:commentEx w15:paraId="31344E75" w15:done="0"/>
  <w15:commentEx w15:paraId="4C5F7F88" w15:done="0"/>
  <w15:commentEx w15:paraId="362256FD" w15:done="0"/>
  <w15:commentEx w15:paraId="4915C9AF" w15:done="0"/>
  <w15:commentEx w15:paraId="589EFC2D" w15:done="0"/>
  <w15:commentEx w15:paraId="5FD8BED5" w15:done="0"/>
  <w15:commentEx w15:paraId="3E4118EC" w15:done="0"/>
  <w15:commentEx w15:paraId="6E71A70D" w15:done="0"/>
  <w15:commentEx w15:paraId="21CD98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6449D" w14:textId="77777777" w:rsidR="002C0AB3" w:rsidRDefault="002C0AB3">
      <w:r>
        <w:separator/>
      </w:r>
    </w:p>
  </w:endnote>
  <w:endnote w:type="continuationSeparator" w:id="0">
    <w:p w14:paraId="70E2947F" w14:textId="77777777" w:rsidR="002C0AB3" w:rsidRDefault="002C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33BCD" w14:textId="77777777" w:rsidR="002C0AB3" w:rsidRDefault="002C0AB3">
      <w:r>
        <w:separator/>
      </w:r>
    </w:p>
  </w:footnote>
  <w:footnote w:type="continuationSeparator" w:id="0">
    <w:p w14:paraId="0776BFF8" w14:textId="77777777" w:rsidR="002C0AB3" w:rsidRDefault="002C0AB3">
      <w:r>
        <w:continuationSeparator/>
      </w:r>
    </w:p>
  </w:footnote>
  <w:footnote w:id="1">
    <w:p w14:paraId="3FFACA87" w14:textId="77777777" w:rsidR="002C0AB3" w:rsidRDefault="002C0AB3" w:rsidP="00143940">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the National Hockey League or any of its employees.</w:t>
      </w:r>
    </w:p>
  </w:footnote>
  <w:footnote w:id="2">
    <w:p w14:paraId="133874F0" w14:textId="77777777" w:rsidR="002C0AB3" w:rsidRPr="00817CDF" w:rsidRDefault="002C0AB3">
      <w:pPr>
        <w:pStyle w:val="FootnoteText"/>
        <w:rPr>
          <w:rFonts w:ascii="Arial" w:hAnsi="Arial" w:cs="Arial"/>
          <w:sz w:val="17"/>
          <w:szCs w:val="17"/>
          <w:lang w:val="en-CA"/>
        </w:rPr>
      </w:pPr>
      <w:r w:rsidRPr="00817CDF">
        <w:rPr>
          <w:rStyle w:val="FootnoteReference"/>
          <w:rFonts w:ascii="Arial" w:hAnsi="Arial" w:cs="Arial"/>
          <w:sz w:val="17"/>
          <w:szCs w:val="17"/>
        </w:rPr>
        <w:footnoteRef/>
      </w:r>
      <w:r w:rsidRPr="00817CDF">
        <w:rPr>
          <w:rFonts w:ascii="Arial" w:hAnsi="Arial" w:cs="Arial"/>
          <w:sz w:val="17"/>
          <w:szCs w:val="17"/>
        </w:rPr>
        <w:t xml:space="preserve"> </w:t>
      </w:r>
      <w:r w:rsidRPr="00817CDF">
        <w:rPr>
          <w:rFonts w:ascii="Arial" w:hAnsi="Arial" w:cs="Arial"/>
          <w:sz w:val="17"/>
          <w:szCs w:val="17"/>
          <w:lang w:val="en-CA"/>
        </w:rPr>
        <w:t>All currency amounts are in US$ unless otherwise specified.</w:t>
      </w:r>
    </w:p>
  </w:footnote>
  <w:footnote w:id="3">
    <w:p w14:paraId="77EAD122" w14:textId="2334C2CA" w:rsidR="002C0AB3" w:rsidRDefault="002C0AB3" w:rsidP="00143940">
      <w:pPr>
        <w:pStyle w:val="FootnoteText1"/>
      </w:pPr>
      <w:r>
        <w:rPr>
          <w:rStyle w:val="FootnoteReference"/>
        </w:rPr>
        <w:footnoteRef/>
      </w:r>
      <w:r>
        <w:t xml:space="preserve"> National Hockey League, </w:t>
      </w:r>
      <w:r w:rsidRPr="00753C23">
        <w:rPr>
          <w:i/>
        </w:rPr>
        <w:t xml:space="preserve">Collective Bargaining Agreement </w:t>
      </w:r>
      <w:r>
        <w:rPr>
          <w:i/>
        </w:rPr>
        <w:t>b</w:t>
      </w:r>
      <w:r w:rsidRPr="00753C23">
        <w:rPr>
          <w:i/>
        </w:rPr>
        <w:t>etween National Hockey League and National Hockey League Players’ Association</w:t>
      </w:r>
      <w:r>
        <w:rPr>
          <w:i/>
        </w:rPr>
        <w:t>: September 16, 2012–September 15, 2022</w:t>
      </w:r>
      <w:r>
        <w:t xml:space="preserve">, 51, February 15, 2013, accessed April 26, 2017, </w:t>
      </w:r>
      <w:r w:rsidRPr="0052529A">
        <w:t>www.nhl.com/nhl/en/v3/ext/CBA2012/NHL_NHLPA_2013_CBA.pdf</w:t>
      </w:r>
      <w:r>
        <w:t>.</w:t>
      </w:r>
    </w:p>
  </w:footnote>
  <w:footnote w:id="4">
    <w:p w14:paraId="0665FD2A" w14:textId="02921C82" w:rsidR="002C0AB3" w:rsidRDefault="002C0AB3" w:rsidP="00143940">
      <w:pPr>
        <w:pStyle w:val="FootnoteText1"/>
      </w:pPr>
      <w:r>
        <w:rPr>
          <w:rStyle w:val="FootnoteReference"/>
        </w:rPr>
        <w:footnoteRef/>
      </w:r>
      <w:r>
        <w:t xml:space="preserve"> </w:t>
      </w:r>
      <w:proofErr w:type="gramStart"/>
      <w:r>
        <w:t>“</w:t>
      </w:r>
      <w:r w:rsidRPr="007941EA">
        <w:t>National Hockey League Collective Bargaining Agreement</w:t>
      </w:r>
      <w:r>
        <w:t xml:space="preserve">—1993–2004: Article 14, Player Assignments,” LetsGoPens.com, accessed April 26, 2017, </w:t>
      </w:r>
      <w:r w:rsidRPr="006850D2">
        <w:t>http://letsgopens.com/nhl_cba-old.php?id=1</w:t>
      </w:r>
      <w:r>
        <w:t>4.</w:t>
      </w:r>
      <w:proofErr w:type="gramEnd"/>
      <w:r>
        <w:t xml:space="preserve"> </w:t>
      </w:r>
    </w:p>
  </w:footnote>
  <w:footnote w:id="5">
    <w:p w14:paraId="11ADF8D2" w14:textId="560B6CFA" w:rsidR="002C0AB3" w:rsidRDefault="002C0AB3" w:rsidP="00143940">
      <w:pPr>
        <w:pStyle w:val="FootnoteText1"/>
      </w:pPr>
      <w:r>
        <w:rPr>
          <w:rStyle w:val="FootnoteReference"/>
        </w:rPr>
        <w:footnoteRef/>
      </w:r>
      <w:r>
        <w:t xml:space="preserve"> Michael Grange, “Where Does the NHL Want McDavid to Land</w:t>
      </w:r>
      <w:proofErr w:type="gramStart"/>
      <w:r>
        <w:t>?,</w:t>
      </w:r>
      <w:proofErr w:type="gramEnd"/>
      <w:r>
        <w:t xml:space="preserve">” </w:t>
      </w:r>
      <w:proofErr w:type="spellStart"/>
      <w:r w:rsidRPr="007941EA">
        <w:t>Sports</w:t>
      </w:r>
      <w:r>
        <w:t>N</w:t>
      </w:r>
      <w:r w:rsidRPr="007941EA">
        <w:t>et</w:t>
      </w:r>
      <w:proofErr w:type="spellEnd"/>
      <w:r>
        <w:t xml:space="preserve">, February 26, 2015, accessed April 26, 2017, </w:t>
      </w:r>
      <w:r w:rsidRPr="00E81AE7">
        <w:t>www.sportsnet.ca/hockey/nhl/nhl-want-mcdavid-land/</w:t>
      </w:r>
      <w:r>
        <w:t>.</w:t>
      </w:r>
    </w:p>
  </w:footnote>
  <w:footnote w:id="6">
    <w:p w14:paraId="5A2F4B7B" w14:textId="3154272E" w:rsidR="002C0AB3" w:rsidRDefault="002C0AB3" w:rsidP="00143940">
      <w:pPr>
        <w:pStyle w:val="FootnoteText1"/>
      </w:pPr>
      <w:r>
        <w:rPr>
          <w:rStyle w:val="FootnoteReference"/>
        </w:rPr>
        <w:footnoteRef/>
      </w:r>
      <w:r>
        <w:t xml:space="preserve"> NHL revenue for the 2013–14 </w:t>
      </w:r>
      <w:proofErr w:type="gramStart"/>
      <w:r>
        <w:t>season</w:t>
      </w:r>
      <w:proofErr w:type="gramEnd"/>
      <w:r>
        <w:t xml:space="preserve"> was $3.7 billion. Source: James </w:t>
      </w:r>
      <w:proofErr w:type="spellStart"/>
      <w:r>
        <w:t>Mirtle</w:t>
      </w:r>
      <w:proofErr w:type="spellEnd"/>
      <w:r>
        <w:t xml:space="preserve">, “Report: NHL Revenues to Hit Record $3.7-billion,” </w:t>
      </w:r>
      <w:r w:rsidRPr="00895F1F">
        <w:rPr>
          <w:i/>
        </w:rPr>
        <w:t>Globe and Mail</w:t>
      </w:r>
      <w:r>
        <w:t xml:space="preserve">, June 9, 2014, accessed April 26, 2017, </w:t>
      </w:r>
      <w:r w:rsidRPr="00A223C4">
        <w:t>www.theglobeandmail.com/sports/hockey/globe-on-hockey/report-nhl-revenues-to-hit-record-37-billion/article19080171</w:t>
      </w:r>
      <w:r>
        <w:t>.</w:t>
      </w:r>
    </w:p>
  </w:footnote>
  <w:footnote w:id="7">
    <w:p w14:paraId="636F9A8D" w14:textId="046FDD1E" w:rsidR="002C0AB3" w:rsidRDefault="002C0AB3" w:rsidP="00143940">
      <w:pPr>
        <w:pStyle w:val="FootnoteText1"/>
      </w:pPr>
      <w:r>
        <w:rPr>
          <w:rStyle w:val="FootnoteReference"/>
        </w:rPr>
        <w:footnoteRef/>
      </w:r>
      <w:r>
        <w:t xml:space="preserve"> James </w:t>
      </w:r>
      <w:proofErr w:type="spellStart"/>
      <w:r>
        <w:t>Mirtle</w:t>
      </w:r>
      <w:proofErr w:type="spellEnd"/>
      <w:r>
        <w:t xml:space="preserve">, “Rogers Mega TV Deal to Boost NHL Salary Cap,” </w:t>
      </w:r>
      <w:r w:rsidRPr="00895F1F">
        <w:rPr>
          <w:i/>
        </w:rPr>
        <w:t>Globe and Mail</w:t>
      </w:r>
      <w:r>
        <w:t xml:space="preserve">, November 27, 2013, accessed April 26, 2017, </w:t>
      </w:r>
      <w:r w:rsidRPr="005C5524">
        <w:t>www.theglobeandmail.com/sports/hockey/globe-on-hockey/mirtle-how-the-nhls-salary-cap-will-jump-10-million-in-two-years/article15627506</w:t>
      </w:r>
      <w:r>
        <w:t>.</w:t>
      </w:r>
    </w:p>
  </w:footnote>
  <w:footnote w:id="8">
    <w:p w14:paraId="4B891081" w14:textId="52826D5D" w:rsidR="002C0AB3" w:rsidRDefault="002C0AB3" w:rsidP="00143940">
      <w:pPr>
        <w:pStyle w:val="FootnoteText1"/>
      </w:pPr>
      <w:r>
        <w:rPr>
          <w:rStyle w:val="FootnoteReference"/>
        </w:rPr>
        <w:footnoteRef/>
      </w:r>
      <w:r>
        <w:t xml:space="preserve"> The ranking was done by the Canadian television broadcaster The Sports Network (TSN) prior to the 2014–15 </w:t>
      </w:r>
      <w:proofErr w:type="gramStart"/>
      <w:r>
        <w:t>season</w:t>
      </w:r>
      <w:proofErr w:type="gramEnd"/>
      <w:r>
        <w:t xml:space="preserve">, which polled league general managers, coaches, and TSN experts. Source: Steve Dryden, “Crosby Tops TSN Hockey’s Top 50 NHL Players,” </w:t>
      </w:r>
      <w:r w:rsidRPr="007941EA">
        <w:t>T</w:t>
      </w:r>
      <w:r>
        <w:t xml:space="preserve">he </w:t>
      </w:r>
      <w:r w:rsidRPr="007941EA">
        <w:t>S</w:t>
      </w:r>
      <w:r>
        <w:t xml:space="preserve">ports </w:t>
      </w:r>
      <w:r w:rsidRPr="007941EA">
        <w:t>N</w:t>
      </w:r>
      <w:r>
        <w:t xml:space="preserve">etwork, September 29, 2014, accessed April 26, 2017, </w:t>
      </w:r>
      <w:r w:rsidRPr="005C5524">
        <w:t>www.tsn.ca/crosby-tops-tsn-hockey-s-top-50-nhl-players-1.94060</w:t>
      </w:r>
      <w:r>
        <w:t>.</w:t>
      </w:r>
    </w:p>
  </w:footnote>
  <w:footnote w:id="9">
    <w:p w14:paraId="644AF350" w14:textId="528DF1B2" w:rsidR="002C0AB3" w:rsidRPr="00084465" w:rsidRDefault="002C0AB3" w:rsidP="00143940">
      <w:pPr>
        <w:pStyle w:val="FootnoteText1"/>
      </w:pPr>
      <w:r>
        <w:rPr>
          <w:rStyle w:val="FootnoteReference"/>
        </w:rPr>
        <w:footnoteRef/>
      </w:r>
      <w:r>
        <w:t xml:space="preserve"> “Petroleum &amp; Other Liquids,” U.S. Energy Information Administration, accessed May 26, 2017, </w:t>
      </w:r>
      <w:r w:rsidRPr="00084465">
        <w:t>www.eia.gov/dnav/pet/pet_pri_spt_s1_a.htm</w:t>
      </w:r>
      <w:r>
        <w:t>.</w:t>
      </w:r>
    </w:p>
  </w:footnote>
  <w:footnote w:id="10">
    <w:p w14:paraId="2A6524B9" w14:textId="7609A406" w:rsidR="002C0AB3" w:rsidRDefault="002C0AB3" w:rsidP="00143940">
      <w:pPr>
        <w:pStyle w:val="FootnoteText1"/>
      </w:pPr>
      <w:r>
        <w:rPr>
          <w:rStyle w:val="FootnoteReference"/>
        </w:rPr>
        <w:footnoteRef/>
      </w:r>
      <w:r>
        <w:t xml:space="preserve"> Chris Mooney, “A Simple Guide to the Sudden Collapse in Oil Prices,” </w:t>
      </w:r>
      <w:r w:rsidRPr="00895F1F">
        <w:rPr>
          <w:i/>
        </w:rPr>
        <w:t>Washington Post</w:t>
      </w:r>
      <w:r>
        <w:t xml:space="preserve">, December 1, 2014, accessed April 26, 2017, </w:t>
      </w:r>
      <w:r w:rsidRPr="007671DA">
        <w:t>www.washingtonpost.com/news/wonk/wp/2014/11/28/a-simple-guide-to-the-sudden-collapse-in-oil-prices/?utm_term=.70df8328bd1e</w:t>
      </w:r>
      <w:r>
        <w:t>.</w:t>
      </w:r>
    </w:p>
  </w:footnote>
  <w:footnote w:id="11">
    <w:p w14:paraId="053E8CD3" w14:textId="2786D7D1" w:rsidR="002C0AB3" w:rsidRDefault="002C0AB3" w:rsidP="00143940">
      <w:pPr>
        <w:pStyle w:val="FootnoteText1"/>
      </w:pPr>
      <w:r>
        <w:rPr>
          <w:rStyle w:val="FootnoteReference"/>
        </w:rPr>
        <w:footnoteRef/>
      </w:r>
      <w:r>
        <w:t xml:space="preserve"> Alex Lawler, </w:t>
      </w:r>
      <w:proofErr w:type="spellStart"/>
      <w:r>
        <w:t>Amena</w:t>
      </w:r>
      <w:proofErr w:type="spellEnd"/>
      <w:r>
        <w:t xml:space="preserve"> Bakr, and Dmitry </w:t>
      </w:r>
      <w:proofErr w:type="spellStart"/>
      <w:r>
        <w:t>Zhdannikov</w:t>
      </w:r>
      <w:proofErr w:type="spellEnd"/>
      <w:r>
        <w:t xml:space="preserve">, “Inside OPEC Room, </w:t>
      </w:r>
      <w:proofErr w:type="spellStart"/>
      <w:r>
        <w:t>Naimi</w:t>
      </w:r>
      <w:proofErr w:type="spellEnd"/>
      <w:r>
        <w:t xml:space="preserve"> Declares Price War on U.S. Shale Oil,” </w:t>
      </w:r>
      <w:r w:rsidRPr="00895F1F">
        <w:rPr>
          <w:i/>
        </w:rPr>
        <w:t>Reuters</w:t>
      </w:r>
      <w:r>
        <w:t xml:space="preserve">, November 28, 2014, accessed April 26, 2017, </w:t>
      </w:r>
      <w:r w:rsidRPr="00060B6A">
        <w:t>www.reuters.com/article/us-opec-meeting-shale-idUSKCN0JC1GK20141128</w:t>
      </w:r>
      <w:r>
        <w:t>.</w:t>
      </w:r>
    </w:p>
  </w:footnote>
  <w:footnote w:id="12">
    <w:p w14:paraId="4BAD364B" w14:textId="2A7E0E8F" w:rsidR="002C0AB3" w:rsidRDefault="002C0AB3" w:rsidP="00143940">
      <w:pPr>
        <w:pStyle w:val="FootnoteText1"/>
      </w:pPr>
      <w:r>
        <w:rPr>
          <w:rStyle w:val="FootnoteReference"/>
        </w:rPr>
        <w:footnoteRef/>
      </w:r>
      <w:r>
        <w:t xml:space="preserve"> At the time, Saudi Arabia had the lowest cost of production in the world. Source: James </w:t>
      </w:r>
      <w:proofErr w:type="spellStart"/>
      <w:r>
        <w:t>Jukwey</w:t>
      </w:r>
      <w:proofErr w:type="spellEnd"/>
      <w:r>
        <w:t xml:space="preserve">, “FACTBOX—Oil Production Cost Estimates by Country,” </w:t>
      </w:r>
      <w:r w:rsidRPr="00A03263">
        <w:rPr>
          <w:i/>
        </w:rPr>
        <w:t>Reuters</w:t>
      </w:r>
      <w:r>
        <w:t xml:space="preserve">, July 28, 2009, accessed April 26, 2017, </w:t>
      </w:r>
      <w:r w:rsidRPr="00A03263">
        <w:t>www.reuters.com/article/oil-cost-factbox-idUSLS12407420090728</w:t>
      </w:r>
      <w:r>
        <w:t>.</w:t>
      </w:r>
    </w:p>
  </w:footnote>
  <w:footnote w:id="13">
    <w:p w14:paraId="4F08CB90" w14:textId="20125106" w:rsidR="002C0AB3" w:rsidRDefault="002C0AB3" w:rsidP="00143940">
      <w:pPr>
        <w:pStyle w:val="FootnoteText1"/>
      </w:pPr>
      <w:r>
        <w:rPr>
          <w:rStyle w:val="FootnoteReference"/>
        </w:rPr>
        <w:footnoteRef/>
      </w:r>
      <w:r>
        <w:t xml:space="preserve"> John </w:t>
      </w:r>
      <w:proofErr w:type="spellStart"/>
      <w:r>
        <w:t>Defterios</w:t>
      </w:r>
      <w:proofErr w:type="spellEnd"/>
      <w:r>
        <w:t xml:space="preserve">, “OPEC Won’t Flinch from Oil Market Fight,” </w:t>
      </w:r>
      <w:r w:rsidRPr="00A03263">
        <w:rPr>
          <w:i/>
        </w:rPr>
        <w:t>CNN Money</w:t>
      </w:r>
      <w:r>
        <w:t xml:space="preserve">, June 3, 2015, accessed April 26, 2017, </w:t>
      </w:r>
      <w:r w:rsidRPr="006D4A75">
        <w:t>http://money.cnn.com/2015/06/03/investing/opec-gulf-producers/</w:t>
      </w:r>
      <w:r>
        <w:t>.</w:t>
      </w:r>
    </w:p>
  </w:footnote>
  <w:footnote w:id="14">
    <w:p w14:paraId="1F7637DE" w14:textId="41015612" w:rsidR="002C0AB3" w:rsidRDefault="002C0AB3" w:rsidP="00143940">
      <w:pPr>
        <w:pStyle w:val="FootnoteText1"/>
      </w:pPr>
      <w:r>
        <w:rPr>
          <w:rStyle w:val="FootnoteReference"/>
        </w:rPr>
        <w:footnoteRef/>
      </w:r>
      <w:r>
        <w:t xml:space="preserve"> Shawn McCarthy and Eric </w:t>
      </w:r>
      <w:proofErr w:type="spellStart"/>
      <w:r>
        <w:t>Reguly</w:t>
      </w:r>
      <w:proofErr w:type="spellEnd"/>
      <w:r>
        <w:t xml:space="preserve">, “The Saudi Standoff: Oil-Rich Nation Takes on the World’s High-Cost Producers,” </w:t>
      </w:r>
      <w:r w:rsidRPr="00B005AB">
        <w:rPr>
          <w:i/>
        </w:rPr>
        <w:t>Globe and Mail</w:t>
      </w:r>
      <w:r>
        <w:t xml:space="preserve">, December 12, 2014, accessed May 2, 2017, </w:t>
      </w:r>
      <w:r w:rsidRPr="00B005AB">
        <w:t>www.theglobeandmail.com/report-on-business/industry-news/energy-and-resources/the-saudi-standoff-oil-rich-nation-takes-on-worlds-high-cost-producers/article22073819</w:t>
      </w:r>
      <w:r>
        <w:t>.</w:t>
      </w:r>
    </w:p>
  </w:footnote>
  <w:footnote w:id="15">
    <w:p w14:paraId="154A1059" w14:textId="2B769EAE" w:rsidR="002C0AB3" w:rsidRDefault="002C0AB3" w:rsidP="00143940">
      <w:pPr>
        <w:pStyle w:val="FootnoteText1"/>
      </w:pPr>
      <w:r>
        <w:rPr>
          <w:rStyle w:val="FootnoteReference"/>
        </w:rPr>
        <w:footnoteRef/>
      </w:r>
      <w:r>
        <w:t xml:space="preserve"> Gordon </w:t>
      </w:r>
      <w:proofErr w:type="spellStart"/>
      <w:r>
        <w:t>Isfeld</w:t>
      </w:r>
      <w:proofErr w:type="spellEnd"/>
      <w:r>
        <w:t xml:space="preserve">, “Canada’s Economy Shrinks for First Time in Four Years as Oil Shock Sinks in,” </w:t>
      </w:r>
      <w:r w:rsidRPr="00B005AB">
        <w:rPr>
          <w:i/>
        </w:rPr>
        <w:t>Financial Post</w:t>
      </w:r>
      <w:r>
        <w:t xml:space="preserve">, May 29, 2015, accessed April 26, 2017, </w:t>
      </w:r>
      <w:r w:rsidRPr="006D4A75">
        <w:t>http://business.financialpost.com/news/economy/canadas-economy-shrinks-for-first-time-in-four-years-as-oils-collapse-takes-toll</w:t>
      </w:r>
      <w:r>
        <w:t>.</w:t>
      </w:r>
    </w:p>
  </w:footnote>
  <w:footnote w:id="16">
    <w:p w14:paraId="5561F1DC" w14:textId="0771E412" w:rsidR="002C0AB3" w:rsidRDefault="002C0AB3" w:rsidP="00143940">
      <w:pPr>
        <w:pStyle w:val="FootnoteText1"/>
      </w:pPr>
      <w:r>
        <w:rPr>
          <w:rStyle w:val="FootnoteReference"/>
        </w:rPr>
        <w:footnoteRef/>
      </w:r>
      <w:r>
        <w:t xml:space="preserve"> Claudia </w:t>
      </w:r>
      <w:proofErr w:type="spellStart"/>
      <w:r>
        <w:t>Cattaneo</w:t>
      </w:r>
      <w:proofErr w:type="spellEnd"/>
      <w:r>
        <w:t xml:space="preserve">, “Canada’s Oil Industry to Slash Spending, Reduce Production as Prices Sink,” </w:t>
      </w:r>
      <w:r w:rsidRPr="00B005AB">
        <w:rPr>
          <w:i/>
        </w:rPr>
        <w:t>Financial Post</w:t>
      </w:r>
      <w:r>
        <w:t xml:space="preserve">, January 21, 2015, accessed May 2, 2017, </w:t>
      </w:r>
      <w:r w:rsidRPr="00B954C9">
        <w:t>http://business.financialpost.com/news/energy/capp-cuts-western-canadian-oil-output-forecast-warns-of-more-revisions</w:t>
      </w:r>
      <w:r>
        <w:t>.</w:t>
      </w:r>
    </w:p>
  </w:footnote>
  <w:footnote w:id="17">
    <w:p w14:paraId="3712042E" w14:textId="6B4FCD5F" w:rsidR="002C0AB3" w:rsidRDefault="002C0AB3" w:rsidP="00143940">
      <w:pPr>
        <w:pStyle w:val="FootnoteText1"/>
      </w:pPr>
      <w:r>
        <w:rPr>
          <w:rStyle w:val="FootnoteReference"/>
        </w:rPr>
        <w:footnoteRef/>
      </w:r>
      <w:r>
        <w:t xml:space="preserve"> Statistics Canada, “Table 029-0052: Capital Expenditures, Oil and Gas Extraction Industries, Canada,” accessed May 2, 2017, </w:t>
      </w:r>
      <w:r w:rsidRPr="00054D8D">
        <w:t>www5.statcan.gc.ca/cansim/a26?lang=eng&amp;retrLang=eng&amp;id=0290052&amp;&amp;pattern=&amp;stByVal=1&amp;p1=1&amp;p2=31&amp;tab</w:t>
      </w:r>
    </w:p>
    <w:p w14:paraId="2988625C" w14:textId="493728CF" w:rsidR="002C0AB3" w:rsidRDefault="002C0AB3" w:rsidP="00143940">
      <w:pPr>
        <w:pStyle w:val="FootnoteText1"/>
      </w:pPr>
      <w:r w:rsidRPr="00054D8D">
        <w:t>Mode=</w:t>
      </w:r>
      <w:proofErr w:type="spellStart"/>
      <w:r w:rsidRPr="00054D8D">
        <w:t>dataTable&amp;csid</w:t>
      </w:r>
      <w:proofErr w:type="spellEnd"/>
      <w:r w:rsidRPr="00054D8D">
        <w:t>=</w:t>
      </w:r>
      <w:r>
        <w:t>.</w:t>
      </w:r>
    </w:p>
  </w:footnote>
  <w:footnote w:id="18">
    <w:p w14:paraId="70322A4D" w14:textId="1E439BAA" w:rsidR="002C0AB3" w:rsidRDefault="002C0AB3" w:rsidP="00143940">
      <w:pPr>
        <w:pStyle w:val="FootnoteText1"/>
      </w:pPr>
      <w:r>
        <w:rPr>
          <w:rStyle w:val="FootnoteReference"/>
        </w:rPr>
        <w:footnoteRef/>
      </w:r>
      <w:r>
        <w:t xml:space="preserve"> Statistics Canada, “Exports of Goods on a Balance-of-Payments Basis, by Product,” accessed April 26, 2017, </w:t>
      </w:r>
      <w:r w:rsidRPr="00890F10">
        <w:t>www.statcan.gc.ca/tables-tableaux/sum-som/l01/cst01/gblec04-eng.htm</w:t>
      </w:r>
      <w:r>
        <w:t>.</w:t>
      </w:r>
    </w:p>
  </w:footnote>
  <w:footnote w:id="19">
    <w:p w14:paraId="4F8DC5BB" w14:textId="5203E0F6" w:rsidR="002C0AB3" w:rsidRDefault="002C0AB3" w:rsidP="00143940">
      <w:pPr>
        <w:pStyle w:val="FootnoteText1"/>
      </w:pPr>
      <w:r>
        <w:rPr>
          <w:rStyle w:val="FootnoteReference"/>
        </w:rPr>
        <w:footnoteRef/>
      </w:r>
      <w:r>
        <w:t xml:space="preserve"> Bank of Canada, “</w:t>
      </w:r>
      <w:r w:rsidRPr="007941EA">
        <w:t xml:space="preserve">Bank of Canada </w:t>
      </w:r>
      <w:r>
        <w:t>L</w:t>
      </w:r>
      <w:r w:rsidRPr="007941EA">
        <w:t xml:space="preserve">owers </w:t>
      </w:r>
      <w:r>
        <w:t>O</w:t>
      </w:r>
      <w:r w:rsidRPr="007941EA">
        <w:t xml:space="preserve">vernight </w:t>
      </w:r>
      <w:r>
        <w:t>R</w:t>
      </w:r>
      <w:r w:rsidRPr="007941EA">
        <w:t xml:space="preserve">ate </w:t>
      </w:r>
      <w:r>
        <w:t>T</w:t>
      </w:r>
      <w:r w:rsidRPr="007941EA">
        <w:t xml:space="preserve">arget to ¾ </w:t>
      </w:r>
      <w:r>
        <w:t>P</w:t>
      </w:r>
      <w:r w:rsidRPr="007941EA">
        <w:t xml:space="preserve">er </w:t>
      </w:r>
      <w:r>
        <w:t>C</w:t>
      </w:r>
      <w:r w:rsidRPr="007941EA">
        <w:t>ent</w:t>
      </w:r>
      <w:r w:rsidRPr="00054D8D">
        <w:t>,</w:t>
      </w:r>
      <w:r>
        <w:t xml:space="preserve">” press release, January 21, 2015, accessed May 2, 2017, </w:t>
      </w:r>
      <w:r w:rsidRPr="0091230A">
        <w:t>www.bankofcanada.ca/2015/01/fad-press-release-2015-01-21/</w:t>
      </w:r>
      <w:r>
        <w:t xml:space="preserve">. </w:t>
      </w:r>
    </w:p>
  </w:footnote>
  <w:footnote w:id="20">
    <w:p w14:paraId="0CE77738" w14:textId="20E1C16A" w:rsidR="002C0AB3" w:rsidRPr="00CE55C8" w:rsidRDefault="002C0AB3" w:rsidP="00084465">
      <w:pPr>
        <w:pStyle w:val="FootnoteText"/>
        <w:jc w:val="both"/>
        <w:rPr>
          <w:rFonts w:ascii="Arial" w:hAnsi="Arial" w:cs="Arial"/>
          <w:sz w:val="17"/>
          <w:szCs w:val="17"/>
        </w:rPr>
      </w:pPr>
      <w:r w:rsidRPr="00CE55C8">
        <w:rPr>
          <w:rStyle w:val="FootnoteReference"/>
          <w:rFonts w:ascii="Arial" w:hAnsi="Arial" w:cs="Arial"/>
          <w:sz w:val="17"/>
          <w:szCs w:val="17"/>
        </w:rPr>
        <w:footnoteRef/>
      </w:r>
      <w:r w:rsidRPr="00CE55C8">
        <w:rPr>
          <w:rFonts w:ascii="Arial" w:hAnsi="Arial" w:cs="Arial"/>
          <w:sz w:val="17"/>
          <w:szCs w:val="17"/>
        </w:rPr>
        <w:t xml:space="preserve"> </w:t>
      </w:r>
      <w:r>
        <w:rPr>
          <w:rFonts w:ascii="Arial" w:hAnsi="Arial" w:cs="Arial"/>
          <w:sz w:val="17"/>
          <w:szCs w:val="17"/>
        </w:rPr>
        <w:t xml:space="preserve">National Hockey League, </w:t>
      </w:r>
      <w:r w:rsidRPr="00CE55C8">
        <w:rPr>
          <w:rFonts w:ascii="Arial" w:hAnsi="Arial" w:cs="Arial"/>
          <w:sz w:val="17"/>
          <w:szCs w:val="17"/>
        </w:rPr>
        <w:t>“</w:t>
      </w:r>
      <w:r w:rsidRPr="00CE55C8">
        <w:rPr>
          <w:rFonts w:ascii="Arial" w:eastAsia="Calibri" w:hAnsi="Arial" w:cs="Arial"/>
          <w:sz w:val="17"/>
          <w:szCs w:val="17"/>
        </w:rPr>
        <w:t>Salary</w:t>
      </w:r>
      <w:r w:rsidRPr="00CE55C8">
        <w:rPr>
          <w:rFonts w:ascii="Arial" w:hAnsi="Arial" w:cs="Arial"/>
          <w:sz w:val="17"/>
          <w:szCs w:val="17"/>
        </w:rPr>
        <w:t xml:space="preserve"> </w:t>
      </w:r>
      <w:r w:rsidRPr="00CE55C8">
        <w:rPr>
          <w:rFonts w:ascii="Arial" w:eastAsia="Calibri" w:hAnsi="Arial" w:cs="Arial"/>
          <w:sz w:val="17"/>
          <w:szCs w:val="17"/>
        </w:rPr>
        <w:t>Cap</w:t>
      </w:r>
      <w:r w:rsidRPr="00CE55C8">
        <w:rPr>
          <w:rFonts w:ascii="Arial" w:hAnsi="Arial" w:cs="Arial"/>
          <w:sz w:val="17"/>
          <w:szCs w:val="17"/>
        </w:rPr>
        <w:t xml:space="preserve"> </w:t>
      </w:r>
      <w:r w:rsidRPr="00CE55C8">
        <w:rPr>
          <w:rFonts w:ascii="Arial" w:eastAsia="Calibri" w:hAnsi="Arial" w:cs="Arial"/>
          <w:sz w:val="17"/>
          <w:szCs w:val="17"/>
        </w:rPr>
        <w:t>Set</w:t>
      </w:r>
      <w:r w:rsidRPr="00CE55C8">
        <w:rPr>
          <w:rFonts w:ascii="Arial" w:hAnsi="Arial" w:cs="Arial"/>
          <w:sz w:val="17"/>
          <w:szCs w:val="17"/>
        </w:rPr>
        <w:t xml:space="preserve"> </w:t>
      </w:r>
      <w:r w:rsidRPr="00CE55C8">
        <w:rPr>
          <w:rFonts w:ascii="Arial" w:eastAsia="Calibri" w:hAnsi="Arial" w:cs="Arial"/>
          <w:sz w:val="17"/>
          <w:szCs w:val="17"/>
        </w:rPr>
        <w:t>at</w:t>
      </w:r>
      <w:r w:rsidRPr="00CE55C8">
        <w:rPr>
          <w:rFonts w:ascii="Arial" w:hAnsi="Arial" w:cs="Arial"/>
          <w:sz w:val="17"/>
          <w:szCs w:val="17"/>
        </w:rPr>
        <w:t xml:space="preserve"> $71.4 </w:t>
      </w:r>
      <w:r w:rsidRPr="00CE55C8">
        <w:rPr>
          <w:rFonts w:ascii="Arial" w:eastAsia="Calibri" w:hAnsi="Arial" w:cs="Arial"/>
          <w:sz w:val="17"/>
          <w:szCs w:val="17"/>
        </w:rPr>
        <w:t>Million</w:t>
      </w:r>
      <w:r w:rsidRPr="00CE55C8">
        <w:rPr>
          <w:rFonts w:ascii="Arial" w:hAnsi="Arial" w:cs="Arial"/>
          <w:sz w:val="17"/>
          <w:szCs w:val="17"/>
        </w:rPr>
        <w:t xml:space="preserve"> </w:t>
      </w:r>
      <w:r w:rsidRPr="00CE55C8">
        <w:rPr>
          <w:rFonts w:ascii="Arial" w:eastAsia="Calibri" w:hAnsi="Arial" w:cs="Arial"/>
          <w:sz w:val="17"/>
          <w:szCs w:val="17"/>
        </w:rPr>
        <w:t>for</w:t>
      </w:r>
      <w:r w:rsidRPr="00CE55C8">
        <w:rPr>
          <w:rFonts w:ascii="Arial" w:hAnsi="Arial" w:cs="Arial"/>
          <w:sz w:val="17"/>
          <w:szCs w:val="17"/>
        </w:rPr>
        <w:t xml:space="preserve"> </w:t>
      </w:r>
      <w:r w:rsidRPr="00CE55C8">
        <w:rPr>
          <w:rFonts w:ascii="Arial" w:eastAsia="Calibri" w:hAnsi="Arial" w:cs="Arial"/>
          <w:sz w:val="17"/>
          <w:szCs w:val="17"/>
        </w:rPr>
        <w:t>Next</w:t>
      </w:r>
      <w:r w:rsidRPr="00CE55C8">
        <w:rPr>
          <w:rFonts w:ascii="Arial" w:hAnsi="Arial" w:cs="Arial"/>
          <w:sz w:val="17"/>
          <w:szCs w:val="17"/>
        </w:rPr>
        <w:t xml:space="preserve"> </w:t>
      </w:r>
      <w:r w:rsidRPr="00CE55C8">
        <w:rPr>
          <w:rFonts w:ascii="Arial" w:eastAsia="Calibri" w:hAnsi="Arial" w:cs="Arial"/>
          <w:sz w:val="17"/>
          <w:szCs w:val="17"/>
        </w:rPr>
        <w:t>Season</w:t>
      </w:r>
      <w:r w:rsidRPr="00CE55C8">
        <w:rPr>
          <w:rFonts w:ascii="Arial" w:hAnsi="Arial" w:cs="Arial"/>
          <w:sz w:val="17"/>
          <w:szCs w:val="17"/>
        </w:rPr>
        <w:t xml:space="preserve">, </w:t>
      </w:r>
      <w:r w:rsidRPr="00CE55C8">
        <w:rPr>
          <w:rFonts w:ascii="Arial" w:eastAsia="Calibri" w:hAnsi="Arial" w:cs="Arial"/>
          <w:sz w:val="17"/>
          <w:szCs w:val="17"/>
        </w:rPr>
        <w:t>a</w:t>
      </w:r>
      <w:r w:rsidRPr="00CE55C8">
        <w:rPr>
          <w:rFonts w:ascii="Arial" w:hAnsi="Arial" w:cs="Arial"/>
          <w:sz w:val="17"/>
          <w:szCs w:val="17"/>
        </w:rPr>
        <w:t xml:space="preserve"> $2.1-</w:t>
      </w:r>
      <w:r w:rsidRPr="00CE55C8">
        <w:rPr>
          <w:rFonts w:ascii="Arial" w:eastAsia="Calibri" w:hAnsi="Arial" w:cs="Arial"/>
          <w:sz w:val="17"/>
          <w:szCs w:val="17"/>
        </w:rPr>
        <w:t>Million</w:t>
      </w:r>
      <w:r w:rsidRPr="00CE55C8">
        <w:rPr>
          <w:rFonts w:ascii="Arial" w:hAnsi="Arial" w:cs="Arial"/>
          <w:sz w:val="17"/>
          <w:szCs w:val="17"/>
        </w:rPr>
        <w:t xml:space="preserve"> </w:t>
      </w:r>
      <w:r w:rsidRPr="00CE55C8">
        <w:rPr>
          <w:rFonts w:ascii="Arial" w:eastAsia="Calibri" w:hAnsi="Arial" w:cs="Arial"/>
          <w:sz w:val="17"/>
          <w:szCs w:val="17"/>
        </w:rPr>
        <w:t>Increase</w:t>
      </w:r>
      <w:r w:rsidRPr="00CE55C8">
        <w:rPr>
          <w:rFonts w:ascii="Arial" w:hAnsi="Arial" w:cs="Arial"/>
          <w:sz w:val="17"/>
          <w:szCs w:val="17"/>
        </w:rPr>
        <w:t xml:space="preserve">,” </w:t>
      </w:r>
      <w:r w:rsidRPr="00CE55C8">
        <w:rPr>
          <w:rFonts w:ascii="Arial" w:eastAsia="Calibri" w:hAnsi="Arial" w:cs="Arial"/>
          <w:sz w:val="17"/>
          <w:szCs w:val="17"/>
        </w:rPr>
        <w:t>June</w:t>
      </w:r>
      <w:r w:rsidRPr="00CE55C8">
        <w:rPr>
          <w:rFonts w:ascii="Arial" w:hAnsi="Arial" w:cs="Arial"/>
          <w:sz w:val="17"/>
          <w:szCs w:val="17"/>
        </w:rPr>
        <w:t xml:space="preserve"> 23, 2015, </w:t>
      </w:r>
      <w:r w:rsidRPr="00CE55C8">
        <w:rPr>
          <w:rFonts w:ascii="Arial" w:eastAsia="Calibri" w:hAnsi="Arial" w:cs="Arial"/>
          <w:sz w:val="17"/>
          <w:szCs w:val="17"/>
        </w:rPr>
        <w:t>accessed</w:t>
      </w:r>
      <w:r w:rsidRPr="00CE55C8">
        <w:rPr>
          <w:rFonts w:ascii="Arial" w:hAnsi="Arial" w:cs="Arial"/>
          <w:sz w:val="17"/>
          <w:szCs w:val="17"/>
        </w:rPr>
        <w:t xml:space="preserve"> </w:t>
      </w:r>
      <w:r w:rsidRPr="00CE55C8">
        <w:rPr>
          <w:rFonts w:ascii="Arial" w:eastAsia="Calibri" w:hAnsi="Arial" w:cs="Arial"/>
          <w:sz w:val="17"/>
          <w:szCs w:val="17"/>
        </w:rPr>
        <w:t>April</w:t>
      </w:r>
      <w:r w:rsidRPr="00CE55C8">
        <w:rPr>
          <w:rFonts w:ascii="Arial" w:hAnsi="Arial" w:cs="Arial"/>
          <w:sz w:val="17"/>
          <w:szCs w:val="17"/>
        </w:rPr>
        <w:t xml:space="preserve"> 26, 2017, </w:t>
      </w:r>
      <w:r w:rsidRPr="00CE55C8">
        <w:rPr>
          <w:rFonts w:ascii="Arial" w:eastAsia="Calibri" w:hAnsi="Arial" w:cs="Arial"/>
          <w:sz w:val="17"/>
          <w:szCs w:val="17"/>
        </w:rPr>
        <w:t>www</w:t>
      </w:r>
      <w:r w:rsidRPr="00CE55C8">
        <w:rPr>
          <w:rFonts w:ascii="Arial" w:hAnsi="Arial" w:cs="Arial"/>
          <w:sz w:val="17"/>
          <w:szCs w:val="17"/>
        </w:rPr>
        <w:t>.</w:t>
      </w:r>
      <w:r w:rsidRPr="00CE55C8">
        <w:rPr>
          <w:rFonts w:ascii="Arial" w:eastAsia="Calibri" w:hAnsi="Arial" w:cs="Arial"/>
          <w:sz w:val="17"/>
          <w:szCs w:val="17"/>
        </w:rPr>
        <w:t>nhl</w:t>
      </w:r>
      <w:r w:rsidRPr="00CE55C8">
        <w:rPr>
          <w:rFonts w:ascii="Arial" w:hAnsi="Arial" w:cs="Arial"/>
          <w:sz w:val="17"/>
          <w:szCs w:val="17"/>
        </w:rPr>
        <w:t>.</w:t>
      </w:r>
      <w:r w:rsidRPr="00CE55C8">
        <w:rPr>
          <w:rFonts w:ascii="Arial" w:eastAsia="Calibri" w:hAnsi="Arial" w:cs="Arial"/>
          <w:sz w:val="17"/>
          <w:szCs w:val="17"/>
        </w:rPr>
        <w:t>com</w:t>
      </w:r>
      <w:r w:rsidRPr="00CE55C8">
        <w:rPr>
          <w:rFonts w:ascii="Arial" w:hAnsi="Arial" w:cs="Arial"/>
          <w:sz w:val="17"/>
          <w:szCs w:val="17"/>
        </w:rPr>
        <w:t>/</w:t>
      </w:r>
      <w:r w:rsidRPr="00CE55C8">
        <w:rPr>
          <w:rFonts w:ascii="Arial" w:eastAsia="Calibri" w:hAnsi="Arial" w:cs="Arial"/>
          <w:sz w:val="17"/>
          <w:szCs w:val="17"/>
        </w:rPr>
        <w:t>news</w:t>
      </w:r>
      <w:r w:rsidRPr="00CE55C8">
        <w:rPr>
          <w:rFonts w:ascii="Arial" w:hAnsi="Arial" w:cs="Arial"/>
          <w:sz w:val="17"/>
          <w:szCs w:val="17"/>
        </w:rPr>
        <w:t>/</w:t>
      </w:r>
      <w:r w:rsidRPr="00CE55C8">
        <w:rPr>
          <w:rFonts w:ascii="Arial" w:eastAsia="Calibri" w:hAnsi="Arial" w:cs="Arial"/>
          <w:sz w:val="17"/>
          <w:szCs w:val="17"/>
        </w:rPr>
        <w:t>salary</w:t>
      </w:r>
      <w:r w:rsidRPr="00CE55C8">
        <w:rPr>
          <w:rFonts w:ascii="Arial" w:hAnsi="Arial" w:cs="Arial"/>
          <w:sz w:val="17"/>
          <w:szCs w:val="17"/>
        </w:rPr>
        <w:t>-</w:t>
      </w:r>
      <w:r w:rsidRPr="00CE55C8">
        <w:rPr>
          <w:rFonts w:ascii="Arial" w:eastAsia="Calibri" w:hAnsi="Arial" w:cs="Arial"/>
          <w:sz w:val="17"/>
          <w:szCs w:val="17"/>
        </w:rPr>
        <w:t>cap</w:t>
      </w:r>
      <w:r w:rsidRPr="00CE55C8">
        <w:rPr>
          <w:rFonts w:ascii="Arial" w:hAnsi="Arial" w:cs="Arial"/>
          <w:sz w:val="17"/>
          <w:szCs w:val="17"/>
        </w:rPr>
        <w:t>-</w:t>
      </w:r>
      <w:r w:rsidRPr="00CE55C8">
        <w:rPr>
          <w:rFonts w:ascii="Arial" w:eastAsia="Calibri" w:hAnsi="Arial" w:cs="Arial"/>
          <w:sz w:val="17"/>
          <w:szCs w:val="17"/>
        </w:rPr>
        <w:t>set</w:t>
      </w:r>
      <w:r w:rsidRPr="00CE55C8">
        <w:rPr>
          <w:rFonts w:ascii="Arial" w:hAnsi="Arial" w:cs="Arial"/>
          <w:sz w:val="17"/>
          <w:szCs w:val="17"/>
        </w:rPr>
        <w:t>-</w:t>
      </w:r>
      <w:r w:rsidRPr="00CE55C8">
        <w:rPr>
          <w:rFonts w:ascii="Arial" w:eastAsia="Calibri" w:hAnsi="Arial" w:cs="Arial"/>
          <w:sz w:val="17"/>
          <w:szCs w:val="17"/>
        </w:rPr>
        <w:t>at</w:t>
      </w:r>
      <w:r w:rsidRPr="00CE55C8">
        <w:rPr>
          <w:rFonts w:ascii="Arial" w:hAnsi="Arial" w:cs="Arial"/>
          <w:sz w:val="17"/>
          <w:szCs w:val="17"/>
        </w:rPr>
        <w:t>-71-4-</w:t>
      </w:r>
      <w:r w:rsidRPr="00CE55C8">
        <w:rPr>
          <w:rFonts w:ascii="Arial" w:eastAsia="Calibri" w:hAnsi="Arial" w:cs="Arial"/>
          <w:sz w:val="17"/>
          <w:szCs w:val="17"/>
        </w:rPr>
        <w:t>million</w:t>
      </w:r>
      <w:r w:rsidRPr="00CE55C8">
        <w:rPr>
          <w:rFonts w:ascii="Arial" w:hAnsi="Arial" w:cs="Arial"/>
          <w:sz w:val="17"/>
          <w:szCs w:val="17"/>
        </w:rPr>
        <w:t>-</w:t>
      </w:r>
      <w:r w:rsidRPr="00CE55C8">
        <w:rPr>
          <w:rFonts w:ascii="Arial" w:eastAsia="Calibri" w:hAnsi="Arial" w:cs="Arial"/>
          <w:sz w:val="17"/>
          <w:szCs w:val="17"/>
        </w:rPr>
        <w:t>for</w:t>
      </w:r>
      <w:r w:rsidRPr="00CE55C8">
        <w:rPr>
          <w:rFonts w:ascii="Arial" w:hAnsi="Arial" w:cs="Arial"/>
          <w:sz w:val="17"/>
          <w:szCs w:val="17"/>
        </w:rPr>
        <w:t>-</w:t>
      </w:r>
      <w:r w:rsidRPr="00CE55C8">
        <w:rPr>
          <w:rFonts w:ascii="Arial" w:eastAsia="Calibri" w:hAnsi="Arial" w:cs="Arial"/>
          <w:sz w:val="17"/>
          <w:szCs w:val="17"/>
        </w:rPr>
        <w:t>next</w:t>
      </w:r>
      <w:r w:rsidRPr="00CE55C8">
        <w:rPr>
          <w:rFonts w:ascii="Arial" w:hAnsi="Arial" w:cs="Arial"/>
          <w:sz w:val="17"/>
          <w:szCs w:val="17"/>
        </w:rPr>
        <w:t>-</w:t>
      </w:r>
      <w:r w:rsidRPr="00CE55C8">
        <w:rPr>
          <w:rFonts w:ascii="Arial" w:eastAsia="Calibri" w:hAnsi="Arial" w:cs="Arial"/>
          <w:sz w:val="17"/>
          <w:szCs w:val="17"/>
        </w:rPr>
        <w:t>season</w:t>
      </w:r>
      <w:r w:rsidRPr="00CE55C8">
        <w:rPr>
          <w:rFonts w:ascii="Arial" w:hAnsi="Arial" w:cs="Arial"/>
          <w:sz w:val="17"/>
          <w:szCs w:val="17"/>
        </w:rPr>
        <w:t>-</w:t>
      </w:r>
      <w:r w:rsidRPr="00CE55C8">
        <w:rPr>
          <w:rFonts w:ascii="Arial" w:eastAsia="Calibri" w:hAnsi="Arial" w:cs="Arial"/>
          <w:sz w:val="17"/>
          <w:szCs w:val="17"/>
        </w:rPr>
        <w:t>a</w:t>
      </w:r>
      <w:r w:rsidRPr="00CE55C8">
        <w:rPr>
          <w:rFonts w:ascii="Arial" w:hAnsi="Arial" w:cs="Arial"/>
          <w:sz w:val="17"/>
          <w:szCs w:val="17"/>
        </w:rPr>
        <w:t>-2-1-</w:t>
      </w:r>
      <w:r w:rsidRPr="00CE55C8">
        <w:rPr>
          <w:rFonts w:ascii="Arial" w:eastAsia="Calibri" w:hAnsi="Arial" w:cs="Arial"/>
          <w:sz w:val="17"/>
          <w:szCs w:val="17"/>
        </w:rPr>
        <w:t>million</w:t>
      </w:r>
      <w:r w:rsidRPr="00CE55C8">
        <w:rPr>
          <w:rFonts w:ascii="Arial" w:hAnsi="Arial" w:cs="Arial"/>
          <w:sz w:val="17"/>
          <w:szCs w:val="17"/>
        </w:rPr>
        <w:t>-</w:t>
      </w:r>
      <w:r w:rsidRPr="00CE55C8">
        <w:rPr>
          <w:rFonts w:ascii="Arial" w:eastAsia="Calibri" w:hAnsi="Arial" w:cs="Arial"/>
          <w:sz w:val="17"/>
          <w:szCs w:val="17"/>
        </w:rPr>
        <w:t>increase</w:t>
      </w:r>
      <w:r w:rsidRPr="00CE55C8">
        <w:rPr>
          <w:rFonts w:ascii="Arial" w:hAnsi="Arial" w:cs="Arial"/>
          <w:sz w:val="17"/>
          <w:szCs w:val="17"/>
        </w:rPr>
        <w:t>/</w:t>
      </w:r>
      <w:r w:rsidRPr="00CE55C8">
        <w:rPr>
          <w:rFonts w:ascii="Arial" w:eastAsia="Calibri" w:hAnsi="Arial" w:cs="Arial"/>
          <w:sz w:val="17"/>
          <w:szCs w:val="17"/>
        </w:rPr>
        <w:t>c</w:t>
      </w:r>
      <w:r w:rsidRPr="00CE55C8">
        <w:rPr>
          <w:rFonts w:ascii="Arial" w:hAnsi="Arial" w:cs="Arial"/>
          <w:sz w:val="17"/>
          <w:szCs w:val="17"/>
        </w:rPr>
        <w:t>-771568.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2D2E4" w14:textId="7712C704" w:rsidR="002C0AB3" w:rsidRDefault="002C0AB3"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00FE">
      <w:rPr>
        <w:rFonts w:ascii="Arial" w:hAnsi="Arial"/>
        <w:b/>
        <w:noProof/>
      </w:rPr>
      <w:t>8</w:t>
    </w:r>
    <w:r>
      <w:rPr>
        <w:rFonts w:ascii="Arial" w:hAnsi="Arial"/>
        <w:b/>
      </w:rPr>
      <w:fldChar w:fldCharType="end"/>
    </w:r>
    <w:r>
      <w:rPr>
        <w:rFonts w:ascii="Arial" w:hAnsi="Arial"/>
        <w:b/>
      </w:rPr>
      <w:tab/>
    </w:r>
    <w:r w:rsidR="00084465">
      <w:rPr>
        <w:rFonts w:ascii="Arial" w:hAnsi="Arial"/>
        <w:b/>
      </w:rPr>
      <w:t>9B17M123</w:t>
    </w:r>
  </w:p>
  <w:p w14:paraId="3691345E" w14:textId="77777777" w:rsidR="002C0AB3" w:rsidRDefault="002C0AB3"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7B92D52F" w14:textId="77777777" w:rsidR="002C0AB3" w:rsidRDefault="002C0AB3"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n Raiha">
    <w15:presenceInfo w15:providerId="None" w15:userId="Davin Rai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B51"/>
    <w:rsid w:val="000024DD"/>
    <w:rsid w:val="000211EA"/>
    <w:rsid w:val="0003587F"/>
    <w:rsid w:val="00054D8D"/>
    <w:rsid w:val="000575B5"/>
    <w:rsid w:val="00060E2F"/>
    <w:rsid w:val="0006437E"/>
    <w:rsid w:val="0007157E"/>
    <w:rsid w:val="00080A73"/>
    <w:rsid w:val="00083ED8"/>
    <w:rsid w:val="00084465"/>
    <w:rsid w:val="000A0EE8"/>
    <w:rsid w:val="000A2CBE"/>
    <w:rsid w:val="000B7409"/>
    <w:rsid w:val="000D25ED"/>
    <w:rsid w:val="000D2707"/>
    <w:rsid w:val="000D598E"/>
    <w:rsid w:val="000F262D"/>
    <w:rsid w:val="001038E5"/>
    <w:rsid w:val="00106274"/>
    <w:rsid w:val="00120CB8"/>
    <w:rsid w:val="00124873"/>
    <w:rsid w:val="00127E91"/>
    <w:rsid w:val="00131EAB"/>
    <w:rsid w:val="00143940"/>
    <w:rsid w:val="001722E5"/>
    <w:rsid w:val="00175F77"/>
    <w:rsid w:val="0018768F"/>
    <w:rsid w:val="001A14FD"/>
    <w:rsid w:val="001B5BA1"/>
    <w:rsid w:val="001D5D0F"/>
    <w:rsid w:val="001D758D"/>
    <w:rsid w:val="001E7765"/>
    <w:rsid w:val="00200E1A"/>
    <w:rsid w:val="00207491"/>
    <w:rsid w:val="00263763"/>
    <w:rsid w:val="00267E77"/>
    <w:rsid w:val="00276018"/>
    <w:rsid w:val="00285451"/>
    <w:rsid w:val="00297BDD"/>
    <w:rsid w:val="002A25A8"/>
    <w:rsid w:val="002B2608"/>
    <w:rsid w:val="002C0AB3"/>
    <w:rsid w:val="00301DC0"/>
    <w:rsid w:val="00307078"/>
    <w:rsid w:val="00312FC5"/>
    <w:rsid w:val="00313DE2"/>
    <w:rsid w:val="00321487"/>
    <w:rsid w:val="00323713"/>
    <w:rsid w:val="00327569"/>
    <w:rsid w:val="00332A58"/>
    <w:rsid w:val="00341ED5"/>
    <w:rsid w:val="00343E77"/>
    <w:rsid w:val="00364153"/>
    <w:rsid w:val="003647E6"/>
    <w:rsid w:val="00375627"/>
    <w:rsid w:val="003A5AD0"/>
    <w:rsid w:val="003B0C96"/>
    <w:rsid w:val="003B6ABE"/>
    <w:rsid w:val="003C38EF"/>
    <w:rsid w:val="003C58C2"/>
    <w:rsid w:val="003D6D8F"/>
    <w:rsid w:val="00403D0F"/>
    <w:rsid w:val="00407861"/>
    <w:rsid w:val="00411C18"/>
    <w:rsid w:val="00412226"/>
    <w:rsid w:val="00426915"/>
    <w:rsid w:val="00444CEA"/>
    <w:rsid w:val="0047717E"/>
    <w:rsid w:val="00487918"/>
    <w:rsid w:val="004A21B2"/>
    <w:rsid w:val="004B5EC5"/>
    <w:rsid w:val="004E6AF2"/>
    <w:rsid w:val="004F4EBA"/>
    <w:rsid w:val="005013DC"/>
    <w:rsid w:val="0052349C"/>
    <w:rsid w:val="0052529A"/>
    <w:rsid w:val="00537C93"/>
    <w:rsid w:val="0054729F"/>
    <w:rsid w:val="0056690C"/>
    <w:rsid w:val="00576F73"/>
    <w:rsid w:val="00580E35"/>
    <w:rsid w:val="005B7857"/>
    <w:rsid w:val="005E6208"/>
    <w:rsid w:val="005E7885"/>
    <w:rsid w:val="005F73D8"/>
    <w:rsid w:val="006003C2"/>
    <w:rsid w:val="00625BBB"/>
    <w:rsid w:val="0065197F"/>
    <w:rsid w:val="00654D8D"/>
    <w:rsid w:val="00661A63"/>
    <w:rsid w:val="00661BE8"/>
    <w:rsid w:val="006750F4"/>
    <w:rsid w:val="006800FE"/>
    <w:rsid w:val="006838FB"/>
    <w:rsid w:val="00697774"/>
    <w:rsid w:val="006A23D0"/>
    <w:rsid w:val="006D1A53"/>
    <w:rsid w:val="006F525A"/>
    <w:rsid w:val="00742A7E"/>
    <w:rsid w:val="00750CBE"/>
    <w:rsid w:val="0077541B"/>
    <w:rsid w:val="00793592"/>
    <w:rsid w:val="007941EA"/>
    <w:rsid w:val="007A4CA4"/>
    <w:rsid w:val="007B462E"/>
    <w:rsid w:val="007B633A"/>
    <w:rsid w:val="007E10E1"/>
    <w:rsid w:val="00800DBC"/>
    <w:rsid w:val="00817CDF"/>
    <w:rsid w:val="008226F7"/>
    <w:rsid w:val="00841C67"/>
    <w:rsid w:val="008420E4"/>
    <w:rsid w:val="0084460A"/>
    <w:rsid w:val="00846FC8"/>
    <w:rsid w:val="0085498D"/>
    <w:rsid w:val="00856473"/>
    <w:rsid w:val="00873B21"/>
    <w:rsid w:val="00881420"/>
    <w:rsid w:val="00882F43"/>
    <w:rsid w:val="00885CA8"/>
    <w:rsid w:val="008E1348"/>
    <w:rsid w:val="00955F81"/>
    <w:rsid w:val="00964605"/>
    <w:rsid w:val="00977924"/>
    <w:rsid w:val="00991811"/>
    <w:rsid w:val="009A3C26"/>
    <w:rsid w:val="009D05FA"/>
    <w:rsid w:val="009D7EB0"/>
    <w:rsid w:val="009F0CA9"/>
    <w:rsid w:val="00A042BB"/>
    <w:rsid w:val="00A1687F"/>
    <w:rsid w:val="00A317ED"/>
    <w:rsid w:val="00A32CC9"/>
    <w:rsid w:val="00A33274"/>
    <w:rsid w:val="00A50F8E"/>
    <w:rsid w:val="00A53864"/>
    <w:rsid w:val="00A55631"/>
    <w:rsid w:val="00A80939"/>
    <w:rsid w:val="00A814DF"/>
    <w:rsid w:val="00A903D5"/>
    <w:rsid w:val="00AB55E0"/>
    <w:rsid w:val="00AC1218"/>
    <w:rsid w:val="00AD2642"/>
    <w:rsid w:val="00AD2B3F"/>
    <w:rsid w:val="00AD499D"/>
    <w:rsid w:val="00AD5F82"/>
    <w:rsid w:val="00AF4070"/>
    <w:rsid w:val="00B0769D"/>
    <w:rsid w:val="00B12C7E"/>
    <w:rsid w:val="00B367A0"/>
    <w:rsid w:val="00B46435"/>
    <w:rsid w:val="00B47E67"/>
    <w:rsid w:val="00B62A78"/>
    <w:rsid w:val="00BB52EC"/>
    <w:rsid w:val="00BD2E29"/>
    <w:rsid w:val="00BF0AF2"/>
    <w:rsid w:val="00C10AB3"/>
    <w:rsid w:val="00C12EEF"/>
    <w:rsid w:val="00C45E94"/>
    <w:rsid w:val="00C80C3D"/>
    <w:rsid w:val="00C80F19"/>
    <w:rsid w:val="00C85923"/>
    <w:rsid w:val="00C94F10"/>
    <w:rsid w:val="00CA6BF3"/>
    <w:rsid w:val="00CB4093"/>
    <w:rsid w:val="00CB4322"/>
    <w:rsid w:val="00CD0B51"/>
    <w:rsid w:val="00CD7DE5"/>
    <w:rsid w:val="00CE00B2"/>
    <w:rsid w:val="00CE55C8"/>
    <w:rsid w:val="00CE6216"/>
    <w:rsid w:val="00CF0E6E"/>
    <w:rsid w:val="00D1608A"/>
    <w:rsid w:val="00D26AD1"/>
    <w:rsid w:val="00D278F7"/>
    <w:rsid w:val="00D6063F"/>
    <w:rsid w:val="00D62BF7"/>
    <w:rsid w:val="00D748C5"/>
    <w:rsid w:val="00DA2BB3"/>
    <w:rsid w:val="00DA5283"/>
    <w:rsid w:val="00DA64CB"/>
    <w:rsid w:val="00DB4384"/>
    <w:rsid w:val="00DC3F0D"/>
    <w:rsid w:val="00DE4F88"/>
    <w:rsid w:val="00E07CF9"/>
    <w:rsid w:val="00E11F38"/>
    <w:rsid w:val="00E32B19"/>
    <w:rsid w:val="00E3551E"/>
    <w:rsid w:val="00E50E6F"/>
    <w:rsid w:val="00E5322E"/>
    <w:rsid w:val="00E53EB0"/>
    <w:rsid w:val="00E62B3A"/>
    <w:rsid w:val="00E63601"/>
    <w:rsid w:val="00E644FB"/>
    <w:rsid w:val="00E77B73"/>
    <w:rsid w:val="00EB2533"/>
    <w:rsid w:val="00EB5E98"/>
    <w:rsid w:val="00EC1B66"/>
    <w:rsid w:val="00EF1724"/>
    <w:rsid w:val="00F14234"/>
    <w:rsid w:val="00F2557C"/>
    <w:rsid w:val="00F801A3"/>
    <w:rsid w:val="00F9125B"/>
    <w:rsid w:val="00F93280"/>
    <w:rsid w:val="00FC30A8"/>
    <w:rsid w:val="00FD6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C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endnote reference" w:uiPriority="99"/>
    <w:lsdException w:name="endnote text"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C1B66"/>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table" w:styleId="TableGrid">
    <w:name w:val="Table Grid"/>
    <w:basedOn w:val="TableNormal"/>
    <w:uiPriority w:val="39"/>
    <w:rsid w:val="003D6D8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1">
    <w:name w:val="List Table 1 Light1"/>
    <w:basedOn w:val="TableNormal"/>
    <w:uiPriority w:val="46"/>
    <w:rsid w:val="00B62A78"/>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unhideWhenUsed/>
    <w:rsid w:val="009D7EB0"/>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9D7EB0"/>
    <w:rPr>
      <w:rFonts w:asciiTheme="minorHAnsi" w:eastAsiaTheme="minorHAnsi" w:hAnsiTheme="minorHAnsi" w:cstheme="minorBidi"/>
    </w:rPr>
  </w:style>
  <w:style w:type="character" w:styleId="EndnoteReference">
    <w:name w:val="endnote reference"/>
    <w:basedOn w:val="DefaultParagraphFont"/>
    <w:uiPriority w:val="99"/>
    <w:unhideWhenUsed/>
    <w:rsid w:val="009D7EB0"/>
    <w:rPr>
      <w:vertAlign w:val="superscript"/>
    </w:rPr>
  </w:style>
  <w:style w:type="character" w:styleId="CommentReference">
    <w:name w:val="annotation reference"/>
    <w:basedOn w:val="DefaultParagraphFont"/>
    <w:uiPriority w:val="99"/>
    <w:unhideWhenUsed/>
    <w:rsid w:val="00341ED5"/>
    <w:rPr>
      <w:sz w:val="16"/>
      <w:szCs w:val="16"/>
    </w:rPr>
  </w:style>
  <w:style w:type="paragraph" w:styleId="CommentText">
    <w:name w:val="annotation text"/>
    <w:basedOn w:val="Normal"/>
    <w:link w:val="CommentTextChar"/>
    <w:unhideWhenUsed/>
    <w:rsid w:val="00341ED5"/>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rsid w:val="00341ED5"/>
    <w:rPr>
      <w:rFonts w:asciiTheme="minorHAnsi" w:eastAsiaTheme="minorHAnsi" w:hAnsiTheme="minorHAnsi" w:cstheme="minorBidi"/>
    </w:rPr>
  </w:style>
  <w:style w:type="paragraph" w:styleId="CommentSubject">
    <w:name w:val="annotation subject"/>
    <w:basedOn w:val="CommentText"/>
    <w:next w:val="CommentText"/>
    <w:link w:val="CommentSubjectChar"/>
    <w:semiHidden/>
    <w:unhideWhenUsed/>
    <w:rsid w:val="00625BB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625BBB"/>
    <w:rPr>
      <w:rFonts w:asciiTheme="minorHAnsi" w:eastAsiaTheme="minorHAnsi" w:hAnsiTheme="minorHAnsi" w:cstheme="minorBidi"/>
      <w:b/>
      <w:bCs/>
    </w:rPr>
  </w:style>
  <w:style w:type="character" w:styleId="Hyperlink">
    <w:name w:val="Hyperlink"/>
    <w:basedOn w:val="DefaultParagraphFont"/>
    <w:unhideWhenUsed/>
    <w:rsid w:val="0052529A"/>
    <w:rPr>
      <w:color w:val="0563C1" w:themeColor="hyperlink"/>
      <w:u w:val="single"/>
    </w:rPr>
  </w:style>
  <w:style w:type="paragraph" w:styleId="Revision">
    <w:name w:val="Revision"/>
    <w:hidden/>
    <w:uiPriority w:val="99"/>
    <w:semiHidden/>
    <w:rsid w:val="001D5D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endnote reference" w:uiPriority="99"/>
    <w:lsdException w:name="endnote text"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C1B66"/>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table" w:styleId="TableGrid">
    <w:name w:val="Table Grid"/>
    <w:basedOn w:val="TableNormal"/>
    <w:uiPriority w:val="39"/>
    <w:rsid w:val="003D6D8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1">
    <w:name w:val="List Table 1 Light1"/>
    <w:basedOn w:val="TableNormal"/>
    <w:uiPriority w:val="46"/>
    <w:rsid w:val="00B62A78"/>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unhideWhenUsed/>
    <w:rsid w:val="009D7EB0"/>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9D7EB0"/>
    <w:rPr>
      <w:rFonts w:asciiTheme="minorHAnsi" w:eastAsiaTheme="minorHAnsi" w:hAnsiTheme="minorHAnsi" w:cstheme="minorBidi"/>
    </w:rPr>
  </w:style>
  <w:style w:type="character" w:styleId="EndnoteReference">
    <w:name w:val="endnote reference"/>
    <w:basedOn w:val="DefaultParagraphFont"/>
    <w:uiPriority w:val="99"/>
    <w:unhideWhenUsed/>
    <w:rsid w:val="009D7EB0"/>
    <w:rPr>
      <w:vertAlign w:val="superscript"/>
    </w:rPr>
  </w:style>
  <w:style w:type="character" w:styleId="CommentReference">
    <w:name w:val="annotation reference"/>
    <w:basedOn w:val="DefaultParagraphFont"/>
    <w:uiPriority w:val="99"/>
    <w:unhideWhenUsed/>
    <w:rsid w:val="00341ED5"/>
    <w:rPr>
      <w:sz w:val="16"/>
      <w:szCs w:val="16"/>
    </w:rPr>
  </w:style>
  <w:style w:type="paragraph" w:styleId="CommentText">
    <w:name w:val="annotation text"/>
    <w:basedOn w:val="Normal"/>
    <w:link w:val="CommentTextChar"/>
    <w:unhideWhenUsed/>
    <w:rsid w:val="00341ED5"/>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rsid w:val="00341ED5"/>
    <w:rPr>
      <w:rFonts w:asciiTheme="minorHAnsi" w:eastAsiaTheme="minorHAnsi" w:hAnsiTheme="minorHAnsi" w:cstheme="minorBidi"/>
    </w:rPr>
  </w:style>
  <w:style w:type="paragraph" w:styleId="CommentSubject">
    <w:name w:val="annotation subject"/>
    <w:basedOn w:val="CommentText"/>
    <w:next w:val="CommentText"/>
    <w:link w:val="CommentSubjectChar"/>
    <w:semiHidden/>
    <w:unhideWhenUsed/>
    <w:rsid w:val="00625BB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625BBB"/>
    <w:rPr>
      <w:rFonts w:asciiTheme="minorHAnsi" w:eastAsiaTheme="minorHAnsi" w:hAnsiTheme="minorHAnsi" w:cstheme="minorBidi"/>
      <w:b/>
      <w:bCs/>
    </w:rPr>
  </w:style>
  <w:style w:type="character" w:styleId="Hyperlink">
    <w:name w:val="Hyperlink"/>
    <w:basedOn w:val="DefaultParagraphFont"/>
    <w:unhideWhenUsed/>
    <w:rsid w:val="0052529A"/>
    <w:rPr>
      <w:color w:val="0563C1" w:themeColor="hyperlink"/>
      <w:u w:val="single"/>
    </w:rPr>
  </w:style>
  <w:style w:type="paragraph" w:styleId="Revision">
    <w:name w:val="Revision"/>
    <w:hidden/>
    <w:uiPriority w:val="99"/>
    <w:semiHidden/>
    <w:rsid w:val="001D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lka\AppData\Roaming\Microsoft\Templates\Ivey%20Case%20template%20(2013).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iz-info.ivey.ca\FacultyStaff\draiha\research\Cases\Oil%20and%20NHL\Blackhawks.xlsx" TargetMode="Externa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biz-info\FacultyStaff\draiha\research\Cases\Oil%20and%20NHL\Blackhawk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'Salary cap-floor'!$B$2</c:f>
              <c:strCache>
                <c:ptCount val="1"/>
                <c:pt idx="0">
                  <c:v>Salary cap</c:v>
                </c:pt>
              </c:strCache>
            </c:strRef>
          </c:tx>
          <c:dLbls>
            <c:dLbl>
              <c:idx val="0"/>
              <c:layout>
                <c:manualLayout>
                  <c:x val="-3.28366646476883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0-9B82-41D6-8014-DF9D7ECE04C2}"/>
                </c:ext>
              </c:extLst>
            </c:dLbl>
            <c:dLbl>
              <c:idx val="1"/>
              <c:layout>
                <c:manualLayout>
                  <c:x val="-3.28366646476883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1-9B82-41D6-8014-DF9D7ECE04C2}"/>
                </c:ext>
              </c:extLst>
            </c:dLbl>
            <c:dLbl>
              <c:idx val="2"/>
              <c:layout>
                <c:manualLayout>
                  <c:x val="-3.7110168921192503E-2"/>
                  <c:y val="-3.94944707740916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2-9B82-41D6-8014-DF9D7ECE04C2}"/>
                </c:ext>
              </c:extLst>
            </c:dLbl>
            <c:dLbl>
              <c:idx val="3"/>
              <c:layout>
                <c:manualLayout>
                  <c:x val="-3.7110337169392299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3-9B82-41D6-8014-DF9D7ECE04C2}"/>
                </c:ext>
              </c:extLst>
            </c:dLbl>
            <c:dLbl>
              <c:idx val="4"/>
              <c:layout>
                <c:manualLayout>
                  <c:x val="-3.4973416784440402E-2"/>
                  <c:y val="-2.7646129541864101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4-9B82-41D6-8014-DF9D7ECE04C2}"/>
                </c:ext>
              </c:extLst>
            </c:dLbl>
            <c:dLbl>
              <c:idx val="5"/>
              <c:layout>
                <c:manualLayout>
                  <c:x val="-3.7110168921192503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5-9B82-41D6-8014-DF9D7ECE04C2}"/>
                </c:ext>
              </c:extLst>
            </c:dLbl>
            <c:dLbl>
              <c:idx val="6"/>
              <c:layout>
                <c:manualLayout>
                  <c:x val="-3.7110168921192503E-2"/>
                  <c:y val="-2.7646129541864101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6-9B82-41D6-8014-DF9D7ECE04C2}"/>
                </c:ext>
              </c:extLst>
            </c:dLbl>
            <c:dLbl>
              <c:idx val="7"/>
              <c:layout>
                <c:manualLayout>
                  <c:x val="-3.9246921057944702E-2"/>
                  <c:y val="-3.5545023696682401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7-9B82-41D6-8014-DF9D7ECE04C2}"/>
                </c:ext>
              </c:extLst>
            </c:dLbl>
            <c:dLbl>
              <c:idx val="8"/>
              <c:layout>
                <c:manualLayout>
                  <c:x val="-3.9246921057944702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8-9B82-41D6-8014-DF9D7ECE04C2}"/>
                </c:ext>
              </c:extLst>
            </c:dLbl>
            <c:dLbl>
              <c:idx val="9"/>
              <c:layout>
                <c:manualLayout>
                  <c:x val="-3.7110168921192503E-2"/>
                  <c:y val="-2.7646129541864101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9-9B82-41D6-8014-DF9D7ECE04C2}"/>
                </c:ext>
              </c:extLst>
            </c:dLbl>
            <c:numFmt formatCode="#,##0.0" sourceLinked="0"/>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'Salary cap-floor'!$A$3:$A$12</c:f>
              <c:strCache>
                <c:ptCount val="10"/>
                <c:pt idx="0">
                  <c:v>05-06</c:v>
                </c:pt>
                <c:pt idx="1">
                  <c:v>06-07</c:v>
                </c:pt>
                <c:pt idx="2">
                  <c:v>07-08</c:v>
                </c:pt>
                <c:pt idx="3">
                  <c:v>08-09</c:v>
                </c:pt>
                <c:pt idx="4">
                  <c:v>09-10</c:v>
                </c:pt>
                <c:pt idx="5">
                  <c:v>10-11</c:v>
                </c:pt>
                <c:pt idx="6">
                  <c:v>11-12</c:v>
                </c:pt>
                <c:pt idx="7">
                  <c:v>12-13</c:v>
                </c:pt>
                <c:pt idx="8">
                  <c:v>13-14</c:v>
                </c:pt>
                <c:pt idx="9">
                  <c:v>14-15</c:v>
                </c:pt>
              </c:strCache>
            </c:strRef>
          </c:cat>
          <c:val>
            <c:numRef>
              <c:f>'Salary cap-floor'!$B$3:$B$12</c:f>
              <c:numCache>
                <c:formatCode>_-[$$-409]* #,##0_ ;_-[$$-409]* \-#,##0\ ;_-[$$-409]* "-"??_ ;_-@_ </c:formatCode>
                <c:ptCount val="10"/>
                <c:pt idx="0">
                  <c:v>39000000</c:v>
                </c:pt>
                <c:pt idx="1">
                  <c:v>44000000</c:v>
                </c:pt>
                <c:pt idx="2">
                  <c:v>50300000</c:v>
                </c:pt>
                <c:pt idx="3">
                  <c:v>56700000</c:v>
                </c:pt>
                <c:pt idx="4">
                  <c:v>56800000</c:v>
                </c:pt>
                <c:pt idx="5">
                  <c:v>59400000</c:v>
                </c:pt>
                <c:pt idx="6">
                  <c:v>64300000</c:v>
                </c:pt>
                <c:pt idx="7">
                  <c:v>60000000</c:v>
                </c:pt>
                <c:pt idx="8">
                  <c:v>64300000</c:v>
                </c:pt>
                <c:pt idx="9">
                  <c:v>69000000</c:v>
                </c:pt>
              </c:numCache>
            </c:numRef>
          </c:val>
          <c:smooth val="0"/>
          <c:extLst xmlns:c16r2="http://schemas.microsoft.com/office/drawing/2015/06/chart">
            <c:ext xmlns:c16="http://schemas.microsoft.com/office/drawing/2014/chart" uri="{C3380CC4-5D6E-409C-BE32-E72D297353CC}">
              <c16:uniqueId val="{00000000-6C6C-48C4-9290-A6CFC4D7ADE7}"/>
            </c:ext>
          </c:extLst>
        </c:ser>
        <c:ser>
          <c:idx val="1"/>
          <c:order val="1"/>
          <c:tx>
            <c:strRef>
              <c:f>'Salary cap-floor'!$C$2</c:f>
              <c:strCache>
                <c:ptCount val="1"/>
                <c:pt idx="0">
                  <c:v>Salary floor</c:v>
                </c:pt>
              </c:strCache>
            </c:strRef>
          </c:tx>
          <c:dLbls>
            <c:dLbl>
              <c:idx val="0"/>
              <c:layout>
                <c:manualLayout>
                  <c:x val="-3.0699912510936098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A-9B82-41D6-8014-DF9D7ECE04C2}"/>
                </c:ext>
              </c:extLst>
            </c:dLbl>
            <c:dLbl>
              <c:idx val="1"/>
              <c:layout>
                <c:manualLayout>
                  <c:x val="-3.0699912510936098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B-9B82-41D6-8014-DF9D7ECE04C2}"/>
                </c:ext>
              </c:extLst>
            </c:dLbl>
            <c:dLbl>
              <c:idx val="2"/>
              <c:layout>
                <c:manualLayout>
                  <c:x val="-3.4973416784440402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C-9B82-41D6-8014-DF9D7ECE04C2}"/>
                </c:ext>
              </c:extLst>
            </c:dLbl>
            <c:dLbl>
              <c:idx val="3"/>
              <c:layout>
                <c:manualLayout>
                  <c:x val="-3.4973416784440402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D-9B82-41D6-8014-DF9D7ECE04C2}"/>
                </c:ext>
              </c:extLst>
            </c:dLbl>
            <c:dLbl>
              <c:idx val="4"/>
              <c:layout>
                <c:manualLayout>
                  <c:x val="-3.4973416784440402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E-9B82-41D6-8014-DF9D7ECE04C2}"/>
                </c:ext>
              </c:extLst>
            </c:dLbl>
            <c:dLbl>
              <c:idx val="5"/>
              <c:layout>
                <c:manualLayout>
                  <c:x val="-3.4973416784440402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F-9B82-41D6-8014-DF9D7ECE04C2}"/>
                </c:ext>
              </c:extLst>
            </c:dLbl>
            <c:dLbl>
              <c:idx val="6"/>
              <c:layout>
                <c:manualLayout>
                  <c:x val="-3.0699912510936098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10-9B82-41D6-8014-DF9D7ECE04C2}"/>
                </c:ext>
              </c:extLst>
            </c:dLbl>
            <c:dLbl>
              <c:idx val="7"/>
              <c:layout>
                <c:manualLayout>
                  <c:x val="-3.4973416784440402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11-9B82-41D6-8014-DF9D7ECE04C2}"/>
                </c:ext>
              </c:extLst>
            </c:dLbl>
            <c:dLbl>
              <c:idx val="8"/>
              <c:layout>
                <c:manualLayout>
                  <c:x val="-3.4973416784440402E-2"/>
                  <c:y val="-3.554502369668249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12-9B82-41D6-8014-DF9D7ECE04C2}"/>
                </c:ext>
              </c:extLst>
            </c:dLbl>
            <c:dLbl>
              <c:idx val="9"/>
              <c:layout>
                <c:manualLayout>
                  <c:x val="-3.28366646476883E-2"/>
                  <c:y val="-3.159557661927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13-9B82-41D6-8014-DF9D7ECE04C2}"/>
                </c:ext>
              </c:extLst>
            </c:dLbl>
            <c:numFmt formatCode="#,##0.0" sourceLinked="0"/>
            <c:spPr>
              <a:noFill/>
              <a:ln>
                <a:noFill/>
              </a:ln>
              <a:effectLst/>
            </c:spPr>
            <c:txPr>
              <a:bodyPr rot="0" vert="horz"/>
              <a:lstStyle/>
              <a:p>
                <a:pPr>
                  <a:defRPr sz="900">
                    <a:latin typeface="Arial" panose="020B0604020202020204" pitchFamily="34" charset="0"/>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'Salary cap-floor'!$A$3:$A$12</c:f>
              <c:strCache>
                <c:ptCount val="10"/>
                <c:pt idx="0">
                  <c:v>05-06</c:v>
                </c:pt>
                <c:pt idx="1">
                  <c:v>06-07</c:v>
                </c:pt>
                <c:pt idx="2">
                  <c:v>07-08</c:v>
                </c:pt>
                <c:pt idx="3">
                  <c:v>08-09</c:v>
                </c:pt>
                <c:pt idx="4">
                  <c:v>09-10</c:v>
                </c:pt>
                <c:pt idx="5">
                  <c:v>10-11</c:v>
                </c:pt>
                <c:pt idx="6">
                  <c:v>11-12</c:v>
                </c:pt>
                <c:pt idx="7">
                  <c:v>12-13</c:v>
                </c:pt>
                <c:pt idx="8">
                  <c:v>13-14</c:v>
                </c:pt>
                <c:pt idx="9">
                  <c:v>14-15</c:v>
                </c:pt>
              </c:strCache>
            </c:strRef>
          </c:cat>
          <c:val>
            <c:numRef>
              <c:f>'Salary cap-floor'!$C$3:$C$12</c:f>
              <c:numCache>
                <c:formatCode>_-[$$-409]* #,##0_ ;_-[$$-409]* \-#,##0\ ;_-[$$-409]* "-"??_ ;_-@_ </c:formatCode>
                <c:ptCount val="10"/>
                <c:pt idx="0">
                  <c:v>21500000</c:v>
                </c:pt>
                <c:pt idx="1">
                  <c:v>28000000</c:v>
                </c:pt>
                <c:pt idx="2">
                  <c:v>34300000</c:v>
                </c:pt>
                <c:pt idx="3">
                  <c:v>40700000</c:v>
                </c:pt>
                <c:pt idx="4">
                  <c:v>40800000</c:v>
                </c:pt>
                <c:pt idx="5">
                  <c:v>43400000</c:v>
                </c:pt>
                <c:pt idx="6">
                  <c:v>48300000</c:v>
                </c:pt>
                <c:pt idx="7">
                  <c:v>44000000</c:v>
                </c:pt>
                <c:pt idx="8">
                  <c:v>47500000</c:v>
                </c:pt>
                <c:pt idx="9">
                  <c:v>51000000</c:v>
                </c:pt>
              </c:numCache>
            </c:numRef>
          </c:val>
          <c:smooth val="0"/>
          <c:extLst xmlns:c16r2="http://schemas.microsoft.com/office/drawing/2015/06/chart">
            <c:ext xmlns:c16="http://schemas.microsoft.com/office/drawing/2014/chart" uri="{C3380CC4-5D6E-409C-BE32-E72D297353CC}">
              <c16:uniqueId val="{00000001-6C6C-48C4-9290-A6CFC4D7ADE7}"/>
            </c:ext>
          </c:extLst>
        </c:ser>
        <c:dLbls>
          <c:dLblPos val="ctr"/>
          <c:showLegendKey val="0"/>
          <c:showVal val="1"/>
          <c:showCatName val="0"/>
          <c:showSerName val="0"/>
          <c:showPercent val="0"/>
          <c:showBubbleSize val="0"/>
        </c:dLbls>
        <c:marker val="1"/>
        <c:smooth val="0"/>
        <c:axId val="126439808"/>
        <c:axId val="126442496"/>
      </c:lineChart>
      <c:catAx>
        <c:axId val="126439808"/>
        <c:scaling>
          <c:orientation val="minMax"/>
        </c:scaling>
        <c:delete val="0"/>
        <c:axPos val="b"/>
        <c:title>
          <c:tx>
            <c:rich>
              <a:bodyPr rot="0" vert="horz"/>
              <a:lstStyle/>
              <a:p>
                <a:pPr>
                  <a:defRPr sz="900" baseline="-25000">
                    <a:latin typeface="Arial" panose="020B0604020202020204" pitchFamily="34" charset="0"/>
                    <a:cs typeface="Arial" panose="020B0604020202020204" pitchFamily="34" charset="0"/>
                  </a:defRPr>
                </a:pPr>
                <a:r>
                  <a:rPr lang="en-US" sz="900" baseline="-25000">
                    <a:latin typeface="Arial" panose="020B0604020202020204" pitchFamily="34" charset="0"/>
                    <a:cs typeface="Arial" panose="020B0604020202020204" pitchFamily="34" charset="0"/>
                  </a:rPr>
                  <a:t>Season</a:t>
                </a:r>
              </a:p>
            </c:rich>
          </c:tx>
          <c:overlay val="0"/>
        </c:title>
        <c:numFmt formatCode="_-[$$-409]* #,##0_ ;_-[$$-409]* \-#,##0\ ;_-[$$-409]* &quot;-&quot;??_ ;_-@_ " sourceLinked="0"/>
        <c:majorTickMark val="none"/>
        <c:minorTickMark val="none"/>
        <c:tickLblPos val="nextTo"/>
        <c:txPr>
          <a:bodyPr rot="-60000000" vert="horz"/>
          <a:lstStyle/>
          <a:p>
            <a:pPr>
              <a:defRPr sz="900">
                <a:latin typeface="Arial" panose="020B0604020202020204" pitchFamily="34" charset="0"/>
                <a:cs typeface="Arial" panose="020B0604020202020204" pitchFamily="34" charset="0"/>
              </a:defRPr>
            </a:pPr>
            <a:endParaRPr lang="en-US"/>
          </a:p>
        </c:txPr>
        <c:crossAx val="126442496"/>
        <c:crosses val="autoZero"/>
        <c:auto val="1"/>
        <c:lblAlgn val="ctr"/>
        <c:lblOffset val="100"/>
        <c:noMultiLvlLbl val="0"/>
      </c:catAx>
      <c:valAx>
        <c:axId val="126442496"/>
        <c:scaling>
          <c:orientation val="minMax"/>
        </c:scaling>
        <c:delete val="1"/>
        <c:axPos val="l"/>
        <c:title>
          <c:tx>
            <c:rich>
              <a:bodyPr rot="-5400000" vert="horz"/>
              <a:lstStyle/>
              <a:p>
                <a:pPr>
                  <a:defRPr sz="900">
                    <a:latin typeface="Arial" panose="020B0604020202020204" pitchFamily="34" charset="0"/>
                    <a:cs typeface="Arial" panose="020B0604020202020204" pitchFamily="34" charset="0"/>
                  </a:defRPr>
                </a:pPr>
                <a:r>
                  <a:rPr lang="en-US" sz="900">
                    <a:latin typeface="Arial" panose="020B0604020202020204" pitchFamily="34" charset="0"/>
                    <a:cs typeface="Arial" panose="020B0604020202020204" pitchFamily="34" charset="0"/>
                  </a:rPr>
                  <a:t>US$ Million</a:t>
                </a:r>
              </a:p>
            </c:rich>
          </c:tx>
          <c:overlay val="0"/>
        </c:title>
        <c:numFmt formatCode="_-[$$-409]* #,##0_ ;_-[$$-409]* \-#,##0\ ;_-[$$-409]* &quot;-&quot;??_ ;_-@_ " sourceLinked="1"/>
        <c:majorTickMark val="none"/>
        <c:minorTickMark val="none"/>
        <c:tickLblPos val="nextTo"/>
        <c:crossAx val="126439808"/>
        <c:crosses val="autoZero"/>
        <c:crossBetween val="between"/>
        <c:dispUnits>
          <c:builtInUnit val="millions"/>
        </c:dispUnits>
      </c:valAx>
    </c:plotArea>
    <c:legend>
      <c:legendPos val="b"/>
      <c:overlay val="0"/>
      <c:txPr>
        <a:bodyPr rot="0" vert="horz"/>
        <a:lstStyle/>
        <a:p>
          <a:pPr>
            <a:defRPr sz="9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000">
                <a:solidFill>
                  <a:sysClr val="windowText" lastClr="000000"/>
                </a:solidFill>
                <a:latin typeface="Arial" panose="020B0604020202020204" pitchFamily="34" charset="0"/>
                <a:cs typeface="Arial" panose="020B0604020202020204" pitchFamily="34" charset="0"/>
              </a:rPr>
              <a:t>PRICE OF OIL</a:t>
            </a:r>
            <a:r>
              <a:rPr lang="en-US" sz="1000" baseline="0">
                <a:solidFill>
                  <a:sysClr val="windowText" lastClr="000000"/>
                </a:solidFill>
                <a:latin typeface="Arial" panose="020B0604020202020204" pitchFamily="34" charset="0"/>
                <a:cs typeface="Arial" panose="020B0604020202020204" pitchFamily="34" charset="0"/>
              </a:rPr>
              <a:t> (U.S. dollars)</a:t>
            </a:r>
            <a:endParaRPr lang="en-US" sz="10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itle>
    <c:autoTitleDeleted val="0"/>
    <c:plotArea>
      <c:layout/>
      <c:lineChart>
        <c:grouping val="standard"/>
        <c:varyColors val="0"/>
        <c:ser>
          <c:idx val="0"/>
          <c:order val="0"/>
          <c:tx>
            <c:strRef>
              <c:f>'Oil Price 2013-15'!$B$1</c:f>
              <c:strCache>
                <c:ptCount val="1"/>
                <c:pt idx="0">
                  <c:v>Price</c:v>
                </c:pt>
              </c:strCache>
            </c:strRef>
          </c:tx>
          <c:spPr>
            <a:ln w="28575" cap="rnd">
              <a:solidFill>
                <a:sysClr val="windowText" lastClr="000000"/>
              </a:solidFill>
              <a:round/>
            </a:ln>
            <a:effectLst/>
          </c:spPr>
          <c:marker>
            <c:symbol val="none"/>
          </c:marker>
          <c:cat>
            <c:numRef>
              <c:f>'Oil Price 2013-15'!$A$2:$A$441</c:f>
              <c:numCache>
                <c:formatCode>mmm\ dd\,\ yyyy</c:formatCode>
                <c:ptCount val="440"/>
                <c:pt idx="0">
                  <c:v>41548</c:v>
                </c:pt>
                <c:pt idx="1">
                  <c:v>41549</c:v>
                </c:pt>
                <c:pt idx="2">
                  <c:v>41550</c:v>
                </c:pt>
                <c:pt idx="3">
                  <c:v>41551</c:v>
                </c:pt>
                <c:pt idx="4">
                  <c:v>41554</c:v>
                </c:pt>
                <c:pt idx="5">
                  <c:v>41555</c:v>
                </c:pt>
                <c:pt idx="6">
                  <c:v>41556</c:v>
                </c:pt>
                <c:pt idx="7">
                  <c:v>41557</c:v>
                </c:pt>
                <c:pt idx="8">
                  <c:v>41558</c:v>
                </c:pt>
                <c:pt idx="9">
                  <c:v>41561</c:v>
                </c:pt>
                <c:pt idx="10">
                  <c:v>41562</c:v>
                </c:pt>
                <c:pt idx="11">
                  <c:v>41563</c:v>
                </c:pt>
                <c:pt idx="12">
                  <c:v>41564</c:v>
                </c:pt>
                <c:pt idx="13">
                  <c:v>41565</c:v>
                </c:pt>
                <c:pt idx="14">
                  <c:v>41568</c:v>
                </c:pt>
                <c:pt idx="15">
                  <c:v>41569</c:v>
                </c:pt>
                <c:pt idx="16">
                  <c:v>41570</c:v>
                </c:pt>
                <c:pt idx="17">
                  <c:v>41571</c:v>
                </c:pt>
                <c:pt idx="18">
                  <c:v>41572</c:v>
                </c:pt>
                <c:pt idx="19">
                  <c:v>41575</c:v>
                </c:pt>
                <c:pt idx="20">
                  <c:v>41576</c:v>
                </c:pt>
                <c:pt idx="21">
                  <c:v>41577</c:v>
                </c:pt>
                <c:pt idx="22">
                  <c:v>41578</c:v>
                </c:pt>
                <c:pt idx="23">
                  <c:v>41579</c:v>
                </c:pt>
                <c:pt idx="24">
                  <c:v>41582</c:v>
                </c:pt>
                <c:pt idx="25">
                  <c:v>41583</c:v>
                </c:pt>
                <c:pt idx="26">
                  <c:v>41584</c:v>
                </c:pt>
                <c:pt idx="27">
                  <c:v>41585</c:v>
                </c:pt>
                <c:pt idx="28">
                  <c:v>41586</c:v>
                </c:pt>
                <c:pt idx="29">
                  <c:v>41589</c:v>
                </c:pt>
                <c:pt idx="30">
                  <c:v>41590</c:v>
                </c:pt>
                <c:pt idx="31">
                  <c:v>41591</c:v>
                </c:pt>
                <c:pt idx="32">
                  <c:v>41592</c:v>
                </c:pt>
                <c:pt idx="33">
                  <c:v>41593</c:v>
                </c:pt>
                <c:pt idx="34">
                  <c:v>41596</c:v>
                </c:pt>
                <c:pt idx="35">
                  <c:v>41597</c:v>
                </c:pt>
                <c:pt idx="36">
                  <c:v>41598</c:v>
                </c:pt>
                <c:pt idx="37">
                  <c:v>41599</c:v>
                </c:pt>
                <c:pt idx="38">
                  <c:v>41600</c:v>
                </c:pt>
                <c:pt idx="39">
                  <c:v>41603</c:v>
                </c:pt>
                <c:pt idx="40">
                  <c:v>41604</c:v>
                </c:pt>
                <c:pt idx="41">
                  <c:v>41605</c:v>
                </c:pt>
                <c:pt idx="42">
                  <c:v>41607</c:v>
                </c:pt>
                <c:pt idx="43">
                  <c:v>41610</c:v>
                </c:pt>
                <c:pt idx="44">
                  <c:v>41611</c:v>
                </c:pt>
                <c:pt idx="45">
                  <c:v>41612</c:v>
                </c:pt>
                <c:pt idx="46">
                  <c:v>41613</c:v>
                </c:pt>
                <c:pt idx="47">
                  <c:v>41614</c:v>
                </c:pt>
                <c:pt idx="48">
                  <c:v>41617</c:v>
                </c:pt>
                <c:pt idx="49">
                  <c:v>41618</c:v>
                </c:pt>
                <c:pt idx="50">
                  <c:v>41619</c:v>
                </c:pt>
                <c:pt idx="51">
                  <c:v>41620</c:v>
                </c:pt>
                <c:pt idx="52">
                  <c:v>41621</c:v>
                </c:pt>
                <c:pt idx="53">
                  <c:v>41624</c:v>
                </c:pt>
                <c:pt idx="54">
                  <c:v>41625</c:v>
                </c:pt>
                <c:pt idx="55">
                  <c:v>41626</c:v>
                </c:pt>
                <c:pt idx="56">
                  <c:v>41627</c:v>
                </c:pt>
                <c:pt idx="57">
                  <c:v>41628</c:v>
                </c:pt>
                <c:pt idx="58">
                  <c:v>41631</c:v>
                </c:pt>
                <c:pt idx="59">
                  <c:v>41632</c:v>
                </c:pt>
                <c:pt idx="60">
                  <c:v>41634</c:v>
                </c:pt>
                <c:pt idx="61">
                  <c:v>41635</c:v>
                </c:pt>
                <c:pt idx="62">
                  <c:v>41638</c:v>
                </c:pt>
                <c:pt idx="63">
                  <c:v>41639</c:v>
                </c:pt>
                <c:pt idx="64">
                  <c:v>41641</c:v>
                </c:pt>
                <c:pt idx="65">
                  <c:v>41642</c:v>
                </c:pt>
                <c:pt idx="66">
                  <c:v>41645</c:v>
                </c:pt>
                <c:pt idx="67">
                  <c:v>41646</c:v>
                </c:pt>
                <c:pt idx="68">
                  <c:v>41647</c:v>
                </c:pt>
                <c:pt idx="69">
                  <c:v>41648</c:v>
                </c:pt>
                <c:pt idx="70">
                  <c:v>41649</c:v>
                </c:pt>
                <c:pt idx="71">
                  <c:v>41652</c:v>
                </c:pt>
                <c:pt idx="72">
                  <c:v>41653</c:v>
                </c:pt>
                <c:pt idx="73">
                  <c:v>41654</c:v>
                </c:pt>
                <c:pt idx="74">
                  <c:v>41655</c:v>
                </c:pt>
                <c:pt idx="75">
                  <c:v>41656</c:v>
                </c:pt>
                <c:pt idx="76">
                  <c:v>41660</c:v>
                </c:pt>
                <c:pt idx="77">
                  <c:v>41661</c:v>
                </c:pt>
                <c:pt idx="78">
                  <c:v>41662</c:v>
                </c:pt>
                <c:pt idx="79">
                  <c:v>41663</c:v>
                </c:pt>
                <c:pt idx="80">
                  <c:v>41666</c:v>
                </c:pt>
                <c:pt idx="81">
                  <c:v>41667</c:v>
                </c:pt>
                <c:pt idx="82">
                  <c:v>41668</c:v>
                </c:pt>
                <c:pt idx="83">
                  <c:v>41669</c:v>
                </c:pt>
                <c:pt idx="84">
                  <c:v>41670</c:v>
                </c:pt>
                <c:pt idx="85">
                  <c:v>41673</c:v>
                </c:pt>
                <c:pt idx="86">
                  <c:v>41674</c:v>
                </c:pt>
                <c:pt idx="87">
                  <c:v>41675</c:v>
                </c:pt>
                <c:pt idx="88">
                  <c:v>41676</c:v>
                </c:pt>
                <c:pt idx="89">
                  <c:v>41677</c:v>
                </c:pt>
                <c:pt idx="90">
                  <c:v>41680</c:v>
                </c:pt>
                <c:pt idx="91">
                  <c:v>41681</c:v>
                </c:pt>
                <c:pt idx="92">
                  <c:v>41682</c:v>
                </c:pt>
                <c:pt idx="93">
                  <c:v>41683</c:v>
                </c:pt>
                <c:pt idx="94">
                  <c:v>41684</c:v>
                </c:pt>
                <c:pt idx="95">
                  <c:v>41688</c:v>
                </c:pt>
                <c:pt idx="96">
                  <c:v>41689</c:v>
                </c:pt>
                <c:pt idx="97">
                  <c:v>41690</c:v>
                </c:pt>
                <c:pt idx="98">
                  <c:v>41691</c:v>
                </c:pt>
                <c:pt idx="99">
                  <c:v>41694</c:v>
                </c:pt>
                <c:pt idx="100">
                  <c:v>41695</c:v>
                </c:pt>
                <c:pt idx="101">
                  <c:v>41696</c:v>
                </c:pt>
                <c:pt idx="102">
                  <c:v>41697</c:v>
                </c:pt>
                <c:pt idx="103">
                  <c:v>41698</c:v>
                </c:pt>
                <c:pt idx="104">
                  <c:v>41701</c:v>
                </c:pt>
                <c:pt idx="105">
                  <c:v>41702</c:v>
                </c:pt>
                <c:pt idx="106">
                  <c:v>41703</c:v>
                </c:pt>
                <c:pt idx="107">
                  <c:v>41704</c:v>
                </c:pt>
                <c:pt idx="108">
                  <c:v>41705</c:v>
                </c:pt>
                <c:pt idx="109">
                  <c:v>41708</c:v>
                </c:pt>
                <c:pt idx="110">
                  <c:v>41709</c:v>
                </c:pt>
                <c:pt idx="111">
                  <c:v>41710</c:v>
                </c:pt>
                <c:pt idx="112">
                  <c:v>41711</c:v>
                </c:pt>
                <c:pt idx="113">
                  <c:v>41712</c:v>
                </c:pt>
                <c:pt idx="114">
                  <c:v>41715</c:v>
                </c:pt>
                <c:pt idx="115">
                  <c:v>41716</c:v>
                </c:pt>
                <c:pt idx="116">
                  <c:v>41717</c:v>
                </c:pt>
                <c:pt idx="117">
                  <c:v>41718</c:v>
                </c:pt>
                <c:pt idx="118">
                  <c:v>41719</c:v>
                </c:pt>
                <c:pt idx="119">
                  <c:v>41722</c:v>
                </c:pt>
                <c:pt idx="120">
                  <c:v>41723</c:v>
                </c:pt>
                <c:pt idx="121">
                  <c:v>41724</c:v>
                </c:pt>
                <c:pt idx="122">
                  <c:v>41725</c:v>
                </c:pt>
                <c:pt idx="123">
                  <c:v>41726</c:v>
                </c:pt>
                <c:pt idx="124">
                  <c:v>41729</c:v>
                </c:pt>
                <c:pt idx="125">
                  <c:v>41730</c:v>
                </c:pt>
                <c:pt idx="126">
                  <c:v>41731</c:v>
                </c:pt>
                <c:pt idx="127">
                  <c:v>41732</c:v>
                </c:pt>
                <c:pt idx="128">
                  <c:v>41733</c:v>
                </c:pt>
                <c:pt idx="129">
                  <c:v>41736</c:v>
                </c:pt>
                <c:pt idx="130">
                  <c:v>41737</c:v>
                </c:pt>
                <c:pt idx="131">
                  <c:v>41738</c:v>
                </c:pt>
                <c:pt idx="132">
                  <c:v>41739</c:v>
                </c:pt>
                <c:pt idx="133">
                  <c:v>41740</c:v>
                </c:pt>
                <c:pt idx="134">
                  <c:v>41743</c:v>
                </c:pt>
                <c:pt idx="135">
                  <c:v>41744</c:v>
                </c:pt>
                <c:pt idx="136">
                  <c:v>41745</c:v>
                </c:pt>
                <c:pt idx="137">
                  <c:v>41746</c:v>
                </c:pt>
                <c:pt idx="138">
                  <c:v>41750</c:v>
                </c:pt>
                <c:pt idx="139">
                  <c:v>41751</c:v>
                </c:pt>
                <c:pt idx="140">
                  <c:v>41752</c:v>
                </c:pt>
                <c:pt idx="141">
                  <c:v>41753</c:v>
                </c:pt>
                <c:pt idx="142">
                  <c:v>41754</c:v>
                </c:pt>
                <c:pt idx="143">
                  <c:v>41757</c:v>
                </c:pt>
                <c:pt idx="144">
                  <c:v>41758</c:v>
                </c:pt>
                <c:pt idx="145">
                  <c:v>41759</c:v>
                </c:pt>
                <c:pt idx="146">
                  <c:v>41760</c:v>
                </c:pt>
                <c:pt idx="147">
                  <c:v>41761</c:v>
                </c:pt>
                <c:pt idx="148">
                  <c:v>41764</c:v>
                </c:pt>
                <c:pt idx="149">
                  <c:v>41765</c:v>
                </c:pt>
                <c:pt idx="150">
                  <c:v>41766</c:v>
                </c:pt>
                <c:pt idx="151">
                  <c:v>41767</c:v>
                </c:pt>
                <c:pt idx="152">
                  <c:v>41768</c:v>
                </c:pt>
                <c:pt idx="153">
                  <c:v>41771</c:v>
                </c:pt>
                <c:pt idx="154">
                  <c:v>41772</c:v>
                </c:pt>
                <c:pt idx="155">
                  <c:v>41773</c:v>
                </c:pt>
                <c:pt idx="156">
                  <c:v>41774</c:v>
                </c:pt>
                <c:pt idx="157">
                  <c:v>41775</c:v>
                </c:pt>
                <c:pt idx="158">
                  <c:v>41778</c:v>
                </c:pt>
                <c:pt idx="159">
                  <c:v>41779</c:v>
                </c:pt>
                <c:pt idx="160">
                  <c:v>41780</c:v>
                </c:pt>
                <c:pt idx="161">
                  <c:v>41781</c:v>
                </c:pt>
                <c:pt idx="162">
                  <c:v>41782</c:v>
                </c:pt>
                <c:pt idx="163">
                  <c:v>41786</c:v>
                </c:pt>
                <c:pt idx="164">
                  <c:v>41787</c:v>
                </c:pt>
                <c:pt idx="165">
                  <c:v>41788</c:v>
                </c:pt>
                <c:pt idx="166">
                  <c:v>41789</c:v>
                </c:pt>
                <c:pt idx="167">
                  <c:v>41792</c:v>
                </c:pt>
                <c:pt idx="168">
                  <c:v>41793</c:v>
                </c:pt>
                <c:pt idx="169">
                  <c:v>41794</c:v>
                </c:pt>
                <c:pt idx="170">
                  <c:v>41795</c:v>
                </c:pt>
                <c:pt idx="171">
                  <c:v>41796</c:v>
                </c:pt>
                <c:pt idx="172">
                  <c:v>41799</c:v>
                </c:pt>
                <c:pt idx="173">
                  <c:v>41800</c:v>
                </c:pt>
                <c:pt idx="174">
                  <c:v>41801</c:v>
                </c:pt>
                <c:pt idx="175">
                  <c:v>41802</c:v>
                </c:pt>
                <c:pt idx="176">
                  <c:v>41803</c:v>
                </c:pt>
                <c:pt idx="177">
                  <c:v>41806</c:v>
                </c:pt>
                <c:pt idx="178">
                  <c:v>41807</c:v>
                </c:pt>
                <c:pt idx="179">
                  <c:v>41808</c:v>
                </c:pt>
                <c:pt idx="180">
                  <c:v>41809</c:v>
                </c:pt>
                <c:pt idx="181">
                  <c:v>41810</c:v>
                </c:pt>
                <c:pt idx="182">
                  <c:v>41813</c:v>
                </c:pt>
                <c:pt idx="183">
                  <c:v>41814</c:v>
                </c:pt>
                <c:pt idx="184">
                  <c:v>41815</c:v>
                </c:pt>
                <c:pt idx="185">
                  <c:v>41816</c:v>
                </c:pt>
                <c:pt idx="186">
                  <c:v>41817</c:v>
                </c:pt>
                <c:pt idx="187">
                  <c:v>41820</c:v>
                </c:pt>
                <c:pt idx="188">
                  <c:v>41821</c:v>
                </c:pt>
                <c:pt idx="189">
                  <c:v>41822</c:v>
                </c:pt>
                <c:pt idx="190">
                  <c:v>41823</c:v>
                </c:pt>
                <c:pt idx="191">
                  <c:v>41827</c:v>
                </c:pt>
                <c:pt idx="192">
                  <c:v>41828</c:v>
                </c:pt>
                <c:pt idx="193">
                  <c:v>41829</c:v>
                </c:pt>
                <c:pt idx="194">
                  <c:v>41830</c:v>
                </c:pt>
                <c:pt idx="195">
                  <c:v>41831</c:v>
                </c:pt>
                <c:pt idx="196">
                  <c:v>41834</c:v>
                </c:pt>
                <c:pt idx="197">
                  <c:v>41835</c:v>
                </c:pt>
                <c:pt idx="198">
                  <c:v>41836</c:v>
                </c:pt>
                <c:pt idx="199">
                  <c:v>41837</c:v>
                </c:pt>
                <c:pt idx="200">
                  <c:v>41838</c:v>
                </c:pt>
                <c:pt idx="201">
                  <c:v>41841</c:v>
                </c:pt>
                <c:pt idx="202">
                  <c:v>41842</c:v>
                </c:pt>
                <c:pt idx="203">
                  <c:v>41843</c:v>
                </c:pt>
                <c:pt idx="204">
                  <c:v>41844</c:v>
                </c:pt>
                <c:pt idx="205">
                  <c:v>41845</c:v>
                </c:pt>
                <c:pt idx="206">
                  <c:v>41848</c:v>
                </c:pt>
                <c:pt idx="207">
                  <c:v>41849</c:v>
                </c:pt>
                <c:pt idx="208">
                  <c:v>41850</c:v>
                </c:pt>
                <c:pt idx="209">
                  <c:v>41851</c:v>
                </c:pt>
                <c:pt idx="210">
                  <c:v>41852</c:v>
                </c:pt>
                <c:pt idx="211">
                  <c:v>41855</c:v>
                </c:pt>
                <c:pt idx="212">
                  <c:v>41856</c:v>
                </c:pt>
                <c:pt idx="213">
                  <c:v>41857</c:v>
                </c:pt>
                <c:pt idx="214">
                  <c:v>41858</c:v>
                </c:pt>
                <c:pt idx="215">
                  <c:v>41859</c:v>
                </c:pt>
                <c:pt idx="216">
                  <c:v>41862</c:v>
                </c:pt>
                <c:pt idx="217">
                  <c:v>41863</c:v>
                </c:pt>
                <c:pt idx="218">
                  <c:v>41864</c:v>
                </c:pt>
                <c:pt idx="219">
                  <c:v>41865</c:v>
                </c:pt>
                <c:pt idx="220">
                  <c:v>41866</c:v>
                </c:pt>
                <c:pt idx="221">
                  <c:v>41869</c:v>
                </c:pt>
                <c:pt idx="222">
                  <c:v>41870</c:v>
                </c:pt>
                <c:pt idx="223">
                  <c:v>41871</c:v>
                </c:pt>
                <c:pt idx="224">
                  <c:v>41872</c:v>
                </c:pt>
                <c:pt idx="225">
                  <c:v>41873</c:v>
                </c:pt>
                <c:pt idx="226">
                  <c:v>41876</c:v>
                </c:pt>
                <c:pt idx="227">
                  <c:v>41877</c:v>
                </c:pt>
                <c:pt idx="228">
                  <c:v>41878</c:v>
                </c:pt>
                <c:pt idx="229">
                  <c:v>41879</c:v>
                </c:pt>
                <c:pt idx="230">
                  <c:v>41880</c:v>
                </c:pt>
                <c:pt idx="231">
                  <c:v>41884</c:v>
                </c:pt>
                <c:pt idx="232">
                  <c:v>41885</c:v>
                </c:pt>
                <c:pt idx="233">
                  <c:v>41886</c:v>
                </c:pt>
                <c:pt idx="234">
                  <c:v>41887</c:v>
                </c:pt>
                <c:pt idx="235">
                  <c:v>41890</c:v>
                </c:pt>
                <c:pt idx="236">
                  <c:v>41891</c:v>
                </c:pt>
                <c:pt idx="237">
                  <c:v>41892</c:v>
                </c:pt>
                <c:pt idx="238">
                  <c:v>41893</c:v>
                </c:pt>
                <c:pt idx="239">
                  <c:v>41894</c:v>
                </c:pt>
                <c:pt idx="240">
                  <c:v>41897</c:v>
                </c:pt>
                <c:pt idx="241">
                  <c:v>41898</c:v>
                </c:pt>
                <c:pt idx="242">
                  <c:v>41899</c:v>
                </c:pt>
                <c:pt idx="243">
                  <c:v>41900</c:v>
                </c:pt>
                <c:pt idx="244">
                  <c:v>41901</c:v>
                </c:pt>
                <c:pt idx="245">
                  <c:v>41904</c:v>
                </c:pt>
                <c:pt idx="246">
                  <c:v>41905</c:v>
                </c:pt>
                <c:pt idx="247">
                  <c:v>41906</c:v>
                </c:pt>
                <c:pt idx="248">
                  <c:v>41907</c:v>
                </c:pt>
                <c:pt idx="249">
                  <c:v>41908</c:v>
                </c:pt>
                <c:pt idx="250">
                  <c:v>41911</c:v>
                </c:pt>
                <c:pt idx="251">
                  <c:v>41912</c:v>
                </c:pt>
                <c:pt idx="252">
                  <c:v>41913</c:v>
                </c:pt>
                <c:pt idx="253">
                  <c:v>41914</c:v>
                </c:pt>
                <c:pt idx="254">
                  <c:v>41915</c:v>
                </c:pt>
                <c:pt idx="255">
                  <c:v>41918</c:v>
                </c:pt>
                <c:pt idx="256">
                  <c:v>41919</c:v>
                </c:pt>
                <c:pt idx="257">
                  <c:v>41920</c:v>
                </c:pt>
                <c:pt idx="258">
                  <c:v>41921</c:v>
                </c:pt>
                <c:pt idx="259">
                  <c:v>41922</c:v>
                </c:pt>
                <c:pt idx="260">
                  <c:v>41925</c:v>
                </c:pt>
                <c:pt idx="261">
                  <c:v>41926</c:v>
                </c:pt>
                <c:pt idx="262">
                  <c:v>41927</c:v>
                </c:pt>
                <c:pt idx="263">
                  <c:v>41928</c:v>
                </c:pt>
                <c:pt idx="264">
                  <c:v>41929</c:v>
                </c:pt>
                <c:pt idx="265">
                  <c:v>41932</c:v>
                </c:pt>
                <c:pt idx="266">
                  <c:v>41933</c:v>
                </c:pt>
                <c:pt idx="267">
                  <c:v>41934</c:v>
                </c:pt>
                <c:pt idx="268">
                  <c:v>41935</c:v>
                </c:pt>
                <c:pt idx="269">
                  <c:v>41936</c:v>
                </c:pt>
                <c:pt idx="270">
                  <c:v>41939</c:v>
                </c:pt>
                <c:pt idx="271">
                  <c:v>41940</c:v>
                </c:pt>
                <c:pt idx="272">
                  <c:v>41941</c:v>
                </c:pt>
                <c:pt idx="273">
                  <c:v>41942</c:v>
                </c:pt>
                <c:pt idx="274">
                  <c:v>41943</c:v>
                </c:pt>
                <c:pt idx="275">
                  <c:v>41946</c:v>
                </c:pt>
                <c:pt idx="276">
                  <c:v>41947</c:v>
                </c:pt>
                <c:pt idx="277">
                  <c:v>41948</c:v>
                </c:pt>
                <c:pt idx="278">
                  <c:v>41949</c:v>
                </c:pt>
                <c:pt idx="279">
                  <c:v>41950</c:v>
                </c:pt>
                <c:pt idx="280">
                  <c:v>41953</c:v>
                </c:pt>
                <c:pt idx="281">
                  <c:v>41954</c:v>
                </c:pt>
                <c:pt idx="282">
                  <c:v>41955</c:v>
                </c:pt>
                <c:pt idx="283">
                  <c:v>41956</c:v>
                </c:pt>
                <c:pt idx="284">
                  <c:v>41957</c:v>
                </c:pt>
                <c:pt idx="285">
                  <c:v>41960</c:v>
                </c:pt>
                <c:pt idx="286">
                  <c:v>41961</c:v>
                </c:pt>
                <c:pt idx="287">
                  <c:v>41962</c:v>
                </c:pt>
                <c:pt idx="288">
                  <c:v>41963</c:v>
                </c:pt>
                <c:pt idx="289">
                  <c:v>41964</c:v>
                </c:pt>
                <c:pt idx="290">
                  <c:v>41967</c:v>
                </c:pt>
                <c:pt idx="291">
                  <c:v>41968</c:v>
                </c:pt>
                <c:pt idx="292">
                  <c:v>41969</c:v>
                </c:pt>
                <c:pt idx="293">
                  <c:v>41971</c:v>
                </c:pt>
                <c:pt idx="294">
                  <c:v>41974</c:v>
                </c:pt>
                <c:pt idx="295">
                  <c:v>41975</c:v>
                </c:pt>
                <c:pt idx="296">
                  <c:v>41976</c:v>
                </c:pt>
                <c:pt idx="297">
                  <c:v>41977</c:v>
                </c:pt>
                <c:pt idx="298">
                  <c:v>41978</c:v>
                </c:pt>
                <c:pt idx="299">
                  <c:v>41981</c:v>
                </c:pt>
                <c:pt idx="300">
                  <c:v>41982</c:v>
                </c:pt>
                <c:pt idx="301">
                  <c:v>41983</c:v>
                </c:pt>
                <c:pt idx="302">
                  <c:v>41984</c:v>
                </c:pt>
                <c:pt idx="303">
                  <c:v>41985</c:v>
                </c:pt>
                <c:pt idx="304">
                  <c:v>41988</c:v>
                </c:pt>
                <c:pt idx="305">
                  <c:v>41989</c:v>
                </c:pt>
                <c:pt idx="306">
                  <c:v>41990</c:v>
                </c:pt>
                <c:pt idx="307">
                  <c:v>41991</c:v>
                </c:pt>
                <c:pt idx="308">
                  <c:v>41992</c:v>
                </c:pt>
                <c:pt idx="309">
                  <c:v>41995</c:v>
                </c:pt>
                <c:pt idx="310">
                  <c:v>41996</c:v>
                </c:pt>
                <c:pt idx="311">
                  <c:v>41997</c:v>
                </c:pt>
                <c:pt idx="312">
                  <c:v>41999</c:v>
                </c:pt>
                <c:pt idx="313">
                  <c:v>42002</c:v>
                </c:pt>
                <c:pt idx="314">
                  <c:v>42003</c:v>
                </c:pt>
                <c:pt idx="315">
                  <c:v>42004</c:v>
                </c:pt>
                <c:pt idx="316">
                  <c:v>42006</c:v>
                </c:pt>
                <c:pt idx="317">
                  <c:v>42009</c:v>
                </c:pt>
                <c:pt idx="318">
                  <c:v>42010</c:v>
                </c:pt>
                <c:pt idx="319">
                  <c:v>42011</c:v>
                </c:pt>
                <c:pt idx="320">
                  <c:v>42012</c:v>
                </c:pt>
                <c:pt idx="321">
                  <c:v>42013</c:v>
                </c:pt>
                <c:pt idx="322">
                  <c:v>42016</c:v>
                </c:pt>
                <c:pt idx="323">
                  <c:v>42017</c:v>
                </c:pt>
                <c:pt idx="324">
                  <c:v>42018</c:v>
                </c:pt>
                <c:pt idx="325">
                  <c:v>42019</c:v>
                </c:pt>
                <c:pt idx="326">
                  <c:v>42020</c:v>
                </c:pt>
                <c:pt idx="327">
                  <c:v>42024</c:v>
                </c:pt>
                <c:pt idx="328">
                  <c:v>42025</c:v>
                </c:pt>
                <c:pt idx="329">
                  <c:v>42026</c:v>
                </c:pt>
                <c:pt idx="330">
                  <c:v>42027</c:v>
                </c:pt>
                <c:pt idx="331">
                  <c:v>42030</c:v>
                </c:pt>
                <c:pt idx="332">
                  <c:v>42031</c:v>
                </c:pt>
                <c:pt idx="333">
                  <c:v>42032</c:v>
                </c:pt>
                <c:pt idx="334">
                  <c:v>42033</c:v>
                </c:pt>
                <c:pt idx="335">
                  <c:v>42034</c:v>
                </c:pt>
                <c:pt idx="336">
                  <c:v>42037</c:v>
                </c:pt>
                <c:pt idx="337">
                  <c:v>42038</c:v>
                </c:pt>
                <c:pt idx="338">
                  <c:v>42039</c:v>
                </c:pt>
                <c:pt idx="339">
                  <c:v>42040</c:v>
                </c:pt>
                <c:pt idx="340">
                  <c:v>42041</c:v>
                </c:pt>
                <c:pt idx="341">
                  <c:v>42044</c:v>
                </c:pt>
                <c:pt idx="342">
                  <c:v>42045</c:v>
                </c:pt>
                <c:pt idx="343">
                  <c:v>42046</c:v>
                </c:pt>
                <c:pt idx="344">
                  <c:v>42047</c:v>
                </c:pt>
                <c:pt idx="345">
                  <c:v>42048</c:v>
                </c:pt>
                <c:pt idx="346">
                  <c:v>42052</c:v>
                </c:pt>
                <c:pt idx="347">
                  <c:v>42053</c:v>
                </c:pt>
                <c:pt idx="348">
                  <c:v>42054</c:v>
                </c:pt>
                <c:pt idx="349">
                  <c:v>42055</c:v>
                </c:pt>
                <c:pt idx="350">
                  <c:v>42058</c:v>
                </c:pt>
                <c:pt idx="351">
                  <c:v>42059</c:v>
                </c:pt>
                <c:pt idx="352">
                  <c:v>42060</c:v>
                </c:pt>
                <c:pt idx="353">
                  <c:v>42061</c:v>
                </c:pt>
                <c:pt idx="354">
                  <c:v>42062</c:v>
                </c:pt>
                <c:pt idx="355">
                  <c:v>42065</c:v>
                </c:pt>
                <c:pt idx="356">
                  <c:v>42066</c:v>
                </c:pt>
                <c:pt idx="357">
                  <c:v>42067</c:v>
                </c:pt>
                <c:pt idx="358">
                  <c:v>42068</c:v>
                </c:pt>
                <c:pt idx="359">
                  <c:v>42069</c:v>
                </c:pt>
                <c:pt idx="360">
                  <c:v>42072</c:v>
                </c:pt>
                <c:pt idx="361">
                  <c:v>42073</c:v>
                </c:pt>
                <c:pt idx="362">
                  <c:v>42074</c:v>
                </c:pt>
                <c:pt idx="363">
                  <c:v>42075</c:v>
                </c:pt>
                <c:pt idx="364">
                  <c:v>42076</c:v>
                </c:pt>
                <c:pt idx="365">
                  <c:v>42079</c:v>
                </c:pt>
                <c:pt idx="366">
                  <c:v>42080</c:v>
                </c:pt>
                <c:pt idx="367">
                  <c:v>42081</c:v>
                </c:pt>
                <c:pt idx="368">
                  <c:v>42082</c:v>
                </c:pt>
                <c:pt idx="369">
                  <c:v>42083</c:v>
                </c:pt>
                <c:pt idx="370">
                  <c:v>42086</c:v>
                </c:pt>
                <c:pt idx="371">
                  <c:v>42087</c:v>
                </c:pt>
                <c:pt idx="372">
                  <c:v>42088</c:v>
                </c:pt>
                <c:pt idx="373">
                  <c:v>42089</c:v>
                </c:pt>
                <c:pt idx="374">
                  <c:v>42090</c:v>
                </c:pt>
                <c:pt idx="375">
                  <c:v>42093</c:v>
                </c:pt>
                <c:pt idx="376">
                  <c:v>42094</c:v>
                </c:pt>
                <c:pt idx="377">
                  <c:v>42095</c:v>
                </c:pt>
                <c:pt idx="378">
                  <c:v>42096</c:v>
                </c:pt>
                <c:pt idx="379">
                  <c:v>42100</c:v>
                </c:pt>
                <c:pt idx="380">
                  <c:v>42101</c:v>
                </c:pt>
                <c:pt idx="381">
                  <c:v>42102</c:v>
                </c:pt>
                <c:pt idx="382">
                  <c:v>42103</c:v>
                </c:pt>
                <c:pt idx="383">
                  <c:v>42104</c:v>
                </c:pt>
                <c:pt idx="384">
                  <c:v>42107</c:v>
                </c:pt>
                <c:pt idx="385">
                  <c:v>42108</c:v>
                </c:pt>
                <c:pt idx="386">
                  <c:v>42109</c:v>
                </c:pt>
                <c:pt idx="387">
                  <c:v>42110</c:v>
                </c:pt>
                <c:pt idx="388">
                  <c:v>42111</c:v>
                </c:pt>
                <c:pt idx="389">
                  <c:v>42114</c:v>
                </c:pt>
                <c:pt idx="390">
                  <c:v>42115</c:v>
                </c:pt>
                <c:pt idx="391">
                  <c:v>42116</c:v>
                </c:pt>
                <c:pt idx="392">
                  <c:v>42117</c:v>
                </c:pt>
                <c:pt idx="393">
                  <c:v>42118</c:v>
                </c:pt>
                <c:pt idx="394">
                  <c:v>42121</c:v>
                </c:pt>
                <c:pt idx="395">
                  <c:v>42122</c:v>
                </c:pt>
                <c:pt idx="396">
                  <c:v>42123</c:v>
                </c:pt>
                <c:pt idx="397">
                  <c:v>42124</c:v>
                </c:pt>
                <c:pt idx="398">
                  <c:v>42125</c:v>
                </c:pt>
                <c:pt idx="399">
                  <c:v>42128</c:v>
                </c:pt>
                <c:pt idx="400">
                  <c:v>42129</c:v>
                </c:pt>
                <c:pt idx="401">
                  <c:v>42130</c:v>
                </c:pt>
                <c:pt idx="402">
                  <c:v>42131</c:v>
                </c:pt>
                <c:pt idx="403">
                  <c:v>42132</c:v>
                </c:pt>
                <c:pt idx="404">
                  <c:v>42135</c:v>
                </c:pt>
                <c:pt idx="405">
                  <c:v>42136</c:v>
                </c:pt>
                <c:pt idx="406">
                  <c:v>42137</c:v>
                </c:pt>
                <c:pt idx="407">
                  <c:v>42138</c:v>
                </c:pt>
                <c:pt idx="408">
                  <c:v>42139</c:v>
                </c:pt>
                <c:pt idx="409">
                  <c:v>42142</c:v>
                </c:pt>
                <c:pt idx="410">
                  <c:v>42143</c:v>
                </c:pt>
                <c:pt idx="411">
                  <c:v>42144</c:v>
                </c:pt>
                <c:pt idx="412">
                  <c:v>42145</c:v>
                </c:pt>
                <c:pt idx="413">
                  <c:v>42146</c:v>
                </c:pt>
                <c:pt idx="414">
                  <c:v>42150</c:v>
                </c:pt>
                <c:pt idx="415">
                  <c:v>42151</c:v>
                </c:pt>
                <c:pt idx="416">
                  <c:v>42152</c:v>
                </c:pt>
                <c:pt idx="417">
                  <c:v>42153</c:v>
                </c:pt>
                <c:pt idx="418">
                  <c:v>42156</c:v>
                </c:pt>
                <c:pt idx="419">
                  <c:v>42157</c:v>
                </c:pt>
                <c:pt idx="420">
                  <c:v>42158</c:v>
                </c:pt>
                <c:pt idx="421">
                  <c:v>42159</c:v>
                </c:pt>
                <c:pt idx="422">
                  <c:v>42160</c:v>
                </c:pt>
                <c:pt idx="423">
                  <c:v>42163</c:v>
                </c:pt>
                <c:pt idx="424">
                  <c:v>42164</c:v>
                </c:pt>
                <c:pt idx="425">
                  <c:v>42165</c:v>
                </c:pt>
                <c:pt idx="426">
                  <c:v>42166</c:v>
                </c:pt>
                <c:pt idx="427">
                  <c:v>42167</c:v>
                </c:pt>
                <c:pt idx="428">
                  <c:v>42170</c:v>
                </c:pt>
                <c:pt idx="429">
                  <c:v>42171</c:v>
                </c:pt>
                <c:pt idx="430">
                  <c:v>42172</c:v>
                </c:pt>
                <c:pt idx="431">
                  <c:v>42173</c:v>
                </c:pt>
                <c:pt idx="432">
                  <c:v>42174</c:v>
                </c:pt>
                <c:pt idx="433">
                  <c:v>42177</c:v>
                </c:pt>
                <c:pt idx="434">
                  <c:v>42178</c:v>
                </c:pt>
                <c:pt idx="435">
                  <c:v>42179</c:v>
                </c:pt>
                <c:pt idx="436">
                  <c:v>42180</c:v>
                </c:pt>
                <c:pt idx="437">
                  <c:v>42181</c:v>
                </c:pt>
                <c:pt idx="438">
                  <c:v>42184</c:v>
                </c:pt>
                <c:pt idx="439">
                  <c:v>42185</c:v>
                </c:pt>
              </c:numCache>
            </c:numRef>
          </c:cat>
          <c:val>
            <c:numRef>
              <c:f>'Oil Price 2013-15'!$B$2:$B$441</c:f>
              <c:numCache>
                <c:formatCode>General</c:formatCode>
                <c:ptCount val="440"/>
                <c:pt idx="0">
                  <c:v>102.09</c:v>
                </c:pt>
                <c:pt idx="1">
                  <c:v>104.15</c:v>
                </c:pt>
                <c:pt idx="2">
                  <c:v>103.29</c:v>
                </c:pt>
                <c:pt idx="3">
                  <c:v>103.83</c:v>
                </c:pt>
                <c:pt idx="4">
                  <c:v>103.07</c:v>
                </c:pt>
                <c:pt idx="5">
                  <c:v>103.54</c:v>
                </c:pt>
                <c:pt idx="6">
                  <c:v>101.63</c:v>
                </c:pt>
                <c:pt idx="7">
                  <c:v>103.08</c:v>
                </c:pt>
                <c:pt idx="8">
                  <c:v>102.17</c:v>
                </c:pt>
                <c:pt idx="9">
                  <c:v>102.46</c:v>
                </c:pt>
                <c:pt idx="10">
                  <c:v>101.15</c:v>
                </c:pt>
                <c:pt idx="11">
                  <c:v>102.34</c:v>
                </c:pt>
                <c:pt idx="12">
                  <c:v>100.72</c:v>
                </c:pt>
                <c:pt idx="13">
                  <c:v>100.87</c:v>
                </c:pt>
                <c:pt idx="14">
                  <c:v>99.28</c:v>
                </c:pt>
                <c:pt idx="15">
                  <c:v>97.63</c:v>
                </c:pt>
                <c:pt idx="16">
                  <c:v>96.9</c:v>
                </c:pt>
                <c:pt idx="17">
                  <c:v>96.65</c:v>
                </c:pt>
                <c:pt idx="18">
                  <c:v>97.4</c:v>
                </c:pt>
                <c:pt idx="19">
                  <c:v>98.74</c:v>
                </c:pt>
                <c:pt idx="20">
                  <c:v>98.29</c:v>
                </c:pt>
                <c:pt idx="21">
                  <c:v>96.81</c:v>
                </c:pt>
                <c:pt idx="22">
                  <c:v>96.29</c:v>
                </c:pt>
                <c:pt idx="23">
                  <c:v>94.56</c:v>
                </c:pt>
                <c:pt idx="24">
                  <c:v>94.58</c:v>
                </c:pt>
                <c:pt idx="25">
                  <c:v>93.4</c:v>
                </c:pt>
                <c:pt idx="26">
                  <c:v>94.74</c:v>
                </c:pt>
                <c:pt idx="27">
                  <c:v>94.25</c:v>
                </c:pt>
                <c:pt idx="28">
                  <c:v>94.56</c:v>
                </c:pt>
                <c:pt idx="29">
                  <c:v>95.13</c:v>
                </c:pt>
                <c:pt idx="30">
                  <c:v>93.12</c:v>
                </c:pt>
                <c:pt idx="31">
                  <c:v>93.91</c:v>
                </c:pt>
                <c:pt idx="32">
                  <c:v>93.76</c:v>
                </c:pt>
                <c:pt idx="33">
                  <c:v>93.8</c:v>
                </c:pt>
                <c:pt idx="34">
                  <c:v>93.03</c:v>
                </c:pt>
                <c:pt idx="35">
                  <c:v>93.35</c:v>
                </c:pt>
                <c:pt idx="36">
                  <c:v>93.34</c:v>
                </c:pt>
                <c:pt idx="37">
                  <c:v>95.35</c:v>
                </c:pt>
                <c:pt idx="38">
                  <c:v>94.53</c:v>
                </c:pt>
                <c:pt idx="39">
                  <c:v>93.86</c:v>
                </c:pt>
                <c:pt idx="40">
                  <c:v>93.41</c:v>
                </c:pt>
                <c:pt idx="41">
                  <c:v>92.05</c:v>
                </c:pt>
                <c:pt idx="42">
                  <c:v>92.55</c:v>
                </c:pt>
                <c:pt idx="43">
                  <c:v>93.61</c:v>
                </c:pt>
                <c:pt idx="44">
                  <c:v>95.83</c:v>
                </c:pt>
                <c:pt idx="45">
                  <c:v>96.97</c:v>
                </c:pt>
                <c:pt idx="46">
                  <c:v>97.14</c:v>
                </c:pt>
                <c:pt idx="47">
                  <c:v>97.48</c:v>
                </c:pt>
                <c:pt idx="48">
                  <c:v>97.1</c:v>
                </c:pt>
                <c:pt idx="49">
                  <c:v>98.32</c:v>
                </c:pt>
                <c:pt idx="50">
                  <c:v>97.25</c:v>
                </c:pt>
                <c:pt idx="51">
                  <c:v>97.21</c:v>
                </c:pt>
                <c:pt idx="52">
                  <c:v>96.27</c:v>
                </c:pt>
                <c:pt idx="53">
                  <c:v>97.179999999999978</c:v>
                </c:pt>
                <c:pt idx="54">
                  <c:v>96.99</c:v>
                </c:pt>
                <c:pt idx="55">
                  <c:v>97.59</c:v>
                </c:pt>
                <c:pt idx="56">
                  <c:v>98.4</c:v>
                </c:pt>
                <c:pt idx="57">
                  <c:v>99.11</c:v>
                </c:pt>
                <c:pt idx="58">
                  <c:v>98.62</c:v>
                </c:pt>
                <c:pt idx="59">
                  <c:v>98.87</c:v>
                </c:pt>
                <c:pt idx="60">
                  <c:v>99.179999999999978</c:v>
                </c:pt>
                <c:pt idx="61">
                  <c:v>99.94</c:v>
                </c:pt>
                <c:pt idx="62">
                  <c:v>98.9</c:v>
                </c:pt>
                <c:pt idx="63">
                  <c:v>98.169999999999973</c:v>
                </c:pt>
                <c:pt idx="64">
                  <c:v>95.14</c:v>
                </c:pt>
                <c:pt idx="65">
                  <c:v>93.66</c:v>
                </c:pt>
                <c:pt idx="66">
                  <c:v>93.12</c:v>
                </c:pt>
                <c:pt idx="67">
                  <c:v>93.31</c:v>
                </c:pt>
                <c:pt idx="68">
                  <c:v>91.9</c:v>
                </c:pt>
                <c:pt idx="69">
                  <c:v>91.36</c:v>
                </c:pt>
                <c:pt idx="70">
                  <c:v>92.39</c:v>
                </c:pt>
                <c:pt idx="71">
                  <c:v>91.45</c:v>
                </c:pt>
                <c:pt idx="72">
                  <c:v>92.15</c:v>
                </c:pt>
                <c:pt idx="73">
                  <c:v>93.78</c:v>
                </c:pt>
                <c:pt idx="74">
                  <c:v>93.54</c:v>
                </c:pt>
                <c:pt idx="75">
                  <c:v>93.96</c:v>
                </c:pt>
                <c:pt idx="76">
                  <c:v>94.51</c:v>
                </c:pt>
                <c:pt idx="77">
                  <c:v>96.35</c:v>
                </c:pt>
                <c:pt idx="78">
                  <c:v>97.23</c:v>
                </c:pt>
                <c:pt idx="79">
                  <c:v>96.66</c:v>
                </c:pt>
                <c:pt idx="80">
                  <c:v>95.82</c:v>
                </c:pt>
                <c:pt idx="81">
                  <c:v>97.49</c:v>
                </c:pt>
                <c:pt idx="82">
                  <c:v>97.34</c:v>
                </c:pt>
                <c:pt idx="83">
                  <c:v>98.25</c:v>
                </c:pt>
                <c:pt idx="84">
                  <c:v>97.55</c:v>
                </c:pt>
                <c:pt idx="85">
                  <c:v>96.44</c:v>
                </c:pt>
                <c:pt idx="86">
                  <c:v>97.24</c:v>
                </c:pt>
                <c:pt idx="87">
                  <c:v>97.4</c:v>
                </c:pt>
                <c:pt idx="88">
                  <c:v>97.84</c:v>
                </c:pt>
                <c:pt idx="89">
                  <c:v>99.98</c:v>
                </c:pt>
                <c:pt idx="90">
                  <c:v>100.12</c:v>
                </c:pt>
                <c:pt idx="91">
                  <c:v>99.96</c:v>
                </c:pt>
                <c:pt idx="92">
                  <c:v>100.38</c:v>
                </c:pt>
                <c:pt idx="93">
                  <c:v>100.27</c:v>
                </c:pt>
                <c:pt idx="94">
                  <c:v>100.31</c:v>
                </c:pt>
                <c:pt idx="95">
                  <c:v>102.54</c:v>
                </c:pt>
                <c:pt idx="96">
                  <c:v>103.46</c:v>
                </c:pt>
                <c:pt idx="97">
                  <c:v>103.2</c:v>
                </c:pt>
                <c:pt idx="98">
                  <c:v>102.53</c:v>
                </c:pt>
                <c:pt idx="99">
                  <c:v>103.17</c:v>
                </c:pt>
                <c:pt idx="100">
                  <c:v>102.2</c:v>
                </c:pt>
                <c:pt idx="101">
                  <c:v>102.93</c:v>
                </c:pt>
                <c:pt idx="102">
                  <c:v>102.68</c:v>
                </c:pt>
                <c:pt idx="103">
                  <c:v>102.88</c:v>
                </c:pt>
                <c:pt idx="104">
                  <c:v>105.34</c:v>
                </c:pt>
                <c:pt idx="105">
                  <c:v>103.64</c:v>
                </c:pt>
                <c:pt idx="106">
                  <c:v>101.75</c:v>
                </c:pt>
                <c:pt idx="107">
                  <c:v>101.82</c:v>
                </c:pt>
                <c:pt idx="108">
                  <c:v>102.82</c:v>
                </c:pt>
                <c:pt idx="109">
                  <c:v>101.39</c:v>
                </c:pt>
                <c:pt idx="110">
                  <c:v>100.29</c:v>
                </c:pt>
                <c:pt idx="111">
                  <c:v>98.29</c:v>
                </c:pt>
                <c:pt idx="112">
                  <c:v>98.57</c:v>
                </c:pt>
                <c:pt idx="113">
                  <c:v>99.23</c:v>
                </c:pt>
                <c:pt idx="114">
                  <c:v>98.43</c:v>
                </c:pt>
                <c:pt idx="115">
                  <c:v>100.08</c:v>
                </c:pt>
                <c:pt idx="116">
                  <c:v>100.71</c:v>
                </c:pt>
                <c:pt idx="117">
                  <c:v>99.679999999999978</c:v>
                </c:pt>
                <c:pt idx="118">
                  <c:v>99.97</c:v>
                </c:pt>
                <c:pt idx="119">
                  <c:v>100.05</c:v>
                </c:pt>
                <c:pt idx="120">
                  <c:v>99.66</c:v>
                </c:pt>
                <c:pt idx="121">
                  <c:v>100.61</c:v>
                </c:pt>
                <c:pt idx="122">
                  <c:v>101.25</c:v>
                </c:pt>
                <c:pt idx="123">
                  <c:v>101.73</c:v>
                </c:pt>
                <c:pt idx="124">
                  <c:v>101.57</c:v>
                </c:pt>
                <c:pt idx="125">
                  <c:v>99.69</c:v>
                </c:pt>
                <c:pt idx="126">
                  <c:v>99.6</c:v>
                </c:pt>
                <c:pt idx="127">
                  <c:v>100.29</c:v>
                </c:pt>
                <c:pt idx="128">
                  <c:v>101.16</c:v>
                </c:pt>
                <c:pt idx="129">
                  <c:v>100.43</c:v>
                </c:pt>
                <c:pt idx="130">
                  <c:v>102.57</c:v>
                </c:pt>
                <c:pt idx="131">
                  <c:v>103.55</c:v>
                </c:pt>
                <c:pt idx="132">
                  <c:v>103.37</c:v>
                </c:pt>
                <c:pt idx="133">
                  <c:v>103.68</c:v>
                </c:pt>
                <c:pt idx="134">
                  <c:v>104.05</c:v>
                </c:pt>
                <c:pt idx="135">
                  <c:v>103.7</c:v>
                </c:pt>
                <c:pt idx="136">
                  <c:v>103.71</c:v>
                </c:pt>
                <c:pt idx="137">
                  <c:v>104.33</c:v>
                </c:pt>
                <c:pt idx="138">
                  <c:v>104.35</c:v>
                </c:pt>
                <c:pt idx="139">
                  <c:v>101.69</c:v>
                </c:pt>
                <c:pt idx="140">
                  <c:v>101.47</c:v>
                </c:pt>
                <c:pt idx="141">
                  <c:v>102.2</c:v>
                </c:pt>
                <c:pt idx="142">
                  <c:v>100.85</c:v>
                </c:pt>
                <c:pt idx="143">
                  <c:v>101.13</c:v>
                </c:pt>
                <c:pt idx="144">
                  <c:v>101.56</c:v>
                </c:pt>
                <c:pt idx="145">
                  <c:v>100.07</c:v>
                </c:pt>
                <c:pt idx="146">
                  <c:v>99.69</c:v>
                </c:pt>
                <c:pt idx="147">
                  <c:v>100.09</c:v>
                </c:pt>
                <c:pt idx="148">
                  <c:v>99.74</c:v>
                </c:pt>
                <c:pt idx="149">
                  <c:v>99.81</c:v>
                </c:pt>
                <c:pt idx="150">
                  <c:v>101.06</c:v>
                </c:pt>
                <c:pt idx="151">
                  <c:v>100.52</c:v>
                </c:pt>
                <c:pt idx="152">
                  <c:v>100.32</c:v>
                </c:pt>
                <c:pt idx="153">
                  <c:v>100.89</c:v>
                </c:pt>
                <c:pt idx="154">
                  <c:v>102.01</c:v>
                </c:pt>
                <c:pt idx="155">
                  <c:v>102.63</c:v>
                </c:pt>
                <c:pt idx="156">
                  <c:v>101.74</c:v>
                </c:pt>
                <c:pt idx="157">
                  <c:v>102.31</c:v>
                </c:pt>
                <c:pt idx="158">
                  <c:v>102.95</c:v>
                </c:pt>
                <c:pt idx="159">
                  <c:v>102.8</c:v>
                </c:pt>
                <c:pt idx="160">
                  <c:v>104.31</c:v>
                </c:pt>
                <c:pt idx="161">
                  <c:v>104.03</c:v>
                </c:pt>
                <c:pt idx="162">
                  <c:v>105.01</c:v>
                </c:pt>
                <c:pt idx="163">
                  <c:v>104.78</c:v>
                </c:pt>
                <c:pt idx="164">
                  <c:v>103.37</c:v>
                </c:pt>
                <c:pt idx="165">
                  <c:v>104.26</c:v>
                </c:pt>
                <c:pt idx="166">
                  <c:v>103.4</c:v>
                </c:pt>
                <c:pt idx="167">
                  <c:v>103.07</c:v>
                </c:pt>
                <c:pt idx="168">
                  <c:v>103.34</c:v>
                </c:pt>
                <c:pt idx="169">
                  <c:v>103.27</c:v>
                </c:pt>
                <c:pt idx="170">
                  <c:v>103.17</c:v>
                </c:pt>
                <c:pt idx="171">
                  <c:v>103.32</c:v>
                </c:pt>
                <c:pt idx="172">
                  <c:v>105.09</c:v>
                </c:pt>
                <c:pt idx="173">
                  <c:v>105.02</c:v>
                </c:pt>
                <c:pt idx="174">
                  <c:v>105.04</c:v>
                </c:pt>
                <c:pt idx="175">
                  <c:v>107.2</c:v>
                </c:pt>
                <c:pt idx="176">
                  <c:v>107.49</c:v>
                </c:pt>
                <c:pt idx="177">
                  <c:v>107.52</c:v>
                </c:pt>
                <c:pt idx="178">
                  <c:v>106.95</c:v>
                </c:pt>
                <c:pt idx="179">
                  <c:v>106.64</c:v>
                </c:pt>
                <c:pt idx="180">
                  <c:v>107.08</c:v>
                </c:pt>
                <c:pt idx="181">
                  <c:v>107.95</c:v>
                </c:pt>
                <c:pt idx="182">
                  <c:v>106.83</c:v>
                </c:pt>
                <c:pt idx="183">
                  <c:v>106.64</c:v>
                </c:pt>
                <c:pt idx="184">
                  <c:v>107.04</c:v>
                </c:pt>
                <c:pt idx="185">
                  <c:v>106.49</c:v>
                </c:pt>
                <c:pt idx="186">
                  <c:v>106.46</c:v>
                </c:pt>
                <c:pt idx="187">
                  <c:v>106.07</c:v>
                </c:pt>
                <c:pt idx="188">
                  <c:v>106.06</c:v>
                </c:pt>
                <c:pt idx="189">
                  <c:v>105.18</c:v>
                </c:pt>
                <c:pt idx="190">
                  <c:v>104.76</c:v>
                </c:pt>
                <c:pt idx="191">
                  <c:v>104.19</c:v>
                </c:pt>
                <c:pt idx="192">
                  <c:v>104.06</c:v>
                </c:pt>
                <c:pt idx="193">
                  <c:v>102.93</c:v>
                </c:pt>
                <c:pt idx="194">
                  <c:v>103.61</c:v>
                </c:pt>
                <c:pt idx="195">
                  <c:v>101.48</c:v>
                </c:pt>
                <c:pt idx="196">
                  <c:v>101.73</c:v>
                </c:pt>
                <c:pt idx="197">
                  <c:v>100.56</c:v>
                </c:pt>
                <c:pt idx="198">
                  <c:v>101.88</c:v>
                </c:pt>
                <c:pt idx="199">
                  <c:v>103.84</c:v>
                </c:pt>
                <c:pt idx="200">
                  <c:v>103.83</c:v>
                </c:pt>
                <c:pt idx="201">
                  <c:v>105.34</c:v>
                </c:pt>
                <c:pt idx="202">
                  <c:v>104.59</c:v>
                </c:pt>
                <c:pt idx="203">
                  <c:v>103.81</c:v>
                </c:pt>
                <c:pt idx="204">
                  <c:v>102.76</c:v>
                </c:pt>
                <c:pt idx="205">
                  <c:v>105.23</c:v>
                </c:pt>
                <c:pt idx="206">
                  <c:v>105.68</c:v>
                </c:pt>
                <c:pt idx="207">
                  <c:v>104.91</c:v>
                </c:pt>
                <c:pt idx="208">
                  <c:v>104.29</c:v>
                </c:pt>
                <c:pt idx="209">
                  <c:v>98.23</c:v>
                </c:pt>
                <c:pt idx="210">
                  <c:v>97.86</c:v>
                </c:pt>
                <c:pt idx="211">
                  <c:v>98.26</c:v>
                </c:pt>
                <c:pt idx="212">
                  <c:v>97.34</c:v>
                </c:pt>
                <c:pt idx="213">
                  <c:v>96.93</c:v>
                </c:pt>
                <c:pt idx="214">
                  <c:v>97.34</c:v>
                </c:pt>
                <c:pt idx="215">
                  <c:v>97.61</c:v>
                </c:pt>
                <c:pt idx="216">
                  <c:v>98.09</c:v>
                </c:pt>
                <c:pt idx="217">
                  <c:v>97.36</c:v>
                </c:pt>
                <c:pt idx="218">
                  <c:v>97.57</c:v>
                </c:pt>
                <c:pt idx="219">
                  <c:v>95.54</c:v>
                </c:pt>
                <c:pt idx="220">
                  <c:v>97.3</c:v>
                </c:pt>
                <c:pt idx="221">
                  <c:v>96.44</c:v>
                </c:pt>
                <c:pt idx="222">
                  <c:v>94.35</c:v>
                </c:pt>
                <c:pt idx="223">
                  <c:v>96.4</c:v>
                </c:pt>
                <c:pt idx="224">
                  <c:v>93.97</c:v>
                </c:pt>
                <c:pt idx="225">
                  <c:v>93.61</c:v>
                </c:pt>
                <c:pt idx="226">
                  <c:v>95.39</c:v>
                </c:pt>
                <c:pt idx="227">
                  <c:v>95.78</c:v>
                </c:pt>
                <c:pt idx="228">
                  <c:v>95.82</c:v>
                </c:pt>
                <c:pt idx="229">
                  <c:v>96.44</c:v>
                </c:pt>
                <c:pt idx="230">
                  <c:v>97.86</c:v>
                </c:pt>
                <c:pt idx="231">
                  <c:v>92.92</c:v>
                </c:pt>
                <c:pt idx="232">
                  <c:v>95.5</c:v>
                </c:pt>
                <c:pt idx="233">
                  <c:v>94.51</c:v>
                </c:pt>
                <c:pt idx="234">
                  <c:v>93.32</c:v>
                </c:pt>
                <c:pt idx="235">
                  <c:v>92.64</c:v>
                </c:pt>
                <c:pt idx="236">
                  <c:v>92.73</c:v>
                </c:pt>
                <c:pt idx="237">
                  <c:v>91.71</c:v>
                </c:pt>
                <c:pt idx="238">
                  <c:v>92.89</c:v>
                </c:pt>
                <c:pt idx="239">
                  <c:v>92.179999999999978</c:v>
                </c:pt>
                <c:pt idx="240">
                  <c:v>92.86</c:v>
                </c:pt>
                <c:pt idx="241">
                  <c:v>94.91</c:v>
                </c:pt>
                <c:pt idx="242">
                  <c:v>94.33</c:v>
                </c:pt>
                <c:pt idx="243">
                  <c:v>93.07</c:v>
                </c:pt>
                <c:pt idx="244">
                  <c:v>92.43</c:v>
                </c:pt>
                <c:pt idx="245">
                  <c:v>91.46</c:v>
                </c:pt>
                <c:pt idx="246">
                  <c:v>91.55</c:v>
                </c:pt>
                <c:pt idx="247">
                  <c:v>93.6</c:v>
                </c:pt>
                <c:pt idx="248">
                  <c:v>93.59</c:v>
                </c:pt>
                <c:pt idx="249">
                  <c:v>95.55</c:v>
                </c:pt>
                <c:pt idx="250">
                  <c:v>94.53</c:v>
                </c:pt>
                <c:pt idx="251">
                  <c:v>91.169999999999973</c:v>
                </c:pt>
                <c:pt idx="252">
                  <c:v>90.74</c:v>
                </c:pt>
                <c:pt idx="253">
                  <c:v>91.02</c:v>
                </c:pt>
                <c:pt idx="254">
                  <c:v>89.76</c:v>
                </c:pt>
                <c:pt idx="255">
                  <c:v>90.33</c:v>
                </c:pt>
                <c:pt idx="256">
                  <c:v>88.89</c:v>
                </c:pt>
                <c:pt idx="257">
                  <c:v>87.29</c:v>
                </c:pt>
                <c:pt idx="258">
                  <c:v>85.76</c:v>
                </c:pt>
                <c:pt idx="259">
                  <c:v>85.87</c:v>
                </c:pt>
                <c:pt idx="260">
                  <c:v>85.73</c:v>
                </c:pt>
                <c:pt idx="261">
                  <c:v>81.72</c:v>
                </c:pt>
                <c:pt idx="262">
                  <c:v>81.819999999999993</c:v>
                </c:pt>
                <c:pt idx="263">
                  <c:v>82.33</c:v>
                </c:pt>
                <c:pt idx="264">
                  <c:v>82.8</c:v>
                </c:pt>
                <c:pt idx="265">
                  <c:v>82.76</c:v>
                </c:pt>
                <c:pt idx="266">
                  <c:v>83.25</c:v>
                </c:pt>
                <c:pt idx="267">
                  <c:v>80.52</c:v>
                </c:pt>
                <c:pt idx="268">
                  <c:v>82.81</c:v>
                </c:pt>
                <c:pt idx="269">
                  <c:v>81.27</c:v>
                </c:pt>
                <c:pt idx="270">
                  <c:v>81.260000000000005</c:v>
                </c:pt>
                <c:pt idx="271">
                  <c:v>81.36</c:v>
                </c:pt>
                <c:pt idx="272">
                  <c:v>82.25</c:v>
                </c:pt>
                <c:pt idx="273">
                  <c:v>81.06</c:v>
                </c:pt>
                <c:pt idx="274">
                  <c:v>80.53</c:v>
                </c:pt>
                <c:pt idx="275">
                  <c:v>78.77</c:v>
                </c:pt>
                <c:pt idx="276">
                  <c:v>77.150000000000006</c:v>
                </c:pt>
                <c:pt idx="277">
                  <c:v>78.709999999999994</c:v>
                </c:pt>
                <c:pt idx="278">
                  <c:v>77.87</c:v>
                </c:pt>
                <c:pt idx="279">
                  <c:v>78.709999999999994</c:v>
                </c:pt>
                <c:pt idx="280">
                  <c:v>77.430000000000007</c:v>
                </c:pt>
                <c:pt idx="281">
                  <c:v>77.849999999999994</c:v>
                </c:pt>
                <c:pt idx="282">
                  <c:v>77.16</c:v>
                </c:pt>
                <c:pt idx="283">
                  <c:v>74.13</c:v>
                </c:pt>
                <c:pt idx="284">
                  <c:v>75.91</c:v>
                </c:pt>
                <c:pt idx="285">
                  <c:v>75.64</c:v>
                </c:pt>
                <c:pt idx="286">
                  <c:v>74.55</c:v>
                </c:pt>
                <c:pt idx="287">
                  <c:v>74.55</c:v>
                </c:pt>
                <c:pt idx="288">
                  <c:v>75.63</c:v>
                </c:pt>
                <c:pt idx="289">
                  <c:v>76.52</c:v>
                </c:pt>
                <c:pt idx="290">
                  <c:v>75.739999999999995</c:v>
                </c:pt>
                <c:pt idx="291">
                  <c:v>74.040000000000006</c:v>
                </c:pt>
                <c:pt idx="292">
                  <c:v>73.7</c:v>
                </c:pt>
                <c:pt idx="293">
                  <c:v>65.94</c:v>
                </c:pt>
                <c:pt idx="294">
                  <c:v>68.98</c:v>
                </c:pt>
                <c:pt idx="295">
                  <c:v>66.989999999999995</c:v>
                </c:pt>
                <c:pt idx="296">
                  <c:v>67.3</c:v>
                </c:pt>
                <c:pt idx="297">
                  <c:v>66.73</c:v>
                </c:pt>
                <c:pt idx="298">
                  <c:v>65.89</c:v>
                </c:pt>
                <c:pt idx="299">
                  <c:v>63.13</c:v>
                </c:pt>
                <c:pt idx="300">
                  <c:v>63.74</c:v>
                </c:pt>
                <c:pt idx="301">
                  <c:v>60.99</c:v>
                </c:pt>
                <c:pt idx="302">
                  <c:v>60.01</c:v>
                </c:pt>
                <c:pt idx="303">
                  <c:v>57.81</c:v>
                </c:pt>
                <c:pt idx="304">
                  <c:v>55.96</c:v>
                </c:pt>
                <c:pt idx="305">
                  <c:v>55.97</c:v>
                </c:pt>
                <c:pt idx="306">
                  <c:v>56.43</c:v>
                </c:pt>
                <c:pt idx="307">
                  <c:v>54.18</c:v>
                </c:pt>
                <c:pt idx="308">
                  <c:v>56.91</c:v>
                </c:pt>
                <c:pt idx="309">
                  <c:v>55.25</c:v>
                </c:pt>
                <c:pt idx="310">
                  <c:v>56.78</c:v>
                </c:pt>
                <c:pt idx="311">
                  <c:v>55.7</c:v>
                </c:pt>
                <c:pt idx="312">
                  <c:v>54.59</c:v>
                </c:pt>
                <c:pt idx="313">
                  <c:v>53.46</c:v>
                </c:pt>
                <c:pt idx="314">
                  <c:v>54.14</c:v>
                </c:pt>
                <c:pt idx="315">
                  <c:v>53.45</c:v>
                </c:pt>
                <c:pt idx="316">
                  <c:v>52.72</c:v>
                </c:pt>
                <c:pt idx="317">
                  <c:v>50.05</c:v>
                </c:pt>
                <c:pt idx="318">
                  <c:v>47.98</c:v>
                </c:pt>
                <c:pt idx="319">
                  <c:v>48.69</c:v>
                </c:pt>
                <c:pt idx="320">
                  <c:v>48.8</c:v>
                </c:pt>
                <c:pt idx="321">
                  <c:v>48.35</c:v>
                </c:pt>
                <c:pt idx="322">
                  <c:v>46.06</c:v>
                </c:pt>
                <c:pt idx="323">
                  <c:v>45.92</c:v>
                </c:pt>
                <c:pt idx="324">
                  <c:v>48.49</c:v>
                </c:pt>
                <c:pt idx="325">
                  <c:v>46.37</c:v>
                </c:pt>
                <c:pt idx="326">
                  <c:v>48.49</c:v>
                </c:pt>
                <c:pt idx="327">
                  <c:v>46.79</c:v>
                </c:pt>
                <c:pt idx="328">
                  <c:v>47.85</c:v>
                </c:pt>
                <c:pt idx="329">
                  <c:v>45.93</c:v>
                </c:pt>
                <c:pt idx="330">
                  <c:v>45.26</c:v>
                </c:pt>
                <c:pt idx="331">
                  <c:v>44.8</c:v>
                </c:pt>
                <c:pt idx="332">
                  <c:v>45.84</c:v>
                </c:pt>
                <c:pt idx="333">
                  <c:v>44.08</c:v>
                </c:pt>
                <c:pt idx="334">
                  <c:v>44.12</c:v>
                </c:pt>
                <c:pt idx="335">
                  <c:v>47.79</c:v>
                </c:pt>
                <c:pt idx="336">
                  <c:v>49.25</c:v>
                </c:pt>
                <c:pt idx="337">
                  <c:v>53.04</c:v>
                </c:pt>
                <c:pt idx="338">
                  <c:v>48.45</c:v>
                </c:pt>
                <c:pt idx="339">
                  <c:v>50.48</c:v>
                </c:pt>
                <c:pt idx="340">
                  <c:v>51.66</c:v>
                </c:pt>
                <c:pt idx="341">
                  <c:v>52.99</c:v>
                </c:pt>
                <c:pt idx="342">
                  <c:v>50.06</c:v>
                </c:pt>
                <c:pt idx="343">
                  <c:v>48.8</c:v>
                </c:pt>
                <c:pt idx="344">
                  <c:v>51.17</c:v>
                </c:pt>
                <c:pt idx="345">
                  <c:v>52.66</c:v>
                </c:pt>
                <c:pt idx="346">
                  <c:v>53.56</c:v>
                </c:pt>
                <c:pt idx="347">
                  <c:v>52.13</c:v>
                </c:pt>
                <c:pt idx="348">
                  <c:v>51.12</c:v>
                </c:pt>
                <c:pt idx="349">
                  <c:v>49.95</c:v>
                </c:pt>
                <c:pt idx="350">
                  <c:v>49.56</c:v>
                </c:pt>
                <c:pt idx="351">
                  <c:v>48.48</c:v>
                </c:pt>
                <c:pt idx="352">
                  <c:v>50.25</c:v>
                </c:pt>
                <c:pt idx="353">
                  <c:v>47.65</c:v>
                </c:pt>
                <c:pt idx="354">
                  <c:v>49.84</c:v>
                </c:pt>
                <c:pt idx="355">
                  <c:v>49.59</c:v>
                </c:pt>
                <c:pt idx="356">
                  <c:v>50.43</c:v>
                </c:pt>
                <c:pt idx="357">
                  <c:v>51.53</c:v>
                </c:pt>
                <c:pt idx="358">
                  <c:v>50.76</c:v>
                </c:pt>
                <c:pt idx="359">
                  <c:v>49.61</c:v>
                </c:pt>
                <c:pt idx="360">
                  <c:v>49.95</c:v>
                </c:pt>
                <c:pt idx="361">
                  <c:v>48.42</c:v>
                </c:pt>
                <c:pt idx="362">
                  <c:v>48.06</c:v>
                </c:pt>
                <c:pt idx="363">
                  <c:v>47.12</c:v>
                </c:pt>
                <c:pt idx="364">
                  <c:v>44.88</c:v>
                </c:pt>
                <c:pt idx="365">
                  <c:v>43.93</c:v>
                </c:pt>
                <c:pt idx="366">
                  <c:v>43.39</c:v>
                </c:pt>
                <c:pt idx="367">
                  <c:v>44.63</c:v>
                </c:pt>
                <c:pt idx="368">
                  <c:v>44.02</c:v>
                </c:pt>
                <c:pt idx="369">
                  <c:v>46</c:v>
                </c:pt>
                <c:pt idx="370">
                  <c:v>47.4</c:v>
                </c:pt>
                <c:pt idx="371">
                  <c:v>47.03</c:v>
                </c:pt>
                <c:pt idx="372">
                  <c:v>48.75</c:v>
                </c:pt>
                <c:pt idx="373">
                  <c:v>51.41</c:v>
                </c:pt>
                <c:pt idx="374">
                  <c:v>48.83</c:v>
                </c:pt>
                <c:pt idx="375">
                  <c:v>48.66</c:v>
                </c:pt>
                <c:pt idx="376">
                  <c:v>47.72</c:v>
                </c:pt>
                <c:pt idx="377">
                  <c:v>50.12</c:v>
                </c:pt>
                <c:pt idx="378">
                  <c:v>49.13</c:v>
                </c:pt>
                <c:pt idx="379">
                  <c:v>52.08</c:v>
                </c:pt>
                <c:pt idx="380">
                  <c:v>53.95</c:v>
                </c:pt>
                <c:pt idx="381">
                  <c:v>50.44</c:v>
                </c:pt>
                <c:pt idx="382">
                  <c:v>50.79</c:v>
                </c:pt>
                <c:pt idx="383">
                  <c:v>51.63</c:v>
                </c:pt>
                <c:pt idx="384">
                  <c:v>51.95</c:v>
                </c:pt>
                <c:pt idx="385">
                  <c:v>53.3</c:v>
                </c:pt>
                <c:pt idx="386">
                  <c:v>56.25</c:v>
                </c:pt>
                <c:pt idx="387">
                  <c:v>56.69</c:v>
                </c:pt>
                <c:pt idx="388">
                  <c:v>55.71</c:v>
                </c:pt>
                <c:pt idx="389">
                  <c:v>56.37</c:v>
                </c:pt>
                <c:pt idx="390">
                  <c:v>55.58</c:v>
                </c:pt>
                <c:pt idx="391">
                  <c:v>56.17</c:v>
                </c:pt>
                <c:pt idx="392">
                  <c:v>56.59</c:v>
                </c:pt>
                <c:pt idx="393">
                  <c:v>55.98</c:v>
                </c:pt>
                <c:pt idx="394">
                  <c:v>55.56</c:v>
                </c:pt>
                <c:pt idx="395">
                  <c:v>57.05</c:v>
                </c:pt>
                <c:pt idx="396">
                  <c:v>58.55</c:v>
                </c:pt>
                <c:pt idx="397">
                  <c:v>59.62</c:v>
                </c:pt>
                <c:pt idx="398">
                  <c:v>59.1</c:v>
                </c:pt>
                <c:pt idx="399">
                  <c:v>58.92</c:v>
                </c:pt>
                <c:pt idx="400">
                  <c:v>60.38</c:v>
                </c:pt>
                <c:pt idx="401">
                  <c:v>60.93</c:v>
                </c:pt>
                <c:pt idx="402">
                  <c:v>58.99</c:v>
                </c:pt>
                <c:pt idx="403">
                  <c:v>59.41</c:v>
                </c:pt>
                <c:pt idx="404">
                  <c:v>59.23</c:v>
                </c:pt>
                <c:pt idx="405">
                  <c:v>60.72</c:v>
                </c:pt>
                <c:pt idx="406">
                  <c:v>60.5</c:v>
                </c:pt>
                <c:pt idx="407">
                  <c:v>59.89</c:v>
                </c:pt>
                <c:pt idx="408">
                  <c:v>59.73</c:v>
                </c:pt>
                <c:pt idx="409">
                  <c:v>59.44</c:v>
                </c:pt>
                <c:pt idx="410">
                  <c:v>57.3</c:v>
                </c:pt>
                <c:pt idx="411">
                  <c:v>58.96</c:v>
                </c:pt>
                <c:pt idx="412">
                  <c:v>60.18</c:v>
                </c:pt>
                <c:pt idx="413">
                  <c:v>58.88</c:v>
                </c:pt>
                <c:pt idx="414">
                  <c:v>57.29</c:v>
                </c:pt>
                <c:pt idx="415">
                  <c:v>57.51</c:v>
                </c:pt>
                <c:pt idx="416">
                  <c:v>57.69</c:v>
                </c:pt>
                <c:pt idx="417">
                  <c:v>60.25</c:v>
                </c:pt>
                <c:pt idx="418">
                  <c:v>60.24</c:v>
                </c:pt>
                <c:pt idx="419">
                  <c:v>61.3</c:v>
                </c:pt>
                <c:pt idx="420">
                  <c:v>59.67</c:v>
                </c:pt>
                <c:pt idx="421">
                  <c:v>58</c:v>
                </c:pt>
                <c:pt idx="422">
                  <c:v>59.11</c:v>
                </c:pt>
                <c:pt idx="423">
                  <c:v>58.15</c:v>
                </c:pt>
                <c:pt idx="424">
                  <c:v>60.15</c:v>
                </c:pt>
                <c:pt idx="425">
                  <c:v>61.36</c:v>
                </c:pt>
                <c:pt idx="426">
                  <c:v>60.74</c:v>
                </c:pt>
                <c:pt idx="427">
                  <c:v>59.96</c:v>
                </c:pt>
                <c:pt idx="428">
                  <c:v>59.53</c:v>
                </c:pt>
                <c:pt idx="429">
                  <c:v>60.01</c:v>
                </c:pt>
                <c:pt idx="430">
                  <c:v>59.89</c:v>
                </c:pt>
                <c:pt idx="431">
                  <c:v>60.41</c:v>
                </c:pt>
                <c:pt idx="432">
                  <c:v>59.62</c:v>
                </c:pt>
                <c:pt idx="433">
                  <c:v>60.01</c:v>
                </c:pt>
                <c:pt idx="434">
                  <c:v>61.05</c:v>
                </c:pt>
                <c:pt idx="435">
                  <c:v>60.01</c:v>
                </c:pt>
                <c:pt idx="436">
                  <c:v>59.59</c:v>
                </c:pt>
                <c:pt idx="437">
                  <c:v>59.41</c:v>
                </c:pt>
                <c:pt idx="438">
                  <c:v>58.34</c:v>
                </c:pt>
                <c:pt idx="439">
                  <c:v>59.48</c:v>
                </c:pt>
              </c:numCache>
            </c:numRef>
          </c:val>
          <c:smooth val="0"/>
          <c:extLst xmlns:c16r2="http://schemas.microsoft.com/office/drawing/2015/06/chart">
            <c:ext xmlns:c16="http://schemas.microsoft.com/office/drawing/2014/chart" uri="{C3380CC4-5D6E-409C-BE32-E72D297353CC}">
              <c16:uniqueId val="{00000000-592F-4127-89D3-149D65A5D7EF}"/>
            </c:ext>
          </c:extLst>
        </c:ser>
        <c:dLbls>
          <c:showLegendKey val="0"/>
          <c:showVal val="0"/>
          <c:showCatName val="0"/>
          <c:showSerName val="0"/>
          <c:showPercent val="0"/>
          <c:showBubbleSize val="0"/>
        </c:dLbls>
        <c:marker val="1"/>
        <c:smooth val="0"/>
        <c:axId val="155703168"/>
        <c:axId val="39612800"/>
      </c:lineChart>
      <c:dateAx>
        <c:axId val="155703168"/>
        <c:scaling>
          <c:orientation val="minMax"/>
        </c:scaling>
        <c:delete val="0"/>
        <c:axPos val="b"/>
        <c:numFmt formatCode="[$-1009]mmmm\ yyyy;@" sourceLinked="0"/>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9612800"/>
        <c:crosses val="autoZero"/>
        <c:auto val="1"/>
        <c:lblOffset val="100"/>
        <c:baseTimeUnit val="days"/>
      </c:dateAx>
      <c:valAx>
        <c:axId val="3961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570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0.14904</cdr:x>
      <cdr:y>0.57128</cdr:y>
    </cdr:from>
    <cdr:to>
      <cdr:x>0.14904</cdr:x>
      <cdr:y>0.80352</cdr:y>
    </cdr:to>
    <cdr:cxnSp macro="">
      <cdr:nvCxnSpPr>
        <cdr:cNvPr id="3" name="Straight Arrow Connector 2"/>
        <cdr:cNvCxnSpPr/>
      </cdr:nvCxnSpPr>
      <cdr:spPr>
        <a:xfrm xmlns:a="http://schemas.openxmlformats.org/drawingml/2006/main">
          <a:off x="885825" y="2038350"/>
          <a:ext cx="1" cy="828675"/>
        </a:xfrm>
        <a:prstGeom xmlns:a="http://schemas.openxmlformats.org/drawingml/2006/main" prst="straightConnector1">
          <a:avLst/>
        </a:prstGeom>
        <a:ln xmlns:a="http://schemas.openxmlformats.org/drawingml/2006/main" w="25400">
          <a:solidFill>
            <a:schemeClr val="tx1"/>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0.06635</cdr:x>
      <cdr:y>0.40781</cdr:y>
    </cdr:from>
    <cdr:to>
      <cdr:x>0.23942</cdr:x>
      <cdr:y>0.63556</cdr:y>
    </cdr:to>
    <cdr:sp macro="" textlink="">
      <cdr:nvSpPr>
        <cdr:cNvPr id="7" name="Text Box 6"/>
        <cdr:cNvSpPr txBox="1"/>
      </cdr:nvSpPr>
      <cdr:spPr>
        <a:xfrm xmlns:a="http://schemas.openxmlformats.org/drawingml/2006/main">
          <a:off x="394335" y="1731422"/>
          <a:ext cx="1028700" cy="9669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800">
              <a:latin typeface="Arial" charset="0"/>
              <a:ea typeface="Arial" charset="0"/>
              <a:cs typeface="Arial" charset="0"/>
            </a:rPr>
            <a:t>CA$5.2 billion television </a:t>
          </a:r>
        </a:p>
        <a:p xmlns:a="http://schemas.openxmlformats.org/drawingml/2006/main">
          <a:pPr algn="ctr"/>
          <a:r>
            <a:rPr lang="en-US" sz="800">
              <a:latin typeface="Arial" charset="0"/>
              <a:ea typeface="Arial" charset="0"/>
              <a:cs typeface="Arial" charset="0"/>
            </a:rPr>
            <a:t>rights deal </a:t>
          </a:r>
        </a:p>
        <a:p xmlns:a="http://schemas.openxmlformats.org/drawingml/2006/main">
          <a:pPr algn="ctr"/>
          <a:r>
            <a:rPr lang="en-US" sz="800">
              <a:latin typeface="Arial" charset="0"/>
              <a:ea typeface="Arial" charset="0"/>
              <a:cs typeface="Arial" charset="0"/>
            </a:rPr>
            <a:t>with Rogers </a:t>
          </a:r>
        </a:p>
        <a:p xmlns:a="http://schemas.openxmlformats.org/drawingml/2006/main">
          <a:pPr algn="ctr"/>
          <a:r>
            <a:rPr lang="en-US" sz="800">
              <a:latin typeface="Arial" charset="0"/>
              <a:ea typeface="Arial" charset="0"/>
              <a:cs typeface="Arial" charset="0"/>
            </a:rPr>
            <a:t>is signed.</a:t>
          </a:r>
        </a:p>
      </cdr:txBody>
    </cdr:sp>
  </cdr:relSizeAnchor>
  <cdr:relSizeAnchor xmlns:cdr="http://schemas.openxmlformats.org/drawingml/2006/chartDrawing">
    <cdr:from>
      <cdr:x>0.45566</cdr:x>
      <cdr:y>0.5695</cdr:y>
    </cdr:from>
    <cdr:to>
      <cdr:x>0.45566</cdr:x>
      <cdr:y>0.80174</cdr:y>
    </cdr:to>
    <cdr:cxnSp macro="">
      <cdr:nvCxnSpPr>
        <cdr:cNvPr id="8" name="Straight Arrow Connector 7"/>
        <cdr:cNvCxnSpPr/>
      </cdr:nvCxnSpPr>
      <cdr:spPr>
        <a:xfrm xmlns:a="http://schemas.openxmlformats.org/drawingml/2006/main">
          <a:off x="2708275" y="2032000"/>
          <a:ext cx="1" cy="828675"/>
        </a:xfrm>
        <a:prstGeom xmlns:a="http://schemas.openxmlformats.org/drawingml/2006/main" prst="straightConnector1">
          <a:avLst/>
        </a:prstGeom>
        <a:ln xmlns:a="http://schemas.openxmlformats.org/drawingml/2006/main" w="25400">
          <a:solidFill>
            <a:schemeClr val="tx1"/>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0.05662</cdr:x>
      <cdr:y>0.42</cdr:y>
    </cdr:from>
    <cdr:to>
      <cdr:x>0.26656</cdr:x>
      <cdr:y>0.62022</cdr:y>
    </cdr:to>
    <cdr:sp macro="" textlink="">
      <cdr:nvSpPr>
        <cdr:cNvPr id="9" name="Text Box 2"/>
        <cdr:cNvSpPr txBox="1"/>
      </cdr:nvSpPr>
      <cdr:spPr>
        <a:xfrm xmlns:a="http://schemas.openxmlformats.org/drawingml/2006/main">
          <a:off x="336550" y="1498599"/>
          <a:ext cx="1247776" cy="714375"/>
        </a:xfrm>
        <a:prstGeom xmlns:a="http://schemas.openxmlformats.org/drawingml/2006/main" prst="rect">
          <a:avLst/>
        </a:prstGeom>
      </cdr:spPr>
    </cdr:sp>
  </cdr:relSizeAnchor>
  <cdr:relSizeAnchor xmlns:cdr="http://schemas.openxmlformats.org/drawingml/2006/chartDrawing">
    <cdr:from>
      <cdr:x>0.18323</cdr:x>
      <cdr:y>0.40132</cdr:y>
    </cdr:from>
    <cdr:to>
      <cdr:x>0.39316</cdr:x>
      <cdr:y>0.60153</cdr:y>
    </cdr:to>
    <cdr:sp macro="" textlink="">
      <cdr:nvSpPr>
        <cdr:cNvPr id="10" name="Text Box 1"/>
        <cdr:cNvSpPr txBox="1"/>
      </cdr:nvSpPr>
      <cdr:spPr>
        <a:xfrm xmlns:a="http://schemas.openxmlformats.org/drawingml/2006/main">
          <a:off x="1089025" y="1431924"/>
          <a:ext cx="1247776" cy="714375"/>
        </a:xfrm>
        <a:prstGeom xmlns:a="http://schemas.openxmlformats.org/drawingml/2006/main" prst="rect">
          <a:avLst/>
        </a:prstGeom>
      </cdr:spPr>
    </cdr:sp>
  </cdr:relSizeAnchor>
  <cdr:relSizeAnchor xmlns:cdr="http://schemas.openxmlformats.org/drawingml/2006/chartDrawing">
    <cdr:from>
      <cdr:x>0.05342</cdr:x>
      <cdr:y>0.40399</cdr:y>
    </cdr:from>
    <cdr:to>
      <cdr:x>0.26335</cdr:x>
      <cdr:y>0.6042</cdr:y>
    </cdr:to>
    <cdr:sp macro="" textlink="">
      <cdr:nvSpPr>
        <cdr:cNvPr id="11" name="Text Box 1"/>
        <cdr:cNvSpPr txBox="1"/>
      </cdr:nvSpPr>
      <cdr:spPr>
        <a:xfrm xmlns:a="http://schemas.openxmlformats.org/drawingml/2006/main">
          <a:off x="317500" y="1441449"/>
          <a:ext cx="1247776" cy="714375"/>
        </a:xfrm>
        <a:prstGeom xmlns:a="http://schemas.openxmlformats.org/drawingml/2006/main" prst="rect">
          <a:avLst/>
        </a:prstGeom>
      </cdr:spPr>
    </cdr:sp>
  </cdr:relSizeAnchor>
  <cdr:relSizeAnchor xmlns:cdr="http://schemas.openxmlformats.org/drawingml/2006/chartDrawing">
    <cdr:from>
      <cdr:x>0.63568</cdr:x>
      <cdr:y>0.76615</cdr:y>
    </cdr:from>
    <cdr:to>
      <cdr:x>0.63622</cdr:x>
      <cdr:y>0.81331</cdr:y>
    </cdr:to>
    <cdr:cxnSp macro="">
      <cdr:nvCxnSpPr>
        <cdr:cNvPr id="12" name="Straight Arrow Connector 11"/>
        <cdr:cNvCxnSpPr/>
      </cdr:nvCxnSpPr>
      <cdr:spPr>
        <a:xfrm xmlns:a="http://schemas.openxmlformats.org/drawingml/2006/main" flipH="1">
          <a:off x="3778228" y="3252774"/>
          <a:ext cx="3209" cy="200223"/>
        </a:xfrm>
        <a:prstGeom xmlns:a="http://schemas.openxmlformats.org/drawingml/2006/main" prst="straightConnector1">
          <a:avLst/>
        </a:prstGeom>
        <a:ln xmlns:a="http://schemas.openxmlformats.org/drawingml/2006/main" w="25400">
          <a:solidFill>
            <a:schemeClr val="tx1"/>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0.52788</cdr:x>
      <cdr:y>0.65011</cdr:y>
    </cdr:from>
    <cdr:to>
      <cdr:x>0.72019</cdr:x>
      <cdr:y>0.77149</cdr:y>
    </cdr:to>
    <cdr:sp macro="" textlink="">
      <cdr:nvSpPr>
        <cdr:cNvPr id="14" name="Text Box 13"/>
        <cdr:cNvSpPr txBox="1"/>
      </cdr:nvSpPr>
      <cdr:spPr>
        <a:xfrm xmlns:a="http://schemas.openxmlformats.org/drawingml/2006/main">
          <a:off x="3137535" y="2760122"/>
          <a:ext cx="1143000" cy="5153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800">
              <a:latin typeface="Arial" charset="0"/>
              <a:ea typeface="Arial" charset="0"/>
              <a:cs typeface="Arial" charset="0"/>
            </a:rPr>
            <a:t>Shift in Saudi Arabia and OPEC oil production policies</a:t>
          </a:r>
        </a:p>
      </cdr:txBody>
    </cdr:sp>
  </cdr:relSizeAnchor>
  <cdr:relSizeAnchor xmlns:cdr="http://schemas.openxmlformats.org/drawingml/2006/chartDrawing">
    <cdr:from>
      <cdr:x>0.92468</cdr:x>
      <cdr:y>0.77149</cdr:y>
    </cdr:from>
    <cdr:to>
      <cdr:x>0.92521</cdr:x>
      <cdr:y>0.81865</cdr:y>
    </cdr:to>
    <cdr:cxnSp macro="">
      <cdr:nvCxnSpPr>
        <cdr:cNvPr id="15" name="Straight Arrow Connector 14"/>
        <cdr:cNvCxnSpPr/>
      </cdr:nvCxnSpPr>
      <cdr:spPr>
        <a:xfrm xmlns:a="http://schemas.openxmlformats.org/drawingml/2006/main" flipH="1">
          <a:off x="5495926" y="2752725"/>
          <a:ext cx="3174" cy="168275"/>
        </a:xfrm>
        <a:prstGeom xmlns:a="http://schemas.openxmlformats.org/drawingml/2006/main" prst="straightConnector1">
          <a:avLst/>
        </a:prstGeom>
        <a:ln xmlns:a="http://schemas.openxmlformats.org/drawingml/2006/main" w="25400">
          <a:solidFill>
            <a:schemeClr val="tx1"/>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0.33547</cdr:x>
      <cdr:y>0.40129</cdr:y>
    </cdr:from>
    <cdr:to>
      <cdr:x>0.57853</cdr:x>
      <cdr:y>0.59423</cdr:y>
    </cdr:to>
    <cdr:sp macro="" textlink="">
      <cdr:nvSpPr>
        <cdr:cNvPr id="13" name="Text Box 3"/>
        <cdr:cNvSpPr txBox="1"/>
      </cdr:nvSpPr>
      <cdr:spPr>
        <a:xfrm xmlns:a="http://schemas.openxmlformats.org/drawingml/2006/main">
          <a:off x="1993900" y="1703705"/>
          <a:ext cx="1444625" cy="81915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15000"/>
            </a:lnSpc>
            <a:spcBef>
              <a:spcPts val="0"/>
            </a:spcBef>
            <a:spcAft>
              <a:spcPts val="1000"/>
            </a:spcAft>
          </a:pPr>
          <a:r>
            <a:rPr lang="en-US" sz="800">
              <a:effectLst/>
              <a:latin typeface="Arial" panose="020B0604020202020204" pitchFamily="34" charset="0"/>
              <a:ea typeface="Times New Roman" panose="02020603050405020304" pitchFamily="18" charset="0"/>
              <a:cs typeface="Arial" panose="020B0604020202020204" pitchFamily="34" charset="0"/>
            </a:rPr>
            <a:t>Blackhawks sign Toews &amp; Kane to extensions, each with valued at $10.5-million/year.</a:t>
          </a:r>
        </a:p>
      </cdr:txBody>
    </cdr:sp>
  </cdr:relSizeAnchor>
  <cdr:relSizeAnchor xmlns:cdr="http://schemas.openxmlformats.org/drawingml/2006/chartDrawing">
    <cdr:from>
      <cdr:x>0.81571</cdr:x>
      <cdr:y>0.64104</cdr:y>
    </cdr:from>
    <cdr:to>
      <cdr:x>1</cdr:x>
      <cdr:y>0.75381</cdr:y>
    </cdr:to>
    <cdr:sp macro="" textlink="">
      <cdr:nvSpPr>
        <cdr:cNvPr id="16" name="Text Box 4"/>
        <cdr:cNvSpPr txBox="1"/>
      </cdr:nvSpPr>
      <cdr:spPr>
        <a:xfrm xmlns:a="http://schemas.openxmlformats.org/drawingml/2006/main">
          <a:off x="4848225" y="2721610"/>
          <a:ext cx="1095375" cy="478789"/>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15000"/>
            </a:lnSpc>
            <a:spcBef>
              <a:spcPts val="0"/>
            </a:spcBef>
            <a:spcAft>
              <a:spcPts val="1000"/>
            </a:spcAft>
          </a:pPr>
          <a:r>
            <a:rPr lang="en-US" sz="800">
              <a:effectLst/>
              <a:latin typeface="Arial" panose="020B0604020202020204" pitchFamily="34" charset="0"/>
              <a:ea typeface="Times New Roman" panose="02020603050405020304" pitchFamily="18" charset="0"/>
              <a:cs typeface="Arial" panose="020B0604020202020204" pitchFamily="34" charset="0"/>
            </a:rPr>
            <a:t>Blackhawks win 2014–15 Stanley Cup.</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D1BFC-4BC4-4BAF-A170-4A2B4581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61</TotalTime>
  <Pages>8</Pages>
  <Words>2786</Words>
  <Characters>14288</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17040</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Gulka, Allison</dc:creator>
  <cp:lastModifiedBy>Karen Pepers1</cp:lastModifiedBy>
  <cp:revision>6</cp:revision>
  <cp:lastPrinted>2017-06-26T19:14:00Z</cp:lastPrinted>
  <dcterms:created xsi:type="dcterms:W3CDTF">2017-08-09T14:20:00Z</dcterms:created>
  <dcterms:modified xsi:type="dcterms:W3CDTF">2017-08-22T12:29:00Z</dcterms:modified>
</cp:coreProperties>
</file>