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450" w:type="dxa"/>
        <w:tblLayout w:type="fixed"/>
        <w:tblLook w:val="04A0" w:firstRow="1" w:lastRow="0" w:firstColumn="1" w:lastColumn="0" w:noHBand="0" w:noVBand="1"/>
      </w:tblPr>
      <w:tblGrid>
        <w:gridCol w:w="4230"/>
        <w:gridCol w:w="2610"/>
        <w:gridCol w:w="2610"/>
      </w:tblGrid>
      <w:tr w:rsidR="00A71DC1" w:rsidRPr="00B96BAA" w14:paraId="26A028B8" w14:textId="77777777" w:rsidTr="00A71DC1">
        <w:trPr>
          <w:trHeight w:val="881"/>
        </w:trPr>
        <w:tc>
          <w:tcPr>
            <w:tcW w:w="4230" w:type="dxa"/>
          </w:tcPr>
          <w:p w14:paraId="090CA0D3" w14:textId="77777777" w:rsidR="00A71DC1" w:rsidRPr="00B96BAA" w:rsidRDefault="00A71DC1" w:rsidP="00A71DC1">
            <w:pPr>
              <w:tabs>
                <w:tab w:val="left" w:pos="0"/>
                <w:tab w:val="right" w:pos="9360"/>
              </w:tabs>
              <w:rPr>
                <w:rFonts w:ascii="IveyVHWLogos" w:hAnsi="IveyVHWLogos"/>
                <w:sz w:val="10"/>
                <w:szCs w:val="44"/>
              </w:rPr>
            </w:pPr>
            <w:r w:rsidRPr="00B96BAA">
              <w:rPr>
                <w:rFonts w:ascii="Arial" w:hAnsi="Arial"/>
                <w:b/>
                <w:noProof/>
                <w:sz w:val="10"/>
              </w:rPr>
              <w:drawing>
                <wp:anchor distT="0" distB="0" distL="114300" distR="114300" simplePos="0" relativeHeight="251662336" behindDoc="1" locked="0" layoutInCell="1" allowOverlap="1" wp14:anchorId="6946E9F7" wp14:editId="608AA1BD">
                  <wp:simplePos x="0" y="0"/>
                  <wp:positionH relativeFrom="column">
                    <wp:posOffset>-68580</wp:posOffset>
                  </wp:positionH>
                  <wp:positionV relativeFrom="paragraph">
                    <wp:posOffset>-629920</wp:posOffset>
                  </wp:positionV>
                  <wp:extent cx="2613660" cy="551180"/>
                  <wp:effectExtent l="0" t="0" r="0" b="1270"/>
                  <wp:wrapTight wrapText="bothSides">
                    <wp:wrapPolygon edited="0">
                      <wp:start x="0" y="0"/>
                      <wp:lineTo x="0" y="20903"/>
                      <wp:lineTo x="21411" y="20903"/>
                      <wp:lineTo x="21411"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13660" cy="551180"/>
                          </a:xfrm>
                          <a:prstGeom prst="rect">
                            <a:avLst/>
                          </a:prstGeom>
                        </pic:spPr>
                      </pic:pic>
                    </a:graphicData>
                  </a:graphic>
                  <wp14:sizeRelH relativeFrom="page">
                    <wp14:pctWidth>0</wp14:pctWidth>
                  </wp14:sizeRelH>
                  <wp14:sizeRelV relativeFrom="page">
                    <wp14:pctHeight>0</wp14:pctHeight>
                  </wp14:sizeRelV>
                </wp:anchor>
              </w:drawing>
            </w:r>
          </w:p>
        </w:tc>
        <w:tc>
          <w:tcPr>
            <w:tcW w:w="2610" w:type="dxa"/>
          </w:tcPr>
          <w:p w14:paraId="44826AA3" w14:textId="77777777" w:rsidR="00A71DC1" w:rsidRPr="00B96BAA" w:rsidRDefault="00A71DC1" w:rsidP="00A71DC1">
            <w:pPr>
              <w:tabs>
                <w:tab w:val="left" w:pos="0"/>
                <w:tab w:val="right" w:pos="9360"/>
              </w:tabs>
              <w:rPr>
                <w:rFonts w:ascii="IveyVHWLogos" w:hAnsi="IveyVHWLogos"/>
                <w:sz w:val="10"/>
                <w:szCs w:val="16"/>
              </w:rPr>
            </w:pPr>
            <w:r w:rsidRPr="00B96BAA">
              <w:rPr>
                <w:noProof/>
                <w:sz w:val="10"/>
              </w:rPr>
              <w:drawing>
                <wp:anchor distT="0" distB="0" distL="114300" distR="114300" simplePos="0" relativeHeight="251661312" behindDoc="1" locked="0" layoutInCell="1" allowOverlap="1" wp14:anchorId="416BB6E9" wp14:editId="5C54EE05">
                  <wp:simplePos x="0" y="0"/>
                  <wp:positionH relativeFrom="column">
                    <wp:posOffset>-42545</wp:posOffset>
                  </wp:positionH>
                  <wp:positionV relativeFrom="paragraph">
                    <wp:posOffset>0</wp:posOffset>
                  </wp:positionV>
                  <wp:extent cx="1610584" cy="548640"/>
                  <wp:effectExtent l="0" t="0" r="8890" b="3810"/>
                  <wp:wrapTight wrapText="bothSides">
                    <wp:wrapPolygon edited="0">
                      <wp:start x="0" y="0"/>
                      <wp:lineTo x="0" y="21000"/>
                      <wp:lineTo x="21464" y="21000"/>
                      <wp:lineTo x="21464" y="0"/>
                      <wp:lineTo x="0" y="0"/>
                    </wp:wrapPolygon>
                  </wp:wrapTight>
                  <wp:docPr id="1" name="Picture 1" descr="CEIBS-New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EIBS-New logo"/>
                          <pic:cNvPicPr>
                            <a:picLocks noChangeAspect="1" noChangeArrowheads="1"/>
                          </pic:cNvPicPr>
                        </pic:nvPicPr>
                        <pic:blipFill>
                          <a:blip r:embed="rId9" cstate="print">
                            <a:grayscl/>
                            <a:extLst>
                              <a:ext uri="{28A0092B-C50C-407E-A947-70E740481C1C}">
                                <a14:useLocalDpi xmlns:a14="http://schemas.microsoft.com/office/drawing/2010/main" val="0"/>
                              </a:ext>
                            </a:extLst>
                          </a:blip>
                          <a:srcRect l="14211" t="32307" r="16316" b="33115"/>
                          <a:stretch>
                            <a:fillRect/>
                          </a:stretch>
                        </pic:blipFill>
                        <pic:spPr bwMode="auto">
                          <a:xfrm>
                            <a:off x="0" y="0"/>
                            <a:ext cx="1610584" cy="54864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2610" w:type="dxa"/>
            <w:vAlign w:val="center"/>
          </w:tcPr>
          <w:p w14:paraId="5A41BA97" w14:textId="77777777" w:rsidR="00A71DC1" w:rsidRPr="00B96BAA" w:rsidRDefault="00A71DC1" w:rsidP="00A71DC1">
            <w:pPr>
              <w:tabs>
                <w:tab w:val="left" w:pos="0"/>
                <w:tab w:val="right" w:pos="9360"/>
              </w:tabs>
              <w:ind w:right="1760"/>
              <w:rPr>
                <w:rFonts w:ascii="IveyVHWLogos" w:hAnsi="IveyVHWLogos"/>
                <w:sz w:val="10"/>
                <w:szCs w:val="44"/>
              </w:rPr>
            </w:pPr>
            <w:r w:rsidRPr="00B96BAA">
              <w:rPr>
                <w:rFonts w:ascii="IveyVHWLogos" w:eastAsia="SimSun" w:hAnsi="IveyVHWLogos"/>
                <w:noProof/>
                <w:sz w:val="10"/>
                <w:szCs w:val="44"/>
              </w:rPr>
              <w:drawing>
                <wp:anchor distT="0" distB="0" distL="114300" distR="114300" simplePos="0" relativeHeight="251663360" behindDoc="1" locked="0" layoutInCell="1" allowOverlap="1" wp14:anchorId="413C2CCE" wp14:editId="3C8F9F65">
                  <wp:simplePos x="0" y="0"/>
                  <wp:positionH relativeFrom="column">
                    <wp:posOffset>225425</wp:posOffset>
                  </wp:positionH>
                  <wp:positionV relativeFrom="paragraph">
                    <wp:posOffset>-2540</wp:posOffset>
                  </wp:positionV>
                  <wp:extent cx="1328420" cy="548640"/>
                  <wp:effectExtent l="0" t="0" r="5080" b="3810"/>
                  <wp:wrapTight wrapText="bothSides">
                    <wp:wrapPolygon edited="0">
                      <wp:start x="0" y="0"/>
                      <wp:lineTo x="0" y="21000"/>
                      <wp:lineTo x="21373" y="21000"/>
                      <wp:lineTo x="21373" y="0"/>
                      <wp:lineTo x="0" y="0"/>
                    </wp:wrapPolygon>
                  </wp:wrapTight>
                  <wp:docPr id="9" name="Picture 9" descr="ISB_Logo_BW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SB_Logo_BW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28420" cy="54864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01D5BFA4" w14:textId="77777777" w:rsidR="005E02F8" w:rsidRDefault="005E02F8" w:rsidP="008467D5">
      <w:pPr>
        <w:pBdr>
          <w:bottom w:val="single" w:sz="18" w:space="1" w:color="auto"/>
        </w:pBdr>
        <w:tabs>
          <w:tab w:val="left" w:pos="-1440"/>
          <w:tab w:val="left" w:pos="-720"/>
          <w:tab w:val="left" w:pos="1"/>
        </w:tabs>
        <w:jc w:val="both"/>
        <w:rPr>
          <w:rFonts w:ascii="Arial" w:hAnsi="Arial"/>
          <w:b/>
          <w:sz w:val="24"/>
        </w:rPr>
      </w:pPr>
    </w:p>
    <w:p w14:paraId="6E103C7E" w14:textId="3BE9E675" w:rsidR="00D75295" w:rsidRDefault="0038671C" w:rsidP="00F105B7">
      <w:pPr>
        <w:pStyle w:val="ProductNumber"/>
      </w:pPr>
      <w:r>
        <w:t>9B17M133</w:t>
      </w:r>
    </w:p>
    <w:p w14:paraId="7FED9E2A" w14:textId="77777777" w:rsidR="00D75295" w:rsidRDefault="00D75295" w:rsidP="00D75295">
      <w:pPr>
        <w:jc w:val="right"/>
        <w:rPr>
          <w:rFonts w:ascii="Arial" w:hAnsi="Arial"/>
          <w:b/>
          <w:sz w:val="28"/>
          <w:szCs w:val="28"/>
        </w:rPr>
      </w:pPr>
    </w:p>
    <w:p w14:paraId="59D99CC7" w14:textId="77777777" w:rsidR="00866F6D" w:rsidRDefault="00866F6D" w:rsidP="00D75295">
      <w:pPr>
        <w:jc w:val="right"/>
        <w:rPr>
          <w:rFonts w:ascii="Arial" w:hAnsi="Arial"/>
          <w:b/>
          <w:sz w:val="28"/>
          <w:szCs w:val="28"/>
        </w:rPr>
      </w:pPr>
    </w:p>
    <w:p w14:paraId="0C607150" w14:textId="77777777" w:rsidR="00013360" w:rsidRPr="00361C8E" w:rsidRDefault="004445CB" w:rsidP="00013360">
      <w:pPr>
        <w:pStyle w:val="CaseTitle"/>
        <w:spacing w:after="0" w:line="240" w:lineRule="auto"/>
      </w:pPr>
      <w:r w:rsidRPr="00BB343B">
        <w:t>Eye-Q</w:t>
      </w:r>
      <w:r w:rsidR="00C71764" w:rsidRPr="00BB343B">
        <w:t>: Vision for the long term</w:t>
      </w:r>
    </w:p>
    <w:p w14:paraId="6AE7B691" w14:textId="77777777" w:rsidR="00013360" w:rsidRDefault="00013360" w:rsidP="00013360">
      <w:pPr>
        <w:pStyle w:val="CaseTitle"/>
        <w:spacing w:after="0" w:line="240" w:lineRule="auto"/>
        <w:rPr>
          <w:sz w:val="20"/>
          <w:szCs w:val="20"/>
        </w:rPr>
      </w:pPr>
    </w:p>
    <w:p w14:paraId="5653D4D5" w14:textId="77777777" w:rsidR="00CA3976" w:rsidRDefault="00CA3976" w:rsidP="00013360">
      <w:pPr>
        <w:pStyle w:val="CaseTitle"/>
        <w:spacing w:after="0" w:line="240" w:lineRule="auto"/>
        <w:rPr>
          <w:sz w:val="20"/>
          <w:szCs w:val="20"/>
        </w:rPr>
      </w:pPr>
    </w:p>
    <w:p w14:paraId="6918C877" w14:textId="77777777" w:rsidR="00D66A21" w:rsidRDefault="00D66A21" w:rsidP="00013360">
      <w:pPr>
        <w:pStyle w:val="CaseTitle"/>
        <w:spacing w:after="0" w:line="240" w:lineRule="auto"/>
        <w:rPr>
          <w:sz w:val="20"/>
          <w:szCs w:val="20"/>
        </w:rPr>
      </w:pPr>
    </w:p>
    <w:p w14:paraId="76CF7C4E" w14:textId="70A45CCC" w:rsidR="00013360" w:rsidRDefault="00C71764" w:rsidP="00104567">
      <w:pPr>
        <w:pStyle w:val="StyleCopyrightStatementAfter0ptBottomSinglesolidline1"/>
      </w:pPr>
      <w:r>
        <w:t>Rama</w:t>
      </w:r>
      <w:r w:rsidR="004E7E8E">
        <w:t>k</w:t>
      </w:r>
      <w:r>
        <w:t>rishna Velamuri and Geetika Shah</w:t>
      </w:r>
      <w:r w:rsidR="007E5921">
        <w:t xml:space="preserve"> wrote this case sol</w:t>
      </w:r>
      <w:r w:rsidR="00D75295" w:rsidRPr="00104567">
        <w:t>ely to provide material for class discussion. The</w:t>
      </w:r>
      <w:r w:rsidR="00D75295">
        <w:t xml:space="preserve"> authors do not intend to illustrate either effective or ineffective handling of a managerial situation. The authors may have disguised certain names and other identifying information to protect confidentiality.</w:t>
      </w:r>
    </w:p>
    <w:p w14:paraId="10E0BEF0" w14:textId="77777777" w:rsidR="00856D9F" w:rsidRDefault="00856D9F" w:rsidP="003B7EF2">
      <w:pPr>
        <w:pStyle w:val="StyleStyleCopyrightStatementAfter0ptBottomSinglesolid"/>
      </w:pPr>
    </w:p>
    <w:p w14:paraId="42F37599" w14:textId="77777777" w:rsidR="00C11BAE" w:rsidRDefault="00C11BAE" w:rsidP="00C11BAE">
      <w:pPr>
        <w:jc w:val="both"/>
        <w:rPr>
          <w:rFonts w:ascii="Arial" w:hAnsi="Arial" w:cs="Arial"/>
          <w:i/>
          <w:iCs/>
          <w:sz w:val="16"/>
          <w:szCs w:val="16"/>
          <w:lang w:val="en-CA"/>
        </w:rPr>
      </w:pPr>
      <w:r>
        <w:rPr>
          <w:rFonts w:ascii="Arial" w:hAnsi="Arial" w:cs="Arial"/>
          <w:i/>
          <w:iCs/>
          <w:sz w:val="16"/>
          <w:szCs w:val="16"/>
          <w:lang w:val="en-CA"/>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11" w:history="1">
        <w:r w:rsidRPr="00452769">
          <w:rPr>
            <w:rFonts w:ascii="Arial" w:hAnsi="Arial" w:cs="Arial"/>
            <w:i/>
            <w:iCs/>
            <w:sz w:val="16"/>
            <w:szCs w:val="16"/>
            <w:lang w:val="en-CA"/>
          </w:rPr>
          <w:t>cases@ivey.ca</w:t>
        </w:r>
      </w:hyperlink>
      <w:r>
        <w:rPr>
          <w:rFonts w:ascii="Arial" w:hAnsi="Arial" w:cs="Arial"/>
          <w:i/>
          <w:iCs/>
          <w:sz w:val="16"/>
          <w:szCs w:val="16"/>
          <w:lang w:val="en-CA"/>
        </w:rPr>
        <w:t xml:space="preserve">; </w:t>
      </w:r>
      <w:hyperlink r:id="rId12" w:history="1">
        <w:r w:rsidRPr="00452769">
          <w:rPr>
            <w:rFonts w:ascii="Arial" w:hAnsi="Arial" w:cs="Arial"/>
            <w:i/>
            <w:iCs/>
            <w:sz w:val="16"/>
            <w:szCs w:val="16"/>
            <w:lang w:val="en-CA"/>
          </w:rPr>
          <w:t>www.iveycases.com</w:t>
        </w:r>
      </w:hyperlink>
      <w:r>
        <w:rPr>
          <w:rFonts w:ascii="Arial" w:hAnsi="Arial" w:cs="Arial"/>
          <w:i/>
          <w:iCs/>
          <w:sz w:val="16"/>
          <w:szCs w:val="16"/>
          <w:lang w:val="en-CA"/>
        </w:rPr>
        <w:t>.</w:t>
      </w:r>
    </w:p>
    <w:p w14:paraId="10F34760" w14:textId="77777777" w:rsidR="00C11BAE" w:rsidRDefault="00C11BAE" w:rsidP="00C11BAE">
      <w:pPr>
        <w:pStyle w:val="StyleCopyrightStatementAfter0ptBottomSinglesolidline1"/>
        <w:pBdr>
          <w:top w:val="none" w:sz="0" w:space="0" w:color="auto"/>
        </w:pBdr>
      </w:pPr>
    </w:p>
    <w:p w14:paraId="01A5D9A6" w14:textId="2636688F" w:rsidR="003B7EF2" w:rsidRDefault="00C11BAE" w:rsidP="00C11BAE">
      <w:pPr>
        <w:pStyle w:val="StyleStyleCopyrightStatementAfter0ptBottomSinglesolid"/>
      </w:pPr>
      <w:r>
        <w:t>Copyright © 20</w:t>
      </w:r>
      <w:r w:rsidR="005E02F8">
        <w:t>17</w:t>
      </w:r>
      <w:r>
        <w:t>, Richard Ivey School of Business Foundation</w:t>
      </w:r>
      <w:r>
        <w:tab/>
      </w:r>
      <w:r w:rsidR="003B7EF2">
        <w:t xml:space="preserve">Version: </w:t>
      </w:r>
      <w:r w:rsidR="009769A8">
        <w:t>2017-</w:t>
      </w:r>
      <w:r w:rsidR="00536BED">
        <w:t>08-</w:t>
      </w:r>
      <w:r w:rsidR="00BE3BF4">
        <w:t>29</w:t>
      </w:r>
    </w:p>
    <w:p w14:paraId="529B784A" w14:textId="77777777" w:rsidR="003B7EF2" w:rsidRPr="00726F29" w:rsidRDefault="003B7EF2" w:rsidP="00104567">
      <w:pPr>
        <w:pStyle w:val="StyleCopyrightStatementAfter0ptBottomSinglesolidline1"/>
        <w:rPr>
          <w:rFonts w:ascii="Times New Roman" w:hAnsi="Times New Roman"/>
          <w:sz w:val="18"/>
        </w:rPr>
      </w:pPr>
    </w:p>
    <w:p w14:paraId="3162978F" w14:textId="77777777" w:rsidR="00D66A21" w:rsidRPr="00726F29" w:rsidRDefault="00D66A21" w:rsidP="00104567">
      <w:pPr>
        <w:pStyle w:val="StyleCopyrightStatementAfter0ptBottomSinglesolidline1"/>
        <w:rPr>
          <w:rFonts w:ascii="Times New Roman" w:hAnsi="Times New Roman"/>
          <w:sz w:val="18"/>
        </w:rPr>
      </w:pPr>
    </w:p>
    <w:p w14:paraId="2E5D24BD" w14:textId="1596CC61" w:rsidR="00A37C2D" w:rsidRPr="005E02F8" w:rsidRDefault="00C71764" w:rsidP="00C71764">
      <w:pPr>
        <w:pStyle w:val="BodyTextMain"/>
        <w:rPr>
          <w:rStyle w:val="Emphasis"/>
          <w:i w:val="0"/>
          <w:iCs w:val="0"/>
        </w:rPr>
      </w:pPr>
      <w:r w:rsidRPr="005E02F8">
        <w:rPr>
          <w:rStyle w:val="Emphasis"/>
          <w:i w:val="0"/>
          <w:iCs w:val="0"/>
        </w:rPr>
        <w:t xml:space="preserve">Rajat Goel, </w:t>
      </w:r>
      <w:r w:rsidR="00072B34" w:rsidRPr="005E02F8">
        <w:rPr>
          <w:rStyle w:val="Emphasis"/>
          <w:i w:val="0"/>
          <w:iCs w:val="0"/>
        </w:rPr>
        <w:t>c</w:t>
      </w:r>
      <w:r w:rsidRPr="005E02F8">
        <w:rPr>
          <w:rStyle w:val="Emphasis"/>
          <w:i w:val="0"/>
          <w:iCs w:val="0"/>
        </w:rPr>
        <w:t xml:space="preserve">hief </w:t>
      </w:r>
      <w:r w:rsidR="00072B34" w:rsidRPr="005E02F8">
        <w:rPr>
          <w:rStyle w:val="Emphasis"/>
          <w:i w:val="0"/>
          <w:iCs w:val="0"/>
        </w:rPr>
        <w:t>e</w:t>
      </w:r>
      <w:r w:rsidRPr="005E02F8">
        <w:rPr>
          <w:rStyle w:val="Emphasis"/>
          <w:i w:val="0"/>
          <w:iCs w:val="0"/>
        </w:rPr>
        <w:t xml:space="preserve">xecutive </w:t>
      </w:r>
      <w:r w:rsidR="00072B34" w:rsidRPr="005E02F8">
        <w:rPr>
          <w:rStyle w:val="Emphasis"/>
          <w:i w:val="0"/>
          <w:iCs w:val="0"/>
        </w:rPr>
        <w:t>o</w:t>
      </w:r>
      <w:r w:rsidRPr="005E02F8">
        <w:rPr>
          <w:rStyle w:val="Emphasis"/>
          <w:i w:val="0"/>
          <w:iCs w:val="0"/>
        </w:rPr>
        <w:t xml:space="preserve">fficer </w:t>
      </w:r>
      <w:r w:rsidR="00E614A8" w:rsidRPr="005E02F8">
        <w:rPr>
          <w:rStyle w:val="Emphasis"/>
          <w:i w:val="0"/>
          <w:iCs w:val="0"/>
        </w:rPr>
        <w:t>at</w:t>
      </w:r>
      <w:r w:rsidRPr="005E02F8">
        <w:rPr>
          <w:rStyle w:val="Emphasis"/>
          <w:i w:val="0"/>
          <w:iCs w:val="0"/>
        </w:rPr>
        <w:t xml:space="preserve"> </w:t>
      </w:r>
      <w:r w:rsidR="004445CB" w:rsidRPr="005E02F8">
        <w:rPr>
          <w:rStyle w:val="Emphasis"/>
          <w:i w:val="0"/>
          <w:iCs w:val="0"/>
        </w:rPr>
        <w:t>Eye</w:t>
      </w:r>
      <w:r w:rsidR="00D9525C" w:rsidRPr="005E02F8">
        <w:rPr>
          <w:rStyle w:val="Emphasis"/>
          <w:i w:val="0"/>
          <w:iCs w:val="0"/>
        </w:rPr>
        <w:t>-</w:t>
      </w:r>
      <w:r w:rsidR="004445CB" w:rsidRPr="005E02F8">
        <w:rPr>
          <w:rStyle w:val="Emphasis"/>
          <w:i w:val="0"/>
          <w:iCs w:val="0"/>
        </w:rPr>
        <w:t>Q</w:t>
      </w:r>
      <w:r w:rsidRPr="005E02F8">
        <w:rPr>
          <w:rStyle w:val="Emphasis"/>
          <w:i w:val="0"/>
          <w:iCs w:val="0"/>
        </w:rPr>
        <w:t xml:space="preserve"> Super Specialty Hospitals</w:t>
      </w:r>
      <w:r w:rsidR="00072B34" w:rsidRPr="005E02F8">
        <w:rPr>
          <w:rStyle w:val="Emphasis"/>
          <w:i w:val="0"/>
          <w:iCs w:val="0"/>
        </w:rPr>
        <w:t xml:space="preserve"> (Eye</w:t>
      </w:r>
      <w:r w:rsidR="00D9525C" w:rsidRPr="005E02F8">
        <w:rPr>
          <w:rStyle w:val="Emphasis"/>
          <w:i w:val="0"/>
          <w:iCs w:val="0"/>
        </w:rPr>
        <w:t>-</w:t>
      </w:r>
      <w:r w:rsidR="00072B34" w:rsidRPr="005E02F8">
        <w:rPr>
          <w:rStyle w:val="Emphasis"/>
          <w:i w:val="0"/>
          <w:iCs w:val="0"/>
        </w:rPr>
        <w:t>Q)</w:t>
      </w:r>
      <w:r w:rsidRPr="005E02F8">
        <w:rPr>
          <w:rStyle w:val="Emphasis"/>
          <w:i w:val="0"/>
          <w:iCs w:val="0"/>
        </w:rPr>
        <w:t xml:space="preserve">, </w:t>
      </w:r>
      <w:r w:rsidR="00E614A8" w:rsidRPr="005E02F8">
        <w:rPr>
          <w:rStyle w:val="Emphasis"/>
          <w:i w:val="0"/>
          <w:iCs w:val="0"/>
        </w:rPr>
        <w:t>gave</w:t>
      </w:r>
      <w:r w:rsidRPr="005E02F8">
        <w:rPr>
          <w:rStyle w:val="Emphasis"/>
          <w:i w:val="0"/>
          <w:iCs w:val="0"/>
        </w:rPr>
        <w:t xml:space="preserve"> up a 16-year corporate career to partner with his ex-classmate, Dr. Ajay Sharma, </w:t>
      </w:r>
      <w:r w:rsidR="00072B34" w:rsidRPr="005E02F8">
        <w:rPr>
          <w:rStyle w:val="Emphasis"/>
          <w:i w:val="0"/>
          <w:iCs w:val="0"/>
        </w:rPr>
        <w:t>c</w:t>
      </w:r>
      <w:r w:rsidRPr="005E02F8">
        <w:rPr>
          <w:rStyle w:val="Emphasis"/>
          <w:i w:val="0"/>
          <w:iCs w:val="0"/>
        </w:rPr>
        <w:t xml:space="preserve">hief </w:t>
      </w:r>
      <w:r w:rsidR="00072B34" w:rsidRPr="005E02F8">
        <w:rPr>
          <w:rStyle w:val="Emphasis"/>
          <w:i w:val="0"/>
          <w:iCs w:val="0"/>
        </w:rPr>
        <w:t>m</w:t>
      </w:r>
      <w:r w:rsidRPr="005E02F8">
        <w:rPr>
          <w:rStyle w:val="Emphasis"/>
          <w:i w:val="0"/>
          <w:iCs w:val="0"/>
        </w:rPr>
        <w:t xml:space="preserve">edical </w:t>
      </w:r>
      <w:r w:rsidR="00072B34" w:rsidRPr="005E02F8">
        <w:rPr>
          <w:rStyle w:val="Emphasis"/>
          <w:i w:val="0"/>
          <w:iCs w:val="0"/>
        </w:rPr>
        <w:t>d</w:t>
      </w:r>
      <w:r w:rsidRPr="005E02F8">
        <w:rPr>
          <w:rStyle w:val="Emphasis"/>
          <w:i w:val="0"/>
          <w:iCs w:val="0"/>
        </w:rPr>
        <w:t>irector at Eye</w:t>
      </w:r>
      <w:r w:rsidR="00D9525C" w:rsidRPr="005E02F8">
        <w:rPr>
          <w:rStyle w:val="Emphasis"/>
          <w:i w:val="0"/>
          <w:iCs w:val="0"/>
        </w:rPr>
        <w:t>-</w:t>
      </w:r>
      <w:r w:rsidRPr="005E02F8">
        <w:rPr>
          <w:rStyle w:val="Emphasis"/>
          <w:i w:val="0"/>
          <w:iCs w:val="0"/>
        </w:rPr>
        <w:t xml:space="preserve">Q, </w:t>
      </w:r>
      <w:r w:rsidR="00E614A8" w:rsidRPr="005E02F8">
        <w:rPr>
          <w:rStyle w:val="Emphasis"/>
          <w:i w:val="0"/>
          <w:iCs w:val="0"/>
        </w:rPr>
        <w:t>and</w:t>
      </w:r>
      <w:r w:rsidRPr="005E02F8">
        <w:rPr>
          <w:rStyle w:val="Emphasis"/>
          <w:i w:val="0"/>
          <w:iCs w:val="0"/>
        </w:rPr>
        <w:t xml:space="preserve"> set up the hospital chain in 2007. </w:t>
      </w:r>
      <w:r w:rsidR="00E614A8" w:rsidRPr="005E02F8">
        <w:rPr>
          <w:rStyle w:val="Emphasis"/>
          <w:i w:val="0"/>
          <w:iCs w:val="0"/>
        </w:rPr>
        <w:t>As eye-care practitioners who</w:t>
      </w:r>
      <w:r w:rsidR="00430ED7" w:rsidRPr="005E02F8">
        <w:rPr>
          <w:rStyle w:val="Emphasis"/>
          <w:i w:val="0"/>
          <w:iCs w:val="0"/>
        </w:rPr>
        <w:t xml:space="preserve"> </w:t>
      </w:r>
      <w:r w:rsidR="00683DDC" w:rsidRPr="005E02F8">
        <w:rPr>
          <w:rStyle w:val="Emphasis"/>
          <w:i w:val="0"/>
          <w:iCs w:val="0"/>
        </w:rPr>
        <w:t>both</w:t>
      </w:r>
      <w:r w:rsidR="00E614A8" w:rsidRPr="005E02F8">
        <w:rPr>
          <w:rStyle w:val="Emphasis"/>
          <w:i w:val="0"/>
          <w:iCs w:val="0"/>
        </w:rPr>
        <w:t xml:space="preserve"> </w:t>
      </w:r>
      <w:r w:rsidR="00430ED7" w:rsidRPr="005E02F8">
        <w:rPr>
          <w:rStyle w:val="Emphasis"/>
          <w:i w:val="0"/>
          <w:iCs w:val="0"/>
        </w:rPr>
        <w:t>c</w:t>
      </w:r>
      <w:r w:rsidR="00E614A8" w:rsidRPr="005E02F8">
        <w:rPr>
          <w:rStyle w:val="Emphasis"/>
          <w:i w:val="0"/>
          <w:iCs w:val="0"/>
        </w:rPr>
        <w:t>a</w:t>
      </w:r>
      <w:r w:rsidR="00430ED7" w:rsidRPr="005E02F8">
        <w:rPr>
          <w:rStyle w:val="Emphasis"/>
          <w:i w:val="0"/>
          <w:iCs w:val="0"/>
        </w:rPr>
        <w:t>me from small towns, t</w:t>
      </w:r>
      <w:r w:rsidRPr="005E02F8">
        <w:rPr>
          <w:rStyle w:val="Emphasis"/>
          <w:i w:val="0"/>
          <w:iCs w:val="0"/>
        </w:rPr>
        <w:t xml:space="preserve">he co-founders were driven by their vision to bring superior quality eye care services to places where </w:t>
      </w:r>
      <w:r w:rsidR="00E614A8" w:rsidRPr="005E02F8">
        <w:rPr>
          <w:rStyle w:val="Emphasis"/>
          <w:i w:val="0"/>
          <w:iCs w:val="0"/>
        </w:rPr>
        <w:t>such care was</w:t>
      </w:r>
      <w:r w:rsidRPr="005E02F8">
        <w:rPr>
          <w:rStyle w:val="Emphasis"/>
          <w:i w:val="0"/>
          <w:iCs w:val="0"/>
        </w:rPr>
        <w:t xml:space="preserve"> </w:t>
      </w:r>
      <w:r w:rsidR="00E614A8" w:rsidRPr="005E02F8">
        <w:rPr>
          <w:rStyle w:val="Emphasis"/>
          <w:i w:val="0"/>
          <w:iCs w:val="0"/>
        </w:rPr>
        <w:t xml:space="preserve">badly </w:t>
      </w:r>
      <w:r w:rsidRPr="005E02F8">
        <w:rPr>
          <w:rStyle w:val="Emphasis"/>
          <w:i w:val="0"/>
          <w:iCs w:val="0"/>
        </w:rPr>
        <w:t xml:space="preserve">needed—small towns and cities across India. </w:t>
      </w:r>
      <w:r w:rsidR="002A376E" w:rsidRPr="005E02F8">
        <w:rPr>
          <w:rStyle w:val="Emphasis"/>
          <w:i w:val="0"/>
          <w:iCs w:val="0"/>
        </w:rPr>
        <w:t xml:space="preserve">Thus, an </w:t>
      </w:r>
      <w:r w:rsidR="00E614A8" w:rsidRPr="005E02F8">
        <w:rPr>
          <w:rStyle w:val="Emphasis"/>
          <w:i w:val="0"/>
          <w:iCs w:val="0"/>
        </w:rPr>
        <w:t>i</w:t>
      </w:r>
      <w:r w:rsidR="00430ED7" w:rsidRPr="005E02F8">
        <w:rPr>
          <w:rStyle w:val="Emphasis"/>
          <w:i w:val="0"/>
          <w:iCs w:val="0"/>
        </w:rPr>
        <w:t xml:space="preserve">mportant </w:t>
      </w:r>
      <w:r w:rsidR="00E614A8" w:rsidRPr="005E02F8">
        <w:rPr>
          <w:rStyle w:val="Emphasis"/>
          <w:i w:val="0"/>
          <w:iCs w:val="0"/>
        </w:rPr>
        <w:t>aspect of</w:t>
      </w:r>
      <w:r w:rsidR="00430ED7" w:rsidRPr="005E02F8">
        <w:rPr>
          <w:rStyle w:val="Emphasis"/>
          <w:i w:val="0"/>
          <w:iCs w:val="0"/>
        </w:rPr>
        <w:t xml:space="preserve"> the</w:t>
      </w:r>
      <w:r w:rsidR="00E614A8" w:rsidRPr="005E02F8">
        <w:rPr>
          <w:rStyle w:val="Emphasis"/>
          <w:i w:val="0"/>
          <w:iCs w:val="0"/>
        </w:rPr>
        <w:t xml:space="preserve"> partners’</w:t>
      </w:r>
      <w:r w:rsidR="00430ED7" w:rsidRPr="005E02F8">
        <w:rPr>
          <w:rStyle w:val="Emphasis"/>
          <w:i w:val="0"/>
          <w:iCs w:val="0"/>
        </w:rPr>
        <w:t xml:space="preserve"> vision </w:t>
      </w:r>
      <w:r w:rsidR="00E614A8" w:rsidRPr="005E02F8">
        <w:rPr>
          <w:rStyle w:val="Emphasis"/>
          <w:i w:val="0"/>
          <w:iCs w:val="0"/>
        </w:rPr>
        <w:t xml:space="preserve">involved </w:t>
      </w:r>
      <w:r w:rsidR="002A376E" w:rsidRPr="005E02F8">
        <w:rPr>
          <w:rStyle w:val="Emphasis"/>
          <w:i w:val="0"/>
          <w:iCs w:val="0"/>
        </w:rPr>
        <w:t>establishing</w:t>
      </w:r>
      <w:r w:rsidR="00430ED7" w:rsidRPr="005E02F8">
        <w:rPr>
          <w:rStyle w:val="Emphasis"/>
          <w:i w:val="0"/>
          <w:iCs w:val="0"/>
        </w:rPr>
        <w:t xml:space="preserve"> a business model that was socially driven yet commercially viable. </w:t>
      </w:r>
      <w:r w:rsidR="00E614A8" w:rsidRPr="005E02F8">
        <w:rPr>
          <w:rStyle w:val="Emphasis"/>
          <w:i w:val="0"/>
          <w:iCs w:val="0"/>
        </w:rPr>
        <w:t>Goel and Sharma were participants in the eye care market in</w:t>
      </w:r>
      <w:r w:rsidRPr="005E02F8">
        <w:rPr>
          <w:rStyle w:val="Emphasis"/>
          <w:i w:val="0"/>
          <w:iCs w:val="0"/>
        </w:rPr>
        <w:t xml:space="preserve"> Tier </w:t>
      </w:r>
      <w:r w:rsidR="00072B34" w:rsidRPr="005E02F8">
        <w:rPr>
          <w:rStyle w:val="Emphasis"/>
          <w:i w:val="0"/>
          <w:iCs w:val="0"/>
        </w:rPr>
        <w:t>2</w:t>
      </w:r>
      <w:r w:rsidRPr="005E02F8">
        <w:rPr>
          <w:rStyle w:val="Emphasis"/>
          <w:i w:val="0"/>
          <w:iCs w:val="0"/>
        </w:rPr>
        <w:t xml:space="preserve"> </w:t>
      </w:r>
      <w:r w:rsidR="00072B34" w:rsidRPr="005E02F8">
        <w:rPr>
          <w:rStyle w:val="Emphasis"/>
          <w:i w:val="0"/>
          <w:iCs w:val="0"/>
        </w:rPr>
        <w:t>and</w:t>
      </w:r>
      <w:r w:rsidRPr="005E02F8">
        <w:rPr>
          <w:rStyle w:val="Emphasis"/>
          <w:i w:val="0"/>
          <w:iCs w:val="0"/>
        </w:rPr>
        <w:t xml:space="preserve"> </w:t>
      </w:r>
      <w:r w:rsidR="00E614A8" w:rsidRPr="005E02F8">
        <w:rPr>
          <w:rStyle w:val="Emphasis"/>
          <w:i w:val="0"/>
          <w:iCs w:val="0"/>
        </w:rPr>
        <w:t xml:space="preserve">Tier </w:t>
      </w:r>
      <w:r w:rsidR="00072B34" w:rsidRPr="005E02F8">
        <w:rPr>
          <w:rStyle w:val="Emphasis"/>
          <w:i w:val="0"/>
          <w:iCs w:val="0"/>
        </w:rPr>
        <w:t>3</w:t>
      </w:r>
      <w:r w:rsidRPr="005E02F8">
        <w:rPr>
          <w:rStyle w:val="Emphasis"/>
          <w:i w:val="0"/>
          <w:iCs w:val="0"/>
        </w:rPr>
        <w:t xml:space="preserve"> cit</w:t>
      </w:r>
      <w:r w:rsidR="00E614A8" w:rsidRPr="005E02F8">
        <w:rPr>
          <w:rStyle w:val="Emphasis"/>
          <w:i w:val="0"/>
          <w:iCs w:val="0"/>
        </w:rPr>
        <w:t>ies,</w:t>
      </w:r>
      <w:r w:rsidR="00A37C2D" w:rsidRPr="005E02F8">
        <w:rPr>
          <w:rStyle w:val="FootnoteReference"/>
        </w:rPr>
        <w:footnoteReference w:id="1"/>
      </w:r>
      <w:r w:rsidR="00A37C2D" w:rsidRPr="005E02F8">
        <w:rPr>
          <w:rStyle w:val="Emphasis"/>
          <w:i w:val="0"/>
          <w:iCs w:val="0"/>
        </w:rPr>
        <w:t xml:space="preserve"> where their goal was to set up hospitals with a typical built-up area of 3,000 square feet and a team of doctors capable of achieving a high patient turnover while also maintaining the highest quality of outcomes in eye care. </w:t>
      </w:r>
    </w:p>
    <w:p w14:paraId="46572DB1" w14:textId="77777777" w:rsidR="00A37C2D" w:rsidRPr="005E02F8" w:rsidRDefault="00A37C2D" w:rsidP="00C71764">
      <w:pPr>
        <w:pStyle w:val="BodyTextMain"/>
        <w:rPr>
          <w:rStyle w:val="Emphasis"/>
          <w:i w:val="0"/>
          <w:iCs w:val="0"/>
          <w:sz w:val="20"/>
        </w:rPr>
      </w:pPr>
    </w:p>
    <w:p w14:paraId="7B6ADED0" w14:textId="0AE54103" w:rsidR="00A37C2D" w:rsidRPr="005E02F8" w:rsidRDefault="00A37C2D" w:rsidP="00C71764">
      <w:pPr>
        <w:pStyle w:val="BodyTextMain"/>
        <w:rPr>
          <w:rStyle w:val="Emphasis"/>
          <w:i w:val="0"/>
          <w:iCs w:val="0"/>
        </w:rPr>
      </w:pPr>
      <w:r w:rsidRPr="005E02F8">
        <w:rPr>
          <w:rStyle w:val="Emphasis"/>
          <w:i w:val="0"/>
          <w:iCs w:val="0"/>
        </w:rPr>
        <w:t>January 2014 found the duo in their elegant offices in Gurgaon, charting out Eye</w:t>
      </w:r>
      <w:r w:rsidR="00D9525C" w:rsidRPr="005E02F8">
        <w:rPr>
          <w:rStyle w:val="Emphasis"/>
          <w:i w:val="0"/>
          <w:iCs w:val="0"/>
        </w:rPr>
        <w:t>-</w:t>
      </w:r>
      <w:r w:rsidRPr="005E02F8">
        <w:rPr>
          <w:rStyle w:val="Emphasis"/>
          <w:i w:val="0"/>
          <w:iCs w:val="0"/>
        </w:rPr>
        <w:t>Q’s growth plans. Eye</w:t>
      </w:r>
      <w:r w:rsidR="00D9525C" w:rsidRPr="005E02F8">
        <w:rPr>
          <w:rStyle w:val="Emphasis"/>
          <w:i w:val="0"/>
          <w:iCs w:val="0"/>
        </w:rPr>
        <w:t>-</w:t>
      </w:r>
      <w:r w:rsidRPr="005E02F8">
        <w:rPr>
          <w:rStyle w:val="Emphasis"/>
          <w:i w:val="0"/>
          <w:iCs w:val="0"/>
        </w:rPr>
        <w:t xml:space="preserve">Q’s </w:t>
      </w:r>
      <w:r w:rsidR="00603BA6" w:rsidRPr="005E02F8">
        <w:rPr>
          <w:rStyle w:val="Emphasis"/>
          <w:i w:val="0"/>
          <w:iCs w:val="0"/>
        </w:rPr>
        <w:t xml:space="preserve">gross annual turnover </w:t>
      </w:r>
      <w:r w:rsidRPr="005E02F8">
        <w:rPr>
          <w:rStyle w:val="Emphasis"/>
          <w:i w:val="0"/>
          <w:iCs w:val="0"/>
        </w:rPr>
        <w:t xml:space="preserve">had grown from </w:t>
      </w:r>
      <w:r w:rsidRPr="005E02F8">
        <w:rPr>
          <w:rFonts w:ascii="Arial" w:hAnsi="Arial" w:cs="Arial"/>
          <w:sz w:val="20"/>
          <w:szCs w:val="20"/>
        </w:rPr>
        <w:t>₹</w:t>
      </w:r>
      <w:r w:rsidRPr="005E02F8">
        <w:rPr>
          <w:rStyle w:val="Emphasis"/>
          <w:i w:val="0"/>
          <w:iCs w:val="0"/>
        </w:rPr>
        <w:t>90 million</w:t>
      </w:r>
      <w:r w:rsidRPr="005E02F8">
        <w:rPr>
          <w:rStyle w:val="FootnoteReference"/>
        </w:rPr>
        <w:footnoteReference w:id="2"/>
      </w:r>
      <w:r w:rsidRPr="005E02F8">
        <w:rPr>
          <w:rStyle w:val="Emphasis"/>
          <w:i w:val="0"/>
          <w:iCs w:val="0"/>
        </w:rPr>
        <w:t xml:space="preserve"> to </w:t>
      </w:r>
      <w:r w:rsidRPr="005E02F8">
        <w:rPr>
          <w:rFonts w:ascii="Arial" w:hAnsi="Arial" w:cs="Arial"/>
          <w:sz w:val="20"/>
          <w:szCs w:val="20"/>
        </w:rPr>
        <w:t>₹</w:t>
      </w:r>
      <w:r w:rsidRPr="005E02F8">
        <w:rPr>
          <w:rStyle w:val="Emphasis"/>
          <w:i w:val="0"/>
          <w:iCs w:val="0"/>
        </w:rPr>
        <w:t xml:space="preserve">650 million since 2011, and Goel and Sharma wanted to scale up to </w:t>
      </w:r>
      <w:r w:rsidRPr="005E02F8">
        <w:rPr>
          <w:rFonts w:ascii="Arial" w:hAnsi="Arial" w:cs="Arial"/>
          <w:sz w:val="20"/>
          <w:szCs w:val="20"/>
        </w:rPr>
        <w:t>₹</w:t>
      </w:r>
      <w:r w:rsidRPr="005E02F8">
        <w:rPr>
          <w:rStyle w:val="Emphasis"/>
          <w:i w:val="0"/>
          <w:iCs w:val="0"/>
        </w:rPr>
        <w:t>4 billion as they expanded from 30 to 125 hospitals in the next five years. Was this growth expectation realistic? Cataract surgery was the mainstay of Eye</w:t>
      </w:r>
      <w:r w:rsidR="00D9525C" w:rsidRPr="005E02F8">
        <w:rPr>
          <w:rStyle w:val="Emphasis"/>
          <w:i w:val="0"/>
          <w:iCs w:val="0"/>
        </w:rPr>
        <w:t>-</w:t>
      </w:r>
      <w:r w:rsidRPr="005E02F8">
        <w:rPr>
          <w:rStyle w:val="Emphasis"/>
          <w:i w:val="0"/>
          <w:iCs w:val="0"/>
        </w:rPr>
        <w:t xml:space="preserve">Q’s revenues, yet it was still a discretionary expense for patients. What level of demand should the partners budget for, both for their existing hospitals and for new ones? Even as they prepared to expand their footprint, Goel and Sharma were steadfast about maintaining their </w:t>
      </w:r>
      <w:r w:rsidRPr="005E02F8">
        <w:t xml:space="preserve">ideological commitment to quality and ethics over growth and profits. </w:t>
      </w:r>
    </w:p>
    <w:p w14:paraId="4DF2DB35" w14:textId="77777777" w:rsidR="00A37C2D" w:rsidRPr="005E02F8" w:rsidRDefault="00A37C2D" w:rsidP="00846DE7">
      <w:pPr>
        <w:pStyle w:val="BodyTextMain"/>
        <w:rPr>
          <w:rStyle w:val="Emphasis"/>
          <w:i w:val="0"/>
          <w:iCs w:val="0"/>
          <w:sz w:val="20"/>
        </w:rPr>
      </w:pPr>
    </w:p>
    <w:p w14:paraId="78D04DA7" w14:textId="77777777" w:rsidR="00A37C2D" w:rsidRPr="00726F29" w:rsidRDefault="00A37C2D" w:rsidP="00846DE7">
      <w:pPr>
        <w:pStyle w:val="BodyTextMain"/>
        <w:rPr>
          <w:sz w:val="20"/>
          <w:lang w:val="en-GB"/>
        </w:rPr>
      </w:pPr>
    </w:p>
    <w:p w14:paraId="6A3FF1DB" w14:textId="37E8154B" w:rsidR="00A37C2D" w:rsidRPr="00592DF1" w:rsidRDefault="00A37C2D" w:rsidP="00D66A21">
      <w:pPr>
        <w:pStyle w:val="Casehead1"/>
        <w:rPr>
          <w:lang w:val="en-GB"/>
        </w:rPr>
      </w:pPr>
      <w:r w:rsidRPr="00592DF1">
        <w:rPr>
          <w:lang w:val="en-GB"/>
        </w:rPr>
        <w:t xml:space="preserve">THE </w:t>
      </w:r>
      <w:r w:rsidRPr="0018329D">
        <w:rPr>
          <w:lang w:val="en-GB"/>
        </w:rPr>
        <w:t>EYE</w:t>
      </w:r>
      <w:r w:rsidRPr="00592DF1">
        <w:rPr>
          <w:lang w:val="en-GB"/>
        </w:rPr>
        <w:t xml:space="preserve"> CARE DELIVERY MARKET IN INDIA</w:t>
      </w:r>
    </w:p>
    <w:p w14:paraId="322E57DE" w14:textId="77777777" w:rsidR="00A37C2D" w:rsidRPr="00726F29" w:rsidRDefault="00A37C2D" w:rsidP="00107CAB">
      <w:pPr>
        <w:pStyle w:val="BodyTextMain"/>
        <w:rPr>
          <w:sz w:val="20"/>
        </w:rPr>
      </w:pPr>
    </w:p>
    <w:p w14:paraId="36EDBC69" w14:textId="00FD47EA" w:rsidR="00A37C2D" w:rsidRPr="004E7E8E" w:rsidRDefault="00A37C2D" w:rsidP="004E7E8E">
      <w:pPr>
        <w:pStyle w:val="BodyTextMain"/>
      </w:pPr>
      <w:r w:rsidRPr="009769A8">
        <w:rPr>
          <w:rStyle w:val="Emphasis"/>
          <w:i w:val="0"/>
          <w:iCs w:val="0"/>
        </w:rPr>
        <w:t>According to statistics published by the World Health Organization (WHO), in 2010, India accounted for nearly one-fifth of the world’s blind population (</w:t>
      </w:r>
      <w:r>
        <w:rPr>
          <w:rStyle w:val="Emphasis"/>
          <w:i w:val="0"/>
          <w:iCs w:val="0"/>
        </w:rPr>
        <w:t xml:space="preserve">i.e., </w:t>
      </w:r>
      <w:r w:rsidRPr="009769A8">
        <w:rPr>
          <w:rStyle w:val="Emphasis"/>
          <w:i w:val="0"/>
          <w:iCs w:val="0"/>
        </w:rPr>
        <w:t xml:space="preserve">India had </w:t>
      </w:r>
      <w:r w:rsidR="00FE4183">
        <w:rPr>
          <w:rStyle w:val="Emphasis"/>
          <w:i w:val="0"/>
          <w:iCs w:val="0"/>
        </w:rPr>
        <w:t>8</w:t>
      </w:r>
      <w:r w:rsidRPr="009769A8">
        <w:rPr>
          <w:rStyle w:val="Emphasis"/>
          <w:i w:val="0"/>
          <w:iCs w:val="0"/>
        </w:rPr>
        <w:t xml:space="preserve"> million of the world’s 39 million blind people).</w:t>
      </w:r>
      <w:r w:rsidRPr="0033018E">
        <w:rPr>
          <w:rStyle w:val="FootnoteReference"/>
        </w:rPr>
        <w:footnoteReference w:id="3"/>
      </w:r>
      <w:r w:rsidRPr="009769A8">
        <w:rPr>
          <w:rStyle w:val="Emphasis"/>
          <w:i w:val="0"/>
          <w:iCs w:val="0"/>
        </w:rPr>
        <w:t xml:space="preserve"> Th</w:t>
      </w:r>
      <w:r>
        <w:rPr>
          <w:rStyle w:val="Emphasis"/>
          <w:i w:val="0"/>
          <w:iCs w:val="0"/>
        </w:rPr>
        <w:t>is</w:t>
      </w:r>
      <w:r w:rsidRPr="009769A8">
        <w:rPr>
          <w:rStyle w:val="Emphasis"/>
          <w:i w:val="0"/>
          <w:iCs w:val="0"/>
        </w:rPr>
        <w:t xml:space="preserve"> high incidence of blindness in the country was primarily due to the lack of accessibility, </w:t>
      </w:r>
      <w:r w:rsidRPr="004E7E8E">
        <w:rPr>
          <w:rStyle w:val="Emphasis"/>
          <w:i w:val="0"/>
          <w:iCs w:val="0"/>
        </w:rPr>
        <w:lastRenderedPageBreak/>
        <w:t>affordability</w:t>
      </w:r>
      <w:r w:rsidR="001745CF" w:rsidRPr="004E7E8E">
        <w:rPr>
          <w:rStyle w:val="Emphasis"/>
          <w:i w:val="0"/>
          <w:iCs w:val="0"/>
        </w:rPr>
        <w:t>,</w:t>
      </w:r>
      <w:r w:rsidRPr="004E7E8E">
        <w:rPr>
          <w:rStyle w:val="Emphasis"/>
          <w:i w:val="0"/>
          <w:iCs w:val="0"/>
        </w:rPr>
        <w:t xml:space="preserve"> timeliness of interventions</w:t>
      </w:r>
      <w:r w:rsidR="004E7E8E" w:rsidRPr="004E7E8E">
        <w:rPr>
          <w:rStyle w:val="Emphasis"/>
          <w:i w:val="0"/>
          <w:iCs w:val="0"/>
        </w:rPr>
        <w:t>,</w:t>
      </w:r>
      <w:r w:rsidRPr="004E7E8E">
        <w:rPr>
          <w:rStyle w:val="Emphasis"/>
          <w:i w:val="0"/>
          <w:iCs w:val="0"/>
        </w:rPr>
        <w:t xml:space="preserve"> and </w:t>
      </w:r>
      <w:r w:rsidR="001745CF" w:rsidRPr="004E7E8E">
        <w:rPr>
          <w:rStyle w:val="Emphasis"/>
          <w:i w:val="0"/>
          <w:iCs w:val="0"/>
        </w:rPr>
        <w:t xml:space="preserve">a lack of </w:t>
      </w:r>
      <w:r w:rsidRPr="004E7E8E">
        <w:rPr>
          <w:rStyle w:val="Emphasis"/>
          <w:i w:val="0"/>
          <w:iCs w:val="0"/>
        </w:rPr>
        <w:t>knowledge about eye care. It was estimated that approximately 5 per cent of India’s population (i.e., 63 million people) were visually impaired (including blindness),</w:t>
      </w:r>
      <w:r w:rsidRPr="004E7E8E">
        <w:rPr>
          <w:rStyle w:val="FootnoteReference"/>
        </w:rPr>
        <w:footnoteReference w:id="4"/>
      </w:r>
      <w:r w:rsidRPr="004E7E8E">
        <w:rPr>
          <w:rStyle w:val="Emphasis"/>
          <w:i w:val="0"/>
          <w:iCs w:val="0"/>
        </w:rPr>
        <w:t xml:space="preserve"> and yet, according to the WHO, 80 per cent of visual impairments were preventable and, hence, treatable.</w:t>
      </w:r>
      <w:r w:rsidRPr="004E7E8E">
        <w:rPr>
          <w:rStyle w:val="FootnoteReference"/>
        </w:rPr>
        <w:footnoteReference w:id="5"/>
      </w:r>
      <w:r w:rsidRPr="004E7E8E">
        <w:rPr>
          <w:rStyle w:val="Emphasis"/>
          <w:i w:val="0"/>
          <w:iCs w:val="0"/>
        </w:rPr>
        <w:t xml:space="preserve"> </w:t>
      </w:r>
      <w:r w:rsidRPr="004E7E8E">
        <w:t>Cataract (62.6 per cent) was the leading cause of visual impairment in the Indian population. Refractive error (19.7 per cent) and glaucoma (5.8 per cent) were the two other main causes of blindness.</w:t>
      </w:r>
      <w:r w:rsidRPr="004E7E8E">
        <w:rPr>
          <w:rStyle w:val="FootnoteReference"/>
        </w:rPr>
        <w:footnoteReference w:id="6"/>
      </w:r>
    </w:p>
    <w:p w14:paraId="5961DD09" w14:textId="77777777" w:rsidR="00A37C2D" w:rsidRPr="004E7E8E" w:rsidRDefault="00A37C2D" w:rsidP="004E7E8E">
      <w:pPr>
        <w:pStyle w:val="BodyTextMain"/>
        <w:rPr>
          <w:rStyle w:val="Emphasis"/>
          <w:i w:val="0"/>
          <w:iCs w:val="0"/>
        </w:rPr>
      </w:pPr>
    </w:p>
    <w:p w14:paraId="1A699AC2" w14:textId="77777777" w:rsidR="00A37C2D" w:rsidRPr="004E7E8E" w:rsidRDefault="00A37C2D" w:rsidP="004E7E8E">
      <w:pPr>
        <w:pStyle w:val="BodyTextMain"/>
        <w:rPr>
          <w:rStyle w:val="Emphasis"/>
          <w:i w:val="0"/>
          <w:iCs w:val="0"/>
        </w:rPr>
      </w:pPr>
    </w:p>
    <w:p w14:paraId="6062BAF3" w14:textId="77777777" w:rsidR="00A37C2D" w:rsidRPr="00D66A21" w:rsidRDefault="00A37C2D" w:rsidP="00D66A21">
      <w:pPr>
        <w:pStyle w:val="Casehead2"/>
        <w:rPr>
          <w:rStyle w:val="Emphasis"/>
          <w:i w:val="0"/>
          <w:iCs w:val="0"/>
        </w:rPr>
      </w:pPr>
      <w:r w:rsidRPr="00D66A21">
        <w:rPr>
          <w:rStyle w:val="Emphasis"/>
          <w:i w:val="0"/>
          <w:iCs w:val="0"/>
        </w:rPr>
        <w:t>Industry Perspective</w:t>
      </w:r>
    </w:p>
    <w:p w14:paraId="46AAD824" w14:textId="77777777" w:rsidR="00A37C2D" w:rsidRPr="00726F29" w:rsidRDefault="00A37C2D" w:rsidP="004E7E8E">
      <w:pPr>
        <w:pStyle w:val="BodyTextMain"/>
        <w:rPr>
          <w:rStyle w:val="Emphasis"/>
          <w:i w:val="0"/>
          <w:color w:val="000000"/>
          <w:shd w:val="clear" w:color="auto" w:fill="FFFFFF"/>
          <w:lang w:val="en-GB"/>
        </w:rPr>
      </w:pPr>
    </w:p>
    <w:p w14:paraId="2332AB15" w14:textId="0194861F" w:rsidR="00A37C2D" w:rsidRPr="00726F29" w:rsidRDefault="00A37C2D" w:rsidP="004E7E8E">
      <w:pPr>
        <w:pStyle w:val="BodyTextMain"/>
        <w:rPr>
          <w:rStyle w:val="Emphasis"/>
          <w:i w:val="0"/>
          <w:color w:val="000000"/>
          <w:spacing w:val="-4"/>
          <w:shd w:val="clear" w:color="auto" w:fill="FFFFFF"/>
          <w:lang w:val="en-GB"/>
        </w:rPr>
      </w:pPr>
      <w:r w:rsidRPr="00726F29">
        <w:rPr>
          <w:rStyle w:val="Emphasis"/>
          <w:i w:val="0"/>
          <w:color w:val="000000"/>
          <w:spacing w:val="-4"/>
          <w:shd w:val="clear" w:color="auto" w:fill="FFFFFF"/>
          <w:lang w:val="en-GB"/>
        </w:rPr>
        <w:t xml:space="preserve">The eye care delivery market in India was pegged at </w:t>
      </w:r>
      <w:r w:rsidRPr="005E02F8">
        <w:rPr>
          <w:rFonts w:ascii="Tahoma" w:hAnsi="Tahoma" w:cs="Tahoma"/>
        </w:rPr>
        <w:t>₹</w:t>
      </w:r>
      <w:r w:rsidRPr="00726F29">
        <w:rPr>
          <w:rStyle w:val="Emphasis"/>
          <w:i w:val="0"/>
          <w:color w:val="000000"/>
          <w:spacing w:val="-4"/>
          <w:shd w:val="clear" w:color="auto" w:fill="FFFFFF"/>
          <w:lang w:val="en-GB"/>
        </w:rPr>
        <w:t>120 billion in 2012–13, with 83 per cent of the revenue coming from eye surgeries and 17 per cent from outpatient services.</w:t>
      </w:r>
      <w:r w:rsidRPr="00726F29">
        <w:rPr>
          <w:rStyle w:val="FootnoteReference"/>
          <w:iCs/>
          <w:color w:val="000000"/>
          <w:spacing w:val="-4"/>
          <w:shd w:val="clear" w:color="auto" w:fill="FFFFFF"/>
          <w:lang w:val="en-GB"/>
        </w:rPr>
        <w:footnoteReference w:id="7"/>
      </w:r>
      <w:r w:rsidRPr="00726F29">
        <w:rPr>
          <w:rStyle w:val="Emphasis"/>
          <w:i w:val="0"/>
          <w:color w:val="000000"/>
          <w:spacing w:val="-4"/>
          <w:shd w:val="clear" w:color="auto" w:fill="FFFFFF"/>
          <w:lang w:val="en-GB"/>
        </w:rPr>
        <w:t xml:space="preserve"> A report from the </w:t>
      </w:r>
      <w:r w:rsidRPr="00726F29">
        <w:rPr>
          <w:shd w:val="clear" w:color="auto" w:fill="FFFFFF"/>
          <w:lang w:val="en-GB"/>
        </w:rPr>
        <w:t>Credit Rating Information Service of India Limited (</w:t>
      </w:r>
      <w:r w:rsidRPr="00726F29">
        <w:rPr>
          <w:bCs/>
          <w:shd w:val="clear" w:color="auto" w:fill="FFFFFF"/>
          <w:lang w:val="en-GB"/>
        </w:rPr>
        <w:t>CRISIL</w:t>
      </w:r>
      <w:r w:rsidRPr="00726F29">
        <w:rPr>
          <w:shd w:val="clear" w:color="auto" w:fill="FFFFFF"/>
          <w:lang w:val="en-GB"/>
        </w:rPr>
        <w:t>)</w:t>
      </w:r>
      <w:r w:rsidRPr="00726F29" w:rsidDel="007028C7">
        <w:rPr>
          <w:shd w:val="clear" w:color="auto" w:fill="FFFFFF"/>
          <w:lang w:val="en-GB"/>
        </w:rPr>
        <w:t xml:space="preserve"> </w:t>
      </w:r>
      <w:r w:rsidRPr="00726F29">
        <w:rPr>
          <w:rStyle w:val="Emphasis"/>
          <w:i w:val="0"/>
          <w:color w:val="000000"/>
          <w:spacing w:val="-4"/>
          <w:shd w:val="clear" w:color="auto" w:fill="FFFFFF"/>
          <w:lang w:val="en-GB"/>
        </w:rPr>
        <w:t xml:space="preserve">estimated that the eye care delivery sector was growing at a rate of approximately 15 per cent year-on-year and was likely to reach </w:t>
      </w:r>
      <w:r w:rsidRPr="005E02F8">
        <w:rPr>
          <w:rFonts w:ascii="Tahoma" w:hAnsi="Tahoma" w:cs="Tahoma"/>
        </w:rPr>
        <w:t>₹</w:t>
      </w:r>
      <w:r w:rsidRPr="00726F29">
        <w:rPr>
          <w:rStyle w:val="Emphasis"/>
          <w:i w:val="0"/>
          <w:color w:val="000000"/>
          <w:spacing w:val="-4"/>
          <w:shd w:val="clear" w:color="auto" w:fill="FFFFFF"/>
          <w:lang w:val="en-GB"/>
        </w:rPr>
        <w:t>236 billion by 2017–18.</w:t>
      </w:r>
      <w:r w:rsidRPr="00726F29">
        <w:rPr>
          <w:rStyle w:val="FootnoteReference"/>
          <w:iCs/>
          <w:color w:val="000000"/>
          <w:spacing w:val="-4"/>
          <w:shd w:val="clear" w:color="auto" w:fill="FFFFFF"/>
          <w:lang w:val="en-GB"/>
        </w:rPr>
        <w:footnoteReference w:id="8"/>
      </w:r>
      <w:r w:rsidRPr="00726F29">
        <w:rPr>
          <w:rStyle w:val="Emphasis"/>
          <w:i w:val="0"/>
          <w:color w:val="000000"/>
          <w:spacing w:val="-4"/>
          <w:shd w:val="clear" w:color="auto" w:fill="FFFFFF"/>
          <w:lang w:val="en-GB"/>
        </w:rPr>
        <w:t xml:space="preserve"> According to India’s National Programme for Control of Blindness, around 6.3 million cataract surgeries were conducted in India in 2012–13, accounting for approximately 80 per cent of all eye surgeries in the country.</w:t>
      </w:r>
      <w:r w:rsidRPr="00726F29">
        <w:rPr>
          <w:rStyle w:val="FootnoteReference"/>
          <w:iCs/>
          <w:color w:val="000000"/>
          <w:spacing w:val="-4"/>
          <w:shd w:val="clear" w:color="auto" w:fill="FFFFFF"/>
          <w:lang w:val="en-GB"/>
        </w:rPr>
        <w:footnoteReference w:id="9"/>
      </w:r>
      <w:r w:rsidRPr="00726F29">
        <w:rPr>
          <w:rStyle w:val="Emphasis"/>
          <w:i w:val="0"/>
          <w:color w:val="000000"/>
          <w:spacing w:val="-4"/>
          <w:shd w:val="clear" w:color="auto" w:fill="FFFFFF"/>
          <w:lang w:val="en-GB"/>
        </w:rPr>
        <w:t xml:space="preserve"> </w:t>
      </w:r>
    </w:p>
    <w:p w14:paraId="69D9FB79" w14:textId="77777777" w:rsidR="00A37C2D" w:rsidRPr="00726F29" w:rsidRDefault="00A37C2D" w:rsidP="004E7E8E">
      <w:pPr>
        <w:pStyle w:val="BodyTextMain"/>
        <w:rPr>
          <w:rStyle w:val="Emphasis"/>
          <w:i w:val="0"/>
          <w:color w:val="000000"/>
          <w:shd w:val="clear" w:color="auto" w:fill="FFFFFF"/>
          <w:lang w:val="en-GB"/>
        </w:rPr>
      </w:pPr>
    </w:p>
    <w:p w14:paraId="6A914FA9" w14:textId="1286A5EE" w:rsidR="00A37C2D" w:rsidRDefault="00A37C2D" w:rsidP="004E7E8E">
      <w:pPr>
        <w:pStyle w:val="BodyTextMain"/>
        <w:rPr>
          <w:shd w:val="clear" w:color="auto" w:fill="FFFFFF"/>
          <w:vertAlign w:val="superscript"/>
          <w:lang w:val="en-GB"/>
        </w:rPr>
      </w:pPr>
      <w:r w:rsidRPr="00D66A21">
        <w:rPr>
          <w:rStyle w:val="Emphasis"/>
          <w:i w:val="0"/>
          <w:color w:val="000000"/>
          <w:shd w:val="clear" w:color="auto" w:fill="FFFFFF"/>
          <w:lang w:val="en-GB"/>
        </w:rPr>
        <w:t xml:space="preserve">The </w:t>
      </w:r>
      <w:r w:rsidRPr="0018329D">
        <w:rPr>
          <w:rStyle w:val="Emphasis"/>
          <w:i w:val="0"/>
          <w:color w:val="000000"/>
          <w:shd w:val="clear" w:color="auto" w:fill="FFFFFF"/>
          <w:lang w:val="en-GB"/>
        </w:rPr>
        <w:t>eye</w:t>
      </w:r>
      <w:r w:rsidRPr="00D66A21">
        <w:rPr>
          <w:rStyle w:val="Emphasis"/>
          <w:i w:val="0"/>
          <w:color w:val="000000"/>
          <w:shd w:val="clear" w:color="auto" w:fill="FFFFFF"/>
          <w:lang w:val="en-GB"/>
        </w:rPr>
        <w:t xml:space="preserve"> care delivery market comprised single practice ophthalmologists, privately owned </w:t>
      </w:r>
      <w:r w:rsidRPr="0018329D">
        <w:rPr>
          <w:rStyle w:val="Emphasis"/>
          <w:i w:val="0"/>
          <w:color w:val="000000"/>
          <w:shd w:val="clear" w:color="auto" w:fill="FFFFFF"/>
          <w:lang w:val="en-GB"/>
        </w:rPr>
        <w:t>eye</w:t>
      </w:r>
      <w:r w:rsidRPr="00D66A21">
        <w:rPr>
          <w:rStyle w:val="Emphasis"/>
          <w:i w:val="0"/>
          <w:color w:val="000000"/>
          <w:shd w:val="clear" w:color="auto" w:fill="FFFFFF"/>
          <w:lang w:val="en-GB"/>
        </w:rPr>
        <w:t xml:space="preserve"> hospitals, government facilities, local and international </w:t>
      </w:r>
      <w:r w:rsidR="00FE4183">
        <w:rPr>
          <w:rStyle w:val="Emphasis"/>
          <w:i w:val="0"/>
          <w:color w:val="000000"/>
          <w:shd w:val="clear" w:color="auto" w:fill="FFFFFF"/>
          <w:lang w:val="en-GB"/>
        </w:rPr>
        <w:t>non-governmental organizations</w:t>
      </w:r>
      <w:r w:rsidRPr="00D66A21">
        <w:rPr>
          <w:rStyle w:val="Emphasis"/>
          <w:i w:val="0"/>
          <w:color w:val="000000"/>
          <w:shd w:val="clear" w:color="auto" w:fill="FFFFFF"/>
          <w:lang w:val="en-GB"/>
        </w:rPr>
        <w:t>, non-profit trusts, ophthalmology departments in hospital chains, optical chains, contact lens clinics</w:t>
      </w:r>
      <w:r>
        <w:rPr>
          <w:rStyle w:val="Emphasis"/>
          <w:i w:val="0"/>
          <w:color w:val="000000"/>
          <w:shd w:val="clear" w:color="auto" w:fill="FFFFFF"/>
          <w:lang w:val="en-GB"/>
        </w:rPr>
        <w:t>,</w:t>
      </w:r>
      <w:r w:rsidRPr="00D66A21">
        <w:rPr>
          <w:rStyle w:val="Emphasis"/>
          <w:i w:val="0"/>
          <w:color w:val="000000"/>
          <w:shd w:val="clear" w:color="auto" w:fill="FFFFFF"/>
          <w:lang w:val="en-GB"/>
        </w:rPr>
        <w:t xml:space="preserve"> and device manufacturers (see Exhibit</w:t>
      </w:r>
      <w:r>
        <w:rPr>
          <w:rStyle w:val="Emphasis"/>
          <w:i w:val="0"/>
          <w:color w:val="000000"/>
          <w:shd w:val="clear" w:color="auto" w:fill="FFFFFF"/>
          <w:lang w:val="en-GB"/>
        </w:rPr>
        <w:t>s</w:t>
      </w:r>
      <w:r w:rsidRPr="00D66A21">
        <w:rPr>
          <w:rStyle w:val="Emphasis"/>
          <w:i w:val="0"/>
          <w:color w:val="000000"/>
          <w:shd w:val="clear" w:color="auto" w:fill="FFFFFF"/>
          <w:lang w:val="en-GB"/>
        </w:rPr>
        <w:t xml:space="preserve"> </w:t>
      </w:r>
      <w:r>
        <w:rPr>
          <w:rStyle w:val="Emphasis"/>
          <w:i w:val="0"/>
          <w:color w:val="000000"/>
          <w:shd w:val="clear" w:color="auto" w:fill="FFFFFF"/>
          <w:lang w:val="en-GB"/>
        </w:rPr>
        <w:t>1</w:t>
      </w:r>
      <w:r w:rsidRPr="00D66A21">
        <w:rPr>
          <w:rStyle w:val="Emphasis"/>
          <w:i w:val="0"/>
          <w:color w:val="000000"/>
          <w:shd w:val="clear" w:color="auto" w:fill="FFFFFF"/>
          <w:lang w:val="en-GB"/>
        </w:rPr>
        <w:t xml:space="preserve">A, </w:t>
      </w:r>
      <w:r>
        <w:rPr>
          <w:rStyle w:val="Emphasis"/>
          <w:i w:val="0"/>
          <w:color w:val="000000"/>
          <w:shd w:val="clear" w:color="auto" w:fill="FFFFFF"/>
          <w:lang w:val="en-GB"/>
        </w:rPr>
        <w:t>1</w:t>
      </w:r>
      <w:r w:rsidRPr="00D66A21">
        <w:rPr>
          <w:rStyle w:val="Emphasis"/>
          <w:i w:val="0"/>
          <w:color w:val="000000"/>
          <w:shd w:val="clear" w:color="auto" w:fill="FFFFFF"/>
          <w:lang w:val="en-GB"/>
        </w:rPr>
        <w:t>B</w:t>
      </w:r>
      <w:r>
        <w:rPr>
          <w:rStyle w:val="Emphasis"/>
          <w:i w:val="0"/>
          <w:color w:val="000000"/>
          <w:shd w:val="clear" w:color="auto" w:fill="FFFFFF"/>
          <w:lang w:val="en-GB"/>
        </w:rPr>
        <w:t>,</w:t>
      </w:r>
      <w:r w:rsidRPr="00D66A21">
        <w:rPr>
          <w:rStyle w:val="Emphasis"/>
          <w:i w:val="0"/>
          <w:color w:val="000000"/>
          <w:shd w:val="clear" w:color="auto" w:fill="FFFFFF"/>
          <w:lang w:val="en-GB"/>
        </w:rPr>
        <w:t xml:space="preserve"> and </w:t>
      </w:r>
      <w:r>
        <w:rPr>
          <w:rStyle w:val="Emphasis"/>
          <w:i w:val="0"/>
          <w:color w:val="000000"/>
          <w:shd w:val="clear" w:color="auto" w:fill="FFFFFF"/>
          <w:lang w:val="en-GB"/>
        </w:rPr>
        <w:t>1</w:t>
      </w:r>
      <w:r w:rsidRPr="00D66A21">
        <w:rPr>
          <w:rStyle w:val="Emphasis"/>
          <w:i w:val="0"/>
          <w:color w:val="000000"/>
          <w:shd w:val="clear" w:color="auto" w:fill="FFFFFF"/>
          <w:lang w:val="en-GB"/>
        </w:rPr>
        <w:t>C</w:t>
      </w:r>
      <w:r>
        <w:rPr>
          <w:rStyle w:val="Emphasis"/>
          <w:i w:val="0"/>
          <w:color w:val="000000"/>
          <w:shd w:val="clear" w:color="auto" w:fill="FFFFFF"/>
          <w:lang w:val="en-GB"/>
        </w:rPr>
        <w:t>).</w:t>
      </w:r>
      <w:r w:rsidRPr="0018329D">
        <w:rPr>
          <w:rStyle w:val="Emphasis"/>
          <w:i w:val="0"/>
          <w:color w:val="000000"/>
          <w:shd w:val="clear" w:color="auto" w:fill="FFFFFF"/>
          <w:lang w:val="en-GB"/>
        </w:rPr>
        <w:t xml:space="preserve"> Eye</w:t>
      </w:r>
      <w:r w:rsidRPr="00D66A21">
        <w:rPr>
          <w:rStyle w:val="Emphasis"/>
          <w:i w:val="0"/>
          <w:color w:val="000000"/>
          <w:shd w:val="clear" w:color="auto" w:fill="FFFFFF"/>
          <w:lang w:val="en-GB"/>
        </w:rPr>
        <w:t xml:space="preserve"> care chains had</w:t>
      </w:r>
      <w:r w:rsidR="00FE4183">
        <w:rPr>
          <w:rStyle w:val="Emphasis"/>
          <w:i w:val="0"/>
          <w:color w:val="000000"/>
          <w:shd w:val="clear" w:color="auto" w:fill="FFFFFF"/>
          <w:lang w:val="en-GB"/>
        </w:rPr>
        <w:t xml:space="preserve"> largely</w:t>
      </w:r>
      <w:r w:rsidRPr="00D66A21">
        <w:rPr>
          <w:rStyle w:val="Emphasis"/>
          <w:i w:val="0"/>
          <w:color w:val="000000"/>
          <w:shd w:val="clear" w:color="auto" w:fill="FFFFFF"/>
          <w:lang w:val="en-GB"/>
        </w:rPr>
        <w:t xml:space="preserve"> followed the </w:t>
      </w:r>
      <w:r>
        <w:rPr>
          <w:rStyle w:val="Emphasis"/>
          <w:i w:val="0"/>
          <w:color w:val="000000"/>
          <w:shd w:val="clear" w:color="auto" w:fill="FFFFFF"/>
          <w:lang w:val="en-GB"/>
        </w:rPr>
        <w:t>“</w:t>
      </w:r>
      <w:r w:rsidRPr="006F6FBB">
        <w:rPr>
          <w:rStyle w:val="Emphasis"/>
          <w:i w:val="0"/>
          <w:color w:val="000000"/>
          <w:shd w:val="clear" w:color="auto" w:fill="FFFFFF"/>
          <w:lang w:val="en-GB"/>
        </w:rPr>
        <w:t>hub</w:t>
      </w:r>
      <w:r w:rsidRPr="00D66A21">
        <w:rPr>
          <w:rStyle w:val="Emphasis"/>
          <w:i w:val="0"/>
          <w:color w:val="000000"/>
          <w:shd w:val="clear" w:color="auto" w:fill="FFFFFF"/>
          <w:lang w:val="en-GB"/>
        </w:rPr>
        <w:t xml:space="preserve"> and spoke</w:t>
      </w:r>
      <w:r>
        <w:rPr>
          <w:rStyle w:val="Emphasis"/>
          <w:i w:val="0"/>
          <w:color w:val="000000"/>
          <w:shd w:val="clear" w:color="auto" w:fill="FFFFFF"/>
          <w:lang w:val="en-GB"/>
        </w:rPr>
        <w:t>”</w:t>
      </w:r>
      <w:r w:rsidRPr="00D66A21">
        <w:rPr>
          <w:rStyle w:val="Emphasis"/>
          <w:i w:val="0"/>
          <w:color w:val="000000"/>
          <w:shd w:val="clear" w:color="auto" w:fill="FFFFFF"/>
          <w:lang w:val="en-GB"/>
        </w:rPr>
        <w:t xml:space="preserve"> business model and operated a mix of three types of centres—primary, secondary</w:t>
      </w:r>
      <w:r>
        <w:rPr>
          <w:rStyle w:val="Emphasis"/>
          <w:i w:val="0"/>
          <w:color w:val="000000"/>
          <w:shd w:val="clear" w:color="auto" w:fill="FFFFFF"/>
          <w:lang w:val="en-GB"/>
        </w:rPr>
        <w:t>,</w:t>
      </w:r>
      <w:r w:rsidRPr="00D66A21">
        <w:rPr>
          <w:rStyle w:val="Emphasis"/>
          <w:i w:val="0"/>
          <w:color w:val="000000"/>
          <w:shd w:val="clear" w:color="auto" w:fill="FFFFFF"/>
          <w:lang w:val="en-GB"/>
        </w:rPr>
        <w:t xml:space="preserve"> and tertiary</w:t>
      </w:r>
      <w:r w:rsidRPr="00D66A21">
        <w:rPr>
          <w:rStyle w:val="FootnoteReference"/>
          <w:iCs/>
          <w:color w:val="000000"/>
          <w:shd w:val="clear" w:color="auto" w:fill="FFFFFF"/>
          <w:lang w:val="en-GB"/>
        </w:rPr>
        <w:footnoteReference w:id="10"/>
      </w:r>
      <w:r w:rsidRPr="00D66A21">
        <w:rPr>
          <w:rStyle w:val="Emphasis"/>
          <w:i w:val="0"/>
          <w:color w:val="000000"/>
          <w:shd w:val="clear" w:color="auto" w:fill="FFFFFF"/>
          <w:lang w:val="en-GB"/>
        </w:rPr>
        <w:t xml:space="preserve"> (see Exhibit </w:t>
      </w:r>
      <w:r>
        <w:rPr>
          <w:rStyle w:val="Emphasis"/>
          <w:i w:val="0"/>
          <w:color w:val="000000"/>
          <w:shd w:val="clear" w:color="auto" w:fill="FFFFFF"/>
          <w:lang w:val="en-GB"/>
        </w:rPr>
        <w:t>2</w:t>
      </w:r>
      <w:r w:rsidRPr="00D66A21">
        <w:rPr>
          <w:rStyle w:val="Emphasis"/>
          <w:i w:val="0"/>
          <w:color w:val="000000"/>
          <w:shd w:val="clear" w:color="auto" w:fill="FFFFFF"/>
          <w:lang w:val="en-GB"/>
        </w:rPr>
        <w:t xml:space="preserve">). Most privately </w:t>
      </w:r>
      <w:r w:rsidRPr="0018329D">
        <w:rPr>
          <w:rStyle w:val="Emphasis"/>
          <w:i w:val="0"/>
          <w:color w:val="000000"/>
          <w:shd w:val="clear" w:color="auto" w:fill="FFFFFF"/>
          <w:lang w:val="en-GB"/>
        </w:rPr>
        <w:t>held eye</w:t>
      </w:r>
      <w:r w:rsidRPr="00D66A21">
        <w:rPr>
          <w:rStyle w:val="Emphasis"/>
          <w:i w:val="0"/>
          <w:color w:val="000000"/>
          <w:shd w:val="clear" w:color="auto" w:fill="FFFFFF"/>
          <w:lang w:val="en-GB"/>
        </w:rPr>
        <w:t xml:space="preserve"> care chains operated secondary or tertiary centres and, as part of their association with the Vision 2020 program,</w:t>
      </w:r>
      <w:r w:rsidRPr="00D66A21">
        <w:rPr>
          <w:rStyle w:val="FootnoteReference"/>
          <w:iCs/>
          <w:color w:val="000000"/>
          <w:shd w:val="clear" w:color="auto" w:fill="FFFFFF"/>
          <w:lang w:val="en-GB"/>
        </w:rPr>
        <w:footnoteReference w:id="11"/>
      </w:r>
      <w:r w:rsidRPr="00D66A21">
        <w:rPr>
          <w:rStyle w:val="Emphasis"/>
          <w:i w:val="0"/>
          <w:color w:val="000000"/>
          <w:shd w:val="clear" w:color="auto" w:fill="FFFFFF"/>
          <w:lang w:val="en-GB"/>
        </w:rPr>
        <w:t xml:space="preserve"> </w:t>
      </w:r>
      <w:r>
        <w:rPr>
          <w:rStyle w:val="Emphasis"/>
          <w:i w:val="0"/>
          <w:color w:val="000000"/>
          <w:shd w:val="clear" w:color="auto" w:fill="FFFFFF"/>
          <w:lang w:val="en-GB"/>
        </w:rPr>
        <w:t>operated</w:t>
      </w:r>
      <w:r w:rsidRPr="00D66A21">
        <w:rPr>
          <w:rStyle w:val="Emphasis"/>
          <w:i w:val="0"/>
          <w:color w:val="000000"/>
          <w:shd w:val="clear" w:color="auto" w:fill="FFFFFF"/>
          <w:lang w:val="en-GB"/>
        </w:rPr>
        <w:t xml:space="preserve"> primary centres in rural markets, which ensured them a presence in these markets and allowed for future expansion. According to Dr. Rana Mehta, </w:t>
      </w:r>
      <w:r>
        <w:rPr>
          <w:rStyle w:val="Emphasis"/>
          <w:i w:val="0"/>
          <w:color w:val="000000"/>
          <w:shd w:val="clear" w:color="auto" w:fill="FFFFFF"/>
          <w:lang w:val="en-GB"/>
        </w:rPr>
        <w:t>e</w:t>
      </w:r>
      <w:r w:rsidRPr="00D66A21">
        <w:rPr>
          <w:rStyle w:val="Emphasis"/>
          <w:i w:val="0"/>
          <w:color w:val="000000"/>
          <w:shd w:val="clear" w:color="auto" w:fill="FFFFFF"/>
          <w:lang w:val="en-GB"/>
        </w:rPr>
        <w:t xml:space="preserve">xecutive </w:t>
      </w:r>
      <w:r>
        <w:rPr>
          <w:rStyle w:val="Emphasis"/>
          <w:i w:val="0"/>
          <w:color w:val="000000"/>
          <w:shd w:val="clear" w:color="auto" w:fill="FFFFFF"/>
          <w:lang w:val="en-GB"/>
        </w:rPr>
        <w:t>d</w:t>
      </w:r>
      <w:r w:rsidRPr="00D66A21">
        <w:rPr>
          <w:rStyle w:val="Emphasis"/>
          <w:i w:val="0"/>
          <w:color w:val="000000"/>
          <w:shd w:val="clear" w:color="auto" w:fill="FFFFFF"/>
          <w:lang w:val="en-GB"/>
        </w:rPr>
        <w:t>irector at PricewaterhouseCoopers, “</w:t>
      </w:r>
      <w:r w:rsidRPr="00D66A21">
        <w:rPr>
          <w:shd w:val="clear" w:color="auto" w:fill="FFFFFD"/>
          <w:lang w:val="en-GB"/>
        </w:rPr>
        <w:t>Tier</w:t>
      </w:r>
      <w:r>
        <w:rPr>
          <w:shd w:val="clear" w:color="auto" w:fill="FFFFFD"/>
          <w:lang w:val="en-GB"/>
        </w:rPr>
        <w:t xml:space="preserve"> 1</w:t>
      </w:r>
      <w:r w:rsidRPr="00D66A21">
        <w:rPr>
          <w:shd w:val="clear" w:color="auto" w:fill="FFFFFD"/>
          <w:lang w:val="en-GB"/>
        </w:rPr>
        <w:t xml:space="preserve"> cities have a larger format where both cataract operations and other surgeries are equally dominant. In Tier</w:t>
      </w:r>
      <w:r>
        <w:rPr>
          <w:shd w:val="clear" w:color="auto" w:fill="FFFFFD"/>
          <w:lang w:val="en-GB"/>
        </w:rPr>
        <w:t xml:space="preserve"> 2</w:t>
      </w:r>
      <w:r w:rsidRPr="00D66A21">
        <w:rPr>
          <w:shd w:val="clear" w:color="auto" w:fill="FFFFFD"/>
          <w:lang w:val="en-GB"/>
        </w:rPr>
        <w:t xml:space="preserve"> places, cataract surgeries are the mainstay for the centre</w:t>
      </w:r>
      <w:r w:rsidRPr="0018329D">
        <w:rPr>
          <w:shd w:val="clear" w:color="auto" w:fill="FFFFFD"/>
          <w:lang w:val="en-GB"/>
        </w:rPr>
        <w:t>.”</w:t>
      </w:r>
      <w:r w:rsidRPr="0018329D">
        <w:rPr>
          <w:rStyle w:val="FootnoteReference"/>
          <w:color w:val="000000"/>
          <w:shd w:val="clear" w:color="auto" w:fill="FFFFFD"/>
          <w:lang w:val="en-GB"/>
        </w:rPr>
        <w:footnoteReference w:id="12"/>
      </w:r>
      <w:r w:rsidRPr="0018329D">
        <w:rPr>
          <w:shd w:val="clear" w:color="auto" w:fill="FFFFFF"/>
          <w:vertAlign w:val="superscript"/>
          <w:lang w:val="en-GB"/>
        </w:rPr>
        <w:t xml:space="preserve"> </w:t>
      </w:r>
    </w:p>
    <w:p w14:paraId="7E6276CB" w14:textId="77777777" w:rsidR="00BB343B" w:rsidRPr="00726F29" w:rsidRDefault="00BB343B" w:rsidP="004E7E8E">
      <w:pPr>
        <w:pStyle w:val="BodyTextMain"/>
        <w:rPr>
          <w:rStyle w:val="Emphasis"/>
          <w:i w:val="0"/>
          <w:color w:val="000000"/>
          <w:shd w:val="clear" w:color="auto" w:fill="FFFFFF"/>
          <w:lang w:val="en-GB"/>
        </w:rPr>
      </w:pPr>
    </w:p>
    <w:p w14:paraId="07EF4541" w14:textId="0399B3E9" w:rsidR="00A37C2D" w:rsidRPr="00D66A21" w:rsidRDefault="00A37C2D" w:rsidP="004E7E8E">
      <w:pPr>
        <w:pStyle w:val="BodyTextMain"/>
        <w:rPr>
          <w:rStyle w:val="Emphasis"/>
          <w:i w:val="0"/>
          <w:color w:val="000000"/>
          <w:shd w:val="clear" w:color="auto" w:fill="FFFFFF"/>
          <w:lang w:val="en-GB"/>
        </w:rPr>
      </w:pPr>
      <w:r w:rsidRPr="0018329D">
        <w:rPr>
          <w:rStyle w:val="Emphasis"/>
          <w:i w:val="0"/>
          <w:color w:val="000000"/>
          <w:shd w:val="clear" w:color="auto" w:fill="FFFFFF"/>
          <w:lang w:val="en-GB"/>
        </w:rPr>
        <w:t>Eye</w:t>
      </w:r>
      <w:r w:rsidRPr="00D66A21">
        <w:rPr>
          <w:rStyle w:val="Emphasis"/>
          <w:i w:val="0"/>
          <w:color w:val="000000"/>
          <w:shd w:val="clear" w:color="auto" w:fill="FFFFFF"/>
          <w:lang w:val="en-GB"/>
        </w:rPr>
        <w:t xml:space="preserve"> care was considered one of the most profitable verticals in health</w:t>
      </w:r>
      <w:r w:rsidR="00FE4183">
        <w:rPr>
          <w:rStyle w:val="Emphasis"/>
          <w:i w:val="0"/>
          <w:color w:val="000000"/>
          <w:shd w:val="clear" w:color="auto" w:fill="FFFFFF"/>
          <w:lang w:val="en-GB"/>
        </w:rPr>
        <w:t xml:space="preserve"> </w:t>
      </w:r>
      <w:r w:rsidRPr="00D66A21">
        <w:rPr>
          <w:rStyle w:val="Emphasis"/>
          <w:i w:val="0"/>
          <w:color w:val="000000"/>
          <w:shd w:val="clear" w:color="auto" w:fill="FFFFFF"/>
          <w:lang w:val="en-GB"/>
        </w:rPr>
        <w:t xml:space="preserve">care, and hence, there was an increase in venture capital funding inflows into privately owned </w:t>
      </w:r>
      <w:r w:rsidRPr="0018329D">
        <w:rPr>
          <w:rStyle w:val="Emphasis"/>
          <w:i w:val="0"/>
          <w:color w:val="000000"/>
          <w:shd w:val="clear" w:color="auto" w:fill="FFFFFF"/>
          <w:lang w:val="en-GB"/>
        </w:rPr>
        <w:t>eye</w:t>
      </w:r>
      <w:r w:rsidRPr="00D66A21">
        <w:rPr>
          <w:rStyle w:val="Emphasis"/>
          <w:i w:val="0"/>
          <w:color w:val="000000"/>
          <w:shd w:val="clear" w:color="auto" w:fill="FFFFFF"/>
          <w:lang w:val="en-GB"/>
        </w:rPr>
        <w:t xml:space="preserve"> </w:t>
      </w:r>
      <w:r w:rsidRPr="0018329D">
        <w:rPr>
          <w:rStyle w:val="Emphasis"/>
          <w:i w:val="0"/>
          <w:color w:val="000000"/>
          <w:shd w:val="clear" w:color="auto" w:fill="FFFFFF"/>
          <w:lang w:val="en-GB"/>
        </w:rPr>
        <w:t xml:space="preserve">care facilities, particularly in Tier </w:t>
      </w:r>
      <w:r>
        <w:rPr>
          <w:rStyle w:val="Emphasis"/>
          <w:i w:val="0"/>
          <w:color w:val="000000"/>
          <w:shd w:val="clear" w:color="auto" w:fill="FFFFFF"/>
          <w:lang w:val="en-GB"/>
        </w:rPr>
        <w:t>2</w:t>
      </w:r>
      <w:r w:rsidRPr="0018329D">
        <w:rPr>
          <w:rStyle w:val="Emphasis"/>
          <w:i w:val="0"/>
          <w:color w:val="000000"/>
          <w:shd w:val="clear" w:color="auto" w:fill="FFFFFF"/>
          <w:lang w:val="en-GB"/>
        </w:rPr>
        <w:t xml:space="preserve"> markets.</w:t>
      </w:r>
    </w:p>
    <w:p w14:paraId="0140955A" w14:textId="77777777" w:rsidR="00A37C2D" w:rsidRPr="00726F29" w:rsidRDefault="00A37C2D" w:rsidP="004E7E8E">
      <w:pPr>
        <w:pStyle w:val="BodyTextMain"/>
        <w:rPr>
          <w:rStyle w:val="Emphasis"/>
          <w:i w:val="0"/>
          <w:color w:val="000000"/>
          <w:sz w:val="18"/>
          <w:shd w:val="clear" w:color="auto" w:fill="FFFFFF"/>
          <w:lang w:val="en-GB"/>
        </w:rPr>
      </w:pPr>
    </w:p>
    <w:p w14:paraId="25AE3CCB" w14:textId="77777777" w:rsidR="00A37C2D" w:rsidRPr="00726F29" w:rsidRDefault="00A37C2D" w:rsidP="004E7E8E">
      <w:pPr>
        <w:pStyle w:val="BodyTextMain"/>
        <w:rPr>
          <w:rStyle w:val="Emphasis"/>
          <w:i w:val="0"/>
          <w:color w:val="000000"/>
          <w:sz w:val="18"/>
          <w:shd w:val="clear" w:color="auto" w:fill="FFFFFF"/>
          <w:lang w:val="en-GB"/>
        </w:rPr>
      </w:pPr>
    </w:p>
    <w:p w14:paraId="285EF9D6" w14:textId="77777777" w:rsidR="00A37C2D" w:rsidRPr="00D66A21" w:rsidRDefault="00A37C2D" w:rsidP="00A86167">
      <w:pPr>
        <w:pStyle w:val="Casehead2"/>
        <w:keepNext/>
        <w:rPr>
          <w:rStyle w:val="Emphasis"/>
          <w:i w:val="0"/>
          <w:iCs w:val="0"/>
        </w:rPr>
      </w:pPr>
      <w:r w:rsidRPr="00D66A21">
        <w:rPr>
          <w:rStyle w:val="Emphasis"/>
          <w:i w:val="0"/>
          <w:iCs w:val="0"/>
        </w:rPr>
        <w:lastRenderedPageBreak/>
        <w:t>Challenges and Opportunities</w:t>
      </w:r>
    </w:p>
    <w:p w14:paraId="5EA34DA9" w14:textId="77777777" w:rsidR="00A37C2D" w:rsidRPr="00C11BAE" w:rsidRDefault="00A37C2D" w:rsidP="00A86167">
      <w:pPr>
        <w:pStyle w:val="BodyTextMain"/>
        <w:keepNext/>
        <w:rPr>
          <w:rStyle w:val="Emphasis"/>
          <w:i w:val="0"/>
          <w:iCs w:val="0"/>
          <w:sz w:val="20"/>
        </w:rPr>
      </w:pPr>
    </w:p>
    <w:p w14:paraId="39E73675" w14:textId="58E068AE" w:rsidR="00A37C2D" w:rsidRPr="004E7E8E" w:rsidRDefault="00A37C2D" w:rsidP="00A86167">
      <w:pPr>
        <w:pStyle w:val="ExhibitText"/>
        <w:keepNext/>
        <w:rPr>
          <w:rStyle w:val="BodyTextMainChar"/>
          <w:sz w:val="22"/>
          <w:szCs w:val="22"/>
        </w:rPr>
      </w:pPr>
      <w:r w:rsidRPr="00D66A21">
        <w:rPr>
          <w:rStyle w:val="Emphasis"/>
          <w:rFonts w:ascii="Times New Roman" w:hAnsi="Times New Roman" w:cs="Times New Roman"/>
          <w:i w:val="0"/>
          <w:color w:val="000000"/>
          <w:sz w:val="22"/>
          <w:szCs w:val="22"/>
          <w:shd w:val="clear" w:color="auto" w:fill="FFFFFF"/>
          <w:lang w:val="en-GB"/>
        </w:rPr>
        <w:t xml:space="preserve">The main growth driver </w:t>
      </w:r>
      <w:r w:rsidRPr="0018329D">
        <w:rPr>
          <w:rStyle w:val="Emphasis"/>
          <w:rFonts w:ascii="Times New Roman" w:hAnsi="Times New Roman" w:cs="Times New Roman"/>
          <w:i w:val="0"/>
          <w:color w:val="000000"/>
          <w:sz w:val="22"/>
          <w:szCs w:val="22"/>
          <w:shd w:val="clear" w:color="auto" w:fill="FFFFFF"/>
          <w:lang w:val="en-GB"/>
        </w:rPr>
        <w:t xml:space="preserve">for </w:t>
      </w:r>
      <w:r>
        <w:rPr>
          <w:rStyle w:val="Emphasis"/>
          <w:rFonts w:ascii="Times New Roman" w:hAnsi="Times New Roman" w:cs="Times New Roman"/>
          <w:i w:val="0"/>
          <w:color w:val="000000"/>
          <w:sz w:val="22"/>
          <w:szCs w:val="22"/>
          <w:shd w:val="clear" w:color="auto" w:fill="FFFFFF"/>
          <w:lang w:val="en-GB"/>
        </w:rPr>
        <w:t xml:space="preserve">India’s </w:t>
      </w:r>
      <w:r w:rsidRPr="0018329D">
        <w:rPr>
          <w:rStyle w:val="Emphasis"/>
          <w:rFonts w:ascii="Times New Roman" w:hAnsi="Times New Roman" w:cs="Times New Roman"/>
          <w:i w:val="0"/>
          <w:color w:val="000000"/>
          <w:sz w:val="22"/>
          <w:szCs w:val="22"/>
          <w:shd w:val="clear" w:color="auto" w:fill="FFFFFF"/>
          <w:lang w:val="en-GB"/>
        </w:rPr>
        <w:t>eye</w:t>
      </w:r>
      <w:r w:rsidRPr="00D66A21">
        <w:rPr>
          <w:rStyle w:val="Emphasis"/>
          <w:rFonts w:ascii="Times New Roman" w:hAnsi="Times New Roman" w:cs="Times New Roman"/>
          <w:i w:val="0"/>
          <w:color w:val="000000"/>
          <w:sz w:val="22"/>
          <w:szCs w:val="22"/>
          <w:shd w:val="clear" w:color="auto" w:fill="FFFFFF"/>
          <w:lang w:val="en-GB"/>
        </w:rPr>
        <w:t xml:space="preserve"> care centres was cataract surgery, which accounted for about 60 per cent of the revenues</w:t>
      </w:r>
      <w:r>
        <w:rPr>
          <w:rStyle w:val="Emphasis"/>
          <w:rFonts w:ascii="Times New Roman" w:hAnsi="Times New Roman" w:cs="Times New Roman"/>
          <w:i w:val="0"/>
          <w:color w:val="000000"/>
          <w:sz w:val="22"/>
          <w:szCs w:val="22"/>
          <w:shd w:val="clear" w:color="auto" w:fill="FFFFFF"/>
          <w:lang w:val="en-GB"/>
        </w:rPr>
        <w:t xml:space="preserve"> at these facilities</w:t>
      </w:r>
      <w:r w:rsidRPr="00D66A21">
        <w:rPr>
          <w:rStyle w:val="Emphasis"/>
          <w:rFonts w:ascii="Times New Roman" w:hAnsi="Times New Roman" w:cs="Times New Roman"/>
          <w:i w:val="0"/>
          <w:color w:val="000000"/>
          <w:sz w:val="22"/>
          <w:szCs w:val="22"/>
          <w:shd w:val="clear" w:color="auto" w:fill="FFFFFF"/>
          <w:lang w:val="en-GB"/>
        </w:rPr>
        <w:t>.</w:t>
      </w:r>
      <w:r w:rsidRPr="00D66A21">
        <w:rPr>
          <w:rStyle w:val="FootnoteReference"/>
          <w:rFonts w:ascii="Times New Roman" w:hAnsi="Times New Roman" w:cs="Times New Roman"/>
          <w:iCs/>
          <w:color w:val="000000"/>
          <w:sz w:val="22"/>
          <w:szCs w:val="22"/>
          <w:shd w:val="clear" w:color="auto" w:fill="FFFFFF"/>
          <w:lang w:val="en-GB"/>
        </w:rPr>
        <w:footnoteReference w:id="13"/>
      </w:r>
      <w:r w:rsidRPr="00D66A21">
        <w:rPr>
          <w:rStyle w:val="Emphasis"/>
          <w:rFonts w:ascii="Times New Roman" w:hAnsi="Times New Roman" w:cs="Times New Roman"/>
          <w:i w:val="0"/>
          <w:color w:val="000000"/>
          <w:sz w:val="22"/>
          <w:szCs w:val="22"/>
          <w:shd w:val="clear" w:color="auto" w:fill="FFFFFF"/>
          <w:lang w:val="en-GB"/>
        </w:rPr>
        <w:t xml:space="preserve"> With increased life expectancy, close to 10 per cent of India’s 1.2 billion people were in the </w:t>
      </w:r>
      <w:r>
        <w:rPr>
          <w:rStyle w:val="Emphasis"/>
          <w:rFonts w:ascii="Times New Roman" w:hAnsi="Times New Roman" w:cs="Times New Roman"/>
          <w:i w:val="0"/>
          <w:color w:val="000000"/>
          <w:sz w:val="22"/>
          <w:szCs w:val="22"/>
          <w:shd w:val="clear" w:color="auto" w:fill="FFFFFF"/>
          <w:lang w:val="en-GB"/>
        </w:rPr>
        <w:t>over-</w:t>
      </w:r>
      <w:r w:rsidRPr="00D66A21">
        <w:rPr>
          <w:rStyle w:val="Emphasis"/>
          <w:rFonts w:ascii="Times New Roman" w:hAnsi="Times New Roman" w:cs="Times New Roman"/>
          <w:i w:val="0"/>
          <w:color w:val="000000"/>
          <w:sz w:val="22"/>
          <w:szCs w:val="22"/>
          <w:shd w:val="clear" w:color="auto" w:fill="FFFFFF"/>
          <w:lang w:val="en-GB"/>
        </w:rPr>
        <w:t xml:space="preserve">60 age group and represented a large potential market for cataract surgery. The prevalence of diabetic retinopathy was growing, </w:t>
      </w:r>
      <w:r>
        <w:rPr>
          <w:rStyle w:val="Emphasis"/>
          <w:rFonts w:ascii="Times New Roman" w:hAnsi="Times New Roman" w:cs="Times New Roman"/>
          <w:i w:val="0"/>
          <w:color w:val="000000"/>
          <w:sz w:val="22"/>
          <w:szCs w:val="22"/>
          <w:shd w:val="clear" w:color="auto" w:fill="FFFFFF"/>
          <w:lang w:val="en-GB"/>
        </w:rPr>
        <w:t>as evidenced by</w:t>
      </w:r>
      <w:r w:rsidRPr="00D66A21">
        <w:rPr>
          <w:rStyle w:val="Emphasis"/>
          <w:rFonts w:ascii="Times New Roman" w:hAnsi="Times New Roman" w:cs="Times New Roman"/>
          <w:i w:val="0"/>
          <w:color w:val="000000"/>
          <w:sz w:val="22"/>
          <w:szCs w:val="22"/>
          <w:shd w:val="clear" w:color="auto" w:fill="FFFFFF"/>
          <w:lang w:val="en-GB"/>
        </w:rPr>
        <w:t xml:space="preserve"> India’s ignominious title as </w:t>
      </w:r>
      <w:r>
        <w:rPr>
          <w:rStyle w:val="Emphasis"/>
          <w:rFonts w:ascii="Times New Roman" w:hAnsi="Times New Roman" w:cs="Times New Roman"/>
          <w:i w:val="0"/>
          <w:color w:val="000000"/>
          <w:sz w:val="22"/>
          <w:szCs w:val="22"/>
          <w:shd w:val="clear" w:color="auto" w:fill="FFFFFF"/>
          <w:lang w:val="en-GB"/>
        </w:rPr>
        <w:t>“</w:t>
      </w:r>
      <w:r w:rsidRPr="00D66A21">
        <w:rPr>
          <w:rStyle w:val="Emphasis"/>
          <w:rFonts w:ascii="Times New Roman" w:hAnsi="Times New Roman" w:cs="Times New Roman"/>
          <w:i w:val="0"/>
          <w:color w:val="000000"/>
          <w:sz w:val="22"/>
          <w:szCs w:val="22"/>
          <w:shd w:val="clear" w:color="auto" w:fill="FFFFFF"/>
          <w:lang w:val="en-GB"/>
        </w:rPr>
        <w:t>the diabetes capital of the world,” and this</w:t>
      </w:r>
      <w:r>
        <w:rPr>
          <w:rStyle w:val="Emphasis"/>
          <w:rFonts w:ascii="Times New Roman" w:hAnsi="Times New Roman" w:cs="Times New Roman"/>
          <w:i w:val="0"/>
          <w:color w:val="000000"/>
          <w:sz w:val="22"/>
          <w:szCs w:val="22"/>
          <w:shd w:val="clear" w:color="auto" w:fill="FFFFFF"/>
          <w:lang w:val="en-GB"/>
        </w:rPr>
        <w:t xml:space="preserve"> factor</w:t>
      </w:r>
      <w:r w:rsidRPr="00D66A21">
        <w:rPr>
          <w:rStyle w:val="Emphasis"/>
          <w:rFonts w:ascii="Times New Roman" w:hAnsi="Times New Roman" w:cs="Times New Roman"/>
          <w:i w:val="0"/>
          <w:color w:val="000000"/>
          <w:sz w:val="22"/>
          <w:szCs w:val="22"/>
          <w:shd w:val="clear" w:color="auto" w:fill="FFFFFF"/>
          <w:lang w:val="en-GB"/>
        </w:rPr>
        <w:t xml:space="preserve">, along with a rise in demand for </w:t>
      </w:r>
      <w:r w:rsidRPr="0018329D">
        <w:rPr>
          <w:rStyle w:val="Emphasis"/>
          <w:rFonts w:ascii="Times New Roman" w:hAnsi="Times New Roman" w:cs="Times New Roman"/>
          <w:i w:val="0"/>
          <w:color w:val="000000"/>
          <w:sz w:val="22"/>
          <w:szCs w:val="22"/>
          <w:shd w:val="clear" w:color="auto" w:fill="FFFFFF"/>
          <w:lang w:val="en-GB"/>
        </w:rPr>
        <w:t>laser eye</w:t>
      </w:r>
      <w:r w:rsidRPr="00D66A21">
        <w:rPr>
          <w:rStyle w:val="Emphasis"/>
          <w:rFonts w:ascii="Times New Roman" w:hAnsi="Times New Roman" w:cs="Times New Roman"/>
          <w:i w:val="0"/>
          <w:color w:val="000000"/>
          <w:sz w:val="22"/>
          <w:szCs w:val="22"/>
          <w:shd w:val="clear" w:color="auto" w:fill="FFFFFF"/>
          <w:lang w:val="en-GB"/>
        </w:rPr>
        <w:t xml:space="preserve"> surgery (LASIK),</w:t>
      </w:r>
      <w:r>
        <w:rPr>
          <w:rStyle w:val="Emphasis"/>
          <w:rFonts w:ascii="Times New Roman" w:hAnsi="Times New Roman" w:cs="Times New Roman"/>
          <w:i w:val="0"/>
          <w:color w:val="000000"/>
          <w:sz w:val="22"/>
          <w:szCs w:val="22"/>
          <w:shd w:val="clear" w:color="auto" w:fill="FFFFFF"/>
          <w:lang w:val="en-GB"/>
        </w:rPr>
        <w:t xml:space="preserve"> </w:t>
      </w:r>
      <w:r w:rsidRPr="00D66A21">
        <w:rPr>
          <w:rStyle w:val="Emphasis"/>
          <w:rFonts w:ascii="Times New Roman" w:hAnsi="Times New Roman" w:cs="Times New Roman"/>
          <w:i w:val="0"/>
          <w:color w:val="000000"/>
          <w:sz w:val="22"/>
          <w:szCs w:val="22"/>
          <w:shd w:val="clear" w:color="auto" w:fill="FFFFFF"/>
          <w:lang w:val="en-GB"/>
        </w:rPr>
        <w:t xml:space="preserve">represented large volume and revenue potential </w:t>
      </w:r>
      <w:r w:rsidRPr="0018329D">
        <w:rPr>
          <w:rStyle w:val="Emphasis"/>
          <w:rFonts w:ascii="Times New Roman" w:hAnsi="Times New Roman" w:cs="Times New Roman"/>
          <w:i w:val="0"/>
          <w:color w:val="000000"/>
          <w:sz w:val="22"/>
          <w:szCs w:val="22"/>
          <w:shd w:val="clear" w:color="auto" w:fill="FFFFFF"/>
          <w:lang w:val="en-GB"/>
        </w:rPr>
        <w:t>for eye</w:t>
      </w:r>
      <w:r w:rsidRPr="00D66A21">
        <w:rPr>
          <w:rStyle w:val="Emphasis"/>
          <w:rFonts w:ascii="Times New Roman" w:hAnsi="Times New Roman" w:cs="Times New Roman"/>
          <w:i w:val="0"/>
          <w:color w:val="000000"/>
          <w:sz w:val="22"/>
          <w:szCs w:val="22"/>
          <w:shd w:val="clear" w:color="auto" w:fill="FFFFFF"/>
          <w:lang w:val="en-GB"/>
        </w:rPr>
        <w:t xml:space="preserve"> care chains.</w:t>
      </w:r>
      <w:r w:rsidRPr="00D66A21">
        <w:rPr>
          <w:rStyle w:val="FootnoteReference"/>
          <w:rFonts w:ascii="Times New Roman" w:hAnsi="Times New Roman" w:cs="Times New Roman"/>
          <w:iCs/>
          <w:color w:val="000000"/>
          <w:sz w:val="22"/>
          <w:szCs w:val="22"/>
          <w:shd w:val="clear" w:color="auto" w:fill="FFFFFF"/>
          <w:lang w:val="en-GB"/>
        </w:rPr>
        <w:footnoteReference w:id="14"/>
      </w:r>
      <w:r w:rsidRPr="00D66A21">
        <w:rPr>
          <w:rStyle w:val="Emphasis"/>
          <w:rFonts w:ascii="Times New Roman" w:hAnsi="Times New Roman" w:cs="Times New Roman"/>
          <w:i w:val="0"/>
          <w:color w:val="000000"/>
          <w:sz w:val="22"/>
          <w:szCs w:val="22"/>
          <w:shd w:val="clear" w:color="auto" w:fill="FFFFFF"/>
          <w:lang w:val="en-GB"/>
        </w:rPr>
        <w:t xml:space="preserve"> Yet, there was a significant gap between the services provided in urban and rural areas. Lack of </w:t>
      </w:r>
      <w:r w:rsidRPr="004E7E8E">
        <w:rPr>
          <w:rStyle w:val="BodyTextMainChar"/>
          <w:sz w:val="22"/>
          <w:szCs w:val="22"/>
        </w:rPr>
        <w:t xml:space="preserve">access to services, lack of affordability, and lack of awareness were the main hindrances to </w:t>
      </w:r>
      <w:r w:rsidR="001C6EEC" w:rsidRPr="004E7E8E">
        <w:rPr>
          <w:rStyle w:val="BodyTextMainChar"/>
          <w:sz w:val="22"/>
          <w:szCs w:val="22"/>
        </w:rPr>
        <w:t xml:space="preserve">the </w:t>
      </w:r>
      <w:r w:rsidRPr="004E7E8E">
        <w:rPr>
          <w:rStyle w:val="BodyTextMainChar"/>
          <w:sz w:val="22"/>
          <w:szCs w:val="22"/>
        </w:rPr>
        <w:t>growth</w:t>
      </w:r>
      <w:r w:rsidR="001C6EEC" w:rsidRPr="004E7E8E">
        <w:rPr>
          <w:rStyle w:val="BodyTextMainChar"/>
          <w:sz w:val="22"/>
          <w:szCs w:val="22"/>
        </w:rPr>
        <w:t xml:space="preserve"> of eye care centres</w:t>
      </w:r>
      <w:r w:rsidRPr="004E7E8E">
        <w:rPr>
          <w:rStyle w:val="BodyTextMainChar"/>
          <w:sz w:val="22"/>
          <w:szCs w:val="22"/>
        </w:rPr>
        <w:t xml:space="preserve"> in rural areas. Low acceptance levels and pre-existing attitudes, such as a preference for traditional forms of treatment, the fear of treatment and surgery, superstitious beliefs, and a fatalistic attitude towards blindness</w:t>
      </w:r>
      <w:r w:rsidR="001C6EEC" w:rsidRPr="004E7E8E">
        <w:rPr>
          <w:rStyle w:val="BodyTextMainChar"/>
          <w:sz w:val="22"/>
          <w:szCs w:val="22"/>
        </w:rPr>
        <w:t>,</w:t>
      </w:r>
      <w:r w:rsidRPr="004E7E8E">
        <w:rPr>
          <w:rStyle w:val="BodyTextMainChar"/>
          <w:sz w:val="22"/>
          <w:szCs w:val="22"/>
        </w:rPr>
        <w:t xml:space="preserve"> also played a role. </w:t>
      </w:r>
    </w:p>
    <w:p w14:paraId="7620F16E" w14:textId="77777777" w:rsidR="00A37C2D" w:rsidRPr="00C11BAE" w:rsidRDefault="00A37C2D" w:rsidP="00D66A21">
      <w:pPr>
        <w:pStyle w:val="BodyTextMain"/>
        <w:rPr>
          <w:sz w:val="20"/>
          <w:lang w:val="en-GB"/>
        </w:rPr>
      </w:pPr>
    </w:p>
    <w:p w14:paraId="68DAFB60" w14:textId="77777777" w:rsidR="00A37C2D" w:rsidRPr="00C11BAE" w:rsidRDefault="00A37C2D" w:rsidP="00D66A21">
      <w:pPr>
        <w:pStyle w:val="BodyTextMain"/>
        <w:rPr>
          <w:sz w:val="20"/>
          <w:lang w:val="en-GB"/>
        </w:rPr>
      </w:pPr>
    </w:p>
    <w:p w14:paraId="33EA79CD" w14:textId="77777777" w:rsidR="00A37C2D" w:rsidRPr="00592DF1" w:rsidRDefault="00A37C2D" w:rsidP="00D66A21">
      <w:pPr>
        <w:pStyle w:val="Casehead1"/>
        <w:rPr>
          <w:lang w:val="en-GB"/>
        </w:rPr>
      </w:pPr>
      <w:r w:rsidRPr="0018329D">
        <w:rPr>
          <w:lang w:val="en-GB"/>
        </w:rPr>
        <w:t>EYE-</w:t>
      </w:r>
      <w:r w:rsidRPr="00592DF1">
        <w:rPr>
          <w:lang w:val="en-GB"/>
        </w:rPr>
        <w:t>Q SUPER SPECIALTY HOSPITALS</w:t>
      </w:r>
    </w:p>
    <w:p w14:paraId="454F84D7" w14:textId="77777777" w:rsidR="00A37C2D" w:rsidRPr="00C11BAE" w:rsidRDefault="00A37C2D" w:rsidP="00A429FC">
      <w:pPr>
        <w:pStyle w:val="BodyTextMain"/>
        <w:rPr>
          <w:sz w:val="20"/>
          <w:lang w:val="en-GB"/>
        </w:rPr>
      </w:pPr>
    </w:p>
    <w:p w14:paraId="16A7FE01" w14:textId="77777777" w:rsidR="00A37C2D" w:rsidRDefault="00A37C2D" w:rsidP="00A429FC">
      <w:pPr>
        <w:pStyle w:val="BodyTextMain"/>
        <w:rPr>
          <w:lang w:val="en-GB"/>
        </w:rPr>
      </w:pPr>
      <w:r w:rsidRPr="00A37C2D">
        <w:rPr>
          <w:rFonts w:ascii="Arial" w:hAnsi="Arial" w:cs="Arial"/>
          <w:b/>
          <w:sz w:val="20"/>
          <w:szCs w:val="20"/>
          <w:lang w:val="en-GB"/>
        </w:rPr>
        <w:t>The Partners’ Background</w:t>
      </w:r>
    </w:p>
    <w:p w14:paraId="2C8B0979" w14:textId="77777777" w:rsidR="00A37C2D" w:rsidRPr="00C11BAE" w:rsidRDefault="00A37C2D" w:rsidP="00A429FC">
      <w:pPr>
        <w:pStyle w:val="BodyTextMain"/>
        <w:rPr>
          <w:sz w:val="20"/>
          <w:lang w:val="en-GB"/>
        </w:rPr>
      </w:pPr>
    </w:p>
    <w:p w14:paraId="6CF733D5" w14:textId="71AFF6CD" w:rsidR="00A37C2D" w:rsidRPr="00592DF1" w:rsidRDefault="00A37C2D" w:rsidP="00A429FC">
      <w:pPr>
        <w:pStyle w:val="BodyTextMain"/>
        <w:rPr>
          <w:lang w:val="en-GB"/>
        </w:rPr>
      </w:pPr>
      <w:r w:rsidRPr="00592DF1">
        <w:rPr>
          <w:lang w:val="en-GB"/>
        </w:rPr>
        <w:t xml:space="preserve">Sharma earned his </w:t>
      </w:r>
      <w:r>
        <w:rPr>
          <w:lang w:val="en-GB"/>
        </w:rPr>
        <w:t xml:space="preserve">bachelor of medicine/bachelor of surgery </w:t>
      </w:r>
      <w:r w:rsidRPr="00592DF1">
        <w:rPr>
          <w:lang w:val="en-GB"/>
        </w:rPr>
        <w:t>and postgraduate degrees from Rohtak, Haryana</w:t>
      </w:r>
      <w:r>
        <w:rPr>
          <w:lang w:val="en-GB"/>
        </w:rPr>
        <w:t xml:space="preserve">. He </w:t>
      </w:r>
      <w:r w:rsidRPr="00592DF1">
        <w:rPr>
          <w:lang w:val="en-GB"/>
        </w:rPr>
        <w:t>went on to do his residency at Safdarjung Hospital, New Delhi</w:t>
      </w:r>
      <w:r>
        <w:rPr>
          <w:lang w:val="en-GB"/>
        </w:rPr>
        <w:t>,</w:t>
      </w:r>
      <w:r w:rsidRPr="00592DF1">
        <w:rPr>
          <w:lang w:val="en-GB"/>
        </w:rPr>
        <w:t xml:space="preserve"> and later at </w:t>
      </w:r>
      <w:r>
        <w:rPr>
          <w:lang w:val="en-GB"/>
        </w:rPr>
        <w:t xml:space="preserve">the </w:t>
      </w:r>
      <w:r w:rsidRPr="00A37C2D">
        <w:rPr>
          <w:lang w:val="en-GB"/>
        </w:rPr>
        <w:t>L</w:t>
      </w:r>
      <w:r w:rsidRPr="005448DC">
        <w:rPr>
          <w:lang w:val="en-GB"/>
        </w:rPr>
        <w:t>V</w:t>
      </w:r>
      <w:r>
        <w:rPr>
          <w:lang w:val="en-GB"/>
        </w:rPr>
        <w:t xml:space="preserve"> Prasad Eye Institute (</w:t>
      </w:r>
      <w:r w:rsidRPr="00592DF1">
        <w:rPr>
          <w:lang w:val="en-GB"/>
        </w:rPr>
        <w:t>LVPEI</w:t>
      </w:r>
      <w:r>
        <w:rPr>
          <w:lang w:val="en-GB"/>
        </w:rPr>
        <w:t>)</w:t>
      </w:r>
      <w:r w:rsidRPr="00592DF1">
        <w:rPr>
          <w:lang w:val="en-GB"/>
        </w:rPr>
        <w:t xml:space="preserve">, Hyderabad. Around this time, after some deliberation, he decided to join his father, who was also an ophthalmologist, in Gurgaon. Recalling the early days of his career, Sharma said: </w:t>
      </w:r>
    </w:p>
    <w:p w14:paraId="628C5A27" w14:textId="77777777" w:rsidR="00A37C2D" w:rsidRPr="00C11BAE" w:rsidRDefault="00A37C2D" w:rsidP="00A429FC">
      <w:pPr>
        <w:pStyle w:val="BodyTextMain"/>
        <w:rPr>
          <w:sz w:val="20"/>
          <w:lang w:val="en-GB"/>
        </w:rPr>
      </w:pPr>
    </w:p>
    <w:p w14:paraId="3D6B7A09" w14:textId="3D75FCEB" w:rsidR="00A37C2D" w:rsidRPr="004E7E8E" w:rsidRDefault="00A37C2D" w:rsidP="00A429FC">
      <w:pPr>
        <w:pStyle w:val="BodyTextMain"/>
        <w:ind w:left="720"/>
        <w:rPr>
          <w:lang w:val="en-GB"/>
        </w:rPr>
      </w:pPr>
      <w:r w:rsidRPr="004E7E8E">
        <w:rPr>
          <w:lang w:val="en-GB"/>
        </w:rPr>
        <w:t xml:space="preserve">After my father’s retirement, we shifted to Gurgaon. I joined his small practice and started doing surgeries. There were times when my father and I would go as far as 50 kilometres away and operate on patients there. We carried all our supplies with us. Sometimes we even had to create an operation theatre on X-ray tables. Those days were good, and we would earn a sum of </w:t>
      </w:r>
      <w:r w:rsidRPr="004E7E8E">
        <w:rPr>
          <w:rFonts w:ascii="Arial" w:hAnsi="Arial" w:cs="Arial"/>
          <w:sz w:val="20"/>
          <w:szCs w:val="20"/>
        </w:rPr>
        <w:t>₹</w:t>
      </w:r>
      <w:r w:rsidRPr="004E7E8E">
        <w:rPr>
          <w:lang w:val="en-GB"/>
        </w:rPr>
        <w:t xml:space="preserve">500 for those surgeries. Yet, though I was learning something, I felt restless about what I was doing. This was not what I had planned for myself. </w:t>
      </w:r>
    </w:p>
    <w:p w14:paraId="5F358C60" w14:textId="77777777" w:rsidR="00A37C2D" w:rsidRPr="00C11BAE" w:rsidRDefault="00A37C2D" w:rsidP="00A429FC">
      <w:pPr>
        <w:pStyle w:val="BodyTextMain"/>
        <w:rPr>
          <w:sz w:val="20"/>
          <w:lang w:val="en-GB"/>
        </w:rPr>
      </w:pPr>
    </w:p>
    <w:p w14:paraId="2457284D" w14:textId="6F01C0BD" w:rsidR="00A37C2D" w:rsidRPr="00726F29" w:rsidRDefault="00A37C2D" w:rsidP="00A429FC">
      <w:pPr>
        <w:pStyle w:val="BodyTextMain"/>
        <w:rPr>
          <w:spacing w:val="-2"/>
          <w:lang w:val="en-GB"/>
        </w:rPr>
      </w:pPr>
      <w:r w:rsidRPr="00726F29">
        <w:rPr>
          <w:spacing w:val="-2"/>
          <w:lang w:val="en-GB"/>
        </w:rPr>
        <w:t xml:space="preserve">In those days, ophthalmologists were accustomed to performing extracapsular extraction surgeries, which involved implanting an intraocular lens and required sutures. However, during his stint at LVPEI, Sharma had been trained on the more advanced phacoemulsification technique, which required a specialized machine. Sharma wanted to make greater use of his advanced training, so he eventually decided to strike out on his own with his meagre savings of </w:t>
      </w:r>
      <w:r w:rsidRPr="005E02F8">
        <w:rPr>
          <w:rFonts w:ascii="Arial" w:hAnsi="Arial" w:cs="Arial"/>
          <w:spacing w:val="-2"/>
          <w:sz w:val="20"/>
          <w:szCs w:val="20"/>
        </w:rPr>
        <w:t>₹</w:t>
      </w:r>
      <w:r w:rsidRPr="00726F29">
        <w:rPr>
          <w:spacing w:val="-2"/>
          <w:lang w:val="en-GB"/>
        </w:rPr>
        <w:t xml:space="preserve">200,000 and a loan of </w:t>
      </w:r>
      <w:r w:rsidRPr="005E02F8">
        <w:rPr>
          <w:rFonts w:ascii="Arial" w:hAnsi="Arial" w:cs="Arial"/>
          <w:spacing w:val="-2"/>
          <w:sz w:val="20"/>
          <w:szCs w:val="20"/>
        </w:rPr>
        <w:t>₹</w:t>
      </w:r>
      <w:r w:rsidRPr="00726F29">
        <w:rPr>
          <w:spacing w:val="-2"/>
          <w:lang w:val="en-GB"/>
        </w:rPr>
        <w:t xml:space="preserve">550,000 from a local bank. In spite of resistance from his father, Sharma bought the costly phacoemulsification machine. His father felt it was an expensive proposition and was apprehensive about whether patients, who reluctantly paid </w:t>
      </w:r>
      <w:r w:rsidRPr="005E02F8">
        <w:rPr>
          <w:rFonts w:ascii="Arial" w:hAnsi="Arial" w:cs="Arial"/>
          <w:spacing w:val="-2"/>
          <w:sz w:val="20"/>
          <w:szCs w:val="20"/>
        </w:rPr>
        <w:t>₹</w:t>
      </w:r>
      <w:r w:rsidRPr="00726F29">
        <w:rPr>
          <w:spacing w:val="-2"/>
          <w:lang w:val="en-GB"/>
        </w:rPr>
        <w:t xml:space="preserve">2,000 for a surgery, would now be willing to part with </w:t>
      </w:r>
      <w:r w:rsidRPr="005E02F8">
        <w:rPr>
          <w:rFonts w:ascii="Arial" w:hAnsi="Arial" w:cs="Arial"/>
          <w:spacing w:val="-2"/>
          <w:sz w:val="20"/>
          <w:szCs w:val="20"/>
        </w:rPr>
        <w:t>₹</w:t>
      </w:r>
      <w:r w:rsidRPr="00726F29">
        <w:rPr>
          <w:spacing w:val="-2"/>
          <w:lang w:val="en-GB"/>
        </w:rPr>
        <w:t>5,000. However, Sharma was very clear that he wanted to bring the latest technology to Gurgaon. On the very first day</w:t>
      </w:r>
      <w:r w:rsidR="001C6EEC">
        <w:rPr>
          <w:spacing w:val="-2"/>
          <w:lang w:val="en-GB"/>
        </w:rPr>
        <w:t xml:space="preserve"> in his own practice</w:t>
      </w:r>
      <w:r w:rsidRPr="00726F29">
        <w:rPr>
          <w:spacing w:val="-2"/>
          <w:lang w:val="en-GB"/>
        </w:rPr>
        <w:t>, he performed six operations using the machine and earned</w:t>
      </w:r>
      <w:r w:rsidRPr="00726F29">
        <w:rPr>
          <w:spacing w:val="-2"/>
          <w:sz w:val="20"/>
          <w:szCs w:val="20"/>
          <w:lang w:val="en-GB"/>
        </w:rPr>
        <w:t xml:space="preserve"> </w:t>
      </w:r>
      <w:r w:rsidRPr="005E02F8">
        <w:rPr>
          <w:rFonts w:ascii="Arial" w:hAnsi="Arial" w:cs="Arial"/>
          <w:spacing w:val="-2"/>
          <w:sz w:val="20"/>
          <w:szCs w:val="20"/>
        </w:rPr>
        <w:t>₹</w:t>
      </w:r>
      <w:r w:rsidRPr="00726F29">
        <w:rPr>
          <w:spacing w:val="-2"/>
          <w:lang w:val="en-GB"/>
        </w:rPr>
        <w:t>29,000.</w:t>
      </w:r>
    </w:p>
    <w:p w14:paraId="3EB1DB41" w14:textId="77777777" w:rsidR="00A37C2D" w:rsidRPr="00C11BAE" w:rsidRDefault="00A37C2D" w:rsidP="00A429FC">
      <w:pPr>
        <w:pStyle w:val="BodyTextMain"/>
        <w:rPr>
          <w:sz w:val="20"/>
          <w:lang w:val="en-GB"/>
        </w:rPr>
      </w:pPr>
    </w:p>
    <w:p w14:paraId="483518D1" w14:textId="655A200A" w:rsidR="00A37C2D" w:rsidRDefault="00A37C2D" w:rsidP="00A429FC">
      <w:pPr>
        <w:pStyle w:val="BodyTextMain"/>
        <w:rPr>
          <w:lang w:val="en-GB"/>
        </w:rPr>
      </w:pPr>
      <w:r w:rsidRPr="00592DF1">
        <w:rPr>
          <w:lang w:val="en-GB"/>
        </w:rPr>
        <w:t xml:space="preserve">Over the next few years, Sharma established his practice and made plans for expansion. </w:t>
      </w:r>
      <w:r>
        <w:rPr>
          <w:lang w:val="en-GB"/>
        </w:rPr>
        <w:t>I</w:t>
      </w:r>
      <w:r w:rsidRPr="00592DF1">
        <w:rPr>
          <w:lang w:val="en-GB"/>
        </w:rPr>
        <w:t>n 1999, he opened Sheetla Hospital</w:t>
      </w:r>
      <w:r>
        <w:rPr>
          <w:lang w:val="en-GB"/>
        </w:rPr>
        <w:t xml:space="preserve"> in Gurgaon</w:t>
      </w:r>
      <w:r w:rsidRPr="00592DF1">
        <w:rPr>
          <w:lang w:val="en-GB"/>
        </w:rPr>
        <w:t xml:space="preserve"> with 100 beds</w:t>
      </w:r>
      <w:r>
        <w:rPr>
          <w:lang w:val="en-GB"/>
        </w:rPr>
        <w:t>, c</w:t>
      </w:r>
      <w:r w:rsidRPr="00592DF1">
        <w:rPr>
          <w:lang w:val="en-GB"/>
        </w:rPr>
        <w:t>atering to both urban and rural patients</w:t>
      </w:r>
      <w:r>
        <w:rPr>
          <w:lang w:val="en-GB"/>
        </w:rPr>
        <w:t xml:space="preserve">. </w:t>
      </w:r>
      <w:r w:rsidRPr="00592DF1">
        <w:rPr>
          <w:lang w:val="en-GB"/>
        </w:rPr>
        <w:t xml:space="preserve">Ophthalmology was </w:t>
      </w:r>
      <w:r>
        <w:rPr>
          <w:lang w:val="en-GB"/>
        </w:rPr>
        <w:t xml:space="preserve">continually </w:t>
      </w:r>
      <w:r w:rsidRPr="00592DF1">
        <w:rPr>
          <w:lang w:val="en-GB"/>
        </w:rPr>
        <w:t>advancing</w:t>
      </w:r>
      <w:r>
        <w:rPr>
          <w:lang w:val="en-GB"/>
        </w:rPr>
        <w:t>,</w:t>
      </w:r>
      <w:r w:rsidRPr="00592DF1">
        <w:rPr>
          <w:lang w:val="en-GB"/>
        </w:rPr>
        <w:t xml:space="preserve"> and, in 2005, Sharma bought his own L</w:t>
      </w:r>
      <w:r>
        <w:rPr>
          <w:lang w:val="en-GB"/>
        </w:rPr>
        <w:t>ASIK</w:t>
      </w:r>
      <w:r w:rsidRPr="00592DF1">
        <w:rPr>
          <w:lang w:val="en-GB"/>
        </w:rPr>
        <w:t xml:space="preserve"> machine.</w:t>
      </w:r>
      <w:r>
        <w:rPr>
          <w:lang w:val="en-GB"/>
        </w:rPr>
        <w:t xml:space="preserve"> </w:t>
      </w:r>
      <w:r w:rsidRPr="00592DF1">
        <w:rPr>
          <w:lang w:val="en-GB"/>
        </w:rPr>
        <w:t xml:space="preserve">This </w:t>
      </w:r>
      <w:r>
        <w:rPr>
          <w:lang w:val="en-GB"/>
        </w:rPr>
        <w:t xml:space="preserve">purchase </w:t>
      </w:r>
      <w:r w:rsidRPr="00592DF1">
        <w:rPr>
          <w:lang w:val="en-GB"/>
        </w:rPr>
        <w:t>brought him into contact with Goel, who headed the L</w:t>
      </w:r>
      <w:r>
        <w:rPr>
          <w:lang w:val="en-GB"/>
        </w:rPr>
        <w:t>ASIK</w:t>
      </w:r>
      <w:r w:rsidRPr="00592DF1">
        <w:rPr>
          <w:lang w:val="en-GB"/>
        </w:rPr>
        <w:t xml:space="preserve"> division at Bausch &amp; Lomb and was selling the machine to Sharma. The two had </w:t>
      </w:r>
      <w:r>
        <w:rPr>
          <w:lang w:val="en-GB"/>
        </w:rPr>
        <w:t>attended</w:t>
      </w:r>
      <w:r w:rsidRPr="00592DF1">
        <w:rPr>
          <w:lang w:val="en-GB"/>
        </w:rPr>
        <w:t xml:space="preserve"> boarding school together and were meeting again after a gap of 25 years. Around this </w:t>
      </w:r>
      <w:r>
        <w:rPr>
          <w:lang w:val="en-GB"/>
        </w:rPr>
        <w:t xml:space="preserve">same </w:t>
      </w:r>
      <w:r w:rsidRPr="00592DF1">
        <w:rPr>
          <w:lang w:val="en-GB"/>
        </w:rPr>
        <w:t>time, Sharma had begun to realize that his hospital was facing stiff competition from a number of other multi</w:t>
      </w:r>
      <w:r w:rsidR="0042148B">
        <w:rPr>
          <w:lang w:val="en-GB"/>
        </w:rPr>
        <w:t>-</w:t>
      </w:r>
      <w:r w:rsidRPr="00592DF1">
        <w:rPr>
          <w:lang w:val="en-GB"/>
        </w:rPr>
        <w:t xml:space="preserve">specialty hospitals </w:t>
      </w:r>
      <w:r w:rsidR="0042148B">
        <w:rPr>
          <w:lang w:val="en-GB"/>
        </w:rPr>
        <w:t>such as</w:t>
      </w:r>
      <w:r w:rsidRPr="00592DF1">
        <w:rPr>
          <w:lang w:val="en-GB"/>
        </w:rPr>
        <w:t xml:space="preserve"> </w:t>
      </w:r>
      <w:r w:rsidR="001745CF">
        <w:rPr>
          <w:lang w:val="en-GB"/>
        </w:rPr>
        <w:t>Medanta</w:t>
      </w:r>
      <w:r w:rsidR="005E02F8">
        <w:rPr>
          <w:lang w:val="en-GB"/>
        </w:rPr>
        <w:t>—</w:t>
      </w:r>
      <w:r w:rsidR="001745CF">
        <w:rPr>
          <w:lang w:val="en-GB"/>
        </w:rPr>
        <w:t xml:space="preserve">The </w:t>
      </w:r>
      <w:r w:rsidRPr="00592DF1">
        <w:rPr>
          <w:lang w:val="en-GB"/>
        </w:rPr>
        <w:t>Medicity, Fortis</w:t>
      </w:r>
      <w:r w:rsidR="001745CF">
        <w:rPr>
          <w:lang w:val="en-GB"/>
        </w:rPr>
        <w:t xml:space="preserve"> Healthcare Ltd.</w:t>
      </w:r>
      <w:r w:rsidRPr="00592DF1">
        <w:rPr>
          <w:lang w:val="en-GB"/>
        </w:rPr>
        <w:t>, Paras</w:t>
      </w:r>
      <w:r w:rsidR="001745CF">
        <w:rPr>
          <w:lang w:val="en-GB"/>
        </w:rPr>
        <w:t xml:space="preserve"> Healthcare</w:t>
      </w:r>
      <w:r>
        <w:rPr>
          <w:lang w:val="en-GB"/>
        </w:rPr>
        <w:t>,</w:t>
      </w:r>
      <w:r w:rsidRPr="00592DF1">
        <w:rPr>
          <w:lang w:val="en-GB"/>
        </w:rPr>
        <w:t xml:space="preserve"> and Artemis</w:t>
      </w:r>
      <w:r w:rsidR="001745CF">
        <w:rPr>
          <w:lang w:val="en-GB"/>
        </w:rPr>
        <w:t xml:space="preserve"> Hospitals</w:t>
      </w:r>
      <w:r w:rsidRPr="00592DF1">
        <w:rPr>
          <w:lang w:val="en-GB"/>
        </w:rPr>
        <w:t xml:space="preserve">, among others. In 2005, </w:t>
      </w:r>
      <w:r>
        <w:rPr>
          <w:lang w:val="en-GB"/>
        </w:rPr>
        <w:t>Sharma</w:t>
      </w:r>
      <w:r w:rsidRPr="00592DF1">
        <w:rPr>
          <w:lang w:val="en-GB"/>
        </w:rPr>
        <w:t xml:space="preserve"> </w:t>
      </w:r>
      <w:r>
        <w:rPr>
          <w:lang w:val="en-GB"/>
        </w:rPr>
        <w:t xml:space="preserve">had </w:t>
      </w:r>
      <w:r w:rsidRPr="00592DF1">
        <w:rPr>
          <w:lang w:val="en-GB"/>
        </w:rPr>
        <w:t xml:space="preserve">decided to focus on ophthalmology </w:t>
      </w:r>
      <w:r w:rsidRPr="00592DF1">
        <w:rPr>
          <w:lang w:val="en-GB"/>
        </w:rPr>
        <w:lastRenderedPageBreak/>
        <w:t>and open</w:t>
      </w:r>
      <w:r>
        <w:rPr>
          <w:lang w:val="en-GB"/>
        </w:rPr>
        <w:t>ed</w:t>
      </w:r>
      <w:r w:rsidRPr="00592DF1">
        <w:rPr>
          <w:lang w:val="en-GB"/>
        </w:rPr>
        <w:t xml:space="preserve"> </w:t>
      </w:r>
      <w:r w:rsidR="007039CC">
        <w:rPr>
          <w:lang w:val="en-GB"/>
        </w:rPr>
        <w:t xml:space="preserve">two or three more </w:t>
      </w:r>
      <w:r w:rsidRPr="00592DF1">
        <w:rPr>
          <w:lang w:val="en-GB"/>
        </w:rPr>
        <w:t xml:space="preserve">centres in cities </w:t>
      </w:r>
      <w:r w:rsidR="0042148B">
        <w:rPr>
          <w:lang w:val="en-GB"/>
        </w:rPr>
        <w:t>such as</w:t>
      </w:r>
      <w:r w:rsidRPr="00592DF1">
        <w:rPr>
          <w:lang w:val="en-GB"/>
        </w:rPr>
        <w:t xml:space="preserve"> Rewari, which were </w:t>
      </w:r>
      <w:r>
        <w:rPr>
          <w:lang w:val="en-GB"/>
        </w:rPr>
        <w:t xml:space="preserve">located </w:t>
      </w:r>
      <w:r w:rsidRPr="00592DF1">
        <w:rPr>
          <w:lang w:val="en-GB"/>
        </w:rPr>
        <w:t>50</w:t>
      </w:r>
      <w:r>
        <w:rPr>
          <w:lang w:val="en-GB"/>
        </w:rPr>
        <w:t xml:space="preserve"> to </w:t>
      </w:r>
      <w:r w:rsidRPr="00592DF1">
        <w:rPr>
          <w:lang w:val="en-GB"/>
        </w:rPr>
        <w:t xml:space="preserve">60 kilometres away from Gurgaon. </w:t>
      </w:r>
    </w:p>
    <w:p w14:paraId="0F188C67" w14:textId="77777777" w:rsidR="001745CF" w:rsidRPr="007039CC" w:rsidRDefault="001745CF" w:rsidP="00A429FC">
      <w:pPr>
        <w:pStyle w:val="BodyTextMain"/>
        <w:rPr>
          <w:sz w:val="20"/>
          <w:lang w:val="en-GB"/>
        </w:rPr>
      </w:pPr>
    </w:p>
    <w:p w14:paraId="537019DA" w14:textId="6C8F303A" w:rsidR="00A37C2D" w:rsidRPr="00592DF1" w:rsidRDefault="00A37C2D" w:rsidP="00A429FC">
      <w:pPr>
        <w:pStyle w:val="BodyTextMain"/>
        <w:rPr>
          <w:lang w:val="en-GB"/>
        </w:rPr>
      </w:pPr>
      <w:r w:rsidRPr="00592DF1">
        <w:rPr>
          <w:lang w:val="en-GB"/>
        </w:rPr>
        <w:t xml:space="preserve">Sharma and Goel continued to </w:t>
      </w:r>
      <w:r>
        <w:rPr>
          <w:lang w:val="en-GB"/>
        </w:rPr>
        <w:t>stay</w:t>
      </w:r>
      <w:r w:rsidRPr="00592DF1">
        <w:rPr>
          <w:lang w:val="en-GB"/>
        </w:rPr>
        <w:t xml:space="preserve"> in touch. Like Sharma, Goel showed an inclination to</w:t>
      </w:r>
      <w:r w:rsidR="0042148B">
        <w:rPr>
          <w:lang w:val="en-GB"/>
        </w:rPr>
        <w:t>ward</w:t>
      </w:r>
      <w:r w:rsidRPr="00592DF1">
        <w:rPr>
          <w:lang w:val="en-GB"/>
        </w:rPr>
        <w:t xml:space="preserve"> </w:t>
      </w:r>
      <w:r>
        <w:rPr>
          <w:lang w:val="en-GB"/>
        </w:rPr>
        <w:t>launch</w:t>
      </w:r>
      <w:r w:rsidR="0042148B">
        <w:rPr>
          <w:lang w:val="en-GB"/>
        </w:rPr>
        <w:t>ing</w:t>
      </w:r>
      <w:r w:rsidRPr="00592DF1">
        <w:rPr>
          <w:lang w:val="en-GB"/>
        </w:rPr>
        <w:t xml:space="preserve"> his own</w:t>
      </w:r>
      <w:r>
        <w:rPr>
          <w:lang w:val="en-GB"/>
        </w:rPr>
        <w:t xml:space="preserve"> business, and</w:t>
      </w:r>
      <w:r w:rsidRPr="00592DF1">
        <w:rPr>
          <w:lang w:val="en-GB"/>
        </w:rPr>
        <w:t xml:space="preserve"> </w:t>
      </w:r>
      <w:r>
        <w:rPr>
          <w:lang w:val="en-GB"/>
        </w:rPr>
        <w:t xml:space="preserve">he </w:t>
      </w:r>
      <w:r w:rsidRPr="00592DF1">
        <w:rPr>
          <w:lang w:val="en-GB"/>
        </w:rPr>
        <w:t xml:space="preserve">saw great potential in opening </w:t>
      </w:r>
      <w:r w:rsidRPr="0018329D">
        <w:rPr>
          <w:lang w:val="en-GB"/>
        </w:rPr>
        <w:t>eye</w:t>
      </w:r>
      <w:r w:rsidRPr="00592DF1">
        <w:rPr>
          <w:lang w:val="en-GB"/>
        </w:rPr>
        <w:t xml:space="preserve"> care hospitals across the country. Sharma recollected his conversation </w:t>
      </w:r>
      <w:r w:rsidR="007B0559">
        <w:rPr>
          <w:lang w:val="en-GB"/>
        </w:rPr>
        <w:t xml:space="preserve">about this </w:t>
      </w:r>
      <w:r w:rsidRPr="00592DF1">
        <w:rPr>
          <w:lang w:val="en-GB"/>
        </w:rPr>
        <w:t xml:space="preserve">with Goel: </w:t>
      </w:r>
    </w:p>
    <w:p w14:paraId="0E9C96F7" w14:textId="77777777" w:rsidR="00A37C2D" w:rsidRPr="00C11BAE" w:rsidRDefault="00A37C2D" w:rsidP="00C717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rPr>
          <w:rFonts w:ascii="Times New Roman" w:hAnsi="Times New Roman"/>
          <w:sz w:val="20"/>
          <w:szCs w:val="22"/>
          <w:lang w:val="en-GB"/>
        </w:rPr>
      </w:pPr>
    </w:p>
    <w:p w14:paraId="2858423F" w14:textId="77777777" w:rsidR="00A37C2D" w:rsidRPr="00726F29" w:rsidRDefault="00A37C2D" w:rsidP="00A429FC">
      <w:pPr>
        <w:pStyle w:val="BodyTextMain"/>
        <w:ind w:left="720"/>
        <w:rPr>
          <w:spacing w:val="-4"/>
          <w:lang w:val="en-GB"/>
        </w:rPr>
      </w:pPr>
      <w:r w:rsidRPr="00726F29">
        <w:rPr>
          <w:spacing w:val="-4"/>
          <w:lang w:val="en-GB"/>
        </w:rPr>
        <w:t xml:space="preserve">I was planning to start three or four hospitals. I asked him to join me. With his management skills, we could even open 10 hospitals. He knew what was happening in eye care. He saw my practice growing from just </w:t>
      </w:r>
      <w:r w:rsidRPr="007039CC">
        <w:rPr>
          <w:rFonts w:ascii="Arial" w:hAnsi="Arial" w:cs="Arial"/>
          <w:spacing w:val="-4"/>
          <w:sz w:val="20"/>
          <w:szCs w:val="20"/>
        </w:rPr>
        <w:t>₹</w:t>
      </w:r>
      <w:r w:rsidRPr="00726F29">
        <w:rPr>
          <w:spacing w:val="-4"/>
          <w:lang w:val="en-GB"/>
        </w:rPr>
        <w:t xml:space="preserve">100,000 to </w:t>
      </w:r>
      <w:r w:rsidRPr="007039CC">
        <w:rPr>
          <w:rFonts w:ascii="Arial" w:hAnsi="Arial" w:cs="Arial"/>
          <w:spacing w:val="-4"/>
          <w:sz w:val="20"/>
          <w:szCs w:val="20"/>
        </w:rPr>
        <w:t>₹</w:t>
      </w:r>
      <w:r w:rsidRPr="00726F29">
        <w:rPr>
          <w:spacing w:val="-4"/>
          <w:lang w:val="en-GB"/>
        </w:rPr>
        <w:t xml:space="preserve">200,000 to </w:t>
      </w:r>
      <w:r w:rsidRPr="007039CC">
        <w:rPr>
          <w:rFonts w:ascii="Arial" w:hAnsi="Arial" w:cs="Arial"/>
          <w:spacing w:val="-4"/>
          <w:sz w:val="20"/>
          <w:szCs w:val="20"/>
        </w:rPr>
        <w:t>₹</w:t>
      </w:r>
      <w:r w:rsidRPr="00726F29">
        <w:rPr>
          <w:spacing w:val="-4"/>
          <w:lang w:val="en-GB"/>
        </w:rPr>
        <w:t>40 [million] to 50 million a year. He started thinking about it.</w:t>
      </w:r>
    </w:p>
    <w:p w14:paraId="5CF22D6C" w14:textId="77777777" w:rsidR="00A37C2D" w:rsidRPr="00C11BAE" w:rsidRDefault="00A37C2D" w:rsidP="00A429FC">
      <w:pPr>
        <w:pStyle w:val="BodyTextMain"/>
        <w:rPr>
          <w:spacing w:val="-4"/>
          <w:sz w:val="20"/>
          <w:lang w:val="en-GB"/>
        </w:rPr>
      </w:pPr>
    </w:p>
    <w:p w14:paraId="51C56D76" w14:textId="4D8C09E1" w:rsidR="00A37C2D" w:rsidRPr="007039CC" w:rsidRDefault="00A37C2D" w:rsidP="00A429FC">
      <w:pPr>
        <w:pStyle w:val="BodyTextMain"/>
        <w:rPr>
          <w:spacing w:val="-4"/>
          <w:lang w:val="en-GB"/>
        </w:rPr>
      </w:pPr>
      <w:r w:rsidRPr="007039CC">
        <w:rPr>
          <w:spacing w:val="-4"/>
          <w:lang w:val="en-GB"/>
        </w:rPr>
        <w:t>Goel, a graduate</w:t>
      </w:r>
      <w:r w:rsidRPr="007039CC" w:rsidDel="003866F6">
        <w:rPr>
          <w:spacing w:val="-4"/>
          <w:lang w:val="en-GB"/>
        </w:rPr>
        <w:t xml:space="preserve"> </w:t>
      </w:r>
      <w:r w:rsidRPr="007039CC">
        <w:rPr>
          <w:spacing w:val="-4"/>
          <w:lang w:val="en-GB"/>
        </w:rPr>
        <w:t xml:space="preserve">of the Indian Institute of Management, Ahmedabad, recalled his thoughts during that phase: </w:t>
      </w:r>
    </w:p>
    <w:p w14:paraId="1E0530EB" w14:textId="77777777" w:rsidR="00A37C2D" w:rsidRPr="00C11BAE" w:rsidRDefault="00A37C2D" w:rsidP="00A429FC">
      <w:pPr>
        <w:pStyle w:val="BodyTextMain"/>
        <w:rPr>
          <w:sz w:val="20"/>
          <w:lang w:val="en-GB"/>
        </w:rPr>
      </w:pPr>
    </w:p>
    <w:p w14:paraId="4832742C" w14:textId="646D57EE" w:rsidR="00A37C2D" w:rsidRPr="00592DF1" w:rsidRDefault="00A37C2D" w:rsidP="00A429FC">
      <w:pPr>
        <w:pStyle w:val="BodyTextMain"/>
        <w:ind w:left="720"/>
        <w:rPr>
          <w:lang w:val="en-GB"/>
        </w:rPr>
      </w:pPr>
      <w:r w:rsidRPr="00592DF1">
        <w:rPr>
          <w:lang w:val="en-GB"/>
        </w:rPr>
        <w:t xml:space="preserve">After working for </w:t>
      </w:r>
      <w:r w:rsidR="007B0559">
        <w:rPr>
          <w:lang w:val="en-GB"/>
        </w:rPr>
        <w:t>five and a half</w:t>
      </w:r>
      <w:r w:rsidRPr="00592DF1">
        <w:rPr>
          <w:lang w:val="en-GB"/>
        </w:rPr>
        <w:t xml:space="preserve"> years at Godrej Soaps, I had wanted to move to a multinational. Having joined Bausch &amp; Lomb as a part of the sales team in 2000, I moved on to head marketing and then became </w:t>
      </w:r>
      <w:r>
        <w:rPr>
          <w:lang w:val="en-GB"/>
        </w:rPr>
        <w:t xml:space="preserve">a </w:t>
      </w:r>
      <w:r w:rsidRPr="00592DF1">
        <w:rPr>
          <w:lang w:val="en-GB"/>
        </w:rPr>
        <w:t>business manager. I was identified as one of the 25 top managers of Bausch &amp; Lomb. For two years consecutively, the division I was handling received the best country award in Asia</w:t>
      </w:r>
      <w:r>
        <w:rPr>
          <w:lang w:val="en-GB"/>
        </w:rPr>
        <w:t>-</w:t>
      </w:r>
      <w:r w:rsidRPr="00592DF1">
        <w:rPr>
          <w:lang w:val="en-GB"/>
        </w:rPr>
        <w:t>Pacific for Bausch &amp; Lomb. So the idea was</w:t>
      </w:r>
      <w:r w:rsidR="00A52C22">
        <w:rPr>
          <w:lang w:val="en-GB"/>
        </w:rPr>
        <w:t>,</w:t>
      </w:r>
      <w:r w:rsidRPr="00592DF1">
        <w:rPr>
          <w:lang w:val="en-GB"/>
        </w:rPr>
        <w:t xml:space="preserve"> </w:t>
      </w:r>
      <w:r>
        <w:rPr>
          <w:lang w:val="en-GB"/>
        </w:rPr>
        <w:t>“</w:t>
      </w:r>
      <w:r w:rsidR="00A52C22">
        <w:rPr>
          <w:lang w:val="en-GB"/>
        </w:rPr>
        <w:t>w</w:t>
      </w:r>
      <w:r w:rsidRPr="00592DF1">
        <w:rPr>
          <w:lang w:val="en-GB"/>
        </w:rPr>
        <w:t>hat next?</w:t>
      </w:r>
      <w:r>
        <w:rPr>
          <w:lang w:val="en-GB"/>
        </w:rPr>
        <w:t>”</w:t>
      </w:r>
      <w:r w:rsidRPr="00592DF1">
        <w:rPr>
          <w:lang w:val="en-GB"/>
        </w:rPr>
        <w:t xml:space="preserve"> I couldn’t see myself going further in corporate life. Sometimes, I began to question whether all this success had come to me primarily because of </w:t>
      </w:r>
      <w:r>
        <w:rPr>
          <w:lang w:val="en-GB"/>
        </w:rPr>
        <w:t>[my efforts],</w:t>
      </w:r>
      <w:r w:rsidRPr="00592DF1">
        <w:rPr>
          <w:lang w:val="en-GB"/>
        </w:rPr>
        <w:t xml:space="preserve"> or was it just that I got lucky because I was working in a company that had been doing well</w:t>
      </w:r>
      <w:r>
        <w:rPr>
          <w:lang w:val="en-GB"/>
        </w:rPr>
        <w:t>?</w:t>
      </w:r>
      <w:r w:rsidRPr="00592DF1">
        <w:rPr>
          <w:lang w:val="en-GB"/>
        </w:rPr>
        <w:t xml:space="preserve"> It made me want to create something on my own from scratch.</w:t>
      </w:r>
    </w:p>
    <w:p w14:paraId="529F9CCA" w14:textId="77777777" w:rsidR="00A37C2D" w:rsidRPr="00C11BAE" w:rsidRDefault="00A37C2D" w:rsidP="00A429FC">
      <w:pPr>
        <w:pStyle w:val="BodyTextMain"/>
        <w:rPr>
          <w:sz w:val="20"/>
          <w:lang w:val="en-GB"/>
        </w:rPr>
      </w:pPr>
    </w:p>
    <w:p w14:paraId="504EE54C" w14:textId="3032E74B" w:rsidR="00A37C2D" w:rsidRPr="00823405" w:rsidRDefault="00A37C2D" w:rsidP="00D66A21">
      <w:pPr>
        <w:pStyle w:val="BodyTextMain"/>
        <w:rPr>
          <w:spacing w:val="-2"/>
          <w:lang w:val="en-GB"/>
        </w:rPr>
      </w:pPr>
      <w:r w:rsidRPr="00823405">
        <w:rPr>
          <w:spacing w:val="-2"/>
          <w:lang w:val="en-GB"/>
        </w:rPr>
        <w:t xml:space="preserve">After having spent 16 years of his career in large organizations, moving out of corporate life was not easy </w:t>
      </w:r>
      <w:r w:rsidR="00A52C22" w:rsidRPr="00823405">
        <w:rPr>
          <w:spacing w:val="-2"/>
          <w:lang w:val="en-GB"/>
        </w:rPr>
        <w:t>for</w:t>
      </w:r>
      <w:r w:rsidRPr="00823405">
        <w:rPr>
          <w:spacing w:val="-2"/>
          <w:lang w:val="en-GB"/>
        </w:rPr>
        <w:t xml:space="preserve"> Goel</w:t>
      </w:r>
      <w:r w:rsidR="00A52C22" w:rsidRPr="00823405">
        <w:rPr>
          <w:spacing w:val="-2"/>
          <w:lang w:val="en-GB"/>
        </w:rPr>
        <w:t>. He explained</w:t>
      </w:r>
      <w:r w:rsidRPr="00823405">
        <w:rPr>
          <w:spacing w:val="-2"/>
          <w:lang w:val="en-GB"/>
        </w:rPr>
        <w:t xml:space="preserve">, “There were a lot of trappings; you have </w:t>
      </w:r>
      <w:r w:rsidR="00603BA6" w:rsidRPr="00823405">
        <w:rPr>
          <w:spacing w:val="-2"/>
          <w:lang w:val="en-GB"/>
        </w:rPr>
        <w:t>equated monthly installment</w:t>
      </w:r>
      <w:r w:rsidR="00BB343B" w:rsidRPr="00823405">
        <w:rPr>
          <w:spacing w:val="-2"/>
          <w:lang w:val="en-GB"/>
        </w:rPr>
        <w:t xml:space="preserve">s </w:t>
      </w:r>
      <w:r w:rsidRPr="00823405">
        <w:rPr>
          <w:spacing w:val="-2"/>
          <w:lang w:val="en-GB"/>
        </w:rPr>
        <w:t>to pay, you are used to a certain kind of life, and that’s very secure. One has to align the ecosystem of family and friends who are initially very shocked and negative. So it takes a lot of time and courage to actually come out of it.”</w:t>
      </w:r>
    </w:p>
    <w:p w14:paraId="7DBF6E5F" w14:textId="77777777" w:rsidR="00A37C2D" w:rsidRPr="00C11BAE" w:rsidRDefault="00A37C2D" w:rsidP="00BB343B">
      <w:pPr>
        <w:pStyle w:val="BodyTextMain"/>
        <w:rPr>
          <w:sz w:val="20"/>
        </w:rPr>
      </w:pPr>
    </w:p>
    <w:p w14:paraId="33FA2394" w14:textId="56568493" w:rsidR="00A37C2D" w:rsidRPr="00592DF1" w:rsidRDefault="00A37C2D" w:rsidP="00A429FC">
      <w:pPr>
        <w:pStyle w:val="BodyTextMain"/>
        <w:rPr>
          <w:lang w:val="en-GB"/>
        </w:rPr>
      </w:pPr>
      <w:r w:rsidRPr="00592DF1">
        <w:rPr>
          <w:lang w:val="en-GB"/>
        </w:rPr>
        <w:t xml:space="preserve">In 2006, after nine months of deliberation, Goel </w:t>
      </w:r>
      <w:r>
        <w:rPr>
          <w:lang w:val="en-GB"/>
        </w:rPr>
        <w:t>accepted</w:t>
      </w:r>
      <w:r w:rsidRPr="00592DF1">
        <w:rPr>
          <w:lang w:val="en-GB"/>
        </w:rPr>
        <w:t xml:space="preserve"> Sharma’s offer and resigned from his director level job at Bausch &amp; Lomb. With Sharma taking a 51 per cent stake </w:t>
      </w:r>
      <w:r>
        <w:rPr>
          <w:lang w:val="en-GB"/>
        </w:rPr>
        <w:t xml:space="preserve">in the new business </w:t>
      </w:r>
      <w:r w:rsidRPr="00592DF1">
        <w:rPr>
          <w:lang w:val="en-GB"/>
        </w:rPr>
        <w:t>and Goel taking 49 per cent, the</w:t>
      </w:r>
      <w:r>
        <w:rPr>
          <w:lang w:val="en-GB"/>
        </w:rPr>
        <w:t xml:space="preserve"> two men</w:t>
      </w:r>
      <w:r w:rsidRPr="00592DF1">
        <w:rPr>
          <w:lang w:val="en-GB"/>
        </w:rPr>
        <w:t xml:space="preserve"> signed </w:t>
      </w:r>
      <w:r>
        <w:rPr>
          <w:lang w:val="en-GB"/>
        </w:rPr>
        <w:t>an</w:t>
      </w:r>
      <w:r w:rsidRPr="00592DF1">
        <w:rPr>
          <w:lang w:val="en-GB"/>
        </w:rPr>
        <w:t xml:space="preserve"> agreement and co-founded </w:t>
      </w:r>
      <w:r w:rsidRPr="0018329D">
        <w:rPr>
          <w:lang w:val="en-GB"/>
        </w:rPr>
        <w:t>the Eye-Q</w:t>
      </w:r>
      <w:r w:rsidRPr="00592DF1">
        <w:rPr>
          <w:lang w:val="en-GB"/>
        </w:rPr>
        <w:t xml:space="preserve"> hospital chain</w:t>
      </w:r>
      <w:r>
        <w:rPr>
          <w:lang w:val="en-GB"/>
        </w:rPr>
        <w:t>,</w:t>
      </w:r>
      <w:r w:rsidRPr="00592DF1">
        <w:rPr>
          <w:lang w:val="en-GB"/>
        </w:rPr>
        <w:t xml:space="preserve"> with a commitment to providing the best quality </w:t>
      </w:r>
      <w:r w:rsidRPr="0018329D">
        <w:rPr>
          <w:lang w:val="en-GB"/>
        </w:rPr>
        <w:t>eye</w:t>
      </w:r>
      <w:r w:rsidRPr="00592DF1">
        <w:rPr>
          <w:lang w:val="en-GB"/>
        </w:rPr>
        <w:t xml:space="preserve"> care at affordable prices across India.</w:t>
      </w:r>
    </w:p>
    <w:p w14:paraId="1E33C25A" w14:textId="77777777" w:rsidR="00A37C2D" w:rsidRPr="00C11BAE" w:rsidRDefault="00A37C2D" w:rsidP="00A429FC">
      <w:pPr>
        <w:pStyle w:val="BodyTextMain"/>
        <w:rPr>
          <w:sz w:val="20"/>
          <w:lang w:val="en-GB"/>
        </w:rPr>
      </w:pPr>
    </w:p>
    <w:p w14:paraId="42B3CB84" w14:textId="77777777" w:rsidR="00A37C2D" w:rsidRPr="00C11BAE" w:rsidRDefault="00A37C2D" w:rsidP="00A429FC">
      <w:pPr>
        <w:pStyle w:val="BodyTextMain"/>
        <w:rPr>
          <w:sz w:val="20"/>
          <w:lang w:val="en-GB"/>
        </w:rPr>
      </w:pPr>
    </w:p>
    <w:p w14:paraId="0693521C" w14:textId="2CBE3C13" w:rsidR="00A37C2D" w:rsidRPr="00592DF1" w:rsidRDefault="00A37C2D" w:rsidP="00E97F1E">
      <w:pPr>
        <w:pStyle w:val="Casehead2"/>
        <w:rPr>
          <w:lang w:val="en-GB"/>
        </w:rPr>
      </w:pPr>
      <w:r w:rsidRPr="00D32EDB">
        <w:rPr>
          <w:lang w:val="en-GB"/>
        </w:rPr>
        <w:t>Early Growth and Expansion</w:t>
      </w:r>
    </w:p>
    <w:p w14:paraId="5CC1B6C4" w14:textId="77777777" w:rsidR="00A37C2D" w:rsidRPr="00C11BAE" w:rsidRDefault="00A37C2D" w:rsidP="00846DE7">
      <w:pPr>
        <w:pStyle w:val="BodyTextMain"/>
        <w:rPr>
          <w:sz w:val="20"/>
          <w:lang w:val="en-GB"/>
        </w:rPr>
      </w:pPr>
    </w:p>
    <w:p w14:paraId="5F904FD2" w14:textId="071A5740" w:rsidR="00C71764" w:rsidRPr="007039CC" w:rsidRDefault="00A37C2D" w:rsidP="00A429FC">
      <w:pPr>
        <w:pStyle w:val="BodyTextMain"/>
        <w:rPr>
          <w:lang w:val="en-GB"/>
        </w:rPr>
      </w:pPr>
      <w:r w:rsidRPr="007039CC">
        <w:rPr>
          <w:lang w:val="en-GB"/>
        </w:rPr>
        <w:t>Eye</w:t>
      </w:r>
      <w:r w:rsidR="00D9525C" w:rsidRPr="007039CC">
        <w:rPr>
          <w:lang w:val="en-GB"/>
        </w:rPr>
        <w:t>-</w:t>
      </w:r>
      <w:r w:rsidRPr="007039CC">
        <w:rPr>
          <w:lang w:val="en-GB"/>
        </w:rPr>
        <w:t>Q started operations with a centre in Rewari, Haryana. Sharma’s ophthalmic centre at Sheetla Hospital was absorbed into the new company. Together, Sharma and Goel also bought two centres from Bausch &amp; Lomb, one in Haldwani and the other in Ganganagar, and while the Haldwani centre did well and proved to be one of the partners’ most profitable hospitals, the Ganganagar centre was too far for them to manage it effectively. Unable to do justice to the Ganganagar facility, Sharma and Goel suffered a loss and eventually shifted the equipment to Rohtak, where they opened another hospital. Goel’s father-in-law, who was keen on investing in the business, joined them in opening a hospital in Saharanpur. The equity was treated as quasi-equity,</w:t>
      </w:r>
      <w:r w:rsidRPr="007039CC">
        <w:rPr>
          <w:rStyle w:val="FootnoteReference"/>
          <w:lang w:val="en-GB"/>
        </w:rPr>
        <w:footnoteReference w:id="15"/>
      </w:r>
      <w:r w:rsidRPr="007039CC">
        <w:rPr>
          <w:lang w:val="en-GB"/>
        </w:rPr>
        <w:t xml:space="preserve"> </w:t>
      </w:r>
      <w:r w:rsidR="00C71764" w:rsidRPr="007039CC">
        <w:rPr>
          <w:lang w:val="en-GB"/>
        </w:rPr>
        <w:t>and after two years, when it was converted to equity, they invested in two more hospitals. Goel’s uncle in the United States invested in the enterprise</w:t>
      </w:r>
      <w:r w:rsidR="000E3674" w:rsidRPr="007039CC">
        <w:rPr>
          <w:lang w:val="en-GB"/>
        </w:rPr>
        <w:t xml:space="preserve"> as well</w:t>
      </w:r>
      <w:r w:rsidR="00C71764" w:rsidRPr="007039CC">
        <w:rPr>
          <w:lang w:val="en-GB"/>
        </w:rPr>
        <w:t xml:space="preserve">, </w:t>
      </w:r>
      <w:r w:rsidR="007D0DBC" w:rsidRPr="007039CC">
        <w:rPr>
          <w:lang w:val="en-GB"/>
        </w:rPr>
        <w:t>enabling</w:t>
      </w:r>
      <w:r w:rsidR="000E3674" w:rsidRPr="007039CC">
        <w:rPr>
          <w:lang w:val="en-GB"/>
        </w:rPr>
        <w:t xml:space="preserve"> the set</w:t>
      </w:r>
      <w:r w:rsidR="007D0DBC" w:rsidRPr="007039CC">
        <w:rPr>
          <w:lang w:val="en-GB"/>
        </w:rPr>
        <w:t>-</w:t>
      </w:r>
      <w:r w:rsidR="000E3674" w:rsidRPr="007039CC">
        <w:rPr>
          <w:lang w:val="en-GB"/>
        </w:rPr>
        <w:t>up of</w:t>
      </w:r>
      <w:r w:rsidR="00C71764" w:rsidRPr="007039CC">
        <w:rPr>
          <w:lang w:val="en-GB"/>
        </w:rPr>
        <w:t xml:space="preserve"> two more hospitals</w:t>
      </w:r>
      <w:r w:rsidR="000E3674" w:rsidRPr="007039CC">
        <w:rPr>
          <w:lang w:val="en-GB"/>
        </w:rPr>
        <w:t>.</w:t>
      </w:r>
      <w:r w:rsidR="003D2815" w:rsidRPr="007039CC">
        <w:rPr>
          <w:lang w:val="en-GB"/>
        </w:rPr>
        <w:t xml:space="preserve"> </w:t>
      </w:r>
      <w:r w:rsidR="000E3674" w:rsidRPr="007039CC">
        <w:rPr>
          <w:lang w:val="en-GB"/>
        </w:rPr>
        <w:t>With these additional investors on board, the partners</w:t>
      </w:r>
      <w:r w:rsidR="00C71764" w:rsidRPr="007039CC">
        <w:rPr>
          <w:lang w:val="en-GB"/>
        </w:rPr>
        <w:t xml:space="preserve"> </w:t>
      </w:r>
      <w:r w:rsidR="003D2815" w:rsidRPr="007039CC">
        <w:rPr>
          <w:lang w:val="en-GB"/>
        </w:rPr>
        <w:t xml:space="preserve">were able to </w:t>
      </w:r>
      <w:r w:rsidR="00C71764" w:rsidRPr="007039CC">
        <w:rPr>
          <w:lang w:val="en-GB"/>
        </w:rPr>
        <w:t xml:space="preserve">expand from four hospitals to seven. </w:t>
      </w:r>
    </w:p>
    <w:p w14:paraId="653D929D" w14:textId="4CD1B119" w:rsidR="00C71764" w:rsidRPr="00823405" w:rsidRDefault="00C71764" w:rsidP="00A429FC">
      <w:pPr>
        <w:pStyle w:val="BodyTextMain"/>
        <w:rPr>
          <w:spacing w:val="-2"/>
          <w:lang w:val="en-GB"/>
        </w:rPr>
      </w:pPr>
      <w:r w:rsidRPr="00823405">
        <w:rPr>
          <w:spacing w:val="-2"/>
          <w:lang w:val="en-GB"/>
        </w:rPr>
        <w:lastRenderedPageBreak/>
        <w:t xml:space="preserve">In 2010, Song Investment Advisors became </w:t>
      </w:r>
      <w:r w:rsidR="00193C7B" w:rsidRPr="00823405">
        <w:rPr>
          <w:spacing w:val="-2"/>
          <w:lang w:val="en-GB"/>
        </w:rPr>
        <w:t xml:space="preserve">Goel and Sharma’s </w:t>
      </w:r>
      <w:r w:rsidRPr="00823405">
        <w:rPr>
          <w:spacing w:val="-2"/>
          <w:lang w:val="en-GB"/>
        </w:rPr>
        <w:t>first institutional investor, putting US$2 million (</w:t>
      </w:r>
      <w:r w:rsidR="008848E5" w:rsidRPr="00823405">
        <w:rPr>
          <w:rFonts w:ascii="Arial" w:hAnsi="Arial" w:cs="Arial"/>
          <w:spacing w:val="-2"/>
          <w:sz w:val="20"/>
          <w:szCs w:val="20"/>
          <w:lang w:val="en-GB"/>
        </w:rPr>
        <w:t>₹</w:t>
      </w:r>
      <w:r w:rsidRPr="00823405">
        <w:rPr>
          <w:spacing w:val="-2"/>
          <w:lang w:val="en-GB"/>
        </w:rPr>
        <w:t>95 million) in</w:t>
      </w:r>
      <w:r w:rsidR="00193C7B" w:rsidRPr="00823405">
        <w:rPr>
          <w:spacing w:val="-2"/>
          <w:lang w:val="en-GB"/>
        </w:rPr>
        <w:t>to</w:t>
      </w:r>
      <w:r w:rsidRPr="00823405">
        <w:rPr>
          <w:spacing w:val="-2"/>
          <w:lang w:val="en-GB"/>
        </w:rPr>
        <w:t xml:space="preserve"> Eye</w:t>
      </w:r>
      <w:r w:rsidR="00D9525C" w:rsidRPr="00823405">
        <w:rPr>
          <w:spacing w:val="-2"/>
          <w:lang w:val="en-GB"/>
        </w:rPr>
        <w:t>-</w:t>
      </w:r>
      <w:r w:rsidRPr="00823405">
        <w:rPr>
          <w:spacing w:val="-2"/>
          <w:lang w:val="en-GB"/>
        </w:rPr>
        <w:t xml:space="preserve">Q. At that time, the company was valued </w:t>
      </w:r>
      <w:r w:rsidR="00193C7B" w:rsidRPr="00823405">
        <w:rPr>
          <w:spacing w:val="-2"/>
          <w:lang w:val="en-GB"/>
        </w:rPr>
        <w:t xml:space="preserve">between </w:t>
      </w:r>
      <w:r w:rsidR="008848E5" w:rsidRPr="00823405">
        <w:rPr>
          <w:rFonts w:ascii="Arial" w:hAnsi="Arial" w:cs="Arial"/>
          <w:spacing w:val="-2"/>
          <w:sz w:val="20"/>
          <w:szCs w:val="20"/>
          <w:lang w:val="en-GB"/>
        </w:rPr>
        <w:t>₹</w:t>
      </w:r>
      <w:r w:rsidRPr="00823405">
        <w:rPr>
          <w:spacing w:val="-2"/>
          <w:lang w:val="en-GB"/>
        </w:rPr>
        <w:t>250</w:t>
      </w:r>
      <w:r w:rsidR="00193C7B" w:rsidRPr="00823405">
        <w:rPr>
          <w:spacing w:val="-2"/>
          <w:lang w:val="en-GB"/>
        </w:rPr>
        <w:t xml:space="preserve"> million to </w:t>
      </w:r>
      <w:r w:rsidR="00193C7B" w:rsidRPr="00823405">
        <w:rPr>
          <w:rFonts w:ascii="Arial" w:hAnsi="Arial" w:cs="Arial"/>
          <w:spacing w:val="-2"/>
          <w:sz w:val="20"/>
          <w:szCs w:val="20"/>
          <w:lang w:val="en-GB"/>
        </w:rPr>
        <w:t>₹</w:t>
      </w:r>
      <w:r w:rsidRPr="00823405">
        <w:rPr>
          <w:spacing w:val="-2"/>
          <w:lang w:val="en-GB"/>
        </w:rPr>
        <w:t xml:space="preserve">300 million. </w:t>
      </w:r>
      <w:r w:rsidR="00193C7B" w:rsidRPr="00823405">
        <w:rPr>
          <w:spacing w:val="-2"/>
          <w:lang w:val="en-GB"/>
        </w:rPr>
        <w:t xml:space="preserve">A year later, </w:t>
      </w:r>
      <w:r w:rsidRPr="00823405">
        <w:rPr>
          <w:spacing w:val="-2"/>
          <w:lang w:val="en-GB"/>
        </w:rPr>
        <w:t xml:space="preserve">Helion Venture Partners and Nexus Venture Partners subsequently invested </w:t>
      </w:r>
      <w:r w:rsidR="008848E5" w:rsidRPr="00823405">
        <w:rPr>
          <w:rFonts w:ascii="Arial" w:hAnsi="Arial" w:cs="Arial"/>
          <w:spacing w:val="-2"/>
          <w:sz w:val="20"/>
          <w:szCs w:val="20"/>
          <w:lang w:val="en-GB"/>
        </w:rPr>
        <w:t>₹</w:t>
      </w:r>
      <w:r w:rsidRPr="00823405">
        <w:rPr>
          <w:spacing w:val="-2"/>
          <w:lang w:val="en-GB"/>
        </w:rPr>
        <w:t>450 million in Eye</w:t>
      </w:r>
      <w:r w:rsidR="00D9525C" w:rsidRPr="00823405">
        <w:rPr>
          <w:spacing w:val="-2"/>
          <w:lang w:val="en-GB"/>
        </w:rPr>
        <w:t>-</w:t>
      </w:r>
      <w:r w:rsidRPr="00823405">
        <w:rPr>
          <w:spacing w:val="-2"/>
          <w:lang w:val="en-GB"/>
        </w:rPr>
        <w:t xml:space="preserve">Q in 2011, followed by another </w:t>
      </w:r>
      <w:r w:rsidR="008848E5" w:rsidRPr="00823405">
        <w:rPr>
          <w:rFonts w:ascii="Arial" w:hAnsi="Arial" w:cs="Arial"/>
          <w:spacing w:val="-2"/>
          <w:sz w:val="20"/>
          <w:szCs w:val="20"/>
          <w:lang w:val="en-GB"/>
        </w:rPr>
        <w:t>₹</w:t>
      </w:r>
      <w:r w:rsidRPr="00823405">
        <w:rPr>
          <w:spacing w:val="-2"/>
          <w:lang w:val="en-GB"/>
        </w:rPr>
        <w:t>250 million in 2013. By then, the valuation of Eye</w:t>
      </w:r>
      <w:r w:rsidR="00D9525C" w:rsidRPr="00823405">
        <w:rPr>
          <w:spacing w:val="-2"/>
          <w:lang w:val="en-GB"/>
        </w:rPr>
        <w:t>-</w:t>
      </w:r>
      <w:r w:rsidRPr="00823405">
        <w:rPr>
          <w:spacing w:val="-2"/>
          <w:lang w:val="en-GB"/>
        </w:rPr>
        <w:t xml:space="preserve">Q had increased to </w:t>
      </w:r>
      <w:r w:rsidR="008848E5" w:rsidRPr="00823405">
        <w:rPr>
          <w:rFonts w:ascii="Arial" w:hAnsi="Arial" w:cs="Arial"/>
          <w:spacing w:val="-2"/>
          <w:sz w:val="20"/>
          <w:szCs w:val="20"/>
          <w:lang w:val="en-GB"/>
        </w:rPr>
        <w:t>₹</w:t>
      </w:r>
      <w:r w:rsidRPr="00823405">
        <w:rPr>
          <w:spacing w:val="-2"/>
          <w:lang w:val="en-GB"/>
        </w:rPr>
        <w:t>2.1 billion. From 2010 to 2013, Eye</w:t>
      </w:r>
      <w:r w:rsidR="00D9525C" w:rsidRPr="00823405">
        <w:rPr>
          <w:spacing w:val="-2"/>
          <w:lang w:val="en-GB"/>
        </w:rPr>
        <w:t>-</w:t>
      </w:r>
      <w:r w:rsidRPr="00823405">
        <w:rPr>
          <w:spacing w:val="-2"/>
          <w:lang w:val="en-GB"/>
        </w:rPr>
        <w:t xml:space="preserve">Q’s business expanded from </w:t>
      </w:r>
      <w:r w:rsidR="008848E5" w:rsidRPr="00823405">
        <w:rPr>
          <w:rFonts w:ascii="Arial" w:hAnsi="Arial" w:cs="Arial"/>
          <w:spacing w:val="-2"/>
          <w:sz w:val="20"/>
          <w:szCs w:val="20"/>
        </w:rPr>
        <w:t>₹</w:t>
      </w:r>
      <w:r w:rsidRPr="00823405">
        <w:rPr>
          <w:spacing w:val="-2"/>
          <w:lang w:val="en-GB"/>
        </w:rPr>
        <w:t xml:space="preserve">90 million to </w:t>
      </w:r>
      <w:r w:rsidR="008848E5" w:rsidRPr="00823405">
        <w:rPr>
          <w:rFonts w:ascii="Arial" w:hAnsi="Arial" w:cs="Arial"/>
          <w:spacing w:val="-2"/>
          <w:sz w:val="20"/>
          <w:szCs w:val="20"/>
        </w:rPr>
        <w:t>₹</w:t>
      </w:r>
      <w:r w:rsidRPr="00823405">
        <w:rPr>
          <w:spacing w:val="-2"/>
          <w:lang w:val="en-GB"/>
        </w:rPr>
        <w:t>670 million</w:t>
      </w:r>
      <w:r w:rsidR="00193C7B" w:rsidRPr="00823405">
        <w:rPr>
          <w:spacing w:val="-2"/>
          <w:lang w:val="en-GB"/>
        </w:rPr>
        <w:t>,</w:t>
      </w:r>
      <w:r w:rsidRPr="00823405">
        <w:rPr>
          <w:spacing w:val="-2"/>
          <w:lang w:val="en-GB"/>
        </w:rPr>
        <w:t xml:space="preserve"> and it was able to spread its operations to 30 centres across small towns and cities in </w:t>
      </w:r>
      <w:r w:rsidR="007D0DBC" w:rsidRPr="00823405">
        <w:rPr>
          <w:spacing w:val="-2"/>
          <w:lang w:val="en-GB"/>
        </w:rPr>
        <w:t xml:space="preserve">the states of </w:t>
      </w:r>
      <w:r w:rsidRPr="00823405">
        <w:rPr>
          <w:spacing w:val="-2"/>
          <w:lang w:val="en-GB"/>
        </w:rPr>
        <w:t>Haryana, Uttar Pradesh, Uttarakhand</w:t>
      </w:r>
      <w:r w:rsidR="00193C7B" w:rsidRPr="00823405">
        <w:rPr>
          <w:spacing w:val="-2"/>
          <w:lang w:val="en-GB"/>
        </w:rPr>
        <w:t>,</w:t>
      </w:r>
      <w:r w:rsidRPr="00823405">
        <w:rPr>
          <w:spacing w:val="-2"/>
          <w:lang w:val="en-GB"/>
        </w:rPr>
        <w:t xml:space="preserve"> and Gujarat </w:t>
      </w:r>
      <w:r w:rsidR="00555577" w:rsidRPr="00823405">
        <w:rPr>
          <w:spacing w:val="-2"/>
          <w:lang w:val="en-GB"/>
        </w:rPr>
        <w:t>(</w:t>
      </w:r>
      <w:r w:rsidR="00193C7B" w:rsidRPr="00823405">
        <w:rPr>
          <w:spacing w:val="-2"/>
          <w:lang w:val="en-GB"/>
        </w:rPr>
        <w:t>s</w:t>
      </w:r>
      <w:r w:rsidR="00555577" w:rsidRPr="00823405">
        <w:rPr>
          <w:spacing w:val="-2"/>
          <w:lang w:val="en-GB"/>
        </w:rPr>
        <w:t>ee Exhibit</w:t>
      </w:r>
      <w:r w:rsidR="00193C7B" w:rsidRPr="00823405">
        <w:rPr>
          <w:spacing w:val="-2"/>
          <w:lang w:val="en-GB"/>
        </w:rPr>
        <w:t>s</w:t>
      </w:r>
      <w:r w:rsidR="00555577" w:rsidRPr="00823405">
        <w:rPr>
          <w:spacing w:val="-2"/>
          <w:lang w:val="en-GB"/>
        </w:rPr>
        <w:t xml:space="preserve"> 3A and 3B)</w:t>
      </w:r>
      <w:r w:rsidR="00193C7B" w:rsidRPr="00823405">
        <w:rPr>
          <w:spacing w:val="-2"/>
          <w:lang w:val="en-GB"/>
        </w:rPr>
        <w:t>.</w:t>
      </w:r>
    </w:p>
    <w:p w14:paraId="062E8A0C" w14:textId="77777777" w:rsidR="00C71764" w:rsidRPr="00823405" w:rsidRDefault="00C71764" w:rsidP="00A429FC">
      <w:pPr>
        <w:pStyle w:val="BodyTextMain"/>
        <w:rPr>
          <w:spacing w:val="-2"/>
          <w:sz w:val="20"/>
          <w:lang w:val="en-GB"/>
        </w:rPr>
      </w:pPr>
    </w:p>
    <w:p w14:paraId="4272AF3F" w14:textId="77777777" w:rsidR="00D66A21" w:rsidRPr="00C11BAE" w:rsidRDefault="00D66A21" w:rsidP="00A429FC">
      <w:pPr>
        <w:pStyle w:val="BodyTextMain"/>
        <w:rPr>
          <w:sz w:val="20"/>
          <w:lang w:val="en-GB"/>
        </w:rPr>
      </w:pPr>
    </w:p>
    <w:p w14:paraId="44B9E944" w14:textId="77777777" w:rsidR="00C71764" w:rsidRPr="00592DF1" w:rsidRDefault="00C71764" w:rsidP="00311FC3">
      <w:pPr>
        <w:pStyle w:val="Casehead1"/>
        <w:rPr>
          <w:lang w:val="en-GB"/>
        </w:rPr>
      </w:pPr>
      <w:r w:rsidRPr="0018329D">
        <w:rPr>
          <w:lang w:val="en-GB"/>
        </w:rPr>
        <w:t>THE EYE-</w:t>
      </w:r>
      <w:r w:rsidRPr="00592DF1">
        <w:rPr>
          <w:lang w:val="en-GB"/>
        </w:rPr>
        <w:t xml:space="preserve">Q MODEL </w:t>
      </w:r>
    </w:p>
    <w:p w14:paraId="2B36A654" w14:textId="77777777" w:rsidR="00C71764" w:rsidRPr="00C11BAE" w:rsidRDefault="00C71764" w:rsidP="00311FC3">
      <w:pPr>
        <w:pStyle w:val="BodyTextMain"/>
        <w:rPr>
          <w:sz w:val="20"/>
          <w:lang w:val="en-GB"/>
        </w:rPr>
      </w:pPr>
    </w:p>
    <w:p w14:paraId="6A97A913" w14:textId="309F9CD0" w:rsidR="00C71764" w:rsidRPr="007039CC" w:rsidRDefault="005534DC" w:rsidP="00311FC3">
      <w:pPr>
        <w:pStyle w:val="BodyTextMain"/>
        <w:rPr>
          <w:spacing w:val="-4"/>
          <w:lang w:val="en-GB"/>
        </w:rPr>
      </w:pPr>
      <w:r w:rsidRPr="007039CC">
        <w:rPr>
          <w:spacing w:val="-4"/>
          <w:lang w:val="en-GB"/>
        </w:rPr>
        <w:t>Alt</w:t>
      </w:r>
      <w:r w:rsidR="00C71764" w:rsidRPr="007039CC">
        <w:rPr>
          <w:spacing w:val="-4"/>
          <w:lang w:val="en-GB"/>
        </w:rPr>
        <w:t>hough several eye care organizations operat</w:t>
      </w:r>
      <w:r w:rsidR="007D0DBC" w:rsidRPr="007039CC">
        <w:rPr>
          <w:spacing w:val="-4"/>
          <w:lang w:val="en-GB"/>
        </w:rPr>
        <w:t>ed</w:t>
      </w:r>
      <w:r w:rsidR="00C71764" w:rsidRPr="007039CC">
        <w:rPr>
          <w:spacing w:val="-4"/>
          <w:lang w:val="en-GB"/>
        </w:rPr>
        <w:t xml:space="preserve"> across India, Eye</w:t>
      </w:r>
      <w:r w:rsidR="00D9525C" w:rsidRPr="007039CC">
        <w:rPr>
          <w:spacing w:val="-4"/>
          <w:lang w:val="en-GB"/>
        </w:rPr>
        <w:t>-</w:t>
      </w:r>
      <w:r w:rsidR="00C71764" w:rsidRPr="007039CC">
        <w:rPr>
          <w:spacing w:val="-4"/>
          <w:lang w:val="en-GB"/>
        </w:rPr>
        <w:t xml:space="preserve">Q </w:t>
      </w:r>
      <w:r w:rsidRPr="007039CC">
        <w:rPr>
          <w:spacing w:val="-4"/>
          <w:lang w:val="en-GB"/>
        </w:rPr>
        <w:t xml:space="preserve">managed to set itself </w:t>
      </w:r>
      <w:r w:rsidR="00C71764" w:rsidRPr="007039CC">
        <w:rPr>
          <w:spacing w:val="-4"/>
          <w:lang w:val="en-GB"/>
        </w:rPr>
        <w:t xml:space="preserve">apart </w:t>
      </w:r>
      <w:r w:rsidRPr="007039CC">
        <w:rPr>
          <w:spacing w:val="-4"/>
          <w:lang w:val="en-GB"/>
        </w:rPr>
        <w:t xml:space="preserve">by </w:t>
      </w:r>
      <w:r w:rsidR="00C71764" w:rsidRPr="007039CC">
        <w:rPr>
          <w:spacing w:val="-4"/>
          <w:lang w:val="en-GB"/>
        </w:rPr>
        <w:t>cho</w:t>
      </w:r>
      <w:r w:rsidRPr="007039CC">
        <w:rPr>
          <w:spacing w:val="-4"/>
          <w:lang w:val="en-GB"/>
        </w:rPr>
        <w:t>o</w:t>
      </w:r>
      <w:r w:rsidR="00C71764" w:rsidRPr="007039CC">
        <w:rPr>
          <w:spacing w:val="-4"/>
          <w:lang w:val="en-GB"/>
        </w:rPr>
        <w:t>s</w:t>
      </w:r>
      <w:r w:rsidRPr="007039CC">
        <w:rPr>
          <w:spacing w:val="-4"/>
          <w:lang w:val="en-GB"/>
        </w:rPr>
        <w:t>ing</w:t>
      </w:r>
      <w:r w:rsidR="00C71764" w:rsidRPr="007039CC">
        <w:rPr>
          <w:spacing w:val="-4"/>
          <w:lang w:val="en-GB"/>
        </w:rPr>
        <w:t xml:space="preserve"> to operate in Tier </w:t>
      </w:r>
      <w:r w:rsidRPr="007039CC">
        <w:rPr>
          <w:spacing w:val="-4"/>
          <w:lang w:val="en-GB"/>
        </w:rPr>
        <w:t>2</w:t>
      </w:r>
      <w:r w:rsidR="00C71764" w:rsidRPr="007039CC">
        <w:rPr>
          <w:spacing w:val="-4"/>
          <w:lang w:val="en-GB"/>
        </w:rPr>
        <w:t xml:space="preserve"> and Tier </w:t>
      </w:r>
      <w:r w:rsidRPr="007039CC">
        <w:rPr>
          <w:spacing w:val="-4"/>
          <w:lang w:val="en-GB"/>
        </w:rPr>
        <w:t>3</w:t>
      </w:r>
      <w:r w:rsidR="00C71764" w:rsidRPr="007039CC">
        <w:rPr>
          <w:spacing w:val="-4"/>
          <w:lang w:val="en-GB"/>
        </w:rPr>
        <w:t xml:space="preserve"> cities. Prakash Vasudevan, </w:t>
      </w:r>
      <w:r w:rsidRPr="007039CC">
        <w:rPr>
          <w:spacing w:val="-4"/>
          <w:lang w:val="en-GB"/>
        </w:rPr>
        <w:t>d</w:t>
      </w:r>
      <w:r w:rsidR="00C71764" w:rsidRPr="007039CC">
        <w:rPr>
          <w:spacing w:val="-4"/>
          <w:lang w:val="en-GB"/>
        </w:rPr>
        <w:t xml:space="preserve">irector </w:t>
      </w:r>
      <w:r w:rsidRPr="007039CC">
        <w:rPr>
          <w:spacing w:val="-4"/>
          <w:lang w:val="en-GB"/>
        </w:rPr>
        <w:t>of s</w:t>
      </w:r>
      <w:r w:rsidR="00C71764" w:rsidRPr="007039CC">
        <w:rPr>
          <w:spacing w:val="-4"/>
          <w:lang w:val="en-GB"/>
        </w:rPr>
        <w:t xml:space="preserve">trategic </w:t>
      </w:r>
      <w:r w:rsidRPr="007039CC">
        <w:rPr>
          <w:spacing w:val="-4"/>
          <w:lang w:val="en-GB"/>
        </w:rPr>
        <w:t>a</w:t>
      </w:r>
      <w:r w:rsidR="00C71764" w:rsidRPr="007039CC">
        <w:rPr>
          <w:spacing w:val="-4"/>
          <w:lang w:val="en-GB"/>
        </w:rPr>
        <w:t>lliances at Eye</w:t>
      </w:r>
      <w:r w:rsidR="00D9525C" w:rsidRPr="007039CC">
        <w:rPr>
          <w:spacing w:val="-4"/>
          <w:lang w:val="en-GB"/>
        </w:rPr>
        <w:t>-</w:t>
      </w:r>
      <w:r w:rsidR="00C71764" w:rsidRPr="007039CC">
        <w:rPr>
          <w:spacing w:val="-4"/>
          <w:lang w:val="en-GB"/>
        </w:rPr>
        <w:t>Q, explained:</w:t>
      </w:r>
    </w:p>
    <w:p w14:paraId="573E1F75" w14:textId="77777777" w:rsidR="00C71764" w:rsidRPr="00C11BAE" w:rsidRDefault="00C71764" w:rsidP="00311FC3">
      <w:pPr>
        <w:pStyle w:val="BodyTextMain"/>
        <w:rPr>
          <w:sz w:val="20"/>
          <w:lang w:val="en-GB"/>
        </w:rPr>
      </w:pPr>
    </w:p>
    <w:p w14:paraId="0549B861" w14:textId="7B993C37" w:rsidR="00C71764" w:rsidRPr="00592DF1" w:rsidRDefault="005534DC" w:rsidP="00311FC3">
      <w:pPr>
        <w:pStyle w:val="BodyTextMain"/>
        <w:ind w:left="720"/>
        <w:rPr>
          <w:lang w:val="en-GB"/>
        </w:rPr>
      </w:pPr>
      <w:r>
        <w:rPr>
          <w:lang w:val="en-GB"/>
        </w:rPr>
        <w:t>Alt</w:t>
      </w:r>
      <w:r w:rsidR="00C71764" w:rsidRPr="00592DF1">
        <w:rPr>
          <w:lang w:val="en-GB"/>
        </w:rPr>
        <w:t xml:space="preserve">hough we might be slightly more expensive than a local doctor, we bring in the latest technology so the patient does not have to actually travel all the way to, say, Delhi or Mumbai. This </w:t>
      </w:r>
      <w:r w:rsidR="0003236F">
        <w:rPr>
          <w:lang w:val="en-GB"/>
        </w:rPr>
        <w:t xml:space="preserve">[factor] </w:t>
      </w:r>
      <w:r w:rsidR="00C71764" w:rsidRPr="00592DF1">
        <w:rPr>
          <w:lang w:val="en-GB"/>
        </w:rPr>
        <w:t xml:space="preserve">significantly reduces the burden in terms of cost and convenience. </w:t>
      </w:r>
    </w:p>
    <w:p w14:paraId="783311CA" w14:textId="77777777" w:rsidR="00C71764" w:rsidRPr="00C11BAE" w:rsidRDefault="00C71764" w:rsidP="00311FC3">
      <w:pPr>
        <w:pStyle w:val="BodyTextMain"/>
        <w:rPr>
          <w:sz w:val="20"/>
          <w:lang w:val="en-GB"/>
        </w:rPr>
      </w:pPr>
    </w:p>
    <w:p w14:paraId="5A3E6732" w14:textId="675330BF" w:rsidR="00C71764" w:rsidRPr="00592DF1" w:rsidRDefault="00C71764" w:rsidP="00311FC3">
      <w:pPr>
        <w:pStyle w:val="BodyTextMain"/>
        <w:rPr>
          <w:lang w:val="en-GB"/>
        </w:rPr>
      </w:pPr>
      <w:r w:rsidRPr="00592DF1">
        <w:rPr>
          <w:lang w:val="en-GB"/>
        </w:rPr>
        <w:t>When deciding on whether to enter a particular town</w:t>
      </w:r>
      <w:r w:rsidR="005534DC">
        <w:rPr>
          <w:lang w:val="en-GB"/>
        </w:rPr>
        <w:t>,</w:t>
      </w:r>
      <w:r w:rsidRPr="00592DF1">
        <w:rPr>
          <w:lang w:val="en-GB"/>
        </w:rPr>
        <w:t xml:space="preserve"> </w:t>
      </w:r>
      <w:r w:rsidRPr="0018329D">
        <w:rPr>
          <w:lang w:val="en-GB"/>
        </w:rPr>
        <w:t>Eye</w:t>
      </w:r>
      <w:r w:rsidR="00D9525C">
        <w:rPr>
          <w:lang w:val="en-GB"/>
        </w:rPr>
        <w:t>-</w:t>
      </w:r>
      <w:r w:rsidRPr="0018329D">
        <w:rPr>
          <w:lang w:val="en-GB"/>
        </w:rPr>
        <w:t>Q</w:t>
      </w:r>
      <w:r w:rsidRPr="00592DF1">
        <w:rPr>
          <w:lang w:val="en-GB"/>
        </w:rPr>
        <w:t xml:space="preserve"> first assess</w:t>
      </w:r>
      <w:r w:rsidR="007D0DBC">
        <w:rPr>
          <w:lang w:val="en-GB"/>
        </w:rPr>
        <w:t>ed</w:t>
      </w:r>
      <w:r w:rsidRPr="00592DF1">
        <w:rPr>
          <w:lang w:val="en-GB"/>
        </w:rPr>
        <w:t xml:space="preserve"> the total market in that town</w:t>
      </w:r>
      <w:r w:rsidR="001A43C3">
        <w:rPr>
          <w:lang w:val="en-GB"/>
        </w:rPr>
        <w:t xml:space="preserve"> in terms of volumes and sustainability</w:t>
      </w:r>
      <w:r w:rsidRPr="00592DF1">
        <w:rPr>
          <w:lang w:val="en-GB"/>
        </w:rPr>
        <w:t xml:space="preserve">. Another </w:t>
      </w:r>
      <w:r w:rsidR="0003236F">
        <w:rPr>
          <w:lang w:val="en-GB"/>
        </w:rPr>
        <w:t xml:space="preserve">decision-making </w:t>
      </w:r>
      <w:r w:rsidRPr="00592DF1">
        <w:rPr>
          <w:lang w:val="en-GB"/>
        </w:rPr>
        <w:t xml:space="preserve">factor </w:t>
      </w:r>
      <w:r w:rsidR="005534DC">
        <w:rPr>
          <w:lang w:val="en-GB"/>
        </w:rPr>
        <w:t>involved</w:t>
      </w:r>
      <w:r w:rsidRPr="00592DF1">
        <w:rPr>
          <w:lang w:val="en-GB"/>
        </w:rPr>
        <w:t xml:space="preserve"> check</w:t>
      </w:r>
      <w:r w:rsidR="005534DC">
        <w:rPr>
          <w:lang w:val="en-GB"/>
        </w:rPr>
        <w:t>ing to see whether</w:t>
      </w:r>
      <w:r w:rsidRPr="00592DF1">
        <w:rPr>
          <w:lang w:val="en-GB"/>
        </w:rPr>
        <w:t xml:space="preserve"> any large or established hospitals </w:t>
      </w:r>
      <w:r w:rsidR="005534DC">
        <w:rPr>
          <w:lang w:val="en-GB"/>
        </w:rPr>
        <w:t xml:space="preserve">were </w:t>
      </w:r>
      <w:r w:rsidRPr="00592DF1">
        <w:rPr>
          <w:lang w:val="en-GB"/>
        </w:rPr>
        <w:t xml:space="preserve">already operating in the town. As Sharma explained, this </w:t>
      </w:r>
      <w:r w:rsidR="005534DC">
        <w:rPr>
          <w:lang w:val="en-GB"/>
        </w:rPr>
        <w:t xml:space="preserve">assessment </w:t>
      </w:r>
      <w:r w:rsidRPr="00592DF1">
        <w:rPr>
          <w:lang w:val="en-GB"/>
        </w:rPr>
        <w:t xml:space="preserve">was important for two reasons: </w:t>
      </w:r>
    </w:p>
    <w:p w14:paraId="2709C9E6" w14:textId="77777777" w:rsidR="00C71764" w:rsidRPr="00C11BAE" w:rsidRDefault="00C71764" w:rsidP="00311FC3">
      <w:pPr>
        <w:pStyle w:val="BodyTextMain"/>
        <w:rPr>
          <w:sz w:val="20"/>
          <w:lang w:val="en-GB"/>
        </w:rPr>
      </w:pPr>
    </w:p>
    <w:p w14:paraId="3D934323" w14:textId="02DCCE7A" w:rsidR="00C71764" w:rsidRPr="00592DF1" w:rsidRDefault="00C71764" w:rsidP="00311FC3">
      <w:pPr>
        <w:pStyle w:val="BodyTextMain"/>
        <w:ind w:left="720"/>
        <w:rPr>
          <w:lang w:val="en-GB"/>
        </w:rPr>
      </w:pPr>
      <w:r w:rsidRPr="00592DF1">
        <w:rPr>
          <w:lang w:val="en-GB"/>
        </w:rPr>
        <w:t xml:space="preserve">One </w:t>
      </w:r>
      <w:r w:rsidR="008A33FC">
        <w:rPr>
          <w:lang w:val="en-GB"/>
        </w:rPr>
        <w:t xml:space="preserve">[reason] </w:t>
      </w:r>
      <w:r w:rsidRPr="00592DF1">
        <w:rPr>
          <w:lang w:val="en-GB"/>
        </w:rPr>
        <w:t xml:space="preserve">was from a slightly ideological perspective. Even though the market was underserved, if there was someone already providing reasonably good services, then it was not a priority for us to get in. The other </w:t>
      </w:r>
      <w:r w:rsidR="008A33FC">
        <w:rPr>
          <w:lang w:val="en-GB"/>
        </w:rPr>
        <w:t xml:space="preserve">[reason] </w:t>
      </w:r>
      <w:r w:rsidRPr="00592DF1">
        <w:rPr>
          <w:lang w:val="en-GB"/>
        </w:rPr>
        <w:t>was from the practical aspect of being able to establish a centre. The health</w:t>
      </w:r>
      <w:r w:rsidR="007D0DBC">
        <w:rPr>
          <w:lang w:val="en-GB"/>
        </w:rPr>
        <w:t xml:space="preserve"> </w:t>
      </w:r>
      <w:r w:rsidRPr="00592DF1">
        <w:rPr>
          <w:lang w:val="en-GB"/>
        </w:rPr>
        <w:t xml:space="preserve">care business essentially works on trust, and it takes time to build trust. </w:t>
      </w:r>
      <w:r w:rsidR="0003236F">
        <w:rPr>
          <w:lang w:val="en-GB"/>
        </w:rPr>
        <w:t>I</w:t>
      </w:r>
      <w:r w:rsidRPr="00592DF1">
        <w:rPr>
          <w:lang w:val="en-GB"/>
        </w:rPr>
        <w:t>f you have a strongly established competitor who has built a high level of trust among people in that market, then the ability of a new player to come in and establish that trust</w:t>
      </w:r>
      <w:r w:rsidR="008A33FC">
        <w:rPr>
          <w:lang w:val="en-GB"/>
        </w:rPr>
        <w:t>,</w:t>
      </w:r>
      <w:r w:rsidRPr="00592DF1">
        <w:rPr>
          <w:lang w:val="en-GB"/>
        </w:rPr>
        <w:t xml:space="preserve"> and the kind of investment that it takes to establish that trust</w:t>
      </w:r>
      <w:r w:rsidR="008A33FC">
        <w:rPr>
          <w:lang w:val="en-GB"/>
        </w:rPr>
        <w:t>,</w:t>
      </w:r>
      <w:r w:rsidRPr="00592DF1">
        <w:rPr>
          <w:lang w:val="en-GB"/>
        </w:rPr>
        <w:t xml:space="preserve"> is much greater. </w:t>
      </w:r>
    </w:p>
    <w:p w14:paraId="55837399" w14:textId="77777777" w:rsidR="00C71764" w:rsidRPr="00C11BAE" w:rsidRDefault="00C71764" w:rsidP="00C71764">
      <w:pPr>
        <w:jc w:val="both"/>
        <w:rPr>
          <w:sz w:val="18"/>
          <w:lang w:val="en-GB"/>
        </w:rPr>
      </w:pPr>
    </w:p>
    <w:p w14:paraId="2EF6A547" w14:textId="319E7AA8" w:rsidR="001221E4" w:rsidRDefault="00C71764" w:rsidP="001A6EAE">
      <w:pPr>
        <w:pStyle w:val="BodyTextMain"/>
        <w:rPr>
          <w:lang w:val="en-GB"/>
        </w:rPr>
      </w:pPr>
      <w:r w:rsidRPr="0018329D">
        <w:rPr>
          <w:lang w:val="en-GB"/>
        </w:rPr>
        <w:t>While it was important for the chosen location to be well connected, Eye</w:t>
      </w:r>
      <w:r w:rsidR="00D9525C">
        <w:rPr>
          <w:lang w:val="en-GB"/>
        </w:rPr>
        <w:t>-</w:t>
      </w:r>
      <w:r w:rsidRPr="0018329D">
        <w:rPr>
          <w:lang w:val="en-GB"/>
        </w:rPr>
        <w:t>Q</w:t>
      </w:r>
      <w:r w:rsidRPr="00592DF1">
        <w:rPr>
          <w:lang w:val="en-GB"/>
        </w:rPr>
        <w:t xml:space="preserve"> also took into account the quality of life for doctors and their families once they settled there. “If you look at our centres, nearly 60 per cent of them were brownfield projects while the remaining </w:t>
      </w:r>
      <w:r w:rsidR="00312055">
        <w:rPr>
          <w:lang w:val="en-GB"/>
        </w:rPr>
        <w:t xml:space="preserve">[ones] </w:t>
      </w:r>
      <w:r w:rsidRPr="00592DF1">
        <w:rPr>
          <w:lang w:val="en-GB"/>
        </w:rPr>
        <w:t>were greenfield,”</w:t>
      </w:r>
      <w:r w:rsidR="004445CB" w:rsidRPr="00A37C2D">
        <w:rPr>
          <w:b/>
          <w:vertAlign w:val="superscript"/>
          <w:lang w:val="en-GB"/>
        </w:rPr>
        <w:t xml:space="preserve"> </w:t>
      </w:r>
      <w:r w:rsidRPr="00592DF1">
        <w:rPr>
          <w:lang w:val="en-GB"/>
        </w:rPr>
        <w:t xml:space="preserve">said Vasudevan about the </w:t>
      </w:r>
      <w:r w:rsidR="00CB153A">
        <w:rPr>
          <w:lang w:val="en-GB"/>
        </w:rPr>
        <w:t xml:space="preserve">company’s </w:t>
      </w:r>
      <w:r w:rsidRPr="00592DF1">
        <w:rPr>
          <w:lang w:val="en-GB"/>
        </w:rPr>
        <w:t xml:space="preserve">growth strategy. </w:t>
      </w:r>
    </w:p>
    <w:p w14:paraId="472F4F76" w14:textId="77777777" w:rsidR="001221E4" w:rsidRPr="00C11BAE" w:rsidRDefault="001221E4" w:rsidP="001A6EAE">
      <w:pPr>
        <w:pStyle w:val="BodyTextMain"/>
        <w:rPr>
          <w:sz w:val="20"/>
          <w:lang w:val="en-GB"/>
        </w:rPr>
      </w:pPr>
    </w:p>
    <w:p w14:paraId="7D084452" w14:textId="093115E2" w:rsidR="00C71764" w:rsidRPr="00592DF1" w:rsidRDefault="00C71764" w:rsidP="001A6EAE">
      <w:pPr>
        <w:pStyle w:val="BodyTextMain"/>
        <w:rPr>
          <w:rStyle w:val="Emphasis"/>
          <w:rFonts w:eastAsia="ヒラギノ角ゴ Pro W3"/>
          <w:i w:val="0"/>
          <w:color w:val="000000"/>
          <w:sz w:val="24"/>
          <w:szCs w:val="20"/>
          <w:shd w:val="clear" w:color="auto" w:fill="FFFFFF"/>
          <w:lang w:val="en-GB"/>
        </w:rPr>
      </w:pPr>
      <w:r w:rsidRPr="00592DF1">
        <w:rPr>
          <w:lang w:val="en-GB"/>
        </w:rPr>
        <w:t xml:space="preserve">Brownfield projects referred to those </w:t>
      </w:r>
      <w:r w:rsidRPr="0018329D">
        <w:rPr>
          <w:lang w:val="en-GB"/>
        </w:rPr>
        <w:t>where Eye</w:t>
      </w:r>
      <w:r w:rsidR="00D9525C">
        <w:rPr>
          <w:lang w:val="en-GB"/>
        </w:rPr>
        <w:t>-</w:t>
      </w:r>
      <w:r w:rsidRPr="0018329D">
        <w:rPr>
          <w:lang w:val="en-GB"/>
        </w:rPr>
        <w:t>Q</w:t>
      </w:r>
      <w:r w:rsidRPr="00592DF1">
        <w:rPr>
          <w:lang w:val="en-GB"/>
        </w:rPr>
        <w:t xml:space="preserve"> acquired an existing practice</w:t>
      </w:r>
      <w:r w:rsidR="00CB153A">
        <w:rPr>
          <w:lang w:val="en-GB"/>
        </w:rPr>
        <w:t xml:space="preserve"> on a previously developed site</w:t>
      </w:r>
      <w:r w:rsidRPr="00592DF1">
        <w:rPr>
          <w:lang w:val="en-GB"/>
        </w:rPr>
        <w:t xml:space="preserve">, while greenfield projects were those where </w:t>
      </w:r>
      <w:r w:rsidRPr="0018329D">
        <w:rPr>
          <w:lang w:val="en-GB"/>
        </w:rPr>
        <w:t>Eye</w:t>
      </w:r>
      <w:r w:rsidR="00D9525C">
        <w:rPr>
          <w:lang w:val="en-GB"/>
        </w:rPr>
        <w:t>-</w:t>
      </w:r>
      <w:r w:rsidRPr="0018329D">
        <w:rPr>
          <w:lang w:val="en-GB"/>
        </w:rPr>
        <w:t>Q</w:t>
      </w:r>
      <w:r w:rsidRPr="00592DF1">
        <w:rPr>
          <w:lang w:val="en-GB"/>
        </w:rPr>
        <w:t xml:space="preserve"> opened a </w:t>
      </w:r>
      <w:r w:rsidR="00CB153A">
        <w:rPr>
          <w:lang w:val="en-GB"/>
        </w:rPr>
        <w:t xml:space="preserve">new </w:t>
      </w:r>
      <w:r w:rsidRPr="00592DF1">
        <w:rPr>
          <w:lang w:val="en-GB"/>
        </w:rPr>
        <w:t xml:space="preserve">centre </w:t>
      </w:r>
      <w:r w:rsidR="00CB153A">
        <w:rPr>
          <w:lang w:val="en-GB"/>
        </w:rPr>
        <w:t xml:space="preserve">on an undeveloped site </w:t>
      </w:r>
      <w:r w:rsidRPr="00592DF1">
        <w:rPr>
          <w:lang w:val="en-GB"/>
        </w:rPr>
        <w:t>and recruited a doctor to run it.</w:t>
      </w:r>
      <w:r w:rsidR="002060AC">
        <w:rPr>
          <w:lang w:val="en-GB"/>
        </w:rPr>
        <w:t xml:space="preserve"> </w:t>
      </w:r>
      <w:r w:rsidRPr="00592DF1">
        <w:rPr>
          <w:lang w:val="en-GB"/>
        </w:rPr>
        <w:t>Both routes had their own challenges. Setting up a greenfield</w:t>
      </w:r>
      <w:r w:rsidR="00CB153A">
        <w:rPr>
          <w:lang w:val="en-GB"/>
        </w:rPr>
        <w:t xml:space="preserve"> location</w:t>
      </w:r>
      <w:r w:rsidRPr="00592DF1">
        <w:rPr>
          <w:lang w:val="en-GB"/>
        </w:rPr>
        <w:t xml:space="preserve">, </w:t>
      </w:r>
      <w:r w:rsidR="00CB153A">
        <w:rPr>
          <w:lang w:val="en-GB"/>
        </w:rPr>
        <w:t>al</w:t>
      </w:r>
      <w:r w:rsidRPr="00592DF1">
        <w:rPr>
          <w:lang w:val="en-GB"/>
        </w:rPr>
        <w:t xml:space="preserve">though easier, </w:t>
      </w:r>
      <w:r w:rsidR="00CB153A">
        <w:rPr>
          <w:lang w:val="en-GB"/>
        </w:rPr>
        <w:t>came with</w:t>
      </w:r>
      <w:r w:rsidRPr="00592DF1">
        <w:rPr>
          <w:lang w:val="en-GB"/>
        </w:rPr>
        <w:t xml:space="preserve"> the challenge of </w:t>
      </w:r>
      <w:r w:rsidR="001221E4">
        <w:rPr>
          <w:lang w:val="en-GB"/>
        </w:rPr>
        <w:t>hiring</w:t>
      </w:r>
      <w:r w:rsidR="001221E4" w:rsidRPr="00592DF1">
        <w:rPr>
          <w:lang w:val="en-GB"/>
        </w:rPr>
        <w:t xml:space="preserve"> </w:t>
      </w:r>
      <w:r w:rsidRPr="00592DF1">
        <w:rPr>
          <w:lang w:val="en-GB"/>
        </w:rPr>
        <w:t>the right doctor. On the other hand, in a brownfield</w:t>
      </w:r>
      <w:r w:rsidR="001221E4">
        <w:rPr>
          <w:lang w:val="en-GB"/>
        </w:rPr>
        <w:t xml:space="preserve"> location</w:t>
      </w:r>
      <w:r w:rsidRPr="00592DF1">
        <w:rPr>
          <w:lang w:val="en-GB"/>
        </w:rPr>
        <w:t>, a local doctor</w:t>
      </w:r>
      <w:r w:rsidR="002060AC">
        <w:rPr>
          <w:lang w:val="en-GB"/>
        </w:rPr>
        <w:t xml:space="preserve"> would already be</w:t>
      </w:r>
      <w:r w:rsidRPr="00592DF1">
        <w:rPr>
          <w:lang w:val="en-GB"/>
        </w:rPr>
        <w:t xml:space="preserve"> in place</w:t>
      </w:r>
      <w:r w:rsidR="009769A8">
        <w:rPr>
          <w:lang w:val="en-GB"/>
        </w:rPr>
        <w:t xml:space="preserve"> </w:t>
      </w:r>
      <w:r w:rsidR="00CB153A">
        <w:rPr>
          <w:lang w:val="en-GB"/>
        </w:rPr>
        <w:t xml:space="preserve">and </w:t>
      </w:r>
      <w:r w:rsidR="009769A8" w:rsidRPr="00592DF1">
        <w:rPr>
          <w:lang w:val="en-GB"/>
        </w:rPr>
        <w:t>accustomed</w:t>
      </w:r>
      <w:r w:rsidRPr="00592DF1">
        <w:rPr>
          <w:lang w:val="en-GB"/>
        </w:rPr>
        <w:t xml:space="preserve"> to working independently for many years</w:t>
      </w:r>
      <w:r w:rsidR="002060AC">
        <w:rPr>
          <w:lang w:val="en-GB"/>
        </w:rPr>
        <w:t xml:space="preserve">. </w:t>
      </w:r>
      <w:r w:rsidR="00CB153A">
        <w:rPr>
          <w:lang w:val="en-GB"/>
        </w:rPr>
        <w:t>In that case, t</w:t>
      </w:r>
      <w:r w:rsidR="002060AC">
        <w:rPr>
          <w:lang w:val="en-GB"/>
        </w:rPr>
        <w:t xml:space="preserve">he challenge </w:t>
      </w:r>
      <w:r w:rsidR="00CB153A">
        <w:rPr>
          <w:lang w:val="en-GB"/>
        </w:rPr>
        <w:t>lay</w:t>
      </w:r>
      <w:r w:rsidR="002060AC">
        <w:rPr>
          <w:lang w:val="en-GB"/>
        </w:rPr>
        <w:t xml:space="preserve"> in i</w:t>
      </w:r>
      <w:r w:rsidRPr="00592DF1">
        <w:rPr>
          <w:lang w:val="en-GB"/>
        </w:rPr>
        <w:t xml:space="preserve">ntegrating </w:t>
      </w:r>
      <w:r w:rsidR="002060AC">
        <w:rPr>
          <w:lang w:val="en-GB"/>
        </w:rPr>
        <w:t>the local doctor</w:t>
      </w:r>
      <w:r w:rsidR="002060AC" w:rsidRPr="00592DF1">
        <w:rPr>
          <w:lang w:val="en-GB"/>
        </w:rPr>
        <w:t xml:space="preserve"> </w:t>
      </w:r>
      <w:r w:rsidRPr="00592DF1">
        <w:rPr>
          <w:lang w:val="en-GB"/>
        </w:rPr>
        <w:t xml:space="preserve">into </w:t>
      </w:r>
      <w:r w:rsidR="002060AC" w:rsidRPr="0018329D">
        <w:rPr>
          <w:lang w:val="en-GB"/>
        </w:rPr>
        <w:t>the Eye</w:t>
      </w:r>
      <w:r w:rsidR="00D9525C">
        <w:rPr>
          <w:lang w:val="en-GB"/>
        </w:rPr>
        <w:t>-</w:t>
      </w:r>
      <w:r w:rsidR="002060AC" w:rsidRPr="0018329D">
        <w:rPr>
          <w:lang w:val="en-GB"/>
        </w:rPr>
        <w:t>Q</w:t>
      </w:r>
      <w:r w:rsidR="002060AC">
        <w:rPr>
          <w:lang w:val="en-GB"/>
        </w:rPr>
        <w:t xml:space="preserve"> </w:t>
      </w:r>
      <w:r w:rsidRPr="00592DF1">
        <w:rPr>
          <w:lang w:val="en-GB"/>
        </w:rPr>
        <w:t>way of thinking</w:t>
      </w:r>
      <w:r w:rsidR="00CB153A">
        <w:rPr>
          <w:lang w:val="en-GB"/>
        </w:rPr>
        <w:t xml:space="preserve">, as well as </w:t>
      </w:r>
      <w:r w:rsidRPr="00592DF1">
        <w:rPr>
          <w:lang w:val="en-GB"/>
        </w:rPr>
        <w:t>setting up new systems and processes.</w:t>
      </w:r>
    </w:p>
    <w:p w14:paraId="4131F18E" w14:textId="77777777" w:rsidR="00C71764" w:rsidRPr="00592DF1" w:rsidRDefault="00C71764" w:rsidP="00C71764">
      <w:pPr>
        <w:jc w:val="both"/>
        <w:rPr>
          <w:lang w:val="en-GB"/>
        </w:rPr>
      </w:pPr>
    </w:p>
    <w:p w14:paraId="340CA07D" w14:textId="71CE1867" w:rsidR="00C71764" w:rsidRPr="007039CC" w:rsidRDefault="00CB153A" w:rsidP="00311FC3">
      <w:pPr>
        <w:pStyle w:val="BodyTextMain"/>
        <w:rPr>
          <w:spacing w:val="-2"/>
          <w:lang w:val="en-GB"/>
        </w:rPr>
      </w:pPr>
      <w:r w:rsidRPr="007039CC">
        <w:rPr>
          <w:spacing w:val="-2"/>
          <w:lang w:val="en-GB"/>
        </w:rPr>
        <w:t xml:space="preserve">In the process of expanding its </w:t>
      </w:r>
      <w:r w:rsidR="00C71764" w:rsidRPr="007039CC">
        <w:rPr>
          <w:spacing w:val="-2"/>
          <w:lang w:val="en-GB"/>
        </w:rPr>
        <w:t xml:space="preserve">footprint, </w:t>
      </w:r>
      <w:r w:rsidR="002060AC" w:rsidRPr="007039CC">
        <w:rPr>
          <w:spacing w:val="-2"/>
          <w:lang w:val="en-GB"/>
        </w:rPr>
        <w:t>Eye</w:t>
      </w:r>
      <w:r w:rsidR="00D9525C" w:rsidRPr="007039CC">
        <w:rPr>
          <w:spacing w:val="-2"/>
          <w:lang w:val="en-GB"/>
        </w:rPr>
        <w:t>-</w:t>
      </w:r>
      <w:r w:rsidR="002060AC" w:rsidRPr="007039CC">
        <w:rPr>
          <w:spacing w:val="-2"/>
          <w:lang w:val="en-GB"/>
        </w:rPr>
        <w:t xml:space="preserve">Q went on to </w:t>
      </w:r>
      <w:r w:rsidR="00C71764" w:rsidRPr="007039CC">
        <w:rPr>
          <w:spacing w:val="-2"/>
          <w:lang w:val="en-GB"/>
        </w:rPr>
        <w:t xml:space="preserve">form collaborations with </w:t>
      </w:r>
      <w:r w:rsidR="001221E4" w:rsidRPr="007039CC">
        <w:rPr>
          <w:spacing w:val="-2"/>
          <w:lang w:val="en-GB"/>
        </w:rPr>
        <w:t xml:space="preserve">these </w:t>
      </w:r>
      <w:r w:rsidR="00C71764" w:rsidRPr="007039CC">
        <w:rPr>
          <w:spacing w:val="-2"/>
          <w:lang w:val="en-GB"/>
        </w:rPr>
        <w:t>local doctors. Instead of operating like franchisees, these collaborators became associates of Eye</w:t>
      </w:r>
      <w:r w:rsidR="00D9525C" w:rsidRPr="007039CC">
        <w:rPr>
          <w:spacing w:val="-2"/>
          <w:lang w:val="en-GB"/>
        </w:rPr>
        <w:t>-</w:t>
      </w:r>
      <w:r w:rsidR="00C71764" w:rsidRPr="007039CC">
        <w:rPr>
          <w:spacing w:val="-2"/>
          <w:lang w:val="en-GB"/>
        </w:rPr>
        <w:t>Q</w:t>
      </w:r>
      <w:r w:rsidR="002060AC" w:rsidRPr="007039CC">
        <w:rPr>
          <w:spacing w:val="-2"/>
          <w:lang w:val="en-GB"/>
        </w:rPr>
        <w:t>. W</w:t>
      </w:r>
      <w:r w:rsidR="00C71764" w:rsidRPr="007039CC">
        <w:rPr>
          <w:spacing w:val="-2"/>
          <w:lang w:val="en-GB"/>
        </w:rPr>
        <w:t>hile retaining all the</w:t>
      </w:r>
      <w:r w:rsidR="001221E4" w:rsidRPr="007039CC">
        <w:rPr>
          <w:spacing w:val="-2"/>
          <w:lang w:val="en-GB"/>
        </w:rPr>
        <w:t xml:space="preserve"> doctors’</w:t>
      </w:r>
      <w:r w:rsidR="00C71764" w:rsidRPr="007039CC">
        <w:rPr>
          <w:spacing w:val="-2"/>
          <w:lang w:val="en-GB"/>
        </w:rPr>
        <w:t xml:space="preserve"> existing good practices, Eye</w:t>
      </w:r>
      <w:r w:rsidR="00D9525C" w:rsidRPr="007039CC">
        <w:rPr>
          <w:spacing w:val="-2"/>
          <w:lang w:val="en-GB"/>
        </w:rPr>
        <w:t>-</w:t>
      </w:r>
      <w:r w:rsidR="00C71764" w:rsidRPr="007039CC">
        <w:rPr>
          <w:spacing w:val="-2"/>
          <w:lang w:val="en-GB"/>
        </w:rPr>
        <w:t>Q introduced them to complete automation, the newest technology</w:t>
      </w:r>
      <w:r w:rsidRPr="007039CC">
        <w:rPr>
          <w:spacing w:val="-2"/>
          <w:lang w:val="en-GB"/>
        </w:rPr>
        <w:t>,</w:t>
      </w:r>
      <w:r w:rsidR="00C71764" w:rsidRPr="007039CC">
        <w:rPr>
          <w:spacing w:val="-2"/>
          <w:lang w:val="en-GB"/>
        </w:rPr>
        <w:t xml:space="preserve"> and a management matrix system. At these centres, Eye</w:t>
      </w:r>
      <w:r w:rsidR="00D9525C" w:rsidRPr="007039CC">
        <w:rPr>
          <w:spacing w:val="-2"/>
          <w:lang w:val="en-GB"/>
        </w:rPr>
        <w:t>-</w:t>
      </w:r>
      <w:r w:rsidR="00C71764" w:rsidRPr="007039CC">
        <w:rPr>
          <w:spacing w:val="-2"/>
          <w:lang w:val="en-GB"/>
        </w:rPr>
        <w:t>Q also took over administrative tasks</w:t>
      </w:r>
      <w:r w:rsidRPr="007039CC">
        <w:rPr>
          <w:spacing w:val="-2"/>
          <w:lang w:val="en-GB"/>
        </w:rPr>
        <w:t>,</w:t>
      </w:r>
      <w:r w:rsidR="00C71764" w:rsidRPr="007039CC">
        <w:rPr>
          <w:spacing w:val="-2"/>
          <w:lang w:val="en-GB"/>
        </w:rPr>
        <w:t xml:space="preserve"> such as </w:t>
      </w:r>
      <w:r w:rsidRPr="007039CC">
        <w:rPr>
          <w:spacing w:val="-2"/>
          <w:lang w:val="en-GB"/>
        </w:rPr>
        <w:t xml:space="preserve">hiring of </w:t>
      </w:r>
      <w:r w:rsidR="00C71764" w:rsidRPr="007039CC">
        <w:rPr>
          <w:spacing w:val="-2"/>
          <w:lang w:val="en-GB"/>
        </w:rPr>
        <w:t>staff</w:t>
      </w:r>
      <w:r w:rsidRPr="007039CC">
        <w:rPr>
          <w:spacing w:val="-2"/>
          <w:lang w:val="en-GB"/>
        </w:rPr>
        <w:t>,</w:t>
      </w:r>
      <w:r w:rsidR="00C71764" w:rsidRPr="007039CC">
        <w:rPr>
          <w:spacing w:val="-2"/>
          <w:lang w:val="en-GB"/>
        </w:rPr>
        <w:t xml:space="preserve"> training</w:t>
      </w:r>
      <w:r w:rsidR="001221E4" w:rsidRPr="007039CC">
        <w:rPr>
          <w:spacing w:val="-2"/>
          <w:lang w:val="en-GB"/>
        </w:rPr>
        <w:t>,</w:t>
      </w:r>
      <w:r w:rsidR="00C71764" w:rsidRPr="007039CC">
        <w:rPr>
          <w:spacing w:val="-2"/>
          <w:lang w:val="en-GB"/>
        </w:rPr>
        <w:t xml:space="preserve"> and career progression, </w:t>
      </w:r>
      <w:r w:rsidRPr="007039CC">
        <w:rPr>
          <w:spacing w:val="-2"/>
          <w:lang w:val="en-GB"/>
        </w:rPr>
        <w:t xml:space="preserve">all of which </w:t>
      </w:r>
      <w:r w:rsidR="00C71764" w:rsidRPr="007039CC">
        <w:rPr>
          <w:spacing w:val="-2"/>
          <w:lang w:val="en-GB"/>
        </w:rPr>
        <w:t>allow</w:t>
      </w:r>
      <w:r w:rsidRPr="007039CC">
        <w:rPr>
          <w:spacing w:val="-2"/>
          <w:lang w:val="en-GB"/>
        </w:rPr>
        <w:t>ed</w:t>
      </w:r>
      <w:r w:rsidR="00C71764" w:rsidRPr="007039CC">
        <w:rPr>
          <w:spacing w:val="-2"/>
          <w:lang w:val="en-GB"/>
        </w:rPr>
        <w:t xml:space="preserve"> the doctors to focus on clinical activities. </w:t>
      </w:r>
      <w:r w:rsidRPr="007039CC">
        <w:rPr>
          <w:spacing w:val="-2"/>
          <w:lang w:val="en-GB"/>
        </w:rPr>
        <w:t xml:space="preserve">Further, </w:t>
      </w:r>
      <w:r w:rsidR="00C71764" w:rsidRPr="007039CC">
        <w:rPr>
          <w:spacing w:val="-2"/>
          <w:lang w:val="en-GB"/>
        </w:rPr>
        <w:t>Eye</w:t>
      </w:r>
      <w:r w:rsidR="00D9525C" w:rsidRPr="007039CC">
        <w:rPr>
          <w:spacing w:val="-2"/>
          <w:lang w:val="en-GB"/>
        </w:rPr>
        <w:t>-</w:t>
      </w:r>
      <w:r w:rsidR="00C71764" w:rsidRPr="007039CC">
        <w:rPr>
          <w:spacing w:val="-2"/>
          <w:lang w:val="en-GB"/>
        </w:rPr>
        <w:t>Q established a patient management system to evaluate patient outcomes and satisfaction</w:t>
      </w:r>
      <w:r w:rsidRPr="007039CC">
        <w:rPr>
          <w:spacing w:val="-2"/>
          <w:lang w:val="en-GB"/>
        </w:rPr>
        <w:t xml:space="preserve"> rates</w:t>
      </w:r>
      <w:r w:rsidR="00C71764" w:rsidRPr="007039CC">
        <w:rPr>
          <w:spacing w:val="-2"/>
          <w:lang w:val="en-GB"/>
        </w:rPr>
        <w:t xml:space="preserve">. </w:t>
      </w:r>
    </w:p>
    <w:p w14:paraId="35BA09CB" w14:textId="0A8B1830" w:rsidR="00C71764" w:rsidRPr="007039CC" w:rsidRDefault="00C71764" w:rsidP="00311FC3">
      <w:pPr>
        <w:pStyle w:val="BodyTextMain"/>
        <w:rPr>
          <w:spacing w:val="-2"/>
          <w:lang w:val="en-GB"/>
        </w:rPr>
      </w:pPr>
      <w:r w:rsidRPr="007039CC">
        <w:rPr>
          <w:spacing w:val="-2"/>
          <w:lang w:val="en-GB"/>
        </w:rPr>
        <w:lastRenderedPageBreak/>
        <w:t xml:space="preserve">Over time, </w:t>
      </w:r>
      <w:r w:rsidR="00CB153A" w:rsidRPr="007039CC">
        <w:rPr>
          <w:rStyle w:val="Emphasis"/>
          <w:i w:val="0"/>
          <w:iCs w:val="0"/>
          <w:spacing w:val="-2"/>
        </w:rPr>
        <w:t>Goel and Sharma</w:t>
      </w:r>
      <w:r w:rsidRPr="007039CC">
        <w:rPr>
          <w:spacing w:val="-2"/>
          <w:lang w:val="en-GB"/>
        </w:rPr>
        <w:t xml:space="preserve"> created a chain of hospitals around the main </w:t>
      </w:r>
      <w:r w:rsidR="00CB153A" w:rsidRPr="007039CC">
        <w:rPr>
          <w:spacing w:val="-2"/>
          <w:lang w:val="en-GB"/>
        </w:rPr>
        <w:t>medical</w:t>
      </w:r>
      <w:r w:rsidRPr="007039CC">
        <w:rPr>
          <w:spacing w:val="-2"/>
          <w:lang w:val="en-GB"/>
        </w:rPr>
        <w:t xml:space="preserve"> partner </w:t>
      </w:r>
      <w:r w:rsidR="00CB153A" w:rsidRPr="007039CC">
        <w:rPr>
          <w:spacing w:val="-2"/>
          <w:lang w:val="en-GB"/>
        </w:rPr>
        <w:t xml:space="preserve">in a given locale, </w:t>
      </w:r>
      <w:r w:rsidRPr="007039CC">
        <w:rPr>
          <w:spacing w:val="-2"/>
          <w:lang w:val="en-GB"/>
        </w:rPr>
        <w:t xml:space="preserve">similar to a hub and spoke or cluster model. Each cluster incurred an investment of about </w:t>
      </w:r>
      <w:r w:rsidR="004D48DB" w:rsidRPr="007039CC">
        <w:rPr>
          <w:rFonts w:ascii="Arial" w:hAnsi="Arial" w:cs="Arial"/>
          <w:spacing w:val="-2"/>
          <w:sz w:val="20"/>
          <w:szCs w:val="20"/>
        </w:rPr>
        <w:t>₹</w:t>
      </w:r>
      <w:r w:rsidRPr="007039CC">
        <w:rPr>
          <w:spacing w:val="-2"/>
          <w:lang w:val="en-GB"/>
        </w:rPr>
        <w:t>120 million</w:t>
      </w:r>
      <w:r w:rsidR="00CB153A" w:rsidRPr="007039CC">
        <w:rPr>
          <w:spacing w:val="-2"/>
          <w:lang w:val="en-GB"/>
        </w:rPr>
        <w:t>,</w:t>
      </w:r>
      <w:r w:rsidRPr="007039CC">
        <w:rPr>
          <w:spacing w:val="-2"/>
          <w:lang w:val="en-GB"/>
        </w:rPr>
        <w:t xml:space="preserve"> with an average outlay of </w:t>
      </w:r>
      <w:r w:rsidR="004D48DB" w:rsidRPr="007039CC">
        <w:rPr>
          <w:rFonts w:ascii="Arial" w:hAnsi="Arial" w:cs="Arial"/>
          <w:spacing w:val="-2"/>
          <w:sz w:val="20"/>
          <w:szCs w:val="20"/>
        </w:rPr>
        <w:t>₹</w:t>
      </w:r>
      <w:r w:rsidRPr="007039CC">
        <w:rPr>
          <w:spacing w:val="-2"/>
          <w:lang w:val="en-GB"/>
        </w:rPr>
        <w:t xml:space="preserve">25 million per centre. </w:t>
      </w:r>
      <w:r w:rsidRPr="007039CC">
        <w:rPr>
          <w:rStyle w:val="Emphasis"/>
          <w:i w:val="0"/>
          <w:color w:val="000000"/>
          <w:spacing w:val="-2"/>
          <w:shd w:val="clear" w:color="auto" w:fill="FFFFFF"/>
          <w:lang w:val="en-GB"/>
        </w:rPr>
        <w:t>On average, each</w:t>
      </w:r>
      <w:r w:rsidRPr="007039CC">
        <w:rPr>
          <w:rStyle w:val="Emphasis"/>
          <w:color w:val="000000"/>
          <w:spacing w:val="-2"/>
          <w:shd w:val="clear" w:color="auto" w:fill="FFFFFF"/>
          <w:lang w:val="en-GB"/>
        </w:rPr>
        <w:t xml:space="preserve"> </w:t>
      </w:r>
      <w:r w:rsidRPr="007039CC">
        <w:rPr>
          <w:spacing w:val="-2"/>
          <w:lang w:val="en-GB"/>
        </w:rPr>
        <w:t xml:space="preserve">centre took about </w:t>
      </w:r>
      <w:r w:rsidR="00CB153A" w:rsidRPr="007039CC">
        <w:rPr>
          <w:spacing w:val="-2"/>
          <w:lang w:val="en-GB"/>
        </w:rPr>
        <w:t>1.5</w:t>
      </w:r>
      <w:r w:rsidRPr="007039CC">
        <w:rPr>
          <w:spacing w:val="-2"/>
          <w:lang w:val="en-GB"/>
        </w:rPr>
        <w:t xml:space="preserve"> years to break even. While the spoke provided most of the basic eye care services and performed routine cataract operations, more sophisticated or specialized procedures</w:t>
      </w:r>
      <w:r w:rsidR="003123D9" w:rsidRPr="007039CC">
        <w:rPr>
          <w:spacing w:val="-2"/>
          <w:lang w:val="en-GB"/>
        </w:rPr>
        <w:t>,</w:t>
      </w:r>
      <w:r w:rsidRPr="007039CC">
        <w:rPr>
          <w:spacing w:val="-2"/>
          <w:lang w:val="en-GB"/>
        </w:rPr>
        <w:t xml:space="preserve"> such as </w:t>
      </w:r>
      <w:r w:rsidR="003F0398" w:rsidRPr="007039CC">
        <w:rPr>
          <w:spacing w:val="-2"/>
          <w:lang w:val="en-GB"/>
        </w:rPr>
        <w:t xml:space="preserve">LASIK </w:t>
      </w:r>
      <w:r w:rsidRPr="007039CC">
        <w:rPr>
          <w:spacing w:val="-2"/>
          <w:lang w:val="en-GB"/>
        </w:rPr>
        <w:t>or retina surgeries</w:t>
      </w:r>
      <w:r w:rsidR="003123D9" w:rsidRPr="007039CC">
        <w:rPr>
          <w:spacing w:val="-2"/>
          <w:lang w:val="en-GB"/>
        </w:rPr>
        <w:t>,</w:t>
      </w:r>
      <w:r w:rsidRPr="007039CC">
        <w:rPr>
          <w:spacing w:val="-2"/>
          <w:lang w:val="en-GB"/>
        </w:rPr>
        <w:t xml:space="preserve"> were available only at the hub</w:t>
      </w:r>
      <w:r w:rsidR="003123D9" w:rsidRPr="007039CC">
        <w:rPr>
          <w:spacing w:val="-2"/>
          <w:lang w:val="en-GB"/>
        </w:rPr>
        <w:t>.</w:t>
      </w:r>
      <w:r w:rsidRPr="007039CC">
        <w:rPr>
          <w:spacing w:val="-2"/>
          <w:lang w:val="en-GB"/>
        </w:rPr>
        <w:t xml:space="preserve"> Two of Eye</w:t>
      </w:r>
      <w:r w:rsidR="00D9525C" w:rsidRPr="007039CC">
        <w:rPr>
          <w:spacing w:val="-2"/>
          <w:lang w:val="en-GB"/>
        </w:rPr>
        <w:t>-</w:t>
      </w:r>
      <w:r w:rsidRPr="007039CC">
        <w:rPr>
          <w:spacing w:val="-2"/>
          <w:lang w:val="en-GB"/>
        </w:rPr>
        <w:t>Q’s biggest collaborations were in Lucknow and Surat</w:t>
      </w:r>
      <w:r w:rsidR="003123D9" w:rsidRPr="007039CC">
        <w:rPr>
          <w:spacing w:val="-2"/>
          <w:lang w:val="en-GB"/>
        </w:rPr>
        <w:t>, where the company</w:t>
      </w:r>
      <w:r w:rsidRPr="007039CC">
        <w:rPr>
          <w:spacing w:val="-2"/>
          <w:lang w:val="en-GB"/>
        </w:rPr>
        <w:t xml:space="preserve"> was able to establish five hospitals as part of the Lucknow cluster and two in Surat from the practices it had acquired</w:t>
      </w:r>
      <w:r w:rsidR="003123D9" w:rsidRPr="007039CC">
        <w:rPr>
          <w:spacing w:val="-2"/>
          <w:lang w:val="en-GB"/>
        </w:rPr>
        <w:t xml:space="preserve"> there</w:t>
      </w:r>
      <w:r w:rsidRPr="007039CC">
        <w:rPr>
          <w:spacing w:val="-2"/>
          <w:lang w:val="en-GB"/>
        </w:rPr>
        <w:t xml:space="preserve">. </w:t>
      </w:r>
    </w:p>
    <w:p w14:paraId="3D168604" w14:textId="77777777" w:rsidR="00C71764" w:rsidRPr="00C11BAE" w:rsidRDefault="00C71764" w:rsidP="00311FC3">
      <w:pPr>
        <w:pStyle w:val="BodyTextMain"/>
        <w:rPr>
          <w:sz w:val="20"/>
          <w:lang w:val="en-GB"/>
        </w:rPr>
      </w:pPr>
    </w:p>
    <w:p w14:paraId="2420160E" w14:textId="77777777" w:rsidR="00D66A21" w:rsidRPr="00C11BAE" w:rsidRDefault="00D66A21" w:rsidP="00311FC3">
      <w:pPr>
        <w:pStyle w:val="BodyTextMain"/>
        <w:rPr>
          <w:sz w:val="20"/>
          <w:lang w:val="en-GB"/>
        </w:rPr>
      </w:pPr>
    </w:p>
    <w:p w14:paraId="7DFADF50" w14:textId="02EA5B7C" w:rsidR="00C71764" w:rsidRPr="00592DF1" w:rsidRDefault="00C71764" w:rsidP="00311FC3">
      <w:pPr>
        <w:pStyle w:val="Casehead2"/>
        <w:rPr>
          <w:lang w:val="en-GB"/>
        </w:rPr>
      </w:pPr>
      <w:r w:rsidRPr="00592DF1">
        <w:rPr>
          <w:lang w:val="en-GB"/>
        </w:rPr>
        <w:t>Staff</w:t>
      </w:r>
    </w:p>
    <w:p w14:paraId="1C56042A" w14:textId="77777777" w:rsidR="00C71764" w:rsidRPr="00C11BAE" w:rsidRDefault="00C71764" w:rsidP="00311FC3">
      <w:pPr>
        <w:pStyle w:val="BodyTextMain"/>
        <w:rPr>
          <w:sz w:val="20"/>
          <w:lang w:val="en-GB"/>
        </w:rPr>
      </w:pPr>
    </w:p>
    <w:p w14:paraId="2AEA7BBA" w14:textId="005AF404" w:rsidR="00DC158C" w:rsidRDefault="00C71764" w:rsidP="00311FC3">
      <w:pPr>
        <w:pStyle w:val="BodyTextMain"/>
        <w:rPr>
          <w:lang w:val="en-GB"/>
        </w:rPr>
      </w:pPr>
      <w:r w:rsidRPr="00592DF1">
        <w:rPr>
          <w:lang w:val="en-GB"/>
        </w:rPr>
        <w:t xml:space="preserve">Subhash Bansiwal, head of human resources (HR), </w:t>
      </w:r>
      <w:r w:rsidR="00C8508F">
        <w:rPr>
          <w:lang w:val="en-GB"/>
        </w:rPr>
        <w:t xml:space="preserve">had </w:t>
      </w:r>
      <w:r w:rsidRPr="0018329D">
        <w:rPr>
          <w:lang w:val="en-GB"/>
        </w:rPr>
        <w:t>joined Eye</w:t>
      </w:r>
      <w:r w:rsidR="00D9525C">
        <w:rPr>
          <w:lang w:val="en-GB"/>
        </w:rPr>
        <w:t>-</w:t>
      </w:r>
      <w:r w:rsidRPr="0018329D">
        <w:rPr>
          <w:lang w:val="en-GB"/>
        </w:rPr>
        <w:t>Q</w:t>
      </w:r>
      <w:r w:rsidRPr="00592DF1">
        <w:rPr>
          <w:lang w:val="en-GB"/>
        </w:rPr>
        <w:t xml:space="preserve"> in December 2011. Recalling his assessment of the state of affairs at the organization at that time, he said</w:t>
      </w:r>
      <w:r w:rsidR="0084526B">
        <w:rPr>
          <w:lang w:val="en-GB"/>
        </w:rPr>
        <w:t>,</w:t>
      </w:r>
      <w:r w:rsidRPr="00592DF1">
        <w:rPr>
          <w:lang w:val="en-GB"/>
        </w:rPr>
        <w:t xml:space="preserve"> </w:t>
      </w:r>
      <w:r w:rsidR="00606E13">
        <w:rPr>
          <w:lang w:val="en-GB"/>
        </w:rPr>
        <w:t>“</w:t>
      </w:r>
      <w:r w:rsidRPr="00592DF1">
        <w:rPr>
          <w:lang w:val="en-GB"/>
        </w:rPr>
        <w:t>The staff were mostly homegrown and not very big on qualifications</w:t>
      </w:r>
      <w:r w:rsidR="00A76EE9">
        <w:rPr>
          <w:lang w:val="en-GB"/>
        </w:rPr>
        <w:t>, b</w:t>
      </w:r>
      <w:r w:rsidRPr="00592DF1">
        <w:rPr>
          <w:lang w:val="en-GB"/>
        </w:rPr>
        <w:t xml:space="preserve">ut I think, intuitively, they were doing things on their own. </w:t>
      </w:r>
      <w:r w:rsidR="00606E13" w:rsidRPr="00592DF1">
        <w:rPr>
          <w:lang w:val="en-GB"/>
        </w:rPr>
        <w:t>The entire organization was a work in progress.</w:t>
      </w:r>
      <w:r w:rsidR="00606E13">
        <w:rPr>
          <w:lang w:val="en-GB"/>
        </w:rPr>
        <w:t>”</w:t>
      </w:r>
    </w:p>
    <w:p w14:paraId="3DE0C568" w14:textId="77777777" w:rsidR="00846DE7" w:rsidRPr="00C11BAE" w:rsidRDefault="00846DE7" w:rsidP="00311FC3">
      <w:pPr>
        <w:pStyle w:val="BodyTextMain"/>
        <w:rPr>
          <w:sz w:val="20"/>
          <w:lang w:val="en-GB"/>
        </w:rPr>
      </w:pPr>
    </w:p>
    <w:p w14:paraId="00995874" w14:textId="6F02FC3D" w:rsidR="00C71764" w:rsidRPr="00726F29" w:rsidRDefault="00C71764" w:rsidP="00311FC3">
      <w:pPr>
        <w:pStyle w:val="BodyTextMain"/>
        <w:rPr>
          <w:spacing w:val="-2"/>
          <w:lang w:val="en-GB"/>
        </w:rPr>
      </w:pPr>
      <w:r w:rsidRPr="00726F29">
        <w:rPr>
          <w:spacing w:val="-2"/>
          <w:lang w:val="en-GB"/>
        </w:rPr>
        <w:t>After Bansiwal’s arrival, Eye</w:t>
      </w:r>
      <w:r w:rsidR="00D9525C" w:rsidRPr="00726F29">
        <w:rPr>
          <w:spacing w:val="-2"/>
          <w:lang w:val="en-GB"/>
        </w:rPr>
        <w:t>-</w:t>
      </w:r>
      <w:r w:rsidRPr="00726F29">
        <w:rPr>
          <w:spacing w:val="-2"/>
          <w:lang w:val="en-GB"/>
        </w:rPr>
        <w:t>Q took on the challenge of finding the right kind of people for the organization and set up a rigorous selection process.</w:t>
      </w:r>
      <w:r w:rsidR="007A74EB" w:rsidRPr="00726F29">
        <w:rPr>
          <w:spacing w:val="-2"/>
          <w:lang w:val="en-GB"/>
        </w:rPr>
        <w:t xml:space="preserve"> </w:t>
      </w:r>
      <w:r w:rsidRPr="00726F29">
        <w:rPr>
          <w:spacing w:val="-2"/>
          <w:lang w:val="en-GB"/>
        </w:rPr>
        <w:t xml:space="preserve">The staff at each centre </w:t>
      </w:r>
      <w:r w:rsidR="00DC158C" w:rsidRPr="00726F29">
        <w:rPr>
          <w:spacing w:val="-2"/>
          <w:lang w:val="en-GB"/>
        </w:rPr>
        <w:t xml:space="preserve">was </w:t>
      </w:r>
      <w:r w:rsidRPr="00726F29">
        <w:rPr>
          <w:spacing w:val="-2"/>
          <w:lang w:val="en-GB"/>
        </w:rPr>
        <w:t>comprised of doctors, optometrists, an operations manager</w:t>
      </w:r>
      <w:r w:rsidR="00DC158C" w:rsidRPr="00726F29">
        <w:rPr>
          <w:spacing w:val="-2"/>
          <w:lang w:val="en-GB"/>
        </w:rPr>
        <w:t>,</w:t>
      </w:r>
      <w:r w:rsidRPr="00726F29">
        <w:rPr>
          <w:spacing w:val="-2"/>
          <w:lang w:val="en-GB"/>
        </w:rPr>
        <w:t xml:space="preserve"> and ophthalmic assistants. One of </w:t>
      </w:r>
      <w:r w:rsidR="00BF6A81" w:rsidRPr="00726F29">
        <w:rPr>
          <w:spacing w:val="-2"/>
          <w:lang w:val="en-GB"/>
        </w:rPr>
        <w:t>Eye</w:t>
      </w:r>
      <w:r w:rsidR="00D9525C" w:rsidRPr="00726F29">
        <w:rPr>
          <w:spacing w:val="-2"/>
          <w:lang w:val="en-GB"/>
        </w:rPr>
        <w:t>-</w:t>
      </w:r>
      <w:r w:rsidR="00BF6A81" w:rsidRPr="00726F29">
        <w:rPr>
          <w:spacing w:val="-2"/>
          <w:lang w:val="en-GB"/>
        </w:rPr>
        <w:t xml:space="preserve">Q’s </w:t>
      </w:r>
      <w:r w:rsidRPr="00726F29">
        <w:rPr>
          <w:spacing w:val="-2"/>
          <w:lang w:val="en-GB"/>
        </w:rPr>
        <w:t xml:space="preserve">key HR challenges </w:t>
      </w:r>
      <w:r w:rsidR="00BF6A81" w:rsidRPr="00726F29">
        <w:rPr>
          <w:spacing w:val="-2"/>
          <w:lang w:val="en-GB"/>
        </w:rPr>
        <w:t>involved</w:t>
      </w:r>
      <w:r w:rsidRPr="00726F29">
        <w:rPr>
          <w:spacing w:val="-2"/>
          <w:lang w:val="en-GB"/>
        </w:rPr>
        <w:t xml:space="preserve"> find</w:t>
      </w:r>
      <w:r w:rsidR="00BF6A81" w:rsidRPr="00726F29">
        <w:rPr>
          <w:spacing w:val="-2"/>
          <w:lang w:val="en-GB"/>
        </w:rPr>
        <w:t>ing</w:t>
      </w:r>
      <w:r w:rsidRPr="00726F29">
        <w:rPr>
          <w:spacing w:val="-2"/>
          <w:lang w:val="en-GB"/>
        </w:rPr>
        <w:t xml:space="preserve"> qualified and experienced doctors. Moreover, since the </w:t>
      </w:r>
      <w:r w:rsidR="008D1466" w:rsidRPr="00726F29">
        <w:rPr>
          <w:spacing w:val="-2"/>
          <w:lang w:val="en-GB"/>
        </w:rPr>
        <w:t xml:space="preserve">company’s </w:t>
      </w:r>
      <w:r w:rsidR="00DC158C" w:rsidRPr="00726F29">
        <w:rPr>
          <w:spacing w:val="-2"/>
          <w:lang w:val="en-GB"/>
        </w:rPr>
        <w:t xml:space="preserve">business </w:t>
      </w:r>
      <w:r w:rsidRPr="00726F29">
        <w:rPr>
          <w:spacing w:val="-2"/>
          <w:lang w:val="en-GB"/>
        </w:rPr>
        <w:t xml:space="preserve">model focused on Tier </w:t>
      </w:r>
      <w:r w:rsidR="00DC158C" w:rsidRPr="00726F29">
        <w:rPr>
          <w:spacing w:val="-2"/>
          <w:lang w:val="en-GB"/>
        </w:rPr>
        <w:t>2</w:t>
      </w:r>
      <w:r w:rsidRPr="00726F29">
        <w:rPr>
          <w:spacing w:val="-2"/>
          <w:lang w:val="en-GB"/>
        </w:rPr>
        <w:t xml:space="preserve"> and Tier </w:t>
      </w:r>
      <w:r w:rsidR="00DC158C" w:rsidRPr="00726F29">
        <w:rPr>
          <w:spacing w:val="-2"/>
          <w:lang w:val="en-GB"/>
        </w:rPr>
        <w:t>3</w:t>
      </w:r>
      <w:r w:rsidRPr="00726F29">
        <w:rPr>
          <w:spacing w:val="-2"/>
          <w:lang w:val="en-GB"/>
        </w:rPr>
        <w:t xml:space="preserve"> </w:t>
      </w:r>
      <w:r w:rsidR="008D1466" w:rsidRPr="00726F29">
        <w:rPr>
          <w:spacing w:val="-2"/>
          <w:lang w:val="en-GB"/>
        </w:rPr>
        <w:t>cities</w:t>
      </w:r>
      <w:r w:rsidRPr="00726F29">
        <w:rPr>
          <w:spacing w:val="-2"/>
          <w:lang w:val="en-GB"/>
        </w:rPr>
        <w:t>, this challenge was complicated by an additional issue</w:t>
      </w:r>
      <w:r w:rsidR="008D1466" w:rsidRPr="00726F29">
        <w:rPr>
          <w:spacing w:val="-2"/>
          <w:lang w:val="en-GB"/>
        </w:rPr>
        <w:t>: H</w:t>
      </w:r>
      <w:r w:rsidRPr="00726F29">
        <w:rPr>
          <w:spacing w:val="-2"/>
          <w:lang w:val="en-GB"/>
        </w:rPr>
        <w:t xml:space="preserve">ow could </w:t>
      </w:r>
      <w:r w:rsidR="008D1466" w:rsidRPr="00726F29">
        <w:rPr>
          <w:spacing w:val="-2"/>
          <w:lang w:val="en-GB"/>
        </w:rPr>
        <w:t>the group</w:t>
      </w:r>
      <w:r w:rsidRPr="00726F29">
        <w:rPr>
          <w:spacing w:val="-2"/>
          <w:lang w:val="en-GB"/>
        </w:rPr>
        <w:t xml:space="preserve"> attract the best doctors and convince them to relocate to smaller towns? </w:t>
      </w:r>
      <w:r w:rsidR="00921816" w:rsidRPr="00726F29">
        <w:rPr>
          <w:spacing w:val="-2"/>
          <w:lang w:val="en-GB"/>
        </w:rPr>
        <w:t xml:space="preserve">This </w:t>
      </w:r>
      <w:r w:rsidRPr="00726F29">
        <w:rPr>
          <w:spacing w:val="-2"/>
          <w:lang w:val="en-GB"/>
        </w:rPr>
        <w:t xml:space="preserve">challenge </w:t>
      </w:r>
      <w:r w:rsidR="00921816" w:rsidRPr="00726F29">
        <w:rPr>
          <w:spacing w:val="-2"/>
          <w:lang w:val="en-GB"/>
        </w:rPr>
        <w:t>extended to finding</w:t>
      </w:r>
      <w:r w:rsidRPr="00726F29">
        <w:rPr>
          <w:spacing w:val="-2"/>
          <w:lang w:val="en-GB"/>
        </w:rPr>
        <w:t xml:space="preserve"> good quality optometrists</w:t>
      </w:r>
      <w:r w:rsidR="00921816" w:rsidRPr="00726F29">
        <w:rPr>
          <w:spacing w:val="-2"/>
          <w:lang w:val="en-GB"/>
        </w:rPr>
        <w:t xml:space="preserve">, </w:t>
      </w:r>
      <w:r w:rsidRPr="00726F29">
        <w:rPr>
          <w:spacing w:val="-2"/>
          <w:lang w:val="en-GB"/>
        </w:rPr>
        <w:t>managerial staff with master’s degrees in either health</w:t>
      </w:r>
      <w:r w:rsidR="002817CA">
        <w:rPr>
          <w:spacing w:val="-2"/>
          <w:lang w:val="en-GB"/>
        </w:rPr>
        <w:t xml:space="preserve"> </w:t>
      </w:r>
      <w:r w:rsidRPr="00726F29">
        <w:rPr>
          <w:spacing w:val="-2"/>
          <w:lang w:val="en-GB"/>
        </w:rPr>
        <w:t>care administration or management</w:t>
      </w:r>
      <w:r w:rsidR="00921816" w:rsidRPr="00726F29">
        <w:rPr>
          <w:spacing w:val="-2"/>
          <w:lang w:val="en-GB"/>
        </w:rPr>
        <w:t xml:space="preserve">, and </w:t>
      </w:r>
      <w:r w:rsidRPr="00726F29">
        <w:rPr>
          <w:spacing w:val="-2"/>
          <w:lang w:val="en-GB"/>
        </w:rPr>
        <w:t>operati</w:t>
      </w:r>
      <w:r w:rsidR="00BF6A81" w:rsidRPr="00726F29">
        <w:rPr>
          <w:spacing w:val="-2"/>
          <w:lang w:val="en-GB"/>
        </w:rPr>
        <w:t>ng</w:t>
      </w:r>
      <w:r w:rsidR="002817CA">
        <w:rPr>
          <w:spacing w:val="-2"/>
          <w:lang w:val="en-GB"/>
        </w:rPr>
        <w:t xml:space="preserve"> </w:t>
      </w:r>
      <w:r w:rsidR="00BF6A81" w:rsidRPr="00726F29">
        <w:rPr>
          <w:spacing w:val="-2"/>
          <w:lang w:val="en-GB"/>
        </w:rPr>
        <w:t xml:space="preserve">room </w:t>
      </w:r>
      <w:r w:rsidRPr="00726F29">
        <w:rPr>
          <w:spacing w:val="-2"/>
          <w:lang w:val="en-GB"/>
        </w:rPr>
        <w:t>staff to assist with surgeries</w:t>
      </w:r>
      <w:r w:rsidR="00BF6A81" w:rsidRPr="00726F29">
        <w:rPr>
          <w:spacing w:val="-2"/>
          <w:lang w:val="en-GB"/>
        </w:rPr>
        <w:t xml:space="preserve"> who were</w:t>
      </w:r>
      <w:r w:rsidRPr="00726F29">
        <w:rPr>
          <w:spacing w:val="-2"/>
          <w:lang w:val="en-GB"/>
        </w:rPr>
        <w:t xml:space="preserve"> typically people with diplomas in operati</w:t>
      </w:r>
      <w:r w:rsidR="00BF6A81" w:rsidRPr="00726F29">
        <w:rPr>
          <w:spacing w:val="-2"/>
          <w:lang w:val="en-GB"/>
        </w:rPr>
        <w:t>ng</w:t>
      </w:r>
      <w:r w:rsidR="002817CA">
        <w:rPr>
          <w:spacing w:val="-2"/>
          <w:lang w:val="en-GB"/>
        </w:rPr>
        <w:t xml:space="preserve"> </w:t>
      </w:r>
      <w:r w:rsidR="00BF6A81" w:rsidRPr="00726F29">
        <w:rPr>
          <w:spacing w:val="-2"/>
          <w:lang w:val="en-GB"/>
        </w:rPr>
        <w:t xml:space="preserve">room </w:t>
      </w:r>
      <w:r w:rsidRPr="00726F29">
        <w:rPr>
          <w:spacing w:val="-2"/>
          <w:lang w:val="en-GB"/>
        </w:rPr>
        <w:t xml:space="preserve">technology. </w:t>
      </w:r>
      <w:r w:rsidR="008D1466" w:rsidRPr="00726F29">
        <w:rPr>
          <w:spacing w:val="-2"/>
          <w:lang w:val="en-GB"/>
        </w:rPr>
        <w:t>Since</w:t>
      </w:r>
      <w:r w:rsidRPr="00726F29">
        <w:rPr>
          <w:spacing w:val="-2"/>
          <w:lang w:val="en-GB"/>
        </w:rPr>
        <w:t xml:space="preserve"> many ophthalmology services were outpatient </w:t>
      </w:r>
      <w:r w:rsidR="009561DB" w:rsidRPr="00726F29">
        <w:rPr>
          <w:spacing w:val="-2"/>
          <w:lang w:val="en-GB"/>
        </w:rPr>
        <w:t>procedures</w:t>
      </w:r>
      <w:r w:rsidRPr="00726F29">
        <w:rPr>
          <w:spacing w:val="-2"/>
          <w:lang w:val="en-GB"/>
        </w:rPr>
        <w:t>, there was little need for nursing staff. Typically, only tertiary care hospitals</w:t>
      </w:r>
      <w:r w:rsidR="008D1466" w:rsidRPr="00726F29">
        <w:rPr>
          <w:spacing w:val="-2"/>
          <w:lang w:val="en-GB"/>
        </w:rPr>
        <w:t xml:space="preserve"> (i.e., </w:t>
      </w:r>
      <w:r w:rsidRPr="00726F29">
        <w:rPr>
          <w:spacing w:val="-2"/>
          <w:lang w:val="en-GB"/>
        </w:rPr>
        <w:t>hub centres</w:t>
      </w:r>
      <w:r w:rsidR="008D1466" w:rsidRPr="00726F29">
        <w:rPr>
          <w:spacing w:val="-2"/>
          <w:lang w:val="en-GB"/>
        </w:rPr>
        <w:t>)</w:t>
      </w:r>
      <w:r w:rsidRPr="00726F29">
        <w:rPr>
          <w:spacing w:val="-2"/>
          <w:lang w:val="en-GB"/>
        </w:rPr>
        <w:t xml:space="preserve"> had in</w:t>
      </w:r>
      <w:r w:rsidR="0018329D" w:rsidRPr="00726F29">
        <w:rPr>
          <w:spacing w:val="-2"/>
          <w:lang w:val="en-GB"/>
        </w:rPr>
        <w:t>-</w:t>
      </w:r>
      <w:r w:rsidRPr="00726F29">
        <w:rPr>
          <w:spacing w:val="-2"/>
          <w:lang w:val="en-GB"/>
        </w:rPr>
        <w:t>patients who required nursing care.</w:t>
      </w:r>
    </w:p>
    <w:p w14:paraId="15E3115E" w14:textId="77777777" w:rsidR="00C71764" w:rsidRPr="00C11BAE" w:rsidRDefault="00C71764" w:rsidP="00311FC3">
      <w:pPr>
        <w:pStyle w:val="BodyTextMain"/>
        <w:rPr>
          <w:sz w:val="20"/>
          <w:lang w:val="en-GB"/>
        </w:rPr>
      </w:pPr>
    </w:p>
    <w:p w14:paraId="431DF19B" w14:textId="121FA2B3" w:rsidR="00D259E4" w:rsidRPr="00592DF1" w:rsidRDefault="00C71764" w:rsidP="00D259E4">
      <w:pPr>
        <w:pStyle w:val="BodyTextMain"/>
        <w:rPr>
          <w:lang w:val="en-GB"/>
        </w:rPr>
      </w:pPr>
      <w:r w:rsidRPr="00592DF1">
        <w:rPr>
          <w:lang w:val="en-GB"/>
        </w:rPr>
        <w:t>Sharma explained that attracting the right talent for the organization was an important objective</w:t>
      </w:r>
      <w:r w:rsidR="00921816">
        <w:rPr>
          <w:lang w:val="en-GB"/>
        </w:rPr>
        <w:t>, “</w:t>
      </w:r>
      <w:r w:rsidRPr="00592DF1">
        <w:rPr>
          <w:lang w:val="en-GB"/>
        </w:rPr>
        <w:t xml:space="preserve">For us, it was very important that we chose only those people who would fit into our DNA. </w:t>
      </w:r>
      <w:r w:rsidR="00921816">
        <w:rPr>
          <w:lang w:val="en-GB"/>
        </w:rPr>
        <w:t>W</w:t>
      </w:r>
      <w:r w:rsidRPr="00592DF1">
        <w:rPr>
          <w:lang w:val="en-GB"/>
        </w:rPr>
        <w:t xml:space="preserve">e ensured this </w:t>
      </w:r>
      <w:r w:rsidR="008D1466">
        <w:rPr>
          <w:lang w:val="en-GB"/>
        </w:rPr>
        <w:t xml:space="preserve">[standard] </w:t>
      </w:r>
      <w:r w:rsidRPr="00592DF1">
        <w:rPr>
          <w:lang w:val="en-GB"/>
        </w:rPr>
        <w:t>by checking referrals</w:t>
      </w:r>
      <w:r w:rsidR="00921816">
        <w:rPr>
          <w:lang w:val="en-GB"/>
        </w:rPr>
        <w:t xml:space="preserve"> and also </w:t>
      </w:r>
      <w:r w:rsidR="008D1466">
        <w:rPr>
          <w:lang w:val="en-GB"/>
        </w:rPr>
        <w:t xml:space="preserve">by </w:t>
      </w:r>
      <w:r w:rsidR="00921816">
        <w:rPr>
          <w:lang w:val="en-GB"/>
        </w:rPr>
        <w:t>asking</w:t>
      </w:r>
      <w:r w:rsidRPr="00592DF1">
        <w:rPr>
          <w:lang w:val="en-GB"/>
        </w:rPr>
        <w:t xml:space="preserve"> candidates </w:t>
      </w:r>
      <w:r w:rsidR="00921816">
        <w:rPr>
          <w:lang w:val="en-GB"/>
        </w:rPr>
        <w:t xml:space="preserve">to </w:t>
      </w:r>
      <w:r w:rsidRPr="00592DF1">
        <w:rPr>
          <w:lang w:val="en-GB"/>
        </w:rPr>
        <w:t>fill out a detailed questionnaire about their prior work experience.</w:t>
      </w:r>
      <w:r w:rsidR="00921816">
        <w:rPr>
          <w:lang w:val="en-GB"/>
        </w:rPr>
        <w:t>”</w:t>
      </w:r>
      <w:r w:rsidR="00D259E4">
        <w:rPr>
          <w:lang w:val="en-GB"/>
        </w:rPr>
        <w:t xml:space="preserve"> </w:t>
      </w:r>
      <w:r w:rsidR="00D259E4" w:rsidRPr="00592DF1">
        <w:rPr>
          <w:lang w:val="en-GB"/>
        </w:rPr>
        <w:t xml:space="preserve">By early 2014, </w:t>
      </w:r>
      <w:r w:rsidR="00D259E4" w:rsidRPr="0018329D">
        <w:rPr>
          <w:lang w:val="en-GB"/>
        </w:rPr>
        <w:t>Eye</w:t>
      </w:r>
      <w:r w:rsidR="00D9525C">
        <w:rPr>
          <w:lang w:val="en-GB"/>
        </w:rPr>
        <w:t>-</w:t>
      </w:r>
      <w:r w:rsidR="00D259E4" w:rsidRPr="0018329D">
        <w:rPr>
          <w:lang w:val="en-GB"/>
        </w:rPr>
        <w:t>Q</w:t>
      </w:r>
      <w:r w:rsidR="00D259E4" w:rsidRPr="00592DF1">
        <w:rPr>
          <w:lang w:val="en-GB"/>
        </w:rPr>
        <w:t xml:space="preserve"> </w:t>
      </w:r>
      <w:r w:rsidR="00FA664D">
        <w:rPr>
          <w:lang w:val="en-GB"/>
        </w:rPr>
        <w:t>hospitals employed a total staff of</w:t>
      </w:r>
      <w:r w:rsidR="00D259E4" w:rsidRPr="00592DF1">
        <w:rPr>
          <w:lang w:val="en-GB"/>
        </w:rPr>
        <w:t xml:space="preserve"> 700.</w:t>
      </w:r>
      <w:r w:rsidR="00D259E4">
        <w:rPr>
          <w:lang w:val="en-GB"/>
        </w:rPr>
        <w:t xml:space="preserve"> </w:t>
      </w:r>
    </w:p>
    <w:p w14:paraId="6ECA9DF6" w14:textId="77777777" w:rsidR="00C71764" w:rsidRPr="00C11BAE" w:rsidRDefault="00C71764" w:rsidP="00C11BAE">
      <w:pPr>
        <w:pStyle w:val="BodyTextMain"/>
        <w:rPr>
          <w:sz w:val="20"/>
        </w:rPr>
      </w:pPr>
    </w:p>
    <w:p w14:paraId="6E1AD602" w14:textId="77777777" w:rsidR="00081350" w:rsidRPr="00C11BAE" w:rsidRDefault="00081350" w:rsidP="00C11BAE">
      <w:pPr>
        <w:pStyle w:val="BodyTextMain"/>
        <w:rPr>
          <w:sz w:val="20"/>
        </w:rPr>
      </w:pPr>
    </w:p>
    <w:p w14:paraId="1690FD72" w14:textId="62B167D8" w:rsidR="00081350" w:rsidRPr="00A37C2D" w:rsidRDefault="004445CB" w:rsidP="00311FC3">
      <w:pPr>
        <w:pStyle w:val="BodyTextMain"/>
        <w:rPr>
          <w:rFonts w:ascii="Arial" w:hAnsi="Arial" w:cs="Arial"/>
          <w:b/>
          <w:sz w:val="20"/>
          <w:szCs w:val="20"/>
          <w:lang w:val="en-GB"/>
        </w:rPr>
      </w:pPr>
      <w:r w:rsidRPr="00A37C2D">
        <w:rPr>
          <w:rFonts w:ascii="Arial" w:hAnsi="Arial" w:cs="Arial"/>
          <w:b/>
          <w:sz w:val="20"/>
          <w:szCs w:val="20"/>
          <w:lang w:val="en-GB"/>
        </w:rPr>
        <w:t>Remuneration for Eye</w:t>
      </w:r>
      <w:r w:rsidR="00D9525C">
        <w:rPr>
          <w:rFonts w:ascii="Arial" w:hAnsi="Arial" w:cs="Arial"/>
          <w:b/>
          <w:sz w:val="20"/>
          <w:szCs w:val="20"/>
          <w:lang w:val="en-GB"/>
        </w:rPr>
        <w:t>-</w:t>
      </w:r>
      <w:r w:rsidRPr="00A37C2D">
        <w:rPr>
          <w:rFonts w:ascii="Arial" w:hAnsi="Arial" w:cs="Arial"/>
          <w:b/>
          <w:sz w:val="20"/>
          <w:szCs w:val="20"/>
          <w:lang w:val="en-GB"/>
        </w:rPr>
        <w:t>Q Doctors</w:t>
      </w:r>
    </w:p>
    <w:p w14:paraId="5357B57C" w14:textId="77777777" w:rsidR="00081350" w:rsidRPr="00C11BAE" w:rsidRDefault="00081350" w:rsidP="00311FC3">
      <w:pPr>
        <w:pStyle w:val="BodyTextMain"/>
        <w:rPr>
          <w:sz w:val="20"/>
          <w:lang w:val="en-GB"/>
        </w:rPr>
      </w:pPr>
    </w:p>
    <w:p w14:paraId="66DA434A" w14:textId="5DDC89DA" w:rsidR="00C71764" w:rsidRPr="00592DF1" w:rsidRDefault="00C71764" w:rsidP="00311FC3">
      <w:pPr>
        <w:pStyle w:val="BodyTextMain"/>
        <w:rPr>
          <w:lang w:val="en-GB"/>
        </w:rPr>
      </w:pPr>
      <w:r w:rsidRPr="00592DF1">
        <w:rPr>
          <w:lang w:val="en-GB"/>
        </w:rPr>
        <w:t>In general, health</w:t>
      </w:r>
      <w:r w:rsidR="002817CA">
        <w:rPr>
          <w:lang w:val="en-GB"/>
        </w:rPr>
        <w:t xml:space="preserve"> </w:t>
      </w:r>
      <w:r w:rsidRPr="00592DF1">
        <w:rPr>
          <w:lang w:val="en-GB"/>
        </w:rPr>
        <w:t>care organizations in India took on doctors as full-time consultants rather than as employees. After completing their postgraduate degrees</w:t>
      </w:r>
      <w:r w:rsidR="00725F0D" w:rsidRPr="00725F0D">
        <w:rPr>
          <w:lang w:val="en-GB"/>
        </w:rPr>
        <w:t xml:space="preserve"> </w:t>
      </w:r>
      <w:r w:rsidR="00725F0D" w:rsidRPr="00592DF1">
        <w:rPr>
          <w:lang w:val="en-GB"/>
        </w:rPr>
        <w:t>in ophthalmology</w:t>
      </w:r>
      <w:r w:rsidR="00725F0D">
        <w:rPr>
          <w:lang w:val="en-GB"/>
        </w:rPr>
        <w:t>—a doctor of medicine combined with a master of science—</w:t>
      </w:r>
      <w:r w:rsidRPr="00592DF1">
        <w:rPr>
          <w:lang w:val="en-GB"/>
        </w:rPr>
        <w:t xml:space="preserve">doctors typically went on to do their fellowships at centres such as LVPEI, </w:t>
      </w:r>
      <w:r w:rsidR="004445CB" w:rsidRPr="00A37C2D">
        <w:rPr>
          <w:lang w:val="en-GB"/>
        </w:rPr>
        <w:t>Aravind</w:t>
      </w:r>
      <w:r w:rsidR="001901C8">
        <w:rPr>
          <w:lang w:val="en-GB"/>
        </w:rPr>
        <w:t xml:space="preserve"> Eye Care,</w:t>
      </w:r>
      <w:r w:rsidRPr="00592DF1">
        <w:rPr>
          <w:lang w:val="en-GB"/>
        </w:rPr>
        <w:t xml:space="preserve"> or Sankara Nethralaya in order to gain surgical experience. The average starting salary for these newly qualified doctors was around </w:t>
      </w:r>
      <w:r w:rsidR="004D48DB" w:rsidRPr="007039CC">
        <w:rPr>
          <w:rFonts w:ascii="Arial" w:hAnsi="Arial" w:cs="Arial"/>
          <w:sz w:val="20"/>
          <w:szCs w:val="20"/>
        </w:rPr>
        <w:t>₹</w:t>
      </w:r>
      <w:r w:rsidRPr="00592DF1">
        <w:rPr>
          <w:lang w:val="en-GB"/>
        </w:rPr>
        <w:t xml:space="preserve">125,000 per month. Doctors with about five years of work experience could command salaries in the range of </w:t>
      </w:r>
      <w:r w:rsidR="004D48DB" w:rsidRPr="007039CC">
        <w:rPr>
          <w:rFonts w:ascii="Arial" w:hAnsi="Arial" w:cs="Arial"/>
          <w:sz w:val="20"/>
          <w:szCs w:val="20"/>
        </w:rPr>
        <w:t>₹</w:t>
      </w:r>
      <w:r w:rsidRPr="00592DF1">
        <w:rPr>
          <w:lang w:val="en-GB"/>
        </w:rPr>
        <w:t xml:space="preserve">220,000 to </w:t>
      </w:r>
      <w:r w:rsidR="001901C8" w:rsidRPr="007039CC">
        <w:rPr>
          <w:rFonts w:ascii="Arial" w:hAnsi="Arial" w:cs="Arial"/>
          <w:sz w:val="20"/>
          <w:szCs w:val="20"/>
        </w:rPr>
        <w:t>₹</w:t>
      </w:r>
      <w:r w:rsidRPr="00592DF1">
        <w:rPr>
          <w:lang w:val="en-GB"/>
        </w:rPr>
        <w:t xml:space="preserve">250,000 per month, going up as high as </w:t>
      </w:r>
      <w:r w:rsidR="004D48DB" w:rsidRPr="007039CC">
        <w:rPr>
          <w:rFonts w:ascii="Arial" w:hAnsi="Arial" w:cs="Arial"/>
          <w:sz w:val="20"/>
          <w:szCs w:val="20"/>
        </w:rPr>
        <w:t>₹</w:t>
      </w:r>
      <w:r w:rsidRPr="00592DF1">
        <w:rPr>
          <w:lang w:val="en-GB"/>
        </w:rPr>
        <w:t xml:space="preserve">400,000 to </w:t>
      </w:r>
      <w:r w:rsidR="00C366A1" w:rsidRPr="007039CC">
        <w:rPr>
          <w:rFonts w:ascii="Arial" w:hAnsi="Arial" w:cs="Arial"/>
          <w:sz w:val="20"/>
          <w:szCs w:val="20"/>
        </w:rPr>
        <w:t>₹</w:t>
      </w:r>
      <w:r w:rsidRPr="00592DF1">
        <w:rPr>
          <w:lang w:val="en-GB"/>
        </w:rPr>
        <w:t xml:space="preserve">500,000 per month for highly experienced doctors. </w:t>
      </w:r>
    </w:p>
    <w:p w14:paraId="5E5467A4" w14:textId="77777777" w:rsidR="00C71764" w:rsidRPr="00C11BAE" w:rsidRDefault="00C71764" w:rsidP="00311FC3">
      <w:pPr>
        <w:pStyle w:val="BodyTextMain"/>
        <w:rPr>
          <w:sz w:val="20"/>
          <w:lang w:val="en-GB"/>
        </w:rPr>
      </w:pPr>
    </w:p>
    <w:p w14:paraId="6718DEC9" w14:textId="309299FE" w:rsidR="00C71764" w:rsidRDefault="00C71764" w:rsidP="00311FC3">
      <w:pPr>
        <w:pStyle w:val="BodyTextMain"/>
        <w:rPr>
          <w:lang w:val="en-GB"/>
        </w:rPr>
      </w:pPr>
      <w:r w:rsidRPr="00592DF1">
        <w:rPr>
          <w:lang w:val="en-GB"/>
        </w:rPr>
        <w:t xml:space="preserve">For </w:t>
      </w:r>
      <w:r w:rsidR="001901C8">
        <w:rPr>
          <w:lang w:val="en-GB"/>
        </w:rPr>
        <w:t>its</w:t>
      </w:r>
      <w:r w:rsidR="001901C8" w:rsidRPr="00592DF1">
        <w:rPr>
          <w:lang w:val="en-GB"/>
        </w:rPr>
        <w:t xml:space="preserve"> </w:t>
      </w:r>
      <w:r w:rsidRPr="00592DF1">
        <w:rPr>
          <w:lang w:val="en-GB"/>
        </w:rPr>
        <w:t xml:space="preserve">partner </w:t>
      </w:r>
      <w:r w:rsidRPr="0018329D">
        <w:rPr>
          <w:lang w:val="en-GB"/>
        </w:rPr>
        <w:t>doctors, Eye</w:t>
      </w:r>
      <w:r w:rsidR="00D9525C">
        <w:rPr>
          <w:lang w:val="en-GB"/>
        </w:rPr>
        <w:t>-</w:t>
      </w:r>
      <w:r w:rsidRPr="0018329D">
        <w:rPr>
          <w:lang w:val="en-GB"/>
        </w:rPr>
        <w:t>Q</w:t>
      </w:r>
      <w:r w:rsidRPr="00592DF1">
        <w:rPr>
          <w:lang w:val="en-GB"/>
        </w:rPr>
        <w:t xml:space="preserve"> followed a remuneration system with </w:t>
      </w:r>
      <w:r w:rsidR="001901C8">
        <w:rPr>
          <w:lang w:val="en-GB"/>
        </w:rPr>
        <w:t xml:space="preserve">both </w:t>
      </w:r>
      <w:r w:rsidRPr="00592DF1">
        <w:rPr>
          <w:lang w:val="en-GB"/>
        </w:rPr>
        <w:t xml:space="preserve">a fixed and a variable </w:t>
      </w:r>
      <w:r w:rsidR="001901C8">
        <w:rPr>
          <w:lang w:val="en-GB"/>
        </w:rPr>
        <w:t>component</w:t>
      </w:r>
      <w:r w:rsidR="001901C8" w:rsidRPr="00592DF1">
        <w:rPr>
          <w:lang w:val="en-GB"/>
        </w:rPr>
        <w:t xml:space="preserve"> </w:t>
      </w:r>
      <w:r w:rsidRPr="00592DF1">
        <w:rPr>
          <w:lang w:val="en-GB"/>
        </w:rPr>
        <w:t xml:space="preserve">based on the growth they generated. Out of around 65 </w:t>
      </w:r>
      <w:r w:rsidRPr="0018329D">
        <w:rPr>
          <w:lang w:val="en-GB"/>
        </w:rPr>
        <w:t>doctors at Eye</w:t>
      </w:r>
      <w:r w:rsidR="00D9525C">
        <w:rPr>
          <w:lang w:val="en-GB"/>
        </w:rPr>
        <w:t>-</w:t>
      </w:r>
      <w:r w:rsidRPr="0018329D">
        <w:rPr>
          <w:lang w:val="en-GB"/>
        </w:rPr>
        <w:t>Q,</w:t>
      </w:r>
      <w:r w:rsidRPr="00592DF1">
        <w:rPr>
          <w:lang w:val="en-GB"/>
        </w:rPr>
        <w:t xml:space="preserve"> only nine were partners. For the </w:t>
      </w:r>
      <w:r w:rsidRPr="0018329D">
        <w:rPr>
          <w:lang w:val="en-GB"/>
        </w:rPr>
        <w:t>remaining</w:t>
      </w:r>
      <w:r w:rsidR="001901C8">
        <w:rPr>
          <w:lang w:val="en-GB"/>
        </w:rPr>
        <w:t xml:space="preserve"> non-partner doctors</w:t>
      </w:r>
      <w:r w:rsidRPr="0018329D">
        <w:rPr>
          <w:lang w:val="en-GB"/>
        </w:rPr>
        <w:t>, Eye</w:t>
      </w:r>
      <w:r w:rsidR="00D9525C">
        <w:rPr>
          <w:lang w:val="en-GB"/>
        </w:rPr>
        <w:t>-</w:t>
      </w:r>
      <w:r w:rsidRPr="0018329D">
        <w:rPr>
          <w:lang w:val="en-GB"/>
        </w:rPr>
        <w:t>Q</w:t>
      </w:r>
      <w:r w:rsidRPr="00592DF1">
        <w:rPr>
          <w:lang w:val="en-GB"/>
        </w:rPr>
        <w:t xml:space="preserve"> followed a fixed remuneration policy. There was no variable component based on numbers. Bansiwal</w:t>
      </w:r>
      <w:r w:rsidRPr="00592DF1" w:rsidDel="0087292D">
        <w:rPr>
          <w:lang w:val="en-GB"/>
        </w:rPr>
        <w:t xml:space="preserve"> </w:t>
      </w:r>
      <w:r w:rsidRPr="00592DF1">
        <w:rPr>
          <w:lang w:val="en-GB"/>
        </w:rPr>
        <w:t>said:</w:t>
      </w:r>
    </w:p>
    <w:p w14:paraId="232BB6FA" w14:textId="77777777" w:rsidR="00C11BAE" w:rsidRPr="00C11BAE" w:rsidRDefault="00C11BAE" w:rsidP="00311FC3">
      <w:pPr>
        <w:pStyle w:val="BodyTextMain"/>
        <w:rPr>
          <w:sz w:val="20"/>
          <w:lang w:val="en-GB"/>
        </w:rPr>
      </w:pPr>
    </w:p>
    <w:p w14:paraId="4C53A097" w14:textId="3EE2A65C" w:rsidR="00C71764" w:rsidRPr="00592DF1" w:rsidRDefault="00C71764" w:rsidP="00311FC3">
      <w:pPr>
        <w:pStyle w:val="BodyTextMain"/>
        <w:ind w:left="720"/>
        <w:rPr>
          <w:lang w:val="en-GB"/>
        </w:rPr>
      </w:pPr>
      <w:r w:rsidRPr="00592DF1">
        <w:rPr>
          <w:lang w:val="en-GB"/>
        </w:rPr>
        <w:t xml:space="preserve">The philosophy behind this </w:t>
      </w:r>
      <w:r w:rsidR="001901C8">
        <w:rPr>
          <w:lang w:val="en-GB"/>
        </w:rPr>
        <w:t xml:space="preserve">[remuneration practice] </w:t>
      </w:r>
      <w:r w:rsidRPr="00592DF1">
        <w:rPr>
          <w:lang w:val="en-GB"/>
        </w:rPr>
        <w:t xml:space="preserve">was twofold. We believe that if we let our doctors chase numbers, there is the possibility—even if it is just a .01 per cent possibility—that </w:t>
      </w:r>
      <w:r w:rsidRPr="00592DF1">
        <w:rPr>
          <w:lang w:val="en-GB"/>
        </w:rPr>
        <w:lastRenderedPageBreak/>
        <w:t xml:space="preserve">they may do something that is not in line with our ethical practices, and we don’t want them to do that. The other philosophy is that we don’t want our doctors to lose focus on the patient and instead concentrate on financial numbers, number of procedures, </w:t>
      </w:r>
      <w:r w:rsidR="00081350">
        <w:rPr>
          <w:lang w:val="en-GB"/>
        </w:rPr>
        <w:t xml:space="preserve">[or] </w:t>
      </w:r>
      <w:r w:rsidRPr="00592DF1">
        <w:rPr>
          <w:lang w:val="en-GB"/>
        </w:rPr>
        <w:t>surgeries</w:t>
      </w:r>
      <w:r w:rsidR="00081350">
        <w:rPr>
          <w:lang w:val="en-GB"/>
        </w:rPr>
        <w:t>.</w:t>
      </w:r>
      <w:r w:rsidRPr="00592DF1">
        <w:rPr>
          <w:lang w:val="en-GB"/>
        </w:rPr>
        <w:t xml:space="preserve"> </w:t>
      </w:r>
    </w:p>
    <w:p w14:paraId="3F44AEED" w14:textId="77777777" w:rsidR="00C71764" w:rsidRPr="00C11BAE" w:rsidRDefault="00C71764" w:rsidP="00311FC3">
      <w:pPr>
        <w:pStyle w:val="BodyTextMain"/>
        <w:rPr>
          <w:sz w:val="20"/>
          <w:lang w:val="en-GB"/>
        </w:rPr>
      </w:pPr>
    </w:p>
    <w:p w14:paraId="48F78D6B" w14:textId="70A1466F" w:rsidR="00C71764" w:rsidRPr="00C11BAE" w:rsidRDefault="00C71764">
      <w:pPr>
        <w:pStyle w:val="BodyTextMain"/>
        <w:rPr>
          <w:spacing w:val="-6"/>
          <w:lang w:val="en-GB"/>
        </w:rPr>
      </w:pPr>
      <w:r w:rsidRPr="00C11BAE">
        <w:rPr>
          <w:spacing w:val="-6"/>
          <w:lang w:val="en-GB"/>
        </w:rPr>
        <w:t xml:space="preserve">The organization gradually initiated several in-house training programs. With an intake of five to six doctors every six months, </w:t>
      </w:r>
      <w:r w:rsidR="0002604A" w:rsidRPr="00C11BAE">
        <w:rPr>
          <w:spacing w:val="-6"/>
          <w:lang w:val="en-GB"/>
        </w:rPr>
        <w:t>Eye</w:t>
      </w:r>
      <w:r w:rsidR="00D9525C" w:rsidRPr="00C11BAE">
        <w:rPr>
          <w:spacing w:val="-6"/>
          <w:lang w:val="en-GB"/>
        </w:rPr>
        <w:t>-</w:t>
      </w:r>
      <w:r w:rsidR="0002604A" w:rsidRPr="00C11BAE">
        <w:rPr>
          <w:spacing w:val="-6"/>
          <w:lang w:val="en-GB"/>
        </w:rPr>
        <w:t xml:space="preserve">Q </w:t>
      </w:r>
      <w:r w:rsidRPr="00C11BAE">
        <w:rPr>
          <w:spacing w:val="-6"/>
          <w:lang w:val="en-GB"/>
        </w:rPr>
        <w:t xml:space="preserve">introduced a fellowship program for doctors where they were trained in </w:t>
      </w:r>
      <w:r w:rsidR="001901C8" w:rsidRPr="00C11BAE">
        <w:rPr>
          <w:spacing w:val="-6"/>
          <w:lang w:val="en-GB"/>
        </w:rPr>
        <w:t>“</w:t>
      </w:r>
      <w:r w:rsidRPr="00C11BAE">
        <w:rPr>
          <w:spacing w:val="-6"/>
          <w:lang w:val="en-GB"/>
        </w:rPr>
        <w:t>the Eye</w:t>
      </w:r>
      <w:r w:rsidR="00D9525C" w:rsidRPr="00C11BAE">
        <w:rPr>
          <w:spacing w:val="-6"/>
          <w:lang w:val="en-GB"/>
        </w:rPr>
        <w:t>-</w:t>
      </w:r>
      <w:r w:rsidRPr="00C11BAE">
        <w:rPr>
          <w:spacing w:val="-6"/>
          <w:lang w:val="en-GB"/>
        </w:rPr>
        <w:t>Q way</w:t>
      </w:r>
      <w:r w:rsidR="001901C8" w:rsidRPr="00C11BAE">
        <w:rPr>
          <w:spacing w:val="-6"/>
          <w:lang w:val="en-GB"/>
        </w:rPr>
        <w:t>.</w:t>
      </w:r>
      <w:r w:rsidRPr="00C11BAE">
        <w:rPr>
          <w:spacing w:val="-6"/>
          <w:lang w:val="en-GB"/>
        </w:rPr>
        <w:t xml:space="preserve">” Similarly, there was an optometrist program under which </w:t>
      </w:r>
      <w:r w:rsidR="001901C8" w:rsidRPr="00C11BAE">
        <w:rPr>
          <w:spacing w:val="-6"/>
          <w:lang w:val="en-GB"/>
        </w:rPr>
        <w:t xml:space="preserve">new </w:t>
      </w:r>
      <w:r w:rsidRPr="00C11BAE">
        <w:rPr>
          <w:spacing w:val="-6"/>
          <w:lang w:val="en-GB"/>
        </w:rPr>
        <w:t>optometry graduates with diplomas or bachelor’s degrees went through a specially designed</w:t>
      </w:r>
      <w:r w:rsidR="0002604A" w:rsidRPr="00C11BAE">
        <w:rPr>
          <w:spacing w:val="-6"/>
          <w:lang w:val="en-GB"/>
        </w:rPr>
        <w:t>,</w:t>
      </w:r>
      <w:r w:rsidRPr="00C11BAE">
        <w:rPr>
          <w:spacing w:val="-6"/>
          <w:lang w:val="en-GB"/>
        </w:rPr>
        <w:t xml:space="preserve"> six-month training program on Eye</w:t>
      </w:r>
      <w:r w:rsidR="00D9525C" w:rsidRPr="00C11BAE">
        <w:rPr>
          <w:spacing w:val="-6"/>
          <w:lang w:val="en-GB"/>
        </w:rPr>
        <w:t>-</w:t>
      </w:r>
      <w:r w:rsidRPr="00C11BAE">
        <w:rPr>
          <w:spacing w:val="-6"/>
          <w:lang w:val="en-GB"/>
        </w:rPr>
        <w:t>Q’s protocols, centres, equipment</w:t>
      </w:r>
      <w:r w:rsidR="001901C8" w:rsidRPr="00C11BAE">
        <w:rPr>
          <w:spacing w:val="-6"/>
          <w:lang w:val="en-GB"/>
        </w:rPr>
        <w:t>,</w:t>
      </w:r>
      <w:r w:rsidRPr="00C11BAE">
        <w:rPr>
          <w:spacing w:val="-6"/>
          <w:lang w:val="en-GB"/>
        </w:rPr>
        <w:t xml:space="preserve"> and software. A third program, called the Future Leaders Program, was aimed at recruiting and training </w:t>
      </w:r>
      <w:r w:rsidR="001901C8" w:rsidRPr="00C11BAE">
        <w:rPr>
          <w:spacing w:val="-6"/>
          <w:lang w:val="en-GB"/>
        </w:rPr>
        <w:t>new</w:t>
      </w:r>
      <w:r w:rsidRPr="00C11BAE">
        <w:rPr>
          <w:spacing w:val="-6"/>
          <w:lang w:val="en-GB"/>
        </w:rPr>
        <w:t xml:space="preserve"> management graduates from institutes </w:t>
      </w:r>
      <w:r w:rsidR="0002604A" w:rsidRPr="00C11BAE">
        <w:rPr>
          <w:spacing w:val="-6"/>
          <w:lang w:val="en-GB"/>
        </w:rPr>
        <w:t xml:space="preserve">and </w:t>
      </w:r>
      <w:r w:rsidRPr="00C11BAE">
        <w:rPr>
          <w:spacing w:val="-6"/>
          <w:lang w:val="en-GB"/>
        </w:rPr>
        <w:t xml:space="preserve">offering </w:t>
      </w:r>
      <w:r w:rsidR="0002604A" w:rsidRPr="00C11BAE">
        <w:rPr>
          <w:spacing w:val="-6"/>
          <w:lang w:val="en-GB"/>
        </w:rPr>
        <w:t xml:space="preserve">them </w:t>
      </w:r>
      <w:r w:rsidRPr="00C11BAE">
        <w:rPr>
          <w:spacing w:val="-6"/>
          <w:lang w:val="en-GB"/>
        </w:rPr>
        <w:t xml:space="preserve">a </w:t>
      </w:r>
      <w:r w:rsidR="001901C8" w:rsidRPr="00C11BAE">
        <w:rPr>
          <w:spacing w:val="-6"/>
          <w:lang w:val="en-GB"/>
        </w:rPr>
        <w:t>m</w:t>
      </w:r>
      <w:r w:rsidRPr="00C11BAE">
        <w:rPr>
          <w:spacing w:val="-6"/>
          <w:lang w:val="en-GB"/>
        </w:rPr>
        <w:t xml:space="preserve">aster of </w:t>
      </w:r>
      <w:r w:rsidR="001901C8" w:rsidRPr="00C11BAE">
        <w:rPr>
          <w:spacing w:val="-6"/>
          <w:lang w:val="en-GB"/>
        </w:rPr>
        <w:t>h</w:t>
      </w:r>
      <w:r w:rsidRPr="00C11BAE">
        <w:rPr>
          <w:spacing w:val="-6"/>
          <w:lang w:val="en-GB"/>
        </w:rPr>
        <w:t>ealth</w:t>
      </w:r>
      <w:r w:rsidR="00C50C91">
        <w:rPr>
          <w:spacing w:val="-6"/>
          <w:lang w:val="en-GB"/>
        </w:rPr>
        <w:t xml:space="preserve"> </w:t>
      </w:r>
      <w:r w:rsidRPr="00C11BAE">
        <w:rPr>
          <w:spacing w:val="-6"/>
          <w:lang w:val="en-GB"/>
        </w:rPr>
        <w:t xml:space="preserve">care </w:t>
      </w:r>
      <w:r w:rsidR="001901C8" w:rsidRPr="00C11BAE">
        <w:rPr>
          <w:spacing w:val="-6"/>
          <w:lang w:val="en-GB"/>
        </w:rPr>
        <w:t>a</w:t>
      </w:r>
      <w:r w:rsidRPr="00C11BAE">
        <w:rPr>
          <w:spacing w:val="-6"/>
          <w:lang w:val="en-GB"/>
        </w:rPr>
        <w:t xml:space="preserve">dministration program. </w:t>
      </w:r>
    </w:p>
    <w:p w14:paraId="5BF91B1C" w14:textId="77777777" w:rsidR="00C71764" w:rsidRPr="007039CC" w:rsidRDefault="00C71764" w:rsidP="00311FC3">
      <w:pPr>
        <w:pStyle w:val="BodyTextMain"/>
        <w:rPr>
          <w:sz w:val="18"/>
          <w:lang w:val="en-GB"/>
        </w:rPr>
      </w:pPr>
    </w:p>
    <w:p w14:paraId="7E91E7D2" w14:textId="77777777" w:rsidR="00D66A21" w:rsidRPr="007039CC" w:rsidRDefault="00D66A21" w:rsidP="00311FC3">
      <w:pPr>
        <w:pStyle w:val="BodyTextMain"/>
        <w:rPr>
          <w:sz w:val="18"/>
          <w:lang w:val="en-GB"/>
        </w:rPr>
      </w:pPr>
    </w:p>
    <w:p w14:paraId="1D964D34" w14:textId="77777777" w:rsidR="00C71764" w:rsidRPr="00592DF1" w:rsidRDefault="004445CB" w:rsidP="00311FC3">
      <w:pPr>
        <w:pStyle w:val="Casehead2"/>
        <w:rPr>
          <w:lang w:val="en-GB"/>
        </w:rPr>
      </w:pPr>
      <w:r w:rsidRPr="00A37C2D">
        <w:rPr>
          <w:lang w:val="en-GB"/>
        </w:rPr>
        <w:t>Costs and Pricing</w:t>
      </w:r>
    </w:p>
    <w:p w14:paraId="2A1C9723" w14:textId="77777777" w:rsidR="00C71764" w:rsidRPr="00C11BAE" w:rsidRDefault="00C71764" w:rsidP="00311FC3">
      <w:pPr>
        <w:pStyle w:val="BodyTextMain"/>
        <w:rPr>
          <w:sz w:val="20"/>
          <w:lang w:val="en-GB"/>
        </w:rPr>
      </w:pPr>
    </w:p>
    <w:p w14:paraId="25DEEBFD" w14:textId="5E4C6BDC" w:rsidR="00C71764" w:rsidRPr="00592DF1" w:rsidRDefault="00C71764" w:rsidP="00311FC3">
      <w:pPr>
        <w:pStyle w:val="BodyTextMain"/>
        <w:rPr>
          <w:lang w:val="en-GB"/>
        </w:rPr>
      </w:pPr>
      <w:r w:rsidRPr="00592DF1">
        <w:rPr>
          <w:lang w:val="en-GB"/>
        </w:rPr>
        <w:t xml:space="preserve">Nearly 40 per cent of the cataract patients </w:t>
      </w:r>
      <w:r w:rsidRPr="0018329D">
        <w:rPr>
          <w:lang w:val="en-GB"/>
        </w:rPr>
        <w:t>at Eye</w:t>
      </w:r>
      <w:r w:rsidR="00D9525C">
        <w:rPr>
          <w:lang w:val="en-GB"/>
        </w:rPr>
        <w:t>-</w:t>
      </w:r>
      <w:r w:rsidRPr="0018329D">
        <w:rPr>
          <w:lang w:val="en-GB"/>
        </w:rPr>
        <w:t>Q</w:t>
      </w:r>
      <w:r w:rsidRPr="00592DF1">
        <w:rPr>
          <w:lang w:val="en-GB"/>
        </w:rPr>
        <w:t xml:space="preserve"> were from households with a monthly income of less than </w:t>
      </w:r>
      <w:r w:rsidR="004D48DB" w:rsidRPr="007039CC">
        <w:rPr>
          <w:rFonts w:ascii="Arial" w:hAnsi="Arial" w:cs="Arial"/>
          <w:sz w:val="20"/>
          <w:szCs w:val="20"/>
        </w:rPr>
        <w:t>₹</w:t>
      </w:r>
      <w:r w:rsidRPr="00592DF1">
        <w:rPr>
          <w:lang w:val="en-GB"/>
        </w:rPr>
        <w:t xml:space="preserve">10,000. While the cost of a typical cataract package at an </w:t>
      </w:r>
      <w:r w:rsidRPr="0018329D">
        <w:rPr>
          <w:lang w:val="en-GB"/>
        </w:rPr>
        <w:t>Eye</w:t>
      </w:r>
      <w:r w:rsidR="00D9525C">
        <w:rPr>
          <w:lang w:val="en-GB"/>
        </w:rPr>
        <w:t>-</w:t>
      </w:r>
      <w:r w:rsidRPr="0018329D">
        <w:rPr>
          <w:lang w:val="en-GB"/>
        </w:rPr>
        <w:t>Q</w:t>
      </w:r>
      <w:r w:rsidRPr="00592DF1">
        <w:rPr>
          <w:lang w:val="en-GB"/>
        </w:rPr>
        <w:t xml:space="preserve"> centre was about </w:t>
      </w:r>
      <w:r w:rsidR="004D48DB" w:rsidRPr="007039CC">
        <w:rPr>
          <w:rFonts w:ascii="Arial" w:hAnsi="Arial" w:cs="Arial"/>
          <w:sz w:val="20"/>
          <w:szCs w:val="20"/>
        </w:rPr>
        <w:t>₹</w:t>
      </w:r>
      <w:r w:rsidRPr="00592DF1">
        <w:rPr>
          <w:lang w:val="en-GB"/>
        </w:rPr>
        <w:t xml:space="preserve">30,000, low-income customers could also avail </w:t>
      </w:r>
      <w:r w:rsidR="00905D1D">
        <w:rPr>
          <w:lang w:val="en-GB"/>
        </w:rPr>
        <w:t xml:space="preserve">themselves </w:t>
      </w:r>
      <w:r w:rsidRPr="00592DF1">
        <w:rPr>
          <w:lang w:val="en-GB"/>
        </w:rPr>
        <w:t xml:space="preserve">of services for as little at </w:t>
      </w:r>
      <w:r w:rsidR="004D48DB" w:rsidRPr="007039CC">
        <w:rPr>
          <w:rFonts w:ascii="Arial" w:hAnsi="Arial" w:cs="Arial"/>
          <w:sz w:val="20"/>
          <w:szCs w:val="20"/>
        </w:rPr>
        <w:t>₹</w:t>
      </w:r>
      <w:r w:rsidRPr="00592DF1">
        <w:rPr>
          <w:lang w:val="en-GB"/>
        </w:rPr>
        <w:t xml:space="preserve">3,000, depending on the quality of the lenses used. </w:t>
      </w:r>
      <w:r w:rsidR="00905D1D" w:rsidRPr="0018329D">
        <w:rPr>
          <w:lang w:val="en-GB"/>
        </w:rPr>
        <w:t>Eye</w:t>
      </w:r>
      <w:r w:rsidR="00D9525C">
        <w:rPr>
          <w:lang w:val="en-GB"/>
        </w:rPr>
        <w:t>-</w:t>
      </w:r>
      <w:r w:rsidR="00905D1D" w:rsidRPr="0018329D">
        <w:rPr>
          <w:lang w:val="en-GB"/>
        </w:rPr>
        <w:t>Q</w:t>
      </w:r>
      <w:r w:rsidRPr="00592DF1">
        <w:rPr>
          <w:lang w:val="en-GB"/>
        </w:rPr>
        <w:t xml:space="preserve"> also offered spectacles </w:t>
      </w:r>
      <w:r w:rsidR="0002604A">
        <w:rPr>
          <w:lang w:val="en-GB"/>
        </w:rPr>
        <w:t xml:space="preserve">in </w:t>
      </w:r>
      <w:r w:rsidR="004C71F3">
        <w:rPr>
          <w:lang w:val="en-GB"/>
        </w:rPr>
        <w:t>the</w:t>
      </w:r>
      <w:r w:rsidR="0002604A">
        <w:rPr>
          <w:lang w:val="en-GB"/>
        </w:rPr>
        <w:t xml:space="preserve"> price range </w:t>
      </w:r>
      <w:r w:rsidR="004C71F3">
        <w:rPr>
          <w:lang w:val="en-GB"/>
        </w:rPr>
        <w:t>of</w:t>
      </w:r>
      <w:r w:rsidRPr="00592DF1">
        <w:rPr>
          <w:lang w:val="en-GB"/>
        </w:rPr>
        <w:t xml:space="preserve"> </w:t>
      </w:r>
      <w:r w:rsidR="004D48DB" w:rsidRPr="007039CC">
        <w:rPr>
          <w:rFonts w:ascii="Arial" w:hAnsi="Arial" w:cs="Arial"/>
          <w:sz w:val="20"/>
          <w:szCs w:val="20"/>
        </w:rPr>
        <w:t>₹</w:t>
      </w:r>
      <w:r w:rsidRPr="00592DF1">
        <w:rPr>
          <w:lang w:val="en-GB"/>
        </w:rPr>
        <w:t xml:space="preserve">200 to </w:t>
      </w:r>
      <w:r w:rsidR="004D48DB" w:rsidRPr="007039CC">
        <w:rPr>
          <w:rFonts w:ascii="Arial" w:hAnsi="Arial" w:cs="Arial"/>
          <w:sz w:val="20"/>
          <w:szCs w:val="20"/>
        </w:rPr>
        <w:t>₹</w:t>
      </w:r>
      <w:r w:rsidRPr="00592DF1">
        <w:rPr>
          <w:lang w:val="en-GB"/>
        </w:rPr>
        <w:t xml:space="preserve">2,000. Further, by way of being inclusive, </w:t>
      </w:r>
      <w:r w:rsidR="0002604A">
        <w:rPr>
          <w:lang w:val="en-GB"/>
        </w:rPr>
        <w:t>the company</w:t>
      </w:r>
      <w:r w:rsidR="0002604A" w:rsidRPr="00592DF1">
        <w:rPr>
          <w:lang w:val="en-GB"/>
        </w:rPr>
        <w:t xml:space="preserve"> </w:t>
      </w:r>
      <w:r w:rsidRPr="00592DF1">
        <w:rPr>
          <w:lang w:val="en-GB"/>
        </w:rPr>
        <w:t xml:space="preserve">regularly conducted </w:t>
      </w:r>
      <w:r w:rsidRPr="0018329D">
        <w:rPr>
          <w:lang w:val="en-GB"/>
        </w:rPr>
        <w:t>free eye</w:t>
      </w:r>
      <w:r w:rsidRPr="00592DF1">
        <w:rPr>
          <w:lang w:val="en-GB"/>
        </w:rPr>
        <w:t xml:space="preserve"> camps</w:t>
      </w:r>
      <w:r w:rsidRPr="0018329D">
        <w:rPr>
          <w:lang w:val="en-GB"/>
        </w:rPr>
        <w:t>. Eye</w:t>
      </w:r>
      <w:r w:rsidR="00D9525C">
        <w:rPr>
          <w:lang w:val="en-GB"/>
        </w:rPr>
        <w:t>-</w:t>
      </w:r>
      <w:r w:rsidRPr="0018329D">
        <w:rPr>
          <w:lang w:val="en-GB"/>
        </w:rPr>
        <w:t>Q</w:t>
      </w:r>
      <w:r w:rsidRPr="00592DF1">
        <w:rPr>
          <w:lang w:val="en-GB"/>
        </w:rPr>
        <w:t xml:space="preserve"> was also empanelled on the government’s medical insurance policy for bottom-of-the-pyramid patients. Nearly 20 per cent </w:t>
      </w:r>
      <w:r w:rsidRPr="0018329D">
        <w:rPr>
          <w:lang w:val="en-GB"/>
        </w:rPr>
        <w:t>of Eye</w:t>
      </w:r>
      <w:r w:rsidR="00D9525C">
        <w:rPr>
          <w:lang w:val="en-GB"/>
        </w:rPr>
        <w:t>-</w:t>
      </w:r>
      <w:r w:rsidRPr="0018329D">
        <w:rPr>
          <w:lang w:val="en-GB"/>
        </w:rPr>
        <w:t>Q’s</w:t>
      </w:r>
      <w:r w:rsidRPr="00592DF1">
        <w:rPr>
          <w:lang w:val="en-GB"/>
        </w:rPr>
        <w:t xml:space="preserve"> revenues came from empanelments and </w:t>
      </w:r>
      <w:r w:rsidR="0002604A">
        <w:rPr>
          <w:lang w:val="en-GB"/>
        </w:rPr>
        <w:t xml:space="preserve">from </w:t>
      </w:r>
      <w:r w:rsidRPr="00592DF1">
        <w:rPr>
          <w:lang w:val="en-GB"/>
        </w:rPr>
        <w:t>government</w:t>
      </w:r>
      <w:r w:rsidR="00905D1D">
        <w:rPr>
          <w:lang w:val="en-GB"/>
        </w:rPr>
        <w:t>-</w:t>
      </w:r>
      <w:r w:rsidRPr="00592DF1">
        <w:rPr>
          <w:lang w:val="en-GB"/>
        </w:rPr>
        <w:t xml:space="preserve">funded insurance </w:t>
      </w:r>
      <w:r w:rsidR="00905D1D">
        <w:rPr>
          <w:lang w:val="en-GB"/>
        </w:rPr>
        <w:t>programs</w:t>
      </w:r>
      <w:r w:rsidRPr="00592DF1">
        <w:rPr>
          <w:lang w:val="en-GB"/>
        </w:rPr>
        <w:t xml:space="preserve">. </w:t>
      </w:r>
    </w:p>
    <w:p w14:paraId="74100D51" w14:textId="77777777" w:rsidR="00C71764" w:rsidRPr="007039CC" w:rsidRDefault="00C71764" w:rsidP="00311FC3">
      <w:pPr>
        <w:pStyle w:val="BodyTextMain"/>
        <w:rPr>
          <w:sz w:val="18"/>
          <w:lang w:val="en-GB"/>
        </w:rPr>
      </w:pPr>
    </w:p>
    <w:p w14:paraId="26DBD669" w14:textId="77777777" w:rsidR="00D66A21" w:rsidRPr="007039CC" w:rsidRDefault="00D66A21" w:rsidP="00311FC3">
      <w:pPr>
        <w:pStyle w:val="BodyTextMain"/>
        <w:rPr>
          <w:sz w:val="18"/>
          <w:lang w:val="en-GB"/>
        </w:rPr>
      </w:pPr>
    </w:p>
    <w:p w14:paraId="5ABD48E5" w14:textId="77777777" w:rsidR="00C71764" w:rsidRPr="00592DF1" w:rsidRDefault="00C71764" w:rsidP="00747F0F">
      <w:pPr>
        <w:pStyle w:val="Casehead2"/>
        <w:keepNext/>
        <w:rPr>
          <w:lang w:val="en-GB"/>
        </w:rPr>
      </w:pPr>
      <w:r w:rsidRPr="00592DF1">
        <w:rPr>
          <w:lang w:val="en-GB"/>
        </w:rPr>
        <w:t>Focus on Quality</w:t>
      </w:r>
    </w:p>
    <w:p w14:paraId="2AA24F5C" w14:textId="77777777" w:rsidR="00C71764" w:rsidRPr="00C11BAE" w:rsidRDefault="00C71764" w:rsidP="00747F0F">
      <w:pPr>
        <w:pStyle w:val="BodyTextMain"/>
        <w:keepNext/>
        <w:rPr>
          <w:sz w:val="20"/>
          <w:lang w:val="en-GB"/>
        </w:rPr>
      </w:pPr>
    </w:p>
    <w:p w14:paraId="2FCB51EB" w14:textId="34D2B0FD" w:rsidR="00C71764" w:rsidRPr="00726F29" w:rsidRDefault="00C71764" w:rsidP="00747F0F">
      <w:pPr>
        <w:pStyle w:val="BodyTextMain"/>
        <w:keepNext/>
        <w:rPr>
          <w:spacing w:val="-4"/>
          <w:lang w:val="en-GB"/>
        </w:rPr>
      </w:pPr>
      <w:r w:rsidRPr="00726F29">
        <w:rPr>
          <w:spacing w:val="-4"/>
          <w:lang w:val="en-GB"/>
        </w:rPr>
        <w:t>Slowly but steadily, Eye</w:t>
      </w:r>
      <w:r w:rsidR="00D9525C" w:rsidRPr="00726F29">
        <w:rPr>
          <w:spacing w:val="-4"/>
          <w:lang w:val="en-GB"/>
        </w:rPr>
        <w:t>-</w:t>
      </w:r>
      <w:r w:rsidRPr="00726F29">
        <w:rPr>
          <w:spacing w:val="-4"/>
          <w:lang w:val="en-GB"/>
        </w:rPr>
        <w:t>Q built a good team of doctors and professionals</w:t>
      </w:r>
      <w:r w:rsidR="004C71F3">
        <w:rPr>
          <w:spacing w:val="-4"/>
          <w:lang w:val="en-GB"/>
        </w:rPr>
        <w:t>,</w:t>
      </w:r>
      <w:r w:rsidR="006F39ED" w:rsidRPr="00726F29">
        <w:rPr>
          <w:spacing w:val="-4"/>
          <w:lang w:val="en-GB"/>
        </w:rPr>
        <w:t xml:space="preserve"> and</w:t>
      </w:r>
      <w:r w:rsidRPr="00726F29">
        <w:rPr>
          <w:spacing w:val="-4"/>
          <w:lang w:val="en-GB"/>
        </w:rPr>
        <w:t xml:space="preserve"> set </w:t>
      </w:r>
      <w:r w:rsidR="0002604A" w:rsidRPr="00726F29">
        <w:rPr>
          <w:spacing w:val="-4"/>
          <w:lang w:val="en-GB"/>
        </w:rPr>
        <w:t xml:space="preserve">out some </w:t>
      </w:r>
      <w:r w:rsidRPr="00726F29">
        <w:rPr>
          <w:spacing w:val="-4"/>
          <w:lang w:val="en-GB"/>
        </w:rPr>
        <w:t>strict protocols for its operati</w:t>
      </w:r>
      <w:r w:rsidR="0002604A" w:rsidRPr="00726F29">
        <w:rPr>
          <w:spacing w:val="-4"/>
          <w:lang w:val="en-GB"/>
        </w:rPr>
        <w:t>ng</w:t>
      </w:r>
      <w:r w:rsidRPr="00726F29">
        <w:rPr>
          <w:spacing w:val="-4"/>
          <w:lang w:val="en-GB"/>
        </w:rPr>
        <w:t xml:space="preserve"> </w:t>
      </w:r>
      <w:r w:rsidR="0002604A" w:rsidRPr="00726F29">
        <w:rPr>
          <w:spacing w:val="-4"/>
          <w:lang w:val="en-GB"/>
        </w:rPr>
        <w:t xml:space="preserve">rooms </w:t>
      </w:r>
      <w:r w:rsidRPr="00726F29">
        <w:rPr>
          <w:spacing w:val="-4"/>
          <w:lang w:val="en-GB"/>
        </w:rPr>
        <w:t xml:space="preserve">and for </w:t>
      </w:r>
      <w:r w:rsidR="0042406B" w:rsidRPr="00726F29">
        <w:rPr>
          <w:spacing w:val="-4"/>
          <w:lang w:val="en-GB"/>
        </w:rPr>
        <w:t xml:space="preserve">its </w:t>
      </w:r>
      <w:r w:rsidRPr="00726F29">
        <w:rPr>
          <w:spacing w:val="-4"/>
          <w:lang w:val="en-GB"/>
        </w:rPr>
        <w:t>pre-operation and post-operation procedures.</w:t>
      </w:r>
      <w:r w:rsidR="0002604A" w:rsidRPr="00726F29">
        <w:rPr>
          <w:spacing w:val="-4"/>
          <w:lang w:val="en-GB"/>
        </w:rPr>
        <w:t xml:space="preserve"> </w:t>
      </w:r>
      <w:r w:rsidR="00743301" w:rsidRPr="00726F29">
        <w:rPr>
          <w:spacing w:val="-4"/>
          <w:lang w:val="en-GB"/>
        </w:rPr>
        <w:t>D</w:t>
      </w:r>
      <w:r w:rsidRPr="00726F29">
        <w:rPr>
          <w:spacing w:val="-4"/>
          <w:lang w:val="en-GB"/>
        </w:rPr>
        <w:t xml:space="preserve">aily and weekly reporting from the doctors at the centres not only provided data on the number of surgeries performed across the organization, but, more critically, </w:t>
      </w:r>
      <w:r w:rsidR="004C71F3">
        <w:rPr>
          <w:spacing w:val="-4"/>
          <w:lang w:val="en-GB"/>
        </w:rPr>
        <w:t>also</w:t>
      </w:r>
      <w:r w:rsidR="004C71F3" w:rsidRPr="00726F29">
        <w:rPr>
          <w:spacing w:val="-4"/>
          <w:lang w:val="en-GB"/>
        </w:rPr>
        <w:t xml:space="preserve"> </w:t>
      </w:r>
      <w:r w:rsidRPr="00726F29">
        <w:rPr>
          <w:spacing w:val="-4"/>
          <w:lang w:val="en-GB"/>
        </w:rPr>
        <w:t>captured data on complications that occurred at the centres. There were 40 to 50 different kinds of complications that could result from the procedures</w:t>
      </w:r>
      <w:r w:rsidR="0042406B" w:rsidRPr="00726F29">
        <w:rPr>
          <w:spacing w:val="-4"/>
          <w:lang w:val="en-GB"/>
        </w:rPr>
        <w:t>;</w:t>
      </w:r>
      <w:r w:rsidRPr="00726F29">
        <w:rPr>
          <w:spacing w:val="-4"/>
          <w:lang w:val="en-GB"/>
        </w:rPr>
        <w:t xml:space="preserve"> </w:t>
      </w:r>
      <w:r w:rsidR="0042406B" w:rsidRPr="00726F29">
        <w:rPr>
          <w:spacing w:val="-4"/>
          <w:lang w:val="en-GB"/>
        </w:rPr>
        <w:t>h</w:t>
      </w:r>
      <w:r w:rsidR="00743301" w:rsidRPr="00726F29">
        <w:rPr>
          <w:spacing w:val="-4"/>
          <w:lang w:val="en-GB"/>
        </w:rPr>
        <w:t xml:space="preserve">owever, </w:t>
      </w:r>
      <w:r w:rsidRPr="00726F29">
        <w:rPr>
          <w:spacing w:val="-4"/>
          <w:lang w:val="en-GB"/>
        </w:rPr>
        <w:t>Eye</w:t>
      </w:r>
      <w:r w:rsidR="00D9525C" w:rsidRPr="00726F29">
        <w:rPr>
          <w:spacing w:val="-4"/>
          <w:lang w:val="en-GB"/>
        </w:rPr>
        <w:t>-</w:t>
      </w:r>
      <w:r w:rsidRPr="00726F29">
        <w:rPr>
          <w:spacing w:val="-4"/>
          <w:lang w:val="en-GB"/>
        </w:rPr>
        <w:t xml:space="preserve">Q was able to prevent or combat most </w:t>
      </w:r>
      <w:r w:rsidR="0002604A" w:rsidRPr="00726F29">
        <w:rPr>
          <w:spacing w:val="-4"/>
          <w:lang w:val="en-GB"/>
        </w:rPr>
        <w:t xml:space="preserve">of them </w:t>
      </w:r>
      <w:r w:rsidRPr="00726F29">
        <w:rPr>
          <w:spacing w:val="-4"/>
          <w:lang w:val="en-GB"/>
        </w:rPr>
        <w:t>by following simple protocols</w:t>
      </w:r>
      <w:r w:rsidR="0042406B" w:rsidRPr="00726F29">
        <w:rPr>
          <w:spacing w:val="-4"/>
          <w:lang w:val="en-GB"/>
        </w:rPr>
        <w:t>,</w:t>
      </w:r>
      <w:r w:rsidRPr="00726F29">
        <w:rPr>
          <w:spacing w:val="-4"/>
          <w:lang w:val="en-GB"/>
        </w:rPr>
        <w:t xml:space="preserve"> such as sterilization and maintaining a hygienic environment. On average, </w:t>
      </w:r>
      <w:r w:rsidR="004445CB" w:rsidRPr="00726F29">
        <w:rPr>
          <w:spacing w:val="-4"/>
          <w:lang w:val="en-GB"/>
        </w:rPr>
        <w:t>Eye</w:t>
      </w:r>
      <w:r w:rsidR="00D9525C" w:rsidRPr="00726F29">
        <w:rPr>
          <w:spacing w:val="-4"/>
          <w:lang w:val="en-GB"/>
        </w:rPr>
        <w:t>-</w:t>
      </w:r>
      <w:r w:rsidR="004445CB" w:rsidRPr="00726F29">
        <w:rPr>
          <w:spacing w:val="-4"/>
          <w:lang w:val="en-GB"/>
        </w:rPr>
        <w:t>Q</w:t>
      </w:r>
      <w:r w:rsidRPr="00726F29">
        <w:rPr>
          <w:spacing w:val="-4"/>
          <w:lang w:val="en-GB"/>
        </w:rPr>
        <w:t xml:space="preserve"> conducted nearly 12,000 operations each year and had plans to increase this figure to 22,000 by 2015. According to </w:t>
      </w:r>
      <w:r w:rsidR="0042406B" w:rsidRPr="00726F29">
        <w:rPr>
          <w:spacing w:val="-4"/>
          <w:lang w:val="en-GB"/>
        </w:rPr>
        <w:t xml:space="preserve">the company’s </w:t>
      </w:r>
      <w:r w:rsidRPr="00726F29">
        <w:rPr>
          <w:spacing w:val="-4"/>
          <w:lang w:val="en-GB"/>
        </w:rPr>
        <w:t>2013 fourth</w:t>
      </w:r>
      <w:r w:rsidR="0002604A" w:rsidRPr="00726F29">
        <w:rPr>
          <w:spacing w:val="-4"/>
          <w:lang w:val="en-GB"/>
        </w:rPr>
        <w:t>-</w:t>
      </w:r>
      <w:r w:rsidRPr="00726F29">
        <w:rPr>
          <w:spacing w:val="-4"/>
          <w:lang w:val="en-GB"/>
        </w:rPr>
        <w:t>quarter results, not a single infection had been reported in the 4,000 eyes surgeries performed at Eye</w:t>
      </w:r>
      <w:r w:rsidR="00D9525C" w:rsidRPr="00726F29">
        <w:rPr>
          <w:spacing w:val="-4"/>
          <w:lang w:val="en-GB"/>
        </w:rPr>
        <w:t>-</w:t>
      </w:r>
      <w:r w:rsidRPr="00726F29">
        <w:rPr>
          <w:spacing w:val="-4"/>
          <w:lang w:val="en-GB"/>
        </w:rPr>
        <w:t>Q during that quarter. Goel observed:</w:t>
      </w:r>
    </w:p>
    <w:p w14:paraId="26126184" w14:textId="77777777" w:rsidR="00C71764" w:rsidRPr="00C11BAE" w:rsidRDefault="00C71764" w:rsidP="00311FC3">
      <w:pPr>
        <w:pStyle w:val="BodyTextMain"/>
        <w:rPr>
          <w:spacing w:val="-4"/>
          <w:sz w:val="20"/>
          <w:lang w:val="en-GB"/>
        </w:rPr>
      </w:pPr>
    </w:p>
    <w:p w14:paraId="2A33C0D3" w14:textId="11DC9A20" w:rsidR="00C71764" w:rsidRPr="007039CC" w:rsidRDefault="00C71764" w:rsidP="00311FC3">
      <w:pPr>
        <w:pStyle w:val="BodyTextMain"/>
        <w:ind w:left="720"/>
        <w:rPr>
          <w:lang w:val="en-GB"/>
        </w:rPr>
      </w:pPr>
      <w:r w:rsidRPr="007039CC">
        <w:rPr>
          <w:lang w:val="en-GB"/>
        </w:rPr>
        <w:t>While some other institutes in the country claim about 2,000 surgeries per doctor per year, at Eye</w:t>
      </w:r>
      <w:r w:rsidR="00D9525C" w:rsidRPr="007039CC">
        <w:rPr>
          <w:lang w:val="en-GB"/>
        </w:rPr>
        <w:t>-</w:t>
      </w:r>
      <w:r w:rsidRPr="007039CC">
        <w:rPr>
          <w:lang w:val="en-GB"/>
        </w:rPr>
        <w:t xml:space="preserve">Q, we have created a benchmark, that </w:t>
      </w:r>
      <w:r w:rsidR="0002604A" w:rsidRPr="007039CC">
        <w:rPr>
          <w:lang w:val="en-GB"/>
        </w:rPr>
        <w:t xml:space="preserve">is, </w:t>
      </w:r>
      <w:r w:rsidRPr="007039CC">
        <w:rPr>
          <w:lang w:val="en-GB"/>
        </w:rPr>
        <w:t>if a doctor sees around 40</w:t>
      </w:r>
      <w:r w:rsidR="0042406B" w:rsidRPr="007039CC">
        <w:rPr>
          <w:lang w:val="en-GB"/>
        </w:rPr>
        <w:t xml:space="preserve"> to </w:t>
      </w:r>
      <w:r w:rsidRPr="007039CC">
        <w:rPr>
          <w:lang w:val="en-GB"/>
        </w:rPr>
        <w:t>50 patients a day and does around 1,000 surgeries a year, he is doing a good job. The goal for Eye</w:t>
      </w:r>
      <w:r w:rsidR="00D9525C" w:rsidRPr="007039CC">
        <w:rPr>
          <w:lang w:val="en-GB"/>
        </w:rPr>
        <w:t>-</w:t>
      </w:r>
      <w:r w:rsidRPr="007039CC">
        <w:rPr>
          <w:lang w:val="en-GB"/>
        </w:rPr>
        <w:t>Q is to ensure that a patient who has undergone a procedure should be able to see clearly within a week, whereas the industry standard allows up to a month</w:t>
      </w:r>
      <w:r w:rsidR="0042406B" w:rsidRPr="007039CC">
        <w:rPr>
          <w:lang w:val="en-GB"/>
        </w:rPr>
        <w:t>.</w:t>
      </w:r>
      <w:r w:rsidRPr="007039CC">
        <w:rPr>
          <w:lang w:val="en-GB"/>
        </w:rPr>
        <w:t xml:space="preserve"> We have set a benchmark that surgeons should provide 85 per cent of their patients with 6/6 or 6/18 vision within a week and, at the same time, keep the number of infections low. </w:t>
      </w:r>
    </w:p>
    <w:p w14:paraId="1E791727" w14:textId="77777777" w:rsidR="00C71764" w:rsidRPr="00726F29" w:rsidRDefault="00C71764" w:rsidP="00C71764">
      <w:pPr>
        <w:jc w:val="both"/>
        <w:rPr>
          <w:spacing w:val="-4"/>
          <w:lang w:val="en-GB"/>
        </w:rPr>
      </w:pPr>
    </w:p>
    <w:p w14:paraId="2679E4FF" w14:textId="4424B785" w:rsidR="00C71764" w:rsidRPr="00726F29" w:rsidRDefault="00C71764" w:rsidP="00311FC3">
      <w:pPr>
        <w:pStyle w:val="BodyTextMain"/>
        <w:rPr>
          <w:spacing w:val="-4"/>
          <w:lang w:val="en-GB"/>
        </w:rPr>
      </w:pPr>
      <w:r w:rsidRPr="00726F29">
        <w:rPr>
          <w:spacing w:val="-4"/>
          <w:lang w:val="en-GB"/>
        </w:rPr>
        <w:t>According to Sharma</w:t>
      </w:r>
      <w:r w:rsidR="00B62401" w:rsidRPr="00726F29">
        <w:rPr>
          <w:spacing w:val="-4"/>
          <w:lang w:val="en-GB"/>
        </w:rPr>
        <w:t xml:space="preserve">, “We called this </w:t>
      </w:r>
      <w:r w:rsidR="00CD076A" w:rsidRPr="00726F29">
        <w:rPr>
          <w:spacing w:val="-4"/>
          <w:lang w:val="en-GB"/>
        </w:rPr>
        <w:t>‘</w:t>
      </w:r>
      <w:r w:rsidR="00B62401" w:rsidRPr="00726F29">
        <w:rPr>
          <w:spacing w:val="-4"/>
          <w:lang w:val="en-GB"/>
        </w:rPr>
        <w:t>the wow factor</w:t>
      </w:r>
      <w:r w:rsidR="0042406B" w:rsidRPr="00726F29">
        <w:rPr>
          <w:spacing w:val="-4"/>
          <w:lang w:val="en-GB"/>
        </w:rPr>
        <w:t>,</w:t>
      </w:r>
      <w:r w:rsidR="00CD076A" w:rsidRPr="00726F29">
        <w:rPr>
          <w:spacing w:val="-4"/>
          <w:lang w:val="en-GB"/>
        </w:rPr>
        <w:t>’</w:t>
      </w:r>
      <w:r w:rsidR="00B62401" w:rsidRPr="00726F29">
        <w:rPr>
          <w:spacing w:val="-4"/>
          <w:lang w:val="en-GB"/>
        </w:rPr>
        <w:t xml:space="preserve"> and </w:t>
      </w:r>
      <w:r w:rsidR="003654AB" w:rsidRPr="00726F29">
        <w:rPr>
          <w:spacing w:val="-4"/>
          <w:lang w:val="en-GB"/>
        </w:rPr>
        <w:t>[it</w:t>
      </w:r>
      <w:r w:rsidR="00B62401" w:rsidRPr="00726F29">
        <w:rPr>
          <w:spacing w:val="-4"/>
          <w:lang w:val="en-GB"/>
        </w:rPr>
        <w:t xml:space="preserve"> was </w:t>
      </w:r>
      <w:r w:rsidR="003654AB" w:rsidRPr="00726F29">
        <w:rPr>
          <w:spacing w:val="-4"/>
          <w:lang w:val="en-GB"/>
        </w:rPr>
        <w:t>the result]</w:t>
      </w:r>
      <w:r w:rsidR="00B62401" w:rsidRPr="00726F29">
        <w:rPr>
          <w:spacing w:val="-4"/>
          <w:lang w:val="en-GB"/>
        </w:rPr>
        <w:t xml:space="preserve"> we wanted from all our doctors.”</w:t>
      </w:r>
    </w:p>
    <w:p w14:paraId="2D52DC76" w14:textId="77777777" w:rsidR="00C71764" w:rsidRPr="007039CC" w:rsidRDefault="00C71764" w:rsidP="00C71764">
      <w:pPr>
        <w:jc w:val="both"/>
        <w:rPr>
          <w:sz w:val="18"/>
          <w:lang w:val="en-GB"/>
        </w:rPr>
      </w:pPr>
    </w:p>
    <w:p w14:paraId="5EE05BD4" w14:textId="0AAB214F" w:rsidR="00D66A21" w:rsidRPr="007039CC" w:rsidRDefault="00D66A21" w:rsidP="00C71764">
      <w:pPr>
        <w:jc w:val="both"/>
        <w:rPr>
          <w:sz w:val="18"/>
          <w:lang w:val="en-GB"/>
        </w:rPr>
      </w:pPr>
    </w:p>
    <w:p w14:paraId="602FC05C" w14:textId="77777777" w:rsidR="00C71764" w:rsidRPr="00592DF1" w:rsidRDefault="00C71764" w:rsidP="00726F29">
      <w:pPr>
        <w:pStyle w:val="Casehead2"/>
        <w:keepNext/>
        <w:rPr>
          <w:lang w:val="en-GB"/>
        </w:rPr>
      </w:pPr>
      <w:r w:rsidRPr="00592DF1">
        <w:rPr>
          <w:lang w:val="en-GB"/>
        </w:rPr>
        <w:t>Information Technology</w:t>
      </w:r>
    </w:p>
    <w:p w14:paraId="22F37C4A" w14:textId="77777777" w:rsidR="00C71764" w:rsidRPr="00592DF1" w:rsidRDefault="00C71764" w:rsidP="00726F29">
      <w:pPr>
        <w:pStyle w:val="BodyTextMain"/>
        <w:keepNext/>
        <w:rPr>
          <w:lang w:val="en-GB"/>
        </w:rPr>
      </w:pPr>
    </w:p>
    <w:p w14:paraId="71F3E7D0" w14:textId="378C5435" w:rsidR="00C71764" w:rsidRPr="00823405" w:rsidRDefault="00C71764" w:rsidP="00726F29">
      <w:pPr>
        <w:pStyle w:val="BodyTextMain"/>
        <w:keepNext/>
        <w:rPr>
          <w:lang w:val="en-GB"/>
        </w:rPr>
      </w:pPr>
      <w:r w:rsidRPr="00823405">
        <w:rPr>
          <w:lang w:val="en-GB"/>
        </w:rPr>
        <w:t>Within a year of starting operations, Eye</w:t>
      </w:r>
      <w:r w:rsidR="00D9525C" w:rsidRPr="00823405">
        <w:rPr>
          <w:lang w:val="en-GB"/>
        </w:rPr>
        <w:t>-</w:t>
      </w:r>
      <w:r w:rsidRPr="00823405">
        <w:rPr>
          <w:lang w:val="en-GB"/>
        </w:rPr>
        <w:t>Q decided it would be</w:t>
      </w:r>
      <w:r w:rsidR="00CD076A" w:rsidRPr="00823405">
        <w:rPr>
          <w:lang w:val="en-GB"/>
        </w:rPr>
        <w:t>come</w:t>
      </w:r>
      <w:r w:rsidRPr="00823405">
        <w:rPr>
          <w:lang w:val="en-GB"/>
        </w:rPr>
        <w:t xml:space="preserve"> a paperless hospital. </w:t>
      </w:r>
      <w:r w:rsidR="007752FD" w:rsidRPr="00823405">
        <w:rPr>
          <w:lang w:val="en-GB"/>
        </w:rPr>
        <w:t>A</w:t>
      </w:r>
      <w:r w:rsidRPr="00823405">
        <w:rPr>
          <w:lang w:val="en-GB"/>
        </w:rPr>
        <w:t>round mid-2008, Eye</w:t>
      </w:r>
      <w:r w:rsidR="00D9525C" w:rsidRPr="00823405">
        <w:rPr>
          <w:lang w:val="en-GB"/>
        </w:rPr>
        <w:t>-</w:t>
      </w:r>
      <w:r w:rsidRPr="00823405">
        <w:rPr>
          <w:lang w:val="en-GB"/>
        </w:rPr>
        <w:t xml:space="preserve">Q adopted </w:t>
      </w:r>
      <w:r w:rsidR="00683CFF" w:rsidRPr="00823405">
        <w:rPr>
          <w:lang w:val="en-GB"/>
        </w:rPr>
        <w:t xml:space="preserve">an information technology (IT) solution called </w:t>
      </w:r>
      <w:r w:rsidRPr="00823405">
        <w:rPr>
          <w:lang w:val="en-GB"/>
        </w:rPr>
        <w:t xml:space="preserve">Lekhisoft, a hospital management system with modules for managing electronic medical records, appointments, </w:t>
      </w:r>
      <w:r w:rsidR="0042406B" w:rsidRPr="00823405">
        <w:rPr>
          <w:lang w:val="en-GB"/>
        </w:rPr>
        <w:t xml:space="preserve">and </w:t>
      </w:r>
      <w:r w:rsidRPr="00823405">
        <w:rPr>
          <w:lang w:val="en-GB"/>
        </w:rPr>
        <w:t>billing</w:t>
      </w:r>
      <w:r w:rsidR="0042406B" w:rsidRPr="00823405">
        <w:rPr>
          <w:lang w:val="en-GB"/>
        </w:rPr>
        <w:t>.</w:t>
      </w:r>
      <w:r w:rsidRPr="00823405">
        <w:rPr>
          <w:lang w:val="en-GB"/>
        </w:rPr>
        <w:t xml:space="preserve"> This </w:t>
      </w:r>
      <w:r w:rsidR="0042406B" w:rsidRPr="00823405">
        <w:rPr>
          <w:lang w:val="en-GB"/>
        </w:rPr>
        <w:t xml:space="preserve">program </w:t>
      </w:r>
      <w:r w:rsidRPr="00823405">
        <w:rPr>
          <w:lang w:val="en-GB"/>
        </w:rPr>
        <w:lastRenderedPageBreak/>
        <w:t>was developed by a small software company based in Indore and was popular with some of the smaller hospitals in North India. Lekhisoft was able to serve Eye</w:t>
      </w:r>
      <w:r w:rsidR="00D9525C" w:rsidRPr="00823405">
        <w:rPr>
          <w:lang w:val="en-GB"/>
        </w:rPr>
        <w:t>-</w:t>
      </w:r>
      <w:r w:rsidRPr="00823405">
        <w:rPr>
          <w:lang w:val="en-GB"/>
        </w:rPr>
        <w:t xml:space="preserve">Q’s needs as it scaled up to </w:t>
      </w:r>
      <w:r w:rsidR="0042406B" w:rsidRPr="00823405">
        <w:rPr>
          <w:lang w:val="en-GB"/>
        </w:rPr>
        <w:t xml:space="preserve">serve </w:t>
      </w:r>
      <w:r w:rsidRPr="00823405">
        <w:rPr>
          <w:lang w:val="en-GB"/>
        </w:rPr>
        <w:t>about 10</w:t>
      </w:r>
      <w:r w:rsidR="0042406B" w:rsidRPr="00823405">
        <w:rPr>
          <w:lang w:val="en-GB"/>
        </w:rPr>
        <w:t xml:space="preserve"> to </w:t>
      </w:r>
      <w:r w:rsidRPr="00823405">
        <w:rPr>
          <w:lang w:val="en-GB"/>
        </w:rPr>
        <w:t>12 hospitals. Along with Lekhisoft, Eye</w:t>
      </w:r>
      <w:r w:rsidR="00D9525C" w:rsidRPr="00823405">
        <w:rPr>
          <w:lang w:val="en-GB"/>
        </w:rPr>
        <w:t>-</w:t>
      </w:r>
      <w:r w:rsidRPr="00823405">
        <w:rPr>
          <w:lang w:val="en-GB"/>
        </w:rPr>
        <w:t>Q was also using Tally, an</w:t>
      </w:r>
      <w:r w:rsidR="00775D7A" w:rsidRPr="00823405">
        <w:rPr>
          <w:lang w:val="en-GB"/>
        </w:rPr>
        <w:t xml:space="preserve"> </w:t>
      </w:r>
      <w:r w:rsidRPr="00823405">
        <w:rPr>
          <w:lang w:val="en-GB"/>
        </w:rPr>
        <w:t>accounting software. However, with further expansion and growth, the organization ran into problems with the scalability of th</w:t>
      </w:r>
      <w:r w:rsidR="0042406B" w:rsidRPr="00823405">
        <w:rPr>
          <w:lang w:val="en-GB"/>
        </w:rPr>
        <w:t>is</w:t>
      </w:r>
      <w:r w:rsidRPr="00823405">
        <w:rPr>
          <w:lang w:val="en-GB"/>
        </w:rPr>
        <w:t xml:space="preserve"> software and the aggregation of data across </w:t>
      </w:r>
      <w:r w:rsidR="0042406B" w:rsidRPr="00823405">
        <w:rPr>
          <w:lang w:val="en-GB"/>
        </w:rPr>
        <w:t>Eye</w:t>
      </w:r>
      <w:r w:rsidR="00D9525C" w:rsidRPr="00823405">
        <w:rPr>
          <w:lang w:val="en-GB"/>
        </w:rPr>
        <w:t>-</w:t>
      </w:r>
      <w:r w:rsidR="0042406B" w:rsidRPr="00823405">
        <w:rPr>
          <w:lang w:val="en-GB"/>
        </w:rPr>
        <w:t>Q’s</w:t>
      </w:r>
      <w:r w:rsidRPr="00823405">
        <w:rPr>
          <w:lang w:val="en-GB"/>
        </w:rPr>
        <w:t xml:space="preserve"> centres. </w:t>
      </w:r>
    </w:p>
    <w:p w14:paraId="35111AF6" w14:textId="77777777" w:rsidR="00C71764" w:rsidRPr="00C11BAE" w:rsidRDefault="00C71764" w:rsidP="00311FC3">
      <w:pPr>
        <w:pStyle w:val="BodyTextMain"/>
        <w:rPr>
          <w:sz w:val="20"/>
          <w:lang w:val="en-GB"/>
        </w:rPr>
      </w:pPr>
    </w:p>
    <w:p w14:paraId="6C4427B5" w14:textId="2E91FBC1" w:rsidR="00775D7A" w:rsidRPr="00726F29" w:rsidRDefault="00C71764" w:rsidP="00311FC3">
      <w:pPr>
        <w:pStyle w:val="BodyTextMain"/>
        <w:rPr>
          <w:spacing w:val="-2"/>
          <w:lang w:val="en-GB"/>
        </w:rPr>
      </w:pPr>
      <w:r w:rsidRPr="00726F29">
        <w:rPr>
          <w:spacing w:val="-2"/>
          <w:lang w:val="en-GB"/>
        </w:rPr>
        <w:t>By 2010, when Eye</w:t>
      </w:r>
      <w:r w:rsidR="00D9525C" w:rsidRPr="00726F29">
        <w:rPr>
          <w:spacing w:val="-2"/>
          <w:lang w:val="en-GB"/>
        </w:rPr>
        <w:t>-</w:t>
      </w:r>
      <w:r w:rsidRPr="00726F29">
        <w:rPr>
          <w:spacing w:val="-2"/>
          <w:lang w:val="en-GB"/>
        </w:rPr>
        <w:t>Q had grown to around 16</w:t>
      </w:r>
      <w:r w:rsidR="00683CFF" w:rsidRPr="00726F29">
        <w:rPr>
          <w:spacing w:val="-2"/>
          <w:lang w:val="en-GB"/>
        </w:rPr>
        <w:t xml:space="preserve"> or </w:t>
      </w:r>
      <w:r w:rsidRPr="00726F29">
        <w:rPr>
          <w:spacing w:val="-2"/>
          <w:lang w:val="en-GB"/>
        </w:rPr>
        <w:t>17 centres, it replaced Tally with Microsoft Navision, an enterprise</w:t>
      </w:r>
      <w:r w:rsidR="004C71F3">
        <w:rPr>
          <w:spacing w:val="-2"/>
          <w:lang w:val="en-GB"/>
        </w:rPr>
        <w:t xml:space="preserve"> </w:t>
      </w:r>
      <w:r w:rsidRPr="00726F29">
        <w:rPr>
          <w:spacing w:val="-2"/>
          <w:lang w:val="en-GB"/>
        </w:rPr>
        <w:t>resource</w:t>
      </w:r>
      <w:r w:rsidR="004C71F3">
        <w:rPr>
          <w:spacing w:val="-2"/>
          <w:lang w:val="en-GB"/>
        </w:rPr>
        <w:t xml:space="preserve"> </w:t>
      </w:r>
      <w:r w:rsidRPr="00726F29">
        <w:rPr>
          <w:spacing w:val="-2"/>
          <w:lang w:val="en-GB"/>
        </w:rPr>
        <w:t xml:space="preserve">planning software product for financial accounting. </w:t>
      </w:r>
      <w:r w:rsidR="00683CFF" w:rsidRPr="00726F29">
        <w:rPr>
          <w:spacing w:val="-2"/>
          <w:lang w:val="en-GB"/>
        </w:rPr>
        <w:t>The company</w:t>
      </w:r>
      <w:r w:rsidRPr="00726F29">
        <w:rPr>
          <w:spacing w:val="-2"/>
          <w:lang w:val="en-GB"/>
        </w:rPr>
        <w:t xml:space="preserve"> also decided to invest in a cloud-based solution to replace Lekhisoft</w:t>
      </w:r>
      <w:r w:rsidR="00775D7A" w:rsidRPr="00726F29">
        <w:rPr>
          <w:spacing w:val="-2"/>
          <w:lang w:val="en-GB"/>
        </w:rPr>
        <w:t>,</w:t>
      </w:r>
      <w:r w:rsidRPr="00726F29">
        <w:rPr>
          <w:spacing w:val="-2"/>
          <w:lang w:val="en-GB"/>
        </w:rPr>
        <w:t xml:space="preserve"> a stable product developed by Tata Consultancy Services</w:t>
      </w:r>
      <w:r w:rsidR="009769A8" w:rsidRPr="00726F29">
        <w:rPr>
          <w:spacing w:val="-2"/>
          <w:lang w:val="en-GB"/>
        </w:rPr>
        <w:t xml:space="preserve"> in</w:t>
      </w:r>
      <w:r w:rsidRPr="00726F29">
        <w:rPr>
          <w:spacing w:val="-2"/>
          <w:lang w:val="en-GB"/>
        </w:rPr>
        <w:t xml:space="preserve"> conjunction with Shankar Netralaya</w:t>
      </w:r>
      <w:r w:rsidR="00775D7A" w:rsidRPr="00726F29">
        <w:rPr>
          <w:spacing w:val="-2"/>
          <w:lang w:val="en-GB"/>
        </w:rPr>
        <w:t>.</w:t>
      </w:r>
      <w:r w:rsidR="00683CFF" w:rsidRPr="00726F29">
        <w:rPr>
          <w:spacing w:val="-2"/>
          <w:lang w:val="en-GB"/>
        </w:rPr>
        <w:t xml:space="preserve"> </w:t>
      </w:r>
      <w:r w:rsidR="00775D7A" w:rsidRPr="00726F29">
        <w:rPr>
          <w:spacing w:val="-2"/>
          <w:lang w:val="en-GB"/>
        </w:rPr>
        <w:t>T</w:t>
      </w:r>
      <w:r w:rsidR="00683CFF" w:rsidRPr="00726F29">
        <w:rPr>
          <w:spacing w:val="-2"/>
          <w:lang w:val="en-GB"/>
        </w:rPr>
        <w:t xml:space="preserve">he </w:t>
      </w:r>
      <w:r w:rsidR="00775D7A" w:rsidRPr="00726F29">
        <w:rPr>
          <w:spacing w:val="-2"/>
          <w:lang w:val="en-GB"/>
        </w:rPr>
        <w:t xml:space="preserve">new </w:t>
      </w:r>
      <w:r w:rsidR="00683CFF" w:rsidRPr="00726F29">
        <w:rPr>
          <w:spacing w:val="-2"/>
          <w:lang w:val="en-GB"/>
        </w:rPr>
        <w:t>program</w:t>
      </w:r>
      <w:r w:rsidRPr="00726F29">
        <w:rPr>
          <w:spacing w:val="-2"/>
          <w:lang w:val="en-GB"/>
        </w:rPr>
        <w:t xml:space="preserve"> had evolved over seven to eight years and addressed all of Eye</w:t>
      </w:r>
      <w:r w:rsidR="00D9525C" w:rsidRPr="00726F29">
        <w:rPr>
          <w:spacing w:val="-2"/>
          <w:lang w:val="en-GB"/>
        </w:rPr>
        <w:t>-</w:t>
      </w:r>
      <w:r w:rsidRPr="00726F29">
        <w:rPr>
          <w:spacing w:val="-2"/>
          <w:lang w:val="en-GB"/>
        </w:rPr>
        <w:t>Q’s needs.</w:t>
      </w:r>
      <w:r w:rsidR="007A74EB" w:rsidRPr="00726F29">
        <w:rPr>
          <w:spacing w:val="-2"/>
          <w:lang w:val="en-GB"/>
        </w:rPr>
        <w:t xml:space="preserve"> </w:t>
      </w:r>
      <w:r w:rsidRPr="00726F29">
        <w:rPr>
          <w:spacing w:val="-2"/>
          <w:lang w:val="en-GB"/>
        </w:rPr>
        <w:t>Initially, Eye</w:t>
      </w:r>
      <w:r w:rsidR="00D9525C" w:rsidRPr="00726F29">
        <w:rPr>
          <w:spacing w:val="-2"/>
          <w:lang w:val="en-GB"/>
        </w:rPr>
        <w:t>-</w:t>
      </w:r>
      <w:r w:rsidRPr="00726F29">
        <w:rPr>
          <w:spacing w:val="-2"/>
          <w:lang w:val="en-GB"/>
        </w:rPr>
        <w:t>Q’s doctors, who were accustomed to working with patient files and printed reports or documents, found it challenging to use the unfamiliar software</w:t>
      </w:r>
      <w:r w:rsidR="00683CFF" w:rsidRPr="00726F29">
        <w:rPr>
          <w:spacing w:val="-2"/>
          <w:lang w:val="en-GB"/>
        </w:rPr>
        <w:t>;</w:t>
      </w:r>
      <w:r w:rsidRPr="00726F29">
        <w:rPr>
          <w:spacing w:val="-2"/>
          <w:lang w:val="en-GB"/>
        </w:rPr>
        <w:t xml:space="preserve"> </w:t>
      </w:r>
      <w:r w:rsidR="00683CFF" w:rsidRPr="00726F29">
        <w:rPr>
          <w:spacing w:val="-2"/>
          <w:lang w:val="en-GB"/>
        </w:rPr>
        <w:t>h</w:t>
      </w:r>
      <w:r w:rsidRPr="00726F29">
        <w:rPr>
          <w:spacing w:val="-2"/>
          <w:lang w:val="en-GB"/>
        </w:rPr>
        <w:t>owever, their resistance to the software faded over time as they realized its value and the criticality of the data it helped to maintain.</w:t>
      </w:r>
      <w:r w:rsidR="006F39ED" w:rsidRPr="00726F29">
        <w:rPr>
          <w:spacing w:val="-2"/>
          <w:lang w:val="en-GB"/>
        </w:rPr>
        <w:t xml:space="preserve"> </w:t>
      </w:r>
    </w:p>
    <w:p w14:paraId="0DB42A84" w14:textId="77777777" w:rsidR="00775D7A" w:rsidRPr="00C11BAE" w:rsidRDefault="00775D7A" w:rsidP="00311FC3">
      <w:pPr>
        <w:pStyle w:val="BodyTextMain"/>
        <w:rPr>
          <w:sz w:val="20"/>
          <w:lang w:val="en-GB"/>
        </w:rPr>
      </w:pPr>
    </w:p>
    <w:p w14:paraId="53CFC2D3" w14:textId="56E03DB9" w:rsidR="00C71764" w:rsidRPr="00592DF1" w:rsidRDefault="00775D7A" w:rsidP="00311FC3">
      <w:pPr>
        <w:pStyle w:val="BodyTextMain"/>
        <w:rPr>
          <w:lang w:val="en-GB"/>
        </w:rPr>
      </w:pPr>
      <w:r>
        <w:rPr>
          <w:lang w:val="en-GB"/>
        </w:rPr>
        <w:t>One</w:t>
      </w:r>
      <w:r w:rsidR="00C71764" w:rsidRPr="0018329D">
        <w:rPr>
          <w:lang w:val="en-GB"/>
        </w:rPr>
        <w:t xml:space="preserve"> major challenge for Eye</w:t>
      </w:r>
      <w:r w:rsidR="00D9525C">
        <w:rPr>
          <w:lang w:val="en-GB"/>
        </w:rPr>
        <w:t>-</w:t>
      </w:r>
      <w:r w:rsidR="00C71764" w:rsidRPr="0018329D">
        <w:rPr>
          <w:lang w:val="en-GB"/>
        </w:rPr>
        <w:t>Q</w:t>
      </w:r>
      <w:r w:rsidR="00C71764" w:rsidRPr="00592DF1">
        <w:rPr>
          <w:lang w:val="en-GB"/>
        </w:rPr>
        <w:t xml:space="preserve"> was that most of </w:t>
      </w:r>
      <w:r w:rsidR="00683CFF">
        <w:rPr>
          <w:lang w:val="en-GB"/>
        </w:rPr>
        <w:t>its</w:t>
      </w:r>
      <w:r w:rsidR="00683CFF" w:rsidRPr="00592DF1">
        <w:rPr>
          <w:lang w:val="en-GB"/>
        </w:rPr>
        <w:t xml:space="preserve"> </w:t>
      </w:r>
      <w:r w:rsidR="00C71764" w:rsidRPr="00592DF1">
        <w:rPr>
          <w:lang w:val="en-GB"/>
        </w:rPr>
        <w:t xml:space="preserve">centres were located in small towns. By the very nature of the work, it was </w:t>
      </w:r>
      <w:r w:rsidR="00683CFF">
        <w:rPr>
          <w:lang w:val="en-GB"/>
        </w:rPr>
        <w:t>imperative</w:t>
      </w:r>
      <w:r w:rsidR="00C71764" w:rsidRPr="00592DF1">
        <w:rPr>
          <w:lang w:val="en-GB"/>
        </w:rPr>
        <w:t xml:space="preserve"> to have the software running at all times. </w:t>
      </w:r>
      <w:r w:rsidR="00C71764" w:rsidRPr="0018329D">
        <w:rPr>
          <w:lang w:val="en-GB"/>
        </w:rPr>
        <w:t>Therefore, Eye</w:t>
      </w:r>
      <w:r w:rsidR="00D9525C">
        <w:rPr>
          <w:lang w:val="en-GB"/>
        </w:rPr>
        <w:t>-</w:t>
      </w:r>
      <w:r w:rsidR="00C71764" w:rsidRPr="0018329D">
        <w:rPr>
          <w:lang w:val="en-GB"/>
        </w:rPr>
        <w:t>Q</w:t>
      </w:r>
      <w:r w:rsidR="00C71764" w:rsidRPr="00592DF1">
        <w:rPr>
          <w:lang w:val="en-GB"/>
        </w:rPr>
        <w:t xml:space="preserve"> </w:t>
      </w:r>
      <w:r w:rsidR="00C71764" w:rsidRPr="0018329D">
        <w:rPr>
          <w:lang w:val="en-GB"/>
        </w:rPr>
        <w:t>adopted Reliance Communications’ multiprotocol label switching (MPLS) virtual private networks</w:t>
      </w:r>
      <w:r w:rsidR="00C71764" w:rsidRPr="00592DF1">
        <w:rPr>
          <w:lang w:val="en-GB"/>
        </w:rPr>
        <w:t xml:space="preserve"> (VPN) service to achieve 100 per cent uptime and seamless connectivity across its hospitals. Further, to ensure data security and stability, all the applications were hosted at a data centre managed by Tikona</w:t>
      </w:r>
      <w:r w:rsidR="007039CC">
        <w:rPr>
          <w:lang w:val="en-GB"/>
        </w:rPr>
        <w:t xml:space="preserve"> Infinet Ltd.</w:t>
      </w:r>
      <w:r w:rsidR="00C71764" w:rsidRPr="00592DF1">
        <w:rPr>
          <w:lang w:val="en-GB"/>
        </w:rPr>
        <w:t xml:space="preserve"> </w:t>
      </w:r>
    </w:p>
    <w:p w14:paraId="6471ED52" w14:textId="77777777" w:rsidR="00C71764" w:rsidRPr="00C11BAE" w:rsidRDefault="00C71764" w:rsidP="00311FC3">
      <w:pPr>
        <w:pStyle w:val="BodyTextMain"/>
        <w:rPr>
          <w:sz w:val="20"/>
          <w:lang w:val="en-GB"/>
        </w:rPr>
      </w:pPr>
    </w:p>
    <w:p w14:paraId="01AA465F" w14:textId="464BFA99" w:rsidR="00C71764" w:rsidRPr="00592DF1" w:rsidRDefault="00683CFF" w:rsidP="007168BD">
      <w:pPr>
        <w:pStyle w:val="BodyTextMain"/>
        <w:rPr>
          <w:lang w:val="en-GB"/>
        </w:rPr>
      </w:pPr>
      <w:r>
        <w:rPr>
          <w:lang w:val="en-GB"/>
        </w:rPr>
        <w:t xml:space="preserve">In terms of </w:t>
      </w:r>
      <w:r w:rsidR="00FF7B37">
        <w:rPr>
          <w:lang w:val="en-GB"/>
        </w:rPr>
        <w:t>Eye</w:t>
      </w:r>
      <w:r w:rsidR="00D9525C">
        <w:rPr>
          <w:lang w:val="en-GB"/>
        </w:rPr>
        <w:t>-</w:t>
      </w:r>
      <w:r w:rsidR="00FF7B37">
        <w:rPr>
          <w:lang w:val="en-GB"/>
        </w:rPr>
        <w:t>Q’s</w:t>
      </w:r>
      <w:r>
        <w:rPr>
          <w:lang w:val="en-GB"/>
        </w:rPr>
        <w:t xml:space="preserve"> </w:t>
      </w:r>
      <w:r w:rsidR="00775D7A">
        <w:rPr>
          <w:lang w:val="en-GB"/>
        </w:rPr>
        <w:t>company</w:t>
      </w:r>
      <w:r w:rsidR="00106CDA">
        <w:rPr>
          <w:lang w:val="en-GB"/>
        </w:rPr>
        <w:t>-</w:t>
      </w:r>
      <w:r w:rsidR="00FF7B37">
        <w:rPr>
          <w:lang w:val="en-GB"/>
        </w:rPr>
        <w:t xml:space="preserve">wide use of </w:t>
      </w:r>
      <w:r>
        <w:rPr>
          <w:lang w:val="en-GB"/>
        </w:rPr>
        <w:t>IT</w:t>
      </w:r>
      <w:r w:rsidR="00FF7B37">
        <w:rPr>
          <w:lang w:val="en-GB"/>
        </w:rPr>
        <w:t>,</w:t>
      </w:r>
      <w:r>
        <w:rPr>
          <w:lang w:val="en-GB"/>
        </w:rPr>
        <w:t xml:space="preserve"> </w:t>
      </w:r>
      <w:r w:rsidR="00106CDA">
        <w:rPr>
          <w:lang w:val="en-GB"/>
        </w:rPr>
        <w:t>staffing</w:t>
      </w:r>
      <w:r w:rsidR="00106CDA" w:rsidRPr="00592DF1">
        <w:rPr>
          <w:lang w:val="en-GB"/>
        </w:rPr>
        <w:t xml:space="preserve"> </w:t>
      </w:r>
      <w:r w:rsidR="00C71764" w:rsidRPr="00592DF1">
        <w:rPr>
          <w:lang w:val="en-GB"/>
        </w:rPr>
        <w:t>issues such as getting the right talent for IT management and training them on the software</w:t>
      </w:r>
      <w:r>
        <w:rPr>
          <w:lang w:val="en-GB"/>
        </w:rPr>
        <w:t xml:space="preserve"> continued to pose a challenge for the organization</w:t>
      </w:r>
      <w:r w:rsidR="00C71764" w:rsidRPr="00592DF1">
        <w:rPr>
          <w:lang w:val="en-GB"/>
        </w:rPr>
        <w:t xml:space="preserve">. To overcome this </w:t>
      </w:r>
      <w:r w:rsidR="00C71764" w:rsidRPr="0018329D">
        <w:rPr>
          <w:lang w:val="en-GB"/>
        </w:rPr>
        <w:t>problem, Eye</w:t>
      </w:r>
      <w:r w:rsidR="00D9525C">
        <w:rPr>
          <w:lang w:val="en-GB"/>
        </w:rPr>
        <w:t>-</w:t>
      </w:r>
      <w:r w:rsidR="00C71764" w:rsidRPr="0018329D">
        <w:rPr>
          <w:lang w:val="en-GB"/>
        </w:rPr>
        <w:t>Q</w:t>
      </w:r>
      <w:r w:rsidR="00C71764" w:rsidRPr="00592DF1">
        <w:rPr>
          <w:lang w:val="en-GB"/>
        </w:rPr>
        <w:t xml:space="preserve"> </w:t>
      </w:r>
      <w:r w:rsidR="00C71764" w:rsidRPr="0018329D">
        <w:rPr>
          <w:lang w:val="en-GB"/>
        </w:rPr>
        <w:t xml:space="preserve">decided to recruit people for </w:t>
      </w:r>
      <w:r w:rsidR="00FF7B37">
        <w:rPr>
          <w:lang w:val="en-GB"/>
        </w:rPr>
        <w:t>its</w:t>
      </w:r>
      <w:r w:rsidR="00FF7B37" w:rsidRPr="0018329D">
        <w:rPr>
          <w:lang w:val="en-GB"/>
        </w:rPr>
        <w:t xml:space="preserve"> </w:t>
      </w:r>
      <w:r w:rsidR="00C71764" w:rsidRPr="0018329D">
        <w:rPr>
          <w:lang w:val="en-GB"/>
        </w:rPr>
        <w:t>IT team from smaller and less well-known institutes</w:t>
      </w:r>
      <w:r w:rsidR="00775D7A">
        <w:rPr>
          <w:lang w:val="en-GB"/>
        </w:rPr>
        <w:t xml:space="preserve">, in turn </w:t>
      </w:r>
      <w:r w:rsidR="00C71764" w:rsidRPr="0018329D">
        <w:rPr>
          <w:lang w:val="en-GB"/>
        </w:rPr>
        <w:t>provid</w:t>
      </w:r>
      <w:r w:rsidR="00775D7A">
        <w:rPr>
          <w:lang w:val="en-GB"/>
        </w:rPr>
        <w:t>ing</w:t>
      </w:r>
      <w:r w:rsidR="00C71764" w:rsidRPr="00592DF1">
        <w:rPr>
          <w:lang w:val="en-GB"/>
        </w:rPr>
        <w:t xml:space="preserve"> them with in-house training. Elaborating on the streamlined system that </w:t>
      </w:r>
      <w:r w:rsidR="00FF7B37">
        <w:rPr>
          <w:lang w:val="en-GB"/>
        </w:rPr>
        <w:t>Eye</w:t>
      </w:r>
      <w:r w:rsidR="00D9525C">
        <w:rPr>
          <w:lang w:val="en-GB"/>
        </w:rPr>
        <w:t>-</w:t>
      </w:r>
      <w:r w:rsidR="00FF7B37">
        <w:rPr>
          <w:lang w:val="en-GB"/>
        </w:rPr>
        <w:t>Q was</w:t>
      </w:r>
      <w:r w:rsidR="00C71764" w:rsidRPr="00592DF1">
        <w:rPr>
          <w:lang w:val="en-GB"/>
        </w:rPr>
        <w:t xml:space="preserve"> able to put in place over time, T. Venkateswaran, </w:t>
      </w:r>
      <w:r w:rsidR="00FF7B37">
        <w:rPr>
          <w:lang w:val="en-GB"/>
        </w:rPr>
        <w:t>h</w:t>
      </w:r>
      <w:r w:rsidR="00C71764" w:rsidRPr="00592DF1">
        <w:rPr>
          <w:lang w:val="en-GB"/>
        </w:rPr>
        <w:t xml:space="preserve">ead of </w:t>
      </w:r>
      <w:r w:rsidR="00C71764" w:rsidRPr="0018329D">
        <w:rPr>
          <w:lang w:val="en-GB"/>
        </w:rPr>
        <w:t>IT at Eye</w:t>
      </w:r>
      <w:r w:rsidR="00D9525C">
        <w:rPr>
          <w:lang w:val="en-GB"/>
        </w:rPr>
        <w:t>-</w:t>
      </w:r>
      <w:r w:rsidR="00C71764" w:rsidRPr="0018329D">
        <w:rPr>
          <w:lang w:val="en-GB"/>
        </w:rPr>
        <w:t>Q, said</w:t>
      </w:r>
      <w:r w:rsidR="00106CDA">
        <w:rPr>
          <w:lang w:val="en-GB"/>
        </w:rPr>
        <w:t>,</w:t>
      </w:r>
      <w:r w:rsidR="00C71764" w:rsidRPr="00592DF1">
        <w:rPr>
          <w:lang w:val="en-GB"/>
        </w:rPr>
        <w:t xml:space="preserve"> </w:t>
      </w:r>
      <w:r w:rsidR="00AD5420">
        <w:rPr>
          <w:lang w:val="en-GB"/>
        </w:rPr>
        <w:t>“</w:t>
      </w:r>
      <w:r w:rsidR="00C71764" w:rsidRPr="00592DF1">
        <w:rPr>
          <w:lang w:val="en-GB"/>
        </w:rPr>
        <w:t xml:space="preserve">Today, a new centre can </w:t>
      </w:r>
      <w:r w:rsidR="00775D7A">
        <w:rPr>
          <w:lang w:val="en-GB"/>
        </w:rPr>
        <w:t>‘</w:t>
      </w:r>
      <w:r w:rsidR="00C71764" w:rsidRPr="00592DF1">
        <w:rPr>
          <w:lang w:val="en-GB"/>
        </w:rPr>
        <w:t>go live</w:t>
      </w:r>
      <w:r w:rsidR="00775D7A">
        <w:rPr>
          <w:lang w:val="en-GB"/>
        </w:rPr>
        <w:t>’</w:t>
      </w:r>
      <w:r w:rsidR="00C71764" w:rsidRPr="00592DF1">
        <w:rPr>
          <w:lang w:val="en-GB"/>
        </w:rPr>
        <w:t xml:space="preserve"> in four days</w:t>
      </w:r>
      <w:r w:rsidR="00FF7B37">
        <w:rPr>
          <w:lang w:val="en-GB"/>
        </w:rPr>
        <w:t>,</w:t>
      </w:r>
      <w:r w:rsidR="00C71764" w:rsidRPr="00592DF1">
        <w:rPr>
          <w:lang w:val="en-GB"/>
        </w:rPr>
        <w:t xml:space="preserve"> </w:t>
      </w:r>
      <w:r w:rsidR="000C30D4">
        <w:rPr>
          <w:lang w:val="en-GB"/>
        </w:rPr>
        <w:t>[</w:t>
      </w:r>
      <w:r w:rsidR="00C71764" w:rsidRPr="00592DF1">
        <w:rPr>
          <w:lang w:val="en-GB"/>
        </w:rPr>
        <w:t>includ</w:t>
      </w:r>
      <w:r w:rsidR="000C30D4">
        <w:rPr>
          <w:lang w:val="en-GB"/>
        </w:rPr>
        <w:t>ing]</w:t>
      </w:r>
      <w:r w:rsidR="00C71764" w:rsidRPr="00592DF1">
        <w:rPr>
          <w:lang w:val="en-GB"/>
        </w:rPr>
        <w:t xml:space="preserve"> the time allocated for training</w:t>
      </w:r>
      <w:r w:rsidR="00AD5420">
        <w:rPr>
          <w:lang w:val="en-GB"/>
        </w:rPr>
        <w:t>.”</w:t>
      </w:r>
    </w:p>
    <w:p w14:paraId="7C5A6D58" w14:textId="77777777" w:rsidR="00C71764" w:rsidRPr="00C11BAE" w:rsidRDefault="00C71764" w:rsidP="00311FC3">
      <w:pPr>
        <w:pStyle w:val="BodyTextMain"/>
        <w:rPr>
          <w:sz w:val="20"/>
          <w:lang w:val="en-GB"/>
        </w:rPr>
      </w:pPr>
    </w:p>
    <w:p w14:paraId="3421CA13" w14:textId="77777777" w:rsidR="00D66A21" w:rsidRPr="00C11BAE" w:rsidRDefault="00D66A21" w:rsidP="00311FC3">
      <w:pPr>
        <w:pStyle w:val="BodyTextMain"/>
        <w:rPr>
          <w:sz w:val="20"/>
          <w:lang w:val="en-GB"/>
        </w:rPr>
      </w:pPr>
    </w:p>
    <w:p w14:paraId="0F51F8B9" w14:textId="77777777" w:rsidR="00C71764" w:rsidRPr="00592DF1" w:rsidRDefault="00C71764" w:rsidP="00311FC3">
      <w:pPr>
        <w:pStyle w:val="Casehead2"/>
        <w:rPr>
          <w:lang w:val="en-GB"/>
        </w:rPr>
      </w:pPr>
      <w:r w:rsidRPr="00592DF1">
        <w:rPr>
          <w:lang w:val="en-GB"/>
        </w:rPr>
        <w:t>Marketing</w:t>
      </w:r>
    </w:p>
    <w:p w14:paraId="56BF7F10" w14:textId="77777777" w:rsidR="00C71764" w:rsidRPr="00C11BAE" w:rsidRDefault="00C71764" w:rsidP="00311FC3">
      <w:pPr>
        <w:pStyle w:val="BodyTextMain"/>
        <w:rPr>
          <w:sz w:val="20"/>
          <w:lang w:val="en-GB"/>
        </w:rPr>
      </w:pPr>
    </w:p>
    <w:p w14:paraId="0B7A68F3" w14:textId="7E63FEA7" w:rsidR="00C71764" w:rsidRPr="00592DF1" w:rsidRDefault="00C71764" w:rsidP="00311FC3">
      <w:pPr>
        <w:pStyle w:val="BodyTextMain"/>
        <w:rPr>
          <w:lang w:val="en-GB"/>
        </w:rPr>
      </w:pPr>
      <w:r w:rsidRPr="0018329D">
        <w:rPr>
          <w:lang w:val="en-GB"/>
        </w:rPr>
        <w:t>Eye</w:t>
      </w:r>
      <w:r w:rsidR="00D9525C">
        <w:rPr>
          <w:lang w:val="en-GB"/>
        </w:rPr>
        <w:t>-</w:t>
      </w:r>
      <w:r w:rsidRPr="0018329D">
        <w:rPr>
          <w:lang w:val="en-GB"/>
        </w:rPr>
        <w:t xml:space="preserve">Q’s service proposition was </w:t>
      </w:r>
      <w:r w:rsidR="00B155E9">
        <w:rPr>
          <w:lang w:val="en-GB"/>
        </w:rPr>
        <w:t xml:space="preserve">to deliver </w:t>
      </w:r>
      <w:r w:rsidRPr="0018329D">
        <w:rPr>
          <w:lang w:val="en-GB"/>
        </w:rPr>
        <w:t>the best quality eye care</w:t>
      </w:r>
      <w:r w:rsidRPr="00592DF1">
        <w:rPr>
          <w:lang w:val="en-GB"/>
        </w:rPr>
        <w:t xml:space="preserve"> in a </w:t>
      </w:r>
      <w:r w:rsidR="00B155E9">
        <w:rPr>
          <w:lang w:val="en-GB"/>
        </w:rPr>
        <w:t>pleasant</w:t>
      </w:r>
      <w:r w:rsidR="00B155E9" w:rsidRPr="00592DF1">
        <w:rPr>
          <w:lang w:val="en-GB"/>
        </w:rPr>
        <w:t xml:space="preserve"> </w:t>
      </w:r>
      <w:r w:rsidRPr="00592DF1">
        <w:rPr>
          <w:lang w:val="en-GB"/>
        </w:rPr>
        <w:t xml:space="preserve">ambience and at reasonable prices. Therefore, the key </w:t>
      </w:r>
      <w:r w:rsidRPr="0018329D">
        <w:rPr>
          <w:lang w:val="en-GB"/>
        </w:rPr>
        <w:t>task for Eye</w:t>
      </w:r>
      <w:r w:rsidR="00D9525C">
        <w:rPr>
          <w:lang w:val="en-GB"/>
        </w:rPr>
        <w:t>-</w:t>
      </w:r>
      <w:r w:rsidRPr="0018329D">
        <w:rPr>
          <w:lang w:val="en-GB"/>
        </w:rPr>
        <w:t>Q’s</w:t>
      </w:r>
      <w:r w:rsidRPr="00592DF1">
        <w:rPr>
          <w:lang w:val="en-GB"/>
        </w:rPr>
        <w:t xml:space="preserve"> communications team was to create an intrinsic awareness among customers. According to Karan Bhandari, </w:t>
      </w:r>
      <w:r w:rsidR="00B155E9">
        <w:rPr>
          <w:lang w:val="en-GB"/>
        </w:rPr>
        <w:t>a</w:t>
      </w:r>
      <w:r w:rsidRPr="00592DF1">
        <w:rPr>
          <w:lang w:val="en-GB"/>
        </w:rPr>
        <w:t xml:space="preserve">dvisor </w:t>
      </w:r>
      <w:r w:rsidR="00B155E9">
        <w:rPr>
          <w:lang w:val="en-GB"/>
        </w:rPr>
        <w:t>for s</w:t>
      </w:r>
      <w:r w:rsidRPr="00592DF1">
        <w:rPr>
          <w:lang w:val="en-GB"/>
        </w:rPr>
        <w:t xml:space="preserve">trategy </w:t>
      </w:r>
      <w:r w:rsidR="00B155E9">
        <w:rPr>
          <w:lang w:val="en-GB"/>
        </w:rPr>
        <w:t>and</w:t>
      </w:r>
      <w:r w:rsidRPr="00592DF1">
        <w:rPr>
          <w:lang w:val="en-GB"/>
        </w:rPr>
        <w:t xml:space="preserve"> </w:t>
      </w:r>
      <w:r w:rsidR="00B155E9">
        <w:rPr>
          <w:lang w:val="en-GB"/>
        </w:rPr>
        <w:t>m</w:t>
      </w:r>
      <w:r w:rsidRPr="00592DF1">
        <w:rPr>
          <w:lang w:val="en-GB"/>
        </w:rPr>
        <w:t xml:space="preserve">arketing: </w:t>
      </w:r>
    </w:p>
    <w:p w14:paraId="7218E779" w14:textId="77777777" w:rsidR="00C71764" w:rsidRPr="00C11BAE" w:rsidRDefault="00C71764" w:rsidP="00311FC3">
      <w:pPr>
        <w:pStyle w:val="BodyTextMain"/>
        <w:rPr>
          <w:sz w:val="20"/>
          <w:lang w:val="en-GB"/>
        </w:rPr>
      </w:pPr>
    </w:p>
    <w:p w14:paraId="40750BD0" w14:textId="58673929" w:rsidR="00C71764" w:rsidRPr="00C11BAE" w:rsidRDefault="00C71764" w:rsidP="00311FC3">
      <w:pPr>
        <w:pStyle w:val="BodyTextMain"/>
        <w:ind w:left="720"/>
        <w:rPr>
          <w:spacing w:val="-4"/>
          <w:lang w:val="en-GB"/>
        </w:rPr>
      </w:pPr>
      <w:r w:rsidRPr="00C11BAE">
        <w:rPr>
          <w:spacing w:val="-4"/>
          <w:lang w:val="en-GB"/>
        </w:rPr>
        <w:t xml:space="preserve">In the last six years, we have found a high degree of correlation between the level of awareness we are able to create in a town and the level of trial we get over there. Once people come and try services at our centre, they tend to stay with us. Therefore, in any town we enter, we make sure we create a lot of visibility at the local level—largely through the local press, the outdoor media, as well as localized activities with societies such as the Residents’ Welfare Association, Lions Club, </w:t>
      </w:r>
      <w:r w:rsidR="008A47A9" w:rsidRPr="00C11BAE">
        <w:rPr>
          <w:spacing w:val="-4"/>
          <w:lang w:val="en-GB"/>
        </w:rPr>
        <w:t xml:space="preserve">[and the] </w:t>
      </w:r>
      <w:r w:rsidRPr="00C11BAE">
        <w:rPr>
          <w:spacing w:val="-4"/>
          <w:lang w:val="en-GB"/>
        </w:rPr>
        <w:t>Rotary Club</w:t>
      </w:r>
      <w:r w:rsidR="008A47A9" w:rsidRPr="00C11BAE">
        <w:rPr>
          <w:spacing w:val="-4"/>
          <w:lang w:val="en-GB"/>
        </w:rPr>
        <w:t>.</w:t>
      </w:r>
    </w:p>
    <w:p w14:paraId="6552F1F8" w14:textId="77777777" w:rsidR="00DF1D0C" w:rsidRPr="00C11BAE" w:rsidRDefault="00DF1D0C" w:rsidP="00311FC3">
      <w:pPr>
        <w:pStyle w:val="BodyTextMain"/>
        <w:rPr>
          <w:sz w:val="20"/>
          <w:lang w:val="en-GB"/>
        </w:rPr>
      </w:pPr>
    </w:p>
    <w:p w14:paraId="3A1994E8" w14:textId="6BD9A4A8" w:rsidR="00C71764" w:rsidRPr="00592DF1" w:rsidRDefault="00035C96" w:rsidP="00311FC3">
      <w:pPr>
        <w:pStyle w:val="BodyTextMain"/>
        <w:rPr>
          <w:lang w:val="en-GB"/>
        </w:rPr>
      </w:pPr>
      <w:r>
        <w:rPr>
          <w:lang w:val="en-GB"/>
        </w:rPr>
        <w:t xml:space="preserve">Until </w:t>
      </w:r>
      <w:r w:rsidRPr="0018329D">
        <w:rPr>
          <w:lang w:val="en-GB"/>
        </w:rPr>
        <w:t xml:space="preserve">2012, </w:t>
      </w:r>
      <w:r w:rsidR="00C71764" w:rsidRPr="0018329D">
        <w:rPr>
          <w:lang w:val="en-GB"/>
        </w:rPr>
        <w:t>Eye</w:t>
      </w:r>
      <w:r w:rsidR="00D9525C">
        <w:rPr>
          <w:lang w:val="en-GB"/>
        </w:rPr>
        <w:t>-</w:t>
      </w:r>
      <w:r w:rsidR="00C71764" w:rsidRPr="0018329D">
        <w:rPr>
          <w:lang w:val="en-GB"/>
        </w:rPr>
        <w:t xml:space="preserve">Q </w:t>
      </w:r>
      <w:r w:rsidR="008A47A9">
        <w:rPr>
          <w:lang w:val="en-GB"/>
        </w:rPr>
        <w:t>lacked a</w:t>
      </w:r>
      <w:r w:rsidR="00C71764" w:rsidRPr="00592DF1">
        <w:rPr>
          <w:lang w:val="en-GB"/>
        </w:rPr>
        <w:t xml:space="preserve"> formal channel of communication </w:t>
      </w:r>
      <w:r w:rsidR="008A47A9">
        <w:rPr>
          <w:lang w:val="en-GB"/>
        </w:rPr>
        <w:t xml:space="preserve">for </w:t>
      </w:r>
      <w:r w:rsidR="00C71764" w:rsidRPr="00592DF1">
        <w:rPr>
          <w:lang w:val="en-GB"/>
        </w:rPr>
        <w:t>targeting the doctor community. To begin with, it invested in a study of doctors to understand their motivations</w:t>
      </w:r>
      <w:r w:rsidR="002309F0">
        <w:rPr>
          <w:lang w:val="en-GB"/>
        </w:rPr>
        <w:t xml:space="preserve"> in selecting a place of work and staying </w:t>
      </w:r>
      <w:r w:rsidR="00106CDA">
        <w:rPr>
          <w:lang w:val="en-GB"/>
        </w:rPr>
        <w:t>there</w:t>
      </w:r>
      <w:r w:rsidR="002309F0">
        <w:rPr>
          <w:lang w:val="en-GB"/>
        </w:rPr>
        <w:t xml:space="preserve">. </w:t>
      </w:r>
      <w:r w:rsidR="00C71764" w:rsidRPr="00592DF1">
        <w:rPr>
          <w:lang w:val="en-GB"/>
        </w:rPr>
        <w:t>Elaborating on the</w:t>
      </w:r>
      <w:r w:rsidR="008A47A9">
        <w:rPr>
          <w:lang w:val="en-GB"/>
        </w:rPr>
        <w:t>se</w:t>
      </w:r>
      <w:r w:rsidR="00C71764" w:rsidRPr="00592DF1">
        <w:rPr>
          <w:lang w:val="en-GB"/>
        </w:rPr>
        <w:t xml:space="preserve"> findings, Bhandari said: </w:t>
      </w:r>
    </w:p>
    <w:p w14:paraId="02724BA5" w14:textId="77777777" w:rsidR="00C71764" w:rsidRPr="00C11BAE" w:rsidRDefault="00C71764" w:rsidP="00311FC3">
      <w:pPr>
        <w:pStyle w:val="BodyTextMain"/>
        <w:rPr>
          <w:sz w:val="20"/>
          <w:lang w:val="en-GB"/>
        </w:rPr>
      </w:pPr>
    </w:p>
    <w:p w14:paraId="75CCB7BA" w14:textId="169D3D82" w:rsidR="00C71764" w:rsidRPr="00592DF1" w:rsidRDefault="00C71764" w:rsidP="00311FC3">
      <w:pPr>
        <w:pStyle w:val="BodyTextMain"/>
        <w:ind w:left="720"/>
        <w:rPr>
          <w:lang w:val="en-GB"/>
        </w:rPr>
      </w:pPr>
      <w:r w:rsidRPr="00592DF1">
        <w:rPr>
          <w:lang w:val="en-GB"/>
        </w:rPr>
        <w:t xml:space="preserve">We found that it’s not a case of </w:t>
      </w:r>
      <w:r w:rsidR="00B155E9">
        <w:rPr>
          <w:lang w:val="en-GB"/>
        </w:rPr>
        <w:t>“</w:t>
      </w:r>
      <w:r w:rsidRPr="00592DF1">
        <w:rPr>
          <w:lang w:val="en-GB"/>
        </w:rPr>
        <w:t>one size fits all</w:t>
      </w:r>
      <w:r w:rsidR="00B155E9">
        <w:rPr>
          <w:lang w:val="en-GB"/>
        </w:rPr>
        <w:t>.”</w:t>
      </w:r>
      <w:r w:rsidRPr="00592DF1">
        <w:rPr>
          <w:lang w:val="en-GB"/>
        </w:rPr>
        <w:t xml:space="preserve"> Junior doctors had a particular perspective and a particular set of things they looked for while senior doctors had their own priorities. This insight helped us to fine-tune our proposition to doctors. We also built these insights into our internal culture</w:t>
      </w:r>
      <w:r w:rsidR="00106CDA">
        <w:rPr>
          <w:lang w:val="en-GB"/>
        </w:rPr>
        <w:t>,</w:t>
      </w:r>
      <w:r w:rsidRPr="00592DF1">
        <w:rPr>
          <w:lang w:val="en-GB"/>
        </w:rPr>
        <w:t xml:space="preserve"> as the doctors who work for us are a very important source of information to others who might want to work for us. We worked hard to increase the engagement levels internally. </w:t>
      </w:r>
    </w:p>
    <w:p w14:paraId="49B16304" w14:textId="77777777" w:rsidR="00C71764" w:rsidRPr="00C11BAE" w:rsidRDefault="00C71764" w:rsidP="00311FC3">
      <w:pPr>
        <w:pStyle w:val="BodyTextMain"/>
        <w:rPr>
          <w:sz w:val="20"/>
          <w:lang w:val="en-GB"/>
        </w:rPr>
      </w:pPr>
    </w:p>
    <w:p w14:paraId="1F86F89B" w14:textId="2E8EB150" w:rsidR="00C71764" w:rsidRPr="004E7E8E" w:rsidRDefault="00C71764" w:rsidP="004E7E8E">
      <w:pPr>
        <w:pStyle w:val="BodyTextMain"/>
      </w:pPr>
      <w:r w:rsidRPr="004E7E8E">
        <w:lastRenderedPageBreak/>
        <w:t xml:space="preserve">The organization also reached out to doctors through </w:t>
      </w:r>
      <w:r w:rsidR="00373856" w:rsidRPr="004E7E8E">
        <w:t>regular communications about Eye</w:t>
      </w:r>
      <w:r w:rsidR="00D9525C" w:rsidRPr="004E7E8E">
        <w:t>-</w:t>
      </w:r>
      <w:r w:rsidR="00373856" w:rsidRPr="004E7E8E">
        <w:t xml:space="preserve">Q in ophthalmology journals and </w:t>
      </w:r>
      <w:r w:rsidRPr="004E7E8E">
        <w:t xml:space="preserve">presentations at </w:t>
      </w:r>
      <w:r w:rsidR="00373856" w:rsidRPr="004E7E8E">
        <w:t xml:space="preserve">ophthalmology </w:t>
      </w:r>
      <w:r w:rsidRPr="004E7E8E">
        <w:t xml:space="preserve">forums. “Earlier, </w:t>
      </w:r>
      <w:r w:rsidR="00373856" w:rsidRPr="004E7E8E">
        <w:t>as we were smaller, our</w:t>
      </w:r>
      <w:r w:rsidRPr="004E7E8E">
        <w:t xml:space="preserve"> requirement for doctors </w:t>
      </w:r>
      <w:r w:rsidR="00373856" w:rsidRPr="004E7E8E">
        <w:t>was</w:t>
      </w:r>
      <w:r w:rsidRPr="004E7E8E">
        <w:t xml:space="preserve"> smaller. </w:t>
      </w:r>
      <w:r w:rsidR="00373856" w:rsidRPr="004E7E8E">
        <w:t>We were able to</w:t>
      </w:r>
      <w:r w:rsidRPr="004E7E8E">
        <w:t xml:space="preserve"> get the doctors we needed largely through personal contacts. But now, with a growing base and our growth plans for the future, it has become important for us to build a brand as an employer for doctors,” said Bhandari.</w:t>
      </w:r>
    </w:p>
    <w:p w14:paraId="17FC2435" w14:textId="77777777" w:rsidR="008A47A9" w:rsidRPr="004E7E8E" w:rsidRDefault="008A47A9" w:rsidP="004E7E8E">
      <w:pPr>
        <w:pStyle w:val="BodyTextMain"/>
        <w:rPr>
          <w:sz w:val="20"/>
        </w:rPr>
      </w:pPr>
    </w:p>
    <w:p w14:paraId="54684AFE" w14:textId="77777777" w:rsidR="0000188B" w:rsidRPr="004E7E8E" w:rsidRDefault="0000188B" w:rsidP="004E7E8E">
      <w:pPr>
        <w:pStyle w:val="BodyTextMain"/>
        <w:rPr>
          <w:sz w:val="20"/>
        </w:rPr>
      </w:pPr>
    </w:p>
    <w:p w14:paraId="1E5092DA" w14:textId="77777777" w:rsidR="00C71764" w:rsidRPr="004E7E8E" w:rsidRDefault="00C71764" w:rsidP="004E7E8E">
      <w:pPr>
        <w:pStyle w:val="Casehead1"/>
      </w:pPr>
      <w:r w:rsidRPr="004E7E8E">
        <w:t>SUCCESS FACTORS</w:t>
      </w:r>
    </w:p>
    <w:p w14:paraId="141E769C" w14:textId="77777777" w:rsidR="00C71764" w:rsidRPr="00C11BAE" w:rsidRDefault="00C71764" w:rsidP="004E7E8E">
      <w:pPr>
        <w:pStyle w:val="BodyTextMain"/>
        <w:rPr>
          <w:sz w:val="20"/>
          <w:lang w:val="en-GB"/>
        </w:rPr>
      </w:pPr>
    </w:p>
    <w:p w14:paraId="6FB90819" w14:textId="5AC8CA45" w:rsidR="00C71764" w:rsidRPr="00592DF1" w:rsidRDefault="00C71764" w:rsidP="004E7E8E">
      <w:pPr>
        <w:pStyle w:val="BodyTextMain"/>
        <w:rPr>
          <w:lang w:val="en-GB"/>
        </w:rPr>
      </w:pPr>
      <w:r w:rsidRPr="00592DF1">
        <w:rPr>
          <w:lang w:val="en-GB"/>
        </w:rPr>
        <w:t xml:space="preserve">One of the key reasons </w:t>
      </w:r>
      <w:r w:rsidRPr="0018329D">
        <w:rPr>
          <w:lang w:val="en-GB"/>
        </w:rPr>
        <w:t>for Eye</w:t>
      </w:r>
      <w:r w:rsidR="00D9525C">
        <w:rPr>
          <w:lang w:val="en-GB"/>
        </w:rPr>
        <w:t>-</w:t>
      </w:r>
      <w:r w:rsidRPr="0018329D">
        <w:rPr>
          <w:lang w:val="en-GB"/>
        </w:rPr>
        <w:t>Q’s success</w:t>
      </w:r>
      <w:r w:rsidRPr="00592DF1">
        <w:rPr>
          <w:lang w:val="en-GB"/>
        </w:rPr>
        <w:t xml:space="preserve"> with its </w:t>
      </w:r>
      <w:r w:rsidR="00B155E9">
        <w:rPr>
          <w:lang w:val="en-GB"/>
        </w:rPr>
        <w:t xml:space="preserve">business </w:t>
      </w:r>
      <w:r w:rsidRPr="00592DF1">
        <w:rPr>
          <w:lang w:val="en-GB"/>
        </w:rPr>
        <w:t xml:space="preserve">model </w:t>
      </w:r>
      <w:r w:rsidR="00BE531D">
        <w:rPr>
          <w:lang w:val="en-GB"/>
        </w:rPr>
        <w:t>was</w:t>
      </w:r>
      <w:r w:rsidRPr="00592DF1">
        <w:rPr>
          <w:lang w:val="en-GB"/>
        </w:rPr>
        <w:t xml:space="preserve"> the clear demarcation of roles between the found</w:t>
      </w:r>
      <w:r w:rsidR="00106CDA">
        <w:rPr>
          <w:lang w:val="en-GB"/>
        </w:rPr>
        <w:t>ing</w:t>
      </w:r>
      <w:r w:rsidRPr="00592DF1">
        <w:rPr>
          <w:lang w:val="en-GB"/>
        </w:rPr>
        <w:t xml:space="preserve"> members from very early on. </w:t>
      </w:r>
      <w:r w:rsidR="00B155E9">
        <w:rPr>
          <w:lang w:val="en-GB"/>
        </w:rPr>
        <w:t>Still, in spite of this differentiation</w:t>
      </w:r>
      <w:r w:rsidRPr="00592DF1">
        <w:rPr>
          <w:lang w:val="en-GB"/>
        </w:rPr>
        <w:t>, the</w:t>
      </w:r>
      <w:r w:rsidR="00B155E9">
        <w:rPr>
          <w:lang w:val="en-GB"/>
        </w:rPr>
        <w:t xml:space="preserve"> founders’</w:t>
      </w:r>
      <w:r w:rsidRPr="00592DF1">
        <w:rPr>
          <w:lang w:val="en-GB"/>
        </w:rPr>
        <w:t xml:space="preserve"> goals and vision for the company were similar</w:t>
      </w:r>
      <w:r w:rsidR="00B155E9">
        <w:rPr>
          <w:lang w:val="en-GB"/>
        </w:rPr>
        <w:t>,</w:t>
      </w:r>
      <w:r w:rsidRPr="00592DF1">
        <w:rPr>
          <w:lang w:val="en-GB"/>
        </w:rPr>
        <w:t xml:space="preserve"> and they represented the company as one voice. Goel was aware that</w:t>
      </w:r>
      <w:r w:rsidR="00B155E9">
        <w:rPr>
          <w:lang w:val="en-GB"/>
        </w:rPr>
        <w:t>,</w:t>
      </w:r>
      <w:r w:rsidRPr="00592DF1">
        <w:rPr>
          <w:lang w:val="en-GB"/>
        </w:rPr>
        <w:t xml:space="preserve"> in running a hospital, it was ultimately the doctor who would </w:t>
      </w:r>
      <w:r w:rsidR="00106CDA">
        <w:rPr>
          <w:lang w:val="en-GB"/>
        </w:rPr>
        <w:t>m</w:t>
      </w:r>
      <w:r w:rsidRPr="00592DF1">
        <w:rPr>
          <w:lang w:val="en-GB"/>
        </w:rPr>
        <w:t xml:space="preserve">ake the final call, while the operational staff would serve as facilitators. Bansiwal added, “It helps us that one of our founders is a doctor himself. If you want to change something, it is better to first run it by him. He translates it into </w:t>
      </w:r>
      <w:r w:rsidR="00B155E9">
        <w:rPr>
          <w:lang w:val="en-GB"/>
        </w:rPr>
        <w:t>[the doctors’]</w:t>
      </w:r>
      <w:r w:rsidRPr="00592DF1">
        <w:rPr>
          <w:lang w:val="en-GB"/>
        </w:rPr>
        <w:t xml:space="preserve"> language</w:t>
      </w:r>
      <w:r w:rsidR="00BE531D">
        <w:rPr>
          <w:lang w:val="en-GB"/>
        </w:rPr>
        <w:t>,</w:t>
      </w:r>
      <w:r w:rsidRPr="00592DF1">
        <w:rPr>
          <w:lang w:val="en-GB"/>
        </w:rPr>
        <w:t xml:space="preserve"> and once the idea is seeded in their heads, they take it on.”</w:t>
      </w:r>
    </w:p>
    <w:p w14:paraId="2878A796" w14:textId="77777777" w:rsidR="00C71764" w:rsidRPr="00C11BAE" w:rsidRDefault="00C71764" w:rsidP="004E7E8E">
      <w:pPr>
        <w:pStyle w:val="BodyTextMain"/>
        <w:rPr>
          <w:sz w:val="20"/>
          <w:lang w:val="en-GB"/>
        </w:rPr>
      </w:pPr>
    </w:p>
    <w:p w14:paraId="37C1ECC0" w14:textId="54B599F2" w:rsidR="00C71764" w:rsidRPr="00592DF1" w:rsidRDefault="00823405" w:rsidP="004E7E8E">
      <w:pPr>
        <w:pStyle w:val="BodyTextMain"/>
        <w:rPr>
          <w:lang w:val="en-GB"/>
        </w:rPr>
      </w:pPr>
      <w:r>
        <w:rPr>
          <w:lang w:val="en-GB"/>
        </w:rPr>
        <w:t>The</w:t>
      </w:r>
      <w:r w:rsidR="00C71764" w:rsidRPr="00592DF1">
        <w:rPr>
          <w:lang w:val="en-GB"/>
        </w:rPr>
        <w:t xml:space="preserve"> organization had been able to build an </w:t>
      </w:r>
      <w:r>
        <w:rPr>
          <w:lang w:val="en-GB"/>
        </w:rPr>
        <w:t>capable t</w:t>
      </w:r>
      <w:r w:rsidR="00C71764" w:rsidRPr="00592DF1">
        <w:rPr>
          <w:lang w:val="en-GB"/>
        </w:rPr>
        <w:t xml:space="preserve">eam </w:t>
      </w:r>
      <w:r>
        <w:rPr>
          <w:lang w:val="en-GB"/>
        </w:rPr>
        <w:t>of</w:t>
      </w:r>
      <w:r w:rsidR="00C71764" w:rsidRPr="00592DF1">
        <w:rPr>
          <w:lang w:val="en-GB"/>
        </w:rPr>
        <w:t xml:space="preserve"> experienced senior manage</w:t>
      </w:r>
      <w:r w:rsidR="00BE531D">
        <w:rPr>
          <w:lang w:val="en-GB"/>
        </w:rPr>
        <w:t>rs.</w:t>
      </w:r>
      <w:r w:rsidR="00C71764" w:rsidRPr="00592DF1">
        <w:rPr>
          <w:lang w:val="en-GB"/>
        </w:rPr>
        <w:t xml:space="preserve"> Goel elaborated: </w:t>
      </w:r>
    </w:p>
    <w:p w14:paraId="25A451A0" w14:textId="77777777" w:rsidR="00C71764" w:rsidRPr="004E7E8E" w:rsidRDefault="00C71764" w:rsidP="004E7E8E">
      <w:pPr>
        <w:pStyle w:val="BodyTextMain"/>
        <w:rPr>
          <w:sz w:val="20"/>
          <w:lang w:val="en-GB"/>
        </w:rPr>
      </w:pPr>
    </w:p>
    <w:p w14:paraId="2BDC32BB" w14:textId="17E8CF84" w:rsidR="00C71764" w:rsidRPr="00592DF1" w:rsidRDefault="00C71764" w:rsidP="004E7E8E">
      <w:pPr>
        <w:pStyle w:val="BodyTextMain"/>
        <w:ind w:left="720"/>
        <w:rPr>
          <w:lang w:val="en-GB"/>
        </w:rPr>
      </w:pPr>
      <w:r w:rsidRPr="00592DF1">
        <w:rPr>
          <w:lang w:val="en-GB"/>
        </w:rPr>
        <w:t xml:space="preserve">Most of the people have come to </w:t>
      </w:r>
      <w:r w:rsidRPr="0018329D">
        <w:rPr>
          <w:lang w:val="en-GB"/>
        </w:rPr>
        <w:t>Eye</w:t>
      </w:r>
      <w:r w:rsidR="00D9525C">
        <w:rPr>
          <w:lang w:val="en-GB"/>
        </w:rPr>
        <w:t>-</w:t>
      </w:r>
      <w:r w:rsidRPr="0018329D">
        <w:rPr>
          <w:lang w:val="en-GB"/>
        </w:rPr>
        <w:t>Q</w:t>
      </w:r>
      <w:r w:rsidRPr="00592DF1">
        <w:rPr>
          <w:lang w:val="en-GB"/>
        </w:rPr>
        <w:t xml:space="preserve"> </w:t>
      </w:r>
      <w:r w:rsidRPr="0018329D">
        <w:rPr>
          <w:lang w:val="en-GB"/>
        </w:rPr>
        <w:t>because they have found that the company has a clear vision of creating a very</w:t>
      </w:r>
      <w:r w:rsidRPr="00592DF1">
        <w:rPr>
          <w:lang w:val="en-GB"/>
        </w:rPr>
        <w:t xml:space="preserve"> clean, ethical company, which</w:t>
      </w:r>
      <w:r w:rsidR="00B155E9">
        <w:rPr>
          <w:lang w:val="en-GB"/>
        </w:rPr>
        <w:t>,</w:t>
      </w:r>
      <w:r w:rsidRPr="00592DF1">
        <w:rPr>
          <w:lang w:val="en-GB"/>
        </w:rPr>
        <w:t xml:space="preserve"> though very difficult in today’s circumstances, we have been able to do</w:t>
      </w:r>
      <w:r w:rsidR="00B155E9">
        <w:rPr>
          <w:lang w:val="en-GB"/>
        </w:rPr>
        <w:t>,</w:t>
      </w:r>
      <w:r w:rsidRPr="00592DF1">
        <w:rPr>
          <w:lang w:val="en-GB"/>
        </w:rPr>
        <w:t xml:space="preserve"> fortunately</w:t>
      </w:r>
      <w:r w:rsidR="00B155E9">
        <w:rPr>
          <w:lang w:val="en-GB"/>
        </w:rPr>
        <w:t>.</w:t>
      </w:r>
      <w:r w:rsidRPr="00592DF1">
        <w:rPr>
          <w:lang w:val="en-GB"/>
        </w:rPr>
        <w:t xml:space="preserve"> </w:t>
      </w:r>
      <w:r w:rsidR="00B155E9">
        <w:rPr>
          <w:lang w:val="en-GB"/>
        </w:rPr>
        <w:t xml:space="preserve">[Establishing a </w:t>
      </w:r>
      <w:r w:rsidR="004445CB" w:rsidRPr="00A37C2D">
        <w:rPr>
          <w:lang w:val="en-GB"/>
        </w:rPr>
        <w:t>high-minded</w:t>
      </w:r>
      <w:r w:rsidR="00B155E9">
        <w:rPr>
          <w:lang w:val="en-GB"/>
        </w:rPr>
        <w:t xml:space="preserve"> corporate vision] </w:t>
      </w:r>
      <w:r w:rsidRPr="00592DF1">
        <w:rPr>
          <w:lang w:val="en-GB"/>
        </w:rPr>
        <w:t xml:space="preserve">is a worthwhile cause because you are creating a profitable and socially relevant company. </w:t>
      </w:r>
    </w:p>
    <w:p w14:paraId="3992EDFA" w14:textId="77777777" w:rsidR="00C71764" w:rsidRPr="007039CC" w:rsidRDefault="00C71764" w:rsidP="004E7E8E">
      <w:pPr>
        <w:pStyle w:val="BodyTextMain"/>
        <w:rPr>
          <w:sz w:val="18"/>
          <w:lang w:val="en-GB"/>
        </w:rPr>
      </w:pPr>
    </w:p>
    <w:p w14:paraId="54C05295" w14:textId="77777777" w:rsidR="00D66A21" w:rsidRPr="007039CC" w:rsidRDefault="00D66A21" w:rsidP="004E7E8E">
      <w:pPr>
        <w:pStyle w:val="BodyTextMain"/>
        <w:rPr>
          <w:sz w:val="18"/>
          <w:lang w:val="en-GB"/>
        </w:rPr>
      </w:pPr>
    </w:p>
    <w:p w14:paraId="712CF1E5" w14:textId="77777777" w:rsidR="00C71764" w:rsidRPr="004E7E8E" w:rsidRDefault="00C71764" w:rsidP="004E7E8E">
      <w:pPr>
        <w:pStyle w:val="Casehead1"/>
      </w:pPr>
      <w:r w:rsidRPr="004E7E8E">
        <w:t>THE FUTURE</w:t>
      </w:r>
    </w:p>
    <w:p w14:paraId="6448E13D" w14:textId="77777777" w:rsidR="00C71764" w:rsidRPr="004E7E8E" w:rsidRDefault="00C71764" w:rsidP="004E7E8E">
      <w:pPr>
        <w:pStyle w:val="BodyTextMain"/>
        <w:rPr>
          <w:sz w:val="20"/>
        </w:rPr>
      </w:pPr>
    </w:p>
    <w:p w14:paraId="367D6359" w14:textId="77777777" w:rsidR="00823405" w:rsidRDefault="00C71764" w:rsidP="004E7E8E">
      <w:pPr>
        <w:pStyle w:val="BodyTextMain"/>
      </w:pPr>
      <w:r w:rsidRPr="004E7E8E">
        <w:rPr>
          <w:rStyle w:val="Emphasis"/>
          <w:i w:val="0"/>
          <w:iCs w:val="0"/>
        </w:rPr>
        <w:t xml:space="preserve">As they pushed for expansion, Goel and Sharma believed that </w:t>
      </w:r>
      <w:r w:rsidR="0021131D" w:rsidRPr="004E7E8E">
        <w:rPr>
          <w:rStyle w:val="Emphasis"/>
          <w:i w:val="0"/>
          <w:iCs w:val="0"/>
        </w:rPr>
        <w:t xml:space="preserve">finding </w:t>
      </w:r>
      <w:r w:rsidRPr="004E7E8E">
        <w:rPr>
          <w:rStyle w:val="Emphasis"/>
          <w:i w:val="0"/>
          <w:iCs w:val="0"/>
        </w:rPr>
        <w:t>a strategic investor at th</w:t>
      </w:r>
      <w:r w:rsidR="00106CDA" w:rsidRPr="004E7E8E">
        <w:rPr>
          <w:rStyle w:val="Emphasis"/>
          <w:i w:val="0"/>
          <w:iCs w:val="0"/>
        </w:rPr>
        <w:t>at</w:t>
      </w:r>
      <w:r w:rsidRPr="004E7E8E">
        <w:rPr>
          <w:rStyle w:val="Emphasis"/>
          <w:i w:val="0"/>
          <w:iCs w:val="0"/>
        </w:rPr>
        <w:t xml:space="preserve"> stage would be </w:t>
      </w:r>
      <w:r w:rsidR="0021131D" w:rsidRPr="004E7E8E">
        <w:rPr>
          <w:rStyle w:val="Emphasis"/>
          <w:i w:val="0"/>
          <w:iCs w:val="0"/>
        </w:rPr>
        <w:t>relatively easy to do since</w:t>
      </w:r>
      <w:r w:rsidRPr="004E7E8E">
        <w:rPr>
          <w:rStyle w:val="Emphasis"/>
          <w:i w:val="0"/>
          <w:iCs w:val="0"/>
        </w:rPr>
        <w:t xml:space="preserve"> they had already built a strong brand and enjoyed a good reputation with their existing investors.</w:t>
      </w:r>
      <w:r w:rsidR="00BE531D" w:rsidRPr="004E7E8E">
        <w:rPr>
          <w:rStyle w:val="Emphasis"/>
          <w:i w:val="0"/>
          <w:iCs w:val="0"/>
        </w:rPr>
        <w:t xml:space="preserve"> </w:t>
      </w:r>
      <w:r w:rsidRPr="004E7E8E">
        <w:t>The</w:t>
      </w:r>
      <w:r w:rsidR="00BE531D" w:rsidRPr="004E7E8E">
        <w:t xml:space="preserve"> </w:t>
      </w:r>
      <w:r w:rsidRPr="004E7E8E">
        <w:t xml:space="preserve">team structure of </w:t>
      </w:r>
      <w:r w:rsidR="0021131D" w:rsidRPr="004E7E8E">
        <w:t xml:space="preserve">a </w:t>
      </w:r>
      <w:r w:rsidRPr="004E7E8E">
        <w:t xml:space="preserve">doctor plus </w:t>
      </w:r>
      <w:r w:rsidR="0021131D" w:rsidRPr="004E7E8E">
        <w:t xml:space="preserve">a </w:t>
      </w:r>
      <w:r w:rsidRPr="004E7E8E">
        <w:t>business leader who shared</w:t>
      </w:r>
      <w:r w:rsidR="00BE531D" w:rsidRPr="004E7E8E">
        <w:t xml:space="preserve"> a solid relationship, both personally and professionally</w:t>
      </w:r>
      <w:r w:rsidRPr="004E7E8E">
        <w:t xml:space="preserve">, and </w:t>
      </w:r>
      <w:r w:rsidR="00BE531D" w:rsidRPr="004E7E8E">
        <w:t xml:space="preserve">who </w:t>
      </w:r>
      <w:r w:rsidRPr="004E7E8E">
        <w:t xml:space="preserve">had complementary skill sets had stood </w:t>
      </w:r>
      <w:r w:rsidR="00BE531D" w:rsidRPr="004E7E8E">
        <w:t>Eye</w:t>
      </w:r>
      <w:r w:rsidR="00D9525C" w:rsidRPr="004E7E8E">
        <w:t>-</w:t>
      </w:r>
      <w:r w:rsidR="00BE531D" w:rsidRPr="004E7E8E">
        <w:t xml:space="preserve">Q </w:t>
      </w:r>
      <w:r w:rsidRPr="004E7E8E">
        <w:t xml:space="preserve">in good stead. </w:t>
      </w:r>
    </w:p>
    <w:p w14:paraId="0CBC861E" w14:textId="77777777" w:rsidR="00823405" w:rsidRDefault="00823405" w:rsidP="004E7E8E">
      <w:pPr>
        <w:pStyle w:val="BodyTextMain"/>
      </w:pPr>
    </w:p>
    <w:p w14:paraId="2E31CD2C" w14:textId="03591D0F" w:rsidR="00C71764" w:rsidRPr="004E7E8E" w:rsidRDefault="00C71764" w:rsidP="004E7E8E">
      <w:pPr>
        <w:pStyle w:val="BodyTextMain"/>
        <w:rPr>
          <w:rStyle w:val="Emphasis"/>
          <w:i w:val="0"/>
          <w:iCs w:val="0"/>
        </w:rPr>
      </w:pPr>
      <w:r w:rsidRPr="004E7E8E">
        <w:rPr>
          <w:rStyle w:val="Emphasis"/>
          <w:i w:val="0"/>
          <w:iCs w:val="0"/>
        </w:rPr>
        <w:t xml:space="preserve">According to Goel: </w:t>
      </w:r>
    </w:p>
    <w:p w14:paraId="4798CA61" w14:textId="77777777" w:rsidR="00C71764" w:rsidRPr="004E7E8E" w:rsidRDefault="00C71764" w:rsidP="004E7E8E">
      <w:pPr>
        <w:pStyle w:val="BodyTextMain"/>
        <w:rPr>
          <w:rStyle w:val="Emphasis"/>
          <w:i w:val="0"/>
          <w:iCs w:val="0"/>
          <w:sz w:val="20"/>
        </w:rPr>
      </w:pPr>
    </w:p>
    <w:p w14:paraId="4B98CA52" w14:textId="1D8FBD29" w:rsidR="00C71764" w:rsidRPr="004E7E8E" w:rsidRDefault="00C71764" w:rsidP="004E7E8E">
      <w:pPr>
        <w:pStyle w:val="BodyTextMain"/>
        <w:ind w:left="720"/>
        <w:rPr>
          <w:rStyle w:val="Emphasis"/>
          <w:i w:val="0"/>
          <w:iCs w:val="0"/>
        </w:rPr>
      </w:pPr>
      <w:r w:rsidRPr="004E7E8E">
        <w:rPr>
          <w:rStyle w:val="Emphasis"/>
          <w:i w:val="0"/>
          <w:iCs w:val="0"/>
        </w:rPr>
        <w:t xml:space="preserve">The market for eye care in India is US$2 billion, of which organized players constitute a mere </w:t>
      </w:r>
      <w:r w:rsidR="00BE531D" w:rsidRPr="004E7E8E">
        <w:rPr>
          <w:rStyle w:val="Emphasis"/>
          <w:i w:val="0"/>
          <w:iCs w:val="0"/>
        </w:rPr>
        <w:t>5</w:t>
      </w:r>
      <w:r w:rsidRPr="004E7E8E">
        <w:rPr>
          <w:rStyle w:val="Emphasis"/>
          <w:i w:val="0"/>
          <w:iCs w:val="0"/>
        </w:rPr>
        <w:t xml:space="preserve"> per cent. If we assume that the need is for 1,000 centres, where are we today? At 30 centres. Even if you take all the players in the market, it adds up to around 200</w:t>
      </w:r>
      <w:r w:rsidR="0021131D" w:rsidRPr="004E7E8E">
        <w:rPr>
          <w:rStyle w:val="Emphasis"/>
          <w:i w:val="0"/>
          <w:iCs w:val="0"/>
        </w:rPr>
        <w:t>.</w:t>
      </w:r>
      <w:r w:rsidRPr="004E7E8E">
        <w:rPr>
          <w:rStyle w:val="Emphasis"/>
          <w:i w:val="0"/>
          <w:iCs w:val="0"/>
        </w:rPr>
        <w:t xml:space="preserve"> So right now, the game is about aggregation and category creation for organized eye care. Once we reach that critical mass of 1,000, then we will have to fight for market share, and only then will differentiation come in. </w:t>
      </w:r>
    </w:p>
    <w:p w14:paraId="3F9698E3" w14:textId="77777777" w:rsidR="00C71764" w:rsidRPr="004E7E8E" w:rsidRDefault="00C71764" w:rsidP="004E7E8E">
      <w:pPr>
        <w:pStyle w:val="BodyTextMain"/>
        <w:rPr>
          <w:rStyle w:val="Emphasis"/>
          <w:i w:val="0"/>
          <w:iCs w:val="0"/>
          <w:sz w:val="20"/>
        </w:rPr>
      </w:pPr>
    </w:p>
    <w:p w14:paraId="0F7401ED" w14:textId="69BAE30D" w:rsidR="00AC43A2" w:rsidRPr="007039CC" w:rsidRDefault="00A8067E" w:rsidP="004E7E8E">
      <w:pPr>
        <w:pStyle w:val="BodyTextMain"/>
        <w:rPr>
          <w:rStyle w:val="Emphasis"/>
          <w:color w:val="000000"/>
          <w:spacing w:val="-4"/>
          <w:shd w:val="clear" w:color="auto" w:fill="FFFFFF"/>
          <w:lang w:val="en-GB"/>
        </w:rPr>
      </w:pPr>
      <w:r w:rsidRPr="004E7E8E">
        <w:t>Given the vast patient needs</w:t>
      </w:r>
      <w:r w:rsidR="00106CDA" w:rsidRPr="004E7E8E">
        <w:t xml:space="preserve"> not being met</w:t>
      </w:r>
      <w:r w:rsidRPr="004E7E8E">
        <w:t xml:space="preserve"> in </w:t>
      </w:r>
      <w:r w:rsidR="00EE446B" w:rsidRPr="004E7E8E">
        <w:t xml:space="preserve">India’s eye care </w:t>
      </w:r>
      <w:r w:rsidRPr="004E7E8E">
        <w:t xml:space="preserve">market, </w:t>
      </w:r>
      <w:r w:rsidR="00C71764" w:rsidRPr="004E7E8E">
        <w:t xml:space="preserve">it appeared that competition among </w:t>
      </w:r>
      <w:r w:rsidR="00EE446B" w:rsidRPr="004E7E8E">
        <w:t xml:space="preserve">market participants </w:t>
      </w:r>
      <w:r w:rsidR="00C71764" w:rsidRPr="004E7E8E">
        <w:t xml:space="preserve">was not a great cause for worry. Yet, </w:t>
      </w:r>
      <w:r w:rsidR="00C71764" w:rsidRPr="004E7E8E">
        <w:rPr>
          <w:rStyle w:val="Emphasis"/>
          <w:i w:val="0"/>
          <w:iCs w:val="0"/>
        </w:rPr>
        <w:t xml:space="preserve">Goel and Sharma realized they would have to constantly upgrade </w:t>
      </w:r>
      <w:r w:rsidR="007B2F19" w:rsidRPr="004E7E8E">
        <w:rPr>
          <w:rStyle w:val="Emphasis"/>
          <w:i w:val="0"/>
          <w:iCs w:val="0"/>
        </w:rPr>
        <w:t>their training</w:t>
      </w:r>
      <w:r w:rsidR="00C71764" w:rsidRPr="004E7E8E">
        <w:rPr>
          <w:rStyle w:val="Emphasis"/>
          <w:i w:val="0"/>
          <w:iCs w:val="0"/>
        </w:rPr>
        <w:t xml:space="preserve"> </w:t>
      </w:r>
      <w:r w:rsidR="000A1C77" w:rsidRPr="004E7E8E">
        <w:rPr>
          <w:rStyle w:val="Emphasis"/>
          <w:i w:val="0"/>
          <w:iCs w:val="0"/>
        </w:rPr>
        <w:t>in</w:t>
      </w:r>
      <w:r w:rsidR="00106CDA" w:rsidRPr="004E7E8E">
        <w:rPr>
          <w:rStyle w:val="Emphasis"/>
          <w:i w:val="0"/>
          <w:iCs w:val="0"/>
        </w:rPr>
        <w:t xml:space="preserve"> </w:t>
      </w:r>
      <w:r w:rsidR="00C71764" w:rsidRPr="004E7E8E">
        <w:rPr>
          <w:rStyle w:val="Emphasis"/>
          <w:i w:val="0"/>
          <w:iCs w:val="0"/>
        </w:rPr>
        <w:t xml:space="preserve">using the latest technology </w:t>
      </w:r>
      <w:r w:rsidR="00EE446B" w:rsidRPr="004E7E8E">
        <w:rPr>
          <w:rStyle w:val="Emphasis"/>
          <w:i w:val="0"/>
          <w:iCs w:val="0"/>
        </w:rPr>
        <w:t xml:space="preserve">if they expected </w:t>
      </w:r>
      <w:r w:rsidR="00C71764" w:rsidRPr="004E7E8E">
        <w:rPr>
          <w:rStyle w:val="Emphasis"/>
          <w:i w:val="0"/>
          <w:iCs w:val="0"/>
        </w:rPr>
        <w:t xml:space="preserve">to maintain their share in the market. </w:t>
      </w:r>
      <w:r w:rsidR="00C71764" w:rsidRPr="004E7E8E">
        <w:t xml:space="preserve">Their business model </w:t>
      </w:r>
      <w:r w:rsidR="00EE446B" w:rsidRPr="004E7E8E">
        <w:t>had been</w:t>
      </w:r>
      <w:r w:rsidR="00C71764" w:rsidRPr="004E7E8E">
        <w:t xml:space="preserve"> effective in getting them to 30 centres. Would it prove robust enough as they scaled </w:t>
      </w:r>
      <w:r w:rsidR="0021131D" w:rsidRPr="004E7E8E">
        <w:t xml:space="preserve">up </w:t>
      </w:r>
      <w:r w:rsidR="00C71764" w:rsidRPr="004E7E8E">
        <w:t>to 125 centres</w:t>
      </w:r>
      <w:r w:rsidR="0021131D" w:rsidRPr="004E7E8E">
        <w:t>? A</w:t>
      </w:r>
      <w:r w:rsidR="00C71764" w:rsidRPr="004E7E8E">
        <w:t xml:space="preserve">nd could it protect the organization from making compromises on ethics and quality? One of </w:t>
      </w:r>
      <w:r w:rsidR="0021131D" w:rsidRPr="004E7E8E">
        <w:rPr>
          <w:rStyle w:val="Emphasis"/>
          <w:i w:val="0"/>
          <w:iCs w:val="0"/>
        </w:rPr>
        <w:t>Goel and Sharma’s</w:t>
      </w:r>
      <w:r w:rsidR="00C71764" w:rsidRPr="004E7E8E">
        <w:t xml:space="preserve"> biggest challenges had always been finding the right talent</w:t>
      </w:r>
      <w:r w:rsidR="0021131D" w:rsidRPr="004E7E8E">
        <w:t xml:space="preserve"> (</w:t>
      </w:r>
      <w:r w:rsidR="00C71764" w:rsidRPr="004E7E8E">
        <w:t>i.e., doctors</w:t>
      </w:r>
      <w:r w:rsidR="0021131D" w:rsidRPr="004E7E8E">
        <w:t>)</w:t>
      </w:r>
      <w:r w:rsidR="00C71764" w:rsidRPr="004E7E8E">
        <w:t xml:space="preserve"> and </w:t>
      </w:r>
      <w:r w:rsidR="00095A2A" w:rsidRPr="004E7E8E">
        <w:t>having</w:t>
      </w:r>
      <w:r w:rsidR="00C71764" w:rsidRPr="004E7E8E">
        <w:t xml:space="preserve"> them move to a particular centre and town. Even though they knew it could slow them down, the</w:t>
      </w:r>
      <w:r w:rsidR="0021131D" w:rsidRPr="004E7E8E">
        <w:t xml:space="preserve"> partners</w:t>
      </w:r>
      <w:r w:rsidR="00C71764" w:rsidRPr="004E7E8E">
        <w:t xml:space="preserve"> had set in place a rigorous process for selecting the right kind of people. Could Eye</w:t>
      </w:r>
      <w:r w:rsidR="00D9525C" w:rsidRPr="004E7E8E">
        <w:t>-</w:t>
      </w:r>
      <w:r w:rsidR="00C71764" w:rsidRPr="004E7E8E">
        <w:t xml:space="preserve">Q become </w:t>
      </w:r>
      <w:r w:rsidR="00EE446B" w:rsidRPr="004E7E8E">
        <w:t>the</w:t>
      </w:r>
      <w:r w:rsidR="00C71764" w:rsidRPr="004E7E8E">
        <w:t xml:space="preserve"> employer of choice and continue attracting people </w:t>
      </w:r>
      <w:r w:rsidR="00095A2A" w:rsidRPr="004E7E8E">
        <w:t xml:space="preserve">of </w:t>
      </w:r>
      <w:r w:rsidR="00C71764" w:rsidRPr="004E7E8E">
        <w:t xml:space="preserve">the </w:t>
      </w:r>
      <w:r w:rsidR="00095A2A" w:rsidRPr="004E7E8E">
        <w:t>right</w:t>
      </w:r>
      <w:r w:rsidR="00C71764" w:rsidRPr="004E7E8E">
        <w:t xml:space="preserve"> calibre and </w:t>
      </w:r>
      <w:r w:rsidR="00095A2A" w:rsidRPr="004E7E8E">
        <w:t xml:space="preserve">with the necessary </w:t>
      </w:r>
      <w:r w:rsidR="00C71764" w:rsidRPr="004E7E8E">
        <w:t xml:space="preserve">passion? </w:t>
      </w:r>
      <w:r w:rsidR="00C71764" w:rsidRPr="004E7E8E">
        <w:rPr>
          <w:rStyle w:val="Emphasis"/>
          <w:i w:val="0"/>
          <w:iCs w:val="0"/>
        </w:rPr>
        <w:t>One thing was certain</w:t>
      </w:r>
      <w:r w:rsidR="0021131D" w:rsidRPr="004E7E8E">
        <w:rPr>
          <w:rStyle w:val="Emphasis"/>
          <w:i w:val="0"/>
          <w:iCs w:val="0"/>
        </w:rPr>
        <w:t>: W</w:t>
      </w:r>
      <w:r w:rsidR="00C71764" w:rsidRPr="004E7E8E">
        <w:rPr>
          <w:rStyle w:val="Emphasis"/>
          <w:i w:val="0"/>
          <w:iCs w:val="0"/>
        </w:rPr>
        <w:t xml:space="preserve">hatever course </w:t>
      </w:r>
      <w:r w:rsidR="0021131D" w:rsidRPr="004E7E8E">
        <w:rPr>
          <w:rStyle w:val="Emphasis"/>
          <w:i w:val="0"/>
          <w:iCs w:val="0"/>
        </w:rPr>
        <w:t>Goel and Sharma</w:t>
      </w:r>
      <w:r w:rsidR="00C71764" w:rsidRPr="004E7E8E">
        <w:rPr>
          <w:rStyle w:val="Emphasis"/>
          <w:i w:val="0"/>
          <w:iCs w:val="0"/>
        </w:rPr>
        <w:t xml:space="preserve"> decided to take, they would not deviate from their core philosophy.</w:t>
      </w:r>
      <w:r w:rsidR="00C71764" w:rsidRPr="007039CC">
        <w:rPr>
          <w:rStyle w:val="Emphasis"/>
          <w:color w:val="000000"/>
          <w:spacing w:val="-4"/>
          <w:shd w:val="clear" w:color="auto" w:fill="FFFFFF"/>
          <w:lang w:val="en-GB"/>
        </w:rPr>
        <w:br w:type="page"/>
      </w:r>
    </w:p>
    <w:p w14:paraId="707AA32F" w14:textId="77777777" w:rsidR="00806561" w:rsidRDefault="00C71764" w:rsidP="00311FC3">
      <w:pPr>
        <w:pStyle w:val="ExhibitHeading"/>
      </w:pPr>
      <w:r w:rsidRPr="00311FC3">
        <w:rPr>
          <w:rStyle w:val="Emphasis"/>
          <w:i w:val="0"/>
          <w:iCs w:val="0"/>
        </w:rPr>
        <w:lastRenderedPageBreak/>
        <w:t xml:space="preserve">Exhibit </w:t>
      </w:r>
      <w:r w:rsidR="00AA2ADB">
        <w:rPr>
          <w:rStyle w:val="Emphasis"/>
          <w:i w:val="0"/>
          <w:iCs w:val="0"/>
        </w:rPr>
        <w:t>1</w:t>
      </w:r>
      <w:r w:rsidR="00806561">
        <w:rPr>
          <w:rStyle w:val="Emphasis"/>
          <w:i w:val="0"/>
          <w:iCs w:val="0"/>
        </w:rPr>
        <w:t>A</w:t>
      </w:r>
      <w:r w:rsidR="00311FC3" w:rsidRPr="00311FC3">
        <w:t xml:space="preserve">: </w:t>
      </w:r>
      <w:r w:rsidR="00806561">
        <w:t xml:space="preserve">MAJOR </w:t>
      </w:r>
      <w:r w:rsidR="00C6191A">
        <w:t xml:space="preserve">Participants </w:t>
      </w:r>
      <w:r w:rsidR="00806561">
        <w:t xml:space="preserve">IN THE INDIAN </w:t>
      </w:r>
      <w:r w:rsidR="00806561" w:rsidRPr="00E75C57">
        <w:t>EYE</w:t>
      </w:r>
      <w:r w:rsidR="00806561">
        <w:t xml:space="preserve"> CARE MARKET </w:t>
      </w:r>
    </w:p>
    <w:p w14:paraId="2BD323DB" w14:textId="77777777" w:rsidR="00806561" w:rsidRDefault="00806561" w:rsidP="00311FC3">
      <w:pPr>
        <w:pStyle w:val="ExhibitHeading"/>
      </w:pPr>
    </w:p>
    <w:p w14:paraId="5E13640B" w14:textId="41A5698D" w:rsidR="004626E4" w:rsidRPr="00906966" w:rsidRDefault="004445CB" w:rsidP="00906966">
      <w:pPr>
        <w:pStyle w:val="ExhibitText"/>
        <w:rPr>
          <w:rStyle w:val="Emphasis"/>
          <w:i w:val="0"/>
          <w:iCs w:val="0"/>
        </w:rPr>
      </w:pPr>
      <w:r w:rsidRPr="00906966">
        <w:rPr>
          <w:rStyle w:val="Emphasis"/>
          <w:i w:val="0"/>
          <w:iCs w:val="0"/>
        </w:rPr>
        <w:t>Government</w:t>
      </w:r>
      <w:r w:rsidR="00715E9E" w:rsidRPr="00906966">
        <w:rPr>
          <w:rStyle w:val="Emphasis"/>
          <w:i w:val="0"/>
          <w:iCs w:val="0"/>
        </w:rPr>
        <w:t>-</w:t>
      </w:r>
      <w:r w:rsidRPr="00906966">
        <w:rPr>
          <w:rStyle w:val="Emphasis"/>
          <w:i w:val="0"/>
          <w:iCs w:val="0"/>
        </w:rPr>
        <w:t xml:space="preserve">run eye hospitals and eye care centres </w:t>
      </w:r>
      <w:r w:rsidR="00C6446D" w:rsidRPr="00906966">
        <w:rPr>
          <w:rStyle w:val="Emphasis"/>
          <w:i w:val="0"/>
          <w:iCs w:val="0"/>
        </w:rPr>
        <w:t>operated</w:t>
      </w:r>
      <w:r w:rsidRPr="00906966">
        <w:rPr>
          <w:rStyle w:val="Emphasis"/>
          <w:i w:val="0"/>
          <w:iCs w:val="0"/>
        </w:rPr>
        <w:t xml:space="preserve"> by non-profit trusts were the main providers of eye care services in India. The latter </w:t>
      </w:r>
      <w:r w:rsidR="00C6446D" w:rsidRPr="00906966">
        <w:rPr>
          <w:rStyle w:val="Emphasis"/>
          <w:i w:val="0"/>
          <w:iCs w:val="0"/>
        </w:rPr>
        <w:t xml:space="preserve">group </w:t>
      </w:r>
      <w:r w:rsidRPr="00906966">
        <w:rPr>
          <w:rStyle w:val="Emphasis"/>
          <w:i w:val="0"/>
          <w:iCs w:val="0"/>
        </w:rPr>
        <w:t>accounted for approximately 40</w:t>
      </w:r>
      <w:r w:rsidR="00715E9E" w:rsidRPr="00906966">
        <w:rPr>
          <w:rStyle w:val="Emphasis"/>
          <w:i w:val="0"/>
          <w:iCs w:val="0"/>
        </w:rPr>
        <w:t xml:space="preserve"> to </w:t>
      </w:r>
      <w:r w:rsidRPr="00906966">
        <w:rPr>
          <w:rStyle w:val="Emphasis"/>
          <w:i w:val="0"/>
          <w:iCs w:val="0"/>
        </w:rPr>
        <w:t>50 per cent of eye care treatments and w</w:t>
      </w:r>
      <w:r w:rsidR="00C6446D" w:rsidRPr="00906966">
        <w:rPr>
          <w:rStyle w:val="Emphasis"/>
          <w:i w:val="0"/>
          <w:iCs w:val="0"/>
        </w:rPr>
        <w:t>as</w:t>
      </w:r>
      <w:r w:rsidRPr="00906966">
        <w:rPr>
          <w:rStyle w:val="Emphasis"/>
          <w:i w:val="0"/>
          <w:iCs w:val="0"/>
        </w:rPr>
        <w:t xml:space="preserve"> represented by organizations such as Aravind Eye Care (Ar</w:t>
      </w:r>
      <w:r w:rsidR="00A675E4">
        <w:rPr>
          <w:rStyle w:val="Emphasis"/>
          <w:i w:val="0"/>
          <w:iCs w:val="0"/>
        </w:rPr>
        <w:t>a</w:t>
      </w:r>
      <w:r w:rsidRPr="00906966">
        <w:rPr>
          <w:rStyle w:val="Emphasis"/>
          <w:i w:val="0"/>
          <w:iCs w:val="0"/>
        </w:rPr>
        <w:t>vind), Sankara Nethralaya</w:t>
      </w:r>
      <w:r w:rsidR="00A675E4">
        <w:rPr>
          <w:rStyle w:val="Emphasis"/>
          <w:i w:val="0"/>
          <w:iCs w:val="0"/>
        </w:rPr>
        <w:t>,</w:t>
      </w:r>
      <w:r w:rsidRPr="00906966">
        <w:rPr>
          <w:rStyle w:val="Emphasis"/>
          <w:i w:val="0"/>
          <w:iCs w:val="0"/>
        </w:rPr>
        <w:t xml:space="preserve"> and the LV Prasad Eye Institute (LVPEI). </w:t>
      </w:r>
      <w:r w:rsidR="00C6446D" w:rsidRPr="00906966">
        <w:rPr>
          <w:rStyle w:val="Emphasis"/>
          <w:i w:val="0"/>
          <w:iCs w:val="0"/>
        </w:rPr>
        <w:t>W</w:t>
      </w:r>
      <w:r w:rsidRPr="00906966">
        <w:rPr>
          <w:rStyle w:val="Emphasis"/>
          <w:i w:val="0"/>
          <w:iCs w:val="0"/>
        </w:rPr>
        <w:t>ith technological advancements in surgery, the majority of eye surgeries no longer required overnight hospitalization</w:t>
      </w:r>
      <w:r w:rsidR="00C6446D" w:rsidRPr="00906966">
        <w:rPr>
          <w:rStyle w:val="Emphasis"/>
          <w:i w:val="0"/>
          <w:iCs w:val="0"/>
        </w:rPr>
        <w:t>, which meant that</w:t>
      </w:r>
      <w:r w:rsidRPr="00906966">
        <w:rPr>
          <w:rStyle w:val="Emphasis"/>
          <w:i w:val="0"/>
          <w:iCs w:val="0"/>
        </w:rPr>
        <w:t xml:space="preserve"> eye care centres had far lower capital expenditures relative to other health</w:t>
      </w:r>
      <w:r w:rsidR="00A675E4">
        <w:rPr>
          <w:rStyle w:val="Emphasis"/>
          <w:i w:val="0"/>
          <w:iCs w:val="0"/>
        </w:rPr>
        <w:t xml:space="preserve"> </w:t>
      </w:r>
      <w:r w:rsidRPr="00906966">
        <w:rPr>
          <w:rStyle w:val="Emphasis"/>
          <w:i w:val="0"/>
          <w:iCs w:val="0"/>
        </w:rPr>
        <w:t>care verticals. Further, growing awareness about eye care and increasing demand for eye treatments in the country ensured a much higher return on investment. This</w:t>
      </w:r>
      <w:r w:rsidR="00715E9E" w:rsidRPr="00906966">
        <w:rPr>
          <w:rStyle w:val="Emphasis"/>
          <w:i w:val="0"/>
          <w:iCs w:val="0"/>
        </w:rPr>
        <w:t xml:space="preserve"> situation</w:t>
      </w:r>
      <w:r w:rsidRPr="00906966">
        <w:rPr>
          <w:rStyle w:val="Emphasis"/>
          <w:i w:val="0"/>
          <w:iCs w:val="0"/>
        </w:rPr>
        <w:t xml:space="preserve">, along with the sheer </w:t>
      </w:r>
      <w:r w:rsidR="00C6446D" w:rsidRPr="00906966">
        <w:rPr>
          <w:rStyle w:val="Emphasis"/>
          <w:i w:val="0"/>
          <w:iCs w:val="0"/>
        </w:rPr>
        <w:t xml:space="preserve">volume of </w:t>
      </w:r>
      <w:r w:rsidRPr="00906966">
        <w:rPr>
          <w:rStyle w:val="Emphasis"/>
          <w:i w:val="0"/>
          <w:iCs w:val="0"/>
        </w:rPr>
        <w:t xml:space="preserve">opportunity that India offered, triggered the </w:t>
      </w:r>
      <w:r w:rsidR="00C6446D" w:rsidRPr="00906966">
        <w:rPr>
          <w:rStyle w:val="Emphasis"/>
          <w:i w:val="0"/>
          <w:iCs w:val="0"/>
        </w:rPr>
        <w:t xml:space="preserve">market </w:t>
      </w:r>
      <w:r w:rsidRPr="00906966">
        <w:rPr>
          <w:rStyle w:val="Emphasis"/>
          <w:i w:val="0"/>
          <w:iCs w:val="0"/>
        </w:rPr>
        <w:t>entry of a number of private eye care chains</w:t>
      </w:r>
      <w:r w:rsidR="00715E9E" w:rsidRPr="00906966">
        <w:rPr>
          <w:rStyle w:val="Emphasis"/>
          <w:i w:val="0"/>
          <w:iCs w:val="0"/>
        </w:rPr>
        <w:t>,</w:t>
      </w:r>
      <w:r w:rsidRPr="00906966">
        <w:rPr>
          <w:rStyle w:val="Emphasis"/>
          <w:i w:val="0"/>
          <w:iCs w:val="0"/>
        </w:rPr>
        <w:t xml:space="preserve"> such as Vasan Eye Care</w:t>
      </w:r>
      <w:r w:rsidR="00E10495">
        <w:rPr>
          <w:rStyle w:val="Emphasis"/>
          <w:i w:val="0"/>
          <w:iCs w:val="0"/>
        </w:rPr>
        <w:t xml:space="preserve"> (Vasan)</w:t>
      </w:r>
      <w:r w:rsidRPr="00906966">
        <w:rPr>
          <w:rStyle w:val="Emphasis"/>
          <w:i w:val="0"/>
          <w:iCs w:val="0"/>
        </w:rPr>
        <w:t>, Centre for Sight, and Dr. Agarwal</w:t>
      </w:r>
      <w:r w:rsidR="00097907">
        <w:rPr>
          <w:rStyle w:val="Emphasis"/>
          <w:i w:val="0"/>
          <w:iCs w:val="0"/>
        </w:rPr>
        <w:t>’s</w:t>
      </w:r>
      <w:r w:rsidRPr="00906966">
        <w:rPr>
          <w:rStyle w:val="Emphasis"/>
          <w:i w:val="0"/>
          <w:iCs w:val="0"/>
        </w:rPr>
        <w:t xml:space="preserve"> Eye Hospital. Medfort Hospitals and Eye</w:t>
      </w:r>
      <w:r w:rsidR="00BB343B">
        <w:rPr>
          <w:rStyle w:val="Emphasis"/>
          <w:i w:val="0"/>
          <w:iCs w:val="0"/>
        </w:rPr>
        <w:t>-</w:t>
      </w:r>
      <w:r w:rsidRPr="00906966">
        <w:rPr>
          <w:rStyle w:val="Emphasis"/>
          <w:i w:val="0"/>
          <w:iCs w:val="0"/>
        </w:rPr>
        <w:t xml:space="preserve">Q were among the newer eye care chains. </w:t>
      </w:r>
    </w:p>
    <w:p w14:paraId="28F1F1E2" w14:textId="77777777" w:rsidR="004626E4" w:rsidRPr="00906966" w:rsidRDefault="004626E4" w:rsidP="004626E4">
      <w:pPr>
        <w:pStyle w:val="ExhibitText"/>
        <w:rPr>
          <w:rStyle w:val="Emphasis"/>
          <w:rFonts w:ascii="Times New Roman" w:hAnsi="Times New Roman" w:cs="Times New Roman"/>
          <w:i w:val="0"/>
          <w:color w:val="000000"/>
          <w:shd w:val="clear" w:color="auto" w:fill="FFFFFF"/>
          <w:lang w:val="en-GB"/>
        </w:rPr>
      </w:pPr>
    </w:p>
    <w:p w14:paraId="64D9368D" w14:textId="77777777" w:rsidR="003C226F" w:rsidRPr="00906966" w:rsidRDefault="003C226F" w:rsidP="001E46D3">
      <w:pPr>
        <w:pStyle w:val="ExhibitText"/>
        <w:rPr>
          <w:rStyle w:val="Emphasis"/>
          <w:rFonts w:ascii="Times New Roman" w:hAnsi="Times New Roman" w:cs="Times New Roman"/>
          <w:b/>
          <w:i w:val="0"/>
          <w:color w:val="000000"/>
          <w:shd w:val="clear" w:color="auto" w:fill="FFFFFF"/>
          <w:lang w:val="en-GB"/>
        </w:rPr>
      </w:pPr>
    </w:p>
    <w:p w14:paraId="7C0EBC0D" w14:textId="77777777" w:rsidR="003C226F" w:rsidRPr="00906966" w:rsidRDefault="004445CB" w:rsidP="001E46D3">
      <w:pPr>
        <w:pStyle w:val="ExhibitText"/>
        <w:rPr>
          <w:rStyle w:val="Emphasis"/>
          <w:b/>
          <w:i w:val="0"/>
          <w:color w:val="000000"/>
          <w:shd w:val="clear" w:color="auto" w:fill="FFFFFF"/>
          <w:lang w:val="en-GB"/>
        </w:rPr>
      </w:pPr>
      <w:r w:rsidRPr="00906966">
        <w:rPr>
          <w:rStyle w:val="Emphasis"/>
          <w:b/>
          <w:i w:val="0"/>
          <w:color w:val="000000"/>
          <w:shd w:val="clear" w:color="auto" w:fill="FFFFFF"/>
          <w:lang w:val="en-GB"/>
        </w:rPr>
        <w:t>Aravind Eye Care</w:t>
      </w:r>
    </w:p>
    <w:p w14:paraId="5C513016" w14:textId="77777777" w:rsidR="007C3128" w:rsidRPr="00906966" w:rsidRDefault="007C3128" w:rsidP="00906966">
      <w:pPr>
        <w:pStyle w:val="ExhibitText"/>
        <w:rPr>
          <w:rStyle w:val="Emphasis"/>
          <w:i w:val="0"/>
          <w:iCs w:val="0"/>
        </w:rPr>
      </w:pPr>
    </w:p>
    <w:p w14:paraId="31AEB574" w14:textId="3302E438" w:rsidR="001E46D3" w:rsidRPr="00906966" w:rsidRDefault="004445CB" w:rsidP="00906966">
      <w:pPr>
        <w:pStyle w:val="ExhibitText"/>
      </w:pPr>
      <w:r w:rsidRPr="00906966">
        <w:t>Aravind was one of the largest providers of ophthalmological services in the world, performing almost 350,000 eye operations a year. It delivered nearly 60 per cent of these services free of charge or at a low cost, while maintaining excellent service quality and a low rate of surgical complications. The business model was simple</w:t>
      </w:r>
      <w:r w:rsidR="007C3128" w:rsidRPr="00906966">
        <w:t>: P</w:t>
      </w:r>
      <w:r w:rsidRPr="00906966">
        <w:t xml:space="preserve">rofits from patients who could afford to pay the market rates were used to fund the treatments of those who could not. To lower </w:t>
      </w:r>
      <w:r w:rsidR="007C3128" w:rsidRPr="00906966">
        <w:t>its</w:t>
      </w:r>
      <w:r w:rsidRPr="00906966">
        <w:t xml:space="preserve"> fixed costs, </w:t>
      </w:r>
      <w:r w:rsidR="007C3128" w:rsidRPr="00906966">
        <w:t>Ar</w:t>
      </w:r>
      <w:r w:rsidR="00A675E4">
        <w:t>a</w:t>
      </w:r>
      <w:r w:rsidR="007C3128" w:rsidRPr="00906966">
        <w:t>vind</w:t>
      </w:r>
      <w:r w:rsidRPr="00906966">
        <w:t xml:space="preserve"> maximized the use of </w:t>
      </w:r>
      <w:r w:rsidR="007C3128" w:rsidRPr="00906966">
        <w:t>its</w:t>
      </w:r>
      <w:r w:rsidRPr="00906966">
        <w:t xml:space="preserve"> infrastructure. In addition, </w:t>
      </w:r>
      <w:r w:rsidR="00A675E4">
        <w:t>it</w:t>
      </w:r>
      <w:r w:rsidRPr="00906966">
        <w:t xml:space="preserve"> optimized the services of </w:t>
      </w:r>
      <w:r w:rsidR="007C3128" w:rsidRPr="00906966">
        <w:t>its</w:t>
      </w:r>
      <w:r w:rsidRPr="00906966">
        <w:t xml:space="preserve"> surgeons by performing 200</w:t>
      </w:r>
      <w:r w:rsidR="007C3128" w:rsidRPr="00906966">
        <w:t xml:space="preserve"> to </w:t>
      </w:r>
      <w:r w:rsidRPr="00906966">
        <w:t>300 surgeries per day instead of just 20</w:t>
      </w:r>
      <w:r w:rsidR="007C3128" w:rsidRPr="00906966">
        <w:t xml:space="preserve"> to </w:t>
      </w:r>
      <w:r w:rsidRPr="00906966">
        <w:t>30</w:t>
      </w:r>
      <w:r w:rsidR="007C3128" w:rsidRPr="00906966">
        <w:t>.</w:t>
      </w:r>
      <w:r w:rsidRPr="00906966">
        <w:t xml:space="preserve"> </w:t>
      </w:r>
      <w:r w:rsidR="007C3128" w:rsidRPr="00906966">
        <w:t>In this way, Ar</w:t>
      </w:r>
      <w:r w:rsidR="00A675E4">
        <w:t>a</w:t>
      </w:r>
      <w:r w:rsidR="007C3128" w:rsidRPr="00906966">
        <w:t xml:space="preserve">vind </w:t>
      </w:r>
      <w:r w:rsidRPr="00906966">
        <w:t>was able to achieve greater efficiencies by allowing non-doctors (for instance, nurses) to deliver some of the services. Aravind also set up Aurolab, a non-profit charitable trust, to manufacture intraocular lenses and other ophthalmic consumables</w:t>
      </w:r>
      <w:r w:rsidR="007C3128" w:rsidRPr="00906966">
        <w:t>, thereby</w:t>
      </w:r>
      <w:r w:rsidRPr="00906966">
        <w:t xml:space="preserve"> bring</w:t>
      </w:r>
      <w:r w:rsidR="007C3128" w:rsidRPr="00906966">
        <w:t>ing</w:t>
      </w:r>
      <w:r w:rsidRPr="00906966">
        <w:t xml:space="preserve"> down the cost of lenses from US$70 (the price of imported lenses in the Indian market) to US$2. </w:t>
      </w:r>
    </w:p>
    <w:p w14:paraId="1673E77A" w14:textId="77777777" w:rsidR="001E46D3" w:rsidRPr="00906966" w:rsidRDefault="001E46D3" w:rsidP="00906966">
      <w:pPr>
        <w:pStyle w:val="ExhibitText"/>
      </w:pPr>
    </w:p>
    <w:p w14:paraId="7783FFF8" w14:textId="77777777" w:rsidR="003C226F" w:rsidRPr="00906966" w:rsidRDefault="003C226F" w:rsidP="00906966">
      <w:pPr>
        <w:pStyle w:val="ExhibitText"/>
        <w:rPr>
          <w:rStyle w:val="Emphasis"/>
          <w:i w:val="0"/>
          <w:iCs w:val="0"/>
        </w:rPr>
      </w:pPr>
    </w:p>
    <w:p w14:paraId="1DFFC655" w14:textId="77777777" w:rsidR="001E46D3" w:rsidRPr="00544867" w:rsidRDefault="004445CB" w:rsidP="001E46D3">
      <w:pPr>
        <w:pStyle w:val="ExhibitText"/>
        <w:rPr>
          <w:rStyle w:val="Emphasis"/>
          <w:b/>
          <w:i w:val="0"/>
          <w:color w:val="000000"/>
          <w:shd w:val="clear" w:color="auto" w:fill="FFFFFF"/>
          <w:lang w:val="en-GB"/>
        </w:rPr>
      </w:pPr>
      <w:r w:rsidRPr="00906966">
        <w:rPr>
          <w:rStyle w:val="Emphasis"/>
          <w:b/>
          <w:i w:val="0"/>
          <w:color w:val="000000"/>
          <w:shd w:val="clear" w:color="auto" w:fill="FFFFFF"/>
          <w:lang w:val="en-GB"/>
        </w:rPr>
        <w:t>Vasan Eye Care</w:t>
      </w:r>
    </w:p>
    <w:p w14:paraId="78685A75" w14:textId="77777777" w:rsidR="003C226F" w:rsidRPr="00906966" w:rsidRDefault="003C226F" w:rsidP="00906966">
      <w:pPr>
        <w:pStyle w:val="ExhibitText"/>
        <w:rPr>
          <w:rStyle w:val="Emphasis"/>
          <w:i w:val="0"/>
          <w:iCs w:val="0"/>
        </w:rPr>
      </w:pPr>
    </w:p>
    <w:p w14:paraId="56632174" w14:textId="10FA0657" w:rsidR="001E46D3" w:rsidRPr="00906966" w:rsidRDefault="004445CB" w:rsidP="00906966">
      <w:pPr>
        <w:pStyle w:val="ExhibitText"/>
      </w:pPr>
      <w:r w:rsidRPr="00906966">
        <w:t>Vasan established its first centre in 2001 in Tiruchirappalli with a budget of ₹5 million and a modest space of 2,500 sq</w:t>
      </w:r>
      <w:r w:rsidR="007C3128" w:rsidRPr="00906966">
        <w:t>uare</w:t>
      </w:r>
      <w:r w:rsidRPr="00906966">
        <w:t xml:space="preserve"> f</w:t>
      </w:r>
      <w:r w:rsidR="007C3128" w:rsidRPr="00906966">
        <w:t>ee</w:t>
      </w:r>
      <w:r w:rsidRPr="00906966">
        <w:t>t. Over the years, it grew to become the largest stand</w:t>
      </w:r>
      <w:r w:rsidR="00A675E4">
        <w:t>-</w:t>
      </w:r>
      <w:r w:rsidRPr="00906966">
        <w:t xml:space="preserve">alone eye care </w:t>
      </w:r>
      <w:r w:rsidR="007C3128" w:rsidRPr="00906966">
        <w:t>provider</w:t>
      </w:r>
      <w:r w:rsidRPr="00906966">
        <w:t xml:space="preserve"> on a global scale, with about 150 centres </w:t>
      </w:r>
      <w:r w:rsidR="005B2E65" w:rsidRPr="00906966">
        <w:t>by</w:t>
      </w:r>
      <w:r w:rsidRPr="00906966">
        <w:t xml:space="preserve"> 2013. Operating out of leased buildings, Vasan invested up to ₹100 million in each eye care centre to acquire state-of-the-art equipment and skilled professionals. Each of these centres was fully owned and operated by Vasan. Vasan’s philosophy was to hire the best local doctors rather than source them from elsewhere. As of 2011, Vasan had 750 full-time ophthalmologists and a staff of 8,000 employees on its rolls.</w:t>
      </w:r>
    </w:p>
    <w:p w14:paraId="34074F29" w14:textId="77777777" w:rsidR="001E46D3" w:rsidRPr="00906966" w:rsidRDefault="001E46D3" w:rsidP="00906966">
      <w:pPr>
        <w:pStyle w:val="ExhibitText"/>
        <w:rPr>
          <w:rStyle w:val="Emphasis"/>
          <w:i w:val="0"/>
          <w:iCs w:val="0"/>
        </w:rPr>
      </w:pPr>
    </w:p>
    <w:p w14:paraId="1774A094" w14:textId="77777777" w:rsidR="003C226F" w:rsidRPr="00906966" w:rsidRDefault="003C226F" w:rsidP="00906966">
      <w:pPr>
        <w:pStyle w:val="ExhibitText"/>
        <w:rPr>
          <w:rStyle w:val="Emphasis"/>
          <w:i w:val="0"/>
          <w:iCs w:val="0"/>
        </w:rPr>
      </w:pPr>
    </w:p>
    <w:p w14:paraId="70410895" w14:textId="77777777" w:rsidR="004626E4" w:rsidRPr="00823405" w:rsidRDefault="004445CB" w:rsidP="00823405">
      <w:pPr>
        <w:pStyle w:val="Casehead2"/>
        <w:rPr>
          <w:rStyle w:val="Emphasis"/>
          <w:i w:val="0"/>
          <w:shd w:val="clear" w:color="auto" w:fill="FFFFFF"/>
          <w:lang w:val="en-GB"/>
        </w:rPr>
      </w:pPr>
      <w:r w:rsidRPr="00823405">
        <w:rPr>
          <w:rStyle w:val="Emphasis"/>
          <w:i w:val="0"/>
          <w:shd w:val="clear" w:color="auto" w:fill="FFFFFF"/>
          <w:lang w:val="en-GB"/>
        </w:rPr>
        <w:t>Centre for Sight</w:t>
      </w:r>
    </w:p>
    <w:p w14:paraId="09F32C86" w14:textId="77777777" w:rsidR="003C226F" w:rsidRPr="00906966" w:rsidRDefault="003C226F" w:rsidP="00906966">
      <w:pPr>
        <w:pStyle w:val="ExhibitText"/>
        <w:rPr>
          <w:rStyle w:val="Emphasis"/>
          <w:i w:val="0"/>
          <w:iCs w:val="0"/>
        </w:rPr>
      </w:pPr>
    </w:p>
    <w:p w14:paraId="50FFD5D6" w14:textId="14CD575D" w:rsidR="001E46D3" w:rsidRPr="00906966" w:rsidRDefault="004445CB" w:rsidP="00906966">
      <w:pPr>
        <w:pStyle w:val="ExhibitText"/>
        <w:rPr>
          <w:rStyle w:val="Emphasis"/>
          <w:i w:val="0"/>
          <w:iCs w:val="0"/>
        </w:rPr>
      </w:pPr>
      <w:r w:rsidRPr="00906966">
        <w:t xml:space="preserve">Centre for Sight aimed to be a one-stop shop for all eye-related procedures. </w:t>
      </w:r>
      <w:r w:rsidR="00E10495">
        <w:t>It</w:t>
      </w:r>
      <w:r w:rsidRPr="00906966">
        <w:t xml:space="preserve"> received funding </w:t>
      </w:r>
      <w:r w:rsidR="00E10495">
        <w:t>of about</w:t>
      </w:r>
      <w:r w:rsidRPr="00906966">
        <w:t xml:space="preserve"> ₹500 million from</w:t>
      </w:r>
      <w:r w:rsidRPr="00906966">
        <w:rPr>
          <w:rStyle w:val="apple-converted-space"/>
        </w:rPr>
        <w:t> </w:t>
      </w:r>
      <w:r w:rsidRPr="00906966">
        <w:t>Matrix Partners in 2010. Since its inception in 1996, Centre for Sight had set up 45 centres across Delhi, the National Capital Region, Haryana, Uttar Pradesh, Punjab, Rajasthan, Gujarat, Madhya Pradesh, Jammu and Kashmir, Maharashtra</w:t>
      </w:r>
      <w:r w:rsidR="007C3128" w:rsidRPr="00906966">
        <w:t>,</w:t>
      </w:r>
      <w:r w:rsidRPr="00906966">
        <w:t xml:space="preserve"> and Andhra Pradesh. </w:t>
      </w:r>
    </w:p>
    <w:p w14:paraId="01BB65B0" w14:textId="77777777" w:rsidR="00116FB8" w:rsidRDefault="00116FB8" w:rsidP="00906966">
      <w:pPr>
        <w:pStyle w:val="ExhibitText"/>
        <w:rPr>
          <w:rStyle w:val="Emphasis"/>
          <w:i w:val="0"/>
          <w:iCs w:val="0"/>
        </w:rPr>
      </w:pPr>
    </w:p>
    <w:p w14:paraId="153C3013" w14:textId="6F3D979E" w:rsidR="00E57864" w:rsidRDefault="00BB343B" w:rsidP="00E57864">
      <w:pPr>
        <w:pStyle w:val="Footnote"/>
      </w:pPr>
      <w:r w:rsidRPr="00BB343B">
        <w:rPr>
          <w:rStyle w:val="Emphasis"/>
          <w:i w:val="0"/>
          <w:iCs w:val="0"/>
        </w:rPr>
        <w:t>Source:</w:t>
      </w:r>
      <w:r w:rsidR="00906966" w:rsidRPr="00BB343B">
        <w:rPr>
          <w:rStyle w:val="Emphasis"/>
          <w:i w:val="0"/>
          <w:iCs w:val="0"/>
        </w:rPr>
        <w:t xml:space="preserve"> </w:t>
      </w:r>
      <w:r w:rsidR="00E57864" w:rsidRPr="00BB343B">
        <w:t>“Most Eye Care Chains Follow Hub-and-Spoke Model,” CRISIL Research Report, March 19, 2014</w:t>
      </w:r>
      <w:r>
        <w:t xml:space="preserve">; </w:t>
      </w:r>
      <w:r w:rsidR="00E57864" w:rsidRPr="00BB343B">
        <w:t xml:space="preserve">Tracey Vickers and Ellen Rosen, “Driving Down the Cost of High-Quality Care: Lessons from the Aravind Eye Care System,” Health International no. 11 </w:t>
      </w:r>
      <w:r w:rsidRPr="00BB343B">
        <w:t>(</w:t>
      </w:r>
      <w:r w:rsidR="00E57864" w:rsidRPr="00BB343B">
        <w:t>2011</w:t>
      </w:r>
      <w:r w:rsidRPr="00BB343B">
        <w:t>)</w:t>
      </w:r>
      <w:r>
        <w:t xml:space="preserve">; </w:t>
      </w:r>
      <w:r w:rsidR="00E57864" w:rsidRPr="00D66A21">
        <w:t xml:space="preserve">Mahathi R. Arjun, “An </w:t>
      </w:r>
      <w:r w:rsidR="00E57864" w:rsidRPr="00E75C57">
        <w:t>Eye</w:t>
      </w:r>
      <w:r w:rsidR="00E57864" w:rsidRPr="00D66A21">
        <w:t xml:space="preserve"> on Growth,” The Smart CEO, August 15, 2011, </w:t>
      </w:r>
      <w:r w:rsidR="00E57864">
        <w:t xml:space="preserve">accessed </w:t>
      </w:r>
      <w:r w:rsidR="00E57864" w:rsidRPr="00D66A21">
        <w:t>June 16, 2014</w:t>
      </w:r>
      <w:r w:rsidR="00E57864">
        <w:t xml:space="preserve">, </w:t>
      </w:r>
      <w:r w:rsidR="00E57864" w:rsidRPr="00D66A21">
        <w:t>www.thesmartceo.in//an-</w:t>
      </w:r>
      <w:r w:rsidR="00E57864" w:rsidRPr="00E75C57">
        <w:t>eye</w:t>
      </w:r>
      <w:r w:rsidR="00E57864" w:rsidRPr="00D66A21">
        <w:t>-on-growth.html</w:t>
      </w:r>
      <w:r w:rsidR="00E57864">
        <w:t>;</w:t>
      </w:r>
      <w:r w:rsidR="00E57864" w:rsidRPr="00D66A21">
        <w:t xml:space="preserve"> </w:t>
      </w:r>
      <w:r w:rsidR="00E57864" w:rsidRPr="00143897">
        <w:t>Malini</w:t>
      </w:r>
      <w:r w:rsidR="00E57864" w:rsidRPr="00D66A21">
        <w:t xml:space="preserve"> Goyal, “New Breed of Entrepreneurs Propelling the Growth of Niche Hospitals,” </w:t>
      </w:r>
      <w:r w:rsidR="00E57864" w:rsidRPr="00BB343B">
        <w:rPr>
          <w:i/>
        </w:rPr>
        <w:t>Economic Times</w:t>
      </w:r>
      <w:r w:rsidR="00E57864" w:rsidRPr="00D66A21">
        <w:t xml:space="preserve">, February 5, 2012, </w:t>
      </w:r>
      <w:r w:rsidR="00E57864">
        <w:t xml:space="preserve">accessed </w:t>
      </w:r>
      <w:r w:rsidR="00E57864" w:rsidRPr="00D66A21">
        <w:t>June 16, 2014</w:t>
      </w:r>
      <w:r w:rsidR="00E57864">
        <w:t xml:space="preserve">, </w:t>
      </w:r>
      <w:r w:rsidRPr="00BB343B">
        <w:t>http://articles.economictimes.indiatimes.com/2012-02-05/news/31025086_1_hospital-chains-multi-speciality-dialysis-centres</w:t>
      </w:r>
      <w:r w:rsidR="00E57864" w:rsidRPr="00D66A21">
        <w:t>;</w:t>
      </w:r>
      <w:r>
        <w:t xml:space="preserve"> </w:t>
      </w:r>
      <w:r w:rsidR="00E57864" w:rsidRPr="00D66A21">
        <w:t>Diksha Dutta</w:t>
      </w:r>
      <w:r w:rsidR="00E57864">
        <w:t xml:space="preserve"> and</w:t>
      </w:r>
      <w:r w:rsidR="00E57864" w:rsidRPr="00D66A21">
        <w:t xml:space="preserve"> Shrija Agrawal, “Matrix-</w:t>
      </w:r>
      <w:r w:rsidR="00E57864">
        <w:t>B</w:t>
      </w:r>
      <w:r w:rsidR="00E57864" w:rsidRPr="00D66A21">
        <w:t xml:space="preserve">acked Center for Sight </w:t>
      </w:r>
      <w:r w:rsidR="00E57864" w:rsidRPr="00E75C57">
        <w:t>Eye</w:t>
      </w:r>
      <w:r w:rsidR="00E57864" w:rsidRPr="00D66A21">
        <w:t xml:space="preserve">s 2nd Round of PE Funding, Aims to Boost Tertiary Care Centres,” VC Circle, February 4, 2013, </w:t>
      </w:r>
      <w:r w:rsidR="00E57864">
        <w:t xml:space="preserve">accessed </w:t>
      </w:r>
      <w:r w:rsidR="00E57864" w:rsidRPr="00D66A21">
        <w:t>June 16, 2014</w:t>
      </w:r>
      <w:r w:rsidR="00E57864">
        <w:t xml:space="preserve">, </w:t>
      </w:r>
      <w:r w:rsidR="00841618" w:rsidRPr="00841618">
        <w:t>www.vccircle.com/news/2013/02/04/matrix-backed-center-sight-eyes-2nd-round-pe-funding-aims-boost-tertiary-care</w:t>
      </w:r>
      <w:r w:rsidR="00E57864" w:rsidRPr="00D66A21">
        <w:t>;</w:t>
      </w:r>
      <w:r w:rsidR="00841618">
        <w:t xml:space="preserve"> </w:t>
      </w:r>
      <w:r w:rsidR="00841618" w:rsidRPr="00F007F8">
        <w:rPr>
          <w:spacing w:val="-4"/>
        </w:rPr>
        <w:t>Raelene Kambli, “Eyeing the Light,” Express Healthcare, October 11, 2012, accessed July 13 2017, http://archivehealthcare.expressbpd.com/sections/market-section/815-eyeing-the-light</w:t>
      </w:r>
      <w:r w:rsidR="00841618">
        <w:rPr>
          <w:spacing w:val="-4"/>
        </w:rPr>
        <w:t>.</w:t>
      </w:r>
    </w:p>
    <w:p w14:paraId="40133DBA" w14:textId="77777777" w:rsidR="00806561" w:rsidRPr="00311FC3" w:rsidRDefault="00060551" w:rsidP="00806561">
      <w:pPr>
        <w:pStyle w:val="ExhibitHeading"/>
      </w:pPr>
      <w:r w:rsidRPr="00BF5AC8">
        <w:rPr>
          <w:rStyle w:val="Emphasis"/>
          <w:i w:val="0"/>
          <w:iCs w:val="0"/>
        </w:rPr>
        <w:lastRenderedPageBreak/>
        <w:t>Exhibit 1B:</w:t>
      </w:r>
      <w:r w:rsidR="00806561">
        <w:rPr>
          <w:rStyle w:val="Emphasis"/>
          <w:i w:val="0"/>
          <w:iCs w:val="0"/>
        </w:rPr>
        <w:t xml:space="preserve"> </w:t>
      </w:r>
      <w:r w:rsidR="00806561" w:rsidRPr="00311FC3">
        <w:t xml:space="preserve">MAIN CHARITABLE </w:t>
      </w:r>
      <w:r w:rsidR="00C6191A" w:rsidRPr="00311FC3">
        <w:t>P</w:t>
      </w:r>
      <w:r w:rsidR="00C6191A">
        <w:t>articipants</w:t>
      </w:r>
      <w:r w:rsidR="00C6191A" w:rsidRPr="00311FC3">
        <w:t xml:space="preserve"> </w:t>
      </w:r>
      <w:r w:rsidR="00806561" w:rsidRPr="00311FC3">
        <w:t xml:space="preserve">IN THE INDIAN </w:t>
      </w:r>
      <w:r w:rsidR="00806561" w:rsidRPr="00E75C57">
        <w:t>EYE</w:t>
      </w:r>
      <w:r w:rsidR="00806561" w:rsidRPr="00311FC3">
        <w:t xml:space="preserve"> CARE MARKET</w:t>
      </w:r>
    </w:p>
    <w:p w14:paraId="3D33E389" w14:textId="77777777" w:rsidR="00806561" w:rsidRPr="00311FC3" w:rsidRDefault="00806561" w:rsidP="00806561">
      <w:pPr>
        <w:pStyle w:val="BodyTextMain"/>
        <w:rPr>
          <w:rStyle w:val="Emphasis"/>
          <w:i w:val="0"/>
          <w:iCs w:val="0"/>
        </w:rPr>
      </w:pPr>
    </w:p>
    <w:tbl>
      <w:tblPr>
        <w:tblStyle w:val="TableGrid"/>
        <w:tblW w:w="8782" w:type="dxa"/>
        <w:jc w:val="center"/>
        <w:tblLook w:val="04A0" w:firstRow="1" w:lastRow="0" w:firstColumn="1" w:lastColumn="0" w:noHBand="0" w:noVBand="1"/>
      </w:tblPr>
      <w:tblGrid>
        <w:gridCol w:w="1111"/>
        <w:gridCol w:w="2654"/>
        <w:gridCol w:w="2416"/>
        <w:gridCol w:w="2601"/>
      </w:tblGrid>
      <w:tr w:rsidR="00806561" w:rsidRPr="00311FC3" w14:paraId="6B0597CE" w14:textId="77777777" w:rsidTr="00A37C2D">
        <w:trPr>
          <w:trHeight w:val="19"/>
          <w:jc w:val="center"/>
        </w:trPr>
        <w:tc>
          <w:tcPr>
            <w:tcW w:w="1111" w:type="dxa"/>
            <w:hideMark/>
          </w:tcPr>
          <w:p w14:paraId="0AACC5E1" w14:textId="77777777" w:rsidR="00806561" w:rsidRPr="00311FC3" w:rsidRDefault="00806561" w:rsidP="00EA4713">
            <w:pPr>
              <w:pStyle w:val="ExhibitText"/>
              <w:rPr>
                <w:sz w:val="18"/>
                <w:szCs w:val="18"/>
                <w:lang w:val="en-GB"/>
              </w:rPr>
            </w:pPr>
          </w:p>
        </w:tc>
        <w:tc>
          <w:tcPr>
            <w:tcW w:w="2654" w:type="dxa"/>
            <w:hideMark/>
          </w:tcPr>
          <w:p w14:paraId="21300AAD" w14:textId="77777777" w:rsidR="00806561" w:rsidRPr="007039CC" w:rsidRDefault="00806561" w:rsidP="00BF5AC8">
            <w:pPr>
              <w:pStyle w:val="ExhibitText"/>
              <w:rPr>
                <w:b/>
                <w:sz w:val="18"/>
                <w:szCs w:val="18"/>
                <w:lang w:val="en-GB"/>
              </w:rPr>
            </w:pPr>
            <w:r w:rsidRPr="007039CC">
              <w:rPr>
                <w:b/>
                <w:sz w:val="18"/>
                <w:szCs w:val="18"/>
                <w:lang w:val="en-GB"/>
              </w:rPr>
              <w:t>Aravind Eye</w:t>
            </w:r>
            <w:r w:rsidR="00BF5AC8" w:rsidRPr="007039CC">
              <w:rPr>
                <w:b/>
                <w:sz w:val="18"/>
                <w:szCs w:val="18"/>
                <w:lang w:val="en-GB"/>
              </w:rPr>
              <w:t xml:space="preserve"> C</w:t>
            </w:r>
            <w:r w:rsidRPr="007039CC">
              <w:rPr>
                <w:b/>
                <w:sz w:val="18"/>
                <w:szCs w:val="18"/>
                <w:lang w:val="en-GB"/>
              </w:rPr>
              <w:t>are</w:t>
            </w:r>
          </w:p>
        </w:tc>
        <w:tc>
          <w:tcPr>
            <w:tcW w:w="2416" w:type="dxa"/>
            <w:hideMark/>
          </w:tcPr>
          <w:p w14:paraId="4B1662B1" w14:textId="77777777" w:rsidR="00806561" w:rsidRPr="007039CC" w:rsidRDefault="00806561" w:rsidP="00EA4713">
            <w:pPr>
              <w:pStyle w:val="ExhibitText"/>
              <w:rPr>
                <w:b/>
                <w:sz w:val="18"/>
                <w:szCs w:val="18"/>
                <w:lang w:val="en-GB"/>
              </w:rPr>
            </w:pPr>
            <w:r w:rsidRPr="007039CC">
              <w:rPr>
                <w:b/>
                <w:sz w:val="18"/>
                <w:szCs w:val="18"/>
                <w:lang w:val="en-GB"/>
              </w:rPr>
              <w:t>Sankara Nethralaya</w:t>
            </w:r>
          </w:p>
        </w:tc>
        <w:tc>
          <w:tcPr>
            <w:tcW w:w="2601" w:type="dxa"/>
            <w:hideMark/>
          </w:tcPr>
          <w:p w14:paraId="34D503F5" w14:textId="77777777" w:rsidR="00806561" w:rsidRPr="007039CC" w:rsidRDefault="00806561" w:rsidP="00EA4713">
            <w:pPr>
              <w:pStyle w:val="ExhibitText"/>
              <w:rPr>
                <w:b/>
                <w:sz w:val="18"/>
                <w:szCs w:val="18"/>
                <w:lang w:val="en-GB"/>
              </w:rPr>
            </w:pPr>
            <w:r w:rsidRPr="007039CC">
              <w:rPr>
                <w:b/>
                <w:sz w:val="18"/>
                <w:szCs w:val="18"/>
                <w:lang w:val="en-GB"/>
              </w:rPr>
              <w:t>LV Prasad Eye Institute</w:t>
            </w:r>
          </w:p>
        </w:tc>
      </w:tr>
      <w:tr w:rsidR="00806561" w:rsidRPr="00311FC3" w14:paraId="002F0A00" w14:textId="77777777" w:rsidTr="00A37C2D">
        <w:trPr>
          <w:trHeight w:val="19"/>
          <w:jc w:val="center"/>
        </w:trPr>
        <w:tc>
          <w:tcPr>
            <w:tcW w:w="1111" w:type="dxa"/>
            <w:vMerge w:val="restart"/>
            <w:hideMark/>
          </w:tcPr>
          <w:p w14:paraId="509DB6D1" w14:textId="249D4036" w:rsidR="00806561" w:rsidRPr="00311FC3" w:rsidRDefault="00806561" w:rsidP="00097907">
            <w:pPr>
              <w:pStyle w:val="ExhibitText"/>
              <w:rPr>
                <w:sz w:val="18"/>
                <w:szCs w:val="18"/>
                <w:lang w:val="en-GB"/>
              </w:rPr>
            </w:pPr>
            <w:r w:rsidRPr="00311FC3">
              <w:rPr>
                <w:sz w:val="18"/>
                <w:szCs w:val="18"/>
                <w:lang w:val="en-GB"/>
              </w:rPr>
              <w:t>N</w:t>
            </w:r>
            <w:r w:rsidR="00097907">
              <w:rPr>
                <w:sz w:val="18"/>
                <w:szCs w:val="18"/>
                <w:lang w:val="en-GB"/>
              </w:rPr>
              <w:t>umber</w:t>
            </w:r>
            <w:r w:rsidRPr="00311FC3">
              <w:rPr>
                <w:sz w:val="18"/>
                <w:szCs w:val="18"/>
                <w:lang w:val="en-GB"/>
              </w:rPr>
              <w:t xml:space="preserve"> of Centres</w:t>
            </w:r>
          </w:p>
        </w:tc>
        <w:tc>
          <w:tcPr>
            <w:tcW w:w="2654" w:type="dxa"/>
            <w:hideMark/>
          </w:tcPr>
          <w:p w14:paraId="4D7B48DD" w14:textId="77777777" w:rsidR="00806561" w:rsidRPr="00311FC3" w:rsidRDefault="00806561" w:rsidP="00EA4713">
            <w:pPr>
              <w:pStyle w:val="ExhibitText"/>
              <w:rPr>
                <w:sz w:val="18"/>
                <w:szCs w:val="18"/>
                <w:lang w:val="en-GB"/>
              </w:rPr>
            </w:pPr>
            <w:r w:rsidRPr="00311FC3">
              <w:rPr>
                <w:sz w:val="18"/>
                <w:szCs w:val="18"/>
                <w:lang w:val="en-GB"/>
              </w:rPr>
              <w:t>47 Primary</w:t>
            </w:r>
          </w:p>
        </w:tc>
        <w:tc>
          <w:tcPr>
            <w:tcW w:w="2416" w:type="dxa"/>
            <w:vMerge w:val="restart"/>
            <w:hideMark/>
          </w:tcPr>
          <w:p w14:paraId="0DA7376E" w14:textId="77777777" w:rsidR="00806561" w:rsidRPr="00311FC3" w:rsidRDefault="00806561" w:rsidP="00EA4713">
            <w:pPr>
              <w:pStyle w:val="ExhibitText"/>
              <w:rPr>
                <w:sz w:val="18"/>
                <w:szCs w:val="18"/>
                <w:lang w:val="en-GB"/>
              </w:rPr>
            </w:pPr>
            <w:r w:rsidRPr="00311FC3">
              <w:rPr>
                <w:sz w:val="18"/>
                <w:szCs w:val="18"/>
                <w:lang w:val="en-GB"/>
              </w:rPr>
              <w:t>12 Tertiary</w:t>
            </w:r>
          </w:p>
        </w:tc>
        <w:tc>
          <w:tcPr>
            <w:tcW w:w="2601" w:type="dxa"/>
            <w:hideMark/>
          </w:tcPr>
          <w:p w14:paraId="63063513" w14:textId="77777777" w:rsidR="00806561" w:rsidRPr="00311FC3" w:rsidRDefault="00806561" w:rsidP="00EA4713">
            <w:pPr>
              <w:pStyle w:val="ExhibitText"/>
              <w:rPr>
                <w:sz w:val="18"/>
                <w:szCs w:val="18"/>
                <w:lang w:val="en-GB"/>
              </w:rPr>
            </w:pPr>
            <w:r w:rsidRPr="00311FC3">
              <w:rPr>
                <w:sz w:val="18"/>
                <w:szCs w:val="18"/>
                <w:lang w:val="en-GB"/>
              </w:rPr>
              <w:t>93 Primary</w:t>
            </w:r>
          </w:p>
        </w:tc>
      </w:tr>
      <w:tr w:rsidR="00806561" w:rsidRPr="00311FC3" w14:paraId="206A2E20" w14:textId="77777777" w:rsidTr="00A37C2D">
        <w:trPr>
          <w:trHeight w:val="19"/>
          <w:jc w:val="center"/>
        </w:trPr>
        <w:tc>
          <w:tcPr>
            <w:tcW w:w="1111" w:type="dxa"/>
            <w:vMerge/>
            <w:hideMark/>
          </w:tcPr>
          <w:p w14:paraId="279F4B4A" w14:textId="77777777" w:rsidR="00806561" w:rsidRPr="00311FC3" w:rsidRDefault="00806561" w:rsidP="00EA4713">
            <w:pPr>
              <w:pStyle w:val="ExhibitText"/>
              <w:rPr>
                <w:sz w:val="18"/>
                <w:szCs w:val="18"/>
                <w:lang w:val="en-GB"/>
              </w:rPr>
            </w:pPr>
          </w:p>
        </w:tc>
        <w:tc>
          <w:tcPr>
            <w:tcW w:w="2654" w:type="dxa"/>
            <w:hideMark/>
          </w:tcPr>
          <w:p w14:paraId="25180C95" w14:textId="77777777" w:rsidR="00806561" w:rsidRPr="00311FC3" w:rsidRDefault="00806561" w:rsidP="00EA4713">
            <w:pPr>
              <w:pStyle w:val="ExhibitText"/>
              <w:rPr>
                <w:sz w:val="18"/>
                <w:szCs w:val="18"/>
                <w:lang w:val="en-GB"/>
              </w:rPr>
            </w:pPr>
            <w:r w:rsidRPr="00311FC3">
              <w:rPr>
                <w:sz w:val="18"/>
                <w:szCs w:val="18"/>
                <w:lang w:val="en-GB"/>
              </w:rPr>
              <w:t>5 Secondary</w:t>
            </w:r>
          </w:p>
        </w:tc>
        <w:tc>
          <w:tcPr>
            <w:tcW w:w="2416" w:type="dxa"/>
            <w:vMerge/>
            <w:hideMark/>
          </w:tcPr>
          <w:p w14:paraId="26A788EC" w14:textId="77777777" w:rsidR="00806561" w:rsidRPr="00311FC3" w:rsidRDefault="00806561" w:rsidP="00EA4713">
            <w:pPr>
              <w:pStyle w:val="ExhibitText"/>
              <w:rPr>
                <w:sz w:val="18"/>
                <w:szCs w:val="18"/>
                <w:lang w:val="en-GB"/>
              </w:rPr>
            </w:pPr>
          </w:p>
        </w:tc>
        <w:tc>
          <w:tcPr>
            <w:tcW w:w="2601" w:type="dxa"/>
            <w:hideMark/>
          </w:tcPr>
          <w:p w14:paraId="043C8295" w14:textId="77777777" w:rsidR="00806561" w:rsidRPr="00311FC3" w:rsidRDefault="00806561" w:rsidP="00EA4713">
            <w:pPr>
              <w:pStyle w:val="ExhibitText"/>
              <w:rPr>
                <w:sz w:val="18"/>
                <w:szCs w:val="18"/>
                <w:lang w:val="en-GB"/>
              </w:rPr>
            </w:pPr>
            <w:r w:rsidRPr="00311FC3">
              <w:rPr>
                <w:sz w:val="18"/>
                <w:szCs w:val="18"/>
                <w:lang w:val="en-GB"/>
              </w:rPr>
              <w:t>11 Secondary</w:t>
            </w:r>
          </w:p>
        </w:tc>
      </w:tr>
      <w:tr w:rsidR="00806561" w:rsidRPr="00311FC3" w14:paraId="526691E6" w14:textId="77777777" w:rsidTr="00A37C2D">
        <w:trPr>
          <w:trHeight w:val="19"/>
          <w:jc w:val="center"/>
        </w:trPr>
        <w:tc>
          <w:tcPr>
            <w:tcW w:w="1111" w:type="dxa"/>
            <w:vMerge/>
            <w:hideMark/>
          </w:tcPr>
          <w:p w14:paraId="24784A9B" w14:textId="77777777" w:rsidR="00806561" w:rsidRPr="00311FC3" w:rsidRDefault="00806561" w:rsidP="00EA4713">
            <w:pPr>
              <w:pStyle w:val="ExhibitText"/>
              <w:rPr>
                <w:sz w:val="18"/>
                <w:szCs w:val="18"/>
                <w:lang w:val="en-GB"/>
              </w:rPr>
            </w:pPr>
          </w:p>
        </w:tc>
        <w:tc>
          <w:tcPr>
            <w:tcW w:w="2654" w:type="dxa"/>
            <w:hideMark/>
          </w:tcPr>
          <w:p w14:paraId="35D2F300" w14:textId="77777777" w:rsidR="00806561" w:rsidRPr="00311FC3" w:rsidRDefault="00806561" w:rsidP="00EA4713">
            <w:pPr>
              <w:pStyle w:val="ExhibitText"/>
              <w:rPr>
                <w:sz w:val="18"/>
                <w:szCs w:val="18"/>
                <w:lang w:val="en-GB"/>
              </w:rPr>
            </w:pPr>
            <w:r w:rsidRPr="00311FC3">
              <w:rPr>
                <w:sz w:val="18"/>
                <w:szCs w:val="18"/>
                <w:lang w:val="en-GB"/>
              </w:rPr>
              <w:t>5 Tertiary</w:t>
            </w:r>
          </w:p>
        </w:tc>
        <w:tc>
          <w:tcPr>
            <w:tcW w:w="2416" w:type="dxa"/>
            <w:vMerge/>
            <w:hideMark/>
          </w:tcPr>
          <w:p w14:paraId="78C126E8" w14:textId="77777777" w:rsidR="00806561" w:rsidRPr="00311FC3" w:rsidRDefault="00806561" w:rsidP="00EA4713">
            <w:pPr>
              <w:pStyle w:val="ExhibitText"/>
              <w:rPr>
                <w:sz w:val="18"/>
                <w:szCs w:val="18"/>
                <w:lang w:val="en-GB"/>
              </w:rPr>
            </w:pPr>
          </w:p>
        </w:tc>
        <w:tc>
          <w:tcPr>
            <w:tcW w:w="2601" w:type="dxa"/>
            <w:hideMark/>
          </w:tcPr>
          <w:p w14:paraId="24FE7F4E" w14:textId="77777777" w:rsidR="00806561" w:rsidRPr="00311FC3" w:rsidRDefault="00806561" w:rsidP="00EA4713">
            <w:pPr>
              <w:pStyle w:val="ExhibitText"/>
              <w:rPr>
                <w:sz w:val="18"/>
                <w:szCs w:val="18"/>
                <w:lang w:val="en-GB"/>
              </w:rPr>
            </w:pPr>
            <w:r w:rsidRPr="00311FC3">
              <w:rPr>
                <w:sz w:val="18"/>
                <w:szCs w:val="18"/>
                <w:lang w:val="en-GB"/>
              </w:rPr>
              <w:t>4 Tertiary</w:t>
            </w:r>
          </w:p>
        </w:tc>
      </w:tr>
      <w:tr w:rsidR="00806561" w:rsidRPr="00311FC3" w14:paraId="3DC631B9" w14:textId="77777777" w:rsidTr="00A37C2D">
        <w:trPr>
          <w:trHeight w:val="19"/>
          <w:jc w:val="center"/>
        </w:trPr>
        <w:tc>
          <w:tcPr>
            <w:tcW w:w="1111" w:type="dxa"/>
            <w:hideMark/>
          </w:tcPr>
          <w:p w14:paraId="43F81818" w14:textId="77777777" w:rsidR="00806561" w:rsidRPr="00311FC3" w:rsidRDefault="00806561" w:rsidP="00EA4713">
            <w:pPr>
              <w:pStyle w:val="ExhibitText"/>
              <w:rPr>
                <w:sz w:val="18"/>
                <w:szCs w:val="18"/>
                <w:lang w:val="en-GB"/>
              </w:rPr>
            </w:pPr>
            <w:r w:rsidRPr="00311FC3">
              <w:rPr>
                <w:sz w:val="18"/>
                <w:szCs w:val="18"/>
                <w:lang w:val="en-GB"/>
              </w:rPr>
              <w:t>Locations</w:t>
            </w:r>
          </w:p>
        </w:tc>
        <w:tc>
          <w:tcPr>
            <w:tcW w:w="2654" w:type="dxa"/>
            <w:hideMark/>
          </w:tcPr>
          <w:p w14:paraId="1FC12E02" w14:textId="2BE47FD1" w:rsidR="00806561" w:rsidRPr="00311FC3" w:rsidRDefault="00806561" w:rsidP="00C31597">
            <w:pPr>
              <w:pStyle w:val="ExhibitText"/>
              <w:rPr>
                <w:sz w:val="18"/>
                <w:szCs w:val="18"/>
                <w:lang w:val="en-GB"/>
              </w:rPr>
            </w:pPr>
            <w:r w:rsidRPr="00311FC3">
              <w:rPr>
                <w:sz w:val="18"/>
                <w:szCs w:val="18"/>
                <w:lang w:val="en-GB"/>
              </w:rPr>
              <w:t>Tamil Nadu</w:t>
            </w:r>
            <w:r w:rsidR="00C31597">
              <w:rPr>
                <w:sz w:val="18"/>
                <w:szCs w:val="18"/>
                <w:lang w:val="en-GB"/>
              </w:rPr>
              <w:t>;</w:t>
            </w:r>
            <w:r w:rsidRPr="00311FC3">
              <w:rPr>
                <w:sz w:val="18"/>
                <w:szCs w:val="18"/>
                <w:lang w:val="en-GB"/>
              </w:rPr>
              <w:t xml:space="preserve"> </w:t>
            </w:r>
            <w:r w:rsidR="00C31597">
              <w:rPr>
                <w:sz w:val="18"/>
                <w:szCs w:val="18"/>
                <w:lang w:val="en-GB"/>
              </w:rPr>
              <w:t>e</w:t>
            </w:r>
            <w:r w:rsidRPr="00311FC3">
              <w:rPr>
                <w:sz w:val="18"/>
                <w:szCs w:val="18"/>
                <w:lang w:val="en-GB"/>
              </w:rPr>
              <w:t xml:space="preserve">stablishing </w:t>
            </w:r>
            <w:r w:rsidR="00097907">
              <w:rPr>
                <w:sz w:val="18"/>
                <w:szCs w:val="18"/>
                <w:lang w:val="en-GB"/>
              </w:rPr>
              <w:t xml:space="preserve">an </w:t>
            </w:r>
            <w:r w:rsidRPr="00311FC3">
              <w:rPr>
                <w:sz w:val="18"/>
                <w:szCs w:val="18"/>
                <w:lang w:val="en-GB"/>
              </w:rPr>
              <w:t>international presence with a centre in Nigeria</w:t>
            </w:r>
          </w:p>
        </w:tc>
        <w:tc>
          <w:tcPr>
            <w:tcW w:w="2416" w:type="dxa"/>
            <w:hideMark/>
          </w:tcPr>
          <w:p w14:paraId="510EBBAC" w14:textId="77777777" w:rsidR="00806561" w:rsidRPr="00311FC3" w:rsidRDefault="00806561" w:rsidP="00EA4713">
            <w:pPr>
              <w:pStyle w:val="ExhibitText"/>
              <w:rPr>
                <w:sz w:val="18"/>
                <w:szCs w:val="18"/>
                <w:lang w:val="en-GB"/>
              </w:rPr>
            </w:pPr>
            <w:r w:rsidRPr="00311FC3">
              <w:rPr>
                <w:sz w:val="18"/>
                <w:szCs w:val="18"/>
                <w:lang w:val="en-GB"/>
              </w:rPr>
              <w:t>Tamil Nadu, Andhra Pradesh, West Bengal</w:t>
            </w:r>
          </w:p>
        </w:tc>
        <w:tc>
          <w:tcPr>
            <w:tcW w:w="2601" w:type="dxa"/>
            <w:hideMark/>
          </w:tcPr>
          <w:p w14:paraId="3D42911F" w14:textId="77777777" w:rsidR="00806561" w:rsidRPr="00311FC3" w:rsidRDefault="00806561" w:rsidP="00EA4713">
            <w:pPr>
              <w:pStyle w:val="ExhibitText"/>
              <w:rPr>
                <w:sz w:val="18"/>
                <w:szCs w:val="18"/>
                <w:lang w:val="en-GB"/>
              </w:rPr>
            </w:pPr>
            <w:r w:rsidRPr="00311FC3">
              <w:rPr>
                <w:sz w:val="18"/>
                <w:szCs w:val="18"/>
                <w:lang w:val="en-GB"/>
              </w:rPr>
              <w:t>Andhra Pradesh</w:t>
            </w:r>
          </w:p>
        </w:tc>
      </w:tr>
    </w:tbl>
    <w:p w14:paraId="776E496A" w14:textId="77777777" w:rsidR="00806561" w:rsidRPr="00592DF1" w:rsidRDefault="00806561" w:rsidP="00806561">
      <w:pPr>
        <w:pStyle w:val="BodyTextMain"/>
        <w:rPr>
          <w:lang w:val="en-GB"/>
        </w:rPr>
      </w:pPr>
    </w:p>
    <w:p w14:paraId="5D036516" w14:textId="488166BD" w:rsidR="00806561" w:rsidRDefault="00806561" w:rsidP="00806561">
      <w:pPr>
        <w:pStyle w:val="Footnote"/>
        <w:rPr>
          <w:rStyle w:val="Emphasis"/>
          <w:i w:val="0"/>
          <w:iCs w:val="0"/>
        </w:rPr>
      </w:pPr>
      <w:r w:rsidRPr="00841618">
        <w:rPr>
          <w:rStyle w:val="Emphasis"/>
          <w:i w:val="0"/>
          <w:iCs w:val="0"/>
        </w:rPr>
        <w:t xml:space="preserve">Source: </w:t>
      </w:r>
      <w:r w:rsidR="004445CB" w:rsidRPr="00841618">
        <w:rPr>
          <w:rStyle w:val="Emphasis"/>
          <w:i w:val="0"/>
          <w:iCs w:val="0"/>
        </w:rPr>
        <w:t>“Business Models in Eye Care Delivery,” CRISIL Research Report, March 19, 2014</w:t>
      </w:r>
      <w:r w:rsidR="00841618" w:rsidRPr="00841618">
        <w:rPr>
          <w:rStyle w:val="Emphasis"/>
          <w:i w:val="0"/>
          <w:iCs w:val="0"/>
        </w:rPr>
        <w:t>.</w:t>
      </w:r>
    </w:p>
    <w:p w14:paraId="6649E750" w14:textId="77777777" w:rsidR="00806561" w:rsidRPr="00311FC3" w:rsidRDefault="00806561" w:rsidP="00311FC3">
      <w:pPr>
        <w:pStyle w:val="Footnote"/>
        <w:rPr>
          <w:rStyle w:val="Emphasis"/>
          <w:i w:val="0"/>
          <w:iCs w:val="0"/>
        </w:rPr>
      </w:pPr>
    </w:p>
    <w:p w14:paraId="3C3BDE9A" w14:textId="77777777" w:rsidR="00C71764" w:rsidRDefault="00C71764" w:rsidP="00C71764">
      <w:pPr>
        <w:jc w:val="both"/>
        <w:rPr>
          <w:rStyle w:val="Emphasis"/>
          <w:i w:val="0"/>
          <w:color w:val="000000"/>
          <w:shd w:val="clear" w:color="auto" w:fill="FFFFFF"/>
          <w:lang w:val="en-GB"/>
        </w:rPr>
      </w:pPr>
    </w:p>
    <w:p w14:paraId="5FD77B0E" w14:textId="77777777" w:rsidR="00311FC3" w:rsidRPr="00C366A1" w:rsidRDefault="00C71764" w:rsidP="00C366A1">
      <w:pPr>
        <w:pStyle w:val="ExhibitHeading"/>
      </w:pPr>
      <w:r w:rsidRPr="00C366A1">
        <w:rPr>
          <w:rStyle w:val="Emphasis"/>
          <w:i w:val="0"/>
          <w:iCs w:val="0"/>
        </w:rPr>
        <w:t xml:space="preserve">Exhibit </w:t>
      </w:r>
      <w:r w:rsidR="00AA2ADB">
        <w:rPr>
          <w:rStyle w:val="Emphasis"/>
          <w:i w:val="0"/>
          <w:iCs w:val="0"/>
        </w:rPr>
        <w:t>1</w:t>
      </w:r>
      <w:r w:rsidR="00806561">
        <w:rPr>
          <w:rStyle w:val="Emphasis"/>
          <w:i w:val="0"/>
          <w:iCs w:val="0"/>
        </w:rPr>
        <w:t>C</w:t>
      </w:r>
      <w:r w:rsidR="00311FC3" w:rsidRPr="00C366A1">
        <w:rPr>
          <w:rStyle w:val="Emphasis"/>
          <w:i w:val="0"/>
          <w:iCs w:val="0"/>
        </w:rPr>
        <w:t xml:space="preserve">: </w:t>
      </w:r>
      <w:r w:rsidR="00311FC3" w:rsidRPr="00C366A1">
        <w:t xml:space="preserve">MAIN PRIVATE </w:t>
      </w:r>
      <w:r w:rsidR="00C6191A" w:rsidRPr="00C366A1">
        <w:t>P</w:t>
      </w:r>
      <w:r w:rsidR="00C6191A">
        <w:t>articipants</w:t>
      </w:r>
      <w:r w:rsidR="00C6191A" w:rsidRPr="00C366A1">
        <w:t xml:space="preserve"> </w:t>
      </w:r>
      <w:r w:rsidR="00311FC3" w:rsidRPr="00C366A1">
        <w:t xml:space="preserve">IN THE INDIAN </w:t>
      </w:r>
      <w:r w:rsidR="00311FC3" w:rsidRPr="00E75C57">
        <w:t>EYE</w:t>
      </w:r>
      <w:r w:rsidR="00311FC3" w:rsidRPr="00C366A1">
        <w:t xml:space="preserve"> CARE MARKET</w:t>
      </w:r>
    </w:p>
    <w:p w14:paraId="6898C25E" w14:textId="77777777" w:rsidR="00311FC3" w:rsidRPr="00592DF1" w:rsidRDefault="00311FC3" w:rsidP="00311FC3">
      <w:pPr>
        <w:pStyle w:val="BodyTextMain"/>
        <w:rPr>
          <w:lang w:val="en-GB"/>
        </w:rPr>
      </w:pPr>
    </w:p>
    <w:tbl>
      <w:tblPr>
        <w:tblStyle w:val="TableGridLight1"/>
        <w:tblW w:w="9498" w:type="dxa"/>
        <w:jc w:val="center"/>
        <w:tblLayout w:type="fixed"/>
        <w:tblLook w:val="04A0" w:firstRow="1" w:lastRow="0" w:firstColumn="1" w:lastColumn="0" w:noHBand="0" w:noVBand="1"/>
      </w:tblPr>
      <w:tblGrid>
        <w:gridCol w:w="1638"/>
        <w:gridCol w:w="1260"/>
        <w:gridCol w:w="1486"/>
        <w:gridCol w:w="1284"/>
        <w:gridCol w:w="1340"/>
        <w:gridCol w:w="1214"/>
        <w:gridCol w:w="1276"/>
      </w:tblGrid>
      <w:tr w:rsidR="00311FC3" w:rsidRPr="00311FC3" w14:paraId="323400AD" w14:textId="77777777" w:rsidTr="00823405">
        <w:trPr>
          <w:trHeight w:val="20"/>
          <w:jc w:val="center"/>
        </w:trPr>
        <w:tc>
          <w:tcPr>
            <w:tcW w:w="1638" w:type="dxa"/>
            <w:tcBorders>
              <w:top w:val="single" w:sz="4" w:space="0" w:color="auto"/>
              <w:left w:val="single" w:sz="4" w:space="0" w:color="auto"/>
              <w:bottom w:val="single" w:sz="4" w:space="0" w:color="auto"/>
              <w:right w:val="single" w:sz="4" w:space="0" w:color="auto"/>
            </w:tcBorders>
            <w:hideMark/>
          </w:tcPr>
          <w:p w14:paraId="47657AC5" w14:textId="77777777" w:rsidR="00C71764" w:rsidRPr="00311FC3" w:rsidRDefault="00C71764" w:rsidP="00311FC3">
            <w:pPr>
              <w:spacing w:after="200" w:line="276" w:lineRule="auto"/>
              <w:rPr>
                <w:rFonts w:ascii="Arial" w:hAnsi="Arial" w:cs="Arial"/>
                <w:sz w:val="18"/>
                <w:szCs w:val="18"/>
                <w:lang w:val="en-GB"/>
              </w:rPr>
            </w:pPr>
          </w:p>
        </w:tc>
        <w:tc>
          <w:tcPr>
            <w:tcW w:w="1260" w:type="dxa"/>
            <w:tcBorders>
              <w:top w:val="single" w:sz="4" w:space="0" w:color="auto"/>
              <w:left w:val="single" w:sz="4" w:space="0" w:color="auto"/>
              <w:bottom w:val="single" w:sz="4" w:space="0" w:color="auto"/>
              <w:right w:val="single" w:sz="4" w:space="0" w:color="auto"/>
            </w:tcBorders>
            <w:hideMark/>
          </w:tcPr>
          <w:p w14:paraId="1B23C39E" w14:textId="3FB51EA6" w:rsidR="00C71764" w:rsidRPr="00311FC3" w:rsidRDefault="00C71764" w:rsidP="00097907">
            <w:pPr>
              <w:jc w:val="center"/>
              <w:rPr>
                <w:rFonts w:ascii="Arial" w:hAnsi="Arial" w:cs="Arial"/>
                <w:b/>
                <w:bCs/>
                <w:sz w:val="18"/>
                <w:szCs w:val="18"/>
                <w:lang w:val="en-GB"/>
              </w:rPr>
            </w:pPr>
            <w:r w:rsidRPr="00311FC3">
              <w:rPr>
                <w:rFonts w:ascii="Arial" w:hAnsi="Arial" w:cs="Arial"/>
                <w:b/>
                <w:bCs/>
                <w:sz w:val="18"/>
                <w:szCs w:val="18"/>
                <w:lang w:val="en-GB"/>
              </w:rPr>
              <w:t>Vasan</w:t>
            </w:r>
            <w:r w:rsidR="00841618">
              <w:rPr>
                <w:rFonts w:ascii="Arial" w:hAnsi="Arial" w:cs="Arial"/>
                <w:b/>
                <w:bCs/>
                <w:sz w:val="18"/>
                <w:szCs w:val="18"/>
                <w:lang w:val="en-GB"/>
              </w:rPr>
              <w:t xml:space="preserve"> </w:t>
            </w:r>
            <w:r w:rsidR="00097907">
              <w:rPr>
                <w:rFonts w:ascii="Arial" w:hAnsi="Arial" w:cs="Arial"/>
                <w:b/>
                <w:bCs/>
                <w:sz w:val="18"/>
                <w:szCs w:val="18"/>
                <w:lang w:val="en-GB"/>
              </w:rPr>
              <w:t>Eye Care</w:t>
            </w:r>
          </w:p>
        </w:tc>
        <w:tc>
          <w:tcPr>
            <w:tcW w:w="1486" w:type="dxa"/>
            <w:tcBorders>
              <w:top w:val="single" w:sz="4" w:space="0" w:color="auto"/>
              <w:left w:val="single" w:sz="4" w:space="0" w:color="auto"/>
              <w:bottom w:val="single" w:sz="4" w:space="0" w:color="auto"/>
              <w:right w:val="single" w:sz="4" w:space="0" w:color="auto"/>
            </w:tcBorders>
            <w:hideMark/>
          </w:tcPr>
          <w:p w14:paraId="46143507" w14:textId="320E6C85" w:rsidR="00C71764" w:rsidRPr="00311FC3" w:rsidRDefault="00C71764" w:rsidP="00726F29">
            <w:pPr>
              <w:jc w:val="center"/>
              <w:rPr>
                <w:rFonts w:ascii="Arial" w:hAnsi="Arial" w:cs="Arial"/>
                <w:b/>
                <w:bCs/>
                <w:sz w:val="18"/>
                <w:szCs w:val="18"/>
                <w:lang w:val="en-GB"/>
              </w:rPr>
            </w:pPr>
            <w:r w:rsidRPr="00311FC3">
              <w:rPr>
                <w:rFonts w:ascii="Arial" w:hAnsi="Arial" w:cs="Arial"/>
                <w:b/>
                <w:bCs/>
                <w:sz w:val="18"/>
                <w:szCs w:val="18"/>
                <w:lang w:val="en-GB"/>
              </w:rPr>
              <w:t>Centre For</w:t>
            </w:r>
            <w:r w:rsidR="00726F29">
              <w:rPr>
                <w:rFonts w:ascii="Arial" w:hAnsi="Arial" w:cs="Arial"/>
                <w:b/>
                <w:bCs/>
                <w:sz w:val="18"/>
                <w:szCs w:val="18"/>
                <w:lang w:val="en-GB"/>
              </w:rPr>
              <w:t xml:space="preserve"> </w:t>
            </w:r>
            <w:r w:rsidRPr="00311FC3">
              <w:rPr>
                <w:rFonts w:ascii="Arial" w:hAnsi="Arial" w:cs="Arial"/>
                <w:b/>
                <w:bCs/>
                <w:sz w:val="18"/>
                <w:szCs w:val="18"/>
                <w:lang w:val="en-GB"/>
              </w:rPr>
              <w:t>Sight</w:t>
            </w:r>
          </w:p>
        </w:tc>
        <w:tc>
          <w:tcPr>
            <w:tcW w:w="1284" w:type="dxa"/>
            <w:tcBorders>
              <w:top w:val="single" w:sz="4" w:space="0" w:color="auto"/>
              <w:left w:val="single" w:sz="4" w:space="0" w:color="auto"/>
              <w:bottom w:val="single" w:sz="4" w:space="0" w:color="auto"/>
              <w:right w:val="single" w:sz="4" w:space="0" w:color="auto"/>
            </w:tcBorders>
            <w:hideMark/>
          </w:tcPr>
          <w:p w14:paraId="104322F7" w14:textId="1F2E82D4" w:rsidR="00C71764" w:rsidRPr="00311FC3" w:rsidRDefault="00C71764" w:rsidP="007168BD">
            <w:pPr>
              <w:jc w:val="center"/>
              <w:rPr>
                <w:rFonts w:ascii="Arial" w:hAnsi="Arial" w:cs="Arial"/>
                <w:b/>
                <w:bCs/>
                <w:sz w:val="18"/>
                <w:szCs w:val="18"/>
                <w:lang w:val="en-GB"/>
              </w:rPr>
            </w:pPr>
            <w:r w:rsidRPr="00E75C57">
              <w:rPr>
                <w:rFonts w:ascii="Arial" w:hAnsi="Arial" w:cs="Arial"/>
                <w:b/>
                <w:bCs/>
                <w:sz w:val="18"/>
                <w:szCs w:val="18"/>
                <w:lang w:val="en-GB"/>
              </w:rPr>
              <w:t>Eye</w:t>
            </w:r>
            <w:r w:rsidR="00D9525C">
              <w:rPr>
                <w:rFonts w:ascii="Arial" w:hAnsi="Arial" w:cs="Arial"/>
                <w:b/>
                <w:bCs/>
                <w:sz w:val="18"/>
                <w:szCs w:val="18"/>
                <w:lang w:val="en-GB"/>
              </w:rPr>
              <w:t>-</w:t>
            </w:r>
            <w:r w:rsidRPr="00311FC3">
              <w:rPr>
                <w:rFonts w:ascii="Arial" w:hAnsi="Arial" w:cs="Arial"/>
                <w:b/>
                <w:bCs/>
                <w:sz w:val="18"/>
                <w:szCs w:val="18"/>
                <w:lang w:val="en-GB"/>
              </w:rPr>
              <w:t>Q</w:t>
            </w:r>
          </w:p>
        </w:tc>
        <w:tc>
          <w:tcPr>
            <w:tcW w:w="1340" w:type="dxa"/>
            <w:tcBorders>
              <w:top w:val="single" w:sz="4" w:space="0" w:color="auto"/>
              <w:left w:val="single" w:sz="4" w:space="0" w:color="auto"/>
              <w:bottom w:val="single" w:sz="4" w:space="0" w:color="auto"/>
              <w:right w:val="single" w:sz="4" w:space="0" w:color="auto"/>
            </w:tcBorders>
            <w:hideMark/>
          </w:tcPr>
          <w:p w14:paraId="7AA113E6" w14:textId="6C43814E" w:rsidR="00C71764" w:rsidRPr="00311FC3" w:rsidRDefault="00C71764" w:rsidP="00841618">
            <w:pPr>
              <w:jc w:val="center"/>
              <w:rPr>
                <w:rFonts w:ascii="Arial" w:hAnsi="Arial" w:cs="Arial"/>
                <w:b/>
                <w:bCs/>
                <w:sz w:val="18"/>
                <w:szCs w:val="18"/>
                <w:lang w:val="en-GB"/>
              </w:rPr>
            </w:pPr>
            <w:r w:rsidRPr="00311FC3">
              <w:rPr>
                <w:rFonts w:ascii="Arial" w:hAnsi="Arial" w:cs="Arial"/>
                <w:b/>
                <w:bCs/>
                <w:sz w:val="18"/>
                <w:szCs w:val="18"/>
                <w:lang w:val="en-GB"/>
              </w:rPr>
              <w:t>Dr. Agarwal</w:t>
            </w:r>
            <w:r w:rsidR="00097907">
              <w:rPr>
                <w:rFonts w:ascii="Arial" w:hAnsi="Arial" w:cs="Arial"/>
                <w:b/>
                <w:bCs/>
                <w:sz w:val="18"/>
                <w:szCs w:val="18"/>
                <w:lang w:val="en-GB"/>
              </w:rPr>
              <w:t>’s</w:t>
            </w:r>
            <w:r w:rsidRPr="00311FC3">
              <w:rPr>
                <w:rFonts w:ascii="Arial" w:hAnsi="Arial" w:cs="Arial"/>
                <w:b/>
                <w:bCs/>
                <w:sz w:val="18"/>
                <w:szCs w:val="18"/>
                <w:lang w:val="en-GB"/>
              </w:rPr>
              <w:t xml:space="preserve"> </w:t>
            </w:r>
            <w:r w:rsidRPr="00E75C57">
              <w:rPr>
                <w:rFonts w:ascii="Arial" w:hAnsi="Arial" w:cs="Arial"/>
                <w:b/>
                <w:bCs/>
                <w:sz w:val="18"/>
                <w:szCs w:val="18"/>
                <w:lang w:val="en-GB"/>
              </w:rPr>
              <w:t>Eye</w:t>
            </w:r>
            <w:r w:rsidR="00841618">
              <w:rPr>
                <w:rFonts w:ascii="Arial" w:hAnsi="Arial" w:cs="Arial"/>
                <w:b/>
                <w:bCs/>
                <w:sz w:val="18"/>
                <w:szCs w:val="18"/>
                <w:lang w:val="en-GB"/>
              </w:rPr>
              <w:t xml:space="preserve"> </w:t>
            </w:r>
            <w:r w:rsidRPr="00311FC3">
              <w:rPr>
                <w:rFonts w:ascii="Arial" w:hAnsi="Arial" w:cs="Arial"/>
                <w:b/>
                <w:bCs/>
                <w:sz w:val="18"/>
                <w:szCs w:val="18"/>
                <w:lang w:val="en-GB"/>
              </w:rPr>
              <w:t>Hospital</w:t>
            </w:r>
          </w:p>
        </w:tc>
        <w:tc>
          <w:tcPr>
            <w:tcW w:w="1214" w:type="dxa"/>
            <w:tcBorders>
              <w:top w:val="single" w:sz="4" w:space="0" w:color="auto"/>
              <w:left w:val="single" w:sz="4" w:space="0" w:color="auto"/>
              <w:bottom w:val="single" w:sz="4" w:space="0" w:color="auto"/>
              <w:right w:val="single" w:sz="4" w:space="0" w:color="auto"/>
            </w:tcBorders>
            <w:hideMark/>
          </w:tcPr>
          <w:p w14:paraId="10856B46" w14:textId="2265A7A3" w:rsidR="00C71764" w:rsidRPr="00311FC3" w:rsidRDefault="00C71764" w:rsidP="00097907">
            <w:pPr>
              <w:jc w:val="center"/>
              <w:rPr>
                <w:rFonts w:ascii="Arial" w:hAnsi="Arial" w:cs="Arial"/>
                <w:b/>
                <w:bCs/>
                <w:sz w:val="18"/>
                <w:szCs w:val="18"/>
                <w:lang w:val="en-GB"/>
              </w:rPr>
            </w:pPr>
            <w:r w:rsidRPr="00311FC3">
              <w:rPr>
                <w:rFonts w:ascii="Arial" w:hAnsi="Arial" w:cs="Arial"/>
                <w:b/>
                <w:bCs/>
                <w:sz w:val="18"/>
                <w:szCs w:val="18"/>
                <w:lang w:val="en-GB"/>
              </w:rPr>
              <w:t>Lotus</w:t>
            </w:r>
            <w:r w:rsidR="00726F29">
              <w:rPr>
                <w:rFonts w:ascii="Arial" w:hAnsi="Arial" w:cs="Arial"/>
                <w:b/>
                <w:bCs/>
                <w:sz w:val="18"/>
                <w:szCs w:val="18"/>
                <w:lang w:val="en-GB"/>
              </w:rPr>
              <w:t xml:space="preserve"> </w:t>
            </w:r>
            <w:r w:rsidRPr="00E75C57">
              <w:rPr>
                <w:rFonts w:ascii="Arial" w:hAnsi="Arial" w:cs="Arial"/>
                <w:b/>
                <w:bCs/>
                <w:sz w:val="18"/>
                <w:szCs w:val="18"/>
                <w:lang w:val="en-GB"/>
              </w:rPr>
              <w:t>Eye</w:t>
            </w:r>
            <w:r w:rsidR="00097907">
              <w:rPr>
                <w:rFonts w:ascii="Arial" w:hAnsi="Arial" w:cs="Arial"/>
                <w:b/>
                <w:bCs/>
                <w:sz w:val="18"/>
                <w:szCs w:val="18"/>
                <w:lang w:val="en-GB"/>
              </w:rPr>
              <w:t xml:space="preserve"> C</w:t>
            </w:r>
            <w:r w:rsidRPr="00311FC3">
              <w:rPr>
                <w:rFonts w:ascii="Arial" w:hAnsi="Arial" w:cs="Arial"/>
                <w:b/>
                <w:bCs/>
                <w:sz w:val="18"/>
                <w:szCs w:val="18"/>
                <w:lang w:val="en-GB"/>
              </w:rPr>
              <w:t>are</w:t>
            </w:r>
            <w:r w:rsidR="00097907">
              <w:rPr>
                <w:rFonts w:ascii="Arial" w:hAnsi="Arial" w:cs="Arial"/>
                <w:b/>
                <w:bCs/>
                <w:sz w:val="18"/>
                <w:szCs w:val="18"/>
                <w:lang w:val="en-GB"/>
              </w:rPr>
              <w:t xml:space="preserve"> Hospital Ltd.</w:t>
            </w:r>
          </w:p>
        </w:tc>
        <w:tc>
          <w:tcPr>
            <w:tcW w:w="1276" w:type="dxa"/>
            <w:tcBorders>
              <w:top w:val="single" w:sz="4" w:space="0" w:color="auto"/>
              <w:left w:val="single" w:sz="4" w:space="0" w:color="auto"/>
              <w:bottom w:val="single" w:sz="4" w:space="0" w:color="auto"/>
              <w:right w:val="single" w:sz="4" w:space="0" w:color="auto"/>
            </w:tcBorders>
            <w:hideMark/>
          </w:tcPr>
          <w:p w14:paraId="697114B3" w14:textId="3719DB7B" w:rsidR="00C71764" w:rsidRPr="00311FC3" w:rsidRDefault="00C71764" w:rsidP="00726F29">
            <w:pPr>
              <w:jc w:val="center"/>
              <w:rPr>
                <w:rFonts w:ascii="Arial" w:hAnsi="Arial" w:cs="Arial"/>
                <w:b/>
                <w:bCs/>
                <w:sz w:val="18"/>
                <w:szCs w:val="18"/>
                <w:lang w:val="en-GB"/>
              </w:rPr>
            </w:pPr>
            <w:r w:rsidRPr="00311FC3">
              <w:rPr>
                <w:rFonts w:ascii="Arial" w:hAnsi="Arial" w:cs="Arial"/>
                <w:b/>
                <w:bCs/>
                <w:sz w:val="18"/>
                <w:szCs w:val="18"/>
                <w:lang w:val="en-GB"/>
              </w:rPr>
              <w:t>Medfort</w:t>
            </w:r>
            <w:r w:rsidR="00726F29">
              <w:rPr>
                <w:rFonts w:ascii="Arial" w:hAnsi="Arial" w:cs="Arial"/>
                <w:b/>
                <w:bCs/>
                <w:sz w:val="18"/>
                <w:szCs w:val="18"/>
                <w:lang w:val="en-GB"/>
              </w:rPr>
              <w:t xml:space="preserve"> </w:t>
            </w:r>
            <w:r w:rsidRPr="00311FC3">
              <w:rPr>
                <w:rFonts w:ascii="Arial" w:hAnsi="Arial" w:cs="Arial"/>
                <w:b/>
                <w:bCs/>
                <w:sz w:val="18"/>
                <w:szCs w:val="18"/>
                <w:lang w:val="en-GB"/>
              </w:rPr>
              <w:t>Hospitals</w:t>
            </w:r>
          </w:p>
        </w:tc>
      </w:tr>
      <w:tr w:rsidR="00311FC3" w:rsidRPr="00311FC3" w14:paraId="07AFF763" w14:textId="77777777" w:rsidTr="00823405">
        <w:trPr>
          <w:trHeight w:val="20"/>
          <w:jc w:val="center"/>
        </w:trPr>
        <w:tc>
          <w:tcPr>
            <w:tcW w:w="1638" w:type="dxa"/>
            <w:tcBorders>
              <w:top w:val="single" w:sz="4" w:space="0" w:color="auto"/>
              <w:left w:val="single" w:sz="4" w:space="0" w:color="auto"/>
              <w:bottom w:val="single" w:sz="4" w:space="0" w:color="auto"/>
              <w:right w:val="single" w:sz="4" w:space="0" w:color="auto"/>
            </w:tcBorders>
            <w:hideMark/>
          </w:tcPr>
          <w:p w14:paraId="100ACB09" w14:textId="77777777" w:rsidR="00C71764" w:rsidRPr="00311FC3" w:rsidRDefault="00C71764" w:rsidP="007168BD">
            <w:pPr>
              <w:rPr>
                <w:rFonts w:ascii="Arial" w:hAnsi="Arial" w:cs="Arial"/>
                <w:sz w:val="18"/>
                <w:szCs w:val="18"/>
                <w:lang w:val="en-GB"/>
              </w:rPr>
            </w:pPr>
            <w:r w:rsidRPr="00311FC3">
              <w:rPr>
                <w:rFonts w:ascii="Arial" w:hAnsi="Arial" w:cs="Arial"/>
                <w:sz w:val="18"/>
                <w:szCs w:val="18"/>
                <w:lang w:val="en-GB"/>
              </w:rPr>
              <w:t>Established in (Year)</w:t>
            </w:r>
          </w:p>
        </w:tc>
        <w:tc>
          <w:tcPr>
            <w:tcW w:w="1260" w:type="dxa"/>
            <w:tcBorders>
              <w:top w:val="single" w:sz="4" w:space="0" w:color="auto"/>
              <w:left w:val="single" w:sz="4" w:space="0" w:color="auto"/>
              <w:bottom w:val="single" w:sz="4" w:space="0" w:color="auto"/>
              <w:right w:val="single" w:sz="4" w:space="0" w:color="auto"/>
            </w:tcBorders>
            <w:hideMark/>
          </w:tcPr>
          <w:p w14:paraId="091BD81D" w14:textId="77777777" w:rsidR="00C71764" w:rsidRPr="00311FC3" w:rsidRDefault="00C71764" w:rsidP="007168BD">
            <w:pPr>
              <w:jc w:val="center"/>
              <w:rPr>
                <w:rFonts w:ascii="Arial" w:hAnsi="Arial" w:cs="Arial"/>
                <w:sz w:val="18"/>
                <w:szCs w:val="18"/>
                <w:lang w:val="en-GB"/>
              </w:rPr>
            </w:pPr>
            <w:r w:rsidRPr="00311FC3">
              <w:rPr>
                <w:rFonts w:ascii="Arial" w:hAnsi="Arial" w:cs="Arial"/>
                <w:sz w:val="18"/>
                <w:szCs w:val="18"/>
                <w:lang w:val="en-GB"/>
              </w:rPr>
              <w:t>2002</w:t>
            </w:r>
          </w:p>
        </w:tc>
        <w:tc>
          <w:tcPr>
            <w:tcW w:w="1486" w:type="dxa"/>
            <w:tcBorders>
              <w:top w:val="single" w:sz="4" w:space="0" w:color="auto"/>
              <w:left w:val="single" w:sz="4" w:space="0" w:color="auto"/>
              <w:bottom w:val="single" w:sz="4" w:space="0" w:color="auto"/>
              <w:right w:val="single" w:sz="4" w:space="0" w:color="auto"/>
            </w:tcBorders>
            <w:hideMark/>
          </w:tcPr>
          <w:p w14:paraId="0C3E7AB9" w14:textId="77777777" w:rsidR="00C71764" w:rsidRPr="00311FC3" w:rsidRDefault="00C71764" w:rsidP="007168BD">
            <w:pPr>
              <w:jc w:val="center"/>
              <w:rPr>
                <w:rFonts w:ascii="Arial" w:hAnsi="Arial" w:cs="Arial"/>
                <w:sz w:val="18"/>
                <w:szCs w:val="18"/>
                <w:lang w:val="en-GB"/>
              </w:rPr>
            </w:pPr>
            <w:r w:rsidRPr="00311FC3">
              <w:rPr>
                <w:rFonts w:ascii="Arial" w:hAnsi="Arial" w:cs="Arial"/>
                <w:sz w:val="18"/>
                <w:szCs w:val="18"/>
                <w:lang w:val="en-GB"/>
              </w:rPr>
              <w:t>1996</w:t>
            </w:r>
          </w:p>
        </w:tc>
        <w:tc>
          <w:tcPr>
            <w:tcW w:w="1284" w:type="dxa"/>
            <w:tcBorders>
              <w:top w:val="single" w:sz="4" w:space="0" w:color="auto"/>
              <w:left w:val="single" w:sz="4" w:space="0" w:color="auto"/>
              <w:bottom w:val="single" w:sz="4" w:space="0" w:color="auto"/>
              <w:right w:val="single" w:sz="4" w:space="0" w:color="auto"/>
            </w:tcBorders>
            <w:hideMark/>
          </w:tcPr>
          <w:p w14:paraId="53F6C8CC" w14:textId="77777777" w:rsidR="00C71764" w:rsidRPr="00311FC3" w:rsidRDefault="00C71764" w:rsidP="007168BD">
            <w:pPr>
              <w:jc w:val="center"/>
              <w:rPr>
                <w:rFonts w:ascii="Arial" w:hAnsi="Arial" w:cs="Arial"/>
                <w:sz w:val="18"/>
                <w:szCs w:val="18"/>
                <w:lang w:val="en-GB"/>
              </w:rPr>
            </w:pPr>
            <w:r w:rsidRPr="00311FC3">
              <w:rPr>
                <w:rFonts w:ascii="Arial" w:hAnsi="Arial" w:cs="Arial"/>
                <w:sz w:val="18"/>
                <w:szCs w:val="18"/>
                <w:lang w:val="en-GB"/>
              </w:rPr>
              <w:t>2006</w:t>
            </w:r>
          </w:p>
        </w:tc>
        <w:tc>
          <w:tcPr>
            <w:tcW w:w="1340" w:type="dxa"/>
            <w:tcBorders>
              <w:top w:val="single" w:sz="4" w:space="0" w:color="auto"/>
              <w:left w:val="single" w:sz="4" w:space="0" w:color="auto"/>
              <w:bottom w:val="single" w:sz="4" w:space="0" w:color="auto"/>
              <w:right w:val="single" w:sz="4" w:space="0" w:color="auto"/>
            </w:tcBorders>
            <w:hideMark/>
          </w:tcPr>
          <w:p w14:paraId="3D821FCA" w14:textId="77777777" w:rsidR="00C71764" w:rsidRPr="00311FC3" w:rsidRDefault="00C71764" w:rsidP="007168BD">
            <w:pPr>
              <w:jc w:val="center"/>
              <w:rPr>
                <w:rFonts w:ascii="Arial" w:hAnsi="Arial" w:cs="Arial"/>
                <w:sz w:val="18"/>
                <w:szCs w:val="18"/>
                <w:lang w:val="en-GB"/>
              </w:rPr>
            </w:pPr>
            <w:r w:rsidRPr="00311FC3">
              <w:rPr>
                <w:rFonts w:ascii="Arial" w:hAnsi="Arial" w:cs="Arial"/>
                <w:sz w:val="18"/>
                <w:szCs w:val="18"/>
                <w:lang w:val="en-GB"/>
              </w:rPr>
              <w:t>1976</w:t>
            </w:r>
          </w:p>
        </w:tc>
        <w:tc>
          <w:tcPr>
            <w:tcW w:w="1214" w:type="dxa"/>
            <w:tcBorders>
              <w:top w:val="single" w:sz="4" w:space="0" w:color="auto"/>
              <w:left w:val="single" w:sz="4" w:space="0" w:color="auto"/>
              <w:bottom w:val="single" w:sz="4" w:space="0" w:color="auto"/>
              <w:right w:val="single" w:sz="4" w:space="0" w:color="auto"/>
            </w:tcBorders>
            <w:hideMark/>
          </w:tcPr>
          <w:p w14:paraId="440A4E84" w14:textId="77777777" w:rsidR="00C71764" w:rsidRPr="00311FC3" w:rsidRDefault="00C71764" w:rsidP="007168BD">
            <w:pPr>
              <w:jc w:val="center"/>
              <w:rPr>
                <w:rFonts w:ascii="Arial" w:hAnsi="Arial" w:cs="Arial"/>
                <w:sz w:val="18"/>
                <w:szCs w:val="18"/>
                <w:lang w:val="en-GB"/>
              </w:rPr>
            </w:pPr>
            <w:r w:rsidRPr="00311FC3">
              <w:rPr>
                <w:rFonts w:ascii="Arial" w:hAnsi="Arial" w:cs="Arial"/>
                <w:sz w:val="18"/>
                <w:szCs w:val="18"/>
                <w:lang w:val="en-GB"/>
              </w:rPr>
              <w:t>1993</w:t>
            </w:r>
          </w:p>
        </w:tc>
        <w:tc>
          <w:tcPr>
            <w:tcW w:w="1276" w:type="dxa"/>
            <w:tcBorders>
              <w:top w:val="single" w:sz="4" w:space="0" w:color="auto"/>
              <w:left w:val="single" w:sz="4" w:space="0" w:color="auto"/>
              <w:bottom w:val="single" w:sz="4" w:space="0" w:color="auto"/>
              <w:right w:val="single" w:sz="4" w:space="0" w:color="auto"/>
            </w:tcBorders>
            <w:hideMark/>
          </w:tcPr>
          <w:p w14:paraId="5A72F864" w14:textId="77777777" w:rsidR="00C71764" w:rsidRPr="00311FC3" w:rsidRDefault="00C71764" w:rsidP="007168BD">
            <w:pPr>
              <w:jc w:val="center"/>
              <w:rPr>
                <w:rFonts w:ascii="Arial" w:hAnsi="Arial" w:cs="Arial"/>
                <w:sz w:val="18"/>
                <w:szCs w:val="18"/>
                <w:lang w:val="en-GB"/>
              </w:rPr>
            </w:pPr>
            <w:r w:rsidRPr="00311FC3">
              <w:rPr>
                <w:rFonts w:ascii="Arial" w:hAnsi="Arial" w:cs="Arial"/>
                <w:sz w:val="18"/>
                <w:szCs w:val="18"/>
                <w:lang w:val="en-GB"/>
              </w:rPr>
              <w:t>2010</w:t>
            </w:r>
          </w:p>
        </w:tc>
      </w:tr>
      <w:tr w:rsidR="00311FC3" w:rsidRPr="00311FC3" w14:paraId="6B393E99" w14:textId="77777777" w:rsidTr="00823405">
        <w:trPr>
          <w:trHeight w:val="20"/>
          <w:jc w:val="center"/>
        </w:trPr>
        <w:tc>
          <w:tcPr>
            <w:tcW w:w="1638" w:type="dxa"/>
            <w:tcBorders>
              <w:top w:val="single" w:sz="4" w:space="0" w:color="auto"/>
              <w:left w:val="single" w:sz="4" w:space="0" w:color="auto"/>
              <w:bottom w:val="single" w:sz="4" w:space="0" w:color="auto"/>
              <w:right w:val="single" w:sz="4" w:space="0" w:color="auto"/>
            </w:tcBorders>
            <w:hideMark/>
          </w:tcPr>
          <w:p w14:paraId="04B24964" w14:textId="30DCF02F" w:rsidR="00C71764" w:rsidRPr="00311FC3" w:rsidRDefault="00C71764" w:rsidP="00097907">
            <w:pPr>
              <w:rPr>
                <w:rFonts w:ascii="Arial" w:hAnsi="Arial" w:cs="Arial"/>
                <w:sz w:val="18"/>
                <w:szCs w:val="18"/>
                <w:lang w:val="en-GB"/>
              </w:rPr>
            </w:pPr>
            <w:r w:rsidRPr="00311FC3">
              <w:rPr>
                <w:rFonts w:ascii="Arial" w:hAnsi="Arial" w:cs="Arial"/>
                <w:sz w:val="18"/>
                <w:szCs w:val="18"/>
                <w:lang w:val="en-GB"/>
              </w:rPr>
              <w:t>N</w:t>
            </w:r>
            <w:r w:rsidR="00097907">
              <w:rPr>
                <w:rFonts w:ascii="Arial" w:hAnsi="Arial" w:cs="Arial"/>
                <w:sz w:val="18"/>
                <w:szCs w:val="18"/>
                <w:lang w:val="en-GB"/>
              </w:rPr>
              <w:t>umber</w:t>
            </w:r>
            <w:r w:rsidRPr="00311FC3">
              <w:rPr>
                <w:rFonts w:ascii="Arial" w:hAnsi="Arial" w:cs="Arial"/>
                <w:sz w:val="18"/>
                <w:szCs w:val="18"/>
                <w:lang w:val="en-GB"/>
              </w:rPr>
              <w:t xml:space="preserve"> of Centres</w:t>
            </w:r>
          </w:p>
        </w:tc>
        <w:tc>
          <w:tcPr>
            <w:tcW w:w="1260" w:type="dxa"/>
            <w:tcBorders>
              <w:top w:val="single" w:sz="4" w:space="0" w:color="auto"/>
              <w:left w:val="single" w:sz="4" w:space="0" w:color="auto"/>
              <w:bottom w:val="single" w:sz="4" w:space="0" w:color="auto"/>
              <w:right w:val="single" w:sz="4" w:space="0" w:color="auto"/>
            </w:tcBorders>
            <w:hideMark/>
          </w:tcPr>
          <w:p w14:paraId="46B62C30" w14:textId="77777777" w:rsidR="00C71764" w:rsidRPr="00311FC3" w:rsidRDefault="00C71764" w:rsidP="007168BD">
            <w:pPr>
              <w:jc w:val="center"/>
              <w:rPr>
                <w:rFonts w:ascii="Arial" w:hAnsi="Arial" w:cs="Arial"/>
                <w:sz w:val="18"/>
                <w:szCs w:val="18"/>
                <w:lang w:val="en-GB"/>
              </w:rPr>
            </w:pPr>
            <w:r w:rsidRPr="00311FC3">
              <w:rPr>
                <w:rFonts w:ascii="Arial" w:hAnsi="Arial" w:cs="Arial"/>
                <w:sz w:val="18"/>
                <w:szCs w:val="18"/>
                <w:lang w:val="en-GB"/>
              </w:rPr>
              <w:t>150</w:t>
            </w:r>
          </w:p>
        </w:tc>
        <w:tc>
          <w:tcPr>
            <w:tcW w:w="1486" w:type="dxa"/>
            <w:tcBorders>
              <w:top w:val="single" w:sz="4" w:space="0" w:color="auto"/>
              <w:left w:val="single" w:sz="4" w:space="0" w:color="auto"/>
              <w:bottom w:val="single" w:sz="4" w:space="0" w:color="auto"/>
              <w:right w:val="single" w:sz="4" w:space="0" w:color="auto"/>
            </w:tcBorders>
            <w:hideMark/>
          </w:tcPr>
          <w:p w14:paraId="55CA0361" w14:textId="77777777" w:rsidR="00C71764" w:rsidRPr="00311FC3" w:rsidRDefault="00C71764" w:rsidP="007168BD">
            <w:pPr>
              <w:jc w:val="center"/>
              <w:rPr>
                <w:rFonts w:ascii="Arial" w:hAnsi="Arial" w:cs="Arial"/>
                <w:sz w:val="18"/>
                <w:szCs w:val="18"/>
                <w:lang w:val="en-GB"/>
              </w:rPr>
            </w:pPr>
            <w:r w:rsidRPr="00311FC3">
              <w:rPr>
                <w:rFonts w:ascii="Arial" w:hAnsi="Arial" w:cs="Arial"/>
                <w:sz w:val="18"/>
                <w:szCs w:val="18"/>
                <w:lang w:val="en-GB"/>
              </w:rPr>
              <w:t>45</w:t>
            </w:r>
          </w:p>
        </w:tc>
        <w:tc>
          <w:tcPr>
            <w:tcW w:w="1284" w:type="dxa"/>
            <w:tcBorders>
              <w:top w:val="single" w:sz="4" w:space="0" w:color="auto"/>
              <w:left w:val="single" w:sz="4" w:space="0" w:color="auto"/>
              <w:bottom w:val="single" w:sz="4" w:space="0" w:color="auto"/>
              <w:right w:val="single" w:sz="4" w:space="0" w:color="auto"/>
            </w:tcBorders>
            <w:hideMark/>
          </w:tcPr>
          <w:p w14:paraId="41F08731" w14:textId="77777777" w:rsidR="00C71764" w:rsidRPr="00311FC3" w:rsidRDefault="00C71764" w:rsidP="007168BD">
            <w:pPr>
              <w:jc w:val="center"/>
              <w:rPr>
                <w:rFonts w:ascii="Arial" w:hAnsi="Arial" w:cs="Arial"/>
                <w:sz w:val="18"/>
                <w:szCs w:val="18"/>
                <w:lang w:val="en-GB"/>
              </w:rPr>
            </w:pPr>
            <w:r w:rsidRPr="00311FC3">
              <w:rPr>
                <w:rFonts w:ascii="Arial" w:hAnsi="Arial" w:cs="Arial"/>
                <w:sz w:val="18"/>
                <w:szCs w:val="18"/>
                <w:lang w:val="en-GB"/>
              </w:rPr>
              <w:t>24</w:t>
            </w:r>
          </w:p>
        </w:tc>
        <w:tc>
          <w:tcPr>
            <w:tcW w:w="1340" w:type="dxa"/>
            <w:tcBorders>
              <w:top w:val="single" w:sz="4" w:space="0" w:color="auto"/>
              <w:left w:val="single" w:sz="4" w:space="0" w:color="auto"/>
              <w:bottom w:val="single" w:sz="4" w:space="0" w:color="auto"/>
              <w:right w:val="single" w:sz="4" w:space="0" w:color="auto"/>
            </w:tcBorders>
            <w:hideMark/>
          </w:tcPr>
          <w:p w14:paraId="437F2C4E" w14:textId="77777777" w:rsidR="00C71764" w:rsidRPr="00311FC3" w:rsidRDefault="00C71764" w:rsidP="007168BD">
            <w:pPr>
              <w:jc w:val="center"/>
              <w:rPr>
                <w:rFonts w:ascii="Arial" w:hAnsi="Arial" w:cs="Arial"/>
                <w:sz w:val="18"/>
                <w:szCs w:val="18"/>
                <w:lang w:val="en-GB"/>
              </w:rPr>
            </w:pPr>
            <w:r w:rsidRPr="00311FC3">
              <w:rPr>
                <w:rFonts w:ascii="Arial" w:hAnsi="Arial" w:cs="Arial"/>
                <w:sz w:val="18"/>
                <w:szCs w:val="18"/>
                <w:lang w:val="en-GB"/>
              </w:rPr>
              <w:t>44</w:t>
            </w:r>
          </w:p>
        </w:tc>
        <w:tc>
          <w:tcPr>
            <w:tcW w:w="1214" w:type="dxa"/>
            <w:tcBorders>
              <w:top w:val="single" w:sz="4" w:space="0" w:color="auto"/>
              <w:left w:val="single" w:sz="4" w:space="0" w:color="auto"/>
              <w:bottom w:val="single" w:sz="4" w:space="0" w:color="auto"/>
              <w:right w:val="single" w:sz="4" w:space="0" w:color="auto"/>
            </w:tcBorders>
            <w:hideMark/>
          </w:tcPr>
          <w:p w14:paraId="00D38D72" w14:textId="77777777" w:rsidR="00C71764" w:rsidRPr="00311FC3" w:rsidRDefault="00C71764" w:rsidP="007168BD">
            <w:pPr>
              <w:jc w:val="center"/>
              <w:rPr>
                <w:rFonts w:ascii="Arial" w:hAnsi="Arial" w:cs="Arial"/>
                <w:sz w:val="18"/>
                <w:szCs w:val="18"/>
                <w:lang w:val="en-GB"/>
              </w:rPr>
            </w:pPr>
            <w:r w:rsidRPr="00311FC3">
              <w:rPr>
                <w:rFonts w:ascii="Arial" w:hAnsi="Arial" w:cs="Arial"/>
                <w:sz w:val="18"/>
                <w:szCs w:val="18"/>
                <w:lang w:val="en-GB"/>
              </w:rPr>
              <w:t>7</w:t>
            </w:r>
          </w:p>
        </w:tc>
        <w:tc>
          <w:tcPr>
            <w:tcW w:w="1276" w:type="dxa"/>
            <w:tcBorders>
              <w:top w:val="single" w:sz="4" w:space="0" w:color="auto"/>
              <w:left w:val="single" w:sz="4" w:space="0" w:color="auto"/>
              <w:bottom w:val="single" w:sz="4" w:space="0" w:color="auto"/>
              <w:right w:val="single" w:sz="4" w:space="0" w:color="auto"/>
            </w:tcBorders>
            <w:hideMark/>
          </w:tcPr>
          <w:p w14:paraId="4EE61179" w14:textId="77777777" w:rsidR="00C71764" w:rsidRPr="00311FC3" w:rsidRDefault="00C71764" w:rsidP="007168BD">
            <w:pPr>
              <w:jc w:val="center"/>
              <w:rPr>
                <w:rFonts w:ascii="Arial" w:hAnsi="Arial" w:cs="Arial"/>
                <w:sz w:val="18"/>
                <w:szCs w:val="18"/>
                <w:lang w:val="en-GB"/>
              </w:rPr>
            </w:pPr>
            <w:r w:rsidRPr="00311FC3">
              <w:rPr>
                <w:rFonts w:ascii="Arial" w:hAnsi="Arial" w:cs="Arial"/>
                <w:sz w:val="18"/>
                <w:szCs w:val="18"/>
                <w:lang w:val="en-GB"/>
              </w:rPr>
              <w:t>13</w:t>
            </w:r>
          </w:p>
        </w:tc>
      </w:tr>
      <w:tr w:rsidR="00311FC3" w:rsidRPr="00311FC3" w14:paraId="7DB0EC9A" w14:textId="77777777" w:rsidTr="00823405">
        <w:tblPrEx>
          <w:jc w:val="left"/>
        </w:tblPrEx>
        <w:trPr>
          <w:trHeight w:val="20"/>
        </w:trPr>
        <w:tc>
          <w:tcPr>
            <w:tcW w:w="1638" w:type="dxa"/>
            <w:tcBorders>
              <w:top w:val="single" w:sz="4" w:space="0" w:color="auto"/>
              <w:left w:val="single" w:sz="4" w:space="0" w:color="auto"/>
              <w:bottom w:val="single" w:sz="4" w:space="0" w:color="auto"/>
              <w:right w:val="single" w:sz="4" w:space="0" w:color="auto"/>
            </w:tcBorders>
            <w:hideMark/>
          </w:tcPr>
          <w:p w14:paraId="0E23719D" w14:textId="77777777" w:rsidR="00C71764" w:rsidRPr="00311FC3" w:rsidRDefault="00C71764" w:rsidP="007168BD">
            <w:pPr>
              <w:rPr>
                <w:rFonts w:ascii="Arial" w:hAnsi="Arial" w:cs="Arial"/>
                <w:sz w:val="18"/>
                <w:szCs w:val="18"/>
                <w:lang w:val="en-GB"/>
              </w:rPr>
            </w:pPr>
            <w:r w:rsidRPr="00311FC3">
              <w:rPr>
                <w:rFonts w:ascii="Arial" w:hAnsi="Arial" w:cs="Arial"/>
                <w:sz w:val="18"/>
                <w:szCs w:val="18"/>
                <w:lang w:val="en-GB"/>
              </w:rPr>
              <w:t>Location</w:t>
            </w:r>
          </w:p>
        </w:tc>
        <w:tc>
          <w:tcPr>
            <w:tcW w:w="1260" w:type="dxa"/>
            <w:tcBorders>
              <w:top w:val="single" w:sz="4" w:space="0" w:color="auto"/>
              <w:left w:val="single" w:sz="4" w:space="0" w:color="auto"/>
              <w:bottom w:val="single" w:sz="4" w:space="0" w:color="auto"/>
              <w:right w:val="single" w:sz="4" w:space="0" w:color="auto"/>
            </w:tcBorders>
            <w:hideMark/>
          </w:tcPr>
          <w:p w14:paraId="00CA5B99" w14:textId="77777777" w:rsidR="00C71764" w:rsidRPr="00311FC3" w:rsidRDefault="00C71764" w:rsidP="007168BD">
            <w:pPr>
              <w:rPr>
                <w:rFonts w:ascii="Arial" w:hAnsi="Arial" w:cs="Arial"/>
                <w:sz w:val="18"/>
                <w:szCs w:val="18"/>
                <w:lang w:val="en-GB"/>
              </w:rPr>
            </w:pPr>
            <w:r w:rsidRPr="00311FC3">
              <w:rPr>
                <w:rFonts w:ascii="Arial" w:hAnsi="Arial" w:cs="Arial"/>
                <w:sz w:val="18"/>
                <w:szCs w:val="18"/>
                <w:lang w:val="en-GB"/>
              </w:rPr>
              <w:t>Across India</w:t>
            </w:r>
          </w:p>
        </w:tc>
        <w:tc>
          <w:tcPr>
            <w:tcW w:w="1486" w:type="dxa"/>
            <w:tcBorders>
              <w:top w:val="single" w:sz="4" w:space="0" w:color="auto"/>
              <w:left w:val="single" w:sz="4" w:space="0" w:color="auto"/>
              <w:bottom w:val="single" w:sz="4" w:space="0" w:color="auto"/>
              <w:right w:val="single" w:sz="4" w:space="0" w:color="auto"/>
            </w:tcBorders>
            <w:hideMark/>
          </w:tcPr>
          <w:p w14:paraId="6E289B9A" w14:textId="26F6F7FE" w:rsidR="00C71764" w:rsidRPr="00311FC3" w:rsidRDefault="00C71764" w:rsidP="00097907">
            <w:pPr>
              <w:rPr>
                <w:rFonts w:ascii="Arial" w:hAnsi="Arial" w:cs="Arial"/>
                <w:sz w:val="18"/>
                <w:szCs w:val="18"/>
                <w:lang w:val="en-GB"/>
              </w:rPr>
            </w:pPr>
            <w:r w:rsidRPr="00311FC3">
              <w:rPr>
                <w:rFonts w:ascii="Arial" w:hAnsi="Arial" w:cs="Arial"/>
                <w:sz w:val="18"/>
                <w:szCs w:val="18"/>
                <w:lang w:val="en-GB"/>
              </w:rPr>
              <w:t xml:space="preserve">Andhra Pradesh (AP), Gujarat, Madhya Pradesh, Punjab, Uttar Pradesh (UP), National Capital Region (NCR), Jammu </w:t>
            </w:r>
            <w:r w:rsidR="00097907">
              <w:rPr>
                <w:rFonts w:ascii="Arial" w:hAnsi="Arial" w:cs="Arial"/>
                <w:sz w:val="18"/>
                <w:szCs w:val="18"/>
                <w:lang w:val="en-GB"/>
              </w:rPr>
              <w:t>and</w:t>
            </w:r>
            <w:r w:rsidRPr="00311FC3">
              <w:rPr>
                <w:rFonts w:ascii="Arial" w:hAnsi="Arial" w:cs="Arial"/>
                <w:sz w:val="18"/>
                <w:szCs w:val="18"/>
                <w:lang w:val="en-GB"/>
              </w:rPr>
              <w:t xml:space="preserve"> Kashmir, Maharashtra, Rajasthan</w:t>
            </w:r>
          </w:p>
        </w:tc>
        <w:tc>
          <w:tcPr>
            <w:tcW w:w="1284" w:type="dxa"/>
            <w:tcBorders>
              <w:top w:val="single" w:sz="4" w:space="0" w:color="auto"/>
              <w:left w:val="single" w:sz="4" w:space="0" w:color="auto"/>
              <w:bottom w:val="single" w:sz="4" w:space="0" w:color="auto"/>
              <w:right w:val="single" w:sz="4" w:space="0" w:color="auto"/>
            </w:tcBorders>
            <w:hideMark/>
          </w:tcPr>
          <w:p w14:paraId="26E6446E" w14:textId="77777777" w:rsidR="00C71764" w:rsidRPr="00311FC3" w:rsidRDefault="00C71764" w:rsidP="007168BD">
            <w:pPr>
              <w:rPr>
                <w:rFonts w:ascii="Arial" w:hAnsi="Arial" w:cs="Arial"/>
                <w:sz w:val="18"/>
                <w:szCs w:val="18"/>
                <w:lang w:val="en-GB"/>
              </w:rPr>
            </w:pPr>
            <w:r w:rsidRPr="00311FC3">
              <w:rPr>
                <w:rFonts w:ascii="Arial" w:hAnsi="Arial" w:cs="Arial"/>
                <w:sz w:val="18"/>
                <w:szCs w:val="18"/>
                <w:lang w:val="en-GB"/>
              </w:rPr>
              <w:t>NCR, UP, Uttarkhand, Haryana, Gujarat</w:t>
            </w:r>
          </w:p>
        </w:tc>
        <w:tc>
          <w:tcPr>
            <w:tcW w:w="1340" w:type="dxa"/>
            <w:tcBorders>
              <w:top w:val="single" w:sz="4" w:space="0" w:color="auto"/>
              <w:left w:val="single" w:sz="4" w:space="0" w:color="auto"/>
              <w:bottom w:val="single" w:sz="4" w:space="0" w:color="auto"/>
              <w:right w:val="single" w:sz="4" w:space="0" w:color="auto"/>
            </w:tcBorders>
            <w:hideMark/>
          </w:tcPr>
          <w:p w14:paraId="6ADBFB1D" w14:textId="3EAF10CE" w:rsidR="00C71764" w:rsidRPr="00311FC3" w:rsidRDefault="00C71764" w:rsidP="000D4A97">
            <w:pPr>
              <w:rPr>
                <w:rFonts w:ascii="Arial" w:hAnsi="Arial" w:cs="Arial"/>
                <w:sz w:val="18"/>
                <w:szCs w:val="18"/>
                <w:lang w:val="en-GB"/>
              </w:rPr>
            </w:pPr>
            <w:r w:rsidRPr="00311FC3">
              <w:rPr>
                <w:rFonts w:ascii="Arial" w:hAnsi="Arial" w:cs="Arial"/>
                <w:sz w:val="18"/>
                <w:szCs w:val="18"/>
                <w:lang w:val="en-GB"/>
              </w:rPr>
              <w:t xml:space="preserve">Tamil Nadu , Karnataka, AP, Rajasthan, Odisha, Andaman </w:t>
            </w:r>
            <w:r w:rsidR="00097907">
              <w:rPr>
                <w:rFonts w:ascii="Arial" w:hAnsi="Arial" w:cs="Arial"/>
                <w:sz w:val="18"/>
                <w:szCs w:val="18"/>
                <w:lang w:val="en-GB"/>
              </w:rPr>
              <w:t>and</w:t>
            </w:r>
            <w:r w:rsidRPr="00311FC3">
              <w:rPr>
                <w:rFonts w:ascii="Arial" w:hAnsi="Arial" w:cs="Arial"/>
                <w:sz w:val="18"/>
                <w:szCs w:val="18"/>
                <w:lang w:val="en-GB"/>
              </w:rPr>
              <w:t xml:space="preserve"> Nicobar</w:t>
            </w:r>
          </w:p>
        </w:tc>
        <w:tc>
          <w:tcPr>
            <w:tcW w:w="1214" w:type="dxa"/>
            <w:tcBorders>
              <w:top w:val="single" w:sz="4" w:space="0" w:color="auto"/>
              <w:left w:val="single" w:sz="4" w:space="0" w:color="auto"/>
              <w:bottom w:val="single" w:sz="4" w:space="0" w:color="auto"/>
              <w:right w:val="single" w:sz="4" w:space="0" w:color="auto"/>
            </w:tcBorders>
            <w:hideMark/>
          </w:tcPr>
          <w:p w14:paraId="143D687F" w14:textId="77777777" w:rsidR="00C71764" w:rsidRPr="00311FC3" w:rsidRDefault="00C71764" w:rsidP="007168BD">
            <w:pPr>
              <w:rPr>
                <w:rFonts w:ascii="Arial" w:hAnsi="Arial" w:cs="Arial"/>
                <w:sz w:val="18"/>
                <w:szCs w:val="18"/>
                <w:lang w:val="en-GB"/>
              </w:rPr>
            </w:pPr>
            <w:r w:rsidRPr="00311FC3">
              <w:rPr>
                <w:rFonts w:ascii="Arial" w:hAnsi="Arial" w:cs="Arial"/>
                <w:sz w:val="18"/>
                <w:szCs w:val="18"/>
                <w:lang w:val="en-GB"/>
              </w:rPr>
              <w:t>TN, Kerala</w:t>
            </w:r>
          </w:p>
        </w:tc>
        <w:tc>
          <w:tcPr>
            <w:tcW w:w="1276" w:type="dxa"/>
            <w:tcBorders>
              <w:top w:val="single" w:sz="4" w:space="0" w:color="auto"/>
              <w:left w:val="single" w:sz="4" w:space="0" w:color="auto"/>
              <w:bottom w:val="single" w:sz="4" w:space="0" w:color="auto"/>
              <w:right w:val="single" w:sz="4" w:space="0" w:color="auto"/>
            </w:tcBorders>
            <w:hideMark/>
          </w:tcPr>
          <w:p w14:paraId="12DE856A" w14:textId="77777777" w:rsidR="00C71764" w:rsidRPr="00311FC3" w:rsidRDefault="00C71764" w:rsidP="007168BD">
            <w:pPr>
              <w:rPr>
                <w:rFonts w:ascii="Arial" w:hAnsi="Arial" w:cs="Arial"/>
                <w:sz w:val="18"/>
                <w:szCs w:val="18"/>
                <w:lang w:val="en-GB"/>
              </w:rPr>
            </w:pPr>
            <w:r w:rsidRPr="00311FC3">
              <w:rPr>
                <w:rFonts w:ascii="Arial" w:hAnsi="Arial" w:cs="Arial"/>
                <w:sz w:val="18"/>
                <w:szCs w:val="18"/>
                <w:lang w:val="en-GB"/>
              </w:rPr>
              <w:t>NCR, AP, TN</w:t>
            </w:r>
          </w:p>
        </w:tc>
      </w:tr>
      <w:tr w:rsidR="00311FC3" w:rsidRPr="00311FC3" w14:paraId="28ED524E" w14:textId="77777777" w:rsidTr="007039CC">
        <w:trPr>
          <w:trHeight w:val="20"/>
          <w:jc w:val="center"/>
        </w:trPr>
        <w:tc>
          <w:tcPr>
            <w:tcW w:w="1638" w:type="dxa"/>
            <w:tcBorders>
              <w:top w:val="single" w:sz="4" w:space="0" w:color="auto"/>
              <w:left w:val="single" w:sz="4" w:space="0" w:color="auto"/>
              <w:bottom w:val="single" w:sz="4" w:space="0" w:color="auto"/>
              <w:right w:val="single" w:sz="4" w:space="0" w:color="auto"/>
            </w:tcBorders>
            <w:hideMark/>
          </w:tcPr>
          <w:p w14:paraId="0771B986" w14:textId="77777777" w:rsidR="00C71764" w:rsidRPr="00311FC3" w:rsidRDefault="00C71764" w:rsidP="007168BD">
            <w:pPr>
              <w:rPr>
                <w:rFonts w:ascii="Arial" w:hAnsi="Arial" w:cs="Arial"/>
                <w:sz w:val="18"/>
                <w:szCs w:val="18"/>
                <w:lang w:val="en-GB"/>
              </w:rPr>
            </w:pPr>
            <w:r w:rsidRPr="00311FC3">
              <w:rPr>
                <w:rFonts w:ascii="Arial" w:hAnsi="Arial" w:cs="Arial"/>
                <w:sz w:val="18"/>
                <w:szCs w:val="18"/>
                <w:lang w:val="en-GB"/>
              </w:rPr>
              <w:t xml:space="preserve">Revenue </w:t>
            </w:r>
          </w:p>
          <w:p w14:paraId="30E6FA9C" w14:textId="77777777" w:rsidR="00C71764" w:rsidRPr="00311FC3" w:rsidRDefault="00C71764" w:rsidP="007168BD">
            <w:pPr>
              <w:rPr>
                <w:rFonts w:ascii="Arial" w:hAnsi="Arial" w:cs="Arial"/>
                <w:sz w:val="18"/>
                <w:szCs w:val="18"/>
                <w:lang w:val="en-GB"/>
              </w:rPr>
            </w:pPr>
            <w:r w:rsidRPr="00311FC3">
              <w:rPr>
                <w:rFonts w:ascii="Arial" w:hAnsi="Arial" w:cs="Arial"/>
                <w:sz w:val="18"/>
                <w:szCs w:val="18"/>
                <w:lang w:val="en-GB"/>
              </w:rPr>
              <w:t>(</w:t>
            </w:r>
            <w:r w:rsidR="004D48DB" w:rsidRPr="007039CC">
              <w:rPr>
                <w:rFonts w:ascii="Arial" w:hAnsi="Arial" w:cs="Arial"/>
              </w:rPr>
              <w:t>₹</w:t>
            </w:r>
            <w:r w:rsidRPr="00311FC3">
              <w:rPr>
                <w:rFonts w:ascii="Arial" w:hAnsi="Arial" w:cs="Arial"/>
                <w:sz w:val="18"/>
                <w:szCs w:val="18"/>
                <w:lang w:val="en-GB"/>
              </w:rPr>
              <w:t xml:space="preserve"> billion)</w:t>
            </w:r>
          </w:p>
        </w:tc>
        <w:tc>
          <w:tcPr>
            <w:tcW w:w="1260" w:type="dxa"/>
            <w:tcBorders>
              <w:top w:val="single" w:sz="4" w:space="0" w:color="auto"/>
              <w:left w:val="single" w:sz="4" w:space="0" w:color="auto"/>
              <w:bottom w:val="single" w:sz="4" w:space="0" w:color="auto"/>
              <w:right w:val="single" w:sz="4" w:space="0" w:color="auto"/>
            </w:tcBorders>
            <w:hideMark/>
          </w:tcPr>
          <w:p w14:paraId="2828FD9A" w14:textId="5D2485FA" w:rsidR="00C71764" w:rsidRPr="00311FC3" w:rsidRDefault="00C71764" w:rsidP="000D4A97">
            <w:pPr>
              <w:jc w:val="center"/>
              <w:rPr>
                <w:rFonts w:ascii="Arial" w:hAnsi="Arial" w:cs="Arial"/>
                <w:sz w:val="18"/>
                <w:szCs w:val="18"/>
                <w:lang w:val="en-GB"/>
              </w:rPr>
            </w:pPr>
            <w:r w:rsidRPr="00311FC3">
              <w:rPr>
                <w:rFonts w:ascii="Arial" w:hAnsi="Arial" w:cs="Arial"/>
                <w:sz w:val="18"/>
                <w:szCs w:val="18"/>
                <w:lang w:val="en-GB"/>
              </w:rPr>
              <w:t>5</w:t>
            </w:r>
            <w:r w:rsidR="00C31597">
              <w:rPr>
                <w:rFonts w:ascii="Arial" w:hAnsi="Arial" w:cs="Arial"/>
                <w:sz w:val="18"/>
                <w:szCs w:val="18"/>
                <w:lang w:val="en-GB"/>
              </w:rPr>
              <w:t>.0</w:t>
            </w:r>
            <w:r w:rsidRPr="00311FC3">
              <w:rPr>
                <w:rFonts w:ascii="Arial" w:hAnsi="Arial" w:cs="Arial"/>
                <w:sz w:val="18"/>
                <w:szCs w:val="18"/>
                <w:lang w:val="en-GB"/>
              </w:rPr>
              <w:br/>
              <w:t>(2011</w:t>
            </w:r>
            <w:r w:rsidR="00097907">
              <w:rPr>
                <w:rFonts w:ascii="Arial" w:hAnsi="Arial" w:cs="Arial"/>
                <w:sz w:val="18"/>
                <w:szCs w:val="18"/>
                <w:lang w:val="en-GB"/>
              </w:rPr>
              <w:t>–</w:t>
            </w:r>
            <w:r w:rsidRPr="00311FC3">
              <w:rPr>
                <w:rFonts w:ascii="Arial" w:hAnsi="Arial" w:cs="Arial"/>
                <w:sz w:val="18"/>
                <w:szCs w:val="18"/>
                <w:lang w:val="en-GB"/>
              </w:rPr>
              <w:t>12)</w:t>
            </w:r>
          </w:p>
        </w:tc>
        <w:tc>
          <w:tcPr>
            <w:tcW w:w="1486" w:type="dxa"/>
            <w:tcBorders>
              <w:top w:val="single" w:sz="4" w:space="0" w:color="auto"/>
              <w:left w:val="single" w:sz="4" w:space="0" w:color="auto"/>
              <w:bottom w:val="single" w:sz="4" w:space="0" w:color="auto"/>
              <w:right w:val="single" w:sz="4" w:space="0" w:color="auto"/>
            </w:tcBorders>
            <w:hideMark/>
          </w:tcPr>
          <w:p w14:paraId="4795C8FF" w14:textId="5D34AB2C" w:rsidR="00C71764" w:rsidRPr="00311FC3" w:rsidRDefault="00C71764" w:rsidP="000D4A97">
            <w:pPr>
              <w:jc w:val="center"/>
              <w:rPr>
                <w:rFonts w:ascii="Arial" w:hAnsi="Arial" w:cs="Arial"/>
                <w:sz w:val="18"/>
                <w:szCs w:val="18"/>
                <w:lang w:val="en-GB"/>
              </w:rPr>
            </w:pPr>
            <w:r w:rsidRPr="00311FC3">
              <w:rPr>
                <w:rFonts w:ascii="Arial" w:hAnsi="Arial" w:cs="Arial"/>
                <w:sz w:val="18"/>
                <w:szCs w:val="18"/>
                <w:lang w:val="en-GB"/>
              </w:rPr>
              <w:t>1.2</w:t>
            </w:r>
            <w:r w:rsidRPr="00311FC3">
              <w:rPr>
                <w:rFonts w:ascii="Arial" w:hAnsi="Arial" w:cs="Arial"/>
                <w:sz w:val="18"/>
                <w:szCs w:val="18"/>
                <w:lang w:val="en-GB"/>
              </w:rPr>
              <w:br/>
              <w:t>(2012</w:t>
            </w:r>
            <w:r w:rsidR="00097907">
              <w:rPr>
                <w:rFonts w:ascii="Arial" w:hAnsi="Arial" w:cs="Arial"/>
                <w:sz w:val="18"/>
                <w:szCs w:val="18"/>
                <w:lang w:val="en-GB"/>
              </w:rPr>
              <w:t>–</w:t>
            </w:r>
            <w:r w:rsidRPr="00311FC3">
              <w:rPr>
                <w:rFonts w:ascii="Arial" w:hAnsi="Arial" w:cs="Arial"/>
                <w:sz w:val="18"/>
                <w:szCs w:val="18"/>
                <w:lang w:val="en-GB"/>
              </w:rPr>
              <w:t>13)</w:t>
            </w:r>
          </w:p>
        </w:tc>
        <w:tc>
          <w:tcPr>
            <w:tcW w:w="1284" w:type="dxa"/>
            <w:tcBorders>
              <w:top w:val="single" w:sz="4" w:space="0" w:color="auto"/>
              <w:left w:val="single" w:sz="4" w:space="0" w:color="auto"/>
              <w:bottom w:val="single" w:sz="4" w:space="0" w:color="auto"/>
              <w:right w:val="single" w:sz="4" w:space="0" w:color="auto"/>
            </w:tcBorders>
            <w:hideMark/>
          </w:tcPr>
          <w:p w14:paraId="584CC67C" w14:textId="4897B1A4" w:rsidR="00C71764" w:rsidRPr="00311FC3" w:rsidRDefault="00C71764" w:rsidP="001745CF">
            <w:pPr>
              <w:jc w:val="center"/>
              <w:rPr>
                <w:rFonts w:ascii="Arial" w:hAnsi="Arial" w:cs="Arial"/>
                <w:sz w:val="18"/>
                <w:szCs w:val="18"/>
                <w:lang w:val="en-GB"/>
              </w:rPr>
            </w:pPr>
            <w:r w:rsidRPr="00311FC3">
              <w:rPr>
                <w:rFonts w:ascii="Arial" w:hAnsi="Arial" w:cs="Arial"/>
                <w:sz w:val="18"/>
                <w:szCs w:val="18"/>
                <w:lang w:val="en-GB"/>
              </w:rPr>
              <w:t>0.95</w:t>
            </w:r>
            <w:r w:rsidRPr="00311FC3">
              <w:rPr>
                <w:rFonts w:ascii="Arial" w:hAnsi="Arial" w:cs="Arial"/>
                <w:sz w:val="18"/>
                <w:szCs w:val="18"/>
                <w:lang w:val="en-GB"/>
              </w:rPr>
              <w:br/>
              <w:t>(2013</w:t>
            </w:r>
            <w:r w:rsidR="00097907">
              <w:rPr>
                <w:rFonts w:ascii="Arial" w:hAnsi="Arial" w:cs="Arial"/>
                <w:sz w:val="18"/>
                <w:szCs w:val="18"/>
                <w:lang w:val="en-GB"/>
              </w:rPr>
              <w:t>–</w:t>
            </w:r>
            <w:r w:rsidRPr="00311FC3">
              <w:rPr>
                <w:rFonts w:ascii="Arial" w:hAnsi="Arial" w:cs="Arial"/>
                <w:sz w:val="18"/>
                <w:szCs w:val="18"/>
                <w:lang w:val="en-GB"/>
              </w:rPr>
              <w:t>14)</w:t>
            </w:r>
          </w:p>
        </w:tc>
        <w:tc>
          <w:tcPr>
            <w:tcW w:w="1340" w:type="dxa"/>
            <w:tcBorders>
              <w:top w:val="single" w:sz="4" w:space="0" w:color="auto"/>
              <w:left w:val="single" w:sz="4" w:space="0" w:color="auto"/>
              <w:bottom w:val="single" w:sz="4" w:space="0" w:color="auto"/>
              <w:right w:val="single" w:sz="4" w:space="0" w:color="auto"/>
            </w:tcBorders>
            <w:hideMark/>
          </w:tcPr>
          <w:p w14:paraId="146779D0" w14:textId="7E86C7AD" w:rsidR="00C71764" w:rsidRPr="00311FC3" w:rsidRDefault="00C71764" w:rsidP="001745CF">
            <w:pPr>
              <w:jc w:val="center"/>
              <w:rPr>
                <w:rFonts w:ascii="Arial" w:hAnsi="Arial" w:cs="Arial"/>
                <w:sz w:val="18"/>
                <w:szCs w:val="18"/>
                <w:lang w:val="en-GB"/>
              </w:rPr>
            </w:pPr>
            <w:r w:rsidRPr="00311FC3">
              <w:rPr>
                <w:rFonts w:ascii="Arial" w:hAnsi="Arial" w:cs="Arial"/>
                <w:sz w:val="18"/>
                <w:szCs w:val="18"/>
                <w:lang w:val="en-GB"/>
              </w:rPr>
              <w:t>1.1</w:t>
            </w:r>
            <w:r w:rsidRPr="00311FC3">
              <w:rPr>
                <w:rFonts w:ascii="Arial" w:hAnsi="Arial" w:cs="Arial"/>
                <w:sz w:val="18"/>
                <w:szCs w:val="18"/>
                <w:lang w:val="en-GB"/>
              </w:rPr>
              <w:br/>
              <w:t>(2012</w:t>
            </w:r>
            <w:r w:rsidR="00097907">
              <w:rPr>
                <w:rFonts w:ascii="Arial" w:hAnsi="Arial" w:cs="Arial"/>
                <w:sz w:val="18"/>
                <w:szCs w:val="18"/>
                <w:lang w:val="en-GB"/>
              </w:rPr>
              <w:t>–</w:t>
            </w:r>
            <w:r w:rsidRPr="00311FC3">
              <w:rPr>
                <w:rFonts w:ascii="Arial" w:hAnsi="Arial" w:cs="Arial"/>
                <w:sz w:val="18"/>
                <w:szCs w:val="18"/>
                <w:lang w:val="en-GB"/>
              </w:rPr>
              <w:t>13)</w:t>
            </w:r>
          </w:p>
        </w:tc>
        <w:tc>
          <w:tcPr>
            <w:tcW w:w="1214" w:type="dxa"/>
            <w:tcBorders>
              <w:top w:val="single" w:sz="4" w:space="0" w:color="auto"/>
              <w:left w:val="single" w:sz="4" w:space="0" w:color="auto"/>
              <w:bottom w:val="single" w:sz="4" w:space="0" w:color="auto"/>
              <w:right w:val="single" w:sz="4" w:space="0" w:color="auto"/>
            </w:tcBorders>
            <w:hideMark/>
          </w:tcPr>
          <w:p w14:paraId="60B8D037" w14:textId="13A735A8" w:rsidR="00C71764" w:rsidRPr="00311FC3" w:rsidRDefault="00C71764" w:rsidP="001745CF">
            <w:pPr>
              <w:jc w:val="center"/>
              <w:rPr>
                <w:rFonts w:ascii="Arial" w:hAnsi="Arial" w:cs="Arial"/>
                <w:sz w:val="18"/>
                <w:szCs w:val="18"/>
                <w:lang w:val="en-GB"/>
              </w:rPr>
            </w:pPr>
            <w:r w:rsidRPr="00311FC3">
              <w:rPr>
                <w:rFonts w:ascii="Arial" w:hAnsi="Arial" w:cs="Arial"/>
                <w:sz w:val="18"/>
                <w:szCs w:val="18"/>
                <w:lang w:val="en-GB"/>
              </w:rPr>
              <w:t>0.3</w:t>
            </w:r>
            <w:r w:rsidRPr="00311FC3">
              <w:rPr>
                <w:rFonts w:ascii="Arial" w:hAnsi="Arial" w:cs="Arial"/>
                <w:sz w:val="18"/>
                <w:szCs w:val="18"/>
                <w:lang w:val="en-GB"/>
              </w:rPr>
              <w:br/>
              <w:t>(2012</w:t>
            </w:r>
            <w:r w:rsidR="00097907">
              <w:rPr>
                <w:rFonts w:ascii="Arial" w:hAnsi="Arial" w:cs="Arial"/>
                <w:sz w:val="18"/>
                <w:szCs w:val="18"/>
                <w:lang w:val="en-GB"/>
              </w:rPr>
              <w:t>–</w:t>
            </w:r>
            <w:r w:rsidRPr="00311FC3">
              <w:rPr>
                <w:rFonts w:ascii="Arial" w:hAnsi="Arial" w:cs="Arial"/>
                <w:sz w:val="18"/>
                <w:szCs w:val="18"/>
                <w:lang w:val="en-GB"/>
              </w:rPr>
              <w:t>13)</w:t>
            </w:r>
          </w:p>
        </w:tc>
        <w:tc>
          <w:tcPr>
            <w:tcW w:w="1276" w:type="dxa"/>
            <w:tcBorders>
              <w:top w:val="single" w:sz="4" w:space="0" w:color="auto"/>
              <w:left w:val="single" w:sz="4" w:space="0" w:color="auto"/>
              <w:bottom w:val="single" w:sz="4" w:space="0" w:color="auto"/>
              <w:right w:val="single" w:sz="4" w:space="0" w:color="auto"/>
            </w:tcBorders>
            <w:hideMark/>
          </w:tcPr>
          <w:p w14:paraId="2D18BBE7" w14:textId="0269CB74" w:rsidR="00C71764" w:rsidRPr="00311FC3" w:rsidRDefault="00C71764" w:rsidP="001745CF">
            <w:pPr>
              <w:jc w:val="center"/>
              <w:rPr>
                <w:rFonts w:ascii="Arial" w:hAnsi="Arial" w:cs="Arial"/>
                <w:sz w:val="18"/>
                <w:szCs w:val="18"/>
                <w:lang w:val="en-GB"/>
              </w:rPr>
            </w:pPr>
            <w:r w:rsidRPr="00311FC3">
              <w:rPr>
                <w:rFonts w:ascii="Arial" w:hAnsi="Arial" w:cs="Arial"/>
                <w:sz w:val="18"/>
                <w:szCs w:val="18"/>
                <w:lang w:val="en-GB"/>
              </w:rPr>
              <w:t>NA</w:t>
            </w:r>
          </w:p>
        </w:tc>
      </w:tr>
    </w:tbl>
    <w:p w14:paraId="337B3575" w14:textId="77777777" w:rsidR="00C71764" w:rsidRPr="00592DF1" w:rsidRDefault="00C71764" w:rsidP="007039CC">
      <w:pPr>
        <w:pStyle w:val="Footnote"/>
        <w:rPr>
          <w:lang w:val="en-GB"/>
        </w:rPr>
      </w:pPr>
    </w:p>
    <w:p w14:paraId="7BECC074" w14:textId="4DBCE271" w:rsidR="00097907" w:rsidRPr="007039CC" w:rsidRDefault="00097907" w:rsidP="00311FC3">
      <w:pPr>
        <w:pStyle w:val="Footnote"/>
        <w:rPr>
          <w:lang w:val="en-GB"/>
        </w:rPr>
      </w:pPr>
      <w:r w:rsidRPr="007039CC">
        <w:rPr>
          <w:lang w:val="en-GB"/>
        </w:rPr>
        <w:t>Note:</w:t>
      </w:r>
      <w:r>
        <w:rPr>
          <w:lang w:val="en-GB"/>
        </w:rPr>
        <w:t xml:space="preserve"> NA = not available</w:t>
      </w:r>
    </w:p>
    <w:p w14:paraId="18BE890C" w14:textId="62B7B0B5" w:rsidR="00C71764" w:rsidRPr="00311FC3" w:rsidRDefault="00C71764" w:rsidP="00311FC3">
      <w:pPr>
        <w:pStyle w:val="Footnote"/>
      </w:pPr>
      <w:r w:rsidRPr="007039CC">
        <w:rPr>
          <w:lang w:val="en-GB"/>
        </w:rPr>
        <w:t>S</w:t>
      </w:r>
      <w:r w:rsidRPr="00311FC3">
        <w:t xml:space="preserve">ource: </w:t>
      </w:r>
      <w:r w:rsidR="00841618" w:rsidRPr="00841618">
        <w:rPr>
          <w:i/>
        </w:rPr>
        <w:t xml:space="preserve">May–June 2014: </w:t>
      </w:r>
      <w:r w:rsidRPr="00841618">
        <w:rPr>
          <w:i/>
        </w:rPr>
        <w:t xml:space="preserve">CRISIL </w:t>
      </w:r>
      <w:r w:rsidR="00841618" w:rsidRPr="00841618">
        <w:rPr>
          <w:i/>
        </w:rPr>
        <w:t xml:space="preserve">CRB </w:t>
      </w:r>
      <w:r w:rsidRPr="00841618">
        <w:rPr>
          <w:i/>
        </w:rPr>
        <w:t>Customised Research Bulletin</w:t>
      </w:r>
      <w:r w:rsidRPr="00311FC3">
        <w:t xml:space="preserve"> </w:t>
      </w:r>
      <w:r w:rsidR="00841618">
        <w:t>(Mumbai, India: CRISIL House, May 2013)</w:t>
      </w:r>
      <w:r w:rsidR="00097907">
        <w:t>,</w:t>
      </w:r>
      <w:r w:rsidR="00841618">
        <w:t xml:space="preserve"> </w:t>
      </w:r>
      <w:r w:rsidR="00C31597" w:rsidRPr="00311FC3">
        <w:t>accessed April 6, 2015</w:t>
      </w:r>
      <w:r w:rsidR="00C31597">
        <w:t xml:space="preserve">, </w:t>
      </w:r>
      <w:hyperlink r:id="rId13" w:history="1">
        <w:r w:rsidR="00C31597" w:rsidRPr="00C31597">
          <w:rPr>
            <w:rStyle w:val="Hyperlink"/>
            <w:color w:val="auto"/>
            <w:u w:val="none"/>
          </w:rPr>
          <w:t>www.crisil.com/pdf/research/CRISIL-Research-cust-bulletin_may_jun_14.pdf</w:t>
        </w:r>
      </w:hyperlink>
      <w:r w:rsidR="00C31597" w:rsidRPr="00C31597">
        <w:rPr>
          <w:rStyle w:val="FootnoteChar"/>
        </w:rPr>
        <w:t>.</w:t>
      </w:r>
    </w:p>
    <w:p w14:paraId="609C4608" w14:textId="77777777" w:rsidR="00851818" w:rsidRDefault="00851818" w:rsidP="007039CC">
      <w:pPr>
        <w:pStyle w:val="Footnote"/>
        <w:rPr>
          <w:rStyle w:val="Emphasis"/>
          <w:i w:val="0"/>
          <w:iCs w:val="0"/>
        </w:rPr>
      </w:pPr>
    </w:p>
    <w:p w14:paraId="66379558" w14:textId="77777777" w:rsidR="003D2017" w:rsidRPr="00311FC3" w:rsidRDefault="003D2017" w:rsidP="007039CC">
      <w:pPr>
        <w:pStyle w:val="Footnote"/>
        <w:rPr>
          <w:rStyle w:val="Emphasis"/>
          <w:i w:val="0"/>
          <w:iCs w:val="0"/>
        </w:rPr>
      </w:pPr>
    </w:p>
    <w:p w14:paraId="7D693525" w14:textId="77777777" w:rsidR="008B20E4" w:rsidRDefault="008B20E4" w:rsidP="003D2017">
      <w:pPr>
        <w:pStyle w:val="ExhibitHeading"/>
        <w:keepNext/>
      </w:pPr>
      <w:r w:rsidRPr="00311FC3">
        <w:rPr>
          <w:rStyle w:val="Emphasis"/>
          <w:i w:val="0"/>
          <w:iCs w:val="0"/>
        </w:rPr>
        <w:t xml:space="preserve">Exhibit </w:t>
      </w:r>
      <w:r w:rsidR="00AA2ADB">
        <w:rPr>
          <w:rStyle w:val="Emphasis"/>
          <w:i w:val="0"/>
          <w:iCs w:val="0"/>
        </w:rPr>
        <w:t>2</w:t>
      </w:r>
      <w:r w:rsidRPr="00311FC3">
        <w:rPr>
          <w:rStyle w:val="Emphasis"/>
          <w:i w:val="0"/>
          <w:iCs w:val="0"/>
        </w:rPr>
        <w:t xml:space="preserve">: </w:t>
      </w:r>
      <w:r w:rsidRPr="00E75C57">
        <w:t>EYE</w:t>
      </w:r>
      <w:r w:rsidRPr="00311FC3">
        <w:t xml:space="preserve"> CARE CENTRE MODELS</w:t>
      </w:r>
    </w:p>
    <w:p w14:paraId="4828C706" w14:textId="77777777" w:rsidR="008B20E4" w:rsidRPr="00311FC3" w:rsidRDefault="008B20E4" w:rsidP="003D2017">
      <w:pPr>
        <w:pStyle w:val="BodyTextMain"/>
        <w:keepNext/>
        <w:rPr>
          <w:rStyle w:val="Emphasis"/>
          <w:i w:val="0"/>
          <w:iCs w:val="0"/>
        </w:rPr>
      </w:pPr>
    </w:p>
    <w:tbl>
      <w:tblPr>
        <w:tblStyle w:val="TableGridLight1"/>
        <w:tblW w:w="899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1851"/>
        <w:gridCol w:w="2525"/>
        <w:gridCol w:w="2322"/>
        <w:gridCol w:w="2299"/>
      </w:tblGrid>
      <w:tr w:rsidR="008B20E4" w:rsidRPr="00311FC3" w14:paraId="689AFBC6" w14:textId="77777777" w:rsidTr="00C11BAE">
        <w:trPr>
          <w:trHeight w:val="20"/>
          <w:jc w:val="center"/>
        </w:trPr>
        <w:tc>
          <w:tcPr>
            <w:tcW w:w="1418" w:type="dxa"/>
            <w:hideMark/>
          </w:tcPr>
          <w:p w14:paraId="5F681150" w14:textId="77777777" w:rsidR="008B20E4" w:rsidRPr="00311FC3" w:rsidRDefault="008B20E4" w:rsidP="003D2017">
            <w:pPr>
              <w:keepNext/>
              <w:rPr>
                <w:rFonts w:ascii="Arial" w:hAnsi="Arial" w:cs="Arial"/>
                <w:lang w:val="en-GB"/>
              </w:rPr>
            </w:pPr>
            <w:r w:rsidRPr="00311FC3">
              <w:rPr>
                <w:rFonts w:ascii="Arial" w:hAnsi="Arial" w:cs="Arial"/>
                <w:lang w:val="en-GB"/>
              </w:rPr>
              <w:t> </w:t>
            </w:r>
          </w:p>
        </w:tc>
        <w:tc>
          <w:tcPr>
            <w:tcW w:w="2693" w:type="dxa"/>
            <w:hideMark/>
          </w:tcPr>
          <w:p w14:paraId="366D05A0" w14:textId="55027133" w:rsidR="008B20E4" w:rsidRPr="00311FC3" w:rsidRDefault="008B20E4" w:rsidP="00726F29">
            <w:pPr>
              <w:keepNext/>
              <w:jc w:val="center"/>
              <w:rPr>
                <w:rFonts w:ascii="Arial" w:hAnsi="Arial" w:cs="Arial"/>
                <w:b/>
                <w:bCs/>
                <w:lang w:val="en-GB"/>
              </w:rPr>
            </w:pPr>
            <w:r w:rsidRPr="00311FC3">
              <w:rPr>
                <w:rFonts w:ascii="Arial" w:hAnsi="Arial" w:cs="Arial"/>
                <w:b/>
                <w:bCs/>
                <w:lang w:val="en-GB"/>
              </w:rPr>
              <w:t>Primary</w:t>
            </w:r>
            <w:r w:rsidR="00726F29">
              <w:rPr>
                <w:rFonts w:ascii="Arial" w:hAnsi="Arial" w:cs="Arial"/>
                <w:b/>
                <w:bCs/>
                <w:lang w:val="en-GB"/>
              </w:rPr>
              <w:t xml:space="preserve"> </w:t>
            </w:r>
            <w:r w:rsidRPr="00311FC3">
              <w:rPr>
                <w:rFonts w:ascii="Arial" w:hAnsi="Arial" w:cs="Arial"/>
                <w:b/>
                <w:bCs/>
                <w:lang w:val="en-GB"/>
              </w:rPr>
              <w:t>Centres</w:t>
            </w:r>
          </w:p>
        </w:tc>
        <w:tc>
          <w:tcPr>
            <w:tcW w:w="2456" w:type="dxa"/>
            <w:hideMark/>
          </w:tcPr>
          <w:p w14:paraId="0F7DA39E" w14:textId="5BD13631" w:rsidR="008B20E4" w:rsidRPr="00311FC3" w:rsidRDefault="008B20E4" w:rsidP="00726F29">
            <w:pPr>
              <w:keepNext/>
              <w:jc w:val="center"/>
              <w:rPr>
                <w:rFonts w:ascii="Arial" w:hAnsi="Arial" w:cs="Arial"/>
                <w:b/>
                <w:bCs/>
                <w:lang w:val="en-GB"/>
              </w:rPr>
            </w:pPr>
            <w:r w:rsidRPr="00311FC3">
              <w:rPr>
                <w:rFonts w:ascii="Arial" w:hAnsi="Arial" w:cs="Arial"/>
                <w:b/>
                <w:bCs/>
                <w:lang w:val="en-GB"/>
              </w:rPr>
              <w:t>Secondary</w:t>
            </w:r>
            <w:r w:rsidR="00726F29">
              <w:rPr>
                <w:rFonts w:ascii="Arial" w:hAnsi="Arial" w:cs="Arial"/>
                <w:b/>
                <w:bCs/>
                <w:lang w:val="en-GB"/>
              </w:rPr>
              <w:t xml:space="preserve"> </w:t>
            </w:r>
            <w:r w:rsidRPr="00311FC3">
              <w:rPr>
                <w:rFonts w:ascii="Arial" w:hAnsi="Arial" w:cs="Arial"/>
                <w:b/>
                <w:bCs/>
                <w:lang w:val="en-GB"/>
              </w:rPr>
              <w:t>Centres</w:t>
            </w:r>
          </w:p>
        </w:tc>
        <w:tc>
          <w:tcPr>
            <w:tcW w:w="2430" w:type="dxa"/>
            <w:hideMark/>
          </w:tcPr>
          <w:p w14:paraId="61FAABBA" w14:textId="4A5230AD" w:rsidR="008B20E4" w:rsidRPr="00311FC3" w:rsidRDefault="008B20E4" w:rsidP="00726F29">
            <w:pPr>
              <w:keepNext/>
              <w:jc w:val="center"/>
              <w:rPr>
                <w:rFonts w:ascii="Arial" w:hAnsi="Arial" w:cs="Arial"/>
                <w:b/>
                <w:bCs/>
                <w:lang w:val="en-GB"/>
              </w:rPr>
            </w:pPr>
            <w:r w:rsidRPr="00311FC3">
              <w:rPr>
                <w:rFonts w:ascii="Arial" w:hAnsi="Arial" w:cs="Arial"/>
                <w:b/>
                <w:bCs/>
                <w:lang w:val="en-GB"/>
              </w:rPr>
              <w:t>Tertiary</w:t>
            </w:r>
            <w:r w:rsidR="00726F29">
              <w:rPr>
                <w:rFonts w:ascii="Arial" w:hAnsi="Arial" w:cs="Arial"/>
                <w:b/>
                <w:bCs/>
                <w:lang w:val="en-GB"/>
              </w:rPr>
              <w:t xml:space="preserve"> </w:t>
            </w:r>
            <w:r w:rsidRPr="00311FC3">
              <w:rPr>
                <w:rFonts w:ascii="Arial" w:hAnsi="Arial" w:cs="Arial"/>
                <w:b/>
                <w:bCs/>
                <w:lang w:val="en-GB"/>
              </w:rPr>
              <w:t>Centres</w:t>
            </w:r>
          </w:p>
        </w:tc>
      </w:tr>
      <w:tr w:rsidR="008B20E4" w:rsidRPr="00311FC3" w14:paraId="288CC60E" w14:textId="77777777" w:rsidTr="00C11BAE">
        <w:trPr>
          <w:trHeight w:val="20"/>
          <w:jc w:val="center"/>
        </w:trPr>
        <w:tc>
          <w:tcPr>
            <w:tcW w:w="1418" w:type="dxa"/>
            <w:hideMark/>
          </w:tcPr>
          <w:p w14:paraId="1CB9C8C7" w14:textId="77777777" w:rsidR="008B20E4" w:rsidRPr="00311FC3" w:rsidRDefault="008B20E4" w:rsidP="00EA4713">
            <w:pPr>
              <w:rPr>
                <w:rFonts w:ascii="Arial" w:hAnsi="Arial" w:cs="Arial"/>
                <w:lang w:val="en-GB"/>
              </w:rPr>
            </w:pPr>
            <w:r w:rsidRPr="00311FC3">
              <w:rPr>
                <w:rFonts w:ascii="Arial" w:hAnsi="Arial" w:cs="Arial"/>
                <w:lang w:val="en-GB"/>
              </w:rPr>
              <w:t>Facilities</w:t>
            </w:r>
          </w:p>
        </w:tc>
        <w:tc>
          <w:tcPr>
            <w:tcW w:w="2693" w:type="dxa"/>
            <w:hideMark/>
          </w:tcPr>
          <w:p w14:paraId="1E5838B6" w14:textId="0518E56B" w:rsidR="008B20E4" w:rsidRPr="00311FC3" w:rsidRDefault="008B20E4" w:rsidP="00C11BAE">
            <w:pPr>
              <w:rPr>
                <w:rFonts w:ascii="Arial" w:hAnsi="Arial" w:cs="Arial"/>
                <w:lang w:val="en-GB"/>
              </w:rPr>
            </w:pPr>
            <w:r w:rsidRPr="00311FC3">
              <w:rPr>
                <w:rFonts w:ascii="Arial" w:hAnsi="Arial" w:cs="Arial"/>
                <w:lang w:val="en-GB"/>
              </w:rPr>
              <w:t>Screening and consultation</w:t>
            </w:r>
          </w:p>
        </w:tc>
        <w:tc>
          <w:tcPr>
            <w:tcW w:w="2456" w:type="dxa"/>
            <w:hideMark/>
          </w:tcPr>
          <w:p w14:paraId="39845D5B" w14:textId="77777777" w:rsidR="008B20E4" w:rsidRPr="00311FC3" w:rsidRDefault="008B20E4" w:rsidP="00EA4713">
            <w:pPr>
              <w:rPr>
                <w:rFonts w:ascii="Arial" w:hAnsi="Arial" w:cs="Arial"/>
                <w:lang w:val="en-GB"/>
              </w:rPr>
            </w:pPr>
            <w:r w:rsidRPr="00311FC3">
              <w:rPr>
                <w:rFonts w:ascii="Arial" w:hAnsi="Arial" w:cs="Arial"/>
                <w:lang w:val="en-GB"/>
              </w:rPr>
              <w:t xml:space="preserve">Consultation and cataract surgeries </w:t>
            </w:r>
          </w:p>
        </w:tc>
        <w:tc>
          <w:tcPr>
            <w:tcW w:w="2430" w:type="dxa"/>
            <w:hideMark/>
          </w:tcPr>
          <w:p w14:paraId="25FE5197" w14:textId="124547DA" w:rsidR="008B20E4" w:rsidRPr="00311FC3" w:rsidRDefault="008B20E4" w:rsidP="00726F29">
            <w:pPr>
              <w:rPr>
                <w:rFonts w:ascii="Arial" w:hAnsi="Arial" w:cs="Arial"/>
                <w:lang w:val="en-GB"/>
              </w:rPr>
            </w:pPr>
            <w:r w:rsidRPr="00311FC3">
              <w:rPr>
                <w:rFonts w:ascii="Arial" w:hAnsi="Arial" w:cs="Arial"/>
                <w:lang w:val="en-GB"/>
              </w:rPr>
              <w:t>Consultation</w:t>
            </w:r>
            <w:r w:rsidR="00726F29">
              <w:rPr>
                <w:rFonts w:ascii="Arial" w:hAnsi="Arial" w:cs="Arial"/>
                <w:lang w:val="en-GB"/>
              </w:rPr>
              <w:t xml:space="preserve"> </w:t>
            </w:r>
            <w:r w:rsidRPr="00311FC3">
              <w:rPr>
                <w:rFonts w:ascii="Arial" w:hAnsi="Arial" w:cs="Arial"/>
                <w:lang w:val="en-GB"/>
              </w:rPr>
              <w:t xml:space="preserve">and all complex surgeries </w:t>
            </w:r>
          </w:p>
        </w:tc>
      </w:tr>
      <w:tr w:rsidR="008B20E4" w:rsidRPr="00311FC3" w14:paraId="1395D3CE" w14:textId="77777777" w:rsidTr="00C11BAE">
        <w:trPr>
          <w:trHeight w:val="20"/>
          <w:jc w:val="center"/>
        </w:trPr>
        <w:tc>
          <w:tcPr>
            <w:tcW w:w="1418" w:type="dxa"/>
            <w:hideMark/>
          </w:tcPr>
          <w:p w14:paraId="3B96C367" w14:textId="77777777" w:rsidR="008B20E4" w:rsidRPr="00311FC3" w:rsidRDefault="008B20E4" w:rsidP="00EA4713">
            <w:pPr>
              <w:rPr>
                <w:rFonts w:ascii="Arial" w:hAnsi="Arial" w:cs="Arial"/>
                <w:lang w:val="en-GB"/>
              </w:rPr>
            </w:pPr>
            <w:r w:rsidRPr="00311FC3">
              <w:rPr>
                <w:rFonts w:ascii="Arial" w:hAnsi="Arial" w:cs="Arial"/>
                <w:lang w:val="en-GB"/>
              </w:rPr>
              <w:t>Reach (Population)</w:t>
            </w:r>
          </w:p>
        </w:tc>
        <w:tc>
          <w:tcPr>
            <w:tcW w:w="2693" w:type="dxa"/>
            <w:hideMark/>
          </w:tcPr>
          <w:p w14:paraId="21D328BA" w14:textId="77777777" w:rsidR="008B20E4" w:rsidRPr="00311FC3" w:rsidRDefault="008B20E4" w:rsidP="00EA4713">
            <w:pPr>
              <w:rPr>
                <w:rFonts w:ascii="Arial" w:hAnsi="Arial" w:cs="Arial"/>
                <w:lang w:val="en-GB"/>
              </w:rPr>
            </w:pPr>
            <w:r w:rsidRPr="00311FC3">
              <w:rPr>
                <w:rFonts w:ascii="Arial" w:hAnsi="Arial" w:cs="Arial"/>
                <w:lang w:val="en-GB"/>
              </w:rPr>
              <w:t>~50,000 people</w:t>
            </w:r>
          </w:p>
        </w:tc>
        <w:tc>
          <w:tcPr>
            <w:tcW w:w="2456" w:type="dxa"/>
            <w:hideMark/>
          </w:tcPr>
          <w:p w14:paraId="3CCE2709" w14:textId="77777777" w:rsidR="008B20E4" w:rsidRPr="00311FC3" w:rsidRDefault="008B20E4" w:rsidP="00EA4713">
            <w:pPr>
              <w:rPr>
                <w:rFonts w:ascii="Arial" w:hAnsi="Arial" w:cs="Arial"/>
                <w:lang w:val="en-GB"/>
              </w:rPr>
            </w:pPr>
            <w:r w:rsidRPr="00311FC3">
              <w:rPr>
                <w:rFonts w:ascii="Arial" w:hAnsi="Arial" w:cs="Arial"/>
                <w:lang w:val="en-GB"/>
              </w:rPr>
              <w:t>~1 million people</w:t>
            </w:r>
          </w:p>
        </w:tc>
        <w:tc>
          <w:tcPr>
            <w:tcW w:w="2430" w:type="dxa"/>
            <w:hideMark/>
          </w:tcPr>
          <w:p w14:paraId="4BBC5857" w14:textId="30849934" w:rsidR="008B20E4" w:rsidRPr="00311FC3" w:rsidRDefault="008B20E4" w:rsidP="00726F29">
            <w:pPr>
              <w:rPr>
                <w:rFonts w:ascii="Arial" w:hAnsi="Arial" w:cs="Arial"/>
                <w:lang w:val="en-GB"/>
              </w:rPr>
            </w:pPr>
            <w:r w:rsidRPr="00311FC3">
              <w:rPr>
                <w:rFonts w:ascii="Arial" w:hAnsi="Arial" w:cs="Arial"/>
                <w:lang w:val="en-GB"/>
              </w:rPr>
              <w:t xml:space="preserve">~5 </w:t>
            </w:r>
            <w:r w:rsidR="001B7829">
              <w:rPr>
                <w:rFonts w:ascii="Arial" w:hAnsi="Arial" w:cs="Arial"/>
                <w:lang w:val="en-GB"/>
              </w:rPr>
              <w:t xml:space="preserve">million </w:t>
            </w:r>
            <w:r w:rsidRPr="00311FC3">
              <w:rPr>
                <w:rFonts w:ascii="Arial" w:hAnsi="Arial" w:cs="Arial"/>
                <w:lang w:val="en-GB"/>
              </w:rPr>
              <w:t>to 50</w:t>
            </w:r>
            <w:r w:rsidR="00726F29">
              <w:rPr>
                <w:rFonts w:ascii="Arial" w:hAnsi="Arial" w:cs="Arial"/>
                <w:lang w:val="en-GB"/>
              </w:rPr>
              <w:t xml:space="preserve"> </w:t>
            </w:r>
            <w:r w:rsidRPr="00311FC3">
              <w:rPr>
                <w:rFonts w:ascii="Arial" w:hAnsi="Arial" w:cs="Arial"/>
                <w:lang w:val="en-GB"/>
              </w:rPr>
              <w:t>million people</w:t>
            </w:r>
          </w:p>
        </w:tc>
      </w:tr>
      <w:tr w:rsidR="008B20E4" w:rsidRPr="00311FC3" w14:paraId="3B4396FA" w14:textId="77777777" w:rsidTr="00C11BAE">
        <w:trPr>
          <w:trHeight w:val="20"/>
          <w:jc w:val="center"/>
        </w:trPr>
        <w:tc>
          <w:tcPr>
            <w:tcW w:w="1418" w:type="dxa"/>
            <w:hideMark/>
          </w:tcPr>
          <w:p w14:paraId="75EB4346" w14:textId="6B622840" w:rsidR="008B20E4" w:rsidRPr="00311FC3" w:rsidRDefault="008B20E4" w:rsidP="00C11BAE">
            <w:pPr>
              <w:rPr>
                <w:rFonts w:ascii="Arial" w:hAnsi="Arial" w:cs="Arial"/>
                <w:lang w:val="en-GB"/>
              </w:rPr>
            </w:pPr>
            <w:r w:rsidRPr="00311FC3">
              <w:rPr>
                <w:rFonts w:ascii="Arial" w:hAnsi="Arial" w:cs="Arial"/>
                <w:lang w:val="en-GB"/>
              </w:rPr>
              <w:t xml:space="preserve">Investment/Centre </w:t>
            </w:r>
          </w:p>
        </w:tc>
        <w:tc>
          <w:tcPr>
            <w:tcW w:w="2693" w:type="dxa"/>
            <w:hideMark/>
          </w:tcPr>
          <w:p w14:paraId="5D80D288" w14:textId="77777777" w:rsidR="008B20E4" w:rsidRPr="00311FC3" w:rsidRDefault="001B7829" w:rsidP="001B7829">
            <w:pPr>
              <w:rPr>
                <w:rFonts w:ascii="Arial" w:hAnsi="Arial" w:cs="Arial"/>
                <w:lang w:val="en-GB"/>
              </w:rPr>
            </w:pPr>
            <w:r w:rsidRPr="007039CC">
              <w:rPr>
                <w:rFonts w:ascii="Arial" w:hAnsi="Arial" w:cs="Arial"/>
              </w:rPr>
              <w:t>₹</w:t>
            </w:r>
            <w:r w:rsidR="008B20E4" w:rsidRPr="00311FC3">
              <w:rPr>
                <w:rFonts w:ascii="Arial" w:hAnsi="Arial" w:cs="Arial"/>
                <w:lang w:val="en-GB"/>
              </w:rPr>
              <w:t>2</w:t>
            </w:r>
            <w:r>
              <w:rPr>
                <w:rFonts w:ascii="Arial" w:hAnsi="Arial" w:cs="Arial"/>
                <w:lang w:val="en-GB"/>
              </w:rPr>
              <w:t xml:space="preserve"> million to </w:t>
            </w:r>
            <w:r w:rsidRPr="007039CC">
              <w:rPr>
                <w:rFonts w:ascii="Arial" w:hAnsi="Arial" w:cs="Arial"/>
              </w:rPr>
              <w:t>₹</w:t>
            </w:r>
            <w:r w:rsidR="008B20E4" w:rsidRPr="00311FC3">
              <w:rPr>
                <w:rFonts w:ascii="Arial" w:hAnsi="Arial" w:cs="Arial"/>
                <w:lang w:val="en-GB"/>
              </w:rPr>
              <w:t>3</w:t>
            </w:r>
            <w:r w:rsidR="005D3F44">
              <w:rPr>
                <w:rFonts w:ascii="Arial" w:hAnsi="Arial" w:cs="Arial"/>
                <w:lang w:val="en-GB"/>
              </w:rPr>
              <w:t xml:space="preserve"> </w:t>
            </w:r>
            <w:r w:rsidR="005D3F44" w:rsidRPr="00311FC3">
              <w:rPr>
                <w:rFonts w:ascii="Arial" w:hAnsi="Arial" w:cs="Arial"/>
                <w:lang w:val="en-GB"/>
              </w:rPr>
              <w:t>million</w:t>
            </w:r>
          </w:p>
        </w:tc>
        <w:tc>
          <w:tcPr>
            <w:tcW w:w="2456" w:type="dxa"/>
            <w:hideMark/>
          </w:tcPr>
          <w:p w14:paraId="3219A038" w14:textId="77777777" w:rsidR="008B20E4" w:rsidRPr="00311FC3" w:rsidRDefault="001B7829" w:rsidP="001B7829">
            <w:pPr>
              <w:rPr>
                <w:rFonts w:ascii="Arial" w:hAnsi="Arial" w:cs="Arial"/>
                <w:lang w:val="en-GB"/>
              </w:rPr>
            </w:pPr>
            <w:r w:rsidRPr="007039CC">
              <w:rPr>
                <w:rFonts w:ascii="Arial" w:hAnsi="Arial" w:cs="Arial"/>
              </w:rPr>
              <w:t>₹</w:t>
            </w:r>
            <w:r w:rsidR="008B20E4" w:rsidRPr="00311FC3">
              <w:rPr>
                <w:rFonts w:ascii="Arial" w:hAnsi="Arial" w:cs="Arial"/>
                <w:lang w:val="en-GB"/>
              </w:rPr>
              <w:t>20</w:t>
            </w:r>
            <w:r>
              <w:rPr>
                <w:rFonts w:ascii="Arial" w:hAnsi="Arial" w:cs="Arial"/>
                <w:lang w:val="en-GB"/>
              </w:rPr>
              <w:t xml:space="preserve"> million to </w:t>
            </w:r>
            <w:r w:rsidRPr="007039CC">
              <w:rPr>
                <w:rFonts w:ascii="Arial" w:hAnsi="Arial" w:cs="Arial"/>
              </w:rPr>
              <w:t>₹</w:t>
            </w:r>
            <w:r w:rsidR="008B20E4" w:rsidRPr="00311FC3">
              <w:rPr>
                <w:rFonts w:ascii="Arial" w:hAnsi="Arial" w:cs="Arial"/>
                <w:lang w:val="en-GB"/>
              </w:rPr>
              <w:t>30</w:t>
            </w:r>
            <w:r w:rsidR="005D3F44">
              <w:rPr>
                <w:rFonts w:ascii="Arial" w:hAnsi="Arial" w:cs="Arial"/>
                <w:lang w:val="en-GB"/>
              </w:rPr>
              <w:t xml:space="preserve"> </w:t>
            </w:r>
            <w:r w:rsidR="005D3F44" w:rsidRPr="00311FC3">
              <w:rPr>
                <w:rFonts w:ascii="Arial" w:hAnsi="Arial" w:cs="Arial"/>
                <w:lang w:val="en-GB"/>
              </w:rPr>
              <w:t>million</w:t>
            </w:r>
          </w:p>
        </w:tc>
        <w:tc>
          <w:tcPr>
            <w:tcW w:w="2430" w:type="dxa"/>
            <w:hideMark/>
          </w:tcPr>
          <w:p w14:paraId="1C246501" w14:textId="77777777" w:rsidR="008B20E4" w:rsidRPr="00311FC3" w:rsidRDefault="001B7829" w:rsidP="001B7829">
            <w:pPr>
              <w:rPr>
                <w:rFonts w:ascii="Arial" w:hAnsi="Arial" w:cs="Arial"/>
                <w:lang w:val="en-GB"/>
              </w:rPr>
            </w:pPr>
            <w:r w:rsidRPr="007039CC">
              <w:rPr>
                <w:rFonts w:ascii="Arial" w:hAnsi="Arial" w:cs="Arial"/>
              </w:rPr>
              <w:t>₹</w:t>
            </w:r>
            <w:r w:rsidR="008B20E4" w:rsidRPr="00311FC3">
              <w:rPr>
                <w:rFonts w:ascii="Arial" w:hAnsi="Arial" w:cs="Arial"/>
                <w:lang w:val="en-GB"/>
              </w:rPr>
              <w:t>50</w:t>
            </w:r>
            <w:r>
              <w:rPr>
                <w:rFonts w:ascii="Arial" w:hAnsi="Arial" w:cs="Arial"/>
                <w:lang w:val="en-GB"/>
              </w:rPr>
              <w:t xml:space="preserve"> million to</w:t>
            </w:r>
            <w:r w:rsidR="00506CDE">
              <w:rPr>
                <w:rFonts w:ascii="Arial" w:hAnsi="Arial" w:cs="Arial"/>
                <w:lang w:val="en-GB"/>
              </w:rPr>
              <w:t xml:space="preserve"> </w:t>
            </w:r>
            <w:r w:rsidRPr="007039CC">
              <w:rPr>
                <w:rFonts w:ascii="Arial" w:hAnsi="Arial" w:cs="Arial"/>
              </w:rPr>
              <w:t>₹</w:t>
            </w:r>
            <w:r w:rsidR="008B20E4" w:rsidRPr="00311FC3">
              <w:rPr>
                <w:rFonts w:ascii="Arial" w:hAnsi="Arial" w:cs="Arial"/>
                <w:lang w:val="en-GB"/>
              </w:rPr>
              <w:t>60</w:t>
            </w:r>
            <w:r w:rsidR="005D3F44" w:rsidRPr="00311FC3">
              <w:rPr>
                <w:rFonts w:ascii="Arial" w:hAnsi="Arial" w:cs="Arial"/>
                <w:lang w:val="en-GB"/>
              </w:rPr>
              <w:t>million</w:t>
            </w:r>
          </w:p>
        </w:tc>
      </w:tr>
      <w:tr w:rsidR="008B20E4" w:rsidRPr="00311FC3" w14:paraId="1AB1B8E5" w14:textId="77777777" w:rsidTr="00C11BAE">
        <w:trPr>
          <w:trHeight w:val="20"/>
          <w:jc w:val="center"/>
        </w:trPr>
        <w:tc>
          <w:tcPr>
            <w:tcW w:w="1418" w:type="dxa"/>
            <w:hideMark/>
          </w:tcPr>
          <w:p w14:paraId="2B03D6D4" w14:textId="19190850" w:rsidR="008B20E4" w:rsidRPr="00311FC3" w:rsidRDefault="00C11BAE" w:rsidP="00EA4713">
            <w:pPr>
              <w:rPr>
                <w:rFonts w:ascii="Arial" w:hAnsi="Arial" w:cs="Arial"/>
                <w:lang w:val="en-GB"/>
              </w:rPr>
            </w:pPr>
            <w:r>
              <w:rPr>
                <w:rFonts w:ascii="Arial" w:hAnsi="Arial" w:cs="Arial"/>
                <w:lang w:val="en-GB"/>
              </w:rPr>
              <w:t>Square Feet</w:t>
            </w:r>
          </w:p>
        </w:tc>
        <w:tc>
          <w:tcPr>
            <w:tcW w:w="2693" w:type="dxa"/>
            <w:hideMark/>
          </w:tcPr>
          <w:p w14:paraId="4D554CF8" w14:textId="77777777" w:rsidR="008B20E4" w:rsidRPr="00311FC3" w:rsidRDefault="008B20E4" w:rsidP="00EA4713">
            <w:pPr>
              <w:rPr>
                <w:rFonts w:ascii="Arial" w:hAnsi="Arial" w:cs="Arial"/>
                <w:lang w:val="en-GB"/>
              </w:rPr>
            </w:pPr>
            <w:r w:rsidRPr="00311FC3">
              <w:rPr>
                <w:rFonts w:ascii="Arial" w:hAnsi="Arial" w:cs="Arial"/>
                <w:lang w:val="en-GB"/>
              </w:rPr>
              <w:t>500</w:t>
            </w:r>
            <w:r w:rsidR="001B7829">
              <w:rPr>
                <w:rFonts w:ascii="Arial" w:hAnsi="Arial" w:cs="Arial"/>
                <w:lang w:val="en-GB"/>
              </w:rPr>
              <w:t xml:space="preserve"> to </w:t>
            </w:r>
            <w:r w:rsidRPr="00311FC3">
              <w:rPr>
                <w:rFonts w:ascii="Arial" w:hAnsi="Arial" w:cs="Arial"/>
                <w:lang w:val="en-GB"/>
              </w:rPr>
              <w:t>1,000</w:t>
            </w:r>
          </w:p>
        </w:tc>
        <w:tc>
          <w:tcPr>
            <w:tcW w:w="2456" w:type="dxa"/>
            <w:hideMark/>
          </w:tcPr>
          <w:p w14:paraId="5C76AAA5" w14:textId="77777777" w:rsidR="008B20E4" w:rsidRPr="00311FC3" w:rsidRDefault="008B20E4" w:rsidP="00EA4713">
            <w:pPr>
              <w:rPr>
                <w:rFonts w:ascii="Arial" w:hAnsi="Arial" w:cs="Arial"/>
                <w:lang w:val="en-GB"/>
              </w:rPr>
            </w:pPr>
            <w:r w:rsidRPr="00311FC3">
              <w:rPr>
                <w:rFonts w:ascii="Arial" w:hAnsi="Arial" w:cs="Arial"/>
                <w:lang w:val="en-GB"/>
              </w:rPr>
              <w:t>2,000</w:t>
            </w:r>
            <w:r w:rsidR="001B7829">
              <w:rPr>
                <w:rFonts w:ascii="Arial" w:hAnsi="Arial" w:cs="Arial"/>
                <w:lang w:val="en-GB"/>
              </w:rPr>
              <w:t xml:space="preserve"> to </w:t>
            </w:r>
            <w:r w:rsidRPr="00311FC3">
              <w:rPr>
                <w:rFonts w:ascii="Arial" w:hAnsi="Arial" w:cs="Arial"/>
                <w:lang w:val="en-GB"/>
              </w:rPr>
              <w:t>3,000</w:t>
            </w:r>
          </w:p>
        </w:tc>
        <w:tc>
          <w:tcPr>
            <w:tcW w:w="2430" w:type="dxa"/>
            <w:hideMark/>
          </w:tcPr>
          <w:p w14:paraId="4F7D7300" w14:textId="7D0E667B" w:rsidR="008B20E4" w:rsidRPr="00311FC3" w:rsidRDefault="008B20E4" w:rsidP="00EA4713">
            <w:pPr>
              <w:rPr>
                <w:rFonts w:ascii="Arial" w:hAnsi="Arial" w:cs="Arial"/>
                <w:lang w:val="en-GB"/>
              </w:rPr>
            </w:pPr>
            <w:r w:rsidRPr="00311FC3">
              <w:rPr>
                <w:rFonts w:ascii="Arial" w:hAnsi="Arial" w:cs="Arial"/>
                <w:lang w:val="en-GB"/>
              </w:rPr>
              <w:t>4,000</w:t>
            </w:r>
            <w:r w:rsidR="001B7829">
              <w:rPr>
                <w:rFonts w:ascii="Arial" w:hAnsi="Arial" w:cs="Arial"/>
                <w:lang w:val="en-GB"/>
              </w:rPr>
              <w:t xml:space="preserve"> to </w:t>
            </w:r>
            <w:r w:rsidRPr="00311FC3">
              <w:rPr>
                <w:rFonts w:ascii="Arial" w:hAnsi="Arial" w:cs="Arial"/>
                <w:lang w:val="en-GB"/>
              </w:rPr>
              <w:t>8,000</w:t>
            </w:r>
          </w:p>
        </w:tc>
      </w:tr>
    </w:tbl>
    <w:p w14:paraId="2F0EE044" w14:textId="77777777" w:rsidR="008B20E4" w:rsidRPr="00E00582" w:rsidRDefault="008B20E4" w:rsidP="008B20E4">
      <w:pPr>
        <w:pStyle w:val="BodyTextMain"/>
        <w:rPr>
          <w:rStyle w:val="Emphasis"/>
          <w:i w:val="0"/>
          <w:iCs w:val="0"/>
        </w:rPr>
      </w:pPr>
    </w:p>
    <w:p w14:paraId="52F704D7" w14:textId="77777777" w:rsidR="00841618" w:rsidRPr="00841618" w:rsidRDefault="008B20E4" w:rsidP="00841618">
      <w:pPr>
        <w:pStyle w:val="Footnote"/>
        <w:rPr>
          <w:rStyle w:val="Emphasis"/>
          <w:i w:val="0"/>
          <w:shd w:val="clear" w:color="auto" w:fill="FFFFFF"/>
        </w:rPr>
      </w:pPr>
      <w:r w:rsidRPr="00841618">
        <w:rPr>
          <w:rStyle w:val="Emphasis"/>
          <w:i w:val="0"/>
          <w:iCs w:val="0"/>
        </w:rPr>
        <w:t xml:space="preserve">Source: </w:t>
      </w:r>
      <w:r w:rsidR="004445CB" w:rsidRPr="00841618">
        <w:rPr>
          <w:rStyle w:val="Emphasis"/>
          <w:i w:val="0"/>
          <w:iCs w:val="0"/>
        </w:rPr>
        <w:t>“Business Models in Eye Care Delivery,” CRISIL Research Report, March 19, 2014.</w:t>
      </w:r>
      <w:r w:rsidR="004445CB" w:rsidRPr="00841618">
        <w:rPr>
          <w:rStyle w:val="Emphasis"/>
          <w:i w:val="0"/>
          <w:shd w:val="clear" w:color="auto" w:fill="FFFFFF"/>
        </w:rPr>
        <w:t xml:space="preserve"> </w:t>
      </w:r>
    </w:p>
    <w:p w14:paraId="2C7D3E3D" w14:textId="77777777" w:rsidR="00841618" w:rsidRDefault="00841618" w:rsidP="00841618">
      <w:pPr>
        <w:pStyle w:val="Footnote"/>
        <w:rPr>
          <w:rStyle w:val="Emphasis"/>
          <w:i w:val="0"/>
          <w:shd w:val="clear" w:color="auto" w:fill="FFFFFF"/>
        </w:rPr>
      </w:pPr>
    </w:p>
    <w:p w14:paraId="596AC204" w14:textId="77777777" w:rsidR="0000188B" w:rsidRPr="00841618" w:rsidRDefault="0000188B" w:rsidP="00841618">
      <w:pPr>
        <w:pStyle w:val="Footnote"/>
        <w:rPr>
          <w:rStyle w:val="Emphasis"/>
          <w:i w:val="0"/>
          <w:shd w:val="clear" w:color="auto" w:fill="FFFFFF"/>
        </w:rPr>
      </w:pPr>
    </w:p>
    <w:p w14:paraId="52925ED2" w14:textId="69819D52" w:rsidR="00E514D6" w:rsidRDefault="00E514D6" w:rsidP="00841618">
      <w:pPr>
        <w:pStyle w:val="ExhibitHeading"/>
      </w:pPr>
      <w:r w:rsidRPr="00271DB9">
        <w:lastRenderedPageBreak/>
        <w:t>EXHIBIT 3A: EYE-Q PROFIT AND LOSS STATEMENT</w:t>
      </w:r>
    </w:p>
    <w:p w14:paraId="544C8C5C" w14:textId="77777777" w:rsidR="003D2017" w:rsidRDefault="003D2017" w:rsidP="00D66A21">
      <w:pPr>
        <w:pStyle w:val="Footnote"/>
        <w:jc w:val="center"/>
        <w:rPr>
          <w:b/>
          <w:sz w:val="20"/>
          <w:szCs w:val="20"/>
        </w:rPr>
      </w:pPr>
    </w:p>
    <w:p w14:paraId="17B178BF" w14:textId="5F176465" w:rsidR="003D2017" w:rsidRPr="00271DB9" w:rsidRDefault="003D2017" w:rsidP="003D2017">
      <w:pPr>
        <w:pStyle w:val="Casehead2"/>
      </w:pPr>
      <w:r w:rsidRPr="00271DB9">
        <w:t>Overall Eye-Q</w:t>
      </w:r>
      <w:r>
        <w:t xml:space="preserve"> </w:t>
      </w:r>
      <w:r w:rsidRPr="00271DB9">
        <w:t>Fiscal Year ending March</w:t>
      </w:r>
      <w:r>
        <w:t xml:space="preserve"> </w:t>
      </w:r>
      <w:r w:rsidRPr="00271DB9">
        <w:t>(in ₹ million) </w:t>
      </w:r>
    </w:p>
    <w:p w14:paraId="0E71EA44" w14:textId="77777777" w:rsidR="00E514D6" w:rsidRPr="00271DB9" w:rsidRDefault="00E514D6" w:rsidP="00D66A21">
      <w:pPr>
        <w:pStyle w:val="Footnote"/>
        <w:jc w:val="center"/>
        <w:rPr>
          <w:sz w:val="20"/>
          <w:szCs w:val="20"/>
        </w:rPr>
      </w:pPr>
    </w:p>
    <w:tbl>
      <w:tblPr>
        <w:tblStyle w:val="TableGrid"/>
        <w:tblW w:w="7375" w:type="dxa"/>
        <w:jc w:val="center"/>
        <w:tblLook w:val="04A0" w:firstRow="1" w:lastRow="0" w:firstColumn="1" w:lastColumn="0" w:noHBand="0" w:noVBand="1"/>
      </w:tblPr>
      <w:tblGrid>
        <w:gridCol w:w="1075"/>
        <w:gridCol w:w="2941"/>
        <w:gridCol w:w="1199"/>
        <w:gridCol w:w="1128"/>
        <w:gridCol w:w="1128"/>
      </w:tblGrid>
      <w:tr w:rsidR="00555577" w:rsidRPr="00271DB9" w14:paraId="6150986D" w14:textId="77777777" w:rsidTr="00C11BAE">
        <w:trPr>
          <w:trHeight w:val="60"/>
          <w:jc w:val="center"/>
        </w:trPr>
        <w:tc>
          <w:tcPr>
            <w:tcW w:w="4016" w:type="dxa"/>
            <w:gridSpan w:val="2"/>
            <w:vMerge w:val="restart"/>
            <w:noWrap/>
            <w:hideMark/>
          </w:tcPr>
          <w:p w14:paraId="4334F2FE" w14:textId="77777777" w:rsidR="00555577" w:rsidRPr="00271DB9" w:rsidRDefault="00555577" w:rsidP="00E514D6">
            <w:pPr>
              <w:pStyle w:val="Footnote"/>
              <w:jc w:val="center"/>
              <w:rPr>
                <w:b/>
                <w:bCs/>
                <w:sz w:val="20"/>
                <w:szCs w:val="20"/>
              </w:rPr>
            </w:pPr>
          </w:p>
        </w:tc>
        <w:tc>
          <w:tcPr>
            <w:tcW w:w="1199" w:type="dxa"/>
            <w:noWrap/>
            <w:hideMark/>
          </w:tcPr>
          <w:p w14:paraId="615ACE44" w14:textId="77777777" w:rsidR="00555577" w:rsidRPr="00271DB9" w:rsidRDefault="00555577" w:rsidP="009769A8">
            <w:pPr>
              <w:pStyle w:val="Footnote"/>
              <w:jc w:val="center"/>
              <w:rPr>
                <w:b/>
                <w:bCs/>
                <w:sz w:val="20"/>
                <w:szCs w:val="20"/>
              </w:rPr>
            </w:pPr>
            <w:r w:rsidRPr="00271DB9">
              <w:rPr>
                <w:b/>
                <w:bCs/>
                <w:sz w:val="20"/>
                <w:szCs w:val="20"/>
              </w:rPr>
              <w:t>Historical</w:t>
            </w:r>
          </w:p>
        </w:tc>
        <w:tc>
          <w:tcPr>
            <w:tcW w:w="1128" w:type="dxa"/>
            <w:noWrap/>
            <w:hideMark/>
          </w:tcPr>
          <w:p w14:paraId="73A7F84B" w14:textId="77777777" w:rsidR="00555577" w:rsidRPr="00271DB9" w:rsidRDefault="00555577" w:rsidP="009769A8">
            <w:pPr>
              <w:pStyle w:val="Footnote"/>
              <w:jc w:val="center"/>
              <w:rPr>
                <w:b/>
                <w:bCs/>
                <w:sz w:val="20"/>
                <w:szCs w:val="20"/>
              </w:rPr>
            </w:pPr>
            <w:r w:rsidRPr="00271DB9">
              <w:rPr>
                <w:b/>
                <w:bCs/>
                <w:sz w:val="20"/>
                <w:szCs w:val="20"/>
              </w:rPr>
              <w:t>Historical</w:t>
            </w:r>
          </w:p>
        </w:tc>
        <w:tc>
          <w:tcPr>
            <w:tcW w:w="1032" w:type="dxa"/>
            <w:noWrap/>
            <w:hideMark/>
          </w:tcPr>
          <w:p w14:paraId="0DED3D2D" w14:textId="77777777" w:rsidR="00555577" w:rsidRPr="00271DB9" w:rsidRDefault="00555577" w:rsidP="009769A8">
            <w:pPr>
              <w:pStyle w:val="Footnote"/>
              <w:jc w:val="center"/>
              <w:rPr>
                <w:b/>
                <w:bCs/>
                <w:sz w:val="20"/>
                <w:szCs w:val="20"/>
              </w:rPr>
            </w:pPr>
            <w:r w:rsidRPr="00271DB9">
              <w:rPr>
                <w:b/>
                <w:bCs/>
                <w:sz w:val="20"/>
                <w:szCs w:val="20"/>
              </w:rPr>
              <w:t>Historical</w:t>
            </w:r>
          </w:p>
        </w:tc>
      </w:tr>
      <w:tr w:rsidR="00555577" w:rsidRPr="00271DB9" w14:paraId="56964B3A" w14:textId="77777777" w:rsidTr="00C11BAE">
        <w:trPr>
          <w:trHeight w:val="60"/>
          <w:jc w:val="center"/>
        </w:trPr>
        <w:tc>
          <w:tcPr>
            <w:tcW w:w="4016" w:type="dxa"/>
            <w:gridSpan w:val="2"/>
            <w:vMerge/>
            <w:noWrap/>
            <w:hideMark/>
          </w:tcPr>
          <w:p w14:paraId="6BF46676" w14:textId="77777777" w:rsidR="00555577" w:rsidRPr="00271DB9" w:rsidRDefault="00555577" w:rsidP="00E514D6">
            <w:pPr>
              <w:pStyle w:val="Footnote"/>
              <w:jc w:val="center"/>
              <w:rPr>
                <w:b/>
                <w:bCs/>
                <w:sz w:val="20"/>
                <w:szCs w:val="20"/>
              </w:rPr>
            </w:pPr>
          </w:p>
        </w:tc>
        <w:tc>
          <w:tcPr>
            <w:tcW w:w="1199" w:type="dxa"/>
            <w:noWrap/>
            <w:hideMark/>
          </w:tcPr>
          <w:p w14:paraId="1A0BA70B" w14:textId="77777777" w:rsidR="00555577" w:rsidRPr="00271DB9" w:rsidRDefault="00555577" w:rsidP="009769A8">
            <w:pPr>
              <w:pStyle w:val="Footnote"/>
              <w:jc w:val="center"/>
              <w:rPr>
                <w:b/>
                <w:bCs/>
                <w:sz w:val="20"/>
                <w:szCs w:val="20"/>
              </w:rPr>
            </w:pPr>
            <w:r w:rsidRPr="00271DB9">
              <w:rPr>
                <w:b/>
                <w:bCs/>
                <w:sz w:val="20"/>
                <w:szCs w:val="20"/>
              </w:rPr>
              <w:t>2011</w:t>
            </w:r>
          </w:p>
        </w:tc>
        <w:tc>
          <w:tcPr>
            <w:tcW w:w="1128" w:type="dxa"/>
            <w:noWrap/>
            <w:hideMark/>
          </w:tcPr>
          <w:p w14:paraId="4C14134F" w14:textId="77777777" w:rsidR="00555577" w:rsidRPr="00271DB9" w:rsidRDefault="00555577" w:rsidP="009769A8">
            <w:pPr>
              <w:pStyle w:val="Footnote"/>
              <w:jc w:val="center"/>
              <w:rPr>
                <w:b/>
                <w:bCs/>
                <w:sz w:val="20"/>
                <w:szCs w:val="20"/>
              </w:rPr>
            </w:pPr>
            <w:r w:rsidRPr="00271DB9">
              <w:rPr>
                <w:b/>
                <w:bCs/>
                <w:sz w:val="20"/>
                <w:szCs w:val="20"/>
              </w:rPr>
              <w:t>2012</w:t>
            </w:r>
          </w:p>
        </w:tc>
        <w:tc>
          <w:tcPr>
            <w:tcW w:w="1032" w:type="dxa"/>
            <w:noWrap/>
            <w:hideMark/>
          </w:tcPr>
          <w:p w14:paraId="39358E06" w14:textId="77777777" w:rsidR="00555577" w:rsidRPr="00271DB9" w:rsidRDefault="00555577" w:rsidP="009769A8">
            <w:pPr>
              <w:pStyle w:val="Footnote"/>
              <w:jc w:val="center"/>
              <w:rPr>
                <w:b/>
                <w:bCs/>
                <w:sz w:val="20"/>
                <w:szCs w:val="20"/>
              </w:rPr>
            </w:pPr>
            <w:r w:rsidRPr="00271DB9">
              <w:rPr>
                <w:b/>
                <w:bCs/>
                <w:sz w:val="20"/>
                <w:szCs w:val="20"/>
              </w:rPr>
              <w:t>2013</w:t>
            </w:r>
          </w:p>
        </w:tc>
      </w:tr>
      <w:tr w:rsidR="00555577" w:rsidRPr="00271DB9" w14:paraId="3752687E" w14:textId="77777777" w:rsidTr="00C11BAE">
        <w:trPr>
          <w:trHeight w:val="60"/>
          <w:jc w:val="center"/>
        </w:trPr>
        <w:tc>
          <w:tcPr>
            <w:tcW w:w="1075" w:type="dxa"/>
            <w:noWrap/>
            <w:hideMark/>
          </w:tcPr>
          <w:p w14:paraId="5ED0E21C" w14:textId="77777777" w:rsidR="00555577" w:rsidRPr="00271DB9" w:rsidRDefault="00555577" w:rsidP="009769A8">
            <w:pPr>
              <w:pStyle w:val="Footnote"/>
              <w:jc w:val="left"/>
              <w:rPr>
                <w:b/>
                <w:bCs/>
                <w:sz w:val="20"/>
                <w:szCs w:val="20"/>
              </w:rPr>
            </w:pPr>
            <w:r w:rsidRPr="00271DB9">
              <w:rPr>
                <w:b/>
                <w:bCs/>
                <w:sz w:val="20"/>
                <w:szCs w:val="20"/>
              </w:rPr>
              <w:t>Sales</w:t>
            </w:r>
          </w:p>
        </w:tc>
        <w:tc>
          <w:tcPr>
            <w:tcW w:w="2941" w:type="dxa"/>
            <w:noWrap/>
            <w:hideMark/>
          </w:tcPr>
          <w:p w14:paraId="0E7F378C" w14:textId="77777777" w:rsidR="00555577" w:rsidRPr="00271DB9" w:rsidRDefault="00555577" w:rsidP="009769A8">
            <w:pPr>
              <w:pStyle w:val="Footnote"/>
              <w:jc w:val="left"/>
              <w:rPr>
                <w:b/>
                <w:bCs/>
                <w:sz w:val="20"/>
                <w:szCs w:val="20"/>
              </w:rPr>
            </w:pPr>
          </w:p>
        </w:tc>
        <w:tc>
          <w:tcPr>
            <w:tcW w:w="1199" w:type="dxa"/>
            <w:noWrap/>
            <w:hideMark/>
          </w:tcPr>
          <w:p w14:paraId="4182B480" w14:textId="77777777" w:rsidR="00555577" w:rsidRPr="00271DB9" w:rsidRDefault="00555577" w:rsidP="009769A8">
            <w:pPr>
              <w:pStyle w:val="Footnote"/>
              <w:jc w:val="right"/>
              <w:rPr>
                <w:sz w:val="20"/>
                <w:szCs w:val="20"/>
              </w:rPr>
            </w:pPr>
          </w:p>
        </w:tc>
        <w:tc>
          <w:tcPr>
            <w:tcW w:w="1128" w:type="dxa"/>
            <w:noWrap/>
            <w:hideMark/>
          </w:tcPr>
          <w:p w14:paraId="4E5366A5" w14:textId="77777777" w:rsidR="00555577" w:rsidRPr="00271DB9" w:rsidRDefault="00555577" w:rsidP="009769A8">
            <w:pPr>
              <w:pStyle w:val="Footnote"/>
              <w:jc w:val="right"/>
              <w:rPr>
                <w:sz w:val="20"/>
                <w:szCs w:val="20"/>
              </w:rPr>
            </w:pPr>
          </w:p>
        </w:tc>
        <w:tc>
          <w:tcPr>
            <w:tcW w:w="1032" w:type="dxa"/>
            <w:noWrap/>
            <w:hideMark/>
          </w:tcPr>
          <w:p w14:paraId="7095A11A" w14:textId="77777777" w:rsidR="00555577" w:rsidRPr="00271DB9" w:rsidRDefault="00555577" w:rsidP="009769A8">
            <w:pPr>
              <w:pStyle w:val="Footnote"/>
              <w:jc w:val="right"/>
              <w:rPr>
                <w:sz w:val="20"/>
                <w:szCs w:val="20"/>
              </w:rPr>
            </w:pPr>
          </w:p>
        </w:tc>
      </w:tr>
      <w:tr w:rsidR="00F823F0" w:rsidRPr="00271DB9" w14:paraId="53FC5969" w14:textId="77777777" w:rsidTr="00C11BAE">
        <w:trPr>
          <w:trHeight w:val="60"/>
          <w:jc w:val="center"/>
        </w:trPr>
        <w:tc>
          <w:tcPr>
            <w:tcW w:w="1075" w:type="dxa"/>
            <w:noWrap/>
            <w:hideMark/>
          </w:tcPr>
          <w:p w14:paraId="6F7F81F6" w14:textId="77777777" w:rsidR="00F823F0" w:rsidRPr="00271DB9" w:rsidRDefault="00F823F0" w:rsidP="009769A8">
            <w:pPr>
              <w:pStyle w:val="Footnote"/>
              <w:jc w:val="left"/>
              <w:rPr>
                <w:sz w:val="20"/>
                <w:szCs w:val="20"/>
              </w:rPr>
            </w:pPr>
            <w:r w:rsidRPr="00271DB9">
              <w:rPr>
                <w:sz w:val="20"/>
                <w:szCs w:val="20"/>
              </w:rPr>
              <w:t> </w:t>
            </w:r>
          </w:p>
        </w:tc>
        <w:tc>
          <w:tcPr>
            <w:tcW w:w="2941" w:type="dxa"/>
            <w:noWrap/>
            <w:hideMark/>
          </w:tcPr>
          <w:p w14:paraId="09A9B28E" w14:textId="77777777" w:rsidR="00F823F0" w:rsidRPr="00271DB9" w:rsidRDefault="00F823F0" w:rsidP="009769A8">
            <w:pPr>
              <w:pStyle w:val="Footnote"/>
              <w:jc w:val="left"/>
              <w:rPr>
                <w:sz w:val="20"/>
                <w:szCs w:val="20"/>
              </w:rPr>
            </w:pPr>
            <w:r w:rsidRPr="00271DB9">
              <w:rPr>
                <w:sz w:val="20"/>
                <w:szCs w:val="20"/>
              </w:rPr>
              <w:t>Cataract</w:t>
            </w:r>
          </w:p>
        </w:tc>
        <w:tc>
          <w:tcPr>
            <w:tcW w:w="1199" w:type="dxa"/>
            <w:noWrap/>
            <w:vAlign w:val="bottom"/>
          </w:tcPr>
          <w:p w14:paraId="4E33B28C" w14:textId="77777777" w:rsidR="00F823F0" w:rsidRPr="00271DB9" w:rsidRDefault="00F823F0" w:rsidP="009769A8">
            <w:pPr>
              <w:pStyle w:val="Footnote"/>
              <w:jc w:val="right"/>
              <w:rPr>
                <w:sz w:val="20"/>
                <w:szCs w:val="20"/>
              </w:rPr>
            </w:pPr>
            <w:r w:rsidRPr="00271DB9">
              <w:rPr>
                <w:color w:val="000000"/>
                <w:sz w:val="20"/>
                <w:szCs w:val="20"/>
              </w:rPr>
              <w:t>42.54</w:t>
            </w:r>
          </w:p>
        </w:tc>
        <w:tc>
          <w:tcPr>
            <w:tcW w:w="1128" w:type="dxa"/>
            <w:noWrap/>
            <w:vAlign w:val="bottom"/>
          </w:tcPr>
          <w:p w14:paraId="30559135" w14:textId="77777777" w:rsidR="00F823F0" w:rsidRPr="00271DB9" w:rsidRDefault="00F823F0" w:rsidP="009769A8">
            <w:pPr>
              <w:pStyle w:val="Footnote"/>
              <w:jc w:val="right"/>
              <w:rPr>
                <w:sz w:val="20"/>
                <w:szCs w:val="20"/>
              </w:rPr>
            </w:pPr>
            <w:r w:rsidRPr="00271DB9">
              <w:rPr>
                <w:color w:val="000000"/>
                <w:sz w:val="20"/>
                <w:szCs w:val="20"/>
              </w:rPr>
              <w:t>116.22</w:t>
            </w:r>
          </w:p>
        </w:tc>
        <w:tc>
          <w:tcPr>
            <w:tcW w:w="1032" w:type="dxa"/>
            <w:noWrap/>
            <w:vAlign w:val="bottom"/>
          </w:tcPr>
          <w:p w14:paraId="5DB06AC1" w14:textId="77777777" w:rsidR="00F823F0" w:rsidRPr="00271DB9" w:rsidRDefault="00F823F0" w:rsidP="009769A8">
            <w:pPr>
              <w:pStyle w:val="Footnote"/>
              <w:jc w:val="right"/>
              <w:rPr>
                <w:sz w:val="20"/>
                <w:szCs w:val="20"/>
              </w:rPr>
            </w:pPr>
            <w:r w:rsidRPr="00271DB9">
              <w:rPr>
                <w:color w:val="000000"/>
                <w:sz w:val="20"/>
                <w:szCs w:val="20"/>
              </w:rPr>
              <w:t>246.76</w:t>
            </w:r>
          </w:p>
        </w:tc>
      </w:tr>
      <w:tr w:rsidR="00F823F0" w:rsidRPr="00271DB9" w14:paraId="31933310" w14:textId="77777777" w:rsidTr="00C11BAE">
        <w:trPr>
          <w:trHeight w:val="98"/>
          <w:jc w:val="center"/>
        </w:trPr>
        <w:tc>
          <w:tcPr>
            <w:tcW w:w="1075" w:type="dxa"/>
            <w:noWrap/>
            <w:hideMark/>
          </w:tcPr>
          <w:p w14:paraId="12FEEF2F" w14:textId="77777777" w:rsidR="00F823F0" w:rsidRPr="00271DB9" w:rsidRDefault="00F823F0" w:rsidP="009769A8">
            <w:pPr>
              <w:pStyle w:val="Footnote"/>
              <w:jc w:val="left"/>
              <w:rPr>
                <w:sz w:val="20"/>
                <w:szCs w:val="20"/>
              </w:rPr>
            </w:pPr>
            <w:r w:rsidRPr="00271DB9">
              <w:rPr>
                <w:sz w:val="20"/>
                <w:szCs w:val="20"/>
              </w:rPr>
              <w:t> </w:t>
            </w:r>
          </w:p>
        </w:tc>
        <w:tc>
          <w:tcPr>
            <w:tcW w:w="2941" w:type="dxa"/>
            <w:noWrap/>
            <w:hideMark/>
          </w:tcPr>
          <w:p w14:paraId="592A8FFA" w14:textId="77777777" w:rsidR="00F823F0" w:rsidRPr="00271DB9" w:rsidRDefault="00346729" w:rsidP="00346729">
            <w:pPr>
              <w:pStyle w:val="Footnote"/>
              <w:jc w:val="left"/>
              <w:rPr>
                <w:sz w:val="20"/>
                <w:szCs w:val="20"/>
              </w:rPr>
            </w:pPr>
            <w:r w:rsidRPr="00271DB9">
              <w:rPr>
                <w:sz w:val="20"/>
                <w:szCs w:val="20"/>
              </w:rPr>
              <w:t>L</w:t>
            </w:r>
            <w:r>
              <w:rPr>
                <w:sz w:val="20"/>
                <w:szCs w:val="20"/>
              </w:rPr>
              <w:t>ASIK</w:t>
            </w:r>
          </w:p>
        </w:tc>
        <w:tc>
          <w:tcPr>
            <w:tcW w:w="1199" w:type="dxa"/>
            <w:noWrap/>
            <w:vAlign w:val="bottom"/>
          </w:tcPr>
          <w:p w14:paraId="50E2429C" w14:textId="77777777" w:rsidR="00F823F0" w:rsidRPr="00271DB9" w:rsidRDefault="00F823F0" w:rsidP="009769A8">
            <w:pPr>
              <w:pStyle w:val="Footnote"/>
              <w:jc w:val="right"/>
              <w:rPr>
                <w:sz w:val="20"/>
                <w:szCs w:val="20"/>
              </w:rPr>
            </w:pPr>
            <w:r w:rsidRPr="00271DB9">
              <w:rPr>
                <w:color w:val="000000"/>
                <w:sz w:val="20"/>
                <w:szCs w:val="20"/>
              </w:rPr>
              <w:t>11.14</w:t>
            </w:r>
          </w:p>
        </w:tc>
        <w:tc>
          <w:tcPr>
            <w:tcW w:w="1128" w:type="dxa"/>
            <w:noWrap/>
            <w:vAlign w:val="bottom"/>
          </w:tcPr>
          <w:p w14:paraId="13223DE1" w14:textId="77777777" w:rsidR="00F823F0" w:rsidRPr="00271DB9" w:rsidRDefault="00F823F0" w:rsidP="009769A8">
            <w:pPr>
              <w:pStyle w:val="Footnote"/>
              <w:jc w:val="right"/>
              <w:rPr>
                <w:sz w:val="20"/>
                <w:szCs w:val="20"/>
              </w:rPr>
            </w:pPr>
            <w:r w:rsidRPr="00271DB9">
              <w:rPr>
                <w:color w:val="000000"/>
                <w:sz w:val="20"/>
                <w:szCs w:val="20"/>
              </w:rPr>
              <w:t>37.92</w:t>
            </w:r>
          </w:p>
        </w:tc>
        <w:tc>
          <w:tcPr>
            <w:tcW w:w="1032" w:type="dxa"/>
            <w:noWrap/>
            <w:vAlign w:val="bottom"/>
          </w:tcPr>
          <w:p w14:paraId="23ACA719" w14:textId="77777777" w:rsidR="00F823F0" w:rsidRPr="00271DB9" w:rsidRDefault="00F823F0" w:rsidP="009769A8">
            <w:pPr>
              <w:pStyle w:val="Footnote"/>
              <w:jc w:val="right"/>
              <w:rPr>
                <w:sz w:val="20"/>
                <w:szCs w:val="20"/>
              </w:rPr>
            </w:pPr>
            <w:r w:rsidRPr="00271DB9">
              <w:rPr>
                <w:color w:val="000000"/>
                <w:sz w:val="20"/>
                <w:szCs w:val="20"/>
              </w:rPr>
              <w:t>82.01</w:t>
            </w:r>
          </w:p>
        </w:tc>
      </w:tr>
      <w:tr w:rsidR="00F823F0" w:rsidRPr="00271DB9" w14:paraId="56C3930A" w14:textId="77777777" w:rsidTr="00C11BAE">
        <w:trPr>
          <w:trHeight w:val="60"/>
          <w:jc w:val="center"/>
        </w:trPr>
        <w:tc>
          <w:tcPr>
            <w:tcW w:w="1075" w:type="dxa"/>
            <w:noWrap/>
            <w:hideMark/>
          </w:tcPr>
          <w:p w14:paraId="771AC380" w14:textId="77777777" w:rsidR="00F823F0" w:rsidRPr="00271DB9" w:rsidRDefault="00F823F0" w:rsidP="009769A8">
            <w:pPr>
              <w:pStyle w:val="Footnote"/>
              <w:jc w:val="left"/>
              <w:rPr>
                <w:sz w:val="20"/>
                <w:szCs w:val="20"/>
              </w:rPr>
            </w:pPr>
            <w:r w:rsidRPr="00271DB9">
              <w:rPr>
                <w:sz w:val="20"/>
                <w:szCs w:val="20"/>
              </w:rPr>
              <w:t> </w:t>
            </w:r>
          </w:p>
        </w:tc>
        <w:tc>
          <w:tcPr>
            <w:tcW w:w="2941" w:type="dxa"/>
            <w:noWrap/>
            <w:hideMark/>
          </w:tcPr>
          <w:p w14:paraId="58CB0BC5" w14:textId="77777777" w:rsidR="00F823F0" w:rsidRPr="00271DB9" w:rsidRDefault="00F823F0" w:rsidP="009769A8">
            <w:pPr>
              <w:pStyle w:val="Footnote"/>
              <w:jc w:val="left"/>
              <w:rPr>
                <w:sz w:val="20"/>
                <w:szCs w:val="20"/>
              </w:rPr>
            </w:pPr>
            <w:r w:rsidRPr="00271DB9">
              <w:rPr>
                <w:sz w:val="20"/>
                <w:szCs w:val="20"/>
              </w:rPr>
              <w:t>Retina + Glaucoma</w:t>
            </w:r>
          </w:p>
        </w:tc>
        <w:tc>
          <w:tcPr>
            <w:tcW w:w="1199" w:type="dxa"/>
            <w:noWrap/>
            <w:vAlign w:val="bottom"/>
          </w:tcPr>
          <w:p w14:paraId="008F7197" w14:textId="77777777" w:rsidR="00F823F0" w:rsidRPr="00271DB9" w:rsidRDefault="00F823F0" w:rsidP="009769A8">
            <w:pPr>
              <w:pStyle w:val="Footnote"/>
              <w:jc w:val="right"/>
              <w:rPr>
                <w:sz w:val="20"/>
                <w:szCs w:val="20"/>
              </w:rPr>
            </w:pPr>
            <w:r w:rsidRPr="00271DB9">
              <w:rPr>
                <w:color w:val="000000"/>
                <w:sz w:val="20"/>
                <w:szCs w:val="20"/>
              </w:rPr>
              <w:t>5.77</w:t>
            </w:r>
          </w:p>
        </w:tc>
        <w:tc>
          <w:tcPr>
            <w:tcW w:w="1128" w:type="dxa"/>
            <w:noWrap/>
            <w:vAlign w:val="bottom"/>
          </w:tcPr>
          <w:p w14:paraId="1A056C59" w14:textId="77777777" w:rsidR="00F823F0" w:rsidRPr="00271DB9" w:rsidRDefault="00F823F0" w:rsidP="009769A8">
            <w:pPr>
              <w:pStyle w:val="Footnote"/>
              <w:jc w:val="right"/>
              <w:rPr>
                <w:sz w:val="20"/>
                <w:szCs w:val="20"/>
              </w:rPr>
            </w:pPr>
            <w:r w:rsidRPr="00271DB9">
              <w:rPr>
                <w:color w:val="000000"/>
                <w:sz w:val="20"/>
                <w:szCs w:val="20"/>
              </w:rPr>
              <w:t>21.88</w:t>
            </w:r>
          </w:p>
        </w:tc>
        <w:tc>
          <w:tcPr>
            <w:tcW w:w="1032" w:type="dxa"/>
            <w:noWrap/>
            <w:vAlign w:val="bottom"/>
          </w:tcPr>
          <w:p w14:paraId="5D1A588A" w14:textId="77777777" w:rsidR="00F823F0" w:rsidRPr="00271DB9" w:rsidRDefault="00F823F0" w:rsidP="009769A8">
            <w:pPr>
              <w:pStyle w:val="Footnote"/>
              <w:jc w:val="right"/>
              <w:rPr>
                <w:sz w:val="20"/>
                <w:szCs w:val="20"/>
              </w:rPr>
            </w:pPr>
            <w:r w:rsidRPr="00271DB9">
              <w:rPr>
                <w:color w:val="000000"/>
                <w:sz w:val="20"/>
                <w:szCs w:val="20"/>
              </w:rPr>
              <w:t>60.27</w:t>
            </w:r>
          </w:p>
        </w:tc>
      </w:tr>
      <w:tr w:rsidR="00F823F0" w:rsidRPr="00271DB9" w14:paraId="1D2FBD6C" w14:textId="77777777" w:rsidTr="00C11BAE">
        <w:trPr>
          <w:trHeight w:val="60"/>
          <w:jc w:val="center"/>
        </w:trPr>
        <w:tc>
          <w:tcPr>
            <w:tcW w:w="1075" w:type="dxa"/>
            <w:noWrap/>
            <w:hideMark/>
          </w:tcPr>
          <w:p w14:paraId="27ECD42E" w14:textId="77777777" w:rsidR="00F823F0" w:rsidRPr="00271DB9" w:rsidRDefault="00F823F0" w:rsidP="009769A8">
            <w:pPr>
              <w:pStyle w:val="Footnote"/>
              <w:jc w:val="left"/>
              <w:rPr>
                <w:sz w:val="20"/>
                <w:szCs w:val="20"/>
              </w:rPr>
            </w:pPr>
            <w:r w:rsidRPr="00271DB9">
              <w:rPr>
                <w:sz w:val="20"/>
                <w:szCs w:val="20"/>
              </w:rPr>
              <w:t> </w:t>
            </w:r>
          </w:p>
        </w:tc>
        <w:tc>
          <w:tcPr>
            <w:tcW w:w="2941" w:type="dxa"/>
            <w:noWrap/>
            <w:hideMark/>
          </w:tcPr>
          <w:p w14:paraId="4394B19E" w14:textId="77777777" w:rsidR="00F823F0" w:rsidRPr="00271DB9" w:rsidRDefault="00F823F0" w:rsidP="009769A8">
            <w:pPr>
              <w:pStyle w:val="Footnote"/>
              <w:jc w:val="left"/>
              <w:rPr>
                <w:sz w:val="20"/>
                <w:szCs w:val="20"/>
              </w:rPr>
            </w:pPr>
            <w:r w:rsidRPr="00271DB9">
              <w:rPr>
                <w:sz w:val="20"/>
                <w:szCs w:val="20"/>
              </w:rPr>
              <w:t xml:space="preserve">Pharma </w:t>
            </w:r>
            <w:r w:rsidR="004C5696" w:rsidRPr="00271DB9">
              <w:rPr>
                <w:sz w:val="20"/>
                <w:szCs w:val="20"/>
              </w:rPr>
              <w:t>and</w:t>
            </w:r>
            <w:r w:rsidRPr="00271DB9">
              <w:rPr>
                <w:sz w:val="20"/>
                <w:szCs w:val="20"/>
              </w:rPr>
              <w:t xml:space="preserve"> Opticals</w:t>
            </w:r>
          </w:p>
        </w:tc>
        <w:tc>
          <w:tcPr>
            <w:tcW w:w="1199" w:type="dxa"/>
            <w:noWrap/>
            <w:vAlign w:val="bottom"/>
          </w:tcPr>
          <w:p w14:paraId="3A6ECA1F" w14:textId="77777777" w:rsidR="00F823F0" w:rsidRPr="00271DB9" w:rsidRDefault="00F823F0" w:rsidP="009769A8">
            <w:pPr>
              <w:pStyle w:val="Footnote"/>
              <w:jc w:val="right"/>
              <w:rPr>
                <w:sz w:val="20"/>
                <w:szCs w:val="20"/>
              </w:rPr>
            </w:pPr>
            <w:r w:rsidRPr="00271DB9">
              <w:rPr>
                <w:color w:val="000000"/>
                <w:sz w:val="20"/>
                <w:szCs w:val="20"/>
              </w:rPr>
              <w:t>1.57</w:t>
            </w:r>
          </w:p>
        </w:tc>
        <w:tc>
          <w:tcPr>
            <w:tcW w:w="1128" w:type="dxa"/>
            <w:noWrap/>
            <w:vAlign w:val="bottom"/>
          </w:tcPr>
          <w:p w14:paraId="474CEB4A" w14:textId="77777777" w:rsidR="00F823F0" w:rsidRPr="00271DB9" w:rsidRDefault="00F823F0" w:rsidP="009769A8">
            <w:pPr>
              <w:pStyle w:val="Footnote"/>
              <w:jc w:val="right"/>
              <w:rPr>
                <w:sz w:val="20"/>
                <w:szCs w:val="20"/>
              </w:rPr>
            </w:pPr>
            <w:r w:rsidRPr="00271DB9">
              <w:rPr>
                <w:color w:val="000000"/>
                <w:sz w:val="20"/>
                <w:szCs w:val="20"/>
              </w:rPr>
              <w:t>10.75</w:t>
            </w:r>
          </w:p>
        </w:tc>
        <w:tc>
          <w:tcPr>
            <w:tcW w:w="1032" w:type="dxa"/>
            <w:noWrap/>
            <w:vAlign w:val="bottom"/>
          </w:tcPr>
          <w:p w14:paraId="6CEB6287" w14:textId="77777777" w:rsidR="00F823F0" w:rsidRPr="00271DB9" w:rsidRDefault="00F823F0" w:rsidP="009769A8">
            <w:pPr>
              <w:pStyle w:val="Footnote"/>
              <w:jc w:val="right"/>
              <w:rPr>
                <w:sz w:val="20"/>
                <w:szCs w:val="20"/>
              </w:rPr>
            </w:pPr>
            <w:r w:rsidRPr="00271DB9">
              <w:rPr>
                <w:color w:val="000000"/>
                <w:sz w:val="20"/>
                <w:szCs w:val="20"/>
              </w:rPr>
              <w:t>59.74</w:t>
            </w:r>
          </w:p>
        </w:tc>
      </w:tr>
      <w:tr w:rsidR="00F823F0" w:rsidRPr="00271DB9" w14:paraId="451C9D30" w14:textId="77777777" w:rsidTr="00C11BAE">
        <w:trPr>
          <w:trHeight w:val="60"/>
          <w:jc w:val="center"/>
        </w:trPr>
        <w:tc>
          <w:tcPr>
            <w:tcW w:w="1075" w:type="dxa"/>
            <w:noWrap/>
            <w:hideMark/>
          </w:tcPr>
          <w:p w14:paraId="4B828CC2" w14:textId="77777777" w:rsidR="00F823F0" w:rsidRPr="00271DB9" w:rsidRDefault="00F823F0" w:rsidP="009769A8">
            <w:pPr>
              <w:pStyle w:val="Footnote"/>
              <w:jc w:val="left"/>
              <w:rPr>
                <w:sz w:val="20"/>
                <w:szCs w:val="20"/>
              </w:rPr>
            </w:pPr>
            <w:r w:rsidRPr="00271DB9">
              <w:rPr>
                <w:sz w:val="20"/>
                <w:szCs w:val="20"/>
              </w:rPr>
              <w:t> </w:t>
            </w:r>
          </w:p>
        </w:tc>
        <w:tc>
          <w:tcPr>
            <w:tcW w:w="2941" w:type="dxa"/>
            <w:noWrap/>
            <w:hideMark/>
          </w:tcPr>
          <w:p w14:paraId="6A5ED4FA" w14:textId="18BBB294" w:rsidR="00F823F0" w:rsidRPr="00271DB9" w:rsidRDefault="007039CC" w:rsidP="009769A8">
            <w:pPr>
              <w:pStyle w:val="Footnote"/>
              <w:jc w:val="left"/>
              <w:rPr>
                <w:sz w:val="20"/>
                <w:szCs w:val="20"/>
              </w:rPr>
            </w:pPr>
            <w:r>
              <w:rPr>
                <w:sz w:val="20"/>
                <w:szCs w:val="20"/>
              </w:rPr>
              <w:t>Outpatient Department</w:t>
            </w:r>
          </w:p>
        </w:tc>
        <w:tc>
          <w:tcPr>
            <w:tcW w:w="1199" w:type="dxa"/>
            <w:noWrap/>
            <w:vAlign w:val="bottom"/>
          </w:tcPr>
          <w:p w14:paraId="531D673E" w14:textId="77777777" w:rsidR="00F823F0" w:rsidRPr="00271DB9" w:rsidRDefault="00F823F0" w:rsidP="009769A8">
            <w:pPr>
              <w:pStyle w:val="Footnote"/>
              <w:jc w:val="right"/>
              <w:rPr>
                <w:sz w:val="20"/>
                <w:szCs w:val="20"/>
              </w:rPr>
            </w:pPr>
            <w:r w:rsidRPr="00271DB9">
              <w:rPr>
                <w:color w:val="000000"/>
                <w:sz w:val="20"/>
                <w:szCs w:val="20"/>
              </w:rPr>
              <w:t>11.00</w:t>
            </w:r>
          </w:p>
        </w:tc>
        <w:tc>
          <w:tcPr>
            <w:tcW w:w="1128" w:type="dxa"/>
            <w:noWrap/>
            <w:vAlign w:val="bottom"/>
          </w:tcPr>
          <w:p w14:paraId="2A0E88FF" w14:textId="77777777" w:rsidR="00F823F0" w:rsidRPr="00271DB9" w:rsidRDefault="00F823F0" w:rsidP="009769A8">
            <w:pPr>
              <w:pStyle w:val="Footnote"/>
              <w:jc w:val="right"/>
              <w:rPr>
                <w:sz w:val="20"/>
                <w:szCs w:val="20"/>
              </w:rPr>
            </w:pPr>
            <w:r w:rsidRPr="00271DB9">
              <w:rPr>
                <w:color w:val="000000"/>
                <w:sz w:val="20"/>
                <w:szCs w:val="20"/>
              </w:rPr>
              <w:t>21.08</w:t>
            </w:r>
          </w:p>
        </w:tc>
        <w:tc>
          <w:tcPr>
            <w:tcW w:w="1032" w:type="dxa"/>
            <w:noWrap/>
            <w:vAlign w:val="bottom"/>
          </w:tcPr>
          <w:p w14:paraId="0AAA5F74" w14:textId="77777777" w:rsidR="00F823F0" w:rsidRPr="00271DB9" w:rsidRDefault="00F823F0" w:rsidP="009769A8">
            <w:pPr>
              <w:pStyle w:val="Footnote"/>
              <w:jc w:val="right"/>
              <w:rPr>
                <w:sz w:val="20"/>
                <w:szCs w:val="20"/>
              </w:rPr>
            </w:pPr>
            <w:r w:rsidRPr="00271DB9">
              <w:rPr>
                <w:color w:val="000000"/>
                <w:sz w:val="20"/>
                <w:szCs w:val="20"/>
              </w:rPr>
              <w:t>43.29</w:t>
            </w:r>
          </w:p>
        </w:tc>
      </w:tr>
      <w:tr w:rsidR="00F823F0" w:rsidRPr="00271DB9" w14:paraId="22853A66" w14:textId="77777777" w:rsidTr="00C11BAE">
        <w:trPr>
          <w:trHeight w:val="60"/>
          <w:jc w:val="center"/>
        </w:trPr>
        <w:tc>
          <w:tcPr>
            <w:tcW w:w="1075" w:type="dxa"/>
            <w:noWrap/>
            <w:hideMark/>
          </w:tcPr>
          <w:p w14:paraId="75C70F2E" w14:textId="77777777" w:rsidR="00F823F0" w:rsidRPr="00271DB9" w:rsidRDefault="00F823F0" w:rsidP="009769A8">
            <w:pPr>
              <w:pStyle w:val="Footnote"/>
              <w:jc w:val="left"/>
              <w:rPr>
                <w:sz w:val="20"/>
                <w:szCs w:val="20"/>
              </w:rPr>
            </w:pPr>
            <w:r w:rsidRPr="00271DB9">
              <w:rPr>
                <w:sz w:val="20"/>
                <w:szCs w:val="20"/>
              </w:rPr>
              <w:t> </w:t>
            </w:r>
          </w:p>
        </w:tc>
        <w:tc>
          <w:tcPr>
            <w:tcW w:w="2941" w:type="dxa"/>
            <w:noWrap/>
            <w:hideMark/>
          </w:tcPr>
          <w:p w14:paraId="709E4242" w14:textId="77777777" w:rsidR="00F823F0" w:rsidRPr="00271DB9" w:rsidRDefault="00F823F0" w:rsidP="009769A8">
            <w:pPr>
              <w:pStyle w:val="Footnote"/>
              <w:jc w:val="left"/>
              <w:rPr>
                <w:sz w:val="20"/>
                <w:szCs w:val="20"/>
              </w:rPr>
            </w:pPr>
            <w:r w:rsidRPr="00271DB9">
              <w:rPr>
                <w:sz w:val="20"/>
                <w:szCs w:val="20"/>
              </w:rPr>
              <w:t>Other Medical Revenues</w:t>
            </w:r>
          </w:p>
        </w:tc>
        <w:tc>
          <w:tcPr>
            <w:tcW w:w="1199" w:type="dxa"/>
            <w:noWrap/>
            <w:vAlign w:val="bottom"/>
          </w:tcPr>
          <w:p w14:paraId="0260C335" w14:textId="77777777" w:rsidR="00F823F0" w:rsidRPr="00271DB9" w:rsidRDefault="00F823F0" w:rsidP="009769A8">
            <w:pPr>
              <w:pStyle w:val="Footnote"/>
              <w:jc w:val="right"/>
              <w:rPr>
                <w:sz w:val="20"/>
                <w:szCs w:val="20"/>
              </w:rPr>
            </w:pPr>
            <w:r w:rsidRPr="00271DB9">
              <w:rPr>
                <w:color w:val="000000"/>
                <w:sz w:val="20"/>
                <w:szCs w:val="20"/>
              </w:rPr>
              <w:t>16.11</w:t>
            </w:r>
          </w:p>
        </w:tc>
        <w:tc>
          <w:tcPr>
            <w:tcW w:w="1128" w:type="dxa"/>
            <w:noWrap/>
            <w:vAlign w:val="bottom"/>
          </w:tcPr>
          <w:p w14:paraId="552D8B04" w14:textId="77777777" w:rsidR="00F823F0" w:rsidRPr="00271DB9" w:rsidRDefault="00F823F0" w:rsidP="009769A8">
            <w:pPr>
              <w:pStyle w:val="Footnote"/>
              <w:jc w:val="right"/>
              <w:rPr>
                <w:sz w:val="20"/>
                <w:szCs w:val="20"/>
              </w:rPr>
            </w:pPr>
            <w:r w:rsidRPr="00271DB9">
              <w:rPr>
                <w:color w:val="000000"/>
                <w:sz w:val="20"/>
                <w:szCs w:val="20"/>
              </w:rPr>
              <w:t>24.51</w:t>
            </w:r>
          </w:p>
        </w:tc>
        <w:tc>
          <w:tcPr>
            <w:tcW w:w="1032" w:type="dxa"/>
            <w:noWrap/>
            <w:vAlign w:val="bottom"/>
          </w:tcPr>
          <w:p w14:paraId="4F3AEC3A" w14:textId="77777777" w:rsidR="00F823F0" w:rsidRPr="00271DB9" w:rsidRDefault="00F823F0" w:rsidP="009769A8">
            <w:pPr>
              <w:pStyle w:val="Footnote"/>
              <w:jc w:val="right"/>
              <w:rPr>
                <w:sz w:val="20"/>
                <w:szCs w:val="20"/>
              </w:rPr>
            </w:pPr>
            <w:r w:rsidRPr="00271DB9">
              <w:rPr>
                <w:color w:val="000000"/>
                <w:sz w:val="20"/>
                <w:szCs w:val="20"/>
              </w:rPr>
              <w:t>27.87</w:t>
            </w:r>
          </w:p>
        </w:tc>
      </w:tr>
      <w:tr w:rsidR="00F823F0" w:rsidRPr="00271DB9" w14:paraId="13908B9D" w14:textId="77777777" w:rsidTr="00C11BAE">
        <w:trPr>
          <w:trHeight w:val="60"/>
          <w:jc w:val="center"/>
        </w:trPr>
        <w:tc>
          <w:tcPr>
            <w:tcW w:w="1075" w:type="dxa"/>
            <w:noWrap/>
            <w:hideMark/>
          </w:tcPr>
          <w:p w14:paraId="6C1E1FE9" w14:textId="77777777" w:rsidR="00F823F0" w:rsidRPr="00271DB9" w:rsidRDefault="00F823F0" w:rsidP="009769A8">
            <w:pPr>
              <w:pStyle w:val="Footnote"/>
              <w:jc w:val="left"/>
              <w:rPr>
                <w:b/>
                <w:bCs/>
                <w:sz w:val="20"/>
                <w:szCs w:val="20"/>
              </w:rPr>
            </w:pPr>
            <w:r w:rsidRPr="00271DB9">
              <w:rPr>
                <w:b/>
                <w:bCs/>
                <w:sz w:val="20"/>
                <w:szCs w:val="20"/>
              </w:rPr>
              <w:t> </w:t>
            </w:r>
          </w:p>
        </w:tc>
        <w:tc>
          <w:tcPr>
            <w:tcW w:w="2941" w:type="dxa"/>
            <w:noWrap/>
            <w:hideMark/>
          </w:tcPr>
          <w:p w14:paraId="5ABB2B13" w14:textId="3C02F668" w:rsidR="00F823F0" w:rsidRPr="00271DB9" w:rsidRDefault="00F823F0" w:rsidP="000D4A97">
            <w:pPr>
              <w:pStyle w:val="Footnote"/>
              <w:jc w:val="left"/>
              <w:rPr>
                <w:b/>
                <w:bCs/>
                <w:sz w:val="20"/>
                <w:szCs w:val="20"/>
              </w:rPr>
            </w:pPr>
            <w:r w:rsidRPr="00271DB9">
              <w:rPr>
                <w:b/>
                <w:bCs/>
                <w:sz w:val="20"/>
                <w:szCs w:val="20"/>
              </w:rPr>
              <w:t xml:space="preserve">Income from </w:t>
            </w:r>
            <w:r w:rsidR="0000188B">
              <w:rPr>
                <w:b/>
                <w:bCs/>
                <w:sz w:val="20"/>
                <w:szCs w:val="20"/>
              </w:rPr>
              <w:t>O</w:t>
            </w:r>
            <w:r w:rsidRPr="00271DB9">
              <w:rPr>
                <w:b/>
                <w:bCs/>
                <w:sz w:val="20"/>
                <w:szCs w:val="20"/>
              </w:rPr>
              <w:t>perations</w:t>
            </w:r>
          </w:p>
        </w:tc>
        <w:tc>
          <w:tcPr>
            <w:tcW w:w="1199" w:type="dxa"/>
            <w:noWrap/>
            <w:vAlign w:val="bottom"/>
          </w:tcPr>
          <w:p w14:paraId="59705470" w14:textId="77777777" w:rsidR="00F823F0" w:rsidRPr="00271DB9" w:rsidRDefault="00F823F0" w:rsidP="009769A8">
            <w:pPr>
              <w:pStyle w:val="Footnote"/>
              <w:jc w:val="right"/>
              <w:rPr>
                <w:sz w:val="20"/>
                <w:szCs w:val="20"/>
              </w:rPr>
            </w:pPr>
            <w:r w:rsidRPr="00271DB9">
              <w:rPr>
                <w:color w:val="000000"/>
                <w:sz w:val="20"/>
                <w:szCs w:val="20"/>
              </w:rPr>
              <w:t>88.13</w:t>
            </w:r>
          </w:p>
        </w:tc>
        <w:tc>
          <w:tcPr>
            <w:tcW w:w="1128" w:type="dxa"/>
            <w:noWrap/>
            <w:vAlign w:val="bottom"/>
          </w:tcPr>
          <w:p w14:paraId="4564330A" w14:textId="77777777" w:rsidR="00F823F0" w:rsidRPr="00271DB9" w:rsidRDefault="00F823F0" w:rsidP="009769A8">
            <w:pPr>
              <w:pStyle w:val="Footnote"/>
              <w:jc w:val="right"/>
              <w:rPr>
                <w:sz w:val="20"/>
                <w:szCs w:val="20"/>
              </w:rPr>
            </w:pPr>
            <w:r w:rsidRPr="00271DB9">
              <w:rPr>
                <w:color w:val="000000"/>
                <w:sz w:val="20"/>
                <w:szCs w:val="20"/>
              </w:rPr>
              <w:t>232.36</w:t>
            </w:r>
          </w:p>
        </w:tc>
        <w:tc>
          <w:tcPr>
            <w:tcW w:w="1032" w:type="dxa"/>
            <w:noWrap/>
            <w:vAlign w:val="bottom"/>
          </w:tcPr>
          <w:p w14:paraId="3006E51E" w14:textId="77777777" w:rsidR="00F823F0" w:rsidRPr="00271DB9" w:rsidRDefault="00F823F0" w:rsidP="009769A8">
            <w:pPr>
              <w:pStyle w:val="Footnote"/>
              <w:jc w:val="right"/>
              <w:rPr>
                <w:sz w:val="20"/>
                <w:szCs w:val="20"/>
              </w:rPr>
            </w:pPr>
            <w:r w:rsidRPr="00271DB9">
              <w:rPr>
                <w:color w:val="000000"/>
                <w:sz w:val="20"/>
                <w:szCs w:val="20"/>
              </w:rPr>
              <w:t>519.94</w:t>
            </w:r>
          </w:p>
        </w:tc>
      </w:tr>
      <w:tr w:rsidR="00F823F0" w:rsidRPr="00271DB9" w14:paraId="3511CF91" w14:textId="77777777" w:rsidTr="00C11BAE">
        <w:trPr>
          <w:trHeight w:val="60"/>
          <w:jc w:val="center"/>
        </w:trPr>
        <w:tc>
          <w:tcPr>
            <w:tcW w:w="1075" w:type="dxa"/>
            <w:noWrap/>
            <w:hideMark/>
          </w:tcPr>
          <w:p w14:paraId="2B48C61A" w14:textId="77777777" w:rsidR="00F823F0" w:rsidRPr="00271DB9" w:rsidRDefault="00F823F0" w:rsidP="009769A8">
            <w:pPr>
              <w:pStyle w:val="Footnote"/>
              <w:jc w:val="left"/>
              <w:rPr>
                <w:b/>
                <w:bCs/>
                <w:sz w:val="20"/>
                <w:szCs w:val="20"/>
              </w:rPr>
            </w:pPr>
            <w:r w:rsidRPr="00271DB9">
              <w:rPr>
                <w:b/>
                <w:bCs/>
                <w:sz w:val="20"/>
                <w:szCs w:val="20"/>
              </w:rPr>
              <w:t> </w:t>
            </w:r>
          </w:p>
        </w:tc>
        <w:tc>
          <w:tcPr>
            <w:tcW w:w="2941" w:type="dxa"/>
            <w:noWrap/>
            <w:hideMark/>
          </w:tcPr>
          <w:p w14:paraId="21E49289" w14:textId="77777777" w:rsidR="00F823F0" w:rsidRPr="00271DB9" w:rsidRDefault="00F823F0" w:rsidP="009769A8">
            <w:pPr>
              <w:pStyle w:val="Footnote"/>
              <w:jc w:val="left"/>
              <w:rPr>
                <w:sz w:val="20"/>
                <w:szCs w:val="20"/>
              </w:rPr>
            </w:pPr>
            <w:r w:rsidRPr="00271DB9">
              <w:rPr>
                <w:sz w:val="20"/>
                <w:szCs w:val="20"/>
              </w:rPr>
              <w:t>Less Discount</w:t>
            </w:r>
          </w:p>
        </w:tc>
        <w:tc>
          <w:tcPr>
            <w:tcW w:w="1199" w:type="dxa"/>
            <w:noWrap/>
            <w:vAlign w:val="bottom"/>
          </w:tcPr>
          <w:p w14:paraId="58D6695C" w14:textId="77777777" w:rsidR="00F823F0" w:rsidRPr="00271DB9" w:rsidRDefault="00F823F0" w:rsidP="009769A8">
            <w:pPr>
              <w:pStyle w:val="Footnote"/>
              <w:jc w:val="right"/>
              <w:rPr>
                <w:sz w:val="20"/>
                <w:szCs w:val="20"/>
              </w:rPr>
            </w:pPr>
            <w:r w:rsidRPr="00271DB9">
              <w:rPr>
                <w:color w:val="000000"/>
                <w:sz w:val="20"/>
                <w:szCs w:val="20"/>
              </w:rPr>
              <w:t>-1.67</w:t>
            </w:r>
          </w:p>
        </w:tc>
        <w:tc>
          <w:tcPr>
            <w:tcW w:w="1128" w:type="dxa"/>
            <w:noWrap/>
            <w:vAlign w:val="bottom"/>
          </w:tcPr>
          <w:p w14:paraId="3494D539" w14:textId="77777777" w:rsidR="00F823F0" w:rsidRPr="00271DB9" w:rsidRDefault="00F823F0" w:rsidP="009769A8">
            <w:pPr>
              <w:pStyle w:val="Footnote"/>
              <w:jc w:val="right"/>
              <w:rPr>
                <w:sz w:val="20"/>
                <w:szCs w:val="20"/>
              </w:rPr>
            </w:pPr>
            <w:r w:rsidRPr="00271DB9">
              <w:rPr>
                <w:color w:val="000000"/>
                <w:sz w:val="20"/>
                <w:szCs w:val="20"/>
              </w:rPr>
              <w:t>-8.04</w:t>
            </w:r>
          </w:p>
        </w:tc>
        <w:tc>
          <w:tcPr>
            <w:tcW w:w="1032" w:type="dxa"/>
            <w:noWrap/>
            <w:vAlign w:val="bottom"/>
          </w:tcPr>
          <w:p w14:paraId="4CC4CDA3" w14:textId="77777777" w:rsidR="00F823F0" w:rsidRPr="00271DB9" w:rsidRDefault="00F823F0" w:rsidP="009769A8">
            <w:pPr>
              <w:pStyle w:val="Footnote"/>
              <w:jc w:val="right"/>
              <w:rPr>
                <w:sz w:val="20"/>
                <w:szCs w:val="20"/>
              </w:rPr>
            </w:pPr>
            <w:r w:rsidRPr="00271DB9">
              <w:rPr>
                <w:color w:val="000000"/>
                <w:sz w:val="20"/>
                <w:szCs w:val="20"/>
              </w:rPr>
              <w:t>-15.08</w:t>
            </w:r>
          </w:p>
        </w:tc>
      </w:tr>
      <w:tr w:rsidR="00F823F0" w:rsidRPr="00271DB9" w14:paraId="3BA78996" w14:textId="77777777" w:rsidTr="00C11BAE">
        <w:trPr>
          <w:trHeight w:val="60"/>
          <w:jc w:val="center"/>
        </w:trPr>
        <w:tc>
          <w:tcPr>
            <w:tcW w:w="1075" w:type="dxa"/>
            <w:noWrap/>
            <w:hideMark/>
          </w:tcPr>
          <w:p w14:paraId="0754AFFE" w14:textId="77777777" w:rsidR="00F823F0" w:rsidRPr="00271DB9" w:rsidRDefault="00F823F0" w:rsidP="009769A8">
            <w:pPr>
              <w:pStyle w:val="Footnote"/>
              <w:jc w:val="left"/>
              <w:rPr>
                <w:b/>
                <w:bCs/>
                <w:sz w:val="20"/>
                <w:szCs w:val="20"/>
              </w:rPr>
            </w:pPr>
            <w:r w:rsidRPr="00271DB9">
              <w:rPr>
                <w:b/>
                <w:bCs/>
                <w:sz w:val="20"/>
                <w:szCs w:val="20"/>
              </w:rPr>
              <w:t> </w:t>
            </w:r>
          </w:p>
        </w:tc>
        <w:tc>
          <w:tcPr>
            <w:tcW w:w="2941" w:type="dxa"/>
            <w:noWrap/>
            <w:hideMark/>
          </w:tcPr>
          <w:p w14:paraId="56F04D3B" w14:textId="77777777" w:rsidR="00F823F0" w:rsidRPr="00271DB9" w:rsidRDefault="00F823F0" w:rsidP="009769A8">
            <w:pPr>
              <w:pStyle w:val="Footnote"/>
              <w:jc w:val="left"/>
              <w:rPr>
                <w:b/>
                <w:bCs/>
                <w:sz w:val="20"/>
                <w:szCs w:val="20"/>
              </w:rPr>
            </w:pPr>
            <w:r w:rsidRPr="00271DB9">
              <w:rPr>
                <w:b/>
                <w:bCs/>
                <w:sz w:val="20"/>
                <w:szCs w:val="20"/>
              </w:rPr>
              <w:t>Net Income</w:t>
            </w:r>
          </w:p>
        </w:tc>
        <w:tc>
          <w:tcPr>
            <w:tcW w:w="1199" w:type="dxa"/>
            <w:noWrap/>
            <w:vAlign w:val="bottom"/>
          </w:tcPr>
          <w:p w14:paraId="5BCFC5D8" w14:textId="77777777" w:rsidR="00F823F0" w:rsidRPr="00271DB9" w:rsidRDefault="00F823F0" w:rsidP="009769A8">
            <w:pPr>
              <w:pStyle w:val="Footnote"/>
              <w:jc w:val="right"/>
              <w:rPr>
                <w:sz w:val="20"/>
                <w:szCs w:val="20"/>
              </w:rPr>
            </w:pPr>
            <w:r w:rsidRPr="00271DB9">
              <w:rPr>
                <w:color w:val="000000"/>
                <w:sz w:val="20"/>
                <w:szCs w:val="20"/>
              </w:rPr>
              <w:t>86.46</w:t>
            </w:r>
          </w:p>
        </w:tc>
        <w:tc>
          <w:tcPr>
            <w:tcW w:w="1128" w:type="dxa"/>
            <w:noWrap/>
            <w:vAlign w:val="bottom"/>
          </w:tcPr>
          <w:p w14:paraId="4CE5E182" w14:textId="77777777" w:rsidR="00F823F0" w:rsidRPr="00271DB9" w:rsidRDefault="00F823F0" w:rsidP="009769A8">
            <w:pPr>
              <w:pStyle w:val="Footnote"/>
              <w:jc w:val="right"/>
              <w:rPr>
                <w:sz w:val="20"/>
                <w:szCs w:val="20"/>
              </w:rPr>
            </w:pPr>
            <w:r w:rsidRPr="00271DB9">
              <w:rPr>
                <w:color w:val="000000"/>
                <w:sz w:val="20"/>
                <w:szCs w:val="20"/>
              </w:rPr>
              <w:t>224.32</w:t>
            </w:r>
          </w:p>
        </w:tc>
        <w:tc>
          <w:tcPr>
            <w:tcW w:w="1032" w:type="dxa"/>
            <w:noWrap/>
            <w:vAlign w:val="bottom"/>
          </w:tcPr>
          <w:p w14:paraId="2A09239A" w14:textId="77777777" w:rsidR="00F823F0" w:rsidRPr="00271DB9" w:rsidRDefault="00F823F0" w:rsidP="009769A8">
            <w:pPr>
              <w:pStyle w:val="Footnote"/>
              <w:jc w:val="right"/>
              <w:rPr>
                <w:sz w:val="20"/>
                <w:szCs w:val="20"/>
              </w:rPr>
            </w:pPr>
            <w:r w:rsidRPr="00271DB9">
              <w:rPr>
                <w:color w:val="000000"/>
                <w:sz w:val="20"/>
                <w:szCs w:val="20"/>
              </w:rPr>
              <w:t>504.86</w:t>
            </w:r>
          </w:p>
        </w:tc>
      </w:tr>
      <w:tr w:rsidR="00F823F0" w:rsidRPr="00271DB9" w14:paraId="655C61B2" w14:textId="77777777" w:rsidTr="00C11BAE">
        <w:trPr>
          <w:trHeight w:val="300"/>
          <w:jc w:val="center"/>
        </w:trPr>
        <w:tc>
          <w:tcPr>
            <w:tcW w:w="1075" w:type="dxa"/>
            <w:noWrap/>
            <w:hideMark/>
          </w:tcPr>
          <w:p w14:paraId="255613A3" w14:textId="77777777" w:rsidR="00F823F0" w:rsidRPr="00271DB9" w:rsidRDefault="00F823F0" w:rsidP="009769A8">
            <w:pPr>
              <w:pStyle w:val="Footnote"/>
              <w:jc w:val="left"/>
              <w:rPr>
                <w:b/>
                <w:bCs/>
                <w:sz w:val="20"/>
                <w:szCs w:val="20"/>
              </w:rPr>
            </w:pPr>
            <w:r w:rsidRPr="00271DB9">
              <w:rPr>
                <w:b/>
                <w:bCs/>
                <w:sz w:val="20"/>
                <w:szCs w:val="20"/>
              </w:rPr>
              <w:t> </w:t>
            </w:r>
          </w:p>
        </w:tc>
        <w:tc>
          <w:tcPr>
            <w:tcW w:w="2941" w:type="dxa"/>
            <w:noWrap/>
            <w:hideMark/>
          </w:tcPr>
          <w:p w14:paraId="723C2D60" w14:textId="0403E886" w:rsidR="00F823F0" w:rsidRPr="00271DB9" w:rsidRDefault="00F823F0" w:rsidP="000D4A97">
            <w:pPr>
              <w:pStyle w:val="Footnote"/>
              <w:jc w:val="left"/>
              <w:rPr>
                <w:b/>
                <w:bCs/>
                <w:i/>
                <w:iCs/>
                <w:sz w:val="20"/>
                <w:szCs w:val="20"/>
              </w:rPr>
            </w:pPr>
            <w:r w:rsidRPr="00271DB9">
              <w:rPr>
                <w:b/>
                <w:bCs/>
                <w:i/>
                <w:iCs/>
                <w:sz w:val="20"/>
                <w:szCs w:val="20"/>
              </w:rPr>
              <w:t>Year</w:t>
            </w:r>
            <w:r w:rsidR="0000188B">
              <w:rPr>
                <w:b/>
                <w:bCs/>
                <w:i/>
                <w:iCs/>
                <w:sz w:val="20"/>
                <w:szCs w:val="20"/>
              </w:rPr>
              <w:t>-</w:t>
            </w:r>
            <w:r w:rsidRPr="00271DB9">
              <w:rPr>
                <w:b/>
                <w:bCs/>
                <w:i/>
                <w:iCs/>
                <w:sz w:val="20"/>
                <w:szCs w:val="20"/>
              </w:rPr>
              <w:t>on</w:t>
            </w:r>
            <w:r w:rsidR="0000188B">
              <w:rPr>
                <w:b/>
                <w:bCs/>
                <w:i/>
                <w:iCs/>
                <w:sz w:val="20"/>
                <w:szCs w:val="20"/>
              </w:rPr>
              <w:t>-</w:t>
            </w:r>
            <w:r w:rsidRPr="00271DB9">
              <w:rPr>
                <w:b/>
                <w:bCs/>
                <w:i/>
                <w:iCs/>
                <w:sz w:val="20"/>
                <w:szCs w:val="20"/>
              </w:rPr>
              <w:t>Year Sales Growth</w:t>
            </w:r>
          </w:p>
        </w:tc>
        <w:tc>
          <w:tcPr>
            <w:tcW w:w="1199" w:type="dxa"/>
            <w:noWrap/>
            <w:vAlign w:val="bottom"/>
          </w:tcPr>
          <w:p w14:paraId="09A5C1ED" w14:textId="77777777" w:rsidR="00F823F0" w:rsidRPr="00271DB9" w:rsidRDefault="00F823F0" w:rsidP="009769A8">
            <w:pPr>
              <w:pStyle w:val="Footnote"/>
              <w:jc w:val="right"/>
              <w:rPr>
                <w:sz w:val="20"/>
                <w:szCs w:val="20"/>
              </w:rPr>
            </w:pPr>
            <w:r w:rsidRPr="00271DB9">
              <w:rPr>
                <w:color w:val="000000"/>
                <w:sz w:val="20"/>
                <w:szCs w:val="20"/>
              </w:rPr>
              <w:t>0.00</w:t>
            </w:r>
          </w:p>
        </w:tc>
        <w:tc>
          <w:tcPr>
            <w:tcW w:w="1128" w:type="dxa"/>
            <w:noWrap/>
            <w:vAlign w:val="bottom"/>
          </w:tcPr>
          <w:p w14:paraId="370D52ED" w14:textId="77777777" w:rsidR="00F823F0" w:rsidRPr="00271DB9" w:rsidRDefault="00F823F0" w:rsidP="009769A8">
            <w:pPr>
              <w:pStyle w:val="Footnote"/>
              <w:jc w:val="right"/>
              <w:rPr>
                <w:sz w:val="20"/>
                <w:szCs w:val="20"/>
              </w:rPr>
            </w:pPr>
            <w:r w:rsidRPr="00271DB9">
              <w:rPr>
                <w:color w:val="000000"/>
                <w:sz w:val="20"/>
                <w:szCs w:val="20"/>
              </w:rPr>
              <w:t>1.59</w:t>
            </w:r>
          </w:p>
        </w:tc>
        <w:tc>
          <w:tcPr>
            <w:tcW w:w="1032" w:type="dxa"/>
            <w:noWrap/>
            <w:vAlign w:val="bottom"/>
          </w:tcPr>
          <w:p w14:paraId="15331FEC" w14:textId="77777777" w:rsidR="00F823F0" w:rsidRPr="00271DB9" w:rsidRDefault="00F823F0" w:rsidP="009769A8">
            <w:pPr>
              <w:pStyle w:val="Footnote"/>
              <w:jc w:val="right"/>
              <w:rPr>
                <w:sz w:val="20"/>
                <w:szCs w:val="20"/>
              </w:rPr>
            </w:pPr>
            <w:r w:rsidRPr="00271DB9">
              <w:rPr>
                <w:color w:val="000000"/>
                <w:sz w:val="20"/>
                <w:szCs w:val="20"/>
              </w:rPr>
              <w:t>1.25</w:t>
            </w:r>
          </w:p>
        </w:tc>
      </w:tr>
      <w:tr w:rsidR="00F823F0" w:rsidRPr="00271DB9" w14:paraId="6AA1796E" w14:textId="77777777" w:rsidTr="00C11BAE">
        <w:trPr>
          <w:trHeight w:val="60"/>
          <w:jc w:val="center"/>
        </w:trPr>
        <w:tc>
          <w:tcPr>
            <w:tcW w:w="1075" w:type="dxa"/>
            <w:noWrap/>
            <w:hideMark/>
          </w:tcPr>
          <w:p w14:paraId="241CD603" w14:textId="77777777" w:rsidR="00F823F0" w:rsidRPr="00271DB9" w:rsidRDefault="00F823F0" w:rsidP="009769A8">
            <w:pPr>
              <w:pStyle w:val="Footnote"/>
              <w:jc w:val="left"/>
              <w:rPr>
                <w:b/>
                <w:bCs/>
                <w:sz w:val="20"/>
                <w:szCs w:val="20"/>
              </w:rPr>
            </w:pPr>
            <w:r w:rsidRPr="00271DB9">
              <w:rPr>
                <w:b/>
                <w:bCs/>
                <w:sz w:val="20"/>
                <w:szCs w:val="20"/>
              </w:rPr>
              <w:t>Cost of Sales</w:t>
            </w:r>
          </w:p>
        </w:tc>
        <w:tc>
          <w:tcPr>
            <w:tcW w:w="2941" w:type="dxa"/>
            <w:noWrap/>
            <w:hideMark/>
          </w:tcPr>
          <w:p w14:paraId="014AFD99" w14:textId="77777777" w:rsidR="00F823F0" w:rsidRPr="00271DB9" w:rsidRDefault="00F823F0" w:rsidP="009769A8">
            <w:pPr>
              <w:pStyle w:val="Footnote"/>
              <w:jc w:val="left"/>
              <w:rPr>
                <w:b/>
                <w:bCs/>
                <w:sz w:val="20"/>
                <w:szCs w:val="20"/>
              </w:rPr>
            </w:pPr>
          </w:p>
        </w:tc>
        <w:tc>
          <w:tcPr>
            <w:tcW w:w="1199" w:type="dxa"/>
            <w:noWrap/>
            <w:vAlign w:val="bottom"/>
          </w:tcPr>
          <w:p w14:paraId="34EF7527" w14:textId="77777777" w:rsidR="00F823F0" w:rsidRPr="00271DB9" w:rsidRDefault="00F823F0" w:rsidP="009769A8">
            <w:pPr>
              <w:pStyle w:val="Footnote"/>
              <w:jc w:val="right"/>
              <w:rPr>
                <w:sz w:val="20"/>
                <w:szCs w:val="20"/>
              </w:rPr>
            </w:pPr>
          </w:p>
        </w:tc>
        <w:tc>
          <w:tcPr>
            <w:tcW w:w="1128" w:type="dxa"/>
            <w:noWrap/>
            <w:vAlign w:val="bottom"/>
          </w:tcPr>
          <w:p w14:paraId="616E3734" w14:textId="77777777" w:rsidR="00F823F0" w:rsidRPr="00271DB9" w:rsidRDefault="00F823F0" w:rsidP="009769A8">
            <w:pPr>
              <w:pStyle w:val="Footnote"/>
              <w:jc w:val="right"/>
              <w:rPr>
                <w:sz w:val="20"/>
                <w:szCs w:val="20"/>
              </w:rPr>
            </w:pPr>
          </w:p>
        </w:tc>
        <w:tc>
          <w:tcPr>
            <w:tcW w:w="1032" w:type="dxa"/>
            <w:noWrap/>
            <w:vAlign w:val="bottom"/>
          </w:tcPr>
          <w:p w14:paraId="5C48A9A8" w14:textId="77777777" w:rsidR="00F823F0" w:rsidRPr="00271DB9" w:rsidRDefault="00F823F0" w:rsidP="009769A8">
            <w:pPr>
              <w:pStyle w:val="Footnote"/>
              <w:jc w:val="right"/>
              <w:rPr>
                <w:sz w:val="20"/>
                <w:szCs w:val="20"/>
              </w:rPr>
            </w:pPr>
          </w:p>
        </w:tc>
      </w:tr>
      <w:tr w:rsidR="00F823F0" w:rsidRPr="00271DB9" w14:paraId="01C29CFC" w14:textId="77777777" w:rsidTr="00C11BAE">
        <w:trPr>
          <w:trHeight w:val="60"/>
          <w:jc w:val="center"/>
        </w:trPr>
        <w:tc>
          <w:tcPr>
            <w:tcW w:w="1075" w:type="dxa"/>
            <w:noWrap/>
            <w:hideMark/>
          </w:tcPr>
          <w:p w14:paraId="4FBC6446" w14:textId="77777777" w:rsidR="00F823F0" w:rsidRPr="00271DB9" w:rsidRDefault="00F823F0" w:rsidP="009769A8">
            <w:pPr>
              <w:pStyle w:val="Footnote"/>
              <w:jc w:val="left"/>
              <w:rPr>
                <w:b/>
                <w:bCs/>
                <w:sz w:val="20"/>
                <w:szCs w:val="20"/>
              </w:rPr>
            </w:pPr>
            <w:r w:rsidRPr="00271DB9">
              <w:rPr>
                <w:b/>
                <w:bCs/>
                <w:sz w:val="20"/>
                <w:szCs w:val="20"/>
              </w:rPr>
              <w:t> </w:t>
            </w:r>
          </w:p>
        </w:tc>
        <w:tc>
          <w:tcPr>
            <w:tcW w:w="2941" w:type="dxa"/>
            <w:noWrap/>
            <w:hideMark/>
          </w:tcPr>
          <w:p w14:paraId="095FC02D" w14:textId="77777777" w:rsidR="00F823F0" w:rsidRPr="00271DB9" w:rsidRDefault="00F823F0" w:rsidP="009769A8">
            <w:pPr>
              <w:pStyle w:val="Footnote"/>
              <w:jc w:val="left"/>
              <w:rPr>
                <w:sz w:val="20"/>
                <w:szCs w:val="20"/>
              </w:rPr>
            </w:pPr>
            <w:r w:rsidRPr="00271DB9">
              <w:rPr>
                <w:sz w:val="20"/>
                <w:szCs w:val="20"/>
              </w:rPr>
              <w:t>Cost of Consumables/ Procedure</w:t>
            </w:r>
          </w:p>
        </w:tc>
        <w:tc>
          <w:tcPr>
            <w:tcW w:w="1199" w:type="dxa"/>
            <w:noWrap/>
            <w:vAlign w:val="bottom"/>
          </w:tcPr>
          <w:p w14:paraId="395C43A8" w14:textId="77777777" w:rsidR="00F823F0" w:rsidRPr="00271DB9" w:rsidRDefault="00F823F0" w:rsidP="009769A8">
            <w:pPr>
              <w:pStyle w:val="Footnote"/>
              <w:jc w:val="right"/>
              <w:rPr>
                <w:sz w:val="20"/>
                <w:szCs w:val="20"/>
              </w:rPr>
            </w:pPr>
            <w:r w:rsidRPr="00271DB9">
              <w:rPr>
                <w:color w:val="000000"/>
                <w:sz w:val="20"/>
                <w:szCs w:val="20"/>
              </w:rPr>
              <w:t>15.77</w:t>
            </w:r>
          </w:p>
        </w:tc>
        <w:tc>
          <w:tcPr>
            <w:tcW w:w="1128" w:type="dxa"/>
            <w:noWrap/>
            <w:vAlign w:val="bottom"/>
          </w:tcPr>
          <w:p w14:paraId="239C5E8C" w14:textId="77777777" w:rsidR="00F823F0" w:rsidRPr="00271DB9" w:rsidRDefault="00F823F0" w:rsidP="009769A8">
            <w:pPr>
              <w:pStyle w:val="Footnote"/>
              <w:jc w:val="right"/>
              <w:rPr>
                <w:sz w:val="20"/>
                <w:szCs w:val="20"/>
              </w:rPr>
            </w:pPr>
            <w:r w:rsidRPr="00271DB9">
              <w:rPr>
                <w:color w:val="000000"/>
                <w:sz w:val="20"/>
                <w:szCs w:val="20"/>
              </w:rPr>
              <w:t>48.41</w:t>
            </w:r>
          </w:p>
        </w:tc>
        <w:tc>
          <w:tcPr>
            <w:tcW w:w="1032" w:type="dxa"/>
            <w:noWrap/>
            <w:vAlign w:val="bottom"/>
          </w:tcPr>
          <w:p w14:paraId="40E3E485" w14:textId="77777777" w:rsidR="00F823F0" w:rsidRPr="00271DB9" w:rsidRDefault="00F823F0" w:rsidP="009769A8">
            <w:pPr>
              <w:pStyle w:val="Footnote"/>
              <w:jc w:val="right"/>
              <w:rPr>
                <w:sz w:val="20"/>
                <w:szCs w:val="20"/>
              </w:rPr>
            </w:pPr>
            <w:r w:rsidRPr="00271DB9">
              <w:rPr>
                <w:color w:val="000000"/>
                <w:sz w:val="20"/>
                <w:szCs w:val="20"/>
              </w:rPr>
              <w:t>127.57</w:t>
            </w:r>
          </w:p>
        </w:tc>
      </w:tr>
      <w:tr w:rsidR="00F823F0" w:rsidRPr="00271DB9" w14:paraId="12720BE3" w14:textId="77777777" w:rsidTr="00C11BAE">
        <w:trPr>
          <w:trHeight w:val="60"/>
          <w:jc w:val="center"/>
        </w:trPr>
        <w:tc>
          <w:tcPr>
            <w:tcW w:w="1075" w:type="dxa"/>
            <w:noWrap/>
            <w:hideMark/>
          </w:tcPr>
          <w:p w14:paraId="220D1AC8" w14:textId="77777777" w:rsidR="00F823F0" w:rsidRPr="00271DB9" w:rsidRDefault="00F823F0" w:rsidP="009769A8">
            <w:pPr>
              <w:pStyle w:val="Footnote"/>
              <w:jc w:val="left"/>
              <w:rPr>
                <w:b/>
                <w:bCs/>
                <w:sz w:val="20"/>
                <w:szCs w:val="20"/>
              </w:rPr>
            </w:pPr>
            <w:r w:rsidRPr="00271DB9">
              <w:rPr>
                <w:b/>
                <w:bCs/>
                <w:sz w:val="20"/>
                <w:szCs w:val="20"/>
              </w:rPr>
              <w:t> </w:t>
            </w:r>
          </w:p>
        </w:tc>
        <w:tc>
          <w:tcPr>
            <w:tcW w:w="2941" w:type="dxa"/>
            <w:noWrap/>
            <w:hideMark/>
          </w:tcPr>
          <w:p w14:paraId="6BC93D14" w14:textId="77777777" w:rsidR="00F823F0" w:rsidRPr="00271DB9" w:rsidRDefault="00F823F0" w:rsidP="009769A8">
            <w:pPr>
              <w:pStyle w:val="Footnote"/>
              <w:jc w:val="left"/>
              <w:rPr>
                <w:sz w:val="20"/>
                <w:szCs w:val="20"/>
              </w:rPr>
            </w:pPr>
            <w:r w:rsidRPr="00271DB9">
              <w:rPr>
                <w:sz w:val="20"/>
                <w:szCs w:val="20"/>
              </w:rPr>
              <w:t>Establishment Cost</w:t>
            </w:r>
          </w:p>
        </w:tc>
        <w:tc>
          <w:tcPr>
            <w:tcW w:w="1199" w:type="dxa"/>
            <w:noWrap/>
            <w:vAlign w:val="bottom"/>
          </w:tcPr>
          <w:p w14:paraId="2239119E" w14:textId="77777777" w:rsidR="00F823F0" w:rsidRPr="00271DB9" w:rsidRDefault="00F823F0" w:rsidP="009769A8">
            <w:pPr>
              <w:pStyle w:val="Footnote"/>
              <w:jc w:val="right"/>
              <w:rPr>
                <w:sz w:val="20"/>
                <w:szCs w:val="20"/>
              </w:rPr>
            </w:pPr>
            <w:r w:rsidRPr="00271DB9">
              <w:rPr>
                <w:color w:val="000000"/>
                <w:sz w:val="20"/>
                <w:szCs w:val="20"/>
              </w:rPr>
              <w:t>13.24</w:t>
            </w:r>
          </w:p>
        </w:tc>
        <w:tc>
          <w:tcPr>
            <w:tcW w:w="1128" w:type="dxa"/>
            <w:noWrap/>
            <w:vAlign w:val="bottom"/>
          </w:tcPr>
          <w:p w14:paraId="02659CDD" w14:textId="77777777" w:rsidR="00F823F0" w:rsidRPr="00271DB9" w:rsidRDefault="00F823F0" w:rsidP="009769A8">
            <w:pPr>
              <w:pStyle w:val="Footnote"/>
              <w:jc w:val="right"/>
              <w:rPr>
                <w:sz w:val="20"/>
                <w:szCs w:val="20"/>
              </w:rPr>
            </w:pPr>
            <w:r w:rsidRPr="00271DB9">
              <w:rPr>
                <w:color w:val="000000"/>
                <w:sz w:val="20"/>
                <w:szCs w:val="20"/>
              </w:rPr>
              <w:t>31.00</w:t>
            </w:r>
          </w:p>
        </w:tc>
        <w:tc>
          <w:tcPr>
            <w:tcW w:w="1032" w:type="dxa"/>
            <w:noWrap/>
            <w:vAlign w:val="bottom"/>
          </w:tcPr>
          <w:p w14:paraId="0F3F822F" w14:textId="77777777" w:rsidR="00F823F0" w:rsidRPr="00271DB9" w:rsidRDefault="00F823F0" w:rsidP="009769A8">
            <w:pPr>
              <w:pStyle w:val="Footnote"/>
              <w:jc w:val="right"/>
              <w:rPr>
                <w:sz w:val="20"/>
                <w:szCs w:val="20"/>
              </w:rPr>
            </w:pPr>
            <w:r w:rsidRPr="00271DB9">
              <w:rPr>
                <w:color w:val="000000"/>
                <w:sz w:val="20"/>
                <w:szCs w:val="20"/>
              </w:rPr>
              <w:t>55.88</w:t>
            </w:r>
          </w:p>
        </w:tc>
      </w:tr>
      <w:tr w:rsidR="00F823F0" w:rsidRPr="00271DB9" w14:paraId="6DB3C224" w14:textId="77777777" w:rsidTr="00C11BAE">
        <w:trPr>
          <w:trHeight w:val="60"/>
          <w:jc w:val="center"/>
        </w:trPr>
        <w:tc>
          <w:tcPr>
            <w:tcW w:w="1075" w:type="dxa"/>
            <w:noWrap/>
            <w:hideMark/>
          </w:tcPr>
          <w:p w14:paraId="3C3EC088" w14:textId="77777777" w:rsidR="00F823F0" w:rsidRPr="00271DB9" w:rsidRDefault="00F823F0" w:rsidP="009769A8">
            <w:pPr>
              <w:pStyle w:val="Footnote"/>
              <w:jc w:val="left"/>
              <w:rPr>
                <w:b/>
                <w:bCs/>
                <w:sz w:val="20"/>
                <w:szCs w:val="20"/>
              </w:rPr>
            </w:pPr>
            <w:r w:rsidRPr="00271DB9">
              <w:rPr>
                <w:b/>
                <w:bCs/>
                <w:sz w:val="20"/>
                <w:szCs w:val="20"/>
              </w:rPr>
              <w:t> </w:t>
            </w:r>
          </w:p>
        </w:tc>
        <w:tc>
          <w:tcPr>
            <w:tcW w:w="2941" w:type="dxa"/>
            <w:noWrap/>
            <w:hideMark/>
          </w:tcPr>
          <w:p w14:paraId="4E6CFCAB" w14:textId="77777777" w:rsidR="00F823F0" w:rsidRPr="00271DB9" w:rsidRDefault="00F823F0" w:rsidP="009769A8">
            <w:pPr>
              <w:pStyle w:val="Footnote"/>
              <w:jc w:val="left"/>
              <w:rPr>
                <w:sz w:val="20"/>
                <w:szCs w:val="20"/>
              </w:rPr>
            </w:pPr>
            <w:r w:rsidRPr="00271DB9">
              <w:rPr>
                <w:sz w:val="20"/>
                <w:szCs w:val="20"/>
              </w:rPr>
              <w:t>Manpower Cost</w:t>
            </w:r>
          </w:p>
        </w:tc>
        <w:tc>
          <w:tcPr>
            <w:tcW w:w="1199" w:type="dxa"/>
            <w:noWrap/>
            <w:vAlign w:val="bottom"/>
          </w:tcPr>
          <w:p w14:paraId="46260F1A" w14:textId="77777777" w:rsidR="00F823F0" w:rsidRPr="00271DB9" w:rsidRDefault="00F823F0" w:rsidP="009769A8">
            <w:pPr>
              <w:pStyle w:val="Footnote"/>
              <w:jc w:val="right"/>
              <w:rPr>
                <w:sz w:val="20"/>
                <w:szCs w:val="20"/>
              </w:rPr>
            </w:pPr>
            <w:r w:rsidRPr="00271DB9">
              <w:rPr>
                <w:color w:val="000000"/>
                <w:sz w:val="20"/>
                <w:szCs w:val="20"/>
              </w:rPr>
              <w:t>50.31</w:t>
            </w:r>
          </w:p>
        </w:tc>
        <w:tc>
          <w:tcPr>
            <w:tcW w:w="1128" w:type="dxa"/>
            <w:noWrap/>
            <w:vAlign w:val="bottom"/>
          </w:tcPr>
          <w:p w14:paraId="3D1E3043" w14:textId="77777777" w:rsidR="00F823F0" w:rsidRPr="00271DB9" w:rsidRDefault="00F823F0" w:rsidP="009769A8">
            <w:pPr>
              <w:pStyle w:val="Footnote"/>
              <w:jc w:val="right"/>
              <w:rPr>
                <w:sz w:val="20"/>
                <w:szCs w:val="20"/>
              </w:rPr>
            </w:pPr>
            <w:r w:rsidRPr="00271DB9">
              <w:rPr>
                <w:color w:val="000000"/>
                <w:sz w:val="20"/>
                <w:szCs w:val="20"/>
              </w:rPr>
              <w:t>144.06</w:t>
            </w:r>
          </w:p>
        </w:tc>
        <w:tc>
          <w:tcPr>
            <w:tcW w:w="1032" w:type="dxa"/>
            <w:noWrap/>
            <w:vAlign w:val="bottom"/>
          </w:tcPr>
          <w:p w14:paraId="4A2E4FAF" w14:textId="77777777" w:rsidR="00F823F0" w:rsidRPr="00271DB9" w:rsidRDefault="00F823F0" w:rsidP="009769A8">
            <w:pPr>
              <w:pStyle w:val="Footnote"/>
              <w:jc w:val="right"/>
              <w:rPr>
                <w:sz w:val="20"/>
                <w:szCs w:val="20"/>
              </w:rPr>
            </w:pPr>
            <w:r w:rsidRPr="00271DB9">
              <w:rPr>
                <w:color w:val="000000"/>
                <w:sz w:val="20"/>
                <w:szCs w:val="20"/>
              </w:rPr>
              <w:t>233.97</w:t>
            </w:r>
          </w:p>
        </w:tc>
      </w:tr>
      <w:tr w:rsidR="00F823F0" w:rsidRPr="00271DB9" w14:paraId="1FAB9750" w14:textId="77777777" w:rsidTr="00C11BAE">
        <w:trPr>
          <w:trHeight w:val="60"/>
          <w:jc w:val="center"/>
        </w:trPr>
        <w:tc>
          <w:tcPr>
            <w:tcW w:w="1075" w:type="dxa"/>
            <w:noWrap/>
            <w:hideMark/>
          </w:tcPr>
          <w:p w14:paraId="242BC98E" w14:textId="77777777" w:rsidR="00F823F0" w:rsidRPr="00271DB9" w:rsidRDefault="00F823F0" w:rsidP="009769A8">
            <w:pPr>
              <w:pStyle w:val="Footnote"/>
              <w:jc w:val="left"/>
              <w:rPr>
                <w:b/>
                <w:bCs/>
                <w:sz w:val="20"/>
                <w:szCs w:val="20"/>
              </w:rPr>
            </w:pPr>
            <w:r w:rsidRPr="00271DB9">
              <w:rPr>
                <w:b/>
                <w:bCs/>
                <w:sz w:val="20"/>
                <w:szCs w:val="20"/>
              </w:rPr>
              <w:t> </w:t>
            </w:r>
          </w:p>
        </w:tc>
        <w:tc>
          <w:tcPr>
            <w:tcW w:w="2941" w:type="dxa"/>
            <w:noWrap/>
            <w:hideMark/>
          </w:tcPr>
          <w:p w14:paraId="3EE00468" w14:textId="77777777" w:rsidR="00F823F0" w:rsidRPr="00271DB9" w:rsidRDefault="00F823F0" w:rsidP="009769A8">
            <w:pPr>
              <w:pStyle w:val="Footnote"/>
              <w:jc w:val="left"/>
              <w:rPr>
                <w:sz w:val="20"/>
                <w:szCs w:val="20"/>
              </w:rPr>
            </w:pPr>
            <w:r w:rsidRPr="00271DB9">
              <w:rPr>
                <w:sz w:val="20"/>
                <w:szCs w:val="20"/>
              </w:rPr>
              <w:t>Marketing Expenses</w:t>
            </w:r>
          </w:p>
        </w:tc>
        <w:tc>
          <w:tcPr>
            <w:tcW w:w="1199" w:type="dxa"/>
            <w:noWrap/>
            <w:vAlign w:val="bottom"/>
          </w:tcPr>
          <w:p w14:paraId="3315EFFC" w14:textId="77777777" w:rsidR="00F823F0" w:rsidRPr="00271DB9" w:rsidRDefault="00F823F0" w:rsidP="009769A8">
            <w:pPr>
              <w:pStyle w:val="Footnote"/>
              <w:jc w:val="right"/>
              <w:rPr>
                <w:sz w:val="20"/>
                <w:szCs w:val="20"/>
              </w:rPr>
            </w:pPr>
            <w:r w:rsidRPr="00271DB9">
              <w:rPr>
                <w:color w:val="000000"/>
                <w:sz w:val="20"/>
                <w:szCs w:val="20"/>
              </w:rPr>
              <w:t>9.08</w:t>
            </w:r>
          </w:p>
        </w:tc>
        <w:tc>
          <w:tcPr>
            <w:tcW w:w="1128" w:type="dxa"/>
            <w:noWrap/>
            <w:vAlign w:val="bottom"/>
          </w:tcPr>
          <w:p w14:paraId="6BA46718" w14:textId="77777777" w:rsidR="00F823F0" w:rsidRPr="00271DB9" w:rsidRDefault="00F823F0" w:rsidP="009769A8">
            <w:pPr>
              <w:pStyle w:val="Footnote"/>
              <w:jc w:val="right"/>
              <w:rPr>
                <w:sz w:val="20"/>
                <w:szCs w:val="20"/>
              </w:rPr>
            </w:pPr>
            <w:r w:rsidRPr="00271DB9">
              <w:rPr>
                <w:color w:val="000000"/>
                <w:sz w:val="20"/>
                <w:szCs w:val="20"/>
              </w:rPr>
              <w:t>13.81</w:t>
            </w:r>
          </w:p>
        </w:tc>
        <w:tc>
          <w:tcPr>
            <w:tcW w:w="1032" w:type="dxa"/>
            <w:noWrap/>
            <w:vAlign w:val="bottom"/>
          </w:tcPr>
          <w:p w14:paraId="1D13E7AD" w14:textId="77777777" w:rsidR="00F823F0" w:rsidRPr="00271DB9" w:rsidRDefault="00F823F0" w:rsidP="009769A8">
            <w:pPr>
              <w:pStyle w:val="Footnote"/>
              <w:jc w:val="right"/>
              <w:rPr>
                <w:sz w:val="20"/>
                <w:szCs w:val="20"/>
              </w:rPr>
            </w:pPr>
            <w:r w:rsidRPr="00271DB9">
              <w:rPr>
                <w:color w:val="000000"/>
                <w:sz w:val="20"/>
                <w:szCs w:val="20"/>
              </w:rPr>
              <w:t>44.09</w:t>
            </w:r>
          </w:p>
        </w:tc>
      </w:tr>
      <w:tr w:rsidR="00F823F0" w:rsidRPr="00271DB9" w14:paraId="17DE2C11" w14:textId="77777777" w:rsidTr="00C11BAE">
        <w:trPr>
          <w:trHeight w:val="60"/>
          <w:jc w:val="center"/>
        </w:trPr>
        <w:tc>
          <w:tcPr>
            <w:tcW w:w="1075" w:type="dxa"/>
            <w:noWrap/>
            <w:hideMark/>
          </w:tcPr>
          <w:p w14:paraId="14D8AC23" w14:textId="77777777" w:rsidR="00F823F0" w:rsidRPr="00271DB9" w:rsidRDefault="00F823F0" w:rsidP="009769A8">
            <w:pPr>
              <w:pStyle w:val="Footnote"/>
              <w:jc w:val="left"/>
              <w:rPr>
                <w:b/>
                <w:bCs/>
                <w:sz w:val="20"/>
                <w:szCs w:val="20"/>
              </w:rPr>
            </w:pPr>
            <w:r w:rsidRPr="00271DB9">
              <w:rPr>
                <w:b/>
                <w:bCs/>
                <w:sz w:val="20"/>
                <w:szCs w:val="20"/>
              </w:rPr>
              <w:t> </w:t>
            </w:r>
          </w:p>
        </w:tc>
        <w:tc>
          <w:tcPr>
            <w:tcW w:w="2941" w:type="dxa"/>
            <w:noWrap/>
            <w:hideMark/>
          </w:tcPr>
          <w:p w14:paraId="5750668C" w14:textId="77777777" w:rsidR="00F823F0" w:rsidRPr="00271DB9" w:rsidRDefault="00F823F0" w:rsidP="009769A8">
            <w:pPr>
              <w:pStyle w:val="Footnote"/>
              <w:jc w:val="left"/>
              <w:rPr>
                <w:sz w:val="20"/>
                <w:szCs w:val="20"/>
              </w:rPr>
            </w:pPr>
            <w:r w:rsidRPr="00271DB9">
              <w:rPr>
                <w:sz w:val="20"/>
                <w:szCs w:val="20"/>
              </w:rPr>
              <w:t>Office R</w:t>
            </w:r>
            <w:r w:rsidR="004C5696" w:rsidRPr="00271DB9">
              <w:rPr>
                <w:sz w:val="20"/>
                <w:szCs w:val="20"/>
              </w:rPr>
              <w:t xml:space="preserve">epairs and </w:t>
            </w:r>
            <w:r w:rsidRPr="00271DB9">
              <w:rPr>
                <w:sz w:val="20"/>
                <w:szCs w:val="20"/>
              </w:rPr>
              <w:t>M</w:t>
            </w:r>
            <w:r w:rsidR="004C5696" w:rsidRPr="00271DB9">
              <w:rPr>
                <w:sz w:val="20"/>
                <w:szCs w:val="20"/>
              </w:rPr>
              <w:t>aintenance</w:t>
            </w:r>
            <w:r w:rsidRPr="00271DB9">
              <w:rPr>
                <w:sz w:val="20"/>
                <w:szCs w:val="20"/>
              </w:rPr>
              <w:t xml:space="preserve"> Costs</w:t>
            </w:r>
          </w:p>
        </w:tc>
        <w:tc>
          <w:tcPr>
            <w:tcW w:w="1199" w:type="dxa"/>
            <w:noWrap/>
            <w:vAlign w:val="bottom"/>
          </w:tcPr>
          <w:p w14:paraId="427AECAA" w14:textId="77777777" w:rsidR="00F823F0" w:rsidRPr="00271DB9" w:rsidRDefault="00F823F0" w:rsidP="009769A8">
            <w:pPr>
              <w:pStyle w:val="Footnote"/>
              <w:jc w:val="right"/>
              <w:rPr>
                <w:sz w:val="20"/>
                <w:szCs w:val="20"/>
              </w:rPr>
            </w:pPr>
            <w:r w:rsidRPr="00271DB9">
              <w:rPr>
                <w:color w:val="000000"/>
                <w:sz w:val="20"/>
                <w:szCs w:val="20"/>
              </w:rPr>
              <w:t>13.15</w:t>
            </w:r>
          </w:p>
        </w:tc>
        <w:tc>
          <w:tcPr>
            <w:tcW w:w="1128" w:type="dxa"/>
            <w:noWrap/>
            <w:vAlign w:val="bottom"/>
          </w:tcPr>
          <w:p w14:paraId="00D60D81" w14:textId="77777777" w:rsidR="00F823F0" w:rsidRPr="00271DB9" w:rsidRDefault="00F823F0" w:rsidP="009769A8">
            <w:pPr>
              <w:pStyle w:val="Footnote"/>
              <w:jc w:val="right"/>
              <w:rPr>
                <w:sz w:val="20"/>
                <w:szCs w:val="20"/>
              </w:rPr>
            </w:pPr>
            <w:r w:rsidRPr="00271DB9">
              <w:rPr>
                <w:color w:val="000000"/>
                <w:sz w:val="20"/>
                <w:szCs w:val="20"/>
              </w:rPr>
              <w:t>43.26</w:t>
            </w:r>
          </w:p>
        </w:tc>
        <w:tc>
          <w:tcPr>
            <w:tcW w:w="1032" w:type="dxa"/>
            <w:noWrap/>
            <w:vAlign w:val="bottom"/>
          </w:tcPr>
          <w:p w14:paraId="2ED0B5E0" w14:textId="77777777" w:rsidR="00F823F0" w:rsidRPr="00271DB9" w:rsidRDefault="00F823F0" w:rsidP="009769A8">
            <w:pPr>
              <w:pStyle w:val="Footnote"/>
              <w:jc w:val="right"/>
              <w:rPr>
                <w:sz w:val="20"/>
                <w:szCs w:val="20"/>
              </w:rPr>
            </w:pPr>
            <w:r w:rsidRPr="00271DB9">
              <w:rPr>
                <w:color w:val="000000"/>
                <w:sz w:val="20"/>
                <w:szCs w:val="20"/>
              </w:rPr>
              <w:t>72.37</w:t>
            </w:r>
          </w:p>
        </w:tc>
      </w:tr>
      <w:tr w:rsidR="00F823F0" w:rsidRPr="00271DB9" w14:paraId="05D5AF7F" w14:textId="77777777" w:rsidTr="00C11BAE">
        <w:trPr>
          <w:trHeight w:val="60"/>
          <w:jc w:val="center"/>
        </w:trPr>
        <w:tc>
          <w:tcPr>
            <w:tcW w:w="1075" w:type="dxa"/>
            <w:noWrap/>
            <w:hideMark/>
          </w:tcPr>
          <w:p w14:paraId="414D576A" w14:textId="77777777" w:rsidR="00F823F0" w:rsidRPr="00271DB9" w:rsidRDefault="00F823F0" w:rsidP="009769A8">
            <w:pPr>
              <w:pStyle w:val="Footnote"/>
              <w:jc w:val="left"/>
              <w:rPr>
                <w:b/>
                <w:bCs/>
                <w:sz w:val="20"/>
                <w:szCs w:val="20"/>
              </w:rPr>
            </w:pPr>
            <w:r w:rsidRPr="00271DB9">
              <w:rPr>
                <w:b/>
                <w:bCs/>
                <w:sz w:val="20"/>
                <w:szCs w:val="20"/>
              </w:rPr>
              <w:t> </w:t>
            </w:r>
          </w:p>
        </w:tc>
        <w:tc>
          <w:tcPr>
            <w:tcW w:w="2941" w:type="dxa"/>
            <w:noWrap/>
            <w:hideMark/>
          </w:tcPr>
          <w:p w14:paraId="4F1F476D" w14:textId="77777777" w:rsidR="00F823F0" w:rsidRPr="00271DB9" w:rsidRDefault="00F823F0" w:rsidP="009769A8">
            <w:pPr>
              <w:pStyle w:val="Footnote"/>
              <w:jc w:val="left"/>
              <w:rPr>
                <w:b/>
                <w:bCs/>
                <w:sz w:val="20"/>
                <w:szCs w:val="20"/>
              </w:rPr>
            </w:pPr>
          </w:p>
        </w:tc>
        <w:tc>
          <w:tcPr>
            <w:tcW w:w="1199" w:type="dxa"/>
            <w:noWrap/>
            <w:vAlign w:val="bottom"/>
          </w:tcPr>
          <w:p w14:paraId="7E03EE85" w14:textId="77777777" w:rsidR="00F823F0" w:rsidRPr="00271DB9" w:rsidRDefault="00F823F0" w:rsidP="009769A8">
            <w:pPr>
              <w:pStyle w:val="Footnote"/>
              <w:jc w:val="right"/>
              <w:rPr>
                <w:sz w:val="20"/>
                <w:szCs w:val="20"/>
              </w:rPr>
            </w:pPr>
          </w:p>
        </w:tc>
        <w:tc>
          <w:tcPr>
            <w:tcW w:w="1128" w:type="dxa"/>
            <w:noWrap/>
            <w:vAlign w:val="bottom"/>
          </w:tcPr>
          <w:p w14:paraId="77E260EB" w14:textId="77777777" w:rsidR="00F823F0" w:rsidRPr="00271DB9" w:rsidRDefault="00F823F0" w:rsidP="009769A8">
            <w:pPr>
              <w:pStyle w:val="Footnote"/>
              <w:jc w:val="right"/>
              <w:rPr>
                <w:sz w:val="20"/>
                <w:szCs w:val="20"/>
              </w:rPr>
            </w:pPr>
          </w:p>
        </w:tc>
        <w:tc>
          <w:tcPr>
            <w:tcW w:w="1032" w:type="dxa"/>
            <w:noWrap/>
            <w:vAlign w:val="bottom"/>
          </w:tcPr>
          <w:p w14:paraId="42AD1A45" w14:textId="77777777" w:rsidR="00F823F0" w:rsidRPr="00271DB9" w:rsidRDefault="00F823F0" w:rsidP="009769A8">
            <w:pPr>
              <w:pStyle w:val="Footnote"/>
              <w:jc w:val="right"/>
              <w:rPr>
                <w:sz w:val="20"/>
                <w:szCs w:val="20"/>
              </w:rPr>
            </w:pPr>
          </w:p>
        </w:tc>
      </w:tr>
      <w:tr w:rsidR="00F823F0" w:rsidRPr="00271DB9" w14:paraId="1D7EDB0E" w14:textId="77777777" w:rsidTr="00C11BAE">
        <w:trPr>
          <w:trHeight w:val="60"/>
          <w:jc w:val="center"/>
        </w:trPr>
        <w:tc>
          <w:tcPr>
            <w:tcW w:w="1075" w:type="dxa"/>
            <w:noWrap/>
            <w:hideMark/>
          </w:tcPr>
          <w:p w14:paraId="71BA5A39" w14:textId="77777777" w:rsidR="00F823F0" w:rsidRPr="00841618" w:rsidRDefault="00F823F0" w:rsidP="009769A8">
            <w:pPr>
              <w:pStyle w:val="Footnote"/>
              <w:jc w:val="left"/>
              <w:rPr>
                <w:b/>
                <w:bCs/>
                <w:sz w:val="20"/>
                <w:szCs w:val="20"/>
              </w:rPr>
            </w:pPr>
            <w:r w:rsidRPr="00841618">
              <w:rPr>
                <w:b/>
                <w:bCs/>
                <w:sz w:val="20"/>
                <w:szCs w:val="20"/>
              </w:rPr>
              <w:t> </w:t>
            </w:r>
          </w:p>
        </w:tc>
        <w:tc>
          <w:tcPr>
            <w:tcW w:w="2941" w:type="dxa"/>
            <w:noWrap/>
            <w:hideMark/>
          </w:tcPr>
          <w:p w14:paraId="15243AAA" w14:textId="77777777" w:rsidR="00F823F0" w:rsidRPr="00841618" w:rsidRDefault="00F823F0" w:rsidP="009769A8">
            <w:pPr>
              <w:pStyle w:val="Footnote"/>
              <w:jc w:val="left"/>
              <w:rPr>
                <w:b/>
                <w:bCs/>
                <w:sz w:val="20"/>
                <w:szCs w:val="20"/>
              </w:rPr>
            </w:pPr>
            <w:r w:rsidRPr="00841618">
              <w:rPr>
                <w:b/>
                <w:bCs/>
                <w:sz w:val="20"/>
                <w:szCs w:val="20"/>
              </w:rPr>
              <w:t>Total Cost</w:t>
            </w:r>
          </w:p>
        </w:tc>
        <w:tc>
          <w:tcPr>
            <w:tcW w:w="1199" w:type="dxa"/>
            <w:noWrap/>
            <w:vAlign w:val="bottom"/>
          </w:tcPr>
          <w:p w14:paraId="29EB4C46" w14:textId="77777777" w:rsidR="00F823F0" w:rsidRPr="00271DB9" w:rsidRDefault="00F823F0" w:rsidP="009769A8">
            <w:pPr>
              <w:pStyle w:val="Footnote"/>
              <w:jc w:val="right"/>
              <w:rPr>
                <w:sz w:val="20"/>
                <w:szCs w:val="20"/>
              </w:rPr>
            </w:pPr>
            <w:r w:rsidRPr="00271DB9">
              <w:rPr>
                <w:color w:val="000000"/>
                <w:sz w:val="20"/>
                <w:szCs w:val="20"/>
              </w:rPr>
              <w:t>101.54</w:t>
            </w:r>
          </w:p>
        </w:tc>
        <w:tc>
          <w:tcPr>
            <w:tcW w:w="1128" w:type="dxa"/>
            <w:noWrap/>
            <w:vAlign w:val="bottom"/>
          </w:tcPr>
          <w:p w14:paraId="42D9DBF7" w14:textId="77777777" w:rsidR="00F823F0" w:rsidRPr="00271DB9" w:rsidRDefault="00F823F0" w:rsidP="009769A8">
            <w:pPr>
              <w:pStyle w:val="Footnote"/>
              <w:jc w:val="right"/>
              <w:rPr>
                <w:sz w:val="20"/>
                <w:szCs w:val="20"/>
              </w:rPr>
            </w:pPr>
            <w:r w:rsidRPr="00271DB9">
              <w:rPr>
                <w:color w:val="000000"/>
                <w:sz w:val="20"/>
                <w:szCs w:val="20"/>
              </w:rPr>
              <w:t>280.54</w:t>
            </w:r>
          </w:p>
        </w:tc>
        <w:tc>
          <w:tcPr>
            <w:tcW w:w="1032" w:type="dxa"/>
            <w:noWrap/>
            <w:vAlign w:val="bottom"/>
          </w:tcPr>
          <w:p w14:paraId="3AD877F6" w14:textId="77777777" w:rsidR="00F823F0" w:rsidRPr="00271DB9" w:rsidRDefault="00F823F0" w:rsidP="009769A8">
            <w:pPr>
              <w:pStyle w:val="Footnote"/>
              <w:jc w:val="right"/>
              <w:rPr>
                <w:sz w:val="20"/>
                <w:szCs w:val="20"/>
              </w:rPr>
            </w:pPr>
            <w:r w:rsidRPr="00271DB9">
              <w:rPr>
                <w:color w:val="000000"/>
                <w:sz w:val="20"/>
                <w:szCs w:val="20"/>
              </w:rPr>
              <w:t>533.88</w:t>
            </w:r>
          </w:p>
        </w:tc>
      </w:tr>
      <w:tr w:rsidR="00F823F0" w:rsidRPr="00271DB9" w14:paraId="3380CFB2" w14:textId="77777777" w:rsidTr="00C11BAE">
        <w:trPr>
          <w:trHeight w:val="60"/>
          <w:jc w:val="center"/>
        </w:trPr>
        <w:tc>
          <w:tcPr>
            <w:tcW w:w="1075" w:type="dxa"/>
            <w:noWrap/>
            <w:hideMark/>
          </w:tcPr>
          <w:p w14:paraId="26A674E4" w14:textId="77777777" w:rsidR="00F823F0" w:rsidRPr="00841618" w:rsidRDefault="004445CB" w:rsidP="009769A8">
            <w:pPr>
              <w:pStyle w:val="Footnote"/>
              <w:jc w:val="left"/>
              <w:rPr>
                <w:b/>
                <w:bCs/>
                <w:sz w:val="20"/>
                <w:szCs w:val="20"/>
              </w:rPr>
            </w:pPr>
            <w:r w:rsidRPr="00841618">
              <w:rPr>
                <w:b/>
                <w:bCs/>
                <w:sz w:val="20"/>
                <w:szCs w:val="20"/>
              </w:rPr>
              <w:t>EBITDA</w:t>
            </w:r>
          </w:p>
        </w:tc>
        <w:tc>
          <w:tcPr>
            <w:tcW w:w="2941" w:type="dxa"/>
            <w:noWrap/>
            <w:hideMark/>
          </w:tcPr>
          <w:p w14:paraId="5ADF0945" w14:textId="77777777" w:rsidR="00F823F0" w:rsidRPr="00841618" w:rsidRDefault="00F823F0" w:rsidP="009769A8">
            <w:pPr>
              <w:pStyle w:val="Footnote"/>
              <w:jc w:val="left"/>
              <w:rPr>
                <w:b/>
                <w:bCs/>
                <w:sz w:val="20"/>
                <w:szCs w:val="20"/>
              </w:rPr>
            </w:pPr>
          </w:p>
        </w:tc>
        <w:tc>
          <w:tcPr>
            <w:tcW w:w="1199" w:type="dxa"/>
            <w:noWrap/>
            <w:vAlign w:val="bottom"/>
          </w:tcPr>
          <w:p w14:paraId="39738FFB" w14:textId="77777777" w:rsidR="00F823F0" w:rsidRPr="00271DB9" w:rsidRDefault="00F823F0" w:rsidP="009769A8">
            <w:pPr>
              <w:pStyle w:val="Footnote"/>
              <w:jc w:val="right"/>
              <w:rPr>
                <w:sz w:val="20"/>
                <w:szCs w:val="20"/>
              </w:rPr>
            </w:pPr>
            <w:r w:rsidRPr="00271DB9">
              <w:rPr>
                <w:color w:val="000000"/>
                <w:sz w:val="20"/>
                <w:szCs w:val="20"/>
              </w:rPr>
              <w:t>-15.07</w:t>
            </w:r>
          </w:p>
        </w:tc>
        <w:tc>
          <w:tcPr>
            <w:tcW w:w="1128" w:type="dxa"/>
            <w:noWrap/>
            <w:vAlign w:val="bottom"/>
          </w:tcPr>
          <w:p w14:paraId="216769F3" w14:textId="77777777" w:rsidR="00F823F0" w:rsidRPr="00271DB9" w:rsidRDefault="00F823F0" w:rsidP="009769A8">
            <w:pPr>
              <w:pStyle w:val="Footnote"/>
              <w:jc w:val="right"/>
              <w:rPr>
                <w:sz w:val="20"/>
                <w:szCs w:val="20"/>
              </w:rPr>
            </w:pPr>
            <w:r w:rsidRPr="00271DB9">
              <w:rPr>
                <w:color w:val="000000"/>
                <w:sz w:val="20"/>
                <w:szCs w:val="20"/>
              </w:rPr>
              <w:t>-56.22</w:t>
            </w:r>
          </w:p>
        </w:tc>
        <w:tc>
          <w:tcPr>
            <w:tcW w:w="1032" w:type="dxa"/>
            <w:noWrap/>
            <w:vAlign w:val="bottom"/>
          </w:tcPr>
          <w:p w14:paraId="175859FC" w14:textId="77777777" w:rsidR="00F823F0" w:rsidRPr="00271DB9" w:rsidRDefault="00F823F0" w:rsidP="009769A8">
            <w:pPr>
              <w:pStyle w:val="Footnote"/>
              <w:jc w:val="right"/>
              <w:rPr>
                <w:sz w:val="20"/>
                <w:szCs w:val="20"/>
              </w:rPr>
            </w:pPr>
            <w:r w:rsidRPr="00271DB9">
              <w:rPr>
                <w:color w:val="000000"/>
                <w:sz w:val="20"/>
                <w:szCs w:val="20"/>
              </w:rPr>
              <w:t>-29.02</w:t>
            </w:r>
          </w:p>
        </w:tc>
      </w:tr>
      <w:tr w:rsidR="00F823F0" w:rsidRPr="00271DB9" w14:paraId="35DB3CCE" w14:textId="77777777" w:rsidTr="00C11BAE">
        <w:trPr>
          <w:trHeight w:val="300"/>
          <w:jc w:val="center"/>
        </w:trPr>
        <w:tc>
          <w:tcPr>
            <w:tcW w:w="1075" w:type="dxa"/>
            <w:noWrap/>
            <w:hideMark/>
          </w:tcPr>
          <w:p w14:paraId="6FACAD83" w14:textId="5827DC6F" w:rsidR="00F823F0" w:rsidRPr="00841618" w:rsidRDefault="00F823F0" w:rsidP="00823405">
            <w:pPr>
              <w:pStyle w:val="Footnote"/>
              <w:jc w:val="left"/>
              <w:rPr>
                <w:b/>
                <w:bCs/>
                <w:sz w:val="20"/>
                <w:szCs w:val="20"/>
              </w:rPr>
            </w:pPr>
            <w:r w:rsidRPr="00841618">
              <w:rPr>
                <w:b/>
                <w:bCs/>
                <w:sz w:val="20"/>
                <w:szCs w:val="20"/>
              </w:rPr>
              <w:t xml:space="preserve">EBITDA </w:t>
            </w:r>
            <w:r w:rsidR="00823405">
              <w:rPr>
                <w:b/>
                <w:bCs/>
                <w:sz w:val="20"/>
                <w:szCs w:val="20"/>
              </w:rPr>
              <w:t>M</w:t>
            </w:r>
            <w:r w:rsidRPr="00841618">
              <w:rPr>
                <w:b/>
                <w:bCs/>
                <w:sz w:val="20"/>
                <w:szCs w:val="20"/>
              </w:rPr>
              <w:t>argin</w:t>
            </w:r>
          </w:p>
        </w:tc>
        <w:tc>
          <w:tcPr>
            <w:tcW w:w="2941" w:type="dxa"/>
            <w:noWrap/>
            <w:hideMark/>
          </w:tcPr>
          <w:p w14:paraId="4E89703A" w14:textId="77777777" w:rsidR="00F823F0" w:rsidRPr="00841618" w:rsidRDefault="00F823F0" w:rsidP="009769A8">
            <w:pPr>
              <w:pStyle w:val="Footnote"/>
              <w:jc w:val="left"/>
              <w:rPr>
                <w:b/>
                <w:bCs/>
                <w:sz w:val="20"/>
                <w:szCs w:val="20"/>
              </w:rPr>
            </w:pPr>
          </w:p>
        </w:tc>
        <w:tc>
          <w:tcPr>
            <w:tcW w:w="1199" w:type="dxa"/>
            <w:noWrap/>
            <w:vAlign w:val="bottom"/>
          </w:tcPr>
          <w:p w14:paraId="09A341CE" w14:textId="77777777" w:rsidR="00F823F0" w:rsidRPr="00271DB9" w:rsidRDefault="00F823F0" w:rsidP="009769A8">
            <w:pPr>
              <w:pStyle w:val="Footnote"/>
              <w:jc w:val="right"/>
              <w:rPr>
                <w:sz w:val="20"/>
                <w:szCs w:val="20"/>
              </w:rPr>
            </w:pPr>
            <w:r w:rsidRPr="00271DB9">
              <w:rPr>
                <w:color w:val="000000"/>
                <w:sz w:val="20"/>
                <w:szCs w:val="20"/>
              </w:rPr>
              <w:t>-0.17</w:t>
            </w:r>
          </w:p>
        </w:tc>
        <w:tc>
          <w:tcPr>
            <w:tcW w:w="1128" w:type="dxa"/>
            <w:noWrap/>
            <w:vAlign w:val="bottom"/>
          </w:tcPr>
          <w:p w14:paraId="5720426B" w14:textId="77777777" w:rsidR="00F823F0" w:rsidRPr="00271DB9" w:rsidRDefault="00F823F0" w:rsidP="009769A8">
            <w:pPr>
              <w:pStyle w:val="Footnote"/>
              <w:jc w:val="right"/>
              <w:rPr>
                <w:sz w:val="20"/>
                <w:szCs w:val="20"/>
              </w:rPr>
            </w:pPr>
            <w:r w:rsidRPr="00271DB9">
              <w:rPr>
                <w:color w:val="000000"/>
                <w:sz w:val="20"/>
                <w:szCs w:val="20"/>
              </w:rPr>
              <w:t>-0.25</w:t>
            </w:r>
          </w:p>
        </w:tc>
        <w:tc>
          <w:tcPr>
            <w:tcW w:w="1032" w:type="dxa"/>
            <w:noWrap/>
            <w:vAlign w:val="bottom"/>
          </w:tcPr>
          <w:p w14:paraId="0BA0E0C2" w14:textId="77777777" w:rsidR="00F823F0" w:rsidRPr="00271DB9" w:rsidRDefault="00F823F0" w:rsidP="009769A8">
            <w:pPr>
              <w:pStyle w:val="Footnote"/>
              <w:jc w:val="right"/>
              <w:rPr>
                <w:sz w:val="20"/>
                <w:szCs w:val="20"/>
              </w:rPr>
            </w:pPr>
            <w:r w:rsidRPr="00271DB9">
              <w:rPr>
                <w:color w:val="000000"/>
                <w:sz w:val="20"/>
                <w:szCs w:val="20"/>
              </w:rPr>
              <w:t>-0.06</w:t>
            </w:r>
          </w:p>
        </w:tc>
      </w:tr>
      <w:tr w:rsidR="00F823F0" w:rsidRPr="00271DB9" w14:paraId="488CEC2F" w14:textId="77777777" w:rsidTr="00C11BAE">
        <w:trPr>
          <w:trHeight w:val="300"/>
          <w:jc w:val="center"/>
        </w:trPr>
        <w:tc>
          <w:tcPr>
            <w:tcW w:w="1075" w:type="dxa"/>
            <w:noWrap/>
            <w:hideMark/>
          </w:tcPr>
          <w:p w14:paraId="36B88BDE" w14:textId="77777777" w:rsidR="00F823F0" w:rsidRPr="00841618" w:rsidRDefault="00F823F0" w:rsidP="009769A8">
            <w:pPr>
              <w:pStyle w:val="Footnote"/>
              <w:jc w:val="left"/>
              <w:rPr>
                <w:sz w:val="20"/>
                <w:szCs w:val="20"/>
              </w:rPr>
            </w:pPr>
            <w:r w:rsidRPr="00841618">
              <w:rPr>
                <w:sz w:val="20"/>
                <w:szCs w:val="20"/>
              </w:rPr>
              <w:t> </w:t>
            </w:r>
          </w:p>
        </w:tc>
        <w:tc>
          <w:tcPr>
            <w:tcW w:w="2941" w:type="dxa"/>
            <w:noWrap/>
            <w:hideMark/>
          </w:tcPr>
          <w:p w14:paraId="60DAA61A" w14:textId="77777777" w:rsidR="00F823F0" w:rsidRPr="00841618" w:rsidRDefault="00F823F0" w:rsidP="009769A8">
            <w:pPr>
              <w:pStyle w:val="Footnote"/>
              <w:jc w:val="left"/>
              <w:rPr>
                <w:sz w:val="20"/>
                <w:szCs w:val="20"/>
              </w:rPr>
            </w:pPr>
            <w:r w:rsidRPr="00841618">
              <w:rPr>
                <w:sz w:val="20"/>
                <w:szCs w:val="20"/>
              </w:rPr>
              <w:t>Other Non-Operating Income</w:t>
            </w:r>
          </w:p>
        </w:tc>
        <w:tc>
          <w:tcPr>
            <w:tcW w:w="1199" w:type="dxa"/>
            <w:noWrap/>
            <w:vAlign w:val="bottom"/>
          </w:tcPr>
          <w:p w14:paraId="3F232736" w14:textId="77777777" w:rsidR="00F823F0" w:rsidRPr="00271DB9" w:rsidRDefault="00F823F0" w:rsidP="009769A8">
            <w:pPr>
              <w:pStyle w:val="Footnote"/>
              <w:jc w:val="right"/>
              <w:rPr>
                <w:sz w:val="20"/>
                <w:szCs w:val="20"/>
              </w:rPr>
            </w:pPr>
            <w:r w:rsidRPr="00271DB9">
              <w:rPr>
                <w:color w:val="000000"/>
                <w:sz w:val="20"/>
                <w:szCs w:val="20"/>
              </w:rPr>
              <w:t>4.56</w:t>
            </w:r>
          </w:p>
        </w:tc>
        <w:tc>
          <w:tcPr>
            <w:tcW w:w="1128" w:type="dxa"/>
            <w:noWrap/>
            <w:vAlign w:val="bottom"/>
          </w:tcPr>
          <w:p w14:paraId="42A40E72" w14:textId="77777777" w:rsidR="00F823F0" w:rsidRPr="00271DB9" w:rsidRDefault="00F823F0" w:rsidP="009769A8">
            <w:pPr>
              <w:pStyle w:val="Footnote"/>
              <w:jc w:val="right"/>
              <w:rPr>
                <w:sz w:val="20"/>
                <w:szCs w:val="20"/>
              </w:rPr>
            </w:pPr>
            <w:r w:rsidRPr="00271DB9">
              <w:rPr>
                <w:color w:val="000000"/>
                <w:sz w:val="20"/>
                <w:szCs w:val="20"/>
              </w:rPr>
              <w:t>8.33</w:t>
            </w:r>
          </w:p>
        </w:tc>
        <w:tc>
          <w:tcPr>
            <w:tcW w:w="1032" w:type="dxa"/>
            <w:noWrap/>
            <w:vAlign w:val="bottom"/>
          </w:tcPr>
          <w:p w14:paraId="2ACAFE5C" w14:textId="77777777" w:rsidR="00F823F0" w:rsidRPr="00271DB9" w:rsidRDefault="00F823F0" w:rsidP="009769A8">
            <w:pPr>
              <w:pStyle w:val="Footnote"/>
              <w:jc w:val="right"/>
              <w:rPr>
                <w:sz w:val="20"/>
                <w:szCs w:val="20"/>
              </w:rPr>
            </w:pPr>
            <w:r w:rsidRPr="00271DB9">
              <w:rPr>
                <w:color w:val="000000"/>
                <w:sz w:val="20"/>
                <w:szCs w:val="20"/>
              </w:rPr>
              <w:t>19.64</w:t>
            </w:r>
          </w:p>
        </w:tc>
      </w:tr>
      <w:tr w:rsidR="00F823F0" w:rsidRPr="00271DB9" w14:paraId="015AEFB5" w14:textId="77777777" w:rsidTr="00C11BAE">
        <w:trPr>
          <w:trHeight w:val="300"/>
          <w:jc w:val="center"/>
        </w:trPr>
        <w:tc>
          <w:tcPr>
            <w:tcW w:w="1075" w:type="dxa"/>
            <w:noWrap/>
            <w:hideMark/>
          </w:tcPr>
          <w:p w14:paraId="614D9BF7" w14:textId="77777777" w:rsidR="00F823F0" w:rsidRPr="00841618" w:rsidRDefault="00F823F0" w:rsidP="009769A8">
            <w:pPr>
              <w:pStyle w:val="Footnote"/>
              <w:jc w:val="left"/>
              <w:rPr>
                <w:sz w:val="20"/>
                <w:szCs w:val="20"/>
              </w:rPr>
            </w:pPr>
            <w:r w:rsidRPr="00841618">
              <w:rPr>
                <w:sz w:val="20"/>
                <w:szCs w:val="20"/>
              </w:rPr>
              <w:t> </w:t>
            </w:r>
          </w:p>
        </w:tc>
        <w:tc>
          <w:tcPr>
            <w:tcW w:w="2941" w:type="dxa"/>
            <w:noWrap/>
            <w:hideMark/>
          </w:tcPr>
          <w:p w14:paraId="79654B36" w14:textId="77777777" w:rsidR="00F823F0" w:rsidRPr="00841618" w:rsidRDefault="00F823F0" w:rsidP="009769A8">
            <w:pPr>
              <w:pStyle w:val="Footnote"/>
              <w:jc w:val="left"/>
              <w:rPr>
                <w:sz w:val="20"/>
                <w:szCs w:val="20"/>
              </w:rPr>
            </w:pPr>
            <w:r w:rsidRPr="00841618">
              <w:rPr>
                <w:sz w:val="20"/>
                <w:szCs w:val="20"/>
              </w:rPr>
              <w:t>Finance Expenses</w:t>
            </w:r>
          </w:p>
        </w:tc>
        <w:tc>
          <w:tcPr>
            <w:tcW w:w="1199" w:type="dxa"/>
            <w:noWrap/>
            <w:vAlign w:val="bottom"/>
          </w:tcPr>
          <w:p w14:paraId="3E0359D1" w14:textId="77777777" w:rsidR="00F823F0" w:rsidRPr="00271DB9" w:rsidRDefault="00F823F0" w:rsidP="009769A8">
            <w:pPr>
              <w:pStyle w:val="Footnote"/>
              <w:jc w:val="right"/>
              <w:rPr>
                <w:sz w:val="20"/>
                <w:szCs w:val="20"/>
              </w:rPr>
            </w:pPr>
            <w:r w:rsidRPr="00271DB9">
              <w:rPr>
                <w:color w:val="000000"/>
                <w:sz w:val="20"/>
                <w:szCs w:val="20"/>
              </w:rPr>
              <w:t>9.83</w:t>
            </w:r>
          </w:p>
        </w:tc>
        <w:tc>
          <w:tcPr>
            <w:tcW w:w="1128" w:type="dxa"/>
            <w:noWrap/>
            <w:vAlign w:val="bottom"/>
          </w:tcPr>
          <w:p w14:paraId="219982DD" w14:textId="77777777" w:rsidR="00F823F0" w:rsidRPr="00271DB9" w:rsidRDefault="00F823F0" w:rsidP="009769A8">
            <w:pPr>
              <w:pStyle w:val="Footnote"/>
              <w:jc w:val="right"/>
              <w:rPr>
                <w:sz w:val="20"/>
                <w:szCs w:val="20"/>
              </w:rPr>
            </w:pPr>
            <w:r w:rsidRPr="00271DB9">
              <w:rPr>
                <w:color w:val="000000"/>
                <w:sz w:val="20"/>
                <w:szCs w:val="20"/>
              </w:rPr>
              <w:t>8.49</w:t>
            </w:r>
          </w:p>
        </w:tc>
        <w:tc>
          <w:tcPr>
            <w:tcW w:w="1032" w:type="dxa"/>
            <w:noWrap/>
            <w:vAlign w:val="bottom"/>
          </w:tcPr>
          <w:p w14:paraId="193E2D42" w14:textId="77777777" w:rsidR="00F823F0" w:rsidRPr="00271DB9" w:rsidRDefault="00F823F0" w:rsidP="009769A8">
            <w:pPr>
              <w:pStyle w:val="Footnote"/>
              <w:jc w:val="right"/>
              <w:rPr>
                <w:sz w:val="20"/>
                <w:szCs w:val="20"/>
              </w:rPr>
            </w:pPr>
            <w:r w:rsidRPr="00271DB9">
              <w:rPr>
                <w:color w:val="000000"/>
                <w:sz w:val="20"/>
                <w:szCs w:val="20"/>
              </w:rPr>
              <w:t>14.53</w:t>
            </w:r>
          </w:p>
        </w:tc>
      </w:tr>
      <w:tr w:rsidR="00F823F0" w:rsidRPr="00271DB9" w14:paraId="41A62435" w14:textId="77777777" w:rsidTr="00C11BAE">
        <w:trPr>
          <w:trHeight w:val="60"/>
          <w:jc w:val="center"/>
        </w:trPr>
        <w:tc>
          <w:tcPr>
            <w:tcW w:w="1075" w:type="dxa"/>
            <w:noWrap/>
            <w:hideMark/>
          </w:tcPr>
          <w:p w14:paraId="18AAA51C" w14:textId="77777777" w:rsidR="00F823F0" w:rsidRPr="00841618" w:rsidRDefault="00F823F0" w:rsidP="009769A8">
            <w:pPr>
              <w:pStyle w:val="Footnote"/>
              <w:jc w:val="left"/>
              <w:rPr>
                <w:sz w:val="20"/>
                <w:szCs w:val="20"/>
              </w:rPr>
            </w:pPr>
            <w:r w:rsidRPr="00841618">
              <w:rPr>
                <w:sz w:val="20"/>
                <w:szCs w:val="20"/>
              </w:rPr>
              <w:t> </w:t>
            </w:r>
          </w:p>
        </w:tc>
        <w:tc>
          <w:tcPr>
            <w:tcW w:w="2941" w:type="dxa"/>
            <w:noWrap/>
            <w:hideMark/>
          </w:tcPr>
          <w:p w14:paraId="658CD90B" w14:textId="77777777" w:rsidR="00F823F0" w:rsidRPr="00841618" w:rsidRDefault="00F823F0" w:rsidP="009769A8">
            <w:pPr>
              <w:pStyle w:val="Footnote"/>
              <w:jc w:val="left"/>
              <w:rPr>
                <w:sz w:val="20"/>
                <w:szCs w:val="20"/>
              </w:rPr>
            </w:pPr>
            <w:r w:rsidRPr="00841618">
              <w:rPr>
                <w:sz w:val="20"/>
                <w:szCs w:val="20"/>
              </w:rPr>
              <w:t>Depreciation Expenses</w:t>
            </w:r>
          </w:p>
        </w:tc>
        <w:tc>
          <w:tcPr>
            <w:tcW w:w="1199" w:type="dxa"/>
            <w:noWrap/>
            <w:vAlign w:val="bottom"/>
          </w:tcPr>
          <w:p w14:paraId="676F7756" w14:textId="77777777" w:rsidR="00F823F0" w:rsidRPr="00271DB9" w:rsidRDefault="00F823F0" w:rsidP="009769A8">
            <w:pPr>
              <w:pStyle w:val="Footnote"/>
              <w:jc w:val="right"/>
              <w:rPr>
                <w:sz w:val="20"/>
                <w:szCs w:val="20"/>
              </w:rPr>
            </w:pPr>
            <w:r w:rsidRPr="00271DB9">
              <w:rPr>
                <w:color w:val="000000"/>
                <w:sz w:val="20"/>
                <w:szCs w:val="20"/>
              </w:rPr>
              <w:t>12.39</w:t>
            </w:r>
          </w:p>
        </w:tc>
        <w:tc>
          <w:tcPr>
            <w:tcW w:w="1128" w:type="dxa"/>
            <w:noWrap/>
            <w:vAlign w:val="bottom"/>
          </w:tcPr>
          <w:p w14:paraId="3A421BD3" w14:textId="77777777" w:rsidR="00F823F0" w:rsidRPr="00271DB9" w:rsidRDefault="00F823F0" w:rsidP="009769A8">
            <w:pPr>
              <w:pStyle w:val="Footnote"/>
              <w:jc w:val="right"/>
              <w:rPr>
                <w:sz w:val="20"/>
                <w:szCs w:val="20"/>
              </w:rPr>
            </w:pPr>
            <w:r w:rsidRPr="00271DB9">
              <w:rPr>
                <w:color w:val="000000"/>
                <w:sz w:val="20"/>
                <w:szCs w:val="20"/>
              </w:rPr>
              <w:t>13.44</w:t>
            </w:r>
          </w:p>
        </w:tc>
        <w:tc>
          <w:tcPr>
            <w:tcW w:w="1032" w:type="dxa"/>
            <w:noWrap/>
            <w:vAlign w:val="bottom"/>
          </w:tcPr>
          <w:p w14:paraId="1532319E" w14:textId="77777777" w:rsidR="00F823F0" w:rsidRPr="00271DB9" w:rsidRDefault="00F823F0" w:rsidP="009769A8">
            <w:pPr>
              <w:pStyle w:val="Footnote"/>
              <w:jc w:val="right"/>
              <w:rPr>
                <w:sz w:val="20"/>
                <w:szCs w:val="20"/>
              </w:rPr>
            </w:pPr>
            <w:r w:rsidRPr="00271DB9">
              <w:rPr>
                <w:color w:val="000000"/>
                <w:sz w:val="20"/>
                <w:szCs w:val="20"/>
              </w:rPr>
              <w:t>23.96</w:t>
            </w:r>
          </w:p>
        </w:tc>
      </w:tr>
      <w:tr w:rsidR="00F823F0" w:rsidRPr="00271DB9" w14:paraId="6A3EAF31" w14:textId="77777777" w:rsidTr="00C11BAE">
        <w:trPr>
          <w:trHeight w:val="60"/>
          <w:jc w:val="center"/>
        </w:trPr>
        <w:tc>
          <w:tcPr>
            <w:tcW w:w="1075" w:type="dxa"/>
            <w:noWrap/>
            <w:hideMark/>
          </w:tcPr>
          <w:p w14:paraId="1DC7ECBB" w14:textId="77777777" w:rsidR="00F823F0" w:rsidRPr="00841618" w:rsidRDefault="00F823F0" w:rsidP="009769A8">
            <w:pPr>
              <w:pStyle w:val="Footnote"/>
              <w:jc w:val="left"/>
              <w:rPr>
                <w:sz w:val="20"/>
                <w:szCs w:val="20"/>
              </w:rPr>
            </w:pPr>
            <w:r w:rsidRPr="00841618">
              <w:rPr>
                <w:sz w:val="20"/>
                <w:szCs w:val="20"/>
              </w:rPr>
              <w:t> </w:t>
            </w:r>
          </w:p>
        </w:tc>
        <w:tc>
          <w:tcPr>
            <w:tcW w:w="2941" w:type="dxa"/>
            <w:noWrap/>
            <w:hideMark/>
          </w:tcPr>
          <w:p w14:paraId="19D195DB" w14:textId="77777777" w:rsidR="00F823F0" w:rsidRPr="00841618" w:rsidRDefault="00F823F0" w:rsidP="009769A8">
            <w:pPr>
              <w:pStyle w:val="Footnote"/>
              <w:jc w:val="left"/>
              <w:rPr>
                <w:sz w:val="20"/>
                <w:szCs w:val="20"/>
              </w:rPr>
            </w:pPr>
            <w:r w:rsidRPr="00841618">
              <w:rPr>
                <w:sz w:val="20"/>
                <w:szCs w:val="20"/>
              </w:rPr>
              <w:t>Goodwill Amorti</w:t>
            </w:r>
            <w:r w:rsidR="0078286A" w:rsidRPr="00841618">
              <w:rPr>
                <w:sz w:val="20"/>
                <w:szCs w:val="20"/>
              </w:rPr>
              <w:t>z</w:t>
            </w:r>
            <w:r w:rsidRPr="00841618">
              <w:rPr>
                <w:sz w:val="20"/>
                <w:szCs w:val="20"/>
              </w:rPr>
              <w:t>ation</w:t>
            </w:r>
          </w:p>
        </w:tc>
        <w:tc>
          <w:tcPr>
            <w:tcW w:w="1199" w:type="dxa"/>
            <w:noWrap/>
            <w:vAlign w:val="bottom"/>
          </w:tcPr>
          <w:p w14:paraId="186EB6D2" w14:textId="77777777" w:rsidR="00F823F0" w:rsidRPr="00271DB9" w:rsidRDefault="00F823F0" w:rsidP="009769A8">
            <w:pPr>
              <w:pStyle w:val="Footnote"/>
              <w:jc w:val="right"/>
              <w:rPr>
                <w:sz w:val="20"/>
                <w:szCs w:val="20"/>
              </w:rPr>
            </w:pPr>
            <w:r w:rsidRPr="00271DB9">
              <w:rPr>
                <w:color w:val="000000"/>
                <w:sz w:val="20"/>
                <w:szCs w:val="20"/>
              </w:rPr>
              <w:t>0.89</w:t>
            </w:r>
          </w:p>
        </w:tc>
        <w:tc>
          <w:tcPr>
            <w:tcW w:w="1128" w:type="dxa"/>
            <w:noWrap/>
            <w:vAlign w:val="bottom"/>
          </w:tcPr>
          <w:p w14:paraId="6A685BF8" w14:textId="77777777" w:rsidR="00F823F0" w:rsidRPr="00271DB9" w:rsidRDefault="00F823F0" w:rsidP="009769A8">
            <w:pPr>
              <w:pStyle w:val="Footnote"/>
              <w:jc w:val="right"/>
              <w:rPr>
                <w:sz w:val="20"/>
                <w:szCs w:val="20"/>
              </w:rPr>
            </w:pPr>
            <w:r w:rsidRPr="00271DB9">
              <w:rPr>
                <w:color w:val="000000"/>
                <w:sz w:val="20"/>
                <w:szCs w:val="20"/>
              </w:rPr>
              <w:t>17.23</w:t>
            </w:r>
          </w:p>
        </w:tc>
        <w:tc>
          <w:tcPr>
            <w:tcW w:w="1032" w:type="dxa"/>
            <w:noWrap/>
            <w:vAlign w:val="bottom"/>
          </w:tcPr>
          <w:p w14:paraId="409D3673" w14:textId="77777777" w:rsidR="00F823F0" w:rsidRPr="00271DB9" w:rsidRDefault="00F823F0" w:rsidP="009769A8">
            <w:pPr>
              <w:pStyle w:val="Footnote"/>
              <w:jc w:val="right"/>
              <w:rPr>
                <w:sz w:val="20"/>
                <w:szCs w:val="20"/>
              </w:rPr>
            </w:pPr>
            <w:r w:rsidRPr="00271DB9">
              <w:rPr>
                <w:color w:val="000000"/>
                <w:sz w:val="20"/>
                <w:szCs w:val="20"/>
              </w:rPr>
              <w:t>26.00</w:t>
            </w:r>
          </w:p>
        </w:tc>
      </w:tr>
      <w:tr w:rsidR="00F823F0" w:rsidRPr="00271DB9" w14:paraId="17A1A600" w14:textId="77777777" w:rsidTr="00C11BAE">
        <w:trPr>
          <w:trHeight w:val="60"/>
          <w:jc w:val="center"/>
        </w:trPr>
        <w:tc>
          <w:tcPr>
            <w:tcW w:w="1075" w:type="dxa"/>
            <w:noWrap/>
            <w:hideMark/>
          </w:tcPr>
          <w:p w14:paraId="01D3EDB4" w14:textId="77777777" w:rsidR="00F823F0" w:rsidRPr="00841618" w:rsidRDefault="004445CB" w:rsidP="009769A8">
            <w:pPr>
              <w:pStyle w:val="Footnote"/>
              <w:jc w:val="left"/>
              <w:rPr>
                <w:b/>
                <w:bCs/>
                <w:sz w:val="20"/>
                <w:szCs w:val="20"/>
              </w:rPr>
            </w:pPr>
            <w:r w:rsidRPr="00841618">
              <w:rPr>
                <w:b/>
                <w:bCs/>
                <w:sz w:val="20"/>
                <w:szCs w:val="20"/>
              </w:rPr>
              <w:t>PBT</w:t>
            </w:r>
          </w:p>
        </w:tc>
        <w:tc>
          <w:tcPr>
            <w:tcW w:w="2941" w:type="dxa"/>
            <w:noWrap/>
            <w:hideMark/>
          </w:tcPr>
          <w:p w14:paraId="3A52D261" w14:textId="77777777" w:rsidR="00F823F0" w:rsidRPr="00841618" w:rsidRDefault="00F823F0" w:rsidP="009769A8">
            <w:pPr>
              <w:pStyle w:val="Footnote"/>
              <w:jc w:val="left"/>
              <w:rPr>
                <w:b/>
                <w:bCs/>
                <w:sz w:val="20"/>
                <w:szCs w:val="20"/>
              </w:rPr>
            </w:pPr>
          </w:p>
        </w:tc>
        <w:tc>
          <w:tcPr>
            <w:tcW w:w="1199" w:type="dxa"/>
            <w:noWrap/>
            <w:vAlign w:val="bottom"/>
          </w:tcPr>
          <w:p w14:paraId="165DB1BA" w14:textId="77777777" w:rsidR="00F823F0" w:rsidRPr="00271DB9" w:rsidRDefault="00F823F0" w:rsidP="009769A8">
            <w:pPr>
              <w:pStyle w:val="Footnote"/>
              <w:jc w:val="right"/>
              <w:rPr>
                <w:sz w:val="20"/>
                <w:szCs w:val="20"/>
              </w:rPr>
            </w:pPr>
            <w:r w:rsidRPr="00271DB9">
              <w:rPr>
                <w:color w:val="000000"/>
                <w:sz w:val="20"/>
                <w:szCs w:val="20"/>
              </w:rPr>
              <w:t>-33.62</w:t>
            </w:r>
          </w:p>
        </w:tc>
        <w:tc>
          <w:tcPr>
            <w:tcW w:w="1128" w:type="dxa"/>
            <w:noWrap/>
            <w:vAlign w:val="bottom"/>
          </w:tcPr>
          <w:p w14:paraId="2377F8ED" w14:textId="77777777" w:rsidR="00F823F0" w:rsidRPr="00271DB9" w:rsidRDefault="00F823F0" w:rsidP="009769A8">
            <w:pPr>
              <w:pStyle w:val="Footnote"/>
              <w:jc w:val="right"/>
              <w:rPr>
                <w:sz w:val="20"/>
                <w:szCs w:val="20"/>
              </w:rPr>
            </w:pPr>
            <w:r w:rsidRPr="00271DB9">
              <w:rPr>
                <w:color w:val="000000"/>
                <w:sz w:val="20"/>
                <w:szCs w:val="20"/>
              </w:rPr>
              <w:t>-87.06</w:t>
            </w:r>
          </w:p>
        </w:tc>
        <w:tc>
          <w:tcPr>
            <w:tcW w:w="1032" w:type="dxa"/>
            <w:noWrap/>
            <w:vAlign w:val="bottom"/>
          </w:tcPr>
          <w:p w14:paraId="4C955318" w14:textId="77777777" w:rsidR="00F823F0" w:rsidRPr="00271DB9" w:rsidRDefault="00F823F0" w:rsidP="009769A8">
            <w:pPr>
              <w:pStyle w:val="Footnote"/>
              <w:jc w:val="right"/>
              <w:rPr>
                <w:sz w:val="20"/>
                <w:szCs w:val="20"/>
              </w:rPr>
            </w:pPr>
            <w:r w:rsidRPr="00271DB9">
              <w:rPr>
                <w:color w:val="000000"/>
                <w:sz w:val="20"/>
                <w:szCs w:val="20"/>
              </w:rPr>
              <w:t>-73.87</w:t>
            </w:r>
          </w:p>
        </w:tc>
      </w:tr>
      <w:tr w:rsidR="00F823F0" w:rsidRPr="00271DB9" w14:paraId="5221B0B8" w14:textId="77777777" w:rsidTr="00C11BAE">
        <w:trPr>
          <w:trHeight w:val="60"/>
          <w:jc w:val="center"/>
        </w:trPr>
        <w:tc>
          <w:tcPr>
            <w:tcW w:w="1075" w:type="dxa"/>
            <w:noWrap/>
            <w:hideMark/>
          </w:tcPr>
          <w:p w14:paraId="2F69FF28" w14:textId="4B12EB38" w:rsidR="00F823F0" w:rsidRPr="00841618" w:rsidRDefault="00F823F0" w:rsidP="00823405">
            <w:pPr>
              <w:pStyle w:val="Footnote"/>
              <w:jc w:val="left"/>
              <w:rPr>
                <w:b/>
                <w:bCs/>
                <w:sz w:val="20"/>
                <w:szCs w:val="20"/>
              </w:rPr>
            </w:pPr>
            <w:r w:rsidRPr="00841618">
              <w:rPr>
                <w:b/>
                <w:bCs/>
                <w:sz w:val="20"/>
                <w:szCs w:val="20"/>
              </w:rPr>
              <w:t xml:space="preserve">PBT </w:t>
            </w:r>
            <w:r w:rsidR="00823405">
              <w:rPr>
                <w:b/>
                <w:bCs/>
                <w:sz w:val="20"/>
                <w:szCs w:val="20"/>
              </w:rPr>
              <w:t>M</w:t>
            </w:r>
            <w:r w:rsidRPr="00841618">
              <w:rPr>
                <w:b/>
                <w:bCs/>
                <w:sz w:val="20"/>
                <w:szCs w:val="20"/>
              </w:rPr>
              <w:t>argin</w:t>
            </w:r>
          </w:p>
        </w:tc>
        <w:tc>
          <w:tcPr>
            <w:tcW w:w="2941" w:type="dxa"/>
            <w:noWrap/>
            <w:hideMark/>
          </w:tcPr>
          <w:p w14:paraId="106E5B01" w14:textId="77777777" w:rsidR="00F823F0" w:rsidRPr="00841618" w:rsidRDefault="00F823F0" w:rsidP="009769A8">
            <w:pPr>
              <w:pStyle w:val="Footnote"/>
              <w:jc w:val="left"/>
              <w:rPr>
                <w:sz w:val="20"/>
                <w:szCs w:val="20"/>
              </w:rPr>
            </w:pPr>
            <w:r w:rsidRPr="00841618">
              <w:rPr>
                <w:sz w:val="20"/>
                <w:szCs w:val="20"/>
              </w:rPr>
              <w:t> </w:t>
            </w:r>
          </w:p>
        </w:tc>
        <w:tc>
          <w:tcPr>
            <w:tcW w:w="1199" w:type="dxa"/>
            <w:noWrap/>
            <w:vAlign w:val="bottom"/>
          </w:tcPr>
          <w:p w14:paraId="74A5F50D" w14:textId="77777777" w:rsidR="00F823F0" w:rsidRPr="00271DB9" w:rsidRDefault="00F823F0" w:rsidP="009769A8">
            <w:pPr>
              <w:pStyle w:val="Footnote"/>
              <w:jc w:val="right"/>
              <w:rPr>
                <w:sz w:val="20"/>
                <w:szCs w:val="20"/>
              </w:rPr>
            </w:pPr>
            <w:r w:rsidRPr="00271DB9">
              <w:rPr>
                <w:color w:val="000000"/>
                <w:sz w:val="20"/>
                <w:szCs w:val="20"/>
              </w:rPr>
              <w:t>-0.38</w:t>
            </w:r>
          </w:p>
        </w:tc>
        <w:tc>
          <w:tcPr>
            <w:tcW w:w="1128" w:type="dxa"/>
            <w:noWrap/>
            <w:vAlign w:val="bottom"/>
          </w:tcPr>
          <w:p w14:paraId="1DB6DCB3" w14:textId="77777777" w:rsidR="00F823F0" w:rsidRPr="00271DB9" w:rsidRDefault="00F823F0" w:rsidP="009769A8">
            <w:pPr>
              <w:pStyle w:val="Footnote"/>
              <w:jc w:val="right"/>
              <w:rPr>
                <w:sz w:val="20"/>
                <w:szCs w:val="20"/>
              </w:rPr>
            </w:pPr>
            <w:r w:rsidRPr="00271DB9">
              <w:rPr>
                <w:color w:val="000000"/>
                <w:sz w:val="20"/>
                <w:szCs w:val="20"/>
              </w:rPr>
              <w:t>-0.37</w:t>
            </w:r>
          </w:p>
        </w:tc>
        <w:tc>
          <w:tcPr>
            <w:tcW w:w="1032" w:type="dxa"/>
            <w:noWrap/>
            <w:vAlign w:val="bottom"/>
          </w:tcPr>
          <w:p w14:paraId="0B3D84F0" w14:textId="77777777" w:rsidR="00F823F0" w:rsidRPr="00271DB9" w:rsidRDefault="00F823F0" w:rsidP="009769A8">
            <w:pPr>
              <w:pStyle w:val="Footnote"/>
              <w:jc w:val="right"/>
              <w:rPr>
                <w:sz w:val="20"/>
                <w:szCs w:val="20"/>
              </w:rPr>
            </w:pPr>
            <w:r w:rsidRPr="00271DB9">
              <w:rPr>
                <w:color w:val="000000"/>
                <w:sz w:val="20"/>
                <w:szCs w:val="20"/>
              </w:rPr>
              <w:t>-0.14</w:t>
            </w:r>
          </w:p>
        </w:tc>
      </w:tr>
      <w:tr w:rsidR="00F823F0" w:rsidRPr="00271DB9" w14:paraId="4D792C7A" w14:textId="77777777" w:rsidTr="00C11BAE">
        <w:trPr>
          <w:trHeight w:val="60"/>
          <w:jc w:val="center"/>
        </w:trPr>
        <w:tc>
          <w:tcPr>
            <w:tcW w:w="1075" w:type="dxa"/>
            <w:noWrap/>
            <w:hideMark/>
          </w:tcPr>
          <w:p w14:paraId="71857242" w14:textId="77777777" w:rsidR="00F823F0" w:rsidRPr="00841618" w:rsidRDefault="00F823F0" w:rsidP="009769A8">
            <w:pPr>
              <w:pStyle w:val="Footnote"/>
              <w:jc w:val="left"/>
              <w:rPr>
                <w:sz w:val="20"/>
                <w:szCs w:val="20"/>
              </w:rPr>
            </w:pPr>
          </w:p>
        </w:tc>
        <w:tc>
          <w:tcPr>
            <w:tcW w:w="2941" w:type="dxa"/>
            <w:noWrap/>
            <w:hideMark/>
          </w:tcPr>
          <w:p w14:paraId="277D5201" w14:textId="77777777" w:rsidR="00F823F0" w:rsidRPr="00841618" w:rsidRDefault="00F823F0" w:rsidP="009769A8">
            <w:pPr>
              <w:pStyle w:val="Footnote"/>
              <w:jc w:val="left"/>
              <w:rPr>
                <w:sz w:val="20"/>
                <w:szCs w:val="20"/>
              </w:rPr>
            </w:pPr>
          </w:p>
        </w:tc>
        <w:tc>
          <w:tcPr>
            <w:tcW w:w="1199" w:type="dxa"/>
            <w:noWrap/>
            <w:vAlign w:val="bottom"/>
          </w:tcPr>
          <w:p w14:paraId="0DBFA5F1" w14:textId="77777777" w:rsidR="00F823F0" w:rsidRPr="00271DB9" w:rsidRDefault="00F823F0" w:rsidP="009769A8">
            <w:pPr>
              <w:pStyle w:val="Footnote"/>
              <w:jc w:val="right"/>
              <w:rPr>
                <w:sz w:val="20"/>
                <w:szCs w:val="20"/>
              </w:rPr>
            </w:pPr>
          </w:p>
        </w:tc>
        <w:tc>
          <w:tcPr>
            <w:tcW w:w="1128" w:type="dxa"/>
            <w:noWrap/>
            <w:vAlign w:val="bottom"/>
          </w:tcPr>
          <w:p w14:paraId="0C4DBD29" w14:textId="77777777" w:rsidR="00F823F0" w:rsidRPr="00271DB9" w:rsidRDefault="00F823F0" w:rsidP="009769A8">
            <w:pPr>
              <w:pStyle w:val="Footnote"/>
              <w:jc w:val="right"/>
              <w:rPr>
                <w:sz w:val="20"/>
                <w:szCs w:val="20"/>
              </w:rPr>
            </w:pPr>
          </w:p>
        </w:tc>
        <w:tc>
          <w:tcPr>
            <w:tcW w:w="1032" w:type="dxa"/>
            <w:noWrap/>
            <w:vAlign w:val="bottom"/>
          </w:tcPr>
          <w:p w14:paraId="1D5E80A0" w14:textId="77777777" w:rsidR="00F823F0" w:rsidRPr="00271DB9" w:rsidRDefault="00F823F0" w:rsidP="009769A8">
            <w:pPr>
              <w:pStyle w:val="Footnote"/>
              <w:jc w:val="right"/>
              <w:rPr>
                <w:sz w:val="20"/>
                <w:szCs w:val="20"/>
              </w:rPr>
            </w:pPr>
          </w:p>
        </w:tc>
      </w:tr>
      <w:tr w:rsidR="00F823F0" w:rsidRPr="00271DB9" w14:paraId="648059F7" w14:textId="77777777" w:rsidTr="00C11BAE">
        <w:trPr>
          <w:trHeight w:val="60"/>
          <w:jc w:val="center"/>
        </w:trPr>
        <w:tc>
          <w:tcPr>
            <w:tcW w:w="1075" w:type="dxa"/>
            <w:noWrap/>
            <w:hideMark/>
          </w:tcPr>
          <w:p w14:paraId="3CAC208F" w14:textId="77777777" w:rsidR="00F823F0" w:rsidRPr="00841618" w:rsidRDefault="00F823F0" w:rsidP="009769A8">
            <w:pPr>
              <w:pStyle w:val="Footnote"/>
              <w:jc w:val="left"/>
              <w:rPr>
                <w:sz w:val="20"/>
                <w:szCs w:val="20"/>
              </w:rPr>
            </w:pPr>
          </w:p>
        </w:tc>
        <w:tc>
          <w:tcPr>
            <w:tcW w:w="2941" w:type="dxa"/>
            <w:noWrap/>
            <w:hideMark/>
          </w:tcPr>
          <w:p w14:paraId="3269D86E" w14:textId="77777777" w:rsidR="00F823F0" w:rsidRPr="00841618" w:rsidRDefault="00F823F0" w:rsidP="009769A8">
            <w:pPr>
              <w:pStyle w:val="Footnote"/>
              <w:jc w:val="left"/>
              <w:rPr>
                <w:sz w:val="20"/>
                <w:szCs w:val="20"/>
              </w:rPr>
            </w:pPr>
            <w:r w:rsidRPr="00841618">
              <w:rPr>
                <w:sz w:val="20"/>
                <w:szCs w:val="20"/>
              </w:rPr>
              <w:t>Tax</w:t>
            </w:r>
          </w:p>
        </w:tc>
        <w:tc>
          <w:tcPr>
            <w:tcW w:w="1199" w:type="dxa"/>
            <w:noWrap/>
            <w:vAlign w:val="bottom"/>
          </w:tcPr>
          <w:p w14:paraId="21A0BC92" w14:textId="77777777" w:rsidR="00F823F0" w:rsidRPr="00271DB9" w:rsidRDefault="00F823F0" w:rsidP="009769A8">
            <w:pPr>
              <w:pStyle w:val="Footnote"/>
              <w:jc w:val="right"/>
              <w:rPr>
                <w:sz w:val="20"/>
                <w:szCs w:val="20"/>
              </w:rPr>
            </w:pPr>
            <w:r w:rsidRPr="00271DB9">
              <w:rPr>
                <w:color w:val="000000"/>
                <w:sz w:val="20"/>
                <w:szCs w:val="20"/>
              </w:rPr>
              <w:t>0.00</w:t>
            </w:r>
          </w:p>
        </w:tc>
        <w:tc>
          <w:tcPr>
            <w:tcW w:w="1128" w:type="dxa"/>
            <w:noWrap/>
            <w:vAlign w:val="bottom"/>
          </w:tcPr>
          <w:p w14:paraId="2E6EE0E4" w14:textId="77777777" w:rsidR="00F823F0" w:rsidRPr="00271DB9" w:rsidRDefault="00F823F0" w:rsidP="009769A8">
            <w:pPr>
              <w:pStyle w:val="Footnote"/>
              <w:jc w:val="right"/>
              <w:rPr>
                <w:sz w:val="20"/>
                <w:szCs w:val="20"/>
              </w:rPr>
            </w:pPr>
            <w:r w:rsidRPr="00271DB9">
              <w:rPr>
                <w:color w:val="000000"/>
                <w:sz w:val="20"/>
                <w:szCs w:val="20"/>
              </w:rPr>
              <w:t>0.00</w:t>
            </w:r>
          </w:p>
        </w:tc>
        <w:tc>
          <w:tcPr>
            <w:tcW w:w="1032" w:type="dxa"/>
            <w:noWrap/>
            <w:vAlign w:val="bottom"/>
          </w:tcPr>
          <w:p w14:paraId="6EB658FA" w14:textId="77777777" w:rsidR="00F823F0" w:rsidRPr="00271DB9" w:rsidRDefault="00F823F0" w:rsidP="009769A8">
            <w:pPr>
              <w:pStyle w:val="Footnote"/>
              <w:jc w:val="right"/>
              <w:rPr>
                <w:sz w:val="20"/>
                <w:szCs w:val="20"/>
              </w:rPr>
            </w:pPr>
            <w:r w:rsidRPr="00271DB9">
              <w:rPr>
                <w:color w:val="000000"/>
                <w:sz w:val="20"/>
                <w:szCs w:val="20"/>
              </w:rPr>
              <w:t>0.00</w:t>
            </w:r>
          </w:p>
        </w:tc>
      </w:tr>
      <w:tr w:rsidR="00F823F0" w:rsidRPr="00271DB9" w14:paraId="31FCC422" w14:textId="77777777" w:rsidTr="00C11BAE">
        <w:trPr>
          <w:trHeight w:val="60"/>
          <w:jc w:val="center"/>
        </w:trPr>
        <w:tc>
          <w:tcPr>
            <w:tcW w:w="1075" w:type="dxa"/>
            <w:noWrap/>
            <w:hideMark/>
          </w:tcPr>
          <w:p w14:paraId="2B084F58" w14:textId="77777777" w:rsidR="00F823F0" w:rsidRPr="00841618" w:rsidRDefault="00F823F0" w:rsidP="009769A8">
            <w:pPr>
              <w:pStyle w:val="Footnote"/>
              <w:jc w:val="left"/>
              <w:rPr>
                <w:sz w:val="20"/>
                <w:szCs w:val="20"/>
              </w:rPr>
            </w:pPr>
          </w:p>
        </w:tc>
        <w:tc>
          <w:tcPr>
            <w:tcW w:w="2941" w:type="dxa"/>
            <w:noWrap/>
            <w:hideMark/>
          </w:tcPr>
          <w:p w14:paraId="78D8AB0C" w14:textId="77777777" w:rsidR="00F823F0" w:rsidRPr="00841618" w:rsidRDefault="00F823F0" w:rsidP="009769A8">
            <w:pPr>
              <w:pStyle w:val="Footnote"/>
              <w:jc w:val="left"/>
              <w:rPr>
                <w:sz w:val="20"/>
                <w:szCs w:val="20"/>
              </w:rPr>
            </w:pPr>
          </w:p>
        </w:tc>
        <w:tc>
          <w:tcPr>
            <w:tcW w:w="1199" w:type="dxa"/>
            <w:noWrap/>
            <w:vAlign w:val="bottom"/>
          </w:tcPr>
          <w:p w14:paraId="2B26E186" w14:textId="77777777" w:rsidR="00F823F0" w:rsidRPr="00271DB9" w:rsidRDefault="00F823F0" w:rsidP="009769A8">
            <w:pPr>
              <w:pStyle w:val="Footnote"/>
              <w:jc w:val="right"/>
              <w:rPr>
                <w:sz w:val="20"/>
                <w:szCs w:val="20"/>
              </w:rPr>
            </w:pPr>
          </w:p>
        </w:tc>
        <w:tc>
          <w:tcPr>
            <w:tcW w:w="1128" w:type="dxa"/>
            <w:noWrap/>
            <w:vAlign w:val="bottom"/>
          </w:tcPr>
          <w:p w14:paraId="0DA69664" w14:textId="77777777" w:rsidR="00F823F0" w:rsidRPr="00271DB9" w:rsidRDefault="00F823F0" w:rsidP="009769A8">
            <w:pPr>
              <w:pStyle w:val="Footnote"/>
              <w:jc w:val="right"/>
              <w:rPr>
                <w:sz w:val="20"/>
                <w:szCs w:val="20"/>
              </w:rPr>
            </w:pPr>
          </w:p>
        </w:tc>
        <w:tc>
          <w:tcPr>
            <w:tcW w:w="1032" w:type="dxa"/>
            <w:noWrap/>
            <w:vAlign w:val="bottom"/>
          </w:tcPr>
          <w:p w14:paraId="4AE44375" w14:textId="77777777" w:rsidR="00F823F0" w:rsidRPr="00271DB9" w:rsidRDefault="00F823F0" w:rsidP="009769A8">
            <w:pPr>
              <w:pStyle w:val="Footnote"/>
              <w:jc w:val="right"/>
              <w:rPr>
                <w:sz w:val="20"/>
                <w:szCs w:val="20"/>
              </w:rPr>
            </w:pPr>
          </w:p>
        </w:tc>
      </w:tr>
      <w:tr w:rsidR="00F823F0" w:rsidRPr="00271DB9" w14:paraId="0A7F9808" w14:textId="77777777" w:rsidTr="00C11BAE">
        <w:trPr>
          <w:trHeight w:val="60"/>
          <w:jc w:val="center"/>
        </w:trPr>
        <w:tc>
          <w:tcPr>
            <w:tcW w:w="1075" w:type="dxa"/>
            <w:noWrap/>
            <w:hideMark/>
          </w:tcPr>
          <w:p w14:paraId="48FD2404" w14:textId="77777777" w:rsidR="00F823F0" w:rsidRPr="00841618" w:rsidRDefault="00F823F0" w:rsidP="009769A8">
            <w:pPr>
              <w:pStyle w:val="Footnote"/>
              <w:jc w:val="left"/>
              <w:rPr>
                <w:sz w:val="20"/>
                <w:szCs w:val="20"/>
              </w:rPr>
            </w:pPr>
          </w:p>
        </w:tc>
        <w:tc>
          <w:tcPr>
            <w:tcW w:w="2941" w:type="dxa"/>
            <w:noWrap/>
            <w:hideMark/>
          </w:tcPr>
          <w:p w14:paraId="325B9B39" w14:textId="77777777" w:rsidR="00F823F0" w:rsidRPr="00841618" w:rsidRDefault="004445CB" w:rsidP="009769A8">
            <w:pPr>
              <w:pStyle w:val="Footnote"/>
              <w:jc w:val="left"/>
              <w:rPr>
                <w:sz w:val="20"/>
                <w:szCs w:val="20"/>
              </w:rPr>
            </w:pPr>
            <w:r w:rsidRPr="00841618">
              <w:rPr>
                <w:sz w:val="20"/>
                <w:szCs w:val="20"/>
              </w:rPr>
              <w:t>PAT</w:t>
            </w:r>
          </w:p>
        </w:tc>
        <w:tc>
          <w:tcPr>
            <w:tcW w:w="1199" w:type="dxa"/>
            <w:noWrap/>
            <w:vAlign w:val="bottom"/>
          </w:tcPr>
          <w:p w14:paraId="7F5EB784" w14:textId="77777777" w:rsidR="00F823F0" w:rsidRPr="00271DB9" w:rsidRDefault="00F823F0" w:rsidP="009769A8">
            <w:pPr>
              <w:pStyle w:val="Footnote"/>
              <w:jc w:val="right"/>
              <w:rPr>
                <w:sz w:val="20"/>
                <w:szCs w:val="20"/>
              </w:rPr>
            </w:pPr>
            <w:r w:rsidRPr="00271DB9">
              <w:rPr>
                <w:color w:val="000000"/>
                <w:sz w:val="20"/>
                <w:szCs w:val="20"/>
              </w:rPr>
              <w:t>-33.62</w:t>
            </w:r>
          </w:p>
        </w:tc>
        <w:tc>
          <w:tcPr>
            <w:tcW w:w="1128" w:type="dxa"/>
            <w:noWrap/>
            <w:vAlign w:val="bottom"/>
          </w:tcPr>
          <w:p w14:paraId="6FB32CAD" w14:textId="77777777" w:rsidR="00F823F0" w:rsidRPr="00271DB9" w:rsidRDefault="00F823F0" w:rsidP="009769A8">
            <w:pPr>
              <w:pStyle w:val="Footnote"/>
              <w:jc w:val="right"/>
              <w:rPr>
                <w:sz w:val="20"/>
                <w:szCs w:val="20"/>
              </w:rPr>
            </w:pPr>
            <w:r w:rsidRPr="00271DB9">
              <w:rPr>
                <w:color w:val="000000"/>
                <w:sz w:val="20"/>
                <w:szCs w:val="20"/>
              </w:rPr>
              <w:t>-87.06</w:t>
            </w:r>
          </w:p>
        </w:tc>
        <w:tc>
          <w:tcPr>
            <w:tcW w:w="1032" w:type="dxa"/>
            <w:noWrap/>
            <w:vAlign w:val="bottom"/>
          </w:tcPr>
          <w:p w14:paraId="47C5CE13" w14:textId="77777777" w:rsidR="00F823F0" w:rsidRPr="00271DB9" w:rsidRDefault="00F823F0" w:rsidP="009769A8">
            <w:pPr>
              <w:pStyle w:val="Footnote"/>
              <w:jc w:val="right"/>
              <w:rPr>
                <w:sz w:val="20"/>
                <w:szCs w:val="20"/>
              </w:rPr>
            </w:pPr>
            <w:r w:rsidRPr="00271DB9">
              <w:rPr>
                <w:color w:val="000000"/>
                <w:sz w:val="20"/>
                <w:szCs w:val="20"/>
              </w:rPr>
              <w:t>-73.87</w:t>
            </w:r>
          </w:p>
        </w:tc>
      </w:tr>
    </w:tbl>
    <w:p w14:paraId="5BF81850" w14:textId="77777777" w:rsidR="00510AFA" w:rsidRDefault="00510AFA" w:rsidP="00D66A21">
      <w:pPr>
        <w:pStyle w:val="Footnote"/>
        <w:jc w:val="center"/>
      </w:pPr>
    </w:p>
    <w:p w14:paraId="4A1D2D37" w14:textId="1BE668B4" w:rsidR="00603BA6" w:rsidRDefault="00841618" w:rsidP="009769A8">
      <w:pPr>
        <w:pStyle w:val="Footnote"/>
        <w:jc w:val="left"/>
        <w:rPr>
          <w:rStyle w:val="Emphasis"/>
          <w:i w:val="0"/>
          <w:iCs w:val="0"/>
        </w:rPr>
      </w:pPr>
      <w:r>
        <w:rPr>
          <w:rStyle w:val="Emphasis"/>
          <w:i w:val="0"/>
          <w:iCs w:val="0"/>
        </w:rPr>
        <w:t xml:space="preserve">Note: </w:t>
      </w:r>
      <w:r w:rsidR="00603BA6">
        <w:rPr>
          <w:rStyle w:val="Emphasis"/>
          <w:i w:val="0"/>
          <w:iCs w:val="0"/>
        </w:rPr>
        <w:t>EBITDA</w:t>
      </w:r>
      <w:r>
        <w:rPr>
          <w:rStyle w:val="Emphasis"/>
          <w:i w:val="0"/>
          <w:iCs w:val="0"/>
        </w:rPr>
        <w:t xml:space="preserve"> = e</w:t>
      </w:r>
      <w:r w:rsidR="00603BA6">
        <w:rPr>
          <w:rStyle w:val="Emphasis"/>
          <w:i w:val="0"/>
          <w:iCs w:val="0"/>
        </w:rPr>
        <w:t xml:space="preserve">arnings </w:t>
      </w:r>
      <w:r w:rsidR="00F05B5C">
        <w:rPr>
          <w:rStyle w:val="Emphasis"/>
          <w:i w:val="0"/>
          <w:iCs w:val="0"/>
        </w:rPr>
        <w:t>b</w:t>
      </w:r>
      <w:r w:rsidR="00603BA6">
        <w:rPr>
          <w:rStyle w:val="Emphasis"/>
          <w:i w:val="0"/>
          <w:iCs w:val="0"/>
        </w:rPr>
        <w:t xml:space="preserve">efore </w:t>
      </w:r>
      <w:r>
        <w:rPr>
          <w:rStyle w:val="Emphasis"/>
          <w:i w:val="0"/>
          <w:iCs w:val="0"/>
        </w:rPr>
        <w:t>i</w:t>
      </w:r>
      <w:r w:rsidR="00603BA6">
        <w:rPr>
          <w:rStyle w:val="Emphasis"/>
          <w:i w:val="0"/>
          <w:iCs w:val="0"/>
        </w:rPr>
        <w:t xml:space="preserve">nterest, </w:t>
      </w:r>
      <w:r>
        <w:rPr>
          <w:rStyle w:val="Emphasis"/>
          <w:i w:val="0"/>
          <w:iCs w:val="0"/>
        </w:rPr>
        <w:t>t</w:t>
      </w:r>
      <w:r w:rsidR="00603BA6">
        <w:rPr>
          <w:rStyle w:val="Emphasis"/>
          <w:i w:val="0"/>
          <w:iCs w:val="0"/>
        </w:rPr>
        <w:t xml:space="preserve">ax, </w:t>
      </w:r>
      <w:r>
        <w:rPr>
          <w:rStyle w:val="Emphasis"/>
          <w:i w:val="0"/>
          <w:iCs w:val="0"/>
        </w:rPr>
        <w:t>d</w:t>
      </w:r>
      <w:r w:rsidR="00603BA6">
        <w:rPr>
          <w:rStyle w:val="Emphasis"/>
          <w:i w:val="0"/>
          <w:iCs w:val="0"/>
        </w:rPr>
        <w:t>epreciation</w:t>
      </w:r>
      <w:r>
        <w:rPr>
          <w:rStyle w:val="Emphasis"/>
          <w:i w:val="0"/>
          <w:iCs w:val="0"/>
        </w:rPr>
        <w:t>,</w:t>
      </w:r>
      <w:r w:rsidR="00603BA6">
        <w:rPr>
          <w:rStyle w:val="Emphasis"/>
          <w:i w:val="0"/>
          <w:iCs w:val="0"/>
        </w:rPr>
        <w:t xml:space="preserve"> and </w:t>
      </w:r>
      <w:r>
        <w:rPr>
          <w:rStyle w:val="Emphasis"/>
          <w:i w:val="0"/>
          <w:iCs w:val="0"/>
        </w:rPr>
        <w:t xml:space="preserve">amortization; </w:t>
      </w:r>
      <w:r w:rsidR="00F05B5C">
        <w:rPr>
          <w:rStyle w:val="Emphasis"/>
          <w:i w:val="0"/>
          <w:iCs w:val="0"/>
        </w:rPr>
        <w:t>PBT</w:t>
      </w:r>
      <w:r>
        <w:rPr>
          <w:rStyle w:val="Emphasis"/>
          <w:i w:val="0"/>
          <w:iCs w:val="0"/>
        </w:rPr>
        <w:t xml:space="preserve"> = p</w:t>
      </w:r>
      <w:r w:rsidR="00F05B5C">
        <w:rPr>
          <w:rStyle w:val="Emphasis"/>
          <w:i w:val="0"/>
          <w:iCs w:val="0"/>
        </w:rPr>
        <w:t xml:space="preserve">rofit before </w:t>
      </w:r>
      <w:r>
        <w:rPr>
          <w:rStyle w:val="Emphasis"/>
          <w:i w:val="0"/>
          <w:iCs w:val="0"/>
        </w:rPr>
        <w:t>t</w:t>
      </w:r>
      <w:r w:rsidR="00F05B5C">
        <w:rPr>
          <w:rStyle w:val="Emphasis"/>
          <w:i w:val="0"/>
          <w:iCs w:val="0"/>
        </w:rPr>
        <w:t>ax</w:t>
      </w:r>
      <w:r>
        <w:rPr>
          <w:rStyle w:val="Emphasis"/>
          <w:i w:val="0"/>
          <w:iCs w:val="0"/>
        </w:rPr>
        <w:t xml:space="preserve">; </w:t>
      </w:r>
      <w:r w:rsidR="00F05B5C">
        <w:rPr>
          <w:rStyle w:val="Emphasis"/>
          <w:i w:val="0"/>
          <w:iCs w:val="0"/>
        </w:rPr>
        <w:t>PAT</w:t>
      </w:r>
      <w:r>
        <w:rPr>
          <w:rStyle w:val="Emphasis"/>
          <w:i w:val="0"/>
          <w:iCs w:val="0"/>
        </w:rPr>
        <w:t xml:space="preserve"> = p</w:t>
      </w:r>
      <w:r w:rsidR="00F05B5C">
        <w:rPr>
          <w:rStyle w:val="Emphasis"/>
          <w:i w:val="0"/>
          <w:iCs w:val="0"/>
        </w:rPr>
        <w:t xml:space="preserve">rofit after </w:t>
      </w:r>
      <w:r>
        <w:rPr>
          <w:rStyle w:val="Emphasis"/>
          <w:i w:val="0"/>
          <w:iCs w:val="0"/>
        </w:rPr>
        <w:t>t</w:t>
      </w:r>
      <w:r w:rsidR="00F05B5C">
        <w:rPr>
          <w:rStyle w:val="Emphasis"/>
          <w:i w:val="0"/>
          <w:iCs w:val="0"/>
        </w:rPr>
        <w:t>ax</w:t>
      </w:r>
    </w:p>
    <w:p w14:paraId="57C991BF" w14:textId="24FC1E3E" w:rsidR="00E514D6" w:rsidRDefault="00E514D6" w:rsidP="009769A8">
      <w:pPr>
        <w:pStyle w:val="Footnote"/>
        <w:jc w:val="left"/>
      </w:pPr>
      <w:r w:rsidRPr="00E00582">
        <w:rPr>
          <w:rStyle w:val="Emphasis"/>
          <w:i w:val="0"/>
          <w:iCs w:val="0"/>
        </w:rPr>
        <w:t>Source:</w:t>
      </w:r>
      <w:r>
        <w:rPr>
          <w:rStyle w:val="Emphasis"/>
          <w:i w:val="0"/>
          <w:iCs w:val="0"/>
        </w:rPr>
        <w:t xml:space="preserve"> </w:t>
      </w:r>
      <w:r w:rsidR="0000188B">
        <w:rPr>
          <w:rStyle w:val="Emphasis"/>
          <w:i w:val="0"/>
          <w:iCs w:val="0"/>
        </w:rPr>
        <w:t>Company documents</w:t>
      </w:r>
      <w:r>
        <w:rPr>
          <w:rStyle w:val="Emphasis"/>
          <w:i w:val="0"/>
          <w:iCs w:val="0"/>
        </w:rPr>
        <w:t xml:space="preserve"> (data has been disguised to protect confidentiality).</w:t>
      </w:r>
    </w:p>
    <w:p w14:paraId="6AE940AC" w14:textId="77777777" w:rsidR="003D2017" w:rsidRDefault="003D2017" w:rsidP="00E514D6">
      <w:pPr>
        <w:pStyle w:val="Footnote"/>
        <w:jc w:val="center"/>
        <w:rPr>
          <w:b/>
          <w:sz w:val="20"/>
          <w:szCs w:val="20"/>
        </w:rPr>
      </w:pPr>
    </w:p>
    <w:p w14:paraId="11630318" w14:textId="77777777" w:rsidR="003D2017" w:rsidRDefault="003D2017" w:rsidP="00E514D6">
      <w:pPr>
        <w:pStyle w:val="Footnote"/>
        <w:jc w:val="center"/>
        <w:rPr>
          <w:b/>
          <w:sz w:val="20"/>
          <w:szCs w:val="20"/>
        </w:rPr>
      </w:pPr>
    </w:p>
    <w:p w14:paraId="1E7A65E5" w14:textId="77777777" w:rsidR="003D2017" w:rsidRDefault="00E514D6" w:rsidP="00841618">
      <w:pPr>
        <w:pStyle w:val="Footnote"/>
        <w:keepNext/>
        <w:jc w:val="center"/>
        <w:rPr>
          <w:b/>
          <w:sz w:val="20"/>
          <w:szCs w:val="20"/>
        </w:rPr>
      </w:pPr>
      <w:r w:rsidRPr="00CD31A8">
        <w:rPr>
          <w:b/>
          <w:sz w:val="20"/>
          <w:szCs w:val="20"/>
        </w:rPr>
        <w:lastRenderedPageBreak/>
        <w:t>EXHIBIT 3</w:t>
      </w:r>
      <w:r>
        <w:rPr>
          <w:b/>
          <w:sz w:val="20"/>
          <w:szCs w:val="20"/>
        </w:rPr>
        <w:t>B</w:t>
      </w:r>
      <w:r w:rsidRPr="00CD31A8">
        <w:rPr>
          <w:b/>
          <w:sz w:val="20"/>
          <w:szCs w:val="20"/>
        </w:rPr>
        <w:t xml:space="preserve">: </w:t>
      </w:r>
      <w:r w:rsidRPr="00E75C57">
        <w:rPr>
          <w:b/>
          <w:sz w:val="20"/>
          <w:szCs w:val="20"/>
        </w:rPr>
        <w:t>EYE</w:t>
      </w:r>
      <w:r w:rsidRPr="00CD31A8">
        <w:rPr>
          <w:b/>
          <w:sz w:val="20"/>
          <w:szCs w:val="20"/>
        </w:rPr>
        <w:t xml:space="preserve">-Q </w:t>
      </w:r>
      <w:r>
        <w:rPr>
          <w:b/>
          <w:sz w:val="20"/>
          <w:szCs w:val="20"/>
        </w:rPr>
        <w:t>BALANCE SHEET</w:t>
      </w:r>
      <w:r w:rsidR="003D2017">
        <w:rPr>
          <w:b/>
          <w:sz w:val="20"/>
          <w:szCs w:val="20"/>
        </w:rPr>
        <w:t xml:space="preserve"> </w:t>
      </w:r>
    </w:p>
    <w:p w14:paraId="58A3C22E" w14:textId="77777777" w:rsidR="003D2017" w:rsidRDefault="003D2017" w:rsidP="00841618">
      <w:pPr>
        <w:pStyle w:val="Footnote"/>
        <w:keepNext/>
        <w:jc w:val="center"/>
        <w:rPr>
          <w:b/>
          <w:sz w:val="20"/>
          <w:szCs w:val="20"/>
        </w:rPr>
      </w:pPr>
    </w:p>
    <w:p w14:paraId="1D5D3D33" w14:textId="77777777" w:rsidR="00E514D6" w:rsidRPr="00CD31A8" w:rsidRDefault="003D2017" w:rsidP="00841618">
      <w:pPr>
        <w:pStyle w:val="Casehead2"/>
        <w:keepNext/>
      </w:pPr>
      <w:r w:rsidRPr="009769A8">
        <w:t xml:space="preserve">Overall </w:t>
      </w:r>
      <w:r w:rsidRPr="00E75C57">
        <w:t>Eye</w:t>
      </w:r>
      <w:r w:rsidRPr="009769A8">
        <w:t xml:space="preserve">-Q </w:t>
      </w:r>
      <w:r>
        <w:t xml:space="preserve">for </w:t>
      </w:r>
      <w:r w:rsidRPr="009769A8">
        <w:t>F</w:t>
      </w:r>
      <w:r>
        <w:t xml:space="preserve">iscal </w:t>
      </w:r>
      <w:r w:rsidRPr="009769A8">
        <w:t>Y</w:t>
      </w:r>
      <w:r>
        <w:t>ear</w:t>
      </w:r>
      <w:r w:rsidRPr="009769A8">
        <w:t xml:space="preserve"> </w:t>
      </w:r>
      <w:r>
        <w:t>E</w:t>
      </w:r>
      <w:r w:rsidRPr="009769A8">
        <w:t>nding March</w:t>
      </w:r>
      <w:r>
        <w:t xml:space="preserve"> (</w:t>
      </w:r>
      <w:r w:rsidRPr="009769A8">
        <w:t>in ₹ million</w:t>
      </w:r>
      <w:r>
        <w:t>)</w:t>
      </w:r>
    </w:p>
    <w:p w14:paraId="1D0182E1" w14:textId="77777777" w:rsidR="00E514D6" w:rsidRDefault="00E514D6" w:rsidP="00841618">
      <w:pPr>
        <w:pStyle w:val="Footnote"/>
        <w:keepNext/>
        <w:jc w:val="center"/>
      </w:pPr>
    </w:p>
    <w:tbl>
      <w:tblPr>
        <w:tblStyle w:val="TableGrid"/>
        <w:tblW w:w="7291" w:type="dxa"/>
        <w:jc w:val="center"/>
        <w:tblLook w:val="04A0" w:firstRow="1" w:lastRow="0" w:firstColumn="1" w:lastColumn="0" w:noHBand="0" w:noVBand="1"/>
      </w:tblPr>
      <w:tblGrid>
        <w:gridCol w:w="1139"/>
        <w:gridCol w:w="2726"/>
        <w:gridCol w:w="1170"/>
        <w:gridCol w:w="1128"/>
        <w:gridCol w:w="1128"/>
      </w:tblGrid>
      <w:tr w:rsidR="00555577" w:rsidRPr="009769A8" w14:paraId="10553535" w14:textId="77777777" w:rsidTr="00823405">
        <w:trPr>
          <w:trHeight w:val="125"/>
          <w:jc w:val="center"/>
        </w:trPr>
        <w:tc>
          <w:tcPr>
            <w:tcW w:w="1139" w:type="dxa"/>
            <w:noWrap/>
            <w:hideMark/>
          </w:tcPr>
          <w:p w14:paraId="5E06B1CD" w14:textId="77777777" w:rsidR="00555577" w:rsidRPr="009769A8" w:rsidRDefault="00555577" w:rsidP="00841618">
            <w:pPr>
              <w:pStyle w:val="Footnote"/>
              <w:keepNext/>
              <w:jc w:val="left"/>
              <w:rPr>
                <w:sz w:val="20"/>
                <w:szCs w:val="20"/>
              </w:rPr>
            </w:pPr>
          </w:p>
        </w:tc>
        <w:tc>
          <w:tcPr>
            <w:tcW w:w="2726" w:type="dxa"/>
            <w:noWrap/>
            <w:hideMark/>
          </w:tcPr>
          <w:p w14:paraId="41DFEAED" w14:textId="77777777" w:rsidR="00555577" w:rsidRPr="009769A8" w:rsidRDefault="00555577" w:rsidP="00841618">
            <w:pPr>
              <w:pStyle w:val="Footnote"/>
              <w:keepNext/>
              <w:jc w:val="left"/>
              <w:rPr>
                <w:sz w:val="20"/>
                <w:szCs w:val="20"/>
              </w:rPr>
            </w:pPr>
          </w:p>
        </w:tc>
        <w:tc>
          <w:tcPr>
            <w:tcW w:w="1170" w:type="dxa"/>
            <w:noWrap/>
            <w:hideMark/>
          </w:tcPr>
          <w:p w14:paraId="46445DB0" w14:textId="77777777" w:rsidR="00555577" w:rsidRPr="009769A8" w:rsidRDefault="00555577" w:rsidP="00841618">
            <w:pPr>
              <w:pStyle w:val="Footnote"/>
              <w:keepNext/>
              <w:jc w:val="center"/>
              <w:rPr>
                <w:b/>
                <w:bCs/>
                <w:sz w:val="20"/>
                <w:szCs w:val="20"/>
              </w:rPr>
            </w:pPr>
            <w:r w:rsidRPr="009769A8">
              <w:rPr>
                <w:b/>
                <w:bCs/>
                <w:sz w:val="20"/>
                <w:szCs w:val="20"/>
              </w:rPr>
              <w:t>Historical</w:t>
            </w:r>
          </w:p>
        </w:tc>
        <w:tc>
          <w:tcPr>
            <w:tcW w:w="1128" w:type="dxa"/>
            <w:noWrap/>
            <w:hideMark/>
          </w:tcPr>
          <w:p w14:paraId="47CB0FBD" w14:textId="77777777" w:rsidR="00555577" w:rsidRPr="009769A8" w:rsidRDefault="00555577" w:rsidP="00841618">
            <w:pPr>
              <w:pStyle w:val="Footnote"/>
              <w:keepNext/>
              <w:jc w:val="center"/>
              <w:rPr>
                <w:b/>
                <w:bCs/>
                <w:sz w:val="20"/>
                <w:szCs w:val="20"/>
              </w:rPr>
            </w:pPr>
            <w:r w:rsidRPr="009769A8">
              <w:rPr>
                <w:b/>
                <w:bCs/>
                <w:sz w:val="20"/>
                <w:szCs w:val="20"/>
              </w:rPr>
              <w:t>Historical</w:t>
            </w:r>
          </w:p>
        </w:tc>
        <w:tc>
          <w:tcPr>
            <w:tcW w:w="1128" w:type="dxa"/>
            <w:noWrap/>
            <w:hideMark/>
          </w:tcPr>
          <w:p w14:paraId="5427A797" w14:textId="77777777" w:rsidR="00555577" w:rsidRPr="009769A8" w:rsidRDefault="00555577" w:rsidP="00841618">
            <w:pPr>
              <w:pStyle w:val="Footnote"/>
              <w:keepNext/>
              <w:jc w:val="center"/>
              <w:rPr>
                <w:b/>
                <w:bCs/>
                <w:sz w:val="20"/>
                <w:szCs w:val="20"/>
              </w:rPr>
            </w:pPr>
            <w:r w:rsidRPr="009769A8">
              <w:rPr>
                <w:b/>
                <w:bCs/>
                <w:sz w:val="20"/>
                <w:szCs w:val="20"/>
              </w:rPr>
              <w:t>Historical</w:t>
            </w:r>
          </w:p>
        </w:tc>
      </w:tr>
      <w:tr w:rsidR="00555577" w:rsidRPr="009769A8" w14:paraId="6605B699" w14:textId="77777777" w:rsidTr="00823405">
        <w:trPr>
          <w:trHeight w:val="60"/>
          <w:jc w:val="center"/>
        </w:trPr>
        <w:tc>
          <w:tcPr>
            <w:tcW w:w="1139" w:type="dxa"/>
            <w:noWrap/>
            <w:hideMark/>
          </w:tcPr>
          <w:p w14:paraId="2FE6F491" w14:textId="77777777" w:rsidR="00555577" w:rsidRPr="009769A8" w:rsidRDefault="00555577" w:rsidP="009769A8">
            <w:pPr>
              <w:pStyle w:val="Footnote"/>
              <w:jc w:val="left"/>
              <w:rPr>
                <w:b/>
                <w:bCs/>
                <w:sz w:val="20"/>
                <w:szCs w:val="20"/>
              </w:rPr>
            </w:pPr>
          </w:p>
        </w:tc>
        <w:tc>
          <w:tcPr>
            <w:tcW w:w="2726" w:type="dxa"/>
            <w:noWrap/>
            <w:hideMark/>
          </w:tcPr>
          <w:p w14:paraId="4A412F00" w14:textId="77777777" w:rsidR="00555577" w:rsidRPr="009769A8" w:rsidRDefault="00555577" w:rsidP="009769A8">
            <w:pPr>
              <w:pStyle w:val="Footnote"/>
              <w:jc w:val="left"/>
              <w:rPr>
                <w:sz w:val="20"/>
                <w:szCs w:val="20"/>
              </w:rPr>
            </w:pPr>
          </w:p>
        </w:tc>
        <w:tc>
          <w:tcPr>
            <w:tcW w:w="1170" w:type="dxa"/>
            <w:noWrap/>
            <w:hideMark/>
          </w:tcPr>
          <w:p w14:paraId="41B4E20D" w14:textId="77777777" w:rsidR="00555577" w:rsidRPr="009769A8" w:rsidRDefault="00555577" w:rsidP="009769A8">
            <w:pPr>
              <w:pStyle w:val="Footnote"/>
              <w:jc w:val="center"/>
              <w:rPr>
                <w:b/>
                <w:bCs/>
                <w:sz w:val="20"/>
                <w:szCs w:val="20"/>
              </w:rPr>
            </w:pPr>
            <w:r w:rsidRPr="009769A8">
              <w:rPr>
                <w:b/>
                <w:bCs/>
                <w:sz w:val="20"/>
                <w:szCs w:val="20"/>
              </w:rPr>
              <w:t>2011</w:t>
            </w:r>
          </w:p>
        </w:tc>
        <w:tc>
          <w:tcPr>
            <w:tcW w:w="1128" w:type="dxa"/>
            <w:noWrap/>
            <w:hideMark/>
          </w:tcPr>
          <w:p w14:paraId="5350D866" w14:textId="77777777" w:rsidR="00555577" w:rsidRPr="009769A8" w:rsidRDefault="00555577" w:rsidP="009769A8">
            <w:pPr>
              <w:pStyle w:val="Footnote"/>
              <w:jc w:val="center"/>
              <w:rPr>
                <w:b/>
                <w:bCs/>
                <w:sz w:val="20"/>
                <w:szCs w:val="20"/>
              </w:rPr>
            </w:pPr>
            <w:r w:rsidRPr="009769A8">
              <w:rPr>
                <w:b/>
                <w:bCs/>
                <w:sz w:val="20"/>
                <w:szCs w:val="20"/>
              </w:rPr>
              <w:t>2012</w:t>
            </w:r>
          </w:p>
        </w:tc>
        <w:tc>
          <w:tcPr>
            <w:tcW w:w="1128" w:type="dxa"/>
            <w:noWrap/>
            <w:hideMark/>
          </w:tcPr>
          <w:p w14:paraId="5F8AAC6D" w14:textId="77777777" w:rsidR="00555577" w:rsidRPr="009769A8" w:rsidRDefault="00555577" w:rsidP="009769A8">
            <w:pPr>
              <w:pStyle w:val="Footnote"/>
              <w:jc w:val="center"/>
              <w:rPr>
                <w:b/>
                <w:bCs/>
                <w:sz w:val="20"/>
                <w:szCs w:val="20"/>
              </w:rPr>
            </w:pPr>
            <w:r w:rsidRPr="009769A8">
              <w:rPr>
                <w:b/>
                <w:bCs/>
                <w:sz w:val="20"/>
                <w:szCs w:val="20"/>
              </w:rPr>
              <w:t>2013</w:t>
            </w:r>
          </w:p>
        </w:tc>
      </w:tr>
      <w:tr w:rsidR="00555577" w:rsidRPr="009769A8" w14:paraId="31EF9D33" w14:textId="77777777" w:rsidTr="00823405">
        <w:trPr>
          <w:trHeight w:val="60"/>
          <w:jc w:val="center"/>
        </w:trPr>
        <w:tc>
          <w:tcPr>
            <w:tcW w:w="1139" w:type="dxa"/>
            <w:noWrap/>
            <w:hideMark/>
          </w:tcPr>
          <w:p w14:paraId="043B0618" w14:textId="77777777" w:rsidR="00555577" w:rsidRPr="009769A8" w:rsidRDefault="009769A8" w:rsidP="009769A8">
            <w:pPr>
              <w:pStyle w:val="Footnote"/>
              <w:jc w:val="left"/>
              <w:rPr>
                <w:b/>
                <w:bCs/>
                <w:sz w:val="20"/>
                <w:szCs w:val="20"/>
                <w:u w:val="single"/>
              </w:rPr>
            </w:pPr>
            <w:r>
              <w:rPr>
                <w:b/>
                <w:bCs/>
                <w:sz w:val="20"/>
                <w:szCs w:val="20"/>
                <w:u w:val="single"/>
              </w:rPr>
              <w:t>Liabilities</w:t>
            </w:r>
          </w:p>
        </w:tc>
        <w:tc>
          <w:tcPr>
            <w:tcW w:w="2726" w:type="dxa"/>
            <w:noWrap/>
            <w:hideMark/>
          </w:tcPr>
          <w:p w14:paraId="67657985" w14:textId="77777777" w:rsidR="00555577" w:rsidRPr="009769A8" w:rsidRDefault="00555577" w:rsidP="009769A8">
            <w:pPr>
              <w:pStyle w:val="Footnote"/>
              <w:jc w:val="left"/>
              <w:rPr>
                <w:b/>
                <w:bCs/>
                <w:sz w:val="20"/>
                <w:szCs w:val="20"/>
                <w:u w:val="single"/>
              </w:rPr>
            </w:pPr>
          </w:p>
        </w:tc>
        <w:tc>
          <w:tcPr>
            <w:tcW w:w="1170" w:type="dxa"/>
            <w:noWrap/>
            <w:hideMark/>
          </w:tcPr>
          <w:p w14:paraId="3AF3C300" w14:textId="77777777" w:rsidR="00555577" w:rsidRPr="009769A8" w:rsidRDefault="00555577" w:rsidP="009769A8">
            <w:pPr>
              <w:pStyle w:val="Footnote"/>
              <w:jc w:val="right"/>
              <w:rPr>
                <w:sz w:val="20"/>
                <w:szCs w:val="20"/>
              </w:rPr>
            </w:pPr>
          </w:p>
        </w:tc>
        <w:tc>
          <w:tcPr>
            <w:tcW w:w="1128" w:type="dxa"/>
            <w:noWrap/>
            <w:hideMark/>
          </w:tcPr>
          <w:p w14:paraId="348CAF1E" w14:textId="77777777" w:rsidR="00555577" w:rsidRPr="009769A8" w:rsidRDefault="00555577" w:rsidP="009769A8">
            <w:pPr>
              <w:pStyle w:val="Footnote"/>
              <w:jc w:val="right"/>
              <w:rPr>
                <w:sz w:val="20"/>
                <w:szCs w:val="20"/>
              </w:rPr>
            </w:pPr>
          </w:p>
        </w:tc>
        <w:tc>
          <w:tcPr>
            <w:tcW w:w="1128" w:type="dxa"/>
            <w:noWrap/>
            <w:hideMark/>
          </w:tcPr>
          <w:p w14:paraId="1426DCC1" w14:textId="77777777" w:rsidR="00555577" w:rsidRPr="009769A8" w:rsidRDefault="00555577" w:rsidP="009769A8">
            <w:pPr>
              <w:pStyle w:val="Footnote"/>
              <w:jc w:val="right"/>
              <w:rPr>
                <w:sz w:val="20"/>
                <w:szCs w:val="20"/>
              </w:rPr>
            </w:pPr>
          </w:p>
        </w:tc>
      </w:tr>
      <w:tr w:rsidR="00F823F0" w:rsidRPr="009769A8" w14:paraId="0321BE4B" w14:textId="77777777" w:rsidTr="00823405">
        <w:trPr>
          <w:trHeight w:val="60"/>
          <w:jc w:val="center"/>
        </w:trPr>
        <w:tc>
          <w:tcPr>
            <w:tcW w:w="1139" w:type="dxa"/>
            <w:noWrap/>
            <w:hideMark/>
          </w:tcPr>
          <w:p w14:paraId="506E7323" w14:textId="77777777" w:rsidR="00F823F0" w:rsidRPr="009769A8" w:rsidRDefault="00F823F0" w:rsidP="009769A8">
            <w:pPr>
              <w:pStyle w:val="Footnote"/>
              <w:jc w:val="left"/>
              <w:rPr>
                <w:sz w:val="20"/>
                <w:szCs w:val="20"/>
              </w:rPr>
            </w:pPr>
            <w:r w:rsidRPr="009769A8">
              <w:rPr>
                <w:sz w:val="20"/>
                <w:szCs w:val="20"/>
              </w:rPr>
              <w:t>1</w:t>
            </w:r>
          </w:p>
        </w:tc>
        <w:tc>
          <w:tcPr>
            <w:tcW w:w="2726" w:type="dxa"/>
            <w:noWrap/>
            <w:hideMark/>
          </w:tcPr>
          <w:p w14:paraId="3843D5BD" w14:textId="77777777" w:rsidR="00F823F0" w:rsidRPr="009769A8" w:rsidRDefault="00F823F0" w:rsidP="009769A8">
            <w:pPr>
              <w:pStyle w:val="Footnote"/>
              <w:jc w:val="left"/>
              <w:rPr>
                <w:sz w:val="20"/>
                <w:szCs w:val="20"/>
              </w:rPr>
            </w:pPr>
            <w:r w:rsidRPr="009769A8">
              <w:rPr>
                <w:sz w:val="20"/>
                <w:szCs w:val="20"/>
              </w:rPr>
              <w:t>Equity Share Capital</w:t>
            </w:r>
          </w:p>
        </w:tc>
        <w:tc>
          <w:tcPr>
            <w:tcW w:w="1170" w:type="dxa"/>
            <w:noWrap/>
            <w:vAlign w:val="bottom"/>
            <w:hideMark/>
          </w:tcPr>
          <w:p w14:paraId="1D6B8D34" w14:textId="77777777" w:rsidR="00F823F0" w:rsidRPr="009769A8" w:rsidRDefault="00F823F0" w:rsidP="009769A8">
            <w:pPr>
              <w:pStyle w:val="Footnote"/>
              <w:jc w:val="right"/>
              <w:rPr>
                <w:sz w:val="20"/>
                <w:szCs w:val="20"/>
              </w:rPr>
            </w:pPr>
            <w:r w:rsidRPr="009769A8">
              <w:rPr>
                <w:color w:val="000000"/>
                <w:sz w:val="20"/>
                <w:szCs w:val="20"/>
              </w:rPr>
              <w:t xml:space="preserve">101 </w:t>
            </w:r>
          </w:p>
        </w:tc>
        <w:tc>
          <w:tcPr>
            <w:tcW w:w="1128" w:type="dxa"/>
            <w:noWrap/>
            <w:vAlign w:val="bottom"/>
            <w:hideMark/>
          </w:tcPr>
          <w:p w14:paraId="4214B9B0" w14:textId="77777777" w:rsidR="00F823F0" w:rsidRPr="009769A8" w:rsidRDefault="00F823F0" w:rsidP="009769A8">
            <w:pPr>
              <w:pStyle w:val="Footnote"/>
              <w:jc w:val="right"/>
              <w:rPr>
                <w:sz w:val="20"/>
                <w:szCs w:val="20"/>
              </w:rPr>
            </w:pPr>
            <w:r w:rsidRPr="009769A8">
              <w:rPr>
                <w:color w:val="000000"/>
                <w:sz w:val="20"/>
                <w:szCs w:val="20"/>
              </w:rPr>
              <w:t xml:space="preserve">587 </w:t>
            </w:r>
          </w:p>
        </w:tc>
        <w:tc>
          <w:tcPr>
            <w:tcW w:w="1128" w:type="dxa"/>
            <w:noWrap/>
            <w:vAlign w:val="bottom"/>
            <w:hideMark/>
          </w:tcPr>
          <w:p w14:paraId="30247ED0" w14:textId="77777777" w:rsidR="00F823F0" w:rsidRPr="009769A8" w:rsidRDefault="00F823F0" w:rsidP="009769A8">
            <w:pPr>
              <w:pStyle w:val="Footnote"/>
              <w:jc w:val="right"/>
              <w:rPr>
                <w:sz w:val="20"/>
                <w:szCs w:val="20"/>
              </w:rPr>
            </w:pPr>
            <w:r w:rsidRPr="009769A8">
              <w:rPr>
                <w:color w:val="000000"/>
                <w:sz w:val="20"/>
                <w:szCs w:val="20"/>
              </w:rPr>
              <w:t xml:space="preserve">587 </w:t>
            </w:r>
          </w:p>
        </w:tc>
      </w:tr>
      <w:tr w:rsidR="00F823F0" w:rsidRPr="009769A8" w14:paraId="013B6887" w14:textId="77777777" w:rsidTr="00823405">
        <w:trPr>
          <w:trHeight w:val="60"/>
          <w:jc w:val="center"/>
        </w:trPr>
        <w:tc>
          <w:tcPr>
            <w:tcW w:w="1139" w:type="dxa"/>
            <w:noWrap/>
            <w:hideMark/>
          </w:tcPr>
          <w:p w14:paraId="408DF6B9" w14:textId="77777777" w:rsidR="00F823F0" w:rsidRPr="009769A8" w:rsidRDefault="00F823F0" w:rsidP="009769A8">
            <w:pPr>
              <w:pStyle w:val="Footnote"/>
              <w:jc w:val="left"/>
              <w:rPr>
                <w:sz w:val="20"/>
                <w:szCs w:val="20"/>
              </w:rPr>
            </w:pPr>
            <w:r w:rsidRPr="009769A8">
              <w:rPr>
                <w:sz w:val="20"/>
                <w:szCs w:val="20"/>
              </w:rPr>
              <w:t>2</w:t>
            </w:r>
          </w:p>
        </w:tc>
        <w:tc>
          <w:tcPr>
            <w:tcW w:w="2726" w:type="dxa"/>
            <w:noWrap/>
            <w:hideMark/>
          </w:tcPr>
          <w:p w14:paraId="213EE8E2" w14:textId="77777777" w:rsidR="00F823F0" w:rsidRPr="009769A8" w:rsidRDefault="00F823F0" w:rsidP="009769A8">
            <w:pPr>
              <w:pStyle w:val="Footnote"/>
              <w:jc w:val="left"/>
              <w:rPr>
                <w:sz w:val="20"/>
                <w:szCs w:val="20"/>
              </w:rPr>
            </w:pPr>
            <w:r w:rsidRPr="009769A8">
              <w:rPr>
                <w:sz w:val="20"/>
                <w:szCs w:val="20"/>
              </w:rPr>
              <w:t xml:space="preserve">Reserves </w:t>
            </w:r>
            <w:r w:rsidR="002F0E8D">
              <w:rPr>
                <w:sz w:val="20"/>
                <w:szCs w:val="20"/>
              </w:rPr>
              <w:t>and</w:t>
            </w:r>
            <w:r w:rsidRPr="009769A8">
              <w:rPr>
                <w:sz w:val="20"/>
                <w:szCs w:val="20"/>
              </w:rPr>
              <w:t xml:space="preserve"> Surplus</w:t>
            </w:r>
          </w:p>
        </w:tc>
        <w:tc>
          <w:tcPr>
            <w:tcW w:w="1170" w:type="dxa"/>
            <w:noWrap/>
            <w:vAlign w:val="bottom"/>
            <w:hideMark/>
          </w:tcPr>
          <w:p w14:paraId="0578F022" w14:textId="60939BD5" w:rsidR="00F823F0" w:rsidRPr="009769A8" w:rsidRDefault="0000188B" w:rsidP="000D4A97">
            <w:pPr>
              <w:pStyle w:val="Footnote"/>
              <w:jc w:val="right"/>
              <w:rPr>
                <w:sz w:val="20"/>
                <w:szCs w:val="20"/>
              </w:rPr>
            </w:pPr>
            <w:r>
              <w:rPr>
                <w:color w:val="000000"/>
                <w:sz w:val="20"/>
                <w:szCs w:val="20"/>
              </w:rPr>
              <w:t>−</w:t>
            </w:r>
            <w:r w:rsidR="00F823F0" w:rsidRPr="009769A8">
              <w:rPr>
                <w:color w:val="000000"/>
                <w:sz w:val="20"/>
                <w:szCs w:val="20"/>
              </w:rPr>
              <w:t xml:space="preserve">48 </w:t>
            </w:r>
          </w:p>
        </w:tc>
        <w:tc>
          <w:tcPr>
            <w:tcW w:w="1128" w:type="dxa"/>
            <w:noWrap/>
            <w:vAlign w:val="bottom"/>
            <w:hideMark/>
          </w:tcPr>
          <w:p w14:paraId="0BA10D84" w14:textId="19CE14F8" w:rsidR="00F823F0" w:rsidRPr="009769A8" w:rsidRDefault="0000188B" w:rsidP="000D4A97">
            <w:pPr>
              <w:pStyle w:val="Footnote"/>
              <w:jc w:val="right"/>
              <w:rPr>
                <w:sz w:val="20"/>
                <w:szCs w:val="20"/>
              </w:rPr>
            </w:pPr>
            <w:r>
              <w:rPr>
                <w:color w:val="000000"/>
                <w:sz w:val="20"/>
                <w:szCs w:val="20"/>
              </w:rPr>
              <w:t>−</w:t>
            </w:r>
            <w:r w:rsidR="00F823F0" w:rsidRPr="009769A8">
              <w:rPr>
                <w:color w:val="000000"/>
                <w:sz w:val="20"/>
                <w:szCs w:val="20"/>
              </w:rPr>
              <w:t xml:space="preserve">135 </w:t>
            </w:r>
          </w:p>
        </w:tc>
        <w:tc>
          <w:tcPr>
            <w:tcW w:w="1128" w:type="dxa"/>
            <w:noWrap/>
            <w:vAlign w:val="bottom"/>
            <w:hideMark/>
          </w:tcPr>
          <w:p w14:paraId="3C90272B" w14:textId="120738BA" w:rsidR="00F823F0" w:rsidRPr="009769A8" w:rsidRDefault="0000188B" w:rsidP="001745CF">
            <w:pPr>
              <w:pStyle w:val="Footnote"/>
              <w:jc w:val="right"/>
              <w:rPr>
                <w:sz w:val="20"/>
                <w:szCs w:val="20"/>
              </w:rPr>
            </w:pPr>
            <w:r>
              <w:rPr>
                <w:color w:val="000000"/>
                <w:sz w:val="20"/>
                <w:szCs w:val="20"/>
              </w:rPr>
              <w:t>−</w:t>
            </w:r>
            <w:r w:rsidR="00F823F0" w:rsidRPr="009769A8">
              <w:rPr>
                <w:color w:val="000000"/>
                <w:sz w:val="20"/>
                <w:szCs w:val="20"/>
              </w:rPr>
              <w:t xml:space="preserve">209 </w:t>
            </w:r>
          </w:p>
        </w:tc>
      </w:tr>
      <w:tr w:rsidR="00F823F0" w:rsidRPr="009769A8" w14:paraId="39B7CC10" w14:textId="77777777" w:rsidTr="00823405">
        <w:trPr>
          <w:trHeight w:val="60"/>
          <w:jc w:val="center"/>
        </w:trPr>
        <w:tc>
          <w:tcPr>
            <w:tcW w:w="1139" w:type="dxa"/>
            <w:noWrap/>
            <w:hideMark/>
          </w:tcPr>
          <w:p w14:paraId="5F25B698" w14:textId="77777777" w:rsidR="00F823F0" w:rsidRPr="009769A8" w:rsidRDefault="00F823F0" w:rsidP="009769A8">
            <w:pPr>
              <w:pStyle w:val="Footnote"/>
              <w:jc w:val="left"/>
              <w:rPr>
                <w:sz w:val="20"/>
                <w:szCs w:val="20"/>
              </w:rPr>
            </w:pPr>
            <w:r w:rsidRPr="009769A8">
              <w:rPr>
                <w:sz w:val="20"/>
                <w:szCs w:val="20"/>
              </w:rPr>
              <w:t>3</w:t>
            </w:r>
          </w:p>
        </w:tc>
        <w:tc>
          <w:tcPr>
            <w:tcW w:w="2726" w:type="dxa"/>
            <w:noWrap/>
            <w:hideMark/>
          </w:tcPr>
          <w:p w14:paraId="44DABDDC" w14:textId="77777777" w:rsidR="00F823F0" w:rsidRPr="009769A8" w:rsidRDefault="00F823F0" w:rsidP="009769A8">
            <w:pPr>
              <w:pStyle w:val="Footnote"/>
              <w:jc w:val="left"/>
              <w:rPr>
                <w:sz w:val="20"/>
                <w:szCs w:val="20"/>
              </w:rPr>
            </w:pPr>
            <w:r w:rsidRPr="009769A8">
              <w:rPr>
                <w:sz w:val="20"/>
                <w:szCs w:val="20"/>
              </w:rPr>
              <w:t>Secured Loans</w:t>
            </w:r>
          </w:p>
        </w:tc>
        <w:tc>
          <w:tcPr>
            <w:tcW w:w="1170" w:type="dxa"/>
            <w:noWrap/>
            <w:vAlign w:val="bottom"/>
            <w:hideMark/>
          </w:tcPr>
          <w:p w14:paraId="16B281A8" w14:textId="77777777" w:rsidR="00F823F0" w:rsidRPr="009769A8" w:rsidRDefault="00F823F0" w:rsidP="009769A8">
            <w:pPr>
              <w:pStyle w:val="Footnote"/>
              <w:jc w:val="right"/>
              <w:rPr>
                <w:sz w:val="20"/>
                <w:szCs w:val="20"/>
              </w:rPr>
            </w:pPr>
            <w:r w:rsidRPr="009769A8">
              <w:rPr>
                <w:color w:val="000000"/>
                <w:sz w:val="20"/>
                <w:szCs w:val="20"/>
              </w:rPr>
              <w:t xml:space="preserve">38 </w:t>
            </w:r>
          </w:p>
        </w:tc>
        <w:tc>
          <w:tcPr>
            <w:tcW w:w="1128" w:type="dxa"/>
            <w:noWrap/>
            <w:vAlign w:val="bottom"/>
            <w:hideMark/>
          </w:tcPr>
          <w:p w14:paraId="5924D09D" w14:textId="77777777" w:rsidR="00F823F0" w:rsidRPr="009769A8" w:rsidRDefault="00F823F0" w:rsidP="009769A8">
            <w:pPr>
              <w:pStyle w:val="Footnote"/>
              <w:jc w:val="right"/>
              <w:rPr>
                <w:sz w:val="20"/>
                <w:szCs w:val="20"/>
              </w:rPr>
            </w:pPr>
            <w:r w:rsidRPr="009769A8">
              <w:rPr>
                <w:color w:val="000000"/>
                <w:sz w:val="20"/>
                <w:szCs w:val="20"/>
              </w:rPr>
              <w:t xml:space="preserve">91 </w:t>
            </w:r>
          </w:p>
        </w:tc>
        <w:tc>
          <w:tcPr>
            <w:tcW w:w="1128" w:type="dxa"/>
            <w:noWrap/>
            <w:vAlign w:val="bottom"/>
            <w:hideMark/>
          </w:tcPr>
          <w:p w14:paraId="7463F4EB" w14:textId="77777777" w:rsidR="00F823F0" w:rsidRPr="009769A8" w:rsidRDefault="00F823F0" w:rsidP="009769A8">
            <w:pPr>
              <w:pStyle w:val="Footnote"/>
              <w:jc w:val="right"/>
              <w:rPr>
                <w:sz w:val="20"/>
                <w:szCs w:val="20"/>
              </w:rPr>
            </w:pPr>
            <w:r w:rsidRPr="009769A8">
              <w:rPr>
                <w:color w:val="000000"/>
                <w:sz w:val="20"/>
                <w:szCs w:val="20"/>
              </w:rPr>
              <w:t xml:space="preserve">122 </w:t>
            </w:r>
          </w:p>
        </w:tc>
      </w:tr>
      <w:tr w:rsidR="00F823F0" w:rsidRPr="009769A8" w14:paraId="510CF385" w14:textId="77777777" w:rsidTr="00823405">
        <w:trPr>
          <w:trHeight w:val="60"/>
          <w:jc w:val="center"/>
        </w:trPr>
        <w:tc>
          <w:tcPr>
            <w:tcW w:w="1139" w:type="dxa"/>
            <w:noWrap/>
            <w:hideMark/>
          </w:tcPr>
          <w:p w14:paraId="5B1C62D8" w14:textId="77777777" w:rsidR="00F823F0" w:rsidRPr="009769A8" w:rsidRDefault="00F823F0" w:rsidP="009769A8">
            <w:pPr>
              <w:pStyle w:val="Footnote"/>
              <w:jc w:val="left"/>
              <w:rPr>
                <w:sz w:val="20"/>
                <w:szCs w:val="20"/>
              </w:rPr>
            </w:pPr>
            <w:r w:rsidRPr="009769A8">
              <w:rPr>
                <w:sz w:val="20"/>
                <w:szCs w:val="20"/>
              </w:rPr>
              <w:t>4</w:t>
            </w:r>
          </w:p>
        </w:tc>
        <w:tc>
          <w:tcPr>
            <w:tcW w:w="2726" w:type="dxa"/>
            <w:noWrap/>
            <w:hideMark/>
          </w:tcPr>
          <w:p w14:paraId="6B08DAEC" w14:textId="77777777" w:rsidR="00F823F0" w:rsidRPr="009769A8" w:rsidRDefault="00F823F0" w:rsidP="009769A8">
            <w:pPr>
              <w:pStyle w:val="Footnote"/>
              <w:jc w:val="left"/>
              <w:rPr>
                <w:sz w:val="20"/>
                <w:szCs w:val="20"/>
              </w:rPr>
            </w:pPr>
            <w:r w:rsidRPr="009769A8">
              <w:rPr>
                <w:sz w:val="20"/>
                <w:szCs w:val="20"/>
              </w:rPr>
              <w:t>Bank Working Capital</w:t>
            </w:r>
          </w:p>
        </w:tc>
        <w:tc>
          <w:tcPr>
            <w:tcW w:w="1170" w:type="dxa"/>
            <w:noWrap/>
            <w:vAlign w:val="bottom"/>
            <w:hideMark/>
          </w:tcPr>
          <w:p w14:paraId="4DC38380" w14:textId="77777777" w:rsidR="00F823F0" w:rsidRPr="009769A8" w:rsidRDefault="00F823F0" w:rsidP="009769A8">
            <w:pPr>
              <w:pStyle w:val="Footnote"/>
              <w:jc w:val="right"/>
              <w:rPr>
                <w:sz w:val="20"/>
                <w:szCs w:val="20"/>
              </w:rPr>
            </w:pPr>
            <w:r w:rsidRPr="009769A8">
              <w:rPr>
                <w:color w:val="000000"/>
                <w:sz w:val="20"/>
                <w:szCs w:val="20"/>
              </w:rPr>
              <w:t xml:space="preserve">0 </w:t>
            </w:r>
          </w:p>
        </w:tc>
        <w:tc>
          <w:tcPr>
            <w:tcW w:w="1128" w:type="dxa"/>
            <w:noWrap/>
            <w:vAlign w:val="bottom"/>
            <w:hideMark/>
          </w:tcPr>
          <w:p w14:paraId="60989167" w14:textId="77777777" w:rsidR="00F823F0" w:rsidRPr="009769A8" w:rsidRDefault="00F823F0" w:rsidP="009769A8">
            <w:pPr>
              <w:pStyle w:val="Footnote"/>
              <w:jc w:val="right"/>
              <w:rPr>
                <w:sz w:val="20"/>
                <w:szCs w:val="20"/>
              </w:rPr>
            </w:pPr>
            <w:r w:rsidRPr="009769A8">
              <w:rPr>
                <w:color w:val="000000"/>
                <w:sz w:val="20"/>
                <w:szCs w:val="20"/>
              </w:rPr>
              <w:t xml:space="preserve">0 </w:t>
            </w:r>
          </w:p>
        </w:tc>
        <w:tc>
          <w:tcPr>
            <w:tcW w:w="1128" w:type="dxa"/>
            <w:noWrap/>
            <w:vAlign w:val="bottom"/>
            <w:hideMark/>
          </w:tcPr>
          <w:p w14:paraId="580EF655" w14:textId="77777777" w:rsidR="00F823F0" w:rsidRPr="009769A8" w:rsidRDefault="00F823F0" w:rsidP="009769A8">
            <w:pPr>
              <w:pStyle w:val="Footnote"/>
              <w:jc w:val="right"/>
              <w:rPr>
                <w:sz w:val="20"/>
                <w:szCs w:val="20"/>
              </w:rPr>
            </w:pPr>
            <w:r w:rsidRPr="009769A8">
              <w:rPr>
                <w:color w:val="000000"/>
                <w:sz w:val="20"/>
                <w:szCs w:val="20"/>
              </w:rPr>
              <w:t xml:space="preserve">0 </w:t>
            </w:r>
          </w:p>
        </w:tc>
      </w:tr>
      <w:tr w:rsidR="00F823F0" w:rsidRPr="009769A8" w14:paraId="3284BBF2" w14:textId="77777777" w:rsidTr="00823405">
        <w:trPr>
          <w:trHeight w:val="300"/>
          <w:jc w:val="center"/>
        </w:trPr>
        <w:tc>
          <w:tcPr>
            <w:tcW w:w="1139" w:type="dxa"/>
            <w:noWrap/>
            <w:hideMark/>
          </w:tcPr>
          <w:p w14:paraId="78E70A95" w14:textId="77777777" w:rsidR="00F823F0" w:rsidRPr="009769A8" w:rsidRDefault="00F823F0" w:rsidP="009769A8">
            <w:pPr>
              <w:pStyle w:val="Footnote"/>
              <w:jc w:val="left"/>
              <w:rPr>
                <w:sz w:val="20"/>
                <w:szCs w:val="20"/>
              </w:rPr>
            </w:pPr>
            <w:r w:rsidRPr="009769A8">
              <w:rPr>
                <w:sz w:val="20"/>
                <w:szCs w:val="20"/>
              </w:rPr>
              <w:t>5</w:t>
            </w:r>
          </w:p>
        </w:tc>
        <w:tc>
          <w:tcPr>
            <w:tcW w:w="2726" w:type="dxa"/>
            <w:noWrap/>
            <w:hideMark/>
          </w:tcPr>
          <w:p w14:paraId="528DEB17" w14:textId="3A17E7C0" w:rsidR="00F823F0" w:rsidRPr="009769A8" w:rsidRDefault="00F823F0" w:rsidP="009769A8">
            <w:pPr>
              <w:pStyle w:val="Footnote"/>
              <w:jc w:val="left"/>
              <w:rPr>
                <w:sz w:val="20"/>
                <w:szCs w:val="20"/>
              </w:rPr>
            </w:pPr>
            <w:r w:rsidRPr="009769A8">
              <w:rPr>
                <w:sz w:val="20"/>
                <w:szCs w:val="20"/>
              </w:rPr>
              <w:t>Deferred Credit for Equipment from Vendors</w:t>
            </w:r>
          </w:p>
        </w:tc>
        <w:tc>
          <w:tcPr>
            <w:tcW w:w="1170" w:type="dxa"/>
            <w:noWrap/>
            <w:vAlign w:val="bottom"/>
            <w:hideMark/>
          </w:tcPr>
          <w:p w14:paraId="2980C007" w14:textId="77777777" w:rsidR="00F823F0" w:rsidRPr="009769A8" w:rsidRDefault="00F823F0" w:rsidP="009769A8">
            <w:pPr>
              <w:pStyle w:val="Footnote"/>
              <w:jc w:val="right"/>
              <w:rPr>
                <w:sz w:val="20"/>
                <w:szCs w:val="20"/>
              </w:rPr>
            </w:pPr>
            <w:r w:rsidRPr="009769A8">
              <w:rPr>
                <w:color w:val="000000"/>
                <w:sz w:val="20"/>
                <w:szCs w:val="20"/>
              </w:rPr>
              <w:t xml:space="preserve">9 </w:t>
            </w:r>
          </w:p>
        </w:tc>
        <w:tc>
          <w:tcPr>
            <w:tcW w:w="1128" w:type="dxa"/>
            <w:noWrap/>
            <w:vAlign w:val="bottom"/>
            <w:hideMark/>
          </w:tcPr>
          <w:p w14:paraId="4B538AE2" w14:textId="77777777" w:rsidR="00F823F0" w:rsidRPr="009769A8" w:rsidRDefault="00F823F0" w:rsidP="009769A8">
            <w:pPr>
              <w:pStyle w:val="Footnote"/>
              <w:jc w:val="right"/>
              <w:rPr>
                <w:sz w:val="20"/>
                <w:szCs w:val="20"/>
              </w:rPr>
            </w:pPr>
            <w:r w:rsidRPr="009769A8">
              <w:rPr>
                <w:color w:val="000000"/>
                <w:sz w:val="20"/>
                <w:szCs w:val="20"/>
              </w:rPr>
              <w:t xml:space="preserve">9 </w:t>
            </w:r>
          </w:p>
        </w:tc>
        <w:tc>
          <w:tcPr>
            <w:tcW w:w="1128" w:type="dxa"/>
            <w:noWrap/>
            <w:vAlign w:val="bottom"/>
            <w:hideMark/>
          </w:tcPr>
          <w:p w14:paraId="5F03DEBC" w14:textId="77777777" w:rsidR="00F823F0" w:rsidRPr="009769A8" w:rsidRDefault="00F823F0" w:rsidP="009769A8">
            <w:pPr>
              <w:pStyle w:val="Footnote"/>
              <w:jc w:val="right"/>
              <w:rPr>
                <w:sz w:val="20"/>
                <w:szCs w:val="20"/>
              </w:rPr>
            </w:pPr>
            <w:r w:rsidRPr="009769A8">
              <w:rPr>
                <w:color w:val="000000"/>
                <w:sz w:val="20"/>
                <w:szCs w:val="20"/>
              </w:rPr>
              <w:t xml:space="preserve">4 </w:t>
            </w:r>
          </w:p>
        </w:tc>
      </w:tr>
      <w:tr w:rsidR="00F823F0" w:rsidRPr="009769A8" w14:paraId="19341226" w14:textId="77777777" w:rsidTr="00823405">
        <w:trPr>
          <w:trHeight w:val="60"/>
          <w:jc w:val="center"/>
        </w:trPr>
        <w:tc>
          <w:tcPr>
            <w:tcW w:w="1139" w:type="dxa"/>
            <w:noWrap/>
            <w:hideMark/>
          </w:tcPr>
          <w:p w14:paraId="292B111A" w14:textId="77777777" w:rsidR="00F823F0" w:rsidRPr="009769A8" w:rsidRDefault="00F823F0" w:rsidP="009769A8">
            <w:pPr>
              <w:pStyle w:val="Footnote"/>
              <w:jc w:val="left"/>
              <w:rPr>
                <w:sz w:val="20"/>
                <w:szCs w:val="20"/>
              </w:rPr>
            </w:pPr>
            <w:r w:rsidRPr="009769A8">
              <w:rPr>
                <w:sz w:val="20"/>
                <w:szCs w:val="20"/>
              </w:rPr>
              <w:t> </w:t>
            </w:r>
          </w:p>
        </w:tc>
        <w:tc>
          <w:tcPr>
            <w:tcW w:w="2726" w:type="dxa"/>
            <w:noWrap/>
            <w:hideMark/>
          </w:tcPr>
          <w:p w14:paraId="743BD248" w14:textId="77777777" w:rsidR="00F823F0" w:rsidRPr="009769A8" w:rsidRDefault="00F823F0" w:rsidP="009769A8">
            <w:pPr>
              <w:pStyle w:val="Footnote"/>
              <w:jc w:val="left"/>
              <w:rPr>
                <w:sz w:val="20"/>
                <w:szCs w:val="20"/>
              </w:rPr>
            </w:pPr>
          </w:p>
        </w:tc>
        <w:tc>
          <w:tcPr>
            <w:tcW w:w="1170" w:type="dxa"/>
            <w:noWrap/>
            <w:vAlign w:val="bottom"/>
          </w:tcPr>
          <w:p w14:paraId="35FF0B12" w14:textId="77777777" w:rsidR="00F823F0" w:rsidRPr="009769A8" w:rsidRDefault="00F823F0" w:rsidP="009769A8">
            <w:pPr>
              <w:pStyle w:val="Footnote"/>
              <w:jc w:val="right"/>
              <w:rPr>
                <w:sz w:val="20"/>
                <w:szCs w:val="20"/>
              </w:rPr>
            </w:pPr>
          </w:p>
        </w:tc>
        <w:tc>
          <w:tcPr>
            <w:tcW w:w="1128" w:type="dxa"/>
            <w:noWrap/>
            <w:vAlign w:val="bottom"/>
          </w:tcPr>
          <w:p w14:paraId="14586F35" w14:textId="77777777" w:rsidR="00F823F0" w:rsidRPr="009769A8" w:rsidRDefault="00F823F0" w:rsidP="009769A8">
            <w:pPr>
              <w:pStyle w:val="Footnote"/>
              <w:jc w:val="right"/>
              <w:rPr>
                <w:sz w:val="20"/>
                <w:szCs w:val="20"/>
              </w:rPr>
            </w:pPr>
          </w:p>
        </w:tc>
        <w:tc>
          <w:tcPr>
            <w:tcW w:w="1128" w:type="dxa"/>
            <w:noWrap/>
            <w:vAlign w:val="bottom"/>
          </w:tcPr>
          <w:p w14:paraId="1FAF0A8A" w14:textId="77777777" w:rsidR="00F823F0" w:rsidRPr="009769A8" w:rsidRDefault="00F823F0" w:rsidP="009769A8">
            <w:pPr>
              <w:pStyle w:val="Footnote"/>
              <w:jc w:val="right"/>
              <w:rPr>
                <w:sz w:val="20"/>
                <w:szCs w:val="20"/>
              </w:rPr>
            </w:pPr>
          </w:p>
        </w:tc>
      </w:tr>
      <w:tr w:rsidR="00F823F0" w:rsidRPr="009769A8" w14:paraId="5DE810A5" w14:textId="77777777" w:rsidTr="00823405">
        <w:trPr>
          <w:trHeight w:val="60"/>
          <w:jc w:val="center"/>
        </w:trPr>
        <w:tc>
          <w:tcPr>
            <w:tcW w:w="1139" w:type="dxa"/>
            <w:noWrap/>
            <w:hideMark/>
          </w:tcPr>
          <w:p w14:paraId="7DA8F040" w14:textId="77777777" w:rsidR="00F823F0" w:rsidRPr="009769A8" w:rsidRDefault="00F823F0" w:rsidP="009769A8">
            <w:pPr>
              <w:pStyle w:val="Footnote"/>
              <w:jc w:val="left"/>
              <w:rPr>
                <w:sz w:val="20"/>
                <w:szCs w:val="20"/>
              </w:rPr>
            </w:pPr>
            <w:r w:rsidRPr="009769A8">
              <w:rPr>
                <w:sz w:val="20"/>
                <w:szCs w:val="20"/>
              </w:rPr>
              <w:t> </w:t>
            </w:r>
          </w:p>
        </w:tc>
        <w:tc>
          <w:tcPr>
            <w:tcW w:w="2726" w:type="dxa"/>
            <w:noWrap/>
            <w:hideMark/>
          </w:tcPr>
          <w:p w14:paraId="5515CD25" w14:textId="36EA1B80" w:rsidR="00F823F0" w:rsidRPr="009769A8" w:rsidRDefault="00F823F0" w:rsidP="00A37C2D">
            <w:pPr>
              <w:pStyle w:val="Footnote"/>
              <w:jc w:val="left"/>
              <w:rPr>
                <w:sz w:val="20"/>
                <w:szCs w:val="20"/>
              </w:rPr>
            </w:pPr>
            <w:r w:rsidRPr="009769A8">
              <w:rPr>
                <w:sz w:val="20"/>
                <w:szCs w:val="20"/>
              </w:rPr>
              <w:t xml:space="preserve">TOTAL </w:t>
            </w:r>
          </w:p>
        </w:tc>
        <w:tc>
          <w:tcPr>
            <w:tcW w:w="1170" w:type="dxa"/>
            <w:noWrap/>
            <w:vAlign w:val="bottom"/>
            <w:hideMark/>
          </w:tcPr>
          <w:p w14:paraId="406BF50F" w14:textId="77777777" w:rsidR="00F823F0" w:rsidRPr="009769A8" w:rsidRDefault="00F823F0" w:rsidP="009769A8">
            <w:pPr>
              <w:pStyle w:val="Footnote"/>
              <w:jc w:val="right"/>
              <w:rPr>
                <w:sz w:val="20"/>
                <w:szCs w:val="20"/>
              </w:rPr>
            </w:pPr>
            <w:r w:rsidRPr="009769A8">
              <w:rPr>
                <w:color w:val="000000"/>
                <w:sz w:val="20"/>
                <w:szCs w:val="20"/>
              </w:rPr>
              <w:t xml:space="preserve">99 </w:t>
            </w:r>
          </w:p>
        </w:tc>
        <w:tc>
          <w:tcPr>
            <w:tcW w:w="1128" w:type="dxa"/>
            <w:noWrap/>
            <w:vAlign w:val="bottom"/>
            <w:hideMark/>
          </w:tcPr>
          <w:p w14:paraId="08A51A84" w14:textId="77777777" w:rsidR="00F823F0" w:rsidRPr="009769A8" w:rsidRDefault="00F823F0" w:rsidP="009769A8">
            <w:pPr>
              <w:pStyle w:val="Footnote"/>
              <w:jc w:val="right"/>
              <w:rPr>
                <w:sz w:val="20"/>
                <w:szCs w:val="20"/>
              </w:rPr>
            </w:pPr>
            <w:r w:rsidRPr="009769A8">
              <w:rPr>
                <w:color w:val="000000"/>
                <w:sz w:val="20"/>
                <w:szCs w:val="20"/>
              </w:rPr>
              <w:t xml:space="preserve">552 </w:t>
            </w:r>
          </w:p>
        </w:tc>
        <w:tc>
          <w:tcPr>
            <w:tcW w:w="1128" w:type="dxa"/>
            <w:noWrap/>
            <w:vAlign w:val="bottom"/>
            <w:hideMark/>
          </w:tcPr>
          <w:p w14:paraId="40F6FA2B" w14:textId="77777777" w:rsidR="00F823F0" w:rsidRPr="009769A8" w:rsidRDefault="00F823F0" w:rsidP="009769A8">
            <w:pPr>
              <w:pStyle w:val="Footnote"/>
              <w:jc w:val="right"/>
              <w:rPr>
                <w:sz w:val="20"/>
                <w:szCs w:val="20"/>
              </w:rPr>
            </w:pPr>
            <w:r w:rsidRPr="009769A8">
              <w:rPr>
                <w:color w:val="000000"/>
                <w:sz w:val="20"/>
                <w:szCs w:val="20"/>
              </w:rPr>
              <w:t xml:space="preserve">503 </w:t>
            </w:r>
          </w:p>
        </w:tc>
      </w:tr>
      <w:tr w:rsidR="00F823F0" w:rsidRPr="009769A8" w14:paraId="0EDF6E5C" w14:textId="77777777" w:rsidTr="00823405">
        <w:trPr>
          <w:trHeight w:val="60"/>
          <w:jc w:val="center"/>
        </w:trPr>
        <w:tc>
          <w:tcPr>
            <w:tcW w:w="1139" w:type="dxa"/>
            <w:noWrap/>
            <w:hideMark/>
          </w:tcPr>
          <w:p w14:paraId="2AD37FA8" w14:textId="77777777" w:rsidR="00F823F0" w:rsidRPr="009769A8" w:rsidRDefault="00F823F0" w:rsidP="009769A8">
            <w:pPr>
              <w:pStyle w:val="Footnote"/>
              <w:jc w:val="left"/>
              <w:rPr>
                <w:sz w:val="20"/>
                <w:szCs w:val="20"/>
              </w:rPr>
            </w:pPr>
            <w:r w:rsidRPr="009769A8">
              <w:rPr>
                <w:sz w:val="20"/>
                <w:szCs w:val="20"/>
              </w:rPr>
              <w:t> </w:t>
            </w:r>
          </w:p>
        </w:tc>
        <w:tc>
          <w:tcPr>
            <w:tcW w:w="2726" w:type="dxa"/>
            <w:noWrap/>
            <w:hideMark/>
          </w:tcPr>
          <w:p w14:paraId="0ED51139" w14:textId="77777777" w:rsidR="00F823F0" w:rsidRPr="009769A8" w:rsidRDefault="00F823F0" w:rsidP="009769A8">
            <w:pPr>
              <w:pStyle w:val="Footnote"/>
              <w:jc w:val="left"/>
              <w:rPr>
                <w:sz w:val="20"/>
                <w:szCs w:val="20"/>
              </w:rPr>
            </w:pPr>
          </w:p>
        </w:tc>
        <w:tc>
          <w:tcPr>
            <w:tcW w:w="1170" w:type="dxa"/>
            <w:noWrap/>
            <w:vAlign w:val="bottom"/>
          </w:tcPr>
          <w:p w14:paraId="1F026C3C" w14:textId="77777777" w:rsidR="00F823F0" w:rsidRPr="009769A8" w:rsidRDefault="00F823F0" w:rsidP="009769A8">
            <w:pPr>
              <w:pStyle w:val="Footnote"/>
              <w:jc w:val="right"/>
              <w:rPr>
                <w:sz w:val="20"/>
                <w:szCs w:val="20"/>
              </w:rPr>
            </w:pPr>
          </w:p>
        </w:tc>
        <w:tc>
          <w:tcPr>
            <w:tcW w:w="1128" w:type="dxa"/>
            <w:noWrap/>
            <w:vAlign w:val="bottom"/>
          </w:tcPr>
          <w:p w14:paraId="3AFEF9F0" w14:textId="77777777" w:rsidR="00F823F0" w:rsidRPr="009769A8" w:rsidRDefault="00F823F0" w:rsidP="009769A8">
            <w:pPr>
              <w:pStyle w:val="Footnote"/>
              <w:jc w:val="right"/>
              <w:rPr>
                <w:sz w:val="20"/>
                <w:szCs w:val="20"/>
              </w:rPr>
            </w:pPr>
          </w:p>
        </w:tc>
        <w:tc>
          <w:tcPr>
            <w:tcW w:w="1128" w:type="dxa"/>
            <w:noWrap/>
            <w:vAlign w:val="bottom"/>
          </w:tcPr>
          <w:p w14:paraId="62C7323E" w14:textId="77777777" w:rsidR="00F823F0" w:rsidRPr="009769A8" w:rsidRDefault="00F823F0" w:rsidP="009769A8">
            <w:pPr>
              <w:pStyle w:val="Footnote"/>
              <w:jc w:val="right"/>
              <w:rPr>
                <w:sz w:val="20"/>
                <w:szCs w:val="20"/>
              </w:rPr>
            </w:pPr>
          </w:p>
        </w:tc>
      </w:tr>
      <w:tr w:rsidR="00F823F0" w:rsidRPr="009769A8" w14:paraId="2D3AC148" w14:textId="77777777" w:rsidTr="00823405">
        <w:trPr>
          <w:trHeight w:val="60"/>
          <w:jc w:val="center"/>
        </w:trPr>
        <w:tc>
          <w:tcPr>
            <w:tcW w:w="1139" w:type="dxa"/>
            <w:noWrap/>
            <w:hideMark/>
          </w:tcPr>
          <w:p w14:paraId="2C99803D" w14:textId="77777777" w:rsidR="00F823F0" w:rsidRPr="009769A8" w:rsidRDefault="009769A8" w:rsidP="009769A8">
            <w:pPr>
              <w:pStyle w:val="Footnote"/>
              <w:jc w:val="left"/>
              <w:rPr>
                <w:b/>
                <w:bCs/>
                <w:sz w:val="20"/>
                <w:szCs w:val="20"/>
                <w:u w:val="single"/>
              </w:rPr>
            </w:pPr>
            <w:r>
              <w:rPr>
                <w:b/>
                <w:bCs/>
                <w:sz w:val="20"/>
                <w:szCs w:val="20"/>
                <w:u w:val="single"/>
              </w:rPr>
              <w:t>Assets</w:t>
            </w:r>
          </w:p>
        </w:tc>
        <w:tc>
          <w:tcPr>
            <w:tcW w:w="2726" w:type="dxa"/>
            <w:noWrap/>
            <w:hideMark/>
          </w:tcPr>
          <w:p w14:paraId="17D95C36" w14:textId="77777777" w:rsidR="00F823F0" w:rsidRPr="009769A8" w:rsidRDefault="00F823F0" w:rsidP="009769A8">
            <w:pPr>
              <w:pStyle w:val="Footnote"/>
              <w:jc w:val="left"/>
              <w:rPr>
                <w:b/>
                <w:bCs/>
                <w:sz w:val="20"/>
                <w:szCs w:val="20"/>
                <w:u w:val="single"/>
              </w:rPr>
            </w:pPr>
          </w:p>
        </w:tc>
        <w:tc>
          <w:tcPr>
            <w:tcW w:w="1170" w:type="dxa"/>
            <w:noWrap/>
            <w:vAlign w:val="bottom"/>
          </w:tcPr>
          <w:p w14:paraId="08B33200" w14:textId="77777777" w:rsidR="00F823F0" w:rsidRPr="009769A8" w:rsidRDefault="00F823F0" w:rsidP="009769A8">
            <w:pPr>
              <w:pStyle w:val="Footnote"/>
              <w:jc w:val="right"/>
              <w:rPr>
                <w:sz w:val="20"/>
                <w:szCs w:val="20"/>
              </w:rPr>
            </w:pPr>
          </w:p>
        </w:tc>
        <w:tc>
          <w:tcPr>
            <w:tcW w:w="1128" w:type="dxa"/>
            <w:noWrap/>
            <w:vAlign w:val="bottom"/>
          </w:tcPr>
          <w:p w14:paraId="5D91EE2F" w14:textId="77777777" w:rsidR="00F823F0" w:rsidRPr="009769A8" w:rsidRDefault="00F823F0" w:rsidP="009769A8">
            <w:pPr>
              <w:pStyle w:val="Footnote"/>
              <w:jc w:val="right"/>
              <w:rPr>
                <w:sz w:val="20"/>
                <w:szCs w:val="20"/>
              </w:rPr>
            </w:pPr>
          </w:p>
        </w:tc>
        <w:tc>
          <w:tcPr>
            <w:tcW w:w="1128" w:type="dxa"/>
            <w:noWrap/>
            <w:vAlign w:val="bottom"/>
          </w:tcPr>
          <w:p w14:paraId="426B6627" w14:textId="77777777" w:rsidR="00F823F0" w:rsidRPr="009769A8" w:rsidRDefault="00F823F0" w:rsidP="009769A8">
            <w:pPr>
              <w:pStyle w:val="Footnote"/>
              <w:jc w:val="right"/>
              <w:rPr>
                <w:sz w:val="20"/>
                <w:szCs w:val="20"/>
              </w:rPr>
            </w:pPr>
          </w:p>
        </w:tc>
      </w:tr>
      <w:tr w:rsidR="00F823F0" w:rsidRPr="009769A8" w14:paraId="57FC2B11" w14:textId="77777777" w:rsidTr="00823405">
        <w:trPr>
          <w:trHeight w:val="60"/>
          <w:jc w:val="center"/>
        </w:trPr>
        <w:tc>
          <w:tcPr>
            <w:tcW w:w="1139" w:type="dxa"/>
            <w:noWrap/>
            <w:hideMark/>
          </w:tcPr>
          <w:p w14:paraId="4215BC33" w14:textId="77777777" w:rsidR="00F823F0" w:rsidRPr="009769A8" w:rsidRDefault="00F823F0" w:rsidP="009769A8">
            <w:pPr>
              <w:pStyle w:val="Footnote"/>
              <w:jc w:val="left"/>
              <w:rPr>
                <w:sz w:val="20"/>
                <w:szCs w:val="20"/>
              </w:rPr>
            </w:pPr>
            <w:r w:rsidRPr="009769A8">
              <w:rPr>
                <w:sz w:val="20"/>
                <w:szCs w:val="20"/>
              </w:rPr>
              <w:t>1</w:t>
            </w:r>
          </w:p>
        </w:tc>
        <w:tc>
          <w:tcPr>
            <w:tcW w:w="2726" w:type="dxa"/>
            <w:noWrap/>
            <w:hideMark/>
          </w:tcPr>
          <w:p w14:paraId="56E1D096" w14:textId="1F5E941F" w:rsidR="00F823F0" w:rsidRPr="009769A8" w:rsidRDefault="00F823F0" w:rsidP="009769A8">
            <w:pPr>
              <w:pStyle w:val="Footnote"/>
              <w:jc w:val="left"/>
              <w:rPr>
                <w:sz w:val="20"/>
                <w:szCs w:val="20"/>
              </w:rPr>
            </w:pPr>
            <w:r w:rsidRPr="009769A8">
              <w:rPr>
                <w:sz w:val="20"/>
                <w:szCs w:val="20"/>
              </w:rPr>
              <w:t>Gross Block</w:t>
            </w:r>
            <w:r w:rsidR="00823405">
              <w:rPr>
                <w:sz w:val="20"/>
                <w:szCs w:val="20"/>
              </w:rPr>
              <w:t xml:space="preserve"> Goodwill</w:t>
            </w:r>
          </w:p>
        </w:tc>
        <w:tc>
          <w:tcPr>
            <w:tcW w:w="1170" w:type="dxa"/>
            <w:noWrap/>
            <w:vAlign w:val="bottom"/>
            <w:hideMark/>
          </w:tcPr>
          <w:p w14:paraId="300BDF16" w14:textId="77777777" w:rsidR="00F823F0" w:rsidRPr="009769A8" w:rsidRDefault="00F823F0" w:rsidP="009769A8">
            <w:pPr>
              <w:pStyle w:val="Footnote"/>
              <w:jc w:val="right"/>
              <w:rPr>
                <w:sz w:val="20"/>
                <w:szCs w:val="20"/>
              </w:rPr>
            </w:pPr>
            <w:r w:rsidRPr="009769A8">
              <w:rPr>
                <w:color w:val="000000"/>
                <w:sz w:val="20"/>
                <w:szCs w:val="20"/>
              </w:rPr>
              <w:t xml:space="preserve">109 </w:t>
            </w:r>
          </w:p>
        </w:tc>
        <w:tc>
          <w:tcPr>
            <w:tcW w:w="1128" w:type="dxa"/>
            <w:noWrap/>
            <w:vAlign w:val="bottom"/>
            <w:hideMark/>
          </w:tcPr>
          <w:p w14:paraId="527A2B9A" w14:textId="77777777" w:rsidR="00F823F0" w:rsidRPr="009769A8" w:rsidRDefault="00F823F0" w:rsidP="009769A8">
            <w:pPr>
              <w:pStyle w:val="Footnote"/>
              <w:jc w:val="right"/>
              <w:rPr>
                <w:sz w:val="20"/>
                <w:szCs w:val="20"/>
              </w:rPr>
            </w:pPr>
            <w:r w:rsidRPr="009769A8">
              <w:rPr>
                <w:color w:val="000000"/>
                <w:sz w:val="20"/>
                <w:szCs w:val="20"/>
              </w:rPr>
              <w:t xml:space="preserve">319 </w:t>
            </w:r>
          </w:p>
        </w:tc>
        <w:tc>
          <w:tcPr>
            <w:tcW w:w="1128" w:type="dxa"/>
            <w:noWrap/>
            <w:vAlign w:val="bottom"/>
            <w:hideMark/>
          </w:tcPr>
          <w:p w14:paraId="33E7A044" w14:textId="77777777" w:rsidR="00F823F0" w:rsidRPr="009769A8" w:rsidRDefault="00F823F0" w:rsidP="009769A8">
            <w:pPr>
              <w:pStyle w:val="Footnote"/>
              <w:jc w:val="right"/>
              <w:rPr>
                <w:sz w:val="20"/>
                <w:szCs w:val="20"/>
              </w:rPr>
            </w:pPr>
            <w:r w:rsidRPr="009769A8">
              <w:rPr>
                <w:color w:val="000000"/>
                <w:sz w:val="20"/>
                <w:szCs w:val="20"/>
              </w:rPr>
              <w:t xml:space="preserve">428 </w:t>
            </w:r>
          </w:p>
        </w:tc>
      </w:tr>
      <w:tr w:rsidR="00F823F0" w:rsidRPr="009769A8" w14:paraId="44894DDF" w14:textId="77777777" w:rsidTr="00823405">
        <w:trPr>
          <w:trHeight w:val="300"/>
          <w:jc w:val="center"/>
        </w:trPr>
        <w:tc>
          <w:tcPr>
            <w:tcW w:w="1139" w:type="dxa"/>
            <w:noWrap/>
            <w:hideMark/>
          </w:tcPr>
          <w:p w14:paraId="5630C8C0" w14:textId="77777777" w:rsidR="00F823F0" w:rsidRPr="009769A8" w:rsidRDefault="00F823F0" w:rsidP="009769A8">
            <w:pPr>
              <w:pStyle w:val="Footnote"/>
              <w:jc w:val="left"/>
              <w:rPr>
                <w:sz w:val="20"/>
                <w:szCs w:val="20"/>
              </w:rPr>
            </w:pPr>
            <w:r w:rsidRPr="009769A8">
              <w:rPr>
                <w:sz w:val="20"/>
                <w:szCs w:val="20"/>
              </w:rPr>
              <w:t>2</w:t>
            </w:r>
          </w:p>
        </w:tc>
        <w:tc>
          <w:tcPr>
            <w:tcW w:w="2726" w:type="dxa"/>
            <w:noWrap/>
            <w:hideMark/>
          </w:tcPr>
          <w:p w14:paraId="28925561" w14:textId="77777777" w:rsidR="00F823F0" w:rsidRPr="009769A8" w:rsidRDefault="00F823F0" w:rsidP="009769A8">
            <w:pPr>
              <w:pStyle w:val="Footnote"/>
              <w:jc w:val="left"/>
              <w:rPr>
                <w:sz w:val="20"/>
                <w:szCs w:val="20"/>
              </w:rPr>
            </w:pPr>
            <w:r w:rsidRPr="009769A8">
              <w:rPr>
                <w:sz w:val="20"/>
                <w:szCs w:val="20"/>
              </w:rPr>
              <w:t>Less: Accumulated Depreciation</w:t>
            </w:r>
          </w:p>
        </w:tc>
        <w:tc>
          <w:tcPr>
            <w:tcW w:w="1170" w:type="dxa"/>
            <w:noWrap/>
            <w:vAlign w:val="bottom"/>
            <w:hideMark/>
          </w:tcPr>
          <w:p w14:paraId="10E225BC" w14:textId="77777777" w:rsidR="00F823F0" w:rsidRPr="009769A8" w:rsidRDefault="00F823F0" w:rsidP="009769A8">
            <w:pPr>
              <w:pStyle w:val="Footnote"/>
              <w:jc w:val="right"/>
              <w:rPr>
                <w:sz w:val="20"/>
                <w:szCs w:val="20"/>
              </w:rPr>
            </w:pPr>
            <w:r w:rsidRPr="009769A8">
              <w:rPr>
                <w:color w:val="000000"/>
                <w:sz w:val="20"/>
                <w:szCs w:val="20"/>
              </w:rPr>
              <w:t xml:space="preserve">19 </w:t>
            </w:r>
          </w:p>
        </w:tc>
        <w:tc>
          <w:tcPr>
            <w:tcW w:w="1128" w:type="dxa"/>
            <w:noWrap/>
            <w:vAlign w:val="bottom"/>
            <w:hideMark/>
          </w:tcPr>
          <w:p w14:paraId="4ECE5950" w14:textId="77777777" w:rsidR="00F823F0" w:rsidRPr="009769A8" w:rsidRDefault="00F823F0" w:rsidP="009769A8">
            <w:pPr>
              <w:pStyle w:val="Footnote"/>
              <w:jc w:val="right"/>
              <w:rPr>
                <w:sz w:val="20"/>
                <w:szCs w:val="20"/>
              </w:rPr>
            </w:pPr>
            <w:r w:rsidRPr="009769A8">
              <w:rPr>
                <w:color w:val="000000"/>
                <w:sz w:val="20"/>
                <w:szCs w:val="20"/>
              </w:rPr>
              <w:t xml:space="preserve">32 </w:t>
            </w:r>
          </w:p>
        </w:tc>
        <w:tc>
          <w:tcPr>
            <w:tcW w:w="1128" w:type="dxa"/>
            <w:noWrap/>
            <w:vAlign w:val="bottom"/>
            <w:hideMark/>
          </w:tcPr>
          <w:p w14:paraId="5D453EDB" w14:textId="77777777" w:rsidR="00F823F0" w:rsidRPr="009769A8" w:rsidRDefault="00F823F0" w:rsidP="009769A8">
            <w:pPr>
              <w:pStyle w:val="Footnote"/>
              <w:jc w:val="right"/>
              <w:rPr>
                <w:sz w:val="20"/>
                <w:szCs w:val="20"/>
              </w:rPr>
            </w:pPr>
            <w:r w:rsidRPr="009769A8">
              <w:rPr>
                <w:color w:val="000000"/>
                <w:sz w:val="20"/>
                <w:szCs w:val="20"/>
              </w:rPr>
              <w:t xml:space="preserve">56 </w:t>
            </w:r>
          </w:p>
        </w:tc>
      </w:tr>
      <w:tr w:rsidR="00F823F0" w:rsidRPr="009769A8" w14:paraId="7A26F5E6" w14:textId="77777777" w:rsidTr="00823405">
        <w:trPr>
          <w:trHeight w:val="60"/>
          <w:jc w:val="center"/>
        </w:trPr>
        <w:tc>
          <w:tcPr>
            <w:tcW w:w="1139" w:type="dxa"/>
            <w:noWrap/>
            <w:hideMark/>
          </w:tcPr>
          <w:p w14:paraId="627D3695" w14:textId="77777777" w:rsidR="00F823F0" w:rsidRPr="009769A8" w:rsidRDefault="00F823F0" w:rsidP="009769A8">
            <w:pPr>
              <w:pStyle w:val="Footnote"/>
              <w:jc w:val="left"/>
              <w:rPr>
                <w:sz w:val="20"/>
                <w:szCs w:val="20"/>
              </w:rPr>
            </w:pPr>
            <w:r w:rsidRPr="009769A8">
              <w:rPr>
                <w:sz w:val="20"/>
                <w:szCs w:val="20"/>
              </w:rPr>
              <w:t>3</w:t>
            </w:r>
          </w:p>
        </w:tc>
        <w:tc>
          <w:tcPr>
            <w:tcW w:w="2726" w:type="dxa"/>
            <w:noWrap/>
            <w:hideMark/>
          </w:tcPr>
          <w:p w14:paraId="78A3D269" w14:textId="77777777" w:rsidR="00F823F0" w:rsidRPr="009769A8" w:rsidRDefault="00F823F0" w:rsidP="009769A8">
            <w:pPr>
              <w:pStyle w:val="Footnote"/>
              <w:jc w:val="left"/>
              <w:rPr>
                <w:sz w:val="20"/>
                <w:szCs w:val="20"/>
              </w:rPr>
            </w:pPr>
            <w:r w:rsidRPr="009769A8">
              <w:rPr>
                <w:sz w:val="20"/>
                <w:szCs w:val="20"/>
              </w:rPr>
              <w:t>Net Block</w:t>
            </w:r>
          </w:p>
        </w:tc>
        <w:tc>
          <w:tcPr>
            <w:tcW w:w="1170" w:type="dxa"/>
            <w:noWrap/>
            <w:vAlign w:val="bottom"/>
            <w:hideMark/>
          </w:tcPr>
          <w:p w14:paraId="3FCBEFA5" w14:textId="77777777" w:rsidR="00F823F0" w:rsidRPr="009769A8" w:rsidRDefault="00F823F0" w:rsidP="009769A8">
            <w:pPr>
              <w:pStyle w:val="Footnote"/>
              <w:jc w:val="right"/>
              <w:rPr>
                <w:sz w:val="20"/>
                <w:szCs w:val="20"/>
              </w:rPr>
            </w:pPr>
            <w:r w:rsidRPr="009769A8">
              <w:rPr>
                <w:color w:val="000000"/>
                <w:sz w:val="20"/>
                <w:szCs w:val="20"/>
              </w:rPr>
              <w:t xml:space="preserve">90 </w:t>
            </w:r>
          </w:p>
        </w:tc>
        <w:tc>
          <w:tcPr>
            <w:tcW w:w="1128" w:type="dxa"/>
            <w:noWrap/>
            <w:vAlign w:val="bottom"/>
            <w:hideMark/>
          </w:tcPr>
          <w:p w14:paraId="0DB55D31" w14:textId="77777777" w:rsidR="00F823F0" w:rsidRPr="009769A8" w:rsidRDefault="00F823F0" w:rsidP="009769A8">
            <w:pPr>
              <w:pStyle w:val="Footnote"/>
              <w:jc w:val="right"/>
              <w:rPr>
                <w:sz w:val="20"/>
                <w:szCs w:val="20"/>
              </w:rPr>
            </w:pPr>
            <w:r w:rsidRPr="009769A8">
              <w:rPr>
                <w:color w:val="000000"/>
                <w:sz w:val="20"/>
                <w:szCs w:val="20"/>
              </w:rPr>
              <w:t xml:space="preserve">287 </w:t>
            </w:r>
          </w:p>
        </w:tc>
        <w:tc>
          <w:tcPr>
            <w:tcW w:w="1128" w:type="dxa"/>
            <w:noWrap/>
            <w:vAlign w:val="bottom"/>
            <w:hideMark/>
          </w:tcPr>
          <w:p w14:paraId="01C4E8E3" w14:textId="77777777" w:rsidR="00F823F0" w:rsidRPr="009769A8" w:rsidRDefault="00F823F0" w:rsidP="009769A8">
            <w:pPr>
              <w:pStyle w:val="Footnote"/>
              <w:jc w:val="right"/>
              <w:rPr>
                <w:sz w:val="20"/>
                <w:szCs w:val="20"/>
              </w:rPr>
            </w:pPr>
            <w:r w:rsidRPr="009769A8">
              <w:rPr>
                <w:color w:val="000000"/>
                <w:sz w:val="20"/>
                <w:szCs w:val="20"/>
              </w:rPr>
              <w:t xml:space="preserve">372 </w:t>
            </w:r>
          </w:p>
        </w:tc>
      </w:tr>
      <w:tr w:rsidR="00F823F0" w:rsidRPr="009769A8" w14:paraId="36FE3384" w14:textId="77777777" w:rsidTr="00823405">
        <w:trPr>
          <w:trHeight w:val="60"/>
          <w:jc w:val="center"/>
        </w:trPr>
        <w:tc>
          <w:tcPr>
            <w:tcW w:w="1139" w:type="dxa"/>
            <w:noWrap/>
            <w:hideMark/>
          </w:tcPr>
          <w:p w14:paraId="43B4638E" w14:textId="77777777" w:rsidR="00F823F0" w:rsidRPr="009769A8" w:rsidRDefault="00F823F0" w:rsidP="009769A8">
            <w:pPr>
              <w:pStyle w:val="Footnote"/>
              <w:jc w:val="left"/>
              <w:rPr>
                <w:sz w:val="20"/>
                <w:szCs w:val="20"/>
              </w:rPr>
            </w:pPr>
            <w:r w:rsidRPr="009769A8">
              <w:rPr>
                <w:sz w:val="20"/>
                <w:szCs w:val="20"/>
              </w:rPr>
              <w:t>4</w:t>
            </w:r>
          </w:p>
        </w:tc>
        <w:tc>
          <w:tcPr>
            <w:tcW w:w="2726" w:type="dxa"/>
            <w:noWrap/>
            <w:hideMark/>
          </w:tcPr>
          <w:p w14:paraId="7A5C17D3" w14:textId="77777777" w:rsidR="00F823F0" w:rsidRPr="009769A8" w:rsidRDefault="00F823F0" w:rsidP="009769A8">
            <w:pPr>
              <w:pStyle w:val="Footnote"/>
              <w:jc w:val="left"/>
              <w:rPr>
                <w:sz w:val="20"/>
                <w:szCs w:val="20"/>
              </w:rPr>
            </w:pPr>
            <w:r w:rsidRPr="009769A8">
              <w:rPr>
                <w:sz w:val="20"/>
                <w:szCs w:val="20"/>
              </w:rPr>
              <w:t>Net Current Assets</w:t>
            </w:r>
          </w:p>
        </w:tc>
        <w:tc>
          <w:tcPr>
            <w:tcW w:w="1170" w:type="dxa"/>
            <w:noWrap/>
            <w:vAlign w:val="bottom"/>
            <w:hideMark/>
          </w:tcPr>
          <w:p w14:paraId="3A0AE04E" w14:textId="422282B9" w:rsidR="00F823F0" w:rsidRPr="009769A8" w:rsidRDefault="0000188B" w:rsidP="009769A8">
            <w:pPr>
              <w:pStyle w:val="Footnote"/>
              <w:jc w:val="right"/>
              <w:rPr>
                <w:sz w:val="20"/>
                <w:szCs w:val="20"/>
              </w:rPr>
            </w:pPr>
            <w:r>
              <w:rPr>
                <w:color w:val="000000"/>
                <w:sz w:val="20"/>
                <w:szCs w:val="20"/>
              </w:rPr>
              <w:t>−</w:t>
            </w:r>
            <w:r w:rsidR="00F823F0" w:rsidRPr="009769A8">
              <w:rPr>
                <w:color w:val="000000"/>
                <w:sz w:val="20"/>
                <w:szCs w:val="20"/>
              </w:rPr>
              <w:t xml:space="preserve">20 </w:t>
            </w:r>
          </w:p>
        </w:tc>
        <w:tc>
          <w:tcPr>
            <w:tcW w:w="1128" w:type="dxa"/>
            <w:noWrap/>
            <w:vAlign w:val="bottom"/>
            <w:hideMark/>
          </w:tcPr>
          <w:p w14:paraId="4E4BE47B" w14:textId="77777777" w:rsidR="00F823F0" w:rsidRPr="009769A8" w:rsidRDefault="00F823F0" w:rsidP="009769A8">
            <w:pPr>
              <w:pStyle w:val="Footnote"/>
              <w:jc w:val="right"/>
              <w:rPr>
                <w:sz w:val="20"/>
                <w:szCs w:val="20"/>
              </w:rPr>
            </w:pPr>
            <w:r w:rsidRPr="009769A8">
              <w:rPr>
                <w:color w:val="000000"/>
                <w:sz w:val="20"/>
                <w:szCs w:val="20"/>
              </w:rPr>
              <w:t xml:space="preserve">92 </w:t>
            </w:r>
          </w:p>
        </w:tc>
        <w:tc>
          <w:tcPr>
            <w:tcW w:w="1128" w:type="dxa"/>
            <w:noWrap/>
            <w:vAlign w:val="bottom"/>
            <w:hideMark/>
          </w:tcPr>
          <w:p w14:paraId="50891BD9" w14:textId="77777777" w:rsidR="00F823F0" w:rsidRPr="009769A8" w:rsidRDefault="00F823F0" w:rsidP="009769A8">
            <w:pPr>
              <w:pStyle w:val="Footnote"/>
              <w:jc w:val="right"/>
              <w:rPr>
                <w:sz w:val="20"/>
                <w:szCs w:val="20"/>
              </w:rPr>
            </w:pPr>
            <w:r w:rsidRPr="009769A8">
              <w:rPr>
                <w:color w:val="000000"/>
                <w:sz w:val="20"/>
                <w:szCs w:val="20"/>
              </w:rPr>
              <w:t xml:space="preserve">74 </w:t>
            </w:r>
          </w:p>
        </w:tc>
      </w:tr>
      <w:tr w:rsidR="00F823F0" w:rsidRPr="009769A8" w14:paraId="5A6FCA17" w14:textId="77777777" w:rsidTr="00823405">
        <w:trPr>
          <w:trHeight w:val="300"/>
          <w:jc w:val="center"/>
        </w:trPr>
        <w:tc>
          <w:tcPr>
            <w:tcW w:w="1139" w:type="dxa"/>
            <w:noWrap/>
            <w:hideMark/>
          </w:tcPr>
          <w:p w14:paraId="510B2711" w14:textId="77777777" w:rsidR="00F823F0" w:rsidRPr="009769A8" w:rsidRDefault="00F823F0" w:rsidP="009769A8">
            <w:pPr>
              <w:pStyle w:val="Footnote"/>
              <w:jc w:val="left"/>
              <w:rPr>
                <w:sz w:val="20"/>
                <w:szCs w:val="20"/>
              </w:rPr>
            </w:pPr>
            <w:r w:rsidRPr="009769A8">
              <w:rPr>
                <w:sz w:val="20"/>
                <w:szCs w:val="20"/>
              </w:rPr>
              <w:t>5</w:t>
            </w:r>
          </w:p>
        </w:tc>
        <w:tc>
          <w:tcPr>
            <w:tcW w:w="2726" w:type="dxa"/>
            <w:noWrap/>
            <w:hideMark/>
          </w:tcPr>
          <w:p w14:paraId="33E6A865" w14:textId="40FDC21B" w:rsidR="00F823F0" w:rsidRPr="009769A8" w:rsidRDefault="00F823F0" w:rsidP="000D4A97">
            <w:pPr>
              <w:pStyle w:val="Footnote"/>
              <w:jc w:val="left"/>
              <w:rPr>
                <w:sz w:val="20"/>
                <w:szCs w:val="20"/>
              </w:rPr>
            </w:pPr>
            <w:r w:rsidRPr="009769A8">
              <w:rPr>
                <w:sz w:val="20"/>
                <w:szCs w:val="20"/>
              </w:rPr>
              <w:t>Deferred Tax Asset/ (</w:t>
            </w:r>
            <w:r w:rsidR="0000188B">
              <w:rPr>
                <w:sz w:val="20"/>
                <w:szCs w:val="20"/>
              </w:rPr>
              <w:t>L</w:t>
            </w:r>
            <w:r w:rsidRPr="009769A8">
              <w:rPr>
                <w:sz w:val="20"/>
                <w:szCs w:val="20"/>
              </w:rPr>
              <w:t>iability)</w:t>
            </w:r>
          </w:p>
        </w:tc>
        <w:tc>
          <w:tcPr>
            <w:tcW w:w="1170" w:type="dxa"/>
            <w:noWrap/>
            <w:vAlign w:val="bottom"/>
            <w:hideMark/>
          </w:tcPr>
          <w:p w14:paraId="32D6EFC7" w14:textId="77777777" w:rsidR="00F823F0" w:rsidRPr="009769A8" w:rsidRDefault="00F823F0" w:rsidP="009769A8">
            <w:pPr>
              <w:pStyle w:val="Footnote"/>
              <w:jc w:val="right"/>
              <w:rPr>
                <w:sz w:val="20"/>
                <w:szCs w:val="20"/>
              </w:rPr>
            </w:pPr>
            <w:r w:rsidRPr="009769A8">
              <w:rPr>
                <w:color w:val="000000"/>
                <w:sz w:val="20"/>
                <w:szCs w:val="20"/>
              </w:rPr>
              <w:t xml:space="preserve">0 </w:t>
            </w:r>
          </w:p>
        </w:tc>
        <w:tc>
          <w:tcPr>
            <w:tcW w:w="1128" w:type="dxa"/>
            <w:noWrap/>
            <w:vAlign w:val="bottom"/>
            <w:hideMark/>
          </w:tcPr>
          <w:p w14:paraId="7AB96AE6" w14:textId="77777777" w:rsidR="00F823F0" w:rsidRPr="009769A8" w:rsidRDefault="00F823F0" w:rsidP="009769A8">
            <w:pPr>
              <w:pStyle w:val="Footnote"/>
              <w:jc w:val="right"/>
              <w:rPr>
                <w:sz w:val="20"/>
                <w:szCs w:val="20"/>
              </w:rPr>
            </w:pPr>
            <w:r w:rsidRPr="009769A8">
              <w:rPr>
                <w:color w:val="000000"/>
                <w:sz w:val="20"/>
                <w:szCs w:val="20"/>
              </w:rPr>
              <w:t xml:space="preserve">0 </w:t>
            </w:r>
          </w:p>
        </w:tc>
        <w:tc>
          <w:tcPr>
            <w:tcW w:w="1128" w:type="dxa"/>
            <w:noWrap/>
            <w:vAlign w:val="bottom"/>
            <w:hideMark/>
          </w:tcPr>
          <w:p w14:paraId="3646EFF1" w14:textId="77777777" w:rsidR="00F823F0" w:rsidRPr="009769A8" w:rsidRDefault="00F823F0" w:rsidP="009769A8">
            <w:pPr>
              <w:pStyle w:val="Footnote"/>
              <w:jc w:val="right"/>
              <w:rPr>
                <w:sz w:val="20"/>
                <w:szCs w:val="20"/>
              </w:rPr>
            </w:pPr>
            <w:r w:rsidRPr="009769A8">
              <w:rPr>
                <w:color w:val="000000"/>
                <w:sz w:val="20"/>
                <w:szCs w:val="20"/>
              </w:rPr>
              <w:t xml:space="preserve">0 </w:t>
            </w:r>
          </w:p>
        </w:tc>
      </w:tr>
      <w:tr w:rsidR="00F823F0" w:rsidRPr="009769A8" w14:paraId="3ED00B65" w14:textId="77777777" w:rsidTr="00823405">
        <w:trPr>
          <w:trHeight w:val="300"/>
          <w:jc w:val="center"/>
        </w:trPr>
        <w:tc>
          <w:tcPr>
            <w:tcW w:w="1139" w:type="dxa"/>
            <w:noWrap/>
            <w:hideMark/>
          </w:tcPr>
          <w:p w14:paraId="0DA8B085" w14:textId="77777777" w:rsidR="00F823F0" w:rsidRPr="009769A8" w:rsidRDefault="00F823F0" w:rsidP="009769A8">
            <w:pPr>
              <w:pStyle w:val="Footnote"/>
              <w:jc w:val="left"/>
              <w:rPr>
                <w:sz w:val="20"/>
                <w:szCs w:val="20"/>
              </w:rPr>
            </w:pPr>
            <w:r w:rsidRPr="009769A8">
              <w:rPr>
                <w:sz w:val="20"/>
                <w:szCs w:val="20"/>
              </w:rPr>
              <w:t>6</w:t>
            </w:r>
          </w:p>
        </w:tc>
        <w:tc>
          <w:tcPr>
            <w:tcW w:w="2726" w:type="dxa"/>
            <w:noWrap/>
            <w:hideMark/>
          </w:tcPr>
          <w:p w14:paraId="1B88A1D4" w14:textId="528D5989" w:rsidR="00F823F0" w:rsidRPr="009769A8" w:rsidRDefault="00F823F0" w:rsidP="009769A8">
            <w:pPr>
              <w:pStyle w:val="Footnote"/>
              <w:jc w:val="left"/>
              <w:rPr>
                <w:sz w:val="20"/>
                <w:szCs w:val="20"/>
              </w:rPr>
            </w:pPr>
            <w:r w:rsidRPr="009769A8">
              <w:rPr>
                <w:sz w:val="20"/>
                <w:szCs w:val="20"/>
              </w:rPr>
              <w:t xml:space="preserve">Cash </w:t>
            </w:r>
            <w:r w:rsidR="002F0E8D">
              <w:rPr>
                <w:sz w:val="20"/>
                <w:szCs w:val="20"/>
              </w:rPr>
              <w:t>and</w:t>
            </w:r>
            <w:r w:rsidRPr="009769A8">
              <w:rPr>
                <w:sz w:val="20"/>
                <w:szCs w:val="20"/>
              </w:rPr>
              <w:t xml:space="preserve"> Bank Balance + Liquid Investments (M</w:t>
            </w:r>
            <w:r w:rsidR="0000188B">
              <w:rPr>
                <w:sz w:val="20"/>
                <w:szCs w:val="20"/>
              </w:rPr>
              <w:t xml:space="preserve">utual </w:t>
            </w:r>
            <w:r w:rsidRPr="009769A8">
              <w:rPr>
                <w:sz w:val="20"/>
                <w:szCs w:val="20"/>
              </w:rPr>
              <w:t>F</w:t>
            </w:r>
            <w:r w:rsidR="0000188B">
              <w:rPr>
                <w:sz w:val="20"/>
                <w:szCs w:val="20"/>
              </w:rPr>
              <w:t>unds</w:t>
            </w:r>
            <w:r w:rsidRPr="009769A8">
              <w:rPr>
                <w:sz w:val="20"/>
                <w:szCs w:val="20"/>
              </w:rPr>
              <w:t>)</w:t>
            </w:r>
          </w:p>
        </w:tc>
        <w:tc>
          <w:tcPr>
            <w:tcW w:w="1170" w:type="dxa"/>
            <w:noWrap/>
            <w:vAlign w:val="bottom"/>
            <w:hideMark/>
          </w:tcPr>
          <w:p w14:paraId="63B50EBE" w14:textId="77777777" w:rsidR="00F823F0" w:rsidRPr="009769A8" w:rsidRDefault="00F823F0" w:rsidP="009769A8">
            <w:pPr>
              <w:pStyle w:val="Footnote"/>
              <w:jc w:val="right"/>
              <w:rPr>
                <w:sz w:val="20"/>
                <w:szCs w:val="20"/>
              </w:rPr>
            </w:pPr>
            <w:r w:rsidRPr="009769A8">
              <w:rPr>
                <w:color w:val="000000"/>
                <w:sz w:val="20"/>
                <w:szCs w:val="20"/>
              </w:rPr>
              <w:t xml:space="preserve">10 </w:t>
            </w:r>
          </w:p>
        </w:tc>
        <w:tc>
          <w:tcPr>
            <w:tcW w:w="1128" w:type="dxa"/>
            <w:noWrap/>
            <w:vAlign w:val="bottom"/>
            <w:hideMark/>
          </w:tcPr>
          <w:p w14:paraId="340368DD" w14:textId="77777777" w:rsidR="00F823F0" w:rsidRPr="009769A8" w:rsidRDefault="00F823F0" w:rsidP="009769A8">
            <w:pPr>
              <w:pStyle w:val="Footnote"/>
              <w:jc w:val="right"/>
              <w:rPr>
                <w:sz w:val="20"/>
                <w:szCs w:val="20"/>
              </w:rPr>
            </w:pPr>
            <w:r w:rsidRPr="009769A8">
              <w:rPr>
                <w:color w:val="000000"/>
                <w:sz w:val="20"/>
                <w:szCs w:val="20"/>
              </w:rPr>
              <w:t xml:space="preserve">141 </w:t>
            </w:r>
          </w:p>
        </w:tc>
        <w:tc>
          <w:tcPr>
            <w:tcW w:w="1128" w:type="dxa"/>
            <w:noWrap/>
            <w:vAlign w:val="bottom"/>
            <w:hideMark/>
          </w:tcPr>
          <w:p w14:paraId="01DAB7F6" w14:textId="77777777" w:rsidR="00F823F0" w:rsidRPr="009769A8" w:rsidRDefault="00F823F0" w:rsidP="009769A8">
            <w:pPr>
              <w:pStyle w:val="Footnote"/>
              <w:jc w:val="right"/>
              <w:rPr>
                <w:sz w:val="20"/>
                <w:szCs w:val="20"/>
              </w:rPr>
            </w:pPr>
            <w:r w:rsidRPr="009769A8">
              <w:rPr>
                <w:color w:val="000000"/>
                <w:sz w:val="20"/>
                <w:szCs w:val="20"/>
              </w:rPr>
              <w:t xml:space="preserve">1 </w:t>
            </w:r>
          </w:p>
        </w:tc>
      </w:tr>
      <w:tr w:rsidR="00F823F0" w:rsidRPr="009769A8" w14:paraId="2F6175B2" w14:textId="77777777" w:rsidTr="00823405">
        <w:trPr>
          <w:trHeight w:val="60"/>
          <w:jc w:val="center"/>
        </w:trPr>
        <w:tc>
          <w:tcPr>
            <w:tcW w:w="1139" w:type="dxa"/>
            <w:noWrap/>
            <w:hideMark/>
          </w:tcPr>
          <w:p w14:paraId="4E51EFEB" w14:textId="77777777" w:rsidR="00F823F0" w:rsidRPr="009769A8" w:rsidRDefault="00F823F0" w:rsidP="009769A8">
            <w:pPr>
              <w:pStyle w:val="Footnote"/>
              <w:jc w:val="left"/>
              <w:rPr>
                <w:sz w:val="20"/>
                <w:szCs w:val="20"/>
              </w:rPr>
            </w:pPr>
            <w:r w:rsidRPr="009769A8">
              <w:rPr>
                <w:sz w:val="20"/>
                <w:szCs w:val="20"/>
              </w:rPr>
              <w:t>7</w:t>
            </w:r>
          </w:p>
        </w:tc>
        <w:tc>
          <w:tcPr>
            <w:tcW w:w="2726" w:type="dxa"/>
            <w:noWrap/>
            <w:hideMark/>
          </w:tcPr>
          <w:p w14:paraId="386DED21" w14:textId="77777777" w:rsidR="00F823F0" w:rsidRPr="009769A8" w:rsidRDefault="00F823F0" w:rsidP="009769A8">
            <w:pPr>
              <w:pStyle w:val="Footnote"/>
              <w:jc w:val="left"/>
              <w:rPr>
                <w:sz w:val="20"/>
                <w:szCs w:val="20"/>
              </w:rPr>
            </w:pPr>
            <w:r w:rsidRPr="009769A8">
              <w:rPr>
                <w:sz w:val="20"/>
                <w:szCs w:val="20"/>
              </w:rPr>
              <w:t>Investments in Subsidiary</w:t>
            </w:r>
          </w:p>
        </w:tc>
        <w:tc>
          <w:tcPr>
            <w:tcW w:w="1170" w:type="dxa"/>
            <w:noWrap/>
            <w:vAlign w:val="bottom"/>
            <w:hideMark/>
          </w:tcPr>
          <w:p w14:paraId="6C2ECDE6" w14:textId="77777777" w:rsidR="00F823F0" w:rsidRPr="009769A8" w:rsidRDefault="00F823F0" w:rsidP="009769A8">
            <w:pPr>
              <w:pStyle w:val="Footnote"/>
              <w:jc w:val="right"/>
              <w:rPr>
                <w:sz w:val="20"/>
                <w:szCs w:val="20"/>
              </w:rPr>
            </w:pPr>
            <w:r w:rsidRPr="009769A8">
              <w:rPr>
                <w:color w:val="000000"/>
                <w:sz w:val="20"/>
                <w:szCs w:val="20"/>
              </w:rPr>
              <w:t xml:space="preserve">0 </w:t>
            </w:r>
          </w:p>
        </w:tc>
        <w:tc>
          <w:tcPr>
            <w:tcW w:w="1128" w:type="dxa"/>
            <w:noWrap/>
            <w:vAlign w:val="bottom"/>
            <w:hideMark/>
          </w:tcPr>
          <w:p w14:paraId="5A9DD243" w14:textId="77777777" w:rsidR="00F823F0" w:rsidRPr="009769A8" w:rsidRDefault="00F823F0" w:rsidP="009769A8">
            <w:pPr>
              <w:pStyle w:val="Footnote"/>
              <w:jc w:val="right"/>
              <w:rPr>
                <w:sz w:val="20"/>
                <w:szCs w:val="20"/>
              </w:rPr>
            </w:pPr>
            <w:r w:rsidRPr="009769A8">
              <w:rPr>
                <w:color w:val="000000"/>
                <w:sz w:val="20"/>
                <w:szCs w:val="20"/>
              </w:rPr>
              <w:t xml:space="preserve">0 </w:t>
            </w:r>
          </w:p>
        </w:tc>
        <w:tc>
          <w:tcPr>
            <w:tcW w:w="1128" w:type="dxa"/>
            <w:noWrap/>
            <w:vAlign w:val="bottom"/>
            <w:hideMark/>
          </w:tcPr>
          <w:p w14:paraId="739828C8" w14:textId="77777777" w:rsidR="00F823F0" w:rsidRPr="009769A8" w:rsidRDefault="00F823F0" w:rsidP="009769A8">
            <w:pPr>
              <w:pStyle w:val="Footnote"/>
              <w:jc w:val="right"/>
              <w:rPr>
                <w:sz w:val="20"/>
                <w:szCs w:val="20"/>
              </w:rPr>
            </w:pPr>
            <w:r w:rsidRPr="009769A8">
              <w:rPr>
                <w:color w:val="000000"/>
                <w:sz w:val="20"/>
                <w:szCs w:val="20"/>
              </w:rPr>
              <w:t xml:space="preserve">0 </w:t>
            </w:r>
          </w:p>
        </w:tc>
      </w:tr>
      <w:tr w:rsidR="00F823F0" w:rsidRPr="009769A8" w14:paraId="35100C88" w14:textId="77777777" w:rsidTr="00823405">
        <w:trPr>
          <w:trHeight w:val="60"/>
          <w:jc w:val="center"/>
        </w:trPr>
        <w:tc>
          <w:tcPr>
            <w:tcW w:w="1139" w:type="dxa"/>
            <w:noWrap/>
            <w:hideMark/>
          </w:tcPr>
          <w:p w14:paraId="48ECFD03" w14:textId="77777777" w:rsidR="00F823F0" w:rsidRPr="009769A8" w:rsidRDefault="00F823F0" w:rsidP="009769A8">
            <w:pPr>
              <w:pStyle w:val="Footnote"/>
              <w:jc w:val="left"/>
              <w:rPr>
                <w:sz w:val="20"/>
                <w:szCs w:val="20"/>
              </w:rPr>
            </w:pPr>
          </w:p>
        </w:tc>
        <w:tc>
          <w:tcPr>
            <w:tcW w:w="2726" w:type="dxa"/>
            <w:noWrap/>
            <w:hideMark/>
          </w:tcPr>
          <w:p w14:paraId="46B343A4" w14:textId="5B208556" w:rsidR="00F823F0" w:rsidRPr="009769A8" w:rsidRDefault="00F823F0" w:rsidP="00726F29">
            <w:pPr>
              <w:pStyle w:val="Footnote"/>
              <w:jc w:val="left"/>
              <w:rPr>
                <w:sz w:val="20"/>
                <w:szCs w:val="20"/>
              </w:rPr>
            </w:pPr>
            <w:r w:rsidRPr="009769A8">
              <w:rPr>
                <w:sz w:val="20"/>
                <w:szCs w:val="20"/>
              </w:rPr>
              <w:t xml:space="preserve">TOTAL </w:t>
            </w:r>
          </w:p>
        </w:tc>
        <w:tc>
          <w:tcPr>
            <w:tcW w:w="1170" w:type="dxa"/>
            <w:noWrap/>
            <w:vAlign w:val="bottom"/>
            <w:hideMark/>
          </w:tcPr>
          <w:p w14:paraId="6636C577" w14:textId="77777777" w:rsidR="00F823F0" w:rsidRPr="009769A8" w:rsidRDefault="00F823F0" w:rsidP="009769A8">
            <w:pPr>
              <w:pStyle w:val="Footnote"/>
              <w:jc w:val="right"/>
              <w:rPr>
                <w:sz w:val="20"/>
                <w:szCs w:val="20"/>
              </w:rPr>
            </w:pPr>
            <w:r w:rsidRPr="009769A8">
              <w:rPr>
                <w:color w:val="000000"/>
                <w:sz w:val="20"/>
                <w:szCs w:val="20"/>
              </w:rPr>
              <w:t xml:space="preserve">99 </w:t>
            </w:r>
          </w:p>
        </w:tc>
        <w:tc>
          <w:tcPr>
            <w:tcW w:w="1128" w:type="dxa"/>
            <w:noWrap/>
            <w:vAlign w:val="bottom"/>
            <w:hideMark/>
          </w:tcPr>
          <w:p w14:paraId="5E424CBB" w14:textId="77777777" w:rsidR="00F823F0" w:rsidRPr="009769A8" w:rsidRDefault="00F823F0" w:rsidP="009769A8">
            <w:pPr>
              <w:pStyle w:val="Footnote"/>
              <w:jc w:val="right"/>
              <w:rPr>
                <w:sz w:val="20"/>
                <w:szCs w:val="20"/>
              </w:rPr>
            </w:pPr>
            <w:r w:rsidRPr="009769A8">
              <w:rPr>
                <w:color w:val="000000"/>
                <w:sz w:val="20"/>
                <w:szCs w:val="20"/>
              </w:rPr>
              <w:t xml:space="preserve">552 </w:t>
            </w:r>
          </w:p>
        </w:tc>
        <w:tc>
          <w:tcPr>
            <w:tcW w:w="1128" w:type="dxa"/>
            <w:noWrap/>
            <w:vAlign w:val="bottom"/>
            <w:hideMark/>
          </w:tcPr>
          <w:p w14:paraId="30868E5B" w14:textId="77777777" w:rsidR="00F823F0" w:rsidRPr="009769A8" w:rsidRDefault="00F823F0" w:rsidP="009769A8">
            <w:pPr>
              <w:pStyle w:val="Footnote"/>
              <w:jc w:val="right"/>
              <w:rPr>
                <w:sz w:val="20"/>
                <w:szCs w:val="20"/>
              </w:rPr>
            </w:pPr>
            <w:r w:rsidRPr="009769A8">
              <w:rPr>
                <w:color w:val="000000"/>
                <w:sz w:val="20"/>
                <w:szCs w:val="20"/>
              </w:rPr>
              <w:t xml:space="preserve">503 </w:t>
            </w:r>
          </w:p>
        </w:tc>
      </w:tr>
    </w:tbl>
    <w:p w14:paraId="43BD7E38" w14:textId="77777777" w:rsidR="00E514D6" w:rsidRDefault="00E514D6" w:rsidP="00D66A21">
      <w:pPr>
        <w:pStyle w:val="Footnote"/>
        <w:jc w:val="center"/>
      </w:pPr>
    </w:p>
    <w:p w14:paraId="317CA8DC" w14:textId="73BEA098" w:rsidR="00747F0F" w:rsidRDefault="00E514D6" w:rsidP="00A37C2D">
      <w:pPr>
        <w:pStyle w:val="Footnote"/>
        <w:jc w:val="left"/>
        <w:rPr>
          <w:rStyle w:val="Emphasis"/>
          <w:i w:val="0"/>
          <w:iCs w:val="0"/>
        </w:rPr>
      </w:pPr>
      <w:r w:rsidRPr="00E00582">
        <w:rPr>
          <w:rStyle w:val="Emphasis"/>
          <w:i w:val="0"/>
          <w:iCs w:val="0"/>
        </w:rPr>
        <w:t>Source:</w:t>
      </w:r>
      <w:r>
        <w:rPr>
          <w:rStyle w:val="Emphasis"/>
          <w:i w:val="0"/>
          <w:iCs w:val="0"/>
        </w:rPr>
        <w:t xml:space="preserve"> </w:t>
      </w:r>
      <w:r w:rsidR="00841618">
        <w:rPr>
          <w:rStyle w:val="Emphasis"/>
          <w:i w:val="0"/>
          <w:iCs w:val="0"/>
        </w:rPr>
        <w:t xml:space="preserve">Company </w:t>
      </w:r>
      <w:r w:rsidR="0000188B">
        <w:rPr>
          <w:rStyle w:val="Emphasis"/>
          <w:i w:val="0"/>
          <w:iCs w:val="0"/>
        </w:rPr>
        <w:t>documents</w:t>
      </w:r>
      <w:r>
        <w:rPr>
          <w:rStyle w:val="Emphasis"/>
          <w:i w:val="0"/>
          <w:iCs w:val="0"/>
        </w:rPr>
        <w:t xml:space="preserve"> (data has been disguised to protect confidentiality).</w:t>
      </w:r>
      <w:bookmarkStart w:id="0" w:name="_GoBack"/>
      <w:bookmarkEnd w:id="0"/>
    </w:p>
    <w:sectPr w:rsidR="00747F0F" w:rsidSect="00EB5410">
      <w:headerReference w:type="default" r:id="rId14"/>
      <w:endnotePr>
        <w:numFmt w:val="decimal"/>
      </w:endnotePr>
      <w:pgSz w:w="12240" w:h="15840"/>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FF13B8" w14:textId="77777777" w:rsidR="00A71DC1" w:rsidRDefault="00A71DC1" w:rsidP="00D75295">
      <w:r>
        <w:separator/>
      </w:r>
    </w:p>
  </w:endnote>
  <w:endnote w:type="continuationSeparator" w:id="0">
    <w:p w14:paraId="10EFAE84" w14:textId="77777777" w:rsidR="00A71DC1" w:rsidRDefault="00A71DC1"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 w:name="ヒラギノ角ゴ Pro W3">
    <w:charset w:val="00"/>
    <w:family w:val="roman"/>
    <w:pitch w:val="default"/>
  </w:font>
  <w:font w:name="IveyVHWLogos">
    <w:altName w:val="Courier New"/>
    <w:charset w:val="00"/>
    <w:family w:val="auto"/>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98565A" w14:textId="77777777" w:rsidR="00A71DC1" w:rsidRDefault="00A71DC1" w:rsidP="00D75295">
      <w:r>
        <w:separator/>
      </w:r>
    </w:p>
  </w:footnote>
  <w:footnote w:type="continuationSeparator" w:id="0">
    <w:p w14:paraId="7FDA830E" w14:textId="77777777" w:rsidR="00A71DC1" w:rsidRDefault="00A71DC1" w:rsidP="00D75295">
      <w:r>
        <w:continuationSeparator/>
      </w:r>
    </w:p>
  </w:footnote>
  <w:footnote w:id="1">
    <w:p w14:paraId="5C123E5B" w14:textId="27A56CE3" w:rsidR="00A71DC1" w:rsidRPr="00144200" w:rsidRDefault="00A71DC1" w:rsidP="00144200">
      <w:pPr>
        <w:pStyle w:val="Footnote"/>
      </w:pPr>
      <w:r w:rsidRPr="00144200">
        <w:rPr>
          <w:rStyle w:val="FootnoteReference"/>
        </w:rPr>
        <w:footnoteRef/>
      </w:r>
      <w:r>
        <w:t xml:space="preserve"> “Details of Tier-wise Classification of Centres Based on Population,” Reserve Bank of India, accessed July 13, 2017, </w:t>
      </w:r>
      <w:r w:rsidRPr="00144200">
        <w:t>http://rbidocs.rbi.org.in/rdocs/content/pdfs/100MCA0711_5.pdf</w:t>
      </w:r>
      <w:r>
        <w:t>;</w:t>
      </w:r>
      <w:r w:rsidRPr="00144200">
        <w:t xml:space="preserve"> </w:t>
      </w:r>
      <w:r>
        <w:t>a</w:t>
      </w:r>
      <w:r w:rsidRPr="00144200">
        <w:t xml:space="preserve">s per media reports, there </w:t>
      </w:r>
      <w:r>
        <w:t>were</w:t>
      </w:r>
      <w:r w:rsidRPr="00144200">
        <w:t xml:space="preserve"> about eight Tier </w:t>
      </w:r>
      <w:r>
        <w:t>1</w:t>
      </w:r>
      <w:r w:rsidRPr="00144200">
        <w:t xml:space="preserve"> cities, 26 Tier </w:t>
      </w:r>
      <w:r>
        <w:t>2</w:t>
      </w:r>
      <w:r w:rsidRPr="00144200">
        <w:t xml:space="preserve"> cities, 33 Tier </w:t>
      </w:r>
      <w:r>
        <w:t>3</w:t>
      </w:r>
      <w:r w:rsidRPr="00144200">
        <w:t xml:space="preserve"> cities</w:t>
      </w:r>
      <w:r>
        <w:t>,</w:t>
      </w:r>
      <w:r w:rsidRPr="00144200">
        <w:t xml:space="preserve"> and over 5,000 Tier </w:t>
      </w:r>
      <w:r>
        <w:t>4</w:t>
      </w:r>
      <w:r w:rsidRPr="00144200">
        <w:t xml:space="preserve"> towns, while there </w:t>
      </w:r>
      <w:r>
        <w:t>were</w:t>
      </w:r>
      <w:r w:rsidRPr="00144200">
        <w:t xml:space="preserve"> more than 638,000 villages in the country</w:t>
      </w:r>
      <w:r>
        <w:t>;</w:t>
      </w:r>
      <w:r w:rsidRPr="00144200">
        <w:t xml:space="preserve"> </w:t>
      </w:r>
      <w:r>
        <w:t xml:space="preserve">“Tier I and Tier II Cities of India,” Maps of India, accessed June 16, 2014, </w:t>
      </w:r>
      <w:r w:rsidRPr="00144200">
        <w:t>www.mapsofindia.com/maps/india/tier-1-and-2-cities.html</w:t>
      </w:r>
      <w:r>
        <w:t>.</w:t>
      </w:r>
      <w:r w:rsidRPr="00144200">
        <w:t xml:space="preserve"> </w:t>
      </w:r>
    </w:p>
  </w:footnote>
  <w:footnote w:id="2">
    <w:p w14:paraId="42EF0991" w14:textId="77777777" w:rsidR="00A71DC1" w:rsidRPr="00144200" w:rsidRDefault="00A71DC1" w:rsidP="00144200">
      <w:pPr>
        <w:pStyle w:val="Footnote"/>
      </w:pPr>
      <w:r w:rsidRPr="00144200">
        <w:rPr>
          <w:rStyle w:val="FootnoteReference"/>
        </w:rPr>
        <w:footnoteRef/>
      </w:r>
      <w:r w:rsidRPr="00144200">
        <w:t xml:space="preserve"> ₹ = INR = Indian rupee; all amounts are in ₹ unless otherwise specified; US$1 = ₹61.88 on January 1, 2014.</w:t>
      </w:r>
    </w:p>
  </w:footnote>
  <w:footnote w:id="3">
    <w:p w14:paraId="0B0E1650" w14:textId="09DCBAD8" w:rsidR="00A71DC1" w:rsidRDefault="00A71DC1" w:rsidP="00144200">
      <w:pPr>
        <w:pStyle w:val="Footnote"/>
      </w:pPr>
      <w:r w:rsidRPr="00144200">
        <w:rPr>
          <w:rStyle w:val="FootnoteReference"/>
        </w:rPr>
        <w:footnoteRef/>
      </w:r>
      <w:r>
        <w:t xml:space="preserve"> </w:t>
      </w:r>
      <w:r w:rsidRPr="00144200">
        <w:t xml:space="preserve">“Global Data on Visual Impairments 2010,” World Health Organization, 2012, </w:t>
      </w:r>
      <w:r>
        <w:t xml:space="preserve">accessed </w:t>
      </w:r>
      <w:r w:rsidRPr="00144200">
        <w:t>April 1, 2015</w:t>
      </w:r>
      <w:r>
        <w:t xml:space="preserve">, </w:t>
      </w:r>
      <w:r w:rsidRPr="00BB343B">
        <w:t>www.who.int/</w:t>
      </w:r>
      <w:r w:rsidRPr="00144200">
        <w:t>blindness/</w:t>
      </w:r>
    </w:p>
    <w:p w14:paraId="674ED7B7" w14:textId="367AC2B2" w:rsidR="00A71DC1" w:rsidRPr="00DB74CC" w:rsidRDefault="00A71DC1" w:rsidP="00DB74CC">
      <w:pPr>
        <w:pStyle w:val="Footnote"/>
      </w:pPr>
      <w:r w:rsidRPr="00DB74CC">
        <w:t>GLOBALDATAFINALforweb.pdf.</w:t>
      </w:r>
    </w:p>
  </w:footnote>
  <w:footnote w:id="4">
    <w:p w14:paraId="56B671BA" w14:textId="315E013E" w:rsidR="00A71DC1" w:rsidRPr="004E7E8E" w:rsidRDefault="00A71DC1" w:rsidP="004E7E8E">
      <w:pPr>
        <w:pStyle w:val="Footnote"/>
      </w:pPr>
      <w:r w:rsidRPr="004E7E8E">
        <w:rPr>
          <w:rStyle w:val="FootnoteReference"/>
        </w:rPr>
        <w:footnoteRef/>
      </w:r>
      <w:r w:rsidRPr="004E7E8E">
        <w:t xml:space="preserve"> </w:t>
      </w:r>
      <w:r w:rsidRPr="004E7E8E">
        <w:rPr>
          <w:rStyle w:val="Emphasis"/>
          <w:i w:val="0"/>
          <w:iCs w:val="0"/>
        </w:rPr>
        <w:t>“Eye Care Delivery Market to Double Over Next Five Years,” CRISIL Research Report, March 19, 2014;</w:t>
      </w:r>
      <w:r w:rsidRPr="004E7E8E">
        <w:t xml:space="preserve"> Raelene Kambli, “Eyeing the Light,” Express Healthcare, October 11, 2012, accessed July 13 2017, http://archivehealthcare.expressbpd.com/sections/market-section/815-eyeing-the-light; Global Data on Visual Impairments 2010, (Switzerland: World Health Organization, 2012), accessed April 1, 2015, www.who.int/blindness/GLOBALDATAFINALforweb.pdf.</w:t>
      </w:r>
    </w:p>
  </w:footnote>
  <w:footnote w:id="5">
    <w:p w14:paraId="3035DC24" w14:textId="77777777" w:rsidR="00A71DC1" w:rsidRPr="004E7E8E" w:rsidRDefault="00A71DC1" w:rsidP="004E7E8E">
      <w:pPr>
        <w:pStyle w:val="Footnote"/>
      </w:pPr>
      <w:r w:rsidRPr="004E7E8E">
        <w:rPr>
          <w:rStyle w:val="FootnoteReference"/>
        </w:rPr>
        <w:footnoteRef/>
      </w:r>
      <w:r w:rsidRPr="004E7E8E">
        <w:t xml:space="preserve"> “Visual Impairment and Blindness,” Fact Sheet No. 282, World Health Organization, August 2014, accessed April 1, 2015, www.who.int/mediacentre/factsheets/fs282/en/. </w:t>
      </w:r>
    </w:p>
  </w:footnote>
  <w:footnote w:id="6">
    <w:p w14:paraId="1D4B1650" w14:textId="77777777" w:rsidR="00A71DC1" w:rsidRPr="004E7E8E" w:rsidRDefault="00A71DC1" w:rsidP="004E7E8E">
      <w:pPr>
        <w:pStyle w:val="Footnote"/>
      </w:pPr>
      <w:r w:rsidRPr="004E7E8E">
        <w:rPr>
          <w:rStyle w:val="FootnoteReference"/>
        </w:rPr>
        <w:footnoteRef/>
      </w:r>
      <w:r w:rsidRPr="004E7E8E">
        <w:t xml:space="preserve"> “Eye Care in India — A Situational Analysis, 2007,” Sightsavers International, India, accessed April 6, 2015, </w:t>
      </w:r>
      <w:hyperlink r:id="rId1" w:history="1">
        <w:r w:rsidRPr="004E7E8E">
          <w:t>http://sightsaversindia.in/wp-content/uploads/2014/06/16482_Eyecare-in-India-A-Situaltion-Analysis.pdf</w:t>
        </w:r>
      </w:hyperlink>
      <w:r w:rsidRPr="004E7E8E">
        <w:t>.</w:t>
      </w:r>
    </w:p>
  </w:footnote>
  <w:footnote w:id="7">
    <w:p w14:paraId="64A3CE9B" w14:textId="104F0900" w:rsidR="00A71DC1" w:rsidRPr="004E7E8E" w:rsidRDefault="00A71DC1" w:rsidP="004E7E8E">
      <w:pPr>
        <w:pStyle w:val="Footnote"/>
      </w:pPr>
      <w:r w:rsidRPr="004E7E8E">
        <w:rPr>
          <w:rStyle w:val="FootnoteReference"/>
        </w:rPr>
        <w:footnoteRef/>
      </w:r>
      <w:r w:rsidRPr="004E7E8E">
        <w:t xml:space="preserve"> </w:t>
      </w:r>
      <w:r w:rsidRPr="004E7E8E">
        <w:rPr>
          <w:rStyle w:val="Emphasis"/>
          <w:i w:val="0"/>
          <w:iCs w:val="0"/>
        </w:rPr>
        <w:t>“Eye Care Delivery Market to Double over Next Five Years,” op. cit.</w:t>
      </w:r>
    </w:p>
  </w:footnote>
  <w:footnote w:id="8">
    <w:p w14:paraId="7B39FE73" w14:textId="1C9E061E" w:rsidR="00A71DC1" w:rsidRPr="004E7E8E" w:rsidRDefault="00A71DC1" w:rsidP="004E7E8E">
      <w:pPr>
        <w:pStyle w:val="Footnote"/>
      </w:pPr>
      <w:r w:rsidRPr="004E7E8E">
        <w:rPr>
          <w:rStyle w:val="FootnoteReference"/>
        </w:rPr>
        <w:footnoteRef/>
      </w:r>
      <w:r w:rsidRPr="004E7E8E">
        <w:t xml:space="preserve"> Ibid.</w:t>
      </w:r>
    </w:p>
  </w:footnote>
  <w:footnote w:id="9">
    <w:p w14:paraId="7AE3826D" w14:textId="755D7474" w:rsidR="00A71DC1" w:rsidRPr="004E7E8E" w:rsidRDefault="00A71DC1" w:rsidP="004E7E8E">
      <w:pPr>
        <w:pStyle w:val="Footnote"/>
      </w:pPr>
      <w:r w:rsidRPr="004E7E8E">
        <w:rPr>
          <w:rStyle w:val="FootnoteReference"/>
        </w:rPr>
        <w:footnoteRef/>
      </w:r>
      <w:r w:rsidRPr="004E7E8E">
        <w:t xml:space="preserve"> Ibid.</w:t>
      </w:r>
    </w:p>
  </w:footnote>
  <w:footnote w:id="10">
    <w:p w14:paraId="050F8B29" w14:textId="0A1BD425" w:rsidR="00A71DC1" w:rsidRPr="004E7E8E" w:rsidRDefault="00A71DC1" w:rsidP="004E7E8E">
      <w:pPr>
        <w:pStyle w:val="Footnote"/>
      </w:pPr>
      <w:r w:rsidRPr="004E7E8E">
        <w:rPr>
          <w:rStyle w:val="FootnoteReference"/>
        </w:rPr>
        <w:footnoteRef/>
      </w:r>
      <w:r w:rsidRPr="004E7E8E">
        <w:t xml:space="preserve"> Health services in India were provided through a three-tier set-up—namely, primary, secondary, and tertiary services. Primary care was the first level of contact of the community with the health system. Cases that were more complex and that needed specialized care were referred to the secondary level (district hospital) or tertiary level (regional and national hospitals). </w:t>
      </w:r>
    </w:p>
  </w:footnote>
  <w:footnote w:id="11">
    <w:p w14:paraId="405A453D" w14:textId="5A866A7C" w:rsidR="00A71DC1" w:rsidRPr="004E7E8E" w:rsidRDefault="00A71DC1" w:rsidP="004E7E8E">
      <w:pPr>
        <w:pStyle w:val="Footnote"/>
      </w:pPr>
      <w:r w:rsidRPr="004E7E8E">
        <w:rPr>
          <w:rStyle w:val="FootnoteReference"/>
        </w:rPr>
        <w:footnoteRef/>
      </w:r>
      <w:r w:rsidRPr="004E7E8E">
        <w:t xml:space="preserve"> VISION 2020 was a global initiative that aimed to eliminate avoidable blindness by the year 2020. It was launched on February 18, 1999, by the World Health Organization, together with the more than 20 international non-governmental organizations involved in eye care and the prevention and management of blindness that comprised the International Agency for the Prevention of Blindness. VISION 2020 was a partnership that provided guidance, technical, and resource support to countries that had formally adopted its agenda. India was a participating country.</w:t>
      </w:r>
    </w:p>
  </w:footnote>
  <w:footnote w:id="12">
    <w:p w14:paraId="621F087B" w14:textId="77777777" w:rsidR="00A71DC1" w:rsidRPr="004E7E8E" w:rsidRDefault="00A71DC1" w:rsidP="004E7E8E">
      <w:pPr>
        <w:pStyle w:val="Footnote"/>
      </w:pPr>
      <w:r w:rsidRPr="004E7E8E">
        <w:rPr>
          <w:rStyle w:val="FootnoteReference"/>
        </w:rPr>
        <w:footnoteRef/>
      </w:r>
      <w:r w:rsidRPr="004E7E8E">
        <w:t xml:space="preserve"> Mahathi R. Arjun, “An Eye on Growth,” The Smart CEO, August 15, 2011, accessed June 16, 2014, www.thesmartceo.in//an-eye-on-growth.html.</w:t>
      </w:r>
    </w:p>
  </w:footnote>
  <w:footnote w:id="13">
    <w:p w14:paraId="5B952FEC" w14:textId="77777777" w:rsidR="00A71DC1" w:rsidRPr="00144200" w:rsidRDefault="00A71DC1" w:rsidP="00144200">
      <w:pPr>
        <w:pStyle w:val="Footnote"/>
      </w:pPr>
      <w:r w:rsidRPr="00144200">
        <w:rPr>
          <w:rStyle w:val="FootnoteReference"/>
        </w:rPr>
        <w:footnoteRef/>
      </w:r>
      <w:r w:rsidRPr="00144200">
        <w:t xml:space="preserve"> </w:t>
      </w:r>
      <w:r>
        <w:t>Ibid.</w:t>
      </w:r>
    </w:p>
  </w:footnote>
  <w:footnote w:id="14">
    <w:p w14:paraId="055C5764" w14:textId="2AC3127B" w:rsidR="00A71DC1" w:rsidRPr="00144200" w:rsidRDefault="00A71DC1" w:rsidP="00144200">
      <w:pPr>
        <w:pStyle w:val="Footnote"/>
      </w:pPr>
      <w:r w:rsidRPr="00BB343B">
        <w:rPr>
          <w:rStyle w:val="FootnoteReference"/>
        </w:rPr>
        <w:footnoteRef/>
      </w:r>
      <w:r w:rsidRPr="00BB343B">
        <w:t xml:space="preserve"> </w:t>
      </w:r>
      <w:r w:rsidRPr="00BB343B">
        <w:rPr>
          <w:rStyle w:val="Emphasis"/>
          <w:i w:val="0"/>
          <w:color w:val="000000"/>
          <w:shd w:val="clear" w:color="auto" w:fill="FFFFFF"/>
        </w:rPr>
        <w:t xml:space="preserve">“Eye Care Delivery Market to Double over Next Five Years,” </w:t>
      </w:r>
      <w:r>
        <w:rPr>
          <w:rStyle w:val="Emphasis"/>
          <w:i w:val="0"/>
          <w:color w:val="000000"/>
          <w:shd w:val="clear" w:color="auto" w:fill="FFFFFF"/>
        </w:rPr>
        <w:t>op. cit.</w:t>
      </w:r>
    </w:p>
  </w:footnote>
  <w:footnote w:id="15">
    <w:p w14:paraId="179A64C2" w14:textId="40E28978" w:rsidR="00A71DC1" w:rsidRDefault="00A71DC1" w:rsidP="00144200">
      <w:pPr>
        <w:pStyle w:val="Footnote"/>
        <w:rPr>
          <w:bdr w:val="none" w:sz="0" w:space="0" w:color="auto" w:frame="1"/>
        </w:rPr>
      </w:pPr>
      <w:r w:rsidRPr="00144200">
        <w:rPr>
          <w:rStyle w:val="FootnoteReference"/>
        </w:rPr>
        <w:footnoteRef/>
      </w:r>
      <w:r w:rsidRPr="00144200">
        <w:t xml:space="preserve"> </w:t>
      </w:r>
      <w:r>
        <w:t xml:space="preserve">As </w:t>
      </w:r>
      <w:r>
        <w:rPr>
          <w:shd w:val="clear" w:color="auto" w:fill="FFFFFF"/>
        </w:rPr>
        <w:t>a</w:t>
      </w:r>
      <w:r w:rsidRPr="00144200">
        <w:rPr>
          <w:shd w:val="clear" w:color="auto" w:fill="FFFFFF"/>
        </w:rPr>
        <w:t xml:space="preserve"> category of</w:t>
      </w:r>
      <w:r w:rsidRPr="00144200">
        <w:rPr>
          <w:rStyle w:val="apple-converted-space"/>
          <w:shd w:val="clear" w:color="auto" w:fill="FFFFFF"/>
        </w:rPr>
        <w:t> </w:t>
      </w:r>
      <w:r w:rsidRPr="00144200">
        <w:rPr>
          <w:bdr w:val="none" w:sz="0" w:space="0" w:color="auto" w:frame="1"/>
        </w:rPr>
        <w:t>debt</w:t>
      </w:r>
      <w:r w:rsidRPr="00144200">
        <w:rPr>
          <w:rStyle w:val="apple-converted-space"/>
          <w:shd w:val="clear" w:color="auto" w:fill="FFFFFF"/>
        </w:rPr>
        <w:t> </w:t>
      </w:r>
      <w:r w:rsidRPr="00144200">
        <w:rPr>
          <w:shd w:val="clear" w:color="auto" w:fill="FFFFFF"/>
        </w:rPr>
        <w:t>taken on by a</w:t>
      </w:r>
      <w:r>
        <w:rPr>
          <w:rStyle w:val="apple-converted-space"/>
          <w:shd w:val="clear" w:color="auto" w:fill="FFFFFF"/>
        </w:rPr>
        <w:t xml:space="preserve"> </w:t>
      </w:r>
      <w:r w:rsidRPr="00144200">
        <w:rPr>
          <w:bdr w:val="none" w:sz="0" w:space="0" w:color="auto" w:frame="1"/>
        </w:rPr>
        <w:t>company</w:t>
      </w:r>
      <w:r>
        <w:rPr>
          <w:bdr w:val="none" w:sz="0" w:space="0" w:color="auto" w:frame="1"/>
        </w:rPr>
        <w:t xml:space="preserve">, </w:t>
      </w:r>
      <w:r>
        <w:t xml:space="preserve">“quasi-equity” </w:t>
      </w:r>
      <w:r w:rsidRPr="00144200">
        <w:rPr>
          <w:shd w:val="clear" w:color="auto" w:fill="FFFFFF"/>
        </w:rPr>
        <w:t>ha</w:t>
      </w:r>
      <w:r>
        <w:rPr>
          <w:shd w:val="clear" w:color="auto" w:fill="FFFFFF"/>
        </w:rPr>
        <w:t>d</w:t>
      </w:r>
      <w:r w:rsidRPr="00144200">
        <w:rPr>
          <w:shd w:val="clear" w:color="auto" w:fill="FFFFFF"/>
        </w:rPr>
        <w:t xml:space="preserve"> some traits of</w:t>
      </w:r>
      <w:r>
        <w:rPr>
          <w:shd w:val="clear" w:color="auto" w:fill="FFFFFF"/>
        </w:rPr>
        <w:t xml:space="preserve"> </w:t>
      </w:r>
      <w:r w:rsidRPr="00144200">
        <w:rPr>
          <w:bdr w:val="none" w:sz="0" w:space="0" w:color="auto" w:frame="1"/>
        </w:rPr>
        <w:t>equity</w:t>
      </w:r>
      <w:r w:rsidRPr="00144200">
        <w:rPr>
          <w:shd w:val="clear" w:color="auto" w:fill="FFFFFF"/>
        </w:rPr>
        <w:t>, such as having</w:t>
      </w:r>
      <w:r>
        <w:rPr>
          <w:shd w:val="clear" w:color="auto" w:fill="FFFFFF"/>
        </w:rPr>
        <w:t xml:space="preserve"> </w:t>
      </w:r>
      <w:r w:rsidRPr="00144200">
        <w:rPr>
          <w:bdr w:val="none" w:sz="0" w:space="0" w:color="auto" w:frame="1"/>
        </w:rPr>
        <w:t>flexible</w:t>
      </w:r>
      <w:r>
        <w:rPr>
          <w:bdr w:val="none" w:sz="0" w:space="0" w:color="auto" w:frame="1"/>
        </w:rPr>
        <w:t xml:space="preserve"> </w:t>
      </w:r>
      <w:r w:rsidRPr="00144200">
        <w:rPr>
          <w:shd w:val="clear" w:color="auto" w:fill="FFFFFF"/>
        </w:rPr>
        <w:t>repayment</w:t>
      </w:r>
      <w:r>
        <w:rPr>
          <w:shd w:val="clear" w:color="auto" w:fill="FFFFFF"/>
        </w:rPr>
        <w:t xml:space="preserve"> </w:t>
      </w:r>
      <w:r w:rsidRPr="00144200">
        <w:rPr>
          <w:bdr w:val="none" w:sz="0" w:space="0" w:color="auto" w:frame="1"/>
        </w:rPr>
        <w:t>options</w:t>
      </w:r>
      <w:r>
        <w:rPr>
          <w:bdr w:val="none" w:sz="0" w:space="0" w:color="auto" w:frame="1"/>
        </w:rPr>
        <w:t xml:space="preserve"> </w:t>
      </w:r>
      <w:r w:rsidRPr="00144200">
        <w:rPr>
          <w:shd w:val="clear" w:color="auto" w:fill="FFFFFF"/>
        </w:rPr>
        <w:t>or</w:t>
      </w:r>
      <w:r>
        <w:rPr>
          <w:shd w:val="clear" w:color="auto" w:fill="FFFFFF"/>
        </w:rPr>
        <w:t xml:space="preserve"> </w:t>
      </w:r>
      <w:r w:rsidRPr="00144200">
        <w:rPr>
          <w:shd w:val="clear" w:color="auto" w:fill="FFFFFF"/>
        </w:rPr>
        <w:t>being</w:t>
      </w:r>
      <w:r>
        <w:rPr>
          <w:shd w:val="clear" w:color="auto" w:fill="FFFFFF"/>
        </w:rPr>
        <w:t xml:space="preserve"> </w:t>
      </w:r>
      <w:r w:rsidRPr="00144200">
        <w:rPr>
          <w:bdr w:val="none" w:sz="0" w:space="0" w:color="auto" w:frame="1"/>
        </w:rPr>
        <w:t>unsecured</w:t>
      </w:r>
      <w:r>
        <w:rPr>
          <w:bdr w:val="none" w:sz="0" w:space="0" w:color="auto" w:frame="1"/>
        </w:rPr>
        <w:t>; “Quasi-equity,” InvestorWords</w:t>
      </w:r>
      <w:r w:rsidRPr="00144200">
        <w:rPr>
          <w:shd w:val="clear" w:color="auto" w:fill="FFFFFF"/>
        </w:rPr>
        <w:t>,</w:t>
      </w:r>
      <w:r>
        <w:rPr>
          <w:shd w:val="clear" w:color="auto" w:fill="FFFFFF"/>
        </w:rPr>
        <w:t xml:space="preserve"> </w:t>
      </w:r>
      <w:r>
        <w:t xml:space="preserve">accessed </w:t>
      </w:r>
      <w:r w:rsidRPr="00144200">
        <w:t>June 16, 2014</w:t>
      </w:r>
      <w:r>
        <w:t xml:space="preserve">, </w:t>
      </w:r>
      <w:r w:rsidRPr="00726F29">
        <w:rPr>
          <w:bdr w:val="none" w:sz="0" w:space="0" w:color="auto" w:frame="1"/>
        </w:rPr>
        <w:t>www.investorwords.com/</w:t>
      </w:r>
      <w:r w:rsidRPr="00144200">
        <w:rPr>
          <w:bdr w:val="none" w:sz="0" w:space="0" w:color="auto" w:frame="1"/>
        </w:rPr>
        <w:t>6898/</w:t>
      </w:r>
    </w:p>
    <w:p w14:paraId="429144F6" w14:textId="19182964" w:rsidR="00A71DC1" w:rsidRPr="00144200" w:rsidRDefault="00A71DC1" w:rsidP="00144200">
      <w:pPr>
        <w:pStyle w:val="Footnote"/>
      </w:pPr>
      <w:r w:rsidRPr="00144200">
        <w:rPr>
          <w:bdr w:val="none" w:sz="0" w:space="0" w:color="auto" w:frame="1"/>
        </w:rPr>
        <w:t>quasi_equity.html#ixzz3HGh5fTnH</w:t>
      </w:r>
      <w:r>
        <w:rPr>
          <w:bdr w:val="none" w:sz="0" w:space="0" w:color="auto" w:frame="1"/>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3EC900" w14:textId="66549D11" w:rsidR="00A71DC1" w:rsidRDefault="00A71DC1" w:rsidP="006A58A9">
    <w:pPr>
      <w:pBdr>
        <w:bottom w:val="single" w:sz="18" w:space="1" w:color="auto"/>
      </w:pBdr>
      <w:tabs>
        <w:tab w:val="left" w:pos="-1440"/>
        <w:tab w:val="left" w:pos="-720"/>
        <w:tab w:val="right" w:pos="9360"/>
        <w:tab w:val="right" w:pos="1080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EE7EB8">
      <w:rPr>
        <w:rFonts w:ascii="Arial" w:hAnsi="Arial"/>
        <w:b/>
        <w:noProof/>
      </w:rPr>
      <w:t>12</w:t>
    </w:r>
    <w:r>
      <w:rPr>
        <w:rFonts w:ascii="Arial" w:hAnsi="Arial"/>
        <w:b/>
      </w:rPr>
      <w:fldChar w:fldCharType="end"/>
    </w:r>
    <w:r>
      <w:rPr>
        <w:rFonts w:ascii="Arial" w:hAnsi="Arial"/>
        <w:b/>
      </w:rPr>
      <w:tab/>
      <w:t>9B17M133</w:t>
    </w:r>
  </w:p>
  <w:p w14:paraId="20B1CD9C" w14:textId="77777777" w:rsidR="00A71DC1" w:rsidRPr="00C92CC4" w:rsidRDefault="00A71DC1">
    <w:pPr>
      <w:pStyle w:val="Header"/>
      <w:rPr>
        <w:sz w:val="18"/>
        <w:szCs w:val="18"/>
      </w:rPr>
    </w:pPr>
  </w:p>
  <w:p w14:paraId="60298D85" w14:textId="77777777" w:rsidR="00A71DC1" w:rsidRPr="00C92CC4" w:rsidRDefault="00A71DC1">
    <w:pPr>
      <w:pStyle w:val="Header"/>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07A369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39C908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6A86A6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42113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25E37E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CFABC5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51CD06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E9834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50A36F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F9436B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C62955"/>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0787BCD"/>
    <w:multiLevelType w:val="hybridMultilevel"/>
    <w:tmpl w:val="E7122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A66AFC"/>
    <w:multiLevelType w:val="hybridMultilevel"/>
    <w:tmpl w:val="31B2B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1AB031B"/>
    <w:multiLevelType w:val="hybridMultilevel"/>
    <w:tmpl w:val="8B8C1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7F83088"/>
    <w:multiLevelType w:val="hybridMultilevel"/>
    <w:tmpl w:val="44C6C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F1E73C8"/>
    <w:multiLevelType w:val="hybridMultilevel"/>
    <w:tmpl w:val="1C08B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24162743"/>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FC145C"/>
    <w:multiLevelType w:val="hybridMultilevel"/>
    <w:tmpl w:val="672CA20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8" w15:restartNumberingAfterBreak="0">
    <w:nsid w:val="3F2644A6"/>
    <w:multiLevelType w:val="hybridMultilevel"/>
    <w:tmpl w:val="A54868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42E6B4B"/>
    <w:multiLevelType w:val="hybridMultilevel"/>
    <w:tmpl w:val="AA92502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49CA01A6"/>
    <w:multiLevelType w:val="hybridMultilevel"/>
    <w:tmpl w:val="C8ACE8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9E34667"/>
    <w:multiLevelType w:val="hybridMultilevel"/>
    <w:tmpl w:val="568A6C28"/>
    <w:lvl w:ilvl="0" w:tplc="935A5A8E">
      <w:start w:val="20"/>
      <w:numFmt w:val="bullet"/>
      <w:lvlText w:val="-"/>
      <w:lvlJc w:val="left"/>
      <w:pPr>
        <w:ind w:left="405" w:hanging="360"/>
      </w:pPr>
      <w:rPr>
        <w:rFonts w:ascii="Times New Roman" w:eastAsia="Times New Roman" w:hAnsi="Times New Roman" w:cs="Times New Roman"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22" w15:restartNumberingAfterBreak="0">
    <w:nsid w:val="542E2A27"/>
    <w:multiLevelType w:val="hybridMultilevel"/>
    <w:tmpl w:val="FBEE91EC"/>
    <w:lvl w:ilvl="0" w:tplc="BD5E4B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582A13C0"/>
    <w:multiLevelType w:val="hybridMultilevel"/>
    <w:tmpl w:val="A746AFAE"/>
    <w:lvl w:ilvl="0" w:tplc="EB862D92">
      <w:start w:val="7"/>
      <w:numFmt w:val="bullet"/>
      <w:lvlText w:val="-"/>
      <w:lvlJc w:val="left"/>
      <w:pPr>
        <w:ind w:left="360" w:hanging="360"/>
      </w:pPr>
      <w:rPr>
        <w:rFonts w:ascii="Times New Roman" w:eastAsia="Times New Roman" w:hAnsi="Times New Roman"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4" w15:restartNumberingAfterBreak="0">
    <w:nsid w:val="60B37735"/>
    <w:multiLevelType w:val="hybridMultilevel"/>
    <w:tmpl w:val="F182BBFA"/>
    <w:lvl w:ilvl="0" w:tplc="7DF80D64">
      <w:start w:val="15"/>
      <w:numFmt w:val="bullet"/>
      <w:lvlText w:val=""/>
      <w:lvlJc w:val="left"/>
      <w:pPr>
        <w:ind w:left="360" w:hanging="360"/>
      </w:pPr>
      <w:rPr>
        <w:rFonts w:ascii="Wingdings" w:eastAsia="Times New Roman" w:hAnsi="Wingdings"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5" w15:restartNumberingAfterBreak="0">
    <w:nsid w:val="656E0345"/>
    <w:multiLevelType w:val="hybridMultilevel"/>
    <w:tmpl w:val="1B32D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6B46081"/>
    <w:multiLevelType w:val="multilevel"/>
    <w:tmpl w:val="0F54820C"/>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7" w15:restartNumberingAfterBreak="0">
    <w:nsid w:val="70B527A9"/>
    <w:multiLevelType w:val="hybridMultilevel"/>
    <w:tmpl w:val="563A7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0CB64D6"/>
    <w:multiLevelType w:val="hybridMultilevel"/>
    <w:tmpl w:val="5A54C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1AF048E"/>
    <w:multiLevelType w:val="hybridMultilevel"/>
    <w:tmpl w:val="BD341B84"/>
    <w:lvl w:ilvl="0" w:tplc="1206B516">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0" w15:restartNumberingAfterBreak="0">
    <w:nsid w:val="7AEA4386"/>
    <w:multiLevelType w:val="multilevel"/>
    <w:tmpl w:val="0000000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21"/>
  </w:num>
  <w:num w:numId="13">
    <w:abstractNumId w:val="12"/>
  </w:num>
  <w:num w:numId="14">
    <w:abstractNumId w:val="22"/>
  </w:num>
  <w:num w:numId="15">
    <w:abstractNumId w:val="23"/>
  </w:num>
  <w:num w:numId="16">
    <w:abstractNumId w:val="24"/>
  </w:num>
  <w:num w:numId="17">
    <w:abstractNumId w:val="16"/>
  </w:num>
  <w:num w:numId="18">
    <w:abstractNumId w:val="26"/>
  </w:num>
  <w:num w:numId="19">
    <w:abstractNumId w:val="11"/>
  </w:num>
  <w:num w:numId="20">
    <w:abstractNumId w:val="10"/>
  </w:num>
  <w:num w:numId="21">
    <w:abstractNumId w:val="29"/>
  </w:num>
  <w:num w:numId="22">
    <w:abstractNumId w:val="19"/>
  </w:num>
  <w:num w:numId="23">
    <w:abstractNumId w:val="30"/>
    <w:lvlOverride w:ilvl="0">
      <w:lvl w:ilvl="0">
        <w:start w:val="1"/>
        <w:numFmt w:val="decimal"/>
        <w:lvlText w:val="%1)"/>
        <w:lvlJc w:val="left"/>
      </w:lvl>
    </w:lvlOverride>
    <w:lvlOverride w:ilvl="1">
      <w:lvl w:ilvl="1">
        <w:start w:val="1"/>
        <w:numFmt w:val="lowerLetter"/>
        <w:lvlText w:val="%2)"/>
        <w:lvlJc w:val="left"/>
      </w:lvl>
    </w:lvlOverride>
    <w:lvlOverride w:ilvl="2">
      <w:lvl w:ilvl="2">
        <w:start w:val="1"/>
        <w:numFmt w:val="lowerRoman"/>
        <w:lvlText w:val="%3)"/>
        <w:lvlJc w:val="left"/>
      </w:lvl>
    </w:lvlOverride>
    <w:lvlOverride w:ilvl="3">
      <w:lvl w:ilvl="3">
        <w:start w:val="1"/>
        <w:numFmt w:val="decimal"/>
        <w:lvlText w:val="(%4)"/>
        <w:lvlJc w:val="left"/>
      </w:lvl>
    </w:lvlOverride>
    <w:lvlOverride w:ilvl="4">
      <w:lvl w:ilvl="4">
        <w:start w:val="1"/>
        <w:numFmt w:val="lowerLetter"/>
        <w:lvlText w:val="(%5)"/>
        <w:lvlJc w:val="left"/>
      </w:lvl>
    </w:lvlOverride>
    <w:lvlOverride w:ilvl="5">
      <w:lvl w:ilvl="5">
        <w:start w:val="1"/>
        <w:numFmt w:val="lowerRoman"/>
        <w:lvlText w:val="(%6)"/>
        <w:lvlJc w:val="left"/>
      </w:lvl>
    </w:lvlOverride>
    <w:lvlOverride w:ilvl="6">
      <w:lvl w:ilvl="6">
        <w:start w:val="1"/>
        <w:numFmt w:val="decimal"/>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4">
    <w:abstractNumId w:val="30"/>
    <w:lvlOverride w:ilvl="0">
      <w:lvl w:ilvl="0">
        <w:start w:val="1"/>
        <w:numFmt w:val="upperRoman"/>
        <w:lvlText w:val="%1."/>
        <w:lvlJc w:val="left"/>
      </w:lvl>
    </w:lvlOverride>
    <w:lvlOverride w:ilvl="1">
      <w:lvl w:ilvl="1">
        <w:start w:val="1"/>
        <w:numFmt w:val="upperLetter"/>
        <w:lvlText w:val="%2."/>
        <w:lvlJc w:val="left"/>
      </w:lvl>
    </w:lvlOverride>
    <w:lvlOverride w:ilvl="2">
      <w:lvl w:ilvl="2">
        <w:start w:val="1"/>
        <w:numFmt w:val="decimal"/>
        <w:lvlText w:val="%3."/>
        <w:lvlJc w:val="left"/>
      </w:lvl>
    </w:lvlOverride>
    <w:lvlOverride w:ilvl="3">
      <w:lvl w:ilvl="3">
        <w:start w:val="1"/>
        <w:numFmt w:val="lowerLetter"/>
        <w:lvlText w:val="%4)"/>
        <w:lvlJc w:val="left"/>
      </w:lvl>
    </w:lvlOverride>
    <w:lvlOverride w:ilvl="4">
      <w:lvl w:ilvl="4">
        <w:start w:val="1"/>
        <w:numFmt w:val="decimal"/>
        <w:lvlText w:val="(%5)"/>
        <w:lvlJc w:val="left"/>
      </w:lvl>
    </w:lvlOverride>
    <w:lvlOverride w:ilvl="5">
      <w:lvl w:ilvl="5">
        <w:start w:val="1"/>
        <w:numFmt w:val="lowerLetter"/>
        <w:lvlText w:val="(%6)"/>
        <w:lvlJc w:val="left"/>
      </w:lvl>
    </w:lvlOverride>
    <w:lvlOverride w:ilvl="6">
      <w:lvl w:ilvl="6">
        <w:start w:val="1"/>
        <w:numFmt w:val="lowerRoman"/>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5">
    <w:abstractNumId w:val="30"/>
    <w:lvlOverride w:ilvl="0">
      <w:lvl w:ilvl="0">
        <w:start w:val="1"/>
        <w:numFmt w:val="decimal"/>
        <w:lvlText w:val="%1."/>
        <w:lvlJc w:val="left"/>
      </w:lvl>
    </w:lvlOverride>
    <w:lvlOverride w:ilvl="1">
      <w:lvl w:ilvl="1">
        <w:start w:val="1"/>
        <w:numFmt w:val="decimal"/>
        <w:lvlText w:val="%1.%2."/>
        <w:lvlJc w:val="left"/>
      </w:lvl>
    </w:lvlOverride>
    <w:lvlOverride w:ilvl="2">
      <w:lvl w:ilvl="2">
        <w:start w:val="1"/>
        <w:numFmt w:val="decimal"/>
        <w:lvlText w:val="%1.%2.%3."/>
        <w:lvlJc w:val="left"/>
      </w:lvl>
    </w:lvlOverride>
    <w:lvlOverride w:ilvl="3">
      <w:lvl w:ilvl="3">
        <w:start w:val="1"/>
        <w:numFmt w:val="decimal"/>
        <w:lvlText w:val="%1.%2.%3.%4."/>
        <w:lvlJc w:val="left"/>
      </w:lvl>
    </w:lvlOverride>
    <w:lvlOverride w:ilvl="4">
      <w:lvl w:ilvl="4">
        <w:start w:val="1"/>
        <w:numFmt w:val="decimal"/>
        <w:lvlText w:val="%1.%2.%3.%4.%5."/>
        <w:lvlJc w:val="left"/>
      </w:lvl>
    </w:lvlOverride>
    <w:lvlOverride w:ilvl="5">
      <w:lvl w:ilvl="5">
        <w:start w:val="1"/>
        <w:numFmt w:val="decimal"/>
        <w:lvlText w:val="%1.%2.%3.%4.%5.%6."/>
        <w:lvlJc w:val="left"/>
      </w:lvl>
    </w:lvlOverride>
    <w:lvlOverride w:ilvl="6">
      <w:lvl w:ilvl="6">
        <w:start w:val="1"/>
        <w:numFmt w:val="decimal"/>
        <w:lvlText w:val="%1.%2.%3.%4.%5.%6.%7."/>
        <w:lvlJc w:val="left"/>
      </w:lvl>
    </w:lvlOverride>
    <w:lvlOverride w:ilvl="7">
      <w:lvl w:ilvl="7">
        <w:start w:val="1"/>
        <w:numFmt w:val="decimal"/>
        <w:lvlText w:val="%1.%2.%3.%4.%5.%6.%7.%8."/>
        <w:lvlJc w:val="left"/>
      </w:lvl>
    </w:lvlOverride>
    <w:lvlOverride w:ilvl="8">
      <w:lvl w:ilvl="8">
        <w:start w:val="1"/>
        <w:numFmt w:val="decimal"/>
        <w:lvlText w:val="%1.%2.%3.%4.%5.%6.%7.%8.%9."/>
        <w:lvlJc w:val="left"/>
      </w:lvl>
    </w:lvlOverride>
  </w:num>
  <w:num w:numId="26">
    <w:abstractNumId w:val="15"/>
  </w:num>
  <w:num w:numId="27">
    <w:abstractNumId w:val="17"/>
  </w:num>
  <w:num w:numId="28">
    <w:abstractNumId w:val="13"/>
  </w:num>
  <w:num w:numId="29">
    <w:abstractNumId w:val="20"/>
  </w:num>
  <w:num w:numId="30">
    <w:abstractNumId w:val="25"/>
  </w:num>
  <w:num w:numId="31">
    <w:abstractNumId w:val="27"/>
  </w:num>
  <w:num w:numId="32">
    <w:abstractNumId w:val="28"/>
  </w:num>
  <w:num w:numId="3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ocumentProtection w:edit="trackedChanges" w:enforcement="0"/>
  <w:defaultTabStop w:val="720"/>
  <w:characterSpacingControl w:val="doNotCompress"/>
  <w:hdrShapeDefaults>
    <o:shapedefaults v:ext="edit" spidmax="10241"/>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0188B"/>
    <w:rsid w:val="00002916"/>
    <w:rsid w:val="00012624"/>
    <w:rsid w:val="00013360"/>
    <w:rsid w:val="000216CE"/>
    <w:rsid w:val="00025DC7"/>
    <w:rsid w:val="0002604A"/>
    <w:rsid w:val="00026486"/>
    <w:rsid w:val="0003099D"/>
    <w:rsid w:val="0003236F"/>
    <w:rsid w:val="00035C96"/>
    <w:rsid w:val="000379F6"/>
    <w:rsid w:val="00044ECC"/>
    <w:rsid w:val="000468F5"/>
    <w:rsid w:val="000531D3"/>
    <w:rsid w:val="0005646B"/>
    <w:rsid w:val="00060551"/>
    <w:rsid w:val="00065B55"/>
    <w:rsid w:val="00072B34"/>
    <w:rsid w:val="0008102D"/>
    <w:rsid w:val="00081350"/>
    <w:rsid w:val="0008399E"/>
    <w:rsid w:val="0008479C"/>
    <w:rsid w:val="00093510"/>
    <w:rsid w:val="00094C0E"/>
    <w:rsid w:val="00095A2A"/>
    <w:rsid w:val="00097907"/>
    <w:rsid w:val="000A1C77"/>
    <w:rsid w:val="000B03E3"/>
    <w:rsid w:val="000C30D4"/>
    <w:rsid w:val="000D0495"/>
    <w:rsid w:val="000D4A97"/>
    <w:rsid w:val="000E366A"/>
    <w:rsid w:val="000E3674"/>
    <w:rsid w:val="000F0C22"/>
    <w:rsid w:val="000F34A8"/>
    <w:rsid w:val="000F6B09"/>
    <w:rsid w:val="000F6FDC"/>
    <w:rsid w:val="00102E74"/>
    <w:rsid w:val="00104567"/>
    <w:rsid w:val="00106CDA"/>
    <w:rsid w:val="00107CAB"/>
    <w:rsid w:val="00114DA6"/>
    <w:rsid w:val="00116FB8"/>
    <w:rsid w:val="001178F1"/>
    <w:rsid w:val="001221E4"/>
    <w:rsid w:val="00126027"/>
    <w:rsid w:val="0012732D"/>
    <w:rsid w:val="001332C1"/>
    <w:rsid w:val="00140461"/>
    <w:rsid w:val="00143897"/>
    <w:rsid w:val="00144200"/>
    <w:rsid w:val="00147C17"/>
    <w:rsid w:val="00153B91"/>
    <w:rsid w:val="00154FC9"/>
    <w:rsid w:val="00162EB7"/>
    <w:rsid w:val="00173ED8"/>
    <w:rsid w:val="001745CF"/>
    <w:rsid w:val="001757CD"/>
    <w:rsid w:val="0018329D"/>
    <w:rsid w:val="00186751"/>
    <w:rsid w:val="001901C8"/>
    <w:rsid w:val="001905E1"/>
    <w:rsid w:val="0019241A"/>
    <w:rsid w:val="00193C7B"/>
    <w:rsid w:val="00197F2F"/>
    <w:rsid w:val="001A43C3"/>
    <w:rsid w:val="001A5335"/>
    <w:rsid w:val="001A67FC"/>
    <w:rsid w:val="001A6EAE"/>
    <w:rsid w:val="001A752D"/>
    <w:rsid w:val="001B3F1B"/>
    <w:rsid w:val="001B7829"/>
    <w:rsid w:val="001C004F"/>
    <w:rsid w:val="001C6EEC"/>
    <w:rsid w:val="001D3E48"/>
    <w:rsid w:val="001E0AF9"/>
    <w:rsid w:val="001E3858"/>
    <w:rsid w:val="001E46D3"/>
    <w:rsid w:val="001E5DF6"/>
    <w:rsid w:val="001F48A9"/>
    <w:rsid w:val="001F7004"/>
    <w:rsid w:val="00203AA1"/>
    <w:rsid w:val="002060AC"/>
    <w:rsid w:val="00210B08"/>
    <w:rsid w:val="0021131D"/>
    <w:rsid w:val="00213E98"/>
    <w:rsid w:val="00225E6A"/>
    <w:rsid w:val="00226244"/>
    <w:rsid w:val="002309F0"/>
    <w:rsid w:val="00240322"/>
    <w:rsid w:val="00246859"/>
    <w:rsid w:val="002526F4"/>
    <w:rsid w:val="002530C0"/>
    <w:rsid w:val="00271733"/>
    <w:rsid w:val="00271DB9"/>
    <w:rsid w:val="002817CA"/>
    <w:rsid w:val="002A10E1"/>
    <w:rsid w:val="002A376E"/>
    <w:rsid w:val="002A42EF"/>
    <w:rsid w:val="002B196F"/>
    <w:rsid w:val="002C022D"/>
    <w:rsid w:val="002C0E9F"/>
    <w:rsid w:val="002C354C"/>
    <w:rsid w:val="002C5C97"/>
    <w:rsid w:val="002D22DC"/>
    <w:rsid w:val="002D49B6"/>
    <w:rsid w:val="002E2D63"/>
    <w:rsid w:val="002E32F0"/>
    <w:rsid w:val="002E59BF"/>
    <w:rsid w:val="002F0E8D"/>
    <w:rsid w:val="002F37D3"/>
    <w:rsid w:val="002F460C"/>
    <w:rsid w:val="002F48D6"/>
    <w:rsid w:val="00311FC3"/>
    <w:rsid w:val="00312055"/>
    <w:rsid w:val="003123D9"/>
    <w:rsid w:val="00316F14"/>
    <w:rsid w:val="00317484"/>
    <w:rsid w:val="00326A48"/>
    <w:rsid w:val="0033018E"/>
    <w:rsid w:val="003355BA"/>
    <w:rsid w:val="00343565"/>
    <w:rsid w:val="00346729"/>
    <w:rsid w:val="00351C76"/>
    <w:rsid w:val="00354899"/>
    <w:rsid w:val="00355FD6"/>
    <w:rsid w:val="00361C8E"/>
    <w:rsid w:val="00364A5C"/>
    <w:rsid w:val="003654AB"/>
    <w:rsid w:val="00373856"/>
    <w:rsid w:val="00373FB1"/>
    <w:rsid w:val="003803A5"/>
    <w:rsid w:val="0038158C"/>
    <w:rsid w:val="0038671C"/>
    <w:rsid w:val="003A10B1"/>
    <w:rsid w:val="003B30D8"/>
    <w:rsid w:val="003B7EF2"/>
    <w:rsid w:val="003C226F"/>
    <w:rsid w:val="003C3C1D"/>
    <w:rsid w:val="003C3FA4"/>
    <w:rsid w:val="003D2017"/>
    <w:rsid w:val="003D21E0"/>
    <w:rsid w:val="003D2815"/>
    <w:rsid w:val="003D7A33"/>
    <w:rsid w:val="003E1FFE"/>
    <w:rsid w:val="003E7819"/>
    <w:rsid w:val="003F0398"/>
    <w:rsid w:val="003F2B0C"/>
    <w:rsid w:val="003F7937"/>
    <w:rsid w:val="004033AD"/>
    <w:rsid w:val="004151C2"/>
    <w:rsid w:val="0042148B"/>
    <w:rsid w:val="004221E4"/>
    <w:rsid w:val="0042406B"/>
    <w:rsid w:val="00430ED7"/>
    <w:rsid w:val="00434E5C"/>
    <w:rsid w:val="004445CB"/>
    <w:rsid w:val="00456765"/>
    <w:rsid w:val="004626E4"/>
    <w:rsid w:val="00471088"/>
    <w:rsid w:val="00483AF9"/>
    <w:rsid w:val="004A6B3B"/>
    <w:rsid w:val="004B1CCB"/>
    <w:rsid w:val="004B4FF2"/>
    <w:rsid w:val="004B79A9"/>
    <w:rsid w:val="004C5696"/>
    <w:rsid w:val="004C71F3"/>
    <w:rsid w:val="004D48DB"/>
    <w:rsid w:val="004D73A5"/>
    <w:rsid w:val="004E4146"/>
    <w:rsid w:val="004E7E8E"/>
    <w:rsid w:val="00506CDE"/>
    <w:rsid w:val="00506E73"/>
    <w:rsid w:val="00510904"/>
    <w:rsid w:val="00510AFA"/>
    <w:rsid w:val="00510E8C"/>
    <w:rsid w:val="00524269"/>
    <w:rsid w:val="00532CF5"/>
    <w:rsid w:val="00536BED"/>
    <w:rsid w:val="00544867"/>
    <w:rsid w:val="005448DC"/>
    <w:rsid w:val="005528CB"/>
    <w:rsid w:val="005534DC"/>
    <w:rsid w:val="00555577"/>
    <w:rsid w:val="005628E4"/>
    <w:rsid w:val="00566771"/>
    <w:rsid w:val="00566EC2"/>
    <w:rsid w:val="00567E03"/>
    <w:rsid w:val="005801A5"/>
    <w:rsid w:val="00581E2E"/>
    <w:rsid w:val="00584F15"/>
    <w:rsid w:val="005A2D3C"/>
    <w:rsid w:val="005A5539"/>
    <w:rsid w:val="005B2E65"/>
    <w:rsid w:val="005C32F3"/>
    <w:rsid w:val="005D3F44"/>
    <w:rsid w:val="005D7A6D"/>
    <w:rsid w:val="005E02F8"/>
    <w:rsid w:val="005F2368"/>
    <w:rsid w:val="005F72B0"/>
    <w:rsid w:val="00603BA6"/>
    <w:rsid w:val="00606E13"/>
    <w:rsid w:val="006077FC"/>
    <w:rsid w:val="00610BF6"/>
    <w:rsid w:val="006163F7"/>
    <w:rsid w:val="006368C7"/>
    <w:rsid w:val="00650530"/>
    <w:rsid w:val="00652606"/>
    <w:rsid w:val="00654744"/>
    <w:rsid w:val="006558DA"/>
    <w:rsid w:val="00656AB3"/>
    <w:rsid w:val="006631B7"/>
    <w:rsid w:val="00664C31"/>
    <w:rsid w:val="00664E3A"/>
    <w:rsid w:val="006674B0"/>
    <w:rsid w:val="006705BE"/>
    <w:rsid w:val="00682754"/>
    <w:rsid w:val="0068345A"/>
    <w:rsid w:val="00683CFF"/>
    <w:rsid w:val="00683DDC"/>
    <w:rsid w:val="006A58A9"/>
    <w:rsid w:val="006A606D"/>
    <w:rsid w:val="006B1B3C"/>
    <w:rsid w:val="006B7F7A"/>
    <w:rsid w:val="006C0371"/>
    <w:rsid w:val="006C08B6"/>
    <w:rsid w:val="006C0B1A"/>
    <w:rsid w:val="006C1754"/>
    <w:rsid w:val="006C4384"/>
    <w:rsid w:val="006C562A"/>
    <w:rsid w:val="006C6065"/>
    <w:rsid w:val="006C7F9F"/>
    <w:rsid w:val="006D1DEF"/>
    <w:rsid w:val="006E2F6D"/>
    <w:rsid w:val="006E58F6"/>
    <w:rsid w:val="006E77E1"/>
    <w:rsid w:val="006F131D"/>
    <w:rsid w:val="006F39ED"/>
    <w:rsid w:val="006F6FBB"/>
    <w:rsid w:val="007039CC"/>
    <w:rsid w:val="0071222F"/>
    <w:rsid w:val="00715E9E"/>
    <w:rsid w:val="007168BD"/>
    <w:rsid w:val="00720D84"/>
    <w:rsid w:val="00722767"/>
    <w:rsid w:val="00725F0D"/>
    <w:rsid w:val="00726F29"/>
    <w:rsid w:val="00731EAF"/>
    <w:rsid w:val="0074325C"/>
    <w:rsid w:val="00743301"/>
    <w:rsid w:val="00747F0F"/>
    <w:rsid w:val="00752BCD"/>
    <w:rsid w:val="0076212C"/>
    <w:rsid w:val="00766DA1"/>
    <w:rsid w:val="0076734D"/>
    <w:rsid w:val="007731DC"/>
    <w:rsid w:val="00773557"/>
    <w:rsid w:val="007752FD"/>
    <w:rsid w:val="00775D7A"/>
    <w:rsid w:val="0078286A"/>
    <w:rsid w:val="007828B1"/>
    <w:rsid w:val="007860BC"/>
    <w:rsid w:val="007866A6"/>
    <w:rsid w:val="007935A1"/>
    <w:rsid w:val="007A130D"/>
    <w:rsid w:val="007A7426"/>
    <w:rsid w:val="007A74EB"/>
    <w:rsid w:val="007B0559"/>
    <w:rsid w:val="007B2F19"/>
    <w:rsid w:val="007B37A4"/>
    <w:rsid w:val="007B6867"/>
    <w:rsid w:val="007C1595"/>
    <w:rsid w:val="007C3128"/>
    <w:rsid w:val="007D0DBC"/>
    <w:rsid w:val="007D1D0D"/>
    <w:rsid w:val="007D4102"/>
    <w:rsid w:val="007E504A"/>
    <w:rsid w:val="007E5921"/>
    <w:rsid w:val="007E6C28"/>
    <w:rsid w:val="00806561"/>
    <w:rsid w:val="00811F73"/>
    <w:rsid w:val="00821FFC"/>
    <w:rsid w:val="00823405"/>
    <w:rsid w:val="008252F5"/>
    <w:rsid w:val="008271CA"/>
    <w:rsid w:val="00830491"/>
    <w:rsid w:val="00830CFB"/>
    <w:rsid w:val="00833E23"/>
    <w:rsid w:val="00840C4E"/>
    <w:rsid w:val="00841618"/>
    <w:rsid w:val="0084526B"/>
    <w:rsid w:val="008467D5"/>
    <w:rsid w:val="00846DE7"/>
    <w:rsid w:val="00851818"/>
    <w:rsid w:val="008522D6"/>
    <w:rsid w:val="008545DF"/>
    <w:rsid w:val="00856D9F"/>
    <w:rsid w:val="00857261"/>
    <w:rsid w:val="008575B3"/>
    <w:rsid w:val="008658BE"/>
    <w:rsid w:val="00866F6D"/>
    <w:rsid w:val="008848E5"/>
    <w:rsid w:val="008A33FC"/>
    <w:rsid w:val="008A47A9"/>
    <w:rsid w:val="008A4DC4"/>
    <w:rsid w:val="008B20E4"/>
    <w:rsid w:val="008B604D"/>
    <w:rsid w:val="008C2247"/>
    <w:rsid w:val="008C6B12"/>
    <w:rsid w:val="008D0C8F"/>
    <w:rsid w:val="008D1466"/>
    <w:rsid w:val="008D2D6B"/>
    <w:rsid w:val="008D3E73"/>
    <w:rsid w:val="008E6BAB"/>
    <w:rsid w:val="008F19CF"/>
    <w:rsid w:val="00900A2A"/>
    <w:rsid w:val="00905D1D"/>
    <w:rsid w:val="009067A4"/>
    <w:rsid w:val="00906966"/>
    <w:rsid w:val="00906B50"/>
    <w:rsid w:val="0090722E"/>
    <w:rsid w:val="00921816"/>
    <w:rsid w:val="00924EFE"/>
    <w:rsid w:val="009340DB"/>
    <w:rsid w:val="009561DB"/>
    <w:rsid w:val="00966BC5"/>
    <w:rsid w:val="00972498"/>
    <w:rsid w:val="00973973"/>
    <w:rsid w:val="00974CC6"/>
    <w:rsid w:val="0097525C"/>
    <w:rsid w:val="009769A8"/>
    <w:rsid w:val="00976AD4"/>
    <w:rsid w:val="009819CF"/>
    <w:rsid w:val="00987619"/>
    <w:rsid w:val="009A256C"/>
    <w:rsid w:val="009A312F"/>
    <w:rsid w:val="009A5348"/>
    <w:rsid w:val="009A67BB"/>
    <w:rsid w:val="009C1DA8"/>
    <w:rsid w:val="009C76D5"/>
    <w:rsid w:val="009D5AE3"/>
    <w:rsid w:val="009F7AA4"/>
    <w:rsid w:val="00A0478C"/>
    <w:rsid w:val="00A25CBC"/>
    <w:rsid w:val="00A31EA3"/>
    <w:rsid w:val="00A33A0D"/>
    <w:rsid w:val="00A36986"/>
    <w:rsid w:val="00A37C2D"/>
    <w:rsid w:val="00A429FC"/>
    <w:rsid w:val="00A52C22"/>
    <w:rsid w:val="00A537FE"/>
    <w:rsid w:val="00A559DB"/>
    <w:rsid w:val="00A675E4"/>
    <w:rsid w:val="00A7064C"/>
    <w:rsid w:val="00A71DC1"/>
    <w:rsid w:val="00A76EE9"/>
    <w:rsid w:val="00A8067E"/>
    <w:rsid w:val="00A86167"/>
    <w:rsid w:val="00A939DD"/>
    <w:rsid w:val="00AA2ADB"/>
    <w:rsid w:val="00AA52AE"/>
    <w:rsid w:val="00AB6F5A"/>
    <w:rsid w:val="00AB7A9A"/>
    <w:rsid w:val="00AC2224"/>
    <w:rsid w:val="00AC43A2"/>
    <w:rsid w:val="00AC60E2"/>
    <w:rsid w:val="00AD5420"/>
    <w:rsid w:val="00AE196A"/>
    <w:rsid w:val="00AE20AE"/>
    <w:rsid w:val="00AE668A"/>
    <w:rsid w:val="00AF35FC"/>
    <w:rsid w:val="00B03639"/>
    <w:rsid w:val="00B0416F"/>
    <w:rsid w:val="00B0652A"/>
    <w:rsid w:val="00B155E9"/>
    <w:rsid w:val="00B179B8"/>
    <w:rsid w:val="00B3757D"/>
    <w:rsid w:val="00B40937"/>
    <w:rsid w:val="00B423EF"/>
    <w:rsid w:val="00B42706"/>
    <w:rsid w:val="00B4370F"/>
    <w:rsid w:val="00B453DE"/>
    <w:rsid w:val="00B4742F"/>
    <w:rsid w:val="00B605BF"/>
    <w:rsid w:val="00B61159"/>
    <w:rsid w:val="00B62401"/>
    <w:rsid w:val="00B67583"/>
    <w:rsid w:val="00B853E8"/>
    <w:rsid w:val="00B901F9"/>
    <w:rsid w:val="00B908AF"/>
    <w:rsid w:val="00B92B6E"/>
    <w:rsid w:val="00B951F3"/>
    <w:rsid w:val="00BA51C2"/>
    <w:rsid w:val="00BB343B"/>
    <w:rsid w:val="00BB56F7"/>
    <w:rsid w:val="00BD6EFB"/>
    <w:rsid w:val="00BE10AF"/>
    <w:rsid w:val="00BE2C95"/>
    <w:rsid w:val="00BE3BF4"/>
    <w:rsid w:val="00BE4AC0"/>
    <w:rsid w:val="00BE531D"/>
    <w:rsid w:val="00BF5AC8"/>
    <w:rsid w:val="00BF6A81"/>
    <w:rsid w:val="00C11BAE"/>
    <w:rsid w:val="00C15BE2"/>
    <w:rsid w:val="00C22219"/>
    <w:rsid w:val="00C22D1E"/>
    <w:rsid w:val="00C31597"/>
    <w:rsid w:val="00C3447F"/>
    <w:rsid w:val="00C3464F"/>
    <w:rsid w:val="00C366A1"/>
    <w:rsid w:val="00C500E0"/>
    <w:rsid w:val="00C50C91"/>
    <w:rsid w:val="00C51AD8"/>
    <w:rsid w:val="00C6191A"/>
    <w:rsid w:val="00C6446D"/>
    <w:rsid w:val="00C64F93"/>
    <w:rsid w:val="00C71764"/>
    <w:rsid w:val="00C81491"/>
    <w:rsid w:val="00C81676"/>
    <w:rsid w:val="00C8508F"/>
    <w:rsid w:val="00C86ED5"/>
    <w:rsid w:val="00C92CC4"/>
    <w:rsid w:val="00C92EEC"/>
    <w:rsid w:val="00CA0AFB"/>
    <w:rsid w:val="00CA2CE1"/>
    <w:rsid w:val="00CA3976"/>
    <w:rsid w:val="00CA757B"/>
    <w:rsid w:val="00CB153A"/>
    <w:rsid w:val="00CB6C80"/>
    <w:rsid w:val="00CC1787"/>
    <w:rsid w:val="00CC182C"/>
    <w:rsid w:val="00CC493A"/>
    <w:rsid w:val="00CD076A"/>
    <w:rsid w:val="00CD0824"/>
    <w:rsid w:val="00CD2908"/>
    <w:rsid w:val="00CE7C0D"/>
    <w:rsid w:val="00D033D8"/>
    <w:rsid w:val="00D03A82"/>
    <w:rsid w:val="00D05167"/>
    <w:rsid w:val="00D0597D"/>
    <w:rsid w:val="00D15344"/>
    <w:rsid w:val="00D259E4"/>
    <w:rsid w:val="00D31BEC"/>
    <w:rsid w:val="00D32EDB"/>
    <w:rsid w:val="00D34272"/>
    <w:rsid w:val="00D612BF"/>
    <w:rsid w:val="00D63150"/>
    <w:rsid w:val="00D64A32"/>
    <w:rsid w:val="00D64EFC"/>
    <w:rsid w:val="00D66A21"/>
    <w:rsid w:val="00D75230"/>
    <w:rsid w:val="00D75295"/>
    <w:rsid w:val="00D76CE9"/>
    <w:rsid w:val="00D80636"/>
    <w:rsid w:val="00D9525C"/>
    <w:rsid w:val="00D97F12"/>
    <w:rsid w:val="00DA2A0D"/>
    <w:rsid w:val="00DB42E7"/>
    <w:rsid w:val="00DB74CC"/>
    <w:rsid w:val="00DC158C"/>
    <w:rsid w:val="00DC1E61"/>
    <w:rsid w:val="00DE5E8E"/>
    <w:rsid w:val="00DF1D0C"/>
    <w:rsid w:val="00DF32C2"/>
    <w:rsid w:val="00E00582"/>
    <w:rsid w:val="00E03655"/>
    <w:rsid w:val="00E10495"/>
    <w:rsid w:val="00E167C0"/>
    <w:rsid w:val="00E25CE1"/>
    <w:rsid w:val="00E41828"/>
    <w:rsid w:val="00E471A7"/>
    <w:rsid w:val="00E514D6"/>
    <w:rsid w:val="00E57864"/>
    <w:rsid w:val="00E614A8"/>
    <w:rsid w:val="00E623EE"/>
    <w:rsid w:val="00E62DFF"/>
    <w:rsid w:val="00E635CF"/>
    <w:rsid w:val="00E72BEF"/>
    <w:rsid w:val="00E736FA"/>
    <w:rsid w:val="00E75C57"/>
    <w:rsid w:val="00E97F1E"/>
    <w:rsid w:val="00EA4713"/>
    <w:rsid w:val="00EB5410"/>
    <w:rsid w:val="00EC6E0A"/>
    <w:rsid w:val="00ED4E18"/>
    <w:rsid w:val="00EE1F37"/>
    <w:rsid w:val="00EE446B"/>
    <w:rsid w:val="00EE7EB8"/>
    <w:rsid w:val="00F007F8"/>
    <w:rsid w:val="00F0159C"/>
    <w:rsid w:val="00F0311D"/>
    <w:rsid w:val="00F05B5C"/>
    <w:rsid w:val="00F0692B"/>
    <w:rsid w:val="00F105B7"/>
    <w:rsid w:val="00F17A21"/>
    <w:rsid w:val="00F31C8A"/>
    <w:rsid w:val="00F43A49"/>
    <w:rsid w:val="00F45626"/>
    <w:rsid w:val="00F50E91"/>
    <w:rsid w:val="00F55740"/>
    <w:rsid w:val="00F57D29"/>
    <w:rsid w:val="00F7013E"/>
    <w:rsid w:val="00F823F0"/>
    <w:rsid w:val="00F909FD"/>
    <w:rsid w:val="00F92A99"/>
    <w:rsid w:val="00F96201"/>
    <w:rsid w:val="00FA664D"/>
    <w:rsid w:val="00FC0769"/>
    <w:rsid w:val="00FC30E9"/>
    <w:rsid w:val="00FD0B18"/>
    <w:rsid w:val="00FD0F15"/>
    <w:rsid w:val="00FD0F82"/>
    <w:rsid w:val="00FE4183"/>
    <w:rsid w:val="00FE714F"/>
    <w:rsid w:val="00FE79A9"/>
    <w:rsid w:val="00FF50E5"/>
    <w:rsid w:val="00FF7B3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3FC905C0"/>
  <w15:docId w15:val="{A7340643-5200-4B6D-8868-1710807DC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2E32F0"/>
    <w:rPr>
      <w:i/>
      <w:u w:val="none"/>
    </w:rPr>
  </w:style>
  <w:style w:type="character" w:customStyle="1" w:styleId="Casehead4Char">
    <w:name w:val="Casehead 4 Char"/>
    <w:basedOn w:val="Casehead3Char"/>
    <w:link w:val="Casehead4"/>
    <w:rsid w:val="002E32F0"/>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343565"/>
    <w:pPr>
      <w:jc w:val="both"/>
    </w:pPr>
    <w:rPr>
      <w:rFonts w:ascii="Arial" w:hAnsi="Arial" w:cs="Arial"/>
      <w:sz w:val="17"/>
      <w:szCs w:val="17"/>
    </w:rPr>
  </w:style>
  <w:style w:type="character" w:customStyle="1" w:styleId="FootnoteChar">
    <w:name w:val="Footnote Char"/>
    <w:basedOn w:val="FootnoteTextChar"/>
    <w:link w:val="Footnote"/>
    <w:rsid w:val="00343565"/>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semiHidden/>
    <w:rsid w:val="00FD0F82"/>
    <w:pPr>
      <w:spacing w:before="100" w:beforeAutospacing="1" w:after="100" w:afterAutospacing="1"/>
    </w:pPr>
    <w:rPr>
      <w:rFonts w:ascii="PMingLiU" w:eastAsiaTheme="minorEastAsia" w:hAnsi="PMingLiU" w:cs="PMingLiU"/>
      <w:sz w:val="24"/>
      <w:szCs w:val="24"/>
      <w:lang w:eastAsia="zh-TW"/>
    </w:rPr>
  </w:style>
  <w:style w:type="numbering" w:customStyle="1" w:styleId="NoList1">
    <w:name w:val="No List1"/>
    <w:next w:val="NoList"/>
    <w:uiPriority w:val="99"/>
    <w:semiHidden/>
    <w:unhideWhenUsed/>
    <w:rsid w:val="00FD0F82"/>
  </w:style>
  <w:style w:type="table" w:styleId="TableGrid">
    <w:name w:val="Table Grid"/>
    <w:basedOn w:val="TableNormal"/>
    <w:uiPriority w:val="59"/>
    <w:rsid w:val="00FD0F82"/>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FD0F82"/>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D0F82"/>
    <w:rPr>
      <w:rFonts w:ascii="Consolas" w:eastAsiaTheme="minorEastAsia" w:hAnsi="Consolas" w:cs="Consolas"/>
      <w:sz w:val="21"/>
      <w:szCs w:val="21"/>
      <w:lang w:eastAsia="zh-CN"/>
    </w:rPr>
  </w:style>
  <w:style w:type="character" w:styleId="Emphasis">
    <w:name w:val="Emphasis"/>
    <w:basedOn w:val="DefaultParagraphFont"/>
    <w:uiPriority w:val="20"/>
    <w:qFormat/>
    <w:rsid w:val="00FD0F82"/>
    <w:rPr>
      <w:i/>
      <w:iCs/>
    </w:rPr>
  </w:style>
  <w:style w:type="character" w:styleId="Strong">
    <w:name w:val="Strong"/>
    <w:basedOn w:val="DefaultParagraphFont"/>
    <w:uiPriority w:val="99"/>
    <w:qFormat/>
    <w:rsid w:val="00FD0F82"/>
    <w:rPr>
      <w:b/>
      <w:bCs/>
    </w:rPr>
  </w:style>
  <w:style w:type="character" w:customStyle="1" w:styleId="Title1">
    <w:name w:val="Title1"/>
    <w:basedOn w:val="DefaultParagraphFont"/>
    <w:uiPriority w:val="99"/>
    <w:rsid w:val="00FD0F82"/>
  </w:style>
  <w:style w:type="paragraph" w:styleId="Revision">
    <w:name w:val="Revision"/>
    <w:hidden/>
    <w:uiPriority w:val="99"/>
    <w:semiHidden/>
    <w:rsid w:val="00FD0F82"/>
    <w:pPr>
      <w:spacing w:after="0" w:line="240" w:lineRule="auto"/>
    </w:pPr>
    <w:rPr>
      <w:rFonts w:ascii="Calibri" w:eastAsiaTheme="minorEastAsia" w:hAnsi="Calibri" w:cs="Calibri"/>
      <w:lang w:eastAsia="zh-CN"/>
    </w:rPr>
  </w:style>
  <w:style w:type="character" w:customStyle="1" w:styleId="apple-converted-space">
    <w:name w:val="apple-converted-space"/>
    <w:basedOn w:val="DefaultParagraphFont"/>
    <w:rsid w:val="00FD0F82"/>
  </w:style>
  <w:style w:type="character" w:customStyle="1" w:styleId="apple-style-span">
    <w:name w:val="apple-style-span"/>
    <w:basedOn w:val="DefaultParagraphFont"/>
    <w:rsid w:val="00682754"/>
    <w:rPr>
      <w:rFonts w:ascii="Times New Roman" w:hAnsi="Times New Roman"/>
      <w:caps w:val="0"/>
      <w:smallCaps w:val="0"/>
      <w:strike w:val="0"/>
      <w:dstrike w:val="0"/>
      <w:vanish w:val="0"/>
      <w:sz w:val="22"/>
      <w:vertAlign w:val="baseline"/>
    </w:rPr>
  </w:style>
  <w:style w:type="paragraph" w:styleId="EndnoteText">
    <w:name w:val="endnote text"/>
    <w:basedOn w:val="Normal"/>
    <w:link w:val="EndnoteTextChar"/>
    <w:uiPriority w:val="99"/>
    <w:semiHidden/>
    <w:unhideWhenUsed/>
    <w:rsid w:val="00B4742F"/>
  </w:style>
  <w:style w:type="character" w:customStyle="1" w:styleId="EndnoteTextChar">
    <w:name w:val="Endnote Text Char"/>
    <w:basedOn w:val="DefaultParagraphFont"/>
    <w:link w:val="EndnoteText"/>
    <w:uiPriority w:val="99"/>
    <w:semiHidden/>
    <w:rsid w:val="00B4742F"/>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4742F"/>
    <w:rPr>
      <w:vertAlign w:val="superscript"/>
    </w:rPr>
  </w:style>
  <w:style w:type="paragraph" w:customStyle="1" w:styleId="Body">
    <w:name w:val="Body"/>
    <w:rsid w:val="00C71764"/>
    <w:pPr>
      <w:spacing w:after="0" w:line="240" w:lineRule="auto"/>
    </w:pPr>
    <w:rPr>
      <w:rFonts w:ascii="Helvetica" w:eastAsia="ヒラギノ角ゴ Pro W3" w:hAnsi="Helvetica" w:cs="Times New Roman"/>
      <w:color w:val="000000"/>
      <w:sz w:val="24"/>
      <w:szCs w:val="20"/>
    </w:rPr>
  </w:style>
  <w:style w:type="character" w:customStyle="1" w:styleId="il">
    <w:name w:val="il"/>
    <w:basedOn w:val="DefaultParagraphFont"/>
    <w:rsid w:val="00C71764"/>
  </w:style>
  <w:style w:type="character" w:styleId="FollowedHyperlink">
    <w:name w:val="FollowedHyperlink"/>
    <w:basedOn w:val="DefaultParagraphFont"/>
    <w:uiPriority w:val="99"/>
    <w:semiHidden/>
    <w:unhideWhenUsed/>
    <w:rsid w:val="00C71764"/>
    <w:rPr>
      <w:color w:val="800080" w:themeColor="followedHyperlink"/>
      <w:u w:val="single"/>
    </w:rPr>
  </w:style>
  <w:style w:type="table" w:customStyle="1" w:styleId="TableGridLight1">
    <w:name w:val="Table Grid Light1"/>
    <w:basedOn w:val="TableNormal"/>
    <w:uiPriority w:val="40"/>
    <w:rsid w:val="00311FC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Grid1">
    <w:name w:val="Table Grid1"/>
    <w:basedOn w:val="TableNormal"/>
    <w:next w:val="TableGrid"/>
    <w:uiPriority w:val="59"/>
    <w:rsid w:val="00C11B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533805">
      <w:bodyDiv w:val="1"/>
      <w:marLeft w:val="0"/>
      <w:marRight w:val="0"/>
      <w:marTop w:val="0"/>
      <w:marBottom w:val="0"/>
      <w:divBdr>
        <w:top w:val="none" w:sz="0" w:space="0" w:color="auto"/>
        <w:left w:val="none" w:sz="0" w:space="0" w:color="auto"/>
        <w:bottom w:val="none" w:sz="0" w:space="0" w:color="auto"/>
        <w:right w:val="none" w:sz="0" w:space="0" w:color="auto"/>
      </w:divBdr>
      <w:divsChild>
        <w:div w:id="1239091207">
          <w:marLeft w:val="0"/>
          <w:marRight w:val="0"/>
          <w:marTop w:val="0"/>
          <w:marBottom w:val="0"/>
          <w:divBdr>
            <w:top w:val="none" w:sz="0" w:space="0" w:color="auto"/>
            <w:left w:val="none" w:sz="0" w:space="0" w:color="auto"/>
            <w:bottom w:val="none" w:sz="0" w:space="0" w:color="auto"/>
            <w:right w:val="none" w:sz="0" w:space="0" w:color="auto"/>
          </w:divBdr>
          <w:divsChild>
            <w:div w:id="1788427013">
              <w:marLeft w:val="0"/>
              <w:marRight w:val="0"/>
              <w:marTop w:val="0"/>
              <w:marBottom w:val="0"/>
              <w:divBdr>
                <w:top w:val="none" w:sz="0" w:space="0" w:color="auto"/>
                <w:left w:val="none" w:sz="0" w:space="0" w:color="auto"/>
                <w:bottom w:val="none" w:sz="0" w:space="0" w:color="auto"/>
                <w:right w:val="none" w:sz="0" w:space="0" w:color="auto"/>
              </w:divBdr>
              <w:divsChild>
                <w:div w:id="1834881048">
                  <w:marLeft w:val="0"/>
                  <w:marRight w:val="0"/>
                  <w:marTop w:val="0"/>
                  <w:marBottom w:val="0"/>
                  <w:divBdr>
                    <w:top w:val="none" w:sz="0" w:space="0" w:color="auto"/>
                    <w:left w:val="none" w:sz="0" w:space="0" w:color="auto"/>
                    <w:bottom w:val="none" w:sz="0" w:space="0" w:color="auto"/>
                    <w:right w:val="none" w:sz="0" w:space="0" w:color="auto"/>
                  </w:divBdr>
                  <w:divsChild>
                    <w:div w:id="112330235">
                      <w:marLeft w:val="0"/>
                      <w:marRight w:val="0"/>
                      <w:marTop w:val="0"/>
                      <w:marBottom w:val="0"/>
                      <w:divBdr>
                        <w:top w:val="none" w:sz="0" w:space="0" w:color="auto"/>
                        <w:left w:val="none" w:sz="0" w:space="0" w:color="auto"/>
                        <w:bottom w:val="none" w:sz="0" w:space="0" w:color="auto"/>
                        <w:right w:val="none" w:sz="0" w:space="0" w:color="auto"/>
                      </w:divBdr>
                      <w:divsChild>
                        <w:div w:id="927539980">
                          <w:marLeft w:val="0"/>
                          <w:marRight w:val="0"/>
                          <w:marTop w:val="0"/>
                          <w:marBottom w:val="0"/>
                          <w:divBdr>
                            <w:top w:val="none" w:sz="0" w:space="0" w:color="auto"/>
                            <w:left w:val="none" w:sz="0" w:space="0" w:color="auto"/>
                            <w:bottom w:val="none" w:sz="0" w:space="0" w:color="auto"/>
                            <w:right w:val="none" w:sz="0" w:space="0" w:color="auto"/>
                          </w:divBdr>
                          <w:divsChild>
                            <w:div w:id="142818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7698704">
      <w:bodyDiv w:val="1"/>
      <w:marLeft w:val="0"/>
      <w:marRight w:val="0"/>
      <w:marTop w:val="0"/>
      <w:marBottom w:val="0"/>
      <w:divBdr>
        <w:top w:val="none" w:sz="0" w:space="0" w:color="auto"/>
        <w:left w:val="none" w:sz="0" w:space="0" w:color="auto"/>
        <w:bottom w:val="none" w:sz="0" w:space="0" w:color="auto"/>
        <w:right w:val="none" w:sz="0" w:space="0" w:color="auto"/>
      </w:divBdr>
    </w:div>
    <w:div w:id="483401245">
      <w:bodyDiv w:val="1"/>
      <w:marLeft w:val="0"/>
      <w:marRight w:val="0"/>
      <w:marTop w:val="0"/>
      <w:marBottom w:val="0"/>
      <w:divBdr>
        <w:top w:val="none" w:sz="0" w:space="0" w:color="auto"/>
        <w:left w:val="none" w:sz="0" w:space="0" w:color="auto"/>
        <w:bottom w:val="none" w:sz="0" w:space="0" w:color="auto"/>
        <w:right w:val="none" w:sz="0" w:space="0" w:color="auto"/>
      </w:divBdr>
    </w:div>
    <w:div w:id="1166703941">
      <w:bodyDiv w:val="1"/>
      <w:marLeft w:val="0"/>
      <w:marRight w:val="0"/>
      <w:marTop w:val="0"/>
      <w:marBottom w:val="0"/>
      <w:divBdr>
        <w:top w:val="none" w:sz="0" w:space="0" w:color="auto"/>
        <w:left w:val="none" w:sz="0" w:space="0" w:color="auto"/>
        <w:bottom w:val="none" w:sz="0" w:space="0" w:color="auto"/>
        <w:right w:val="none" w:sz="0" w:space="0" w:color="auto"/>
      </w:divBdr>
    </w:div>
    <w:div w:id="1570844501">
      <w:bodyDiv w:val="1"/>
      <w:marLeft w:val="0"/>
      <w:marRight w:val="0"/>
      <w:marTop w:val="0"/>
      <w:marBottom w:val="0"/>
      <w:divBdr>
        <w:top w:val="none" w:sz="0" w:space="0" w:color="auto"/>
        <w:left w:val="none" w:sz="0" w:space="0" w:color="auto"/>
        <w:bottom w:val="none" w:sz="0" w:space="0" w:color="auto"/>
        <w:right w:val="none" w:sz="0" w:space="0" w:color="auto"/>
      </w:divBdr>
    </w:div>
    <w:div w:id="1698970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file:///\\biz-info.ivey.ca\IveyPubs\shared\CASES\A-Cases%20Pending\Eye%20Q%20Visions%20for%20the%20Long%20Term\www.crisil.com\pdf\research\CRISIL-Research-cust-bulletin_may_jun_14.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iveycases.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cases@ivey.ca"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sightsaversindia.in/wp-content/uploads/2014/06/16482_Eyecare-in-India-A-Situaltion-Analysi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4ACF4A-8BC6-49A9-9704-92EBA02D26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13</Pages>
  <Words>6053</Words>
  <Characters>34506</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40479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McCutcheon, Amber</cp:lastModifiedBy>
  <cp:revision>5</cp:revision>
  <cp:lastPrinted>2017-08-29T14:43:00Z</cp:lastPrinted>
  <dcterms:created xsi:type="dcterms:W3CDTF">2017-08-18T16:26:00Z</dcterms:created>
  <dcterms:modified xsi:type="dcterms:W3CDTF">2017-08-29T14:45:00Z</dcterms:modified>
</cp:coreProperties>
</file>