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8A7CB" w14:textId="7D30349A" w:rsidR="008467D5" w:rsidRPr="001B5760" w:rsidRDefault="00E87E89" w:rsidP="00013360">
      <w:pPr>
        <w:tabs>
          <w:tab w:val="left" w:pos="-1440"/>
          <w:tab w:val="left" w:pos="-720"/>
          <w:tab w:val="left" w:pos="1"/>
          <w:tab w:val="right" w:pos="9360"/>
        </w:tabs>
        <w:jc w:val="both"/>
        <w:rPr>
          <w:rFonts w:ascii="Arial" w:hAnsi="Arial"/>
          <w:sz w:val="24"/>
          <w:lang w:eastAsia="zh-CN"/>
        </w:rPr>
      </w:pPr>
      <w:r w:rsidRPr="00E87E89">
        <w:rPr>
          <w:rFonts w:ascii="Arial" w:hAnsi="Arial"/>
          <w:b/>
          <w:noProof/>
          <w:sz w:val="24"/>
          <w:lang w:eastAsia="en-GB"/>
        </w:rPr>
        <w:drawing>
          <wp:inline distT="0" distB="0" distL="0" distR="0" wp14:anchorId="3D5EF381" wp14:editId="7EB0639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1670800" w14:textId="77777777" w:rsidR="00856D9F" w:rsidRPr="001B5760" w:rsidRDefault="00856D9F" w:rsidP="008467D5">
      <w:pPr>
        <w:pBdr>
          <w:bottom w:val="single" w:sz="18" w:space="1" w:color="auto"/>
        </w:pBdr>
        <w:tabs>
          <w:tab w:val="left" w:pos="-1440"/>
          <w:tab w:val="left" w:pos="-720"/>
          <w:tab w:val="left" w:pos="1"/>
        </w:tabs>
        <w:jc w:val="both"/>
        <w:rPr>
          <w:rFonts w:ascii="Arial" w:hAnsi="Arial"/>
          <w:b/>
          <w:sz w:val="24"/>
        </w:rPr>
      </w:pPr>
    </w:p>
    <w:p w14:paraId="38AA90B0" w14:textId="7EB263AA" w:rsidR="00D75295" w:rsidRPr="001B5760" w:rsidRDefault="00E87E89" w:rsidP="00357C54">
      <w:pPr>
        <w:pStyle w:val="ProductNumber"/>
        <w:outlineLvl w:val="0"/>
      </w:pPr>
      <w:r>
        <w:t>9B17M</w:t>
      </w:r>
      <w:r w:rsidR="00356EF7">
        <w:t>137</w:t>
      </w:r>
    </w:p>
    <w:p w14:paraId="027D7B9F" w14:textId="77777777" w:rsidR="00D75295" w:rsidRPr="001B5760" w:rsidRDefault="00D75295" w:rsidP="00D75295">
      <w:pPr>
        <w:jc w:val="right"/>
        <w:rPr>
          <w:rFonts w:ascii="Arial" w:hAnsi="Arial"/>
          <w:b/>
          <w:sz w:val="28"/>
          <w:szCs w:val="28"/>
        </w:rPr>
      </w:pPr>
    </w:p>
    <w:p w14:paraId="22FC2169" w14:textId="77777777" w:rsidR="00866F6D" w:rsidRPr="001B5760" w:rsidRDefault="00866F6D" w:rsidP="00D75295">
      <w:pPr>
        <w:jc w:val="right"/>
        <w:rPr>
          <w:rFonts w:ascii="Arial" w:hAnsi="Arial"/>
          <w:b/>
          <w:sz w:val="28"/>
          <w:szCs w:val="28"/>
        </w:rPr>
      </w:pPr>
    </w:p>
    <w:p w14:paraId="3D9A77CA" w14:textId="69C285C4" w:rsidR="00013360" w:rsidRPr="001B5760" w:rsidRDefault="00C83EF1" w:rsidP="00013360">
      <w:pPr>
        <w:pStyle w:val="CaseTitle"/>
        <w:spacing w:after="0" w:line="240" w:lineRule="auto"/>
      </w:pPr>
      <w:r w:rsidRPr="001B5760">
        <w:t>Yves Saint Laurent:</w:t>
      </w:r>
      <w:r w:rsidR="005443DF" w:rsidRPr="001B5760">
        <w:t xml:space="preserve"> </w:t>
      </w:r>
      <w:r w:rsidR="005355D7" w:rsidRPr="001B5760">
        <w:t>Strategic</w:t>
      </w:r>
      <w:r w:rsidR="00D358AA" w:rsidRPr="001B5760">
        <w:t xml:space="preserve"> leadership</w:t>
      </w:r>
      <w:r w:rsidR="005355D7" w:rsidRPr="001B5760">
        <w:t xml:space="preserve"> of Creative </w:t>
      </w:r>
      <w:r w:rsidR="00A70443">
        <w:t>D</w:t>
      </w:r>
      <w:r w:rsidR="006D6533">
        <w:t>IRECTORS</w:t>
      </w:r>
      <w:r w:rsidR="00FC5216">
        <w:rPr>
          <w:rStyle w:val="EndnoteReference"/>
        </w:rPr>
        <w:endnoteReference w:id="1"/>
      </w:r>
    </w:p>
    <w:p w14:paraId="69F2452A" w14:textId="77777777" w:rsidR="00013360" w:rsidRPr="001B5760" w:rsidRDefault="00013360" w:rsidP="00013360">
      <w:pPr>
        <w:pStyle w:val="CaseTitle"/>
        <w:spacing w:after="0" w:line="240" w:lineRule="auto"/>
        <w:rPr>
          <w:sz w:val="20"/>
          <w:szCs w:val="20"/>
        </w:rPr>
      </w:pPr>
    </w:p>
    <w:p w14:paraId="0E5452B9" w14:textId="77777777" w:rsidR="00CA3976" w:rsidRPr="001B5760" w:rsidRDefault="00CA3976" w:rsidP="00013360">
      <w:pPr>
        <w:pStyle w:val="CaseTitle"/>
        <w:spacing w:after="0" w:line="240" w:lineRule="auto"/>
        <w:rPr>
          <w:sz w:val="20"/>
          <w:szCs w:val="20"/>
        </w:rPr>
      </w:pPr>
    </w:p>
    <w:p w14:paraId="53F63D5A" w14:textId="77777777" w:rsidR="00013360" w:rsidRPr="001B5760" w:rsidRDefault="00013360" w:rsidP="00013360">
      <w:pPr>
        <w:pStyle w:val="CaseTitle"/>
        <w:spacing w:after="0" w:line="240" w:lineRule="auto"/>
        <w:rPr>
          <w:sz w:val="20"/>
          <w:szCs w:val="20"/>
        </w:rPr>
      </w:pPr>
    </w:p>
    <w:p w14:paraId="289C7DBD" w14:textId="4D1B96FE" w:rsidR="00105E8C" w:rsidRPr="001B5760" w:rsidRDefault="00042EAF" w:rsidP="00104567">
      <w:pPr>
        <w:pStyle w:val="StyleCopyrightStatementAfter0ptBottomSinglesolidline1"/>
        <w:rPr>
          <w:lang w:eastAsia="zh-CN"/>
        </w:rPr>
      </w:pPr>
      <w:r w:rsidRPr="001B5760">
        <w:t xml:space="preserve">Wiboon Kittilaksanawong, </w:t>
      </w:r>
      <w:proofErr w:type="spellStart"/>
      <w:r w:rsidRPr="001B5760">
        <w:t>Léo</w:t>
      </w:r>
      <w:proofErr w:type="spellEnd"/>
      <w:r w:rsidRPr="001B5760">
        <w:t xml:space="preserve"> </w:t>
      </w:r>
      <w:proofErr w:type="spellStart"/>
      <w:r w:rsidRPr="001B5760">
        <w:t>Guilbert</w:t>
      </w:r>
      <w:proofErr w:type="spellEnd"/>
      <w:r w:rsidR="00AE3984">
        <w:t>,</w:t>
      </w:r>
      <w:r w:rsidRPr="001B5760">
        <w:t xml:space="preserve"> and Andrew Jiro </w:t>
      </w:r>
      <w:proofErr w:type="spellStart"/>
      <w:r w:rsidRPr="001B5760">
        <w:t>Poplawski</w:t>
      </w:r>
      <w:proofErr w:type="spellEnd"/>
      <w:r w:rsidRPr="001B5760">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6907F8C" w14:textId="77777777" w:rsidR="004B0878" w:rsidRPr="001B5760" w:rsidRDefault="004B0878" w:rsidP="00104567">
      <w:pPr>
        <w:pStyle w:val="StyleCopyrightStatementAfter0ptBottomSinglesolidline1"/>
        <w:rPr>
          <w:lang w:eastAsia="zh-CN"/>
        </w:rPr>
      </w:pPr>
    </w:p>
    <w:p w14:paraId="3A343B5B" w14:textId="77777777" w:rsidR="00E87E89" w:rsidRDefault="00E87E89" w:rsidP="00AE3984">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0D5DD4B" w14:textId="77777777" w:rsidR="00E87E89" w:rsidRDefault="00E87E89" w:rsidP="00E87E89">
      <w:pPr>
        <w:pStyle w:val="StyleCopyrightStatementAfter0ptBottomSinglesolidline1"/>
        <w:pBdr>
          <w:top w:val="none" w:sz="0" w:space="0" w:color="auto"/>
        </w:pBdr>
      </w:pPr>
    </w:p>
    <w:p w14:paraId="2EF5C8EB" w14:textId="6196A4C4" w:rsidR="003B7EF2" w:rsidRPr="001B5760" w:rsidRDefault="00E87E89" w:rsidP="00E87E89">
      <w:pPr>
        <w:pStyle w:val="StyleCopyrightStatementAfter0ptBottomSinglesolidline1"/>
        <w:pBdr>
          <w:top w:val="none" w:sz="0" w:space="0" w:color="auto"/>
        </w:pBdr>
        <w:rPr>
          <w:lang w:eastAsia="zh-CN"/>
        </w:rPr>
      </w:pPr>
      <w:r>
        <w:t>Copyright © 2017, Richard Ivey School of Business Foundation</w:t>
      </w:r>
      <w:r w:rsidR="00C83EF1" w:rsidRPr="001B5760">
        <w:tab/>
        <w:t>Version: 2017-0</w:t>
      </w:r>
      <w:r w:rsidR="00AC28A1">
        <w:rPr>
          <w:rFonts w:hint="eastAsia"/>
          <w:lang w:eastAsia="zh-CN"/>
        </w:rPr>
        <w:t>8</w:t>
      </w:r>
      <w:r w:rsidR="00C83EF1" w:rsidRPr="001B5760">
        <w:t>-</w:t>
      </w:r>
      <w:r w:rsidR="001F24C4">
        <w:t>31</w:t>
      </w:r>
    </w:p>
    <w:p w14:paraId="2629B47E" w14:textId="77777777" w:rsidR="00C83EF1" w:rsidRDefault="00C83EF1" w:rsidP="00C83EF1">
      <w:pPr>
        <w:pStyle w:val="StyleCopyrightStatementAfter0ptBottomSinglesolidline1"/>
        <w:jc w:val="right"/>
        <w:rPr>
          <w:rFonts w:ascii="Times New Roman" w:hAnsi="Times New Roman"/>
          <w:i w:val="0"/>
          <w:iCs w:val="0"/>
          <w:color w:val="auto"/>
          <w:sz w:val="22"/>
          <w:szCs w:val="22"/>
          <w:lang w:eastAsia="zh-CN"/>
        </w:rPr>
      </w:pPr>
    </w:p>
    <w:p w14:paraId="15196C6C" w14:textId="77777777" w:rsidR="00931B72" w:rsidRPr="001B5760" w:rsidRDefault="00931B72" w:rsidP="00356EF7">
      <w:pPr>
        <w:pStyle w:val="BodyTextMain"/>
        <w:rPr>
          <w:lang w:eastAsia="zh-CN"/>
        </w:rPr>
      </w:pPr>
    </w:p>
    <w:p w14:paraId="28FE0670" w14:textId="77777777" w:rsidR="003B7EF2" w:rsidRDefault="000C5283" w:rsidP="00356EF7">
      <w:pPr>
        <w:pStyle w:val="BodyTextMain"/>
        <w:jc w:val="right"/>
        <w:rPr>
          <w:lang w:eastAsia="zh-CN"/>
        </w:rPr>
      </w:pPr>
      <w:r w:rsidRPr="001B5760">
        <w:rPr>
          <w:lang w:eastAsia="zh-CN"/>
        </w:rPr>
        <w:t>Fashions fade, style is eternal.</w:t>
      </w:r>
    </w:p>
    <w:p w14:paraId="79F7430E" w14:textId="77777777" w:rsidR="007779F3" w:rsidRPr="001B5760" w:rsidRDefault="007779F3" w:rsidP="00356EF7">
      <w:pPr>
        <w:pStyle w:val="BodyTextMain"/>
        <w:jc w:val="right"/>
        <w:rPr>
          <w:lang w:eastAsia="zh-CN"/>
        </w:rPr>
      </w:pPr>
    </w:p>
    <w:p w14:paraId="3449C729" w14:textId="77777777" w:rsidR="000C5283" w:rsidRPr="001B5760" w:rsidRDefault="00D15C74" w:rsidP="00356EF7">
      <w:pPr>
        <w:pStyle w:val="BodyTextMain"/>
        <w:jc w:val="right"/>
        <w:rPr>
          <w:lang w:eastAsia="zh-CN"/>
        </w:rPr>
      </w:pPr>
      <w:r w:rsidRPr="001B5760">
        <w:rPr>
          <w:lang w:eastAsia="zh-CN"/>
        </w:rPr>
        <w:t>Yves Saint Laurent</w:t>
      </w:r>
    </w:p>
    <w:p w14:paraId="0D6A4CE2" w14:textId="77777777" w:rsidR="003B7EF2" w:rsidRPr="001B5760" w:rsidRDefault="003B7EF2" w:rsidP="00E476DC">
      <w:pPr>
        <w:pStyle w:val="BodyTextMain"/>
      </w:pPr>
    </w:p>
    <w:p w14:paraId="42143D8A" w14:textId="7AC86D07" w:rsidR="00D36237" w:rsidRPr="001B5760" w:rsidRDefault="00FD6778" w:rsidP="00C44F78">
      <w:pPr>
        <w:pStyle w:val="BodyTextMain"/>
      </w:pPr>
      <w:r w:rsidRPr="001B5760">
        <w:rPr>
          <w:lang w:eastAsia="zh-CN"/>
        </w:rPr>
        <w:t>On April 1, 2016,</w:t>
      </w:r>
      <w:r w:rsidR="00611901">
        <w:rPr>
          <w:lang w:eastAsia="zh-CN"/>
        </w:rPr>
        <w:t xml:space="preserve"> fashion house</w:t>
      </w:r>
      <w:r w:rsidRPr="001B5760">
        <w:rPr>
          <w:lang w:eastAsia="zh-CN"/>
        </w:rPr>
        <w:t xml:space="preserve"> Yves Saint Laurent </w:t>
      </w:r>
      <w:r w:rsidR="00611901">
        <w:rPr>
          <w:lang w:eastAsia="zh-CN"/>
        </w:rPr>
        <w:t xml:space="preserve">(YSL) </w:t>
      </w:r>
      <w:r w:rsidRPr="001B5760">
        <w:rPr>
          <w:lang w:eastAsia="zh-CN"/>
        </w:rPr>
        <w:t xml:space="preserve">and </w:t>
      </w:r>
      <w:r w:rsidR="00611901">
        <w:rPr>
          <w:lang w:eastAsia="zh-CN"/>
        </w:rPr>
        <w:t xml:space="preserve">its parent corporation, </w:t>
      </w:r>
      <w:r w:rsidRPr="001B5760">
        <w:rPr>
          <w:lang w:eastAsia="zh-CN"/>
        </w:rPr>
        <w:t xml:space="preserve">the </w:t>
      </w:r>
      <w:proofErr w:type="spellStart"/>
      <w:r w:rsidRPr="001B5760">
        <w:rPr>
          <w:lang w:eastAsia="zh-CN"/>
        </w:rPr>
        <w:t>Kering</w:t>
      </w:r>
      <w:proofErr w:type="spellEnd"/>
      <w:r w:rsidRPr="001B5760">
        <w:rPr>
          <w:lang w:eastAsia="zh-CN"/>
        </w:rPr>
        <w:t xml:space="preserve"> Group</w:t>
      </w:r>
      <w:r w:rsidR="00611901">
        <w:rPr>
          <w:lang w:eastAsia="zh-CN"/>
        </w:rPr>
        <w:t>,</w:t>
      </w:r>
      <w:r w:rsidRPr="001B5760">
        <w:rPr>
          <w:lang w:eastAsia="zh-CN"/>
        </w:rPr>
        <w:t xml:space="preserve"> jointly announced </w:t>
      </w:r>
      <w:r w:rsidR="00943F17" w:rsidRPr="001B5760">
        <w:rPr>
          <w:lang w:eastAsia="zh-CN"/>
        </w:rPr>
        <w:t>the</w:t>
      </w:r>
      <w:r w:rsidR="00662A53" w:rsidRPr="001B5760">
        <w:rPr>
          <w:lang w:eastAsia="zh-CN"/>
        </w:rPr>
        <w:t xml:space="preserve"> departure of </w:t>
      </w:r>
      <w:proofErr w:type="spellStart"/>
      <w:r w:rsidR="00662A53" w:rsidRPr="001B5760">
        <w:rPr>
          <w:lang w:eastAsia="zh-CN"/>
        </w:rPr>
        <w:t>Hedi</w:t>
      </w:r>
      <w:proofErr w:type="spellEnd"/>
      <w:r w:rsidR="00662A53" w:rsidRPr="001B5760">
        <w:rPr>
          <w:lang w:eastAsia="zh-CN"/>
        </w:rPr>
        <w:t xml:space="preserve"> </w:t>
      </w:r>
      <w:proofErr w:type="spellStart"/>
      <w:r w:rsidRPr="001B5760">
        <w:rPr>
          <w:lang w:eastAsia="zh-CN"/>
        </w:rPr>
        <w:t>Slimane</w:t>
      </w:r>
      <w:proofErr w:type="spellEnd"/>
      <w:r w:rsidR="00662A53" w:rsidRPr="001B5760">
        <w:rPr>
          <w:lang w:eastAsia="zh-CN"/>
        </w:rPr>
        <w:t xml:space="preserve">, the creative director who </w:t>
      </w:r>
      <w:r w:rsidR="007B5DE8">
        <w:rPr>
          <w:lang w:eastAsia="zh-CN"/>
        </w:rPr>
        <w:t>had been</w:t>
      </w:r>
      <w:r w:rsidR="007B5DE8" w:rsidRPr="001B5760">
        <w:rPr>
          <w:lang w:eastAsia="zh-CN"/>
        </w:rPr>
        <w:t xml:space="preserve"> </w:t>
      </w:r>
      <w:r w:rsidR="00662A53" w:rsidRPr="001B5760">
        <w:rPr>
          <w:lang w:eastAsia="zh-CN"/>
        </w:rPr>
        <w:t xml:space="preserve">responsible for </w:t>
      </w:r>
      <w:r w:rsidR="00BB0C77" w:rsidRPr="001B5760">
        <w:rPr>
          <w:lang w:eastAsia="zh-CN"/>
        </w:rPr>
        <w:t xml:space="preserve">successfully </w:t>
      </w:r>
      <w:r w:rsidR="00662A53" w:rsidRPr="001B5760">
        <w:rPr>
          <w:lang w:eastAsia="zh-CN"/>
        </w:rPr>
        <w:t>reviv</w:t>
      </w:r>
      <w:r w:rsidR="007B5DE8">
        <w:rPr>
          <w:lang w:eastAsia="zh-CN"/>
        </w:rPr>
        <w:t>ing</w:t>
      </w:r>
      <w:r w:rsidR="00662A53" w:rsidRPr="001B5760">
        <w:rPr>
          <w:lang w:eastAsia="zh-CN"/>
        </w:rPr>
        <w:t xml:space="preserve"> the struggling </w:t>
      </w:r>
      <w:r w:rsidR="00357C54">
        <w:rPr>
          <w:lang w:eastAsia="zh-CN"/>
        </w:rPr>
        <w:t>YSL</w:t>
      </w:r>
      <w:r w:rsidR="00662A53" w:rsidRPr="001B5760">
        <w:rPr>
          <w:lang w:eastAsia="zh-CN"/>
        </w:rPr>
        <w:t xml:space="preserve"> brand since 2012</w:t>
      </w:r>
      <w:r w:rsidRPr="001B5760">
        <w:rPr>
          <w:lang w:eastAsia="zh-CN"/>
        </w:rPr>
        <w:t>.</w:t>
      </w:r>
      <w:r w:rsidR="00E042D2" w:rsidRPr="001B5760">
        <w:rPr>
          <w:rStyle w:val="EndnoteReference"/>
          <w:lang w:eastAsia="zh-CN"/>
        </w:rPr>
        <w:endnoteReference w:id="2"/>
      </w:r>
      <w:r w:rsidRPr="001B5760">
        <w:rPr>
          <w:lang w:eastAsia="zh-CN"/>
        </w:rPr>
        <w:t xml:space="preserve"> </w:t>
      </w:r>
      <w:r w:rsidR="00C44F78" w:rsidRPr="001B5760">
        <w:rPr>
          <w:lang w:eastAsia="zh-CN"/>
        </w:rPr>
        <w:t>Three days after</w:t>
      </w:r>
      <w:r w:rsidR="00A2002C" w:rsidRPr="001B5760">
        <w:rPr>
          <w:lang w:eastAsia="zh-CN"/>
        </w:rPr>
        <w:t xml:space="preserve"> </w:t>
      </w:r>
      <w:proofErr w:type="spellStart"/>
      <w:r w:rsidR="00C44F78" w:rsidRPr="001B5760">
        <w:rPr>
          <w:lang w:eastAsia="zh-CN"/>
        </w:rPr>
        <w:t>Slimane</w:t>
      </w:r>
      <w:r w:rsidR="00357C54">
        <w:rPr>
          <w:lang w:eastAsia="zh-CN"/>
        </w:rPr>
        <w:t>’s</w:t>
      </w:r>
      <w:proofErr w:type="spellEnd"/>
      <w:r w:rsidR="00357C54">
        <w:rPr>
          <w:lang w:eastAsia="zh-CN"/>
        </w:rPr>
        <w:t xml:space="preserve"> </w:t>
      </w:r>
      <w:r w:rsidR="00610119">
        <w:rPr>
          <w:lang w:eastAsia="zh-CN"/>
        </w:rPr>
        <w:t xml:space="preserve">surprising </w:t>
      </w:r>
      <w:r w:rsidR="00357C54">
        <w:rPr>
          <w:lang w:eastAsia="zh-CN"/>
        </w:rPr>
        <w:t>departure</w:t>
      </w:r>
      <w:r w:rsidR="001D765D" w:rsidRPr="001B5760">
        <w:rPr>
          <w:lang w:eastAsia="zh-CN"/>
        </w:rPr>
        <w:t>,</w:t>
      </w:r>
      <w:r w:rsidR="007B1E32" w:rsidRPr="001B5760">
        <w:rPr>
          <w:lang w:eastAsia="zh-CN"/>
        </w:rPr>
        <w:t xml:space="preserve"> </w:t>
      </w:r>
      <w:r w:rsidR="001D765D" w:rsidRPr="001B5760">
        <w:rPr>
          <w:lang w:eastAsia="zh-CN"/>
        </w:rPr>
        <w:t>the brand announced</w:t>
      </w:r>
      <w:r w:rsidR="00357C54">
        <w:rPr>
          <w:lang w:eastAsia="zh-CN"/>
        </w:rPr>
        <w:t xml:space="preserve"> that</w:t>
      </w:r>
      <w:r w:rsidR="001D765D" w:rsidRPr="001B5760">
        <w:rPr>
          <w:lang w:eastAsia="zh-CN"/>
        </w:rPr>
        <w:t xml:space="preserve"> 36</w:t>
      </w:r>
      <w:r w:rsidR="008C037D" w:rsidRPr="001B5760">
        <w:rPr>
          <w:lang w:eastAsia="zh-CN"/>
        </w:rPr>
        <w:t>-</w:t>
      </w:r>
      <w:r w:rsidR="001D765D" w:rsidRPr="001B5760">
        <w:rPr>
          <w:lang w:eastAsia="zh-CN"/>
        </w:rPr>
        <w:t>year-</w:t>
      </w:r>
      <w:r w:rsidR="00722C92" w:rsidRPr="001B5760">
        <w:rPr>
          <w:lang w:eastAsia="zh-CN"/>
        </w:rPr>
        <w:t xml:space="preserve">old </w:t>
      </w:r>
      <w:r w:rsidR="00C44F78" w:rsidRPr="001B5760">
        <w:rPr>
          <w:lang w:eastAsia="zh-CN"/>
        </w:rPr>
        <w:t xml:space="preserve">Anthony </w:t>
      </w:r>
      <w:proofErr w:type="spellStart"/>
      <w:r w:rsidR="00C44F78" w:rsidRPr="001B5760">
        <w:rPr>
          <w:lang w:eastAsia="zh-CN"/>
        </w:rPr>
        <w:t>Vaccarello</w:t>
      </w:r>
      <w:proofErr w:type="spellEnd"/>
      <w:r w:rsidR="00C44F78" w:rsidRPr="001B5760">
        <w:rPr>
          <w:lang w:eastAsia="zh-CN"/>
        </w:rPr>
        <w:t xml:space="preserve"> </w:t>
      </w:r>
      <w:r w:rsidR="00357C54">
        <w:rPr>
          <w:lang w:eastAsia="zh-CN"/>
        </w:rPr>
        <w:t>would be</w:t>
      </w:r>
      <w:r w:rsidR="00357C54" w:rsidRPr="001B5760">
        <w:rPr>
          <w:lang w:eastAsia="zh-CN"/>
        </w:rPr>
        <w:t xml:space="preserve"> </w:t>
      </w:r>
      <w:r w:rsidR="00357C54">
        <w:rPr>
          <w:lang w:eastAsia="zh-CN"/>
        </w:rPr>
        <w:t>its</w:t>
      </w:r>
      <w:r w:rsidR="00C44F78" w:rsidRPr="001B5760">
        <w:rPr>
          <w:lang w:eastAsia="zh-CN"/>
        </w:rPr>
        <w:t xml:space="preserve"> next </w:t>
      </w:r>
      <w:r w:rsidR="00357C54">
        <w:rPr>
          <w:lang w:eastAsia="zh-CN"/>
        </w:rPr>
        <w:t>creative director</w:t>
      </w:r>
      <w:r w:rsidR="00C44F78" w:rsidRPr="001B5760">
        <w:rPr>
          <w:lang w:eastAsia="zh-CN"/>
        </w:rPr>
        <w:t>.</w:t>
      </w:r>
      <w:r w:rsidR="00E042D2" w:rsidRPr="001B5760">
        <w:rPr>
          <w:rStyle w:val="EndnoteReference"/>
          <w:lang w:eastAsia="zh-CN"/>
        </w:rPr>
        <w:endnoteReference w:id="3"/>
      </w:r>
      <w:r w:rsidR="00C44F78" w:rsidRPr="001B5760">
        <w:rPr>
          <w:lang w:eastAsia="zh-CN"/>
        </w:rPr>
        <w:t xml:space="preserve"> </w:t>
      </w:r>
      <w:r w:rsidR="007B1E32" w:rsidRPr="001B5760">
        <w:rPr>
          <w:lang w:eastAsia="zh-CN"/>
        </w:rPr>
        <w:t>After decades of leadership turmoil and financial instability</w:t>
      </w:r>
      <w:r w:rsidR="00357C54">
        <w:rPr>
          <w:lang w:eastAsia="zh-CN"/>
        </w:rPr>
        <w:t xml:space="preserve"> at YSL</w:t>
      </w:r>
      <w:r w:rsidR="007E7515" w:rsidRPr="001B5760">
        <w:rPr>
          <w:lang w:eastAsia="zh-CN"/>
        </w:rPr>
        <w:t xml:space="preserve">, </w:t>
      </w:r>
      <w:proofErr w:type="spellStart"/>
      <w:r w:rsidR="007E7515" w:rsidRPr="001B5760">
        <w:rPr>
          <w:lang w:eastAsia="zh-CN"/>
        </w:rPr>
        <w:t>Vaccarello</w:t>
      </w:r>
      <w:proofErr w:type="spellEnd"/>
      <w:r w:rsidR="007E7515" w:rsidRPr="001B5760">
        <w:rPr>
          <w:lang w:eastAsia="zh-CN"/>
        </w:rPr>
        <w:t xml:space="preserve"> </w:t>
      </w:r>
      <w:r w:rsidR="008C037D" w:rsidRPr="001B5760">
        <w:rPr>
          <w:lang w:eastAsia="zh-CN"/>
        </w:rPr>
        <w:t xml:space="preserve">was </w:t>
      </w:r>
      <w:r w:rsidR="007E7515" w:rsidRPr="001B5760">
        <w:rPr>
          <w:lang w:eastAsia="zh-CN"/>
        </w:rPr>
        <w:t>fac</w:t>
      </w:r>
      <w:r w:rsidR="008C037D" w:rsidRPr="001B5760">
        <w:rPr>
          <w:lang w:eastAsia="zh-CN"/>
        </w:rPr>
        <w:t>ing</w:t>
      </w:r>
      <w:r w:rsidR="007E7515" w:rsidRPr="001B5760">
        <w:rPr>
          <w:lang w:eastAsia="zh-CN"/>
        </w:rPr>
        <w:t xml:space="preserve"> increasing stakeholder pressure to </w:t>
      </w:r>
      <w:r w:rsidR="001D765D" w:rsidRPr="001B5760">
        <w:rPr>
          <w:lang w:eastAsia="zh-CN"/>
        </w:rPr>
        <w:t>build</w:t>
      </w:r>
      <w:r w:rsidR="007E7515" w:rsidRPr="001B5760">
        <w:rPr>
          <w:lang w:eastAsia="zh-CN"/>
        </w:rPr>
        <w:t xml:space="preserve"> off the success that </w:t>
      </w:r>
      <w:proofErr w:type="spellStart"/>
      <w:r w:rsidR="007E7515" w:rsidRPr="001B5760">
        <w:rPr>
          <w:lang w:eastAsia="zh-CN"/>
        </w:rPr>
        <w:t>Slimane</w:t>
      </w:r>
      <w:proofErr w:type="spellEnd"/>
      <w:r w:rsidR="007E7515" w:rsidRPr="001B5760">
        <w:rPr>
          <w:lang w:eastAsia="zh-CN"/>
        </w:rPr>
        <w:t xml:space="preserve"> </w:t>
      </w:r>
      <w:r w:rsidR="008C037D" w:rsidRPr="001B5760">
        <w:rPr>
          <w:lang w:eastAsia="zh-CN"/>
        </w:rPr>
        <w:t xml:space="preserve">had </w:t>
      </w:r>
      <w:r w:rsidR="007E7515" w:rsidRPr="001B5760">
        <w:rPr>
          <w:lang w:eastAsia="zh-CN"/>
        </w:rPr>
        <w:t>achieved</w:t>
      </w:r>
      <w:r w:rsidR="008C037D" w:rsidRPr="001B5760">
        <w:rPr>
          <w:lang w:eastAsia="zh-CN"/>
        </w:rPr>
        <w:t xml:space="preserve"> </w:t>
      </w:r>
      <w:r w:rsidR="00357C54">
        <w:rPr>
          <w:lang w:eastAsia="zh-CN"/>
        </w:rPr>
        <w:t>in just</w:t>
      </w:r>
      <w:r w:rsidR="008D46EE" w:rsidRPr="001B5760">
        <w:rPr>
          <w:lang w:eastAsia="zh-CN"/>
        </w:rPr>
        <w:t xml:space="preserve"> </w:t>
      </w:r>
      <w:r w:rsidR="007E7515" w:rsidRPr="001B5760">
        <w:rPr>
          <w:lang w:eastAsia="zh-CN"/>
        </w:rPr>
        <w:t>three years</w:t>
      </w:r>
      <w:r w:rsidR="001D765D" w:rsidRPr="001B5760">
        <w:rPr>
          <w:lang w:eastAsia="zh-CN"/>
        </w:rPr>
        <w:t xml:space="preserve"> as creative director</w:t>
      </w:r>
      <w:r w:rsidR="008D46EE" w:rsidRPr="001B5760">
        <w:rPr>
          <w:lang w:eastAsia="zh-CN"/>
        </w:rPr>
        <w:t xml:space="preserve">. </w:t>
      </w:r>
      <w:proofErr w:type="spellStart"/>
      <w:r w:rsidR="00C44F78" w:rsidRPr="001B5760">
        <w:t>Vaccarello</w:t>
      </w:r>
      <w:r w:rsidR="003149EE">
        <w:t>’s</w:t>
      </w:r>
      <w:proofErr w:type="spellEnd"/>
      <w:r w:rsidR="00C44F78" w:rsidRPr="001B5760">
        <w:t xml:space="preserve"> first collection</w:t>
      </w:r>
      <w:r w:rsidR="003149EE">
        <w:t xml:space="preserve"> (debuted</w:t>
      </w:r>
      <w:r w:rsidR="00C44F78" w:rsidRPr="001B5760">
        <w:t xml:space="preserve"> during</w:t>
      </w:r>
      <w:r w:rsidR="008D46EE" w:rsidRPr="001B5760">
        <w:t xml:space="preserve"> the</w:t>
      </w:r>
      <w:r w:rsidR="00C44F78" w:rsidRPr="001B5760">
        <w:t xml:space="preserve"> Paris Spring</w:t>
      </w:r>
      <w:r w:rsidR="003149EE">
        <w:t>/</w:t>
      </w:r>
      <w:r w:rsidR="00C44F78" w:rsidRPr="001B5760">
        <w:t>Summer 2017 Fashion Week in September</w:t>
      </w:r>
      <w:r w:rsidR="008D46EE" w:rsidRPr="001B5760">
        <w:t xml:space="preserve"> 2016</w:t>
      </w:r>
      <w:r w:rsidR="003149EE">
        <w:t>)</w:t>
      </w:r>
      <w:r w:rsidR="00C44F78" w:rsidRPr="001B5760">
        <w:t xml:space="preserve"> </w:t>
      </w:r>
      <w:r w:rsidR="003149EE">
        <w:t xml:space="preserve">received </w:t>
      </w:r>
      <w:r w:rsidR="00DA59A9" w:rsidRPr="001B5760">
        <w:t>mixed reviews from critics and shoppers</w:t>
      </w:r>
      <w:r w:rsidR="003149EE">
        <w:t>, raising</w:t>
      </w:r>
      <w:r w:rsidR="00D36237" w:rsidRPr="001B5760">
        <w:t xml:space="preserve"> questions about the brand</w:t>
      </w:r>
      <w:r w:rsidR="00472B46" w:rsidRPr="001B5760">
        <w:t>’</w:t>
      </w:r>
      <w:r w:rsidR="00D36237" w:rsidRPr="001B5760">
        <w:t>s future.</w:t>
      </w:r>
      <w:r w:rsidR="002E28A8" w:rsidRPr="001B5760">
        <w:rPr>
          <w:rStyle w:val="EndnoteReference"/>
        </w:rPr>
        <w:endnoteReference w:id="4"/>
      </w:r>
      <w:r w:rsidR="00C44F78" w:rsidRPr="001B5760">
        <w:t xml:space="preserve"> </w:t>
      </w:r>
      <w:r w:rsidR="003149EE">
        <w:t>The</w:t>
      </w:r>
      <w:r w:rsidR="008A5BB1" w:rsidRPr="001B5760">
        <w:t xml:space="preserve"> global luxury fashion industry ha</w:t>
      </w:r>
      <w:r w:rsidR="00D61B1B" w:rsidRPr="001B5760">
        <w:t>d</w:t>
      </w:r>
      <w:r w:rsidR="008A5BB1" w:rsidRPr="001B5760">
        <w:t xml:space="preserve"> become increasingly competitive</w:t>
      </w:r>
      <w:r w:rsidR="003149EE">
        <w:t>,</w:t>
      </w:r>
      <w:r w:rsidR="008A5BB1" w:rsidRPr="001B5760">
        <w:t xml:space="preserve"> with over 20 </w:t>
      </w:r>
      <w:r w:rsidR="004A6197">
        <w:t xml:space="preserve">top and other numerous </w:t>
      </w:r>
      <w:r w:rsidR="008A5BB1" w:rsidRPr="001B5760">
        <w:t>brands competing for the industry</w:t>
      </w:r>
      <w:r w:rsidR="00472B46" w:rsidRPr="001B5760">
        <w:t>’</w:t>
      </w:r>
      <w:r w:rsidR="008A5BB1" w:rsidRPr="001B5760">
        <w:t xml:space="preserve">s estimated value of </w:t>
      </w:r>
      <w:r w:rsidR="008A5BB1" w:rsidRPr="001B5760">
        <w:rPr>
          <w:iCs/>
        </w:rPr>
        <w:t>€</w:t>
      </w:r>
      <w:r w:rsidR="008A5BB1" w:rsidRPr="001B5760">
        <w:t>265 billion</w:t>
      </w:r>
      <w:r w:rsidR="003149EE">
        <w:t xml:space="preserve"> in 2017.</w:t>
      </w:r>
      <w:r w:rsidR="001825D4" w:rsidRPr="001B5760">
        <w:rPr>
          <w:rStyle w:val="EndnoteReference"/>
        </w:rPr>
        <w:endnoteReference w:id="5"/>
      </w:r>
      <w:r w:rsidR="003149EE">
        <w:t xml:space="preserve"> H</w:t>
      </w:r>
      <w:r w:rsidR="007A510E" w:rsidRPr="001B5760">
        <w:t>ad</w:t>
      </w:r>
      <w:r w:rsidR="00DA59A9" w:rsidRPr="001B5760">
        <w:t xml:space="preserve"> </w:t>
      </w:r>
      <w:r w:rsidR="003149EE">
        <w:t>YSL</w:t>
      </w:r>
      <w:r w:rsidR="00D36237" w:rsidRPr="001B5760">
        <w:t xml:space="preserve"> ma</w:t>
      </w:r>
      <w:r w:rsidR="007A510E" w:rsidRPr="001B5760">
        <w:t>d</w:t>
      </w:r>
      <w:r w:rsidR="00D36237" w:rsidRPr="001B5760">
        <w:t xml:space="preserve">e </w:t>
      </w:r>
      <w:r w:rsidR="00125CB2" w:rsidRPr="001B5760">
        <w:t>the right</w:t>
      </w:r>
      <w:r w:rsidR="00D36237" w:rsidRPr="001B5760">
        <w:t xml:space="preserve"> decision</w:t>
      </w:r>
      <w:r w:rsidR="003149EE">
        <w:t xml:space="preserve"> in</w:t>
      </w:r>
      <w:r w:rsidR="00D36237" w:rsidRPr="001B5760">
        <w:t xml:space="preserve"> selecting </w:t>
      </w:r>
      <w:proofErr w:type="spellStart"/>
      <w:r w:rsidR="004E4554" w:rsidRPr="001B5760">
        <w:t>Vaccarello</w:t>
      </w:r>
      <w:proofErr w:type="spellEnd"/>
      <w:r w:rsidR="004E4554" w:rsidRPr="001B5760">
        <w:t xml:space="preserve"> to lead the company?</w:t>
      </w:r>
      <w:r w:rsidR="00125CB2" w:rsidRPr="001B5760">
        <w:t xml:space="preserve"> To</w:t>
      </w:r>
      <w:r w:rsidR="00913134">
        <w:t xml:space="preserve"> help YSL</w:t>
      </w:r>
      <w:r w:rsidR="00125CB2" w:rsidRPr="001B5760">
        <w:t xml:space="preserve"> remain one of the top brands in the fashion industry,</w:t>
      </w:r>
      <w:r w:rsidR="004E4554" w:rsidRPr="001B5760">
        <w:t xml:space="preserve"> </w:t>
      </w:r>
      <w:r w:rsidR="00125CB2" w:rsidRPr="001B5760">
        <w:t>s</w:t>
      </w:r>
      <w:r w:rsidR="007A510E" w:rsidRPr="001B5760">
        <w:t>hould</w:t>
      </w:r>
      <w:r w:rsidR="00D36237" w:rsidRPr="001B5760">
        <w:rPr>
          <w:lang w:eastAsia="zh-CN"/>
        </w:rPr>
        <w:t xml:space="preserve"> </w:t>
      </w:r>
      <w:proofErr w:type="spellStart"/>
      <w:r w:rsidR="004B1C84" w:rsidRPr="001B5760">
        <w:t>Vaccarello</w:t>
      </w:r>
      <w:proofErr w:type="spellEnd"/>
      <w:r w:rsidR="004B1C84" w:rsidRPr="001B5760">
        <w:rPr>
          <w:lang w:eastAsia="zh-CN"/>
        </w:rPr>
        <w:t xml:space="preserve"> implement </w:t>
      </w:r>
      <w:r w:rsidR="003149EE">
        <w:rPr>
          <w:lang w:eastAsia="zh-CN"/>
        </w:rPr>
        <w:t>a strategy</w:t>
      </w:r>
      <w:r w:rsidR="00D36237" w:rsidRPr="001B5760">
        <w:rPr>
          <w:lang w:eastAsia="zh-CN"/>
        </w:rPr>
        <w:t xml:space="preserve"> </w:t>
      </w:r>
      <w:r w:rsidR="004B1C84" w:rsidRPr="001B5760">
        <w:rPr>
          <w:lang w:eastAsia="zh-CN"/>
        </w:rPr>
        <w:t xml:space="preserve">that built upon </w:t>
      </w:r>
      <w:r w:rsidR="00D36237" w:rsidRPr="001B5760">
        <w:t xml:space="preserve">the successful foundation </w:t>
      </w:r>
      <w:r w:rsidR="003149EE">
        <w:t xml:space="preserve">created by </w:t>
      </w:r>
      <w:proofErr w:type="spellStart"/>
      <w:r w:rsidR="00D36237" w:rsidRPr="001B5760">
        <w:t>Slimane</w:t>
      </w:r>
      <w:proofErr w:type="spellEnd"/>
      <w:r w:rsidR="00D36237" w:rsidRPr="001B5760">
        <w:t xml:space="preserve">, or </w:t>
      </w:r>
      <w:r w:rsidR="004B1C84" w:rsidRPr="001B5760">
        <w:t>should he</w:t>
      </w:r>
      <w:r w:rsidR="00D36237" w:rsidRPr="001B5760">
        <w:t xml:space="preserve"> develop new strategies going forward?</w:t>
      </w:r>
    </w:p>
    <w:p w14:paraId="1D899CE5" w14:textId="77777777" w:rsidR="0055237C" w:rsidRPr="001B5760" w:rsidRDefault="0055237C" w:rsidP="00C44F78">
      <w:pPr>
        <w:pStyle w:val="BodyTextMain"/>
      </w:pPr>
    </w:p>
    <w:p w14:paraId="4354B4CA" w14:textId="77777777" w:rsidR="008D46EE" w:rsidRPr="001B5760" w:rsidRDefault="008D46EE" w:rsidP="006B7F7A">
      <w:pPr>
        <w:pStyle w:val="BodyTextMain"/>
        <w:rPr>
          <w:lang w:eastAsia="zh-CN"/>
        </w:rPr>
      </w:pPr>
    </w:p>
    <w:p w14:paraId="23A87AAF" w14:textId="3BDE200F" w:rsidR="00DF1F7C" w:rsidRPr="001B5760" w:rsidRDefault="00B97CEB" w:rsidP="00357C54">
      <w:pPr>
        <w:pStyle w:val="Casehead1"/>
        <w:outlineLvl w:val="0"/>
        <w:rPr>
          <w:rFonts w:cs="Times New Roman"/>
        </w:rPr>
      </w:pPr>
      <w:r w:rsidRPr="001B5760">
        <w:rPr>
          <w:rFonts w:cs="Times New Roman"/>
          <w:lang w:eastAsia="zh-CN"/>
        </w:rPr>
        <w:t>The Inspiration behind</w:t>
      </w:r>
      <w:r w:rsidR="00DF1F7C" w:rsidRPr="001B5760">
        <w:t xml:space="preserve"> </w:t>
      </w:r>
      <w:r w:rsidR="003149EE">
        <w:t>YSL</w:t>
      </w:r>
      <w:r w:rsidR="00DF1F7C" w:rsidRPr="001B5760">
        <w:t xml:space="preserve"> </w:t>
      </w:r>
    </w:p>
    <w:p w14:paraId="11774220" w14:textId="77777777" w:rsidR="00DF1F7C" w:rsidRPr="001B5760" w:rsidRDefault="00DF1F7C" w:rsidP="00DF1F7C">
      <w:pPr>
        <w:pStyle w:val="BodyTextMain"/>
        <w:rPr>
          <w:lang w:eastAsia="zh-CN"/>
        </w:rPr>
      </w:pPr>
    </w:p>
    <w:p w14:paraId="27308218" w14:textId="032C4CBC" w:rsidR="00DF1F7C" w:rsidRDefault="00CA56F5" w:rsidP="00DF1F7C">
      <w:pPr>
        <w:pStyle w:val="BodyTextMain"/>
      </w:pPr>
      <w:r w:rsidRPr="001B5760">
        <w:t>B</w:t>
      </w:r>
      <w:r w:rsidR="00DF1F7C" w:rsidRPr="001B5760">
        <w:t xml:space="preserve">orn </w:t>
      </w:r>
      <w:r w:rsidR="00CF7C79" w:rsidRPr="001B5760">
        <w:t>in Oran</w:t>
      </w:r>
      <w:r w:rsidR="003149EE">
        <w:t xml:space="preserve">, </w:t>
      </w:r>
      <w:r w:rsidR="00F60162">
        <w:t xml:space="preserve">French </w:t>
      </w:r>
      <w:r w:rsidR="003149EE">
        <w:t>Algeria</w:t>
      </w:r>
      <w:r w:rsidR="00E777B7">
        <w:t>,</w:t>
      </w:r>
      <w:r w:rsidR="00A75CE1" w:rsidRPr="001B5760">
        <w:rPr>
          <w:rStyle w:val="EndnoteReference"/>
        </w:rPr>
        <w:endnoteReference w:id="6"/>
      </w:r>
      <w:r w:rsidR="00CF7C79" w:rsidRPr="001B5760">
        <w:t xml:space="preserve"> in </w:t>
      </w:r>
      <w:r w:rsidR="00DF1F7C" w:rsidRPr="001B5760">
        <w:t>1936</w:t>
      </w:r>
      <w:r w:rsidR="009E2E8F" w:rsidRPr="001B5760">
        <w:t xml:space="preserve">, </w:t>
      </w:r>
      <w:r w:rsidRPr="001B5760">
        <w:t xml:space="preserve">Yves </w:t>
      </w:r>
      <w:r w:rsidR="00B827CC" w:rsidRPr="001B5760">
        <w:t xml:space="preserve">Henri </w:t>
      </w:r>
      <w:proofErr w:type="spellStart"/>
      <w:r w:rsidR="00B827CC" w:rsidRPr="001B5760">
        <w:t>Donat</w:t>
      </w:r>
      <w:proofErr w:type="spellEnd"/>
      <w:r w:rsidR="00B827CC" w:rsidRPr="001B5760">
        <w:t xml:space="preserve"> Mathieu-Saint-</w:t>
      </w:r>
      <w:r w:rsidRPr="001B5760">
        <w:t xml:space="preserve">Laurent </w:t>
      </w:r>
      <w:r w:rsidR="003149EE">
        <w:t xml:space="preserve">(Saint Laurent) </w:t>
      </w:r>
      <w:r w:rsidR="00E95ED6" w:rsidRPr="001B5760">
        <w:t>spent his youth</w:t>
      </w:r>
      <w:r w:rsidR="00372B99" w:rsidRPr="001B5760">
        <w:t xml:space="preserve"> studying fashion and </w:t>
      </w:r>
      <w:r w:rsidR="005659EC" w:rsidRPr="001B5760">
        <w:t>designing dresses for his mother and sisters</w:t>
      </w:r>
      <w:r w:rsidR="00E95ED6" w:rsidRPr="001B5760">
        <w:t>.</w:t>
      </w:r>
      <w:r w:rsidR="00DF1F7C" w:rsidRPr="001B5760">
        <w:t xml:space="preserve"> </w:t>
      </w:r>
      <w:r w:rsidR="000973C1" w:rsidRPr="001B5760">
        <w:t xml:space="preserve">In 1953, </w:t>
      </w:r>
      <w:r w:rsidR="005659EC" w:rsidRPr="001B5760">
        <w:t>at the age of</w:t>
      </w:r>
      <w:r w:rsidR="00E95ED6" w:rsidRPr="001B5760">
        <w:t xml:space="preserve"> </w:t>
      </w:r>
      <w:r w:rsidR="00DF1F7C" w:rsidRPr="001B5760">
        <w:t>17</w:t>
      </w:r>
      <w:r w:rsidR="00E95ED6" w:rsidRPr="001B5760">
        <w:t xml:space="preserve">, </w:t>
      </w:r>
      <w:r w:rsidR="00C01E88" w:rsidRPr="001B5760">
        <w:t xml:space="preserve">he </w:t>
      </w:r>
      <w:r w:rsidR="00DF1F7C" w:rsidRPr="001B5760">
        <w:t>won</w:t>
      </w:r>
      <w:r w:rsidR="00E95ED6" w:rsidRPr="001B5760">
        <w:t xml:space="preserve"> first prize </w:t>
      </w:r>
      <w:r w:rsidR="005659EC" w:rsidRPr="001B5760">
        <w:t xml:space="preserve">at </w:t>
      </w:r>
      <w:r w:rsidR="00DF1F7C" w:rsidRPr="001B5760">
        <w:t>the</w:t>
      </w:r>
      <w:r w:rsidR="00E95ED6" w:rsidRPr="001B5760">
        <w:t xml:space="preserve"> </w:t>
      </w:r>
      <w:r w:rsidR="00DF1F7C" w:rsidRPr="001B5760">
        <w:t xml:space="preserve">International Wool Secretariat </w:t>
      </w:r>
      <w:r w:rsidR="00E95ED6" w:rsidRPr="001B5760">
        <w:t>C</w:t>
      </w:r>
      <w:r w:rsidR="00DF1F7C" w:rsidRPr="001B5760">
        <w:t>ontest</w:t>
      </w:r>
      <w:r w:rsidR="003149EE">
        <w:t xml:space="preserve"> in Paris</w:t>
      </w:r>
      <w:r w:rsidR="00372B99" w:rsidRPr="001B5760">
        <w:t xml:space="preserve">, sparking a lifelong </w:t>
      </w:r>
      <w:r w:rsidR="008523C8" w:rsidRPr="001B5760">
        <w:t xml:space="preserve">fashion </w:t>
      </w:r>
      <w:r w:rsidR="00372B99" w:rsidRPr="001B5760">
        <w:t>career.</w:t>
      </w:r>
      <w:r w:rsidR="00722C92" w:rsidRPr="001B5760">
        <w:rPr>
          <w:rStyle w:val="EndnoteReference"/>
        </w:rPr>
        <w:endnoteReference w:id="7"/>
      </w:r>
      <w:r w:rsidR="00DF1F7C" w:rsidRPr="001B5760">
        <w:t xml:space="preserve"> </w:t>
      </w:r>
      <w:r w:rsidR="005659EC" w:rsidRPr="001B5760">
        <w:t xml:space="preserve">Arriving in </w:t>
      </w:r>
      <w:r w:rsidR="00E95ED6" w:rsidRPr="001B5760">
        <w:t xml:space="preserve">Paris to </w:t>
      </w:r>
      <w:r w:rsidR="0016787E" w:rsidRPr="001B5760">
        <w:t xml:space="preserve">receive </w:t>
      </w:r>
      <w:r w:rsidR="005659EC" w:rsidRPr="001B5760">
        <w:t xml:space="preserve">his </w:t>
      </w:r>
      <w:r w:rsidR="00E95ED6" w:rsidRPr="001B5760">
        <w:t>prize</w:t>
      </w:r>
      <w:r w:rsidR="005659EC" w:rsidRPr="001B5760">
        <w:t xml:space="preserve">, </w:t>
      </w:r>
      <w:r w:rsidR="00B827CC" w:rsidRPr="001B5760">
        <w:t xml:space="preserve">Saint </w:t>
      </w:r>
      <w:r w:rsidR="005659EC" w:rsidRPr="001B5760">
        <w:t>Laurent</w:t>
      </w:r>
      <w:r w:rsidR="00E95ED6" w:rsidRPr="001B5760">
        <w:t xml:space="preserve"> </w:t>
      </w:r>
      <w:r w:rsidR="00DF1F7C" w:rsidRPr="001B5760">
        <w:t>met</w:t>
      </w:r>
      <w:r w:rsidR="00E95ED6" w:rsidRPr="001B5760">
        <w:t xml:space="preserve"> </w:t>
      </w:r>
      <w:r w:rsidR="00DF1F7C" w:rsidRPr="001B5760">
        <w:t xml:space="preserve">Michel de </w:t>
      </w:r>
      <w:proofErr w:type="spellStart"/>
      <w:r w:rsidR="00DF1F7C" w:rsidRPr="001B5760">
        <w:t>Brunhoff</w:t>
      </w:r>
      <w:proofErr w:type="spellEnd"/>
      <w:r w:rsidR="00DF1F7C" w:rsidRPr="001B5760">
        <w:t xml:space="preserve">, president of the </w:t>
      </w:r>
      <w:r w:rsidR="005217D2" w:rsidRPr="001B5760">
        <w:t xml:space="preserve">International Wool Secretariat Contest </w:t>
      </w:r>
      <w:r w:rsidR="00E95ED6" w:rsidRPr="001B5760">
        <w:t>and</w:t>
      </w:r>
      <w:r w:rsidR="00DF1F7C" w:rsidRPr="001B5760">
        <w:t xml:space="preserve"> director of French </w:t>
      </w:r>
      <w:r w:rsidR="00DF1F7C" w:rsidRPr="001B5760">
        <w:rPr>
          <w:i/>
        </w:rPr>
        <w:t>Vogue</w:t>
      </w:r>
      <w:r w:rsidR="003149EE">
        <w:t>.</w:t>
      </w:r>
      <w:r w:rsidR="005659EC" w:rsidRPr="001B5760">
        <w:t xml:space="preserve"> </w:t>
      </w:r>
      <w:proofErr w:type="spellStart"/>
      <w:r w:rsidR="003149EE">
        <w:t>Brunhoff</w:t>
      </w:r>
      <w:proofErr w:type="spellEnd"/>
      <w:r w:rsidR="008523C8" w:rsidRPr="001B5760">
        <w:t xml:space="preserve"> </w:t>
      </w:r>
      <w:r w:rsidR="005659EC" w:rsidRPr="001B5760">
        <w:t xml:space="preserve">immediately recognized </w:t>
      </w:r>
      <w:r w:rsidR="001A4C89">
        <w:t>Saint Laurent’s</w:t>
      </w:r>
      <w:r w:rsidR="00191D82" w:rsidRPr="001B5760">
        <w:t xml:space="preserve"> </w:t>
      </w:r>
      <w:r w:rsidR="00DF1F7C" w:rsidRPr="001B5760">
        <w:t>talent</w:t>
      </w:r>
      <w:r w:rsidR="001A4C89">
        <w:t xml:space="preserve"> for </w:t>
      </w:r>
      <w:r w:rsidR="001A4C89" w:rsidRPr="0078372B">
        <w:rPr>
          <w:i/>
        </w:rPr>
        <w:t>haute couture</w:t>
      </w:r>
      <w:r w:rsidR="001A4C89">
        <w:t xml:space="preserve"> (literally translated to mean </w:t>
      </w:r>
      <w:r w:rsidR="001A4C89" w:rsidRPr="001B5760">
        <w:t>“</w:t>
      </w:r>
      <w:r w:rsidR="001A4C89">
        <w:t>high dressmaking</w:t>
      </w:r>
      <w:r w:rsidR="001A4C89" w:rsidRPr="001B5760">
        <w:t>”</w:t>
      </w:r>
      <w:r w:rsidR="001A4C89">
        <w:t>)</w:t>
      </w:r>
      <w:r w:rsidR="007B1E32" w:rsidRPr="001B5760">
        <w:t>.</w:t>
      </w:r>
      <w:r w:rsidR="00923C67" w:rsidRPr="001B5760">
        <w:rPr>
          <w:rStyle w:val="EndnoteReference"/>
        </w:rPr>
        <w:endnoteReference w:id="8"/>
      </w:r>
      <w:r w:rsidR="00DF1F7C" w:rsidRPr="001B5760">
        <w:t xml:space="preserve"> </w:t>
      </w:r>
      <w:r w:rsidR="00CF7C79" w:rsidRPr="001B5760">
        <w:t xml:space="preserve">While </w:t>
      </w:r>
      <w:r w:rsidR="00B827CC" w:rsidRPr="001B5760">
        <w:t xml:space="preserve">Saint </w:t>
      </w:r>
      <w:r w:rsidR="00CF7C79" w:rsidRPr="001B5760">
        <w:t xml:space="preserve">Laurent continued school, </w:t>
      </w:r>
      <w:proofErr w:type="spellStart"/>
      <w:r w:rsidR="00DF1F7C" w:rsidRPr="001B5760">
        <w:t>Brunhoff</w:t>
      </w:r>
      <w:proofErr w:type="spellEnd"/>
      <w:r w:rsidR="00DF1F7C" w:rsidRPr="001B5760">
        <w:t xml:space="preserve"> </w:t>
      </w:r>
      <w:r w:rsidR="00117E89" w:rsidRPr="001B5760">
        <w:t>published</w:t>
      </w:r>
      <w:r w:rsidR="00DF1F7C" w:rsidRPr="001B5760">
        <w:t xml:space="preserve"> </w:t>
      </w:r>
      <w:r w:rsidR="001A4C89">
        <w:t>the student’s</w:t>
      </w:r>
      <w:r w:rsidR="001A4C89" w:rsidRPr="001B5760">
        <w:t xml:space="preserve"> </w:t>
      </w:r>
      <w:r w:rsidR="00DF1F7C" w:rsidRPr="001B5760">
        <w:t>drawing</w:t>
      </w:r>
      <w:r w:rsidR="00E95ED6" w:rsidRPr="001B5760">
        <w:t>s</w:t>
      </w:r>
      <w:r w:rsidR="00DF1F7C" w:rsidRPr="001B5760">
        <w:t xml:space="preserve"> </w:t>
      </w:r>
      <w:r w:rsidR="00671685" w:rsidRPr="001B5760">
        <w:t xml:space="preserve">and designs in </w:t>
      </w:r>
      <w:r w:rsidR="00671685" w:rsidRPr="001B5760">
        <w:rPr>
          <w:i/>
        </w:rPr>
        <w:t xml:space="preserve">Vogue </w:t>
      </w:r>
      <w:r w:rsidR="005217D2" w:rsidRPr="001B5760">
        <w:t xml:space="preserve">magazine, </w:t>
      </w:r>
      <w:r w:rsidR="00671685" w:rsidRPr="001B5760">
        <w:t xml:space="preserve">receiving strong support from </w:t>
      </w:r>
      <w:r w:rsidR="00671685" w:rsidRPr="001B5760">
        <w:lastRenderedPageBreak/>
        <w:t>readers</w:t>
      </w:r>
      <w:r w:rsidR="00DF1F7C" w:rsidRPr="001B5760">
        <w:t xml:space="preserve">. </w:t>
      </w:r>
      <w:r w:rsidR="008523C8" w:rsidRPr="001B5760">
        <w:t>Upon g</w:t>
      </w:r>
      <w:r w:rsidR="008B2B91" w:rsidRPr="001B5760">
        <w:t xml:space="preserve">raduating </w:t>
      </w:r>
      <w:r w:rsidR="00DF1F7C" w:rsidRPr="001B5760">
        <w:t xml:space="preserve">high school, </w:t>
      </w:r>
      <w:r w:rsidR="00B827CC" w:rsidRPr="001B5760">
        <w:t xml:space="preserve">Saint </w:t>
      </w:r>
      <w:r w:rsidR="00DF1F7C" w:rsidRPr="001B5760">
        <w:t xml:space="preserve">Laurent </w:t>
      </w:r>
      <w:r w:rsidR="00C36FF9" w:rsidRPr="001B5760">
        <w:t>returned</w:t>
      </w:r>
      <w:r w:rsidR="00DF1F7C" w:rsidRPr="001B5760">
        <w:t xml:space="preserve"> to Paris to </w:t>
      </w:r>
      <w:r w:rsidR="00C36FF9" w:rsidRPr="001B5760">
        <w:t>enro</w:t>
      </w:r>
      <w:r w:rsidR="00D42D93" w:rsidRPr="001B5760">
        <w:t>l</w:t>
      </w:r>
      <w:r w:rsidR="00C36FF9" w:rsidRPr="001B5760">
        <w:t xml:space="preserve"> at</w:t>
      </w:r>
      <w:r w:rsidR="001A4C89">
        <w:t xml:space="preserve"> the prestigious</w:t>
      </w:r>
      <w:r w:rsidR="00C36FF9" w:rsidRPr="001B5760">
        <w:t xml:space="preserve"> </w:t>
      </w:r>
      <w:proofErr w:type="spellStart"/>
      <w:r w:rsidR="00B827CC" w:rsidRPr="001B5760">
        <w:t>École</w:t>
      </w:r>
      <w:proofErr w:type="spellEnd"/>
      <w:r w:rsidR="00B827CC" w:rsidRPr="001B5760">
        <w:t xml:space="preserve"> de la </w:t>
      </w:r>
      <w:proofErr w:type="spellStart"/>
      <w:r w:rsidR="00DF1F7C" w:rsidRPr="001B5760">
        <w:t>Chambre</w:t>
      </w:r>
      <w:proofErr w:type="spellEnd"/>
      <w:r w:rsidR="00DF1F7C" w:rsidRPr="001B5760">
        <w:t xml:space="preserve"> </w:t>
      </w:r>
      <w:proofErr w:type="spellStart"/>
      <w:r w:rsidR="00DF1F7C" w:rsidRPr="001B5760">
        <w:t>Syndicale</w:t>
      </w:r>
      <w:proofErr w:type="spellEnd"/>
      <w:r w:rsidR="00DF1F7C" w:rsidRPr="001B5760">
        <w:t xml:space="preserve"> de la Couture </w:t>
      </w:r>
      <w:proofErr w:type="spellStart"/>
      <w:r w:rsidR="00DF1F7C" w:rsidRPr="001B5760">
        <w:t>Parisienne</w:t>
      </w:r>
      <w:proofErr w:type="spellEnd"/>
      <w:r w:rsidR="00C36FF9" w:rsidRPr="001B5760">
        <w:t xml:space="preserve"> to continue study</w:t>
      </w:r>
      <w:r w:rsidR="008523C8" w:rsidRPr="001B5760">
        <w:t>ing</w:t>
      </w:r>
      <w:r w:rsidR="00C36FF9" w:rsidRPr="001B5760">
        <w:t xml:space="preserve"> high-end dressmaking.</w:t>
      </w:r>
      <w:r w:rsidR="006E17A3" w:rsidRPr="001B5760">
        <w:rPr>
          <w:rStyle w:val="EndnoteReference"/>
        </w:rPr>
        <w:endnoteReference w:id="9"/>
      </w:r>
      <w:r w:rsidR="00DF1F7C" w:rsidRPr="001B5760">
        <w:t xml:space="preserve"> </w:t>
      </w:r>
    </w:p>
    <w:p w14:paraId="25EEBA51" w14:textId="77777777" w:rsidR="001A4C89" w:rsidRPr="001B5760" w:rsidRDefault="001A4C89" w:rsidP="00DF1F7C">
      <w:pPr>
        <w:pStyle w:val="BodyTextMain"/>
      </w:pPr>
    </w:p>
    <w:p w14:paraId="0AFB9C9A" w14:textId="54E08F31" w:rsidR="00DF1F7C" w:rsidRPr="001B5760" w:rsidRDefault="00CC4E90" w:rsidP="00DF1F7C">
      <w:pPr>
        <w:pStyle w:val="BodyTextMain"/>
      </w:pPr>
      <w:r>
        <w:t>H</w:t>
      </w:r>
      <w:r w:rsidR="00171FAC" w:rsidRPr="001B5760">
        <w:t>aute couture originated in</w:t>
      </w:r>
      <w:r>
        <w:t xml:space="preserve"> 19th-century </w:t>
      </w:r>
      <w:r w:rsidR="00171FAC" w:rsidRPr="001B5760">
        <w:t xml:space="preserve">Paris, </w:t>
      </w:r>
      <w:r>
        <w:t xml:space="preserve">and grew to become an industry that </w:t>
      </w:r>
      <w:r w:rsidR="00171FAC" w:rsidRPr="001B5760">
        <w:t xml:space="preserve">comprised works from influential </w:t>
      </w:r>
      <w:r w:rsidR="001B014C">
        <w:t>brands</w:t>
      </w:r>
      <w:r w:rsidR="001B014C" w:rsidRPr="001B5760">
        <w:t xml:space="preserve"> </w:t>
      </w:r>
      <w:r w:rsidR="00171FAC" w:rsidRPr="001B5760">
        <w:t>like Givenchy, Balenciaga, Chanel, and Dior.</w:t>
      </w:r>
      <w:r w:rsidR="00171FAC" w:rsidRPr="001B5760">
        <w:rPr>
          <w:rStyle w:val="EndnoteReference"/>
        </w:rPr>
        <w:endnoteReference w:id="10"/>
      </w:r>
      <w:r w:rsidR="00171FAC" w:rsidRPr="001B5760">
        <w:t xml:space="preserve"> </w:t>
      </w:r>
      <w:r w:rsidR="009E1750">
        <w:t>H</w:t>
      </w:r>
      <w:r w:rsidR="00171FAC" w:rsidRPr="001B5760">
        <w:t xml:space="preserve">aute couture </w:t>
      </w:r>
      <w:r w:rsidR="00A903F6">
        <w:t>wa</w:t>
      </w:r>
      <w:r w:rsidR="00171FAC" w:rsidRPr="001B5760">
        <w:t xml:space="preserve">s </w:t>
      </w:r>
      <w:r w:rsidR="00AA2A7B" w:rsidRPr="001B5760">
        <w:t xml:space="preserve">marketed to </w:t>
      </w:r>
      <w:r w:rsidR="00610119">
        <w:t xml:space="preserve">a </w:t>
      </w:r>
      <w:r w:rsidR="00AA2A7B" w:rsidRPr="001B5760">
        <w:t>wealthy</w:t>
      </w:r>
      <w:r w:rsidR="00610119">
        <w:t>, elite clientele</w:t>
      </w:r>
      <w:r w:rsidR="00AA2A7B" w:rsidRPr="001B5760">
        <w:t xml:space="preserve"> as </w:t>
      </w:r>
      <w:r w:rsidR="00171FAC" w:rsidRPr="001B5760">
        <w:t xml:space="preserve">the highest form of fashion, </w:t>
      </w:r>
      <w:r>
        <w:t xml:space="preserve">offering </w:t>
      </w:r>
      <w:r w:rsidR="00171FAC" w:rsidRPr="001B5760">
        <w:t>luxurious hand</w:t>
      </w:r>
      <w:r>
        <w:t>-</w:t>
      </w:r>
      <w:r w:rsidR="00171FAC" w:rsidRPr="001B5760">
        <w:t xml:space="preserve">designed, </w:t>
      </w:r>
      <w:r>
        <w:t>hand-</w:t>
      </w:r>
      <w:r w:rsidR="00171FAC" w:rsidRPr="001B5760">
        <w:t>sewn clothing</w:t>
      </w:r>
      <w:r w:rsidR="00AA2A7B" w:rsidRPr="001B5760">
        <w:t>,</w:t>
      </w:r>
      <w:r w:rsidR="00171FAC" w:rsidRPr="001B5760">
        <w:t xml:space="preserve"> using the </w:t>
      </w:r>
      <w:r w:rsidR="00AA2A7B" w:rsidRPr="001B5760">
        <w:t xml:space="preserve">most </w:t>
      </w:r>
      <w:r w:rsidR="00171FAC" w:rsidRPr="001B5760">
        <w:t>expensive fabric</w:t>
      </w:r>
      <w:r>
        <w:t>s</w:t>
      </w:r>
      <w:r w:rsidR="00171FAC" w:rsidRPr="001B5760">
        <w:t xml:space="preserve"> of the highest quality</w:t>
      </w:r>
      <w:r>
        <w:t>.</w:t>
      </w:r>
      <w:r w:rsidR="00171FAC" w:rsidRPr="001B5760">
        <w:rPr>
          <w:rStyle w:val="EndnoteReference"/>
        </w:rPr>
        <w:endnoteReference w:id="11"/>
      </w:r>
      <w:r w:rsidR="00171FAC" w:rsidRPr="001B5760">
        <w:t xml:space="preserve"> As time passed, the industry grew in fashion markets around the world, with haute couture designs becoming references for new fashion trends.</w:t>
      </w:r>
      <w:r w:rsidR="00171FAC" w:rsidRPr="001B5760">
        <w:rPr>
          <w:rStyle w:val="EndnoteReference"/>
        </w:rPr>
        <w:endnoteReference w:id="12"/>
      </w:r>
    </w:p>
    <w:p w14:paraId="71B3772A" w14:textId="77777777" w:rsidR="00CE39D1" w:rsidRPr="001B5760" w:rsidRDefault="00CE39D1" w:rsidP="00DF1F7C">
      <w:pPr>
        <w:pStyle w:val="BodyTextMain"/>
      </w:pPr>
    </w:p>
    <w:p w14:paraId="5CE0671D" w14:textId="2CFC2F79" w:rsidR="006B3D1E" w:rsidRDefault="00D42D93" w:rsidP="00DF1F7C">
      <w:pPr>
        <w:pStyle w:val="BodyTextMain"/>
      </w:pPr>
      <w:r w:rsidRPr="001B5760">
        <w:t xml:space="preserve">Despite </w:t>
      </w:r>
      <w:r w:rsidR="00CC4E90">
        <w:t>leaving</w:t>
      </w:r>
      <w:r w:rsidRPr="001B5760">
        <w:t xml:space="preserve"> </w:t>
      </w:r>
      <w:r w:rsidR="00CC4E90">
        <w:t xml:space="preserve">fashion school </w:t>
      </w:r>
      <w:r w:rsidRPr="001B5760">
        <w:t>after only three months</w:t>
      </w:r>
      <w:r w:rsidR="00117E89" w:rsidRPr="001B5760">
        <w:t xml:space="preserve">, </w:t>
      </w:r>
      <w:r w:rsidR="00CC4E90" w:rsidRPr="001B5760">
        <w:t xml:space="preserve">Saint Laurent </w:t>
      </w:r>
      <w:r w:rsidRPr="001B5760">
        <w:t xml:space="preserve">won </w:t>
      </w:r>
      <w:r w:rsidR="00DF1F7C" w:rsidRPr="001B5760">
        <w:t>the International Wool Secretariat contest</w:t>
      </w:r>
      <w:r w:rsidR="00970A63" w:rsidRPr="001B5760">
        <w:t xml:space="preserve"> </w:t>
      </w:r>
      <w:r w:rsidR="00235D5B" w:rsidRPr="001B5760">
        <w:t xml:space="preserve">again </w:t>
      </w:r>
      <w:r w:rsidR="00970A63" w:rsidRPr="001B5760">
        <w:t>in 1953</w:t>
      </w:r>
      <w:r w:rsidR="004077BC" w:rsidRPr="001B5760">
        <w:t xml:space="preserve">. </w:t>
      </w:r>
      <w:proofErr w:type="spellStart"/>
      <w:r w:rsidR="00DF1F7C" w:rsidRPr="001B5760">
        <w:t>Brunhoff</w:t>
      </w:r>
      <w:proofErr w:type="spellEnd"/>
      <w:r w:rsidR="00DF1F7C" w:rsidRPr="001B5760">
        <w:t xml:space="preserve"> </w:t>
      </w:r>
      <w:r w:rsidR="00C80918" w:rsidRPr="001B5760">
        <w:t xml:space="preserve">recognized strong </w:t>
      </w:r>
      <w:r w:rsidR="00DF1F7C" w:rsidRPr="001B5760">
        <w:t>similarities between</w:t>
      </w:r>
      <w:r w:rsidR="00B827CC" w:rsidRPr="001B5760">
        <w:t xml:space="preserve"> Saint</w:t>
      </w:r>
      <w:r w:rsidR="00DF1F7C" w:rsidRPr="001B5760">
        <w:t xml:space="preserve"> Laurent</w:t>
      </w:r>
      <w:r w:rsidR="00472B46" w:rsidRPr="001B5760">
        <w:t>’</w:t>
      </w:r>
      <w:r w:rsidR="00DF1F7C" w:rsidRPr="001B5760">
        <w:t xml:space="preserve">s work and </w:t>
      </w:r>
      <w:r w:rsidR="00C80918" w:rsidRPr="001B5760">
        <w:t xml:space="preserve">that of </w:t>
      </w:r>
      <w:r w:rsidR="00DF1F7C" w:rsidRPr="001B5760">
        <w:t>Christian Dior</w:t>
      </w:r>
      <w:r w:rsidR="00CC4E90">
        <w:t>,</w:t>
      </w:r>
      <w:r w:rsidR="00CC4E90" w:rsidRPr="00CC4E90">
        <w:t xml:space="preserve"> </w:t>
      </w:r>
      <w:r w:rsidR="00C80918" w:rsidRPr="001B5760">
        <w:t xml:space="preserve">the </w:t>
      </w:r>
      <w:r w:rsidR="00DF1F7C" w:rsidRPr="001B5760">
        <w:t xml:space="preserve">fashion designer </w:t>
      </w:r>
      <w:proofErr w:type="spellStart"/>
      <w:r w:rsidR="00C80918" w:rsidRPr="001B5760">
        <w:t>Brunhoff</w:t>
      </w:r>
      <w:proofErr w:type="spellEnd"/>
      <w:r w:rsidR="00C80918" w:rsidRPr="001B5760">
        <w:t xml:space="preserve"> </w:t>
      </w:r>
      <w:r w:rsidR="00DF1F7C" w:rsidRPr="001B5760">
        <w:t xml:space="preserve">was working </w:t>
      </w:r>
      <w:r w:rsidR="008523C8" w:rsidRPr="001B5760">
        <w:t xml:space="preserve">with </w:t>
      </w:r>
      <w:r w:rsidR="00DF1F7C" w:rsidRPr="001B5760">
        <w:t>for his next collection</w:t>
      </w:r>
      <w:r w:rsidR="001D765D" w:rsidRPr="001B5760">
        <w:t>.</w:t>
      </w:r>
      <w:r w:rsidR="00117E89" w:rsidRPr="001B5760">
        <w:rPr>
          <w:rStyle w:val="EndnoteReference"/>
        </w:rPr>
        <w:endnoteReference w:id="13"/>
      </w:r>
      <w:r w:rsidR="00C80918" w:rsidRPr="001B5760">
        <w:t xml:space="preserve"> </w:t>
      </w:r>
      <w:proofErr w:type="spellStart"/>
      <w:r w:rsidR="00DF1F7C" w:rsidRPr="001B5760">
        <w:t>Brunhoff</w:t>
      </w:r>
      <w:proofErr w:type="spellEnd"/>
      <w:r w:rsidR="00DF1F7C" w:rsidRPr="001B5760">
        <w:t xml:space="preserve"> </w:t>
      </w:r>
      <w:r w:rsidR="000973C1" w:rsidRPr="001B5760">
        <w:t xml:space="preserve">connected </w:t>
      </w:r>
      <w:r w:rsidR="003707C1" w:rsidRPr="001B5760">
        <w:t xml:space="preserve">Saint </w:t>
      </w:r>
      <w:r w:rsidR="00DF1F7C" w:rsidRPr="001B5760">
        <w:t>Laurent with Dior</w:t>
      </w:r>
      <w:r w:rsidR="00C80918" w:rsidRPr="001B5760">
        <w:t>, and t</w:t>
      </w:r>
      <w:r w:rsidR="00DF1F7C" w:rsidRPr="001B5760">
        <w:t xml:space="preserve">he young </w:t>
      </w:r>
      <w:r w:rsidR="00CC4E90">
        <w:t xml:space="preserve">Saint </w:t>
      </w:r>
      <w:r w:rsidR="00C80918" w:rsidRPr="001B5760">
        <w:t xml:space="preserve">Laurent </w:t>
      </w:r>
      <w:r w:rsidR="00DF1F7C" w:rsidRPr="001B5760">
        <w:t xml:space="preserve">was hired </w:t>
      </w:r>
      <w:r w:rsidR="00C80918" w:rsidRPr="001B5760">
        <w:t xml:space="preserve">shortly after </w:t>
      </w:r>
      <w:r w:rsidR="00117E89" w:rsidRPr="001B5760">
        <w:t xml:space="preserve">in 1955 </w:t>
      </w:r>
      <w:r w:rsidR="00DF1F7C" w:rsidRPr="001B5760">
        <w:t xml:space="preserve">as a </w:t>
      </w:r>
      <w:r w:rsidR="00466C7C">
        <w:t>design</w:t>
      </w:r>
      <w:r w:rsidR="00466C7C" w:rsidRPr="001B5760">
        <w:t xml:space="preserve"> </w:t>
      </w:r>
      <w:r w:rsidR="00DF1F7C" w:rsidRPr="001B5760">
        <w:t xml:space="preserve">assistant in </w:t>
      </w:r>
      <w:r w:rsidR="00117E89" w:rsidRPr="001B5760">
        <w:t>Dior</w:t>
      </w:r>
      <w:r w:rsidR="001B014C">
        <w:t>’s</w:t>
      </w:r>
      <w:r w:rsidR="00117E89" w:rsidRPr="001B5760">
        <w:t xml:space="preserve"> </w:t>
      </w:r>
      <w:r w:rsidR="001B014C">
        <w:t>c</w:t>
      </w:r>
      <w:r w:rsidR="00DF1F7C" w:rsidRPr="001B5760">
        <w:t xml:space="preserve">outure </w:t>
      </w:r>
      <w:r w:rsidR="001B014C">
        <w:t>h</w:t>
      </w:r>
      <w:r w:rsidR="00DF1F7C" w:rsidRPr="001B5760">
        <w:t>ouse</w:t>
      </w:r>
      <w:r w:rsidR="001B014C">
        <w:t xml:space="preserve"> (</w:t>
      </w:r>
      <w:r w:rsidR="00610119">
        <w:t xml:space="preserve">the </w:t>
      </w:r>
      <w:r w:rsidR="001B014C">
        <w:t>House of Dior)</w:t>
      </w:r>
      <w:r w:rsidR="00DF1F7C" w:rsidRPr="001B5760">
        <w:t>.</w:t>
      </w:r>
      <w:r w:rsidR="00847532" w:rsidRPr="001B5760">
        <w:rPr>
          <w:rStyle w:val="EndnoteReference"/>
        </w:rPr>
        <w:endnoteReference w:id="14"/>
      </w:r>
      <w:r w:rsidR="006D3A39" w:rsidRPr="001B5760">
        <w:t xml:space="preserve"> </w:t>
      </w:r>
    </w:p>
    <w:p w14:paraId="73B0E79D" w14:textId="77777777" w:rsidR="006B3D1E" w:rsidRDefault="006B3D1E" w:rsidP="00DF1F7C">
      <w:pPr>
        <w:pStyle w:val="BodyTextMain"/>
      </w:pPr>
    </w:p>
    <w:p w14:paraId="0CEF8172" w14:textId="1D67BE8E" w:rsidR="00DF1F7C" w:rsidRPr="001B5760" w:rsidRDefault="00117E89" w:rsidP="00DF1F7C">
      <w:pPr>
        <w:pStyle w:val="BodyTextMain"/>
      </w:pPr>
      <w:r w:rsidRPr="001B5760">
        <w:t>A</w:t>
      </w:r>
      <w:r w:rsidR="001B014C">
        <w:t xml:space="preserve">s </w:t>
      </w:r>
      <w:r w:rsidR="006D3A39" w:rsidRPr="001B5760">
        <w:t>Dior</w:t>
      </w:r>
      <w:r w:rsidR="001B014C">
        <w:t>’s apprentice</w:t>
      </w:r>
      <w:r w:rsidR="006D3A39" w:rsidRPr="001B5760">
        <w:t xml:space="preserve">, </w:t>
      </w:r>
      <w:r w:rsidR="003707C1" w:rsidRPr="001B5760">
        <w:t xml:space="preserve">Saint </w:t>
      </w:r>
      <w:r w:rsidR="006D3A39" w:rsidRPr="001B5760">
        <w:t xml:space="preserve">Laurent gradually received </w:t>
      </w:r>
      <w:r w:rsidRPr="001B5760">
        <w:t xml:space="preserve">more </w:t>
      </w:r>
      <w:r w:rsidR="006D3A39" w:rsidRPr="001B5760">
        <w:t>responsibilities</w:t>
      </w:r>
      <w:r w:rsidR="00DF1F7C" w:rsidRPr="001B5760">
        <w:t xml:space="preserve"> </w:t>
      </w:r>
      <w:r w:rsidR="008E6A03" w:rsidRPr="001B5760">
        <w:t>while</w:t>
      </w:r>
      <w:r w:rsidR="00DF1F7C" w:rsidRPr="001B5760">
        <w:t xml:space="preserve"> his </w:t>
      </w:r>
      <w:r w:rsidR="008E6A03" w:rsidRPr="001B5760">
        <w:t xml:space="preserve">contribution to </w:t>
      </w:r>
      <w:r w:rsidR="00DF1F7C" w:rsidRPr="001B5760">
        <w:t xml:space="preserve">the overall </w:t>
      </w:r>
      <w:r w:rsidR="008E6A03" w:rsidRPr="001B5760">
        <w:t xml:space="preserve">artistic </w:t>
      </w:r>
      <w:r w:rsidR="001B014C">
        <w:t>direction of the fashion house</w:t>
      </w:r>
      <w:r w:rsidR="00DF1F7C" w:rsidRPr="001B5760">
        <w:t xml:space="preserve"> </w:t>
      </w:r>
      <w:r w:rsidR="008E6A03" w:rsidRPr="001B5760">
        <w:t>also</w:t>
      </w:r>
      <w:r w:rsidR="00DF1F7C" w:rsidRPr="001B5760">
        <w:t xml:space="preserve"> </w:t>
      </w:r>
      <w:r w:rsidR="00BE7DC5" w:rsidRPr="001B5760">
        <w:t>increased</w:t>
      </w:r>
      <w:r w:rsidR="00DF1F7C" w:rsidRPr="001B5760">
        <w:t xml:space="preserve">. </w:t>
      </w:r>
      <w:r w:rsidR="001D765D" w:rsidRPr="001B5760">
        <w:t xml:space="preserve">Watching </w:t>
      </w:r>
      <w:r w:rsidR="003707C1" w:rsidRPr="001B5760">
        <w:t xml:space="preserve">Saint </w:t>
      </w:r>
      <w:r w:rsidR="001D765D" w:rsidRPr="001B5760">
        <w:t xml:space="preserve">Laurent grow and develop, </w:t>
      </w:r>
      <w:r w:rsidRPr="001B5760">
        <w:t>Dior stated</w:t>
      </w:r>
      <w:r w:rsidR="001B014C">
        <w:t>,</w:t>
      </w:r>
      <w:r w:rsidRPr="001B5760">
        <w:t xml:space="preserve"> </w:t>
      </w:r>
      <w:r w:rsidR="00472B46" w:rsidRPr="001B5760">
        <w:t>“</w:t>
      </w:r>
      <w:r w:rsidRPr="001B5760">
        <w:t>Saint Laurent is you</w:t>
      </w:r>
      <w:r w:rsidR="00472B46" w:rsidRPr="001B5760">
        <w:t>ng, but he has an immense talent</w:t>
      </w:r>
      <w:r w:rsidR="006B3D1E">
        <w:t>.</w:t>
      </w:r>
      <w:r w:rsidR="00472B46" w:rsidRPr="001B5760">
        <w:t xml:space="preserve"> . . . </w:t>
      </w:r>
      <w:r w:rsidRPr="001B5760">
        <w:t>I think it is time to reveal him to the press.</w:t>
      </w:r>
      <w:r w:rsidR="00610119">
        <w:t xml:space="preserve"> </w:t>
      </w:r>
      <w:r w:rsidR="00472B46" w:rsidRPr="001B5760">
        <w:t xml:space="preserve">. . . </w:t>
      </w:r>
      <w:r w:rsidR="001B014C">
        <w:t>[</w:t>
      </w:r>
      <w:r w:rsidR="006B3D1E">
        <w:t>H</w:t>
      </w:r>
      <w:r w:rsidR="001B014C">
        <w:t xml:space="preserve">e] </w:t>
      </w:r>
      <w:r w:rsidRPr="001B5760">
        <w:t>will be my successor.</w:t>
      </w:r>
      <w:r w:rsidR="00472B46" w:rsidRPr="001B5760">
        <w:t>”</w:t>
      </w:r>
      <w:r w:rsidRPr="001B5760">
        <w:rPr>
          <w:rStyle w:val="EndnoteReference"/>
        </w:rPr>
        <w:endnoteReference w:id="15"/>
      </w:r>
      <w:r w:rsidR="00472B46" w:rsidRPr="001B5760">
        <w:t xml:space="preserve"> </w:t>
      </w:r>
      <w:r w:rsidR="007C5B3A" w:rsidRPr="001B5760">
        <w:t>With</w:t>
      </w:r>
      <w:r w:rsidR="00DF1F7C" w:rsidRPr="001B5760">
        <w:t xml:space="preserve"> Dior</w:t>
      </w:r>
      <w:r w:rsidR="001B014C">
        <w:t>’s death</w:t>
      </w:r>
      <w:r w:rsidR="00DF1F7C" w:rsidRPr="001B5760">
        <w:t xml:space="preserve"> </w:t>
      </w:r>
      <w:r w:rsidR="00CF697D" w:rsidRPr="001B5760">
        <w:t>in</w:t>
      </w:r>
      <w:r w:rsidR="00C80918" w:rsidRPr="001B5760">
        <w:t xml:space="preserve"> </w:t>
      </w:r>
      <w:r w:rsidR="00CF697D" w:rsidRPr="001B5760">
        <w:t xml:space="preserve">October </w:t>
      </w:r>
      <w:r w:rsidR="00C80918" w:rsidRPr="001B5760">
        <w:t>1957</w:t>
      </w:r>
      <w:r w:rsidR="00444364" w:rsidRPr="001B5760">
        <w:t>, management</w:t>
      </w:r>
      <w:r w:rsidR="00DF1F7C" w:rsidRPr="001B5760">
        <w:t xml:space="preserve"> consider</w:t>
      </w:r>
      <w:r w:rsidR="00444364" w:rsidRPr="001B5760">
        <w:t>ed</w:t>
      </w:r>
      <w:r w:rsidR="00DF1F7C" w:rsidRPr="001B5760">
        <w:t xml:space="preserve"> shut</w:t>
      </w:r>
      <w:r w:rsidR="00C80918" w:rsidRPr="001B5760">
        <w:t>ting</w:t>
      </w:r>
      <w:r w:rsidR="00DF1F7C" w:rsidRPr="001B5760">
        <w:t xml:space="preserve"> down the </w:t>
      </w:r>
      <w:r w:rsidR="001B014C">
        <w:t>House of Dior</w:t>
      </w:r>
      <w:r w:rsidR="00DF1F7C" w:rsidRPr="001B5760">
        <w:t xml:space="preserve">, </w:t>
      </w:r>
      <w:r w:rsidR="00C80918" w:rsidRPr="001B5760">
        <w:t>a common practice</w:t>
      </w:r>
      <w:r w:rsidR="00DF1F7C" w:rsidRPr="001B5760">
        <w:t xml:space="preserve"> in the industry when </w:t>
      </w:r>
      <w:r w:rsidR="00BE7DC5" w:rsidRPr="001B5760">
        <w:t>the</w:t>
      </w:r>
      <w:r w:rsidR="00C80918" w:rsidRPr="001B5760">
        <w:t xml:space="preserve"> house</w:t>
      </w:r>
      <w:r w:rsidR="00472B46" w:rsidRPr="001B5760">
        <w:t>’</w:t>
      </w:r>
      <w:r w:rsidR="00C80918" w:rsidRPr="001B5760">
        <w:t xml:space="preserve">s </w:t>
      </w:r>
      <w:r w:rsidR="00BE7DC5" w:rsidRPr="001B5760">
        <w:t xml:space="preserve">creative director </w:t>
      </w:r>
      <w:r w:rsidR="006B3D1E">
        <w:t>died</w:t>
      </w:r>
      <w:r w:rsidR="00AA2A7B" w:rsidRPr="001B5760">
        <w:t>; h</w:t>
      </w:r>
      <w:r w:rsidR="00083C85" w:rsidRPr="001B5760">
        <w:t>owever,</w:t>
      </w:r>
      <w:r w:rsidR="004E4554" w:rsidRPr="001B5760">
        <w:t xml:space="preserve"> </w:t>
      </w:r>
      <w:r w:rsidR="007C5B3A" w:rsidRPr="001B5760">
        <w:t>with the</w:t>
      </w:r>
      <w:r w:rsidR="00444364" w:rsidRPr="001B5760">
        <w:t xml:space="preserve"> support of management</w:t>
      </w:r>
      <w:r w:rsidR="00DF1F7C" w:rsidRPr="001B5760">
        <w:t xml:space="preserve">, </w:t>
      </w:r>
      <w:r w:rsidR="008251B0" w:rsidRPr="001B5760">
        <w:t xml:space="preserve">Saint </w:t>
      </w:r>
      <w:r w:rsidR="008C7CD9" w:rsidRPr="001B5760">
        <w:t>Laurent</w:t>
      </w:r>
      <w:r w:rsidR="00DF1F7C" w:rsidRPr="001B5760">
        <w:t xml:space="preserve"> was appointed as </w:t>
      </w:r>
      <w:r w:rsidR="008C7CD9" w:rsidRPr="001B5760">
        <w:t xml:space="preserve">the </w:t>
      </w:r>
      <w:r w:rsidR="00747874" w:rsidRPr="001B5760">
        <w:t xml:space="preserve">creative </w:t>
      </w:r>
      <w:r w:rsidR="00DF1F7C" w:rsidRPr="001B5760">
        <w:t xml:space="preserve">director of the prestigious </w:t>
      </w:r>
      <w:r w:rsidR="001B014C">
        <w:t>h</w:t>
      </w:r>
      <w:r w:rsidR="00DF1F7C" w:rsidRPr="001B5760">
        <w:t>ouse</w:t>
      </w:r>
      <w:r w:rsidR="00CF697D" w:rsidRPr="001B5760">
        <w:t xml:space="preserve"> in 195</w:t>
      </w:r>
      <w:r w:rsidR="007C5B3A" w:rsidRPr="001B5760">
        <w:t>8</w:t>
      </w:r>
      <w:r w:rsidR="006B3D1E">
        <w:t>. Saint Laurent</w:t>
      </w:r>
      <w:r w:rsidR="008251B0" w:rsidRPr="001B5760">
        <w:t xml:space="preserve"> was</w:t>
      </w:r>
      <w:r w:rsidR="001B014C">
        <w:t xml:space="preserve"> just</w:t>
      </w:r>
      <w:r w:rsidR="008251B0" w:rsidRPr="001B5760">
        <w:t xml:space="preserve"> </w:t>
      </w:r>
      <w:r w:rsidR="00AA2A7B" w:rsidRPr="001B5760">
        <w:t>22</w:t>
      </w:r>
      <w:r w:rsidR="008251B0" w:rsidRPr="001B5760">
        <w:t xml:space="preserve"> years old</w:t>
      </w:r>
      <w:r w:rsidR="00DF1F7C" w:rsidRPr="001B5760">
        <w:t>.</w:t>
      </w:r>
      <w:r w:rsidR="00BE7DC5" w:rsidRPr="001B5760">
        <w:rPr>
          <w:rStyle w:val="EndnoteReference"/>
        </w:rPr>
        <w:endnoteReference w:id="16"/>
      </w:r>
      <w:r w:rsidR="00DF1F7C" w:rsidRPr="001B5760">
        <w:t xml:space="preserve"> </w:t>
      </w:r>
    </w:p>
    <w:p w14:paraId="5B459734" w14:textId="77777777" w:rsidR="00DF1F7C" w:rsidRPr="001B5760" w:rsidRDefault="00DF1F7C" w:rsidP="00DF1F7C">
      <w:pPr>
        <w:pStyle w:val="BodyTextMain"/>
      </w:pPr>
    </w:p>
    <w:p w14:paraId="17C686DA" w14:textId="66D16738" w:rsidR="00DF1F7C" w:rsidRPr="001B5760" w:rsidRDefault="00E873A8">
      <w:pPr>
        <w:pStyle w:val="BodyTextMain"/>
      </w:pPr>
      <w:r w:rsidRPr="001B5760">
        <w:t>T</w:t>
      </w:r>
      <w:r w:rsidR="00DF1F7C" w:rsidRPr="001B5760">
        <w:t>wo</w:t>
      </w:r>
      <w:r w:rsidRPr="001B5760">
        <w:t xml:space="preserve"> weeks after </w:t>
      </w:r>
      <w:r w:rsidR="00C80918" w:rsidRPr="001B5760">
        <w:t xml:space="preserve">his </w:t>
      </w:r>
      <w:r w:rsidRPr="001B5760">
        <w:t>appointment</w:t>
      </w:r>
      <w:r w:rsidR="00C80918" w:rsidRPr="001B5760">
        <w:t xml:space="preserve"> </w:t>
      </w:r>
      <w:r w:rsidR="00092BAF" w:rsidRPr="001B5760">
        <w:t xml:space="preserve">as </w:t>
      </w:r>
      <w:r w:rsidR="00610119">
        <w:t xml:space="preserve">the </w:t>
      </w:r>
      <w:r w:rsidR="001B014C">
        <w:t xml:space="preserve">House of </w:t>
      </w:r>
      <w:r w:rsidR="00092BAF" w:rsidRPr="001B5760">
        <w:t>Dior</w:t>
      </w:r>
      <w:r w:rsidR="00472B46" w:rsidRPr="001B5760">
        <w:t>’</w:t>
      </w:r>
      <w:r w:rsidR="00092BAF" w:rsidRPr="001B5760">
        <w:t xml:space="preserve">s </w:t>
      </w:r>
      <w:r w:rsidR="00747874" w:rsidRPr="001B5760">
        <w:t xml:space="preserve">creative </w:t>
      </w:r>
      <w:r w:rsidR="00C80918" w:rsidRPr="001B5760">
        <w:t>director</w:t>
      </w:r>
      <w:r w:rsidR="00DF1F7C" w:rsidRPr="001B5760">
        <w:t xml:space="preserve">, </w:t>
      </w:r>
      <w:r w:rsidR="008251B0" w:rsidRPr="001B5760">
        <w:t xml:space="preserve">Saint </w:t>
      </w:r>
      <w:r w:rsidR="00DF1F7C" w:rsidRPr="001B5760">
        <w:t xml:space="preserve">Laurent </w:t>
      </w:r>
      <w:r w:rsidR="00092BAF" w:rsidRPr="001B5760">
        <w:t xml:space="preserve">retreated </w:t>
      </w:r>
      <w:r w:rsidR="00DF1F7C" w:rsidRPr="001B5760">
        <w:t xml:space="preserve">to his </w:t>
      </w:r>
      <w:r w:rsidR="00083C85" w:rsidRPr="001B5760">
        <w:t xml:space="preserve">home </w:t>
      </w:r>
      <w:r w:rsidR="008251B0" w:rsidRPr="001B5760">
        <w:t>in</w:t>
      </w:r>
      <w:r w:rsidR="00092BAF" w:rsidRPr="001B5760">
        <w:t xml:space="preserve"> </w:t>
      </w:r>
      <w:r w:rsidR="00DF1F7C" w:rsidRPr="001B5760">
        <w:t>French Algeria, lock</w:t>
      </w:r>
      <w:r w:rsidR="007B6469" w:rsidRPr="001B5760">
        <w:t xml:space="preserve">ing </w:t>
      </w:r>
      <w:r w:rsidR="00DF1F7C" w:rsidRPr="001B5760">
        <w:t xml:space="preserve">himself in </w:t>
      </w:r>
      <w:r w:rsidR="007B6469" w:rsidRPr="001B5760">
        <w:t xml:space="preserve">his </w:t>
      </w:r>
      <w:r w:rsidR="00DF1F7C" w:rsidRPr="001B5760">
        <w:t xml:space="preserve">room to </w:t>
      </w:r>
      <w:r w:rsidRPr="001B5760">
        <w:t xml:space="preserve">work on </w:t>
      </w:r>
      <w:r w:rsidR="00DF1F7C" w:rsidRPr="001B5760">
        <w:t>draw</w:t>
      </w:r>
      <w:r w:rsidRPr="001B5760">
        <w:t>ings</w:t>
      </w:r>
      <w:r w:rsidR="007B6469" w:rsidRPr="001B5760">
        <w:t xml:space="preserve"> and designs.</w:t>
      </w:r>
      <w:r w:rsidR="00DF1F7C" w:rsidRPr="001B5760">
        <w:t xml:space="preserve"> </w:t>
      </w:r>
      <w:r w:rsidR="00610119">
        <w:t>Returning</w:t>
      </w:r>
      <w:r w:rsidR="00DF1F7C" w:rsidRPr="001B5760">
        <w:t xml:space="preserve"> to Paris </w:t>
      </w:r>
      <w:r w:rsidR="007B6469" w:rsidRPr="001B5760">
        <w:t xml:space="preserve">two months later </w:t>
      </w:r>
      <w:r w:rsidR="00DF1F7C" w:rsidRPr="001B5760">
        <w:t>with more than 800 drawings</w:t>
      </w:r>
      <w:r w:rsidR="007B6469" w:rsidRPr="001B5760">
        <w:t xml:space="preserve">, </w:t>
      </w:r>
      <w:r w:rsidR="008251B0" w:rsidRPr="001B5760">
        <w:t xml:space="preserve">Saint </w:t>
      </w:r>
      <w:r w:rsidR="007B6469" w:rsidRPr="001B5760">
        <w:t xml:space="preserve">Laurent </w:t>
      </w:r>
      <w:r w:rsidR="005115A7">
        <w:t>recollected</w:t>
      </w:r>
      <w:r w:rsidR="007B6469" w:rsidRPr="001B5760">
        <w:t>,</w:t>
      </w:r>
      <w:r w:rsidRPr="001B5760">
        <w:t xml:space="preserve"> </w:t>
      </w:r>
      <w:r w:rsidR="00472B46" w:rsidRPr="001B5760">
        <w:t>“</w:t>
      </w:r>
      <w:r w:rsidR="00DF1F7C" w:rsidRPr="001B5760">
        <w:t>I was in a complete state of euphoria while preparing this collection</w:t>
      </w:r>
      <w:r w:rsidR="00610119">
        <w:t>.</w:t>
      </w:r>
      <w:r w:rsidR="00472B46" w:rsidRPr="001B5760">
        <w:t>”</w:t>
      </w:r>
      <w:r w:rsidR="00BE7DC5" w:rsidRPr="001B5760">
        <w:rPr>
          <w:rStyle w:val="EndnoteReference"/>
        </w:rPr>
        <w:endnoteReference w:id="17"/>
      </w:r>
      <w:r w:rsidR="00DF1F7C" w:rsidRPr="001B5760">
        <w:t xml:space="preserve"> </w:t>
      </w:r>
      <w:r w:rsidR="00610119">
        <w:t>H</w:t>
      </w:r>
      <w:r w:rsidR="00610119" w:rsidRPr="001B5760">
        <w:t>is drawings drew an unexpectedly positive reaction from the public after his first fashion show</w:t>
      </w:r>
      <w:r w:rsidR="00610119">
        <w:t>, which was made possible w</w:t>
      </w:r>
      <w:r w:rsidR="009209D8" w:rsidRPr="001B5760">
        <w:t xml:space="preserve">ith </w:t>
      </w:r>
      <w:r w:rsidR="007B6469" w:rsidRPr="001B5760">
        <w:t>assistance from</w:t>
      </w:r>
      <w:r w:rsidR="00C914C0" w:rsidRPr="001B5760">
        <w:t xml:space="preserve"> Pierre</w:t>
      </w:r>
      <w:r w:rsidR="007B6469" w:rsidRPr="001B5760">
        <w:t xml:space="preserve"> </w:t>
      </w:r>
      <w:proofErr w:type="spellStart"/>
      <w:r w:rsidR="00DF1F7C" w:rsidRPr="001B5760">
        <w:t>Bergé</w:t>
      </w:r>
      <w:proofErr w:type="spellEnd"/>
      <w:r w:rsidR="00CF697D" w:rsidRPr="001B5760">
        <w:t>, a rising figure in the Parisian art and fashion scene</w:t>
      </w:r>
      <w:r w:rsidR="00610119">
        <w:t>.</w:t>
      </w:r>
      <w:r w:rsidR="007B6469" w:rsidRPr="001B5760">
        <w:t xml:space="preserve"> </w:t>
      </w:r>
      <w:r w:rsidR="00610119">
        <w:t>T</w:t>
      </w:r>
      <w:r w:rsidR="007B6469" w:rsidRPr="001B5760">
        <w:t xml:space="preserve">he show </w:t>
      </w:r>
      <w:r w:rsidR="0001190E" w:rsidRPr="001B5760">
        <w:t xml:space="preserve">provided the opportunity for </w:t>
      </w:r>
      <w:r w:rsidR="00610119">
        <w:t>Saint Laurent and</w:t>
      </w:r>
      <w:r w:rsidR="00610119" w:rsidRPr="00610119">
        <w:t xml:space="preserve"> </w:t>
      </w:r>
      <w:proofErr w:type="spellStart"/>
      <w:r w:rsidR="00610119" w:rsidRPr="001B5760">
        <w:t>Bergé</w:t>
      </w:r>
      <w:proofErr w:type="spellEnd"/>
      <w:r w:rsidR="002F4A22" w:rsidRPr="001B5760">
        <w:t xml:space="preserve"> to meet </w:t>
      </w:r>
      <w:r w:rsidR="007B6469" w:rsidRPr="001B5760">
        <w:t xml:space="preserve">for the first time, </w:t>
      </w:r>
      <w:r w:rsidR="00BE7DC5" w:rsidRPr="001B5760">
        <w:t>sparking</w:t>
      </w:r>
      <w:r w:rsidR="007B6469" w:rsidRPr="001B5760">
        <w:t xml:space="preserve"> a </w:t>
      </w:r>
      <w:r w:rsidR="00BE7DC5" w:rsidRPr="001B5760">
        <w:t xml:space="preserve">life-long </w:t>
      </w:r>
      <w:r w:rsidR="00C914C0" w:rsidRPr="001B5760">
        <w:t>working</w:t>
      </w:r>
      <w:r w:rsidR="00610119">
        <w:t>—</w:t>
      </w:r>
      <w:r w:rsidR="00C914C0" w:rsidRPr="001B5760">
        <w:t xml:space="preserve">and </w:t>
      </w:r>
      <w:r w:rsidR="00610119">
        <w:t>at times, romantic—</w:t>
      </w:r>
      <w:r w:rsidR="007B6469" w:rsidRPr="001B5760">
        <w:t>relationship</w:t>
      </w:r>
      <w:r w:rsidR="00DF1F7C" w:rsidRPr="001B5760">
        <w:t>.</w:t>
      </w:r>
      <w:r w:rsidR="007B1E32" w:rsidRPr="001B5760">
        <w:rPr>
          <w:rStyle w:val="EndnoteReference"/>
        </w:rPr>
        <w:endnoteReference w:id="18"/>
      </w:r>
      <w:r w:rsidR="00DF1F7C" w:rsidRPr="001B5760">
        <w:t xml:space="preserve"> </w:t>
      </w:r>
      <w:r w:rsidR="007B6469" w:rsidRPr="001B5760">
        <w:t xml:space="preserve">With </w:t>
      </w:r>
      <w:r w:rsidR="008251B0" w:rsidRPr="001B5760">
        <w:t xml:space="preserve">Saint </w:t>
      </w:r>
      <w:r w:rsidR="00DF1F7C" w:rsidRPr="001B5760">
        <w:t>Laurent</w:t>
      </w:r>
      <w:r w:rsidR="00472B46" w:rsidRPr="001B5760">
        <w:t>’</w:t>
      </w:r>
      <w:r w:rsidR="00DF1F7C" w:rsidRPr="001B5760">
        <w:t>s works</w:t>
      </w:r>
      <w:r w:rsidR="002F4A22" w:rsidRPr="001B5760">
        <w:t xml:space="preserve"> </w:t>
      </w:r>
      <w:r w:rsidR="008251B0" w:rsidRPr="001B5760">
        <w:t>re</w:t>
      </w:r>
      <w:r w:rsidR="007B6469" w:rsidRPr="001B5760">
        <w:t>ceiving global</w:t>
      </w:r>
      <w:r w:rsidR="00DF1F7C" w:rsidRPr="001B5760">
        <w:t xml:space="preserve"> recognition, </w:t>
      </w:r>
      <w:r w:rsidR="007B6469" w:rsidRPr="001B5760">
        <w:t>t</w:t>
      </w:r>
      <w:r w:rsidR="00DF1F7C" w:rsidRPr="001B5760">
        <w:t xml:space="preserve">he French press </w:t>
      </w:r>
      <w:r w:rsidR="00092BAF" w:rsidRPr="001B5760">
        <w:t xml:space="preserve">labelled </w:t>
      </w:r>
      <w:r w:rsidR="00DF1F7C" w:rsidRPr="001B5760">
        <w:t xml:space="preserve">him </w:t>
      </w:r>
      <w:r w:rsidR="00472B46" w:rsidRPr="001B5760">
        <w:t>“</w:t>
      </w:r>
      <w:r w:rsidR="00BC577C">
        <w:t>t</w:t>
      </w:r>
      <w:r w:rsidR="00DF1F7C" w:rsidRPr="001B5760">
        <w:t xml:space="preserve">he </w:t>
      </w:r>
      <w:r w:rsidR="00BC577C">
        <w:t>l</w:t>
      </w:r>
      <w:r w:rsidR="00DF1F7C" w:rsidRPr="001B5760">
        <w:t xml:space="preserve">ittle </w:t>
      </w:r>
      <w:r w:rsidR="00BC577C">
        <w:t>p</w:t>
      </w:r>
      <w:r w:rsidR="00DF1F7C" w:rsidRPr="001B5760">
        <w:t>rince of the fashion industry</w:t>
      </w:r>
      <w:r w:rsidR="00BC577C">
        <w:t>,</w:t>
      </w:r>
      <w:r w:rsidR="00472B46" w:rsidRPr="001B5760">
        <w:t>”</w:t>
      </w:r>
      <w:r w:rsidR="00DF1F7C" w:rsidRPr="001B5760">
        <w:t xml:space="preserve"> and a national hero for saving </w:t>
      </w:r>
      <w:r w:rsidR="00610119">
        <w:t xml:space="preserve">the House of </w:t>
      </w:r>
      <w:r w:rsidR="001B014C">
        <w:t>Dior</w:t>
      </w:r>
      <w:r w:rsidR="00DD5C33">
        <w:t>. Unfortunately,</w:t>
      </w:r>
      <w:r w:rsidR="00BE7DC5" w:rsidRPr="001B5760">
        <w:t xml:space="preserve"> this initial success and recognition would soon </w:t>
      </w:r>
      <w:r w:rsidR="00BC577C">
        <w:t>give way to</w:t>
      </w:r>
      <w:r w:rsidR="00BC577C" w:rsidRPr="001B5760">
        <w:t xml:space="preserve"> </w:t>
      </w:r>
      <w:r w:rsidR="00BE7DC5" w:rsidRPr="001B5760">
        <w:t>difficulties and setbacks.</w:t>
      </w:r>
      <w:r w:rsidR="00DF1F7C" w:rsidRPr="001B5760">
        <w:rPr>
          <w:rStyle w:val="EndnoteReference"/>
        </w:rPr>
        <w:endnoteReference w:id="19"/>
      </w:r>
    </w:p>
    <w:p w14:paraId="36300E52" w14:textId="77777777" w:rsidR="00DF1F7C" w:rsidRPr="001B5760" w:rsidRDefault="00DF1F7C" w:rsidP="00DF1F7C">
      <w:pPr>
        <w:pStyle w:val="BodyTextMain"/>
      </w:pPr>
    </w:p>
    <w:p w14:paraId="6CA2314F" w14:textId="77777777" w:rsidR="00F72305" w:rsidRPr="001B5760" w:rsidRDefault="00F72305" w:rsidP="00DF1F7C">
      <w:pPr>
        <w:pStyle w:val="BodyTextMain"/>
      </w:pPr>
    </w:p>
    <w:p w14:paraId="254A9584" w14:textId="77777777" w:rsidR="00DF1F7C" w:rsidRPr="001B5760" w:rsidRDefault="001F44B4" w:rsidP="00356EF7">
      <w:pPr>
        <w:pStyle w:val="Casehead1"/>
      </w:pPr>
      <w:r w:rsidRPr="001B5760">
        <w:t>LAURENT</w:t>
      </w:r>
      <w:r w:rsidR="00472B46" w:rsidRPr="001B5760">
        <w:t>’</w:t>
      </w:r>
      <w:r w:rsidRPr="001B5760">
        <w:t xml:space="preserve">S EARLY STRUGGLES AS </w:t>
      </w:r>
      <w:r w:rsidR="00747874" w:rsidRPr="001B5760">
        <w:t>CREATIVE</w:t>
      </w:r>
      <w:r w:rsidRPr="001B5760">
        <w:t xml:space="preserve"> DIRECTOR </w:t>
      </w:r>
    </w:p>
    <w:p w14:paraId="3956BF7F" w14:textId="77777777" w:rsidR="00DF1F7C" w:rsidRPr="001B5760" w:rsidRDefault="00DF1F7C" w:rsidP="00DF1F7C">
      <w:pPr>
        <w:pStyle w:val="BodyTextMain"/>
      </w:pPr>
    </w:p>
    <w:p w14:paraId="4FFD3D1C" w14:textId="30061E80" w:rsidR="00DF1F7C" w:rsidRPr="001B5760" w:rsidRDefault="00422D34" w:rsidP="00DF1F7C">
      <w:pPr>
        <w:pStyle w:val="BodyTextMain"/>
      </w:pPr>
      <w:r w:rsidRPr="001B5760">
        <w:t>With</w:t>
      </w:r>
      <w:r w:rsidR="00610119">
        <w:t xml:space="preserve"> the</w:t>
      </w:r>
      <w:r w:rsidR="008251B0" w:rsidRPr="001B5760">
        <w:t xml:space="preserve"> </w:t>
      </w:r>
      <w:r w:rsidR="009D44D1" w:rsidRPr="001B5760">
        <w:t>House</w:t>
      </w:r>
      <w:r w:rsidR="009766D9">
        <w:t xml:space="preserve"> of Dior</w:t>
      </w:r>
      <w:r w:rsidR="009D44D1" w:rsidRPr="001B5760">
        <w:t xml:space="preserve"> reach</w:t>
      </w:r>
      <w:r w:rsidRPr="001B5760">
        <w:t>ing</w:t>
      </w:r>
      <w:r w:rsidR="009D44D1" w:rsidRPr="001B5760">
        <w:rPr>
          <w:lang w:eastAsia="zh-CN"/>
        </w:rPr>
        <w:t xml:space="preserve"> </w:t>
      </w:r>
      <w:r w:rsidRPr="001B5760">
        <w:rPr>
          <w:lang w:eastAsia="zh-CN"/>
        </w:rPr>
        <w:t xml:space="preserve">new </w:t>
      </w:r>
      <w:r w:rsidR="009D44D1" w:rsidRPr="001B5760">
        <w:rPr>
          <w:lang w:eastAsia="zh-CN"/>
        </w:rPr>
        <w:t>level</w:t>
      </w:r>
      <w:r w:rsidRPr="001B5760">
        <w:rPr>
          <w:lang w:eastAsia="zh-CN"/>
        </w:rPr>
        <w:t>s of success</w:t>
      </w:r>
      <w:r w:rsidR="009766D9">
        <w:rPr>
          <w:lang w:eastAsia="zh-CN"/>
        </w:rPr>
        <w:t xml:space="preserve"> under</w:t>
      </w:r>
      <w:r w:rsidR="009766D9" w:rsidRPr="009766D9">
        <w:t xml:space="preserve"> </w:t>
      </w:r>
      <w:r w:rsidR="009766D9" w:rsidRPr="001B5760">
        <w:t>Saint Laurent</w:t>
      </w:r>
      <w:r w:rsidR="009766D9">
        <w:t>’s direction</w:t>
      </w:r>
      <w:r w:rsidR="00DF1F7C" w:rsidRPr="001B5760">
        <w:t xml:space="preserve">, </w:t>
      </w:r>
      <w:r w:rsidR="004A73B9" w:rsidRPr="001B5760">
        <w:t xml:space="preserve">the Algerian War began in 1954 </w:t>
      </w:r>
      <w:r w:rsidR="005817DB" w:rsidRPr="001B5760">
        <w:t xml:space="preserve">as </w:t>
      </w:r>
      <w:r w:rsidR="00DF1F7C" w:rsidRPr="001B5760">
        <w:t xml:space="preserve">Algerian separatist movements </w:t>
      </w:r>
      <w:r w:rsidR="00BE7DC5" w:rsidRPr="001B5760">
        <w:t>enter</w:t>
      </w:r>
      <w:r w:rsidR="005817DB" w:rsidRPr="001B5760">
        <w:t>ed</w:t>
      </w:r>
      <w:r w:rsidR="00DF1F7C" w:rsidRPr="001B5760">
        <w:t xml:space="preserve"> </w:t>
      </w:r>
      <w:r w:rsidR="0026276A">
        <w:t xml:space="preserve">into </w:t>
      </w:r>
      <w:r w:rsidR="00DF1F7C" w:rsidRPr="001B5760">
        <w:t>an armed conflict with France</w:t>
      </w:r>
      <w:r w:rsidR="001D765D" w:rsidRPr="001B5760">
        <w:t>.</w:t>
      </w:r>
      <w:r w:rsidR="00BE7DC5" w:rsidRPr="001B5760">
        <w:rPr>
          <w:rStyle w:val="EndnoteReference"/>
        </w:rPr>
        <w:endnoteReference w:id="20"/>
      </w:r>
      <w:r w:rsidR="00DF1F7C" w:rsidRPr="001B5760">
        <w:t xml:space="preserve"> In 1960, </w:t>
      </w:r>
      <w:r w:rsidR="008251B0" w:rsidRPr="001B5760">
        <w:t xml:space="preserve">Saint </w:t>
      </w:r>
      <w:r w:rsidR="00DF1F7C" w:rsidRPr="001B5760">
        <w:t xml:space="preserve">Laurent was </w:t>
      </w:r>
      <w:r w:rsidRPr="001B5760">
        <w:t xml:space="preserve">notified </w:t>
      </w:r>
      <w:r w:rsidR="00DF1F7C" w:rsidRPr="001B5760">
        <w:t xml:space="preserve">by the </w:t>
      </w:r>
      <w:r w:rsidRPr="001B5760">
        <w:t xml:space="preserve">Algerian </w:t>
      </w:r>
      <w:r w:rsidR="00DF1F7C" w:rsidRPr="001B5760">
        <w:t>military</w:t>
      </w:r>
      <w:r w:rsidR="0026276A">
        <w:t xml:space="preserve"> of </w:t>
      </w:r>
      <w:r w:rsidR="00DF1F7C" w:rsidRPr="001B5760">
        <w:t xml:space="preserve">his </w:t>
      </w:r>
      <w:r w:rsidRPr="001B5760">
        <w:t>obligatory</w:t>
      </w:r>
      <w:r w:rsidR="009D44D1" w:rsidRPr="001B5760">
        <w:t xml:space="preserve"> </w:t>
      </w:r>
      <w:r w:rsidRPr="001B5760">
        <w:t xml:space="preserve">military service; however, </w:t>
      </w:r>
      <w:r w:rsidR="00083C85" w:rsidRPr="001B5760">
        <w:t xml:space="preserve">he </w:t>
      </w:r>
      <w:r w:rsidR="00DF1F7C" w:rsidRPr="001B5760">
        <w:t>resist</w:t>
      </w:r>
      <w:r w:rsidRPr="001B5760">
        <w:t>ed</w:t>
      </w:r>
      <w:r w:rsidR="00DF1F7C" w:rsidRPr="001B5760">
        <w:t xml:space="preserve"> </w:t>
      </w:r>
      <w:r w:rsidR="0026276A">
        <w:t>conscription</w:t>
      </w:r>
      <w:r w:rsidR="007E0B86" w:rsidRPr="001B5760">
        <w:t>, c</w:t>
      </w:r>
      <w:r w:rsidR="009D44D1" w:rsidRPr="001B5760">
        <w:t>aus</w:t>
      </w:r>
      <w:r w:rsidR="007E0B86" w:rsidRPr="001B5760">
        <w:t>ing</w:t>
      </w:r>
      <w:r w:rsidR="009D44D1" w:rsidRPr="001B5760">
        <w:t xml:space="preserve"> </w:t>
      </w:r>
      <w:r w:rsidR="0026276A">
        <w:t>public disapproval</w:t>
      </w:r>
      <w:r w:rsidR="008251B0" w:rsidRPr="001B5760">
        <w:t>,</w:t>
      </w:r>
      <w:r w:rsidR="001D765D" w:rsidRPr="001B5760">
        <w:t xml:space="preserve"> </w:t>
      </w:r>
      <w:r w:rsidR="0026276A">
        <w:t xml:space="preserve">with many </w:t>
      </w:r>
      <w:r w:rsidRPr="001B5760">
        <w:t xml:space="preserve">calling him </w:t>
      </w:r>
      <w:r w:rsidR="00DF1F7C" w:rsidRPr="001B5760">
        <w:t>a coward</w:t>
      </w:r>
      <w:r w:rsidRPr="001B5760">
        <w:t xml:space="preserve"> and</w:t>
      </w:r>
      <w:r w:rsidR="00DF1F7C" w:rsidRPr="001B5760">
        <w:t xml:space="preserve"> a traitor</w:t>
      </w:r>
      <w:r w:rsidRPr="001B5760">
        <w:t xml:space="preserve"> to his country</w:t>
      </w:r>
      <w:r w:rsidR="00DF1F7C" w:rsidRPr="001B5760">
        <w:t>.</w:t>
      </w:r>
      <w:r w:rsidR="005817DB" w:rsidRPr="001B5760">
        <w:rPr>
          <w:rStyle w:val="EndnoteReference"/>
        </w:rPr>
        <w:endnoteReference w:id="21"/>
      </w:r>
      <w:r w:rsidR="00DF1F7C" w:rsidRPr="001B5760">
        <w:t xml:space="preserve"> </w:t>
      </w:r>
      <w:r w:rsidR="008251B0" w:rsidRPr="001B5760">
        <w:t>As a result of</w:t>
      </w:r>
      <w:r w:rsidR="0026276A">
        <w:t xml:space="preserve"> this</w:t>
      </w:r>
      <w:r w:rsidR="008251B0" w:rsidRPr="001B5760">
        <w:t xml:space="preserve"> intense</w:t>
      </w:r>
      <w:r w:rsidR="009D44D1" w:rsidRPr="001B5760">
        <w:t xml:space="preserve"> public criticism, </w:t>
      </w:r>
      <w:r w:rsidR="008251B0" w:rsidRPr="001B5760">
        <w:t xml:space="preserve">Saint </w:t>
      </w:r>
      <w:r w:rsidRPr="001B5760">
        <w:t>Laurent</w:t>
      </w:r>
      <w:r w:rsidR="00DF1F7C" w:rsidRPr="001B5760">
        <w:t xml:space="preserve"> </w:t>
      </w:r>
      <w:r w:rsidR="00DD5C33">
        <w:t xml:space="preserve">developed mental health issues, including depression, and </w:t>
      </w:r>
      <w:r w:rsidR="00DF1F7C" w:rsidRPr="001B5760">
        <w:t>was hospitalized</w:t>
      </w:r>
      <w:r w:rsidR="00DD5C33">
        <w:t>,</w:t>
      </w:r>
      <w:r w:rsidR="00DF1F7C" w:rsidRPr="001B5760">
        <w:t xml:space="preserve"> </w:t>
      </w:r>
      <w:r w:rsidR="00C914C0" w:rsidRPr="001B5760">
        <w:t>making him physically incapable of serving</w:t>
      </w:r>
      <w:r w:rsidR="00DF1F7C" w:rsidRPr="001B5760">
        <w:t xml:space="preserve"> his </w:t>
      </w:r>
      <w:r w:rsidR="009D44D1" w:rsidRPr="001B5760">
        <w:t xml:space="preserve">military </w:t>
      </w:r>
      <w:r w:rsidR="00DF1F7C" w:rsidRPr="001B5760">
        <w:t xml:space="preserve">service in Algeria. </w:t>
      </w:r>
      <w:r w:rsidR="00DD5C33">
        <w:t xml:space="preserve">In light of </w:t>
      </w:r>
      <w:r w:rsidR="00B45A73" w:rsidRPr="001B5760">
        <w:t>his</w:t>
      </w:r>
      <w:r w:rsidR="00DD5C33">
        <w:t xml:space="preserve"> avoidance of </w:t>
      </w:r>
      <w:r w:rsidR="00B45A73" w:rsidRPr="001B5760">
        <w:t xml:space="preserve">military </w:t>
      </w:r>
      <w:r w:rsidR="00DD5C33">
        <w:t xml:space="preserve">service </w:t>
      </w:r>
      <w:r w:rsidR="00B45A73" w:rsidRPr="001B5760">
        <w:t xml:space="preserve">and </w:t>
      </w:r>
      <w:r w:rsidR="008251B0" w:rsidRPr="001B5760">
        <w:t xml:space="preserve">his </w:t>
      </w:r>
      <w:r w:rsidR="001D765D" w:rsidRPr="001B5760">
        <w:t xml:space="preserve">fight </w:t>
      </w:r>
      <w:r w:rsidR="00B45A73" w:rsidRPr="001B5760">
        <w:t xml:space="preserve">with depression, </w:t>
      </w:r>
      <w:r w:rsidR="008251B0" w:rsidRPr="001B5760">
        <w:t xml:space="preserve">Saint </w:t>
      </w:r>
      <w:r w:rsidR="00B45A73" w:rsidRPr="001B5760">
        <w:t xml:space="preserve">Laurent was </w:t>
      </w:r>
      <w:r w:rsidR="007B7274" w:rsidRPr="001B5760">
        <w:t>released</w:t>
      </w:r>
      <w:r w:rsidR="00DF1F7C" w:rsidRPr="001B5760">
        <w:t xml:space="preserve"> by </w:t>
      </w:r>
      <w:r w:rsidR="00610119">
        <w:t xml:space="preserve">the </w:t>
      </w:r>
      <w:r w:rsidR="00DF1F7C" w:rsidRPr="001B5760">
        <w:t xml:space="preserve">Dior </w:t>
      </w:r>
      <w:r w:rsidR="00610119">
        <w:t xml:space="preserve">brand </w:t>
      </w:r>
      <w:r w:rsidR="00B45A73" w:rsidRPr="001B5760">
        <w:t>in 196</w:t>
      </w:r>
      <w:r w:rsidR="007B7274" w:rsidRPr="001B5760">
        <w:t>0</w:t>
      </w:r>
      <w:r w:rsidR="00B45A73" w:rsidRPr="001B5760">
        <w:t xml:space="preserve">, leaving </w:t>
      </w:r>
      <w:r w:rsidR="00886DB0" w:rsidRPr="001B5760">
        <w:t xml:space="preserve">him </w:t>
      </w:r>
      <w:r w:rsidR="00B45A73" w:rsidRPr="001B5760">
        <w:t xml:space="preserve">struggling to </w:t>
      </w:r>
      <w:r w:rsidR="004A73B9" w:rsidRPr="001B5760">
        <w:t xml:space="preserve">find </w:t>
      </w:r>
      <w:r w:rsidR="0089489B">
        <w:t>work</w:t>
      </w:r>
      <w:r w:rsidR="0089489B" w:rsidRPr="001B5760">
        <w:t xml:space="preserve"> </w:t>
      </w:r>
      <w:r w:rsidR="00B45A73" w:rsidRPr="001B5760">
        <w:t>in the couture fashion industry</w:t>
      </w:r>
      <w:r w:rsidR="00DF1F7C" w:rsidRPr="001B5760">
        <w:t>.</w:t>
      </w:r>
      <w:r w:rsidR="00F72305" w:rsidRPr="001B5760">
        <w:rPr>
          <w:rStyle w:val="EndnoteReference"/>
        </w:rPr>
        <w:endnoteReference w:id="22"/>
      </w:r>
      <w:r w:rsidR="00DF1F7C" w:rsidRPr="001B5760">
        <w:t xml:space="preserve"> </w:t>
      </w:r>
    </w:p>
    <w:p w14:paraId="411E2A12" w14:textId="77777777" w:rsidR="00DF1F7C" w:rsidRPr="001B5760" w:rsidRDefault="00DF1F7C" w:rsidP="00DF1F7C">
      <w:pPr>
        <w:pStyle w:val="BodyTextMain"/>
      </w:pPr>
    </w:p>
    <w:p w14:paraId="3D40D8A5" w14:textId="184164FF" w:rsidR="00DF1F7C" w:rsidRPr="001B5760" w:rsidRDefault="00747874" w:rsidP="00DF1F7C">
      <w:pPr>
        <w:pStyle w:val="BodyTextMain"/>
      </w:pPr>
      <w:r w:rsidRPr="001B5760">
        <w:t>A</w:t>
      </w:r>
      <w:r w:rsidR="004A73B9" w:rsidRPr="001B5760">
        <w:t>fter leaving the House</w:t>
      </w:r>
      <w:r w:rsidR="00A74870">
        <w:t xml:space="preserve"> of Dior</w:t>
      </w:r>
      <w:r w:rsidR="004A73B9" w:rsidRPr="001B5760">
        <w:t xml:space="preserve">, </w:t>
      </w:r>
      <w:r w:rsidR="008251B0" w:rsidRPr="001B5760">
        <w:t>Saint</w:t>
      </w:r>
      <w:r w:rsidR="00DF1F7C" w:rsidRPr="001B5760">
        <w:t xml:space="preserve"> </w:t>
      </w:r>
      <w:r w:rsidR="00900E10" w:rsidRPr="001B5760">
        <w:t>Laurent</w:t>
      </w:r>
      <w:r w:rsidR="00472B46" w:rsidRPr="001B5760">
        <w:t>’</w:t>
      </w:r>
      <w:r w:rsidR="00900E10" w:rsidRPr="001B5760">
        <w:t xml:space="preserve">s </w:t>
      </w:r>
      <w:r w:rsidR="00DF1F7C" w:rsidRPr="001B5760">
        <w:t xml:space="preserve">depression </w:t>
      </w:r>
      <w:r w:rsidR="00176878" w:rsidRPr="001B5760">
        <w:t>intensified</w:t>
      </w:r>
      <w:r w:rsidR="00DF1F7C" w:rsidRPr="001B5760">
        <w:t xml:space="preserve"> </w:t>
      </w:r>
      <w:r w:rsidR="00DD5C33">
        <w:t xml:space="preserve">because, he asserted, </w:t>
      </w:r>
      <w:r w:rsidR="00DF1F7C" w:rsidRPr="001B5760">
        <w:t xml:space="preserve">he was not </w:t>
      </w:r>
      <w:r w:rsidR="00900E10" w:rsidRPr="001B5760">
        <w:t xml:space="preserve">designing </w:t>
      </w:r>
      <w:r w:rsidR="00886DB0" w:rsidRPr="001B5760">
        <w:t xml:space="preserve">or </w:t>
      </w:r>
      <w:r w:rsidR="00DF1F7C" w:rsidRPr="001B5760">
        <w:t>creating anymore.</w:t>
      </w:r>
      <w:r w:rsidRPr="001B5760">
        <w:rPr>
          <w:rStyle w:val="EndnoteReference"/>
        </w:rPr>
        <w:endnoteReference w:id="23"/>
      </w:r>
      <w:r w:rsidRPr="001B5760">
        <w:t xml:space="preserve"> </w:t>
      </w:r>
      <w:r w:rsidR="00DF1F7C" w:rsidRPr="001B5760">
        <w:t xml:space="preserve">Nevertheless, </w:t>
      </w:r>
      <w:proofErr w:type="spellStart"/>
      <w:r w:rsidR="00DF1F7C" w:rsidRPr="001B5760">
        <w:t>Bergé</w:t>
      </w:r>
      <w:proofErr w:type="spellEnd"/>
      <w:r w:rsidR="00DF1F7C" w:rsidRPr="001B5760">
        <w:t xml:space="preserve"> supported</w:t>
      </w:r>
      <w:r w:rsidR="008251B0" w:rsidRPr="001B5760">
        <w:t xml:space="preserve"> Saint</w:t>
      </w:r>
      <w:r w:rsidR="00DF1F7C" w:rsidRPr="001B5760">
        <w:t xml:space="preserve"> </w:t>
      </w:r>
      <w:r w:rsidR="00900E10" w:rsidRPr="001B5760">
        <w:t xml:space="preserve">Laurent </w:t>
      </w:r>
      <w:r w:rsidR="00DF1F7C" w:rsidRPr="001B5760">
        <w:t>through</w:t>
      </w:r>
      <w:r w:rsidR="00176878" w:rsidRPr="001B5760">
        <w:t>out</w:t>
      </w:r>
      <w:r w:rsidR="00DD5C33">
        <w:t xml:space="preserve"> this ordeal</w:t>
      </w:r>
      <w:r w:rsidR="00900E10" w:rsidRPr="001B5760">
        <w:t xml:space="preserve">, </w:t>
      </w:r>
      <w:r w:rsidR="009B4A4F" w:rsidRPr="001B5760">
        <w:t>ultimately</w:t>
      </w:r>
      <w:r w:rsidR="00DF1F7C" w:rsidRPr="001B5760">
        <w:t xml:space="preserve"> </w:t>
      </w:r>
      <w:r w:rsidR="009B4A4F" w:rsidRPr="001B5760">
        <w:t xml:space="preserve">convincing </w:t>
      </w:r>
      <w:r w:rsidR="008251B0" w:rsidRPr="001B5760">
        <w:t xml:space="preserve">Saint </w:t>
      </w:r>
      <w:r w:rsidR="009B4A4F" w:rsidRPr="001B5760">
        <w:t>Laurent</w:t>
      </w:r>
      <w:r w:rsidR="00DF1F7C" w:rsidRPr="001B5760">
        <w:t xml:space="preserve"> to open his own</w:t>
      </w:r>
      <w:r w:rsidR="009B4A4F" w:rsidRPr="001B5760">
        <w:t xml:space="preserve"> couture</w:t>
      </w:r>
      <w:r w:rsidR="00DF1F7C" w:rsidRPr="001B5760">
        <w:t xml:space="preserve"> house. </w:t>
      </w:r>
      <w:proofErr w:type="spellStart"/>
      <w:r w:rsidR="00DF1F7C" w:rsidRPr="001B5760">
        <w:t>Bergé</w:t>
      </w:r>
      <w:proofErr w:type="spellEnd"/>
      <w:r w:rsidR="00176878" w:rsidRPr="001B5760">
        <w:t xml:space="preserve"> suggested</w:t>
      </w:r>
      <w:r w:rsidR="00DD5C33">
        <w:t xml:space="preserve"> that he serve as</w:t>
      </w:r>
      <w:r w:rsidR="00DF1F7C" w:rsidRPr="001B5760">
        <w:t xml:space="preserve"> </w:t>
      </w:r>
      <w:r w:rsidR="00DF1F7C" w:rsidRPr="001B5760">
        <w:lastRenderedPageBreak/>
        <w:t xml:space="preserve">administrator </w:t>
      </w:r>
      <w:r w:rsidR="00614E3A" w:rsidRPr="001B5760">
        <w:t xml:space="preserve">of the couture house, </w:t>
      </w:r>
      <w:r w:rsidR="007E0B86" w:rsidRPr="001B5760">
        <w:t xml:space="preserve">with </w:t>
      </w:r>
      <w:r w:rsidR="008251B0" w:rsidRPr="001B5760">
        <w:t xml:space="preserve">Saint </w:t>
      </w:r>
      <w:r w:rsidR="00DF1F7C" w:rsidRPr="001B5760">
        <w:t>Laurent</w:t>
      </w:r>
      <w:r w:rsidR="00DD5C33">
        <w:t xml:space="preserve"> serving</w:t>
      </w:r>
      <w:r w:rsidR="00176878" w:rsidRPr="001B5760">
        <w:t xml:space="preserve"> </w:t>
      </w:r>
      <w:r w:rsidR="00DD5C33">
        <w:t>as the</w:t>
      </w:r>
      <w:r w:rsidR="00DF1F7C" w:rsidRPr="001B5760">
        <w:t xml:space="preserve"> creat</w:t>
      </w:r>
      <w:r w:rsidR="00A547B8">
        <w:t>ive d</w:t>
      </w:r>
      <w:r w:rsidR="00BF329F">
        <w:t>irector</w:t>
      </w:r>
      <w:r w:rsidR="00DF1F7C" w:rsidRPr="001B5760">
        <w:t xml:space="preserve">. </w:t>
      </w:r>
      <w:r w:rsidR="007E0B86" w:rsidRPr="001B5760">
        <w:t>Lacking</w:t>
      </w:r>
      <w:r w:rsidR="00FC1718" w:rsidRPr="001B5760">
        <w:t xml:space="preserve"> funding</w:t>
      </w:r>
      <w:r w:rsidR="00DD5C33">
        <w:t xml:space="preserve"> for such a project</w:t>
      </w:r>
      <w:r w:rsidR="00FC1718" w:rsidRPr="001B5760">
        <w:t xml:space="preserve">, </w:t>
      </w:r>
      <w:r w:rsidR="008251B0" w:rsidRPr="001B5760">
        <w:t xml:space="preserve">Saint </w:t>
      </w:r>
      <w:r w:rsidR="00FC1718" w:rsidRPr="001B5760">
        <w:t xml:space="preserve">Laurent entered a legal battle with </w:t>
      </w:r>
      <w:r w:rsidR="00A74870">
        <w:t xml:space="preserve">the </w:t>
      </w:r>
      <w:r w:rsidR="00FC1718" w:rsidRPr="001B5760">
        <w:t>House</w:t>
      </w:r>
      <w:r w:rsidR="00A74870">
        <w:t xml:space="preserve"> of Dior</w:t>
      </w:r>
      <w:r w:rsidR="00FC1718" w:rsidRPr="001B5760">
        <w:t xml:space="preserve"> </w:t>
      </w:r>
      <w:r w:rsidR="00B702AE" w:rsidRPr="001B5760">
        <w:t xml:space="preserve">over </w:t>
      </w:r>
      <w:r w:rsidR="003F79E8" w:rsidRPr="001B5760">
        <w:t xml:space="preserve">a breach of contract for </w:t>
      </w:r>
      <w:r w:rsidR="002E2896" w:rsidRPr="001B5760">
        <w:t>his</w:t>
      </w:r>
      <w:r w:rsidR="00FC1718" w:rsidRPr="001B5760">
        <w:t xml:space="preserve"> unfair dismissal</w:t>
      </w:r>
      <w:r w:rsidR="002E2896" w:rsidRPr="001B5760">
        <w:t xml:space="preserve"> as </w:t>
      </w:r>
      <w:r w:rsidR="00357C54">
        <w:t>creative director</w:t>
      </w:r>
      <w:r w:rsidR="00FC1718" w:rsidRPr="001B5760">
        <w:t>.</w:t>
      </w:r>
      <w:r w:rsidR="003F79E8" w:rsidRPr="001B5760">
        <w:rPr>
          <w:rStyle w:val="EndnoteReference"/>
        </w:rPr>
        <w:endnoteReference w:id="24"/>
      </w:r>
      <w:r w:rsidR="002E2896" w:rsidRPr="001B5760">
        <w:t xml:space="preserve"> Winning </w:t>
      </w:r>
      <w:r w:rsidR="00886DB0" w:rsidRPr="001B5760">
        <w:t xml:space="preserve">the </w:t>
      </w:r>
      <w:r w:rsidR="008A70BE" w:rsidRPr="001B5760">
        <w:t>dispute</w:t>
      </w:r>
      <w:r w:rsidR="003F79E8" w:rsidRPr="001B5760">
        <w:t xml:space="preserve"> and collecting £48,000</w:t>
      </w:r>
      <w:r w:rsidR="002E2896" w:rsidRPr="001B5760">
        <w:t>,</w:t>
      </w:r>
      <w:r w:rsidR="001F7CE9">
        <w:rPr>
          <w:rStyle w:val="EndnoteReference"/>
        </w:rPr>
        <w:endnoteReference w:id="25"/>
      </w:r>
      <w:r w:rsidR="002E2896" w:rsidRPr="001B5760">
        <w:t xml:space="preserve"> the partner</w:t>
      </w:r>
      <w:r w:rsidR="006657C2" w:rsidRPr="001B5760">
        <w:t>s</w:t>
      </w:r>
      <w:r w:rsidR="002E2896" w:rsidRPr="001B5760">
        <w:t xml:space="preserve"> </w:t>
      </w:r>
      <w:r w:rsidR="008251B0" w:rsidRPr="001B5760">
        <w:t xml:space="preserve">Saint </w:t>
      </w:r>
      <w:r w:rsidR="002E2896" w:rsidRPr="001B5760">
        <w:t xml:space="preserve">Laurent and </w:t>
      </w:r>
      <w:proofErr w:type="spellStart"/>
      <w:r w:rsidR="002E2896" w:rsidRPr="001B5760">
        <w:t>Bergé</w:t>
      </w:r>
      <w:proofErr w:type="spellEnd"/>
      <w:r w:rsidR="002E2896" w:rsidRPr="001B5760">
        <w:t xml:space="preserve">, along with assistance from former Dior employees and financial backing from </w:t>
      </w:r>
      <w:r w:rsidR="008251B0" w:rsidRPr="001B5760">
        <w:t>U.S.</w:t>
      </w:r>
      <w:r w:rsidR="001B5760" w:rsidRPr="001B5760">
        <w:t xml:space="preserve"> businessman</w:t>
      </w:r>
      <w:r w:rsidR="008251B0" w:rsidRPr="001B5760">
        <w:t xml:space="preserve"> </w:t>
      </w:r>
      <w:r w:rsidR="002E2896" w:rsidRPr="001B5760">
        <w:t>J. Mack Robinson, opened Saint Laurent</w:t>
      </w:r>
      <w:r w:rsidR="00610119">
        <w:t>’s own fashion house (YSL)</w:t>
      </w:r>
      <w:r w:rsidR="002E2896" w:rsidRPr="001B5760">
        <w:t xml:space="preserve"> </w:t>
      </w:r>
      <w:r w:rsidR="00197643" w:rsidRPr="001B5760">
        <w:t xml:space="preserve">in Paris </w:t>
      </w:r>
      <w:r w:rsidR="002E2896" w:rsidRPr="001B5760">
        <w:t xml:space="preserve">in </w:t>
      </w:r>
      <w:r w:rsidR="00197643" w:rsidRPr="001B5760">
        <w:t>January 1962</w:t>
      </w:r>
      <w:r w:rsidR="002E2896" w:rsidRPr="001B5760">
        <w:t>.</w:t>
      </w:r>
      <w:r w:rsidR="003F79E8" w:rsidRPr="001B5760">
        <w:rPr>
          <w:rStyle w:val="EndnoteReference"/>
        </w:rPr>
        <w:endnoteReference w:id="26"/>
      </w:r>
      <w:r w:rsidR="002E2896" w:rsidRPr="001B5760">
        <w:t xml:space="preserve"> </w:t>
      </w:r>
      <w:r w:rsidR="00614E3A" w:rsidRPr="001B5760">
        <w:t xml:space="preserve">Yet </w:t>
      </w:r>
      <w:r w:rsidR="008A70BE" w:rsidRPr="001B5760">
        <w:t xml:space="preserve">many questioned </w:t>
      </w:r>
      <w:r w:rsidR="00610119">
        <w:t>whether</w:t>
      </w:r>
      <w:r w:rsidR="008A70BE" w:rsidRPr="001B5760">
        <w:t xml:space="preserve"> </w:t>
      </w:r>
      <w:r w:rsidR="001B5760" w:rsidRPr="001B5760">
        <w:t xml:space="preserve">Saint </w:t>
      </w:r>
      <w:r w:rsidR="00614E3A" w:rsidRPr="001B5760">
        <w:t xml:space="preserve">Laurent </w:t>
      </w:r>
      <w:r w:rsidR="005817DB" w:rsidRPr="001B5760">
        <w:t xml:space="preserve">was </w:t>
      </w:r>
      <w:r w:rsidR="00614E3A" w:rsidRPr="001B5760">
        <w:t xml:space="preserve">ready to overcome his battle with depression and </w:t>
      </w:r>
      <w:r w:rsidR="00602396" w:rsidRPr="001B5760">
        <w:t xml:space="preserve">lead his </w:t>
      </w:r>
      <w:r w:rsidR="004A73B9" w:rsidRPr="001B5760">
        <w:t xml:space="preserve">new </w:t>
      </w:r>
      <w:r w:rsidR="00602396" w:rsidRPr="001B5760">
        <w:t xml:space="preserve">brand to </w:t>
      </w:r>
      <w:r w:rsidR="00614E3A" w:rsidRPr="001B5760">
        <w:t>success</w:t>
      </w:r>
      <w:r w:rsidR="00610119">
        <w:t>.</w:t>
      </w:r>
      <w:r w:rsidR="00614E3A" w:rsidRPr="001B5760">
        <w:t xml:space="preserve"> </w:t>
      </w:r>
    </w:p>
    <w:p w14:paraId="7BC3FF30" w14:textId="77777777" w:rsidR="00DF1F7C" w:rsidRPr="001B5760" w:rsidRDefault="00DF1F7C" w:rsidP="00DF1F7C">
      <w:pPr>
        <w:pStyle w:val="BodyTextMain"/>
      </w:pPr>
    </w:p>
    <w:p w14:paraId="2921DF0E" w14:textId="77777777" w:rsidR="00DF1F7C" w:rsidRPr="001B5760" w:rsidRDefault="00DF1F7C" w:rsidP="00DF1F7C">
      <w:pPr>
        <w:pStyle w:val="BodyTextMain"/>
      </w:pPr>
    </w:p>
    <w:p w14:paraId="1376F76D" w14:textId="1AD6C1A5" w:rsidR="00DF1F7C" w:rsidRPr="001B5760" w:rsidRDefault="004A73B9" w:rsidP="00357C54">
      <w:pPr>
        <w:pStyle w:val="Casehead1"/>
        <w:outlineLvl w:val="0"/>
      </w:pPr>
      <w:r w:rsidRPr="001B5760">
        <w:t xml:space="preserve">going his own way: </w:t>
      </w:r>
      <w:r w:rsidR="00DF1F7C" w:rsidRPr="001B5760">
        <w:t xml:space="preserve">The </w:t>
      </w:r>
      <w:r w:rsidR="001626A5" w:rsidRPr="001B5760">
        <w:t xml:space="preserve">RISE </w:t>
      </w:r>
      <w:r w:rsidR="00DF1F7C" w:rsidRPr="001B5760">
        <w:t>of</w:t>
      </w:r>
      <w:r w:rsidR="00A74870">
        <w:t xml:space="preserve"> </w:t>
      </w:r>
      <w:r w:rsidR="00DD5C33">
        <w:t>YSL</w:t>
      </w:r>
    </w:p>
    <w:p w14:paraId="55FED42F" w14:textId="77777777" w:rsidR="00DF1F7C" w:rsidRPr="001B5760" w:rsidRDefault="00DF1F7C" w:rsidP="00DF1F7C">
      <w:pPr>
        <w:pStyle w:val="BodyTextMain"/>
      </w:pPr>
    </w:p>
    <w:p w14:paraId="2C1EE2C5" w14:textId="50945037" w:rsidR="00DF1F7C" w:rsidRPr="001B5760" w:rsidRDefault="00B62C98" w:rsidP="00DF1F7C">
      <w:pPr>
        <w:pStyle w:val="BodyTextMain"/>
      </w:pPr>
      <w:r w:rsidRPr="001B5760">
        <w:t xml:space="preserve">Relying on </w:t>
      </w:r>
      <w:r w:rsidR="008A70BE" w:rsidRPr="001B5760">
        <w:t xml:space="preserve">his </w:t>
      </w:r>
      <w:r w:rsidR="005817DB" w:rsidRPr="001B5760">
        <w:t>early</w:t>
      </w:r>
      <w:r w:rsidR="00E25C4C" w:rsidRPr="001B5760">
        <w:t xml:space="preserve"> </w:t>
      </w:r>
      <w:r w:rsidR="008A70BE" w:rsidRPr="001B5760">
        <w:t>experience</w:t>
      </w:r>
      <w:r w:rsidR="004A73B9" w:rsidRPr="001B5760">
        <w:t>,</w:t>
      </w:r>
      <w:r w:rsidR="001B5760" w:rsidRPr="001B5760">
        <w:t xml:space="preserve"> Saint</w:t>
      </w:r>
      <w:r w:rsidR="0055673A" w:rsidRPr="001B5760">
        <w:t xml:space="preserve"> Laurent introduced his first haute couture collection under the </w:t>
      </w:r>
      <w:r w:rsidR="0055673A" w:rsidRPr="00356EF7">
        <w:rPr>
          <w:i/>
        </w:rPr>
        <w:t>Y</w:t>
      </w:r>
      <w:r w:rsidR="00DD5C33" w:rsidRPr="00356EF7">
        <w:rPr>
          <w:i/>
        </w:rPr>
        <w:t xml:space="preserve">ves </w:t>
      </w:r>
      <w:r w:rsidR="0055673A" w:rsidRPr="00356EF7">
        <w:rPr>
          <w:i/>
        </w:rPr>
        <w:t>S</w:t>
      </w:r>
      <w:r w:rsidR="00DD5C33" w:rsidRPr="00356EF7">
        <w:rPr>
          <w:i/>
        </w:rPr>
        <w:t xml:space="preserve">aint </w:t>
      </w:r>
      <w:r w:rsidR="0055673A" w:rsidRPr="00356EF7">
        <w:rPr>
          <w:i/>
        </w:rPr>
        <w:t>L</w:t>
      </w:r>
      <w:r w:rsidR="00DD5C33" w:rsidRPr="00356EF7">
        <w:rPr>
          <w:i/>
        </w:rPr>
        <w:t>aurent</w:t>
      </w:r>
      <w:r w:rsidR="0055673A" w:rsidRPr="001B5760">
        <w:t xml:space="preserve"> logo</w:t>
      </w:r>
      <w:r w:rsidR="004A73B9" w:rsidRPr="001B5760">
        <w:t xml:space="preserve">, </w:t>
      </w:r>
      <w:r w:rsidR="00DF1F7C" w:rsidRPr="001B5760">
        <w:t>moderniz</w:t>
      </w:r>
      <w:r w:rsidR="0055673A" w:rsidRPr="001B5760">
        <w:t>ing</w:t>
      </w:r>
      <w:r w:rsidR="00DF1F7C" w:rsidRPr="001B5760">
        <w:t xml:space="preserve"> </w:t>
      </w:r>
      <w:r w:rsidR="00747874" w:rsidRPr="001B5760">
        <w:t>women</w:t>
      </w:r>
      <w:r w:rsidR="004A73B9" w:rsidRPr="001B5760">
        <w:t xml:space="preserve"> by</w:t>
      </w:r>
      <w:r w:rsidR="00344E58" w:rsidRPr="001B5760">
        <w:t xml:space="preserve"> designing clothes with similar dress styles and</w:t>
      </w:r>
      <w:r w:rsidR="00DF1F7C" w:rsidRPr="001B5760">
        <w:t xml:space="preserve"> </w:t>
      </w:r>
      <w:r w:rsidR="00344E58" w:rsidRPr="001B5760">
        <w:t xml:space="preserve">codes as men, yet </w:t>
      </w:r>
      <w:r w:rsidR="001929FD">
        <w:t xml:space="preserve">with a </w:t>
      </w:r>
      <w:r w:rsidR="00AB21E6" w:rsidRPr="001B5760">
        <w:t xml:space="preserve">more </w:t>
      </w:r>
      <w:r w:rsidR="00DF1F7C" w:rsidRPr="001B5760">
        <w:t>feminine</w:t>
      </w:r>
      <w:r w:rsidR="001929FD">
        <w:t xml:space="preserve"> appearance</w:t>
      </w:r>
      <w:r w:rsidR="00DF1F7C" w:rsidRPr="001B5760">
        <w:t xml:space="preserve">. </w:t>
      </w:r>
      <w:r w:rsidR="008A70BE" w:rsidRPr="001B5760">
        <w:t xml:space="preserve">As </w:t>
      </w:r>
      <w:r w:rsidR="009B0998">
        <w:t xml:space="preserve">Saint </w:t>
      </w:r>
      <w:r w:rsidR="008A70BE" w:rsidRPr="001B5760">
        <w:t xml:space="preserve">Laurent continued to design, </w:t>
      </w:r>
      <w:r w:rsidR="005817DB" w:rsidRPr="001B5760">
        <w:t>he released</w:t>
      </w:r>
      <w:r w:rsidR="00DF1F7C" w:rsidRPr="001B5760">
        <w:t xml:space="preserve"> famous </w:t>
      </w:r>
      <w:r w:rsidR="008A70BE" w:rsidRPr="001B5760">
        <w:t>works</w:t>
      </w:r>
      <w:r w:rsidR="001929FD">
        <w:t>,</w:t>
      </w:r>
      <w:r w:rsidR="008A70BE" w:rsidRPr="001B5760">
        <w:t xml:space="preserve"> </w:t>
      </w:r>
      <w:r w:rsidR="00344E58" w:rsidRPr="001B5760">
        <w:t>includ</w:t>
      </w:r>
      <w:r w:rsidR="005817DB" w:rsidRPr="001B5760">
        <w:t>ing</w:t>
      </w:r>
      <w:r w:rsidR="00344E58" w:rsidRPr="001B5760">
        <w:t xml:space="preserve"> </w:t>
      </w:r>
      <w:r w:rsidR="00DF1F7C" w:rsidRPr="001B5760">
        <w:t xml:space="preserve">the </w:t>
      </w:r>
      <w:proofErr w:type="spellStart"/>
      <w:r w:rsidR="00DF1F7C" w:rsidRPr="0078372B">
        <w:rPr>
          <w:i/>
        </w:rPr>
        <w:t>caban</w:t>
      </w:r>
      <w:proofErr w:type="spellEnd"/>
      <w:r w:rsidR="00DF1F7C" w:rsidRPr="001B5760">
        <w:t xml:space="preserve"> and trench</w:t>
      </w:r>
      <w:r w:rsidR="00AB21E6" w:rsidRPr="001B5760">
        <w:t xml:space="preserve"> </w:t>
      </w:r>
      <w:r w:rsidR="00DF1F7C" w:rsidRPr="001B5760">
        <w:t xml:space="preserve">coat in 1962, the first smoking </w:t>
      </w:r>
      <w:r w:rsidR="00344E58" w:rsidRPr="001B5760">
        <w:t xml:space="preserve">suit </w:t>
      </w:r>
      <w:r w:rsidR="00DF1F7C" w:rsidRPr="001B5760">
        <w:t>for women in 1966, the</w:t>
      </w:r>
      <w:r w:rsidR="00DF1F7C" w:rsidRPr="0078372B">
        <w:rPr>
          <w:i/>
        </w:rPr>
        <w:t xml:space="preserve"> </w:t>
      </w:r>
      <w:proofErr w:type="spellStart"/>
      <w:r w:rsidR="00DF1F7C" w:rsidRPr="0078372B">
        <w:rPr>
          <w:i/>
        </w:rPr>
        <w:t>saharienne</w:t>
      </w:r>
      <w:proofErr w:type="spellEnd"/>
      <w:r w:rsidR="00DF1F7C" w:rsidRPr="001B5760">
        <w:t xml:space="preserve"> and </w:t>
      </w:r>
      <w:r w:rsidR="001929FD">
        <w:t xml:space="preserve">the </w:t>
      </w:r>
      <w:r w:rsidR="00DF1F7C" w:rsidRPr="001B5760">
        <w:t xml:space="preserve">first </w:t>
      </w:r>
      <w:proofErr w:type="spellStart"/>
      <w:r w:rsidR="00DF1F7C" w:rsidRPr="0078372B">
        <w:rPr>
          <w:i/>
        </w:rPr>
        <w:t>tailleur</w:t>
      </w:r>
      <w:proofErr w:type="spellEnd"/>
      <w:r w:rsidR="00DF1F7C" w:rsidRPr="0078372B">
        <w:rPr>
          <w:i/>
        </w:rPr>
        <w:t xml:space="preserve"> </w:t>
      </w:r>
      <w:proofErr w:type="spellStart"/>
      <w:r w:rsidR="00DF1F7C" w:rsidRPr="0078372B">
        <w:rPr>
          <w:i/>
        </w:rPr>
        <w:t>pantalon</w:t>
      </w:r>
      <w:proofErr w:type="spellEnd"/>
      <w:r w:rsidR="00DF1F7C" w:rsidRPr="001B5760">
        <w:t xml:space="preserve"> in 1967, and the first jumpsuit in 1968</w:t>
      </w:r>
      <w:r w:rsidR="001929FD">
        <w:t>.</w:t>
      </w:r>
      <w:r w:rsidR="00E25C4C" w:rsidRPr="001B5760">
        <w:rPr>
          <w:rStyle w:val="EndnoteReference"/>
        </w:rPr>
        <w:endnoteReference w:id="27"/>
      </w:r>
      <w:r w:rsidR="00DF1F7C" w:rsidRPr="001B5760">
        <w:t xml:space="preserve"> </w:t>
      </w:r>
      <w:r w:rsidR="00602396" w:rsidRPr="001B5760">
        <w:t xml:space="preserve">That same year, </w:t>
      </w:r>
      <w:r w:rsidR="001B5760" w:rsidRPr="001B5760">
        <w:t xml:space="preserve">Saint </w:t>
      </w:r>
      <w:r w:rsidR="00602396" w:rsidRPr="001B5760">
        <w:t xml:space="preserve">Laurent shocked the fashion world with </w:t>
      </w:r>
      <w:r w:rsidR="008E5CF8" w:rsidRPr="001B5760">
        <w:t>his</w:t>
      </w:r>
      <w:r w:rsidR="00602396" w:rsidRPr="001B5760">
        <w:t xml:space="preserve"> </w:t>
      </w:r>
      <w:r w:rsidR="00472B46" w:rsidRPr="001B5760">
        <w:t>“</w:t>
      </w:r>
      <w:r w:rsidR="00602396" w:rsidRPr="001B5760">
        <w:t>see-through</w:t>
      </w:r>
      <w:r w:rsidR="00472B46" w:rsidRPr="001B5760">
        <w:t>”</w:t>
      </w:r>
      <w:r w:rsidR="00602396" w:rsidRPr="001B5760">
        <w:t xml:space="preserve"> design</w:t>
      </w:r>
      <w:r w:rsidR="001929FD">
        <w:t xml:space="preserve"> for shirts</w:t>
      </w:r>
      <w:r w:rsidR="00602396" w:rsidRPr="001B5760">
        <w:t xml:space="preserve">, a style </w:t>
      </w:r>
      <w:r w:rsidR="001929FD">
        <w:t>that would continue to inspire for decades to come</w:t>
      </w:r>
      <w:r w:rsidR="00602396" w:rsidRPr="001B5760">
        <w:t>.</w:t>
      </w:r>
      <w:r w:rsidR="00E25C4C" w:rsidRPr="001B5760">
        <w:rPr>
          <w:rStyle w:val="EndnoteReference"/>
        </w:rPr>
        <w:endnoteReference w:id="28"/>
      </w:r>
      <w:r w:rsidR="001B5760" w:rsidRPr="001B5760">
        <w:t xml:space="preserve"> Saint</w:t>
      </w:r>
      <w:r w:rsidR="00602396" w:rsidRPr="001B5760">
        <w:t xml:space="preserve"> Laurent found creative insp</w:t>
      </w:r>
      <w:r w:rsidR="001B5760" w:rsidRPr="001B5760">
        <w:t xml:space="preserve">iration </w:t>
      </w:r>
      <w:r w:rsidR="001929FD">
        <w:t>in</w:t>
      </w:r>
      <w:r w:rsidR="001929FD" w:rsidRPr="001B5760">
        <w:t xml:space="preserve"> </w:t>
      </w:r>
      <w:r w:rsidR="001B5760" w:rsidRPr="001B5760">
        <w:t>his love of theatre</w:t>
      </w:r>
      <w:r w:rsidR="00602396" w:rsidRPr="001B5760">
        <w:t xml:space="preserve"> and </w:t>
      </w:r>
      <w:r w:rsidR="008E5CF8" w:rsidRPr="001B5760">
        <w:t>the</w:t>
      </w:r>
      <w:r w:rsidR="00602396" w:rsidRPr="001B5760">
        <w:t xml:space="preserve"> décor and costume designs that appeared on stage and in films.</w:t>
      </w:r>
      <w:r w:rsidR="00E25C4C" w:rsidRPr="001B5760">
        <w:rPr>
          <w:rStyle w:val="EndnoteReference"/>
        </w:rPr>
        <w:endnoteReference w:id="29"/>
      </w:r>
      <w:r w:rsidR="00E255EA" w:rsidRPr="001B5760">
        <w:t xml:space="preserve"> </w:t>
      </w:r>
      <w:r w:rsidR="00602396" w:rsidRPr="001B5760">
        <w:t>Continuing</w:t>
      </w:r>
      <w:r w:rsidR="001626A5" w:rsidRPr="001B5760">
        <w:t xml:space="preserve"> to redefine women</w:t>
      </w:r>
      <w:r w:rsidR="00472B46" w:rsidRPr="001B5760">
        <w:t>’</w:t>
      </w:r>
      <w:r w:rsidR="001626A5" w:rsidRPr="001B5760">
        <w:t xml:space="preserve">s clothing and styles </w:t>
      </w:r>
      <w:r w:rsidR="00602396" w:rsidRPr="001B5760">
        <w:t>throughout the</w:t>
      </w:r>
      <w:r w:rsidR="001626A5" w:rsidRPr="001B5760">
        <w:t xml:space="preserve"> 1960s</w:t>
      </w:r>
      <w:r w:rsidR="00DF1F7C" w:rsidRPr="001B5760">
        <w:t xml:space="preserve">, </w:t>
      </w:r>
      <w:r w:rsidR="001929FD">
        <w:t>he</w:t>
      </w:r>
      <w:r w:rsidR="00602396" w:rsidRPr="001B5760">
        <w:t xml:space="preserve"> expand</w:t>
      </w:r>
      <w:r w:rsidR="008A70BE" w:rsidRPr="001B5760">
        <w:t>ed</w:t>
      </w:r>
      <w:r w:rsidR="00602396" w:rsidRPr="001B5760">
        <w:t xml:space="preserve"> his creative repertoire to include </w:t>
      </w:r>
      <w:r w:rsidR="001929FD">
        <w:t>fashion for men and</w:t>
      </w:r>
      <w:r w:rsidR="001929FD" w:rsidRPr="001B5760">
        <w:t xml:space="preserve"> </w:t>
      </w:r>
      <w:r w:rsidR="008A70BE" w:rsidRPr="001B5760">
        <w:t>a ready</w:t>
      </w:r>
      <w:r w:rsidR="001929FD">
        <w:t>-</w:t>
      </w:r>
      <w:r w:rsidR="008A70BE" w:rsidRPr="001B5760">
        <w:t>to</w:t>
      </w:r>
      <w:r w:rsidR="001929FD">
        <w:t>-</w:t>
      </w:r>
      <w:r w:rsidR="008A70BE" w:rsidRPr="001B5760">
        <w:t>wear line</w:t>
      </w:r>
      <w:r w:rsidR="001929FD">
        <w:t xml:space="preserve">, </w:t>
      </w:r>
      <w:r w:rsidR="008A70BE" w:rsidRPr="001B5760">
        <w:t>target</w:t>
      </w:r>
      <w:r w:rsidR="001929FD">
        <w:t>ing</w:t>
      </w:r>
      <w:r w:rsidR="008A70BE" w:rsidRPr="001B5760">
        <w:t xml:space="preserve"> a rising new trend</w:t>
      </w:r>
      <w:r w:rsidR="001929FD">
        <w:t xml:space="preserve"> that focused on less affluent shoppers.</w:t>
      </w:r>
    </w:p>
    <w:p w14:paraId="37EE7549" w14:textId="77777777" w:rsidR="00DF1F7C" w:rsidRPr="001B5760" w:rsidRDefault="00DF1F7C" w:rsidP="00DF1F7C">
      <w:pPr>
        <w:pStyle w:val="BodyTextMain"/>
      </w:pPr>
    </w:p>
    <w:p w14:paraId="52164391" w14:textId="584E83E5" w:rsidR="001626A5" w:rsidRPr="001B5760" w:rsidRDefault="001626A5" w:rsidP="001626A5">
      <w:pPr>
        <w:pStyle w:val="BodyTextMain"/>
      </w:pPr>
      <w:r w:rsidRPr="001B5760">
        <w:t>Aiming to make haute couture more accessible</w:t>
      </w:r>
      <w:r w:rsidR="001929FD">
        <w:t xml:space="preserve">, </w:t>
      </w:r>
      <w:r w:rsidRPr="001B5760">
        <w:t>Pierre Cardin was the first</w:t>
      </w:r>
      <w:r w:rsidR="003A7645" w:rsidRPr="001B5760">
        <w:t xml:space="preserve"> </w:t>
      </w:r>
      <w:r w:rsidRPr="001B5760">
        <w:t xml:space="preserve">designer to </w:t>
      </w:r>
      <w:r w:rsidR="003A7645" w:rsidRPr="001B5760">
        <w:t xml:space="preserve">release </w:t>
      </w:r>
      <w:r w:rsidRPr="001B5760">
        <w:t xml:space="preserve">luxury ready-to-wear </w:t>
      </w:r>
      <w:r w:rsidR="004A73B9" w:rsidRPr="001B5760">
        <w:t>clothing</w:t>
      </w:r>
      <w:r w:rsidRPr="001B5760">
        <w:t xml:space="preserve"> in 1959.</w:t>
      </w:r>
      <w:r w:rsidR="003A7645" w:rsidRPr="001B5760">
        <w:rPr>
          <w:rStyle w:val="EndnoteReference"/>
        </w:rPr>
        <w:endnoteReference w:id="30"/>
      </w:r>
      <w:r w:rsidRPr="001B5760">
        <w:t xml:space="preserve"> </w:t>
      </w:r>
      <w:r w:rsidR="001D765D" w:rsidRPr="001B5760">
        <w:t xml:space="preserve">With </w:t>
      </w:r>
      <w:r w:rsidR="0037080C" w:rsidRPr="001B5760">
        <w:t>global disposable incomes rising</w:t>
      </w:r>
      <w:r w:rsidR="00311E08">
        <w:t>,</w:t>
      </w:r>
      <w:r w:rsidR="001D765D" w:rsidRPr="001B5760">
        <w:t xml:space="preserve"> and</w:t>
      </w:r>
      <w:r w:rsidR="0037080C" w:rsidRPr="001B5760">
        <w:t xml:space="preserve"> the world becoming</w:t>
      </w:r>
      <w:r w:rsidR="00311E08">
        <w:t xml:space="preserve"> increasingly</w:t>
      </w:r>
      <w:r w:rsidR="0037080C" w:rsidRPr="001B5760">
        <w:t xml:space="preserve"> </w:t>
      </w:r>
      <w:r w:rsidR="008A70BE" w:rsidRPr="001B5760">
        <w:t>interconnected</w:t>
      </w:r>
      <w:r w:rsidR="0037080C" w:rsidRPr="001B5760">
        <w:t xml:space="preserve"> </w:t>
      </w:r>
      <w:r w:rsidR="00311E08">
        <w:t>(</w:t>
      </w:r>
      <w:r w:rsidR="0037080C" w:rsidRPr="001B5760">
        <w:t xml:space="preserve">with products and services easily traded </w:t>
      </w:r>
      <w:r w:rsidR="00734C2B" w:rsidRPr="001B5760">
        <w:t>between countries</w:t>
      </w:r>
      <w:r w:rsidR="00311E08">
        <w:t>)</w:t>
      </w:r>
      <w:r w:rsidR="001D765D" w:rsidRPr="001B5760">
        <w:t>,</w:t>
      </w:r>
      <w:r w:rsidR="00734C2B" w:rsidRPr="001B5760">
        <w:t xml:space="preserve"> </w:t>
      </w:r>
      <w:r w:rsidRPr="001B5760">
        <w:t xml:space="preserve">ready-to-wear </w:t>
      </w:r>
      <w:r w:rsidR="00734C2B" w:rsidRPr="001B5760">
        <w:t>fashion</w:t>
      </w:r>
      <w:r w:rsidRPr="001B5760">
        <w:t xml:space="preserve"> </w:t>
      </w:r>
      <w:r w:rsidR="008E4AF6" w:rsidRPr="001B5760">
        <w:t xml:space="preserve">immediately </w:t>
      </w:r>
      <w:r w:rsidRPr="001B5760">
        <w:t xml:space="preserve">became a threat </w:t>
      </w:r>
      <w:r w:rsidR="00690CD7" w:rsidRPr="001B5760">
        <w:t>to</w:t>
      </w:r>
      <w:r w:rsidRPr="001B5760">
        <w:t xml:space="preserve"> the </w:t>
      </w:r>
      <w:r w:rsidR="008E4AF6" w:rsidRPr="001B5760">
        <w:t>haute couture industry</w:t>
      </w:r>
      <w:r w:rsidRPr="001B5760">
        <w:t xml:space="preserve">. </w:t>
      </w:r>
      <w:r w:rsidR="008E4AF6" w:rsidRPr="001B5760">
        <w:t>Traditionally, the haute couture industry was highly product</w:t>
      </w:r>
      <w:r w:rsidR="00311E08">
        <w:t xml:space="preserve"> </w:t>
      </w:r>
      <w:r w:rsidR="008E4AF6" w:rsidRPr="001B5760">
        <w:t xml:space="preserve">oriented, emphasizing the extraordinary quality of its products without regard </w:t>
      </w:r>
      <w:r w:rsidR="00311E08">
        <w:t>for</w:t>
      </w:r>
      <w:r w:rsidR="008E4AF6" w:rsidRPr="001B5760">
        <w:t xml:space="preserve"> costs and profitability</w:t>
      </w:r>
      <w:r w:rsidR="00734C2B" w:rsidRPr="001B5760">
        <w:t xml:space="preserve">, </w:t>
      </w:r>
      <w:r w:rsidR="00690CD7" w:rsidRPr="001B5760">
        <w:t xml:space="preserve">but </w:t>
      </w:r>
      <w:r w:rsidR="00734C2B" w:rsidRPr="001B5760">
        <w:t>t</w:t>
      </w:r>
      <w:r w:rsidR="008E4AF6" w:rsidRPr="001B5760">
        <w:t xml:space="preserve">he ready-to-wear business revolutionized the garment industry by dramatically decreasing the price of clothes and </w:t>
      </w:r>
      <w:r w:rsidR="008A70BE" w:rsidRPr="001B5760">
        <w:t xml:space="preserve">shifting </w:t>
      </w:r>
      <w:r w:rsidR="008E4AF6" w:rsidRPr="001B5760">
        <w:t xml:space="preserve">focus </w:t>
      </w:r>
      <w:r w:rsidR="008A70BE" w:rsidRPr="001B5760">
        <w:t xml:space="preserve">to </w:t>
      </w:r>
      <w:r w:rsidR="0045421D" w:rsidRPr="001B5760">
        <w:t>everyday styles</w:t>
      </w:r>
      <w:r w:rsidR="004A73B9" w:rsidRPr="001B5760">
        <w:t xml:space="preserve"> </w:t>
      </w:r>
      <w:r w:rsidR="00311E08">
        <w:t>for</w:t>
      </w:r>
      <w:r w:rsidR="004A73B9" w:rsidRPr="001B5760">
        <w:t xml:space="preserve"> </w:t>
      </w:r>
      <w:r w:rsidR="008A70BE" w:rsidRPr="001B5760">
        <w:t xml:space="preserve">customers </w:t>
      </w:r>
      <w:r w:rsidR="004A73B9" w:rsidRPr="001B5760">
        <w:t>around the world</w:t>
      </w:r>
      <w:r w:rsidR="008E4AF6" w:rsidRPr="001B5760">
        <w:t>.</w:t>
      </w:r>
    </w:p>
    <w:p w14:paraId="3B2AE78B" w14:textId="77777777" w:rsidR="001626A5" w:rsidRPr="001B5760" w:rsidRDefault="001626A5" w:rsidP="00DF1F7C">
      <w:pPr>
        <w:pStyle w:val="BodyTextMain"/>
      </w:pPr>
    </w:p>
    <w:p w14:paraId="78019F7A" w14:textId="1C0DC829" w:rsidR="00DF1F7C" w:rsidRPr="001F24C4" w:rsidRDefault="001B5760" w:rsidP="00DF1F7C">
      <w:pPr>
        <w:pStyle w:val="BodyTextMain"/>
        <w:rPr>
          <w:spacing w:val="-2"/>
        </w:rPr>
      </w:pPr>
      <w:r w:rsidRPr="001F24C4">
        <w:rPr>
          <w:spacing w:val="-2"/>
        </w:rPr>
        <w:t xml:space="preserve">Saint </w:t>
      </w:r>
      <w:r w:rsidR="00DF1F7C" w:rsidRPr="001F24C4">
        <w:rPr>
          <w:spacing w:val="-2"/>
        </w:rPr>
        <w:t>Laurent</w:t>
      </w:r>
      <w:r w:rsidR="00472B46" w:rsidRPr="001F24C4">
        <w:rPr>
          <w:spacing w:val="-2"/>
        </w:rPr>
        <w:t>’</w:t>
      </w:r>
      <w:r w:rsidR="00414908" w:rsidRPr="001F24C4">
        <w:rPr>
          <w:spacing w:val="-2"/>
        </w:rPr>
        <w:t xml:space="preserve">s passion </w:t>
      </w:r>
      <w:r w:rsidR="00DE0E07" w:rsidRPr="001F24C4">
        <w:rPr>
          <w:spacing w:val="-2"/>
        </w:rPr>
        <w:t xml:space="preserve">for </w:t>
      </w:r>
      <w:r w:rsidR="00DF1F7C" w:rsidRPr="001F24C4">
        <w:rPr>
          <w:spacing w:val="-2"/>
        </w:rPr>
        <w:t>women</w:t>
      </w:r>
      <w:r w:rsidRPr="001F24C4">
        <w:rPr>
          <w:spacing w:val="-2"/>
        </w:rPr>
        <w:t>’s fashion</w:t>
      </w:r>
      <w:r w:rsidR="00DF1F7C" w:rsidRPr="001F24C4">
        <w:rPr>
          <w:spacing w:val="-2"/>
        </w:rPr>
        <w:t xml:space="preserve"> </w:t>
      </w:r>
      <w:r w:rsidR="00414908" w:rsidRPr="001F24C4">
        <w:rPr>
          <w:spacing w:val="-2"/>
        </w:rPr>
        <w:t xml:space="preserve">stemmed from his desire </w:t>
      </w:r>
      <w:r w:rsidR="00690CD7" w:rsidRPr="001F24C4">
        <w:rPr>
          <w:spacing w:val="-2"/>
        </w:rPr>
        <w:t>to</w:t>
      </w:r>
      <w:r w:rsidR="00414908" w:rsidRPr="001F24C4">
        <w:rPr>
          <w:spacing w:val="-2"/>
        </w:rPr>
        <w:t xml:space="preserve"> </w:t>
      </w:r>
      <w:r w:rsidR="00690CD7" w:rsidRPr="001F24C4">
        <w:rPr>
          <w:spacing w:val="-2"/>
        </w:rPr>
        <w:t>emphasize</w:t>
      </w:r>
      <w:r w:rsidR="00A212E8" w:rsidRPr="001F24C4">
        <w:rPr>
          <w:spacing w:val="-2"/>
        </w:rPr>
        <w:t xml:space="preserve"> </w:t>
      </w:r>
      <w:r w:rsidR="00DF1F7C" w:rsidRPr="001F24C4">
        <w:rPr>
          <w:spacing w:val="-2"/>
        </w:rPr>
        <w:t>both</w:t>
      </w:r>
      <w:r w:rsidR="00A212E8" w:rsidRPr="001F24C4">
        <w:rPr>
          <w:spacing w:val="-2"/>
        </w:rPr>
        <w:t xml:space="preserve"> the</w:t>
      </w:r>
      <w:r w:rsidR="00DF1F7C" w:rsidRPr="001F24C4">
        <w:rPr>
          <w:spacing w:val="-2"/>
        </w:rPr>
        <w:t xml:space="preserve"> beaut</w:t>
      </w:r>
      <w:r w:rsidR="00A212E8" w:rsidRPr="001F24C4">
        <w:rPr>
          <w:spacing w:val="-2"/>
        </w:rPr>
        <w:t>y</w:t>
      </w:r>
      <w:r w:rsidR="00DF1F7C" w:rsidRPr="001F24C4">
        <w:rPr>
          <w:spacing w:val="-2"/>
        </w:rPr>
        <w:t xml:space="preserve"> and </w:t>
      </w:r>
      <w:r w:rsidR="00BA1B93" w:rsidRPr="001F24C4">
        <w:rPr>
          <w:spacing w:val="-2"/>
        </w:rPr>
        <w:t xml:space="preserve">comfort </w:t>
      </w:r>
      <w:r w:rsidR="00A212E8" w:rsidRPr="001F24C4">
        <w:rPr>
          <w:spacing w:val="-2"/>
        </w:rPr>
        <w:t xml:space="preserve">of </w:t>
      </w:r>
      <w:r w:rsidR="00414908" w:rsidRPr="001F24C4">
        <w:rPr>
          <w:spacing w:val="-2"/>
        </w:rPr>
        <w:t>women</w:t>
      </w:r>
      <w:r w:rsidR="00472B46" w:rsidRPr="001F24C4">
        <w:rPr>
          <w:spacing w:val="-2"/>
        </w:rPr>
        <w:t>’</w:t>
      </w:r>
      <w:r w:rsidR="00414908" w:rsidRPr="001F24C4">
        <w:rPr>
          <w:spacing w:val="-2"/>
        </w:rPr>
        <w:t xml:space="preserve">s </w:t>
      </w:r>
      <w:r w:rsidR="00DF1F7C" w:rsidRPr="001F24C4">
        <w:rPr>
          <w:spacing w:val="-2"/>
        </w:rPr>
        <w:t>clothes</w:t>
      </w:r>
      <w:r w:rsidR="00311E08" w:rsidRPr="001F24C4">
        <w:rPr>
          <w:spacing w:val="-2"/>
        </w:rPr>
        <w:t xml:space="preserve">. He sought </w:t>
      </w:r>
      <w:r w:rsidR="00414908" w:rsidRPr="001F24C4">
        <w:rPr>
          <w:spacing w:val="-2"/>
        </w:rPr>
        <w:t xml:space="preserve">to provide high-fashion dresses </w:t>
      </w:r>
      <w:r w:rsidR="00311E08" w:rsidRPr="001F24C4">
        <w:rPr>
          <w:spacing w:val="-2"/>
        </w:rPr>
        <w:t xml:space="preserve">to </w:t>
      </w:r>
      <w:r w:rsidR="00414908" w:rsidRPr="001F24C4">
        <w:rPr>
          <w:spacing w:val="-2"/>
        </w:rPr>
        <w:t>all women</w:t>
      </w:r>
      <w:r w:rsidR="00311E08" w:rsidRPr="001F24C4">
        <w:rPr>
          <w:spacing w:val="-2"/>
        </w:rPr>
        <w:t>,</w:t>
      </w:r>
      <w:r w:rsidR="00414908" w:rsidRPr="001F24C4">
        <w:rPr>
          <w:spacing w:val="-2"/>
        </w:rPr>
        <w:t xml:space="preserve"> regardless of wealth</w:t>
      </w:r>
      <w:r w:rsidR="00311E08" w:rsidRPr="001F24C4">
        <w:rPr>
          <w:spacing w:val="-2"/>
        </w:rPr>
        <w:t xml:space="preserve"> or status</w:t>
      </w:r>
      <w:r w:rsidR="00A212E8" w:rsidRPr="001F24C4">
        <w:rPr>
          <w:spacing w:val="-2"/>
        </w:rPr>
        <w:t>.</w:t>
      </w:r>
      <w:r w:rsidR="009403EA" w:rsidRPr="001F24C4">
        <w:rPr>
          <w:rStyle w:val="EndnoteReference"/>
          <w:spacing w:val="-2"/>
        </w:rPr>
        <w:endnoteReference w:id="31"/>
      </w:r>
      <w:r w:rsidR="00A212E8" w:rsidRPr="001F24C4">
        <w:rPr>
          <w:spacing w:val="-2"/>
        </w:rPr>
        <w:t xml:space="preserve"> </w:t>
      </w:r>
      <w:r w:rsidR="00414908" w:rsidRPr="001F24C4">
        <w:rPr>
          <w:spacing w:val="-2"/>
        </w:rPr>
        <w:t>A</w:t>
      </w:r>
      <w:r w:rsidR="00DF1F7C" w:rsidRPr="001F24C4">
        <w:rPr>
          <w:spacing w:val="-2"/>
        </w:rPr>
        <w:t xml:space="preserve">ware of </w:t>
      </w:r>
      <w:r w:rsidR="00414908" w:rsidRPr="001F24C4">
        <w:rPr>
          <w:spacing w:val="-2"/>
        </w:rPr>
        <w:t>Cardin</w:t>
      </w:r>
      <w:r w:rsidR="00472B46" w:rsidRPr="001F24C4">
        <w:rPr>
          <w:spacing w:val="-2"/>
        </w:rPr>
        <w:t>’</w:t>
      </w:r>
      <w:r w:rsidR="00414908" w:rsidRPr="001F24C4">
        <w:rPr>
          <w:spacing w:val="-2"/>
        </w:rPr>
        <w:t xml:space="preserve">s </w:t>
      </w:r>
      <w:r w:rsidR="00DF1F7C" w:rsidRPr="001F24C4">
        <w:rPr>
          <w:spacing w:val="-2"/>
        </w:rPr>
        <w:t xml:space="preserve">ready-to-wear </w:t>
      </w:r>
      <w:r w:rsidR="009403EA" w:rsidRPr="001F24C4">
        <w:rPr>
          <w:spacing w:val="-2"/>
        </w:rPr>
        <w:t>fashion</w:t>
      </w:r>
      <w:r w:rsidR="00414908" w:rsidRPr="001F24C4">
        <w:rPr>
          <w:spacing w:val="-2"/>
        </w:rPr>
        <w:t xml:space="preserve"> </w:t>
      </w:r>
      <w:r w:rsidR="00DF1F7C" w:rsidRPr="001F24C4">
        <w:rPr>
          <w:spacing w:val="-2"/>
        </w:rPr>
        <w:t>revolution</w:t>
      </w:r>
      <w:r w:rsidR="009403EA" w:rsidRPr="001F24C4">
        <w:rPr>
          <w:spacing w:val="-2"/>
        </w:rPr>
        <w:t>,</w:t>
      </w:r>
      <w:r w:rsidR="00DF1F7C" w:rsidRPr="001F24C4">
        <w:rPr>
          <w:spacing w:val="-2"/>
        </w:rPr>
        <w:t xml:space="preserve"> </w:t>
      </w:r>
      <w:r w:rsidRPr="001F24C4">
        <w:rPr>
          <w:spacing w:val="-2"/>
        </w:rPr>
        <w:t xml:space="preserve">Saint </w:t>
      </w:r>
      <w:r w:rsidR="00DF1F7C" w:rsidRPr="001F24C4">
        <w:rPr>
          <w:spacing w:val="-2"/>
        </w:rPr>
        <w:t xml:space="preserve">Laurent opened his first ready-to-wear </w:t>
      </w:r>
      <w:r w:rsidR="005E1501" w:rsidRPr="001F24C4">
        <w:rPr>
          <w:spacing w:val="-2"/>
        </w:rPr>
        <w:t>store</w:t>
      </w:r>
      <w:r w:rsidR="00311E08" w:rsidRPr="001F24C4">
        <w:rPr>
          <w:spacing w:val="-2"/>
        </w:rPr>
        <w:t>,</w:t>
      </w:r>
      <w:r w:rsidR="00B04869" w:rsidRPr="001F24C4">
        <w:rPr>
          <w:spacing w:val="-2"/>
        </w:rPr>
        <w:t xml:space="preserve"> </w:t>
      </w:r>
      <w:r w:rsidR="00DF1F7C" w:rsidRPr="001F24C4">
        <w:rPr>
          <w:i/>
          <w:spacing w:val="-2"/>
        </w:rPr>
        <w:t>Saint Laurent Rive Gauche</w:t>
      </w:r>
      <w:r w:rsidR="00513D8E" w:rsidRPr="001F24C4">
        <w:rPr>
          <w:spacing w:val="-2"/>
        </w:rPr>
        <w:t xml:space="preserve"> in 1966, separating his haute couture collection from </w:t>
      </w:r>
      <w:r w:rsidR="00311E08" w:rsidRPr="001F24C4">
        <w:rPr>
          <w:spacing w:val="-2"/>
        </w:rPr>
        <w:t>t</w:t>
      </w:r>
      <w:r w:rsidR="00690CD7" w:rsidRPr="001F24C4">
        <w:rPr>
          <w:spacing w:val="-2"/>
        </w:rPr>
        <w:t>his</w:t>
      </w:r>
      <w:r w:rsidR="00513D8E" w:rsidRPr="001F24C4">
        <w:rPr>
          <w:spacing w:val="-2"/>
        </w:rPr>
        <w:t xml:space="preserve"> new ready-to-wear </w:t>
      </w:r>
      <w:r w:rsidR="00311E08" w:rsidRPr="001F24C4">
        <w:rPr>
          <w:spacing w:val="-2"/>
        </w:rPr>
        <w:t>collection</w:t>
      </w:r>
      <w:r w:rsidR="00DF1F7C" w:rsidRPr="001F24C4">
        <w:rPr>
          <w:spacing w:val="-2"/>
        </w:rPr>
        <w:t>.</w:t>
      </w:r>
      <w:r w:rsidR="009403EA" w:rsidRPr="001F24C4">
        <w:rPr>
          <w:rStyle w:val="EndnoteReference"/>
          <w:spacing w:val="-2"/>
        </w:rPr>
        <w:endnoteReference w:id="32"/>
      </w:r>
      <w:r w:rsidR="00DF1F7C" w:rsidRPr="001F24C4">
        <w:rPr>
          <w:spacing w:val="-2"/>
        </w:rPr>
        <w:t xml:space="preserve"> </w:t>
      </w:r>
      <w:r w:rsidR="00311E08" w:rsidRPr="001F24C4">
        <w:rPr>
          <w:spacing w:val="-2"/>
        </w:rPr>
        <w:t xml:space="preserve">Saint Laurent Rive Gauche </w:t>
      </w:r>
      <w:r w:rsidR="00B73D07" w:rsidRPr="001F24C4">
        <w:rPr>
          <w:spacing w:val="-2"/>
        </w:rPr>
        <w:t>sold</w:t>
      </w:r>
      <w:r w:rsidR="00DE0E07" w:rsidRPr="001F24C4">
        <w:rPr>
          <w:spacing w:val="-2"/>
        </w:rPr>
        <w:t xml:space="preserve"> luxurious</w:t>
      </w:r>
      <w:r w:rsidR="00B04869" w:rsidRPr="001F24C4">
        <w:rPr>
          <w:spacing w:val="-2"/>
        </w:rPr>
        <w:t xml:space="preserve"> </w:t>
      </w:r>
      <w:r w:rsidR="00B73D07" w:rsidRPr="001F24C4">
        <w:rPr>
          <w:spacing w:val="-2"/>
        </w:rPr>
        <w:t>high-end</w:t>
      </w:r>
      <w:r w:rsidR="00311E08" w:rsidRPr="001F24C4">
        <w:rPr>
          <w:spacing w:val="-2"/>
        </w:rPr>
        <w:t>,</w:t>
      </w:r>
      <w:r w:rsidR="00DE0E07" w:rsidRPr="001F24C4">
        <w:rPr>
          <w:spacing w:val="-2"/>
        </w:rPr>
        <w:t xml:space="preserve"> </w:t>
      </w:r>
      <w:r w:rsidR="00DF1F7C" w:rsidRPr="001F24C4">
        <w:rPr>
          <w:spacing w:val="-2"/>
        </w:rPr>
        <w:t>ready-to-wear</w:t>
      </w:r>
      <w:r w:rsidR="00B04869" w:rsidRPr="001F24C4">
        <w:rPr>
          <w:spacing w:val="-2"/>
        </w:rPr>
        <w:t xml:space="preserve"> clothes</w:t>
      </w:r>
      <w:r w:rsidR="00DF1F7C" w:rsidRPr="001F24C4">
        <w:rPr>
          <w:spacing w:val="-2"/>
        </w:rPr>
        <w:t xml:space="preserve"> </w:t>
      </w:r>
      <w:r w:rsidR="009403EA" w:rsidRPr="001F24C4">
        <w:rPr>
          <w:spacing w:val="-2"/>
        </w:rPr>
        <w:t>at</w:t>
      </w:r>
      <w:r w:rsidR="00DF1F7C" w:rsidRPr="001F24C4">
        <w:rPr>
          <w:spacing w:val="-2"/>
        </w:rPr>
        <w:t xml:space="preserve"> more affordable</w:t>
      </w:r>
      <w:r w:rsidR="009403EA" w:rsidRPr="001F24C4">
        <w:rPr>
          <w:spacing w:val="-2"/>
        </w:rPr>
        <w:t xml:space="preserve"> prices</w:t>
      </w:r>
      <w:r w:rsidR="00DF1F7C" w:rsidRPr="001F24C4">
        <w:rPr>
          <w:spacing w:val="-2"/>
        </w:rPr>
        <w:t xml:space="preserve"> than</w:t>
      </w:r>
      <w:r w:rsidR="00B04869" w:rsidRPr="001F24C4">
        <w:rPr>
          <w:spacing w:val="-2"/>
        </w:rPr>
        <w:t xml:space="preserve"> those in</w:t>
      </w:r>
      <w:r w:rsidR="00DF1F7C" w:rsidRPr="001F24C4">
        <w:rPr>
          <w:spacing w:val="-2"/>
        </w:rPr>
        <w:t xml:space="preserve"> </w:t>
      </w:r>
      <w:r w:rsidR="00B04869" w:rsidRPr="001F24C4">
        <w:rPr>
          <w:spacing w:val="-2"/>
        </w:rPr>
        <w:t xml:space="preserve">traditional </w:t>
      </w:r>
      <w:r w:rsidR="00DF1F7C" w:rsidRPr="001F24C4">
        <w:rPr>
          <w:spacing w:val="-2"/>
        </w:rPr>
        <w:t>haute couture</w:t>
      </w:r>
      <w:r w:rsidR="00B73D07" w:rsidRPr="001F24C4">
        <w:rPr>
          <w:spacing w:val="-2"/>
        </w:rPr>
        <w:t xml:space="preserve"> stores</w:t>
      </w:r>
      <w:r w:rsidR="009403EA" w:rsidRPr="001F24C4">
        <w:rPr>
          <w:spacing w:val="-2"/>
        </w:rPr>
        <w:t xml:space="preserve">, and </w:t>
      </w:r>
      <w:r w:rsidR="00DF1F7C" w:rsidRPr="001F24C4">
        <w:rPr>
          <w:spacing w:val="-2"/>
        </w:rPr>
        <w:t>was the first ready-to-wear shop</w:t>
      </w:r>
      <w:r w:rsidR="00B04869" w:rsidRPr="001F24C4">
        <w:rPr>
          <w:spacing w:val="-2"/>
        </w:rPr>
        <w:t xml:space="preserve"> that </w:t>
      </w:r>
      <w:r w:rsidR="00311E08" w:rsidRPr="001F24C4">
        <w:rPr>
          <w:spacing w:val="-2"/>
        </w:rPr>
        <w:t xml:space="preserve">carried the name of </w:t>
      </w:r>
      <w:proofErr w:type="gramStart"/>
      <w:r w:rsidR="00311E08" w:rsidRPr="001F24C4">
        <w:rPr>
          <w:spacing w:val="-2"/>
        </w:rPr>
        <w:t>a</w:t>
      </w:r>
      <w:proofErr w:type="gramEnd"/>
      <w:r w:rsidR="00B73D07" w:rsidRPr="001F24C4">
        <w:rPr>
          <w:spacing w:val="-2"/>
        </w:rPr>
        <w:t xml:space="preserve"> </w:t>
      </w:r>
      <w:r w:rsidR="00DF1F7C" w:rsidRPr="001F24C4">
        <w:rPr>
          <w:spacing w:val="-2"/>
        </w:rPr>
        <w:t>haute couture</w:t>
      </w:r>
      <w:r w:rsidR="00311E08" w:rsidRPr="001F24C4">
        <w:rPr>
          <w:spacing w:val="-2"/>
        </w:rPr>
        <w:t xml:space="preserve"> designer</w:t>
      </w:r>
      <w:r w:rsidR="00DF1F7C" w:rsidRPr="001F24C4">
        <w:rPr>
          <w:spacing w:val="-2"/>
        </w:rPr>
        <w:t xml:space="preserve">. </w:t>
      </w:r>
      <w:r w:rsidR="00311E08" w:rsidRPr="001F24C4">
        <w:rPr>
          <w:spacing w:val="-2"/>
        </w:rPr>
        <w:t>Following the success of Saint Laurent Rive Gauche</w:t>
      </w:r>
      <w:r w:rsidR="003127F4" w:rsidRPr="001F24C4">
        <w:rPr>
          <w:spacing w:val="-2"/>
        </w:rPr>
        <w:t xml:space="preserve">, </w:t>
      </w:r>
      <w:r w:rsidR="00311E08" w:rsidRPr="001F24C4">
        <w:rPr>
          <w:spacing w:val="-2"/>
        </w:rPr>
        <w:t>the company</w:t>
      </w:r>
      <w:r w:rsidR="003127F4" w:rsidRPr="001F24C4">
        <w:rPr>
          <w:spacing w:val="-2"/>
        </w:rPr>
        <w:t xml:space="preserve"> opened </w:t>
      </w:r>
      <w:r w:rsidR="00C5797C" w:rsidRPr="001F24C4">
        <w:rPr>
          <w:spacing w:val="-2"/>
        </w:rPr>
        <w:t>a</w:t>
      </w:r>
      <w:r w:rsidR="00311E08" w:rsidRPr="001F24C4">
        <w:rPr>
          <w:spacing w:val="-2"/>
        </w:rPr>
        <w:t xml:space="preserve"> second</w:t>
      </w:r>
      <w:r w:rsidR="00C5797C" w:rsidRPr="001F24C4">
        <w:rPr>
          <w:spacing w:val="-2"/>
        </w:rPr>
        <w:t xml:space="preserve"> shop</w:t>
      </w:r>
      <w:r w:rsidR="00DF1F7C" w:rsidRPr="001F24C4">
        <w:rPr>
          <w:spacing w:val="-2"/>
        </w:rPr>
        <w:t xml:space="preserve"> in New York City</w:t>
      </w:r>
      <w:r w:rsidR="00DE0E07" w:rsidRPr="001F24C4">
        <w:rPr>
          <w:spacing w:val="-2"/>
        </w:rPr>
        <w:t xml:space="preserve"> in 1968</w:t>
      </w:r>
      <w:r w:rsidR="003127F4" w:rsidRPr="001F24C4">
        <w:rPr>
          <w:spacing w:val="-2"/>
        </w:rPr>
        <w:t>, and</w:t>
      </w:r>
      <w:r w:rsidR="00DF1F7C" w:rsidRPr="001F24C4">
        <w:rPr>
          <w:spacing w:val="-2"/>
        </w:rPr>
        <w:t xml:space="preserve"> another in London</w:t>
      </w:r>
      <w:r w:rsidRPr="001F24C4">
        <w:rPr>
          <w:spacing w:val="-2"/>
        </w:rPr>
        <w:t>, England</w:t>
      </w:r>
      <w:r w:rsidR="00DE0E07" w:rsidRPr="001F24C4">
        <w:rPr>
          <w:spacing w:val="-2"/>
        </w:rPr>
        <w:t xml:space="preserve"> in 1969</w:t>
      </w:r>
      <w:r w:rsidR="00602396" w:rsidRPr="001F24C4">
        <w:rPr>
          <w:spacing w:val="-2"/>
        </w:rPr>
        <w:t>.</w:t>
      </w:r>
      <w:r w:rsidR="009403EA" w:rsidRPr="001F24C4">
        <w:rPr>
          <w:rStyle w:val="EndnoteReference"/>
          <w:spacing w:val="-2"/>
        </w:rPr>
        <w:endnoteReference w:id="33"/>
      </w:r>
      <w:r w:rsidR="00602396" w:rsidRPr="001F24C4">
        <w:rPr>
          <w:spacing w:val="-2"/>
        </w:rPr>
        <w:t xml:space="preserve"> In the same year, </w:t>
      </w:r>
      <w:r w:rsidR="00311E08" w:rsidRPr="001F24C4">
        <w:rPr>
          <w:spacing w:val="-2"/>
        </w:rPr>
        <w:t>Saint Laurent</w:t>
      </w:r>
      <w:r w:rsidR="009B0998" w:rsidRPr="001F24C4">
        <w:rPr>
          <w:spacing w:val="-2"/>
        </w:rPr>
        <w:t xml:space="preserve"> </w:t>
      </w:r>
      <w:r w:rsidR="00602396" w:rsidRPr="001F24C4">
        <w:rPr>
          <w:spacing w:val="-2"/>
        </w:rPr>
        <w:t xml:space="preserve">opened a new boutique </w:t>
      </w:r>
      <w:r w:rsidR="00DE0E07" w:rsidRPr="001F24C4">
        <w:rPr>
          <w:spacing w:val="-2"/>
        </w:rPr>
        <w:t xml:space="preserve">featuring </w:t>
      </w:r>
      <w:r w:rsidR="00311E08" w:rsidRPr="001F24C4">
        <w:rPr>
          <w:spacing w:val="-2"/>
        </w:rPr>
        <w:t>his</w:t>
      </w:r>
      <w:r w:rsidR="00DE0E07" w:rsidRPr="001F24C4">
        <w:rPr>
          <w:spacing w:val="-2"/>
        </w:rPr>
        <w:t xml:space="preserve"> ready-to-wear men</w:t>
      </w:r>
      <w:r w:rsidR="00472B46" w:rsidRPr="001F24C4">
        <w:rPr>
          <w:spacing w:val="-2"/>
        </w:rPr>
        <w:t>’</w:t>
      </w:r>
      <w:r w:rsidR="00DE0E07" w:rsidRPr="001F24C4">
        <w:rPr>
          <w:spacing w:val="-2"/>
        </w:rPr>
        <w:t>s fashion</w:t>
      </w:r>
      <w:r w:rsidR="00602396" w:rsidRPr="001F24C4">
        <w:rPr>
          <w:spacing w:val="-2"/>
        </w:rPr>
        <w:t xml:space="preserve">, </w:t>
      </w:r>
      <w:r w:rsidR="00602396" w:rsidRPr="001F24C4">
        <w:rPr>
          <w:i/>
          <w:spacing w:val="-2"/>
        </w:rPr>
        <w:t>Rive Gauche Homme</w:t>
      </w:r>
      <w:r w:rsidR="00602396" w:rsidRPr="001F24C4">
        <w:rPr>
          <w:spacing w:val="-2"/>
        </w:rPr>
        <w:t>.</w:t>
      </w:r>
      <w:r w:rsidR="009403EA" w:rsidRPr="001F24C4">
        <w:rPr>
          <w:rStyle w:val="EndnoteReference"/>
          <w:spacing w:val="-2"/>
        </w:rPr>
        <w:endnoteReference w:id="34"/>
      </w:r>
      <w:r w:rsidR="00602396" w:rsidRPr="001F24C4">
        <w:rPr>
          <w:spacing w:val="-2"/>
        </w:rPr>
        <w:t xml:space="preserve"> </w:t>
      </w:r>
    </w:p>
    <w:p w14:paraId="1402E847" w14:textId="77777777" w:rsidR="00A74870" w:rsidRDefault="00A74870" w:rsidP="00DF1F7C">
      <w:pPr>
        <w:pStyle w:val="BodyTextMain"/>
      </w:pPr>
    </w:p>
    <w:p w14:paraId="714FFF4E" w14:textId="77777777" w:rsidR="001B5760" w:rsidRPr="001B5760" w:rsidRDefault="001B5760" w:rsidP="00DF1F7C">
      <w:pPr>
        <w:pStyle w:val="BodyTextMain"/>
      </w:pPr>
    </w:p>
    <w:p w14:paraId="25025A6F" w14:textId="4F4F52F1" w:rsidR="00DF1F7C" w:rsidRPr="001B5760" w:rsidRDefault="00F146FA" w:rsidP="00357C54">
      <w:pPr>
        <w:pStyle w:val="Casehead1"/>
        <w:outlineLvl w:val="0"/>
      </w:pPr>
      <w:r>
        <w:t>NEW DIRECTIONS FOR</w:t>
      </w:r>
      <w:r w:rsidR="00DF1F7C" w:rsidRPr="001B5760">
        <w:t xml:space="preserve"> </w:t>
      </w:r>
      <w:r w:rsidR="00A74870">
        <w:t>YSL</w:t>
      </w:r>
    </w:p>
    <w:p w14:paraId="66541AFB" w14:textId="77777777" w:rsidR="00DF1F7C" w:rsidRPr="001B5760" w:rsidRDefault="00DF1F7C" w:rsidP="00DF1F7C">
      <w:pPr>
        <w:pStyle w:val="BodyTextMain"/>
      </w:pPr>
    </w:p>
    <w:p w14:paraId="6C938D90" w14:textId="1F34ED7F" w:rsidR="00F146FA" w:rsidRDefault="00432E0F" w:rsidP="00432E0F">
      <w:pPr>
        <w:pStyle w:val="BodyTextMain"/>
      </w:pPr>
      <w:r w:rsidRPr="001B5760">
        <w:t xml:space="preserve">Complementing the new ready-to-wear couture business, </w:t>
      </w:r>
      <w:r w:rsidR="00A74870">
        <w:t>YSL</w:t>
      </w:r>
      <w:r w:rsidRPr="001B5760">
        <w:t xml:space="preserve"> slowly diversified into additional industries. </w:t>
      </w:r>
      <w:r w:rsidR="009B0998">
        <w:t>In light of its</w:t>
      </w:r>
      <w:r w:rsidR="00F146FA">
        <w:t xml:space="preserve"> growing</w:t>
      </w:r>
      <w:r w:rsidRPr="001B5760">
        <w:t xml:space="preserve"> success,</w:t>
      </w:r>
      <w:r w:rsidR="00A74870">
        <w:t xml:space="preserve"> </w:t>
      </w:r>
      <w:r w:rsidR="009B0998" w:rsidRPr="001B5760">
        <w:t xml:space="preserve">in 1963, </w:t>
      </w:r>
      <w:r w:rsidR="00A74870">
        <w:t xml:space="preserve">YSL </w:t>
      </w:r>
      <w:r w:rsidRPr="001B5760">
        <w:t>was bought by Charles of the Ritz</w:t>
      </w:r>
      <w:r w:rsidR="009B0998">
        <w:t>,</w:t>
      </w:r>
      <w:r w:rsidRPr="001B5760">
        <w:t xml:space="preserve"> an established cosmetics company highly recognized for its perfumes</w:t>
      </w:r>
      <w:r w:rsidR="00E90266">
        <w:t>,</w:t>
      </w:r>
      <w:r w:rsidR="00E90266" w:rsidRPr="00E90266">
        <w:t xml:space="preserve"> with </w:t>
      </w:r>
      <w:proofErr w:type="spellStart"/>
      <w:r w:rsidR="00E90266" w:rsidRPr="00E90266">
        <w:t>Bergé</w:t>
      </w:r>
      <w:proofErr w:type="spellEnd"/>
      <w:r w:rsidR="00E90266">
        <w:t xml:space="preserve"> </w:t>
      </w:r>
      <w:r w:rsidR="00FE7A13">
        <w:t>stating that the purchase “</w:t>
      </w:r>
      <w:proofErr w:type="spellStart"/>
      <w:r w:rsidR="00E90266" w:rsidRPr="00E90266">
        <w:t>fulfills</w:t>
      </w:r>
      <w:proofErr w:type="spellEnd"/>
      <w:r w:rsidR="00E90266" w:rsidRPr="00E90266">
        <w:t xml:space="preserve"> the longstanding desire of Mr. Saint Laurent to assume a more personal role in the creative and artistic development of high-quality perfumes and makeup</w:t>
      </w:r>
      <w:r w:rsidRPr="001B5760">
        <w:t>.</w:t>
      </w:r>
      <w:r w:rsidR="00FE7A13">
        <w:t>”</w:t>
      </w:r>
      <w:r w:rsidRPr="001B5760">
        <w:rPr>
          <w:rStyle w:val="EndnoteReference"/>
        </w:rPr>
        <w:endnoteReference w:id="35"/>
      </w:r>
      <w:r w:rsidRPr="001B5760">
        <w:t xml:space="preserve"> With the acquisition, Charles of the Ritz aimed to launch the </w:t>
      </w:r>
      <w:r w:rsidR="009B0998" w:rsidRPr="00356EF7">
        <w:rPr>
          <w:i/>
        </w:rPr>
        <w:t>YSL</w:t>
      </w:r>
      <w:r w:rsidRPr="00356EF7">
        <w:rPr>
          <w:i/>
        </w:rPr>
        <w:t xml:space="preserve"> </w:t>
      </w:r>
      <w:proofErr w:type="spellStart"/>
      <w:r w:rsidRPr="00356EF7">
        <w:rPr>
          <w:i/>
        </w:rPr>
        <w:t>Beauté</w:t>
      </w:r>
      <w:proofErr w:type="spellEnd"/>
      <w:r w:rsidRPr="001B5760">
        <w:t xml:space="preserve"> brand by releasing cosmetics and perfumes.</w:t>
      </w:r>
      <w:r w:rsidRPr="001B5760">
        <w:rPr>
          <w:rStyle w:val="EndnoteReference"/>
        </w:rPr>
        <w:endnoteReference w:id="36"/>
      </w:r>
      <w:r w:rsidRPr="001B5760">
        <w:t xml:space="preserve"> Integrating with Charles of the Ritz resulted in a series of successful YSL perfumes</w:t>
      </w:r>
      <w:r w:rsidR="00F146FA">
        <w:t>, including</w:t>
      </w:r>
      <w:r w:rsidRPr="001B5760">
        <w:t xml:space="preserve"> </w:t>
      </w:r>
      <w:r w:rsidRPr="00356EF7">
        <w:rPr>
          <w:i/>
        </w:rPr>
        <w:t>Opium</w:t>
      </w:r>
      <w:r w:rsidRPr="001B5760">
        <w:t xml:space="preserve"> </w:t>
      </w:r>
      <w:r w:rsidR="00F146FA">
        <w:t>(</w:t>
      </w:r>
      <w:r w:rsidRPr="001B5760">
        <w:t>launch</w:t>
      </w:r>
      <w:r w:rsidR="00F146FA">
        <w:t>ed</w:t>
      </w:r>
      <w:r w:rsidRPr="001B5760">
        <w:t xml:space="preserve"> in 1977</w:t>
      </w:r>
      <w:r w:rsidR="00F146FA">
        <w:t xml:space="preserve">) and </w:t>
      </w:r>
      <w:r w:rsidR="00F146FA" w:rsidRPr="00356EF7">
        <w:rPr>
          <w:i/>
        </w:rPr>
        <w:t>YSL Nu</w:t>
      </w:r>
      <w:r w:rsidR="00F146FA">
        <w:t>.</w:t>
      </w:r>
      <w:r w:rsidRPr="001B5760">
        <w:rPr>
          <w:rStyle w:val="EndnoteReference"/>
        </w:rPr>
        <w:endnoteReference w:id="37"/>
      </w:r>
      <w:r w:rsidRPr="001B5760">
        <w:t xml:space="preserve"> </w:t>
      </w:r>
    </w:p>
    <w:p w14:paraId="05F462F9" w14:textId="77777777" w:rsidR="00753E6F" w:rsidRDefault="00753E6F" w:rsidP="00432E0F">
      <w:pPr>
        <w:pStyle w:val="BodyTextMain"/>
      </w:pPr>
    </w:p>
    <w:p w14:paraId="439BF40A" w14:textId="503301F7" w:rsidR="00432E0F" w:rsidRPr="001B5760" w:rsidRDefault="00F146FA" w:rsidP="00432E0F">
      <w:pPr>
        <w:pStyle w:val="BodyTextMain"/>
      </w:pPr>
      <w:r>
        <w:t>Eventually, d</w:t>
      </w:r>
      <w:r w:rsidR="00432E0F" w:rsidRPr="001B5760">
        <w:t>espite</w:t>
      </w:r>
      <w:r w:rsidRPr="00F146FA">
        <w:t xml:space="preserve"> </w:t>
      </w:r>
      <w:r>
        <w:t xml:space="preserve">Saint </w:t>
      </w:r>
      <w:r w:rsidRPr="001B5760">
        <w:t xml:space="preserve">Laurent’s </w:t>
      </w:r>
      <w:r w:rsidR="00432E0F" w:rsidRPr="001B5760">
        <w:t xml:space="preserve">passion for haute couture, fashion and clothing represented </w:t>
      </w:r>
      <w:r w:rsidR="00747874" w:rsidRPr="001B5760">
        <w:t xml:space="preserve">only </w:t>
      </w:r>
      <w:r w:rsidR="00432E0F" w:rsidRPr="001B5760">
        <w:t xml:space="preserve">a small portion of </w:t>
      </w:r>
      <w:r>
        <w:t>YSL’s</w:t>
      </w:r>
      <w:r w:rsidR="00432E0F" w:rsidRPr="001B5760">
        <w:t xml:space="preserve"> activity. In addition to its highly successful and globally recognized clothing, perfumes, and cosmetics, </w:t>
      </w:r>
      <w:r>
        <w:t>the company</w:t>
      </w:r>
      <w:r w:rsidR="00432E0F" w:rsidRPr="001B5760">
        <w:t xml:space="preserve"> also manufactured leather goods, shoes,</w:t>
      </w:r>
      <w:r>
        <w:t xml:space="preserve"> and</w:t>
      </w:r>
      <w:r w:rsidR="00432E0F" w:rsidRPr="001B5760">
        <w:t xml:space="preserve"> jewellery, and even began licensing for everyday accessories ranging from </w:t>
      </w:r>
      <w:r>
        <w:t>eye</w:t>
      </w:r>
      <w:r w:rsidR="00432E0F" w:rsidRPr="001B5760">
        <w:t xml:space="preserve">glass frames to pens. </w:t>
      </w:r>
    </w:p>
    <w:p w14:paraId="50EDE9D7" w14:textId="77777777" w:rsidR="00432E0F" w:rsidRPr="001B5760" w:rsidRDefault="00432E0F" w:rsidP="00DF1F7C">
      <w:pPr>
        <w:pStyle w:val="BodyTextMain"/>
      </w:pPr>
    </w:p>
    <w:p w14:paraId="5230BE83" w14:textId="77777777" w:rsidR="00432E0F" w:rsidRPr="001B5760" w:rsidRDefault="00432E0F" w:rsidP="00DF1F7C">
      <w:pPr>
        <w:pStyle w:val="BodyTextMain"/>
      </w:pPr>
    </w:p>
    <w:p w14:paraId="33098686" w14:textId="4FDF45E2" w:rsidR="000A6B31" w:rsidRPr="001B5760" w:rsidRDefault="000A6B31" w:rsidP="00356EF7">
      <w:pPr>
        <w:pStyle w:val="Casehead2"/>
      </w:pPr>
      <w:r w:rsidRPr="001B5760">
        <w:t xml:space="preserve">Reacquiring the </w:t>
      </w:r>
      <w:r w:rsidR="009B0998">
        <w:t>YSL</w:t>
      </w:r>
      <w:r w:rsidRPr="001B5760">
        <w:t xml:space="preserve"> Brand</w:t>
      </w:r>
    </w:p>
    <w:p w14:paraId="0F7AA1D8" w14:textId="77777777" w:rsidR="001D3AB1" w:rsidRPr="001B5760" w:rsidRDefault="001D3AB1" w:rsidP="006B7339">
      <w:pPr>
        <w:pStyle w:val="BodyTextMain"/>
      </w:pPr>
    </w:p>
    <w:p w14:paraId="6E9F82CE" w14:textId="15A0526C" w:rsidR="002F03CA" w:rsidRPr="001B5760" w:rsidRDefault="00C5797C" w:rsidP="006B7339">
      <w:pPr>
        <w:pStyle w:val="BodyTextMain"/>
        <w:rPr>
          <w:rFonts w:ascii="MS Shell Dlg 2" w:eastAsiaTheme="minorEastAsia" w:hAnsi="MS Shell Dlg 2" w:cs="MS Shell Dlg 2"/>
          <w:kern w:val="0"/>
          <w:sz w:val="17"/>
          <w:szCs w:val="17"/>
        </w:rPr>
      </w:pPr>
      <w:r w:rsidRPr="001B5760">
        <w:t>In 1986,</w:t>
      </w:r>
      <w:r w:rsidR="005E1501" w:rsidRPr="001B5760">
        <w:t xml:space="preserve"> </w:t>
      </w:r>
      <w:r w:rsidR="001B5760">
        <w:t xml:space="preserve">Saint </w:t>
      </w:r>
      <w:r w:rsidR="005E1501" w:rsidRPr="001B5760">
        <w:t xml:space="preserve">Laurent became the leader of his own house again through the sale of Charles of the Ritz to U.S. pharmaceutical company E.R. Squibb &amp; Co., presenting </w:t>
      </w:r>
      <w:r w:rsidR="001B5760">
        <w:t xml:space="preserve">Saint </w:t>
      </w:r>
      <w:r w:rsidR="005E1501" w:rsidRPr="001B5760">
        <w:t xml:space="preserve">Laurent and </w:t>
      </w:r>
      <w:proofErr w:type="spellStart"/>
      <w:r w:rsidR="005E1501" w:rsidRPr="001B5760">
        <w:t>Bergé</w:t>
      </w:r>
      <w:proofErr w:type="spellEnd"/>
      <w:r w:rsidR="005E1501" w:rsidRPr="001B5760">
        <w:t xml:space="preserve"> with the opportunity </w:t>
      </w:r>
      <w:r w:rsidR="00747874" w:rsidRPr="001B5760">
        <w:t xml:space="preserve">to </w:t>
      </w:r>
      <w:r w:rsidR="005E1501" w:rsidRPr="001B5760">
        <w:t>purchas</w:t>
      </w:r>
      <w:r w:rsidR="00747874" w:rsidRPr="001B5760">
        <w:t>e</w:t>
      </w:r>
      <w:r w:rsidR="005E1501" w:rsidRPr="001B5760">
        <w:t xml:space="preserve"> full control of the group</w:t>
      </w:r>
      <w:r w:rsidR="00472B46" w:rsidRPr="001B5760">
        <w:t>’</w:t>
      </w:r>
      <w:r w:rsidR="005E1501" w:rsidRPr="001B5760">
        <w:t>s couture activities.</w:t>
      </w:r>
      <w:r w:rsidRPr="001B5760">
        <w:rPr>
          <w:rStyle w:val="EndnoteReference"/>
        </w:rPr>
        <w:endnoteReference w:id="38"/>
      </w:r>
      <w:r w:rsidR="000D480A" w:rsidRPr="001B5760" w:rsidDel="000D480A">
        <w:rPr>
          <w:rStyle w:val="EndnoteReference"/>
        </w:rPr>
        <w:t xml:space="preserve"> </w:t>
      </w:r>
      <w:r w:rsidR="001004BC" w:rsidRPr="001B5760">
        <w:t>F</w:t>
      </w:r>
      <w:r w:rsidR="00372B99" w:rsidRPr="001B5760">
        <w:t xml:space="preserve">or </w:t>
      </w:r>
      <w:r w:rsidR="006455B1" w:rsidRPr="006455B1">
        <w:t>approximately £422</w:t>
      </w:r>
      <w:r w:rsidR="00372B99" w:rsidRPr="001B5760">
        <w:t xml:space="preserve"> million,</w:t>
      </w:r>
      <w:r w:rsidR="00472B46" w:rsidRPr="001B5760">
        <w:rPr>
          <w:rStyle w:val="EndnoteReference"/>
        </w:rPr>
        <w:endnoteReference w:id="39"/>
      </w:r>
      <w:r w:rsidR="00372B99" w:rsidRPr="001B5760">
        <w:t xml:space="preserve"> </w:t>
      </w:r>
      <w:r w:rsidR="001B5760">
        <w:t xml:space="preserve">Saint </w:t>
      </w:r>
      <w:r w:rsidR="002F03CA" w:rsidRPr="001B5760">
        <w:t xml:space="preserve">Laurent </w:t>
      </w:r>
      <w:r w:rsidR="00372B99" w:rsidRPr="001B5760">
        <w:t xml:space="preserve">not only regained </w:t>
      </w:r>
      <w:r w:rsidR="002F03CA" w:rsidRPr="001B5760">
        <w:t xml:space="preserve">control of </w:t>
      </w:r>
      <w:r w:rsidR="00F146FA">
        <w:t>the</w:t>
      </w:r>
      <w:r w:rsidR="002F03CA" w:rsidRPr="001B5760">
        <w:t xml:space="preserve"> perfume</w:t>
      </w:r>
      <w:r w:rsidR="00372B99" w:rsidRPr="001B5760">
        <w:t xml:space="preserve"> business</w:t>
      </w:r>
      <w:r w:rsidR="002F03CA" w:rsidRPr="001B5760">
        <w:t xml:space="preserve">, </w:t>
      </w:r>
      <w:r w:rsidR="00372B99" w:rsidRPr="001B5760">
        <w:t>but</w:t>
      </w:r>
      <w:r w:rsidR="002F03CA" w:rsidRPr="001B5760">
        <w:t xml:space="preserve"> also added operations roughly </w:t>
      </w:r>
      <w:r w:rsidR="00F146FA">
        <w:t>10</w:t>
      </w:r>
      <w:r w:rsidR="002F03CA" w:rsidRPr="001B5760">
        <w:t xml:space="preserve"> times the size of the company</w:t>
      </w:r>
      <w:r w:rsidR="00472B46" w:rsidRPr="001B5760">
        <w:t>’</w:t>
      </w:r>
      <w:r w:rsidR="002F03CA" w:rsidRPr="001B5760">
        <w:t xml:space="preserve">s </w:t>
      </w:r>
      <w:r w:rsidR="00372B99" w:rsidRPr="001B5760">
        <w:t xml:space="preserve">couture </w:t>
      </w:r>
      <w:r w:rsidR="002F03CA" w:rsidRPr="001B5760">
        <w:t>house</w:t>
      </w:r>
      <w:r w:rsidR="00372B99" w:rsidRPr="001B5760">
        <w:t>.</w:t>
      </w:r>
      <w:r w:rsidR="00372B99" w:rsidRPr="001B5760">
        <w:rPr>
          <w:rStyle w:val="EndnoteReference"/>
        </w:rPr>
        <w:endnoteReference w:id="40"/>
      </w:r>
      <w:r w:rsidR="001B5760">
        <w:t xml:space="preserve"> </w:t>
      </w:r>
      <w:r w:rsidR="00794E16" w:rsidRPr="001B5760">
        <w:t xml:space="preserve">Although reacquiring </w:t>
      </w:r>
      <w:r w:rsidR="001D765D" w:rsidRPr="001B5760">
        <w:t xml:space="preserve">the </w:t>
      </w:r>
      <w:r w:rsidR="00794E16" w:rsidRPr="001B5760">
        <w:t>brand cause</w:t>
      </w:r>
      <w:r w:rsidR="007C13B2" w:rsidRPr="001B5760">
        <w:t>d</w:t>
      </w:r>
      <w:r w:rsidR="00794E16" w:rsidRPr="001B5760">
        <w:t xml:space="preserve"> </w:t>
      </w:r>
      <w:proofErr w:type="spellStart"/>
      <w:r w:rsidR="002F03CA" w:rsidRPr="001B5760">
        <w:t>Bergé</w:t>
      </w:r>
      <w:proofErr w:type="spellEnd"/>
      <w:r w:rsidR="002F03CA" w:rsidRPr="001B5760">
        <w:t xml:space="preserve"> and </w:t>
      </w:r>
      <w:r w:rsidR="001B5760">
        <w:t xml:space="preserve">Saint </w:t>
      </w:r>
      <w:r w:rsidR="002F03CA" w:rsidRPr="001B5760">
        <w:t xml:space="preserve">Laurent </w:t>
      </w:r>
      <w:r w:rsidR="00794E16" w:rsidRPr="001B5760">
        <w:t xml:space="preserve">to </w:t>
      </w:r>
      <w:r w:rsidR="005817DB" w:rsidRPr="001B5760">
        <w:t xml:space="preserve">amass </w:t>
      </w:r>
      <w:r w:rsidR="00794E16" w:rsidRPr="001B5760">
        <w:t xml:space="preserve">a significant </w:t>
      </w:r>
      <w:r w:rsidR="007C13B2" w:rsidRPr="001B5760">
        <w:t xml:space="preserve">amount of </w:t>
      </w:r>
      <w:r w:rsidR="002F03CA" w:rsidRPr="001B5760">
        <w:t xml:space="preserve">personal debt, the partners </w:t>
      </w:r>
      <w:r w:rsidR="00794E16" w:rsidRPr="001B5760">
        <w:t xml:space="preserve">received financial backing from a small number of </w:t>
      </w:r>
      <w:r w:rsidR="002F03CA" w:rsidRPr="001B5760">
        <w:t>third parties to</w:t>
      </w:r>
      <w:r w:rsidR="00794E16" w:rsidRPr="001B5760">
        <w:t xml:space="preserve"> help</w:t>
      </w:r>
      <w:r w:rsidR="002F03CA" w:rsidRPr="001B5760">
        <w:t xml:space="preserve"> finance the deal</w:t>
      </w:r>
      <w:r w:rsidR="001004BC" w:rsidRPr="001B5760">
        <w:t>, including</w:t>
      </w:r>
      <w:r w:rsidR="00F77ED8" w:rsidRPr="00F77ED8">
        <w:t xml:space="preserve"> </w:t>
      </w:r>
      <w:r w:rsidR="00F77ED8">
        <w:t xml:space="preserve">a </w:t>
      </w:r>
      <w:r w:rsidR="00F77ED8" w:rsidRPr="00F77ED8">
        <w:t>well-known Italian businessman and investor</w:t>
      </w:r>
      <w:r w:rsidR="00EF31E1">
        <w:t>,</w:t>
      </w:r>
      <w:r w:rsidR="00794E16" w:rsidRPr="001B5760">
        <w:t xml:space="preserve"> </w:t>
      </w:r>
      <w:r w:rsidR="00C36DD1" w:rsidRPr="001B5760">
        <w:t>Carlo</w:t>
      </w:r>
      <w:r w:rsidR="002F03CA" w:rsidRPr="001B5760">
        <w:t xml:space="preserve"> De Benedetti, who </w:t>
      </w:r>
      <w:r w:rsidR="00CE3DA7" w:rsidRPr="001B5760">
        <w:t>purchased</w:t>
      </w:r>
      <w:r w:rsidR="002F03CA" w:rsidRPr="001B5760">
        <w:t xml:space="preserve"> </w:t>
      </w:r>
      <w:r w:rsidR="00C36DD1" w:rsidRPr="001B5760">
        <w:t>25</w:t>
      </w:r>
      <w:r w:rsidR="002F03CA" w:rsidRPr="001B5760">
        <w:t xml:space="preserve"> per</w:t>
      </w:r>
      <w:r w:rsidR="00CE3DA7" w:rsidRPr="001B5760">
        <w:t xml:space="preserve"> </w:t>
      </w:r>
      <w:r w:rsidR="002F03CA" w:rsidRPr="001B5760">
        <w:t xml:space="preserve">cent of </w:t>
      </w:r>
      <w:r w:rsidR="009B0998">
        <w:t>YSL</w:t>
      </w:r>
      <w:r w:rsidR="002F03CA" w:rsidRPr="001B5760">
        <w:t>.</w:t>
      </w:r>
      <w:r w:rsidR="00CE3DA7" w:rsidRPr="001B5760">
        <w:rPr>
          <w:rStyle w:val="EndnoteReference"/>
        </w:rPr>
        <w:endnoteReference w:id="41"/>
      </w:r>
    </w:p>
    <w:p w14:paraId="786A0089" w14:textId="77777777" w:rsidR="002F03CA" w:rsidRPr="001B5760" w:rsidRDefault="002F03CA" w:rsidP="000A6B31">
      <w:pPr>
        <w:pStyle w:val="BodyTextMain"/>
        <w:rPr>
          <w:color w:val="FF0000"/>
        </w:rPr>
      </w:pPr>
    </w:p>
    <w:p w14:paraId="2444BC8F" w14:textId="39F9373D" w:rsidR="00D033F9" w:rsidRDefault="00D9716E" w:rsidP="000A6B31">
      <w:pPr>
        <w:pStyle w:val="BodyTextMain"/>
      </w:pPr>
      <w:r>
        <w:t xml:space="preserve">Once </w:t>
      </w:r>
      <w:r w:rsidR="005412C2">
        <w:t xml:space="preserve">Saint </w:t>
      </w:r>
      <w:r w:rsidR="002F03CA" w:rsidRPr="001B5760">
        <w:t xml:space="preserve">Laurent and </w:t>
      </w:r>
      <w:proofErr w:type="spellStart"/>
      <w:r w:rsidR="002F03CA" w:rsidRPr="001B5760">
        <w:t>Bergé</w:t>
      </w:r>
      <w:proofErr w:type="spellEnd"/>
      <w:r>
        <w:t xml:space="preserve"> regained</w:t>
      </w:r>
      <w:r w:rsidRPr="00D9716E">
        <w:t xml:space="preserve"> </w:t>
      </w:r>
      <w:r w:rsidRPr="001B5760">
        <w:t>managerial control</w:t>
      </w:r>
      <w:r w:rsidR="00CE3DA7" w:rsidRPr="001B5760">
        <w:t xml:space="preserve">, the </w:t>
      </w:r>
      <w:r w:rsidR="005412C2">
        <w:t xml:space="preserve">business </w:t>
      </w:r>
      <w:r w:rsidR="00CE3DA7" w:rsidRPr="001B5760">
        <w:t xml:space="preserve">partners </w:t>
      </w:r>
      <w:r w:rsidR="00D55BBD" w:rsidRPr="001B5760">
        <w:t xml:space="preserve">began making strategic decisions to </w:t>
      </w:r>
      <w:r w:rsidR="001004BC" w:rsidRPr="001B5760">
        <w:t xml:space="preserve">revive </w:t>
      </w:r>
      <w:r>
        <w:t>their</w:t>
      </w:r>
      <w:r w:rsidR="001004BC" w:rsidRPr="001B5760">
        <w:t xml:space="preserve"> s</w:t>
      </w:r>
      <w:r w:rsidR="00D55BBD" w:rsidRPr="001B5760">
        <w:t>truggling brand</w:t>
      </w:r>
      <w:r w:rsidR="00472B46" w:rsidRPr="001B5760">
        <w:t>’</w:t>
      </w:r>
      <w:r w:rsidR="00D55BBD" w:rsidRPr="001B5760">
        <w:t>s business</w:t>
      </w:r>
      <w:r w:rsidR="001D765D" w:rsidRPr="001B5760">
        <w:t>, s</w:t>
      </w:r>
      <w:r w:rsidR="00CE3DA7" w:rsidRPr="001B5760">
        <w:t>uccessfully group</w:t>
      </w:r>
      <w:r w:rsidR="00747874" w:rsidRPr="001B5760">
        <w:t>ing</w:t>
      </w:r>
      <w:r w:rsidR="00CE3DA7" w:rsidRPr="001B5760">
        <w:t xml:space="preserve"> </w:t>
      </w:r>
      <w:r w:rsidR="002F03CA" w:rsidRPr="001B5760">
        <w:t xml:space="preserve">all </w:t>
      </w:r>
      <w:r w:rsidR="009B0998">
        <w:t xml:space="preserve">YSL </w:t>
      </w:r>
      <w:r w:rsidR="002F03CA" w:rsidRPr="001B5760">
        <w:t xml:space="preserve">products under the same company. </w:t>
      </w:r>
      <w:r w:rsidR="00C51AA1" w:rsidRPr="001B5760">
        <w:t>Hoping to recover some of the large expenses</w:t>
      </w:r>
      <w:r>
        <w:t xml:space="preserve"> involved in acquiring</w:t>
      </w:r>
      <w:r w:rsidR="00C51AA1" w:rsidRPr="001B5760">
        <w:t xml:space="preserve"> the </w:t>
      </w:r>
      <w:r w:rsidR="00EF31E1">
        <w:t>p</w:t>
      </w:r>
      <w:r w:rsidR="00C51AA1" w:rsidRPr="001B5760">
        <w:t xml:space="preserve">erfumes division, </w:t>
      </w:r>
      <w:r w:rsidR="005412C2">
        <w:t xml:space="preserve">Saint </w:t>
      </w:r>
      <w:r w:rsidR="00D55BBD" w:rsidRPr="001B5760">
        <w:t>Laurent</w:t>
      </w:r>
      <w:r w:rsidR="002F03CA" w:rsidRPr="001B5760">
        <w:t xml:space="preserve"> prepared the launch of a</w:t>
      </w:r>
      <w:r w:rsidR="00D55BBD" w:rsidRPr="001B5760">
        <w:t xml:space="preserve"> men</w:t>
      </w:r>
      <w:r w:rsidR="00472B46" w:rsidRPr="001B5760">
        <w:t>’</w:t>
      </w:r>
      <w:r w:rsidR="00D55BBD" w:rsidRPr="001B5760">
        <w:t xml:space="preserve">s </w:t>
      </w:r>
      <w:r w:rsidR="001004BC" w:rsidRPr="001B5760">
        <w:t>perfume</w:t>
      </w:r>
      <w:r>
        <w:t>,</w:t>
      </w:r>
      <w:r w:rsidR="002F03CA" w:rsidRPr="001B5760">
        <w:rPr>
          <w:rStyle w:val="Emphasis"/>
        </w:rPr>
        <w:t xml:space="preserve"> </w:t>
      </w:r>
      <w:r w:rsidR="002F03CA" w:rsidRPr="00D033F9">
        <w:rPr>
          <w:rStyle w:val="Emphasis"/>
        </w:rPr>
        <w:t>Jazz</w:t>
      </w:r>
      <w:r w:rsidR="001004BC" w:rsidRPr="00D9716E">
        <w:rPr>
          <w:rStyle w:val="Emphasis"/>
          <w:i w:val="0"/>
        </w:rPr>
        <w:t>,</w:t>
      </w:r>
      <w:r w:rsidR="00C51AA1" w:rsidRPr="001B5760">
        <w:rPr>
          <w:rStyle w:val="Emphasis"/>
        </w:rPr>
        <w:t xml:space="preserve"> </w:t>
      </w:r>
      <w:r w:rsidR="00C51AA1" w:rsidRPr="001B5760">
        <w:rPr>
          <w:rStyle w:val="Emphasis"/>
          <w:i w:val="0"/>
        </w:rPr>
        <w:t>representing the company</w:t>
      </w:r>
      <w:r w:rsidR="00472B46" w:rsidRPr="001B5760">
        <w:rPr>
          <w:rStyle w:val="Emphasis"/>
          <w:i w:val="0"/>
        </w:rPr>
        <w:t>’</w:t>
      </w:r>
      <w:r w:rsidR="00C51AA1" w:rsidRPr="001B5760">
        <w:rPr>
          <w:rStyle w:val="Emphasis"/>
          <w:i w:val="0"/>
        </w:rPr>
        <w:t xml:space="preserve">s </w:t>
      </w:r>
      <w:r w:rsidR="002F03CA" w:rsidRPr="001B5760">
        <w:t>first perfume line developed entirely in</w:t>
      </w:r>
      <w:r w:rsidR="00704BE3">
        <w:t>-</w:t>
      </w:r>
      <w:r w:rsidR="002F03CA" w:rsidRPr="001B5760">
        <w:t>house</w:t>
      </w:r>
      <w:r w:rsidR="00111EA4" w:rsidRPr="001B5760">
        <w:t xml:space="preserve"> </w:t>
      </w:r>
      <w:r w:rsidR="001004BC" w:rsidRPr="001B5760">
        <w:t>to c</w:t>
      </w:r>
      <w:r w:rsidR="00111EA4" w:rsidRPr="001B5760">
        <w:t xml:space="preserve">ompete with the dominant brands </w:t>
      </w:r>
      <w:r>
        <w:t>in</w:t>
      </w:r>
      <w:r w:rsidR="00111EA4" w:rsidRPr="001B5760">
        <w:t xml:space="preserve"> the men</w:t>
      </w:r>
      <w:r w:rsidR="00472B46" w:rsidRPr="001B5760">
        <w:t>’</w:t>
      </w:r>
      <w:r w:rsidR="00111EA4" w:rsidRPr="001B5760">
        <w:t xml:space="preserve">s perfume market </w:t>
      </w:r>
      <w:r>
        <w:t xml:space="preserve">(e.g., </w:t>
      </w:r>
      <w:proofErr w:type="spellStart"/>
      <w:r w:rsidR="00111EA4" w:rsidRPr="00356EF7">
        <w:rPr>
          <w:i/>
        </w:rPr>
        <w:t>Azzaro</w:t>
      </w:r>
      <w:proofErr w:type="spellEnd"/>
      <w:r w:rsidR="00111EA4" w:rsidRPr="00D9716E">
        <w:t xml:space="preserve">, </w:t>
      </w:r>
      <w:proofErr w:type="spellStart"/>
      <w:r w:rsidR="00111EA4" w:rsidRPr="00356EF7">
        <w:rPr>
          <w:i/>
        </w:rPr>
        <w:t>Paco</w:t>
      </w:r>
      <w:proofErr w:type="spellEnd"/>
      <w:r w:rsidR="00111EA4" w:rsidRPr="00356EF7">
        <w:rPr>
          <w:i/>
        </w:rPr>
        <w:t xml:space="preserve"> </w:t>
      </w:r>
      <w:proofErr w:type="spellStart"/>
      <w:r w:rsidR="00111EA4" w:rsidRPr="00356EF7">
        <w:rPr>
          <w:i/>
        </w:rPr>
        <w:t>Rabanne</w:t>
      </w:r>
      <w:proofErr w:type="spellEnd"/>
      <w:r w:rsidR="00C5797C" w:rsidRPr="00D9716E">
        <w:t>,</w:t>
      </w:r>
      <w:r w:rsidR="00111EA4" w:rsidRPr="00D9716E">
        <w:t xml:space="preserve"> and </w:t>
      </w:r>
      <w:proofErr w:type="spellStart"/>
      <w:r w:rsidR="00111EA4" w:rsidRPr="00356EF7">
        <w:rPr>
          <w:i/>
        </w:rPr>
        <w:t>Laroche</w:t>
      </w:r>
      <w:proofErr w:type="spellEnd"/>
      <w:r>
        <w:t>)</w:t>
      </w:r>
      <w:r w:rsidR="00C51AA1" w:rsidRPr="001B5760">
        <w:t>.</w:t>
      </w:r>
      <w:r w:rsidR="0023551F" w:rsidRPr="001B5760">
        <w:t xml:space="preserve"> </w:t>
      </w:r>
    </w:p>
    <w:p w14:paraId="0682A560" w14:textId="77777777" w:rsidR="00D033F9" w:rsidRDefault="00D033F9" w:rsidP="000A6B31">
      <w:pPr>
        <w:pStyle w:val="BodyTextMain"/>
      </w:pPr>
    </w:p>
    <w:p w14:paraId="15A37099" w14:textId="7C027D02" w:rsidR="002F03CA" w:rsidRPr="001B5760" w:rsidRDefault="0023551F" w:rsidP="000A6B31">
      <w:pPr>
        <w:pStyle w:val="BodyTextMain"/>
        <w:rPr>
          <w:color w:val="FF0000"/>
        </w:rPr>
      </w:pPr>
      <w:r w:rsidRPr="001B5760">
        <w:t>S</w:t>
      </w:r>
      <w:r w:rsidR="00111EA4" w:rsidRPr="001B5760">
        <w:t xml:space="preserve">eeking to relieve the debt, </w:t>
      </w:r>
      <w:r w:rsidR="005412C2">
        <w:t xml:space="preserve">Saint </w:t>
      </w:r>
      <w:r w:rsidR="00C51AA1" w:rsidRPr="001B5760">
        <w:t xml:space="preserve">Laurent and </w:t>
      </w:r>
      <w:proofErr w:type="spellStart"/>
      <w:r w:rsidR="00C51AA1" w:rsidRPr="001B5760">
        <w:t>Bergé</w:t>
      </w:r>
      <w:proofErr w:type="spellEnd"/>
      <w:r w:rsidR="00C51AA1" w:rsidRPr="001B5760">
        <w:t xml:space="preserve"> aimed to publicly release the company to Paris</w:t>
      </w:r>
      <w:r w:rsidR="00472B46" w:rsidRPr="001B5760">
        <w:t>’</w:t>
      </w:r>
      <w:r w:rsidR="00D9716E">
        <w:t>s</w:t>
      </w:r>
      <w:r w:rsidR="00C51AA1" w:rsidRPr="001B5760">
        <w:t xml:space="preserve"> secondary market.</w:t>
      </w:r>
      <w:r w:rsidR="002F03CA" w:rsidRPr="001B5760">
        <w:t xml:space="preserve"> </w:t>
      </w:r>
      <w:r w:rsidR="00111EA4" w:rsidRPr="001B5760">
        <w:t xml:space="preserve">However, a </w:t>
      </w:r>
      <w:r w:rsidRPr="001B5760">
        <w:t xml:space="preserve">1987 </w:t>
      </w:r>
      <w:r w:rsidR="00111EA4" w:rsidRPr="001B5760">
        <w:t xml:space="preserve">stock market crash halted all public stock plans, and the </w:t>
      </w:r>
      <w:r w:rsidR="00D9716E">
        <w:t>subsequent</w:t>
      </w:r>
      <w:r w:rsidR="00111EA4" w:rsidRPr="001B5760">
        <w:t xml:space="preserve"> law</w:t>
      </w:r>
      <w:r w:rsidR="00D9716E">
        <w:t>s</w:t>
      </w:r>
      <w:r w:rsidR="00111EA4" w:rsidRPr="001B5760">
        <w:t xml:space="preserve"> brought</w:t>
      </w:r>
      <w:r w:rsidR="002F03CA" w:rsidRPr="001B5760">
        <w:t xml:space="preserve"> </w:t>
      </w:r>
      <w:r w:rsidR="00111EA4" w:rsidRPr="001B5760">
        <w:t>strict</w:t>
      </w:r>
      <w:r w:rsidR="002F03CA" w:rsidRPr="001B5760">
        <w:t xml:space="preserve"> restrictions on new public offerings</w:t>
      </w:r>
      <w:r w:rsidR="00111EA4" w:rsidRPr="001B5760">
        <w:t xml:space="preserve">, leaving </w:t>
      </w:r>
      <w:r w:rsidR="005412C2">
        <w:t xml:space="preserve">Saint </w:t>
      </w:r>
      <w:r w:rsidR="00111EA4" w:rsidRPr="001B5760">
        <w:t xml:space="preserve">Laurent and </w:t>
      </w:r>
      <w:proofErr w:type="spellStart"/>
      <w:r w:rsidR="00111EA4" w:rsidRPr="001B5760">
        <w:t>Bergé</w:t>
      </w:r>
      <w:proofErr w:type="spellEnd"/>
      <w:r w:rsidR="00111EA4" w:rsidRPr="001B5760">
        <w:t xml:space="preserve"> with an increasing debt that prevent</w:t>
      </w:r>
      <w:r w:rsidR="001004BC" w:rsidRPr="001B5760">
        <w:t>ed</w:t>
      </w:r>
      <w:r w:rsidR="00111EA4" w:rsidRPr="001B5760">
        <w:t xml:space="preserve"> a turnaround of </w:t>
      </w:r>
      <w:r w:rsidR="00D9716E">
        <w:t>their</w:t>
      </w:r>
      <w:r w:rsidR="00111EA4" w:rsidRPr="001B5760">
        <w:t xml:space="preserve"> businesses.</w:t>
      </w:r>
      <w:r w:rsidR="003079B8" w:rsidRPr="001B5760">
        <w:rPr>
          <w:rStyle w:val="EndnoteReference"/>
        </w:rPr>
        <w:endnoteReference w:id="42"/>
      </w:r>
    </w:p>
    <w:p w14:paraId="3A23558E" w14:textId="77777777" w:rsidR="002F03CA" w:rsidRPr="001B5760" w:rsidRDefault="002F03CA" w:rsidP="000A6B31">
      <w:pPr>
        <w:pStyle w:val="BodyTextMain"/>
      </w:pPr>
    </w:p>
    <w:p w14:paraId="7895F65C" w14:textId="77777777" w:rsidR="000A6B31" w:rsidRPr="001B5760" w:rsidRDefault="000A6B31" w:rsidP="00DF1F7C">
      <w:pPr>
        <w:pStyle w:val="BodyTextMain"/>
      </w:pPr>
    </w:p>
    <w:p w14:paraId="2C191618" w14:textId="5069F8E5" w:rsidR="001004BC" w:rsidRPr="001B5760" w:rsidRDefault="001004BC" w:rsidP="00357C54">
      <w:pPr>
        <w:pStyle w:val="Casehead2"/>
        <w:outlineLvl w:val="0"/>
      </w:pPr>
      <w:r w:rsidRPr="001B5760">
        <w:t xml:space="preserve">Losing Control of the Business and Bowing </w:t>
      </w:r>
      <w:r w:rsidR="00AA425F">
        <w:t>o</w:t>
      </w:r>
      <w:r w:rsidRPr="001B5760">
        <w:t>ut</w:t>
      </w:r>
    </w:p>
    <w:p w14:paraId="59715522" w14:textId="77777777" w:rsidR="001004BC" w:rsidRPr="001B5760" w:rsidRDefault="001004BC" w:rsidP="00DF1F7C">
      <w:pPr>
        <w:pStyle w:val="BodyTextMain"/>
      </w:pPr>
    </w:p>
    <w:p w14:paraId="6BDBDEF4" w14:textId="42A3340D" w:rsidR="002F03CA" w:rsidRPr="001B5760" w:rsidRDefault="004F616B" w:rsidP="00DF1F7C">
      <w:pPr>
        <w:pStyle w:val="BodyTextMain"/>
      </w:pPr>
      <w:r w:rsidRPr="001B5760">
        <w:t>During the</w:t>
      </w:r>
      <w:r w:rsidR="006C5478" w:rsidRPr="001B5760">
        <w:t xml:space="preserve"> late </w:t>
      </w:r>
      <w:r w:rsidRPr="001B5760">
        <w:t>19</w:t>
      </w:r>
      <w:r w:rsidR="006C5478" w:rsidRPr="001B5760">
        <w:t xml:space="preserve">80s and </w:t>
      </w:r>
      <w:r w:rsidR="009B0998">
        <w:t xml:space="preserve">early </w:t>
      </w:r>
      <w:r w:rsidRPr="001B5760">
        <w:t>19</w:t>
      </w:r>
      <w:r w:rsidR="006C5478" w:rsidRPr="001B5760">
        <w:t xml:space="preserve">90s, </w:t>
      </w:r>
      <w:r w:rsidR="00A74870">
        <w:t>YSL</w:t>
      </w:r>
      <w:r w:rsidR="006C5478" w:rsidRPr="001B5760">
        <w:t xml:space="preserve"> </w:t>
      </w:r>
      <w:r w:rsidR="001004BC" w:rsidRPr="001B5760">
        <w:t>saw</w:t>
      </w:r>
      <w:r w:rsidRPr="001B5760">
        <w:t xml:space="preserve"> declining interest from the </w:t>
      </w:r>
      <w:r w:rsidR="006C5478" w:rsidRPr="001B5760">
        <w:t>public.</w:t>
      </w:r>
      <w:r w:rsidRPr="001B5760">
        <w:t xml:space="preserve"> </w:t>
      </w:r>
      <w:r w:rsidR="002F03CA" w:rsidRPr="001B5760">
        <w:t>Fearful of a hostile takeover</w:t>
      </w:r>
      <w:r w:rsidR="00372B99" w:rsidRPr="001B5760">
        <w:t xml:space="preserve"> from its third</w:t>
      </w:r>
      <w:r w:rsidR="009B0998">
        <w:t>-</w:t>
      </w:r>
      <w:r w:rsidR="00372B99" w:rsidRPr="001B5760">
        <w:t>party owners</w:t>
      </w:r>
      <w:r w:rsidR="002F03CA" w:rsidRPr="001B5760">
        <w:t xml:space="preserve">, </w:t>
      </w:r>
      <w:proofErr w:type="spellStart"/>
      <w:r w:rsidR="002F03CA" w:rsidRPr="001B5760">
        <w:t>Bergé</w:t>
      </w:r>
      <w:proofErr w:type="spellEnd"/>
      <w:r w:rsidR="002F03CA" w:rsidRPr="001B5760">
        <w:t xml:space="preserve"> took the precaution of changing the company</w:t>
      </w:r>
      <w:r w:rsidR="00472B46" w:rsidRPr="001B5760">
        <w:t>’</w:t>
      </w:r>
      <w:r w:rsidR="002F03CA" w:rsidRPr="001B5760">
        <w:t xml:space="preserve">s structure, transforming </w:t>
      </w:r>
      <w:r w:rsidR="009B0998">
        <w:t>YSL</w:t>
      </w:r>
      <w:r w:rsidR="002F03CA" w:rsidRPr="001B5760">
        <w:t xml:space="preserve"> into a limited partnership. </w:t>
      </w:r>
      <w:proofErr w:type="spellStart"/>
      <w:r w:rsidR="002F03CA" w:rsidRPr="001B5760">
        <w:t>Bergé</w:t>
      </w:r>
      <w:proofErr w:type="spellEnd"/>
      <w:r w:rsidR="002F03CA" w:rsidRPr="001B5760">
        <w:t xml:space="preserve"> and </w:t>
      </w:r>
      <w:r w:rsidR="009B0998">
        <w:t xml:space="preserve">Saint </w:t>
      </w:r>
      <w:r w:rsidR="002F03CA" w:rsidRPr="001B5760">
        <w:t xml:space="preserve">Laurent </w:t>
      </w:r>
      <w:r w:rsidR="00D9716E">
        <w:t xml:space="preserve">quickly found the funds to purchase </w:t>
      </w:r>
      <w:r w:rsidR="00BB3E3A" w:rsidRPr="001B5760">
        <w:t>all</w:t>
      </w:r>
      <w:r w:rsidR="001D765D" w:rsidRPr="001B5760">
        <w:t xml:space="preserve"> of</w:t>
      </w:r>
      <w:r w:rsidR="002F03CA" w:rsidRPr="001B5760">
        <w:t xml:space="preserve"> De Benedetti</w:t>
      </w:r>
      <w:r w:rsidR="00472B46" w:rsidRPr="001B5760">
        <w:t>’</w:t>
      </w:r>
      <w:r w:rsidR="002F03CA" w:rsidRPr="001B5760">
        <w:t>s shares</w:t>
      </w:r>
      <w:r w:rsidR="00D9716E">
        <w:t xml:space="preserve">, </w:t>
      </w:r>
      <w:r w:rsidR="002F03CA" w:rsidRPr="001B5760">
        <w:t xml:space="preserve">bringing </w:t>
      </w:r>
      <w:r w:rsidR="009B0998">
        <w:t>the pair’s</w:t>
      </w:r>
      <w:r w:rsidR="002F03CA" w:rsidRPr="001B5760">
        <w:t xml:space="preserve"> personal debt </w:t>
      </w:r>
      <w:r w:rsidR="001E42FE" w:rsidRPr="001B5760">
        <w:t>to an estimated</w:t>
      </w:r>
      <w:r w:rsidR="002F03CA" w:rsidRPr="001B5760">
        <w:t xml:space="preserve"> </w:t>
      </w:r>
      <w:r w:rsidR="006B7339" w:rsidRPr="00356EF7">
        <w:rPr>
          <w:rFonts w:eastAsiaTheme="minorEastAsia"/>
          <w:kern w:val="0"/>
        </w:rPr>
        <w:t>₣</w:t>
      </w:r>
      <w:r w:rsidR="002F03CA" w:rsidRPr="001B5760">
        <w:t>850 million.</w:t>
      </w:r>
      <w:r w:rsidR="00BB3E3A" w:rsidRPr="001B5760">
        <w:rPr>
          <w:rStyle w:val="EndnoteReference"/>
        </w:rPr>
        <w:endnoteReference w:id="43"/>
      </w:r>
      <w:r w:rsidR="00BB3E3A" w:rsidRPr="001B5760">
        <w:t xml:space="preserve"> Although the limited partnership allowed </w:t>
      </w:r>
      <w:proofErr w:type="spellStart"/>
      <w:r w:rsidR="00BB3E3A" w:rsidRPr="001B5760">
        <w:t>Bergé</w:t>
      </w:r>
      <w:proofErr w:type="spellEnd"/>
      <w:r w:rsidR="00BB3E3A" w:rsidRPr="001B5760">
        <w:t xml:space="preserve"> and </w:t>
      </w:r>
      <w:r w:rsidR="001613AD">
        <w:t xml:space="preserve">Saint </w:t>
      </w:r>
      <w:r w:rsidR="00BB3E3A" w:rsidRPr="001B5760">
        <w:t xml:space="preserve">Laurent to </w:t>
      </w:r>
      <w:r w:rsidR="00D9716E">
        <w:t xml:space="preserve">retain </w:t>
      </w:r>
      <w:r w:rsidR="00BB3E3A" w:rsidRPr="001B5760">
        <w:t xml:space="preserve">control of </w:t>
      </w:r>
      <w:r w:rsidR="00D9716E">
        <w:t>YSL’s</w:t>
      </w:r>
      <w:r w:rsidR="00BB3E3A" w:rsidRPr="001B5760">
        <w:t xml:space="preserve"> direction in the short term, the debt it created ultimately led to the partners</w:t>
      </w:r>
      <w:r w:rsidR="00472B46" w:rsidRPr="001B5760">
        <w:t>’</w:t>
      </w:r>
      <w:r w:rsidR="00BB3E3A" w:rsidRPr="001B5760">
        <w:t xml:space="preserve"> loss of the company entirely.</w:t>
      </w:r>
    </w:p>
    <w:p w14:paraId="6D051C2B" w14:textId="77777777" w:rsidR="002F03CA" w:rsidRPr="001B5760" w:rsidRDefault="002F03CA" w:rsidP="00DF1F7C">
      <w:pPr>
        <w:pStyle w:val="BodyTextMain"/>
      </w:pPr>
    </w:p>
    <w:p w14:paraId="37EC5712" w14:textId="230FBCD6" w:rsidR="003758B4" w:rsidRDefault="00747874" w:rsidP="00DF1F7C">
      <w:pPr>
        <w:pStyle w:val="BodyTextMain"/>
      </w:pPr>
      <w:r w:rsidRPr="001B5760">
        <w:t>As</w:t>
      </w:r>
      <w:r w:rsidR="00BB3E3A" w:rsidRPr="001B5760">
        <w:t xml:space="preserve"> global competition</w:t>
      </w:r>
      <w:r w:rsidR="00495885" w:rsidRPr="00495885">
        <w:t xml:space="preserve"> in the fashion and luxury industries</w:t>
      </w:r>
      <w:r w:rsidRPr="001B5760">
        <w:t xml:space="preserve"> rose</w:t>
      </w:r>
      <w:r w:rsidR="00BB3E3A" w:rsidRPr="001B5760">
        <w:t xml:space="preserve">, the </w:t>
      </w:r>
      <w:r w:rsidR="009B0998">
        <w:t>YSL</w:t>
      </w:r>
      <w:r w:rsidR="00B93A1E" w:rsidRPr="001B5760">
        <w:t xml:space="preserve"> </w:t>
      </w:r>
      <w:r w:rsidR="00BB3E3A" w:rsidRPr="001B5760">
        <w:t>brand image slowly deteriorate</w:t>
      </w:r>
      <w:r w:rsidR="001D765D" w:rsidRPr="001B5760">
        <w:t>d</w:t>
      </w:r>
      <w:r w:rsidR="00BB3E3A" w:rsidRPr="001B5760">
        <w:t xml:space="preserve">. </w:t>
      </w:r>
      <w:r w:rsidR="0005409C" w:rsidRPr="001B5760">
        <w:t>W</w:t>
      </w:r>
      <w:r w:rsidR="00BB3E3A" w:rsidRPr="001B5760">
        <w:t xml:space="preserve">ith </w:t>
      </w:r>
      <w:r w:rsidR="001004BC" w:rsidRPr="001B5760">
        <w:t xml:space="preserve">its </w:t>
      </w:r>
      <w:r w:rsidR="0005409C" w:rsidRPr="001B5760">
        <w:t xml:space="preserve">accumulating </w:t>
      </w:r>
      <w:r w:rsidR="00BB3E3A" w:rsidRPr="001B5760">
        <w:t>high debt</w:t>
      </w:r>
      <w:r w:rsidR="0005409C" w:rsidRPr="001B5760">
        <w:t xml:space="preserve">, </w:t>
      </w:r>
      <w:proofErr w:type="spellStart"/>
      <w:r w:rsidR="00BB3E3A" w:rsidRPr="001B5760">
        <w:t>Bergé</w:t>
      </w:r>
      <w:proofErr w:type="spellEnd"/>
      <w:r w:rsidR="0005409C" w:rsidRPr="001B5760">
        <w:t xml:space="preserve">, </w:t>
      </w:r>
      <w:r w:rsidR="00FA3C18">
        <w:t xml:space="preserve">Saint </w:t>
      </w:r>
      <w:r w:rsidR="00BB3E3A" w:rsidRPr="001B5760">
        <w:t>Laurent</w:t>
      </w:r>
      <w:r w:rsidR="0005409C" w:rsidRPr="001B5760">
        <w:t xml:space="preserve">, and </w:t>
      </w:r>
      <w:r w:rsidR="00BB3E3A" w:rsidRPr="001B5760">
        <w:t>the</w:t>
      </w:r>
      <w:r w:rsidR="0005409C" w:rsidRPr="001B5760">
        <w:t>ir</w:t>
      </w:r>
      <w:r w:rsidR="00BB3E3A" w:rsidRPr="001B5760">
        <w:t xml:space="preserve"> partners were unable to make strategic </w:t>
      </w:r>
      <w:r w:rsidR="001004BC" w:rsidRPr="001B5760">
        <w:t xml:space="preserve">moves </w:t>
      </w:r>
      <w:r w:rsidR="00BB3E3A" w:rsidRPr="001B5760">
        <w:t>to turn</w:t>
      </w:r>
      <w:r w:rsidR="00673955" w:rsidRPr="001B5760">
        <w:t xml:space="preserve"> </w:t>
      </w:r>
      <w:r w:rsidR="00BB3E3A" w:rsidRPr="001B5760">
        <w:t>around the company</w:t>
      </w:r>
      <w:r w:rsidR="00472B46" w:rsidRPr="001B5760">
        <w:t>’</w:t>
      </w:r>
      <w:r w:rsidR="00BB3E3A" w:rsidRPr="001B5760">
        <w:t xml:space="preserve">s performance. At the time, only </w:t>
      </w:r>
      <w:r w:rsidR="001709D5">
        <w:t xml:space="preserve">Elf </w:t>
      </w:r>
      <w:r w:rsidR="00B93A1E" w:rsidRPr="001B5760">
        <w:t xml:space="preserve">Sanofi, a </w:t>
      </w:r>
      <w:r w:rsidR="001709D5">
        <w:t xml:space="preserve">French </w:t>
      </w:r>
      <w:r w:rsidR="00B93A1E" w:rsidRPr="001B5760">
        <w:t>medical and beauty brand</w:t>
      </w:r>
      <w:r w:rsidR="008F6475">
        <w:t>,</w:t>
      </w:r>
      <w:r w:rsidR="00B93A1E" w:rsidRPr="001B5760">
        <w:t xml:space="preserve"> </w:t>
      </w:r>
      <w:r w:rsidR="002F03CA" w:rsidRPr="001B5760">
        <w:t>remained</w:t>
      </w:r>
      <w:r w:rsidR="000D2575" w:rsidRPr="001B5760">
        <w:t xml:space="preserve"> </w:t>
      </w:r>
      <w:r w:rsidR="002F03CA" w:rsidRPr="001B5760">
        <w:t xml:space="preserve">capable of </w:t>
      </w:r>
      <w:r w:rsidR="000D2575" w:rsidRPr="001B5760">
        <w:t>acquiring</w:t>
      </w:r>
      <w:r w:rsidR="003758B4">
        <w:t xml:space="preserve"> YSL</w:t>
      </w:r>
      <w:r w:rsidR="000D2575" w:rsidRPr="001B5760">
        <w:t xml:space="preserve"> and </w:t>
      </w:r>
      <w:r w:rsidR="002F03CA" w:rsidRPr="001B5760">
        <w:t xml:space="preserve">assuring </w:t>
      </w:r>
      <w:r w:rsidR="003758B4">
        <w:t>its</w:t>
      </w:r>
      <w:r w:rsidR="002F03CA" w:rsidRPr="001B5760">
        <w:t xml:space="preserve"> future</w:t>
      </w:r>
      <w:r w:rsidR="00BB3E3A" w:rsidRPr="001B5760">
        <w:t>.</w:t>
      </w:r>
      <w:r w:rsidR="00BB3E3A" w:rsidRPr="001B5760">
        <w:rPr>
          <w:rStyle w:val="EndnoteReference"/>
        </w:rPr>
        <w:endnoteReference w:id="44"/>
      </w:r>
      <w:r w:rsidR="002F03CA" w:rsidRPr="001B5760">
        <w:t xml:space="preserve"> </w:t>
      </w:r>
      <w:r w:rsidR="000D2575" w:rsidRPr="001B5760">
        <w:t xml:space="preserve">However, </w:t>
      </w:r>
      <w:proofErr w:type="spellStart"/>
      <w:r w:rsidR="000D2575" w:rsidRPr="001B5760">
        <w:t>Bergé</w:t>
      </w:r>
      <w:proofErr w:type="spellEnd"/>
      <w:r w:rsidR="000D2575" w:rsidRPr="001B5760">
        <w:t xml:space="preserve"> and </w:t>
      </w:r>
      <w:r w:rsidR="00FA3C18">
        <w:t xml:space="preserve">Saint </w:t>
      </w:r>
      <w:r w:rsidR="000D2575" w:rsidRPr="001B5760">
        <w:t>Laurent struggled as n</w:t>
      </w:r>
      <w:r w:rsidR="002F03CA" w:rsidRPr="001B5760">
        <w:t xml:space="preserve">egotiations with </w:t>
      </w:r>
      <w:r w:rsidR="001709D5">
        <w:t xml:space="preserve">Elf </w:t>
      </w:r>
      <w:r w:rsidR="002F03CA" w:rsidRPr="001B5760">
        <w:t xml:space="preserve">Sanofi </w:t>
      </w:r>
      <w:r w:rsidR="000D2575" w:rsidRPr="001B5760">
        <w:t>continued through</w:t>
      </w:r>
      <w:r w:rsidR="002F03CA" w:rsidRPr="001B5760">
        <w:t xml:space="preserve"> 1992, the 30th anniversary of </w:t>
      </w:r>
      <w:r w:rsidR="009B0998">
        <w:t>YSL</w:t>
      </w:r>
      <w:r w:rsidR="002F03CA" w:rsidRPr="001B5760">
        <w:t>.</w:t>
      </w:r>
      <w:r w:rsidR="000D2575" w:rsidRPr="001B5760">
        <w:rPr>
          <w:rStyle w:val="EndnoteReference"/>
        </w:rPr>
        <w:endnoteReference w:id="45"/>
      </w:r>
      <w:r w:rsidR="002F03CA" w:rsidRPr="001B5760">
        <w:t xml:space="preserve"> </w:t>
      </w:r>
    </w:p>
    <w:p w14:paraId="4F7F78DE" w14:textId="77777777" w:rsidR="0038121B" w:rsidRDefault="0038121B" w:rsidP="00DF1F7C">
      <w:pPr>
        <w:pStyle w:val="BodyTextMain"/>
      </w:pPr>
    </w:p>
    <w:p w14:paraId="78167C41" w14:textId="2DCC1C89" w:rsidR="0021315B" w:rsidRPr="001B5760" w:rsidRDefault="003758B4" w:rsidP="00DF1F7C">
      <w:pPr>
        <w:pStyle w:val="BodyTextMain"/>
      </w:pPr>
      <w:r>
        <w:t>While</w:t>
      </w:r>
      <w:r w:rsidR="000D2575" w:rsidRPr="001B5760">
        <w:t xml:space="preserve"> </w:t>
      </w:r>
      <w:r w:rsidR="0005409C" w:rsidRPr="001B5760">
        <w:t>negotiations</w:t>
      </w:r>
      <w:r w:rsidR="000D2575" w:rsidRPr="001B5760">
        <w:t xml:space="preserve"> </w:t>
      </w:r>
      <w:r w:rsidR="00B93A1E" w:rsidRPr="001B5760">
        <w:t>dragged on</w:t>
      </w:r>
      <w:r w:rsidR="000D2575" w:rsidRPr="001B5760">
        <w:t xml:space="preserve">, </w:t>
      </w:r>
      <w:proofErr w:type="spellStart"/>
      <w:r w:rsidR="002F03CA" w:rsidRPr="001B5760">
        <w:t>Bergé</w:t>
      </w:r>
      <w:proofErr w:type="spellEnd"/>
      <w:r w:rsidR="002F03CA" w:rsidRPr="001B5760">
        <w:t xml:space="preserve"> and </w:t>
      </w:r>
      <w:r w:rsidR="00FA3C18">
        <w:t xml:space="preserve">Saint </w:t>
      </w:r>
      <w:r w:rsidR="002F03CA" w:rsidRPr="001B5760">
        <w:t>Laurent</w:t>
      </w:r>
      <w:r>
        <w:t>’s personal debts</w:t>
      </w:r>
      <w:r w:rsidR="002F03CA" w:rsidRPr="001B5760">
        <w:t xml:space="preserve"> </w:t>
      </w:r>
      <w:r w:rsidR="000D2575" w:rsidRPr="001B5760">
        <w:t>gr</w:t>
      </w:r>
      <w:r w:rsidR="001D765D" w:rsidRPr="001B5760">
        <w:t>e</w:t>
      </w:r>
      <w:r w:rsidR="000D2575" w:rsidRPr="001B5760">
        <w:t>w</w:t>
      </w:r>
      <w:r w:rsidR="0005409C" w:rsidRPr="001B5760">
        <w:t xml:space="preserve">, </w:t>
      </w:r>
      <w:r w:rsidR="000D2575" w:rsidRPr="001B5760">
        <w:t xml:space="preserve">taking </w:t>
      </w:r>
      <w:r w:rsidR="009B0998">
        <w:t>their</w:t>
      </w:r>
      <w:r w:rsidR="000D2575" w:rsidRPr="001B5760">
        <w:t xml:space="preserve"> toll on the partners. </w:t>
      </w:r>
      <w:r w:rsidR="00B93A1E" w:rsidRPr="001B5760">
        <w:t>The partners</w:t>
      </w:r>
      <w:r w:rsidR="002F03CA" w:rsidRPr="001B5760">
        <w:t xml:space="preserve"> </w:t>
      </w:r>
      <w:r w:rsidR="000D2575" w:rsidRPr="001B5760">
        <w:t>privately sold a portion</w:t>
      </w:r>
      <w:r w:rsidR="002F03CA" w:rsidRPr="001B5760">
        <w:t xml:space="preserve"> of their stock</w:t>
      </w:r>
      <w:r w:rsidR="0005409C" w:rsidRPr="001B5760">
        <w:t xml:space="preserve"> </w:t>
      </w:r>
      <w:r w:rsidR="000D2575" w:rsidRPr="001B5760">
        <w:t xml:space="preserve">to raise an estimated </w:t>
      </w:r>
      <w:r w:rsidR="006B7339" w:rsidRPr="00356EF7">
        <w:rPr>
          <w:rFonts w:eastAsiaTheme="minorEastAsia"/>
          <w:kern w:val="0"/>
        </w:rPr>
        <w:t>₣</w:t>
      </w:r>
      <w:r w:rsidR="002F03CA" w:rsidRPr="001B5760">
        <w:t>100 million</w:t>
      </w:r>
      <w:r w:rsidR="0005409C" w:rsidRPr="001B5760">
        <w:t>,</w:t>
      </w:r>
      <w:r w:rsidR="000D2575" w:rsidRPr="001B5760">
        <w:t xml:space="preserve"> provid</w:t>
      </w:r>
      <w:r w:rsidR="0005409C" w:rsidRPr="001B5760">
        <w:t>ing</w:t>
      </w:r>
      <w:r w:rsidR="000D2575" w:rsidRPr="001B5760">
        <w:t xml:space="preserve"> temporary debt relief</w:t>
      </w:r>
      <w:r w:rsidR="001709D5">
        <w:t>. U</w:t>
      </w:r>
      <w:r w:rsidR="00667BB8">
        <w:t>nfortunately</w:t>
      </w:r>
      <w:r w:rsidR="000D2575" w:rsidRPr="001B5760">
        <w:t xml:space="preserve">, the sale </w:t>
      </w:r>
      <w:r w:rsidR="002F03CA" w:rsidRPr="001B5760">
        <w:t>violat</w:t>
      </w:r>
      <w:r w:rsidR="000D2575" w:rsidRPr="001B5760">
        <w:t>ed</w:t>
      </w:r>
      <w:r w:rsidR="002F03CA" w:rsidRPr="001B5760">
        <w:t xml:space="preserve"> insider</w:t>
      </w:r>
      <w:r w:rsidR="009B0998">
        <w:t xml:space="preserve"> </w:t>
      </w:r>
      <w:r w:rsidR="002F03CA" w:rsidRPr="001B5760">
        <w:t xml:space="preserve">trading </w:t>
      </w:r>
      <w:r w:rsidR="000D2575" w:rsidRPr="001B5760">
        <w:t>policies</w:t>
      </w:r>
      <w:r w:rsidR="003079B8" w:rsidRPr="001B5760">
        <w:t>,</w:t>
      </w:r>
      <w:r w:rsidR="000D2575" w:rsidRPr="001B5760">
        <w:t xml:space="preserve"> </w:t>
      </w:r>
      <w:r w:rsidR="00347808" w:rsidRPr="001B5760">
        <w:t xml:space="preserve">forcing </w:t>
      </w:r>
      <w:r w:rsidR="009B0998">
        <w:t>YSL</w:t>
      </w:r>
      <w:r w:rsidR="000D2575" w:rsidRPr="001B5760">
        <w:t xml:space="preserve"> to reveal </w:t>
      </w:r>
      <w:r w:rsidR="002F03CA" w:rsidRPr="001B5760">
        <w:t>first</w:t>
      </w:r>
      <w:r w:rsidR="009B0998">
        <w:t>-</w:t>
      </w:r>
      <w:r w:rsidR="002F03CA" w:rsidRPr="001B5760">
        <w:t>half</w:t>
      </w:r>
      <w:r w:rsidR="000D2575" w:rsidRPr="001B5760">
        <w:t xml:space="preserve"> losses to the public in 1992</w:t>
      </w:r>
      <w:r w:rsidR="00DF72F4" w:rsidRPr="001B5760">
        <w:t xml:space="preserve">. </w:t>
      </w:r>
      <w:r w:rsidR="00937B3F" w:rsidRPr="001B5760">
        <w:t xml:space="preserve">As a result, </w:t>
      </w:r>
      <w:r w:rsidR="00DF1F7C" w:rsidRPr="001B5760">
        <w:t xml:space="preserve">French </w:t>
      </w:r>
      <w:r w:rsidR="00111EA4" w:rsidRPr="001B5760">
        <w:t>p</w:t>
      </w:r>
      <w:r w:rsidR="00DF1F7C" w:rsidRPr="001B5760">
        <w:t xml:space="preserve">harmaceutical company Elf Sanofi </w:t>
      </w:r>
      <w:r w:rsidR="00111EA4" w:rsidRPr="001B5760">
        <w:t xml:space="preserve">acquired </w:t>
      </w:r>
      <w:r w:rsidR="00A74870">
        <w:t>YSL</w:t>
      </w:r>
      <w:r w:rsidR="00DF1F7C" w:rsidRPr="001B5760">
        <w:t xml:space="preserve"> </w:t>
      </w:r>
      <w:r w:rsidR="00DF1F7C" w:rsidRPr="001B5760">
        <w:lastRenderedPageBreak/>
        <w:t>through a stock swap</w:t>
      </w:r>
      <w:r w:rsidR="00937B3F" w:rsidRPr="001B5760">
        <w:t xml:space="preserve"> in 1993</w:t>
      </w:r>
      <w:r w:rsidR="00DF1F7C" w:rsidRPr="001B5760">
        <w:t>.</w:t>
      </w:r>
      <w:r w:rsidR="00B93A1E" w:rsidRPr="001B5760">
        <w:rPr>
          <w:rStyle w:val="EndnoteReference"/>
        </w:rPr>
        <w:endnoteReference w:id="46"/>
      </w:r>
      <w:r w:rsidR="00DF1F7C" w:rsidRPr="001B5760">
        <w:t xml:space="preserve"> </w:t>
      </w:r>
      <w:r w:rsidR="00937B3F" w:rsidRPr="001B5760">
        <w:t>S</w:t>
      </w:r>
      <w:r w:rsidR="00DF1F7C" w:rsidRPr="001B5760">
        <w:t>urrender</w:t>
      </w:r>
      <w:r w:rsidR="002B21C0" w:rsidRPr="001B5760">
        <w:t>ing</w:t>
      </w:r>
      <w:r w:rsidR="00DF1F7C" w:rsidRPr="001B5760">
        <w:t xml:space="preserve"> control</w:t>
      </w:r>
      <w:r w:rsidR="00937B3F" w:rsidRPr="001B5760">
        <w:t xml:space="preserve"> of their </w:t>
      </w:r>
      <w:r w:rsidR="00A74870">
        <w:t>c</w:t>
      </w:r>
      <w:r w:rsidR="00937B3F" w:rsidRPr="001B5760">
        <w:t xml:space="preserve">outure </w:t>
      </w:r>
      <w:r w:rsidR="00A74870">
        <w:t>h</w:t>
      </w:r>
      <w:r w:rsidR="00937B3F" w:rsidRPr="001B5760">
        <w:t>ouse</w:t>
      </w:r>
      <w:r w:rsidR="00DF1F7C" w:rsidRPr="001B5760">
        <w:t xml:space="preserve">, </w:t>
      </w:r>
      <w:r w:rsidR="00FA3C18">
        <w:t xml:space="preserve">Saint </w:t>
      </w:r>
      <w:r w:rsidR="00DF1F7C" w:rsidRPr="001B5760">
        <w:t xml:space="preserve">Laurent and </w:t>
      </w:r>
      <w:proofErr w:type="spellStart"/>
      <w:r w:rsidR="00DF1F7C" w:rsidRPr="001B5760">
        <w:t>Bergé</w:t>
      </w:r>
      <w:proofErr w:type="spellEnd"/>
      <w:r w:rsidR="00062C19" w:rsidRPr="001B5760">
        <w:t xml:space="preserve"> </w:t>
      </w:r>
      <w:r w:rsidR="00DF1F7C" w:rsidRPr="001B5760">
        <w:t>receive</w:t>
      </w:r>
      <w:r w:rsidR="00062C19" w:rsidRPr="001B5760">
        <w:t>d</w:t>
      </w:r>
      <w:r w:rsidR="00DF1F7C" w:rsidRPr="001B5760">
        <w:t xml:space="preserve"> a small stake in </w:t>
      </w:r>
      <w:r w:rsidR="001709D5">
        <w:t>Elf Sanofi</w:t>
      </w:r>
      <w:r w:rsidR="00DF1F7C" w:rsidRPr="001B5760">
        <w:t xml:space="preserve"> and</w:t>
      </w:r>
      <w:r w:rsidR="00062C19" w:rsidRPr="001B5760">
        <w:t xml:space="preserve"> </w:t>
      </w:r>
      <w:r w:rsidR="00937B3F" w:rsidRPr="001B5760">
        <w:t xml:space="preserve">partial control of </w:t>
      </w:r>
      <w:r w:rsidR="00DF1F7C" w:rsidRPr="001B5760">
        <w:t>the</w:t>
      </w:r>
      <w:r w:rsidR="00937B3F" w:rsidRPr="001B5760">
        <w:t>ir</w:t>
      </w:r>
      <w:r w:rsidR="00DF1F7C" w:rsidRPr="001B5760">
        <w:t xml:space="preserve"> fashion businesses</w:t>
      </w:r>
      <w:r w:rsidR="002B21C0" w:rsidRPr="001B5760">
        <w:t xml:space="preserve">, </w:t>
      </w:r>
      <w:r w:rsidR="000D2575" w:rsidRPr="001B5760">
        <w:t>but</w:t>
      </w:r>
      <w:r w:rsidR="002B21C0" w:rsidRPr="001B5760">
        <w:t xml:space="preserve"> </w:t>
      </w:r>
      <w:r w:rsidR="001709D5">
        <w:t>Elf Sanofi</w:t>
      </w:r>
      <w:r w:rsidR="00DF1F7C" w:rsidRPr="001B5760">
        <w:t xml:space="preserve"> would </w:t>
      </w:r>
      <w:r w:rsidR="00667BB8">
        <w:t xml:space="preserve">fully </w:t>
      </w:r>
      <w:r w:rsidR="000D2575" w:rsidRPr="001B5760">
        <w:t xml:space="preserve">manage </w:t>
      </w:r>
      <w:r w:rsidR="00DF1F7C" w:rsidRPr="001B5760">
        <w:t xml:space="preserve">the </w:t>
      </w:r>
      <w:r w:rsidR="009B0998">
        <w:t xml:space="preserve">YSL </w:t>
      </w:r>
      <w:proofErr w:type="spellStart"/>
      <w:r w:rsidR="00DF1F7C" w:rsidRPr="001B5760">
        <w:t>Beauté</w:t>
      </w:r>
      <w:proofErr w:type="spellEnd"/>
      <w:r w:rsidR="00DF1F7C" w:rsidRPr="001B5760">
        <w:t xml:space="preserve"> brand</w:t>
      </w:r>
      <w:r w:rsidR="002B21C0" w:rsidRPr="001B5760">
        <w:t>, looking</w:t>
      </w:r>
      <w:r w:rsidR="00DF1F7C" w:rsidRPr="001B5760">
        <w:t xml:space="preserve"> to create synergies between cosmetics and perfumes.</w:t>
      </w:r>
      <w:r w:rsidR="00DF1F7C" w:rsidRPr="001B5760">
        <w:rPr>
          <w:rStyle w:val="EndnoteReference"/>
        </w:rPr>
        <w:endnoteReference w:id="47"/>
      </w:r>
      <w:r w:rsidR="002F03CA" w:rsidRPr="001B5760">
        <w:t xml:space="preserve"> </w:t>
      </w:r>
      <w:r w:rsidR="00721310">
        <w:t xml:space="preserve">However, </w:t>
      </w:r>
      <w:r w:rsidR="00667BB8">
        <w:t xml:space="preserve">the </w:t>
      </w:r>
      <w:r w:rsidR="002F03CA" w:rsidRPr="001B5760">
        <w:t xml:space="preserve">years of turmoil at </w:t>
      </w:r>
      <w:r w:rsidR="00667BB8">
        <w:t>YSL</w:t>
      </w:r>
      <w:r w:rsidR="002F03CA" w:rsidRPr="001B5760">
        <w:t xml:space="preserve"> </w:t>
      </w:r>
      <w:r w:rsidR="00667BB8">
        <w:t xml:space="preserve">had </w:t>
      </w:r>
      <w:r w:rsidR="002F03CA" w:rsidRPr="001B5760">
        <w:t xml:space="preserve">left </w:t>
      </w:r>
      <w:r w:rsidR="001709D5">
        <w:t>Elf Sanofi</w:t>
      </w:r>
      <w:r w:rsidR="002F03CA" w:rsidRPr="001B5760">
        <w:t xml:space="preserve"> a new division </w:t>
      </w:r>
      <w:r w:rsidR="00B93A1E" w:rsidRPr="001B5760">
        <w:t xml:space="preserve">with </w:t>
      </w:r>
      <w:r w:rsidR="002F03CA" w:rsidRPr="001B5760">
        <w:t>declining</w:t>
      </w:r>
      <w:r w:rsidR="0005409C" w:rsidRPr="001B5760">
        <w:t xml:space="preserve"> sales, </w:t>
      </w:r>
      <w:r w:rsidR="002F03CA" w:rsidRPr="001B5760">
        <w:t>small profits</w:t>
      </w:r>
      <w:r w:rsidR="0005409C" w:rsidRPr="001B5760">
        <w:t>,</w:t>
      </w:r>
      <w:r w:rsidR="002F03CA" w:rsidRPr="001B5760">
        <w:t xml:space="preserve"> and </w:t>
      </w:r>
      <w:r w:rsidR="001004BC" w:rsidRPr="001B5760">
        <w:t>a bleak future</w:t>
      </w:r>
      <w:r w:rsidR="002F03CA" w:rsidRPr="001B5760">
        <w:t>.</w:t>
      </w:r>
      <w:r w:rsidR="000D2575" w:rsidRPr="001B5760">
        <w:rPr>
          <w:rStyle w:val="EndnoteReference"/>
        </w:rPr>
        <w:endnoteReference w:id="48"/>
      </w:r>
      <w:r w:rsidR="00657509" w:rsidRPr="001B5760">
        <w:t xml:space="preserve"> </w:t>
      </w:r>
    </w:p>
    <w:p w14:paraId="11A9B357" w14:textId="77777777" w:rsidR="00CE39D1" w:rsidRPr="001B5760" w:rsidRDefault="00CE39D1" w:rsidP="00DF1F7C">
      <w:pPr>
        <w:pStyle w:val="BodyTextMain"/>
      </w:pPr>
    </w:p>
    <w:p w14:paraId="3651CF79" w14:textId="0A6F6F7E" w:rsidR="009E70A5" w:rsidRPr="001B5760" w:rsidRDefault="00F25BAA" w:rsidP="002D4D25">
      <w:pPr>
        <w:pStyle w:val="BodyTextMain"/>
      </w:pPr>
      <w:r w:rsidRPr="001B5760">
        <w:t xml:space="preserve">In 1997, </w:t>
      </w:r>
      <w:r w:rsidR="001709D5">
        <w:t>Elf Sanofi</w:t>
      </w:r>
      <w:r w:rsidRPr="001B5760">
        <w:t xml:space="preserve"> </w:t>
      </w:r>
      <w:r w:rsidR="00937B3F" w:rsidRPr="001B5760">
        <w:t>ended production of</w:t>
      </w:r>
      <w:r w:rsidRPr="001B5760">
        <w:t xml:space="preserve"> </w:t>
      </w:r>
      <w:r w:rsidR="00A74870">
        <w:t>YSL’</w:t>
      </w:r>
      <w:r w:rsidR="009B5904">
        <w:t>s</w:t>
      </w:r>
      <w:r w:rsidR="0052589C" w:rsidRPr="001B5760">
        <w:t xml:space="preserve"> </w:t>
      </w:r>
      <w:r w:rsidRPr="001B5760">
        <w:t>ready-to-wear business</w:t>
      </w:r>
      <w:r w:rsidR="00937B3F" w:rsidRPr="001B5760">
        <w:t xml:space="preserve">, focusing solely </w:t>
      </w:r>
      <w:r w:rsidRPr="001B5760">
        <w:t xml:space="preserve">on the haute couture </w:t>
      </w:r>
      <w:r w:rsidR="00937B3F" w:rsidRPr="001B5760">
        <w:t>business</w:t>
      </w:r>
      <w:r w:rsidRPr="001B5760">
        <w:t xml:space="preserve">. </w:t>
      </w:r>
      <w:r w:rsidR="00667BB8">
        <w:t>Although the company</w:t>
      </w:r>
      <w:r w:rsidR="00667BB8" w:rsidRPr="001B5760">
        <w:t xml:space="preserve"> </w:t>
      </w:r>
      <w:r w:rsidR="00937B3F" w:rsidRPr="001B5760">
        <w:t>hir</w:t>
      </w:r>
      <w:r w:rsidR="00667BB8">
        <w:t>ed</w:t>
      </w:r>
      <w:r w:rsidR="00937B3F" w:rsidRPr="001B5760">
        <w:t xml:space="preserve"> </w:t>
      </w:r>
      <w:r w:rsidR="0005409C" w:rsidRPr="001B5760">
        <w:t>well-known</w:t>
      </w:r>
      <w:r w:rsidRPr="001B5760">
        <w:t xml:space="preserve"> </w:t>
      </w:r>
      <w:proofErr w:type="spellStart"/>
      <w:r w:rsidRPr="001B5760">
        <w:t>Slimane</w:t>
      </w:r>
      <w:proofErr w:type="spellEnd"/>
      <w:r w:rsidR="00214C0C" w:rsidRPr="00214C0C">
        <w:t xml:space="preserve"> in 1997 </w:t>
      </w:r>
      <w:r w:rsidR="00745C08">
        <w:t>(</w:t>
      </w:r>
      <w:r w:rsidR="00214C0C" w:rsidRPr="00214C0C">
        <w:t>to revive the Rive Gauche menswear fashion</w:t>
      </w:r>
      <w:r w:rsidR="00745C08">
        <w:t>)</w:t>
      </w:r>
      <w:r w:rsidRPr="001B5760">
        <w:t xml:space="preserve"> and </w:t>
      </w:r>
      <w:proofErr w:type="spellStart"/>
      <w:r w:rsidRPr="001B5760">
        <w:t>Alber</w:t>
      </w:r>
      <w:proofErr w:type="spellEnd"/>
      <w:r w:rsidRPr="001B5760">
        <w:t xml:space="preserve"> </w:t>
      </w:r>
      <w:proofErr w:type="spellStart"/>
      <w:r w:rsidRPr="001B5760">
        <w:t>Elbaz</w:t>
      </w:r>
      <w:proofErr w:type="spellEnd"/>
      <w:r w:rsidR="00214C0C">
        <w:rPr>
          <w:rFonts w:hint="eastAsia"/>
          <w:lang w:eastAsia="zh-CN"/>
        </w:rPr>
        <w:t xml:space="preserve"> in</w:t>
      </w:r>
      <w:r w:rsidR="00745C08">
        <w:rPr>
          <w:lang w:eastAsia="zh-CN"/>
        </w:rPr>
        <w:t xml:space="preserve"> </w:t>
      </w:r>
      <w:r w:rsidR="00214C0C">
        <w:rPr>
          <w:rFonts w:hint="eastAsia"/>
          <w:lang w:eastAsia="zh-CN"/>
        </w:rPr>
        <w:t>1998</w:t>
      </w:r>
      <w:r w:rsidRPr="001B5760">
        <w:t xml:space="preserve"> as </w:t>
      </w:r>
      <w:r w:rsidR="00214C0C">
        <w:rPr>
          <w:rFonts w:hint="eastAsia"/>
          <w:lang w:eastAsia="zh-CN"/>
        </w:rPr>
        <w:t>creative</w:t>
      </w:r>
      <w:r w:rsidR="00214C0C" w:rsidRPr="001B5760">
        <w:t xml:space="preserve"> </w:t>
      </w:r>
      <w:r w:rsidRPr="001B5760">
        <w:t>directors</w:t>
      </w:r>
      <w:r w:rsidR="00937B3F" w:rsidRPr="001B5760">
        <w:t xml:space="preserve">, the two artists </w:t>
      </w:r>
      <w:r w:rsidR="0052589C" w:rsidRPr="001B5760">
        <w:t xml:space="preserve">left </w:t>
      </w:r>
      <w:r w:rsidR="00214C0C">
        <w:t>in 1999</w:t>
      </w:r>
      <w:r w:rsidR="00214C0C" w:rsidRPr="001B5760">
        <w:t xml:space="preserve"> </w:t>
      </w:r>
      <w:r w:rsidR="00937B3F" w:rsidRPr="001B5760">
        <w:t xml:space="preserve">due to </w:t>
      </w:r>
      <w:r w:rsidR="0005409C" w:rsidRPr="001B5760">
        <w:t xml:space="preserve">rumours of </w:t>
      </w:r>
      <w:r w:rsidR="00937B3F" w:rsidRPr="001B5760">
        <w:t xml:space="preserve">a </w:t>
      </w:r>
      <w:r w:rsidRPr="001B5760">
        <w:t>subsequent takeover.</w:t>
      </w:r>
      <w:r w:rsidR="00723EF3" w:rsidRPr="001B5760">
        <w:rPr>
          <w:rStyle w:val="EndnoteReference"/>
        </w:rPr>
        <w:endnoteReference w:id="49"/>
      </w:r>
      <w:r w:rsidR="0052589C" w:rsidRPr="001B5760">
        <w:t xml:space="preserve"> As </w:t>
      </w:r>
      <w:r w:rsidR="001709D5">
        <w:t>Elf Sanofi</w:t>
      </w:r>
      <w:r w:rsidR="0052589C" w:rsidRPr="001B5760">
        <w:t xml:space="preserve"> aimed to sell its brand in 1999</w:t>
      </w:r>
      <w:r w:rsidR="00657509" w:rsidRPr="001B5760">
        <w:t>,</w:t>
      </w:r>
      <w:r w:rsidR="0052589C" w:rsidRPr="001B5760">
        <w:t xml:space="preserve"> French billionaire François-Henri Pinault, owner of the Pinault-</w:t>
      </w:r>
      <w:proofErr w:type="spellStart"/>
      <w:r w:rsidR="0052589C" w:rsidRPr="001B5760">
        <w:t>Primtemps</w:t>
      </w:r>
      <w:proofErr w:type="spellEnd"/>
      <w:r w:rsidR="0052589C" w:rsidRPr="001B5760">
        <w:t>-</w:t>
      </w:r>
      <w:proofErr w:type="spellStart"/>
      <w:r w:rsidR="0052589C" w:rsidRPr="001B5760">
        <w:t>Redoute</w:t>
      </w:r>
      <w:proofErr w:type="spellEnd"/>
      <w:r w:rsidR="0052589C" w:rsidRPr="001B5760">
        <w:t xml:space="preserve"> Group</w:t>
      </w:r>
      <w:r w:rsidR="001D765D" w:rsidRPr="001B5760">
        <w:t xml:space="preserve"> </w:t>
      </w:r>
      <w:r w:rsidR="009B5904" w:rsidRPr="001B5760">
        <w:t>(PPR</w:t>
      </w:r>
      <w:r w:rsidR="009B5904">
        <w:t>)</w:t>
      </w:r>
      <w:r w:rsidR="009B5904" w:rsidRPr="001B5760">
        <w:t xml:space="preserve"> </w:t>
      </w:r>
      <w:r w:rsidR="001D765D" w:rsidRPr="001B5760">
        <w:t xml:space="preserve">sought </w:t>
      </w:r>
      <w:r w:rsidR="0052589C" w:rsidRPr="001B5760">
        <w:t>to diversify his business</w:t>
      </w:r>
      <w:r w:rsidR="009734F0" w:rsidRPr="001B5760">
        <w:t>es</w:t>
      </w:r>
      <w:r w:rsidR="0052589C" w:rsidRPr="001B5760">
        <w:t xml:space="preserve"> and enter the luxury goods industry.</w:t>
      </w:r>
      <w:r w:rsidR="00C45EDA" w:rsidRPr="001B5760">
        <w:rPr>
          <w:rStyle w:val="EndnoteReference"/>
        </w:rPr>
        <w:endnoteReference w:id="50"/>
      </w:r>
      <w:r w:rsidR="0052589C" w:rsidRPr="001B5760">
        <w:t xml:space="preserve"> </w:t>
      </w:r>
    </w:p>
    <w:p w14:paraId="7B9117A4" w14:textId="77777777" w:rsidR="009E70A5" w:rsidRPr="001B5760" w:rsidRDefault="009E70A5" w:rsidP="002D4D25">
      <w:pPr>
        <w:pStyle w:val="BodyTextMain"/>
      </w:pPr>
    </w:p>
    <w:p w14:paraId="0844E1BF" w14:textId="77777777" w:rsidR="00657509" w:rsidRPr="001B5760" w:rsidRDefault="00657509" w:rsidP="002D4D25">
      <w:pPr>
        <w:pStyle w:val="BodyTextMain"/>
      </w:pPr>
    </w:p>
    <w:p w14:paraId="559516E8" w14:textId="2DC97594" w:rsidR="00657509" w:rsidRPr="001B5760" w:rsidRDefault="00657509" w:rsidP="00356EF7">
      <w:pPr>
        <w:pStyle w:val="Casehead1"/>
      </w:pPr>
      <w:r w:rsidRPr="001B5760">
        <w:t xml:space="preserve">THE PPR GROUP: NEW IDEAS </w:t>
      </w:r>
      <w:r w:rsidR="00667BB8">
        <w:t>AND</w:t>
      </w:r>
      <w:r w:rsidRPr="001B5760">
        <w:t xml:space="preserve"> LEADERSHIP</w:t>
      </w:r>
    </w:p>
    <w:p w14:paraId="539C96CD" w14:textId="77777777" w:rsidR="00657509" w:rsidRPr="001B5760" w:rsidRDefault="00657509" w:rsidP="002D4D25">
      <w:pPr>
        <w:pStyle w:val="BodyTextMain"/>
      </w:pPr>
    </w:p>
    <w:p w14:paraId="0FC1AC7B" w14:textId="58776A5D" w:rsidR="00EB3953" w:rsidRDefault="00657509" w:rsidP="002D4D25">
      <w:pPr>
        <w:pStyle w:val="BodyTextMain"/>
      </w:pPr>
      <w:r w:rsidRPr="001B5760">
        <w:t>A</w:t>
      </w:r>
      <w:r w:rsidR="009E70A5" w:rsidRPr="001B5760">
        <w:t xml:space="preserve"> huge conglomerate engaged in developing high</w:t>
      </w:r>
      <w:r w:rsidR="00A9451A">
        <w:t>-</w:t>
      </w:r>
      <w:r w:rsidR="009E70A5" w:rsidRPr="001B5760">
        <w:t>growth consumer and luxury brands</w:t>
      </w:r>
      <w:r w:rsidRPr="001B5760">
        <w:t xml:space="preserve">, </w:t>
      </w:r>
      <w:r w:rsidR="009B5904">
        <w:t>PPR</w:t>
      </w:r>
      <w:r w:rsidR="00EB3953">
        <w:t xml:space="preserve"> aimed to</w:t>
      </w:r>
      <w:r w:rsidR="009E70A5" w:rsidRPr="001B5760">
        <w:t xml:space="preserve"> </w:t>
      </w:r>
      <w:r w:rsidR="00B702AE" w:rsidRPr="001B5760">
        <w:t xml:space="preserve">grow </w:t>
      </w:r>
      <w:r w:rsidR="00747874" w:rsidRPr="001B5760">
        <w:t>by</w:t>
      </w:r>
      <w:r w:rsidR="009E70A5" w:rsidRPr="001B5760">
        <w:t xml:space="preserve"> focus</w:t>
      </w:r>
      <w:r w:rsidR="00747874" w:rsidRPr="001B5760">
        <w:t>ing</w:t>
      </w:r>
      <w:r w:rsidR="009E70A5" w:rsidRPr="001B5760">
        <w:t xml:space="preserve"> on the luxury industry while selling </w:t>
      </w:r>
      <w:r w:rsidRPr="001B5760">
        <w:t xml:space="preserve">its </w:t>
      </w:r>
      <w:r w:rsidR="009E70A5" w:rsidRPr="001B5760">
        <w:t>non-luxury businesses.</w:t>
      </w:r>
      <w:r w:rsidRPr="001B5760">
        <w:rPr>
          <w:rStyle w:val="EndnoteReference"/>
        </w:rPr>
        <w:endnoteReference w:id="51"/>
      </w:r>
      <w:r w:rsidR="0052589C" w:rsidRPr="001B5760">
        <w:t xml:space="preserve"> </w:t>
      </w:r>
      <w:r w:rsidR="0052589C" w:rsidRPr="001B5760">
        <w:rPr>
          <w:lang w:eastAsia="zh-CN"/>
        </w:rPr>
        <w:t xml:space="preserve">PPR acquired </w:t>
      </w:r>
      <w:r w:rsidR="002D4D25" w:rsidRPr="001B5760">
        <w:rPr>
          <w:lang w:eastAsia="zh-CN"/>
        </w:rPr>
        <w:t>42</w:t>
      </w:r>
      <w:r w:rsidR="002A25A5" w:rsidRPr="001B5760">
        <w:rPr>
          <w:lang w:eastAsia="zh-CN"/>
        </w:rPr>
        <w:t xml:space="preserve"> per cent</w:t>
      </w:r>
      <w:r w:rsidR="002D4D25" w:rsidRPr="001B5760">
        <w:rPr>
          <w:lang w:eastAsia="zh-CN"/>
        </w:rPr>
        <w:t xml:space="preserve"> of </w:t>
      </w:r>
      <w:r w:rsidR="0052589C" w:rsidRPr="001B5760">
        <w:t>Gucci</w:t>
      </w:r>
      <w:r w:rsidR="002D4D25" w:rsidRPr="001B5760">
        <w:t>, a highly successful Italian ready-to-wear company,</w:t>
      </w:r>
      <w:r w:rsidR="0052589C" w:rsidRPr="001B5760">
        <w:t xml:space="preserve"> through a series of transactions in 1999</w:t>
      </w:r>
      <w:r w:rsidR="002D4D25" w:rsidRPr="001B5760">
        <w:t>.</w:t>
      </w:r>
      <w:r w:rsidR="00723EF3" w:rsidRPr="001B5760">
        <w:rPr>
          <w:rStyle w:val="EndnoteReference"/>
        </w:rPr>
        <w:endnoteReference w:id="52"/>
      </w:r>
      <w:r w:rsidR="002D4D25" w:rsidRPr="001B5760">
        <w:t xml:space="preserve"> Yet when </w:t>
      </w:r>
      <w:r w:rsidR="009B5904">
        <w:t>PPR</w:t>
      </w:r>
      <w:r w:rsidR="002D4D25" w:rsidRPr="001B5760">
        <w:t xml:space="preserve"> made the strategic business decision to expand Gucci into more business segments</w:t>
      </w:r>
      <w:r w:rsidR="00EA61C8" w:rsidRPr="001B5760">
        <w:t>,</w:t>
      </w:r>
      <w:r w:rsidR="005D5066" w:rsidRPr="001B5760">
        <w:t xml:space="preserve"> </w:t>
      </w:r>
      <w:r w:rsidR="002D4D25" w:rsidRPr="001B5760">
        <w:t>Gucci</w:t>
      </w:r>
      <w:r w:rsidR="00472B46" w:rsidRPr="001B5760">
        <w:t>’</w:t>
      </w:r>
      <w:r w:rsidR="005D5066" w:rsidRPr="001B5760">
        <w:t xml:space="preserve">s brand became easily accessible and </w:t>
      </w:r>
      <w:r w:rsidR="00EB3953">
        <w:t>its valuable sense of</w:t>
      </w:r>
      <w:r w:rsidR="005D5066" w:rsidRPr="001B5760">
        <w:t xml:space="preserve"> exclusivity was lost.</w:t>
      </w:r>
      <w:r w:rsidR="002D4D25" w:rsidRPr="001B5760">
        <w:t xml:space="preserve"> </w:t>
      </w:r>
    </w:p>
    <w:p w14:paraId="431B80D6" w14:textId="77777777" w:rsidR="00EB3953" w:rsidRDefault="00EB3953" w:rsidP="002D4D25">
      <w:pPr>
        <w:pStyle w:val="BodyTextMain"/>
      </w:pPr>
    </w:p>
    <w:p w14:paraId="39520C1E" w14:textId="0D086F83" w:rsidR="002D4D25" w:rsidRPr="001B5760" w:rsidRDefault="002D4D25" w:rsidP="002D4D25">
      <w:pPr>
        <w:pStyle w:val="BodyTextMain"/>
      </w:pPr>
      <w:r w:rsidRPr="001B5760">
        <w:t xml:space="preserve">PPR also acquired 14 other luxury brands to support its </w:t>
      </w:r>
      <w:r w:rsidR="005D5066" w:rsidRPr="001B5760">
        <w:t>Gucci</w:t>
      </w:r>
      <w:r w:rsidRPr="001B5760">
        <w:t xml:space="preserve"> acquisition</w:t>
      </w:r>
      <w:r w:rsidR="00F67AB4" w:rsidRPr="001B5760">
        <w:t xml:space="preserve">, </w:t>
      </w:r>
      <w:r w:rsidRPr="001B5760">
        <w:t>leverag</w:t>
      </w:r>
      <w:r w:rsidR="00F67AB4" w:rsidRPr="001B5760">
        <w:t xml:space="preserve">ing </w:t>
      </w:r>
      <w:r w:rsidRPr="001B5760">
        <w:t>the group</w:t>
      </w:r>
      <w:r w:rsidR="00472B46" w:rsidRPr="001B5760">
        <w:t>’</w:t>
      </w:r>
      <w:r w:rsidRPr="001B5760">
        <w:t xml:space="preserve">s resources and capability </w:t>
      </w:r>
      <w:r w:rsidRPr="001B5760">
        <w:rPr>
          <w:lang w:eastAsia="zh-CN"/>
        </w:rPr>
        <w:t>to scale up</w:t>
      </w:r>
      <w:r w:rsidR="00EB3953">
        <w:rPr>
          <w:lang w:eastAsia="zh-CN"/>
        </w:rPr>
        <w:t xml:space="preserve"> and</w:t>
      </w:r>
      <w:r w:rsidRPr="001B5760">
        <w:rPr>
          <w:lang w:eastAsia="zh-CN"/>
        </w:rPr>
        <w:t xml:space="preserve"> making </w:t>
      </w:r>
      <w:r w:rsidR="00EB3953">
        <w:t>its</w:t>
      </w:r>
      <w:r w:rsidRPr="001B5760">
        <w:t xml:space="preserve"> business more focused and profitable.</w:t>
      </w:r>
      <w:r w:rsidR="00F67AB4" w:rsidRPr="001B5760">
        <w:rPr>
          <w:rStyle w:val="EndnoteReference"/>
        </w:rPr>
        <w:endnoteReference w:id="53"/>
      </w:r>
      <w:r w:rsidRPr="001B5760">
        <w:t xml:space="preserve"> </w:t>
      </w:r>
      <w:r w:rsidR="00EB3953">
        <w:t>Accordingly</w:t>
      </w:r>
      <w:r w:rsidRPr="001B5760">
        <w:t xml:space="preserve">, </w:t>
      </w:r>
      <w:r w:rsidR="009B5904">
        <w:t>PPR</w:t>
      </w:r>
      <w:r w:rsidRPr="001B5760">
        <w:t xml:space="preserve"> chose to have multiple brands complement</w:t>
      </w:r>
      <w:r w:rsidR="00EB3953">
        <w:t xml:space="preserve"> one another</w:t>
      </w:r>
      <w:r w:rsidRPr="001B5760">
        <w:t xml:space="preserve"> </w:t>
      </w:r>
      <w:r w:rsidR="00EB3953">
        <w:t>rather than</w:t>
      </w:r>
      <w:r w:rsidRPr="001B5760">
        <w:t xml:space="preserve"> compet</w:t>
      </w:r>
      <w:r w:rsidR="00EB3953">
        <w:t>e</w:t>
      </w:r>
      <w:r w:rsidRPr="001B5760">
        <w:t xml:space="preserve">. Through the experience of acquiring Gucci, Pinault gave the creative </w:t>
      </w:r>
      <w:r w:rsidR="005D5066" w:rsidRPr="001B5760">
        <w:t>directors</w:t>
      </w:r>
      <w:r w:rsidRPr="001B5760">
        <w:t xml:space="preserve"> a high level of autonomy and control</w:t>
      </w:r>
      <w:r w:rsidR="005D5066" w:rsidRPr="001B5760">
        <w:t>, allowing them to be</w:t>
      </w:r>
      <w:r w:rsidRPr="001B5760">
        <w:t xml:space="preserve"> involved in </w:t>
      </w:r>
      <w:r w:rsidR="00EB3953">
        <w:t xml:space="preserve">decisions about </w:t>
      </w:r>
      <w:r w:rsidRPr="001B5760">
        <w:t xml:space="preserve">product design, brand image, store concept, and </w:t>
      </w:r>
      <w:r w:rsidR="005D5066" w:rsidRPr="001B5760">
        <w:t>marketing</w:t>
      </w:r>
      <w:r w:rsidRPr="001B5760">
        <w:t>.</w:t>
      </w:r>
      <w:r w:rsidR="00EA61C8" w:rsidRPr="001B5760">
        <w:rPr>
          <w:rStyle w:val="EndnoteReference"/>
        </w:rPr>
        <w:endnoteReference w:id="54"/>
      </w:r>
      <w:r w:rsidRPr="001B5760">
        <w:t xml:space="preserve"> Pinault believed that </w:t>
      </w:r>
      <w:r w:rsidR="00EB3953">
        <w:t>a</w:t>
      </w:r>
      <w:r w:rsidRPr="001B5760">
        <w:t xml:space="preserve"> creative director should be matched with a strong </w:t>
      </w:r>
      <w:r w:rsidR="00E53DAA">
        <w:t>chief executive officer (</w:t>
      </w:r>
      <w:r w:rsidRPr="001B5760">
        <w:t>CEO</w:t>
      </w:r>
      <w:r w:rsidR="00E53DAA">
        <w:t>)</w:t>
      </w:r>
      <w:r w:rsidRPr="001B5760">
        <w:t xml:space="preserve"> to align the</w:t>
      </w:r>
      <w:r w:rsidR="00EB3953">
        <w:t xml:space="preserve"> company’s</w:t>
      </w:r>
      <w:r w:rsidRPr="001B5760">
        <w:t xml:space="preserve"> strategic and creative visions.</w:t>
      </w:r>
    </w:p>
    <w:p w14:paraId="1BA7A5FB" w14:textId="77777777" w:rsidR="0052589C" w:rsidRPr="001B5760" w:rsidRDefault="0052589C" w:rsidP="00C83EF1">
      <w:pPr>
        <w:pStyle w:val="BodyTextMain"/>
      </w:pPr>
    </w:p>
    <w:p w14:paraId="099741D0" w14:textId="40515CAB" w:rsidR="00114136" w:rsidRPr="001B5760" w:rsidRDefault="00723EF3" w:rsidP="00114136">
      <w:pPr>
        <w:pStyle w:val="BodyTextMain"/>
      </w:pPr>
      <w:r w:rsidRPr="001B5760">
        <w:t xml:space="preserve">Seeing </w:t>
      </w:r>
      <w:r w:rsidR="002D4D25" w:rsidRPr="001B5760">
        <w:t xml:space="preserve">success with Gucci and its other newly acquired brands, </w:t>
      </w:r>
      <w:r w:rsidR="009B5904">
        <w:t>PPR</w:t>
      </w:r>
      <w:r w:rsidR="00114136" w:rsidRPr="001B5760">
        <w:t xml:space="preserve"> took its first steps toward the development of a multi-brand luxury goods </w:t>
      </w:r>
      <w:r w:rsidR="005D5066" w:rsidRPr="001B5760">
        <w:t>g</w:t>
      </w:r>
      <w:r w:rsidR="00114136" w:rsidRPr="001B5760">
        <w:t xml:space="preserve">roup </w:t>
      </w:r>
      <w:r w:rsidR="00C45EDA" w:rsidRPr="001B5760">
        <w:t>by acquiring</w:t>
      </w:r>
      <w:r w:rsidR="00114136" w:rsidRPr="001B5760">
        <w:t xml:space="preserve"> Y</w:t>
      </w:r>
      <w:r w:rsidR="009B0998">
        <w:t>SL</w:t>
      </w:r>
      <w:r w:rsidR="00114136" w:rsidRPr="001B5760">
        <w:t>,</w:t>
      </w:r>
      <w:r w:rsidR="00DF1F7C" w:rsidRPr="001B5760">
        <w:t xml:space="preserve"> </w:t>
      </w:r>
      <w:r w:rsidR="00114136" w:rsidRPr="001B5760">
        <w:t xml:space="preserve">YSL </w:t>
      </w:r>
      <w:proofErr w:type="spellStart"/>
      <w:r w:rsidR="00114136" w:rsidRPr="001B5760">
        <w:t>Beauté</w:t>
      </w:r>
      <w:proofErr w:type="spellEnd"/>
      <w:r w:rsidR="00657509" w:rsidRPr="001B5760">
        <w:t>,</w:t>
      </w:r>
      <w:r w:rsidR="00114136" w:rsidRPr="001B5760">
        <w:t xml:space="preserve"> and</w:t>
      </w:r>
      <w:r w:rsidR="00C24D6D" w:rsidRPr="00C24D6D">
        <w:t xml:space="preserve"> the Italian women’s footwear company</w:t>
      </w:r>
      <w:r w:rsidR="00114136" w:rsidRPr="001B5760">
        <w:t xml:space="preserve"> Sergio Rossi</w:t>
      </w:r>
      <w:r w:rsidR="00657509" w:rsidRPr="001B5760">
        <w:t xml:space="preserve"> in 1999</w:t>
      </w:r>
      <w:r w:rsidR="00114136" w:rsidRPr="001B5760">
        <w:t xml:space="preserve">. Contrary to </w:t>
      </w:r>
      <w:r w:rsidR="009B0998">
        <w:t>YSL’s</w:t>
      </w:r>
      <w:r w:rsidR="00114136" w:rsidRPr="001B5760">
        <w:t xml:space="preserve"> past acquirers, </w:t>
      </w:r>
      <w:r w:rsidR="009B5904">
        <w:t>PPR</w:t>
      </w:r>
      <w:r w:rsidR="00114136" w:rsidRPr="001B5760">
        <w:t xml:space="preserve"> denied unconditional authority to </w:t>
      </w:r>
      <w:r w:rsidR="00231348">
        <w:t xml:space="preserve">Saint </w:t>
      </w:r>
      <w:r w:rsidR="00114136" w:rsidRPr="001B5760">
        <w:t xml:space="preserve">Laurent and </w:t>
      </w:r>
      <w:proofErr w:type="spellStart"/>
      <w:r w:rsidR="00114136" w:rsidRPr="001B5760">
        <w:t>Bergé</w:t>
      </w:r>
      <w:proofErr w:type="spellEnd"/>
      <w:r w:rsidR="00114136" w:rsidRPr="001B5760">
        <w:t xml:space="preserve"> </w:t>
      </w:r>
      <w:r w:rsidR="00776551">
        <w:t>because</w:t>
      </w:r>
      <w:r w:rsidR="00776551" w:rsidRPr="001B5760">
        <w:t xml:space="preserve"> </w:t>
      </w:r>
      <w:r w:rsidR="00776551">
        <w:t>their vision</w:t>
      </w:r>
      <w:r w:rsidR="00776551" w:rsidRPr="001B5760">
        <w:t xml:space="preserve"> </w:t>
      </w:r>
      <w:r w:rsidR="00AB48D1">
        <w:t xml:space="preserve">did not </w:t>
      </w:r>
      <w:r w:rsidR="00114136" w:rsidRPr="001B5760">
        <w:t>align with the company</w:t>
      </w:r>
      <w:r w:rsidR="00472B46" w:rsidRPr="001B5760">
        <w:t>’</w:t>
      </w:r>
      <w:r w:rsidR="00114136" w:rsidRPr="001B5760">
        <w:t xml:space="preserve">s vision. Relinquishing power and control to Pinault, </w:t>
      </w:r>
      <w:r w:rsidR="00231348">
        <w:t xml:space="preserve">Saint </w:t>
      </w:r>
      <w:r w:rsidR="00114136" w:rsidRPr="001B5760">
        <w:t xml:space="preserve">Laurent and </w:t>
      </w:r>
      <w:proofErr w:type="spellStart"/>
      <w:r w:rsidR="00114136" w:rsidRPr="001B5760">
        <w:t>Bergé</w:t>
      </w:r>
      <w:proofErr w:type="spellEnd"/>
      <w:r w:rsidR="00114136" w:rsidRPr="001B5760">
        <w:t xml:space="preserve"> </w:t>
      </w:r>
      <w:r w:rsidR="002D1D01">
        <w:t xml:space="preserve">both </w:t>
      </w:r>
      <w:r w:rsidR="00114136" w:rsidRPr="001B5760">
        <w:t>announced their retirement in 2002, but remained advisors to their company.</w:t>
      </w:r>
      <w:r w:rsidR="00C45EDA" w:rsidRPr="001B5760">
        <w:rPr>
          <w:rStyle w:val="EndnoteReference"/>
        </w:rPr>
        <w:endnoteReference w:id="55"/>
      </w:r>
      <w:r w:rsidR="00114136" w:rsidRPr="001B5760">
        <w:t xml:space="preserve"> </w:t>
      </w:r>
      <w:r w:rsidR="002D1D01">
        <w:t>However,</w:t>
      </w:r>
      <w:r w:rsidR="005D5066" w:rsidRPr="001B5760">
        <w:t xml:space="preserve"> w</w:t>
      </w:r>
      <w:r w:rsidR="00114136" w:rsidRPr="001B5760">
        <w:t>ithout</w:t>
      </w:r>
      <w:r w:rsidR="002D1D01">
        <w:t xml:space="preserve"> Saint</w:t>
      </w:r>
      <w:r w:rsidR="00114136" w:rsidRPr="001B5760">
        <w:t xml:space="preserve"> Laurent</w:t>
      </w:r>
      <w:r w:rsidR="00472B46" w:rsidRPr="001B5760">
        <w:t>’</w:t>
      </w:r>
      <w:r w:rsidR="00114136" w:rsidRPr="001B5760">
        <w:t xml:space="preserve">s creativity </w:t>
      </w:r>
      <w:r w:rsidR="00CA55C2" w:rsidRPr="001B5760">
        <w:t>as a fashion designe</w:t>
      </w:r>
      <w:r w:rsidR="005D5066" w:rsidRPr="001B5760">
        <w:t>r</w:t>
      </w:r>
      <w:r w:rsidRPr="001B5760">
        <w:t xml:space="preserve"> </w:t>
      </w:r>
      <w:r w:rsidR="00CA55C2" w:rsidRPr="001B5760">
        <w:t xml:space="preserve">and </w:t>
      </w:r>
      <w:proofErr w:type="spellStart"/>
      <w:r w:rsidR="00CA55C2" w:rsidRPr="001B5760">
        <w:t>Bergé</w:t>
      </w:r>
      <w:r w:rsidR="00472B46" w:rsidRPr="001B5760">
        <w:t>’</w:t>
      </w:r>
      <w:r w:rsidR="00CA55C2" w:rsidRPr="001B5760">
        <w:t>s</w:t>
      </w:r>
      <w:proofErr w:type="spellEnd"/>
      <w:r w:rsidR="00CA55C2" w:rsidRPr="001B5760">
        <w:t xml:space="preserve"> influential managerial control</w:t>
      </w:r>
      <w:r w:rsidR="00657509" w:rsidRPr="001B5760">
        <w:t xml:space="preserve"> and involvement</w:t>
      </w:r>
      <w:r w:rsidR="00114136" w:rsidRPr="001B5760">
        <w:t xml:space="preserve">, </w:t>
      </w:r>
      <w:r w:rsidR="00EA61C8" w:rsidRPr="001B5760">
        <w:t xml:space="preserve">some questioned </w:t>
      </w:r>
      <w:r w:rsidR="002D1D01">
        <w:t>whether</w:t>
      </w:r>
      <w:r w:rsidR="00EA61C8" w:rsidRPr="001B5760">
        <w:t xml:space="preserve"> </w:t>
      </w:r>
      <w:r w:rsidR="002D1D01">
        <w:t>PPR could</w:t>
      </w:r>
      <w:r w:rsidR="00EA61C8" w:rsidRPr="001B5760">
        <w:t xml:space="preserve"> </w:t>
      </w:r>
      <w:r w:rsidR="00657509" w:rsidRPr="001B5760">
        <w:t>succeed</w:t>
      </w:r>
      <w:r w:rsidR="00114136" w:rsidRPr="001B5760">
        <w:t xml:space="preserve"> </w:t>
      </w:r>
      <w:r w:rsidR="00657509" w:rsidRPr="001B5760">
        <w:t xml:space="preserve">with </w:t>
      </w:r>
      <w:r w:rsidR="00114136" w:rsidRPr="001B5760">
        <w:t xml:space="preserve">its </w:t>
      </w:r>
      <w:r w:rsidR="00B702AE" w:rsidRPr="001B5760">
        <w:t xml:space="preserve">focused </w:t>
      </w:r>
      <w:r w:rsidR="00114136" w:rsidRPr="001B5760">
        <w:t>turnaround strategy</w:t>
      </w:r>
      <w:r w:rsidR="002D1D01">
        <w:t xml:space="preserve"> for YSL</w:t>
      </w:r>
      <w:r w:rsidR="00AA75C4" w:rsidRPr="001B5760">
        <w:t>.</w:t>
      </w:r>
    </w:p>
    <w:p w14:paraId="0AC481D0" w14:textId="77777777" w:rsidR="00D7115A" w:rsidRPr="001B5760" w:rsidRDefault="00D7115A" w:rsidP="00C83EF1">
      <w:pPr>
        <w:pStyle w:val="BodyTextMain"/>
      </w:pPr>
    </w:p>
    <w:p w14:paraId="2FB4B359" w14:textId="77777777" w:rsidR="00D7115A" w:rsidRPr="001B5760" w:rsidRDefault="00D7115A" w:rsidP="00356EF7">
      <w:pPr>
        <w:pStyle w:val="BodyTextMain"/>
      </w:pPr>
    </w:p>
    <w:p w14:paraId="42512C4E" w14:textId="77777777" w:rsidR="00DF1F7C" w:rsidRPr="001B5760" w:rsidRDefault="00E46A7D" w:rsidP="00357C54">
      <w:pPr>
        <w:pStyle w:val="Casehead2"/>
        <w:outlineLvl w:val="0"/>
      </w:pPr>
      <w:r w:rsidRPr="001B5760">
        <w:t>Shifting Strategies</w:t>
      </w:r>
    </w:p>
    <w:p w14:paraId="3F1D9769" w14:textId="77777777" w:rsidR="00DF1F7C" w:rsidRPr="001B5760" w:rsidRDefault="00DF1F7C" w:rsidP="00DF1F7C">
      <w:pPr>
        <w:pStyle w:val="BodyTextMain"/>
      </w:pPr>
    </w:p>
    <w:p w14:paraId="6D466046" w14:textId="17198BB1" w:rsidR="00AF0AAC" w:rsidRDefault="00AF0AAC" w:rsidP="00AF0AAC">
      <w:pPr>
        <w:pStyle w:val="BodyTextMain"/>
      </w:pPr>
      <w:r w:rsidRPr="001B5760">
        <w:t xml:space="preserve">Under </w:t>
      </w:r>
      <w:r w:rsidR="009B5904">
        <w:t>PPR</w:t>
      </w:r>
      <w:r w:rsidRPr="001B5760">
        <w:t xml:space="preserve">, </w:t>
      </w:r>
      <w:r w:rsidR="00A74870">
        <w:t>YSL</w:t>
      </w:r>
      <w:r w:rsidRPr="001B5760">
        <w:t xml:space="preserve"> </w:t>
      </w:r>
      <w:r w:rsidR="00CC0CAB" w:rsidRPr="001B5760">
        <w:t>shifted</w:t>
      </w:r>
      <w:r w:rsidR="00CA55C2" w:rsidRPr="001B5760">
        <w:t xml:space="preserve"> focus back</w:t>
      </w:r>
      <w:r w:rsidRPr="001B5760">
        <w:t xml:space="preserve"> </w:t>
      </w:r>
      <w:r w:rsidR="00A40DD2" w:rsidRPr="001B5760">
        <w:t>to</w:t>
      </w:r>
      <w:r w:rsidRPr="001B5760">
        <w:t xml:space="preserve"> the haute couture business</w:t>
      </w:r>
      <w:r w:rsidR="00CC0CAB" w:rsidRPr="001B5760">
        <w:t xml:space="preserve">, </w:t>
      </w:r>
      <w:r w:rsidR="00776551" w:rsidRPr="001B5760">
        <w:t xml:space="preserve">unilaterally </w:t>
      </w:r>
      <w:r w:rsidR="00CC0CAB" w:rsidRPr="001B5760">
        <w:t xml:space="preserve">implementing </w:t>
      </w:r>
      <w:r w:rsidRPr="001B5760">
        <w:t>a drastic turnaround strategy</w:t>
      </w:r>
      <w:r w:rsidR="00CC0CAB" w:rsidRPr="001B5760">
        <w:t xml:space="preserve">. </w:t>
      </w:r>
      <w:r w:rsidR="00262536" w:rsidRPr="001B5760">
        <w:t>During the 1990s, many luxury brands began building and selling out of directly operated stores</w:t>
      </w:r>
      <w:r w:rsidR="00AE6ECE">
        <w:t>;</w:t>
      </w:r>
      <w:r w:rsidR="00262536" w:rsidRPr="001B5760">
        <w:t xml:space="preserve"> </w:t>
      </w:r>
      <w:r w:rsidR="00CC0CAB" w:rsidRPr="001B5760">
        <w:t>f</w:t>
      </w:r>
      <w:r w:rsidR="00262536" w:rsidRPr="001B5760">
        <w:t xml:space="preserve">ranchised operations were bought out or closed, while wholesale distribution through department stores and independent boutiques </w:t>
      </w:r>
      <w:r w:rsidR="00776551">
        <w:t xml:space="preserve">was </w:t>
      </w:r>
      <w:r w:rsidR="00262536" w:rsidRPr="001B5760">
        <w:t>halted.</w:t>
      </w:r>
      <w:r w:rsidR="00CC0CAB" w:rsidRPr="001B5760">
        <w:rPr>
          <w:rStyle w:val="EndnoteReference"/>
        </w:rPr>
        <w:t xml:space="preserve"> </w:t>
      </w:r>
      <w:r w:rsidR="00CC0CAB" w:rsidRPr="001B5760">
        <w:rPr>
          <w:rStyle w:val="EndnoteReference"/>
        </w:rPr>
        <w:endnoteReference w:id="56"/>
      </w:r>
      <w:r w:rsidR="00CC0CAB" w:rsidRPr="001B5760">
        <w:t xml:space="preserve"> PPR separated YSL</w:t>
      </w:r>
      <w:r w:rsidR="00472B46" w:rsidRPr="001B5760">
        <w:t>’</w:t>
      </w:r>
      <w:r w:rsidR="00CC0CAB" w:rsidRPr="001B5760">
        <w:t xml:space="preserve">s </w:t>
      </w:r>
      <w:proofErr w:type="spellStart"/>
      <w:r w:rsidR="00CC0CAB" w:rsidRPr="001B5760">
        <w:t>Beauté</w:t>
      </w:r>
      <w:proofErr w:type="spellEnd"/>
      <w:r w:rsidR="00CC0CAB" w:rsidRPr="001B5760">
        <w:t xml:space="preserve"> brand perfumes and cosmetics business from the </w:t>
      </w:r>
      <w:r w:rsidR="00A74870">
        <w:t>c</w:t>
      </w:r>
      <w:r w:rsidR="00CC0CAB" w:rsidRPr="001B5760">
        <w:t xml:space="preserve">outure </w:t>
      </w:r>
      <w:r w:rsidR="00A74870">
        <w:t>h</w:t>
      </w:r>
      <w:r w:rsidR="00CC0CAB" w:rsidRPr="001B5760">
        <w:t xml:space="preserve">ouse. </w:t>
      </w:r>
      <w:r w:rsidR="00262536" w:rsidRPr="001B5760">
        <w:t xml:space="preserve">Although </w:t>
      </w:r>
      <w:r w:rsidR="002D1D01" w:rsidRPr="001B5760">
        <w:t xml:space="preserve">directly operated stores </w:t>
      </w:r>
      <w:r w:rsidR="00AE6ECE">
        <w:t>represented</w:t>
      </w:r>
      <w:r w:rsidR="00262536" w:rsidRPr="001B5760">
        <w:t xml:space="preserve"> a costly proposition, </w:t>
      </w:r>
      <w:r w:rsidR="00AE6ECE">
        <w:t>this arrangement</w:t>
      </w:r>
      <w:r w:rsidR="00262536" w:rsidRPr="001B5760">
        <w:t xml:space="preserve"> allowed luxury houses to maintain full control over their store operations, presentation, services, </w:t>
      </w:r>
      <w:r w:rsidR="0027483F">
        <w:t xml:space="preserve">and </w:t>
      </w:r>
      <w:r w:rsidR="00262536" w:rsidRPr="001B5760">
        <w:t>pricing, as well as the range of products available and sold</w:t>
      </w:r>
      <w:r w:rsidR="00CC0CAB" w:rsidRPr="001B5760">
        <w:t>, reducing</w:t>
      </w:r>
      <w:r w:rsidR="00262536" w:rsidRPr="001B5760">
        <w:t xml:space="preserve"> </w:t>
      </w:r>
      <w:r w:rsidR="00262536" w:rsidRPr="001B5760">
        <w:lastRenderedPageBreak/>
        <w:t xml:space="preserve">vulnerability to the </w:t>
      </w:r>
      <w:r w:rsidR="00472B46" w:rsidRPr="001B5760">
        <w:t>“</w:t>
      </w:r>
      <w:r w:rsidR="00262536" w:rsidRPr="001B5760">
        <w:t>grey market</w:t>
      </w:r>
      <w:r w:rsidR="00472B46" w:rsidRPr="001B5760">
        <w:t>”</w:t>
      </w:r>
      <w:r w:rsidR="00262536" w:rsidRPr="001B5760">
        <w:t xml:space="preserve"> or parallel trade</w:t>
      </w:r>
      <w:r w:rsidR="00BE1510">
        <w:t xml:space="preserve"> (i.e., </w:t>
      </w:r>
      <w:r w:rsidR="00BE1510" w:rsidRPr="00BE1510">
        <w:t xml:space="preserve">the trade of a </w:t>
      </w:r>
      <w:r w:rsidR="00BE1510">
        <w:t>product</w:t>
      </w:r>
      <w:r w:rsidR="00BE1510" w:rsidRPr="00BE1510">
        <w:t xml:space="preserve"> through </w:t>
      </w:r>
      <w:r w:rsidR="00BE1510">
        <w:t xml:space="preserve">some </w:t>
      </w:r>
      <w:r w:rsidR="00BE1510" w:rsidRPr="00BE1510">
        <w:t xml:space="preserve">distribution </w:t>
      </w:r>
      <w:r w:rsidR="00A410AA">
        <w:t>outlets</w:t>
      </w:r>
      <w:r w:rsidR="00BE1510" w:rsidRPr="00BE1510">
        <w:t xml:space="preserve"> that </w:t>
      </w:r>
      <w:r w:rsidR="00993068">
        <w:t>were</w:t>
      </w:r>
      <w:r w:rsidR="00BE1510" w:rsidRPr="00BE1510">
        <w:t xml:space="preserve"> legal but unintended by the original manufacturer</w:t>
      </w:r>
      <w:r w:rsidR="00BE1510">
        <w:t>)</w:t>
      </w:r>
      <w:r w:rsidR="00BE1510" w:rsidRPr="00BE1510">
        <w:t>.</w:t>
      </w:r>
      <w:r w:rsidR="00262536" w:rsidRPr="001B5760">
        <w:rPr>
          <w:rStyle w:val="EndnoteReference"/>
        </w:rPr>
        <w:endnoteReference w:id="57"/>
      </w:r>
    </w:p>
    <w:p w14:paraId="326119E3" w14:textId="77777777" w:rsidR="00776551" w:rsidRPr="001B5760" w:rsidRDefault="00776551" w:rsidP="00AF0AAC">
      <w:pPr>
        <w:pStyle w:val="BodyTextMain"/>
      </w:pPr>
    </w:p>
    <w:p w14:paraId="02A5FBB0" w14:textId="57F21C6E" w:rsidR="0027483F" w:rsidRDefault="00A40DD2">
      <w:pPr>
        <w:pStyle w:val="BodyTextMain"/>
      </w:pPr>
      <w:r w:rsidRPr="001B5760">
        <w:t xml:space="preserve">In 1999, </w:t>
      </w:r>
      <w:r w:rsidR="00AF0AAC" w:rsidRPr="001B5760">
        <w:t xml:space="preserve">Tom Ford, the </w:t>
      </w:r>
      <w:r w:rsidR="00D66B02">
        <w:t>creative</w:t>
      </w:r>
      <w:r w:rsidR="00D66B02" w:rsidRPr="001B5760">
        <w:t xml:space="preserve"> </w:t>
      </w:r>
      <w:r w:rsidR="00AF0AAC" w:rsidRPr="001B5760">
        <w:t xml:space="preserve">director of Gucci, joined </w:t>
      </w:r>
      <w:r w:rsidR="00A74870">
        <w:t>YSL’s</w:t>
      </w:r>
      <w:r w:rsidR="00AF0AAC" w:rsidRPr="001B5760">
        <w:t xml:space="preserve"> </w:t>
      </w:r>
      <w:r w:rsidR="00A74870">
        <w:t>c</w:t>
      </w:r>
      <w:r w:rsidR="00AF0AAC" w:rsidRPr="001B5760">
        <w:t xml:space="preserve">outure </w:t>
      </w:r>
      <w:r w:rsidR="00A74870">
        <w:t>h</w:t>
      </w:r>
      <w:r w:rsidR="00AF0AAC" w:rsidRPr="001B5760">
        <w:t xml:space="preserve">ouse, implementing his </w:t>
      </w:r>
      <w:r w:rsidR="0027483F">
        <w:t>“</w:t>
      </w:r>
      <w:r w:rsidR="00AF0AAC" w:rsidRPr="0078372B">
        <w:t>porno-chic</w:t>
      </w:r>
      <w:r w:rsidR="0027483F">
        <w:t>”</w:t>
      </w:r>
      <w:r w:rsidR="00AF0AAC" w:rsidRPr="001B5760">
        <w:t xml:space="preserve"> style that</w:t>
      </w:r>
      <w:r w:rsidR="0027483F">
        <w:t xml:space="preserve"> had</w:t>
      </w:r>
      <w:r w:rsidR="00AF0AAC" w:rsidRPr="001B5760">
        <w:t xml:space="preserve"> </w:t>
      </w:r>
      <w:r w:rsidR="00CA55C2" w:rsidRPr="001B5760">
        <w:t>achieved</w:t>
      </w:r>
      <w:r w:rsidR="00AF0AAC" w:rsidRPr="001B5760">
        <w:t xml:space="preserve"> global success</w:t>
      </w:r>
      <w:r w:rsidR="00CA55C2" w:rsidRPr="001B5760">
        <w:t xml:space="preserve"> and recognition</w:t>
      </w:r>
      <w:r w:rsidR="00AF0AAC" w:rsidRPr="001B5760">
        <w:t xml:space="preserve"> with Gucci.</w:t>
      </w:r>
      <w:r w:rsidR="00CE20F3" w:rsidRPr="001B5760">
        <w:rPr>
          <w:rStyle w:val="EndnoteReference"/>
        </w:rPr>
        <w:endnoteReference w:id="58"/>
      </w:r>
      <w:r w:rsidR="00AF0AAC" w:rsidRPr="001B5760">
        <w:t xml:space="preserve"> </w:t>
      </w:r>
      <w:r w:rsidR="004E4AA8">
        <w:t>However, d</w:t>
      </w:r>
      <w:r w:rsidR="00AF0AAC" w:rsidRPr="001B5760">
        <w:t xml:space="preserve">espite his </w:t>
      </w:r>
      <w:r w:rsidR="00CA55C2" w:rsidRPr="001B5760">
        <w:t xml:space="preserve">historical </w:t>
      </w:r>
      <w:r w:rsidR="00AF0AAC" w:rsidRPr="001B5760">
        <w:t xml:space="preserve">success with Gucci, Ford failed to revive </w:t>
      </w:r>
      <w:r w:rsidR="009B0998">
        <w:t>the YSL</w:t>
      </w:r>
      <w:r w:rsidR="00AF0AAC" w:rsidRPr="001B5760">
        <w:t xml:space="preserve"> brand, and was replaced by Stefano </w:t>
      </w:r>
      <w:proofErr w:type="spellStart"/>
      <w:r w:rsidR="00AF0AAC" w:rsidRPr="001B5760">
        <w:t>Pilati</w:t>
      </w:r>
      <w:proofErr w:type="spellEnd"/>
      <w:r w:rsidR="0027483F" w:rsidRPr="0027483F">
        <w:t xml:space="preserve"> </w:t>
      </w:r>
      <w:r w:rsidR="0027483F" w:rsidRPr="001B5760">
        <w:t>in 2004</w:t>
      </w:r>
      <w:r w:rsidR="00673955" w:rsidRPr="001B5760">
        <w:t>.</w:t>
      </w:r>
      <w:r w:rsidR="00CE20F3" w:rsidRPr="001B5760">
        <w:rPr>
          <w:rStyle w:val="EndnoteReference"/>
        </w:rPr>
        <w:endnoteReference w:id="59"/>
      </w:r>
      <w:r w:rsidR="006114B3" w:rsidRPr="001B5760">
        <w:t xml:space="preserve"> </w:t>
      </w:r>
      <w:r w:rsidR="0027483F">
        <w:t>Upon b</w:t>
      </w:r>
      <w:r w:rsidR="00292A1B" w:rsidRPr="001B5760">
        <w:t xml:space="preserve">ecoming the new </w:t>
      </w:r>
      <w:r w:rsidR="00357C54">
        <w:t>creative director</w:t>
      </w:r>
      <w:r w:rsidR="00292A1B" w:rsidRPr="001B5760">
        <w:t xml:space="preserve">, </w:t>
      </w:r>
      <w:proofErr w:type="spellStart"/>
      <w:r w:rsidR="00292A1B" w:rsidRPr="001B5760">
        <w:t>Pilati</w:t>
      </w:r>
      <w:proofErr w:type="spellEnd"/>
      <w:r w:rsidR="00292A1B" w:rsidRPr="001B5760">
        <w:t xml:space="preserve"> stated, </w:t>
      </w:r>
      <w:r w:rsidR="00472B46" w:rsidRPr="001B5760">
        <w:t>“</w:t>
      </w:r>
      <w:r w:rsidR="002A25A5" w:rsidRPr="001B5760">
        <w:t xml:space="preserve">Saint Laurent did everything. . . . </w:t>
      </w:r>
      <w:r w:rsidR="00292A1B" w:rsidRPr="001B5760">
        <w:t>You go to the YSL archives, and</w:t>
      </w:r>
      <w:r w:rsidR="003E415E" w:rsidRPr="001B5760">
        <w:t xml:space="preserve"> </w:t>
      </w:r>
      <w:r w:rsidR="00292A1B" w:rsidRPr="001B5760">
        <w:t>you feel he thought of any idea I could ever imagine. It</w:t>
      </w:r>
      <w:r w:rsidR="00472B46" w:rsidRPr="001B5760">
        <w:t>’</w:t>
      </w:r>
      <w:r w:rsidR="00292A1B" w:rsidRPr="001B5760">
        <w:t>s intimidating.</w:t>
      </w:r>
      <w:r w:rsidR="00472B46" w:rsidRPr="001B5760">
        <w:t>”</w:t>
      </w:r>
      <w:r w:rsidR="00292A1B" w:rsidRPr="001B5760">
        <w:rPr>
          <w:rStyle w:val="EndnoteReference"/>
        </w:rPr>
        <w:endnoteReference w:id="60"/>
      </w:r>
      <w:r w:rsidR="00292A1B" w:rsidRPr="001B5760">
        <w:t xml:space="preserve"> </w:t>
      </w:r>
      <w:r w:rsidR="001432B4">
        <w:t>At the same time,</w:t>
      </w:r>
      <w:r w:rsidR="00292A1B" w:rsidRPr="001B5760">
        <w:t xml:space="preserve"> </w:t>
      </w:r>
      <w:proofErr w:type="spellStart"/>
      <w:r w:rsidR="00292A1B" w:rsidRPr="001B5760">
        <w:t>Pilati</w:t>
      </w:r>
      <w:proofErr w:type="spellEnd"/>
      <w:r w:rsidR="009B0998">
        <w:t xml:space="preserve"> had</w:t>
      </w:r>
      <w:r w:rsidR="00292A1B" w:rsidRPr="001B5760">
        <w:t xml:space="preserve"> a history with </w:t>
      </w:r>
      <w:r w:rsidR="009B0998">
        <w:t>YSL</w:t>
      </w:r>
      <w:r w:rsidR="00292A1B" w:rsidRPr="001B5760">
        <w:t>, l</w:t>
      </w:r>
      <w:r w:rsidR="006114B3" w:rsidRPr="001B5760">
        <w:t xml:space="preserve">eading </w:t>
      </w:r>
      <w:r w:rsidR="00257405" w:rsidRPr="001B5760">
        <w:t xml:space="preserve">the design of </w:t>
      </w:r>
      <w:r w:rsidR="006114B3" w:rsidRPr="001B5760">
        <w:t>ready-to-wear clothing designs since 2000</w:t>
      </w:r>
      <w:r w:rsidR="00292A1B" w:rsidRPr="001B5760">
        <w:t xml:space="preserve">. As creative director, </w:t>
      </w:r>
      <w:proofErr w:type="spellStart"/>
      <w:r w:rsidR="006114B3" w:rsidRPr="001B5760">
        <w:t>Pilati</w:t>
      </w:r>
      <w:proofErr w:type="spellEnd"/>
      <w:r w:rsidR="006114B3" w:rsidRPr="001B5760">
        <w:t xml:space="preserve"> introduced styles like the tulip skirt, </w:t>
      </w:r>
      <w:r w:rsidR="00747874" w:rsidRPr="001B5760">
        <w:t>m</w:t>
      </w:r>
      <w:r w:rsidR="006114B3" w:rsidRPr="001B5760">
        <w:t>use bag</w:t>
      </w:r>
      <w:r w:rsidR="00747874" w:rsidRPr="001B5760">
        <w:t>,</w:t>
      </w:r>
      <w:r w:rsidR="006114B3" w:rsidRPr="001B5760">
        <w:t xml:space="preserve"> and YSL Tribute sandal</w:t>
      </w:r>
      <w:r w:rsidR="009E70A5" w:rsidRPr="001B5760">
        <w:t>; however</w:t>
      </w:r>
      <w:r w:rsidR="00747874" w:rsidRPr="001B5760">
        <w:t>,</w:t>
      </w:r>
      <w:r w:rsidR="009E70A5" w:rsidRPr="001B5760">
        <w:t xml:space="preserve"> he struggled to revive the brand</w:t>
      </w:r>
      <w:r w:rsidR="009C26D7">
        <w:t>,</w:t>
      </w:r>
      <w:r w:rsidR="009E70A5" w:rsidRPr="001B5760">
        <w:t xml:space="preserve"> his designs </w:t>
      </w:r>
      <w:r w:rsidR="009C26D7">
        <w:t>being</w:t>
      </w:r>
      <w:r w:rsidR="009C26D7" w:rsidRPr="001B5760">
        <w:t xml:space="preserve"> </w:t>
      </w:r>
      <w:r w:rsidR="009E70A5" w:rsidRPr="001B5760">
        <w:t>often questioned by the public.</w:t>
      </w:r>
      <w:r w:rsidR="006114B3" w:rsidRPr="001B5760">
        <w:rPr>
          <w:rStyle w:val="EndnoteReference"/>
        </w:rPr>
        <w:endnoteReference w:id="61"/>
      </w:r>
      <w:r w:rsidR="00AF0AAC" w:rsidRPr="001B5760">
        <w:t xml:space="preserve"> </w:t>
      </w:r>
    </w:p>
    <w:p w14:paraId="28E9EC60" w14:textId="77777777" w:rsidR="0027483F" w:rsidRDefault="0027483F">
      <w:pPr>
        <w:pStyle w:val="BodyTextMain"/>
      </w:pPr>
    </w:p>
    <w:p w14:paraId="77A54B4C" w14:textId="50D60A58" w:rsidR="00704BE3" w:rsidRDefault="0027483F">
      <w:pPr>
        <w:pStyle w:val="BodyTextMain"/>
      </w:pPr>
      <w:r>
        <w:t>YSL</w:t>
      </w:r>
      <w:r w:rsidR="00AF0AAC" w:rsidRPr="001B5760">
        <w:t xml:space="preserve"> </w:t>
      </w:r>
      <w:r w:rsidR="00D7115A" w:rsidRPr="001B5760">
        <w:t xml:space="preserve">began buying </w:t>
      </w:r>
      <w:r w:rsidR="00AF0AAC" w:rsidRPr="001B5760">
        <w:t xml:space="preserve">back </w:t>
      </w:r>
      <w:r w:rsidR="00D7115A" w:rsidRPr="001B5760">
        <w:t>a number of</w:t>
      </w:r>
      <w:r w:rsidR="00AF0AAC" w:rsidRPr="001B5760">
        <w:t xml:space="preserve"> licensing agreement</w:t>
      </w:r>
      <w:r w:rsidR="00673955" w:rsidRPr="001B5760">
        <w:t>s</w:t>
      </w:r>
      <w:r w:rsidR="00AF0AAC" w:rsidRPr="001B5760">
        <w:t xml:space="preserve"> in order to </w:t>
      </w:r>
      <w:r>
        <w:t xml:space="preserve">maintain </w:t>
      </w:r>
      <w:r w:rsidR="00AF0AAC" w:rsidRPr="001B5760">
        <w:t>control o</w:t>
      </w:r>
      <w:r>
        <w:t>f</w:t>
      </w:r>
      <w:r w:rsidR="00AF0AAC" w:rsidRPr="001B5760">
        <w:t xml:space="preserve"> its brand image.</w:t>
      </w:r>
      <w:r w:rsidR="00AF0AAC" w:rsidRPr="001B5760">
        <w:rPr>
          <w:rStyle w:val="EndnoteReference"/>
        </w:rPr>
        <w:endnoteReference w:id="62"/>
      </w:r>
      <w:r w:rsidR="00AF0AAC" w:rsidRPr="001B5760">
        <w:t xml:space="preserve"> </w:t>
      </w:r>
      <w:r>
        <w:t>F</w:t>
      </w:r>
      <w:r w:rsidR="002174F8" w:rsidRPr="001B5760">
        <w:t xml:space="preserve">ollowing the decision to decrease </w:t>
      </w:r>
      <w:r>
        <w:t>the number of</w:t>
      </w:r>
      <w:r w:rsidR="002174F8" w:rsidRPr="001B5760">
        <w:t xml:space="preserve"> </w:t>
      </w:r>
      <w:r w:rsidR="002D1D01">
        <w:t>licence</w:t>
      </w:r>
      <w:r w:rsidR="002174F8" w:rsidRPr="001B5760">
        <w:t>s</w:t>
      </w:r>
      <w:r>
        <w:t>,</w:t>
      </w:r>
      <w:r w:rsidRPr="0027483F">
        <w:t xml:space="preserve"> </w:t>
      </w:r>
      <w:r w:rsidRPr="001B5760">
        <w:t xml:space="preserve">80 per cent of </w:t>
      </w:r>
      <w:r>
        <w:t>YSL</w:t>
      </w:r>
      <w:r w:rsidRPr="001B5760">
        <w:t xml:space="preserve"> sales </w:t>
      </w:r>
      <w:r w:rsidR="00AE505C">
        <w:t>were made</w:t>
      </w:r>
      <w:r w:rsidR="00AE505C" w:rsidRPr="001B5760">
        <w:t xml:space="preserve"> </w:t>
      </w:r>
      <w:r w:rsidRPr="001B5760">
        <w:t>in</w:t>
      </w:r>
      <w:r w:rsidR="00704BE3">
        <w:t>-</w:t>
      </w:r>
      <w:r w:rsidRPr="001B5760">
        <w:t>store</w:t>
      </w:r>
      <w:r w:rsidR="002174F8" w:rsidRPr="001B5760">
        <w:t>.</w:t>
      </w:r>
      <w:r w:rsidR="002174F8" w:rsidRPr="001B5760">
        <w:rPr>
          <w:rStyle w:val="EndnoteReference"/>
        </w:rPr>
        <w:t xml:space="preserve"> </w:t>
      </w:r>
      <w:r w:rsidR="002174F8" w:rsidRPr="001B5760">
        <w:rPr>
          <w:rStyle w:val="EndnoteReference"/>
        </w:rPr>
        <w:endnoteReference w:id="63"/>
      </w:r>
      <w:r w:rsidR="002174F8" w:rsidRPr="001B5760">
        <w:t xml:space="preserve"> </w:t>
      </w:r>
      <w:r w:rsidR="00832A46">
        <w:t>Saint Laurent</w:t>
      </w:r>
      <w:r w:rsidR="00832A46" w:rsidRPr="001B5760">
        <w:t>’s</w:t>
      </w:r>
      <w:r w:rsidR="002174F8" w:rsidRPr="001B5760">
        <w:t xml:space="preserve"> control of </w:t>
      </w:r>
      <w:r w:rsidR="002D1D01">
        <w:t>licence</w:t>
      </w:r>
      <w:r w:rsidR="002174F8" w:rsidRPr="001B5760">
        <w:t xml:space="preserve">s allowed the company to design its products </w:t>
      </w:r>
      <w:r w:rsidR="00704BE3">
        <w:t>with</w:t>
      </w:r>
      <w:r w:rsidR="002174F8" w:rsidRPr="001B5760">
        <w:t xml:space="preserve"> an in-house team, control manufacturing, and only </w:t>
      </w:r>
      <w:r w:rsidR="00257405" w:rsidRPr="001B5760">
        <w:t xml:space="preserve">use </w:t>
      </w:r>
      <w:r w:rsidR="002174F8" w:rsidRPr="001B5760">
        <w:t>licen</w:t>
      </w:r>
      <w:r w:rsidR="009B0998">
        <w:t>c</w:t>
      </w:r>
      <w:r w:rsidR="002174F8" w:rsidRPr="001B5760">
        <w:t xml:space="preserve">es for areas of technical expertise. </w:t>
      </w:r>
    </w:p>
    <w:p w14:paraId="7C7F9E4F" w14:textId="77777777" w:rsidR="00704BE3" w:rsidRDefault="00704BE3">
      <w:pPr>
        <w:pStyle w:val="BodyTextMain"/>
      </w:pPr>
    </w:p>
    <w:p w14:paraId="4C3B1131" w14:textId="6A3B3DA6" w:rsidR="00DF1F7C" w:rsidRPr="001B5760" w:rsidRDefault="00BF54D2">
      <w:pPr>
        <w:pStyle w:val="BodyTextMain"/>
      </w:pPr>
      <w:r w:rsidRPr="00BF54D2">
        <w:t>As YSL struggled with licensing issues, PPR faced its own financial instability and shrinking competitiveness.</w:t>
      </w:r>
      <w:r>
        <w:t xml:space="preserve"> </w:t>
      </w:r>
      <w:r w:rsidR="003E415E" w:rsidRPr="001B5760">
        <w:t xml:space="preserve">Due </w:t>
      </w:r>
      <w:r w:rsidR="00BF29ED" w:rsidRPr="001B5760">
        <w:t xml:space="preserve">to internationalization, </w:t>
      </w:r>
      <w:r w:rsidR="009B5904">
        <w:t>PPR</w:t>
      </w:r>
      <w:r w:rsidR="00472B46" w:rsidRPr="001B5760">
        <w:t>’</w:t>
      </w:r>
      <w:r w:rsidR="00BF29ED" w:rsidRPr="001B5760">
        <w:t xml:space="preserve">s revenue </w:t>
      </w:r>
      <w:r w:rsidR="00747874" w:rsidRPr="001B5760">
        <w:t>began dropping,</w:t>
      </w:r>
      <w:r w:rsidR="00257405" w:rsidRPr="001B5760">
        <w:t xml:space="preserve"> leaving stakeholders </w:t>
      </w:r>
      <w:r w:rsidR="00704BE3">
        <w:t>wonderin</w:t>
      </w:r>
      <w:r w:rsidR="00704BE3" w:rsidRPr="001B5760">
        <w:t xml:space="preserve">g </w:t>
      </w:r>
      <w:r w:rsidR="00CE20F3" w:rsidRPr="001B5760">
        <w:t xml:space="preserve">if </w:t>
      </w:r>
      <w:r w:rsidR="009B5904">
        <w:t>PPR</w:t>
      </w:r>
      <w:r w:rsidR="0025590A" w:rsidRPr="001B5760">
        <w:t xml:space="preserve"> would </w:t>
      </w:r>
      <w:r w:rsidR="00CE20F3" w:rsidRPr="001B5760">
        <w:t>be able to turn</w:t>
      </w:r>
      <w:r w:rsidR="00704BE3">
        <w:t xml:space="preserve"> </w:t>
      </w:r>
      <w:r w:rsidR="00CE20F3" w:rsidRPr="001B5760">
        <w:t xml:space="preserve">around the struggling </w:t>
      </w:r>
      <w:r w:rsidR="009B0998">
        <w:t>YSL</w:t>
      </w:r>
      <w:r w:rsidR="00CE20F3" w:rsidRPr="001B5760">
        <w:t xml:space="preserve"> brand</w:t>
      </w:r>
      <w:r w:rsidR="00704BE3">
        <w:t>.</w:t>
      </w:r>
      <w:r w:rsidR="00CE20F3" w:rsidRPr="001B5760">
        <w:t xml:space="preserve"> </w:t>
      </w:r>
      <w:r w:rsidR="00704BE3">
        <w:t>D</w:t>
      </w:r>
      <w:r w:rsidR="003E415E" w:rsidRPr="001B5760">
        <w:t xml:space="preserve">espite </w:t>
      </w:r>
      <w:r w:rsidR="00704BE3">
        <w:t>the group’s</w:t>
      </w:r>
      <w:r w:rsidR="003E415E" w:rsidRPr="001B5760">
        <w:t xml:space="preserve"> diversification</w:t>
      </w:r>
      <w:r w:rsidR="00704BE3">
        <w:t xml:space="preserve"> and</w:t>
      </w:r>
      <w:r w:rsidR="003E415E" w:rsidRPr="001B5760">
        <w:t xml:space="preserve"> market entry strategies through acquisitions</w:t>
      </w:r>
      <w:r w:rsidR="0025590A" w:rsidRPr="001B5760">
        <w:t>,</w:t>
      </w:r>
      <w:r w:rsidR="00CE20F3" w:rsidRPr="001B5760">
        <w:t xml:space="preserve"> </w:t>
      </w:r>
      <w:r w:rsidR="003E415E" w:rsidRPr="001B5760">
        <w:t xml:space="preserve">the competitive nature of the luxury fashion </w:t>
      </w:r>
      <w:r w:rsidR="00CE20F3" w:rsidRPr="001B5760">
        <w:t>industry</w:t>
      </w:r>
      <w:r w:rsidR="00704BE3">
        <w:t xml:space="preserve"> remained a formidable obstacle</w:t>
      </w:r>
      <w:r w:rsidR="0025590A" w:rsidRPr="001B5760">
        <w:t>.</w:t>
      </w:r>
      <w:r w:rsidR="003E415E" w:rsidRPr="001B5760">
        <w:t xml:space="preserve"> </w:t>
      </w:r>
    </w:p>
    <w:p w14:paraId="110F532E" w14:textId="77777777" w:rsidR="00C83EF1" w:rsidRPr="001B5760" w:rsidRDefault="00C83EF1">
      <w:pPr>
        <w:pStyle w:val="BodyTextMain"/>
      </w:pPr>
    </w:p>
    <w:p w14:paraId="13F6BF0A" w14:textId="77777777" w:rsidR="00C83EF1" w:rsidRPr="001B5760" w:rsidRDefault="00C83EF1">
      <w:pPr>
        <w:pStyle w:val="BodyTextMain"/>
      </w:pPr>
    </w:p>
    <w:p w14:paraId="7C0BA65D" w14:textId="6AA3DF37" w:rsidR="00DF1F7C" w:rsidRPr="001B5760" w:rsidRDefault="00257405" w:rsidP="00357C54">
      <w:pPr>
        <w:pStyle w:val="Casehead1"/>
        <w:outlineLvl w:val="0"/>
      </w:pPr>
      <w:r w:rsidRPr="001B5760">
        <w:t xml:space="preserve">BEYOND </w:t>
      </w:r>
      <w:r w:rsidR="005B4E86">
        <w:t>SAINT LAURENT</w:t>
      </w:r>
      <w:r w:rsidRPr="001B5760">
        <w:t xml:space="preserve">: THE LOSS OF A LEADER </w:t>
      </w:r>
      <w:r w:rsidR="00667BB8">
        <w:t>AND</w:t>
      </w:r>
      <w:r w:rsidRPr="001B5760">
        <w:t xml:space="preserve"> START OF A NEW ERA </w:t>
      </w:r>
    </w:p>
    <w:p w14:paraId="65FA45C7" w14:textId="77777777" w:rsidR="00DF1F7C" w:rsidRPr="001B5760" w:rsidRDefault="00DF1F7C" w:rsidP="00DF1F7C">
      <w:pPr>
        <w:pStyle w:val="BodyTextMain"/>
      </w:pPr>
    </w:p>
    <w:p w14:paraId="4FA3AD2A" w14:textId="6FBE55BC" w:rsidR="0070759B" w:rsidRDefault="00C91C31" w:rsidP="00DF1F7C">
      <w:pPr>
        <w:pStyle w:val="BodyTextMain"/>
      </w:pPr>
      <w:r w:rsidRPr="001B5760">
        <w:t xml:space="preserve">On June 1, 2008, Saint Laurent </w:t>
      </w:r>
      <w:r w:rsidR="00217807">
        <w:t>died</w:t>
      </w:r>
      <w:r w:rsidRPr="001B5760">
        <w:t xml:space="preserve"> </w:t>
      </w:r>
      <w:r w:rsidR="004E3000">
        <w:t xml:space="preserve">of brain cancer </w:t>
      </w:r>
      <w:r w:rsidR="00217807">
        <w:t>at</w:t>
      </w:r>
      <w:r w:rsidR="00217807" w:rsidRPr="001B5760">
        <w:t xml:space="preserve"> </w:t>
      </w:r>
      <w:r w:rsidRPr="001B5760">
        <w:t>his Paris residence.</w:t>
      </w:r>
      <w:r w:rsidR="00DC418E" w:rsidRPr="001B5760">
        <w:rPr>
          <w:rStyle w:val="EndnoteReference"/>
        </w:rPr>
        <w:endnoteReference w:id="64"/>
      </w:r>
      <w:r w:rsidR="00D816AA" w:rsidRPr="001B5760">
        <w:t xml:space="preserve"> </w:t>
      </w:r>
      <w:r w:rsidR="00704BE3">
        <w:t>T</w:t>
      </w:r>
      <w:r w:rsidR="00704BE3" w:rsidRPr="001B5760">
        <w:t>he world mourned</w:t>
      </w:r>
      <w:r w:rsidR="00704BE3">
        <w:t xml:space="preserve"> his unexpected passing.</w:t>
      </w:r>
      <w:r w:rsidR="00704BE3" w:rsidRPr="001B5760">
        <w:t xml:space="preserve"> </w:t>
      </w:r>
      <w:r w:rsidR="00DC418E" w:rsidRPr="001B5760">
        <w:t xml:space="preserve">For more than 40 years, </w:t>
      </w:r>
      <w:r w:rsidR="009B0998">
        <w:t>he</w:t>
      </w:r>
      <w:r w:rsidR="009B0998" w:rsidRPr="001B5760">
        <w:t xml:space="preserve"> </w:t>
      </w:r>
      <w:r w:rsidR="00A737DC" w:rsidRPr="001B5760">
        <w:t xml:space="preserve">had </w:t>
      </w:r>
      <w:r w:rsidR="00DC418E" w:rsidRPr="001B5760">
        <w:t xml:space="preserve">designed </w:t>
      </w:r>
      <w:r w:rsidR="00B67DC0" w:rsidRPr="001B5760">
        <w:t xml:space="preserve">everything from gowns to ready-to-wear fashion, helping </w:t>
      </w:r>
      <w:r w:rsidR="00DB4737" w:rsidRPr="001B5760">
        <w:t>bring</w:t>
      </w:r>
      <w:r w:rsidR="00D504A2" w:rsidRPr="001B5760">
        <w:t xml:space="preserve"> </w:t>
      </w:r>
      <w:r w:rsidR="00B67DC0" w:rsidRPr="001B5760">
        <w:t>global</w:t>
      </w:r>
      <w:r w:rsidR="00846BE9" w:rsidRPr="001B5760">
        <w:t xml:space="preserve"> recognition </w:t>
      </w:r>
      <w:r w:rsidR="00DB4737" w:rsidRPr="001B5760">
        <w:t>to</w:t>
      </w:r>
      <w:r w:rsidR="00D504A2" w:rsidRPr="001B5760">
        <w:t xml:space="preserve"> </w:t>
      </w:r>
      <w:r w:rsidR="00B67DC0" w:rsidRPr="001B5760">
        <w:t xml:space="preserve">haute couture fashion. With designs and styles aiming to create </w:t>
      </w:r>
      <w:r w:rsidR="00472B46" w:rsidRPr="001B5760">
        <w:t>“</w:t>
      </w:r>
      <w:r w:rsidR="00B67DC0" w:rsidRPr="001B5760">
        <w:t>empowering yet feminine looks for women,</w:t>
      </w:r>
      <w:r w:rsidR="00472B46" w:rsidRPr="001B5760">
        <w:t>”</w:t>
      </w:r>
      <w:r w:rsidR="00B67DC0" w:rsidRPr="001B5760">
        <w:t xml:space="preserve"> </w:t>
      </w:r>
      <w:r w:rsidR="004B0E1B">
        <w:t xml:space="preserve">Saint </w:t>
      </w:r>
      <w:r w:rsidR="00B67DC0" w:rsidRPr="001B5760">
        <w:t>Laurent revolutionized the way modern women dress</w:t>
      </w:r>
      <w:r w:rsidR="004B0E1B">
        <w:t>ed</w:t>
      </w:r>
      <w:r w:rsidR="00B67DC0" w:rsidRPr="001B5760">
        <w:t xml:space="preserve">, popularizing </w:t>
      </w:r>
      <w:r w:rsidR="001D3AB1" w:rsidRPr="001B5760">
        <w:t xml:space="preserve">styles such as </w:t>
      </w:r>
      <w:r w:rsidR="00673955" w:rsidRPr="001B5760">
        <w:t xml:space="preserve">the </w:t>
      </w:r>
      <w:r w:rsidR="001D3AB1" w:rsidRPr="001B5760">
        <w:t>pantsuit, pea</w:t>
      </w:r>
      <w:r w:rsidR="00680EB9">
        <w:t xml:space="preserve"> </w:t>
      </w:r>
      <w:r w:rsidR="001D3AB1" w:rsidRPr="001B5760">
        <w:t>coat</w:t>
      </w:r>
      <w:r w:rsidR="00D504A2" w:rsidRPr="001B5760">
        <w:t>,</w:t>
      </w:r>
      <w:r w:rsidR="001D3AB1" w:rsidRPr="001B5760">
        <w:t xml:space="preserve"> safari jacket, </w:t>
      </w:r>
      <w:r w:rsidR="00472B46" w:rsidRPr="001B5760">
        <w:t>“</w:t>
      </w:r>
      <w:r w:rsidR="001D3AB1" w:rsidRPr="001B5760">
        <w:t>le smoking</w:t>
      </w:r>
      <w:r w:rsidR="00472B46" w:rsidRPr="001B5760">
        <w:t>”</w:t>
      </w:r>
      <w:r w:rsidR="001D3AB1" w:rsidRPr="001B5760">
        <w:t xml:space="preserve"> tuxedo,</w:t>
      </w:r>
      <w:r w:rsidR="009D0A1F">
        <w:t xml:space="preserve"> and</w:t>
      </w:r>
      <w:r w:rsidR="00704BE3">
        <w:t xml:space="preserve"> </w:t>
      </w:r>
      <w:r w:rsidR="001D3AB1" w:rsidRPr="001B5760">
        <w:t xml:space="preserve">trench coat, </w:t>
      </w:r>
      <w:r w:rsidR="009D0A1F">
        <w:t>as well as</w:t>
      </w:r>
      <w:r w:rsidR="009D0A1F" w:rsidRPr="001B5760">
        <w:t xml:space="preserve"> </w:t>
      </w:r>
      <w:r w:rsidR="001D3AB1" w:rsidRPr="001B5760">
        <w:t>unisex perfumes.</w:t>
      </w:r>
      <w:r w:rsidR="00A063D1" w:rsidRPr="001B5760">
        <w:rPr>
          <w:rStyle w:val="EndnoteReference"/>
        </w:rPr>
        <w:endnoteReference w:id="65"/>
      </w:r>
      <w:r w:rsidR="001D3AB1" w:rsidRPr="001B5760">
        <w:t xml:space="preserve"> </w:t>
      </w:r>
    </w:p>
    <w:p w14:paraId="3C373A4E" w14:textId="77777777" w:rsidR="0070759B" w:rsidRDefault="0070759B" w:rsidP="00DF1F7C">
      <w:pPr>
        <w:pStyle w:val="BodyTextMain"/>
      </w:pPr>
    </w:p>
    <w:p w14:paraId="4D53D735" w14:textId="427E1148" w:rsidR="00DF1F7C" w:rsidRPr="001B5760" w:rsidRDefault="009B0998" w:rsidP="00DF1F7C">
      <w:pPr>
        <w:pStyle w:val="BodyTextMain"/>
      </w:pPr>
      <w:r>
        <w:t xml:space="preserve">Saint </w:t>
      </w:r>
      <w:r w:rsidR="00BC11B8" w:rsidRPr="001B5760">
        <w:t>Laurent</w:t>
      </w:r>
      <w:r w:rsidR="00704BE3">
        <w:t>’s legacy</w:t>
      </w:r>
      <w:r w:rsidR="00BC11B8" w:rsidRPr="001B5760">
        <w:t xml:space="preserve"> continue</w:t>
      </w:r>
      <w:r w:rsidR="00A737DC" w:rsidRPr="001B5760">
        <w:t>d</w:t>
      </w:r>
      <w:r w:rsidR="00704BE3">
        <w:t xml:space="preserve"> to</w:t>
      </w:r>
      <w:r w:rsidR="00BC11B8" w:rsidRPr="001B5760">
        <w:t xml:space="preserve"> inspir</w:t>
      </w:r>
      <w:r w:rsidR="00704BE3">
        <w:t>e</w:t>
      </w:r>
      <w:r w:rsidR="00A95D5C" w:rsidRPr="001B5760">
        <w:t xml:space="preserve"> fashion designers </w:t>
      </w:r>
      <w:r w:rsidR="00BC11B8" w:rsidRPr="001B5760">
        <w:t xml:space="preserve">and </w:t>
      </w:r>
      <w:r w:rsidR="00704BE3">
        <w:t>influence</w:t>
      </w:r>
      <w:r w:rsidR="00704BE3" w:rsidRPr="001B5760">
        <w:t xml:space="preserve"> </w:t>
      </w:r>
      <w:r w:rsidR="00BC11B8" w:rsidRPr="001B5760">
        <w:t>the way women dress</w:t>
      </w:r>
      <w:r w:rsidR="00A737DC" w:rsidRPr="001B5760">
        <w:t>ed</w:t>
      </w:r>
      <w:r w:rsidR="009D0A1F">
        <w:t>, and</w:t>
      </w:r>
      <w:r w:rsidR="00BC11B8" w:rsidRPr="001B5760">
        <w:t xml:space="preserve"> </w:t>
      </w:r>
      <w:r w:rsidR="009D0A1F">
        <w:t>d</w:t>
      </w:r>
      <w:r w:rsidR="00BC11B8" w:rsidRPr="001B5760">
        <w:t xml:space="preserve">espite </w:t>
      </w:r>
      <w:r w:rsidR="009D0A1F">
        <w:t>his</w:t>
      </w:r>
      <w:r w:rsidR="00A063D1" w:rsidRPr="001B5760">
        <w:t xml:space="preserve"> </w:t>
      </w:r>
      <w:r w:rsidR="004E3000">
        <w:t>death</w:t>
      </w:r>
      <w:r w:rsidR="00BC11B8" w:rsidRPr="001B5760">
        <w:t xml:space="preserve">, the </w:t>
      </w:r>
      <w:r>
        <w:t>YSL</w:t>
      </w:r>
      <w:r w:rsidR="00BC11B8" w:rsidRPr="001B5760">
        <w:t xml:space="preserve"> brand continued its operations</w:t>
      </w:r>
      <w:r w:rsidR="00846BE9" w:rsidRPr="001B5760">
        <w:t>,</w:t>
      </w:r>
      <w:r w:rsidR="00BC11B8" w:rsidRPr="001B5760">
        <w:t xml:space="preserve"> releasing new products under </w:t>
      </w:r>
      <w:r w:rsidR="009B5904">
        <w:t>PPR</w:t>
      </w:r>
      <w:r w:rsidR="00BC11B8" w:rsidRPr="001B5760">
        <w:t xml:space="preserve">. </w:t>
      </w:r>
      <w:r w:rsidR="00C91C31" w:rsidRPr="001B5760">
        <w:t xml:space="preserve">Paul </w:t>
      </w:r>
      <w:proofErr w:type="spellStart"/>
      <w:r w:rsidR="00C91C31" w:rsidRPr="001B5760">
        <w:t>Deneve</w:t>
      </w:r>
      <w:proofErr w:type="spellEnd"/>
      <w:r w:rsidR="00C91C31" w:rsidRPr="001B5760">
        <w:t xml:space="preserve">, CEO of </w:t>
      </w:r>
      <w:r w:rsidR="00A74870">
        <w:t>YSL’s</w:t>
      </w:r>
      <w:r w:rsidR="00C91C31" w:rsidRPr="001B5760">
        <w:t xml:space="preserve"> </w:t>
      </w:r>
      <w:r w:rsidR="00A74870">
        <w:t>c</w:t>
      </w:r>
      <w:r w:rsidR="00C91C31" w:rsidRPr="001B5760">
        <w:t xml:space="preserve">outure </w:t>
      </w:r>
      <w:r w:rsidR="00A74870">
        <w:t>h</w:t>
      </w:r>
      <w:r w:rsidR="00C91C31" w:rsidRPr="001B5760">
        <w:t>ouse</w:t>
      </w:r>
      <w:r w:rsidR="00AC2AB3">
        <w:t xml:space="preserve"> from April 2011</w:t>
      </w:r>
      <w:r w:rsidR="00D816AA" w:rsidRPr="001B5760">
        <w:t>,</w:t>
      </w:r>
      <w:r w:rsidR="00D504A2" w:rsidRPr="001B5760">
        <w:t xml:space="preserve"> </w:t>
      </w:r>
      <w:r w:rsidR="00C91C31" w:rsidRPr="001B5760">
        <w:t xml:space="preserve">confessed that the company might </w:t>
      </w:r>
      <w:r w:rsidR="00D816AA" w:rsidRPr="001B5760">
        <w:t>return to competing in the</w:t>
      </w:r>
      <w:r w:rsidR="00C91C31" w:rsidRPr="001B5760">
        <w:t xml:space="preserve"> haute couture business.</w:t>
      </w:r>
      <w:r w:rsidR="00C91C31" w:rsidRPr="001B5760">
        <w:rPr>
          <w:rStyle w:val="EndnoteReference"/>
        </w:rPr>
        <w:endnoteReference w:id="66"/>
      </w:r>
      <w:r w:rsidR="00C91C31" w:rsidRPr="001B5760">
        <w:t xml:space="preserve"> In 2011, YSL</w:t>
      </w:r>
      <w:r w:rsidR="00E230FE">
        <w:t>’s sales</w:t>
      </w:r>
      <w:r w:rsidR="00C91C31" w:rsidRPr="001B5760">
        <w:t xml:space="preserve"> increased by 32 per cent to €354 million</w:t>
      </w:r>
      <w:r>
        <w:t>—</w:t>
      </w:r>
      <w:r w:rsidR="00D816AA" w:rsidRPr="001B5760">
        <w:t xml:space="preserve">significant progress from its struggles </w:t>
      </w:r>
      <w:r w:rsidR="00D504A2" w:rsidRPr="001B5760">
        <w:t>in the early 2000s</w:t>
      </w:r>
      <w:r>
        <w:t>,</w:t>
      </w:r>
      <w:r w:rsidR="00D504A2" w:rsidRPr="001B5760">
        <w:t xml:space="preserve"> </w:t>
      </w:r>
      <w:r w:rsidR="00D816AA" w:rsidRPr="001B5760">
        <w:t xml:space="preserve">when </w:t>
      </w:r>
      <w:r>
        <w:t>YSL</w:t>
      </w:r>
      <w:r w:rsidR="00D816AA" w:rsidRPr="001B5760">
        <w:t xml:space="preserve"> fought to </w:t>
      </w:r>
      <w:r w:rsidR="00AD4F5A" w:rsidRPr="001B5760">
        <w:t>remain</w:t>
      </w:r>
      <w:r w:rsidR="00D816AA" w:rsidRPr="001B5760">
        <w:t xml:space="preserve"> profit</w:t>
      </w:r>
      <w:r w:rsidR="00AD4F5A" w:rsidRPr="001B5760">
        <w:t>able</w:t>
      </w:r>
      <w:r>
        <w:t xml:space="preserve"> (and had</w:t>
      </w:r>
      <w:r w:rsidR="00846BE9" w:rsidRPr="001B5760">
        <w:t xml:space="preserve"> </w:t>
      </w:r>
      <w:r w:rsidR="0070759B">
        <w:t xml:space="preserve">even </w:t>
      </w:r>
      <w:r w:rsidR="00846BE9" w:rsidRPr="001B5760">
        <w:t>record</w:t>
      </w:r>
      <w:r>
        <w:t>ed</w:t>
      </w:r>
      <w:r w:rsidR="00D816AA" w:rsidRPr="001B5760">
        <w:t xml:space="preserve"> loss</w:t>
      </w:r>
      <w:r w:rsidR="00846BE9" w:rsidRPr="001B5760">
        <w:t>es</w:t>
      </w:r>
      <w:r w:rsidR="00D816AA" w:rsidRPr="001B5760">
        <w:t xml:space="preserve"> </w:t>
      </w:r>
      <w:r w:rsidR="00C91C31" w:rsidRPr="001B5760">
        <w:t>of €37 million</w:t>
      </w:r>
      <w:r w:rsidR="00A063D1" w:rsidRPr="001B5760">
        <w:t xml:space="preserve"> </w:t>
      </w:r>
      <w:r w:rsidR="00D816AA" w:rsidRPr="001B5760">
        <w:t>in 2000</w:t>
      </w:r>
      <w:r>
        <w:t>)</w:t>
      </w:r>
      <w:r w:rsidR="00C91C31" w:rsidRPr="001B5760">
        <w:t>.</w:t>
      </w:r>
      <w:r w:rsidR="0025590A" w:rsidRPr="001B5760">
        <w:rPr>
          <w:rStyle w:val="EndnoteReference"/>
        </w:rPr>
        <w:endnoteReference w:id="67"/>
      </w:r>
      <w:r w:rsidR="00C91C31" w:rsidRPr="001B5760">
        <w:t xml:space="preserve"> </w:t>
      </w:r>
    </w:p>
    <w:p w14:paraId="2473E605" w14:textId="77777777" w:rsidR="002A25A5" w:rsidRPr="001B5760" w:rsidRDefault="002A25A5" w:rsidP="00356EF7">
      <w:pPr>
        <w:pStyle w:val="BodyTextMain"/>
      </w:pPr>
    </w:p>
    <w:p w14:paraId="0D4C1886" w14:textId="77777777" w:rsidR="002A25A5" w:rsidRPr="001B5760" w:rsidRDefault="002A25A5" w:rsidP="00356EF7">
      <w:pPr>
        <w:pStyle w:val="BodyTextMain"/>
      </w:pPr>
    </w:p>
    <w:p w14:paraId="3B5583D4" w14:textId="67FCEE04" w:rsidR="00DF1F7C" w:rsidRPr="001B5760" w:rsidRDefault="00D504A2" w:rsidP="00357C54">
      <w:pPr>
        <w:pStyle w:val="Casehead2"/>
        <w:outlineLvl w:val="0"/>
      </w:pPr>
      <w:proofErr w:type="spellStart"/>
      <w:r w:rsidRPr="001B5760">
        <w:t>Hedi</w:t>
      </w:r>
      <w:proofErr w:type="spellEnd"/>
      <w:r w:rsidRPr="001B5760">
        <w:t xml:space="preserve"> </w:t>
      </w:r>
      <w:proofErr w:type="spellStart"/>
      <w:r w:rsidRPr="001B5760">
        <w:t>Slimane</w:t>
      </w:r>
      <w:proofErr w:type="spellEnd"/>
      <w:r w:rsidRPr="001B5760">
        <w:t xml:space="preserve">: </w:t>
      </w:r>
      <w:r w:rsidR="005F345E" w:rsidRPr="001B5760">
        <w:t xml:space="preserve">Stepping </w:t>
      </w:r>
      <w:r w:rsidR="00AA425F">
        <w:t>o</w:t>
      </w:r>
      <w:r w:rsidR="005F345E" w:rsidRPr="001B5760">
        <w:t>ut of</w:t>
      </w:r>
      <w:r w:rsidR="009B0998">
        <w:t xml:space="preserve"> Saint</w:t>
      </w:r>
      <w:r w:rsidR="005F345E" w:rsidRPr="001B5760">
        <w:t xml:space="preserve"> Laurent</w:t>
      </w:r>
      <w:r w:rsidR="00472B46" w:rsidRPr="001B5760">
        <w:t>’</w:t>
      </w:r>
      <w:r w:rsidR="005F345E" w:rsidRPr="001B5760">
        <w:t>s Shadow</w:t>
      </w:r>
    </w:p>
    <w:p w14:paraId="5AAF29DD" w14:textId="77777777" w:rsidR="0040461C" w:rsidRPr="001B5760" w:rsidRDefault="0040461C" w:rsidP="00356EF7">
      <w:pPr>
        <w:pStyle w:val="BodyTextMain"/>
      </w:pPr>
    </w:p>
    <w:p w14:paraId="0CE5F8ED" w14:textId="1CD9674C" w:rsidR="00DF1F7C" w:rsidRPr="001B5760" w:rsidRDefault="00292A1B" w:rsidP="00DF1F7C">
      <w:pPr>
        <w:pStyle w:val="BodyTextMain"/>
      </w:pPr>
      <w:r w:rsidRPr="001B5760">
        <w:t xml:space="preserve">With </w:t>
      </w:r>
      <w:proofErr w:type="spellStart"/>
      <w:r w:rsidRPr="001B5760">
        <w:t>Pilati</w:t>
      </w:r>
      <w:proofErr w:type="spellEnd"/>
      <w:r w:rsidRPr="001B5760">
        <w:t xml:space="preserve"> leaving </w:t>
      </w:r>
      <w:r w:rsidR="00A74870">
        <w:t>YSL</w:t>
      </w:r>
      <w:r w:rsidR="00612AB6" w:rsidRPr="001B5760">
        <w:t xml:space="preserve"> in February 2012</w:t>
      </w:r>
      <w:r w:rsidRPr="001B5760">
        <w:t xml:space="preserve">, </w:t>
      </w:r>
      <w:proofErr w:type="spellStart"/>
      <w:r w:rsidR="00DF1F7C" w:rsidRPr="001B5760">
        <w:t>Slimane</w:t>
      </w:r>
      <w:proofErr w:type="spellEnd"/>
      <w:r w:rsidR="00F76653">
        <w:rPr>
          <w:rFonts w:hint="eastAsia"/>
          <w:lang w:eastAsia="zh-CN"/>
        </w:rPr>
        <w:t xml:space="preserve"> </w:t>
      </w:r>
      <w:r w:rsidR="00D333CE">
        <w:t>had</w:t>
      </w:r>
      <w:r w:rsidR="00DF1F7C" w:rsidRPr="001B5760">
        <w:t xml:space="preserve"> </w:t>
      </w:r>
      <w:r w:rsidR="00686DA6" w:rsidRPr="001B5760">
        <w:t>returned</w:t>
      </w:r>
      <w:r w:rsidR="00DF1F7C" w:rsidRPr="001B5760">
        <w:t xml:space="preserve"> </w:t>
      </w:r>
      <w:r w:rsidR="00D333CE">
        <w:t xml:space="preserve">again </w:t>
      </w:r>
      <w:r w:rsidR="00DF1F7C" w:rsidRPr="001B5760">
        <w:t xml:space="preserve">to </w:t>
      </w:r>
      <w:r w:rsidRPr="001B5760">
        <w:t>the</w:t>
      </w:r>
      <w:r w:rsidR="004B6A22" w:rsidRPr="001B5760">
        <w:t xml:space="preserve"> </w:t>
      </w:r>
      <w:r w:rsidR="00A74870">
        <w:t>c</w:t>
      </w:r>
      <w:r w:rsidR="004B6A22" w:rsidRPr="001B5760">
        <w:t xml:space="preserve">outure </w:t>
      </w:r>
      <w:r w:rsidR="00A74870">
        <w:t>h</w:t>
      </w:r>
      <w:r w:rsidR="004B6A22" w:rsidRPr="001B5760">
        <w:t>ouse</w:t>
      </w:r>
      <w:r w:rsidR="00673955" w:rsidRPr="001B5760">
        <w:t>,</w:t>
      </w:r>
      <w:r w:rsidR="004B6A22" w:rsidRPr="001B5760">
        <w:t xml:space="preserve"> </w:t>
      </w:r>
      <w:r w:rsidRPr="001B5760">
        <w:t>assuming the position</w:t>
      </w:r>
      <w:r w:rsidR="00686DA6" w:rsidRPr="001B5760">
        <w:t xml:space="preserve"> </w:t>
      </w:r>
      <w:r w:rsidR="00AA425F">
        <w:t>of</w:t>
      </w:r>
      <w:r w:rsidR="00686DA6" w:rsidRPr="001B5760">
        <w:t xml:space="preserve"> </w:t>
      </w:r>
      <w:r w:rsidR="00846BE9" w:rsidRPr="001B5760">
        <w:t>creative</w:t>
      </w:r>
      <w:r w:rsidR="00686DA6" w:rsidRPr="001B5760">
        <w:t xml:space="preserve"> director for both men</w:t>
      </w:r>
      <w:r w:rsidR="00AA425F">
        <w:t>’s</w:t>
      </w:r>
      <w:r w:rsidR="00686DA6" w:rsidRPr="001B5760">
        <w:t xml:space="preserve"> and women</w:t>
      </w:r>
      <w:r w:rsidR="00AA425F">
        <w:t>’s</w:t>
      </w:r>
      <w:r w:rsidR="00686DA6" w:rsidRPr="001B5760">
        <w:t xml:space="preserve"> styles</w:t>
      </w:r>
      <w:r w:rsidR="00DF1F7C" w:rsidRPr="001B5760">
        <w:t>.</w:t>
      </w:r>
      <w:r w:rsidR="005F345E" w:rsidRPr="001B5760">
        <w:rPr>
          <w:rStyle w:val="EndnoteReference"/>
        </w:rPr>
        <w:endnoteReference w:id="68"/>
      </w:r>
      <w:r w:rsidR="00DF1F7C" w:rsidRPr="001B5760">
        <w:t xml:space="preserve"> </w:t>
      </w:r>
      <w:r w:rsidR="00307C33">
        <w:t xml:space="preserve">Before, during a brief period </w:t>
      </w:r>
      <w:r w:rsidR="0053244D">
        <w:t xml:space="preserve">from </w:t>
      </w:r>
      <w:r w:rsidR="00307C33">
        <w:t>1997</w:t>
      </w:r>
      <w:r w:rsidR="0053244D">
        <w:t xml:space="preserve"> to </w:t>
      </w:r>
      <w:r w:rsidR="00307C33">
        <w:t xml:space="preserve">1999, </w:t>
      </w:r>
      <w:proofErr w:type="spellStart"/>
      <w:r w:rsidR="00DF6000">
        <w:rPr>
          <w:lang w:eastAsia="zh-CN"/>
        </w:rPr>
        <w:t>Slimane</w:t>
      </w:r>
      <w:proofErr w:type="spellEnd"/>
      <w:r w:rsidR="00DF6000">
        <w:t xml:space="preserve"> had been </w:t>
      </w:r>
      <w:r w:rsidR="00F76653">
        <w:t>appointed by</w:t>
      </w:r>
      <w:r w:rsidR="00F76653" w:rsidRPr="007126C2">
        <w:t xml:space="preserve"> </w:t>
      </w:r>
      <w:proofErr w:type="spellStart"/>
      <w:r w:rsidR="00F76653" w:rsidRPr="007126C2">
        <w:t>Bergé</w:t>
      </w:r>
      <w:proofErr w:type="spellEnd"/>
      <w:r w:rsidR="00F76653">
        <w:t xml:space="preserve"> (CEO at the time) to work with the house</w:t>
      </w:r>
      <w:r w:rsidR="00307C33">
        <w:t>.</w:t>
      </w:r>
      <w:r w:rsidR="00F76653">
        <w:rPr>
          <w:rStyle w:val="EndnoteReference"/>
        </w:rPr>
        <w:endnoteReference w:id="69"/>
      </w:r>
      <w:r w:rsidR="00F76653">
        <w:t xml:space="preserve"> </w:t>
      </w:r>
      <w:r w:rsidR="00A630C7">
        <w:rPr>
          <w:rFonts w:hint="eastAsia"/>
          <w:lang w:eastAsia="zh-CN"/>
        </w:rPr>
        <w:t>This</w:t>
      </w:r>
      <w:r w:rsidR="00A630C7">
        <w:rPr>
          <w:lang w:eastAsia="zh-CN"/>
        </w:rPr>
        <w:t xml:space="preserve"> time, </w:t>
      </w:r>
      <w:proofErr w:type="spellStart"/>
      <w:r w:rsidR="00DF1F7C" w:rsidRPr="001B5760">
        <w:t>Deneve</w:t>
      </w:r>
      <w:proofErr w:type="spellEnd"/>
      <w:r w:rsidR="00DF1F7C" w:rsidRPr="001B5760">
        <w:t xml:space="preserve"> appointed </w:t>
      </w:r>
      <w:proofErr w:type="spellStart"/>
      <w:r w:rsidR="00DF6000">
        <w:t>Slimane</w:t>
      </w:r>
      <w:proofErr w:type="spellEnd"/>
      <w:r w:rsidR="00DF6000" w:rsidRPr="001B5760">
        <w:t xml:space="preserve"> </w:t>
      </w:r>
      <w:r w:rsidR="00686DA6" w:rsidRPr="001B5760">
        <w:t xml:space="preserve">with the </w:t>
      </w:r>
      <w:r w:rsidR="0025590A" w:rsidRPr="001B5760">
        <w:t xml:space="preserve">idea </w:t>
      </w:r>
      <w:r w:rsidR="00686DA6" w:rsidRPr="001B5760">
        <w:t>of</w:t>
      </w:r>
      <w:r w:rsidR="00B21799" w:rsidRPr="001B5760">
        <w:t xml:space="preserve"> </w:t>
      </w:r>
      <w:r w:rsidR="00DF1F7C" w:rsidRPr="001B5760">
        <w:t>reviv</w:t>
      </w:r>
      <w:r w:rsidR="00686DA6" w:rsidRPr="001B5760">
        <w:t>ing</w:t>
      </w:r>
      <w:r w:rsidR="00DF1F7C" w:rsidRPr="001B5760">
        <w:t xml:space="preserve"> the </w:t>
      </w:r>
      <w:r w:rsidR="00416838" w:rsidRPr="001B5760">
        <w:t xml:space="preserve">previously abandoned </w:t>
      </w:r>
      <w:r w:rsidR="00DF1F7C" w:rsidRPr="001B5760">
        <w:t xml:space="preserve">ready-to-wear </w:t>
      </w:r>
      <w:r w:rsidR="0025590A" w:rsidRPr="001B5760">
        <w:t>line</w:t>
      </w:r>
      <w:r w:rsidR="00DF6000">
        <w:t xml:space="preserve">. Pinault explained, </w:t>
      </w:r>
      <w:r w:rsidR="00472B46" w:rsidRPr="001B5760">
        <w:t>“</w:t>
      </w:r>
      <w:r w:rsidR="00E931B2">
        <w:t>W</w:t>
      </w:r>
      <w:r w:rsidR="00833240" w:rsidRPr="001B5760">
        <w:t xml:space="preserve">e needed someone who understood the brand, who knew what the brand was in the </w:t>
      </w:r>
      <w:r w:rsidR="00E931B2">
        <w:t>1960s and 1970s</w:t>
      </w:r>
      <w:r w:rsidR="00833240" w:rsidRPr="001B5760">
        <w:t>, but to use t</w:t>
      </w:r>
      <w:r w:rsidR="004B0E1B">
        <w:t>hat in a very modern, new way . . .</w:t>
      </w:r>
      <w:r w:rsidR="00833240" w:rsidRPr="001B5760">
        <w:t xml:space="preserve"> </w:t>
      </w:r>
      <w:r w:rsidR="00AA425F">
        <w:t>[</w:t>
      </w:r>
      <w:r w:rsidR="00E931B2">
        <w:t xml:space="preserve">and </w:t>
      </w:r>
      <w:proofErr w:type="spellStart"/>
      <w:r w:rsidR="00AA425F">
        <w:t>Slimane</w:t>
      </w:r>
      <w:proofErr w:type="spellEnd"/>
      <w:r w:rsidR="00AA425F">
        <w:t>]</w:t>
      </w:r>
      <w:r w:rsidR="00833240" w:rsidRPr="001B5760">
        <w:t xml:space="preserve"> is the only one capable of that.</w:t>
      </w:r>
      <w:r w:rsidR="0006603A" w:rsidRPr="0006603A">
        <w:t xml:space="preserve"> </w:t>
      </w:r>
      <w:r w:rsidR="0006603A">
        <w:t xml:space="preserve">This </w:t>
      </w:r>
      <w:r w:rsidR="0006603A" w:rsidRPr="0006603A">
        <w:t>appointment was</w:t>
      </w:r>
      <w:r w:rsidR="0006603A">
        <w:t xml:space="preserve"> also</w:t>
      </w:r>
      <w:r w:rsidR="0006603A" w:rsidRPr="0006603A">
        <w:t xml:space="preserve"> said to </w:t>
      </w:r>
      <w:r w:rsidR="0006603A">
        <w:t>be</w:t>
      </w:r>
      <w:r w:rsidR="0006603A" w:rsidRPr="0006603A">
        <w:t xml:space="preserve"> endorsed by </w:t>
      </w:r>
      <w:proofErr w:type="spellStart"/>
      <w:r w:rsidR="0006603A" w:rsidRPr="0006603A">
        <w:t>Bergé</w:t>
      </w:r>
      <w:proofErr w:type="spellEnd"/>
      <w:r w:rsidR="0006603A" w:rsidRPr="0006603A">
        <w:t xml:space="preserve">, who always defended </w:t>
      </w:r>
      <w:r w:rsidR="00F450C4">
        <w:t>[</w:t>
      </w:r>
      <w:proofErr w:type="spellStart"/>
      <w:r w:rsidR="00F450C4">
        <w:t>Slimane</w:t>
      </w:r>
      <w:proofErr w:type="spellEnd"/>
      <w:r w:rsidR="00F450C4">
        <w:t>]</w:t>
      </w:r>
      <w:r w:rsidR="0006603A" w:rsidRPr="0006603A">
        <w:t xml:space="preserve"> against </w:t>
      </w:r>
      <w:r w:rsidR="0006603A">
        <w:t>his</w:t>
      </w:r>
      <w:r w:rsidR="0006603A" w:rsidRPr="0006603A">
        <w:t xml:space="preserve"> </w:t>
      </w:r>
      <w:r w:rsidR="0006603A" w:rsidRPr="0006603A">
        <w:lastRenderedPageBreak/>
        <w:t>critics.</w:t>
      </w:r>
      <w:r w:rsidR="0006603A">
        <w:rPr>
          <w:rStyle w:val="EndnoteReference"/>
        </w:rPr>
        <w:endnoteReference w:id="70"/>
      </w:r>
      <w:r w:rsidR="00833240" w:rsidRPr="001B5760">
        <w:t xml:space="preserve"> His understanding comes with a very strong, very clear vision.</w:t>
      </w:r>
      <w:r w:rsidR="00472B46" w:rsidRPr="001B5760">
        <w:t>”</w:t>
      </w:r>
      <w:r w:rsidR="00833240" w:rsidRPr="001B5760">
        <w:rPr>
          <w:rStyle w:val="EndnoteReference"/>
        </w:rPr>
        <w:endnoteReference w:id="71"/>
      </w:r>
      <w:r w:rsidR="00833240" w:rsidRPr="001B5760">
        <w:t xml:space="preserve"> </w:t>
      </w:r>
      <w:proofErr w:type="spellStart"/>
      <w:r w:rsidR="00523CA9" w:rsidRPr="001B5760">
        <w:t>Slimane</w:t>
      </w:r>
      <w:r w:rsidR="00472B46" w:rsidRPr="001B5760">
        <w:t>’</w:t>
      </w:r>
      <w:r w:rsidR="00686DA6" w:rsidRPr="001B5760">
        <w:t>s</w:t>
      </w:r>
      <w:proofErr w:type="spellEnd"/>
      <w:r w:rsidR="00686DA6" w:rsidRPr="001B5760">
        <w:t xml:space="preserve"> </w:t>
      </w:r>
      <w:r w:rsidR="00416838" w:rsidRPr="001B5760">
        <w:t xml:space="preserve">artistic </w:t>
      </w:r>
      <w:r w:rsidR="00686DA6" w:rsidRPr="001B5760">
        <w:t>impact was immediate</w:t>
      </w:r>
      <w:r w:rsidR="00D504A2" w:rsidRPr="001B5760">
        <w:t xml:space="preserve">, increasing </w:t>
      </w:r>
      <w:r w:rsidR="009B0998">
        <w:t>YSL’s</w:t>
      </w:r>
      <w:r w:rsidR="00416838" w:rsidRPr="001B5760">
        <w:t xml:space="preserve"> </w:t>
      </w:r>
      <w:r w:rsidR="00686DA6" w:rsidRPr="001B5760">
        <w:t>operational income to</w:t>
      </w:r>
      <w:r w:rsidR="00523CA9" w:rsidRPr="001B5760">
        <w:t xml:space="preserve"> €41 million in 2012</w:t>
      </w:r>
      <w:r w:rsidR="00EE69DA" w:rsidRPr="001B5760">
        <w:t xml:space="preserve"> </w:t>
      </w:r>
      <w:r w:rsidR="00E931B2">
        <w:t>(a figure that had been just</w:t>
      </w:r>
      <w:r w:rsidR="00416838" w:rsidRPr="001B5760">
        <w:t xml:space="preserve"> </w:t>
      </w:r>
      <w:r w:rsidR="00DF1F7C" w:rsidRPr="001B5760">
        <w:t>€</w:t>
      </w:r>
      <w:r w:rsidR="002A25A5" w:rsidRPr="001B5760">
        <w:t>300,000</w:t>
      </w:r>
      <w:r w:rsidR="005F345E" w:rsidRPr="001B5760">
        <w:t xml:space="preserve"> </w:t>
      </w:r>
      <w:r w:rsidR="00DF1F7C" w:rsidRPr="001B5760">
        <w:t>in 2008</w:t>
      </w:r>
      <w:r w:rsidR="00E931B2">
        <w:t>)</w:t>
      </w:r>
      <w:r w:rsidR="00DF1F7C" w:rsidRPr="001B5760">
        <w:t>.</w:t>
      </w:r>
      <w:r w:rsidR="00DF1F7C" w:rsidRPr="001B5760">
        <w:rPr>
          <w:rStyle w:val="EndnoteReference"/>
        </w:rPr>
        <w:endnoteReference w:id="72"/>
      </w:r>
      <w:r w:rsidR="00DF1F7C" w:rsidRPr="001B5760">
        <w:t xml:space="preserve"> </w:t>
      </w:r>
      <w:proofErr w:type="spellStart"/>
      <w:r w:rsidR="00AD2BB0" w:rsidRPr="001B5760">
        <w:t>Slimane</w:t>
      </w:r>
      <w:proofErr w:type="spellEnd"/>
      <w:r w:rsidR="00AD2BB0" w:rsidRPr="001B5760">
        <w:t xml:space="preserve"> </w:t>
      </w:r>
      <w:r w:rsidR="00EE69DA" w:rsidRPr="001B5760">
        <w:t>received</w:t>
      </w:r>
      <w:r w:rsidR="00AD2BB0" w:rsidRPr="001B5760">
        <w:t xml:space="preserve"> strong support </w:t>
      </w:r>
      <w:r w:rsidR="00EE69DA" w:rsidRPr="001B5760">
        <w:t xml:space="preserve">from </w:t>
      </w:r>
      <w:r w:rsidR="00E931B2">
        <w:t>YSL</w:t>
      </w:r>
      <w:r w:rsidR="00DF1F7C" w:rsidRPr="001B5760">
        <w:t xml:space="preserve"> management,</w:t>
      </w:r>
      <w:r w:rsidR="00AD2BB0" w:rsidRPr="001B5760">
        <w:t xml:space="preserve"> </w:t>
      </w:r>
      <w:r w:rsidR="00846BE9" w:rsidRPr="001B5760">
        <w:t>as well as</w:t>
      </w:r>
      <w:r w:rsidR="00DF1F7C" w:rsidRPr="001B5760">
        <w:t xml:space="preserve"> </w:t>
      </w:r>
      <w:proofErr w:type="spellStart"/>
      <w:r w:rsidR="00DF1F7C" w:rsidRPr="001B5760">
        <w:t>Bergé</w:t>
      </w:r>
      <w:proofErr w:type="spellEnd"/>
      <w:r w:rsidR="00EE69DA" w:rsidRPr="001B5760">
        <w:t>; h</w:t>
      </w:r>
      <w:r w:rsidR="00DF1F7C" w:rsidRPr="001B5760">
        <w:t xml:space="preserve">owever, his </w:t>
      </w:r>
      <w:r w:rsidR="00AD2BB0" w:rsidRPr="001B5760">
        <w:t>dictator</w:t>
      </w:r>
      <w:r w:rsidR="00E931B2">
        <w:t>ial</w:t>
      </w:r>
      <w:r w:rsidR="00AD2BB0" w:rsidRPr="001B5760">
        <w:t xml:space="preserve"> style of </w:t>
      </w:r>
      <w:r w:rsidR="00DF1F7C" w:rsidRPr="001B5760">
        <w:t>decision</w:t>
      </w:r>
      <w:r w:rsidR="00F450C4">
        <w:t>-</w:t>
      </w:r>
      <w:r w:rsidR="00AD2BB0" w:rsidRPr="001B5760">
        <w:t xml:space="preserve">making </w:t>
      </w:r>
      <w:r w:rsidR="00E931B2">
        <w:t>drew some concern.</w:t>
      </w:r>
      <w:r w:rsidR="00A630C7" w:rsidRPr="00A630C7">
        <w:t xml:space="preserve"> </w:t>
      </w:r>
    </w:p>
    <w:p w14:paraId="6D8B5651" w14:textId="77777777" w:rsidR="00DF1F7C" w:rsidRPr="001B5760" w:rsidRDefault="00DF1F7C" w:rsidP="00DF1F7C">
      <w:pPr>
        <w:pStyle w:val="BodyTextMain"/>
      </w:pPr>
    </w:p>
    <w:p w14:paraId="0A1B1866" w14:textId="49E6870D" w:rsidR="008925BD" w:rsidRDefault="00EA4031" w:rsidP="00DF1F7C">
      <w:pPr>
        <w:pStyle w:val="BodyTextMain"/>
      </w:pPr>
      <w:r w:rsidRPr="001B5760">
        <w:t xml:space="preserve">In </w:t>
      </w:r>
      <w:r w:rsidR="00DF1F7C" w:rsidRPr="001B5760">
        <w:t>June 2012</w:t>
      </w:r>
      <w:r w:rsidR="00AD2BB0" w:rsidRPr="001B5760">
        <w:t>,</w:t>
      </w:r>
      <w:r w:rsidR="00DF1F7C" w:rsidRPr="001B5760">
        <w:t xml:space="preserve"> </w:t>
      </w:r>
      <w:proofErr w:type="spellStart"/>
      <w:r w:rsidR="00303F1C" w:rsidRPr="001B5760">
        <w:t>Slimane</w:t>
      </w:r>
      <w:proofErr w:type="spellEnd"/>
      <w:r w:rsidR="00303F1C" w:rsidRPr="001B5760">
        <w:t xml:space="preserve"> </w:t>
      </w:r>
      <w:r w:rsidRPr="001B5760">
        <w:t xml:space="preserve">changed </w:t>
      </w:r>
      <w:r w:rsidR="00DF1F7C" w:rsidRPr="001B5760">
        <w:t xml:space="preserve">the name of </w:t>
      </w:r>
      <w:r w:rsidR="00576491">
        <w:t>YSL’s</w:t>
      </w:r>
      <w:r w:rsidR="00DF1F7C" w:rsidRPr="001B5760">
        <w:t xml:space="preserve"> ready-to-wear brand</w:t>
      </w:r>
      <w:r w:rsidR="00303F1C" w:rsidRPr="001B5760">
        <w:t xml:space="preserve"> </w:t>
      </w:r>
      <w:r w:rsidR="00AD2BB0" w:rsidRPr="001B5760">
        <w:t>from</w:t>
      </w:r>
      <w:r w:rsidR="00DF1F7C" w:rsidRPr="001B5760">
        <w:t xml:space="preserve"> </w:t>
      </w:r>
      <w:r w:rsidR="00DF1F7C" w:rsidRPr="00356EF7">
        <w:rPr>
          <w:i/>
        </w:rPr>
        <w:t>Yves Saint Laurent</w:t>
      </w:r>
      <w:r w:rsidR="00DF1F7C" w:rsidRPr="001B5760">
        <w:t xml:space="preserve"> to </w:t>
      </w:r>
      <w:r w:rsidR="00DF1F7C" w:rsidRPr="00356EF7">
        <w:rPr>
          <w:i/>
        </w:rPr>
        <w:t>Saint Laurent Paris</w:t>
      </w:r>
      <w:r w:rsidR="00303F1C" w:rsidRPr="001B5760">
        <w:t>, releasing its first line</w:t>
      </w:r>
      <w:r w:rsidR="008925BD">
        <w:t xml:space="preserve"> as part of</w:t>
      </w:r>
      <w:r w:rsidR="00303F1C" w:rsidRPr="001B5760">
        <w:t xml:space="preserve"> the </w:t>
      </w:r>
      <w:r w:rsidR="00DF1F7C" w:rsidRPr="001B5760">
        <w:t>spring</w:t>
      </w:r>
      <w:r w:rsidR="008925BD">
        <w:t>–</w:t>
      </w:r>
      <w:r w:rsidR="00DF1F7C" w:rsidRPr="001B5760">
        <w:t>summer collection</w:t>
      </w:r>
      <w:r w:rsidR="00F450C4">
        <w:t>. The line was meant to</w:t>
      </w:r>
      <w:r w:rsidR="008D12DB" w:rsidRPr="001B5760">
        <w:t xml:space="preserve"> </w:t>
      </w:r>
      <w:r w:rsidR="00A96D28" w:rsidRPr="001B5760">
        <w:t xml:space="preserve">act as a means to unify the ready-to-wear brand with </w:t>
      </w:r>
      <w:r w:rsidR="009B0998">
        <w:t>YSL’s</w:t>
      </w:r>
      <w:r w:rsidR="00A96D28" w:rsidRPr="001B5760">
        <w:t xml:space="preserve"> historical roots. </w:t>
      </w:r>
      <w:r w:rsidR="006007F1" w:rsidRPr="001B5760">
        <w:t>The displayed objective signal</w:t>
      </w:r>
      <w:r w:rsidR="00B65B8E">
        <w:t>l</w:t>
      </w:r>
      <w:r w:rsidR="006007F1" w:rsidRPr="001B5760">
        <w:t>ed a return to the company</w:t>
      </w:r>
      <w:r w:rsidR="008925BD">
        <w:t>’s</w:t>
      </w:r>
      <w:r w:rsidR="008925BD" w:rsidRPr="008925BD">
        <w:t xml:space="preserve"> </w:t>
      </w:r>
      <w:r w:rsidR="008925BD">
        <w:t>original ready-to-wear shop (</w:t>
      </w:r>
      <w:r w:rsidR="006007F1" w:rsidRPr="001B5760">
        <w:t>Saint Laurent Rive Gauche</w:t>
      </w:r>
      <w:r w:rsidR="008925BD">
        <w:t>)</w:t>
      </w:r>
      <w:r w:rsidR="006007F1" w:rsidRPr="001B5760">
        <w:t xml:space="preserve">. </w:t>
      </w:r>
      <w:proofErr w:type="spellStart"/>
      <w:r w:rsidR="00A96D28" w:rsidRPr="001B5760">
        <w:t>Slimane</w:t>
      </w:r>
      <w:proofErr w:type="spellEnd"/>
      <w:r w:rsidR="00A96D28" w:rsidRPr="001B5760">
        <w:t xml:space="preserve"> wanted to preserve the Yves Saint Laurent </w:t>
      </w:r>
      <w:r w:rsidR="002D1A19">
        <w:t>brand</w:t>
      </w:r>
      <w:r w:rsidR="002D1A19" w:rsidRPr="001B5760">
        <w:t xml:space="preserve"> </w:t>
      </w:r>
      <w:r w:rsidR="00A96D28" w:rsidRPr="001B5760">
        <w:t>for a potential comeback of the house</w:t>
      </w:r>
      <w:r w:rsidR="00472B46" w:rsidRPr="001B5760">
        <w:t>’</w:t>
      </w:r>
      <w:r w:rsidR="00A96D28" w:rsidRPr="001B5760">
        <w:t xml:space="preserve">s haute couture branch, which had halted a few years prior to </w:t>
      </w:r>
      <w:r w:rsidR="004B0E1B">
        <w:t xml:space="preserve">Saint </w:t>
      </w:r>
      <w:r w:rsidR="00A96D28" w:rsidRPr="001B5760">
        <w:t>Laurent</w:t>
      </w:r>
      <w:r w:rsidR="00472B46" w:rsidRPr="001B5760">
        <w:t>’</w:t>
      </w:r>
      <w:r w:rsidR="00A96D28" w:rsidRPr="001B5760">
        <w:t xml:space="preserve">s </w:t>
      </w:r>
      <w:r w:rsidR="002D1A19">
        <w:t>death</w:t>
      </w:r>
      <w:r w:rsidR="008D12DB" w:rsidRPr="001B5760">
        <w:t>; however,</w:t>
      </w:r>
      <w:r w:rsidR="00F4252E" w:rsidRPr="001B5760">
        <w:t xml:space="preserve"> </w:t>
      </w:r>
      <w:r w:rsidR="00DF1F7C" w:rsidRPr="001B5760">
        <w:t xml:space="preserve">the </w:t>
      </w:r>
      <w:r w:rsidR="00303F1C" w:rsidRPr="001B5760">
        <w:t xml:space="preserve">brand </w:t>
      </w:r>
      <w:r w:rsidR="006007F1" w:rsidRPr="001B5760">
        <w:t>re</w:t>
      </w:r>
      <w:r w:rsidR="00303F1C" w:rsidRPr="001B5760">
        <w:t xml:space="preserve">naming </w:t>
      </w:r>
      <w:r w:rsidR="00DF1F7C" w:rsidRPr="001B5760">
        <w:t xml:space="preserve">confused </w:t>
      </w:r>
      <w:r w:rsidR="00F4252E" w:rsidRPr="001B5760">
        <w:t>the public</w:t>
      </w:r>
      <w:r w:rsidR="008D12DB" w:rsidRPr="001B5760">
        <w:t>.</w:t>
      </w:r>
      <w:r w:rsidR="008D12DB" w:rsidRPr="001B5760">
        <w:rPr>
          <w:rStyle w:val="EndnoteReference"/>
        </w:rPr>
        <w:endnoteReference w:id="73"/>
      </w:r>
      <w:r w:rsidR="00DF1F7C" w:rsidRPr="001B5760">
        <w:t xml:space="preserve"> </w:t>
      </w:r>
      <w:r w:rsidR="005F345E" w:rsidRPr="001B5760">
        <w:t>Fearing</w:t>
      </w:r>
      <w:r w:rsidR="00DF1F7C" w:rsidRPr="001B5760">
        <w:t xml:space="preserve"> </w:t>
      </w:r>
      <w:r w:rsidR="00F4252E" w:rsidRPr="001B5760">
        <w:t xml:space="preserve">that the Yves Saint Laurent </w:t>
      </w:r>
      <w:r w:rsidR="00303F1C" w:rsidRPr="001B5760">
        <w:t xml:space="preserve">logo </w:t>
      </w:r>
      <w:r w:rsidR="00F4252E" w:rsidRPr="001B5760">
        <w:t xml:space="preserve">would </w:t>
      </w:r>
      <w:r w:rsidR="00DF1F7C" w:rsidRPr="001B5760">
        <w:t>disappear</w:t>
      </w:r>
      <w:r w:rsidR="006007F1" w:rsidRPr="001B5760">
        <w:t xml:space="preserve">, </w:t>
      </w:r>
      <w:r w:rsidR="00F4252E" w:rsidRPr="001B5760">
        <w:t>c</w:t>
      </w:r>
      <w:r w:rsidR="00DF1F7C" w:rsidRPr="001B5760">
        <w:t xml:space="preserve">ustomers </w:t>
      </w:r>
      <w:r w:rsidR="00F4252E" w:rsidRPr="001B5760">
        <w:t>rush</w:t>
      </w:r>
      <w:r w:rsidR="008D12DB" w:rsidRPr="001B5760">
        <w:t>ed</w:t>
      </w:r>
      <w:r w:rsidR="00DF1F7C" w:rsidRPr="001B5760">
        <w:t xml:space="preserve"> to buy what they </w:t>
      </w:r>
      <w:r w:rsidR="00F4252E" w:rsidRPr="001B5760">
        <w:t xml:space="preserve">thought would </w:t>
      </w:r>
      <w:r w:rsidR="00DF1F7C" w:rsidRPr="001B5760">
        <w:t xml:space="preserve">be the last clothes with the historical logo. </w:t>
      </w:r>
    </w:p>
    <w:p w14:paraId="72615495" w14:textId="77777777" w:rsidR="008925BD" w:rsidRDefault="008925BD" w:rsidP="00DF1F7C">
      <w:pPr>
        <w:pStyle w:val="BodyTextMain"/>
      </w:pPr>
    </w:p>
    <w:p w14:paraId="157B4070" w14:textId="10898943" w:rsidR="00B83F2C" w:rsidRPr="001B5760" w:rsidRDefault="002E485F" w:rsidP="00DF1F7C">
      <w:pPr>
        <w:pStyle w:val="BodyTextMain"/>
      </w:pPr>
      <w:r w:rsidRPr="001B5760">
        <w:t>At the same time</w:t>
      </w:r>
      <w:r w:rsidR="00DF1F7C" w:rsidRPr="001B5760">
        <w:t xml:space="preserve">, </w:t>
      </w:r>
      <w:proofErr w:type="spellStart"/>
      <w:r w:rsidR="00DF1F7C" w:rsidRPr="001B5760">
        <w:t>Slimane</w:t>
      </w:r>
      <w:proofErr w:type="spellEnd"/>
      <w:r w:rsidR="00DF1F7C" w:rsidRPr="001B5760">
        <w:t xml:space="preserve"> </w:t>
      </w:r>
      <w:r w:rsidR="00F4252E" w:rsidRPr="001B5760">
        <w:t>move</w:t>
      </w:r>
      <w:r w:rsidR="006007F1" w:rsidRPr="001B5760">
        <w:t>d</w:t>
      </w:r>
      <w:r w:rsidR="00F4252E" w:rsidRPr="001B5760">
        <w:t xml:space="preserve"> the </w:t>
      </w:r>
      <w:r w:rsidR="002D1A19">
        <w:t xml:space="preserve">house’s </w:t>
      </w:r>
      <w:r w:rsidR="00DF1F7C" w:rsidRPr="001B5760">
        <w:t>design</w:t>
      </w:r>
      <w:r w:rsidR="00F4252E" w:rsidRPr="001B5760">
        <w:t xml:space="preserve"> </w:t>
      </w:r>
      <w:r w:rsidR="006007F1" w:rsidRPr="001B5760">
        <w:t xml:space="preserve">studios </w:t>
      </w:r>
      <w:r w:rsidR="00DF1F7C" w:rsidRPr="001B5760">
        <w:t xml:space="preserve">from Paris </w:t>
      </w:r>
      <w:r w:rsidR="00F4252E" w:rsidRPr="001B5760">
        <w:t>to</w:t>
      </w:r>
      <w:r w:rsidR="00DF1F7C" w:rsidRPr="001B5760">
        <w:t xml:space="preserve"> Los Angeles</w:t>
      </w:r>
      <w:r w:rsidRPr="001B5760">
        <w:t xml:space="preserve">, the city </w:t>
      </w:r>
      <w:proofErr w:type="spellStart"/>
      <w:r w:rsidRPr="001B5760">
        <w:t>Slimane</w:t>
      </w:r>
      <w:proofErr w:type="spellEnd"/>
      <w:r w:rsidRPr="001B5760">
        <w:t xml:space="preserve"> resided </w:t>
      </w:r>
      <w:r w:rsidR="00416838" w:rsidRPr="001B5760">
        <w:t xml:space="preserve">in </w:t>
      </w:r>
      <w:r w:rsidR="00DF1F7C" w:rsidRPr="001B5760">
        <w:t>since 2010</w:t>
      </w:r>
      <w:r w:rsidR="008925BD">
        <w:t>. S</w:t>
      </w:r>
      <w:r w:rsidRPr="001B5760">
        <w:t>ome perceived th</w:t>
      </w:r>
      <w:r w:rsidR="008925BD">
        <w:t>is</w:t>
      </w:r>
      <w:r w:rsidRPr="001B5760">
        <w:t xml:space="preserve"> move as </w:t>
      </w:r>
      <w:r w:rsidR="008925BD">
        <w:t>the</w:t>
      </w:r>
      <w:r w:rsidRPr="001B5760">
        <w:t xml:space="preserve"> </w:t>
      </w:r>
      <w:r w:rsidR="00DF1F7C" w:rsidRPr="001B5760">
        <w:t>opportunistic decision of an empowered manager who was already living in Los Angeles.</w:t>
      </w:r>
      <w:r w:rsidR="00612AB6" w:rsidRPr="001B5760">
        <w:rPr>
          <w:rStyle w:val="EndnoteReference"/>
        </w:rPr>
        <w:endnoteReference w:id="74"/>
      </w:r>
      <w:r w:rsidR="00DF1F7C" w:rsidRPr="001B5760">
        <w:t xml:space="preserve"> </w:t>
      </w:r>
      <w:r w:rsidR="001432B4">
        <w:t>In spite of</w:t>
      </w:r>
      <w:r w:rsidR="001432B4" w:rsidRPr="001B5760">
        <w:t xml:space="preserve"> </w:t>
      </w:r>
      <w:r w:rsidR="00E1690A" w:rsidRPr="001B5760">
        <w:t xml:space="preserve">the criticism, </w:t>
      </w:r>
      <w:proofErr w:type="spellStart"/>
      <w:r w:rsidR="007F6D0A" w:rsidRPr="001B5760">
        <w:t>Slimane</w:t>
      </w:r>
      <w:proofErr w:type="spellEnd"/>
      <w:r w:rsidR="00E1690A" w:rsidRPr="001B5760">
        <w:t xml:space="preserve"> continued designing and creating out of Los Angeles, </w:t>
      </w:r>
      <w:r w:rsidR="00DF1F7C" w:rsidRPr="001B5760">
        <w:t>ma</w:t>
      </w:r>
      <w:r w:rsidR="00E1690A" w:rsidRPr="001B5760">
        <w:t>king</w:t>
      </w:r>
      <w:r w:rsidR="00DF1F7C" w:rsidRPr="001B5760">
        <w:t xml:space="preserve"> a collection inspired </w:t>
      </w:r>
      <w:r w:rsidR="008925BD">
        <w:t>by</w:t>
      </w:r>
      <w:r w:rsidR="008925BD" w:rsidRPr="001B5760">
        <w:t xml:space="preserve"> </w:t>
      </w:r>
      <w:r w:rsidR="00DF1F7C" w:rsidRPr="001B5760">
        <w:t>the grunge</w:t>
      </w:r>
      <w:r w:rsidR="00416838" w:rsidRPr="001B5760">
        <w:t xml:space="preserve"> music </w:t>
      </w:r>
      <w:r w:rsidR="008925BD">
        <w:t>scene</w:t>
      </w:r>
      <w:r w:rsidR="008925BD" w:rsidRPr="001B5760">
        <w:t xml:space="preserve"> </w:t>
      </w:r>
      <w:r w:rsidR="00F124A8" w:rsidRPr="001B5760">
        <w:t>and appoint</w:t>
      </w:r>
      <w:r w:rsidR="00E1690A" w:rsidRPr="001B5760">
        <w:t>ing</w:t>
      </w:r>
      <w:r w:rsidR="00F124A8" w:rsidRPr="001B5760">
        <w:t xml:space="preserve"> rock </w:t>
      </w:r>
      <w:r w:rsidR="00DF1F7C" w:rsidRPr="001B5760">
        <w:t>artists</w:t>
      </w:r>
      <w:r w:rsidR="008A268E" w:rsidRPr="001B5760">
        <w:t xml:space="preserve"> </w:t>
      </w:r>
      <w:r w:rsidR="00E1690A" w:rsidRPr="001B5760">
        <w:t>like</w:t>
      </w:r>
      <w:r w:rsidR="008A268E" w:rsidRPr="001B5760">
        <w:t xml:space="preserve"> Marilyn Manson</w:t>
      </w:r>
      <w:r w:rsidR="00DF1F7C" w:rsidRPr="001B5760">
        <w:t xml:space="preserve"> </w:t>
      </w:r>
      <w:r w:rsidR="00AA2066" w:rsidRPr="00AA2066">
        <w:t xml:space="preserve">and actress Courtney Love </w:t>
      </w:r>
      <w:r w:rsidR="00DF1F7C" w:rsidRPr="001B5760">
        <w:t>as the new ambassador</w:t>
      </w:r>
      <w:r w:rsidR="008925BD">
        <w:t>s</w:t>
      </w:r>
      <w:r w:rsidR="00DF1F7C" w:rsidRPr="001B5760">
        <w:t xml:space="preserve"> of the brand. In both art and business, </w:t>
      </w:r>
      <w:r w:rsidR="00E1690A" w:rsidRPr="001B5760">
        <w:t xml:space="preserve">names and faces for a brand </w:t>
      </w:r>
      <w:r w:rsidR="00AA2066" w:rsidRPr="00AA2066">
        <w:t>ha</w:t>
      </w:r>
      <w:r w:rsidR="00DB7FEA">
        <w:t>d</w:t>
      </w:r>
      <w:r w:rsidR="00AA2066" w:rsidRPr="00AA2066">
        <w:t xml:space="preserve"> always been</w:t>
      </w:r>
      <w:r w:rsidR="008A268E" w:rsidRPr="001B5760">
        <w:t xml:space="preserve"> </w:t>
      </w:r>
      <w:r w:rsidR="00B83F2C" w:rsidRPr="001B5760">
        <w:t>important</w:t>
      </w:r>
      <w:r w:rsidR="00DB7FEA">
        <w:t>;</w:t>
      </w:r>
      <w:r w:rsidR="008925BD">
        <w:t xml:space="preserve"> </w:t>
      </w:r>
      <w:r w:rsidR="006007F1" w:rsidRPr="001B5760">
        <w:t>the choice of Manson</w:t>
      </w:r>
      <w:r w:rsidR="00AE3984">
        <w:t xml:space="preserve"> </w:t>
      </w:r>
      <w:r w:rsidR="00AA2066" w:rsidRPr="00AA2066">
        <w:t>and Love confused many</w:t>
      </w:r>
      <w:r w:rsidR="006007F1" w:rsidRPr="001B5760">
        <w:t xml:space="preserve"> </w:t>
      </w:r>
      <w:r w:rsidR="00B65B8E">
        <w:t>YSL’s</w:t>
      </w:r>
      <w:r w:rsidR="006007F1" w:rsidRPr="001B5760">
        <w:t xml:space="preserve"> customers</w:t>
      </w:r>
      <w:r w:rsidR="00B83F2C" w:rsidRPr="001B5760">
        <w:t>.</w:t>
      </w:r>
      <w:r w:rsidR="00B83F2C" w:rsidRPr="001B5760">
        <w:rPr>
          <w:rStyle w:val="EndnoteReference"/>
        </w:rPr>
        <w:endnoteReference w:id="75"/>
      </w:r>
      <w:r w:rsidR="006007F1" w:rsidRPr="001B5760">
        <w:t xml:space="preserve"> Yet the public</w:t>
      </w:r>
      <w:r w:rsidR="00472B46" w:rsidRPr="001B5760">
        <w:t>’</w:t>
      </w:r>
      <w:r w:rsidR="006007F1" w:rsidRPr="001B5760">
        <w:t xml:space="preserve">s opinion never influenced </w:t>
      </w:r>
      <w:proofErr w:type="spellStart"/>
      <w:r w:rsidR="006007F1" w:rsidRPr="001B5760">
        <w:t>Slimane</w:t>
      </w:r>
      <w:proofErr w:type="spellEnd"/>
      <w:r w:rsidR="008925BD">
        <w:t>;</w:t>
      </w:r>
      <w:r w:rsidR="006007F1" w:rsidRPr="001B5760">
        <w:t xml:space="preserve"> he</w:t>
      </w:r>
      <w:r w:rsidR="00913425" w:rsidRPr="001B5760">
        <w:t xml:space="preserve"> </w:t>
      </w:r>
      <w:r w:rsidR="000F0F1E">
        <w:t>rarely</w:t>
      </w:r>
      <w:r w:rsidR="008925BD">
        <w:t xml:space="preserve"> sp</w:t>
      </w:r>
      <w:r w:rsidR="000F0F1E">
        <w:t>oke</w:t>
      </w:r>
      <w:r w:rsidR="00913425" w:rsidRPr="001B5760">
        <w:t xml:space="preserve"> with the press or fans after fashion shows, </w:t>
      </w:r>
      <w:r w:rsidR="008925BD">
        <w:t>and did not</w:t>
      </w:r>
      <w:r w:rsidR="00D170CA" w:rsidRPr="001B5760">
        <w:t xml:space="preserve"> </w:t>
      </w:r>
      <w:r w:rsidR="008925BD">
        <w:t>explain</w:t>
      </w:r>
      <w:r w:rsidR="008925BD" w:rsidRPr="001B5760">
        <w:t xml:space="preserve"> </w:t>
      </w:r>
      <w:r w:rsidR="00D170CA" w:rsidRPr="001B5760">
        <w:t xml:space="preserve">the inspiration </w:t>
      </w:r>
      <w:r w:rsidR="005F345E" w:rsidRPr="001B5760">
        <w:t xml:space="preserve">or </w:t>
      </w:r>
      <w:r w:rsidR="00D170CA" w:rsidRPr="001B5760">
        <w:t>references behind his works</w:t>
      </w:r>
      <w:r w:rsidR="00E97CF0" w:rsidRPr="001B5760">
        <w:t>.</w:t>
      </w:r>
      <w:r w:rsidR="00910A7A" w:rsidRPr="001B5760">
        <w:rPr>
          <w:rStyle w:val="EndnoteReference"/>
        </w:rPr>
        <w:endnoteReference w:id="76"/>
      </w:r>
    </w:p>
    <w:p w14:paraId="3463C874" w14:textId="77777777" w:rsidR="00B83F2C" w:rsidRPr="001B5760" w:rsidRDefault="00B83F2C" w:rsidP="00DF1F7C">
      <w:pPr>
        <w:pStyle w:val="BodyTextMain"/>
      </w:pPr>
    </w:p>
    <w:p w14:paraId="730DD3B8" w14:textId="539D05CC" w:rsidR="00DF1F7C" w:rsidRPr="001B5760" w:rsidRDefault="00EC1F71" w:rsidP="00DF1F7C">
      <w:pPr>
        <w:pStyle w:val="BodyTextMain"/>
      </w:pPr>
      <w:proofErr w:type="spellStart"/>
      <w:r w:rsidRPr="001B5760">
        <w:t>Slimane</w:t>
      </w:r>
      <w:proofErr w:type="spellEnd"/>
      <w:r w:rsidRPr="001B5760">
        <w:t xml:space="preserve"> </w:t>
      </w:r>
      <w:r w:rsidR="00DB7FEA">
        <w:t xml:space="preserve">used his own leadership style to bring </w:t>
      </w:r>
      <w:r w:rsidRPr="001B5760">
        <w:t>a number of significant changes to the house, repositioning the brand by bringing back the “utmost modernity and fashion authority,” while maintaining the original value of the founder during his short tenure with the house.</w:t>
      </w:r>
      <w:r w:rsidRPr="001B5760">
        <w:rPr>
          <w:rStyle w:val="EndnoteReference"/>
        </w:rPr>
        <w:endnoteReference w:id="77"/>
      </w:r>
      <w:r w:rsidRPr="001B5760">
        <w:t xml:space="preserve"> </w:t>
      </w:r>
      <w:r w:rsidR="00602396" w:rsidRPr="001B5760">
        <w:t xml:space="preserve">As </w:t>
      </w:r>
      <w:r w:rsidR="008925BD">
        <w:t>YSL’s</w:t>
      </w:r>
      <w:r w:rsidR="00602396" w:rsidRPr="001B5760">
        <w:t xml:space="preserve"> creative director, </w:t>
      </w:r>
      <w:proofErr w:type="spellStart"/>
      <w:r w:rsidR="00DB7FEA">
        <w:t>Slimane</w:t>
      </w:r>
      <w:proofErr w:type="spellEnd"/>
      <w:r w:rsidR="00DB7FEA" w:rsidRPr="001B5760">
        <w:t xml:space="preserve"> </w:t>
      </w:r>
      <w:r w:rsidR="00DF1F7C" w:rsidRPr="001B5760">
        <w:t xml:space="preserve">was entrusted </w:t>
      </w:r>
      <w:r w:rsidR="00602396" w:rsidRPr="001B5760">
        <w:t xml:space="preserve">with </w:t>
      </w:r>
      <w:r w:rsidR="00DF1F7C" w:rsidRPr="001B5760">
        <w:t>the supervision of all strategic projects</w:t>
      </w:r>
      <w:r w:rsidR="00E1690A" w:rsidRPr="001B5760">
        <w:t xml:space="preserve">, </w:t>
      </w:r>
      <w:r w:rsidR="00357CF8" w:rsidRPr="001B5760">
        <w:t>resulting in the creation of</w:t>
      </w:r>
      <w:r w:rsidR="00DF1F7C" w:rsidRPr="001B5760">
        <w:t xml:space="preserve"> a new concept shop in Paris</w:t>
      </w:r>
      <w:r w:rsidR="00913425" w:rsidRPr="001B5760">
        <w:t xml:space="preserve"> and </w:t>
      </w:r>
      <w:r w:rsidR="008925BD">
        <w:t xml:space="preserve">the </w:t>
      </w:r>
      <w:r w:rsidR="00913425" w:rsidRPr="001B5760">
        <w:t xml:space="preserve">development of a </w:t>
      </w:r>
      <w:r w:rsidR="00DF1F7C" w:rsidRPr="001B5760">
        <w:t>new website</w:t>
      </w:r>
      <w:r w:rsidR="008925BD">
        <w:t xml:space="preserve"> (</w:t>
      </w:r>
      <w:r w:rsidR="00DF1F7C" w:rsidRPr="001B5760">
        <w:t>ysl.com</w:t>
      </w:r>
      <w:r w:rsidR="008925BD">
        <w:t>)</w:t>
      </w:r>
      <w:r w:rsidR="008D12DB" w:rsidRPr="001B5760">
        <w:t>.</w:t>
      </w:r>
      <w:r w:rsidR="0025590A" w:rsidRPr="001B5760">
        <w:rPr>
          <w:rStyle w:val="EndnoteReference"/>
        </w:rPr>
        <w:endnoteReference w:id="78"/>
      </w:r>
      <w:r w:rsidR="00DF1F7C" w:rsidRPr="001B5760">
        <w:t xml:space="preserve"> </w:t>
      </w:r>
      <w:proofErr w:type="spellStart"/>
      <w:r w:rsidR="006007F1" w:rsidRPr="001B5760">
        <w:t>Bergé</w:t>
      </w:r>
      <w:proofErr w:type="spellEnd"/>
      <w:r w:rsidR="006007F1" w:rsidRPr="001B5760">
        <w:t xml:space="preserve"> recognized behind </w:t>
      </w:r>
      <w:proofErr w:type="spellStart"/>
      <w:r w:rsidR="006007F1" w:rsidRPr="001B5760">
        <w:t>Slimane</w:t>
      </w:r>
      <w:r w:rsidR="00472B46" w:rsidRPr="001B5760">
        <w:t>’</w:t>
      </w:r>
      <w:r w:rsidR="006007F1" w:rsidRPr="001B5760">
        <w:t>s</w:t>
      </w:r>
      <w:proofErr w:type="spellEnd"/>
      <w:r w:rsidR="006007F1" w:rsidRPr="001B5760">
        <w:t xml:space="preserve"> grunge inspiration</w:t>
      </w:r>
      <w:r w:rsidR="00DB7FEA" w:rsidRPr="00DB7FEA">
        <w:t xml:space="preserve"> </w:t>
      </w:r>
      <w:r w:rsidR="00DB7FEA" w:rsidRPr="001B5760">
        <w:t>the</w:t>
      </w:r>
      <w:r w:rsidR="00DB7FEA" w:rsidRPr="000A5B09">
        <w:t xml:space="preserve"> </w:t>
      </w:r>
      <w:r w:rsidR="00DB7FEA">
        <w:t xml:space="preserve">desire </w:t>
      </w:r>
      <w:r w:rsidR="00DB7FEA" w:rsidRPr="00D15C74">
        <w:t xml:space="preserve">to </w:t>
      </w:r>
      <w:r w:rsidR="00DB7FEA">
        <w:t>flaunt</w:t>
      </w:r>
      <w:r w:rsidR="00DB7FEA" w:rsidRPr="00D15C74">
        <w:t xml:space="preserve"> </w:t>
      </w:r>
      <w:r w:rsidR="00DB7FEA">
        <w:t>conventions</w:t>
      </w:r>
      <w:r w:rsidR="006007F1" w:rsidRPr="001B5760">
        <w:t xml:space="preserve">, believing it </w:t>
      </w:r>
      <w:r w:rsidR="00612AB6" w:rsidRPr="001B5760">
        <w:t xml:space="preserve">was </w:t>
      </w:r>
      <w:r w:rsidR="006007F1" w:rsidRPr="001B5760">
        <w:t xml:space="preserve">consistent with </w:t>
      </w:r>
      <w:r w:rsidR="008925BD">
        <w:t xml:space="preserve">Saint Laurent’s </w:t>
      </w:r>
      <w:r w:rsidR="006007F1" w:rsidRPr="001B5760">
        <w:t>principles</w:t>
      </w:r>
      <w:r w:rsidR="00612AB6" w:rsidRPr="001B5760">
        <w:t xml:space="preserve"> of</w:t>
      </w:r>
      <w:r w:rsidR="006007F1" w:rsidRPr="001B5760">
        <w:t xml:space="preserve"> question</w:t>
      </w:r>
      <w:r w:rsidR="00612AB6" w:rsidRPr="001B5760">
        <w:t>ing</w:t>
      </w:r>
      <w:r w:rsidR="006007F1" w:rsidRPr="001B5760">
        <w:t xml:space="preserve"> the nature of luxury and collid</w:t>
      </w:r>
      <w:r w:rsidR="00612AB6" w:rsidRPr="001B5760">
        <w:t>ing</w:t>
      </w:r>
      <w:r w:rsidR="006007F1" w:rsidRPr="001B5760">
        <w:t xml:space="preserve"> street fashion with the painstaking techniques of couture.</w:t>
      </w:r>
      <w:r w:rsidR="006007F1" w:rsidRPr="001B5760">
        <w:rPr>
          <w:rStyle w:val="EndnoteReference"/>
        </w:rPr>
        <w:endnoteReference w:id="79"/>
      </w:r>
      <w:r w:rsidR="006007F1" w:rsidRPr="001B5760">
        <w:t xml:space="preserve"> </w:t>
      </w:r>
      <w:proofErr w:type="spellStart"/>
      <w:r w:rsidR="005D7A85" w:rsidRPr="001B5760">
        <w:t>Slimane</w:t>
      </w:r>
      <w:proofErr w:type="spellEnd"/>
      <w:r w:rsidR="005D7A85" w:rsidRPr="001B5760">
        <w:t xml:space="preserve"> wa</w:t>
      </w:r>
      <w:r w:rsidR="00DF1F7C" w:rsidRPr="001B5760">
        <w:t>s described as</w:t>
      </w:r>
      <w:r w:rsidR="008D1AD8">
        <w:t xml:space="preserve"> </w:t>
      </w:r>
      <w:r w:rsidR="002430AA">
        <w:t>running</w:t>
      </w:r>
      <w:r w:rsidR="008D1AD8">
        <w:t xml:space="preserve"> </w:t>
      </w:r>
      <w:r w:rsidR="00DF1F7C" w:rsidRPr="001B5760">
        <w:t xml:space="preserve">a </w:t>
      </w:r>
      <w:r w:rsidR="00472B46" w:rsidRPr="001B5760">
        <w:t>“</w:t>
      </w:r>
      <w:r w:rsidR="00DF1F7C" w:rsidRPr="001B5760">
        <w:t>fashion dictator</w:t>
      </w:r>
      <w:r w:rsidR="008D1AD8">
        <w:t>ship</w:t>
      </w:r>
      <w:r w:rsidR="006007F1" w:rsidRPr="001B5760">
        <w:t>,</w:t>
      </w:r>
      <w:r w:rsidR="00472B46" w:rsidRPr="001B5760">
        <w:t>”</w:t>
      </w:r>
      <w:r w:rsidR="006007F1" w:rsidRPr="001B5760">
        <w:t xml:space="preserve"> </w:t>
      </w:r>
      <w:r w:rsidR="008D12DB" w:rsidRPr="001B5760">
        <w:t xml:space="preserve">but </w:t>
      </w:r>
      <w:r w:rsidR="005D7A85" w:rsidRPr="001B5760">
        <w:t xml:space="preserve">management </w:t>
      </w:r>
      <w:r w:rsidR="002621BE">
        <w:t xml:space="preserve">trusted him </w:t>
      </w:r>
      <w:r w:rsidR="00FD1C02" w:rsidRPr="001B5760">
        <w:t>because of his</w:t>
      </w:r>
      <w:r w:rsidR="005D7A85" w:rsidRPr="001B5760">
        <w:t xml:space="preserve"> success in reviving </w:t>
      </w:r>
      <w:r w:rsidR="002621BE">
        <w:t>YSL’s</w:t>
      </w:r>
      <w:r w:rsidR="005D7A85" w:rsidRPr="001B5760">
        <w:t xml:space="preserve"> ready-to-wear business.</w:t>
      </w:r>
      <w:r w:rsidR="00612AB6" w:rsidRPr="001B5760">
        <w:rPr>
          <w:rStyle w:val="EndnoteReference"/>
        </w:rPr>
        <w:endnoteReference w:id="80"/>
      </w:r>
      <w:r w:rsidR="005D7A85" w:rsidRPr="001B5760">
        <w:t xml:space="preserve"> Nevertheless, the public </w:t>
      </w:r>
      <w:r w:rsidR="00E1690A" w:rsidRPr="001B5760">
        <w:t>questioned</w:t>
      </w:r>
      <w:r w:rsidR="005D7A85" w:rsidRPr="001B5760">
        <w:t xml:space="preserve"> </w:t>
      </w:r>
      <w:r w:rsidR="002621BE">
        <w:t xml:space="preserve">whether the success of </w:t>
      </w:r>
      <w:proofErr w:type="spellStart"/>
      <w:r w:rsidR="005D7A85" w:rsidRPr="001B5760">
        <w:t>Slimane</w:t>
      </w:r>
      <w:proofErr w:type="spellEnd"/>
      <w:r w:rsidR="005D7A85" w:rsidRPr="001B5760">
        <w:t xml:space="preserve"> and the house</w:t>
      </w:r>
      <w:r w:rsidR="00472B46" w:rsidRPr="001B5760">
        <w:t>’</w:t>
      </w:r>
      <w:r w:rsidR="005D7A85" w:rsidRPr="001B5760">
        <w:t>s ready-to-wear business would</w:t>
      </w:r>
      <w:r w:rsidR="00DF1F7C" w:rsidRPr="001B5760">
        <w:t xml:space="preserve"> </w:t>
      </w:r>
      <w:r w:rsidR="002A02EF" w:rsidRPr="001B5760">
        <w:t>continue</w:t>
      </w:r>
      <w:r>
        <w:t xml:space="preserve"> long term</w:t>
      </w:r>
      <w:r w:rsidR="002A02EF" w:rsidRPr="001B5760">
        <w:t xml:space="preserve">. </w:t>
      </w:r>
    </w:p>
    <w:p w14:paraId="748021EB" w14:textId="77777777" w:rsidR="00DF1F7C" w:rsidRPr="001B5760" w:rsidRDefault="00DF1F7C" w:rsidP="00DF1F7C">
      <w:pPr>
        <w:pStyle w:val="BodyTextMain"/>
      </w:pPr>
    </w:p>
    <w:p w14:paraId="4A6DEBB4" w14:textId="3B68641A" w:rsidR="000D5B83" w:rsidRPr="001B5760" w:rsidRDefault="00B702AE" w:rsidP="00DF1F7C">
      <w:pPr>
        <w:pStyle w:val="BodyTextMain"/>
      </w:pPr>
      <w:r w:rsidRPr="001B5760">
        <w:t xml:space="preserve">On April 1, 2016, </w:t>
      </w:r>
      <w:r w:rsidR="00B65B8E">
        <w:t>YSL</w:t>
      </w:r>
      <w:r w:rsidRPr="001B5760">
        <w:t xml:space="preserve"> and the </w:t>
      </w:r>
      <w:proofErr w:type="spellStart"/>
      <w:r w:rsidRPr="001B5760">
        <w:t>Kering</w:t>
      </w:r>
      <w:proofErr w:type="spellEnd"/>
      <w:r w:rsidRPr="001B5760">
        <w:t xml:space="preserve"> Group (previously PPR) announced </w:t>
      </w:r>
      <w:proofErr w:type="spellStart"/>
      <w:r w:rsidRPr="001B5760">
        <w:t>Slimane</w:t>
      </w:r>
      <w:r w:rsidR="00472B46" w:rsidRPr="001B5760">
        <w:t>’</w:t>
      </w:r>
      <w:r w:rsidRPr="001B5760">
        <w:t>s</w:t>
      </w:r>
      <w:proofErr w:type="spellEnd"/>
      <w:r w:rsidRPr="001B5760">
        <w:t xml:space="preserve"> departure.</w:t>
      </w:r>
      <w:r w:rsidRPr="001B5760">
        <w:rPr>
          <w:rStyle w:val="EndnoteReference"/>
        </w:rPr>
        <w:endnoteReference w:id="81"/>
      </w:r>
      <w:r w:rsidRPr="001B5760">
        <w:t xml:space="preserve"> </w:t>
      </w:r>
      <w:proofErr w:type="spellStart"/>
      <w:r w:rsidRPr="001B5760">
        <w:t>Slimane</w:t>
      </w:r>
      <w:proofErr w:type="spellEnd"/>
      <w:r w:rsidR="00FA338C">
        <w:t xml:space="preserve"> had</w:t>
      </w:r>
      <w:r w:rsidRPr="001B5760">
        <w:t xml:space="preserve"> successfully turned the once-sluggish </w:t>
      </w:r>
      <w:r w:rsidR="00A74870">
        <w:t>couture</w:t>
      </w:r>
      <w:r w:rsidRPr="001B5760">
        <w:t xml:space="preserve"> </w:t>
      </w:r>
      <w:r w:rsidR="00A74870">
        <w:t>h</w:t>
      </w:r>
      <w:r w:rsidRPr="001B5760">
        <w:t xml:space="preserve">ouse </w:t>
      </w:r>
      <w:r w:rsidR="00FA338C">
        <w:t xml:space="preserve">into </w:t>
      </w:r>
      <w:r w:rsidR="007D3B18" w:rsidRPr="001B5760">
        <w:t xml:space="preserve">one of </w:t>
      </w:r>
      <w:r w:rsidRPr="001B5760">
        <w:t>the world</w:t>
      </w:r>
      <w:r w:rsidR="00472B46" w:rsidRPr="001B5760">
        <w:t>’</w:t>
      </w:r>
      <w:r w:rsidRPr="001B5760">
        <w:t>s leading luxury brand</w:t>
      </w:r>
      <w:r w:rsidR="00FA338C">
        <w:t>s,</w:t>
      </w:r>
      <w:r w:rsidRPr="001B5760">
        <w:t xml:space="preserve"> with a reported revenue of €</w:t>
      </w:r>
      <w:r w:rsidRPr="001B5760">
        <w:rPr>
          <w:rFonts w:eastAsia="SimSun"/>
          <w:color w:val="000000"/>
          <w:kern w:val="0"/>
          <w:lang w:eastAsia="zh-CN"/>
        </w:rPr>
        <w:t>974 million</w:t>
      </w:r>
      <w:r w:rsidR="00FA338C">
        <w:rPr>
          <w:rFonts w:eastAsia="SimSun"/>
          <w:color w:val="000000"/>
          <w:kern w:val="0"/>
          <w:lang w:eastAsia="zh-CN"/>
        </w:rPr>
        <w:t xml:space="preserve"> in</w:t>
      </w:r>
      <w:r w:rsidR="00FA338C" w:rsidRPr="001B5760">
        <w:t xml:space="preserve"> 2015</w:t>
      </w:r>
      <w:r w:rsidR="00FA338C">
        <w:rPr>
          <w:rFonts w:eastAsia="SimSun"/>
          <w:color w:val="000000"/>
          <w:kern w:val="0"/>
          <w:lang w:eastAsia="zh-CN"/>
        </w:rPr>
        <w:t>—</w:t>
      </w:r>
      <w:r w:rsidRPr="001B5760">
        <w:t xml:space="preserve">a 38 per cent increase since </w:t>
      </w:r>
      <w:proofErr w:type="spellStart"/>
      <w:r w:rsidR="00FA338C">
        <w:t>Slimane’s</w:t>
      </w:r>
      <w:proofErr w:type="spellEnd"/>
      <w:r w:rsidR="00FA338C">
        <w:t xml:space="preserve"> appointment as </w:t>
      </w:r>
      <w:r w:rsidRPr="001B5760">
        <w:t xml:space="preserve">creative director </w:t>
      </w:r>
      <w:r w:rsidR="002A25A5" w:rsidRPr="001B5760">
        <w:rPr>
          <w:rFonts w:eastAsia="SimSun"/>
          <w:color w:val="000000"/>
          <w:kern w:val="0"/>
          <w:lang w:eastAsia="zh-CN"/>
        </w:rPr>
        <w:t>(see Exhibit 1)</w:t>
      </w:r>
      <w:r w:rsidRPr="001B5760">
        <w:t>.</w:t>
      </w:r>
      <w:r w:rsidRPr="001B5760">
        <w:rPr>
          <w:rStyle w:val="EndnoteReference"/>
        </w:rPr>
        <w:endnoteReference w:id="82"/>
      </w:r>
      <w:r w:rsidRPr="001B5760">
        <w:t xml:space="preserve"> </w:t>
      </w:r>
      <w:r w:rsidR="002A25A5" w:rsidRPr="001B5760">
        <w:t>The</w:t>
      </w:r>
      <w:r w:rsidR="006A77EF" w:rsidRPr="001B5760">
        <w:t xml:space="preserve"> </w:t>
      </w:r>
      <w:proofErr w:type="spellStart"/>
      <w:r w:rsidR="006A77EF" w:rsidRPr="001B5760">
        <w:t>Kering</w:t>
      </w:r>
      <w:proofErr w:type="spellEnd"/>
      <w:r w:rsidR="006A77EF" w:rsidRPr="001B5760">
        <w:t xml:space="preserve"> Group</w:t>
      </w:r>
      <w:r w:rsidR="00FA338C">
        <w:t xml:space="preserve"> had</w:t>
      </w:r>
      <w:r w:rsidR="002A25A5" w:rsidRPr="001B5760">
        <w:t xml:space="preserve"> </w:t>
      </w:r>
      <w:r w:rsidR="00B301D5">
        <w:t xml:space="preserve">also </w:t>
      </w:r>
      <w:r w:rsidR="002A25A5" w:rsidRPr="001B5760">
        <w:t xml:space="preserve">experienced recent growth and success (see Exhibits 2 to 4). </w:t>
      </w:r>
      <w:r w:rsidR="00FA338C">
        <w:t>C</w:t>
      </w:r>
      <w:r w:rsidR="006A77EF" w:rsidRPr="001B5760">
        <w:t xml:space="preserve">hairman and CEO </w:t>
      </w:r>
      <w:r w:rsidRPr="001B5760">
        <w:t>Pinault</w:t>
      </w:r>
      <w:r w:rsidR="006A77EF" w:rsidRPr="001B5760">
        <w:t xml:space="preserve"> </w:t>
      </w:r>
      <w:r w:rsidRPr="001B5760">
        <w:t>stated</w:t>
      </w:r>
      <w:r w:rsidR="00357D09">
        <w:t>,</w:t>
      </w:r>
      <w:r w:rsidRPr="001B5760">
        <w:t xml:space="preserve"> </w:t>
      </w:r>
      <w:r w:rsidR="00357D09">
        <w:t>“</w:t>
      </w:r>
      <w:r w:rsidR="002A25A5" w:rsidRPr="001B5760">
        <w:t>W</w:t>
      </w:r>
      <w:r w:rsidRPr="001B5760">
        <w:t xml:space="preserve">hat </w:t>
      </w:r>
      <w:r w:rsidR="00B65B8E">
        <w:t>[YSL]</w:t>
      </w:r>
      <w:r w:rsidRPr="001B5760">
        <w:t xml:space="preserve"> has achieved over the past four years represents a unique chapter in the history of the house. I am very grateful to </w:t>
      </w:r>
      <w:proofErr w:type="spellStart"/>
      <w:r w:rsidRPr="001B5760">
        <w:t>Hedi</w:t>
      </w:r>
      <w:proofErr w:type="spellEnd"/>
      <w:r w:rsidRPr="001B5760">
        <w:t xml:space="preserve"> </w:t>
      </w:r>
      <w:proofErr w:type="spellStart"/>
      <w:r w:rsidRPr="001B5760">
        <w:t>Slimane</w:t>
      </w:r>
      <w:proofErr w:type="spellEnd"/>
      <w:r w:rsidRPr="001B5760">
        <w:t xml:space="preserve">, and the whole </w:t>
      </w:r>
      <w:r w:rsidR="00B65B8E">
        <w:t xml:space="preserve">[YSL] </w:t>
      </w:r>
      <w:r w:rsidRPr="001B5760">
        <w:t>team, for having set the path that the house has successfully embraced, and which will grant longevity to this legendary brand.</w:t>
      </w:r>
      <w:r w:rsidR="00357D09">
        <w:t>”</w:t>
      </w:r>
      <w:r w:rsidRPr="001B5760">
        <w:rPr>
          <w:rStyle w:val="EndnoteReference"/>
        </w:rPr>
        <w:endnoteReference w:id="83"/>
      </w:r>
      <w:r w:rsidRPr="001B5760">
        <w:t xml:space="preserve"> However, neither </w:t>
      </w:r>
      <w:proofErr w:type="spellStart"/>
      <w:r w:rsidRPr="001B5760">
        <w:t>Slimane</w:t>
      </w:r>
      <w:proofErr w:type="spellEnd"/>
      <w:r w:rsidRPr="001B5760">
        <w:t xml:space="preserve"> nor the </w:t>
      </w:r>
      <w:proofErr w:type="spellStart"/>
      <w:r w:rsidRPr="001B5760">
        <w:t>Kering</w:t>
      </w:r>
      <w:proofErr w:type="spellEnd"/>
      <w:r w:rsidRPr="001B5760">
        <w:t xml:space="preserve"> Group made </w:t>
      </w:r>
      <w:r w:rsidR="00DE2B88">
        <w:t xml:space="preserve">further </w:t>
      </w:r>
      <w:r w:rsidRPr="001B5760">
        <w:t xml:space="preserve">comments about </w:t>
      </w:r>
      <w:proofErr w:type="spellStart"/>
      <w:r w:rsidR="00C53715">
        <w:t>Slimane’s</w:t>
      </w:r>
      <w:proofErr w:type="spellEnd"/>
      <w:r w:rsidR="00C53715" w:rsidRPr="001B5760">
        <w:t xml:space="preserve"> </w:t>
      </w:r>
      <w:r w:rsidRPr="001B5760">
        <w:t xml:space="preserve">departure or successor, </w:t>
      </w:r>
      <w:r w:rsidRPr="00DE2B88">
        <w:t>raising questions</w:t>
      </w:r>
      <w:r w:rsidRPr="001B5760">
        <w:t xml:space="preserve"> about the brand</w:t>
      </w:r>
      <w:r w:rsidR="00472B46" w:rsidRPr="001B5760">
        <w:t>’</w:t>
      </w:r>
      <w:r w:rsidRPr="001B5760">
        <w:t xml:space="preserve">s ability to succeed without </w:t>
      </w:r>
      <w:r w:rsidR="00DE2B88">
        <w:t>his</w:t>
      </w:r>
      <w:r w:rsidR="00DE2B88" w:rsidRPr="001B5760">
        <w:t xml:space="preserve"> </w:t>
      </w:r>
      <w:r w:rsidRPr="001B5760">
        <w:t>leadership and direction.</w:t>
      </w:r>
    </w:p>
    <w:p w14:paraId="75F82C28" w14:textId="77777777" w:rsidR="00B702AE" w:rsidRDefault="00B702AE" w:rsidP="00DF1F7C">
      <w:pPr>
        <w:pStyle w:val="BodyTextMain"/>
      </w:pPr>
    </w:p>
    <w:p w14:paraId="45F10C23" w14:textId="77777777" w:rsidR="00E476DC" w:rsidRPr="001B5760" w:rsidRDefault="00E476DC" w:rsidP="00DF1F7C">
      <w:pPr>
        <w:pStyle w:val="BodyTextMain"/>
      </w:pPr>
    </w:p>
    <w:p w14:paraId="6F870B20" w14:textId="0BC915D4" w:rsidR="00DF1F7C" w:rsidRPr="001B5760" w:rsidRDefault="007C1D54" w:rsidP="00356EF7">
      <w:pPr>
        <w:pStyle w:val="Casehead1"/>
        <w:keepNext/>
      </w:pPr>
      <w:r w:rsidRPr="001B5760">
        <w:lastRenderedPageBreak/>
        <w:t xml:space="preserve">Anthony Vaccarello: </w:t>
      </w:r>
      <w:r w:rsidR="00B65B8E">
        <w:t xml:space="preserve">SAINT </w:t>
      </w:r>
      <w:r w:rsidR="005F345E" w:rsidRPr="001B5760">
        <w:t>Laurent</w:t>
      </w:r>
      <w:r w:rsidR="00472B46" w:rsidRPr="001B5760">
        <w:t>’</w:t>
      </w:r>
      <w:r w:rsidR="005F345E" w:rsidRPr="001B5760">
        <w:t xml:space="preserve">s Legacy </w:t>
      </w:r>
      <w:r w:rsidRPr="001B5760">
        <w:t>Lives On</w:t>
      </w:r>
      <w:r w:rsidR="006113CD" w:rsidRPr="001B5760">
        <w:t xml:space="preserve"> </w:t>
      </w:r>
    </w:p>
    <w:p w14:paraId="2AC2CE33" w14:textId="77777777" w:rsidR="00DF1F7C" w:rsidRPr="001B5760" w:rsidRDefault="00DF1F7C" w:rsidP="00356EF7">
      <w:pPr>
        <w:pStyle w:val="BodyTextMain"/>
        <w:keepNext/>
      </w:pPr>
    </w:p>
    <w:p w14:paraId="0E6D52DF" w14:textId="557A8627" w:rsidR="004B0E1B" w:rsidRDefault="00C471C5" w:rsidP="009F4315">
      <w:pPr>
        <w:pStyle w:val="BodyTextMain"/>
      </w:pPr>
      <w:r w:rsidRPr="001B5760">
        <w:rPr>
          <w:lang w:eastAsia="zh-CN"/>
        </w:rPr>
        <w:t>T</w:t>
      </w:r>
      <w:r w:rsidR="00BA3FB8" w:rsidRPr="001B5760">
        <w:rPr>
          <w:lang w:eastAsia="zh-CN"/>
        </w:rPr>
        <w:t xml:space="preserve">hree days after </w:t>
      </w:r>
      <w:proofErr w:type="spellStart"/>
      <w:r w:rsidR="00131D3F" w:rsidRPr="001B5760">
        <w:rPr>
          <w:lang w:eastAsia="zh-CN"/>
        </w:rPr>
        <w:t>Slimane</w:t>
      </w:r>
      <w:r w:rsidR="00472B46" w:rsidRPr="001B5760">
        <w:rPr>
          <w:lang w:eastAsia="zh-CN"/>
        </w:rPr>
        <w:t>’</w:t>
      </w:r>
      <w:r w:rsidR="00131D3F" w:rsidRPr="001B5760">
        <w:rPr>
          <w:lang w:eastAsia="zh-CN"/>
        </w:rPr>
        <w:t>s</w:t>
      </w:r>
      <w:proofErr w:type="spellEnd"/>
      <w:r w:rsidR="00131D3F" w:rsidRPr="001B5760">
        <w:rPr>
          <w:lang w:eastAsia="zh-CN"/>
        </w:rPr>
        <w:t xml:space="preserve"> </w:t>
      </w:r>
      <w:r w:rsidR="00BA3FB8" w:rsidRPr="001B5760">
        <w:rPr>
          <w:lang w:eastAsia="zh-CN"/>
        </w:rPr>
        <w:t xml:space="preserve">departure, </w:t>
      </w:r>
      <w:r w:rsidR="002F2D8C" w:rsidRPr="001B5760">
        <w:rPr>
          <w:lang w:eastAsia="zh-CN"/>
        </w:rPr>
        <w:t>o</w:t>
      </w:r>
      <w:r w:rsidRPr="001B5760">
        <w:rPr>
          <w:lang w:eastAsia="zh-CN"/>
        </w:rPr>
        <w:t xml:space="preserve">n April 4, 2016, </w:t>
      </w:r>
      <w:r w:rsidR="00B65B8E">
        <w:rPr>
          <w:lang w:eastAsia="zh-CN"/>
        </w:rPr>
        <w:t>YSL</w:t>
      </w:r>
      <w:r w:rsidR="00BA3FB8" w:rsidRPr="001B5760">
        <w:rPr>
          <w:lang w:eastAsia="zh-CN"/>
        </w:rPr>
        <w:t xml:space="preserve"> </w:t>
      </w:r>
      <w:r w:rsidR="001432B4">
        <w:rPr>
          <w:lang w:eastAsia="zh-CN"/>
        </w:rPr>
        <w:t>introduced</w:t>
      </w:r>
      <w:r w:rsidR="001432B4" w:rsidRPr="001B5760">
        <w:rPr>
          <w:lang w:eastAsia="zh-CN"/>
        </w:rPr>
        <w:t xml:space="preserve"> </w:t>
      </w:r>
      <w:proofErr w:type="spellStart"/>
      <w:r w:rsidR="00BA3FB8" w:rsidRPr="001B5760">
        <w:rPr>
          <w:lang w:eastAsia="zh-CN"/>
        </w:rPr>
        <w:t>Vaccarello</w:t>
      </w:r>
      <w:proofErr w:type="spellEnd"/>
      <w:r w:rsidR="00BA3FB8" w:rsidRPr="001B5760">
        <w:rPr>
          <w:lang w:eastAsia="zh-CN"/>
        </w:rPr>
        <w:t xml:space="preserve"> as the next </w:t>
      </w:r>
      <w:r w:rsidR="00357C54">
        <w:rPr>
          <w:lang w:eastAsia="zh-CN"/>
        </w:rPr>
        <w:t>creative director</w:t>
      </w:r>
      <w:r w:rsidR="00BA3FB8" w:rsidRPr="001B5760">
        <w:rPr>
          <w:lang w:eastAsia="zh-CN"/>
        </w:rPr>
        <w:t xml:space="preserve"> of the YSL brand.</w:t>
      </w:r>
      <w:r w:rsidR="005F345E" w:rsidRPr="001B5760">
        <w:rPr>
          <w:rStyle w:val="EndnoteReference"/>
          <w:lang w:eastAsia="zh-CN"/>
        </w:rPr>
        <w:endnoteReference w:id="84"/>
      </w:r>
      <w:r w:rsidR="00BA3FB8" w:rsidRPr="001B5760">
        <w:rPr>
          <w:lang w:eastAsia="zh-CN"/>
        </w:rPr>
        <w:t xml:space="preserve"> </w:t>
      </w:r>
      <w:proofErr w:type="spellStart"/>
      <w:r w:rsidR="00D71BC1" w:rsidRPr="001B5760">
        <w:rPr>
          <w:lang w:eastAsia="zh-CN"/>
        </w:rPr>
        <w:t>Vaccarello</w:t>
      </w:r>
      <w:proofErr w:type="spellEnd"/>
      <w:r w:rsidR="00D71BC1" w:rsidRPr="001B5760">
        <w:rPr>
          <w:lang w:eastAsia="zh-CN"/>
        </w:rPr>
        <w:t xml:space="preserve"> possessed a background in the fashion industry</w:t>
      </w:r>
      <w:r w:rsidR="00871FF2">
        <w:rPr>
          <w:lang w:eastAsia="zh-CN"/>
        </w:rPr>
        <w:t>; he had</w:t>
      </w:r>
      <w:r w:rsidR="00D71BC1" w:rsidRPr="001B5760">
        <w:rPr>
          <w:lang w:eastAsia="zh-CN"/>
        </w:rPr>
        <w:t xml:space="preserve"> found</w:t>
      </w:r>
      <w:r w:rsidR="00871FF2">
        <w:rPr>
          <w:lang w:eastAsia="zh-CN"/>
        </w:rPr>
        <w:t>ed</w:t>
      </w:r>
      <w:r w:rsidR="00D71BC1" w:rsidRPr="001B5760">
        <w:rPr>
          <w:lang w:eastAsia="zh-CN"/>
        </w:rPr>
        <w:t xml:space="preserve"> his own brand in 2009</w:t>
      </w:r>
      <w:r w:rsidR="00871FF2">
        <w:rPr>
          <w:lang w:eastAsia="zh-CN"/>
        </w:rPr>
        <w:t>,</w:t>
      </w:r>
      <w:r w:rsidR="00D71BC1" w:rsidRPr="001B5760">
        <w:rPr>
          <w:lang w:eastAsia="zh-CN"/>
        </w:rPr>
        <w:t xml:space="preserve"> and </w:t>
      </w:r>
      <w:r w:rsidR="00871FF2">
        <w:rPr>
          <w:lang w:eastAsia="zh-CN"/>
        </w:rPr>
        <w:t>served</w:t>
      </w:r>
      <w:r w:rsidR="00871FF2" w:rsidRPr="001B5760">
        <w:rPr>
          <w:lang w:eastAsia="zh-CN"/>
        </w:rPr>
        <w:t xml:space="preserve"> </w:t>
      </w:r>
      <w:r w:rsidR="00D71BC1" w:rsidRPr="001B5760">
        <w:rPr>
          <w:lang w:eastAsia="zh-CN"/>
        </w:rPr>
        <w:t>as the creative director of Versus Versace since 2015.</w:t>
      </w:r>
      <w:r w:rsidR="00D71BC1" w:rsidRPr="001B5760">
        <w:rPr>
          <w:rStyle w:val="EndnoteReference"/>
          <w:lang w:eastAsia="zh-CN"/>
        </w:rPr>
        <w:endnoteReference w:id="85"/>
      </w:r>
      <w:r w:rsidR="00D71BC1" w:rsidRPr="001B5760">
        <w:rPr>
          <w:lang w:eastAsia="zh-CN"/>
        </w:rPr>
        <w:t xml:space="preserve"> </w:t>
      </w:r>
      <w:r w:rsidR="00871FF2">
        <w:rPr>
          <w:lang w:eastAsia="zh-CN"/>
        </w:rPr>
        <w:t>His</w:t>
      </w:r>
      <w:r w:rsidR="00871FF2" w:rsidRPr="001B5760">
        <w:rPr>
          <w:lang w:eastAsia="zh-CN"/>
        </w:rPr>
        <w:t xml:space="preserve"> </w:t>
      </w:r>
      <w:r w:rsidR="00D71BC1" w:rsidRPr="001B5760">
        <w:rPr>
          <w:lang w:eastAsia="zh-CN"/>
        </w:rPr>
        <w:t xml:space="preserve">responsibilities as creative director </w:t>
      </w:r>
      <w:r w:rsidR="00871FF2">
        <w:rPr>
          <w:lang w:eastAsia="zh-CN"/>
        </w:rPr>
        <w:t>for YSL</w:t>
      </w:r>
      <w:r w:rsidR="0066109D" w:rsidRPr="001B5760">
        <w:rPr>
          <w:lang w:eastAsia="zh-CN"/>
        </w:rPr>
        <w:t xml:space="preserve"> extended</w:t>
      </w:r>
      <w:r w:rsidR="00D71BC1" w:rsidRPr="001B5760">
        <w:rPr>
          <w:lang w:eastAsia="zh-CN"/>
        </w:rPr>
        <w:t xml:space="preserve"> to the women</w:t>
      </w:r>
      <w:r w:rsidR="00472B46" w:rsidRPr="001B5760">
        <w:rPr>
          <w:lang w:eastAsia="zh-CN"/>
        </w:rPr>
        <w:t>’</w:t>
      </w:r>
      <w:r w:rsidR="00D71BC1" w:rsidRPr="001B5760">
        <w:rPr>
          <w:lang w:eastAsia="zh-CN"/>
        </w:rPr>
        <w:t xml:space="preserve">s </w:t>
      </w:r>
      <w:r w:rsidR="005115A7">
        <w:rPr>
          <w:lang w:eastAsia="zh-CN"/>
        </w:rPr>
        <w:t>and</w:t>
      </w:r>
      <w:r w:rsidR="00D71BC1" w:rsidRPr="001B5760">
        <w:rPr>
          <w:lang w:eastAsia="zh-CN"/>
        </w:rPr>
        <w:t xml:space="preserve"> men</w:t>
      </w:r>
      <w:r w:rsidR="00472B46" w:rsidRPr="001B5760">
        <w:rPr>
          <w:lang w:eastAsia="zh-CN"/>
        </w:rPr>
        <w:t>’</w:t>
      </w:r>
      <w:r w:rsidR="00D71BC1" w:rsidRPr="001B5760">
        <w:rPr>
          <w:lang w:eastAsia="zh-CN"/>
        </w:rPr>
        <w:t xml:space="preserve">s </w:t>
      </w:r>
      <w:r w:rsidR="005115A7">
        <w:rPr>
          <w:lang w:eastAsia="zh-CN"/>
        </w:rPr>
        <w:t>clothing categories</w:t>
      </w:r>
      <w:r w:rsidR="00D71BC1" w:rsidRPr="001B5760">
        <w:rPr>
          <w:lang w:eastAsia="zh-CN"/>
        </w:rPr>
        <w:t xml:space="preserve">, </w:t>
      </w:r>
      <w:r w:rsidR="00A215F8" w:rsidRPr="001B5760">
        <w:rPr>
          <w:lang w:eastAsia="zh-CN"/>
        </w:rPr>
        <w:t>as well as</w:t>
      </w:r>
      <w:r w:rsidR="005115A7">
        <w:rPr>
          <w:lang w:eastAsia="zh-CN"/>
        </w:rPr>
        <w:t xml:space="preserve"> the</w:t>
      </w:r>
      <w:r w:rsidR="00A215F8" w:rsidRPr="001B5760">
        <w:rPr>
          <w:lang w:eastAsia="zh-CN"/>
        </w:rPr>
        <w:t xml:space="preserve"> </w:t>
      </w:r>
      <w:r w:rsidR="00D71BC1" w:rsidRPr="001B5760">
        <w:rPr>
          <w:lang w:eastAsia="zh-CN"/>
        </w:rPr>
        <w:t>revived couture line and overall brand image</w:t>
      </w:r>
      <w:r w:rsidR="005115A7">
        <w:rPr>
          <w:lang w:eastAsia="zh-CN"/>
        </w:rPr>
        <w:t>.</w:t>
      </w:r>
      <w:r w:rsidR="008643A8" w:rsidRPr="001B5760">
        <w:rPr>
          <w:lang w:eastAsia="zh-CN"/>
        </w:rPr>
        <w:t xml:space="preserve"> </w:t>
      </w:r>
      <w:r w:rsidR="005115A7">
        <w:rPr>
          <w:lang w:eastAsia="zh-CN"/>
        </w:rPr>
        <w:t>(</w:t>
      </w:r>
      <w:r w:rsidR="00281639" w:rsidRPr="00281639">
        <w:rPr>
          <w:lang w:eastAsia="zh-CN"/>
        </w:rPr>
        <w:t xml:space="preserve">YSL </w:t>
      </w:r>
      <w:proofErr w:type="spellStart"/>
      <w:r w:rsidR="00281639" w:rsidRPr="00281639">
        <w:rPr>
          <w:lang w:eastAsia="zh-CN"/>
        </w:rPr>
        <w:t>Beauté</w:t>
      </w:r>
      <w:proofErr w:type="spellEnd"/>
      <w:r w:rsidR="00281639">
        <w:rPr>
          <w:lang w:eastAsia="zh-CN"/>
        </w:rPr>
        <w:t xml:space="preserve"> </w:t>
      </w:r>
      <w:r w:rsidR="005115A7">
        <w:rPr>
          <w:lang w:eastAsia="zh-CN"/>
        </w:rPr>
        <w:t xml:space="preserve">was </w:t>
      </w:r>
      <w:r w:rsidR="008643A8" w:rsidRPr="001B5760">
        <w:rPr>
          <w:lang w:eastAsia="zh-CN"/>
        </w:rPr>
        <w:t xml:space="preserve">managed separately by French makeup artist Tom </w:t>
      </w:r>
      <w:proofErr w:type="spellStart"/>
      <w:r w:rsidR="008643A8" w:rsidRPr="001B5760">
        <w:rPr>
          <w:lang w:eastAsia="zh-CN"/>
        </w:rPr>
        <w:t>Pecheux</w:t>
      </w:r>
      <w:proofErr w:type="spellEnd"/>
      <w:r w:rsidR="005115A7">
        <w:rPr>
          <w:lang w:eastAsia="zh-CN"/>
        </w:rPr>
        <w:t>.)</w:t>
      </w:r>
      <w:r w:rsidR="00131D3F" w:rsidRPr="001B5760">
        <w:rPr>
          <w:rStyle w:val="EndnoteReference"/>
          <w:lang w:eastAsia="zh-CN"/>
        </w:rPr>
        <w:endnoteReference w:id="86"/>
      </w:r>
      <w:r w:rsidR="00506F06" w:rsidRPr="001B5760">
        <w:rPr>
          <w:lang w:eastAsia="zh-CN"/>
        </w:rPr>
        <w:t xml:space="preserve"> </w:t>
      </w:r>
      <w:r w:rsidR="009F4315" w:rsidRPr="001B5760">
        <w:t xml:space="preserve">In September 2016, </w:t>
      </w:r>
      <w:proofErr w:type="spellStart"/>
      <w:r w:rsidR="009F4315" w:rsidRPr="001B5760">
        <w:t>Vaccarello</w:t>
      </w:r>
      <w:proofErr w:type="spellEnd"/>
      <w:r w:rsidR="009F4315" w:rsidRPr="001B5760">
        <w:t xml:space="preserve"> announced the presentation of his first collection during the Paris Spring</w:t>
      </w:r>
      <w:r w:rsidR="005115A7">
        <w:t>/</w:t>
      </w:r>
      <w:r w:rsidR="009F4315" w:rsidRPr="001B5760">
        <w:t>Summer 2017 Fashion Week</w:t>
      </w:r>
      <w:r w:rsidR="00D15C74" w:rsidRPr="001B5760">
        <w:t xml:space="preserve"> </w:t>
      </w:r>
      <w:r w:rsidR="00D15C74" w:rsidRPr="001B5760">
        <w:rPr>
          <w:lang w:eastAsia="zh-CN"/>
        </w:rPr>
        <w:t>(see Exhibit 5).</w:t>
      </w:r>
      <w:r w:rsidR="00D15C74" w:rsidRPr="001B5760">
        <w:t xml:space="preserve"> He </w:t>
      </w:r>
      <w:r w:rsidR="005115A7">
        <w:t xml:space="preserve">noted </w:t>
      </w:r>
      <w:r w:rsidR="00D15C74" w:rsidRPr="001B5760">
        <w:t>that</w:t>
      </w:r>
      <w:r w:rsidR="009F4315" w:rsidRPr="001B5760">
        <w:rPr>
          <w:lang w:eastAsia="zh-CN"/>
        </w:rPr>
        <w:t xml:space="preserve"> he wanted to</w:t>
      </w:r>
      <w:r w:rsidR="005115A7">
        <w:rPr>
          <w:lang w:eastAsia="zh-CN"/>
        </w:rPr>
        <w:t xml:space="preserve"> reference and acknowledge Saint Laurent’s influence without recycling old ideas:</w:t>
      </w:r>
      <w:r w:rsidR="009F4315" w:rsidRPr="001B5760">
        <w:rPr>
          <w:lang w:eastAsia="zh-CN"/>
        </w:rPr>
        <w:t xml:space="preserve"> </w:t>
      </w:r>
      <w:r w:rsidR="005115A7">
        <w:rPr>
          <w:lang w:eastAsia="zh-CN"/>
        </w:rPr>
        <w:t>“</w:t>
      </w:r>
      <w:r w:rsidR="009F4315" w:rsidRPr="001B5760">
        <w:t>He did so many things, I don</w:t>
      </w:r>
      <w:r w:rsidR="00472B46" w:rsidRPr="001B5760">
        <w:t>’</w:t>
      </w:r>
      <w:r w:rsidR="009F4315" w:rsidRPr="001B5760">
        <w:t>t want to repeat the things he has done. It</w:t>
      </w:r>
      <w:r w:rsidR="00472B46" w:rsidRPr="001B5760">
        <w:t>’</w:t>
      </w:r>
      <w:r w:rsidR="009F4315" w:rsidRPr="001B5760">
        <w:t>s not about the garments, my idea of YSL lies in the attitude and how we handle things.</w:t>
      </w:r>
      <w:r w:rsidR="00472B46" w:rsidRPr="001B5760">
        <w:t>”</w:t>
      </w:r>
      <w:r w:rsidR="005F345E" w:rsidRPr="001B5760">
        <w:rPr>
          <w:rStyle w:val="EndnoteReference"/>
        </w:rPr>
        <w:endnoteReference w:id="87"/>
      </w:r>
      <w:r w:rsidR="00B64D9F" w:rsidRPr="001B5760">
        <w:t xml:space="preserve"> </w:t>
      </w:r>
      <w:proofErr w:type="spellStart"/>
      <w:r w:rsidR="005F345E" w:rsidRPr="001B5760">
        <w:t>Vaccarello</w:t>
      </w:r>
      <w:proofErr w:type="spellEnd"/>
      <w:r w:rsidR="005F345E" w:rsidRPr="001B5760">
        <w:t xml:space="preserve"> </w:t>
      </w:r>
      <w:r w:rsidR="006D1B4B">
        <w:t>went on:</w:t>
      </w:r>
    </w:p>
    <w:p w14:paraId="1310EE69" w14:textId="77777777" w:rsidR="004B0E1B" w:rsidRDefault="004B0E1B" w:rsidP="009F4315">
      <w:pPr>
        <w:pStyle w:val="BodyTextMain"/>
      </w:pPr>
    </w:p>
    <w:p w14:paraId="0B96EADE" w14:textId="468AC3DE" w:rsidR="00747874" w:rsidRPr="001B5760" w:rsidRDefault="00B64D9F" w:rsidP="004B0E1B">
      <w:pPr>
        <w:pStyle w:val="BodyTextMain"/>
        <w:ind w:left="720"/>
      </w:pPr>
      <w:r w:rsidRPr="001B5760">
        <w:t>I think luxury shouldn</w:t>
      </w:r>
      <w:r w:rsidR="00472B46" w:rsidRPr="001B5760">
        <w:t>’</w:t>
      </w:r>
      <w:r w:rsidRPr="001B5760">
        <w:t xml:space="preserve">t look like </w:t>
      </w:r>
      <w:r w:rsidR="005115A7">
        <w:t>“</w:t>
      </w:r>
      <w:r w:rsidRPr="001B5760">
        <w:t>luxury</w:t>
      </w:r>
      <w:r w:rsidR="005115A7">
        <w:t>”</w:t>
      </w:r>
      <w:r w:rsidRPr="001B5760">
        <w:t xml:space="preserve"> today. It</w:t>
      </w:r>
      <w:r w:rsidR="00472B46" w:rsidRPr="001B5760">
        <w:t>’</w:t>
      </w:r>
      <w:r w:rsidRPr="001B5760">
        <w:t>s about the finishing inside the clothes, or the quality of the fabric</w:t>
      </w:r>
      <w:r w:rsidR="005115A7">
        <w:t>,</w:t>
      </w:r>
      <w:r w:rsidRPr="001B5760">
        <w:t xml:space="preserve"> without it necessarily looking luxurious. It</w:t>
      </w:r>
      <w:r w:rsidR="00472B46" w:rsidRPr="001B5760">
        <w:t>’</w:t>
      </w:r>
      <w:r w:rsidRPr="001B5760">
        <w:t>s about the attitude of the girl, also</w:t>
      </w:r>
      <w:r w:rsidR="005115A7">
        <w:t>;</w:t>
      </w:r>
      <w:r w:rsidRPr="001B5760">
        <w:t xml:space="preserve"> it is not necessarily the clothes; you can have a luxury T-shirt and luxury jeans with some really great accessories. You can find really good clothes everywhere now. It</w:t>
      </w:r>
      <w:r w:rsidR="00472B46" w:rsidRPr="001B5760">
        <w:t>’</w:t>
      </w:r>
      <w:r w:rsidRPr="001B5760">
        <w:t>s the attitude.</w:t>
      </w:r>
      <w:r w:rsidR="005F345E" w:rsidRPr="001B5760">
        <w:rPr>
          <w:rStyle w:val="EndnoteReference"/>
        </w:rPr>
        <w:endnoteReference w:id="88"/>
      </w:r>
      <w:r w:rsidR="00084336" w:rsidRPr="001B5760">
        <w:t xml:space="preserve"> </w:t>
      </w:r>
    </w:p>
    <w:p w14:paraId="37BD0D62" w14:textId="77777777" w:rsidR="00747874" w:rsidRPr="001B5760" w:rsidRDefault="00747874">
      <w:pPr>
        <w:pStyle w:val="BodyTextMain"/>
      </w:pPr>
    </w:p>
    <w:p w14:paraId="6AB72E0F" w14:textId="121AD9D3" w:rsidR="00CC4CA7" w:rsidRPr="001B5760" w:rsidRDefault="009F4315">
      <w:pPr>
        <w:pStyle w:val="BodyTextMain"/>
      </w:pPr>
      <w:r w:rsidRPr="001B5760">
        <w:t>In 2014, the global luxury fashion industry was estimated to be a €224 billion</w:t>
      </w:r>
      <w:r w:rsidRPr="001B5760">
        <w:rPr>
          <w:iCs/>
        </w:rPr>
        <w:t xml:space="preserve"> market</w:t>
      </w:r>
      <w:r w:rsidR="007A404B">
        <w:rPr>
          <w:iCs/>
        </w:rPr>
        <w:t xml:space="preserve"> (</w:t>
      </w:r>
      <w:r w:rsidRPr="001B5760">
        <w:rPr>
          <w:iCs/>
        </w:rPr>
        <w:t>a 3</w:t>
      </w:r>
      <w:r w:rsidR="002A25A5" w:rsidRPr="001B5760">
        <w:rPr>
          <w:iCs/>
        </w:rPr>
        <w:t xml:space="preserve"> per cent</w:t>
      </w:r>
      <w:r w:rsidRPr="001B5760">
        <w:rPr>
          <w:iCs/>
        </w:rPr>
        <w:t xml:space="preserve"> rise from 2013</w:t>
      </w:r>
      <w:r w:rsidR="007A404B">
        <w:rPr>
          <w:iCs/>
        </w:rPr>
        <w:t>),</w:t>
      </w:r>
      <w:r w:rsidRPr="001B5760">
        <w:rPr>
          <w:iCs/>
        </w:rPr>
        <w:t xml:space="preserve"> and </w:t>
      </w:r>
      <w:r w:rsidRPr="001B5760">
        <w:t>it was predicted that this growth rate would continue through 2017</w:t>
      </w:r>
      <w:r w:rsidR="001432B4">
        <w:t>,</w:t>
      </w:r>
      <w:r w:rsidRPr="001B5760">
        <w:t xml:space="preserve"> with industry value estimates </w:t>
      </w:r>
      <w:r w:rsidR="001432B4">
        <w:t xml:space="preserve">of </w:t>
      </w:r>
      <w:r w:rsidR="00D16F2B" w:rsidRPr="001B5760">
        <w:t>up to</w:t>
      </w:r>
      <w:r w:rsidRPr="001B5760">
        <w:t xml:space="preserve"> </w:t>
      </w:r>
      <w:r w:rsidRPr="001B5760">
        <w:rPr>
          <w:iCs/>
        </w:rPr>
        <w:t>€</w:t>
      </w:r>
      <w:r w:rsidRPr="001B5760">
        <w:t>265 billion</w:t>
      </w:r>
      <w:r w:rsidR="002A25A5" w:rsidRPr="001B5760">
        <w:t>.</w:t>
      </w:r>
      <w:r w:rsidRPr="001B5760">
        <w:rPr>
          <w:rStyle w:val="EndnoteReference"/>
        </w:rPr>
        <w:endnoteReference w:id="89"/>
      </w:r>
      <w:r w:rsidRPr="001B5760">
        <w:t xml:space="preserve"> </w:t>
      </w:r>
      <w:r w:rsidR="00B57F36" w:rsidRPr="001B5760">
        <w:t xml:space="preserve">Yet the </w:t>
      </w:r>
      <w:r w:rsidR="00D16F2B" w:rsidRPr="001B5760">
        <w:t>luxury industry had</w:t>
      </w:r>
      <w:r w:rsidR="00B57F36" w:rsidRPr="001B5760">
        <w:t xml:space="preserve"> become increasingly competitive with more than </w:t>
      </w:r>
      <w:r w:rsidR="001432B4">
        <w:t>20</w:t>
      </w:r>
      <w:r w:rsidR="001432B4" w:rsidRPr="001B5760">
        <w:t xml:space="preserve"> </w:t>
      </w:r>
      <w:r w:rsidR="00B57F36" w:rsidRPr="001B5760">
        <w:t>brands competing against each other</w:t>
      </w:r>
      <w:r w:rsidR="002A25A5" w:rsidRPr="001B5760">
        <w:t xml:space="preserve"> (see Exhibit 6)</w:t>
      </w:r>
      <w:r w:rsidR="00D16F2B" w:rsidRPr="001B5760">
        <w:t>.</w:t>
      </w:r>
      <w:r w:rsidR="00B57F36" w:rsidRPr="001B5760">
        <w:t xml:space="preserve"> Despite the size of the industry</w:t>
      </w:r>
      <w:r w:rsidR="00D16F2B" w:rsidRPr="001B5760">
        <w:t>,</w:t>
      </w:r>
      <w:r w:rsidR="00B57F36" w:rsidRPr="001B5760">
        <w:t xml:space="preserve"> recent currency fluctuations and </w:t>
      </w:r>
      <w:r w:rsidR="001432B4">
        <w:t xml:space="preserve">the </w:t>
      </w:r>
      <w:r w:rsidR="00B57F36" w:rsidRPr="001B5760">
        <w:t xml:space="preserve">rise of company-owned retail and e-commerce </w:t>
      </w:r>
      <w:r w:rsidR="001432B4">
        <w:t>had caused</w:t>
      </w:r>
      <w:r w:rsidR="00B57F36" w:rsidRPr="001B5760">
        <w:t xml:space="preserve"> many high-end brands </w:t>
      </w:r>
      <w:r w:rsidR="001432B4">
        <w:t>to</w:t>
      </w:r>
      <w:r w:rsidR="001432B4" w:rsidRPr="001B5760">
        <w:t xml:space="preserve"> </w:t>
      </w:r>
      <w:r w:rsidR="00B57F36" w:rsidRPr="001B5760">
        <w:t>struggle financially</w:t>
      </w:r>
      <w:r w:rsidR="001432B4">
        <w:t>.</w:t>
      </w:r>
      <w:r w:rsidR="00B57F36" w:rsidRPr="001B5760">
        <w:t xml:space="preserve"> </w:t>
      </w:r>
      <w:r w:rsidR="001432B4">
        <w:t>Moreover, s</w:t>
      </w:r>
      <w:r w:rsidR="00B57F36" w:rsidRPr="001B5760">
        <w:t>hoppers</w:t>
      </w:r>
      <w:r w:rsidR="001432B4">
        <w:t xml:space="preserve"> were</w:t>
      </w:r>
      <w:r w:rsidR="00B57F36" w:rsidRPr="001B5760">
        <w:t xml:space="preserve"> </w:t>
      </w:r>
      <w:r w:rsidR="00D1452B">
        <w:t xml:space="preserve">moving away from luxury </w:t>
      </w:r>
      <w:r w:rsidR="00B57F36" w:rsidRPr="001B5760">
        <w:t>bra</w:t>
      </w:r>
      <w:r w:rsidR="00D1452B">
        <w:t>nd</w:t>
      </w:r>
      <w:r w:rsidR="00B57F36" w:rsidRPr="001432B4">
        <w:t>s</w:t>
      </w:r>
      <w:r w:rsidR="001432B4" w:rsidRPr="0078372B">
        <w:t>,</w:t>
      </w:r>
      <w:r w:rsidR="00B57F36" w:rsidRPr="001432B4">
        <w:t xml:space="preserve"> </w:t>
      </w:r>
      <w:r w:rsidR="00D1452B">
        <w:t>and</w:t>
      </w:r>
      <w:r w:rsidR="00B57F36" w:rsidRPr="001B5760">
        <w:t xml:space="preserve"> </w:t>
      </w:r>
      <w:r w:rsidR="00D1452B">
        <w:t>firms wondered how to</w:t>
      </w:r>
      <w:r w:rsidR="00B57F36" w:rsidRPr="001B5760">
        <w:t xml:space="preserve"> establish the right pricing model</w:t>
      </w:r>
      <w:r w:rsidR="002A25A5" w:rsidRPr="001B5760">
        <w:t xml:space="preserve"> (see Exhibits 7 to 10)</w:t>
      </w:r>
      <w:r w:rsidR="00B57F36" w:rsidRPr="001B5760">
        <w:t xml:space="preserve">. </w:t>
      </w:r>
      <w:r w:rsidR="00D1452B">
        <w:t>H</w:t>
      </w:r>
      <w:r w:rsidR="00D16F2B" w:rsidRPr="001B5760">
        <w:t>ad</w:t>
      </w:r>
      <w:r w:rsidR="00B57F36" w:rsidRPr="001B5760">
        <w:t xml:space="preserve"> the luxury fashion industry priced itself into extinction, or w</w:t>
      </w:r>
      <w:r w:rsidR="00D16F2B" w:rsidRPr="001B5760">
        <w:t xml:space="preserve">ould </w:t>
      </w:r>
      <w:r w:rsidR="00B57F36" w:rsidRPr="001B5760">
        <w:t>luxury fashion</w:t>
      </w:r>
      <w:r w:rsidR="001432B4">
        <w:t>s</w:t>
      </w:r>
      <w:r w:rsidR="00B57F36" w:rsidRPr="001B5760">
        <w:t xml:space="preserve"> continue appealing to the global market in the future?</w:t>
      </w:r>
      <w:r w:rsidR="00145F22" w:rsidRPr="001B5760">
        <w:t xml:space="preserve"> </w:t>
      </w:r>
    </w:p>
    <w:p w14:paraId="106EDDE7" w14:textId="77777777" w:rsidR="00145F22" w:rsidRPr="001B5760" w:rsidRDefault="00145F22">
      <w:pPr>
        <w:pStyle w:val="BodyTextMain"/>
      </w:pPr>
    </w:p>
    <w:p w14:paraId="0843A257" w14:textId="08F4A3F4" w:rsidR="0066109D" w:rsidRPr="001B5760" w:rsidRDefault="001432B4">
      <w:pPr>
        <w:pStyle w:val="BodyTextMain"/>
      </w:pPr>
      <w:proofErr w:type="spellStart"/>
      <w:r>
        <w:t>Vaccarello’s</w:t>
      </w:r>
      <w:proofErr w:type="spellEnd"/>
      <w:r w:rsidR="00084336" w:rsidRPr="001B5760">
        <w:t xml:space="preserve"> debut at the Paris Spring</w:t>
      </w:r>
      <w:r w:rsidR="00A74870">
        <w:t>/</w:t>
      </w:r>
      <w:r w:rsidR="00084336" w:rsidRPr="001B5760">
        <w:t>Summer 2017 Fashion Week</w:t>
      </w:r>
      <w:r>
        <w:t xml:space="preserve"> was a success</w:t>
      </w:r>
      <w:r w:rsidR="001D3457" w:rsidRPr="001B5760">
        <w:t>,</w:t>
      </w:r>
      <w:r>
        <w:t xml:space="preserve"> but</w:t>
      </w:r>
      <w:r w:rsidR="001D3457" w:rsidRPr="001B5760">
        <w:t xml:space="preserve"> </w:t>
      </w:r>
      <w:r w:rsidR="00084336" w:rsidRPr="001B5760">
        <w:t xml:space="preserve">some critics perceived </w:t>
      </w:r>
      <w:r w:rsidR="00084336" w:rsidRPr="001B5760">
        <w:rPr>
          <w:lang w:eastAsia="zh-CN"/>
        </w:rPr>
        <w:t>the collection as cautious</w:t>
      </w:r>
      <w:r w:rsidR="0076329F" w:rsidRPr="001B5760">
        <w:rPr>
          <w:lang w:eastAsia="zh-CN"/>
        </w:rPr>
        <w:t xml:space="preserve"> </w:t>
      </w:r>
      <w:r w:rsidR="00747874" w:rsidRPr="001B5760">
        <w:rPr>
          <w:lang w:eastAsia="zh-CN"/>
        </w:rPr>
        <w:t>and</w:t>
      </w:r>
      <w:r w:rsidR="0076329F" w:rsidRPr="001B5760">
        <w:rPr>
          <w:lang w:eastAsia="zh-CN"/>
        </w:rPr>
        <w:t xml:space="preserve"> closely resembl</w:t>
      </w:r>
      <w:r w:rsidR="00B643B5" w:rsidRPr="001B5760">
        <w:rPr>
          <w:lang w:eastAsia="zh-CN"/>
        </w:rPr>
        <w:t>ing</w:t>
      </w:r>
      <w:r w:rsidR="0076329F" w:rsidRPr="001B5760">
        <w:rPr>
          <w:lang w:eastAsia="zh-CN"/>
        </w:rPr>
        <w:t xml:space="preserve"> </w:t>
      </w:r>
      <w:r w:rsidR="00B65B8E">
        <w:rPr>
          <w:lang w:eastAsia="zh-CN"/>
        </w:rPr>
        <w:t xml:space="preserve">Saint </w:t>
      </w:r>
      <w:r w:rsidR="0076329F" w:rsidRPr="001B5760">
        <w:rPr>
          <w:lang w:eastAsia="zh-CN"/>
        </w:rPr>
        <w:t>Laurent</w:t>
      </w:r>
      <w:r w:rsidR="00472B46" w:rsidRPr="001B5760">
        <w:rPr>
          <w:lang w:eastAsia="zh-CN"/>
        </w:rPr>
        <w:t>’</w:t>
      </w:r>
      <w:r w:rsidR="0076329F" w:rsidRPr="001B5760">
        <w:rPr>
          <w:lang w:eastAsia="zh-CN"/>
        </w:rPr>
        <w:t>s past works</w:t>
      </w:r>
      <w:r w:rsidR="00084336" w:rsidRPr="001B5760">
        <w:rPr>
          <w:lang w:eastAsia="zh-CN"/>
        </w:rPr>
        <w:t>.</w:t>
      </w:r>
      <w:r w:rsidR="00084336" w:rsidRPr="001B5760">
        <w:rPr>
          <w:rStyle w:val="EndnoteReference"/>
          <w:lang w:eastAsia="zh-CN"/>
        </w:rPr>
        <w:endnoteReference w:id="90"/>
      </w:r>
      <w:r w:rsidR="00084336" w:rsidRPr="001B5760">
        <w:rPr>
          <w:lang w:eastAsia="zh-CN"/>
        </w:rPr>
        <w:t xml:space="preserve"> </w:t>
      </w:r>
      <w:r>
        <w:t>By p</w:t>
      </w:r>
      <w:r w:rsidR="006B064E" w:rsidRPr="001B5760">
        <w:t xml:space="preserve">romising that each new collection would emphasize different elements of </w:t>
      </w:r>
      <w:r w:rsidR="00B65B8E">
        <w:t xml:space="preserve">Saint </w:t>
      </w:r>
      <w:r w:rsidR="006B064E" w:rsidRPr="001B5760">
        <w:t>Laurent</w:t>
      </w:r>
      <w:r w:rsidR="00472B46" w:rsidRPr="001B5760">
        <w:t>’</w:t>
      </w:r>
      <w:r w:rsidR="006B064E" w:rsidRPr="001B5760">
        <w:t xml:space="preserve">s past designs, </w:t>
      </w:r>
      <w:r>
        <w:t xml:space="preserve">it seemed </w:t>
      </w:r>
      <w:proofErr w:type="spellStart"/>
      <w:r w:rsidR="006B064E" w:rsidRPr="001B5760">
        <w:t>Vaccarello</w:t>
      </w:r>
      <w:proofErr w:type="spellEnd"/>
      <w:r w:rsidR="006B064E" w:rsidRPr="001B5760">
        <w:t xml:space="preserve"> </w:t>
      </w:r>
      <w:r>
        <w:t xml:space="preserve">was </w:t>
      </w:r>
      <w:r w:rsidR="00131D3F" w:rsidRPr="001B5760">
        <w:t>follow</w:t>
      </w:r>
      <w:r>
        <w:t>ing</w:t>
      </w:r>
      <w:r w:rsidR="006B064E" w:rsidRPr="001B5760">
        <w:t xml:space="preserve"> the shadow of</w:t>
      </w:r>
      <w:r w:rsidR="0076329F" w:rsidRPr="001B5760">
        <w:t xml:space="preserve"> </w:t>
      </w:r>
      <w:r w:rsidR="006B064E" w:rsidRPr="001B5760">
        <w:t xml:space="preserve">his predecessors </w:t>
      </w:r>
      <w:r w:rsidR="00A74870">
        <w:t>at</w:t>
      </w:r>
      <w:r w:rsidR="006B064E" w:rsidRPr="001B5760">
        <w:t xml:space="preserve"> </w:t>
      </w:r>
      <w:r w:rsidR="00A74870">
        <w:t>YSL</w:t>
      </w:r>
      <w:r w:rsidR="0076329F" w:rsidRPr="001B5760">
        <w:t>,</w:t>
      </w:r>
      <w:r w:rsidR="006B064E" w:rsidRPr="001B5760">
        <w:t xml:space="preserve"> rather than carving his own path.</w:t>
      </w:r>
      <w:r>
        <w:t xml:space="preserve"> C</w:t>
      </w:r>
      <w:r w:rsidR="000D4356" w:rsidRPr="001B5760">
        <w:t>ould</w:t>
      </w:r>
      <w:r w:rsidR="00B65B8E">
        <w:t xml:space="preserve"> Saint</w:t>
      </w:r>
      <w:r w:rsidR="007C1D54" w:rsidRPr="001B5760">
        <w:t xml:space="preserve"> Laurent</w:t>
      </w:r>
      <w:r w:rsidR="00472B46" w:rsidRPr="001B5760">
        <w:t>’</w:t>
      </w:r>
      <w:r w:rsidR="007C1D54" w:rsidRPr="001B5760">
        <w:t xml:space="preserve">s legacy continue </w:t>
      </w:r>
      <w:r w:rsidR="0003324C" w:rsidRPr="001B5760">
        <w:t>living</w:t>
      </w:r>
      <w:r w:rsidR="007C1D54" w:rsidRPr="001B5760">
        <w:t xml:space="preserve"> on through </w:t>
      </w:r>
      <w:proofErr w:type="spellStart"/>
      <w:r w:rsidR="007C1D54" w:rsidRPr="001B5760">
        <w:t>Vaccarello</w:t>
      </w:r>
      <w:proofErr w:type="spellEnd"/>
      <w:r w:rsidR="007C1D54" w:rsidRPr="001B5760">
        <w:t xml:space="preserve">, or </w:t>
      </w:r>
      <w:r w:rsidR="000D4356" w:rsidRPr="001B5760">
        <w:t>we</w:t>
      </w:r>
      <w:r w:rsidR="00EE26C6" w:rsidRPr="001B5760">
        <w:t>re</w:t>
      </w:r>
      <w:r w:rsidR="007C1D54" w:rsidRPr="001B5760">
        <w:t xml:space="preserve"> </w:t>
      </w:r>
      <w:r w:rsidR="000D4356" w:rsidRPr="001B5760">
        <w:t xml:space="preserve">new </w:t>
      </w:r>
      <w:r w:rsidR="00D20153">
        <w:t>strategies required</w:t>
      </w:r>
      <w:r w:rsidR="00EE26C6" w:rsidRPr="001B5760">
        <w:t xml:space="preserve"> for</w:t>
      </w:r>
      <w:r w:rsidR="007C1D54" w:rsidRPr="001B5760">
        <w:t xml:space="preserve"> the YSL brand </w:t>
      </w:r>
      <w:r w:rsidR="0076329F" w:rsidRPr="001B5760">
        <w:t xml:space="preserve">to </w:t>
      </w:r>
      <w:r w:rsidR="007C1D54" w:rsidRPr="001B5760">
        <w:t xml:space="preserve">continue </w:t>
      </w:r>
      <w:r w:rsidR="00D20153">
        <w:t>“</w:t>
      </w:r>
      <w:r w:rsidR="007C1D54" w:rsidRPr="001B5760">
        <w:t xml:space="preserve">walking down </w:t>
      </w:r>
      <w:r w:rsidR="00D20153">
        <w:t>the</w:t>
      </w:r>
      <w:r w:rsidR="00EE26C6" w:rsidRPr="001B5760">
        <w:t xml:space="preserve"> </w:t>
      </w:r>
      <w:r w:rsidR="007C1D54" w:rsidRPr="001B5760">
        <w:t>runway</w:t>
      </w:r>
      <w:r w:rsidR="00D20153">
        <w:t>” in this competitive industry</w:t>
      </w:r>
      <w:r w:rsidR="007C1D54" w:rsidRPr="001B5760">
        <w:t xml:space="preserve">? </w:t>
      </w:r>
    </w:p>
    <w:p w14:paraId="25B798A8" w14:textId="77777777" w:rsidR="008A5BB1" w:rsidRPr="001B5760" w:rsidRDefault="008A5BB1" w:rsidP="00356EF7">
      <w:pPr>
        <w:pStyle w:val="BodyTextMain"/>
      </w:pPr>
    </w:p>
    <w:p w14:paraId="0F682F97" w14:textId="77777777" w:rsidR="00D15C74" w:rsidRPr="001B5760" w:rsidRDefault="00D15C74" w:rsidP="00356EF7">
      <w:pPr>
        <w:pStyle w:val="BodyTextMain"/>
      </w:pPr>
      <w:r w:rsidRPr="001B5760">
        <w:br w:type="page"/>
      </w:r>
    </w:p>
    <w:p w14:paraId="2AF65D11" w14:textId="2EB5263A" w:rsidR="00ED6A70" w:rsidRPr="001B5760" w:rsidRDefault="00ED6A70" w:rsidP="00357C54">
      <w:pPr>
        <w:pStyle w:val="ExhibitHeading"/>
        <w:outlineLvl w:val="0"/>
      </w:pPr>
      <w:r w:rsidRPr="001B5760">
        <w:lastRenderedPageBreak/>
        <w:t xml:space="preserve">EXHIBIT 1: </w:t>
      </w:r>
      <w:r w:rsidR="001F24C4">
        <w:t xml:space="preserve">YSL’s </w:t>
      </w:r>
      <w:r w:rsidRPr="001B5760">
        <w:rPr>
          <w:lang w:eastAsia="zh-CN"/>
        </w:rPr>
        <w:t>KEY FIGURES IN 2015</w:t>
      </w:r>
    </w:p>
    <w:p w14:paraId="485D2B45" w14:textId="77777777" w:rsidR="00ED6A70" w:rsidRPr="001B5760" w:rsidRDefault="00ED6A70" w:rsidP="00ED6A70">
      <w:pPr>
        <w:rPr>
          <w:sz w:val="22"/>
          <w:szCs w:val="22"/>
        </w:rPr>
      </w:pPr>
    </w:p>
    <w:tbl>
      <w:tblPr>
        <w:tblW w:w="5540" w:type="dxa"/>
        <w:jc w:val="center"/>
        <w:tblLook w:val="04A0" w:firstRow="1" w:lastRow="0" w:firstColumn="1" w:lastColumn="0" w:noHBand="0" w:noVBand="1"/>
      </w:tblPr>
      <w:tblGrid>
        <w:gridCol w:w="4693"/>
        <w:gridCol w:w="847"/>
      </w:tblGrid>
      <w:tr w:rsidR="00ED6A70" w:rsidRPr="001B5760" w14:paraId="581E9C8A" w14:textId="77777777" w:rsidTr="00CE39D1">
        <w:trPr>
          <w:trHeight w:val="260"/>
          <w:jc w:val="center"/>
        </w:trPr>
        <w:tc>
          <w:tcPr>
            <w:tcW w:w="4693" w:type="dxa"/>
            <w:tcBorders>
              <w:top w:val="single" w:sz="4" w:space="0" w:color="auto"/>
              <w:left w:val="nil"/>
              <w:bottom w:val="nil"/>
              <w:right w:val="nil"/>
            </w:tcBorders>
            <w:shd w:val="clear" w:color="auto" w:fill="auto"/>
            <w:vAlign w:val="bottom"/>
            <w:hideMark/>
          </w:tcPr>
          <w:p w14:paraId="3951C498" w14:textId="0FCA24EF" w:rsidR="00ED6A70" w:rsidRPr="001B5760" w:rsidRDefault="00ED6A70" w:rsidP="00D61B1B">
            <w:pPr>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Revenue (</w:t>
            </w:r>
            <w:r w:rsidR="0076595B">
              <w:rPr>
                <w:rFonts w:ascii="Arial" w:eastAsia="SimSun" w:hAnsi="Arial" w:cs="Arial"/>
                <w:b/>
                <w:color w:val="000000"/>
                <w:kern w:val="0"/>
                <w:sz w:val="22"/>
                <w:szCs w:val="22"/>
                <w:lang w:eastAsia="zh-CN"/>
              </w:rPr>
              <w:t>i</w:t>
            </w:r>
            <w:r w:rsidRPr="001B5760">
              <w:rPr>
                <w:rFonts w:ascii="Arial" w:eastAsia="SimSun" w:hAnsi="Arial" w:cs="Arial"/>
                <w:b/>
                <w:color w:val="000000"/>
                <w:kern w:val="0"/>
                <w:sz w:val="22"/>
                <w:szCs w:val="22"/>
                <w:lang w:eastAsia="zh-CN"/>
              </w:rPr>
              <w:t>n € millions)</w:t>
            </w:r>
          </w:p>
        </w:tc>
        <w:tc>
          <w:tcPr>
            <w:tcW w:w="847" w:type="dxa"/>
            <w:tcBorders>
              <w:top w:val="single" w:sz="4" w:space="0" w:color="auto"/>
              <w:left w:val="nil"/>
              <w:bottom w:val="nil"/>
              <w:right w:val="nil"/>
            </w:tcBorders>
            <w:shd w:val="clear" w:color="auto" w:fill="auto"/>
            <w:vAlign w:val="bottom"/>
            <w:hideMark/>
          </w:tcPr>
          <w:p w14:paraId="10EFBC7C" w14:textId="77777777" w:rsidR="00ED6A70" w:rsidRPr="001B5760" w:rsidRDefault="00ED6A70" w:rsidP="00D61B1B">
            <w:pPr>
              <w:jc w:val="right"/>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974</w:t>
            </w:r>
          </w:p>
        </w:tc>
      </w:tr>
      <w:tr w:rsidR="00ED6A70" w:rsidRPr="001B5760" w14:paraId="062657EB" w14:textId="77777777" w:rsidTr="00CE39D1">
        <w:trPr>
          <w:trHeight w:val="260"/>
          <w:jc w:val="center"/>
        </w:trPr>
        <w:tc>
          <w:tcPr>
            <w:tcW w:w="4693" w:type="dxa"/>
            <w:tcBorders>
              <w:top w:val="nil"/>
              <w:left w:val="nil"/>
              <w:bottom w:val="nil"/>
              <w:right w:val="nil"/>
            </w:tcBorders>
            <w:shd w:val="clear" w:color="auto" w:fill="auto"/>
            <w:vAlign w:val="bottom"/>
            <w:hideMark/>
          </w:tcPr>
          <w:p w14:paraId="29683C84"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Average Number of Employees</w:t>
            </w:r>
          </w:p>
        </w:tc>
        <w:tc>
          <w:tcPr>
            <w:tcW w:w="847" w:type="dxa"/>
            <w:tcBorders>
              <w:top w:val="nil"/>
              <w:left w:val="nil"/>
              <w:bottom w:val="nil"/>
              <w:right w:val="nil"/>
            </w:tcBorders>
            <w:shd w:val="clear" w:color="auto" w:fill="auto"/>
            <w:vAlign w:val="bottom"/>
            <w:hideMark/>
          </w:tcPr>
          <w:p w14:paraId="1EE65A63"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1,943</w:t>
            </w:r>
          </w:p>
        </w:tc>
      </w:tr>
      <w:tr w:rsidR="00ED6A70" w:rsidRPr="001B5760" w14:paraId="02C6B9DD" w14:textId="77777777" w:rsidTr="00CE39D1">
        <w:trPr>
          <w:trHeight w:val="260"/>
          <w:jc w:val="center"/>
        </w:trPr>
        <w:tc>
          <w:tcPr>
            <w:tcW w:w="4693" w:type="dxa"/>
            <w:tcBorders>
              <w:top w:val="nil"/>
              <w:left w:val="nil"/>
              <w:bottom w:val="nil"/>
              <w:right w:val="nil"/>
            </w:tcBorders>
            <w:shd w:val="clear" w:color="auto" w:fill="auto"/>
            <w:vAlign w:val="bottom"/>
            <w:hideMark/>
          </w:tcPr>
          <w:p w14:paraId="08077E95" w14:textId="58F792E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Number of Directly</w:t>
            </w:r>
            <w:r w:rsidR="0076595B">
              <w:rPr>
                <w:rFonts w:ascii="Arial" w:eastAsia="SimSun" w:hAnsi="Arial" w:cs="Arial"/>
                <w:color w:val="000000"/>
                <w:kern w:val="0"/>
                <w:sz w:val="22"/>
                <w:szCs w:val="22"/>
                <w:lang w:eastAsia="zh-CN"/>
              </w:rPr>
              <w:t xml:space="preserve"> </w:t>
            </w:r>
            <w:r w:rsidRPr="001B5760">
              <w:rPr>
                <w:rFonts w:ascii="Arial" w:eastAsia="SimSun" w:hAnsi="Arial" w:cs="Arial"/>
                <w:color w:val="000000"/>
                <w:kern w:val="0"/>
                <w:sz w:val="22"/>
                <w:szCs w:val="22"/>
                <w:lang w:eastAsia="zh-CN"/>
              </w:rPr>
              <w:t>Operated Stores</w:t>
            </w:r>
          </w:p>
        </w:tc>
        <w:tc>
          <w:tcPr>
            <w:tcW w:w="847" w:type="dxa"/>
            <w:tcBorders>
              <w:top w:val="nil"/>
              <w:left w:val="nil"/>
              <w:bottom w:val="nil"/>
              <w:right w:val="nil"/>
            </w:tcBorders>
            <w:shd w:val="clear" w:color="auto" w:fill="auto"/>
            <w:vAlign w:val="bottom"/>
            <w:hideMark/>
          </w:tcPr>
          <w:p w14:paraId="228FD40D"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142</w:t>
            </w:r>
          </w:p>
        </w:tc>
      </w:tr>
      <w:tr w:rsidR="00ED6A70" w:rsidRPr="001B5760" w14:paraId="765CF7F9" w14:textId="77777777" w:rsidTr="00CE39D1">
        <w:trPr>
          <w:trHeight w:val="260"/>
          <w:jc w:val="center"/>
        </w:trPr>
        <w:tc>
          <w:tcPr>
            <w:tcW w:w="4693" w:type="dxa"/>
            <w:tcBorders>
              <w:top w:val="nil"/>
              <w:left w:val="nil"/>
              <w:bottom w:val="nil"/>
              <w:right w:val="nil"/>
            </w:tcBorders>
            <w:shd w:val="clear" w:color="auto" w:fill="auto"/>
            <w:vAlign w:val="bottom"/>
            <w:hideMark/>
          </w:tcPr>
          <w:p w14:paraId="1CD4FD2C" w14:textId="2CCB9CF5" w:rsidR="00ED6A70" w:rsidRPr="001B5760" w:rsidRDefault="00ED6A70" w:rsidP="0076595B">
            <w:pPr>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Breakdown by Product Category (</w:t>
            </w:r>
            <w:r w:rsidR="0076595B">
              <w:rPr>
                <w:rFonts w:ascii="Arial" w:eastAsia="SimSun" w:hAnsi="Arial" w:cs="Arial"/>
                <w:b/>
                <w:color w:val="000000"/>
                <w:kern w:val="0"/>
                <w:sz w:val="22"/>
                <w:szCs w:val="22"/>
                <w:lang w:eastAsia="zh-CN"/>
              </w:rPr>
              <w:t>%</w:t>
            </w:r>
            <w:r w:rsidRPr="001B5760">
              <w:rPr>
                <w:rFonts w:ascii="Arial" w:eastAsia="SimSun" w:hAnsi="Arial" w:cs="Arial"/>
                <w:b/>
                <w:color w:val="000000"/>
                <w:kern w:val="0"/>
                <w:sz w:val="22"/>
                <w:szCs w:val="22"/>
                <w:lang w:eastAsia="zh-CN"/>
              </w:rPr>
              <w:t>)</w:t>
            </w:r>
          </w:p>
        </w:tc>
        <w:tc>
          <w:tcPr>
            <w:tcW w:w="847" w:type="dxa"/>
            <w:tcBorders>
              <w:top w:val="nil"/>
              <w:left w:val="nil"/>
              <w:bottom w:val="nil"/>
              <w:right w:val="nil"/>
            </w:tcBorders>
            <w:shd w:val="clear" w:color="auto" w:fill="auto"/>
            <w:vAlign w:val="bottom"/>
            <w:hideMark/>
          </w:tcPr>
          <w:p w14:paraId="32014912" w14:textId="77777777" w:rsidR="00ED6A70" w:rsidRPr="001B5760" w:rsidRDefault="00ED6A70" w:rsidP="00D61B1B">
            <w:pPr>
              <w:rPr>
                <w:rFonts w:ascii="Arial" w:eastAsia="SimSun" w:hAnsi="Arial" w:cs="Arial"/>
                <w:b/>
                <w:color w:val="000000"/>
                <w:kern w:val="0"/>
                <w:sz w:val="22"/>
                <w:szCs w:val="22"/>
                <w:lang w:eastAsia="zh-CN"/>
              </w:rPr>
            </w:pPr>
          </w:p>
        </w:tc>
      </w:tr>
      <w:tr w:rsidR="00ED6A70" w:rsidRPr="001B5760" w14:paraId="5C7A05A0" w14:textId="77777777" w:rsidTr="00CE39D1">
        <w:trPr>
          <w:trHeight w:val="260"/>
          <w:jc w:val="center"/>
        </w:trPr>
        <w:tc>
          <w:tcPr>
            <w:tcW w:w="4693" w:type="dxa"/>
            <w:tcBorders>
              <w:top w:val="nil"/>
              <w:left w:val="nil"/>
              <w:bottom w:val="nil"/>
              <w:right w:val="nil"/>
            </w:tcBorders>
            <w:shd w:val="clear" w:color="auto" w:fill="auto"/>
            <w:vAlign w:val="bottom"/>
            <w:hideMark/>
          </w:tcPr>
          <w:p w14:paraId="67A213C0"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Leather Goods</w:t>
            </w:r>
          </w:p>
        </w:tc>
        <w:tc>
          <w:tcPr>
            <w:tcW w:w="847" w:type="dxa"/>
            <w:tcBorders>
              <w:top w:val="nil"/>
              <w:left w:val="nil"/>
              <w:bottom w:val="nil"/>
              <w:right w:val="nil"/>
            </w:tcBorders>
            <w:shd w:val="clear" w:color="auto" w:fill="auto"/>
            <w:vAlign w:val="bottom"/>
            <w:hideMark/>
          </w:tcPr>
          <w:p w14:paraId="4FDC962C"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49</w:t>
            </w:r>
          </w:p>
        </w:tc>
      </w:tr>
      <w:tr w:rsidR="00ED6A70" w:rsidRPr="001B5760" w14:paraId="3693EDBA" w14:textId="77777777" w:rsidTr="00CE39D1">
        <w:trPr>
          <w:trHeight w:val="260"/>
          <w:jc w:val="center"/>
        </w:trPr>
        <w:tc>
          <w:tcPr>
            <w:tcW w:w="4693" w:type="dxa"/>
            <w:tcBorders>
              <w:top w:val="nil"/>
              <w:left w:val="nil"/>
              <w:bottom w:val="nil"/>
              <w:right w:val="nil"/>
            </w:tcBorders>
            <w:shd w:val="clear" w:color="auto" w:fill="auto"/>
            <w:vAlign w:val="bottom"/>
            <w:hideMark/>
          </w:tcPr>
          <w:p w14:paraId="5036BDB1"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Shoes</w:t>
            </w:r>
          </w:p>
        </w:tc>
        <w:tc>
          <w:tcPr>
            <w:tcW w:w="847" w:type="dxa"/>
            <w:tcBorders>
              <w:top w:val="nil"/>
              <w:left w:val="nil"/>
              <w:bottom w:val="nil"/>
              <w:right w:val="nil"/>
            </w:tcBorders>
            <w:shd w:val="clear" w:color="auto" w:fill="auto"/>
            <w:vAlign w:val="bottom"/>
            <w:hideMark/>
          </w:tcPr>
          <w:p w14:paraId="5F17FEB9"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17</w:t>
            </w:r>
          </w:p>
        </w:tc>
      </w:tr>
      <w:tr w:rsidR="00ED6A70" w:rsidRPr="001B5760" w14:paraId="6BCC50CC" w14:textId="77777777" w:rsidTr="00CE39D1">
        <w:trPr>
          <w:trHeight w:val="260"/>
          <w:jc w:val="center"/>
        </w:trPr>
        <w:tc>
          <w:tcPr>
            <w:tcW w:w="4693" w:type="dxa"/>
            <w:tcBorders>
              <w:top w:val="nil"/>
              <w:left w:val="nil"/>
              <w:bottom w:val="nil"/>
              <w:right w:val="nil"/>
            </w:tcBorders>
            <w:shd w:val="clear" w:color="auto" w:fill="auto"/>
            <w:vAlign w:val="bottom"/>
            <w:hideMark/>
          </w:tcPr>
          <w:p w14:paraId="6413CF56" w14:textId="1A513235"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Ready-to-</w:t>
            </w:r>
            <w:r w:rsidR="0076595B">
              <w:rPr>
                <w:rFonts w:ascii="Arial" w:eastAsia="SimSun" w:hAnsi="Arial" w:cs="Arial"/>
                <w:color w:val="000000"/>
                <w:kern w:val="0"/>
                <w:sz w:val="22"/>
                <w:szCs w:val="22"/>
                <w:lang w:eastAsia="zh-CN"/>
              </w:rPr>
              <w:t>W</w:t>
            </w:r>
            <w:r w:rsidRPr="001B5760">
              <w:rPr>
                <w:rFonts w:ascii="Arial" w:eastAsia="SimSun" w:hAnsi="Arial" w:cs="Arial"/>
                <w:color w:val="000000"/>
                <w:kern w:val="0"/>
                <w:sz w:val="22"/>
                <w:szCs w:val="22"/>
                <w:lang w:eastAsia="zh-CN"/>
              </w:rPr>
              <w:t>ear</w:t>
            </w:r>
          </w:p>
        </w:tc>
        <w:tc>
          <w:tcPr>
            <w:tcW w:w="847" w:type="dxa"/>
            <w:tcBorders>
              <w:top w:val="nil"/>
              <w:left w:val="nil"/>
              <w:bottom w:val="nil"/>
              <w:right w:val="nil"/>
            </w:tcBorders>
            <w:shd w:val="clear" w:color="auto" w:fill="auto"/>
            <w:vAlign w:val="bottom"/>
            <w:hideMark/>
          </w:tcPr>
          <w:p w14:paraId="6705FD1E"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23</w:t>
            </w:r>
          </w:p>
        </w:tc>
      </w:tr>
      <w:tr w:rsidR="00ED6A70" w:rsidRPr="001B5760" w14:paraId="263B04EC" w14:textId="77777777" w:rsidTr="00CE39D1">
        <w:trPr>
          <w:trHeight w:val="260"/>
          <w:jc w:val="center"/>
        </w:trPr>
        <w:tc>
          <w:tcPr>
            <w:tcW w:w="4693" w:type="dxa"/>
            <w:tcBorders>
              <w:top w:val="nil"/>
              <w:left w:val="nil"/>
              <w:bottom w:val="nil"/>
              <w:right w:val="nil"/>
            </w:tcBorders>
            <w:shd w:val="clear" w:color="auto" w:fill="auto"/>
            <w:vAlign w:val="bottom"/>
            <w:hideMark/>
          </w:tcPr>
          <w:p w14:paraId="18448757"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Others</w:t>
            </w:r>
          </w:p>
        </w:tc>
        <w:tc>
          <w:tcPr>
            <w:tcW w:w="847" w:type="dxa"/>
            <w:tcBorders>
              <w:top w:val="nil"/>
              <w:left w:val="nil"/>
              <w:bottom w:val="nil"/>
              <w:right w:val="nil"/>
            </w:tcBorders>
            <w:shd w:val="clear" w:color="auto" w:fill="auto"/>
            <w:vAlign w:val="bottom"/>
            <w:hideMark/>
          </w:tcPr>
          <w:p w14:paraId="1808D75F"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11</w:t>
            </w:r>
          </w:p>
        </w:tc>
      </w:tr>
      <w:tr w:rsidR="00ED6A70" w:rsidRPr="001B5760" w14:paraId="154BBA1F" w14:textId="77777777" w:rsidTr="00CE39D1">
        <w:trPr>
          <w:trHeight w:val="260"/>
          <w:jc w:val="center"/>
        </w:trPr>
        <w:tc>
          <w:tcPr>
            <w:tcW w:w="4693" w:type="dxa"/>
            <w:tcBorders>
              <w:top w:val="nil"/>
              <w:left w:val="nil"/>
              <w:bottom w:val="nil"/>
              <w:right w:val="nil"/>
            </w:tcBorders>
            <w:shd w:val="clear" w:color="auto" w:fill="auto"/>
            <w:vAlign w:val="bottom"/>
            <w:hideMark/>
          </w:tcPr>
          <w:p w14:paraId="4138880F" w14:textId="37FFCE81" w:rsidR="00ED6A70" w:rsidRPr="001B5760" w:rsidRDefault="00ED6A70" w:rsidP="0076595B">
            <w:pPr>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Breakdown by Region (</w:t>
            </w:r>
            <w:r w:rsidR="0076595B">
              <w:rPr>
                <w:rFonts w:ascii="Arial" w:eastAsia="SimSun" w:hAnsi="Arial" w:cs="Arial"/>
                <w:b/>
                <w:color w:val="000000"/>
                <w:kern w:val="0"/>
                <w:sz w:val="22"/>
                <w:szCs w:val="22"/>
                <w:lang w:eastAsia="zh-CN"/>
              </w:rPr>
              <w:t>%</w:t>
            </w:r>
            <w:r w:rsidRPr="001B5760">
              <w:rPr>
                <w:rFonts w:ascii="Arial" w:eastAsia="SimSun" w:hAnsi="Arial" w:cs="Arial"/>
                <w:b/>
                <w:color w:val="000000"/>
                <w:kern w:val="0"/>
                <w:sz w:val="22"/>
                <w:szCs w:val="22"/>
                <w:lang w:eastAsia="zh-CN"/>
              </w:rPr>
              <w:t>)</w:t>
            </w:r>
          </w:p>
        </w:tc>
        <w:tc>
          <w:tcPr>
            <w:tcW w:w="847" w:type="dxa"/>
            <w:tcBorders>
              <w:top w:val="nil"/>
              <w:left w:val="nil"/>
              <w:bottom w:val="nil"/>
              <w:right w:val="nil"/>
            </w:tcBorders>
            <w:shd w:val="clear" w:color="auto" w:fill="auto"/>
            <w:vAlign w:val="bottom"/>
            <w:hideMark/>
          </w:tcPr>
          <w:p w14:paraId="30C87560" w14:textId="77777777" w:rsidR="00ED6A70" w:rsidRPr="001B5760" w:rsidRDefault="00ED6A70" w:rsidP="00D61B1B">
            <w:pPr>
              <w:rPr>
                <w:rFonts w:ascii="Arial" w:eastAsia="SimSun" w:hAnsi="Arial" w:cs="Arial"/>
                <w:b/>
                <w:color w:val="000000"/>
                <w:kern w:val="0"/>
                <w:sz w:val="22"/>
                <w:szCs w:val="22"/>
                <w:lang w:eastAsia="zh-CN"/>
              </w:rPr>
            </w:pPr>
          </w:p>
        </w:tc>
      </w:tr>
      <w:tr w:rsidR="00ED6A70" w:rsidRPr="001B5760" w14:paraId="4064DE71" w14:textId="77777777" w:rsidTr="00CE39D1">
        <w:trPr>
          <w:trHeight w:val="260"/>
          <w:jc w:val="center"/>
        </w:trPr>
        <w:tc>
          <w:tcPr>
            <w:tcW w:w="4693" w:type="dxa"/>
            <w:tcBorders>
              <w:top w:val="nil"/>
              <w:left w:val="nil"/>
              <w:bottom w:val="nil"/>
              <w:right w:val="nil"/>
            </w:tcBorders>
            <w:shd w:val="clear" w:color="auto" w:fill="auto"/>
            <w:vAlign w:val="bottom"/>
            <w:hideMark/>
          </w:tcPr>
          <w:p w14:paraId="152FED5D"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Western Europe</w:t>
            </w:r>
          </w:p>
        </w:tc>
        <w:tc>
          <w:tcPr>
            <w:tcW w:w="847" w:type="dxa"/>
            <w:tcBorders>
              <w:top w:val="nil"/>
              <w:left w:val="nil"/>
              <w:bottom w:val="nil"/>
              <w:right w:val="nil"/>
            </w:tcBorders>
            <w:shd w:val="clear" w:color="auto" w:fill="auto"/>
            <w:vAlign w:val="bottom"/>
            <w:hideMark/>
          </w:tcPr>
          <w:p w14:paraId="6AB1C1CE"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39</w:t>
            </w:r>
          </w:p>
        </w:tc>
      </w:tr>
      <w:tr w:rsidR="00ED6A70" w:rsidRPr="001B5760" w14:paraId="1A8C37DB" w14:textId="77777777" w:rsidTr="00CE39D1">
        <w:trPr>
          <w:trHeight w:val="260"/>
          <w:jc w:val="center"/>
        </w:trPr>
        <w:tc>
          <w:tcPr>
            <w:tcW w:w="4693" w:type="dxa"/>
            <w:tcBorders>
              <w:top w:val="nil"/>
              <w:left w:val="nil"/>
              <w:bottom w:val="nil"/>
              <w:right w:val="nil"/>
            </w:tcBorders>
            <w:shd w:val="clear" w:color="auto" w:fill="auto"/>
            <w:vAlign w:val="bottom"/>
            <w:hideMark/>
          </w:tcPr>
          <w:p w14:paraId="78B67063"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North America</w:t>
            </w:r>
          </w:p>
        </w:tc>
        <w:tc>
          <w:tcPr>
            <w:tcW w:w="847" w:type="dxa"/>
            <w:tcBorders>
              <w:top w:val="nil"/>
              <w:left w:val="nil"/>
              <w:bottom w:val="nil"/>
              <w:right w:val="nil"/>
            </w:tcBorders>
            <w:shd w:val="clear" w:color="auto" w:fill="auto"/>
            <w:vAlign w:val="bottom"/>
            <w:hideMark/>
          </w:tcPr>
          <w:p w14:paraId="0A026FEB"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24</w:t>
            </w:r>
          </w:p>
        </w:tc>
      </w:tr>
      <w:tr w:rsidR="00ED6A70" w:rsidRPr="001B5760" w14:paraId="093DE89F" w14:textId="77777777" w:rsidTr="00CE39D1">
        <w:trPr>
          <w:trHeight w:val="260"/>
          <w:jc w:val="center"/>
        </w:trPr>
        <w:tc>
          <w:tcPr>
            <w:tcW w:w="4693" w:type="dxa"/>
            <w:tcBorders>
              <w:top w:val="nil"/>
              <w:left w:val="nil"/>
              <w:bottom w:val="nil"/>
              <w:right w:val="nil"/>
            </w:tcBorders>
            <w:shd w:val="clear" w:color="auto" w:fill="auto"/>
            <w:vAlign w:val="bottom"/>
            <w:hideMark/>
          </w:tcPr>
          <w:p w14:paraId="104789DA"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Asia Pacific</w:t>
            </w:r>
          </w:p>
        </w:tc>
        <w:tc>
          <w:tcPr>
            <w:tcW w:w="847" w:type="dxa"/>
            <w:tcBorders>
              <w:top w:val="nil"/>
              <w:left w:val="nil"/>
              <w:bottom w:val="nil"/>
              <w:right w:val="nil"/>
            </w:tcBorders>
            <w:shd w:val="clear" w:color="auto" w:fill="auto"/>
            <w:vAlign w:val="bottom"/>
            <w:hideMark/>
          </w:tcPr>
          <w:p w14:paraId="23803A00"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22</w:t>
            </w:r>
          </w:p>
        </w:tc>
      </w:tr>
      <w:tr w:rsidR="00ED6A70" w:rsidRPr="001B5760" w14:paraId="4D065614" w14:textId="77777777" w:rsidTr="00CE39D1">
        <w:trPr>
          <w:trHeight w:val="260"/>
          <w:jc w:val="center"/>
        </w:trPr>
        <w:tc>
          <w:tcPr>
            <w:tcW w:w="4693" w:type="dxa"/>
            <w:tcBorders>
              <w:top w:val="nil"/>
              <w:left w:val="nil"/>
              <w:bottom w:val="nil"/>
              <w:right w:val="nil"/>
            </w:tcBorders>
            <w:shd w:val="clear" w:color="auto" w:fill="auto"/>
            <w:vAlign w:val="bottom"/>
            <w:hideMark/>
          </w:tcPr>
          <w:p w14:paraId="2711CE57"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Japan</w:t>
            </w:r>
          </w:p>
        </w:tc>
        <w:tc>
          <w:tcPr>
            <w:tcW w:w="847" w:type="dxa"/>
            <w:tcBorders>
              <w:top w:val="nil"/>
              <w:left w:val="nil"/>
              <w:bottom w:val="nil"/>
              <w:right w:val="nil"/>
            </w:tcBorders>
            <w:shd w:val="clear" w:color="auto" w:fill="auto"/>
            <w:vAlign w:val="bottom"/>
            <w:hideMark/>
          </w:tcPr>
          <w:p w14:paraId="7125AA62"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8</w:t>
            </w:r>
          </w:p>
        </w:tc>
      </w:tr>
      <w:tr w:rsidR="00ED6A70" w:rsidRPr="001B5760" w14:paraId="7EFAE37D" w14:textId="77777777" w:rsidTr="00CE39D1">
        <w:trPr>
          <w:trHeight w:val="260"/>
          <w:jc w:val="center"/>
        </w:trPr>
        <w:tc>
          <w:tcPr>
            <w:tcW w:w="4693" w:type="dxa"/>
            <w:tcBorders>
              <w:top w:val="nil"/>
              <w:left w:val="nil"/>
              <w:bottom w:val="single" w:sz="4" w:space="0" w:color="auto"/>
              <w:right w:val="nil"/>
            </w:tcBorders>
            <w:shd w:val="clear" w:color="auto" w:fill="auto"/>
            <w:vAlign w:val="bottom"/>
            <w:hideMark/>
          </w:tcPr>
          <w:p w14:paraId="07212D70" w14:textId="77777777" w:rsidR="00ED6A70" w:rsidRPr="001B5760" w:rsidRDefault="00ED6A70" w:rsidP="00D61B1B">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Other Countries</w:t>
            </w:r>
          </w:p>
        </w:tc>
        <w:tc>
          <w:tcPr>
            <w:tcW w:w="847" w:type="dxa"/>
            <w:tcBorders>
              <w:top w:val="nil"/>
              <w:left w:val="nil"/>
              <w:bottom w:val="single" w:sz="4" w:space="0" w:color="auto"/>
              <w:right w:val="nil"/>
            </w:tcBorders>
            <w:shd w:val="clear" w:color="auto" w:fill="auto"/>
            <w:vAlign w:val="bottom"/>
            <w:hideMark/>
          </w:tcPr>
          <w:p w14:paraId="1ED8D1F2" w14:textId="77777777" w:rsidR="00ED6A70" w:rsidRPr="001B5760" w:rsidRDefault="00ED6A70" w:rsidP="00D61B1B">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7</w:t>
            </w:r>
          </w:p>
        </w:tc>
      </w:tr>
    </w:tbl>
    <w:p w14:paraId="68929BA3" w14:textId="77777777" w:rsidR="00CE39D1" w:rsidRPr="001B5760" w:rsidRDefault="00CE39D1" w:rsidP="00356EF7">
      <w:pPr>
        <w:pStyle w:val="ExhibitText"/>
      </w:pPr>
    </w:p>
    <w:p w14:paraId="5B699CDF" w14:textId="5F4D5F95" w:rsidR="00ED6A70" w:rsidRPr="001B5760" w:rsidRDefault="00ED6A70" w:rsidP="00357C54">
      <w:pPr>
        <w:pStyle w:val="Footnote"/>
        <w:outlineLvl w:val="0"/>
      </w:pPr>
      <w:r w:rsidRPr="001B5760">
        <w:t xml:space="preserve">Source: </w:t>
      </w:r>
      <w:r w:rsidR="0076595B">
        <w:t>“Brands</w:t>
      </w:r>
      <w:r w:rsidRPr="001B5760">
        <w:t xml:space="preserve"> Key Figures,</w:t>
      </w:r>
      <w:r w:rsidR="00472B46" w:rsidRPr="001B5760">
        <w:t>”</w:t>
      </w:r>
      <w:r w:rsidRPr="001B5760">
        <w:t xml:space="preserve"> </w:t>
      </w:r>
      <w:proofErr w:type="spellStart"/>
      <w:r w:rsidR="0076595B" w:rsidRPr="001B5760">
        <w:t>Kering</w:t>
      </w:r>
      <w:proofErr w:type="spellEnd"/>
      <w:r w:rsidR="0076595B" w:rsidRPr="001B5760">
        <w:t xml:space="preserve"> Group</w:t>
      </w:r>
      <w:r w:rsidR="0076595B">
        <w:t>, accessed June 10, 2016, www.</w:t>
      </w:r>
      <w:r w:rsidRPr="001B5760">
        <w:t>kering.com/en/finance/group/brands-key-figures</w:t>
      </w:r>
      <w:r w:rsidR="0076595B">
        <w:t>.</w:t>
      </w:r>
      <w:r w:rsidRPr="001B5760">
        <w:t xml:space="preserve"> </w:t>
      </w:r>
    </w:p>
    <w:p w14:paraId="7DB3FCFC" w14:textId="77777777" w:rsidR="00EF0CA7" w:rsidRDefault="00EF0CA7" w:rsidP="00356EF7">
      <w:pPr>
        <w:pStyle w:val="ExhibitText"/>
      </w:pPr>
    </w:p>
    <w:p w14:paraId="55D7AF09" w14:textId="77777777" w:rsidR="00E476DC" w:rsidRPr="001B5760" w:rsidRDefault="00E476DC" w:rsidP="00356EF7">
      <w:pPr>
        <w:pStyle w:val="ExhibitText"/>
      </w:pPr>
    </w:p>
    <w:p w14:paraId="7CFD57EA" w14:textId="77777777" w:rsidR="00EF0CA7" w:rsidRPr="001B5760" w:rsidRDefault="00EF0CA7" w:rsidP="00356EF7">
      <w:pPr>
        <w:pStyle w:val="ExhibitHeading"/>
      </w:pPr>
      <w:r w:rsidRPr="001B5760">
        <w:t>EXHIBIT 2: KERING GROUP</w:t>
      </w:r>
      <w:r w:rsidR="00472B46" w:rsidRPr="001B5760">
        <w:t>’</w:t>
      </w:r>
      <w:r w:rsidRPr="001B5760">
        <w:t>s KEY FIGURES In 2015</w:t>
      </w:r>
    </w:p>
    <w:p w14:paraId="1E229C54" w14:textId="77777777" w:rsidR="00EF0CA7" w:rsidRPr="001B5760" w:rsidRDefault="00EF0CA7" w:rsidP="00356EF7">
      <w:pPr>
        <w:pStyle w:val="ExhibitText"/>
      </w:pPr>
    </w:p>
    <w:tbl>
      <w:tblPr>
        <w:tblW w:w="4693" w:type="dxa"/>
        <w:jc w:val="center"/>
        <w:tblLook w:val="04A0" w:firstRow="1" w:lastRow="0" w:firstColumn="1" w:lastColumn="0" w:noHBand="0" w:noVBand="1"/>
      </w:tblPr>
      <w:tblGrid>
        <w:gridCol w:w="3559"/>
        <w:gridCol w:w="1134"/>
      </w:tblGrid>
      <w:tr w:rsidR="00EF0CA7" w:rsidRPr="001B5760" w14:paraId="2EFAC78F" w14:textId="77777777" w:rsidTr="00CE39D1">
        <w:trPr>
          <w:trHeight w:val="260"/>
          <w:jc w:val="center"/>
        </w:trPr>
        <w:tc>
          <w:tcPr>
            <w:tcW w:w="3559" w:type="dxa"/>
            <w:tcBorders>
              <w:top w:val="nil"/>
              <w:left w:val="nil"/>
              <w:bottom w:val="single" w:sz="4" w:space="0" w:color="auto"/>
              <w:right w:val="nil"/>
            </w:tcBorders>
            <w:shd w:val="clear" w:color="auto" w:fill="auto"/>
            <w:vAlign w:val="bottom"/>
            <w:hideMark/>
          </w:tcPr>
          <w:p w14:paraId="30D400C8" w14:textId="77777777" w:rsidR="00EF0CA7" w:rsidRPr="001B5760" w:rsidRDefault="00EF0CA7" w:rsidP="00AA1F9E">
            <w:pPr>
              <w:rPr>
                <w:rFonts w:ascii="Arial" w:eastAsia="SimSun" w:hAnsi="Arial" w:cs="Arial"/>
                <w:color w:val="000000"/>
                <w:kern w:val="0"/>
                <w:sz w:val="22"/>
                <w:szCs w:val="22"/>
                <w:lang w:eastAsia="zh-CN"/>
              </w:rPr>
            </w:pPr>
          </w:p>
        </w:tc>
        <w:tc>
          <w:tcPr>
            <w:tcW w:w="1134" w:type="dxa"/>
            <w:tcBorders>
              <w:top w:val="nil"/>
              <w:left w:val="nil"/>
              <w:bottom w:val="single" w:sz="4" w:space="0" w:color="auto"/>
              <w:right w:val="nil"/>
            </w:tcBorders>
            <w:shd w:val="clear" w:color="auto" w:fill="auto"/>
            <w:vAlign w:val="bottom"/>
            <w:hideMark/>
          </w:tcPr>
          <w:p w14:paraId="502ED052"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 xml:space="preserve">　</w:t>
            </w:r>
          </w:p>
        </w:tc>
      </w:tr>
      <w:tr w:rsidR="00EF0CA7" w:rsidRPr="001B5760" w14:paraId="2466DBAF" w14:textId="77777777" w:rsidTr="00CE39D1">
        <w:trPr>
          <w:trHeight w:val="57"/>
          <w:jc w:val="center"/>
        </w:trPr>
        <w:tc>
          <w:tcPr>
            <w:tcW w:w="3559" w:type="dxa"/>
            <w:tcBorders>
              <w:top w:val="nil"/>
              <w:left w:val="nil"/>
              <w:bottom w:val="nil"/>
              <w:right w:val="nil"/>
            </w:tcBorders>
            <w:shd w:val="clear" w:color="auto" w:fill="auto"/>
            <w:vAlign w:val="bottom"/>
            <w:hideMark/>
          </w:tcPr>
          <w:p w14:paraId="65C696C2" w14:textId="3658CE57" w:rsidR="00EF0CA7" w:rsidRPr="001B5760" w:rsidRDefault="00EF0CA7" w:rsidP="00AA1F9E">
            <w:pPr>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Revenue (</w:t>
            </w:r>
            <w:r w:rsidR="00245B1B">
              <w:rPr>
                <w:rFonts w:ascii="Arial" w:eastAsia="SimSun" w:hAnsi="Arial" w:cs="Arial"/>
                <w:b/>
                <w:color w:val="000000"/>
                <w:kern w:val="0"/>
                <w:sz w:val="22"/>
                <w:szCs w:val="22"/>
                <w:lang w:eastAsia="zh-CN"/>
              </w:rPr>
              <w:t>i</w:t>
            </w:r>
            <w:r w:rsidRPr="001B5760">
              <w:rPr>
                <w:rFonts w:ascii="Arial" w:eastAsia="SimSun" w:hAnsi="Arial" w:cs="Arial"/>
                <w:b/>
                <w:color w:val="000000"/>
                <w:kern w:val="0"/>
                <w:sz w:val="22"/>
                <w:szCs w:val="22"/>
                <w:lang w:eastAsia="zh-CN"/>
              </w:rPr>
              <w:t>n € millions)</w:t>
            </w:r>
          </w:p>
        </w:tc>
        <w:tc>
          <w:tcPr>
            <w:tcW w:w="1134" w:type="dxa"/>
            <w:tcBorders>
              <w:top w:val="nil"/>
              <w:left w:val="nil"/>
              <w:bottom w:val="nil"/>
              <w:right w:val="nil"/>
            </w:tcBorders>
            <w:shd w:val="clear" w:color="auto" w:fill="auto"/>
            <w:vAlign w:val="bottom"/>
            <w:hideMark/>
          </w:tcPr>
          <w:p w14:paraId="0E927A34" w14:textId="77777777" w:rsidR="00EF0CA7" w:rsidRPr="001B5760" w:rsidRDefault="00EF0CA7" w:rsidP="00AA1F9E">
            <w:pPr>
              <w:jc w:val="right"/>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11,584</w:t>
            </w:r>
          </w:p>
        </w:tc>
      </w:tr>
      <w:tr w:rsidR="00EF0CA7" w:rsidRPr="001B5760" w14:paraId="76760C0D" w14:textId="77777777" w:rsidTr="00CE39D1">
        <w:trPr>
          <w:trHeight w:val="67"/>
          <w:jc w:val="center"/>
        </w:trPr>
        <w:tc>
          <w:tcPr>
            <w:tcW w:w="3559" w:type="dxa"/>
            <w:tcBorders>
              <w:top w:val="nil"/>
              <w:left w:val="nil"/>
              <w:bottom w:val="nil"/>
              <w:right w:val="nil"/>
            </w:tcBorders>
            <w:shd w:val="clear" w:color="auto" w:fill="auto"/>
            <w:vAlign w:val="bottom"/>
            <w:hideMark/>
          </w:tcPr>
          <w:p w14:paraId="1906844B" w14:textId="38F8BCBC"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 xml:space="preserve">Average </w:t>
            </w:r>
            <w:r w:rsidR="00245B1B">
              <w:rPr>
                <w:rFonts w:ascii="Arial" w:eastAsia="SimSun" w:hAnsi="Arial" w:cs="Arial"/>
                <w:color w:val="000000"/>
                <w:kern w:val="0"/>
                <w:sz w:val="22"/>
                <w:szCs w:val="22"/>
                <w:lang w:eastAsia="zh-CN"/>
              </w:rPr>
              <w:t>N</w:t>
            </w:r>
            <w:r w:rsidRPr="001B5760">
              <w:rPr>
                <w:rFonts w:ascii="Arial" w:eastAsia="SimSun" w:hAnsi="Arial" w:cs="Arial"/>
                <w:color w:val="000000"/>
                <w:kern w:val="0"/>
                <w:sz w:val="22"/>
                <w:szCs w:val="22"/>
                <w:lang w:eastAsia="zh-CN"/>
              </w:rPr>
              <w:t xml:space="preserve">umber of </w:t>
            </w:r>
            <w:r w:rsidR="00245B1B">
              <w:rPr>
                <w:rFonts w:ascii="Arial" w:eastAsia="SimSun" w:hAnsi="Arial" w:cs="Arial"/>
                <w:color w:val="000000"/>
                <w:kern w:val="0"/>
                <w:sz w:val="22"/>
                <w:szCs w:val="22"/>
                <w:lang w:eastAsia="zh-CN"/>
              </w:rPr>
              <w:t>E</w:t>
            </w:r>
            <w:r w:rsidRPr="001B5760">
              <w:rPr>
                <w:rFonts w:ascii="Arial" w:eastAsia="SimSun" w:hAnsi="Arial" w:cs="Arial"/>
                <w:color w:val="000000"/>
                <w:kern w:val="0"/>
                <w:sz w:val="22"/>
                <w:szCs w:val="22"/>
                <w:lang w:eastAsia="zh-CN"/>
              </w:rPr>
              <w:t>mployees</w:t>
            </w:r>
          </w:p>
        </w:tc>
        <w:tc>
          <w:tcPr>
            <w:tcW w:w="1134" w:type="dxa"/>
            <w:tcBorders>
              <w:top w:val="nil"/>
              <w:left w:val="nil"/>
              <w:bottom w:val="nil"/>
              <w:right w:val="nil"/>
            </w:tcBorders>
            <w:shd w:val="clear" w:color="auto" w:fill="auto"/>
            <w:vAlign w:val="bottom"/>
            <w:hideMark/>
          </w:tcPr>
          <w:p w14:paraId="2A0E022C"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34,697</w:t>
            </w:r>
          </w:p>
        </w:tc>
      </w:tr>
      <w:tr w:rsidR="00EF0CA7" w:rsidRPr="001B5760" w14:paraId="0542D87E" w14:textId="77777777" w:rsidTr="00CE39D1">
        <w:trPr>
          <w:trHeight w:val="180"/>
          <w:jc w:val="center"/>
        </w:trPr>
        <w:tc>
          <w:tcPr>
            <w:tcW w:w="3559" w:type="dxa"/>
            <w:tcBorders>
              <w:top w:val="nil"/>
              <w:left w:val="nil"/>
              <w:bottom w:val="nil"/>
              <w:right w:val="nil"/>
            </w:tcBorders>
            <w:shd w:val="clear" w:color="auto" w:fill="auto"/>
            <w:vAlign w:val="bottom"/>
            <w:hideMark/>
          </w:tcPr>
          <w:p w14:paraId="29B94629" w14:textId="396D3FEE" w:rsidR="00EF0CA7" w:rsidRPr="001B5760" w:rsidRDefault="00EF0CA7" w:rsidP="00AA1F9E">
            <w:pPr>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 xml:space="preserve">Breakdown by Division </w:t>
            </w:r>
            <w:r w:rsidR="00245B1B" w:rsidRPr="001B5760">
              <w:rPr>
                <w:rFonts w:ascii="Arial" w:eastAsia="SimSun" w:hAnsi="Arial" w:cs="Arial"/>
                <w:b/>
                <w:color w:val="000000"/>
                <w:kern w:val="0"/>
                <w:sz w:val="22"/>
                <w:szCs w:val="22"/>
                <w:lang w:eastAsia="zh-CN"/>
              </w:rPr>
              <w:t>(</w:t>
            </w:r>
            <w:r w:rsidR="00245B1B">
              <w:rPr>
                <w:rFonts w:ascii="Arial" w:eastAsia="SimSun" w:hAnsi="Arial" w:cs="Arial"/>
                <w:b/>
                <w:color w:val="000000"/>
                <w:kern w:val="0"/>
                <w:sz w:val="22"/>
                <w:szCs w:val="22"/>
                <w:lang w:eastAsia="zh-CN"/>
              </w:rPr>
              <w:t>%</w:t>
            </w:r>
            <w:r w:rsidR="00245B1B" w:rsidRPr="001B5760">
              <w:rPr>
                <w:rFonts w:ascii="Arial" w:eastAsia="SimSun" w:hAnsi="Arial" w:cs="Arial"/>
                <w:b/>
                <w:color w:val="000000"/>
                <w:kern w:val="0"/>
                <w:sz w:val="22"/>
                <w:szCs w:val="22"/>
                <w:lang w:eastAsia="zh-CN"/>
              </w:rPr>
              <w:t>)</w:t>
            </w:r>
          </w:p>
        </w:tc>
        <w:tc>
          <w:tcPr>
            <w:tcW w:w="1134" w:type="dxa"/>
            <w:tcBorders>
              <w:top w:val="nil"/>
              <w:left w:val="nil"/>
              <w:bottom w:val="nil"/>
              <w:right w:val="nil"/>
            </w:tcBorders>
            <w:shd w:val="clear" w:color="auto" w:fill="auto"/>
            <w:vAlign w:val="bottom"/>
            <w:hideMark/>
          </w:tcPr>
          <w:p w14:paraId="43C55B0D" w14:textId="77777777" w:rsidR="00EF0CA7" w:rsidRPr="001B5760" w:rsidRDefault="00EF0CA7" w:rsidP="00AA1F9E">
            <w:pPr>
              <w:rPr>
                <w:rFonts w:ascii="Arial" w:eastAsia="SimSun" w:hAnsi="Arial" w:cs="Arial"/>
                <w:b/>
                <w:color w:val="000000"/>
                <w:kern w:val="0"/>
                <w:sz w:val="22"/>
                <w:szCs w:val="22"/>
                <w:lang w:eastAsia="zh-CN"/>
              </w:rPr>
            </w:pPr>
          </w:p>
        </w:tc>
      </w:tr>
      <w:tr w:rsidR="00EF0CA7" w:rsidRPr="001B5760" w14:paraId="5C7B2D19" w14:textId="77777777" w:rsidTr="00CE39D1">
        <w:trPr>
          <w:trHeight w:val="139"/>
          <w:jc w:val="center"/>
        </w:trPr>
        <w:tc>
          <w:tcPr>
            <w:tcW w:w="3559" w:type="dxa"/>
            <w:tcBorders>
              <w:top w:val="nil"/>
              <w:left w:val="nil"/>
              <w:bottom w:val="nil"/>
              <w:right w:val="nil"/>
            </w:tcBorders>
            <w:shd w:val="clear" w:color="auto" w:fill="auto"/>
            <w:vAlign w:val="bottom"/>
            <w:hideMark/>
          </w:tcPr>
          <w:p w14:paraId="70781A49"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Luxury</w:t>
            </w:r>
          </w:p>
        </w:tc>
        <w:tc>
          <w:tcPr>
            <w:tcW w:w="1134" w:type="dxa"/>
            <w:tcBorders>
              <w:top w:val="nil"/>
              <w:left w:val="nil"/>
              <w:bottom w:val="nil"/>
              <w:right w:val="nil"/>
            </w:tcBorders>
            <w:shd w:val="clear" w:color="auto" w:fill="auto"/>
            <w:vAlign w:val="bottom"/>
            <w:hideMark/>
          </w:tcPr>
          <w:p w14:paraId="4A954B6B"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68</w:t>
            </w:r>
          </w:p>
        </w:tc>
      </w:tr>
      <w:tr w:rsidR="00EF0CA7" w:rsidRPr="001B5760" w14:paraId="1D3CB30D" w14:textId="77777777" w:rsidTr="00CE39D1">
        <w:trPr>
          <w:trHeight w:val="158"/>
          <w:jc w:val="center"/>
        </w:trPr>
        <w:tc>
          <w:tcPr>
            <w:tcW w:w="3559" w:type="dxa"/>
            <w:tcBorders>
              <w:top w:val="nil"/>
              <w:left w:val="nil"/>
              <w:bottom w:val="nil"/>
              <w:right w:val="nil"/>
            </w:tcBorders>
            <w:shd w:val="clear" w:color="auto" w:fill="auto"/>
            <w:vAlign w:val="bottom"/>
            <w:hideMark/>
          </w:tcPr>
          <w:p w14:paraId="7C7E0121"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Sport and Lifestyle</w:t>
            </w:r>
          </w:p>
        </w:tc>
        <w:tc>
          <w:tcPr>
            <w:tcW w:w="1134" w:type="dxa"/>
            <w:tcBorders>
              <w:top w:val="nil"/>
              <w:left w:val="nil"/>
              <w:bottom w:val="nil"/>
              <w:right w:val="nil"/>
            </w:tcBorders>
            <w:shd w:val="clear" w:color="auto" w:fill="auto"/>
            <w:vAlign w:val="bottom"/>
            <w:hideMark/>
          </w:tcPr>
          <w:p w14:paraId="08FE4228"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32</w:t>
            </w:r>
          </w:p>
        </w:tc>
      </w:tr>
      <w:tr w:rsidR="00EF0CA7" w:rsidRPr="001B5760" w14:paraId="62699AB3" w14:textId="77777777" w:rsidTr="00CE39D1">
        <w:trPr>
          <w:trHeight w:val="204"/>
          <w:jc w:val="center"/>
        </w:trPr>
        <w:tc>
          <w:tcPr>
            <w:tcW w:w="3559" w:type="dxa"/>
            <w:tcBorders>
              <w:top w:val="nil"/>
              <w:left w:val="nil"/>
              <w:bottom w:val="nil"/>
              <w:right w:val="nil"/>
            </w:tcBorders>
            <w:shd w:val="clear" w:color="auto" w:fill="auto"/>
            <w:vAlign w:val="bottom"/>
            <w:hideMark/>
          </w:tcPr>
          <w:p w14:paraId="3CADCE3E" w14:textId="2F3A59D0" w:rsidR="00EF0CA7" w:rsidRPr="001B5760" w:rsidRDefault="00EF0CA7" w:rsidP="00AA1F9E">
            <w:pPr>
              <w:rPr>
                <w:rFonts w:ascii="Arial" w:eastAsia="SimSun" w:hAnsi="Arial" w:cs="Arial"/>
                <w:b/>
                <w:color w:val="000000"/>
                <w:kern w:val="0"/>
                <w:sz w:val="22"/>
                <w:szCs w:val="22"/>
                <w:lang w:eastAsia="zh-CN"/>
              </w:rPr>
            </w:pPr>
            <w:r w:rsidRPr="001B5760">
              <w:rPr>
                <w:rFonts w:ascii="Arial" w:eastAsia="SimSun" w:hAnsi="Arial" w:cs="Arial"/>
                <w:b/>
                <w:color w:val="000000"/>
                <w:kern w:val="0"/>
                <w:sz w:val="22"/>
                <w:szCs w:val="22"/>
                <w:lang w:eastAsia="zh-CN"/>
              </w:rPr>
              <w:t xml:space="preserve">Breakdown by Region </w:t>
            </w:r>
            <w:r w:rsidR="00245B1B" w:rsidRPr="001B5760">
              <w:rPr>
                <w:rFonts w:ascii="Arial" w:eastAsia="SimSun" w:hAnsi="Arial" w:cs="Arial"/>
                <w:b/>
                <w:color w:val="000000"/>
                <w:kern w:val="0"/>
                <w:sz w:val="22"/>
                <w:szCs w:val="22"/>
                <w:lang w:eastAsia="zh-CN"/>
              </w:rPr>
              <w:t>(</w:t>
            </w:r>
            <w:r w:rsidR="00245B1B">
              <w:rPr>
                <w:rFonts w:ascii="Arial" w:eastAsia="SimSun" w:hAnsi="Arial" w:cs="Arial"/>
                <w:b/>
                <w:color w:val="000000"/>
                <w:kern w:val="0"/>
                <w:sz w:val="22"/>
                <w:szCs w:val="22"/>
                <w:lang w:eastAsia="zh-CN"/>
              </w:rPr>
              <w:t>%</w:t>
            </w:r>
            <w:r w:rsidR="00245B1B" w:rsidRPr="001B5760">
              <w:rPr>
                <w:rFonts w:ascii="Arial" w:eastAsia="SimSun" w:hAnsi="Arial" w:cs="Arial"/>
                <w:b/>
                <w:color w:val="000000"/>
                <w:kern w:val="0"/>
                <w:sz w:val="22"/>
                <w:szCs w:val="22"/>
                <w:lang w:eastAsia="zh-CN"/>
              </w:rPr>
              <w:t>)</w:t>
            </w:r>
          </w:p>
        </w:tc>
        <w:tc>
          <w:tcPr>
            <w:tcW w:w="1134" w:type="dxa"/>
            <w:tcBorders>
              <w:top w:val="nil"/>
              <w:left w:val="nil"/>
              <w:bottom w:val="nil"/>
              <w:right w:val="nil"/>
            </w:tcBorders>
            <w:shd w:val="clear" w:color="auto" w:fill="auto"/>
            <w:vAlign w:val="bottom"/>
            <w:hideMark/>
          </w:tcPr>
          <w:p w14:paraId="72CDF62A" w14:textId="77777777" w:rsidR="00EF0CA7" w:rsidRPr="001B5760" w:rsidRDefault="00EF0CA7" w:rsidP="00AA1F9E">
            <w:pPr>
              <w:rPr>
                <w:rFonts w:ascii="Arial" w:eastAsia="SimSun" w:hAnsi="Arial" w:cs="Arial"/>
                <w:b/>
                <w:color w:val="000000"/>
                <w:kern w:val="0"/>
                <w:sz w:val="22"/>
                <w:szCs w:val="22"/>
                <w:lang w:eastAsia="zh-CN"/>
              </w:rPr>
            </w:pPr>
          </w:p>
        </w:tc>
      </w:tr>
      <w:tr w:rsidR="00EF0CA7" w:rsidRPr="001B5760" w14:paraId="55B6D6BD" w14:textId="77777777" w:rsidTr="00CE39D1">
        <w:trPr>
          <w:trHeight w:val="236"/>
          <w:jc w:val="center"/>
        </w:trPr>
        <w:tc>
          <w:tcPr>
            <w:tcW w:w="3559" w:type="dxa"/>
            <w:tcBorders>
              <w:top w:val="nil"/>
              <w:left w:val="nil"/>
              <w:bottom w:val="nil"/>
              <w:right w:val="nil"/>
            </w:tcBorders>
            <w:shd w:val="clear" w:color="auto" w:fill="auto"/>
            <w:vAlign w:val="bottom"/>
            <w:hideMark/>
          </w:tcPr>
          <w:p w14:paraId="08609F2B"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Western Europe</w:t>
            </w:r>
          </w:p>
        </w:tc>
        <w:tc>
          <w:tcPr>
            <w:tcW w:w="1134" w:type="dxa"/>
            <w:tcBorders>
              <w:top w:val="nil"/>
              <w:left w:val="nil"/>
              <w:bottom w:val="nil"/>
              <w:right w:val="nil"/>
            </w:tcBorders>
            <w:shd w:val="clear" w:color="auto" w:fill="auto"/>
            <w:vAlign w:val="bottom"/>
            <w:hideMark/>
          </w:tcPr>
          <w:p w14:paraId="7DC6FBCD"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31</w:t>
            </w:r>
          </w:p>
        </w:tc>
      </w:tr>
      <w:tr w:rsidR="00EF0CA7" w:rsidRPr="001B5760" w14:paraId="7C3D860B" w14:textId="77777777" w:rsidTr="00CE39D1">
        <w:trPr>
          <w:trHeight w:val="112"/>
          <w:jc w:val="center"/>
        </w:trPr>
        <w:tc>
          <w:tcPr>
            <w:tcW w:w="3559" w:type="dxa"/>
            <w:tcBorders>
              <w:top w:val="nil"/>
              <w:left w:val="nil"/>
              <w:bottom w:val="nil"/>
              <w:right w:val="nil"/>
            </w:tcBorders>
            <w:shd w:val="clear" w:color="auto" w:fill="auto"/>
            <w:vAlign w:val="bottom"/>
            <w:hideMark/>
          </w:tcPr>
          <w:p w14:paraId="625906D2"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North America</w:t>
            </w:r>
          </w:p>
        </w:tc>
        <w:tc>
          <w:tcPr>
            <w:tcW w:w="1134" w:type="dxa"/>
            <w:tcBorders>
              <w:top w:val="nil"/>
              <w:left w:val="nil"/>
              <w:bottom w:val="nil"/>
              <w:right w:val="nil"/>
            </w:tcBorders>
            <w:shd w:val="clear" w:color="auto" w:fill="auto"/>
            <w:vAlign w:val="bottom"/>
            <w:hideMark/>
          </w:tcPr>
          <w:p w14:paraId="0C67914A"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23</w:t>
            </w:r>
          </w:p>
        </w:tc>
      </w:tr>
      <w:tr w:rsidR="00EF0CA7" w:rsidRPr="001B5760" w14:paraId="7FE797E1" w14:textId="77777777" w:rsidTr="00CE39D1">
        <w:trPr>
          <w:trHeight w:val="130"/>
          <w:jc w:val="center"/>
        </w:trPr>
        <w:tc>
          <w:tcPr>
            <w:tcW w:w="3559" w:type="dxa"/>
            <w:tcBorders>
              <w:top w:val="nil"/>
              <w:left w:val="nil"/>
              <w:bottom w:val="nil"/>
              <w:right w:val="nil"/>
            </w:tcBorders>
            <w:shd w:val="clear" w:color="auto" w:fill="auto"/>
            <w:vAlign w:val="bottom"/>
            <w:hideMark/>
          </w:tcPr>
          <w:p w14:paraId="5F4C3CBF"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Asia Pacific</w:t>
            </w:r>
          </w:p>
        </w:tc>
        <w:tc>
          <w:tcPr>
            <w:tcW w:w="1134" w:type="dxa"/>
            <w:tcBorders>
              <w:top w:val="nil"/>
              <w:left w:val="nil"/>
              <w:bottom w:val="nil"/>
              <w:right w:val="nil"/>
            </w:tcBorders>
            <w:shd w:val="clear" w:color="auto" w:fill="auto"/>
            <w:vAlign w:val="bottom"/>
            <w:hideMark/>
          </w:tcPr>
          <w:p w14:paraId="0AC342D5"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26</w:t>
            </w:r>
          </w:p>
        </w:tc>
      </w:tr>
      <w:tr w:rsidR="00EF0CA7" w:rsidRPr="001B5760" w14:paraId="5AC21D30" w14:textId="77777777" w:rsidTr="00CE39D1">
        <w:trPr>
          <w:trHeight w:val="162"/>
          <w:jc w:val="center"/>
        </w:trPr>
        <w:tc>
          <w:tcPr>
            <w:tcW w:w="3559" w:type="dxa"/>
            <w:tcBorders>
              <w:top w:val="nil"/>
              <w:left w:val="nil"/>
              <w:right w:val="nil"/>
            </w:tcBorders>
            <w:shd w:val="clear" w:color="auto" w:fill="auto"/>
            <w:vAlign w:val="bottom"/>
            <w:hideMark/>
          </w:tcPr>
          <w:p w14:paraId="72BA7CE9"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Japan</w:t>
            </w:r>
          </w:p>
        </w:tc>
        <w:tc>
          <w:tcPr>
            <w:tcW w:w="1134" w:type="dxa"/>
            <w:tcBorders>
              <w:top w:val="nil"/>
              <w:left w:val="nil"/>
              <w:right w:val="nil"/>
            </w:tcBorders>
            <w:shd w:val="clear" w:color="auto" w:fill="auto"/>
            <w:vAlign w:val="bottom"/>
            <w:hideMark/>
          </w:tcPr>
          <w:p w14:paraId="7756DF51"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10</w:t>
            </w:r>
          </w:p>
        </w:tc>
      </w:tr>
      <w:tr w:rsidR="00EF0CA7" w:rsidRPr="001B5760" w14:paraId="7B8FB515" w14:textId="77777777" w:rsidTr="00CE39D1">
        <w:trPr>
          <w:trHeight w:val="193"/>
          <w:jc w:val="center"/>
        </w:trPr>
        <w:tc>
          <w:tcPr>
            <w:tcW w:w="3559" w:type="dxa"/>
            <w:tcBorders>
              <w:top w:val="nil"/>
              <w:left w:val="nil"/>
              <w:bottom w:val="single" w:sz="4" w:space="0" w:color="auto"/>
              <w:right w:val="nil"/>
            </w:tcBorders>
            <w:shd w:val="clear" w:color="auto" w:fill="auto"/>
            <w:vAlign w:val="bottom"/>
            <w:hideMark/>
          </w:tcPr>
          <w:p w14:paraId="63E69087" w14:textId="77777777" w:rsidR="00EF0CA7" w:rsidRPr="001B5760" w:rsidRDefault="00EF0CA7" w:rsidP="00AA1F9E">
            <w:pPr>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Other Countries</w:t>
            </w:r>
          </w:p>
        </w:tc>
        <w:tc>
          <w:tcPr>
            <w:tcW w:w="1134" w:type="dxa"/>
            <w:tcBorders>
              <w:top w:val="nil"/>
              <w:left w:val="nil"/>
              <w:bottom w:val="single" w:sz="4" w:space="0" w:color="auto"/>
              <w:right w:val="nil"/>
            </w:tcBorders>
            <w:shd w:val="clear" w:color="auto" w:fill="auto"/>
            <w:vAlign w:val="bottom"/>
            <w:hideMark/>
          </w:tcPr>
          <w:p w14:paraId="1F437FEF" w14:textId="77777777" w:rsidR="00EF0CA7" w:rsidRPr="001B5760" w:rsidRDefault="00EF0CA7" w:rsidP="00AA1F9E">
            <w:pPr>
              <w:jc w:val="right"/>
              <w:rPr>
                <w:rFonts w:ascii="Arial" w:eastAsia="SimSun" w:hAnsi="Arial" w:cs="Arial"/>
                <w:color w:val="000000"/>
                <w:kern w:val="0"/>
                <w:sz w:val="22"/>
                <w:szCs w:val="22"/>
                <w:lang w:eastAsia="zh-CN"/>
              </w:rPr>
            </w:pPr>
            <w:r w:rsidRPr="001B5760">
              <w:rPr>
                <w:rFonts w:ascii="Arial" w:eastAsia="SimSun" w:hAnsi="Arial" w:cs="Arial"/>
                <w:color w:val="000000"/>
                <w:kern w:val="0"/>
                <w:sz w:val="22"/>
                <w:szCs w:val="22"/>
                <w:lang w:eastAsia="zh-CN"/>
              </w:rPr>
              <w:t>10</w:t>
            </w:r>
          </w:p>
        </w:tc>
      </w:tr>
    </w:tbl>
    <w:p w14:paraId="35337F63" w14:textId="77777777" w:rsidR="00CE39D1" w:rsidRPr="001B5760" w:rsidRDefault="00CE39D1" w:rsidP="00356EF7">
      <w:pPr>
        <w:pStyle w:val="ExhibitText"/>
      </w:pPr>
    </w:p>
    <w:p w14:paraId="13AADA3A" w14:textId="4CC86326" w:rsidR="00EF0CA7" w:rsidRPr="001B5760" w:rsidRDefault="00EF0CA7" w:rsidP="00357C54">
      <w:pPr>
        <w:pStyle w:val="Footnote"/>
        <w:outlineLvl w:val="0"/>
      </w:pPr>
      <w:r w:rsidRPr="001B5760">
        <w:t xml:space="preserve">Source: </w:t>
      </w:r>
      <w:r w:rsidR="00472B46" w:rsidRPr="001B5760">
        <w:t>“</w:t>
      </w:r>
      <w:r w:rsidR="0076595B">
        <w:t>Group</w:t>
      </w:r>
      <w:r w:rsidR="0076595B" w:rsidRPr="001B5760">
        <w:t xml:space="preserve"> Key Figures,” </w:t>
      </w:r>
      <w:proofErr w:type="spellStart"/>
      <w:r w:rsidR="0076595B" w:rsidRPr="001B5760">
        <w:t>Kering</w:t>
      </w:r>
      <w:proofErr w:type="spellEnd"/>
      <w:r w:rsidR="0076595B" w:rsidRPr="001B5760">
        <w:t xml:space="preserve"> Group</w:t>
      </w:r>
      <w:r w:rsidR="0076595B">
        <w:t>, accessed June 10, 2016, www.</w:t>
      </w:r>
      <w:r w:rsidRPr="001B5760">
        <w:t>kering.com/en/finance/group/group-key-figures</w:t>
      </w:r>
      <w:r w:rsidR="0076595B">
        <w:t>.</w:t>
      </w:r>
      <w:r w:rsidRPr="001B5760">
        <w:t xml:space="preserve"> </w:t>
      </w:r>
    </w:p>
    <w:p w14:paraId="1B0BA654" w14:textId="77777777" w:rsidR="00CE39D1" w:rsidRPr="001B5760" w:rsidRDefault="00CE39D1" w:rsidP="00356EF7">
      <w:pPr>
        <w:pStyle w:val="ExhibitText"/>
      </w:pPr>
      <w:r w:rsidRPr="001B5760">
        <w:br w:type="page"/>
      </w:r>
    </w:p>
    <w:p w14:paraId="28F8B6F0" w14:textId="77777777" w:rsidR="0068738B" w:rsidRDefault="0068738B" w:rsidP="00356EF7">
      <w:pPr>
        <w:pStyle w:val="ExhibitHeading"/>
      </w:pPr>
      <w:r w:rsidRPr="001B5760">
        <w:lastRenderedPageBreak/>
        <w:t>EXHIBIT 3: KERING GROUP</w:t>
      </w:r>
      <w:r w:rsidR="00472B46" w:rsidRPr="001B5760">
        <w:t>’</w:t>
      </w:r>
      <w:r w:rsidRPr="001B5760">
        <w:t>s KEY FIGURES IN THE LUXURY DIVISION In 2015</w:t>
      </w:r>
    </w:p>
    <w:p w14:paraId="731DEAC7" w14:textId="77777777" w:rsidR="00E476DC" w:rsidRPr="001B5760" w:rsidRDefault="00E476DC" w:rsidP="00356EF7">
      <w:pPr>
        <w:pStyle w:val="ExhibitText"/>
      </w:pPr>
    </w:p>
    <w:tbl>
      <w:tblPr>
        <w:tblW w:w="5540" w:type="dxa"/>
        <w:jc w:val="center"/>
        <w:tblLook w:val="04A0" w:firstRow="1" w:lastRow="0" w:firstColumn="1" w:lastColumn="0" w:noHBand="0" w:noVBand="1"/>
      </w:tblPr>
      <w:tblGrid>
        <w:gridCol w:w="3960"/>
        <w:gridCol w:w="450"/>
        <w:gridCol w:w="1130"/>
      </w:tblGrid>
      <w:tr w:rsidR="0068738B" w:rsidRPr="001B5760" w14:paraId="17083FD8" w14:textId="77777777" w:rsidTr="001F24C4">
        <w:trPr>
          <w:trHeight w:val="187"/>
          <w:jc w:val="center"/>
        </w:trPr>
        <w:tc>
          <w:tcPr>
            <w:tcW w:w="3960" w:type="dxa"/>
            <w:tcBorders>
              <w:top w:val="single" w:sz="4" w:space="0" w:color="auto"/>
              <w:left w:val="nil"/>
              <w:bottom w:val="nil"/>
              <w:right w:val="nil"/>
            </w:tcBorders>
            <w:shd w:val="clear" w:color="auto" w:fill="auto"/>
            <w:vAlign w:val="bottom"/>
            <w:hideMark/>
          </w:tcPr>
          <w:p w14:paraId="18AB0A77" w14:textId="3E9077DB" w:rsidR="0068738B" w:rsidRPr="001B5760" w:rsidRDefault="0068738B" w:rsidP="00AA1F9E">
            <w:pPr>
              <w:autoSpaceDE w:val="0"/>
              <w:autoSpaceDN w:val="0"/>
              <w:adjustRightInd w:val="0"/>
              <w:textAlignment w:val="center"/>
              <w:rPr>
                <w:rFonts w:ascii="Arial" w:eastAsia="SimSun" w:hAnsi="Arial" w:cs="Arial"/>
                <w:b/>
                <w:color w:val="000000"/>
                <w:kern w:val="0"/>
                <w:lang w:eastAsia="zh-CN"/>
              </w:rPr>
            </w:pPr>
            <w:r w:rsidRPr="001B5760">
              <w:rPr>
                <w:rFonts w:ascii="Arial" w:eastAsia="SimSun" w:hAnsi="Arial" w:cs="Arial"/>
                <w:b/>
                <w:color w:val="000000"/>
                <w:kern w:val="0"/>
                <w:lang w:eastAsia="zh-CN"/>
              </w:rPr>
              <w:t>Revenue (</w:t>
            </w:r>
            <w:r w:rsidR="00245B1B">
              <w:rPr>
                <w:rFonts w:ascii="Arial" w:eastAsia="SimSun" w:hAnsi="Arial" w:cs="Arial"/>
                <w:b/>
                <w:color w:val="000000"/>
                <w:kern w:val="0"/>
                <w:lang w:eastAsia="zh-CN"/>
              </w:rPr>
              <w:t>i</w:t>
            </w:r>
            <w:r w:rsidRPr="001B5760">
              <w:rPr>
                <w:rFonts w:ascii="Arial" w:eastAsia="SimSun" w:hAnsi="Arial" w:cs="Arial"/>
                <w:b/>
                <w:color w:val="000000"/>
                <w:kern w:val="0"/>
                <w:lang w:eastAsia="zh-CN"/>
              </w:rPr>
              <w:t>n € millions)</w:t>
            </w:r>
          </w:p>
        </w:tc>
        <w:tc>
          <w:tcPr>
            <w:tcW w:w="1580" w:type="dxa"/>
            <w:gridSpan w:val="2"/>
            <w:tcBorders>
              <w:top w:val="single" w:sz="4" w:space="0" w:color="auto"/>
              <w:left w:val="nil"/>
              <w:bottom w:val="nil"/>
              <w:right w:val="nil"/>
            </w:tcBorders>
            <w:shd w:val="clear" w:color="auto" w:fill="auto"/>
            <w:vAlign w:val="bottom"/>
            <w:hideMark/>
          </w:tcPr>
          <w:p w14:paraId="74BD2383" w14:textId="77777777" w:rsidR="0068738B" w:rsidRPr="001B5760" w:rsidRDefault="0068738B" w:rsidP="00AA1F9E">
            <w:pPr>
              <w:jc w:val="right"/>
              <w:rPr>
                <w:rFonts w:ascii="Arial" w:eastAsia="SimSun" w:hAnsi="Arial" w:cs="Arial"/>
                <w:b/>
                <w:color w:val="000000"/>
                <w:kern w:val="0"/>
                <w:lang w:eastAsia="zh-CN"/>
              </w:rPr>
            </w:pPr>
            <w:r w:rsidRPr="001B5760">
              <w:rPr>
                <w:rFonts w:ascii="Arial" w:eastAsia="SimSun" w:hAnsi="Arial" w:cs="Arial"/>
                <w:b/>
                <w:color w:val="000000"/>
                <w:kern w:val="0"/>
                <w:lang w:eastAsia="zh-CN"/>
              </w:rPr>
              <w:t>7,865</w:t>
            </w:r>
          </w:p>
        </w:tc>
      </w:tr>
      <w:tr w:rsidR="0068738B" w:rsidRPr="001B5760" w14:paraId="144F0FD4" w14:textId="77777777" w:rsidTr="00CE39D1">
        <w:trPr>
          <w:trHeight w:val="230"/>
          <w:jc w:val="center"/>
        </w:trPr>
        <w:tc>
          <w:tcPr>
            <w:tcW w:w="3960" w:type="dxa"/>
            <w:tcBorders>
              <w:top w:val="nil"/>
              <w:left w:val="nil"/>
              <w:bottom w:val="nil"/>
              <w:right w:val="nil"/>
            </w:tcBorders>
            <w:shd w:val="clear" w:color="auto" w:fill="auto"/>
            <w:vAlign w:val="bottom"/>
            <w:hideMark/>
          </w:tcPr>
          <w:p w14:paraId="328600A2" w14:textId="503E612B" w:rsidR="0068738B" w:rsidRPr="001B5760" w:rsidRDefault="0068738B" w:rsidP="00245B1B">
            <w:pPr>
              <w:autoSpaceDE w:val="0"/>
              <w:autoSpaceDN w:val="0"/>
              <w:adjustRightInd w:val="0"/>
              <w:textAlignment w:val="center"/>
              <w:rPr>
                <w:rFonts w:ascii="Arial" w:eastAsia="SimSun" w:hAnsi="Arial" w:cs="Arial"/>
                <w:b/>
                <w:color w:val="000000"/>
                <w:kern w:val="0"/>
                <w:lang w:eastAsia="zh-CN"/>
              </w:rPr>
            </w:pPr>
            <w:r w:rsidRPr="001B5760">
              <w:rPr>
                <w:rFonts w:ascii="Arial" w:eastAsia="SimSun" w:hAnsi="Arial" w:cs="Arial"/>
                <w:b/>
                <w:color w:val="000000"/>
                <w:kern w:val="0"/>
                <w:lang w:eastAsia="zh-CN"/>
              </w:rPr>
              <w:t xml:space="preserve">Breakdown by Brand </w:t>
            </w:r>
            <w:r w:rsidR="00245B1B" w:rsidRPr="001B5760">
              <w:rPr>
                <w:rFonts w:ascii="Arial" w:eastAsia="SimSun" w:hAnsi="Arial" w:cs="Arial"/>
                <w:b/>
                <w:color w:val="000000"/>
                <w:kern w:val="0"/>
                <w:sz w:val="22"/>
                <w:szCs w:val="22"/>
                <w:lang w:eastAsia="zh-CN"/>
              </w:rPr>
              <w:t>(</w:t>
            </w:r>
            <w:r w:rsidR="00245B1B">
              <w:rPr>
                <w:rFonts w:ascii="Arial" w:eastAsia="SimSun" w:hAnsi="Arial" w:cs="Arial"/>
                <w:b/>
                <w:color w:val="000000"/>
                <w:kern w:val="0"/>
                <w:sz w:val="22"/>
                <w:szCs w:val="22"/>
                <w:lang w:eastAsia="zh-CN"/>
              </w:rPr>
              <w:t>%</w:t>
            </w:r>
            <w:r w:rsidR="00245B1B" w:rsidRPr="001B5760">
              <w:rPr>
                <w:rFonts w:ascii="Arial" w:eastAsia="SimSun" w:hAnsi="Arial" w:cs="Arial"/>
                <w:b/>
                <w:color w:val="000000"/>
                <w:kern w:val="0"/>
                <w:sz w:val="22"/>
                <w:szCs w:val="22"/>
                <w:lang w:eastAsia="zh-CN"/>
              </w:rPr>
              <w:t>)</w:t>
            </w:r>
            <w:r w:rsidR="00245B1B" w:rsidRPr="001B5760" w:rsidDel="00245B1B">
              <w:rPr>
                <w:rFonts w:ascii="Arial" w:eastAsia="SimSun" w:hAnsi="Arial" w:cs="Arial"/>
                <w:b/>
                <w:color w:val="000000"/>
                <w:kern w:val="0"/>
                <w:lang w:eastAsia="zh-CN"/>
              </w:rPr>
              <w:t xml:space="preserve"> </w:t>
            </w:r>
          </w:p>
        </w:tc>
        <w:tc>
          <w:tcPr>
            <w:tcW w:w="1580" w:type="dxa"/>
            <w:gridSpan w:val="2"/>
            <w:tcBorders>
              <w:top w:val="nil"/>
              <w:left w:val="nil"/>
              <w:bottom w:val="nil"/>
              <w:right w:val="nil"/>
            </w:tcBorders>
            <w:shd w:val="clear" w:color="auto" w:fill="auto"/>
            <w:vAlign w:val="bottom"/>
            <w:hideMark/>
          </w:tcPr>
          <w:p w14:paraId="59D32569" w14:textId="77777777" w:rsidR="0068738B" w:rsidRPr="001B5760" w:rsidRDefault="0068738B" w:rsidP="00AA1F9E">
            <w:pPr>
              <w:rPr>
                <w:rFonts w:ascii="Arial" w:eastAsia="SimSun" w:hAnsi="Arial" w:cs="Arial"/>
                <w:b/>
                <w:color w:val="000000"/>
                <w:kern w:val="0"/>
                <w:lang w:eastAsia="zh-CN"/>
              </w:rPr>
            </w:pPr>
          </w:p>
        </w:tc>
      </w:tr>
      <w:tr w:rsidR="0068738B" w:rsidRPr="001B5760" w14:paraId="100E3674" w14:textId="77777777" w:rsidTr="00CE39D1">
        <w:trPr>
          <w:trHeight w:val="247"/>
          <w:jc w:val="center"/>
        </w:trPr>
        <w:tc>
          <w:tcPr>
            <w:tcW w:w="3960" w:type="dxa"/>
            <w:tcBorders>
              <w:top w:val="nil"/>
              <w:left w:val="nil"/>
              <w:bottom w:val="nil"/>
              <w:right w:val="nil"/>
            </w:tcBorders>
            <w:shd w:val="clear" w:color="auto" w:fill="auto"/>
            <w:vAlign w:val="bottom"/>
            <w:hideMark/>
          </w:tcPr>
          <w:p w14:paraId="381EF3F6"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Gucci</w:t>
            </w:r>
          </w:p>
        </w:tc>
        <w:tc>
          <w:tcPr>
            <w:tcW w:w="1580" w:type="dxa"/>
            <w:gridSpan w:val="2"/>
            <w:tcBorders>
              <w:top w:val="nil"/>
              <w:left w:val="nil"/>
              <w:bottom w:val="nil"/>
              <w:right w:val="nil"/>
            </w:tcBorders>
            <w:shd w:val="clear" w:color="auto" w:fill="auto"/>
            <w:vAlign w:val="bottom"/>
            <w:hideMark/>
          </w:tcPr>
          <w:p w14:paraId="1681E3D6"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50</w:t>
            </w:r>
          </w:p>
        </w:tc>
      </w:tr>
      <w:tr w:rsidR="0068738B" w:rsidRPr="001B5760" w14:paraId="09B40916" w14:textId="77777777" w:rsidTr="00CE39D1">
        <w:trPr>
          <w:trHeight w:val="138"/>
          <w:jc w:val="center"/>
        </w:trPr>
        <w:tc>
          <w:tcPr>
            <w:tcW w:w="3960" w:type="dxa"/>
            <w:tcBorders>
              <w:top w:val="nil"/>
              <w:left w:val="nil"/>
              <w:bottom w:val="nil"/>
              <w:right w:val="nil"/>
            </w:tcBorders>
            <w:shd w:val="clear" w:color="auto" w:fill="auto"/>
            <w:vAlign w:val="bottom"/>
            <w:hideMark/>
          </w:tcPr>
          <w:p w14:paraId="0C4BABFA"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proofErr w:type="spellStart"/>
            <w:r w:rsidRPr="001B5760">
              <w:rPr>
                <w:rFonts w:ascii="Arial" w:eastAsia="SimSun" w:hAnsi="Arial" w:cs="Arial"/>
                <w:color w:val="000000"/>
                <w:kern w:val="0"/>
                <w:lang w:eastAsia="zh-CN"/>
              </w:rPr>
              <w:t>Bottega</w:t>
            </w:r>
            <w:proofErr w:type="spellEnd"/>
            <w:r w:rsidRPr="001B5760">
              <w:rPr>
                <w:rFonts w:ascii="Arial" w:eastAsia="SimSun" w:hAnsi="Arial" w:cs="Arial"/>
                <w:color w:val="000000"/>
                <w:kern w:val="0"/>
                <w:lang w:eastAsia="zh-CN"/>
              </w:rPr>
              <w:t xml:space="preserve"> </w:t>
            </w:r>
            <w:proofErr w:type="spellStart"/>
            <w:r w:rsidRPr="001B5760">
              <w:rPr>
                <w:rFonts w:ascii="Arial" w:eastAsia="SimSun" w:hAnsi="Arial" w:cs="Arial"/>
                <w:color w:val="000000"/>
                <w:kern w:val="0"/>
                <w:lang w:eastAsia="zh-CN"/>
              </w:rPr>
              <w:t>Veneta</w:t>
            </w:r>
            <w:proofErr w:type="spellEnd"/>
          </w:p>
        </w:tc>
        <w:tc>
          <w:tcPr>
            <w:tcW w:w="1580" w:type="dxa"/>
            <w:gridSpan w:val="2"/>
            <w:tcBorders>
              <w:top w:val="nil"/>
              <w:left w:val="nil"/>
              <w:bottom w:val="nil"/>
              <w:right w:val="nil"/>
            </w:tcBorders>
            <w:shd w:val="clear" w:color="auto" w:fill="auto"/>
            <w:vAlign w:val="bottom"/>
            <w:hideMark/>
          </w:tcPr>
          <w:p w14:paraId="4E115343" w14:textId="77777777" w:rsidR="0068738B" w:rsidRPr="001B5760" w:rsidRDefault="0068738B" w:rsidP="00AA1F9E">
            <w:pPr>
              <w:jc w:val="right"/>
              <w:rPr>
                <w:rFonts w:ascii="Arial" w:eastAsia="SimSun" w:hAnsi="Arial" w:cs="Arial"/>
                <w:color w:val="000000"/>
                <w:kern w:val="0"/>
                <w:lang w:eastAsia="zh-CN"/>
              </w:rPr>
            </w:pPr>
            <w:r w:rsidRPr="001B5760">
              <w:rPr>
                <w:rFonts w:ascii="Arial" w:eastAsia="SimSun" w:hAnsi="Arial" w:cs="Arial"/>
                <w:color w:val="000000"/>
                <w:kern w:val="0"/>
                <w:lang w:eastAsia="zh-CN"/>
              </w:rPr>
              <w:t>16</w:t>
            </w:r>
          </w:p>
        </w:tc>
      </w:tr>
      <w:tr w:rsidR="0068738B" w:rsidRPr="001B5760" w14:paraId="31FE9DD3" w14:textId="77777777" w:rsidTr="00CE39D1">
        <w:trPr>
          <w:trHeight w:val="169"/>
          <w:jc w:val="center"/>
        </w:trPr>
        <w:tc>
          <w:tcPr>
            <w:tcW w:w="3960" w:type="dxa"/>
            <w:tcBorders>
              <w:top w:val="nil"/>
              <w:left w:val="nil"/>
              <w:bottom w:val="nil"/>
              <w:right w:val="nil"/>
            </w:tcBorders>
            <w:shd w:val="clear" w:color="auto" w:fill="auto"/>
            <w:vAlign w:val="bottom"/>
            <w:hideMark/>
          </w:tcPr>
          <w:p w14:paraId="5ACD3901" w14:textId="042293A1" w:rsidR="0068738B" w:rsidRPr="001B5760" w:rsidRDefault="00637334" w:rsidP="00AA1F9E">
            <w:pPr>
              <w:autoSpaceDE w:val="0"/>
              <w:autoSpaceDN w:val="0"/>
              <w:adjustRightInd w:val="0"/>
              <w:textAlignment w:val="center"/>
              <w:rPr>
                <w:rFonts w:ascii="Arial" w:eastAsia="SimSun" w:hAnsi="Arial" w:cs="Arial"/>
                <w:color w:val="000000"/>
                <w:kern w:val="0"/>
                <w:lang w:eastAsia="zh-CN"/>
              </w:rPr>
            </w:pPr>
            <w:r>
              <w:rPr>
                <w:rFonts w:ascii="Arial" w:eastAsia="SimSun" w:hAnsi="Arial" w:cs="Arial"/>
                <w:color w:val="000000"/>
                <w:kern w:val="0"/>
                <w:lang w:eastAsia="zh-CN"/>
              </w:rPr>
              <w:t>YSL</w:t>
            </w:r>
          </w:p>
        </w:tc>
        <w:tc>
          <w:tcPr>
            <w:tcW w:w="1580" w:type="dxa"/>
            <w:gridSpan w:val="2"/>
            <w:tcBorders>
              <w:top w:val="nil"/>
              <w:left w:val="nil"/>
              <w:bottom w:val="nil"/>
              <w:right w:val="nil"/>
            </w:tcBorders>
            <w:shd w:val="clear" w:color="auto" w:fill="auto"/>
            <w:vAlign w:val="bottom"/>
            <w:hideMark/>
          </w:tcPr>
          <w:p w14:paraId="0E10B50E"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12</w:t>
            </w:r>
          </w:p>
        </w:tc>
      </w:tr>
      <w:tr w:rsidR="0068738B" w:rsidRPr="001B5760" w14:paraId="681E7B69" w14:textId="77777777" w:rsidTr="00CE39D1">
        <w:trPr>
          <w:trHeight w:val="202"/>
          <w:jc w:val="center"/>
        </w:trPr>
        <w:tc>
          <w:tcPr>
            <w:tcW w:w="3960" w:type="dxa"/>
            <w:tcBorders>
              <w:top w:val="nil"/>
              <w:left w:val="nil"/>
              <w:bottom w:val="nil"/>
              <w:right w:val="nil"/>
            </w:tcBorders>
            <w:shd w:val="clear" w:color="auto" w:fill="auto"/>
            <w:vAlign w:val="bottom"/>
            <w:hideMark/>
          </w:tcPr>
          <w:p w14:paraId="0FF962ED"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Other Brands</w:t>
            </w:r>
          </w:p>
        </w:tc>
        <w:tc>
          <w:tcPr>
            <w:tcW w:w="1580" w:type="dxa"/>
            <w:gridSpan w:val="2"/>
            <w:tcBorders>
              <w:top w:val="nil"/>
              <w:left w:val="nil"/>
              <w:bottom w:val="nil"/>
              <w:right w:val="nil"/>
            </w:tcBorders>
            <w:shd w:val="clear" w:color="auto" w:fill="auto"/>
            <w:vAlign w:val="bottom"/>
            <w:hideMark/>
          </w:tcPr>
          <w:p w14:paraId="6D54C535"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22</w:t>
            </w:r>
          </w:p>
        </w:tc>
      </w:tr>
      <w:tr w:rsidR="0068738B" w:rsidRPr="001B5760" w14:paraId="6F6126B7" w14:textId="77777777" w:rsidTr="00CE39D1">
        <w:trPr>
          <w:trHeight w:val="220"/>
          <w:jc w:val="center"/>
        </w:trPr>
        <w:tc>
          <w:tcPr>
            <w:tcW w:w="4410" w:type="dxa"/>
            <w:gridSpan w:val="2"/>
            <w:tcBorders>
              <w:top w:val="nil"/>
              <w:left w:val="nil"/>
              <w:bottom w:val="nil"/>
              <w:right w:val="nil"/>
            </w:tcBorders>
            <w:shd w:val="clear" w:color="auto" w:fill="auto"/>
            <w:vAlign w:val="bottom"/>
            <w:hideMark/>
          </w:tcPr>
          <w:p w14:paraId="74716068" w14:textId="3D863545" w:rsidR="0068738B" w:rsidRPr="001B5760" w:rsidRDefault="0068738B" w:rsidP="00AA1F9E">
            <w:pPr>
              <w:rPr>
                <w:rFonts w:ascii="Arial" w:eastAsia="SimSun" w:hAnsi="Arial" w:cs="Arial"/>
                <w:b/>
                <w:color w:val="000000"/>
                <w:kern w:val="0"/>
                <w:lang w:eastAsia="zh-CN"/>
              </w:rPr>
            </w:pPr>
            <w:r w:rsidRPr="001B5760">
              <w:rPr>
                <w:rFonts w:ascii="Arial" w:eastAsia="SimSun" w:hAnsi="Arial" w:cs="Arial"/>
                <w:b/>
                <w:color w:val="000000"/>
                <w:kern w:val="0"/>
                <w:lang w:eastAsia="zh-CN"/>
              </w:rPr>
              <w:t>Breakdown by Product Category</w:t>
            </w:r>
            <w:r w:rsidR="00245B1B">
              <w:rPr>
                <w:rFonts w:ascii="Arial" w:eastAsia="SimSun" w:hAnsi="Arial" w:cs="Arial"/>
                <w:b/>
                <w:color w:val="000000"/>
                <w:kern w:val="0"/>
                <w:lang w:eastAsia="zh-CN"/>
              </w:rPr>
              <w:t xml:space="preserve"> </w:t>
            </w:r>
            <w:r w:rsidR="00245B1B" w:rsidRPr="001B5760">
              <w:rPr>
                <w:rFonts w:ascii="Arial" w:eastAsia="SimSun" w:hAnsi="Arial" w:cs="Arial"/>
                <w:b/>
                <w:color w:val="000000"/>
                <w:kern w:val="0"/>
                <w:sz w:val="22"/>
                <w:szCs w:val="22"/>
                <w:lang w:eastAsia="zh-CN"/>
              </w:rPr>
              <w:t>(</w:t>
            </w:r>
            <w:r w:rsidR="00245B1B">
              <w:rPr>
                <w:rFonts w:ascii="Arial" w:eastAsia="SimSun" w:hAnsi="Arial" w:cs="Arial"/>
                <w:b/>
                <w:color w:val="000000"/>
                <w:kern w:val="0"/>
                <w:sz w:val="22"/>
                <w:szCs w:val="22"/>
                <w:lang w:eastAsia="zh-CN"/>
              </w:rPr>
              <w:t>%</w:t>
            </w:r>
            <w:r w:rsidR="00245B1B" w:rsidRPr="001B5760">
              <w:rPr>
                <w:rFonts w:ascii="Arial" w:eastAsia="SimSun" w:hAnsi="Arial" w:cs="Arial"/>
                <w:b/>
                <w:color w:val="000000"/>
                <w:kern w:val="0"/>
                <w:sz w:val="22"/>
                <w:szCs w:val="22"/>
                <w:lang w:eastAsia="zh-CN"/>
              </w:rPr>
              <w:t>)</w:t>
            </w:r>
          </w:p>
        </w:tc>
        <w:tc>
          <w:tcPr>
            <w:tcW w:w="1130" w:type="dxa"/>
            <w:tcBorders>
              <w:top w:val="nil"/>
              <w:left w:val="nil"/>
              <w:bottom w:val="nil"/>
              <w:right w:val="nil"/>
            </w:tcBorders>
            <w:shd w:val="clear" w:color="auto" w:fill="auto"/>
            <w:vAlign w:val="bottom"/>
            <w:hideMark/>
          </w:tcPr>
          <w:p w14:paraId="3C8C59E3" w14:textId="77777777" w:rsidR="0068738B" w:rsidRPr="001B5760" w:rsidRDefault="0068738B" w:rsidP="00AA1F9E">
            <w:pPr>
              <w:rPr>
                <w:rFonts w:ascii="Arial" w:eastAsia="SimSun" w:hAnsi="Arial" w:cs="Arial"/>
                <w:b/>
                <w:color w:val="000000"/>
                <w:kern w:val="0"/>
                <w:lang w:eastAsia="zh-CN"/>
              </w:rPr>
            </w:pPr>
          </w:p>
        </w:tc>
      </w:tr>
      <w:tr w:rsidR="0068738B" w:rsidRPr="001B5760" w14:paraId="3A6349E0" w14:textId="77777777" w:rsidTr="00CE39D1">
        <w:trPr>
          <w:trHeight w:val="124"/>
          <w:jc w:val="center"/>
        </w:trPr>
        <w:tc>
          <w:tcPr>
            <w:tcW w:w="3960" w:type="dxa"/>
            <w:tcBorders>
              <w:top w:val="nil"/>
              <w:left w:val="nil"/>
              <w:bottom w:val="nil"/>
              <w:right w:val="nil"/>
            </w:tcBorders>
            <w:shd w:val="clear" w:color="auto" w:fill="auto"/>
            <w:vAlign w:val="bottom"/>
            <w:hideMark/>
          </w:tcPr>
          <w:p w14:paraId="7D171EBB"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Leather Goods</w:t>
            </w:r>
          </w:p>
        </w:tc>
        <w:tc>
          <w:tcPr>
            <w:tcW w:w="1580" w:type="dxa"/>
            <w:gridSpan w:val="2"/>
            <w:tcBorders>
              <w:top w:val="nil"/>
              <w:left w:val="nil"/>
              <w:bottom w:val="nil"/>
              <w:right w:val="nil"/>
            </w:tcBorders>
            <w:shd w:val="clear" w:color="auto" w:fill="auto"/>
            <w:vAlign w:val="bottom"/>
            <w:hideMark/>
          </w:tcPr>
          <w:p w14:paraId="7B02EDA2"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53</w:t>
            </w:r>
          </w:p>
        </w:tc>
      </w:tr>
      <w:tr w:rsidR="0068738B" w:rsidRPr="001B5760" w14:paraId="0EBCB9C0" w14:textId="77777777" w:rsidTr="00CE39D1">
        <w:trPr>
          <w:trHeight w:val="142"/>
          <w:jc w:val="center"/>
        </w:trPr>
        <w:tc>
          <w:tcPr>
            <w:tcW w:w="3960" w:type="dxa"/>
            <w:tcBorders>
              <w:top w:val="nil"/>
              <w:left w:val="nil"/>
              <w:bottom w:val="nil"/>
              <w:right w:val="nil"/>
            </w:tcBorders>
            <w:shd w:val="clear" w:color="auto" w:fill="auto"/>
            <w:vAlign w:val="bottom"/>
            <w:hideMark/>
          </w:tcPr>
          <w:p w14:paraId="0E15F11E"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Shoes</w:t>
            </w:r>
          </w:p>
        </w:tc>
        <w:tc>
          <w:tcPr>
            <w:tcW w:w="1580" w:type="dxa"/>
            <w:gridSpan w:val="2"/>
            <w:tcBorders>
              <w:top w:val="nil"/>
              <w:left w:val="nil"/>
              <w:bottom w:val="nil"/>
              <w:right w:val="nil"/>
            </w:tcBorders>
            <w:shd w:val="clear" w:color="auto" w:fill="auto"/>
            <w:vAlign w:val="bottom"/>
            <w:hideMark/>
          </w:tcPr>
          <w:p w14:paraId="7ACFBE19"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12</w:t>
            </w:r>
          </w:p>
        </w:tc>
      </w:tr>
      <w:tr w:rsidR="0068738B" w:rsidRPr="001B5760" w14:paraId="138748B2" w14:textId="77777777" w:rsidTr="00CE39D1">
        <w:trPr>
          <w:trHeight w:val="174"/>
          <w:jc w:val="center"/>
        </w:trPr>
        <w:tc>
          <w:tcPr>
            <w:tcW w:w="3960" w:type="dxa"/>
            <w:tcBorders>
              <w:top w:val="nil"/>
              <w:left w:val="nil"/>
              <w:bottom w:val="nil"/>
              <w:right w:val="nil"/>
            </w:tcBorders>
            <w:shd w:val="clear" w:color="auto" w:fill="auto"/>
            <w:vAlign w:val="bottom"/>
            <w:hideMark/>
          </w:tcPr>
          <w:p w14:paraId="792EA72E" w14:textId="60B6713B"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Ready-to-</w:t>
            </w:r>
            <w:r w:rsidR="00245B1B">
              <w:rPr>
                <w:rFonts w:ascii="Arial" w:eastAsia="SimSun" w:hAnsi="Arial" w:cs="Arial"/>
                <w:color w:val="000000"/>
                <w:kern w:val="0"/>
                <w:lang w:eastAsia="zh-CN"/>
              </w:rPr>
              <w:t>W</w:t>
            </w:r>
            <w:r w:rsidRPr="001B5760">
              <w:rPr>
                <w:rFonts w:ascii="Arial" w:eastAsia="SimSun" w:hAnsi="Arial" w:cs="Arial"/>
                <w:color w:val="000000"/>
                <w:kern w:val="0"/>
                <w:lang w:eastAsia="zh-CN"/>
              </w:rPr>
              <w:t>ear</w:t>
            </w:r>
          </w:p>
        </w:tc>
        <w:tc>
          <w:tcPr>
            <w:tcW w:w="1580" w:type="dxa"/>
            <w:gridSpan w:val="2"/>
            <w:tcBorders>
              <w:top w:val="nil"/>
              <w:left w:val="nil"/>
              <w:bottom w:val="nil"/>
              <w:right w:val="nil"/>
            </w:tcBorders>
            <w:shd w:val="clear" w:color="auto" w:fill="auto"/>
            <w:vAlign w:val="bottom"/>
            <w:hideMark/>
          </w:tcPr>
          <w:p w14:paraId="0DD084E7"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16</w:t>
            </w:r>
          </w:p>
        </w:tc>
      </w:tr>
      <w:tr w:rsidR="0068738B" w:rsidRPr="001B5760" w14:paraId="6565477E" w14:textId="77777777" w:rsidTr="00CE39D1">
        <w:trPr>
          <w:trHeight w:val="78"/>
          <w:jc w:val="center"/>
        </w:trPr>
        <w:tc>
          <w:tcPr>
            <w:tcW w:w="3960" w:type="dxa"/>
            <w:tcBorders>
              <w:top w:val="nil"/>
              <w:left w:val="nil"/>
              <w:bottom w:val="nil"/>
              <w:right w:val="nil"/>
            </w:tcBorders>
            <w:shd w:val="clear" w:color="auto" w:fill="auto"/>
            <w:vAlign w:val="bottom"/>
            <w:hideMark/>
          </w:tcPr>
          <w:p w14:paraId="47FC7FAC"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Watches</w:t>
            </w:r>
          </w:p>
        </w:tc>
        <w:tc>
          <w:tcPr>
            <w:tcW w:w="1580" w:type="dxa"/>
            <w:gridSpan w:val="2"/>
            <w:tcBorders>
              <w:top w:val="nil"/>
              <w:left w:val="nil"/>
              <w:bottom w:val="nil"/>
              <w:right w:val="nil"/>
            </w:tcBorders>
            <w:shd w:val="clear" w:color="auto" w:fill="auto"/>
            <w:vAlign w:val="bottom"/>
            <w:hideMark/>
          </w:tcPr>
          <w:p w14:paraId="3CBACD5D"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5</w:t>
            </w:r>
          </w:p>
        </w:tc>
      </w:tr>
      <w:tr w:rsidR="0068738B" w:rsidRPr="001B5760" w14:paraId="2D74E60E" w14:textId="77777777" w:rsidTr="00CE39D1">
        <w:trPr>
          <w:trHeight w:val="237"/>
          <w:jc w:val="center"/>
        </w:trPr>
        <w:tc>
          <w:tcPr>
            <w:tcW w:w="3960" w:type="dxa"/>
            <w:tcBorders>
              <w:top w:val="nil"/>
              <w:left w:val="nil"/>
              <w:bottom w:val="nil"/>
              <w:right w:val="nil"/>
            </w:tcBorders>
            <w:shd w:val="clear" w:color="auto" w:fill="auto"/>
            <w:vAlign w:val="bottom"/>
            <w:hideMark/>
          </w:tcPr>
          <w:p w14:paraId="79749D63" w14:textId="76F98B70"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Jewel</w:t>
            </w:r>
            <w:r w:rsidR="00245B1B">
              <w:rPr>
                <w:rFonts w:ascii="Arial" w:eastAsia="SimSun" w:hAnsi="Arial" w:cs="Arial"/>
                <w:color w:val="000000"/>
                <w:kern w:val="0"/>
                <w:lang w:eastAsia="zh-CN"/>
              </w:rPr>
              <w:t>le</w:t>
            </w:r>
            <w:r w:rsidRPr="001B5760">
              <w:rPr>
                <w:rFonts w:ascii="Arial" w:eastAsia="SimSun" w:hAnsi="Arial" w:cs="Arial"/>
                <w:color w:val="000000"/>
                <w:kern w:val="0"/>
                <w:lang w:eastAsia="zh-CN"/>
              </w:rPr>
              <w:t>ry</w:t>
            </w:r>
          </w:p>
        </w:tc>
        <w:tc>
          <w:tcPr>
            <w:tcW w:w="1580" w:type="dxa"/>
            <w:gridSpan w:val="2"/>
            <w:tcBorders>
              <w:top w:val="nil"/>
              <w:left w:val="nil"/>
              <w:bottom w:val="nil"/>
              <w:right w:val="nil"/>
            </w:tcBorders>
            <w:shd w:val="clear" w:color="auto" w:fill="auto"/>
            <w:vAlign w:val="bottom"/>
            <w:hideMark/>
          </w:tcPr>
          <w:p w14:paraId="09C6DF65"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6</w:t>
            </w:r>
          </w:p>
        </w:tc>
      </w:tr>
      <w:tr w:rsidR="0068738B" w:rsidRPr="001B5760" w14:paraId="3CD5F464" w14:textId="77777777" w:rsidTr="00CE39D1">
        <w:trPr>
          <w:trHeight w:val="128"/>
          <w:jc w:val="center"/>
        </w:trPr>
        <w:tc>
          <w:tcPr>
            <w:tcW w:w="3960" w:type="dxa"/>
            <w:tcBorders>
              <w:top w:val="nil"/>
              <w:left w:val="nil"/>
              <w:bottom w:val="nil"/>
              <w:right w:val="nil"/>
            </w:tcBorders>
            <w:shd w:val="clear" w:color="auto" w:fill="auto"/>
            <w:vAlign w:val="bottom"/>
            <w:hideMark/>
          </w:tcPr>
          <w:p w14:paraId="78AA820C"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Others</w:t>
            </w:r>
          </w:p>
        </w:tc>
        <w:tc>
          <w:tcPr>
            <w:tcW w:w="1580" w:type="dxa"/>
            <w:gridSpan w:val="2"/>
            <w:tcBorders>
              <w:top w:val="nil"/>
              <w:left w:val="nil"/>
              <w:bottom w:val="nil"/>
              <w:right w:val="nil"/>
            </w:tcBorders>
            <w:shd w:val="clear" w:color="auto" w:fill="auto"/>
            <w:vAlign w:val="bottom"/>
            <w:hideMark/>
          </w:tcPr>
          <w:p w14:paraId="404BF3D4"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8</w:t>
            </w:r>
          </w:p>
        </w:tc>
      </w:tr>
      <w:tr w:rsidR="0068738B" w:rsidRPr="001B5760" w14:paraId="5943984A" w14:textId="77777777" w:rsidTr="00CE39D1">
        <w:trPr>
          <w:trHeight w:val="159"/>
          <w:jc w:val="center"/>
        </w:trPr>
        <w:tc>
          <w:tcPr>
            <w:tcW w:w="3960" w:type="dxa"/>
            <w:tcBorders>
              <w:top w:val="nil"/>
              <w:left w:val="nil"/>
              <w:bottom w:val="nil"/>
              <w:right w:val="nil"/>
            </w:tcBorders>
            <w:shd w:val="clear" w:color="auto" w:fill="auto"/>
            <w:vAlign w:val="bottom"/>
            <w:hideMark/>
          </w:tcPr>
          <w:p w14:paraId="770D7B23" w14:textId="1ACA8B04" w:rsidR="0068738B" w:rsidRPr="001B5760" w:rsidRDefault="0068738B" w:rsidP="00AA1F9E">
            <w:pPr>
              <w:autoSpaceDE w:val="0"/>
              <w:autoSpaceDN w:val="0"/>
              <w:adjustRightInd w:val="0"/>
              <w:textAlignment w:val="center"/>
              <w:rPr>
                <w:rFonts w:ascii="Arial" w:eastAsia="SimSun" w:hAnsi="Arial" w:cs="Arial"/>
                <w:b/>
                <w:color w:val="000000"/>
                <w:kern w:val="0"/>
                <w:lang w:eastAsia="zh-CN"/>
              </w:rPr>
            </w:pPr>
            <w:r w:rsidRPr="001B5760">
              <w:rPr>
                <w:rFonts w:ascii="Arial" w:eastAsia="SimSun" w:hAnsi="Arial" w:cs="Arial"/>
                <w:b/>
                <w:color w:val="000000"/>
                <w:kern w:val="0"/>
                <w:lang w:eastAsia="zh-CN"/>
              </w:rPr>
              <w:t xml:space="preserve">Breakdown by Region </w:t>
            </w:r>
            <w:r w:rsidR="00245B1B" w:rsidRPr="001B5760">
              <w:rPr>
                <w:rFonts w:ascii="Arial" w:eastAsia="SimSun" w:hAnsi="Arial" w:cs="Arial"/>
                <w:b/>
                <w:color w:val="000000"/>
                <w:kern w:val="0"/>
                <w:sz w:val="22"/>
                <w:szCs w:val="22"/>
                <w:lang w:eastAsia="zh-CN"/>
              </w:rPr>
              <w:t>(</w:t>
            </w:r>
            <w:r w:rsidR="00245B1B">
              <w:rPr>
                <w:rFonts w:ascii="Arial" w:eastAsia="SimSun" w:hAnsi="Arial" w:cs="Arial"/>
                <w:b/>
                <w:color w:val="000000"/>
                <w:kern w:val="0"/>
                <w:sz w:val="22"/>
                <w:szCs w:val="22"/>
                <w:lang w:eastAsia="zh-CN"/>
              </w:rPr>
              <w:t>%</w:t>
            </w:r>
            <w:r w:rsidR="00245B1B" w:rsidRPr="001B5760">
              <w:rPr>
                <w:rFonts w:ascii="Arial" w:eastAsia="SimSun" w:hAnsi="Arial" w:cs="Arial"/>
                <w:b/>
                <w:color w:val="000000"/>
                <w:kern w:val="0"/>
                <w:sz w:val="22"/>
                <w:szCs w:val="22"/>
                <w:lang w:eastAsia="zh-CN"/>
              </w:rPr>
              <w:t>)</w:t>
            </w:r>
          </w:p>
        </w:tc>
        <w:tc>
          <w:tcPr>
            <w:tcW w:w="1580" w:type="dxa"/>
            <w:gridSpan w:val="2"/>
            <w:tcBorders>
              <w:top w:val="nil"/>
              <w:left w:val="nil"/>
              <w:bottom w:val="nil"/>
              <w:right w:val="nil"/>
            </w:tcBorders>
            <w:shd w:val="clear" w:color="auto" w:fill="auto"/>
            <w:vAlign w:val="bottom"/>
            <w:hideMark/>
          </w:tcPr>
          <w:p w14:paraId="5B39F39C" w14:textId="77777777" w:rsidR="0068738B" w:rsidRPr="001B5760" w:rsidRDefault="0068738B" w:rsidP="00AA1F9E">
            <w:pPr>
              <w:rPr>
                <w:rFonts w:ascii="Arial" w:eastAsia="SimSun" w:hAnsi="Arial" w:cs="Arial"/>
                <w:b/>
                <w:color w:val="000000"/>
                <w:kern w:val="0"/>
                <w:lang w:eastAsia="zh-CN"/>
              </w:rPr>
            </w:pPr>
          </w:p>
        </w:tc>
      </w:tr>
      <w:tr w:rsidR="0068738B" w:rsidRPr="001B5760" w14:paraId="1F4558CD" w14:textId="77777777" w:rsidTr="00CE39D1">
        <w:trPr>
          <w:trHeight w:val="192"/>
          <w:jc w:val="center"/>
        </w:trPr>
        <w:tc>
          <w:tcPr>
            <w:tcW w:w="3960" w:type="dxa"/>
            <w:tcBorders>
              <w:top w:val="nil"/>
              <w:left w:val="nil"/>
              <w:bottom w:val="nil"/>
              <w:right w:val="nil"/>
            </w:tcBorders>
            <w:shd w:val="clear" w:color="auto" w:fill="auto"/>
            <w:vAlign w:val="bottom"/>
            <w:hideMark/>
          </w:tcPr>
          <w:p w14:paraId="113628F3"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Western Europe</w:t>
            </w:r>
          </w:p>
        </w:tc>
        <w:tc>
          <w:tcPr>
            <w:tcW w:w="1580" w:type="dxa"/>
            <w:gridSpan w:val="2"/>
            <w:tcBorders>
              <w:top w:val="nil"/>
              <w:left w:val="nil"/>
              <w:bottom w:val="nil"/>
              <w:right w:val="nil"/>
            </w:tcBorders>
            <w:shd w:val="clear" w:color="auto" w:fill="auto"/>
            <w:vAlign w:val="bottom"/>
            <w:hideMark/>
          </w:tcPr>
          <w:p w14:paraId="65CDB27D"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33</w:t>
            </w:r>
          </w:p>
        </w:tc>
      </w:tr>
      <w:tr w:rsidR="0068738B" w:rsidRPr="001B5760" w14:paraId="12584CFF" w14:textId="77777777" w:rsidTr="00CE39D1">
        <w:trPr>
          <w:trHeight w:val="210"/>
          <w:jc w:val="center"/>
        </w:trPr>
        <w:tc>
          <w:tcPr>
            <w:tcW w:w="3960" w:type="dxa"/>
            <w:tcBorders>
              <w:top w:val="nil"/>
              <w:left w:val="nil"/>
              <w:bottom w:val="nil"/>
              <w:right w:val="nil"/>
            </w:tcBorders>
            <w:shd w:val="clear" w:color="auto" w:fill="auto"/>
            <w:vAlign w:val="bottom"/>
            <w:hideMark/>
          </w:tcPr>
          <w:p w14:paraId="426C7FD2"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North America</w:t>
            </w:r>
          </w:p>
        </w:tc>
        <w:tc>
          <w:tcPr>
            <w:tcW w:w="1580" w:type="dxa"/>
            <w:gridSpan w:val="2"/>
            <w:tcBorders>
              <w:top w:val="nil"/>
              <w:left w:val="nil"/>
              <w:bottom w:val="nil"/>
              <w:right w:val="nil"/>
            </w:tcBorders>
            <w:shd w:val="clear" w:color="auto" w:fill="auto"/>
            <w:vAlign w:val="bottom"/>
            <w:hideMark/>
          </w:tcPr>
          <w:p w14:paraId="577082D7"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20</w:t>
            </w:r>
          </w:p>
        </w:tc>
      </w:tr>
      <w:tr w:rsidR="0068738B" w:rsidRPr="001B5760" w14:paraId="4BDE2A2A" w14:textId="77777777" w:rsidTr="00CE39D1">
        <w:trPr>
          <w:trHeight w:val="114"/>
          <w:jc w:val="center"/>
        </w:trPr>
        <w:tc>
          <w:tcPr>
            <w:tcW w:w="3960" w:type="dxa"/>
            <w:tcBorders>
              <w:top w:val="nil"/>
              <w:left w:val="nil"/>
              <w:bottom w:val="nil"/>
              <w:right w:val="nil"/>
            </w:tcBorders>
            <w:shd w:val="clear" w:color="auto" w:fill="auto"/>
            <w:vAlign w:val="bottom"/>
            <w:hideMark/>
          </w:tcPr>
          <w:p w14:paraId="608E92C6"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Asia Pacific</w:t>
            </w:r>
          </w:p>
        </w:tc>
        <w:tc>
          <w:tcPr>
            <w:tcW w:w="1580" w:type="dxa"/>
            <w:gridSpan w:val="2"/>
            <w:tcBorders>
              <w:top w:val="nil"/>
              <w:left w:val="nil"/>
              <w:bottom w:val="nil"/>
              <w:right w:val="nil"/>
            </w:tcBorders>
            <w:shd w:val="clear" w:color="auto" w:fill="auto"/>
            <w:vAlign w:val="bottom"/>
            <w:hideMark/>
          </w:tcPr>
          <w:p w14:paraId="58A1A25A" w14:textId="77777777" w:rsidR="0068738B" w:rsidRPr="001B5760" w:rsidRDefault="0068738B" w:rsidP="00AA1F9E">
            <w:pPr>
              <w:jc w:val="right"/>
              <w:rPr>
                <w:rFonts w:ascii="Arial" w:eastAsia="SimSun" w:hAnsi="Arial" w:cs="Arial"/>
                <w:color w:val="000000"/>
                <w:kern w:val="0"/>
                <w:lang w:eastAsia="zh-CN"/>
              </w:rPr>
            </w:pPr>
            <w:r w:rsidRPr="001B5760">
              <w:rPr>
                <w:rFonts w:ascii="Arial" w:eastAsia="SimSun" w:hAnsi="Arial" w:cs="Arial"/>
                <w:color w:val="000000"/>
                <w:kern w:val="0"/>
                <w:lang w:eastAsia="zh-CN"/>
              </w:rPr>
              <w:t>30</w:t>
            </w:r>
          </w:p>
        </w:tc>
      </w:tr>
      <w:tr w:rsidR="0068738B" w:rsidRPr="001B5760" w14:paraId="3C03950B" w14:textId="77777777" w:rsidTr="00CE39D1">
        <w:trPr>
          <w:trHeight w:val="146"/>
          <w:jc w:val="center"/>
        </w:trPr>
        <w:tc>
          <w:tcPr>
            <w:tcW w:w="3960" w:type="dxa"/>
            <w:tcBorders>
              <w:top w:val="nil"/>
              <w:left w:val="nil"/>
              <w:bottom w:val="nil"/>
              <w:right w:val="nil"/>
            </w:tcBorders>
            <w:shd w:val="clear" w:color="auto" w:fill="auto"/>
            <w:vAlign w:val="bottom"/>
            <w:hideMark/>
          </w:tcPr>
          <w:p w14:paraId="25047470"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Japan</w:t>
            </w:r>
          </w:p>
        </w:tc>
        <w:tc>
          <w:tcPr>
            <w:tcW w:w="1580" w:type="dxa"/>
            <w:gridSpan w:val="2"/>
            <w:tcBorders>
              <w:top w:val="nil"/>
              <w:left w:val="nil"/>
              <w:bottom w:val="nil"/>
              <w:right w:val="nil"/>
            </w:tcBorders>
            <w:shd w:val="clear" w:color="auto" w:fill="auto"/>
            <w:vAlign w:val="bottom"/>
            <w:hideMark/>
          </w:tcPr>
          <w:p w14:paraId="36F3A4BC"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10</w:t>
            </w:r>
          </w:p>
        </w:tc>
      </w:tr>
      <w:tr w:rsidR="0068738B" w:rsidRPr="001B5760" w14:paraId="213E4893" w14:textId="77777777" w:rsidTr="00CE39D1">
        <w:trPr>
          <w:trHeight w:val="164"/>
          <w:jc w:val="center"/>
        </w:trPr>
        <w:tc>
          <w:tcPr>
            <w:tcW w:w="3960" w:type="dxa"/>
            <w:tcBorders>
              <w:top w:val="nil"/>
              <w:left w:val="nil"/>
              <w:bottom w:val="single" w:sz="4" w:space="0" w:color="auto"/>
              <w:right w:val="nil"/>
            </w:tcBorders>
            <w:shd w:val="clear" w:color="auto" w:fill="auto"/>
            <w:vAlign w:val="bottom"/>
            <w:hideMark/>
          </w:tcPr>
          <w:p w14:paraId="70798B2E" w14:textId="77777777" w:rsidR="0068738B" w:rsidRPr="001B5760" w:rsidRDefault="0068738B" w:rsidP="00AA1F9E">
            <w:pPr>
              <w:autoSpaceDE w:val="0"/>
              <w:autoSpaceDN w:val="0"/>
              <w:adjustRightInd w:val="0"/>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Other Countries</w:t>
            </w:r>
          </w:p>
        </w:tc>
        <w:tc>
          <w:tcPr>
            <w:tcW w:w="1580" w:type="dxa"/>
            <w:gridSpan w:val="2"/>
            <w:tcBorders>
              <w:top w:val="nil"/>
              <w:left w:val="nil"/>
              <w:bottom w:val="single" w:sz="4" w:space="0" w:color="auto"/>
              <w:right w:val="nil"/>
            </w:tcBorders>
            <w:shd w:val="clear" w:color="auto" w:fill="auto"/>
            <w:vAlign w:val="bottom"/>
            <w:hideMark/>
          </w:tcPr>
          <w:p w14:paraId="01DD48CB" w14:textId="77777777" w:rsidR="0068738B" w:rsidRPr="001B5760" w:rsidRDefault="0068738B" w:rsidP="00AA1F9E">
            <w:pPr>
              <w:autoSpaceDE w:val="0"/>
              <w:autoSpaceDN w:val="0"/>
              <w:adjustRightInd w:val="0"/>
              <w:jc w:val="right"/>
              <w:textAlignment w:val="center"/>
              <w:rPr>
                <w:rFonts w:ascii="Arial" w:eastAsia="SimSun" w:hAnsi="Arial" w:cs="Arial"/>
                <w:color w:val="000000"/>
                <w:kern w:val="0"/>
                <w:lang w:eastAsia="zh-CN"/>
              </w:rPr>
            </w:pPr>
            <w:r w:rsidRPr="001B5760">
              <w:rPr>
                <w:rFonts w:ascii="Arial" w:eastAsia="SimSun" w:hAnsi="Arial" w:cs="Arial"/>
                <w:color w:val="000000"/>
                <w:kern w:val="0"/>
                <w:lang w:eastAsia="zh-CN"/>
              </w:rPr>
              <w:t>7</w:t>
            </w:r>
          </w:p>
        </w:tc>
      </w:tr>
    </w:tbl>
    <w:p w14:paraId="6D72E50D" w14:textId="77777777" w:rsidR="0068738B" w:rsidRPr="001B5760" w:rsidRDefault="0068738B" w:rsidP="00356EF7">
      <w:pPr>
        <w:pStyle w:val="ExhibitText"/>
      </w:pPr>
    </w:p>
    <w:p w14:paraId="6BCA16A9" w14:textId="42E96C37" w:rsidR="0068738B" w:rsidRDefault="0068738B" w:rsidP="00CE39D1">
      <w:pPr>
        <w:pStyle w:val="Footnote"/>
      </w:pPr>
      <w:r w:rsidRPr="001B5760">
        <w:t xml:space="preserve">Source: </w:t>
      </w:r>
      <w:r w:rsidR="0076595B">
        <w:t>“Brands</w:t>
      </w:r>
      <w:r w:rsidR="0076595B" w:rsidRPr="001B5760">
        <w:t xml:space="preserve"> Key Figures,” </w:t>
      </w:r>
      <w:proofErr w:type="spellStart"/>
      <w:r w:rsidR="0076595B" w:rsidRPr="001B5760">
        <w:t>Kering</w:t>
      </w:r>
      <w:proofErr w:type="spellEnd"/>
      <w:r w:rsidR="0076595B" w:rsidRPr="001B5760">
        <w:t xml:space="preserve"> Group</w:t>
      </w:r>
      <w:r w:rsidR="0076595B">
        <w:t>, accessed June 10, 2016, www.</w:t>
      </w:r>
      <w:r w:rsidR="0076595B" w:rsidRPr="001B5760">
        <w:t>kering.com/en/finance/group/brands-key-figures</w:t>
      </w:r>
      <w:r w:rsidR="0076595B">
        <w:t>.</w:t>
      </w:r>
      <w:r w:rsidR="0076595B" w:rsidRPr="001B5760">
        <w:t xml:space="preserve"> </w:t>
      </w:r>
    </w:p>
    <w:p w14:paraId="7458F7F2" w14:textId="77777777" w:rsidR="00A556EC" w:rsidRDefault="00A556EC" w:rsidP="00356EF7">
      <w:pPr>
        <w:pStyle w:val="ExhibitText"/>
      </w:pPr>
    </w:p>
    <w:p w14:paraId="142CF95A" w14:textId="77777777" w:rsidR="00A556EC" w:rsidRPr="001B5760" w:rsidRDefault="00A556EC" w:rsidP="00356EF7">
      <w:pPr>
        <w:pStyle w:val="ExhibitText"/>
      </w:pPr>
    </w:p>
    <w:p w14:paraId="42D443CF" w14:textId="587963FA" w:rsidR="0068738B" w:rsidRDefault="0068738B" w:rsidP="00356EF7">
      <w:pPr>
        <w:pStyle w:val="ExhibitHeading"/>
      </w:pPr>
      <w:r w:rsidRPr="001B5760">
        <w:t>EXHIBIT 4: KERING GROUP Brands</w:t>
      </w:r>
      <w:r w:rsidR="007779F3">
        <w:t xml:space="preserve"> in </w:t>
      </w:r>
      <w:r w:rsidR="0076595B">
        <w:t>2017</w:t>
      </w:r>
    </w:p>
    <w:p w14:paraId="6BEF3FC2" w14:textId="77777777" w:rsidR="00A556EC" w:rsidRPr="001B5760" w:rsidRDefault="00A556EC" w:rsidP="00356EF7">
      <w:pPr>
        <w:pStyle w:val="ExhibitText"/>
      </w:pPr>
    </w:p>
    <w:tbl>
      <w:tblPr>
        <w:tblW w:w="4363" w:type="dxa"/>
        <w:jc w:val="center"/>
        <w:tblLook w:val="04A0" w:firstRow="1" w:lastRow="0" w:firstColumn="1" w:lastColumn="0" w:noHBand="0" w:noVBand="1"/>
      </w:tblPr>
      <w:tblGrid>
        <w:gridCol w:w="4363"/>
      </w:tblGrid>
      <w:tr w:rsidR="0068738B" w:rsidRPr="001B5760" w14:paraId="2A5456FE" w14:textId="77777777" w:rsidTr="00AA1F9E">
        <w:trPr>
          <w:trHeight w:val="258"/>
          <w:jc w:val="center"/>
        </w:trPr>
        <w:tc>
          <w:tcPr>
            <w:tcW w:w="4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A441F" w14:textId="77777777" w:rsidR="0068738B" w:rsidRPr="001B5760" w:rsidRDefault="0068738B" w:rsidP="00AA1F9E">
            <w:pPr>
              <w:jc w:val="center"/>
              <w:rPr>
                <w:rFonts w:ascii="Arial" w:hAnsi="Arial" w:cs="Arial"/>
                <w:b/>
                <w:bCs/>
                <w:color w:val="000000"/>
                <w:kern w:val="0"/>
                <w:lang w:eastAsia="ja-JP"/>
              </w:rPr>
            </w:pPr>
            <w:proofErr w:type="spellStart"/>
            <w:r w:rsidRPr="001B5760">
              <w:rPr>
                <w:rFonts w:ascii="Arial" w:hAnsi="Arial" w:cs="Arial"/>
                <w:b/>
                <w:bCs/>
                <w:color w:val="000000"/>
                <w:kern w:val="0"/>
                <w:lang w:eastAsia="ja-JP"/>
              </w:rPr>
              <w:t>Kering</w:t>
            </w:r>
            <w:proofErr w:type="spellEnd"/>
            <w:r w:rsidRPr="001B5760">
              <w:rPr>
                <w:rFonts w:ascii="Arial" w:hAnsi="Arial" w:cs="Arial"/>
                <w:b/>
                <w:bCs/>
                <w:color w:val="000000"/>
                <w:kern w:val="0"/>
                <w:lang w:eastAsia="ja-JP"/>
              </w:rPr>
              <w:t xml:space="preserve"> Group Brands</w:t>
            </w:r>
          </w:p>
        </w:tc>
      </w:tr>
      <w:tr w:rsidR="0068738B" w:rsidRPr="001B5760" w14:paraId="33D0FFEB"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009A202D"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Gucci</w:t>
            </w:r>
          </w:p>
        </w:tc>
      </w:tr>
      <w:tr w:rsidR="0068738B" w:rsidRPr="001B5760" w14:paraId="56D4822C"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73F69C3B"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Bottega</w:t>
            </w:r>
            <w:proofErr w:type="spellEnd"/>
            <w:r w:rsidRPr="001B5760">
              <w:rPr>
                <w:rFonts w:ascii="Arial" w:hAnsi="Arial" w:cs="Arial"/>
                <w:color w:val="000000"/>
                <w:kern w:val="0"/>
                <w:lang w:eastAsia="ja-JP"/>
              </w:rPr>
              <w:t xml:space="preserve"> </w:t>
            </w:r>
            <w:proofErr w:type="spellStart"/>
            <w:r w:rsidRPr="001B5760">
              <w:rPr>
                <w:rFonts w:ascii="Arial" w:hAnsi="Arial" w:cs="Arial"/>
                <w:color w:val="000000"/>
                <w:kern w:val="0"/>
                <w:lang w:eastAsia="ja-JP"/>
              </w:rPr>
              <w:t>Veneta</w:t>
            </w:r>
            <w:proofErr w:type="spellEnd"/>
          </w:p>
        </w:tc>
      </w:tr>
      <w:tr w:rsidR="0068738B" w:rsidRPr="001B5760" w14:paraId="67209DEB"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3192C872" w14:textId="2AEFAD62" w:rsidR="0068738B" w:rsidRPr="001B5760" w:rsidRDefault="008B5B9F" w:rsidP="00AA1F9E">
            <w:pPr>
              <w:jc w:val="center"/>
              <w:rPr>
                <w:rFonts w:ascii="Arial" w:hAnsi="Arial" w:cs="Arial"/>
                <w:color w:val="000000"/>
                <w:kern w:val="0"/>
                <w:lang w:eastAsia="ja-JP"/>
              </w:rPr>
            </w:pPr>
            <w:r>
              <w:rPr>
                <w:rFonts w:ascii="Arial" w:hAnsi="Arial" w:cs="Arial"/>
                <w:color w:val="000000"/>
                <w:kern w:val="0"/>
                <w:lang w:eastAsia="ja-JP"/>
              </w:rPr>
              <w:t>Saint Laurent</w:t>
            </w:r>
          </w:p>
        </w:tc>
      </w:tr>
      <w:tr w:rsidR="0068738B" w:rsidRPr="001B5760" w14:paraId="53101C2D"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69573EC6"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Alexander McQueen</w:t>
            </w:r>
          </w:p>
        </w:tc>
      </w:tr>
      <w:tr w:rsidR="0068738B" w:rsidRPr="001B5760" w14:paraId="5D55D19A"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2C15D9EB"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Balenciaga</w:t>
            </w:r>
          </w:p>
        </w:tc>
      </w:tr>
      <w:tr w:rsidR="0068738B" w:rsidRPr="001B5760" w14:paraId="63E26B57"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4056FADB"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Brioni</w:t>
            </w:r>
            <w:proofErr w:type="spellEnd"/>
          </w:p>
        </w:tc>
      </w:tr>
      <w:tr w:rsidR="0068738B" w:rsidRPr="001B5760" w14:paraId="360DA050"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003CC2E6"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Christopher Kane</w:t>
            </w:r>
          </w:p>
        </w:tc>
      </w:tr>
      <w:tr w:rsidR="0068738B" w:rsidRPr="001B5760" w14:paraId="7F06076D"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43CBDDBA"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McQ</w:t>
            </w:r>
            <w:proofErr w:type="spellEnd"/>
          </w:p>
        </w:tc>
      </w:tr>
      <w:tr w:rsidR="0068738B" w:rsidRPr="001B5760" w14:paraId="3718AD11"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2557DF27"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Stella McCartney</w:t>
            </w:r>
          </w:p>
        </w:tc>
      </w:tr>
      <w:tr w:rsidR="0068738B" w:rsidRPr="001B5760" w14:paraId="43334D09"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48B42D1B"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Boucheron</w:t>
            </w:r>
            <w:proofErr w:type="spellEnd"/>
          </w:p>
        </w:tc>
      </w:tr>
      <w:tr w:rsidR="0068738B" w:rsidRPr="001B5760" w14:paraId="1EFAB638"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221F1F26"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Dodo</w:t>
            </w:r>
          </w:p>
        </w:tc>
      </w:tr>
      <w:tr w:rsidR="0068738B" w:rsidRPr="001B5760" w14:paraId="4BC0C511"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132D4BC7"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Girard-</w:t>
            </w:r>
            <w:proofErr w:type="spellStart"/>
            <w:r w:rsidRPr="001B5760">
              <w:rPr>
                <w:rFonts w:ascii="Arial" w:hAnsi="Arial" w:cs="Arial"/>
                <w:color w:val="000000"/>
                <w:kern w:val="0"/>
                <w:lang w:eastAsia="ja-JP"/>
              </w:rPr>
              <w:t>Perregaux</w:t>
            </w:r>
            <w:proofErr w:type="spellEnd"/>
          </w:p>
        </w:tc>
      </w:tr>
      <w:tr w:rsidR="0068738B" w:rsidRPr="001B5760" w14:paraId="0289241E"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3D550AB9" w14:textId="017DBF33"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Jean</w:t>
            </w:r>
            <w:r w:rsidR="00245B1B">
              <w:rPr>
                <w:rFonts w:ascii="Arial" w:hAnsi="Arial" w:cs="Arial"/>
                <w:color w:val="000000"/>
                <w:kern w:val="0"/>
                <w:lang w:eastAsia="ja-JP"/>
              </w:rPr>
              <w:t>R</w:t>
            </w:r>
            <w:r w:rsidRPr="001B5760">
              <w:rPr>
                <w:rFonts w:ascii="Arial" w:hAnsi="Arial" w:cs="Arial"/>
                <w:color w:val="000000"/>
                <w:kern w:val="0"/>
                <w:lang w:eastAsia="ja-JP"/>
              </w:rPr>
              <w:t>ichard</w:t>
            </w:r>
            <w:proofErr w:type="spellEnd"/>
          </w:p>
        </w:tc>
      </w:tr>
      <w:tr w:rsidR="0068738B" w:rsidRPr="001B5760" w14:paraId="15839403"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623B3C42"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Pomellato</w:t>
            </w:r>
            <w:proofErr w:type="spellEnd"/>
          </w:p>
        </w:tc>
      </w:tr>
      <w:tr w:rsidR="0068738B" w:rsidRPr="001B5760" w14:paraId="57A4C866"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73D1EE02"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Qeelin</w:t>
            </w:r>
            <w:proofErr w:type="spellEnd"/>
          </w:p>
        </w:tc>
      </w:tr>
      <w:tr w:rsidR="0068738B" w:rsidRPr="001B5760" w14:paraId="51C181C2"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67A8CCB1"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Ulysse</w:t>
            </w:r>
            <w:proofErr w:type="spellEnd"/>
            <w:r w:rsidRPr="001B5760">
              <w:rPr>
                <w:rFonts w:ascii="Arial" w:hAnsi="Arial" w:cs="Arial"/>
                <w:color w:val="000000"/>
                <w:kern w:val="0"/>
                <w:lang w:eastAsia="ja-JP"/>
              </w:rPr>
              <w:t xml:space="preserve"> </w:t>
            </w:r>
            <w:proofErr w:type="spellStart"/>
            <w:r w:rsidRPr="001B5760">
              <w:rPr>
                <w:rFonts w:ascii="Arial" w:hAnsi="Arial" w:cs="Arial"/>
                <w:color w:val="000000"/>
                <w:kern w:val="0"/>
                <w:lang w:eastAsia="ja-JP"/>
              </w:rPr>
              <w:t>Nardin</w:t>
            </w:r>
            <w:proofErr w:type="spellEnd"/>
          </w:p>
        </w:tc>
      </w:tr>
      <w:tr w:rsidR="0068738B" w:rsidRPr="001B5760" w14:paraId="00E29EF2"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079BD90E"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Puma</w:t>
            </w:r>
          </w:p>
        </w:tc>
      </w:tr>
      <w:tr w:rsidR="0068738B" w:rsidRPr="001B5760" w14:paraId="1FDC3CC4"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10F84784" w14:textId="77777777" w:rsidR="0068738B" w:rsidRPr="001B5760" w:rsidRDefault="0068738B" w:rsidP="00AA1F9E">
            <w:pPr>
              <w:jc w:val="center"/>
              <w:rPr>
                <w:rFonts w:ascii="Arial" w:hAnsi="Arial" w:cs="Arial"/>
                <w:color w:val="000000"/>
                <w:kern w:val="0"/>
                <w:lang w:eastAsia="ja-JP"/>
              </w:rPr>
            </w:pPr>
            <w:proofErr w:type="spellStart"/>
            <w:r w:rsidRPr="001B5760">
              <w:rPr>
                <w:rFonts w:ascii="Arial" w:hAnsi="Arial" w:cs="Arial"/>
                <w:color w:val="000000"/>
                <w:kern w:val="0"/>
                <w:lang w:eastAsia="ja-JP"/>
              </w:rPr>
              <w:t>Volcom</w:t>
            </w:r>
            <w:proofErr w:type="spellEnd"/>
          </w:p>
        </w:tc>
      </w:tr>
      <w:tr w:rsidR="0068738B" w:rsidRPr="001B5760" w14:paraId="1C16EF7F" w14:textId="77777777" w:rsidTr="00AA1F9E">
        <w:trPr>
          <w:trHeight w:val="258"/>
          <w:jc w:val="center"/>
        </w:trPr>
        <w:tc>
          <w:tcPr>
            <w:tcW w:w="4363" w:type="dxa"/>
            <w:tcBorders>
              <w:top w:val="nil"/>
              <w:left w:val="single" w:sz="4" w:space="0" w:color="auto"/>
              <w:bottom w:val="single" w:sz="4" w:space="0" w:color="auto"/>
              <w:right w:val="single" w:sz="4" w:space="0" w:color="auto"/>
            </w:tcBorders>
            <w:shd w:val="clear" w:color="auto" w:fill="auto"/>
            <w:noWrap/>
            <w:vAlign w:val="bottom"/>
            <w:hideMark/>
          </w:tcPr>
          <w:p w14:paraId="5F13F7D1" w14:textId="77777777" w:rsidR="0068738B" w:rsidRPr="001B5760" w:rsidRDefault="0068738B" w:rsidP="00AA1F9E">
            <w:pPr>
              <w:jc w:val="center"/>
              <w:rPr>
                <w:rFonts w:ascii="Arial" w:hAnsi="Arial" w:cs="Arial"/>
                <w:color w:val="000000"/>
                <w:kern w:val="0"/>
                <w:lang w:eastAsia="ja-JP"/>
              </w:rPr>
            </w:pPr>
            <w:r w:rsidRPr="001B5760">
              <w:rPr>
                <w:rFonts w:ascii="Arial" w:hAnsi="Arial" w:cs="Arial"/>
                <w:color w:val="000000"/>
                <w:kern w:val="0"/>
                <w:lang w:eastAsia="ja-JP"/>
              </w:rPr>
              <w:t>Cobra</w:t>
            </w:r>
          </w:p>
        </w:tc>
      </w:tr>
    </w:tbl>
    <w:p w14:paraId="36EE9FC6" w14:textId="77777777" w:rsidR="0068738B" w:rsidRPr="001B5760" w:rsidRDefault="0068738B" w:rsidP="00356EF7">
      <w:pPr>
        <w:pStyle w:val="ExhibitText"/>
      </w:pPr>
    </w:p>
    <w:p w14:paraId="7B743117" w14:textId="1B0FC642" w:rsidR="0068738B" w:rsidRPr="001B5760" w:rsidRDefault="0068738B" w:rsidP="00CE39D1">
      <w:pPr>
        <w:pStyle w:val="Footnote"/>
      </w:pPr>
      <w:r w:rsidRPr="001B5760">
        <w:t xml:space="preserve">Source: </w:t>
      </w:r>
      <w:r w:rsidR="00472B46" w:rsidRPr="001B5760">
        <w:t>“</w:t>
      </w:r>
      <w:r w:rsidR="0076595B">
        <w:t>Saint Laurent</w:t>
      </w:r>
      <w:r w:rsidRPr="001B5760">
        <w:t>,</w:t>
      </w:r>
      <w:r w:rsidR="00472B46" w:rsidRPr="001B5760">
        <w:t>”</w:t>
      </w:r>
      <w:r w:rsidR="0076595B">
        <w:t xml:space="preserve"> </w:t>
      </w:r>
      <w:proofErr w:type="spellStart"/>
      <w:r w:rsidR="0076595B">
        <w:t>Kering</w:t>
      </w:r>
      <w:proofErr w:type="spellEnd"/>
      <w:r w:rsidR="0076595B">
        <w:t xml:space="preserve"> Group,</w:t>
      </w:r>
      <w:r w:rsidR="00791B46">
        <w:t xml:space="preserve"> accessed January 26, 2017, </w:t>
      </w:r>
      <w:r w:rsidRPr="001B5760">
        <w:t>www.kering.com/</w:t>
      </w:r>
      <w:r w:rsidR="00791B46">
        <w:t>en/brands/luxury/saint-laurent.</w:t>
      </w:r>
    </w:p>
    <w:p w14:paraId="338C281B" w14:textId="77777777" w:rsidR="00CE39D1" w:rsidRPr="001B5760" w:rsidRDefault="00CE39D1" w:rsidP="00356EF7">
      <w:pPr>
        <w:pStyle w:val="ExhibitText"/>
      </w:pPr>
      <w:r w:rsidRPr="001B5760">
        <w:br w:type="page"/>
      </w:r>
    </w:p>
    <w:p w14:paraId="7B6F1E24" w14:textId="77777777" w:rsidR="00A556EC" w:rsidRDefault="00DB23D6" w:rsidP="00356EF7">
      <w:pPr>
        <w:pStyle w:val="ExhibitHeading"/>
      </w:pPr>
      <w:r w:rsidRPr="001B5760">
        <w:lastRenderedPageBreak/>
        <w:t xml:space="preserve">EXHIBIT 5: </w:t>
      </w:r>
      <w:r w:rsidR="00B65B8E">
        <w:t>YSL</w:t>
      </w:r>
      <w:r w:rsidRPr="001B5760">
        <w:t xml:space="preserve"> 2017 Products</w:t>
      </w:r>
    </w:p>
    <w:p w14:paraId="22EB6B41" w14:textId="43FD578B" w:rsidR="00DB23D6" w:rsidRPr="001B5760" w:rsidRDefault="00DB23D6" w:rsidP="00356EF7">
      <w:pPr>
        <w:pStyle w:val="ExhibitText"/>
      </w:pPr>
    </w:p>
    <w:tbl>
      <w:tblPr>
        <w:tblW w:w="7513" w:type="dxa"/>
        <w:jc w:val="center"/>
        <w:tblLook w:val="04A0" w:firstRow="1" w:lastRow="0" w:firstColumn="1" w:lastColumn="0" w:noHBand="0" w:noVBand="1"/>
      </w:tblPr>
      <w:tblGrid>
        <w:gridCol w:w="1768"/>
        <w:gridCol w:w="1492"/>
        <w:gridCol w:w="1418"/>
        <w:gridCol w:w="1275"/>
        <w:gridCol w:w="1560"/>
      </w:tblGrid>
      <w:tr w:rsidR="00DB23D6" w:rsidRPr="001B5760" w14:paraId="30B8095B" w14:textId="77777777" w:rsidTr="000052C2">
        <w:trPr>
          <w:trHeight w:val="300"/>
          <w:jc w:val="center"/>
        </w:trPr>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E4F1E" w14:textId="6FCB5114" w:rsidR="00DB23D6" w:rsidRPr="000052C2" w:rsidRDefault="00B65B8E" w:rsidP="000052C2">
            <w:pPr>
              <w:pStyle w:val="ExhibitText"/>
              <w:jc w:val="center"/>
              <w:rPr>
                <w:b/>
                <w:lang w:eastAsia="ja-JP"/>
              </w:rPr>
            </w:pPr>
            <w:r>
              <w:rPr>
                <w:b/>
                <w:lang w:eastAsia="ja-JP"/>
              </w:rPr>
              <w:t>YSL</w:t>
            </w:r>
            <w:r w:rsidR="00DB23D6" w:rsidRPr="000052C2">
              <w:rPr>
                <w:b/>
                <w:lang w:eastAsia="ja-JP"/>
              </w:rPr>
              <w:t xml:space="preserve"> Fashion</w:t>
            </w:r>
          </w:p>
        </w:tc>
        <w:tc>
          <w:tcPr>
            <w:tcW w:w="4253"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ADF5B5" w14:textId="2D28BDA8" w:rsidR="00DB23D6" w:rsidRPr="000052C2" w:rsidRDefault="009E58B0" w:rsidP="000052C2">
            <w:pPr>
              <w:pStyle w:val="ExhibitText"/>
              <w:jc w:val="center"/>
              <w:rPr>
                <w:b/>
                <w:lang w:eastAsia="ja-JP"/>
              </w:rPr>
            </w:pPr>
            <w:r w:rsidRPr="009E58B0">
              <w:rPr>
                <w:b/>
                <w:lang w:eastAsia="ja-JP"/>
              </w:rPr>
              <w:t xml:space="preserve">YSL </w:t>
            </w:r>
            <w:proofErr w:type="spellStart"/>
            <w:r w:rsidRPr="009E58B0">
              <w:rPr>
                <w:b/>
                <w:lang w:eastAsia="ja-JP"/>
              </w:rPr>
              <w:t>Beauté</w:t>
            </w:r>
            <w:proofErr w:type="spellEnd"/>
          </w:p>
        </w:tc>
      </w:tr>
      <w:tr w:rsidR="00DB23D6" w:rsidRPr="001B5760" w14:paraId="7155DF84"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1F4BB16A" w14:textId="77777777" w:rsidR="00DB23D6" w:rsidRPr="000052C2" w:rsidRDefault="00DB23D6" w:rsidP="000052C2">
            <w:pPr>
              <w:pStyle w:val="ExhibitText"/>
              <w:jc w:val="center"/>
              <w:rPr>
                <w:b/>
                <w:lang w:eastAsia="ja-JP"/>
              </w:rPr>
            </w:pPr>
            <w:r w:rsidRPr="000052C2">
              <w:rPr>
                <w:b/>
                <w:lang w:eastAsia="ja-JP"/>
              </w:rPr>
              <w:t>Women</w:t>
            </w:r>
          </w:p>
        </w:tc>
        <w:tc>
          <w:tcPr>
            <w:tcW w:w="1492" w:type="dxa"/>
            <w:tcBorders>
              <w:top w:val="nil"/>
              <w:left w:val="nil"/>
              <w:bottom w:val="single" w:sz="4" w:space="0" w:color="auto"/>
              <w:right w:val="single" w:sz="4" w:space="0" w:color="auto"/>
            </w:tcBorders>
            <w:shd w:val="clear" w:color="auto" w:fill="auto"/>
            <w:noWrap/>
            <w:vAlign w:val="bottom"/>
            <w:hideMark/>
          </w:tcPr>
          <w:p w14:paraId="35E202AE" w14:textId="77777777" w:rsidR="00DB23D6" w:rsidRPr="000052C2" w:rsidRDefault="00DB23D6" w:rsidP="000052C2">
            <w:pPr>
              <w:pStyle w:val="ExhibitText"/>
              <w:jc w:val="center"/>
              <w:rPr>
                <w:b/>
                <w:lang w:eastAsia="ja-JP"/>
              </w:rPr>
            </w:pPr>
            <w:r w:rsidRPr="000052C2">
              <w:rPr>
                <w:b/>
                <w:lang w:eastAsia="ja-JP"/>
              </w:rPr>
              <w:t>Men</w:t>
            </w:r>
          </w:p>
        </w:tc>
        <w:tc>
          <w:tcPr>
            <w:tcW w:w="1418" w:type="dxa"/>
            <w:tcBorders>
              <w:top w:val="nil"/>
              <w:left w:val="nil"/>
              <w:bottom w:val="single" w:sz="4" w:space="0" w:color="auto"/>
              <w:right w:val="single" w:sz="4" w:space="0" w:color="auto"/>
            </w:tcBorders>
            <w:shd w:val="clear" w:color="auto" w:fill="auto"/>
            <w:noWrap/>
            <w:vAlign w:val="bottom"/>
            <w:hideMark/>
          </w:tcPr>
          <w:p w14:paraId="3A8D9884" w14:textId="77777777" w:rsidR="00DB23D6" w:rsidRPr="000052C2" w:rsidRDefault="00DB23D6" w:rsidP="000052C2">
            <w:pPr>
              <w:pStyle w:val="ExhibitText"/>
              <w:jc w:val="center"/>
              <w:rPr>
                <w:b/>
                <w:lang w:eastAsia="ja-JP"/>
              </w:rPr>
            </w:pPr>
            <w:r w:rsidRPr="000052C2">
              <w:rPr>
                <w:b/>
                <w:lang w:eastAsia="ja-JP"/>
              </w:rPr>
              <w:t>Makeup</w:t>
            </w:r>
          </w:p>
        </w:tc>
        <w:tc>
          <w:tcPr>
            <w:tcW w:w="1275" w:type="dxa"/>
            <w:tcBorders>
              <w:top w:val="nil"/>
              <w:left w:val="nil"/>
              <w:bottom w:val="single" w:sz="4" w:space="0" w:color="auto"/>
              <w:right w:val="single" w:sz="4" w:space="0" w:color="auto"/>
            </w:tcBorders>
            <w:shd w:val="clear" w:color="auto" w:fill="auto"/>
            <w:noWrap/>
            <w:vAlign w:val="bottom"/>
            <w:hideMark/>
          </w:tcPr>
          <w:p w14:paraId="6520C87B" w14:textId="77777777" w:rsidR="00DB23D6" w:rsidRPr="000052C2" w:rsidRDefault="00DB23D6" w:rsidP="000052C2">
            <w:pPr>
              <w:pStyle w:val="ExhibitText"/>
              <w:jc w:val="center"/>
              <w:rPr>
                <w:b/>
                <w:lang w:eastAsia="ja-JP"/>
              </w:rPr>
            </w:pPr>
            <w:r w:rsidRPr="000052C2">
              <w:rPr>
                <w:b/>
                <w:lang w:eastAsia="ja-JP"/>
              </w:rPr>
              <w:t>Fragrance</w:t>
            </w:r>
          </w:p>
        </w:tc>
        <w:tc>
          <w:tcPr>
            <w:tcW w:w="1560" w:type="dxa"/>
            <w:tcBorders>
              <w:top w:val="nil"/>
              <w:left w:val="nil"/>
              <w:bottom w:val="single" w:sz="4" w:space="0" w:color="auto"/>
              <w:right w:val="single" w:sz="4" w:space="0" w:color="auto"/>
            </w:tcBorders>
            <w:shd w:val="clear" w:color="auto" w:fill="auto"/>
            <w:noWrap/>
            <w:vAlign w:val="bottom"/>
            <w:hideMark/>
          </w:tcPr>
          <w:p w14:paraId="35B8104B" w14:textId="77777777" w:rsidR="00DB23D6" w:rsidRPr="000052C2" w:rsidRDefault="00DB23D6" w:rsidP="000052C2">
            <w:pPr>
              <w:pStyle w:val="ExhibitText"/>
              <w:jc w:val="center"/>
              <w:rPr>
                <w:b/>
                <w:lang w:eastAsia="ja-JP"/>
              </w:rPr>
            </w:pPr>
            <w:r w:rsidRPr="000052C2">
              <w:rPr>
                <w:b/>
                <w:lang w:eastAsia="ja-JP"/>
              </w:rPr>
              <w:t>Skincare</w:t>
            </w:r>
          </w:p>
        </w:tc>
      </w:tr>
      <w:tr w:rsidR="00DB23D6" w:rsidRPr="001B5760" w14:paraId="16D7812A"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066CB5BB" w14:textId="77777777" w:rsidR="00DB23D6" w:rsidRPr="001B5760" w:rsidRDefault="00DB23D6" w:rsidP="00745966">
            <w:pPr>
              <w:pStyle w:val="ExhibitText"/>
              <w:rPr>
                <w:lang w:eastAsia="ja-JP"/>
              </w:rPr>
            </w:pPr>
            <w:r w:rsidRPr="001B5760">
              <w:rPr>
                <w:lang w:eastAsia="ja-JP"/>
              </w:rPr>
              <w:t>Summer 2017</w:t>
            </w:r>
          </w:p>
        </w:tc>
        <w:tc>
          <w:tcPr>
            <w:tcW w:w="1492" w:type="dxa"/>
            <w:tcBorders>
              <w:top w:val="nil"/>
              <w:left w:val="nil"/>
              <w:bottom w:val="single" w:sz="4" w:space="0" w:color="auto"/>
              <w:right w:val="single" w:sz="4" w:space="0" w:color="auto"/>
            </w:tcBorders>
            <w:shd w:val="clear" w:color="auto" w:fill="auto"/>
            <w:noWrap/>
            <w:vAlign w:val="bottom"/>
            <w:hideMark/>
          </w:tcPr>
          <w:p w14:paraId="13847445" w14:textId="77777777" w:rsidR="00DB23D6" w:rsidRPr="001B5760" w:rsidRDefault="00DB23D6" w:rsidP="00745966">
            <w:pPr>
              <w:pStyle w:val="ExhibitText"/>
              <w:rPr>
                <w:lang w:eastAsia="ja-JP"/>
              </w:rPr>
            </w:pPr>
            <w:r w:rsidRPr="001B5760">
              <w:rPr>
                <w:lang w:eastAsia="ja-JP"/>
              </w:rPr>
              <w:t>Summer 2017</w:t>
            </w:r>
          </w:p>
        </w:tc>
        <w:tc>
          <w:tcPr>
            <w:tcW w:w="1418" w:type="dxa"/>
            <w:tcBorders>
              <w:top w:val="nil"/>
              <w:left w:val="nil"/>
              <w:bottom w:val="single" w:sz="4" w:space="0" w:color="auto"/>
              <w:right w:val="single" w:sz="4" w:space="0" w:color="auto"/>
            </w:tcBorders>
            <w:shd w:val="clear" w:color="auto" w:fill="auto"/>
            <w:noWrap/>
            <w:vAlign w:val="bottom"/>
            <w:hideMark/>
          </w:tcPr>
          <w:p w14:paraId="5B6D2A6B" w14:textId="77777777" w:rsidR="00DB23D6" w:rsidRPr="001B5760" w:rsidRDefault="00DB23D6" w:rsidP="00745966">
            <w:pPr>
              <w:pStyle w:val="ExhibitText"/>
              <w:rPr>
                <w:lang w:eastAsia="ja-JP"/>
              </w:rPr>
            </w:pPr>
            <w:r w:rsidRPr="001B5760">
              <w:rPr>
                <w:lang w:eastAsia="ja-JP"/>
              </w:rPr>
              <w:t>Face Makeup</w:t>
            </w:r>
          </w:p>
        </w:tc>
        <w:tc>
          <w:tcPr>
            <w:tcW w:w="1275" w:type="dxa"/>
            <w:tcBorders>
              <w:top w:val="nil"/>
              <w:left w:val="nil"/>
              <w:bottom w:val="single" w:sz="4" w:space="0" w:color="auto"/>
              <w:right w:val="single" w:sz="4" w:space="0" w:color="auto"/>
            </w:tcBorders>
            <w:shd w:val="clear" w:color="auto" w:fill="auto"/>
            <w:noWrap/>
            <w:vAlign w:val="bottom"/>
            <w:hideMark/>
          </w:tcPr>
          <w:p w14:paraId="06014349" w14:textId="77777777" w:rsidR="00DB23D6" w:rsidRPr="001B5760" w:rsidRDefault="00DB23D6" w:rsidP="00745966">
            <w:pPr>
              <w:pStyle w:val="ExhibitText"/>
              <w:rPr>
                <w:lang w:eastAsia="ja-JP"/>
              </w:rPr>
            </w:pPr>
            <w:r w:rsidRPr="001B5760">
              <w:rPr>
                <w:lang w:eastAsia="ja-JP"/>
              </w:rPr>
              <w:t>Women</w:t>
            </w:r>
            <w:r w:rsidR="00472B46" w:rsidRPr="001B5760">
              <w:rPr>
                <w:lang w:eastAsia="ja-JP"/>
              </w:rPr>
              <w:t>’</w:t>
            </w:r>
            <w:r w:rsidRPr="001B5760">
              <w:rPr>
                <w:lang w:eastAsia="ja-JP"/>
              </w:rPr>
              <w:t>s</w:t>
            </w:r>
          </w:p>
        </w:tc>
        <w:tc>
          <w:tcPr>
            <w:tcW w:w="1560" w:type="dxa"/>
            <w:tcBorders>
              <w:top w:val="nil"/>
              <w:left w:val="nil"/>
              <w:bottom w:val="single" w:sz="4" w:space="0" w:color="auto"/>
              <w:right w:val="single" w:sz="4" w:space="0" w:color="auto"/>
            </w:tcBorders>
            <w:shd w:val="clear" w:color="auto" w:fill="auto"/>
            <w:noWrap/>
            <w:vAlign w:val="bottom"/>
            <w:hideMark/>
          </w:tcPr>
          <w:p w14:paraId="797EF705" w14:textId="29BC5E1D" w:rsidR="00DB23D6" w:rsidRPr="001B5760" w:rsidRDefault="00DB23D6" w:rsidP="00745966">
            <w:pPr>
              <w:pStyle w:val="ExhibitText"/>
              <w:rPr>
                <w:lang w:eastAsia="ja-JP"/>
              </w:rPr>
            </w:pPr>
            <w:r w:rsidRPr="001B5760">
              <w:rPr>
                <w:lang w:eastAsia="ja-JP"/>
              </w:rPr>
              <w:t xml:space="preserve">Skincare By Category </w:t>
            </w:r>
          </w:p>
        </w:tc>
      </w:tr>
      <w:tr w:rsidR="00DB23D6" w:rsidRPr="001B5760" w14:paraId="1576EB62"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6482F5F5" w14:textId="77777777" w:rsidR="00DB23D6" w:rsidRPr="001B5760" w:rsidRDefault="00DB23D6" w:rsidP="00745966">
            <w:pPr>
              <w:pStyle w:val="ExhibitText"/>
              <w:rPr>
                <w:lang w:eastAsia="ja-JP"/>
              </w:rPr>
            </w:pPr>
            <w:r w:rsidRPr="001B5760">
              <w:rPr>
                <w:lang w:eastAsia="ja-JP"/>
              </w:rPr>
              <w:t>Spring 2017</w:t>
            </w:r>
          </w:p>
        </w:tc>
        <w:tc>
          <w:tcPr>
            <w:tcW w:w="1492" w:type="dxa"/>
            <w:tcBorders>
              <w:top w:val="nil"/>
              <w:left w:val="nil"/>
              <w:bottom w:val="single" w:sz="4" w:space="0" w:color="auto"/>
              <w:right w:val="single" w:sz="4" w:space="0" w:color="auto"/>
            </w:tcBorders>
            <w:shd w:val="clear" w:color="auto" w:fill="auto"/>
            <w:noWrap/>
            <w:vAlign w:val="bottom"/>
            <w:hideMark/>
          </w:tcPr>
          <w:p w14:paraId="0F229FB5" w14:textId="77777777" w:rsidR="00DB23D6" w:rsidRPr="001B5760" w:rsidRDefault="00DB23D6" w:rsidP="00745966">
            <w:pPr>
              <w:pStyle w:val="ExhibitText"/>
              <w:rPr>
                <w:lang w:eastAsia="ja-JP"/>
              </w:rPr>
            </w:pPr>
            <w:r w:rsidRPr="001B5760">
              <w:rPr>
                <w:lang w:eastAsia="ja-JP"/>
              </w:rPr>
              <w:t>Spring 2017</w:t>
            </w:r>
          </w:p>
        </w:tc>
        <w:tc>
          <w:tcPr>
            <w:tcW w:w="1418" w:type="dxa"/>
            <w:tcBorders>
              <w:top w:val="nil"/>
              <w:left w:val="nil"/>
              <w:bottom w:val="single" w:sz="4" w:space="0" w:color="auto"/>
              <w:right w:val="single" w:sz="4" w:space="0" w:color="auto"/>
            </w:tcBorders>
            <w:shd w:val="clear" w:color="auto" w:fill="auto"/>
            <w:noWrap/>
            <w:vAlign w:val="bottom"/>
            <w:hideMark/>
          </w:tcPr>
          <w:p w14:paraId="3E55A537" w14:textId="77777777" w:rsidR="00DB23D6" w:rsidRPr="001B5760" w:rsidRDefault="00DB23D6" w:rsidP="00745966">
            <w:pPr>
              <w:pStyle w:val="ExhibitText"/>
              <w:rPr>
                <w:lang w:eastAsia="ja-JP"/>
              </w:rPr>
            </w:pPr>
            <w:r w:rsidRPr="001B5760">
              <w:rPr>
                <w:lang w:eastAsia="ja-JP"/>
              </w:rPr>
              <w:t>Eye Makeup</w:t>
            </w:r>
          </w:p>
        </w:tc>
        <w:tc>
          <w:tcPr>
            <w:tcW w:w="1275" w:type="dxa"/>
            <w:tcBorders>
              <w:top w:val="nil"/>
              <w:left w:val="nil"/>
              <w:bottom w:val="single" w:sz="4" w:space="0" w:color="auto"/>
              <w:right w:val="single" w:sz="4" w:space="0" w:color="auto"/>
            </w:tcBorders>
            <w:shd w:val="clear" w:color="auto" w:fill="auto"/>
            <w:noWrap/>
            <w:vAlign w:val="bottom"/>
            <w:hideMark/>
          </w:tcPr>
          <w:p w14:paraId="76B00D3D" w14:textId="77777777" w:rsidR="00DB23D6" w:rsidRPr="001B5760" w:rsidRDefault="00DB23D6" w:rsidP="00745966">
            <w:pPr>
              <w:pStyle w:val="ExhibitText"/>
              <w:rPr>
                <w:lang w:eastAsia="ja-JP"/>
              </w:rPr>
            </w:pPr>
            <w:r w:rsidRPr="001B5760">
              <w:rPr>
                <w:lang w:eastAsia="ja-JP"/>
              </w:rPr>
              <w:t>Men</w:t>
            </w:r>
            <w:r w:rsidR="00472B46" w:rsidRPr="001B5760">
              <w:rPr>
                <w:lang w:eastAsia="ja-JP"/>
              </w:rPr>
              <w:t>’</w:t>
            </w:r>
            <w:r w:rsidRPr="001B5760">
              <w:rPr>
                <w:lang w:eastAsia="ja-JP"/>
              </w:rPr>
              <w:t>s</w:t>
            </w:r>
          </w:p>
        </w:tc>
        <w:tc>
          <w:tcPr>
            <w:tcW w:w="1560" w:type="dxa"/>
            <w:tcBorders>
              <w:top w:val="nil"/>
              <w:left w:val="nil"/>
              <w:bottom w:val="single" w:sz="4" w:space="0" w:color="auto"/>
              <w:right w:val="single" w:sz="4" w:space="0" w:color="auto"/>
            </w:tcBorders>
            <w:shd w:val="clear" w:color="auto" w:fill="auto"/>
            <w:noWrap/>
            <w:vAlign w:val="bottom"/>
            <w:hideMark/>
          </w:tcPr>
          <w:p w14:paraId="5AF8CA54" w14:textId="2054C80D" w:rsidR="00DB23D6" w:rsidRPr="001B5760" w:rsidRDefault="00DB23D6" w:rsidP="00745966">
            <w:pPr>
              <w:pStyle w:val="ExhibitText"/>
              <w:rPr>
                <w:lang w:eastAsia="ja-JP"/>
              </w:rPr>
            </w:pPr>
            <w:r w:rsidRPr="001B5760">
              <w:rPr>
                <w:lang w:eastAsia="ja-JP"/>
              </w:rPr>
              <w:t>Cleansers, Toners</w:t>
            </w:r>
            <w:r w:rsidR="00667BB8">
              <w:rPr>
                <w:lang w:eastAsia="ja-JP"/>
              </w:rPr>
              <w:t>, and</w:t>
            </w:r>
            <w:r w:rsidRPr="001B5760">
              <w:rPr>
                <w:lang w:eastAsia="ja-JP"/>
              </w:rPr>
              <w:t xml:space="preserve"> Exfoliators</w:t>
            </w:r>
          </w:p>
        </w:tc>
      </w:tr>
      <w:tr w:rsidR="00DB23D6" w:rsidRPr="001B5760" w14:paraId="3523530B"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0E30D38A" w14:textId="77777777" w:rsidR="00DB23D6" w:rsidRPr="001B5760" w:rsidRDefault="00DB23D6" w:rsidP="00745966">
            <w:pPr>
              <w:pStyle w:val="ExhibitText"/>
              <w:rPr>
                <w:lang w:eastAsia="ja-JP"/>
              </w:rPr>
            </w:pPr>
            <w:r w:rsidRPr="001B5760">
              <w:rPr>
                <w:lang w:eastAsia="ja-JP"/>
              </w:rPr>
              <w:t>Permanent Collection</w:t>
            </w:r>
          </w:p>
        </w:tc>
        <w:tc>
          <w:tcPr>
            <w:tcW w:w="1492" w:type="dxa"/>
            <w:tcBorders>
              <w:top w:val="nil"/>
              <w:left w:val="nil"/>
              <w:bottom w:val="single" w:sz="4" w:space="0" w:color="auto"/>
              <w:right w:val="single" w:sz="4" w:space="0" w:color="auto"/>
            </w:tcBorders>
            <w:shd w:val="clear" w:color="auto" w:fill="auto"/>
            <w:noWrap/>
            <w:vAlign w:val="bottom"/>
            <w:hideMark/>
          </w:tcPr>
          <w:p w14:paraId="02300CCF" w14:textId="77777777" w:rsidR="00DB23D6" w:rsidRPr="001B5760" w:rsidRDefault="00DB23D6" w:rsidP="00745966">
            <w:pPr>
              <w:pStyle w:val="ExhibitText"/>
              <w:rPr>
                <w:lang w:eastAsia="ja-JP"/>
              </w:rPr>
            </w:pPr>
            <w:r w:rsidRPr="001B5760">
              <w:rPr>
                <w:lang w:eastAsia="ja-JP"/>
              </w:rPr>
              <w:t>Permanent Collection</w:t>
            </w:r>
          </w:p>
        </w:tc>
        <w:tc>
          <w:tcPr>
            <w:tcW w:w="1418" w:type="dxa"/>
            <w:tcBorders>
              <w:top w:val="nil"/>
              <w:left w:val="nil"/>
              <w:bottom w:val="single" w:sz="4" w:space="0" w:color="auto"/>
              <w:right w:val="single" w:sz="4" w:space="0" w:color="auto"/>
            </w:tcBorders>
            <w:shd w:val="clear" w:color="auto" w:fill="auto"/>
            <w:noWrap/>
            <w:vAlign w:val="bottom"/>
            <w:hideMark/>
          </w:tcPr>
          <w:p w14:paraId="0868131B" w14:textId="77777777" w:rsidR="00DB23D6" w:rsidRPr="001B5760" w:rsidRDefault="00DB23D6" w:rsidP="00745966">
            <w:pPr>
              <w:pStyle w:val="ExhibitText"/>
              <w:rPr>
                <w:lang w:eastAsia="ja-JP"/>
              </w:rPr>
            </w:pPr>
            <w:r w:rsidRPr="001B5760">
              <w:rPr>
                <w:lang w:eastAsia="ja-JP"/>
              </w:rPr>
              <w:t>Lips</w:t>
            </w:r>
          </w:p>
        </w:tc>
        <w:tc>
          <w:tcPr>
            <w:tcW w:w="1275" w:type="dxa"/>
            <w:tcBorders>
              <w:top w:val="nil"/>
              <w:left w:val="nil"/>
              <w:bottom w:val="single" w:sz="4" w:space="0" w:color="auto"/>
              <w:right w:val="single" w:sz="4" w:space="0" w:color="auto"/>
            </w:tcBorders>
            <w:shd w:val="clear" w:color="auto" w:fill="auto"/>
            <w:noWrap/>
            <w:vAlign w:val="bottom"/>
            <w:hideMark/>
          </w:tcPr>
          <w:p w14:paraId="1BB1A53D" w14:textId="77777777" w:rsidR="00DB23D6" w:rsidRPr="001B5760" w:rsidRDefault="00DB23D6" w:rsidP="00745966">
            <w:pPr>
              <w:pStyle w:val="ExhibitText"/>
              <w:rPr>
                <w:lang w:eastAsia="ja-JP"/>
              </w:rPr>
            </w:pPr>
            <w:r w:rsidRPr="001B5760">
              <w:rPr>
                <w:lang w:eastAsia="ja-JP"/>
              </w:rPr>
              <w:t>Unisex</w:t>
            </w:r>
          </w:p>
        </w:tc>
        <w:tc>
          <w:tcPr>
            <w:tcW w:w="1560" w:type="dxa"/>
            <w:tcBorders>
              <w:top w:val="nil"/>
              <w:left w:val="nil"/>
              <w:bottom w:val="single" w:sz="4" w:space="0" w:color="auto"/>
              <w:right w:val="single" w:sz="4" w:space="0" w:color="auto"/>
            </w:tcBorders>
            <w:shd w:val="clear" w:color="auto" w:fill="auto"/>
            <w:noWrap/>
            <w:vAlign w:val="bottom"/>
            <w:hideMark/>
          </w:tcPr>
          <w:p w14:paraId="091CE900" w14:textId="72B0F379" w:rsidR="00DB23D6" w:rsidRPr="001B5760" w:rsidRDefault="00DB23D6" w:rsidP="00745966">
            <w:pPr>
              <w:pStyle w:val="ExhibitText"/>
              <w:rPr>
                <w:lang w:eastAsia="ja-JP"/>
              </w:rPr>
            </w:pPr>
            <w:r w:rsidRPr="001B5760">
              <w:rPr>
                <w:lang w:eastAsia="ja-JP"/>
              </w:rPr>
              <w:t>Eye Care</w:t>
            </w:r>
          </w:p>
        </w:tc>
      </w:tr>
      <w:tr w:rsidR="00DB23D6" w:rsidRPr="001B5760" w14:paraId="310DEBC2"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2735AB5F" w14:textId="77777777" w:rsidR="00DB23D6" w:rsidRPr="001B5760" w:rsidRDefault="00DB23D6" w:rsidP="00745966">
            <w:pPr>
              <w:pStyle w:val="ExhibitText"/>
              <w:rPr>
                <w:lang w:eastAsia="ja-JP"/>
              </w:rPr>
            </w:pPr>
            <w:r w:rsidRPr="001B5760">
              <w:rPr>
                <w:lang w:eastAsia="ja-JP"/>
              </w:rPr>
              <w:t>Handbags</w:t>
            </w:r>
          </w:p>
        </w:tc>
        <w:tc>
          <w:tcPr>
            <w:tcW w:w="1492" w:type="dxa"/>
            <w:tcBorders>
              <w:top w:val="nil"/>
              <w:left w:val="nil"/>
              <w:bottom w:val="single" w:sz="4" w:space="0" w:color="auto"/>
              <w:right w:val="single" w:sz="4" w:space="0" w:color="auto"/>
            </w:tcBorders>
            <w:shd w:val="clear" w:color="auto" w:fill="auto"/>
            <w:noWrap/>
            <w:vAlign w:val="bottom"/>
            <w:hideMark/>
          </w:tcPr>
          <w:p w14:paraId="50FC1997" w14:textId="4ED0A5DD" w:rsidR="00DB23D6" w:rsidRPr="001B5760" w:rsidRDefault="00DB23D6" w:rsidP="00745966">
            <w:pPr>
              <w:pStyle w:val="ExhibitText"/>
              <w:rPr>
                <w:lang w:eastAsia="ja-JP"/>
              </w:rPr>
            </w:pPr>
            <w:r w:rsidRPr="001B5760">
              <w:rPr>
                <w:lang w:eastAsia="ja-JP"/>
              </w:rPr>
              <w:t>Ready</w:t>
            </w:r>
            <w:r w:rsidR="00CE7494">
              <w:rPr>
                <w:lang w:eastAsia="ja-JP"/>
              </w:rPr>
              <w:t>-</w:t>
            </w:r>
            <w:r w:rsidRPr="001B5760">
              <w:rPr>
                <w:lang w:eastAsia="ja-JP"/>
              </w:rPr>
              <w:t>to</w:t>
            </w:r>
            <w:r w:rsidR="00CE7494">
              <w:rPr>
                <w:lang w:eastAsia="ja-JP"/>
              </w:rPr>
              <w:t>-</w:t>
            </w:r>
            <w:r w:rsidRPr="001B5760">
              <w:rPr>
                <w:lang w:eastAsia="ja-JP"/>
              </w:rPr>
              <w:t>Wear</w:t>
            </w:r>
          </w:p>
        </w:tc>
        <w:tc>
          <w:tcPr>
            <w:tcW w:w="1418" w:type="dxa"/>
            <w:tcBorders>
              <w:top w:val="nil"/>
              <w:left w:val="nil"/>
              <w:bottom w:val="single" w:sz="4" w:space="0" w:color="auto"/>
              <w:right w:val="single" w:sz="4" w:space="0" w:color="auto"/>
            </w:tcBorders>
            <w:shd w:val="clear" w:color="auto" w:fill="auto"/>
            <w:noWrap/>
            <w:vAlign w:val="bottom"/>
            <w:hideMark/>
          </w:tcPr>
          <w:p w14:paraId="726E8F48" w14:textId="77777777" w:rsidR="00DB23D6" w:rsidRPr="001B5760" w:rsidRDefault="00DB23D6" w:rsidP="00745966">
            <w:pPr>
              <w:pStyle w:val="ExhibitText"/>
              <w:rPr>
                <w:lang w:eastAsia="ja-JP"/>
              </w:rPr>
            </w:pPr>
            <w:r w:rsidRPr="001B5760">
              <w:rPr>
                <w:lang w:eastAsia="ja-JP"/>
              </w:rPr>
              <w:t>Gifts</w:t>
            </w:r>
          </w:p>
        </w:tc>
        <w:tc>
          <w:tcPr>
            <w:tcW w:w="1275" w:type="dxa"/>
            <w:tcBorders>
              <w:top w:val="nil"/>
              <w:left w:val="nil"/>
              <w:bottom w:val="single" w:sz="4" w:space="0" w:color="auto"/>
              <w:right w:val="single" w:sz="4" w:space="0" w:color="auto"/>
            </w:tcBorders>
            <w:shd w:val="clear" w:color="auto" w:fill="auto"/>
            <w:noWrap/>
            <w:vAlign w:val="bottom"/>
            <w:hideMark/>
          </w:tcPr>
          <w:p w14:paraId="167BA203" w14:textId="77777777" w:rsidR="00DB23D6" w:rsidRPr="001B5760" w:rsidRDefault="00DB23D6" w:rsidP="00745966">
            <w:pPr>
              <w:pStyle w:val="ExhibitText"/>
              <w:rPr>
                <w:lang w:eastAsia="ja-JP"/>
              </w:rPr>
            </w:pPr>
            <w:r w:rsidRPr="001B5760">
              <w:rPr>
                <w:lang w:eastAsia="ja-JP"/>
              </w:rPr>
              <w:t>Gift Sets</w:t>
            </w:r>
          </w:p>
        </w:tc>
        <w:tc>
          <w:tcPr>
            <w:tcW w:w="1560" w:type="dxa"/>
            <w:tcBorders>
              <w:top w:val="nil"/>
              <w:left w:val="nil"/>
              <w:bottom w:val="single" w:sz="4" w:space="0" w:color="auto"/>
              <w:right w:val="single" w:sz="4" w:space="0" w:color="auto"/>
            </w:tcBorders>
            <w:shd w:val="clear" w:color="auto" w:fill="auto"/>
            <w:noWrap/>
            <w:vAlign w:val="bottom"/>
            <w:hideMark/>
          </w:tcPr>
          <w:p w14:paraId="20031373" w14:textId="0DDEA872" w:rsidR="00DB23D6" w:rsidRPr="001B5760" w:rsidRDefault="00DB23D6" w:rsidP="00745966">
            <w:pPr>
              <w:pStyle w:val="ExhibitText"/>
              <w:rPr>
                <w:lang w:eastAsia="ja-JP"/>
              </w:rPr>
            </w:pPr>
            <w:r w:rsidRPr="001B5760">
              <w:rPr>
                <w:lang w:eastAsia="ja-JP"/>
              </w:rPr>
              <w:t>Masks</w:t>
            </w:r>
          </w:p>
        </w:tc>
      </w:tr>
      <w:tr w:rsidR="000052C2" w:rsidRPr="001B5760" w14:paraId="4C4FF0AA"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7E1A482A" w14:textId="52A4D467" w:rsidR="000052C2" w:rsidRPr="001B5760" w:rsidRDefault="000052C2" w:rsidP="00745966">
            <w:pPr>
              <w:pStyle w:val="ExhibitText"/>
              <w:rPr>
                <w:lang w:eastAsia="ja-JP"/>
              </w:rPr>
            </w:pPr>
            <w:r w:rsidRPr="001B5760">
              <w:rPr>
                <w:lang w:eastAsia="ja-JP"/>
              </w:rPr>
              <w:t>Ready</w:t>
            </w:r>
            <w:r w:rsidR="00CE7494">
              <w:rPr>
                <w:lang w:eastAsia="ja-JP"/>
              </w:rPr>
              <w:t>-</w:t>
            </w:r>
            <w:r w:rsidRPr="001B5760">
              <w:rPr>
                <w:lang w:eastAsia="ja-JP"/>
              </w:rPr>
              <w:t>to</w:t>
            </w:r>
            <w:r w:rsidR="00CE7494">
              <w:rPr>
                <w:lang w:eastAsia="ja-JP"/>
              </w:rPr>
              <w:t>-</w:t>
            </w:r>
            <w:r w:rsidRPr="001B5760">
              <w:rPr>
                <w:lang w:eastAsia="ja-JP"/>
              </w:rPr>
              <w:t>Wear</w:t>
            </w:r>
          </w:p>
        </w:tc>
        <w:tc>
          <w:tcPr>
            <w:tcW w:w="1492" w:type="dxa"/>
            <w:tcBorders>
              <w:top w:val="nil"/>
              <w:left w:val="nil"/>
              <w:bottom w:val="single" w:sz="4" w:space="0" w:color="auto"/>
              <w:right w:val="single" w:sz="4" w:space="0" w:color="auto"/>
            </w:tcBorders>
            <w:shd w:val="clear" w:color="auto" w:fill="auto"/>
            <w:noWrap/>
            <w:vAlign w:val="bottom"/>
            <w:hideMark/>
          </w:tcPr>
          <w:p w14:paraId="514F7987" w14:textId="77777777" w:rsidR="000052C2" w:rsidRPr="001B5760" w:rsidRDefault="000052C2" w:rsidP="00745966">
            <w:pPr>
              <w:pStyle w:val="ExhibitText"/>
              <w:rPr>
                <w:lang w:eastAsia="ja-JP"/>
              </w:rPr>
            </w:pPr>
            <w:r w:rsidRPr="001B5760">
              <w:rPr>
                <w:lang w:eastAsia="ja-JP"/>
              </w:rPr>
              <w:t>Shoes</w:t>
            </w:r>
          </w:p>
        </w:tc>
        <w:tc>
          <w:tcPr>
            <w:tcW w:w="1418" w:type="dxa"/>
            <w:tcBorders>
              <w:top w:val="nil"/>
              <w:left w:val="nil"/>
              <w:bottom w:val="single" w:sz="4" w:space="0" w:color="auto"/>
              <w:right w:val="single" w:sz="4" w:space="0" w:color="auto"/>
            </w:tcBorders>
            <w:shd w:val="clear" w:color="auto" w:fill="auto"/>
            <w:noWrap/>
            <w:vAlign w:val="bottom"/>
            <w:hideMark/>
          </w:tcPr>
          <w:p w14:paraId="70F61D10" w14:textId="77777777" w:rsidR="000052C2" w:rsidRPr="001B5760" w:rsidRDefault="000052C2" w:rsidP="00745966">
            <w:pPr>
              <w:pStyle w:val="ExhibitText"/>
              <w:rPr>
                <w:lang w:eastAsia="ja-JP"/>
              </w:rPr>
            </w:pPr>
            <w:r w:rsidRPr="001B5760">
              <w:rPr>
                <w:lang w:eastAsia="ja-JP"/>
              </w:rPr>
              <w:t>Accessories</w:t>
            </w:r>
          </w:p>
        </w:tc>
        <w:tc>
          <w:tcPr>
            <w:tcW w:w="1275" w:type="dxa"/>
            <w:vMerge w:val="restart"/>
            <w:tcBorders>
              <w:top w:val="nil"/>
              <w:left w:val="nil"/>
              <w:right w:val="single" w:sz="4" w:space="0" w:color="auto"/>
            </w:tcBorders>
            <w:shd w:val="clear" w:color="000000" w:fill="D9D9D9"/>
            <w:noWrap/>
            <w:vAlign w:val="bottom"/>
            <w:hideMark/>
          </w:tcPr>
          <w:p w14:paraId="2CC5D3AB" w14:textId="77777777" w:rsidR="000052C2" w:rsidRPr="001B5760" w:rsidRDefault="000052C2" w:rsidP="00745966">
            <w:pPr>
              <w:pStyle w:val="ExhibitText"/>
              <w:rPr>
                <w:lang w:eastAsia="ja-JP"/>
              </w:rPr>
            </w:pPr>
          </w:p>
        </w:tc>
        <w:tc>
          <w:tcPr>
            <w:tcW w:w="1560" w:type="dxa"/>
            <w:tcBorders>
              <w:top w:val="nil"/>
              <w:left w:val="nil"/>
              <w:bottom w:val="single" w:sz="4" w:space="0" w:color="auto"/>
              <w:right w:val="single" w:sz="4" w:space="0" w:color="auto"/>
            </w:tcBorders>
            <w:shd w:val="clear" w:color="auto" w:fill="auto"/>
            <w:noWrap/>
            <w:vAlign w:val="bottom"/>
            <w:hideMark/>
          </w:tcPr>
          <w:p w14:paraId="3C560D7B" w14:textId="0F00902E" w:rsidR="000052C2" w:rsidRPr="001B5760" w:rsidRDefault="0094193B" w:rsidP="00745966">
            <w:pPr>
              <w:pStyle w:val="ExhibitText"/>
              <w:rPr>
                <w:lang w:eastAsia="ja-JP"/>
              </w:rPr>
            </w:pPr>
            <w:r w:rsidRPr="001B5760">
              <w:rPr>
                <w:lang w:eastAsia="ja-JP"/>
              </w:rPr>
              <w:t>Moisturizers</w:t>
            </w:r>
          </w:p>
        </w:tc>
      </w:tr>
      <w:tr w:rsidR="000052C2" w:rsidRPr="001B5760" w14:paraId="0646EB53"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31D08073" w14:textId="77777777" w:rsidR="000052C2" w:rsidRPr="001B5760" w:rsidRDefault="000052C2" w:rsidP="00745966">
            <w:pPr>
              <w:pStyle w:val="ExhibitText"/>
              <w:rPr>
                <w:lang w:eastAsia="ja-JP"/>
              </w:rPr>
            </w:pPr>
            <w:r w:rsidRPr="001B5760">
              <w:rPr>
                <w:lang w:eastAsia="ja-JP"/>
              </w:rPr>
              <w:t>Shoes</w:t>
            </w:r>
          </w:p>
        </w:tc>
        <w:tc>
          <w:tcPr>
            <w:tcW w:w="1492" w:type="dxa"/>
            <w:tcBorders>
              <w:top w:val="nil"/>
              <w:left w:val="nil"/>
              <w:bottom w:val="single" w:sz="4" w:space="0" w:color="auto"/>
              <w:right w:val="single" w:sz="4" w:space="0" w:color="auto"/>
            </w:tcBorders>
            <w:shd w:val="clear" w:color="auto" w:fill="auto"/>
            <w:noWrap/>
            <w:vAlign w:val="bottom"/>
            <w:hideMark/>
          </w:tcPr>
          <w:p w14:paraId="26DC9BB0" w14:textId="77777777" w:rsidR="000052C2" w:rsidRPr="001B5760" w:rsidRDefault="000052C2" w:rsidP="00745966">
            <w:pPr>
              <w:pStyle w:val="ExhibitText"/>
              <w:rPr>
                <w:lang w:eastAsia="ja-JP"/>
              </w:rPr>
            </w:pPr>
            <w:r w:rsidRPr="001B5760">
              <w:rPr>
                <w:lang w:eastAsia="ja-JP"/>
              </w:rPr>
              <w:t>Belts</w:t>
            </w:r>
          </w:p>
        </w:tc>
        <w:tc>
          <w:tcPr>
            <w:tcW w:w="1418" w:type="dxa"/>
            <w:tcBorders>
              <w:top w:val="nil"/>
              <w:left w:val="nil"/>
              <w:bottom w:val="single" w:sz="4" w:space="0" w:color="auto"/>
              <w:right w:val="single" w:sz="4" w:space="0" w:color="auto"/>
            </w:tcBorders>
            <w:shd w:val="clear" w:color="auto" w:fill="auto"/>
            <w:noWrap/>
            <w:vAlign w:val="bottom"/>
            <w:hideMark/>
          </w:tcPr>
          <w:p w14:paraId="784D7597" w14:textId="77777777" w:rsidR="000052C2" w:rsidRPr="001B5760" w:rsidRDefault="000052C2" w:rsidP="00745966">
            <w:pPr>
              <w:pStyle w:val="ExhibitText"/>
              <w:rPr>
                <w:lang w:eastAsia="ja-JP"/>
              </w:rPr>
            </w:pPr>
            <w:proofErr w:type="spellStart"/>
            <w:r w:rsidRPr="001B5760">
              <w:rPr>
                <w:lang w:eastAsia="ja-JP"/>
              </w:rPr>
              <w:t>Lookbooks</w:t>
            </w:r>
            <w:proofErr w:type="spellEnd"/>
          </w:p>
        </w:tc>
        <w:tc>
          <w:tcPr>
            <w:tcW w:w="1275" w:type="dxa"/>
            <w:vMerge/>
            <w:tcBorders>
              <w:left w:val="nil"/>
              <w:right w:val="single" w:sz="4" w:space="0" w:color="auto"/>
            </w:tcBorders>
            <w:shd w:val="clear" w:color="000000" w:fill="D9D9D9"/>
            <w:noWrap/>
            <w:vAlign w:val="bottom"/>
            <w:hideMark/>
          </w:tcPr>
          <w:p w14:paraId="4EA52D12" w14:textId="77777777" w:rsidR="000052C2" w:rsidRPr="001B5760" w:rsidRDefault="000052C2" w:rsidP="00745966">
            <w:pPr>
              <w:pStyle w:val="ExhibitText"/>
              <w:rPr>
                <w:lang w:eastAsia="ja-JP"/>
              </w:rPr>
            </w:pPr>
          </w:p>
        </w:tc>
        <w:tc>
          <w:tcPr>
            <w:tcW w:w="1560" w:type="dxa"/>
            <w:tcBorders>
              <w:top w:val="nil"/>
              <w:left w:val="nil"/>
              <w:bottom w:val="single" w:sz="4" w:space="0" w:color="auto"/>
              <w:right w:val="single" w:sz="4" w:space="0" w:color="auto"/>
            </w:tcBorders>
            <w:shd w:val="clear" w:color="auto" w:fill="auto"/>
            <w:noWrap/>
            <w:vAlign w:val="bottom"/>
            <w:hideMark/>
          </w:tcPr>
          <w:p w14:paraId="31BEF843" w14:textId="000E9B0C" w:rsidR="000052C2" w:rsidRPr="001B5760" w:rsidRDefault="000052C2" w:rsidP="00745966">
            <w:pPr>
              <w:pStyle w:val="ExhibitText"/>
              <w:rPr>
                <w:lang w:eastAsia="ja-JP"/>
              </w:rPr>
            </w:pPr>
            <w:r w:rsidRPr="001B5760">
              <w:rPr>
                <w:lang w:eastAsia="ja-JP"/>
              </w:rPr>
              <w:t>Serums</w:t>
            </w:r>
          </w:p>
        </w:tc>
      </w:tr>
      <w:tr w:rsidR="000052C2" w:rsidRPr="001B5760" w14:paraId="745025FB"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69BE7F7B" w14:textId="77777777" w:rsidR="000052C2" w:rsidRPr="001B5760" w:rsidRDefault="000052C2" w:rsidP="00745966">
            <w:pPr>
              <w:pStyle w:val="ExhibitText"/>
              <w:rPr>
                <w:lang w:eastAsia="ja-JP"/>
              </w:rPr>
            </w:pPr>
            <w:r w:rsidRPr="001B5760">
              <w:rPr>
                <w:lang w:eastAsia="ja-JP"/>
              </w:rPr>
              <w:t>Leather Goods</w:t>
            </w:r>
          </w:p>
        </w:tc>
        <w:tc>
          <w:tcPr>
            <w:tcW w:w="1492" w:type="dxa"/>
            <w:tcBorders>
              <w:top w:val="nil"/>
              <w:left w:val="nil"/>
              <w:bottom w:val="single" w:sz="4" w:space="0" w:color="auto"/>
              <w:right w:val="single" w:sz="4" w:space="0" w:color="auto"/>
            </w:tcBorders>
            <w:shd w:val="clear" w:color="auto" w:fill="auto"/>
            <w:noWrap/>
            <w:vAlign w:val="bottom"/>
            <w:hideMark/>
          </w:tcPr>
          <w:p w14:paraId="4C2D7197" w14:textId="77777777" w:rsidR="000052C2" w:rsidRPr="001B5760" w:rsidRDefault="000052C2" w:rsidP="00745966">
            <w:pPr>
              <w:pStyle w:val="ExhibitText"/>
              <w:rPr>
                <w:lang w:eastAsia="ja-JP"/>
              </w:rPr>
            </w:pPr>
            <w:r w:rsidRPr="001B5760">
              <w:rPr>
                <w:lang w:eastAsia="ja-JP"/>
              </w:rPr>
              <w:t>Leather Goods</w:t>
            </w:r>
          </w:p>
        </w:tc>
        <w:tc>
          <w:tcPr>
            <w:tcW w:w="1418" w:type="dxa"/>
            <w:tcBorders>
              <w:top w:val="nil"/>
              <w:left w:val="nil"/>
              <w:bottom w:val="single" w:sz="4" w:space="0" w:color="auto"/>
              <w:right w:val="single" w:sz="4" w:space="0" w:color="auto"/>
            </w:tcBorders>
            <w:shd w:val="clear" w:color="auto" w:fill="auto"/>
            <w:noWrap/>
            <w:vAlign w:val="bottom"/>
            <w:hideMark/>
          </w:tcPr>
          <w:p w14:paraId="066B9AE1" w14:textId="77777777" w:rsidR="000052C2" w:rsidRPr="001B5760" w:rsidRDefault="000052C2" w:rsidP="00745966">
            <w:pPr>
              <w:pStyle w:val="ExhibitText"/>
              <w:rPr>
                <w:lang w:eastAsia="ja-JP"/>
              </w:rPr>
            </w:pPr>
            <w:r w:rsidRPr="001B5760">
              <w:rPr>
                <w:lang w:eastAsia="ja-JP"/>
              </w:rPr>
              <w:t>Nails</w:t>
            </w:r>
          </w:p>
        </w:tc>
        <w:tc>
          <w:tcPr>
            <w:tcW w:w="1275" w:type="dxa"/>
            <w:vMerge/>
            <w:tcBorders>
              <w:left w:val="nil"/>
              <w:right w:val="single" w:sz="4" w:space="0" w:color="auto"/>
            </w:tcBorders>
            <w:shd w:val="clear" w:color="000000" w:fill="D9D9D9"/>
            <w:noWrap/>
            <w:vAlign w:val="bottom"/>
            <w:hideMark/>
          </w:tcPr>
          <w:p w14:paraId="6921683A" w14:textId="77777777" w:rsidR="000052C2" w:rsidRPr="001B5760" w:rsidRDefault="000052C2" w:rsidP="00745966">
            <w:pPr>
              <w:pStyle w:val="ExhibitText"/>
              <w:rPr>
                <w:lang w:eastAsia="ja-JP"/>
              </w:rPr>
            </w:pPr>
          </w:p>
        </w:tc>
        <w:tc>
          <w:tcPr>
            <w:tcW w:w="1560" w:type="dxa"/>
            <w:tcBorders>
              <w:top w:val="nil"/>
              <w:left w:val="nil"/>
              <w:bottom w:val="single" w:sz="4" w:space="0" w:color="auto"/>
              <w:right w:val="single" w:sz="4" w:space="0" w:color="auto"/>
            </w:tcBorders>
            <w:shd w:val="clear" w:color="auto" w:fill="auto"/>
            <w:noWrap/>
            <w:vAlign w:val="bottom"/>
            <w:hideMark/>
          </w:tcPr>
          <w:p w14:paraId="41A865A4" w14:textId="0C3DBB6E" w:rsidR="000052C2" w:rsidRPr="001B5760" w:rsidRDefault="000052C2" w:rsidP="00745966">
            <w:pPr>
              <w:pStyle w:val="ExhibitText"/>
              <w:rPr>
                <w:lang w:eastAsia="ja-JP"/>
              </w:rPr>
            </w:pPr>
            <w:r w:rsidRPr="001B5760">
              <w:rPr>
                <w:lang w:eastAsia="ja-JP"/>
              </w:rPr>
              <w:t>BB Cream</w:t>
            </w:r>
          </w:p>
        </w:tc>
      </w:tr>
      <w:tr w:rsidR="000052C2" w:rsidRPr="001B5760" w14:paraId="47C497AA"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41CE137B" w14:textId="5E6745A4" w:rsidR="000052C2" w:rsidRPr="001B5760" w:rsidRDefault="000052C2" w:rsidP="00745966">
            <w:pPr>
              <w:pStyle w:val="ExhibitText"/>
              <w:rPr>
                <w:lang w:eastAsia="ja-JP"/>
              </w:rPr>
            </w:pPr>
            <w:r w:rsidRPr="001B5760">
              <w:rPr>
                <w:lang w:eastAsia="ja-JP"/>
              </w:rPr>
              <w:t>Jewel</w:t>
            </w:r>
            <w:r w:rsidR="00245B1B">
              <w:rPr>
                <w:lang w:eastAsia="ja-JP"/>
              </w:rPr>
              <w:t>le</w:t>
            </w:r>
            <w:r w:rsidRPr="001B5760">
              <w:rPr>
                <w:lang w:eastAsia="ja-JP"/>
              </w:rPr>
              <w:t>ry</w:t>
            </w:r>
          </w:p>
        </w:tc>
        <w:tc>
          <w:tcPr>
            <w:tcW w:w="1492" w:type="dxa"/>
            <w:tcBorders>
              <w:top w:val="nil"/>
              <w:left w:val="nil"/>
              <w:bottom w:val="single" w:sz="4" w:space="0" w:color="auto"/>
              <w:right w:val="single" w:sz="4" w:space="0" w:color="auto"/>
            </w:tcBorders>
            <w:shd w:val="clear" w:color="auto" w:fill="auto"/>
            <w:noWrap/>
            <w:vAlign w:val="bottom"/>
            <w:hideMark/>
          </w:tcPr>
          <w:p w14:paraId="19CE34EC" w14:textId="77777777" w:rsidR="000052C2" w:rsidRPr="001B5760" w:rsidRDefault="000052C2" w:rsidP="00745966">
            <w:pPr>
              <w:pStyle w:val="ExhibitText"/>
              <w:rPr>
                <w:lang w:eastAsia="ja-JP"/>
              </w:rPr>
            </w:pPr>
            <w:r w:rsidRPr="001B5760">
              <w:rPr>
                <w:lang w:eastAsia="ja-JP"/>
              </w:rPr>
              <w:t>Backpacks and Bags</w:t>
            </w:r>
          </w:p>
        </w:tc>
        <w:tc>
          <w:tcPr>
            <w:tcW w:w="1418" w:type="dxa"/>
            <w:vMerge w:val="restart"/>
            <w:tcBorders>
              <w:top w:val="nil"/>
              <w:left w:val="nil"/>
              <w:right w:val="single" w:sz="4" w:space="0" w:color="auto"/>
            </w:tcBorders>
            <w:shd w:val="clear" w:color="000000" w:fill="D9D9D9"/>
            <w:noWrap/>
            <w:vAlign w:val="bottom"/>
            <w:hideMark/>
          </w:tcPr>
          <w:p w14:paraId="16D0F00B" w14:textId="77777777" w:rsidR="000052C2" w:rsidRPr="001B5760" w:rsidRDefault="000052C2" w:rsidP="00745966">
            <w:pPr>
              <w:pStyle w:val="ExhibitText"/>
              <w:rPr>
                <w:lang w:eastAsia="ja-JP"/>
              </w:rPr>
            </w:pPr>
          </w:p>
        </w:tc>
        <w:tc>
          <w:tcPr>
            <w:tcW w:w="1275" w:type="dxa"/>
            <w:vMerge/>
            <w:tcBorders>
              <w:left w:val="nil"/>
              <w:right w:val="single" w:sz="4" w:space="0" w:color="auto"/>
            </w:tcBorders>
            <w:shd w:val="clear" w:color="000000" w:fill="D9D9D9"/>
            <w:noWrap/>
            <w:vAlign w:val="bottom"/>
            <w:hideMark/>
          </w:tcPr>
          <w:p w14:paraId="68959336" w14:textId="77777777" w:rsidR="000052C2" w:rsidRPr="001B5760" w:rsidRDefault="000052C2" w:rsidP="00745966">
            <w:pPr>
              <w:pStyle w:val="ExhibitText"/>
              <w:rPr>
                <w:lang w:eastAsia="ja-JP"/>
              </w:rPr>
            </w:pPr>
          </w:p>
        </w:tc>
        <w:tc>
          <w:tcPr>
            <w:tcW w:w="1560" w:type="dxa"/>
            <w:tcBorders>
              <w:top w:val="nil"/>
              <w:left w:val="nil"/>
              <w:bottom w:val="single" w:sz="4" w:space="0" w:color="auto"/>
              <w:right w:val="single" w:sz="4" w:space="0" w:color="auto"/>
            </w:tcBorders>
            <w:shd w:val="clear" w:color="auto" w:fill="auto"/>
            <w:noWrap/>
            <w:vAlign w:val="bottom"/>
            <w:hideMark/>
          </w:tcPr>
          <w:p w14:paraId="4D3D67D1" w14:textId="01A538EB" w:rsidR="000052C2" w:rsidRPr="001B5760" w:rsidRDefault="000052C2" w:rsidP="00745966">
            <w:pPr>
              <w:pStyle w:val="ExhibitText"/>
              <w:rPr>
                <w:lang w:eastAsia="ja-JP"/>
              </w:rPr>
            </w:pPr>
            <w:r w:rsidRPr="001B5760">
              <w:rPr>
                <w:lang w:eastAsia="ja-JP"/>
              </w:rPr>
              <w:t>Tools</w:t>
            </w:r>
          </w:p>
        </w:tc>
      </w:tr>
      <w:tr w:rsidR="000052C2" w:rsidRPr="001B5760" w14:paraId="3154E31D"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5BFB2D52" w14:textId="77777777" w:rsidR="000052C2" w:rsidRPr="001B5760" w:rsidRDefault="000052C2" w:rsidP="00745966">
            <w:pPr>
              <w:pStyle w:val="ExhibitText"/>
              <w:rPr>
                <w:lang w:eastAsia="ja-JP"/>
              </w:rPr>
            </w:pPr>
            <w:r w:rsidRPr="001B5760">
              <w:rPr>
                <w:lang w:eastAsia="ja-JP"/>
              </w:rPr>
              <w:t>Belts</w:t>
            </w:r>
          </w:p>
        </w:tc>
        <w:tc>
          <w:tcPr>
            <w:tcW w:w="1492" w:type="dxa"/>
            <w:tcBorders>
              <w:top w:val="nil"/>
              <w:left w:val="nil"/>
              <w:bottom w:val="single" w:sz="4" w:space="0" w:color="auto"/>
              <w:right w:val="single" w:sz="4" w:space="0" w:color="auto"/>
            </w:tcBorders>
            <w:shd w:val="clear" w:color="auto" w:fill="auto"/>
            <w:noWrap/>
            <w:vAlign w:val="bottom"/>
            <w:hideMark/>
          </w:tcPr>
          <w:p w14:paraId="4E069774" w14:textId="77777777" w:rsidR="000052C2" w:rsidRPr="001B5760" w:rsidRDefault="000052C2" w:rsidP="00745966">
            <w:pPr>
              <w:pStyle w:val="ExhibitText"/>
              <w:rPr>
                <w:lang w:eastAsia="ja-JP"/>
              </w:rPr>
            </w:pPr>
            <w:r w:rsidRPr="001B5760">
              <w:rPr>
                <w:lang w:eastAsia="ja-JP"/>
              </w:rPr>
              <w:t>Silks and Hats</w:t>
            </w:r>
          </w:p>
        </w:tc>
        <w:tc>
          <w:tcPr>
            <w:tcW w:w="1418" w:type="dxa"/>
            <w:vMerge/>
            <w:tcBorders>
              <w:left w:val="nil"/>
              <w:right w:val="single" w:sz="4" w:space="0" w:color="auto"/>
            </w:tcBorders>
            <w:shd w:val="clear" w:color="000000" w:fill="D9D9D9"/>
            <w:noWrap/>
            <w:vAlign w:val="bottom"/>
            <w:hideMark/>
          </w:tcPr>
          <w:p w14:paraId="6DED0FDC" w14:textId="77777777" w:rsidR="000052C2" w:rsidRPr="001B5760" w:rsidRDefault="000052C2" w:rsidP="00745966">
            <w:pPr>
              <w:pStyle w:val="ExhibitText"/>
              <w:rPr>
                <w:lang w:eastAsia="ja-JP"/>
              </w:rPr>
            </w:pPr>
          </w:p>
        </w:tc>
        <w:tc>
          <w:tcPr>
            <w:tcW w:w="1275" w:type="dxa"/>
            <w:vMerge/>
            <w:tcBorders>
              <w:left w:val="nil"/>
              <w:right w:val="single" w:sz="4" w:space="0" w:color="auto"/>
            </w:tcBorders>
            <w:shd w:val="clear" w:color="000000" w:fill="D9D9D9"/>
            <w:noWrap/>
            <w:vAlign w:val="bottom"/>
            <w:hideMark/>
          </w:tcPr>
          <w:p w14:paraId="3A865924" w14:textId="77777777" w:rsidR="000052C2" w:rsidRPr="001B5760" w:rsidRDefault="000052C2" w:rsidP="00745966">
            <w:pPr>
              <w:pStyle w:val="ExhibitText"/>
              <w:rPr>
                <w:lang w:eastAsia="ja-JP"/>
              </w:rPr>
            </w:pPr>
          </w:p>
        </w:tc>
        <w:tc>
          <w:tcPr>
            <w:tcW w:w="1560" w:type="dxa"/>
            <w:vMerge w:val="restart"/>
            <w:tcBorders>
              <w:top w:val="nil"/>
              <w:left w:val="nil"/>
              <w:right w:val="single" w:sz="4" w:space="0" w:color="auto"/>
            </w:tcBorders>
            <w:shd w:val="clear" w:color="000000" w:fill="D9D9D9"/>
            <w:noWrap/>
            <w:vAlign w:val="bottom"/>
            <w:hideMark/>
          </w:tcPr>
          <w:p w14:paraId="4F169B69" w14:textId="77777777" w:rsidR="000052C2" w:rsidRPr="001B5760" w:rsidRDefault="000052C2" w:rsidP="00745966">
            <w:pPr>
              <w:pStyle w:val="ExhibitText"/>
              <w:rPr>
                <w:lang w:eastAsia="ja-JP"/>
              </w:rPr>
            </w:pPr>
          </w:p>
        </w:tc>
      </w:tr>
      <w:tr w:rsidR="000052C2" w:rsidRPr="001B5760" w14:paraId="390F60FF"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20998C74" w14:textId="77777777" w:rsidR="000052C2" w:rsidRPr="001B5760" w:rsidRDefault="000052C2" w:rsidP="00745966">
            <w:pPr>
              <w:pStyle w:val="ExhibitText"/>
              <w:rPr>
                <w:lang w:eastAsia="ja-JP"/>
              </w:rPr>
            </w:pPr>
            <w:r w:rsidRPr="001B5760">
              <w:rPr>
                <w:lang w:eastAsia="ja-JP"/>
              </w:rPr>
              <w:t>Silk</w:t>
            </w:r>
          </w:p>
        </w:tc>
        <w:tc>
          <w:tcPr>
            <w:tcW w:w="1492" w:type="dxa"/>
            <w:tcBorders>
              <w:top w:val="nil"/>
              <w:left w:val="nil"/>
              <w:bottom w:val="single" w:sz="4" w:space="0" w:color="auto"/>
              <w:right w:val="single" w:sz="4" w:space="0" w:color="auto"/>
            </w:tcBorders>
            <w:shd w:val="clear" w:color="auto" w:fill="auto"/>
            <w:noWrap/>
            <w:vAlign w:val="bottom"/>
            <w:hideMark/>
          </w:tcPr>
          <w:p w14:paraId="3DAE0B78" w14:textId="77777777" w:rsidR="000052C2" w:rsidRPr="001B5760" w:rsidRDefault="000052C2" w:rsidP="00745966">
            <w:pPr>
              <w:pStyle w:val="ExhibitText"/>
              <w:rPr>
                <w:lang w:eastAsia="ja-JP"/>
              </w:rPr>
            </w:pPr>
            <w:r w:rsidRPr="001B5760">
              <w:rPr>
                <w:lang w:eastAsia="ja-JP"/>
              </w:rPr>
              <w:t>Sunglasses</w:t>
            </w:r>
          </w:p>
        </w:tc>
        <w:tc>
          <w:tcPr>
            <w:tcW w:w="1418" w:type="dxa"/>
            <w:vMerge/>
            <w:tcBorders>
              <w:left w:val="nil"/>
              <w:right w:val="single" w:sz="4" w:space="0" w:color="auto"/>
            </w:tcBorders>
            <w:shd w:val="clear" w:color="000000" w:fill="D9D9D9"/>
            <w:noWrap/>
            <w:vAlign w:val="bottom"/>
            <w:hideMark/>
          </w:tcPr>
          <w:p w14:paraId="58FABF74" w14:textId="77777777" w:rsidR="000052C2" w:rsidRPr="001B5760" w:rsidRDefault="000052C2" w:rsidP="00745966">
            <w:pPr>
              <w:pStyle w:val="ExhibitText"/>
              <w:rPr>
                <w:lang w:eastAsia="ja-JP"/>
              </w:rPr>
            </w:pPr>
          </w:p>
        </w:tc>
        <w:tc>
          <w:tcPr>
            <w:tcW w:w="1275" w:type="dxa"/>
            <w:vMerge/>
            <w:tcBorders>
              <w:left w:val="nil"/>
              <w:right w:val="single" w:sz="4" w:space="0" w:color="auto"/>
            </w:tcBorders>
            <w:shd w:val="clear" w:color="000000" w:fill="D9D9D9"/>
            <w:noWrap/>
            <w:vAlign w:val="bottom"/>
            <w:hideMark/>
          </w:tcPr>
          <w:p w14:paraId="268F9C36" w14:textId="77777777" w:rsidR="000052C2" w:rsidRPr="001B5760" w:rsidRDefault="000052C2" w:rsidP="00745966">
            <w:pPr>
              <w:pStyle w:val="ExhibitText"/>
              <w:rPr>
                <w:lang w:eastAsia="ja-JP"/>
              </w:rPr>
            </w:pPr>
          </w:p>
        </w:tc>
        <w:tc>
          <w:tcPr>
            <w:tcW w:w="1560" w:type="dxa"/>
            <w:vMerge/>
            <w:tcBorders>
              <w:left w:val="nil"/>
              <w:right w:val="single" w:sz="4" w:space="0" w:color="auto"/>
            </w:tcBorders>
            <w:shd w:val="clear" w:color="000000" w:fill="D9D9D9"/>
            <w:noWrap/>
            <w:vAlign w:val="bottom"/>
            <w:hideMark/>
          </w:tcPr>
          <w:p w14:paraId="6E6879A3" w14:textId="77777777" w:rsidR="000052C2" w:rsidRPr="001B5760" w:rsidRDefault="000052C2" w:rsidP="00745966">
            <w:pPr>
              <w:pStyle w:val="ExhibitText"/>
              <w:rPr>
                <w:lang w:eastAsia="ja-JP"/>
              </w:rPr>
            </w:pPr>
          </w:p>
        </w:tc>
      </w:tr>
      <w:tr w:rsidR="000052C2" w:rsidRPr="001B5760" w14:paraId="015751D7" w14:textId="77777777" w:rsidTr="000052C2">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14:paraId="1E08D701" w14:textId="77777777" w:rsidR="000052C2" w:rsidRPr="001B5760" w:rsidRDefault="000052C2" w:rsidP="00745966">
            <w:pPr>
              <w:pStyle w:val="ExhibitText"/>
              <w:rPr>
                <w:lang w:eastAsia="ja-JP"/>
              </w:rPr>
            </w:pPr>
            <w:r w:rsidRPr="001B5760">
              <w:rPr>
                <w:lang w:eastAsia="ja-JP"/>
              </w:rPr>
              <w:t>Sunglasses</w:t>
            </w:r>
          </w:p>
        </w:tc>
        <w:tc>
          <w:tcPr>
            <w:tcW w:w="1492" w:type="dxa"/>
            <w:tcBorders>
              <w:top w:val="nil"/>
              <w:left w:val="nil"/>
              <w:bottom w:val="single" w:sz="4" w:space="0" w:color="auto"/>
              <w:right w:val="single" w:sz="4" w:space="0" w:color="auto"/>
            </w:tcBorders>
            <w:shd w:val="clear" w:color="000000" w:fill="D9D9D9"/>
            <w:noWrap/>
            <w:vAlign w:val="bottom"/>
            <w:hideMark/>
          </w:tcPr>
          <w:p w14:paraId="542CF5F6" w14:textId="77777777" w:rsidR="000052C2" w:rsidRPr="001B5760" w:rsidRDefault="000052C2" w:rsidP="00745966">
            <w:pPr>
              <w:pStyle w:val="ExhibitText"/>
              <w:rPr>
                <w:lang w:eastAsia="ja-JP"/>
              </w:rPr>
            </w:pPr>
          </w:p>
        </w:tc>
        <w:tc>
          <w:tcPr>
            <w:tcW w:w="1418" w:type="dxa"/>
            <w:vMerge/>
            <w:tcBorders>
              <w:left w:val="nil"/>
              <w:bottom w:val="single" w:sz="4" w:space="0" w:color="auto"/>
              <w:right w:val="single" w:sz="4" w:space="0" w:color="auto"/>
            </w:tcBorders>
            <w:shd w:val="clear" w:color="000000" w:fill="D9D9D9"/>
            <w:noWrap/>
            <w:vAlign w:val="bottom"/>
            <w:hideMark/>
          </w:tcPr>
          <w:p w14:paraId="5BE4CBD6" w14:textId="77777777" w:rsidR="000052C2" w:rsidRPr="001B5760" w:rsidRDefault="000052C2" w:rsidP="00745966">
            <w:pPr>
              <w:pStyle w:val="ExhibitText"/>
              <w:rPr>
                <w:lang w:eastAsia="ja-JP"/>
              </w:rPr>
            </w:pPr>
          </w:p>
        </w:tc>
        <w:tc>
          <w:tcPr>
            <w:tcW w:w="1275" w:type="dxa"/>
            <w:vMerge/>
            <w:tcBorders>
              <w:left w:val="nil"/>
              <w:bottom w:val="single" w:sz="4" w:space="0" w:color="auto"/>
              <w:right w:val="single" w:sz="4" w:space="0" w:color="auto"/>
            </w:tcBorders>
            <w:shd w:val="clear" w:color="000000" w:fill="D9D9D9"/>
            <w:noWrap/>
            <w:vAlign w:val="bottom"/>
            <w:hideMark/>
          </w:tcPr>
          <w:p w14:paraId="736CB90A" w14:textId="77777777" w:rsidR="000052C2" w:rsidRPr="001B5760" w:rsidRDefault="000052C2" w:rsidP="00745966">
            <w:pPr>
              <w:pStyle w:val="ExhibitText"/>
              <w:rPr>
                <w:lang w:eastAsia="ja-JP"/>
              </w:rPr>
            </w:pPr>
          </w:p>
        </w:tc>
        <w:tc>
          <w:tcPr>
            <w:tcW w:w="1560" w:type="dxa"/>
            <w:vMerge/>
            <w:tcBorders>
              <w:left w:val="nil"/>
              <w:bottom w:val="single" w:sz="4" w:space="0" w:color="auto"/>
              <w:right w:val="single" w:sz="4" w:space="0" w:color="auto"/>
            </w:tcBorders>
            <w:shd w:val="clear" w:color="000000" w:fill="D9D9D9"/>
            <w:noWrap/>
            <w:vAlign w:val="bottom"/>
            <w:hideMark/>
          </w:tcPr>
          <w:p w14:paraId="2D03AED8" w14:textId="77777777" w:rsidR="000052C2" w:rsidRPr="001B5760" w:rsidRDefault="000052C2" w:rsidP="00745966">
            <w:pPr>
              <w:pStyle w:val="ExhibitText"/>
              <w:rPr>
                <w:lang w:eastAsia="ja-JP"/>
              </w:rPr>
            </w:pPr>
          </w:p>
        </w:tc>
      </w:tr>
    </w:tbl>
    <w:p w14:paraId="588AFFC1" w14:textId="77777777" w:rsidR="00A556EC" w:rsidRDefault="00A556EC" w:rsidP="00356EF7">
      <w:pPr>
        <w:pStyle w:val="ExhibitText"/>
      </w:pPr>
    </w:p>
    <w:p w14:paraId="0DEB4F85" w14:textId="691454A6" w:rsidR="00DB23D6" w:rsidRPr="001B5760" w:rsidRDefault="00DB23D6" w:rsidP="00745966">
      <w:pPr>
        <w:pStyle w:val="Footnote"/>
      </w:pPr>
      <w:r w:rsidRPr="001B5760">
        <w:t xml:space="preserve">Source: Yves Saint Laurent </w:t>
      </w:r>
      <w:r w:rsidR="00245B1B">
        <w:t>company website,</w:t>
      </w:r>
      <w:r w:rsidRPr="001B5760">
        <w:t xml:space="preserve"> </w:t>
      </w:r>
      <w:r w:rsidR="00745966" w:rsidRPr="001B5760">
        <w:t>accessed January 26, 20</w:t>
      </w:r>
      <w:r w:rsidR="00745966">
        <w:t xml:space="preserve">17, </w:t>
      </w:r>
      <w:r w:rsidRPr="001B5760">
        <w:t>www.ysl.com/us</w:t>
      </w:r>
      <w:r w:rsidR="00245B1B">
        <w:t>;</w:t>
      </w:r>
      <w:r w:rsidRPr="001B5760">
        <w:t xml:space="preserve"> Yves Saint Laurent Beauty</w:t>
      </w:r>
      <w:r w:rsidR="00245B1B">
        <w:t xml:space="preserve"> website,</w:t>
      </w:r>
      <w:r w:rsidRPr="001B5760">
        <w:t xml:space="preserve"> </w:t>
      </w:r>
      <w:r w:rsidR="00245B1B" w:rsidRPr="001B5760">
        <w:t>accessed January 26, 20</w:t>
      </w:r>
      <w:r w:rsidR="00245B1B">
        <w:t xml:space="preserve">17, </w:t>
      </w:r>
      <w:r w:rsidR="0076595B">
        <w:t>www.</w:t>
      </w:r>
      <w:r w:rsidRPr="001B5760">
        <w:t>yslbeautyus.com/skincare-by-category/moisturizers</w:t>
      </w:r>
      <w:r w:rsidR="00745966">
        <w:t>.</w:t>
      </w:r>
      <w:r w:rsidRPr="001B5760">
        <w:t xml:space="preserve"> </w:t>
      </w:r>
    </w:p>
    <w:p w14:paraId="17564D74" w14:textId="77777777" w:rsidR="007345E7" w:rsidRDefault="007345E7" w:rsidP="00356EF7">
      <w:pPr>
        <w:pStyle w:val="ExhibitText"/>
      </w:pPr>
    </w:p>
    <w:p w14:paraId="0337E411" w14:textId="77777777" w:rsidR="00A556EC" w:rsidRPr="001B5760" w:rsidRDefault="00A556EC" w:rsidP="00356EF7">
      <w:pPr>
        <w:pStyle w:val="ExhibitText"/>
      </w:pPr>
    </w:p>
    <w:p w14:paraId="64E61997" w14:textId="77777777" w:rsidR="00ED6A70" w:rsidRDefault="00AC31E1" w:rsidP="00356EF7">
      <w:pPr>
        <w:pStyle w:val="ExhibitHeading"/>
      </w:pPr>
      <w:r w:rsidRPr="001B5760">
        <w:t xml:space="preserve">EXhibit </w:t>
      </w:r>
      <w:r w:rsidR="00DB23D6" w:rsidRPr="001B5760">
        <w:rPr>
          <w:lang w:eastAsia="zh-CN"/>
        </w:rPr>
        <w:t>6</w:t>
      </w:r>
      <w:r w:rsidRPr="001B5760">
        <w:t>: 2014 luxury market size</w:t>
      </w:r>
    </w:p>
    <w:p w14:paraId="42B4D1C8" w14:textId="77777777" w:rsidR="00A556EC" w:rsidRPr="001B5760" w:rsidRDefault="00A556EC" w:rsidP="00356EF7">
      <w:pPr>
        <w:pStyle w:val="ExhibitText"/>
      </w:pPr>
    </w:p>
    <w:p w14:paraId="6A70B21F" w14:textId="77777777" w:rsidR="00AC31E1" w:rsidRDefault="00AC31E1" w:rsidP="00C83EF1">
      <w:pPr>
        <w:spacing w:after="200" w:line="276" w:lineRule="auto"/>
        <w:jc w:val="center"/>
        <w:rPr>
          <w:rFonts w:ascii="Arial" w:hAnsi="Arial" w:cs="Arial"/>
          <w:b/>
          <w:caps/>
        </w:rPr>
      </w:pPr>
      <w:r w:rsidRPr="001B5760">
        <w:rPr>
          <w:noProof/>
          <w:lang w:eastAsia="en-GB"/>
        </w:rPr>
        <w:drawing>
          <wp:inline distT="0" distB="0" distL="0" distR="0" wp14:anchorId="21EC2F0E" wp14:editId="7A3D2D74">
            <wp:extent cx="4555331" cy="2743200"/>
            <wp:effectExtent l="0" t="0" r="171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845D41" w14:textId="77777777" w:rsidR="00A556EC" w:rsidRPr="001B5760" w:rsidRDefault="00A556EC" w:rsidP="00356EF7">
      <w:pPr>
        <w:pStyle w:val="ExhibitText"/>
      </w:pPr>
    </w:p>
    <w:p w14:paraId="217E4A54" w14:textId="4C004663" w:rsidR="00AC31E1" w:rsidRPr="001B5760" w:rsidRDefault="00AC31E1" w:rsidP="00356EF7">
      <w:pPr>
        <w:pStyle w:val="Footnote"/>
        <w:rPr>
          <w:sz w:val="22"/>
          <w:szCs w:val="22"/>
        </w:rPr>
      </w:pPr>
      <w:r w:rsidRPr="00745966">
        <w:t xml:space="preserve">Source: </w:t>
      </w:r>
      <w:r w:rsidR="00472B46" w:rsidRPr="00745966">
        <w:t>“</w:t>
      </w:r>
      <w:r w:rsidR="00245B1B">
        <w:t xml:space="preserve">Global </w:t>
      </w:r>
      <w:r w:rsidR="003E7AD0" w:rsidRPr="00745966">
        <w:t xml:space="preserve">Luxury Market </w:t>
      </w:r>
      <w:proofErr w:type="gramStart"/>
      <w:r w:rsidR="00245B1B">
        <w:t>Worth</w:t>
      </w:r>
      <w:proofErr w:type="gramEnd"/>
      <w:r w:rsidR="00245B1B">
        <w:t xml:space="preserve"> 224 Billion, Top 20 Brands</w:t>
      </w:r>
      <w:r w:rsidR="003E7AD0" w:rsidRPr="00745966">
        <w:t>,</w:t>
      </w:r>
      <w:r w:rsidR="00472B46" w:rsidRPr="00745966">
        <w:t>”</w:t>
      </w:r>
      <w:r w:rsidR="003E7AD0" w:rsidRPr="00745966">
        <w:t xml:space="preserve"> </w:t>
      </w:r>
      <w:r w:rsidR="00245B1B">
        <w:t xml:space="preserve">Consultancy.uk, October 22, 2015, </w:t>
      </w:r>
      <w:r w:rsidR="00745966">
        <w:t xml:space="preserve">accessed January 26, 2017, </w:t>
      </w:r>
      <w:r w:rsidR="003E7AD0" w:rsidRPr="00745966">
        <w:t>www.consultancy.uk/news/2803/global-luxury-market-worth-224-billion-top-20-brands</w:t>
      </w:r>
      <w:r w:rsidR="00745966">
        <w:t>.</w:t>
      </w:r>
      <w:r w:rsidRPr="001B5760">
        <w:rPr>
          <w:sz w:val="22"/>
          <w:szCs w:val="22"/>
        </w:rPr>
        <w:br w:type="page"/>
      </w:r>
    </w:p>
    <w:p w14:paraId="04F64433" w14:textId="77777777" w:rsidR="007B1C38" w:rsidRDefault="007B1C38" w:rsidP="00356EF7">
      <w:pPr>
        <w:pStyle w:val="ExhibitHeading"/>
      </w:pPr>
      <w:r w:rsidRPr="001B5760">
        <w:lastRenderedPageBreak/>
        <w:t xml:space="preserve">exhibit </w:t>
      </w:r>
      <w:r w:rsidR="00DB23D6" w:rsidRPr="001B5760">
        <w:rPr>
          <w:lang w:eastAsia="zh-CN"/>
        </w:rPr>
        <w:t>7</w:t>
      </w:r>
      <w:r w:rsidRPr="001B5760">
        <w:t>: top 20 luxury firms</w:t>
      </w:r>
    </w:p>
    <w:p w14:paraId="1BFF87A4" w14:textId="77777777" w:rsidR="00A556EC" w:rsidRPr="001B5760" w:rsidRDefault="00A556EC" w:rsidP="001F24C4">
      <w:pPr>
        <w:pStyle w:val="ExhibitText"/>
        <w:jc w:val="center"/>
      </w:pPr>
    </w:p>
    <w:tbl>
      <w:tblPr>
        <w:tblW w:w="5387" w:type="dxa"/>
        <w:jc w:val="center"/>
        <w:tblLook w:val="04A0" w:firstRow="1" w:lastRow="0" w:firstColumn="1" w:lastColumn="0" w:noHBand="0" w:noVBand="1"/>
      </w:tblPr>
      <w:tblGrid>
        <w:gridCol w:w="2268"/>
        <w:gridCol w:w="1607"/>
        <w:gridCol w:w="1512"/>
      </w:tblGrid>
      <w:tr w:rsidR="007B1C38" w:rsidRPr="001B5760" w14:paraId="1EF4AE50" w14:textId="77777777" w:rsidTr="001F24C4">
        <w:trPr>
          <w:trHeight w:val="233"/>
          <w:jc w:val="cent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76A302AC" w14:textId="77777777" w:rsidR="007B1C38" w:rsidRPr="001B5760" w:rsidRDefault="007B1C38" w:rsidP="00745966">
            <w:pPr>
              <w:pStyle w:val="ExhibitText"/>
              <w:jc w:val="center"/>
              <w:rPr>
                <w:lang w:eastAsia="ja-JP"/>
              </w:rPr>
            </w:pPr>
            <w:r w:rsidRPr="001B5760">
              <w:rPr>
                <w:lang w:eastAsia="ja-JP"/>
              </w:rPr>
              <w:t>Luxury Companies</w:t>
            </w:r>
          </w:p>
        </w:tc>
        <w:tc>
          <w:tcPr>
            <w:tcW w:w="160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6AA7422" w14:textId="77777777" w:rsidR="007B1C38" w:rsidRPr="001B5760" w:rsidRDefault="007B1C38" w:rsidP="00745966">
            <w:pPr>
              <w:pStyle w:val="ExhibitText"/>
              <w:jc w:val="center"/>
              <w:rPr>
                <w:lang w:eastAsia="ja-JP"/>
              </w:rPr>
            </w:pPr>
            <w:r w:rsidRPr="001B5760">
              <w:rPr>
                <w:lang w:eastAsia="ja-JP"/>
              </w:rPr>
              <w:t>Market Capitaliza</w:t>
            </w:r>
            <w:r w:rsidR="00745966">
              <w:rPr>
                <w:lang w:eastAsia="ja-JP"/>
              </w:rPr>
              <w:t>tion (in € millions</w:t>
            </w:r>
            <w:r w:rsidRPr="001B5760">
              <w:rPr>
                <w:lang w:eastAsia="ja-JP"/>
              </w:rPr>
              <w:t>)</w:t>
            </w:r>
          </w:p>
        </w:tc>
        <w:tc>
          <w:tcPr>
            <w:tcW w:w="1512"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436374F" w14:textId="309F6C8F" w:rsidR="007B1C38" w:rsidRPr="001B5760" w:rsidRDefault="007B1C38" w:rsidP="00745966">
            <w:pPr>
              <w:pStyle w:val="ExhibitText"/>
              <w:jc w:val="center"/>
              <w:rPr>
                <w:lang w:eastAsia="ja-JP"/>
              </w:rPr>
            </w:pPr>
            <w:r w:rsidRPr="001B5760">
              <w:rPr>
                <w:lang w:eastAsia="ja-JP"/>
              </w:rPr>
              <w:t>Long</w:t>
            </w:r>
            <w:r w:rsidR="007779F3">
              <w:rPr>
                <w:lang w:eastAsia="ja-JP"/>
              </w:rPr>
              <w:t>-</w:t>
            </w:r>
            <w:r w:rsidRPr="001B5760">
              <w:rPr>
                <w:lang w:eastAsia="ja-JP"/>
              </w:rPr>
              <w:t>Term Growth Rate</w:t>
            </w:r>
            <w:r w:rsidR="00745966">
              <w:rPr>
                <w:lang w:eastAsia="ja-JP"/>
              </w:rPr>
              <w:t xml:space="preserve"> (%)</w:t>
            </w:r>
          </w:p>
        </w:tc>
      </w:tr>
      <w:tr w:rsidR="007B1C38" w:rsidRPr="001B5760" w14:paraId="72980103"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BCFFA05" w14:textId="77777777" w:rsidR="007B1C38" w:rsidRPr="001B5760" w:rsidRDefault="007B1C38" w:rsidP="00745966">
            <w:pPr>
              <w:pStyle w:val="ExhibitText"/>
              <w:jc w:val="left"/>
              <w:rPr>
                <w:lang w:eastAsia="ja-JP"/>
              </w:rPr>
            </w:pPr>
            <w:r w:rsidRPr="001B5760">
              <w:rPr>
                <w:lang w:eastAsia="ja-JP"/>
              </w:rPr>
              <w:t>Louis Vuitton</w:t>
            </w:r>
          </w:p>
        </w:tc>
        <w:tc>
          <w:tcPr>
            <w:tcW w:w="1607" w:type="dxa"/>
            <w:tcBorders>
              <w:top w:val="nil"/>
              <w:left w:val="nil"/>
              <w:bottom w:val="single" w:sz="4" w:space="0" w:color="auto"/>
              <w:right w:val="single" w:sz="4" w:space="0" w:color="auto"/>
            </w:tcBorders>
            <w:shd w:val="clear" w:color="auto" w:fill="auto"/>
            <w:noWrap/>
            <w:vAlign w:val="center"/>
            <w:hideMark/>
          </w:tcPr>
          <w:p w14:paraId="64B76C2E" w14:textId="77777777" w:rsidR="007B1C38" w:rsidRPr="001B5760" w:rsidRDefault="007B1C38" w:rsidP="00745966">
            <w:pPr>
              <w:pStyle w:val="ExhibitText"/>
              <w:jc w:val="right"/>
              <w:rPr>
                <w:lang w:eastAsia="ja-JP"/>
              </w:rPr>
            </w:pPr>
            <w:r w:rsidRPr="001B5760">
              <w:rPr>
                <w:lang w:eastAsia="ja-JP"/>
              </w:rPr>
              <w:t>83,940</w:t>
            </w:r>
          </w:p>
        </w:tc>
        <w:tc>
          <w:tcPr>
            <w:tcW w:w="1512" w:type="dxa"/>
            <w:tcBorders>
              <w:top w:val="nil"/>
              <w:left w:val="nil"/>
              <w:bottom w:val="single" w:sz="4" w:space="0" w:color="auto"/>
              <w:right w:val="single" w:sz="4" w:space="0" w:color="auto"/>
            </w:tcBorders>
            <w:shd w:val="clear" w:color="auto" w:fill="auto"/>
            <w:noWrap/>
            <w:vAlign w:val="center"/>
            <w:hideMark/>
          </w:tcPr>
          <w:p w14:paraId="6BBDFCCC" w14:textId="77777777" w:rsidR="007B1C38" w:rsidRPr="001B5760" w:rsidRDefault="00745966" w:rsidP="00745966">
            <w:pPr>
              <w:pStyle w:val="ExhibitText"/>
              <w:jc w:val="right"/>
              <w:rPr>
                <w:lang w:eastAsia="ja-JP"/>
              </w:rPr>
            </w:pPr>
            <w:r>
              <w:rPr>
                <w:lang w:eastAsia="ja-JP"/>
              </w:rPr>
              <w:t>3.0</w:t>
            </w:r>
          </w:p>
        </w:tc>
      </w:tr>
      <w:tr w:rsidR="007B1C38" w:rsidRPr="001B5760" w14:paraId="2354B6A0"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C6BC74D" w14:textId="77777777" w:rsidR="007B1C38" w:rsidRPr="001B5760" w:rsidRDefault="007B1C38" w:rsidP="00745966">
            <w:pPr>
              <w:pStyle w:val="ExhibitText"/>
              <w:jc w:val="left"/>
              <w:rPr>
                <w:lang w:eastAsia="ja-JP"/>
              </w:rPr>
            </w:pPr>
            <w:proofErr w:type="spellStart"/>
            <w:r w:rsidRPr="001B5760">
              <w:rPr>
                <w:lang w:eastAsia="ja-JP"/>
              </w:rPr>
              <w:t>Richemont</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5DC9AE83" w14:textId="77777777" w:rsidR="007B1C38" w:rsidRPr="001B5760" w:rsidRDefault="007B1C38" w:rsidP="00745966">
            <w:pPr>
              <w:pStyle w:val="ExhibitText"/>
              <w:jc w:val="right"/>
              <w:rPr>
                <w:lang w:eastAsia="ja-JP"/>
              </w:rPr>
            </w:pPr>
            <w:r w:rsidRPr="001B5760">
              <w:rPr>
                <w:lang w:eastAsia="ja-JP"/>
              </w:rPr>
              <w:t>44,067</w:t>
            </w:r>
          </w:p>
        </w:tc>
        <w:tc>
          <w:tcPr>
            <w:tcW w:w="1512" w:type="dxa"/>
            <w:tcBorders>
              <w:top w:val="nil"/>
              <w:left w:val="nil"/>
              <w:bottom w:val="single" w:sz="4" w:space="0" w:color="auto"/>
              <w:right w:val="single" w:sz="4" w:space="0" w:color="auto"/>
            </w:tcBorders>
            <w:shd w:val="clear" w:color="auto" w:fill="auto"/>
            <w:noWrap/>
            <w:vAlign w:val="center"/>
            <w:hideMark/>
          </w:tcPr>
          <w:p w14:paraId="1D38B3C1" w14:textId="77777777" w:rsidR="007B1C38" w:rsidRPr="001B5760" w:rsidRDefault="00745966" w:rsidP="00745966">
            <w:pPr>
              <w:pStyle w:val="ExhibitText"/>
              <w:jc w:val="right"/>
              <w:rPr>
                <w:lang w:eastAsia="ja-JP"/>
              </w:rPr>
            </w:pPr>
            <w:r>
              <w:rPr>
                <w:lang w:eastAsia="ja-JP"/>
              </w:rPr>
              <w:t>3.0</w:t>
            </w:r>
          </w:p>
        </w:tc>
      </w:tr>
      <w:tr w:rsidR="007B1C38" w:rsidRPr="001B5760" w14:paraId="584B1A17"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3EEE4DB" w14:textId="77777777" w:rsidR="007B1C38" w:rsidRPr="001B5760" w:rsidRDefault="007B1C38" w:rsidP="00745966">
            <w:pPr>
              <w:pStyle w:val="ExhibitText"/>
              <w:jc w:val="left"/>
              <w:rPr>
                <w:lang w:eastAsia="ja-JP"/>
              </w:rPr>
            </w:pPr>
            <w:r w:rsidRPr="001B5760">
              <w:rPr>
                <w:lang w:eastAsia="ja-JP"/>
              </w:rPr>
              <w:t>Hermes</w:t>
            </w:r>
          </w:p>
        </w:tc>
        <w:tc>
          <w:tcPr>
            <w:tcW w:w="1607" w:type="dxa"/>
            <w:tcBorders>
              <w:top w:val="nil"/>
              <w:left w:val="nil"/>
              <w:bottom w:val="single" w:sz="4" w:space="0" w:color="auto"/>
              <w:right w:val="single" w:sz="4" w:space="0" w:color="auto"/>
            </w:tcBorders>
            <w:shd w:val="clear" w:color="auto" w:fill="auto"/>
            <w:noWrap/>
            <w:vAlign w:val="center"/>
            <w:hideMark/>
          </w:tcPr>
          <w:p w14:paraId="7ECE5908" w14:textId="77777777" w:rsidR="007B1C38" w:rsidRPr="001B5760" w:rsidRDefault="007B1C38" w:rsidP="00745966">
            <w:pPr>
              <w:pStyle w:val="ExhibitText"/>
              <w:jc w:val="right"/>
              <w:rPr>
                <w:lang w:eastAsia="ja-JP"/>
              </w:rPr>
            </w:pPr>
            <w:r w:rsidRPr="001B5760">
              <w:rPr>
                <w:lang w:eastAsia="ja-JP"/>
              </w:rPr>
              <w:t>31,827</w:t>
            </w:r>
          </w:p>
        </w:tc>
        <w:tc>
          <w:tcPr>
            <w:tcW w:w="1512" w:type="dxa"/>
            <w:tcBorders>
              <w:top w:val="nil"/>
              <w:left w:val="nil"/>
              <w:bottom w:val="single" w:sz="4" w:space="0" w:color="auto"/>
              <w:right w:val="single" w:sz="4" w:space="0" w:color="auto"/>
            </w:tcBorders>
            <w:shd w:val="clear" w:color="auto" w:fill="auto"/>
            <w:noWrap/>
            <w:vAlign w:val="center"/>
            <w:hideMark/>
          </w:tcPr>
          <w:p w14:paraId="4D3A7FF1" w14:textId="77777777" w:rsidR="007B1C38" w:rsidRPr="001B5760" w:rsidRDefault="00745966" w:rsidP="00745966">
            <w:pPr>
              <w:pStyle w:val="ExhibitText"/>
              <w:jc w:val="right"/>
              <w:rPr>
                <w:lang w:eastAsia="ja-JP"/>
              </w:rPr>
            </w:pPr>
            <w:r>
              <w:rPr>
                <w:lang w:eastAsia="ja-JP"/>
              </w:rPr>
              <w:t>3.5</w:t>
            </w:r>
          </w:p>
        </w:tc>
      </w:tr>
      <w:tr w:rsidR="007B1C38" w:rsidRPr="001B5760" w14:paraId="313FB8DD"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434C084" w14:textId="77777777" w:rsidR="007B1C38" w:rsidRPr="001B5760" w:rsidRDefault="007B1C38" w:rsidP="00745966">
            <w:pPr>
              <w:pStyle w:val="ExhibitText"/>
              <w:jc w:val="left"/>
              <w:rPr>
                <w:lang w:eastAsia="ja-JP"/>
              </w:rPr>
            </w:pPr>
            <w:r w:rsidRPr="001B5760">
              <w:rPr>
                <w:lang w:eastAsia="ja-JP"/>
              </w:rPr>
              <w:t>Luxottica</w:t>
            </w:r>
          </w:p>
        </w:tc>
        <w:tc>
          <w:tcPr>
            <w:tcW w:w="1607" w:type="dxa"/>
            <w:tcBorders>
              <w:top w:val="nil"/>
              <w:left w:val="nil"/>
              <w:bottom w:val="single" w:sz="4" w:space="0" w:color="auto"/>
              <w:right w:val="single" w:sz="4" w:space="0" w:color="auto"/>
            </w:tcBorders>
            <w:shd w:val="clear" w:color="auto" w:fill="auto"/>
            <w:noWrap/>
            <w:vAlign w:val="center"/>
            <w:hideMark/>
          </w:tcPr>
          <w:p w14:paraId="06CA71D5" w14:textId="77777777" w:rsidR="007B1C38" w:rsidRPr="001B5760" w:rsidRDefault="007B1C38" w:rsidP="00745966">
            <w:pPr>
              <w:pStyle w:val="ExhibitText"/>
              <w:jc w:val="right"/>
              <w:rPr>
                <w:lang w:eastAsia="ja-JP"/>
              </w:rPr>
            </w:pPr>
            <w:r w:rsidRPr="001B5760">
              <w:rPr>
                <w:lang w:eastAsia="ja-JP"/>
              </w:rPr>
              <w:t>27,580</w:t>
            </w:r>
          </w:p>
        </w:tc>
        <w:tc>
          <w:tcPr>
            <w:tcW w:w="1512" w:type="dxa"/>
            <w:tcBorders>
              <w:top w:val="nil"/>
              <w:left w:val="nil"/>
              <w:bottom w:val="single" w:sz="4" w:space="0" w:color="auto"/>
              <w:right w:val="single" w:sz="4" w:space="0" w:color="auto"/>
            </w:tcBorders>
            <w:shd w:val="clear" w:color="auto" w:fill="auto"/>
            <w:noWrap/>
            <w:vAlign w:val="center"/>
            <w:hideMark/>
          </w:tcPr>
          <w:p w14:paraId="1F7D9EBF" w14:textId="77777777" w:rsidR="007B1C38" w:rsidRPr="001B5760" w:rsidRDefault="00745966" w:rsidP="00745966">
            <w:pPr>
              <w:pStyle w:val="ExhibitText"/>
              <w:jc w:val="right"/>
              <w:rPr>
                <w:lang w:eastAsia="ja-JP"/>
              </w:rPr>
            </w:pPr>
            <w:r>
              <w:rPr>
                <w:lang w:eastAsia="ja-JP"/>
              </w:rPr>
              <w:t>2.5</w:t>
            </w:r>
          </w:p>
        </w:tc>
      </w:tr>
      <w:tr w:rsidR="007B1C38" w:rsidRPr="001B5760" w14:paraId="3ADE05FF"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4A3C7F4" w14:textId="77777777" w:rsidR="007B1C38" w:rsidRPr="001B5760" w:rsidRDefault="007B1C38" w:rsidP="00745966">
            <w:pPr>
              <w:pStyle w:val="ExhibitText"/>
              <w:jc w:val="left"/>
              <w:rPr>
                <w:lang w:eastAsia="ja-JP"/>
              </w:rPr>
            </w:pPr>
            <w:proofErr w:type="spellStart"/>
            <w:r w:rsidRPr="001B5760">
              <w:rPr>
                <w:lang w:eastAsia="ja-JP"/>
              </w:rPr>
              <w:t>Kering</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4A3ADB65" w14:textId="77777777" w:rsidR="007B1C38" w:rsidRPr="001B5760" w:rsidRDefault="007B1C38" w:rsidP="00745966">
            <w:pPr>
              <w:pStyle w:val="ExhibitText"/>
              <w:jc w:val="right"/>
              <w:rPr>
                <w:lang w:eastAsia="ja-JP"/>
              </w:rPr>
            </w:pPr>
            <w:r w:rsidRPr="001B5760">
              <w:rPr>
                <w:lang w:eastAsia="ja-JP"/>
              </w:rPr>
              <w:t>23,653</w:t>
            </w:r>
          </w:p>
        </w:tc>
        <w:tc>
          <w:tcPr>
            <w:tcW w:w="1512" w:type="dxa"/>
            <w:tcBorders>
              <w:top w:val="nil"/>
              <w:left w:val="nil"/>
              <w:bottom w:val="single" w:sz="4" w:space="0" w:color="auto"/>
              <w:right w:val="single" w:sz="4" w:space="0" w:color="auto"/>
            </w:tcBorders>
            <w:shd w:val="clear" w:color="auto" w:fill="auto"/>
            <w:noWrap/>
            <w:vAlign w:val="center"/>
            <w:hideMark/>
          </w:tcPr>
          <w:p w14:paraId="4EFF7FFE" w14:textId="77777777" w:rsidR="007B1C38" w:rsidRPr="001B5760" w:rsidRDefault="00745966" w:rsidP="00745966">
            <w:pPr>
              <w:pStyle w:val="ExhibitText"/>
              <w:jc w:val="right"/>
              <w:rPr>
                <w:lang w:eastAsia="ja-JP"/>
              </w:rPr>
            </w:pPr>
            <w:r>
              <w:rPr>
                <w:lang w:eastAsia="ja-JP"/>
              </w:rPr>
              <w:t>2.7</w:t>
            </w:r>
          </w:p>
        </w:tc>
      </w:tr>
      <w:tr w:rsidR="007B1C38" w:rsidRPr="001B5760" w14:paraId="7B598222"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298CF7D" w14:textId="77777777" w:rsidR="007B1C38" w:rsidRPr="001B5760" w:rsidRDefault="007B1C38" w:rsidP="00745966">
            <w:pPr>
              <w:pStyle w:val="ExhibitText"/>
              <w:jc w:val="left"/>
              <w:rPr>
                <w:lang w:eastAsia="ja-JP"/>
              </w:rPr>
            </w:pPr>
            <w:r w:rsidRPr="001B5760">
              <w:rPr>
                <w:lang w:eastAsia="ja-JP"/>
              </w:rPr>
              <w:t>Swatch</w:t>
            </w:r>
          </w:p>
        </w:tc>
        <w:tc>
          <w:tcPr>
            <w:tcW w:w="1607" w:type="dxa"/>
            <w:tcBorders>
              <w:top w:val="nil"/>
              <w:left w:val="nil"/>
              <w:bottom w:val="single" w:sz="4" w:space="0" w:color="auto"/>
              <w:right w:val="single" w:sz="4" w:space="0" w:color="auto"/>
            </w:tcBorders>
            <w:shd w:val="clear" w:color="auto" w:fill="auto"/>
            <w:noWrap/>
            <w:vAlign w:val="center"/>
            <w:hideMark/>
          </w:tcPr>
          <w:p w14:paraId="6B5CF607" w14:textId="77777777" w:rsidR="007B1C38" w:rsidRPr="001B5760" w:rsidRDefault="007B1C38" w:rsidP="00745966">
            <w:pPr>
              <w:pStyle w:val="ExhibitText"/>
              <w:jc w:val="right"/>
              <w:rPr>
                <w:lang w:eastAsia="ja-JP"/>
              </w:rPr>
            </w:pPr>
            <w:r w:rsidRPr="001B5760">
              <w:rPr>
                <w:lang w:eastAsia="ja-JP"/>
              </w:rPr>
              <w:t>21,873</w:t>
            </w:r>
          </w:p>
        </w:tc>
        <w:tc>
          <w:tcPr>
            <w:tcW w:w="1512" w:type="dxa"/>
            <w:tcBorders>
              <w:top w:val="nil"/>
              <w:left w:val="nil"/>
              <w:bottom w:val="single" w:sz="4" w:space="0" w:color="auto"/>
              <w:right w:val="single" w:sz="4" w:space="0" w:color="auto"/>
            </w:tcBorders>
            <w:shd w:val="clear" w:color="auto" w:fill="auto"/>
            <w:noWrap/>
            <w:vAlign w:val="center"/>
            <w:hideMark/>
          </w:tcPr>
          <w:p w14:paraId="6857620D" w14:textId="77777777" w:rsidR="007B1C38" w:rsidRPr="001B5760" w:rsidRDefault="00745966" w:rsidP="00745966">
            <w:pPr>
              <w:pStyle w:val="ExhibitText"/>
              <w:jc w:val="right"/>
              <w:rPr>
                <w:lang w:eastAsia="ja-JP"/>
              </w:rPr>
            </w:pPr>
            <w:r>
              <w:rPr>
                <w:lang w:eastAsia="ja-JP"/>
              </w:rPr>
              <w:t>2.8</w:t>
            </w:r>
          </w:p>
        </w:tc>
      </w:tr>
      <w:tr w:rsidR="007B1C38" w:rsidRPr="001B5760" w14:paraId="4A5765D5"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3E24465" w14:textId="77777777" w:rsidR="007B1C38" w:rsidRPr="001B5760" w:rsidRDefault="007B1C38" w:rsidP="00745966">
            <w:pPr>
              <w:pStyle w:val="ExhibitText"/>
              <w:jc w:val="left"/>
              <w:rPr>
                <w:lang w:eastAsia="ja-JP"/>
              </w:rPr>
            </w:pPr>
            <w:r w:rsidRPr="001B5760">
              <w:rPr>
                <w:lang w:eastAsia="ja-JP"/>
              </w:rPr>
              <w:t>Prada</w:t>
            </w:r>
          </w:p>
        </w:tc>
        <w:tc>
          <w:tcPr>
            <w:tcW w:w="1607" w:type="dxa"/>
            <w:tcBorders>
              <w:top w:val="nil"/>
              <w:left w:val="nil"/>
              <w:bottom w:val="single" w:sz="4" w:space="0" w:color="auto"/>
              <w:right w:val="single" w:sz="4" w:space="0" w:color="auto"/>
            </w:tcBorders>
            <w:shd w:val="clear" w:color="auto" w:fill="auto"/>
            <w:noWrap/>
            <w:vAlign w:val="center"/>
            <w:hideMark/>
          </w:tcPr>
          <w:p w14:paraId="0A669BDB" w14:textId="77777777" w:rsidR="007B1C38" w:rsidRPr="001B5760" w:rsidRDefault="007B1C38" w:rsidP="00745966">
            <w:pPr>
              <w:pStyle w:val="ExhibitText"/>
              <w:jc w:val="right"/>
              <w:rPr>
                <w:lang w:eastAsia="ja-JP"/>
              </w:rPr>
            </w:pPr>
            <w:r w:rsidRPr="001B5760">
              <w:rPr>
                <w:lang w:eastAsia="ja-JP"/>
              </w:rPr>
              <w:t>14,983</w:t>
            </w:r>
          </w:p>
        </w:tc>
        <w:tc>
          <w:tcPr>
            <w:tcW w:w="1512" w:type="dxa"/>
            <w:tcBorders>
              <w:top w:val="nil"/>
              <w:left w:val="nil"/>
              <w:bottom w:val="single" w:sz="4" w:space="0" w:color="auto"/>
              <w:right w:val="single" w:sz="4" w:space="0" w:color="auto"/>
            </w:tcBorders>
            <w:shd w:val="clear" w:color="auto" w:fill="auto"/>
            <w:noWrap/>
            <w:vAlign w:val="center"/>
            <w:hideMark/>
          </w:tcPr>
          <w:p w14:paraId="1D75C6C6" w14:textId="77777777" w:rsidR="007B1C38" w:rsidRPr="001B5760" w:rsidRDefault="00745966" w:rsidP="00745966">
            <w:pPr>
              <w:pStyle w:val="ExhibitText"/>
              <w:jc w:val="right"/>
              <w:rPr>
                <w:lang w:eastAsia="ja-JP"/>
              </w:rPr>
            </w:pPr>
            <w:r>
              <w:rPr>
                <w:lang w:eastAsia="ja-JP"/>
              </w:rPr>
              <w:t>2.6</w:t>
            </w:r>
          </w:p>
        </w:tc>
      </w:tr>
      <w:tr w:rsidR="007B1C38" w:rsidRPr="001B5760" w14:paraId="03919AE7"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5EA764C" w14:textId="77777777" w:rsidR="007B1C38" w:rsidRPr="001B5760" w:rsidRDefault="007B1C38" w:rsidP="00745966">
            <w:pPr>
              <w:pStyle w:val="ExhibitText"/>
              <w:jc w:val="left"/>
              <w:rPr>
                <w:lang w:eastAsia="ja-JP"/>
              </w:rPr>
            </w:pPr>
            <w:r w:rsidRPr="001B5760">
              <w:rPr>
                <w:lang w:eastAsia="ja-JP"/>
              </w:rPr>
              <w:t>Michael Kors</w:t>
            </w:r>
          </w:p>
        </w:tc>
        <w:tc>
          <w:tcPr>
            <w:tcW w:w="1607" w:type="dxa"/>
            <w:tcBorders>
              <w:top w:val="nil"/>
              <w:left w:val="nil"/>
              <w:bottom w:val="single" w:sz="4" w:space="0" w:color="auto"/>
              <w:right w:val="single" w:sz="4" w:space="0" w:color="auto"/>
            </w:tcBorders>
            <w:shd w:val="clear" w:color="auto" w:fill="auto"/>
            <w:noWrap/>
            <w:vAlign w:val="center"/>
            <w:hideMark/>
          </w:tcPr>
          <w:p w14:paraId="5EC8F3E2" w14:textId="77777777" w:rsidR="007B1C38" w:rsidRPr="001B5760" w:rsidRDefault="007B1C38" w:rsidP="00745966">
            <w:pPr>
              <w:pStyle w:val="ExhibitText"/>
              <w:jc w:val="right"/>
              <w:rPr>
                <w:lang w:eastAsia="ja-JP"/>
              </w:rPr>
            </w:pPr>
            <w:r w:rsidRPr="001B5760">
              <w:rPr>
                <w:lang w:eastAsia="ja-JP"/>
              </w:rPr>
              <w:t>12,392</w:t>
            </w:r>
          </w:p>
        </w:tc>
        <w:tc>
          <w:tcPr>
            <w:tcW w:w="1512" w:type="dxa"/>
            <w:tcBorders>
              <w:top w:val="nil"/>
              <w:left w:val="nil"/>
              <w:bottom w:val="single" w:sz="4" w:space="0" w:color="auto"/>
              <w:right w:val="single" w:sz="4" w:space="0" w:color="auto"/>
            </w:tcBorders>
            <w:shd w:val="clear" w:color="auto" w:fill="auto"/>
            <w:noWrap/>
            <w:vAlign w:val="center"/>
            <w:hideMark/>
          </w:tcPr>
          <w:p w14:paraId="5E4120BB" w14:textId="77777777" w:rsidR="007B1C38" w:rsidRPr="001B5760" w:rsidRDefault="00745966" w:rsidP="00745966">
            <w:pPr>
              <w:pStyle w:val="ExhibitText"/>
              <w:jc w:val="right"/>
              <w:rPr>
                <w:lang w:eastAsia="ja-JP"/>
              </w:rPr>
            </w:pPr>
            <w:r>
              <w:rPr>
                <w:lang w:eastAsia="ja-JP"/>
              </w:rPr>
              <w:t>3.0</w:t>
            </w:r>
          </w:p>
        </w:tc>
      </w:tr>
      <w:tr w:rsidR="007B1C38" w:rsidRPr="001B5760" w14:paraId="5FB6D4EC"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3F031CA" w14:textId="77777777" w:rsidR="007B1C38" w:rsidRPr="001B5760" w:rsidRDefault="007B1C38" w:rsidP="00745966">
            <w:pPr>
              <w:pStyle w:val="ExhibitText"/>
              <w:jc w:val="left"/>
              <w:rPr>
                <w:lang w:eastAsia="ja-JP"/>
              </w:rPr>
            </w:pPr>
            <w:r w:rsidRPr="001B5760">
              <w:rPr>
                <w:lang w:eastAsia="ja-JP"/>
              </w:rPr>
              <w:t>Burberry</w:t>
            </w:r>
          </w:p>
        </w:tc>
        <w:tc>
          <w:tcPr>
            <w:tcW w:w="1607" w:type="dxa"/>
            <w:tcBorders>
              <w:top w:val="nil"/>
              <w:left w:val="nil"/>
              <w:bottom w:val="single" w:sz="4" w:space="0" w:color="auto"/>
              <w:right w:val="single" w:sz="4" w:space="0" w:color="auto"/>
            </w:tcBorders>
            <w:shd w:val="clear" w:color="auto" w:fill="auto"/>
            <w:noWrap/>
            <w:vAlign w:val="center"/>
            <w:hideMark/>
          </w:tcPr>
          <w:p w14:paraId="30B2C9C2" w14:textId="77777777" w:rsidR="007B1C38" w:rsidRPr="001B5760" w:rsidRDefault="007B1C38" w:rsidP="00745966">
            <w:pPr>
              <w:pStyle w:val="ExhibitText"/>
              <w:jc w:val="right"/>
              <w:rPr>
                <w:lang w:eastAsia="ja-JP"/>
              </w:rPr>
            </w:pPr>
            <w:r w:rsidRPr="001B5760">
              <w:rPr>
                <w:lang w:eastAsia="ja-JP"/>
              </w:rPr>
              <w:t>11,211</w:t>
            </w:r>
          </w:p>
        </w:tc>
        <w:tc>
          <w:tcPr>
            <w:tcW w:w="1512" w:type="dxa"/>
            <w:tcBorders>
              <w:top w:val="nil"/>
              <w:left w:val="nil"/>
              <w:bottom w:val="single" w:sz="4" w:space="0" w:color="auto"/>
              <w:right w:val="single" w:sz="4" w:space="0" w:color="auto"/>
            </w:tcBorders>
            <w:shd w:val="clear" w:color="auto" w:fill="auto"/>
            <w:noWrap/>
            <w:vAlign w:val="center"/>
            <w:hideMark/>
          </w:tcPr>
          <w:p w14:paraId="55F2D3DE" w14:textId="77777777" w:rsidR="007B1C38" w:rsidRPr="001B5760" w:rsidRDefault="00745966" w:rsidP="00745966">
            <w:pPr>
              <w:pStyle w:val="ExhibitText"/>
              <w:jc w:val="right"/>
              <w:rPr>
                <w:lang w:eastAsia="ja-JP"/>
              </w:rPr>
            </w:pPr>
            <w:r>
              <w:rPr>
                <w:lang w:eastAsia="ja-JP"/>
              </w:rPr>
              <w:t>3.2</w:t>
            </w:r>
          </w:p>
        </w:tc>
      </w:tr>
      <w:tr w:rsidR="007B1C38" w:rsidRPr="001B5760" w14:paraId="498E22E9"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4134372" w14:textId="77777777" w:rsidR="007B1C38" w:rsidRPr="001B5760" w:rsidRDefault="007B1C38" w:rsidP="00745966">
            <w:pPr>
              <w:pStyle w:val="ExhibitText"/>
              <w:jc w:val="left"/>
              <w:rPr>
                <w:lang w:eastAsia="ja-JP"/>
              </w:rPr>
            </w:pPr>
            <w:r w:rsidRPr="001B5760">
              <w:rPr>
                <w:lang w:eastAsia="ja-JP"/>
              </w:rPr>
              <w:t>Ralph Lauren</w:t>
            </w:r>
          </w:p>
        </w:tc>
        <w:tc>
          <w:tcPr>
            <w:tcW w:w="1607" w:type="dxa"/>
            <w:tcBorders>
              <w:top w:val="nil"/>
              <w:left w:val="nil"/>
              <w:bottom w:val="single" w:sz="4" w:space="0" w:color="auto"/>
              <w:right w:val="single" w:sz="4" w:space="0" w:color="auto"/>
            </w:tcBorders>
            <w:shd w:val="clear" w:color="auto" w:fill="auto"/>
            <w:noWrap/>
            <w:vAlign w:val="center"/>
            <w:hideMark/>
          </w:tcPr>
          <w:p w14:paraId="720F1A7E" w14:textId="77777777" w:rsidR="007B1C38" w:rsidRPr="001B5760" w:rsidRDefault="007B1C38" w:rsidP="00745966">
            <w:pPr>
              <w:pStyle w:val="ExhibitText"/>
              <w:jc w:val="right"/>
              <w:rPr>
                <w:lang w:eastAsia="ja-JP"/>
              </w:rPr>
            </w:pPr>
            <w:r w:rsidRPr="001B5760">
              <w:rPr>
                <w:lang w:eastAsia="ja-JP"/>
              </w:rPr>
              <w:t>10,754</w:t>
            </w:r>
          </w:p>
        </w:tc>
        <w:tc>
          <w:tcPr>
            <w:tcW w:w="1512" w:type="dxa"/>
            <w:tcBorders>
              <w:top w:val="nil"/>
              <w:left w:val="nil"/>
              <w:bottom w:val="single" w:sz="4" w:space="0" w:color="auto"/>
              <w:right w:val="single" w:sz="4" w:space="0" w:color="auto"/>
            </w:tcBorders>
            <w:shd w:val="clear" w:color="auto" w:fill="auto"/>
            <w:noWrap/>
            <w:vAlign w:val="center"/>
            <w:hideMark/>
          </w:tcPr>
          <w:p w14:paraId="487848D0" w14:textId="77777777" w:rsidR="007B1C38" w:rsidRPr="001B5760" w:rsidRDefault="00745966" w:rsidP="00745966">
            <w:pPr>
              <w:pStyle w:val="ExhibitText"/>
              <w:jc w:val="right"/>
              <w:rPr>
                <w:lang w:eastAsia="ja-JP"/>
              </w:rPr>
            </w:pPr>
            <w:r>
              <w:rPr>
                <w:lang w:eastAsia="ja-JP"/>
              </w:rPr>
              <w:t>3.5</w:t>
            </w:r>
          </w:p>
        </w:tc>
      </w:tr>
      <w:tr w:rsidR="007B1C38" w:rsidRPr="001B5760" w14:paraId="4A18E900"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CDE2C31" w14:textId="77777777" w:rsidR="007B1C38" w:rsidRPr="001B5760" w:rsidRDefault="007B1C38" w:rsidP="00745966">
            <w:pPr>
              <w:pStyle w:val="ExhibitText"/>
              <w:jc w:val="left"/>
              <w:rPr>
                <w:lang w:eastAsia="ja-JP"/>
              </w:rPr>
            </w:pPr>
            <w:r w:rsidRPr="001B5760">
              <w:rPr>
                <w:lang w:eastAsia="ja-JP"/>
              </w:rPr>
              <w:t>Coach</w:t>
            </w:r>
          </w:p>
        </w:tc>
        <w:tc>
          <w:tcPr>
            <w:tcW w:w="1607" w:type="dxa"/>
            <w:tcBorders>
              <w:top w:val="nil"/>
              <w:left w:val="nil"/>
              <w:bottom w:val="single" w:sz="4" w:space="0" w:color="auto"/>
              <w:right w:val="single" w:sz="4" w:space="0" w:color="auto"/>
            </w:tcBorders>
            <w:shd w:val="clear" w:color="auto" w:fill="auto"/>
            <w:noWrap/>
            <w:vAlign w:val="center"/>
            <w:hideMark/>
          </w:tcPr>
          <w:p w14:paraId="2252550E" w14:textId="77777777" w:rsidR="007B1C38" w:rsidRPr="001B5760" w:rsidRDefault="007B1C38" w:rsidP="00745966">
            <w:pPr>
              <w:pStyle w:val="ExhibitText"/>
              <w:jc w:val="right"/>
              <w:rPr>
                <w:lang w:eastAsia="ja-JP"/>
              </w:rPr>
            </w:pPr>
            <w:r w:rsidRPr="001B5760">
              <w:rPr>
                <w:lang w:eastAsia="ja-JP"/>
              </w:rPr>
              <w:t>10,666</w:t>
            </w:r>
          </w:p>
        </w:tc>
        <w:tc>
          <w:tcPr>
            <w:tcW w:w="1512" w:type="dxa"/>
            <w:tcBorders>
              <w:top w:val="nil"/>
              <w:left w:val="nil"/>
              <w:bottom w:val="single" w:sz="4" w:space="0" w:color="auto"/>
              <w:right w:val="single" w:sz="4" w:space="0" w:color="auto"/>
            </w:tcBorders>
            <w:shd w:val="clear" w:color="auto" w:fill="auto"/>
            <w:noWrap/>
            <w:vAlign w:val="center"/>
            <w:hideMark/>
          </w:tcPr>
          <w:p w14:paraId="4B95BA4D" w14:textId="77777777" w:rsidR="007B1C38" w:rsidRPr="001B5760" w:rsidRDefault="00745966" w:rsidP="00745966">
            <w:pPr>
              <w:pStyle w:val="ExhibitText"/>
              <w:jc w:val="right"/>
              <w:rPr>
                <w:lang w:eastAsia="ja-JP"/>
              </w:rPr>
            </w:pPr>
            <w:r>
              <w:rPr>
                <w:lang w:eastAsia="ja-JP"/>
              </w:rPr>
              <w:t>2.5</w:t>
            </w:r>
          </w:p>
        </w:tc>
      </w:tr>
      <w:tr w:rsidR="007B1C38" w:rsidRPr="001B5760" w14:paraId="5E2BD169"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8AF745A" w14:textId="77777777" w:rsidR="007B1C38" w:rsidRPr="001B5760" w:rsidRDefault="007B1C38" w:rsidP="00745966">
            <w:pPr>
              <w:pStyle w:val="ExhibitText"/>
              <w:jc w:val="left"/>
              <w:rPr>
                <w:lang w:eastAsia="ja-JP"/>
              </w:rPr>
            </w:pPr>
            <w:r w:rsidRPr="001B5760">
              <w:rPr>
                <w:lang w:eastAsia="ja-JP"/>
              </w:rPr>
              <w:t>Tiffany</w:t>
            </w:r>
          </w:p>
        </w:tc>
        <w:tc>
          <w:tcPr>
            <w:tcW w:w="1607" w:type="dxa"/>
            <w:tcBorders>
              <w:top w:val="nil"/>
              <w:left w:val="nil"/>
              <w:bottom w:val="single" w:sz="4" w:space="0" w:color="auto"/>
              <w:right w:val="single" w:sz="4" w:space="0" w:color="auto"/>
            </w:tcBorders>
            <w:shd w:val="clear" w:color="auto" w:fill="auto"/>
            <w:noWrap/>
            <w:vAlign w:val="center"/>
            <w:hideMark/>
          </w:tcPr>
          <w:p w14:paraId="3E0F61E2" w14:textId="77777777" w:rsidR="007B1C38" w:rsidRPr="001B5760" w:rsidRDefault="007B1C38" w:rsidP="00745966">
            <w:pPr>
              <w:pStyle w:val="ExhibitText"/>
              <w:jc w:val="right"/>
              <w:rPr>
                <w:lang w:eastAsia="ja-JP"/>
              </w:rPr>
            </w:pPr>
            <w:r w:rsidRPr="001B5760">
              <w:rPr>
                <w:lang w:eastAsia="ja-JP"/>
              </w:rPr>
              <w:t>10,400</w:t>
            </w:r>
          </w:p>
        </w:tc>
        <w:tc>
          <w:tcPr>
            <w:tcW w:w="1512" w:type="dxa"/>
            <w:tcBorders>
              <w:top w:val="nil"/>
              <w:left w:val="nil"/>
              <w:bottom w:val="single" w:sz="4" w:space="0" w:color="auto"/>
              <w:right w:val="single" w:sz="4" w:space="0" w:color="auto"/>
            </w:tcBorders>
            <w:shd w:val="clear" w:color="auto" w:fill="auto"/>
            <w:noWrap/>
            <w:vAlign w:val="center"/>
            <w:hideMark/>
          </w:tcPr>
          <w:p w14:paraId="6F2AF5FD" w14:textId="77777777" w:rsidR="007B1C38" w:rsidRPr="001B5760" w:rsidRDefault="00745966" w:rsidP="00745966">
            <w:pPr>
              <w:pStyle w:val="ExhibitText"/>
              <w:jc w:val="right"/>
              <w:rPr>
                <w:lang w:eastAsia="ja-JP"/>
              </w:rPr>
            </w:pPr>
            <w:r>
              <w:rPr>
                <w:lang w:eastAsia="ja-JP"/>
              </w:rPr>
              <w:t>2.5</w:t>
            </w:r>
          </w:p>
        </w:tc>
      </w:tr>
      <w:tr w:rsidR="007B1C38" w:rsidRPr="001B5760" w14:paraId="76675CE1"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20D9591" w14:textId="77777777" w:rsidR="007B1C38" w:rsidRPr="001B5760" w:rsidRDefault="007B1C38" w:rsidP="00745966">
            <w:pPr>
              <w:pStyle w:val="ExhibitText"/>
              <w:jc w:val="left"/>
              <w:rPr>
                <w:lang w:eastAsia="ja-JP"/>
              </w:rPr>
            </w:pPr>
            <w:r w:rsidRPr="001B5760">
              <w:rPr>
                <w:lang w:eastAsia="ja-JP"/>
              </w:rPr>
              <w:t xml:space="preserve">Chow Tai </w:t>
            </w:r>
            <w:proofErr w:type="spellStart"/>
            <w:r w:rsidRPr="001B5760">
              <w:rPr>
                <w:lang w:eastAsia="ja-JP"/>
              </w:rPr>
              <w:t>Fook</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6E2FAF25" w14:textId="77777777" w:rsidR="007B1C38" w:rsidRPr="001B5760" w:rsidRDefault="007B1C38" w:rsidP="00745966">
            <w:pPr>
              <w:pStyle w:val="ExhibitText"/>
              <w:jc w:val="right"/>
              <w:rPr>
                <w:lang w:eastAsia="ja-JP"/>
              </w:rPr>
            </w:pPr>
            <w:r w:rsidRPr="001B5760">
              <w:rPr>
                <w:lang w:eastAsia="ja-JP"/>
              </w:rPr>
              <w:t>9,972</w:t>
            </w:r>
          </w:p>
        </w:tc>
        <w:tc>
          <w:tcPr>
            <w:tcW w:w="1512" w:type="dxa"/>
            <w:tcBorders>
              <w:top w:val="nil"/>
              <w:left w:val="nil"/>
              <w:bottom w:val="single" w:sz="4" w:space="0" w:color="auto"/>
              <w:right w:val="single" w:sz="4" w:space="0" w:color="auto"/>
            </w:tcBorders>
            <w:shd w:val="clear" w:color="auto" w:fill="auto"/>
            <w:noWrap/>
            <w:vAlign w:val="center"/>
            <w:hideMark/>
          </w:tcPr>
          <w:p w14:paraId="365F059E" w14:textId="77777777" w:rsidR="007B1C38" w:rsidRPr="001B5760" w:rsidRDefault="00745966" w:rsidP="00745966">
            <w:pPr>
              <w:pStyle w:val="ExhibitText"/>
              <w:jc w:val="right"/>
              <w:rPr>
                <w:lang w:eastAsia="ja-JP"/>
              </w:rPr>
            </w:pPr>
            <w:r>
              <w:rPr>
                <w:lang w:eastAsia="ja-JP"/>
              </w:rPr>
              <w:t>3.3</w:t>
            </w:r>
          </w:p>
        </w:tc>
      </w:tr>
      <w:tr w:rsidR="007B1C38" w:rsidRPr="001B5760" w14:paraId="584AEC3F"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66325D0" w14:textId="77777777" w:rsidR="007B1C38" w:rsidRPr="001B5760" w:rsidRDefault="007B1C38" w:rsidP="00745966">
            <w:pPr>
              <w:pStyle w:val="ExhibitText"/>
              <w:jc w:val="left"/>
              <w:rPr>
                <w:lang w:eastAsia="ja-JP"/>
              </w:rPr>
            </w:pPr>
            <w:r w:rsidRPr="001B5760">
              <w:rPr>
                <w:lang w:eastAsia="ja-JP"/>
              </w:rPr>
              <w:t>Hugo Boss</w:t>
            </w:r>
          </w:p>
        </w:tc>
        <w:tc>
          <w:tcPr>
            <w:tcW w:w="1607" w:type="dxa"/>
            <w:tcBorders>
              <w:top w:val="nil"/>
              <w:left w:val="nil"/>
              <w:bottom w:val="single" w:sz="4" w:space="0" w:color="auto"/>
              <w:right w:val="single" w:sz="4" w:space="0" w:color="auto"/>
            </w:tcBorders>
            <w:shd w:val="clear" w:color="auto" w:fill="auto"/>
            <w:noWrap/>
            <w:vAlign w:val="center"/>
            <w:hideMark/>
          </w:tcPr>
          <w:p w14:paraId="54AE82FD" w14:textId="77777777" w:rsidR="007B1C38" w:rsidRPr="001B5760" w:rsidRDefault="007B1C38" w:rsidP="00745966">
            <w:pPr>
              <w:pStyle w:val="ExhibitText"/>
              <w:jc w:val="right"/>
              <w:rPr>
                <w:lang w:eastAsia="ja-JP"/>
              </w:rPr>
            </w:pPr>
            <w:r w:rsidRPr="001B5760">
              <w:rPr>
                <w:lang w:eastAsia="ja-JP"/>
              </w:rPr>
              <w:t>8,025</w:t>
            </w:r>
          </w:p>
        </w:tc>
        <w:tc>
          <w:tcPr>
            <w:tcW w:w="1512" w:type="dxa"/>
            <w:tcBorders>
              <w:top w:val="nil"/>
              <w:left w:val="nil"/>
              <w:bottom w:val="single" w:sz="4" w:space="0" w:color="auto"/>
              <w:right w:val="single" w:sz="4" w:space="0" w:color="auto"/>
            </w:tcBorders>
            <w:shd w:val="clear" w:color="auto" w:fill="auto"/>
            <w:noWrap/>
            <w:vAlign w:val="center"/>
            <w:hideMark/>
          </w:tcPr>
          <w:p w14:paraId="45E40970" w14:textId="77777777" w:rsidR="007B1C38" w:rsidRPr="001B5760" w:rsidRDefault="00745966" w:rsidP="00745966">
            <w:pPr>
              <w:pStyle w:val="ExhibitText"/>
              <w:jc w:val="right"/>
              <w:rPr>
                <w:lang w:eastAsia="ja-JP"/>
              </w:rPr>
            </w:pPr>
            <w:r>
              <w:rPr>
                <w:lang w:eastAsia="ja-JP"/>
              </w:rPr>
              <w:t>2.6</w:t>
            </w:r>
          </w:p>
        </w:tc>
      </w:tr>
      <w:tr w:rsidR="007B1C38" w:rsidRPr="001B5760" w14:paraId="5697A53C"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D560F91" w14:textId="77777777" w:rsidR="007B1C38" w:rsidRPr="001B5760" w:rsidRDefault="007B1C38" w:rsidP="00745966">
            <w:pPr>
              <w:pStyle w:val="ExhibitText"/>
              <w:jc w:val="left"/>
              <w:rPr>
                <w:lang w:eastAsia="ja-JP"/>
              </w:rPr>
            </w:pPr>
            <w:r w:rsidRPr="001B5760">
              <w:rPr>
                <w:lang w:eastAsia="ja-JP"/>
              </w:rPr>
              <w:t xml:space="preserve">Salvatore </w:t>
            </w:r>
            <w:proofErr w:type="spellStart"/>
            <w:r w:rsidRPr="001B5760">
              <w:rPr>
                <w:lang w:eastAsia="ja-JP"/>
              </w:rPr>
              <w:t>Ferragamo</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79A00FFA" w14:textId="77777777" w:rsidR="007B1C38" w:rsidRPr="001B5760" w:rsidRDefault="007B1C38" w:rsidP="00745966">
            <w:pPr>
              <w:pStyle w:val="ExhibitText"/>
              <w:jc w:val="right"/>
              <w:rPr>
                <w:lang w:eastAsia="ja-JP"/>
              </w:rPr>
            </w:pPr>
            <w:r w:rsidRPr="001B5760">
              <w:rPr>
                <w:lang w:eastAsia="ja-JP"/>
              </w:rPr>
              <w:t>4,825</w:t>
            </w:r>
          </w:p>
        </w:tc>
        <w:tc>
          <w:tcPr>
            <w:tcW w:w="1512" w:type="dxa"/>
            <w:tcBorders>
              <w:top w:val="nil"/>
              <w:left w:val="nil"/>
              <w:bottom w:val="single" w:sz="4" w:space="0" w:color="auto"/>
              <w:right w:val="single" w:sz="4" w:space="0" w:color="auto"/>
            </w:tcBorders>
            <w:shd w:val="clear" w:color="auto" w:fill="auto"/>
            <w:noWrap/>
            <w:vAlign w:val="center"/>
            <w:hideMark/>
          </w:tcPr>
          <w:p w14:paraId="0C91F604" w14:textId="77777777" w:rsidR="007B1C38" w:rsidRPr="001B5760" w:rsidRDefault="00745966" w:rsidP="00745966">
            <w:pPr>
              <w:pStyle w:val="ExhibitText"/>
              <w:jc w:val="right"/>
              <w:rPr>
                <w:lang w:eastAsia="ja-JP"/>
              </w:rPr>
            </w:pPr>
            <w:r>
              <w:rPr>
                <w:lang w:eastAsia="ja-JP"/>
              </w:rPr>
              <w:t>3.0</w:t>
            </w:r>
          </w:p>
        </w:tc>
      </w:tr>
      <w:tr w:rsidR="007B1C38" w:rsidRPr="001B5760" w14:paraId="04ECACF6"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2AAC7F7" w14:textId="77777777" w:rsidR="007B1C38" w:rsidRPr="001B5760" w:rsidRDefault="007B1C38" w:rsidP="00745966">
            <w:pPr>
              <w:pStyle w:val="ExhibitText"/>
              <w:jc w:val="left"/>
              <w:rPr>
                <w:lang w:eastAsia="ja-JP"/>
              </w:rPr>
            </w:pPr>
            <w:proofErr w:type="spellStart"/>
            <w:r w:rsidRPr="001B5760">
              <w:rPr>
                <w:lang w:eastAsia="ja-JP"/>
              </w:rPr>
              <w:t>Moncler</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3CC6080D" w14:textId="77777777" w:rsidR="007B1C38" w:rsidRPr="001B5760" w:rsidRDefault="007B1C38" w:rsidP="00745966">
            <w:pPr>
              <w:pStyle w:val="ExhibitText"/>
              <w:jc w:val="right"/>
              <w:rPr>
                <w:lang w:eastAsia="ja-JP"/>
              </w:rPr>
            </w:pPr>
            <w:r w:rsidRPr="001B5760">
              <w:rPr>
                <w:lang w:eastAsia="ja-JP"/>
              </w:rPr>
              <w:t>3,759</w:t>
            </w:r>
          </w:p>
        </w:tc>
        <w:tc>
          <w:tcPr>
            <w:tcW w:w="1512" w:type="dxa"/>
            <w:tcBorders>
              <w:top w:val="nil"/>
              <w:left w:val="nil"/>
              <w:bottom w:val="single" w:sz="4" w:space="0" w:color="auto"/>
              <w:right w:val="single" w:sz="4" w:space="0" w:color="auto"/>
            </w:tcBorders>
            <w:shd w:val="clear" w:color="auto" w:fill="auto"/>
            <w:noWrap/>
            <w:vAlign w:val="center"/>
            <w:hideMark/>
          </w:tcPr>
          <w:p w14:paraId="142FB2D7" w14:textId="77777777" w:rsidR="007B1C38" w:rsidRPr="001B5760" w:rsidRDefault="00745966" w:rsidP="00745966">
            <w:pPr>
              <w:pStyle w:val="ExhibitText"/>
              <w:jc w:val="right"/>
              <w:rPr>
                <w:lang w:eastAsia="ja-JP"/>
              </w:rPr>
            </w:pPr>
            <w:r>
              <w:rPr>
                <w:lang w:eastAsia="ja-JP"/>
              </w:rPr>
              <w:t>3.0</w:t>
            </w:r>
          </w:p>
        </w:tc>
      </w:tr>
      <w:tr w:rsidR="007B1C38" w:rsidRPr="001B5760" w14:paraId="5ECFDB78"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6B41E74" w14:textId="77777777" w:rsidR="007B1C38" w:rsidRPr="001B5760" w:rsidRDefault="007B1C38" w:rsidP="00745966">
            <w:pPr>
              <w:pStyle w:val="ExhibitText"/>
              <w:jc w:val="left"/>
              <w:rPr>
                <w:lang w:eastAsia="ja-JP"/>
              </w:rPr>
            </w:pPr>
            <w:r w:rsidRPr="001B5760">
              <w:rPr>
                <w:lang w:eastAsia="ja-JP"/>
              </w:rPr>
              <w:t>Tod</w:t>
            </w:r>
            <w:r w:rsidR="00472B46" w:rsidRPr="001B5760">
              <w:rPr>
                <w:lang w:eastAsia="ja-JP"/>
              </w:rPr>
              <w:t>’</w:t>
            </w:r>
            <w:r w:rsidRPr="001B5760">
              <w:rPr>
                <w:lang w:eastAsia="ja-JP"/>
              </w:rPr>
              <w:t>s</w:t>
            </w:r>
          </w:p>
        </w:tc>
        <w:tc>
          <w:tcPr>
            <w:tcW w:w="1607" w:type="dxa"/>
            <w:tcBorders>
              <w:top w:val="nil"/>
              <w:left w:val="nil"/>
              <w:bottom w:val="single" w:sz="4" w:space="0" w:color="auto"/>
              <w:right w:val="single" w:sz="4" w:space="0" w:color="auto"/>
            </w:tcBorders>
            <w:shd w:val="clear" w:color="auto" w:fill="auto"/>
            <w:noWrap/>
            <w:vAlign w:val="center"/>
            <w:hideMark/>
          </w:tcPr>
          <w:p w14:paraId="47010DC0" w14:textId="77777777" w:rsidR="007B1C38" w:rsidRPr="001B5760" w:rsidRDefault="007B1C38" w:rsidP="00745966">
            <w:pPr>
              <w:pStyle w:val="ExhibitText"/>
              <w:jc w:val="right"/>
              <w:rPr>
                <w:lang w:eastAsia="ja-JP"/>
              </w:rPr>
            </w:pPr>
            <w:r w:rsidRPr="001B5760">
              <w:rPr>
                <w:lang w:eastAsia="ja-JP"/>
              </w:rPr>
              <w:t>2,759</w:t>
            </w:r>
          </w:p>
        </w:tc>
        <w:tc>
          <w:tcPr>
            <w:tcW w:w="1512" w:type="dxa"/>
            <w:tcBorders>
              <w:top w:val="nil"/>
              <w:left w:val="nil"/>
              <w:bottom w:val="single" w:sz="4" w:space="0" w:color="auto"/>
              <w:right w:val="single" w:sz="4" w:space="0" w:color="auto"/>
            </w:tcBorders>
            <w:shd w:val="clear" w:color="auto" w:fill="auto"/>
            <w:noWrap/>
            <w:vAlign w:val="center"/>
            <w:hideMark/>
          </w:tcPr>
          <w:p w14:paraId="0E794EC7" w14:textId="77777777" w:rsidR="007B1C38" w:rsidRPr="001B5760" w:rsidRDefault="00745966" w:rsidP="00745966">
            <w:pPr>
              <w:pStyle w:val="ExhibitText"/>
              <w:jc w:val="right"/>
              <w:rPr>
                <w:lang w:eastAsia="ja-JP"/>
              </w:rPr>
            </w:pPr>
            <w:r>
              <w:rPr>
                <w:lang w:eastAsia="ja-JP"/>
              </w:rPr>
              <w:t>3.5</w:t>
            </w:r>
          </w:p>
        </w:tc>
      </w:tr>
      <w:tr w:rsidR="007B1C38" w:rsidRPr="001B5760" w14:paraId="620FA00D"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72366C1" w14:textId="77777777" w:rsidR="007B1C38" w:rsidRPr="001B5760" w:rsidRDefault="007B1C38" w:rsidP="00745966">
            <w:pPr>
              <w:pStyle w:val="ExhibitText"/>
              <w:jc w:val="left"/>
              <w:rPr>
                <w:lang w:eastAsia="ja-JP"/>
              </w:rPr>
            </w:pPr>
            <w:proofErr w:type="spellStart"/>
            <w:r w:rsidRPr="001B5760">
              <w:rPr>
                <w:lang w:eastAsia="ja-JP"/>
              </w:rPr>
              <w:t>Tumi</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5429E3FC" w14:textId="77777777" w:rsidR="007B1C38" w:rsidRPr="001B5760" w:rsidRDefault="007B1C38" w:rsidP="00745966">
            <w:pPr>
              <w:pStyle w:val="ExhibitText"/>
              <w:jc w:val="right"/>
              <w:rPr>
                <w:lang w:eastAsia="ja-JP"/>
              </w:rPr>
            </w:pPr>
            <w:r w:rsidRPr="001B5760">
              <w:rPr>
                <w:lang w:eastAsia="ja-JP"/>
              </w:rPr>
              <w:t>1,463</w:t>
            </w:r>
          </w:p>
        </w:tc>
        <w:tc>
          <w:tcPr>
            <w:tcW w:w="1512" w:type="dxa"/>
            <w:tcBorders>
              <w:top w:val="nil"/>
              <w:left w:val="nil"/>
              <w:bottom w:val="single" w:sz="4" w:space="0" w:color="auto"/>
              <w:right w:val="single" w:sz="4" w:space="0" w:color="auto"/>
            </w:tcBorders>
            <w:shd w:val="clear" w:color="auto" w:fill="auto"/>
            <w:noWrap/>
            <w:vAlign w:val="center"/>
            <w:hideMark/>
          </w:tcPr>
          <w:p w14:paraId="661C2DA2" w14:textId="77777777" w:rsidR="007B1C38" w:rsidRPr="001B5760" w:rsidRDefault="00DB64E6" w:rsidP="00745966">
            <w:pPr>
              <w:pStyle w:val="ExhibitText"/>
              <w:jc w:val="right"/>
              <w:rPr>
                <w:lang w:eastAsia="ja-JP"/>
              </w:rPr>
            </w:pPr>
            <w:r w:rsidRPr="001B5760">
              <w:rPr>
                <w:lang w:eastAsia="ja-JP"/>
              </w:rPr>
              <w:t>NA</w:t>
            </w:r>
          </w:p>
        </w:tc>
      </w:tr>
      <w:tr w:rsidR="007B1C38" w:rsidRPr="001B5760" w14:paraId="513B9C20" w14:textId="77777777" w:rsidTr="001F24C4">
        <w:trPr>
          <w:trHeight w:val="233"/>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C7C0AC3" w14:textId="77777777" w:rsidR="007B1C38" w:rsidRPr="001B5760" w:rsidRDefault="007B1C38" w:rsidP="00745966">
            <w:pPr>
              <w:pStyle w:val="ExhibitText"/>
              <w:jc w:val="left"/>
              <w:rPr>
                <w:lang w:eastAsia="ja-JP"/>
              </w:rPr>
            </w:pPr>
            <w:r w:rsidRPr="001B5760">
              <w:rPr>
                <w:lang w:eastAsia="ja-JP"/>
              </w:rPr>
              <w:t xml:space="preserve">Brunello </w:t>
            </w:r>
            <w:proofErr w:type="spellStart"/>
            <w:r w:rsidRPr="001B5760">
              <w:rPr>
                <w:lang w:eastAsia="ja-JP"/>
              </w:rPr>
              <w:t>Cucinelli</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14:paraId="0DB58DDF" w14:textId="77777777" w:rsidR="007B1C38" w:rsidRPr="001B5760" w:rsidRDefault="007B1C38" w:rsidP="00745966">
            <w:pPr>
              <w:pStyle w:val="ExhibitText"/>
              <w:jc w:val="right"/>
              <w:rPr>
                <w:lang w:eastAsia="ja-JP"/>
              </w:rPr>
            </w:pPr>
            <w:r w:rsidRPr="001B5760">
              <w:rPr>
                <w:lang w:eastAsia="ja-JP"/>
              </w:rPr>
              <w:t>1,194</w:t>
            </w:r>
          </w:p>
        </w:tc>
        <w:tc>
          <w:tcPr>
            <w:tcW w:w="1512" w:type="dxa"/>
            <w:tcBorders>
              <w:top w:val="nil"/>
              <w:left w:val="nil"/>
              <w:bottom w:val="single" w:sz="4" w:space="0" w:color="auto"/>
              <w:right w:val="single" w:sz="4" w:space="0" w:color="auto"/>
            </w:tcBorders>
            <w:shd w:val="clear" w:color="auto" w:fill="auto"/>
            <w:noWrap/>
            <w:vAlign w:val="center"/>
            <w:hideMark/>
          </w:tcPr>
          <w:p w14:paraId="09104BE1" w14:textId="77777777" w:rsidR="007B1C38" w:rsidRPr="001B5760" w:rsidRDefault="00745966" w:rsidP="00745966">
            <w:pPr>
              <w:pStyle w:val="ExhibitText"/>
              <w:jc w:val="right"/>
              <w:rPr>
                <w:lang w:eastAsia="ja-JP"/>
              </w:rPr>
            </w:pPr>
            <w:r>
              <w:rPr>
                <w:lang w:eastAsia="ja-JP"/>
              </w:rPr>
              <w:t>5.0</w:t>
            </w:r>
          </w:p>
        </w:tc>
      </w:tr>
      <w:tr w:rsidR="007B1C38" w:rsidRPr="001B5760" w14:paraId="1FCB1D1A" w14:textId="77777777" w:rsidTr="001F24C4">
        <w:trPr>
          <w:trHeight w:val="233"/>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169F6" w14:textId="77777777" w:rsidR="007B1C38" w:rsidRPr="001B5760" w:rsidRDefault="007B1C38" w:rsidP="00745966">
            <w:pPr>
              <w:pStyle w:val="ExhibitText"/>
              <w:jc w:val="left"/>
              <w:rPr>
                <w:lang w:eastAsia="ja-JP"/>
              </w:rPr>
            </w:pPr>
            <w:r w:rsidRPr="001B5760">
              <w:rPr>
                <w:lang w:eastAsia="ja-JP"/>
              </w:rPr>
              <w:t>Jimmy Choo</w:t>
            </w:r>
          </w:p>
        </w:tc>
        <w:tc>
          <w:tcPr>
            <w:tcW w:w="1607" w:type="dxa"/>
            <w:tcBorders>
              <w:top w:val="single" w:sz="4" w:space="0" w:color="auto"/>
              <w:left w:val="nil"/>
              <w:bottom w:val="single" w:sz="4" w:space="0" w:color="auto"/>
              <w:right w:val="single" w:sz="4" w:space="0" w:color="auto"/>
            </w:tcBorders>
            <w:shd w:val="clear" w:color="auto" w:fill="auto"/>
            <w:noWrap/>
            <w:vAlign w:val="center"/>
            <w:hideMark/>
          </w:tcPr>
          <w:p w14:paraId="40AB099D" w14:textId="77777777" w:rsidR="007B1C38" w:rsidRPr="001B5760" w:rsidRDefault="007B1C38" w:rsidP="00745966">
            <w:pPr>
              <w:pStyle w:val="ExhibitText"/>
              <w:jc w:val="right"/>
              <w:rPr>
                <w:lang w:eastAsia="ja-JP"/>
              </w:rPr>
            </w:pPr>
            <w:r w:rsidRPr="001B5760">
              <w:rPr>
                <w:lang w:eastAsia="ja-JP"/>
              </w:rPr>
              <w:t>905</w:t>
            </w:r>
          </w:p>
        </w:tc>
        <w:tc>
          <w:tcPr>
            <w:tcW w:w="1512" w:type="dxa"/>
            <w:tcBorders>
              <w:top w:val="single" w:sz="4" w:space="0" w:color="auto"/>
              <w:left w:val="nil"/>
              <w:bottom w:val="single" w:sz="4" w:space="0" w:color="auto"/>
              <w:right w:val="single" w:sz="4" w:space="0" w:color="auto"/>
            </w:tcBorders>
            <w:shd w:val="clear" w:color="auto" w:fill="auto"/>
            <w:noWrap/>
            <w:vAlign w:val="center"/>
            <w:hideMark/>
          </w:tcPr>
          <w:p w14:paraId="7C9CA0A0" w14:textId="77777777" w:rsidR="007B1C38" w:rsidRPr="001B5760" w:rsidRDefault="00DB64E6" w:rsidP="00745966">
            <w:pPr>
              <w:pStyle w:val="ExhibitText"/>
              <w:jc w:val="right"/>
              <w:rPr>
                <w:lang w:eastAsia="ja-JP"/>
              </w:rPr>
            </w:pPr>
            <w:r w:rsidRPr="001B5760">
              <w:rPr>
                <w:lang w:eastAsia="ja-JP"/>
              </w:rPr>
              <w:t>NA</w:t>
            </w:r>
          </w:p>
        </w:tc>
      </w:tr>
    </w:tbl>
    <w:p w14:paraId="4E283567" w14:textId="77777777" w:rsidR="00745966" w:rsidRDefault="00745966" w:rsidP="00356EF7">
      <w:pPr>
        <w:pStyle w:val="ExhibitText"/>
      </w:pPr>
    </w:p>
    <w:p w14:paraId="77958AC7" w14:textId="5067C4A4" w:rsidR="007B1C38" w:rsidRPr="00745966" w:rsidRDefault="007B1C38" w:rsidP="00745966">
      <w:pPr>
        <w:pStyle w:val="Footnote"/>
      </w:pPr>
      <w:r w:rsidRPr="00745966">
        <w:t xml:space="preserve">Source: </w:t>
      </w:r>
      <w:r w:rsidR="00245B1B" w:rsidRPr="00745966">
        <w:t>“</w:t>
      </w:r>
      <w:r w:rsidR="00245B1B">
        <w:t xml:space="preserve">Global </w:t>
      </w:r>
      <w:r w:rsidR="00245B1B" w:rsidRPr="00745966">
        <w:t xml:space="preserve">Luxury Market </w:t>
      </w:r>
      <w:proofErr w:type="gramStart"/>
      <w:r w:rsidR="00245B1B">
        <w:t>Worth</w:t>
      </w:r>
      <w:proofErr w:type="gramEnd"/>
      <w:r w:rsidR="00245B1B">
        <w:t xml:space="preserve"> 224 Billion, Top 20 Brands</w:t>
      </w:r>
      <w:r w:rsidR="00245B1B" w:rsidRPr="00745966">
        <w:t xml:space="preserve">,” </w:t>
      </w:r>
      <w:r w:rsidR="00245B1B">
        <w:t xml:space="preserve">Consultancy.uk, October 22, 2015, accessed January 26, 2017, </w:t>
      </w:r>
      <w:r w:rsidR="00245B1B" w:rsidRPr="00745966">
        <w:t>www.consultancy.uk/news/2803/global-luxury-market-worth-224-billion-top-20-brands</w:t>
      </w:r>
      <w:r w:rsidR="00245B1B">
        <w:t>.</w:t>
      </w:r>
    </w:p>
    <w:p w14:paraId="3EF9F6BE" w14:textId="77777777" w:rsidR="007B1C38" w:rsidRDefault="007B1C38" w:rsidP="00356EF7">
      <w:pPr>
        <w:pStyle w:val="ExhibitText"/>
      </w:pPr>
    </w:p>
    <w:p w14:paraId="48EDC541" w14:textId="77777777" w:rsidR="00A556EC" w:rsidRPr="00745966" w:rsidRDefault="00A556EC" w:rsidP="00356EF7">
      <w:pPr>
        <w:pStyle w:val="ExhibitText"/>
      </w:pPr>
    </w:p>
    <w:p w14:paraId="167BBA02" w14:textId="53ADEF87" w:rsidR="008C19C0" w:rsidRPr="001B5760" w:rsidRDefault="008C19C0" w:rsidP="00356EF7">
      <w:pPr>
        <w:pStyle w:val="ExhibitHeading"/>
      </w:pPr>
      <w:r w:rsidRPr="001B5760">
        <w:t xml:space="preserve">EXHIBIT </w:t>
      </w:r>
      <w:r w:rsidR="0036329E" w:rsidRPr="001B5760">
        <w:rPr>
          <w:lang w:eastAsia="zh-CN"/>
        </w:rPr>
        <w:t>8</w:t>
      </w:r>
      <w:r w:rsidRPr="001B5760">
        <w:t xml:space="preserve">: </w:t>
      </w:r>
      <w:r w:rsidR="00D72FE6">
        <w:t xml:space="preserve">2014 </w:t>
      </w:r>
      <w:r w:rsidRPr="001B5760">
        <w:t>Global personal luxury goods market by product type</w:t>
      </w:r>
      <w:r w:rsidR="008A5E24" w:rsidRPr="00B8303D">
        <w:rPr>
          <w:vertAlign w:val="superscript"/>
        </w:rPr>
        <w:t>*</w:t>
      </w:r>
    </w:p>
    <w:p w14:paraId="0C37B8EE" w14:textId="23A7E664" w:rsidR="000C7700" w:rsidRPr="001B5760" w:rsidRDefault="000C7700" w:rsidP="00356EF7">
      <w:pPr>
        <w:pStyle w:val="ExhibitText"/>
      </w:pPr>
    </w:p>
    <w:tbl>
      <w:tblPr>
        <w:tblW w:w="3276" w:type="dxa"/>
        <w:jc w:val="center"/>
        <w:tblLook w:val="04A0" w:firstRow="1" w:lastRow="0" w:firstColumn="1" w:lastColumn="0" w:noHBand="0" w:noVBand="1"/>
      </w:tblPr>
      <w:tblGrid>
        <w:gridCol w:w="1940"/>
        <w:gridCol w:w="1336"/>
      </w:tblGrid>
      <w:tr w:rsidR="000C7700" w:rsidRPr="000C7700" w14:paraId="30451F92" w14:textId="77777777" w:rsidTr="00E87E89">
        <w:trPr>
          <w:trHeight w:val="300"/>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585" w14:textId="2D0EA3F3" w:rsidR="000C7700" w:rsidRPr="000C7700" w:rsidRDefault="000C7700" w:rsidP="00E87E89">
            <w:pPr>
              <w:pStyle w:val="ExhibitText"/>
              <w:rPr>
                <w:rFonts w:eastAsia="SimSun"/>
                <w:lang w:eastAsia="zh-CN"/>
              </w:rPr>
            </w:pPr>
            <w:r w:rsidRPr="000C7700">
              <w:rPr>
                <w:rFonts w:eastAsia="SimSun"/>
                <w:lang w:eastAsia="zh-CN"/>
              </w:rPr>
              <w:t>Product Type</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2E7DEEF6" w14:textId="63556787" w:rsidR="000C7700" w:rsidRPr="000C7700" w:rsidRDefault="001F24C4" w:rsidP="001F24C4">
            <w:pPr>
              <w:pStyle w:val="ExhibitText"/>
              <w:jc w:val="center"/>
              <w:rPr>
                <w:rFonts w:eastAsia="SimSun"/>
                <w:lang w:eastAsia="zh-CN"/>
              </w:rPr>
            </w:pPr>
            <w:r>
              <w:rPr>
                <w:rFonts w:eastAsia="SimSun"/>
                <w:lang w:eastAsia="zh-CN"/>
              </w:rPr>
              <w:t>%</w:t>
            </w:r>
          </w:p>
        </w:tc>
      </w:tr>
      <w:tr w:rsidR="000C7700" w:rsidRPr="000C7700" w14:paraId="394680BC" w14:textId="77777777" w:rsidTr="00E87E89">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6D8F376" w14:textId="77777777" w:rsidR="000C7700" w:rsidRPr="000C7700" w:rsidRDefault="000C7700" w:rsidP="00E87E89">
            <w:pPr>
              <w:pStyle w:val="ExhibitText"/>
              <w:rPr>
                <w:rFonts w:eastAsia="SimSun"/>
                <w:lang w:eastAsia="zh-CN"/>
              </w:rPr>
            </w:pPr>
            <w:r w:rsidRPr="000C7700">
              <w:rPr>
                <w:rFonts w:eastAsia="SimSun"/>
                <w:lang w:eastAsia="zh-CN"/>
              </w:rPr>
              <w:t>Accessories</w:t>
            </w:r>
          </w:p>
        </w:tc>
        <w:tc>
          <w:tcPr>
            <w:tcW w:w="1336" w:type="dxa"/>
            <w:tcBorders>
              <w:top w:val="nil"/>
              <w:left w:val="nil"/>
              <w:bottom w:val="single" w:sz="4" w:space="0" w:color="auto"/>
              <w:right w:val="single" w:sz="4" w:space="0" w:color="auto"/>
            </w:tcBorders>
            <w:shd w:val="clear" w:color="auto" w:fill="auto"/>
            <w:noWrap/>
            <w:vAlign w:val="bottom"/>
            <w:hideMark/>
          </w:tcPr>
          <w:p w14:paraId="2C00E463" w14:textId="77777777" w:rsidR="000C7700" w:rsidRPr="000C7700" w:rsidRDefault="000C7700" w:rsidP="00E87E89">
            <w:pPr>
              <w:pStyle w:val="ExhibitText"/>
              <w:jc w:val="center"/>
              <w:rPr>
                <w:rFonts w:eastAsia="SimSun"/>
                <w:lang w:eastAsia="zh-CN"/>
              </w:rPr>
            </w:pPr>
            <w:r w:rsidRPr="000C7700">
              <w:rPr>
                <w:rFonts w:eastAsia="SimSun"/>
                <w:lang w:eastAsia="zh-CN"/>
              </w:rPr>
              <w:t>29</w:t>
            </w:r>
          </w:p>
        </w:tc>
      </w:tr>
      <w:tr w:rsidR="000C7700" w:rsidRPr="000C7700" w14:paraId="4F17E64F" w14:textId="77777777" w:rsidTr="00E87E89">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0C56CCF" w14:textId="77777777" w:rsidR="000C7700" w:rsidRPr="000C7700" w:rsidRDefault="000C7700" w:rsidP="00E87E89">
            <w:pPr>
              <w:pStyle w:val="ExhibitText"/>
              <w:rPr>
                <w:rFonts w:eastAsia="SimSun"/>
                <w:lang w:eastAsia="zh-CN"/>
              </w:rPr>
            </w:pPr>
            <w:r w:rsidRPr="000C7700">
              <w:rPr>
                <w:rFonts w:eastAsia="SimSun"/>
                <w:lang w:eastAsia="zh-CN"/>
              </w:rPr>
              <w:t>Apparel</w:t>
            </w:r>
          </w:p>
        </w:tc>
        <w:tc>
          <w:tcPr>
            <w:tcW w:w="1336" w:type="dxa"/>
            <w:tcBorders>
              <w:top w:val="nil"/>
              <w:left w:val="nil"/>
              <w:bottom w:val="single" w:sz="4" w:space="0" w:color="auto"/>
              <w:right w:val="single" w:sz="4" w:space="0" w:color="auto"/>
            </w:tcBorders>
            <w:shd w:val="clear" w:color="auto" w:fill="auto"/>
            <w:noWrap/>
            <w:vAlign w:val="bottom"/>
            <w:hideMark/>
          </w:tcPr>
          <w:p w14:paraId="10EC2A1A" w14:textId="77777777" w:rsidR="000C7700" w:rsidRPr="000C7700" w:rsidRDefault="000C7700" w:rsidP="00E87E89">
            <w:pPr>
              <w:pStyle w:val="ExhibitText"/>
              <w:jc w:val="center"/>
              <w:rPr>
                <w:rFonts w:eastAsia="SimSun"/>
                <w:lang w:eastAsia="zh-CN"/>
              </w:rPr>
            </w:pPr>
            <w:r w:rsidRPr="000C7700">
              <w:rPr>
                <w:rFonts w:eastAsia="SimSun"/>
                <w:lang w:eastAsia="zh-CN"/>
              </w:rPr>
              <w:t>25</w:t>
            </w:r>
          </w:p>
        </w:tc>
      </w:tr>
      <w:tr w:rsidR="000C7700" w:rsidRPr="000C7700" w14:paraId="7A808107" w14:textId="77777777" w:rsidTr="00E87E89">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2EB4DBF" w14:textId="77777777" w:rsidR="000C7700" w:rsidRPr="000C7700" w:rsidRDefault="000C7700" w:rsidP="00E87E89">
            <w:pPr>
              <w:pStyle w:val="ExhibitText"/>
              <w:rPr>
                <w:rFonts w:eastAsia="SimSun"/>
                <w:lang w:eastAsia="zh-CN"/>
              </w:rPr>
            </w:pPr>
            <w:r w:rsidRPr="000C7700">
              <w:rPr>
                <w:rFonts w:eastAsia="SimSun"/>
                <w:lang w:eastAsia="zh-CN"/>
              </w:rPr>
              <w:t>Hard luxury</w:t>
            </w:r>
          </w:p>
        </w:tc>
        <w:tc>
          <w:tcPr>
            <w:tcW w:w="1336" w:type="dxa"/>
            <w:tcBorders>
              <w:top w:val="nil"/>
              <w:left w:val="nil"/>
              <w:bottom w:val="single" w:sz="4" w:space="0" w:color="auto"/>
              <w:right w:val="single" w:sz="4" w:space="0" w:color="auto"/>
            </w:tcBorders>
            <w:shd w:val="clear" w:color="auto" w:fill="auto"/>
            <w:noWrap/>
            <w:vAlign w:val="bottom"/>
            <w:hideMark/>
          </w:tcPr>
          <w:p w14:paraId="78128B8C" w14:textId="77777777" w:rsidR="000C7700" w:rsidRPr="000C7700" w:rsidRDefault="000C7700" w:rsidP="00E87E89">
            <w:pPr>
              <w:pStyle w:val="ExhibitText"/>
              <w:jc w:val="center"/>
              <w:rPr>
                <w:rFonts w:eastAsia="SimSun"/>
                <w:lang w:eastAsia="zh-CN"/>
              </w:rPr>
            </w:pPr>
            <w:r w:rsidRPr="000C7700">
              <w:rPr>
                <w:rFonts w:eastAsia="SimSun"/>
                <w:lang w:eastAsia="zh-CN"/>
              </w:rPr>
              <w:t>22</w:t>
            </w:r>
          </w:p>
        </w:tc>
      </w:tr>
      <w:tr w:rsidR="000C7700" w:rsidRPr="000C7700" w14:paraId="27F820A4" w14:textId="77777777" w:rsidTr="00E87E89">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EE2DD75" w14:textId="77777777" w:rsidR="000C7700" w:rsidRPr="000C7700" w:rsidRDefault="000C7700" w:rsidP="00E87E89">
            <w:pPr>
              <w:pStyle w:val="ExhibitText"/>
              <w:rPr>
                <w:rFonts w:eastAsia="SimSun"/>
                <w:lang w:eastAsia="zh-CN"/>
              </w:rPr>
            </w:pPr>
            <w:r w:rsidRPr="000C7700">
              <w:rPr>
                <w:rFonts w:eastAsia="SimSun"/>
                <w:lang w:eastAsia="zh-CN"/>
              </w:rPr>
              <w:t>Beauty</w:t>
            </w:r>
          </w:p>
        </w:tc>
        <w:tc>
          <w:tcPr>
            <w:tcW w:w="1336" w:type="dxa"/>
            <w:tcBorders>
              <w:top w:val="nil"/>
              <w:left w:val="nil"/>
              <w:bottom w:val="single" w:sz="4" w:space="0" w:color="auto"/>
              <w:right w:val="single" w:sz="4" w:space="0" w:color="auto"/>
            </w:tcBorders>
            <w:shd w:val="clear" w:color="auto" w:fill="auto"/>
            <w:noWrap/>
            <w:vAlign w:val="bottom"/>
            <w:hideMark/>
          </w:tcPr>
          <w:p w14:paraId="5056AB58" w14:textId="77777777" w:rsidR="000C7700" w:rsidRPr="000C7700" w:rsidRDefault="000C7700" w:rsidP="00E87E89">
            <w:pPr>
              <w:pStyle w:val="ExhibitText"/>
              <w:jc w:val="center"/>
              <w:rPr>
                <w:rFonts w:eastAsia="SimSun"/>
                <w:lang w:eastAsia="zh-CN"/>
              </w:rPr>
            </w:pPr>
            <w:r w:rsidRPr="000C7700">
              <w:rPr>
                <w:rFonts w:eastAsia="SimSun"/>
                <w:lang w:eastAsia="zh-CN"/>
              </w:rPr>
              <w:t>20</w:t>
            </w:r>
          </w:p>
        </w:tc>
      </w:tr>
      <w:tr w:rsidR="000C7700" w:rsidRPr="000C7700" w14:paraId="6D06998A" w14:textId="77777777" w:rsidTr="00E87E89">
        <w:trPr>
          <w:trHeight w:val="300"/>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5090CF7" w14:textId="77777777" w:rsidR="000C7700" w:rsidRPr="000C7700" w:rsidRDefault="000C7700" w:rsidP="00E87E89">
            <w:pPr>
              <w:pStyle w:val="ExhibitText"/>
              <w:rPr>
                <w:rFonts w:eastAsia="SimSun"/>
                <w:lang w:eastAsia="zh-CN"/>
              </w:rPr>
            </w:pPr>
            <w:r w:rsidRPr="000C7700">
              <w:rPr>
                <w:rFonts w:eastAsia="SimSun"/>
                <w:lang w:eastAsia="zh-CN"/>
              </w:rPr>
              <w:t>Others</w:t>
            </w:r>
          </w:p>
        </w:tc>
        <w:tc>
          <w:tcPr>
            <w:tcW w:w="1336" w:type="dxa"/>
            <w:tcBorders>
              <w:top w:val="nil"/>
              <w:left w:val="nil"/>
              <w:bottom w:val="single" w:sz="4" w:space="0" w:color="auto"/>
              <w:right w:val="single" w:sz="4" w:space="0" w:color="auto"/>
            </w:tcBorders>
            <w:shd w:val="clear" w:color="auto" w:fill="auto"/>
            <w:noWrap/>
            <w:vAlign w:val="bottom"/>
            <w:hideMark/>
          </w:tcPr>
          <w:p w14:paraId="77435451" w14:textId="77777777" w:rsidR="000C7700" w:rsidRPr="000C7700" w:rsidRDefault="000C7700" w:rsidP="001F24C4">
            <w:pPr>
              <w:pStyle w:val="ExhibitText"/>
              <w:ind w:left="74"/>
              <w:jc w:val="center"/>
              <w:rPr>
                <w:rFonts w:eastAsia="SimSun"/>
                <w:lang w:eastAsia="zh-CN"/>
              </w:rPr>
            </w:pPr>
            <w:r w:rsidRPr="000C7700">
              <w:rPr>
                <w:rFonts w:eastAsia="SimSun"/>
                <w:lang w:eastAsia="zh-CN"/>
              </w:rPr>
              <w:t>4</w:t>
            </w:r>
          </w:p>
        </w:tc>
      </w:tr>
    </w:tbl>
    <w:p w14:paraId="239B902E" w14:textId="6CB8E50B" w:rsidR="008C19C0" w:rsidRPr="001B5760" w:rsidRDefault="008C19C0" w:rsidP="00356EF7">
      <w:pPr>
        <w:pStyle w:val="ExhibitText"/>
      </w:pPr>
    </w:p>
    <w:p w14:paraId="04EBD4F9" w14:textId="75921AD2" w:rsidR="008A5E24" w:rsidRDefault="00E87E89" w:rsidP="00745966">
      <w:pPr>
        <w:pStyle w:val="Footnote"/>
      </w:pPr>
      <w:r>
        <w:t>Note</w:t>
      </w:r>
      <w:r w:rsidRPr="00E87E89">
        <w:t xml:space="preserve">: </w:t>
      </w:r>
      <w:r w:rsidR="008A5E24" w:rsidRPr="00E87E89">
        <w:t>* The</w:t>
      </w:r>
      <w:r w:rsidR="008A5E24" w:rsidRPr="008A5E24">
        <w:t xml:space="preserve"> total market value in 2014 was €224 billion.</w:t>
      </w:r>
    </w:p>
    <w:p w14:paraId="21F70A0E" w14:textId="05F097D0" w:rsidR="003E7AD0" w:rsidRDefault="003E7AD0" w:rsidP="00745966">
      <w:pPr>
        <w:pStyle w:val="Footnote"/>
      </w:pPr>
      <w:r w:rsidRPr="001B5760">
        <w:t xml:space="preserve">Source: </w:t>
      </w:r>
      <w:r w:rsidR="00245B1B" w:rsidRPr="00745966">
        <w:t>“</w:t>
      </w:r>
      <w:r w:rsidR="00245B1B">
        <w:t xml:space="preserve">Global </w:t>
      </w:r>
      <w:r w:rsidR="00245B1B" w:rsidRPr="00745966">
        <w:t xml:space="preserve">Luxury Market </w:t>
      </w:r>
      <w:proofErr w:type="gramStart"/>
      <w:r w:rsidR="00245B1B">
        <w:t>Worth</w:t>
      </w:r>
      <w:proofErr w:type="gramEnd"/>
      <w:r w:rsidR="00245B1B">
        <w:t xml:space="preserve"> 224 Billion, Top 20 Brands</w:t>
      </w:r>
      <w:r w:rsidR="00245B1B" w:rsidRPr="00745966">
        <w:t xml:space="preserve">,” </w:t>
      </w:r>
      <w:r w:rsidR="00245B1B">
        <w:t xml:space="preserve">Consultancy.uk, October 22, 2015, accessed January 26, 2017, </w:t>
      </w:r>
      <w:r w:rsidR="00245B1B" w:rsidRPr="00745966">
        <w:t>www.consultancy.uk/news/2803/global-luxury-market-worth-224-billion-top-20-brands</w:t>
      </w:r>
      <w:r w:rsidR="00245B1B">
        <w:t>.</w:t>
      </w:r>
    </w:p>
    <w:p w14:paraId="1D4990A8" w14:textId="77777777" w:rsidR="00745966" w:rsidRDefault="00745966" w:rsidP="00356EF7">
      <w:pPr>
        <w:pStyle w:val="ExhibitText"/>
        <w:rPr>
          <w:sz w:val="17"/>
          <w:szCs w:val="17"/>
        </w:rPr>
      </w:pPr>
      <w:r>
        <w:br w:type="page"/>
      </w:r>
    </w:p>
    <w:p w14:paraId="2A3F4125" w14:textId="75B4C7D4" w:rsidR="008C19C0" w:rsidRPr="001B5760" w:rsidRDefault="007B1C38" w:rsidP="00356EF7">
      <w:pPr>
        <w:pStyle w:val="ExhibitHeading"/>
      </w:pPr>
      <w:r w:rsidRPr="001B5760">
        <w:lastRenderedPageBreak/>
        <w:t xml:space="preserve">Exhibit </w:t>
      </w:r>
      <w:r w:rsidR="0036329E" w:rsidRPr="001B5760">
        <w:rPr>
          <w:lang w:eastAsia="zh-CN"/>
        </w:rPr>
        <w:t>9</w:t>
      </w:r>
      <w:r w:rsidR="008C19C0" w:rsidRPr="001B5760">
        <w:t xml:space="preserve">: </w:t>
      </w:r>
      <w:r w:rsidR="001464F9">
        <w:t xml:space="preserve">2014 </w:t>
      </w:r>
      <w:r w:rsidR="008C19C0" w:rsidRPr="001B5760">
        <w:t>global personal luxury goods market by channel</w:t>
      </w:r>
      <w:r w:rsidR="008A5E24" w:rsidRPr="00B8303D">
        <w:rPr>
          <w:vertAlign w:val="superscript"/>
        </w:rPr>
        <w:t>*</w:t>
      </w:r>
      <w:r w:rsidR="008C19C0" w:rsidRPr="001B5760">
        <w:t xml:space="preserve"> </w:t>
      </w:r>
    </w:p>
    <w:p w14:paraId="7BDC079A" w14:textId="0616EA76" w:rsidR="00D72FE6" w:rsidRPr="001B5760" w:rsidRDefault="00D72FE6" w:rsidP="00356EF7">
      <w:pPr>
        <w:pStyle w:val="ExhibitText"/>
      </w:pPr>
    </w:p>
    <w:tbl>
      <w:tblPr>
        <w:tblW w:w="3417" w:type="dxa"/>
        <w:jc w:val="center"/>
        <w:tblLayout w:type="fixed"/>
        <w:tblLook w:val="04A0" w:firstRow="1" w:lastRow="0" w:firstColumn="1" w:lastColumn="0" w:noHBand="0" w:noVBand="1"/>
      </w:tblPr>
      <w:tblGrid>
        <w:gridCol w:w="2142"/>
        <w:gridCol w:w="1275"/>
      </w:tblGrid>
      <w:tr w:rsidR="00D72FE6" w:rsidRPr="00D72FE6" w14:paraId="325097E8" w14:textId="77777777" w:rsidTr="00E87E89">
        <w:trPr>
          <w:trHeight w:val="300"/>
          <w:jc w:val="center"/>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8FF0" w14:textId="77777777" w:rsidR="00D72FE6" w:rsidRPr="00D72FE6" w:rsidRDefault="00D72FE6" w:rsidP="00E87E89">
            <w:pPr>
              <w:pStyle w:val="ExhibitText"/>
              <w:rPr>
                <w:rFonts w:eastAsia="SimSun"/>
                <w:lang w:eastAsia="zh-CN"/>
              </w:rPr>
            </w:pPr>
            <w:r w:rsidRPr="00D72FE6">
              <w:rPr>
                <w:rFonts w:eastAsia="SimSun"/>
                <w:lang w:eastAsia="zh-CN"/>
              </w:rPr>
              <w:t>Channel</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9CAC0BB" w14:textId="0D967893" w:rsidR="00D72FE6" w:rsidRPr="00D72FE6" w:rsidRDefault="001F24C4" w:rsidP="001F24C4">
            <w:pPr>
              <w:pStyle w:val="ExhibitText"/>
              <w:jc w:val="center"/>
              <w:rPr>
                <w:rFonts w:eastAsia="SimSun"/>
                <w:lang w:eastAsia="zh-CN"/>
              </w:rPr>
            </w:pPr>
            <w:r>
              <w:rPr>
                <w:rFonts w:eastAsia="SimSun"/>
                <w:lang w:eastAsia="zh-CN"/>
              </w:rPr>
              <w:t>%</w:t>
            </w:r>
          </w:p>
        </w:tc>
      </w:tr>
      <w:tr w:rsidR="00D72FE6" w:rsidRPr="00D72FE6" w14:paraId="6C78252D" w14:textId="77777777" w:rsidTr="00E87E89">
        <w:trPr>
          <w:trHeight w:val="300"/>
          <w:jc w:val="center"/>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8E06E2E" w14:textId="77777777" w:rsidR="00D72FE6" w:rsidRPr="00D72FE6" w:rsidRDefault="00D72FE6" w:rsidP="00E87E89">
            <w:pPr>
              <w:pStyle w:val="ExhibitText"/>
              <w:rPr>
                <w:rFonts w:eastAsia="SimSun"/>
                <w:lang w:eastAsia="zh-CN"/>
              </w:rPr>
            </w:pPr>
            <w:proofErr w:type="spellStart"/>
            <w:r w:rsidRPr="00D72FE6">
              <w:rPr>
                <w:rFonts w:eastAsia="SimSun"/>
                <w:lang w:eastAsia="zh-CN"/>
              </w:rPr>
              <w:t>Monobrand</w:t>
            </w:r>
            <w:proofErr w:type="spellEnd"/>
            <w:r w:rsidRPr="00D72FE6">
              <w:rPr>
                <w:rFonts w:eastAsia="SimSun"/>
                <w:lang w:eastAsia="zh-CN"/>
              </w:rPr>
              <w:t xml:space="preserve"> stores</w:t>
            </w:r>
          </w:p>
        </w:tc>
        <w:tc>
          <w:tcPr>
            <w:tcW w:w="1275" w:type="dxa"/>
            <w:tcBorders>
              <w:top w:val="nil"/>
              <w:left w:val="nil"/>
              <w:bottom w:val="single" w:sz="4" w:space="0" w:color="auto"/>
              <w:right w:val="single" w:sz="4" w:space="0" w:color="auto"/>
            </w:tcBorders>
            <w:shd w:val="clear" w:color="auto" w:fill="auto"/>
            <w:noWrap/>
            <w:vAlign w:val="bottom"/>
            <w:hideMark/>
          </w:tcPr>
          <w:p w14:paraId="34EFBED1" w14:textId="77777777" w:rsidR="00D72FE6" w:rsidRPr="00D72FE6" w:rsidRDefault="00D72FE6" w:rsidP="00E87E89">
            <w:pPr>
              <w:pStyle w:val="ExhibitText"/>
              <w:jc w:val="center"/>
              <w:rPr>
                <w:rFonts w:eastAsia="SimSun"/>
                <w:lang w:eastAsia="zh-CN"/>
              </w:rPr>
            </w:pPr>
            <w:r w:rsidRPr="00D72FE6">
              <w:rPr>
                <w:rFonts w:eastAsia="SimSun"/>
                <w:lang w:eastAsia="zh-CN"/>
              </w:rPr>
              <w:t>29</w:t>
            </w:r>
          </w:p>
        </w:tc>
      </w:tr>
      <w:tr w:rsidR="00D72FE6" w:rsidRPr="00D72FE6" w14:paraId="65E4721A" w14:textId="77777777" w:rsidTr="00E87E89">
        <w:trPr>
          <w:trHeight w:val="300"/>
          <w:jc w:val="center"/>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837139A" w14:textId="77777777" w:rsidR="00D72FE6" w:rsidRPr="00D72FE6" w:rsidRDefault="00D72FE6" w:rsidP="00E87E89">
            <w:pPr>
              <w:pStyle w:val="ExhibitText"/>
              <w:rPr>
                <w:rFonts w:eastAsia="SimSun"/>
                <w:lang w:eastAsia="zh-CN"/>
              </w:rPr>
            </w:pPr>
            <w:r w:rsidRPr="00D72FE6">
              <w:rPr>
                <w:rFonts w:eastAsia="SimSun"/>
                <w:lang w:eastAsia="zh-CN"/>
              </w:rPr>
              <w:t>Department stores</w:t>
            </w:r>
          </w:p>
        </w:tc>
        <w:tc>
          <w:tcPr>
            <w:tcW w:w="1275" w:type="dxa"/>
            <w:tcBorders>
              <w:top w:val="nil"/>
              <w:left w:val="nil"/>
              <w:bottom w:val="single" w:sz="4" w:space="0" w:color="auto"/>
              <w:right w:val="single" w:sz="4" w:space="0" w:color="auto"/>
            </w:tcBorders>
            <w:shd w:val="clear" w:color="auto" w:fill="auto"/>
            <w:noWrap/>
            <w:vAlign w:val="bottom"/>
            <w:hideMark/>
          </w:tcPr>
          <w:p w14:paraId="53F7D648" w14:textId="77777777" w:rsidR="00D72FE6" w:rsidRPr="00D72FE6" w:rsidRDefault="00D72FE6" w:rsidP="00E87E89">
            <w:pPr>
              <w:pStyle w:val="ExhibitText"/>
              <w:jc w:val="center"/>
              <w:rPr>
                <w:rFonts w:eastAsia="SimSun"/>
                <w:lang w:eastAsia="zh-CN"/>
              </w:rPr>
            </w:pPr>
            <w:r w:rsidRPr="00D72FE6">
              <w:rPr>
                <w:rFonts w:eastAsia="SimSun"/>
                <w:lang w:eastAsia="zh-CN"/>
              </w:rPr>
              <w:t>27</w:t>
            </w:r>
          </w:p>
        </w:tc>
      </w:tr>
      <w:tr w:rsidR="00D72FE6" w:rsidRPr="00D72FE6" w14:paraId="3E76B92D" w14:textId="77777777" w:rsidTr="00E87E89">
        <w:trPr>
          <w:trHeight w:val="300"/>
          <w:jc w:val="center"/>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07FA4982" w14:textId="77777777" w:rsidR="00D72FE6" w:rsidRPr="00D72FE6" w:rsidRDefault="00D72FE6" w:rsidP="00E87E89">
            <w:pPr>
              <w:pStyle w:val="ExhibitText"/>
              <w:rPr>
                <w:rFonts w:eastAsia="SimSun"/>
                <w:lang w:eastAsia="zh-CN"/>
              </w:rPr>
            </w:pPr>
            <w:r w:rsidRPr="00D72FE6">
              <w:rPr>
                <w:rFonts w:eastAsia="SimSun"/>
                <w:lang w:eastAsia="zh-CN"/>
              </w:rPr>
              <w:t>Specialty stores</w:t>
            </w:r>
          </w:p>
        </w:tc>
        <w:tc>
          <w:tcPr>
            <w:tcW w:w="1275" w:type="dxa"/>
            <w:tcBorders>
              <w:top w:val="nil"/>
              <w:left w:val="nil"/>
              <w:bottom w:val="single" w:sz="4" w:space="0" w:color="auto"/>
              <w:right w:val="single" w:sz="4" w:space="0" w:color="auto"/>
            </w:tcBorders>
            <w:shd w:val="clear" w:color="auto" w:fill="auto"/>
            <w:noWrap/>
            <w:vAlign w:val="bottom"/>
            <w:hideMark/>
          </w:tcPr>
          <w:p w14:paraId="27E2AF95" w14:textId="77777777" w:rsidR="00D72FE6" w:rsidRPr="00D72FE6" w:rsidRDefault="00D72FE6" w:rsidP="00E87E89">
            <w:pPr>
              <w:pStyle w:val="ExhibitText"/>
              <w:jc w:val="center"/>
              <w:rPr>
                <w:rFonts w:eastAsia="SimSun"/>
                <w:lang w:eastAsia="zh-CN"/>
              </w:rPr>
            </w:pPr>
            <w:r w:rsidRPr="00D72FE6">
              <w:rPr>
                <w:rFonts w:eastAsia="SimSun"/>
                <w:lang w:eastAsia="zh-CN"/>
              </w:rPr>
              <w:t>25</w:t>
            </w:r>
          </w:p>
        </w:tc>
      </w:tr>
      <w:tr w:rsidR="00D72FE6" w:rsidRPr="00D72FE6" w14:paraId="2AA82B6F" w14:textId="77777777" w:rsidTr="00E87E89">
        <w:trPr>
          <w:trHeight w:val="300"/>
          <w:jc w:val="center"/>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BAAC937" w14:textId="77777777" w:rsidR="00D72FE6" w:rsidRPr="00D72FE6" w:rsidRDefault="00D72FE6" w:rsidP="00E87E89">
            <w:pPr>
              <w:pStyle w:val="ExhibitText"/>
              <w:rPr>
                <w:rFonts w:eastAsia="SimSun"/>
                <w:lang w:eastAsia="zh-CN"/>
              </w:rPr>
            </w:pPr>
            <w:r w:rsidRPr="00D72FE6">
              <w:rPr>
                <w:rFonts w:eastAsia="SimSun"/>
                <w:lang w:eastAsia="zh-CN"/>
              </w:rPr>
              <w:t>Off-price stores</w:t>
            </w:r>
          </w:p>
        </w:tc>
        <w:tc>
          <w:tcPr>
            <w:tcW w:w="1275" w:type="dxa"/>
            <w:tcBorders>
              <w:top w:val="nil"/>
              <w:left w:val="nil"/>
              <w:bottom w:val="single" w:sz="4" w:space="0" w:color="auto"/>
              <w:right w:val="single" w:sz="4" w:space="0" w:color="auto"/>
            </w:tcBorders>
            <w:shd w:val="clear" w:color="auto" w:fill="auto"/>
            <w:noWrap/>
            <w:vAlign w:val="bottom"/>
            <w:hideMark/>
          </w:tcPr>
          <w:p w14:paraId="11F622F7" w14:textId="77777777" w:rsidR="00D72FE6" w:rsidRPr="00D72FE6" w:rsidRDefault="00D72FE6" w:rsidP="001F24C4">
            <w:pPr>
              <w:pStyle w:val="ExhibitText"/>
              <w:ind w:left="13"/>
              <w:jc w:val="center"/>
              <w:rPr>
                <w:rFonts w:eastAsia="SimSun"/>
                <w:lang w:eastAsia="zh-CN"/>
              </w:rPr>
            </w:pPr>
            <w:r w:rsidRPr="00D72FE6">
              <w:rPr>
                <w:rFonts w:eastAsia="SimSun"/>
                <w:lang w:eastAsia="zh-CN"/>
              </w:rPr>
              <w:t>9</w:t>
            </w:r>
          </w:p>
        </w:tc>
      </w:tr>
      <w:tr w:rsidR="00D72FE6" w:rsidRPr="00D72FE6" w14:paraId="25EBA09B" w14:textId="77777777" w:rsidTr="00E87E89">
        <w:trPr>
          <w:trHeight w:val="300"/>
          <w:jc w:val="center"/>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09702AA" w14:textId="77777777" w:rsidR="00D72FE6" w:rsidRPr="00D72FE6" w:rsidRDefault="00D72FE6" w:rsidP="00E87E89">
            <w:pPr>
              <w:pStyle w:val="ExhibitText"/>
              <w:rPr>
                <w:rFonts w:eastAsia="SimSun"/>
                <w:lang w:eastAsia="zh-CN"/>
              </w:rPr>
            </w:pPr>
            <w:r w:rsidRPr="00D72FE6">
              <w:rPr>
                <w:rFonts w:eastAsia="SimSun"/>
                <w:lang w:eastAsia="zh-CN"/>
              </w:rPr>
              <w:t>Airport</w:t>
            </w:r>
          </w:p>
        </w:tc>
        <w:tc>
          <w:tcPr>
            <w:tcW w:w="1275" w:type="dxa"/>
            <w:tcBorders>
              <w:top w:val="nil"/>
              <w:left w:val="nil"/>
              <w:bottom w:val="single" w:sz="4" w:space="0" w:color="auto"/>
              <w:right w:val="single" w:sz="4" w:space="0" w:color="auto"/>
            </w:tcBorders>
            <w:shd w:val="clear" w:color="auto" w:fill="auto"/>
            <w:noWrap/>
            <w:vAlign w:val="bottom"/>
            <w:hideMark/>
          </w:tcPr>
          <w:p w14:paraId="0C4DF639" w14:textId="77777777" w:rsidR="00D72FE6" w:rsidRPr="00D72FE6" w:rsidRDefault="00D72FE6" w:rsidP="00E87E89">
            <w:pPr>
              <w:pStyle w:val="ExhibitText"/>
              <w:jc w:val="center"/>
              <w:rPr>
                <w:rFonts w:eastAsia="SimSun"/>
                <w:lang w:eastAsia="zh-CN"/>
              </w:rPr>
            </w:pPr>
            <w:r w:rsidRPr="00D72FE6">
              <w:rPr>
                <w:rFonts w:eastAsia="SimSun"/>
                <w:lang w:eastAsia="zh-CN"/>
              </w:rPr>
              <w:t>5</w:t>
            </w:r>
          </w:p>
        </w:tc>
      </w:tr>
      <w:tr w:rsidR="00D72FE6" w:rsidRPr="00D72FE6" w14:paraId="571F7C7B" w14:textId="77777777" w:rsidTr="00E87E89">
        <w:trPr>
          <w:trHeight w:val="300"/>
          <w:jc w:val="center"/>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B7D211D" w14:textId="77777777" w:rsidR="00D72FE6" w:rsidRPr="00D72FE6" w:rsidRDefault="00D72FE6" w:rsidP="00E87E89">
            <w:pPr>
              <w:pStyle w:val="ExhibitText"/>
              <w:rPr>
                <w:rFonts w:eastAsia="SimSun"/>
                <w:lang w:eastAsia="zh-CN"/>
              </w:rPr>
            </w:pPr>
            <w:r w:rsidRPr="00D72FE6">
              <w:rPr>
                <w:rFonts w:eastAsia="SimSun"/>
                <w:lang w:eastAsia="zh-CN"/>
              </w:rPr>
              <w:t>Online</w:t>
            </w:r>
          </w:p>
        </w:tc>
        <w:tc>
          <w:tcPr>
            <w:tcW w:w="1275" w:type="dxa"/>
            <w:tcBorders>
              <w:top w:val="nil"/>
              <w:left w:val="nil"/>
              <w:bottom w:val="single" w:sz="4" w:space="0" w:color="auto"/>
              <w:right w:val="single" w:sz="4" w:space="0" w:color="auto"/>
            </w:tcBorders>
            <w:shd w:val="clear" w:color="auto" w:fill="auto"/>
            <w:noWrap/>
            <w:vAlign w:val="bottom"/>
            <w:hideMark/>
          </w:tcPr>
          <w:p w14:paraId="6A6C4853" w14:textId="77777777" w:rsidR="00D72FE6" w:rsidRPr="00D72FE6" w:rsidRDefault="00D72FE6" w:rsidP="00E87E89">
            <w:pPr>
              <w:pStyle w:val="ExhibitText"/>
              <w:jc w:val="center"/>
              <w:rPr>
                <w:rFonts w:eastAsia="SimSun"/>
                <w:lang w:eastAsia="zh-CN"/>
              </w:rPr>
            </w:pPr>
            <w:r w:rsidRPr="00D72FE6">
              <w:rPr>
                <w:rFonts w:eastAsia="SimSun"/>
                <w:lang w:eastAsia="zh-CN"/>
              </w:rPr>
              <w:t>5</w:t>
            </w:r>
          </w:p>
        </w:tc>
      </w:tr>
    </w:tbl>
    <w:p w14:paraId="57B2E030" w14:textId="5CA688D4" w:rsidR="008C19C0" w:rsidRPr="001B5760" w:rsidRDefault="008C19C0" w:rsidP="00356EF7">
      <w:pPr>
        <w:pStyle w:val="ExhibitText"/>
      </w:pPr>
    </w:p>
    <w:p w14:paraId="2345EED0" w14:textId="75DA9700" w:rsidR="008A5E24" w:rsidRDefault="00E87E89" w:rsidP="00745966">
      <w:pPr>
        <w:pStyle w:val="Footnote"/>
      </w:pPr>
      <w:r w:rsidRPr="00E87E89">
        <w:t>Note</w:t>
      </w:r>
      <w:r>
        <w:t xml:space="preserve">: </w:t>
      </w:r>
      <w:r w:rsidR="008A5E24" w:rsidRPr="00E87E89">
        <w:t>*</w:t>
      </w:r>
      <w:r w:rsidR="008A5E24">
        <w:rPr>
          <w:vertAlign w:val="superscript"/>
        </w:rPr>
        <w:t xml:space="preserve"> </w:t>
      </w:r>
      <w:r w:rsidR="008A5E24">
        <w:t xml:space="preserve">The total market value in 2014 was </w:t>
      </w:r>
      <w:r w:rsidR="008A5E24" w:rsidRPr="008A5E24">
        <w:rPr>
          <w:rFonts w:hint="eastAsia"/>
        </w:rPr>
        <w:t>€</w:t>
      </w:r>
      <w:r w:rsidR="008A5E24" w:rsidRPr="008A5E24">
        <w:t>224 billion</w:t>
      </w:r>
      <w:r w:rsidR="008A5E24">
        <w:t>.</w:t>
      </w:r>
    </w:p>
    <w:p w14:paraId="044F70AD" w14:textId="06127D77" w:rsidR="008C19C0" w:rsidRDefault="003E7AD0" w:rsidP="00745966">
      <w:pPr>
        <w:pStyle w:val="Footnote"/>
      </w:pPr>
      <w:r w:rsidRPr="001B5760">
        <w:t xml:space="preserve">Source: </w:t>
      </w:r>
      <w:r w:rsidR="00245B1B" w:rsidRPr="00745966">
        <w:t>“</w:t>
      </w:r>
      <w:r w:rsidR="00245B1B">
        <w:t xml:space="preserve">Global </w:t>
      </w:r>
      <w:r w:rsidR="00245B1B" w:rsidRPr="00745966">
        <w:t xml:space="preserve">Luxury Market </w:t>
      </w:r>
      <w:proofErr w:type="gramStart"/>
      <w:r w:rsidR="00245B1B">
        <w:t>Worth</w:t>
      </w:r>
      <w:proofErr w:type="gramEnd"/>
      <w:r w:rsidR="00245B1B">
        <w:t xml:space="preserve"> 224 Billion, Top 20 Brands</w:t>
      </w:r>
      <w:r w:rsidR="00245B1B" w:rsidRPr="00745966">
        <w:t xml:space="preserve">,” </w:t>
      </w:r>
      <w:r w:rsidR="00245B1B">
        <w:t xml:space="preserve">Consultancy.uk, October 22, 2015, accessed January 26, 2017, </w:t>
      </w:r>
      <w:r w:rsidR="00245B1B" w:rsidRPr="00745966">
        <w:t>www.consultancy.uk/news/2803/global-luxury-market-worth-224-billion-top-20-brands</w:t>
      </w:r>
      <w:r w:rsidR="00245B1B">
        <w:t>.</w:t>
      </w:r>
    </w:p>
    <w:p w14:paraId="76A24B26" w14:textId="77777777" w:rsidR="00745966" w:rsidRDefault="00745966" w:rsidP="00356EF7">
      <w:pPr>
        <w:pStyle w:val="ExhibitText"/>
      </w:pPr>
    </w:p>
    <w:p w14:paraId="4B29FABF" w14:textId="77777777" w:rsidR="00745966" w:rsidRPr="001B5760" w:rsidRDefault="00745966" w:rsidP="00356EF7">
      <w:pPr>
        <w:pStyle w:val="ExhibitText"/>
      </w:pPr>
    </w:p>
    <w:p w14:paraId="24855AAA" w14:textId="77777777" w:rsidR="008C19C0" w:rsidRDefault="008C19C0" w:rsidP="00356EF7">
      <w:pPr>
        <w:pStyle w:val="ExhibitHeading"/>
        <w:rPr>
          <w:lang w:eastAsia="zh-CN"/>
        </w:rPr>
      </w:pPr>
      <w:r w:rsidRPr="001B5760">
        <w:t xml:space="preserve">Exhibit </w:t>
      </w:r>
      <w:r w:rsidR="0036329E" w:rsidRPr="001B5760">
        <w:rPr>
          <w:lang w:eastAsia="zh-CN"/>
        </w:rPr>
        <w:t>10</w:t>
      </w:r>
      <w:r w:rsidRPr="001B5760">
        <w:t xml:space="preserve">: </w:t>
      </w:r>
      <w:r w:rsidR="0036329E" w:rsidRPr="001B5760">
        <w:rPr>
          <w:lang w:eastAsia="zh-CN"/>
        </w:rPr>
        <w:t xml:space="preserve">FORECASTED </w:t>
      </w:r>
      <w:r w:rsidRPr="001B5760">
        <w:t>luxury goods demand growth by nationality and area</w:t>
      </w:r>
      <w:r w:rsidR="0036329E" w:rsidRPr="001B5760">
        <w:rPr>
          <w:lang w:eastAsia="zh-CN"/>
        </w:rPr>
        <w:t xml:space="preserve"> IN 2015</w:t>
      </w:r>
    </w:p>
    <w:p w14:paraId="4DB3CD8C" w14:textId="77777777" w:rsidR="00A556EC" w:rsidRPr="001B5760" w:rsidRDefault="00A556EC" w:rsidP="00356EF7">
      <w:pPr>
        <w:pStyle w:val="ExhibitText"/>
        <w:rPr>
          <w:lang w:eastAsia="zh-CN"/>
        </w:rPr>
      </w:pPr>
    </w:p>
    <w:p w14:paraId="2AF3E71A" w14:textId="77777777" w:rsidR="008C19C0" w:rsidRDefault="007373F0" w:rsidP="008C19C0">
      <w:pPr>
        <w:spacing w:after="200" w:line="276" w:lineRule="auto"/>
        <w:jc w:val="center"/>
        <w:rPr>
          <w:rFonts w:ascii="Arial" w:hAnsi="Arial" w:cs="Arial"/>
          <w:b/>
          <w:caps/>
        </w:rPr>
      </w:pPr>
      <w:r w:rsidRPr="001B5760">
        <w:rPr>
          <w:noProof/>
          <w:lang w:eastAsia="en-GB"/>
        </w:rPr>
        <w:drawing>
          <wp:inline distT="0" distB="0" distL="0" distR="0" wp14:anchorId="13B412CD" wp14:editId="7E420D8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D7C95E" w14:textId="77777777" w:rsidR="00A556EC" w:rsidRPr="001B5760" w:rsidRDefault="00A556EC" w:rsidP="00356EF7">
      <w:pPr>
        <w:pStyle w:val="ExhibitText"/>
      </w:pPr>
    </w:p>
    <w:p w14:paraId="69F5A4E3" w14:textId="67051C7D" w:rsidR="007373F0" w:rsidRDefault="003E7AD0" w:rsidP="00FE3CB0">
      <w:pPr>
        <w:pStyle w:val="Footnote"/>
      </w:pPr>
      <w:r w:rsidRPr="001B5760">
        <w:t xml:space="preserve">Source: </w:t>
      </w:r>
      <w:r w:rsidR="00245B1B" w:rsidRPr="00745966">
        <w:t>“</w:t>
      </w:r>
      <w:r w:rsidR="00245B1B">
        <w:t xml:space="preserve">Global </w:t>
      </w:r>
      <w:r w:rsidR="00245B1B" w:rsidRPr="00745966">
        <w:t xml:space="preserve">Luxury Market </w:t>
      </w:r>
      <w:proofErr w:type="gramStart"/>
      <w:r w:rsidR="00245B1B">
        <w:t>Worth</w:t>
      </w:r>
      <w:proofErr w:type="gramEnd"/>
      <w:r w:rsidR="00245B1B">
        <w:t xml:space="preserve"> 224 Billion, Top 20 Brands</w:t>
      </w:r>
      <w:r w:rsidR="00245B1B" w:rsidRPr="00745966">
        <w:t xml:space="preserve">,” </w:t>
      </w:r>
      <w:r w:rsidR="00245B1B">
        <w:t xml:space="preserve">Consultancy.uk, October 22, 2015, accessed January 26, 2017, </w:t>
      </w:r>
      <w:r w:rsidR="00245B1B" w:rsidRPr="00745966">
        <w:t>www.consultancy.uk/news/2803/global-luxury-market-worth-224-billion-top-20-brands</w:t>
      </w:r>
      <w:r w:rsidR="00245B1B">
        <w:t>.</w:t>
      </w:r>
    </w:p>
    <w:p w14:paraId="0FC38D82" w14:textId="77777777" w:rsidR="00FE3CB0" w:rsidRDefault="00FE3CB0" w:rsidP="00356EF7">
      <w:pPr>
        <w:pStyle w:val="ExhibitText"/>
        <w:rPr>
          <w:sz w:val="17"/>
          <w:szCs w:val="17"/>
        </w:rPr>
      </w:pPr>
      <w:r>
        <w:br w:type="page"/>
      </w:r>
    </w:p>
    <w:p w14:paraId="5C185D10" w14:textId="77777777" w:rsidR="00DF1F7C" w:rsidRDefault="00FE3CB0" w:rsidP="00357C54">
      <w:pPr>
        <w:pStyle w:val="Casehead1"/>
        <w:outlineLvl w:val="0"/>
      </w:pPr>
      <w:r>
        <w:lastRenderedPageBreak/>
        <w:t>E</w:t>
      </w:r>
      <w:r w:rsidR="00DF1F7C" w:rsidRPr="001B5760">
        <w:t>ndnotes</w:t>
      </w:r>
    </w:p>
    <w:sectPr w:rsidR="00DF1F7C"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F2974" w14:textId="77777777" w:rsidR="001F24C4" w:rsidRDefault="001F24C4" w:rsidP="00D75295">
      <w:r>
        <w:separator/>
      </w:r>
    </w:p>
  </w:endnote>
  <w:endnote w:type="continuationSeparator" w:id="0">
    <w:p w14:paraId="66621B36" w14:textId="77777777" w:rsidR="001F24C4" w:rsidRDefault="001F24C4" w:rsidP="00D75295">
      <w:r>
        <w:continuationSeparator/>
      </w:r>
    </w:p>
  </w:endnote>
  <w:endnote w:id="1">
    <w:p w14:paraId="5D52432C" w14:textId="3F9DAF81" w:rsidR="001F24C4" w:rsidRPr="00B8303D" w:rsidRDefault="001F24C4" w:rsidP="00356EF7">
      <w:pPr>
        <w:pStyle w:val="Footnote"/>
        <w:rPr>
          <w:lang w:eastAsia="zh-CN"/>
        </w:rPr>
      </w:pPr>
      <w:r w:rsidRPr="00B8303D">
        <w:rPr>
          <w:rStyle w:val="EndnoteReference"/>
        </w:rPr>
        <w:endnoteRef/>
      </w:r>
      <w:r w:rsidRPr="00B8303D">
        <w:t xml:space="preserve"> </w:t>
      </w:r>
      <w:r w:rsidRPr="001C3C22">
        <w:t>This case has been written on the basis of published sources only. Consequently, the interpretation and persp</w:t>
      </w:r>
      <w:r w:rsidRPr="0065214A">
        <w:t>ectives presented in this case are not necessarily those of Yves Saint Laurent</w:t>
      </w:r>
      <w:r w:rsidR="009549B9">
        <w:t xml:space="preserve">, the </w:t>
      </w:r>
      <w:proofErr w:type="spellStart"/>
      <w:r w:rsidR="009549B9">
        <w:t>Kering</w:t>
      </w:r>
      <w:proofErr w:type="spellEnd"/>
      <w:r w:rsidR="009549B9">
        <w:t xml:space="preserve"> Group,</w:t>
      </w:r>
      <w:r w:rsidRPr="0065214A">
        <w:t xml:space="preserve"> or any of </w:t>
      </w:r>
      <w:r w:rsidR="009549B9">
        <w:rPr>
          <w:lang w:eastAsia="zh-CN"/>
        </w:rPr>
        <w:t>their</w:t>
      </w:r>
      <w:r w:rsidRPr="0065214A">
        <w:t xml:space="preserve"> employees.</w:t>
      </w:r>
    </w:p>
  </w:endnote>
  <w:endnote w:id="2">
    <w:p w14:paraId="0D849ABF" w14:textId="45931251" w:rsidR="001F24C4" w:rsidRPr="00AA1F9E" w:rsidRDefault="001F24C4" w:rsidP="00CE39D1">
      <w:pPr>
        <w:pStyle w:val="Footnote"/>
      </w:pPr>
      <w:r>
        <w:rPr>
          <w:rStyle w:val="EndnoteReference"/>
        </w:rPr>
        <w:endnoteRef/>
      </w:r>
      <w:r>
        <w:t xml:space="preserve"> </w:t>
      </w:r>
      <w:r w:rsidRPr="00AA1F9E">
        <w:t xml:space="preserve">Elizabeth Paton, </w:t>
      </w:r>
      <w:r w:rsidR="009549B9">
        <w:t>“</w:t>
      </w:r>
      <w:proofErr w:type="spellStart"/>
      <w:r w:rsidRPr="00AA1F9E">
        <w:t>Hedi</w:t>
      </w:r>
      <w:proofErr w:type="spellEnd"/>
      <w:r w:rsidRPr="00AA1F9E">
        <w:t xml:space="preserve"> </w:t>
      </w:r>
      <w:proofErr w:type="spellStart"/>
      <w:r w:rsidRPr="00AA1F9E">
        <w:t>Slimane</w:t>
      </w:r>
      <w:proofErr w:type="spellEnd"/>
      <w:r w:rsidRPr="00AA1F9E">
        <w:t xml:space="preserve"> Has Left Saint Laurent, </w:t>
      </w:r>
      <w:proofErr w:type="spellStart"/>
      <w:r w:rsidRPr="00AA1F9E">
        <w:t>Kering</w:t>
      </w:r>
      <w:proofErr w:type="spellEnd"/>
      <w:r w:rsidRPr="00AA1F9E">
        <w:t xml:space="preserve"> Confirms,</w:t>
      </w:r>
      <w:r w:rsidR="009549B9">
        <w:t>”</w:t>
      </w:r>
      <w:r w:rsidRPr="00AA1F9E">
        <w:t xml:space="preserve"> </w:t>
      </w:r>
      <w:r w:rsidRPr="00791B46">
        <w:rPr>
          <w:i/>
        </w:rPr>
        <w:t>New York Times</w:t>
      </w:r>
      <w:r w:rsidRPr="00AA1F9E">
        <w:t>, April 1, 2016,</w:t>
      </w:r>
      <w:r>
        <w:t xml:space="preserve"> accessed June 10, 2016, </w:t>
      </w:r>
      <w:r w:rsidRPr="00AA1F9E">
        <w:t>www.nytimes.com/2016/04/02/fashion/fashion-saint-laurent-hedi-slimane.html</w:t>
      </w:r>
      <w:r>
        <w:t>.</w:t>
      </w:r>
    </w:p>
  </w:endnote>
  <w:endnote w:id="3">
    <w:p w14:paraId="333149CF" w14:textId="207851B8" w:rsidR="001F24C4" w:rsidRDefault="001F24C4" w:rsidP="00CE39D1">
      <w:pPr>
        <w:pStyle w:val="Footnote"/>
      </w:pPr>
      <w:r>
        <w:rPr>
          <w:rStyle w:val="EndnoteReference"/>
        </w:rPr>
        <w:endnoteRef/>
      </w:r>
      <w:r>
        <w:t xml:space="preserve"> </w:t>
      </w:r>
      <w:r w:rsidRPr="00B54DFE">
        <w:t>Vanessa</w:t>
      </w:r>
      <w:r>
        <w:t xml:space="preserve"> </w:t>
      </w:r>
      <w:r w:rsidRPr="00B54DFE">
        <w:t xml:space="preserve">Friedman, </w:t>
      </w:r>
      <w:r w:rsidR="009549B9">
        <w:t>“</w:t>
      </w:r>
      <w:r w:rsidRPr="00B54DFE">
        <w:t xml:space="preserve">Anthony </w:t>
      </w:r>
      <w:proofErr w:type="spellStart"/>
      <w:r w:rsidRPr="00B54DFE">
        <w:t>Vaccarello</w:t>
      </w:r>
      <w:proofErr w:type="spellEnd"/>
      <w:r w:rsidRPr="00B54DFE">
        <w:t xml:space="preserve"> Succeeds </w:t>
      </w:r>
      <w:proofErr w:type="spellStart"/>
      <w:r w:rsidRPr="00B54DFE">
        <w:t>Hedi</w:t>
      </w:r>
      <w:proofErr w:type="spellEnd"/>
      <w:r w:rsidRPr="00B54DFE">
        <w:t xml:space="preserve"> </w:t>
      </w:r>
      <w:proofErr w:type="spellStart"/>
      <w:r w:rsidRPr="00B54DFE">
        <w:t>Slimane</w:t>
      </w:r>
      <w:proofErr w:type="spellEnd"/>
      <w:r w:rsidRPr="00B54DFE">
        <w:t xml:space="preserve"> at Yves Saint Laurent</w:t>
      </w:r>
      <w:r>
        <w:t>,</w:t>
      </w:r>
      <w:r w:rsidR="009549B9">
        <w:t>”</w:t>
      </w:r>
      <w:r w:rsidRPr="00B54DFE">
        <w:t xml:space="preserve"> </w:t>
      </w:r>
      <w:r w:rsidRPr="00D06F58">
        <w:rPr>
          <w:i/>
        </w:rPr>
        <w:t>New York Times</w:t>
      </w:r>
      <w:r>
        <w:t>, April 6, 2016,</w:t>
      </w:r>
      <w:r w:rsidRPr="00B54DFE">
        <w:t xml:space="preserve"> </w:t>
      </w:r>
      <w:r>
        <w:t xml:space="preserve">accessed January 28, 2017, </w:t>
      </w:r>
      <w:r w:rsidRPr="00B54DFE">
        <w:t>www.nytimes.com/2016/04/05/fashion/anthony-vaccarel</w:t>
      </w:r>
      <w:r>
        <w:t>lo-yves-saint-laurent.html</w:t>
      </w:r>
      <w:r w:rsidRPr="00B54DFE">
        <w:t>.</w:t>
      </w:r>
    </w:p>
  </w:endnote>
  <w:endnote w:id="4">
    <w:p w14:paraId="04E95B6D" w14:textId="39B39C71" w:rsidR="001F24C4" w:rsidRDefault="001F24C4" w:rsidP="00CE39D1">
      <w:pPr>
        <w:pStyle w:val="Footnote"/>
      </w:pPr>
      <w:r>
        <w:rPr>
          <w:rStyle w:val="EndnoteReference"/>
        </w:rPr>
        <w:endnoteRef/>
      </w:r>
      <w:r>
        <w:t xml:space="preserve"> </w:t>
      </w:r>
      <w:r w:rsidRPr="005F5E3F">
        <w:t>Mark</w:t>
      </w:r>
      <w:r>
        <w:t xml:space="preserve"> </w:t>
      </w:r>
      <w:r w:rsidRPr="005F5E3F">
        <w:t xml:space="preserve">Holgate, </w:t>
      </w:r>
      <w:r w:rsidR="009549B9">
        <w:t>“</w:t>
      </w:r>
      <w:r>
        <w:t>‘</w:t>
      </w:r>
      <w:r w:rsidRPr="005F5E3F">
        <w:t>My Idea of YSL Lies in the Attitude</w:t>
      </w:r>
      <w:r>
        <w:t>’</w:t>
      </w:r>
      <w:r w:rsidRPr="005F5E3F">
        <w:t xml:space="preserve">—Anthony </w:t>
      </w:r>
      <w:proofErr w:type="spellStart"/>
      <w:r w:rsidRPr="005F5E3F">
        <w:t>Vaccarello</w:t>
      </w:r>
      <w:proofErr w:type="spellEnd"/>
      <w:r w:rsidRPr="005F5E3F">
        <w:t xml:space="preserve"> Talks Saint Lauren</w:t>
      </w:r>
      <w:r>
        <w:t>t,</w:t>
      </w:r>
      <w:r w:rsidR="009549B9">
        <w:t>”</w:t>
      </w:r>
      <w:r>
        <w:t xml:space="preserve"> </w:t>
      </w:r>
      <w:r w:rsidRPr="00D06F58">
        <w:rPr>
          <w:i/>
        </w:rPr>
        <w:t>Vogue</w:t>
      </w:r>
      <w:r>
        <w:t>, September 27, 2016,</w:t>
      </w:r>
      <w:r w:rsidRPr="005F5E3F">
        <w:t xml:space="preserve"> </w:t>
      </w:r>
      <w:r>
        <w:t xml:space="preserve">accessed January 25, 2017, </w:t>
      </w:r>
      <w:r w:rsidRPr="005F5E3F">
        <w:t>www.vogue.com/13483734/yves-saint-lauren</w:t>
      </w:r>
      <w:r>
        <w:t>t-anthony-vaccarello-interview</w:t>
      </w:r>
      <w:r w:rsidRPr="005F5E3F">
        <w:t>.</w:t>
      </w:r>
    </w:p>
  </w:endnote>
  <w:endnote w:id="5">
    <w:p w14:paraId="0765142E" w14:textId="04B097E9" w:rsidR="001F24C4" w:rsidRDefault="001F24C4" w:rsidP="00CE39D1">
      <w:pPr>
        <w:pStyle w:val="Footnote"/>
      </w:pPr>
      <w:r>
        <w:rPr>
          <w:rStyle w:val="EndnoteReference"/>
        </w:rPr>
        <w:endnoteRef/>
      </w:r>
      <w:r>
        <w:t xml:space="preserve"> € = EUR = European euro; all currency amounts are in € unless otherwise specified; €1 = </w:t>
      </w:r>
      <w:r w:rsidRPr="00C40E17">
        <w:t xml:space="preserve">£1.372 </w:t>
      </w:r>
      <w:r>
        <w:t xml:space="preserve">on October 22, 2015; </w:t>
      </w:r>
      <w:r w:rsidR="009549B9">
        <w:t>“</w:t>
      </w:r>
      <w:r>
        <w:t xml:space="preserve">Global </w:t>
      </w:r>
      <w:r w:rsidRPr="00745966">
        <w:t xml:space="preserve">Luxury Market </w:t>
      </w:r>
      <w:proofErr w:type="gramStart"/>
      <w:r>
        <w:t>Worth</w:t>
      </w:r>
      <w:proofErr w:type="gramEnd"/>
      <w:r>
        <w:t xml:space="preserve"> 224 Billion, Top 20 Brands</w:t>
      </w:r>
      <w:r w:rsidRPr="00745966">
        <w:t>,</w:t>
      </w:r>
      <w:r w:rsidR="009549B9">
        <w:t>”</w:t>
      </w:r>
      <w:r w:rsidRPr="00745966">
        <w:t xml:space="preserve"> </w:t>
      </w:r>
      <w:r>
        <w:t xml:space="preserve">Consultancy.uk, October 22, 2015, accessed January 26, 2017, </w:t>
      </w:r>
      <w:r w:rsidRPr="00745966">
        <w:t>www.consultancy.uk/news/2803/global-luxury-market-worth-224-billion-top-20-brands</w:t>
      </w:r>
      <w:r>
        <w:t>.</w:t>
      </w:r>
    </w:p>
  </w:endnote>
  <w:endnote w:id="6">
    <w:p w14:paraId="43F6D590" w14:textId="5E1EF5A5" w:rsidR="001F24C4" w:rsidRPr="00AA1F9E" w:rsidRDefault="001F24C4" w:rsidP="00A75CE1">
      <w:pPr>
        <w:pStyle w:val="Footnote"/>
      </w:pPr>
      <w:r w:rsidRPr="00AA1F9E">
        <w:rPr>
          <w:rStyle w:val="EndnoteReference"/>
          <w:sz w:val="16"/>
          <w:szCs w:val="16"/>
        </w:rPr>
        <w:endnoteRef/>
      </w:r>
      <w:r w:rsidRPr="00AA1F9E">
        <w:t xml:space="preserve"> Oran was </w:t>
      </w:r>
      <w:r>
        <w:t>a part of French Algeria during 1830 and 1962. After the independence, it became an Algerian city.</w:t>
      </w:r>
      <w:r w:rsidRPr="008C68B0">
        <w:t xml:space="preserve"> </w:t>
      </w:r>
      <w:r w:rsidR="009549B9">
        <w:t>“</w:t>
      </w:r>
      <w:r>
        <w:t>French Algeria—</w:t>
      </w:r>
      <w:r w:rsidRPr="004A5A88">
        <w:t>1830-1962</w:t>
      </w:r>
      <w:r>
        <w:t>,</w:t>
      </w:r>
      <w:r w:rsidR="009549B9">
        <w:t>”</w:t>
      </w:r>
      <w:r>
        <w:t xml:space="preserve"> GlobalSecurity.org, accessed June 3, 2017, </w:t>
      </w:r>
      <w:r w:rsidRPr="00B8303D">
        <w:t>www.globalsecurity.org/military/world/algeria/history-french.htm</w:t>
      </w:r>
      <w:r>
        <w:t xml:space="preserve">. </w:t>
      </w:r>
    </w:p>
  </w:endnote>
  <w:endnote w:id="7">
    <w:p w14:paraId="35D9F87A" w14:textId="081D2D56" w:rsidR="001F24C4" w:rsidRDefault="001F24C4" w:rsidP="00CE39D1">
      <w:pPr>
        <w:pStyle w:val="Footnote"/>
      </w:pPr>
      <w:r w:rsidRPr="00AA1F9E">
        <w:rPr>
          <w:rStyle w:val="EndnoteReference"/>
          <w:sz w:val="16"/>
          <w:szCs w:val="16"/>
        </w:rPr>
        <w:endnoteRef/>
      </w:r>
      <w:r>
        <w:t xml:space="preserve"> </w:t>
      </w:r>
      <w:r w:rsidRPr="00AA1F9E">
        <w:t>Lucy</w:t>
      </w:r>
      <w:r>
        <w:t xml:space="preserve"> Li, </w:t>
      </w:r>
      <w:r w:rsidR="009549B9">
        <w:t>“</w:t>
      </w:r>
      <w:r w:rsidRPr="00AA1F9E">
        <w:t xml:space="preserve">Tracing </w:t>
      </w:r>
      <w:r>
        <w:t>t</w:t>
      </w:r>
      <w:r w:rsidRPr="00AA1F9E">
        <w:t>he Tumultuou</w:t>
      </w:r>
      <w:r>
        <w:t>s History of Yves Saint Laurent,</w:t>
      </w:r>
      <w:r w:rsidR="009549B9">
        <w:t>”</w:t>
      </w:r>
      <w:r w:rsidRPr="00AA1F9E">
        <w:t xml:space="preserve"> FIB: Fashion Industry Broadcast</w:t>
      </w:r>
      <w:r>
        <w:t>,</w:t>
      </w:r>
      <w:r w:rsidRPr="00AA1F9E">
        <w:t xml:space="preserve"> </w:t>
      </w:r>
      <w:r>
        <w:t xml:space="preserve">January 17, 2017, accessed January 25, </w:t>
      </w:r>
      <w:r w:rsidRPr="00AA1F9E">
        <w:t>2017</w:t>
      </w:r>
      <w:r>
        <w:t xml:space="preserve">, </w:t>
      </w:r>
      <w:r w:rsidRPr="002F6DCA">
        <w:t>https://fashionindustrybroadcast.com/2017/01/17/tracing-tumultuous-history-yves-saint-laurent</w:t>
      </w:r>
      <w:r>
        <w:t>.</w:t>
      </w:r>
    </w:p>
  </w:endnote>
  <w:endnote w:id="8">
    <w:p w14:paraId="061E416E" w14:textId="79F056BE" w:rsidR="001F24C4" w:rsidRPr="00AA1F9E" w:rsidRDefault="001F24C4" w:rsidP="00CE39D1">
      <w:pPr>
        <w:pStyle w:val="Footnote"/>
      </w:pPr>
      <w:r w:rsidRPr="00AA1F9E">
        <w:rPr>
          <w:rStyle w:val="EndnoteReference"/>
          <w:sz w:val="16"/>
          <w:szCs w:val="16"/>
        </w:rPr>
        <w:endnoteRef/>
      </w:r>
      <w:r>
        <w:t xml:space="preserve"> Mary </w:t>
      </w:r>
      <w:r w:rsidRPr="00AA1F9E">
        <w:t>Rourke</w:t>
      </w:r>
      <w:r>
        <w:t>,</w:t>
      </w:r>
      <w:r w:rsidRPr="00AA1F9E">
        <w:t xml:space="preserve"> </w:t>
      </w:r>
      <w:r w:rsidR="009549B9">
        <w:t>“</w:t>
      </w:r>
      <w:r w:rsidRPr="00AA1F9E">
        <w:t>Yves Saint Laurent, 71; Icon of French Fashion Desig</w:t>
      </w:r>
      <w:r>
        <w:t>n,</w:t>
      </w:r>
      <w:r w:rsidR="009549B9">
        <w:t>”</w:t>
      </w:r>
      <w:r w:rsidRPr="00AA1F9E">
        <w:t xml:space="preserve"> </w:t>
      </w:r>
      <w:r w:rsidRPr="0078372B">
        <w:rPr>
          <w:i/>
        </w:rPr>
        <w:t>Los Angeles Times</w:t>
      </w:r>
      <w:r w:rsidRPr="00AA1F9E">
        <w:t>, June</w:t>
      </w:r>
      <w:r>
        <w:t xml:space="preserve"> 2,</w:t>
      </w:r>
      <w:r w:rsidRPr="00AA1F9E">
        <w:t xml:space="preserve"> 2008</w:t>
      </w:r>
      <w:r>
        <w:t>, accessed November 12,</w:t>
      </w:r>
      <w:r w:rsidRPr="00AA1F9E">
        <w:t xml:space="preserve"> 2016</w:t>
      </w:r>
      <w:r>
        <w:t>, www</w:t>
      </w:r>
      <w:r w:rsidRPr="00AA1F9E">
        <w:t>.latimes.com/local/obituaries/la-me-ysl2-2008jun02-story.html</w:t>
      </w:r>
      <w:r>
        <w:t>.</w:t>
      </w:r>
    </w:p>
  </w:endnote>
  <w:endnote w:id="9">
    <w:p w14:paraId="51C0DC05" w14:textId="7745C068" w:rsidR="001F24C4" w:rsidRPr="00AA1F9E" w:rsidRDefault="001F24C4" w:rsidP="00CE39D1">
      <w:pPr>
        <w:pStyle w:val="Footnote"/>
      </w:pPr>
      <w:r w:rsidRPr="00AA1F9E">
        <w:rPr>
          <w:rStyle w:val="EndnoteReference"/>
          <w:sz w:val="16"/>
          <w:szCs w:val="16"/>
        </w:rPr>
        <w:endnoteRef/>
      </w:r>
      <w:r w:rsidRPr="00AA1F9E">
        <w:t xml:space="preserve"> </w:t>
      </w:r>
      <w:r>
        <w:t>Ibid.</w:t>
      </w:r>
    </w:p>
  </w:endnote>
  <w:endnote w:id="10">
    <w:p w14:paraId="6EC59B75" w14:textId="0A5FF7BE" w:rsidR="001F24C4" w:rsidRPr="00F773EB" w:rsidRDefault="001F24C4" w:rsidP="00CE39D1">
      <w:pPr>
        <w:pStyle w:val="Footnote"/>
      </w:pPr>
      <w:r w:rsidRPr="00F773EB">
        <w:rPr>
          <w:rStyle w:val="EndnoteReference"/>
          <w:sz w:val="16"/>
          <w:szCs w:val="16"/>
        </w:rPr>
        <w:endnoteRef/>
      </w:r>
      <w:r w:rsidRPr="00F773EB">
        <w:t xml:space="preserve"> </w:t>
      </w:r>
      <w:r w:rsidR="009549B9">
        <w:t>“</w:t>
      </w:r>
      <w:r>
        <w:t>The History of Haute Couture,</w:t>
      </w:r>
      <w:r w:rsidR="009549B9">
        <w:t>”</w:t>
      </w:r>
      <w:r>
        <w:t xml:space="preserve"> Harper’s BAZAAR,</w:t>
      </w:r>
      <w:r w:rsidRPr="00F773EB">
        <w:t xml:space="preserve"> </w:t>
      </w:r>
      <w:r>
        <w:t xml:space="preserve">January 19, 2017, accessed </w:t>
      </w:r>
      <w:r w:rsidRPr="00B8303D">
        <w:t>June 24, 2017,</w:t>
      </w:r>
      <w:r w:rsidRPr="00F773EB">
        <w:t xml:space="preserve"> www.harpersbazaar.co.uk/fashion/fashion-news/news/a3112</w:t>
      </w:r>
      <w:r>
        <w:t>3/the-history-of-haute-couture/</w:t>
      </w:r>
      <w:r w:rsidRPr="00F773EB">
        <w:t>.</w:t>
      </w:r>
    </w:p>
  </w:endnote>
  <w:endnote w:id="11">
    <w:p w14:paraId="2DE9CA12" w14:textId="30F12999" w:rsidR="001F24C4" w:rsidRPr="00F773EB" w:rsidRDefault="001F24C4" w:rsidP="00CE39D1">
      <w:pPr>
        <w:pStyle w:val="Footnote"/>
        <w:rPr>
          <w:kern w:val="0"/>
        </w:rPr>
      </w:pPr>
      <w:r w:rsidRPr="00F773EB">
        <w:rPr>
          <w:rStyle w:val="EndnoteReference"/>
          <w:sz w:val="16"/>
          <w:szCs w:val="16"/>
        </w:rPr>
        <w:endnoteRef/>
      </w:r>
      <w:r>
        <w:t xml:space="preserve"> </w:t>
      </w:r>
      <w:r w:rsidRPr="00BD397F">
        <w:t>Alexander</w:t>
      </w:r>
      <w:r>
        <w:t xml:space="preserve"> Fury,</w:t>
      </w:r>
      <w:r w:rsidR="009549B9">
        <w:t xml:space="preserve"> “</w:t>
      </w:r>
      <w:r w:rsidRPr="00BD397F">
        <w:t>What Does 'Couture' Actually Mean</w:t>
      </w:r>
      <w:proofErr w:type="gramStart"/>
      <w:r w:rsidRPr="00BD397F">
        <w:t>?</w:t>
      </w:r>
      <w:r>
        <w:t>,</w:t>
      </w:r>
      <w:proofErr w:type="gramEnd"/>
      <w:r w:rsidR="009549B9">
        <w:t>”</w:t>
      </w:r>
      <w:r w:rsidRPr="00BD397F">
        <w:t xml:space="preserve"> </w:t>
      </w:r>
      <w:r w:rsidRPr="00B8303D">
        <w:rPr>
          <w:i/>
        </w:rPr>
        <w:t>New York Times</w:t>
      </w:r>
      <w:r w:rsidRPr="00BD397F">
        <w:t xml:space="preserve">, </w:t>
      </w:r>
      <w:r>
        <w:t>January 27,</w:t>
      </w:r>
      <w:r w:rsidRPr="00BD397F">
        <w:t xml:space="preserve"> 2017</w:t>
      </w:r>
      <w:r>
        <w:t xml:space="preserve">, accessed </w:t>
      </w:r>
      <w:r w:rsidRPr="00BD397F">
        <w:t>July</w:t>
      </w:r>
      <w:r>
        <w:t xml:space="preserve"> 27, 2017, </w:t>
      </w:r>
      <w:r w:rsidRPr="00BD397F">
        <w:t>https://www.nytimes.com/2017/01/27/t-magazine/fashion/what-does-couture-</w:t>
      </w:r>
      <w:r>
        <w:t>actually-mean-fashion-week.html.</w:t>
      </w:r>
    </w:p>
  </w:endnote>
  <w:endnote w:id="12">
    <w:p w14:paraId="7CF9E409" w14:textId="52293662" w:rsidR="001F24C4" w:rsidRPr="0094058A" w:rsidRDefault="001F24C4" w:rsidP="0094058A">
      <w:pPr>
        <w:pStyle w:val="Footnote"/>
      </w:pPr>
      <w:r w:rsidRPr="0094058A">
        <w:rPr>
          <w:rStyle w:val="EndnoteReference"/>
        </w:rPr>
        <w:endnoteRef/>
      </w:r>
      <w:r w:rsidRPr="0094058A">
        <w:t xml:space="preserve"> Geoffrey Jones and </w:t>
      </w:r>
      <w:proofErr w:type="spellStart"/>
      <w:r w:rsidRPr="0094058A">
        <w:t>Véronique</w:t>
      </w:r>
      <w:proofErr w:type="spellEnd"/>
      <w:r w:rsidRPr="0094058A">
        <w:t xml:space="preserve"> </w:t>
      </w:r>
      <w:proofErr w:type="spellStart"/>
      <w:r w:rsidRPr="0094058A">
        <w:t>Pouillard</w:t>
      </w:r>
      <w:proofErr w:type="spellEnd"/>
      <w:r w:rsidRPr="0094058A">
        <w:t xml:space="preserve">, </w:t>
      </w:r>
      <w:r w:rsidRPr="0094058A">
        <w:rPr>
          <w:i/>
        </w:rPr>
        <w:t>Christian Dior: A New Look for Haute Couture</w:t>
      </w:r>
      <w:r>
        <w:t xml:space="preserve"> (Boston, MA: Harvard Business Publishing, 2013). Available from Ivey Publishing, product no. 809159.</w:t>
      </w:r>
    </w:p>
  </w:endnote>
  <w:endnote w:id="13">
    <w:p w14:paraId="19AE22C2" w14:textId="0D8AACC1" w:rsidR="001F24C4" w:rsidRPr="00AA1F9E" w:rsidRDefault="001F24C4" w:rsidP="00CE39D1">
      <w:pPr>
        <w:pStyle w:val="Footnote"/>
      </w:pPr>
      <w:r w:rsidRPr="00AA1F9E">
        <w:rPr>
          <w:rStyle w:val="EndnoteReference"/>
          <w:sz w:val="16"/>
          <w:szCs w:val="16"/>
        </w:rPr>
        <w:endnoteRef/>
      </w:r>
      <w:r w:rsidRPr="00AA1F9E">
        <w:t xml:space="preserve"> </w:t>
      </w:r>
      <w:r w:rsidRPr="008343EA">
        <w:t xml:space="preserve">Linda Watson, </w:t>
      </w:r>
      <w:r w:rsidR="009549B9">
        <w:t>“</w:t>
      </w:r>
      <w:r w:rsidRPr="008343EA">
        <w:t>Yves Saint Laurent: Paris Couturier Who Was Revered as a Genius but Considered Himself a 'Crazy Mixed-up Man,’</w:t>
      </w:r>
      <w:r w:rsidR="009549B9">
        <w:t>”</w:t>
      </w:r>
      <w:r w:rsidRPr="008343EA">
        <w:t xml:space="preserve"> </w:t>
      </w:r>
      <w:r w:rsidRPr="00B8303D">
        <w:rPr>
          <w:i/>
        </w:rPr>
        <w:t>Independent</w:t>
      </w:r>
      <w:r w:rsidRPr="008343EA">
        <w:t>, June 2, 2008, accessed November 12, 2016, www.independent.co.uk/news/obituaries/yves-saint-laurent-paris-couturier-who-was-revered-as-a-genius-but-considered-himself-a-crazy-mixed-838903.html.</w:t>
      </w:r>
    </w:p>
  </w:endnote>
  <w:endnote w:id="14">
    <w:p w14:paraId="48783F1F" w14:textId="0997C81E" w:rsidR="001F24C4" w:rsidRDefault="001F24C4" w:rsidP="00CE39D1">
      <w:pPr>
        <w:pStyle w:val="Footnote"/>
      </w:pPr>
      <w:r w:rsidRPr="00AA1F9E">
        <w:rPr>
          <w:rStyle w:val="EndnoteReference"/>
          <w:sz w:val="16"/>
          <w:szCs w:val="16"/>
        </w:rPr>
        <w:endnoteRef/>
      </w:r>
      <w:r>
        <w:t xml:space="preserve"> </w:t>
      </w:r>
      <w:r w:rsidRPr="00AA1F9E">
        <w:t>Bibby</w:t>
      </w:r>
      <w:r w:rsidRPr="00A674D6">
        <w:t xml:space="preserve"> </w:t>
      </w:r>
      <w:proofErr w:type="spellStart"/>
      <w:r w:rsidRPr="00AA1F9E">
        <w:t>Sowray</w:t>
      </w:r>
      <w:proofErr w:type="spellEnd"/>
      <w:r w:rsidRPr="00AA1F9E">
        <w:t xml:space="preserve">, </w:t>
      </w:r>
      <w:r w:rsidR="009549B9">
        <w:t>“</w:t>
      </w:r>
      <w:r w:rsidRPr="00AA1F9E">
        <w:t>Christian Dior</w:t>
      </w:r>
      <w:r>
        <w:t>,</w:t>
      </w:r>
      <w:r w:rsidR="009549B9">
        <w:t>”</w:t>
      </w:r>
      <w:r w:rsidRPr="00AA1F9E">
        <w:t xml:space="preserve"> </w:t>
      </w:r>
      <w:r w:rsidRPr="0078372B">
        <w:rPr>
          <w:i/>
        </w:rPr>
        <w:t>British Vogue</w:t>
      </w:r>
      <w:r>
        <w:t>,</w:t>
      </w:r>
      <w:r w:rsidRPr="00AA1F9E">
        <w:t xml:space="preserve"> Nov</w:t>
      </w:r>
      <w:r>
        <w:t>ember 21,</w:t>
      </w:r>
      <w:r w:rsidRPr="00AA1F9E">
        <w:t xml:space="preserve"> 2016</w:t>
      </w:r>
      <w:r>
        <w:t xml:space="preserve">, accessed January 25, </w:t>
      </w:r>
      <w:r w:rsidRPr="00AA1F9E">
        <w:t>2017</w:t>
      </w:r>
      <w:r>
        <w:t>,</w:t>
      </w:r>
      <w:r w:rsidRPr="00847532">
        <w:rPr>
          <w:kern w:val="0"/>
          <w:sz w:val="24"/>
          <w:szCs w:val="24"/>
          <w:lang w:eastAsia="ja-JP"/>
        </w:rPr>
        <w:t xml:space="preserve"> </w:t>
      </w:r>
      <w:r w:rsidRPr="00B01D06">
        <w:t>www.vogue.co.uk/article/christian-dior</w:t>
      </w:r>
      <w:r>
        <w:t>.</w:t>
      </w:r>
    </w:p>
  </w:endnote>
  <w:endnote w:id="15">
    <w:p w14:paraId="481A6F83" w14:textId="141D19FE" w:rsidR="001F24C4" w:rsidRPr="0078372B" w:rsidRDefault="001F24C4" w:rsidP="00A674D6">
      <w:pPr>
        <w:pStyle w:val="Footnote"/>
      </w:pPr>
      <w:r w:rsidRPr="0078372B">
        <w:rPr>
          <w:rStyle w:val="EndnoteReference"/>
        </w:rPr>
        <w:endnoteRef/>
      </w:r>
      <w:r w:rsidRPr="0078372B">
        <w:t xml:space="preserve"> </w:t>
      </w:r>
      <w:r>
        <w:t xml:space="preserve">Ibid. </w:t>
      </w:r>
    </w:p>
  </w:endnote>
  <w:endnote w:id="16">
    <w:p w14:paraId="3B9ACFB8" w14:textId="62A707BB" w:rsidR="001F24C4" w:rsidRPr="00AA1F9E" w:rsidRDefault="001F24C4" w:rsidP="00CE39D1">
      <w:pPr>
        <w:pStyle w:val="Footnote"/>
      </w:pPr>
      <w:r w:rsidRPr="009549B9">
        <w:rPr>
          <w:vertAlign w:val="superscript"/>
        </w:rPr>
        <w:endnoteRef/>
      </w:r>
      <w:r w:rsidRPr="00AA1F9E">
        <w:t xml:space="preserve"> </w:t>
      </w:r>
      <w:r>
        <w:t xml:space="preserve">Rourke, op. cit. </w:t>
      </w:r>
    </w:p>
  </w:endnote>
  <w:endnote w:id="17">
    <w:p w14:paraId="3D1F8A67" w14:textId="3D538E2C" w:rsidR="001F24C4" w:rsidRPr="0094058A" w:rsidRDefault="001F24C4" w:rsidP="0094058A">
      <w:pPr>
        <w:pStyle w:val="Footnote"/>
      </w:pPr>
      <w:r w:rsidRPr="009549B9">
        <w:rPr>
          <w:vertAlign w:val="superscript"/>
        </w:rPr>
        <w:endnoteRef/>
      </w:r>
      <w:r w:rsidRPr="00AA1F9E">
        <w:t xml:space="preserve"> </w:t>
      </w:r>
      <w:r w:rsidR="009549B9">
        <w:t>Ibid,</w:t>
      </w:r>
    </w:p>
  </w:endnote>
  <w:endnote w:id="18">
    <w:p w14:paraId="7E0D72F9" w14:textId="217586B9" w:rsidR="001F24C4" w:rsidRPr="0094058A" w:rsidRDefault="001F24C4" w:rsidP="0094058A">
      <w:pPr>
        <w:pStyle w:val="Footnote"/>
      </w:pPr>
      <w:r w:rsidRPr="002B184B">
        <w:rPr>
          <w:rStyle w:val="EndnoteReference"/>
        </w:rPr>
        <w:endnoteRef/>
      </w:r>
      <w:r w:rsidRPr="002B184B">
        <w:rPr>
          <w:vertAlign w:val="superscript"/>
        </w:rPr>
        <w:t xml:space="preserve"> </w:t>
      </w:r>
      <w:r w:rsidRPr="0094058A">
        <w:t>Elaine</w:t>
      </w:r>
      <w:r w:rsidRPr="0077031E">
        <w:t xml:space="preserve"> </w:t>
      </w:r>
      <w:proofErr w:type="spellStart"/>
      <w:r w:rsidRPr="0094058A">
        <w:t>Sciolino</w:t>
      </w:r>
      <w:proofErr w:type="spellEnd"/>
      <w:r w:rsidRPr="0094058A">
        <w:t xml:space="preserve">, </w:t>
      </w:r>
      <w:r w:rsidR="009549B9">
        <w:t>“</w:t>
      </w:r>
      <w:r w:rsidRPr="0094058A">
        <w:t>Saint Laurent’s Other Half</w:t>
      </w:r>
      <w:r>
        <w:t>,</w:t>
      </w:r>
      <w:r w:rsidR="009549B9">
        <w:t>”</w:t>
      </w:r>
      <w:r w:rsidRPr="0094058A">
        <w:t xml:space="preserve"> </w:t>
      </w:r>
      <w:r w:rsidRPr="0078372B">
        <w:rPr>
          <w:i/>
        </w:rPr>
        <w:t>New York Times</w:t>
      </w:r>
      <w:r>
        <w:t>,</w:t>
      </w:r>
      <w:r w:rsidRPr="0094058A">
        <w:t xml:space="preserve"> May </w:t>
      </w:r>
      <w:r>
        <w:t xml:space="preserve">11, </w:t>
      </w:r>
      <w:r w:rsidRPr="0094058A">
        <w:t>2011</w:t>
      </w:r>
      <w:r>
        <w:t xml:space="preserve">, accessed January 25, </w:t>
      </w:r>
      <w:r w:rsidRPr="0094058A">
        <w:t>2017</w:t>
      </w:r>
      <w:r>
        <w:t>, www</w:t>
      </w:r>
      <w:r w:rsidRPr="0094058A">
        <w:t>.nytimes.com/2011/05/12/fashion/pierre-berge-on-his-relationship-with-yves-saint-laurent.html</w:t>
      </w:r>
      <w:r>
        <w:t>.</w:t>
      </w:r>
    </w:p>
  </w:endnote>
  <w:endnote w:id="19">
    <w:p w14:paraId="6500A753" w14:textId="341B471E" w:rsidR="001F24C4" w:rsidRPr="0094058A" w:rsidRDefault="001F24C4" w:rsidP="0094058A">
      <w:pPr>
        <w:pStyle w:val="Footnote"/>
      </w:pPr>
      <w:r w:rsidRPr="002B184B">
        <w:rPr>
          <w:rStyle w:val="EndnoteReference"/>
        </w:rPr>
        <w:endnoteRef/>
      </w:r>
      <w:r w:rsidRPr="002B184B">
        <w:t xml:space="preserve"> </w:t>
      </w:r>
      <w:r w:rsidRPr="00831744">
        <w:t xml:space="preserve">Rourke, </w:t>
      </w:r>
      <w:r>
        <w:t>op. cit</w:t>
      </w:r>
      <w:r w:rsidRPr="00831744">
        <w:t>.</w:t>
      </w:r>
    </w:p>
  </w:endnote>
  <w:endnote w:id="20">
    <w:p w14:paraId="65201881" w14:textId="22CAF1BD" w:rsidR="001F24C4" w:rsidRPr="00AA1F9E" w:rsidRDefault="001F24C4" w:rsidP="00CE39D1">
      <w:pPr>
        <w:pStyle w:val="Footnote"/>
      </w:pPr>
      <w:r w:rsidRPr="00AA1F9E">
        <w:rPr>
          <w:rStyle w:val="EndnoteReference"/>
          <w:sz w:val="16"/>
          <w:szCs w:val="16"/>
        </w:rPr>
        <w:endnoteRef/>
      </w:r>
      <w:r w:rsidRPr="00AA1F9E">
        <w:t xml:space="preserve"> </w:t>
      </w:r>
      <w:r w:rsidRPr="00F773EB">
        <w:t>Anne-</w:t>
      </w:r>
      <w:r>
        <w:t>M</w:t>
      </w:r>
      <w:r w:rsidRPr="00F773EB">
        <w:t>arie</w:t>
      </w:r>
      <w:r w:rsidRPr="00A674D6">
        <w:t xml:space="preserve"> </w:t>
      </w:r>
      <w:proofErr w:type="spellStart"/>
      <w:r w:rsidRPr="00F773EB">
        <w:t>Schiro</w:t>
      </w:r>
      <w:proofErr w:type="spellEnd"/>
      <w:r w:rsidRPr="00F773EB">
        <w:t xml:space="preserve">, </w:t>
      </w:r>
      <w:r w:rsidR="009549B9">
        <w:t>“</w:t>
      </w:r>
      <w:r w:rsidRPr="00F773EB">
        <w:t>Yves Saint Laurent, Giant of Couture, Dies at 71</w:t>
      </w:r>
      <w:r>
        <w:t>,</w:t>
      </w:r>
      <w:r w:rsidR="009549B9">
        <w:t>”</w:t>
      </w:r>
      <w:r>
        <w:t xml:space="preserve"> </w:t>
      </w:r>
      <w:r w:rsidRPr="0078372B">
        <w:rPr>
          <w:i/>
        </w:rPr>
        <w:t>New York Times</w:t>
      </w:r>
      <w:r w:rsidRPr="00F773EB">
        <w:t xml:space="preserve">, June </w:t>
      </w:r>
      <w:r>
        <w:t xml:space="preserve">2, </w:t>
      </w:r>
      <w:r w:rsidRPr="00F773EB">
        <w:t>2008</w:t>
      </w:r>
      <w:r>
        <w:t>, accessed November 12,</w:t>
      </w:r>
      <w:r w:rsidRPr="00F773EB">
        <w:t xml:space="preserve"> 2016</w:t>
      </w:r>
      <w:r>
        <w:t>, www</w:t>
      </w:r>
      <w:r w:rsidRPr="00F773EB">
        <w:t>.nytimes.com/2008/06/02/fashion/02laurent.html</w:t>
      </w:r>
      <w:r>
        <w:t>.</w:t>
      </w:r>
    </w:p>
  </w:endnote>
  <w:endnote w:id="21">
    <w:p w14:paraId="1B5908A6" w14:textId="5532BAA8" w:rsidR="001F24C4" w:rsidRPr="00AA1F9E" w:rsidRDefault="001F24C4" w:rsidP="00CE39D1">
      <w:pPr>
        <w:pStyle w:val="Footnote"/>
      </w:pPr>
      <w:r w:rsidRPr="00AA1F9E">
        <w:rPr>
          <w:rStyle w:val="EndnoteReference"/>
          <w:sz w:val="16"/>
          <w:szCs w:val="16"/>
        </w:rPr>
        <w:endnoteRef/>
      </w:r>
      <w:r w:rsidRPr="00AA1F9E">
        <w:t xml:space="preserve"> </w:t>
      </w:r>
      <w:r>
        <w:t xml:space="preserve">A&amp;E </w:t>
      </w:r>
      <w:r w:rsidRPr="0094058A">
        <w:t>Television</w:t>
      </w:r>
      <w:r>
        <w:t xml:space="preserve"> Networks,</w:t>
      </w:r>
      <w:r w:rsidRPr="0094058A">
        <w:t xml:space="preserve"> </w:t>
      </w:r>
      <w:r w:rsidR="009549B9">
        <w:t>“</w:t>
      </w:r>
      <w:r w:rsidRPr="0094058A">
        <w:t>Yves Saint Laurent</w:t>
      </w:r>
      <w:r>
        <w:t>,</w:t>
      </w:r>
      <w:r w:rsidR="009549B9">
        <w:t>”</w:t>
      </w:r>
      <w:r w:rsidRPr="0094058A">
        <w:t xml:space="preserve"> Biography.com</w:t>
      </w:r>
      <w:r>
        <w:t>,</w:t>
      </w:r>
      <w:r w:rsidRPr="0094058A">
        <w:t xml:space="preserve"> Apr</w:t>
      </w:r>
      <w:r>
        <w:t>il 2,</w:t>
      </w:r>
      <w:r w:rsidRPr="0094058A">
        <w:t xml:space="preserve"> 2014</w:t>
      </w:r>
      <w:r>
        <w:t>,</w:t>
      </w:r>
      <w:r w:rsidRPr="0094058A">
        <w:t xml:space="preserve"> </w:t>
      </w:r>
      <w:r>
        <w:t xml:space="preserve">accessed January 25, </w:t>
      </w:r>
      <w:r w:rsidRPr="0094058A">
        <w:t>2017</w:t>
      </w:r>
      <w:r>
        <w:t>, www</w:t>
      </w:r>
      <w:r w:rsidRPr="0094058A">
        <w:t>.biography.com/people/yves-saint-laurent-9469669</w:t>
      </w:r>
      <w:r>
        <w:t>.</w:t>
      </w:r>
    </w:p>
  </w:endnote>
  <w:endnote w:id="22">
    <w:p w14:paraId="41AD7E7A" w14:textId="44C83A62" w:rsidR="001F24C4" w:rsidRPr="00AA1F9E" w:rsidRDefault="001F24C4" w:rsidP="00CE39D1">
      <w:pPr>
        <w:pStyle w:val="Footnote"/>
      </w:pPr>
      <w:r w:rsidRPr="00AA1F9E">
        <w:rPr>
          <w:rStyle w:val="EndnoteReference"/>
          <w:sz w:val="16"/>
          <w:szCs w:val="16"/>
        </w:rPr>
        <w:endnoteRef/>
      </w:r>
      <w:r w:rsidRPr="00AA1F9E">
        <w:t xml:space="preserve"> </w:t>
      </w:r>
      <w:r>
        <w:t>Ibid.</w:t>
      </w:r>
    </w:p>
  </w:endnote>
  <w:endnote w:id="23">
    <w:p w14:paraId="37D9F4AC" w14:textId="6A9D509A" w:rsidR="001F24C4" w:rsidRPr="00737102" w:rsidRDefault="001F24C4" w:rsidP="00CE39D1">
      <w:pPr>
        <w:pStyle w:val="Footnote"/>
      </w:pPr>
      <w:r w:rsidRPr="00737102">
        <w:rPr>
          <w:rStyle w:val="EndnoteReference"/>
          <w:sz w:val="16"/>
          <w:szCs w:val="16"/>
        </w:rPr>
        <w:endnoteRef/>
      </w:r>
      <w:r w:rsidRPr="00737102">
        <w:t xml:space="preserve"> </w:t>
      </w:r>
      <w:r>
        <w:t xml:space="preserve">Ibid. </w:t>
      </w:r>
    </w:p>
  </w:endnote>
  <w:endnote w:id="24">
    <w:p w14:paraId="3F8C48F8" w14:textId="22FA03CB" w:rsidR="001F24C4" w:rsidRPr="00AA1F9E" w:rsidRDefault="001F24C4" w:rsidP="00CE39D1">
      <w:pPr>
        <w:pStyle w:val="Footnote"/>
      </w:pPr>
      <w:r w:rsidRPr="00AA1F9E">
        <w:rPr>
          <w:rStyle w:val="EndnoteReference"/>
          <w:sz w:val="16"/>
          <w:szCs w:val="16"/>
        </w:rPr>
        <w:endnoteRef/>
      </w:r>
      <w:r w:rsidRPr="00AA1F9E">
        <w:t xml:space="preserve"> </w:t>
      </w:r>
      <w:r>
        <w:t>Ibid.</w:t>
      </w:r>
      <w:r w:rsidDel="00DB7361">
        <w:t xml:space="preserve"> </w:t>
      </w:r>
    </w:p>
  </w:endnote>
  <w:endnote w:id="25">
    <w:p w14:paraId="1FCC3C2B" w14:textId="5B45822C" w:rsidR="001F24C4" w:rsidRDefault="001F24C4" w:rsidP="00356EF7">
      <w:pPr>
        <w:pStyle w:val="Footnote"/>
      </w:pPr>
      <w:r>
        <w:rPr>
          <w:rStyle w:val="EndnoteReference"/>
        </w:rPr>
        <w:endnoteRef/>
      </w:r>
      <w:r>
        <w:t xml:space="preserve"> £ = GBP = British pounds.</w:t>
      </w:r>
    </w:p>
  </w:endnote>
  <w:endnote w:id="26">
    <w:p w14:paraId="03D82DCF" w14:textId="5F959C89" w:rsidR="001F24C4" w:rsidRPr="00AA1F9E" w:rsidRDefault="001F24C4" w:rsidP="00CE39D1">
      <w:pPr>
        <w:pStyle w:val="Footnote"/>
        <w:rPr>
          <w:kern w:val="0"/>
        </w:rPr>
      </w:pPr>
      <w:r w:rsidRPr="00AA1F9E">
        <w:rPr>
          <w:rStyle w:val="EndnoteReference"/>
          <w:sz w:val="16"/>
          <w:szCs w:val="16"/>
        </w:rPr>
        <w:endnoteRef/>
      </w:r>
      <w:r w:rsidRPr="00AA1F9E">
        <w:t xml:space="preserve"> Watson,</w:t>
      </w:r>
      <w:r>
        <w:t xml:space="preserve"> op. cit.</w:t>
      </w:r>
    </w:p>
  </w:endnote>
  <w:endnote w:id="27">
    <w:p w14:paraId="17621E44" w14:textId="0539D137" w:rsidR="001F24C4" w:rsidRPr="00AA1F9E" w:rsidRDefault="001F24C4" w:rsidP="00CE39D1">
      <w:pPr>
        <w:pStyle w:val="Footnote"/>
      </w:pPr>
      <w:r w:rsidRPr="00AA1F9E">
        <w:rPr>
          <w:rStyle w:val="EndnoteReference"/>
          <w:sz w:val="16"/>
          <w:szCs w:val="16"/>
        </w:rPr>
        <w:endnoteRef/>
      </w:r>
      <w:r w:rsidRPr="00AA1F9E">
        <w:t xml:space="preserve"> </w:t>
      </w:r>
      <w:r w:rsidR="009549B9">
        <w:t>“</w:t>
      </w:r>
      <w:r w:rsidRPr="00AA1F9E">
        <w:t>Saintly Imagination</w:t>
      </w:r>
      <w:r>
        <w:t>,</w:t>
      </w:r>
      <w:r w:rsidR="009549B9">
        <w:t>”</w:t>
      </w:r>
      <w:r w:rsidRPr="00AA1F9E">
        <w:t xml:space="preserve"> </w:t>
      </w:r>
      <w:proofErr w:type="spellStart"/>
      <w:r w:rsidRPr="009549B9">
        <w:rPr>
          <w:i/>
        </w:rPr>
        <w:t>Kering</w:t>
      </w:r>
      <w:proofErr w:type="spellEnd"/>
      <w:r w:rsidRPr="009549B9">
        <w:rPr>
          <w:i/>
        </w:rPr>
        <w:t xml:space="preserve"> Magazine</w:t>
      </w:r>
      <w:r w:rsidRPr="00AA1F9E">
        <w:t xml:space="preserve">, </w:t>
      </w:r>
      <w:r>
        <w:t>accessed</w:t>
      </w:r>
      <w:r w:rsidRPr="00AA1F9E">
        <w:t xml:space="preserve"> Nov</w:t>
      </w:r>
      <w:r>
        <w:t>ember 12,</w:t>
      </w:r>
      <w:r w:rsidRPr="00AA1F9E">
        <w:t xml:space="preserve"> 2016</w:t>
      </w:r>
      <w:r>
        <w:t>,</w:t>
      </w:r>
      <w:r w:rsidRPr="00AA1F9E">
        <w:t xml:space="preserve"> </w:t>
      </w:r>
      <w:r>
        <w:t>www.</w:t>
      </w:r>
      <w:r w:rsidRPr="00AA1F9E">
        <w:t>kering.com/en/magazine/saintly-imagination</w:t>
      </w:r>
      <w:r>
        <w:t>.</w:t>
      </w:r>
      <w:r w:rsidRPr="001929FD">
        <w:t xml:space="preserve"> </w:t>
      </w:r>
    </w:p>
  </w:endnote>
  <w:endnote w:id="28">
    <w:p w14:paraId="2A2FD5CB" w14:textId="188F5017" w:rsidR="001F24C4" w:rsidRPr="00AA1F9E" w:rsidRDefault="001F24C4" w:rsidP="00CE39D1">
      <w:pPr>
        <w:pStyle w:val="Footnote"/>
        <w:rPr>
          <w:kern w:val="0"/>
        </w:rPr>
      </w:pPr>
      <w:r w:rsidRPr="00AA1F9E">
        <w:rPr>
          <w:rStyle w:val="EndnoteReference"/>
          <w:sz w:val="16"/>
          <w:szCs w:val="16"/>
        </w:rPr>
        <w:endnoteRef/>
      </w:r>
      <w:r w:rsidRPr="00AA1F9E">
        <w:t xml:space="preserve"> </w:t>
      </w:r>
      <w:r w:rsidR="009549B9">
        <w:t>“</w:t>
      </w:r>
      <w:r w:rsidRPr="00AA1F9E">
        <w:t>Yves Saint L</w:t>
      </w:r>
      <w:r>
        <w:t>aurent Announces Retirement,</w:t>
      </w:r>
      <w:r w:rsidR="009549B9">
        <w:t>”</w:t>
      </w:r>
      <w:r>
        <w:t xml:space="preserve"> CNN.com, January 8, 2002</w:t>
      </w:r>
      <w:r w:rsidRPr="00AA1F9E">
        <w:t xml:space="preserve">, </w:t>
      </w:r>
      <w:r>
        <w:t>accessed</w:t>
      </w:r>
      <w:r w:rsidRPr="00AA1F9E">
        <w:t xml:space="preserve"> Nov</w:t>
      </w:r>
      <w:r>
        <w:t>ember 12, 2016, www.</w:t>
      </w:r>
      <w:r w:rsidRPr="00AA1F9E">
        <w:t>cnn.com/2002/SHOWBIZ/New</w:t>
      </w:r>
      <w:r>
        <w:t>s/01/07/ysl.retires/index.html.</w:t>
      </w:r>
    </w:p>
  </w:endnote>
  <w:endnote w:id="29">
    <w:p w14:paraId="0829A457" w14:textId="6625A09C" w:rsidR="001F24C4" w:rsidRPr="00AA1F9E" w:rsidRDefault="001F24C4" w:rsidP="00CE39D1">
      <w:pPr>
        <w:pStyle w:val="Footnote"/>
      </w:pPr>
      <w:r w:rsidRPr="00AA1F9E">
        <w:rPr>
          <w:rStyle w:val="EndnoteReference"/>
          <w:sz w:val="16"/>
          <w:szCs w:val="16"/>
        </w:rPr>
        <w:endnoteRef/>
      </w:r>
      <w:r w:rsidRPr="00AA1F9E">
        <w:t xml:space="preserve"> </w:t>
      </w:r>
      <w:r w:rsidRPr="00D26FCE">
        <w:t>John</w:t>
      </w:r>
      <w:r>
        <w:t xml:space="preserve"> Loring</w:t>
      </w:r>
      <w:r w:rsidRPr="00D26FCE">
        <w:t>, P</w:t>
      </w:r>
      <w:r>
        <w:t>as</w:t>
      </w:r>
      <w:r w:rsidR="009549B9">
        <w:t xml:space="preserve">cal </w:t>
      </w:r>
      <w:proofErr w:type="spellStart"/>
      <w:r w:rsidR="009549B9">
        <w:t>Hinous</w:t>
      </w:r>
      <w:proofErr w:type="spellEnd"/>
      <w:r w:rsidR="009549B9">
        <w:t>, and Marianne Haas, “</w:t>
      </w:r>
      <w:r>
        <w:t>Yves Saint Laurent,</w:t>
      </w:r>
      <w:r w:rsidR="009549B9">
        <w:t>”</w:t>
      </w:r>
      <w:r w:rsidRPr="00D26FCE">
        <w:t xml:space="preserve"> </w:t>
      </w:r>
      <w:r w:rsidRPr="00B8303D">
        <w:rPr>
          <w:i/>
        </w:rPr>
        <w:t>Architectural Digest</w:t>
      </w:r>
      <w:r>
        <w:t>,</w:t>
      </w:r>
      <w:r w:rsidRPr="00D26FCE">
        <w:t xml:space="preserve"> </w:t>
      </w:r>
      <w:r>
        <w:t>September 2, 2015, accessed</w:t>
      </w:r>
      <w:r w:rsidRPr="00D26FCE">
        <w:t xml:space="preserve"> July</w:t>
      </w:r>
      <w:r>
        <w:t xml:space="preserve"> 28, 2017, </w:t>
      </w:r>
      <w:r w:rsidRPr="00D26FCE">
        <w:t>www.architecturaldigest.c</w:t>
      </w:r>
      <w:r>
        <w:t>om/story/laurent-article-122001</w:t>
      </w:r>
      <w:r w:rsidRPr="00D26FCE">
        <w:t>.</w:t>
      </w:r>
    </w:p>
  </w:endnote>
  <w:endnote w:id="30">
    <w:p w14:paraId="40925E0B" w14:textId="7584BCBA" w:rsidR="001F24C4" w:rsidRPr="00AA1F9E" w:rsidRDefault="001F24C4" w:rsidP="00CE39D1">
      <w:pPr>
        <w:pStyle w:val="Footnote"/>
      </w:pPr>
      <w:r w:rsidRPr="00AA1F9E">
        <w:rPr>
          <w:rStyle w:val="EndnoteReference"/>
          <w:sz w:val="16"/>
          <w:szCs w:val="16"/>
        </w:rPr>
        <w:endnoteRef/>
      </w:r>
      <w:r w:rsidRPr="00AA1F9E">
        <w:t xml:space="preserve"> </w:t>
      </w:r>
      <w:r w:rsidRPr="00606705">
        <w:t xml:space="preserve">Suzy </w:t>
      </w:r>
      <w:proofErr w:type="spellStart"/>
      <w:r>
        <w:t>Menkes</w:t>
      </w:r>
      <w:proofErr w:type="spellEnd"/>
      <w:r>
        <w:t>,</w:t>
      </w:r>
      <w:r w:rsidR="009549B9">
        <w:t xml:space="preserve"> “</w:t>
      </w:r>
      <w:r w:rsidRPr="00606705">
        <w:t>Pierre Car</w:t>
      </w:r>
      <w:r>
        <w:t>din: One Step Ahead of Tomorrow,</w:t>
      </w:r>
      <w:r w:rsidR="009549B9">
        <w:t>”</w:t>
      </w:r>
      <w:r w:rsidRPr="00606705">
        <w:t xml:space="preserve"> </w:t>
      </w:r>
      <w:r w:rsidRPr="00B8303D">
        <w:rPr>
          <w:i/>
        </w:rPr>
        <w:t>New York Times</w:t>
      </w:r>
      <w:r w:rsidRPr="00606705">
        <w:t xml:space="preserve">, </w:t>
      </w:r>
      <w:r>
        <w:t>March 22,</w:t>
      </w:r>
      <w:r w:rsidRPr="00606705">
        <w:t xml:space="preserve"> 2010</w:t>
      </w:r>
      <w:r>
        <w:t>, accessed</w:t>
      </w:r>
      <w:r w:rsidRPr="00606705">
        <w:t xml:space="preserve"> July</w:t>
      </w:r>
      <w:r>
        <w:t xml:space="preserve"> 28,</w:t>
      </w:r>
      <w:r w:rsidRPr="00606705">
        <w:t xml:space="preserve"> 2017</w:t>
      </w:r>
      <w:r>
        <w:t>,</w:t>
      </w:r>
      <w:r w:rsidR="009549B9">
        <w:t xml:space="preserve"> </w:t>
      </w:r>
      <w:r w:rsidRPr="00606705">
        <w:t>www.nytimes.com/2010/03/23/fashion/23iht-fcardin.html</w:t>
      </w:r>
      <w:r>
        <w:t>.</w:t>
      </w:r>
    </w:p>
  </w:endnote>
  <w:endnote w:id="31">
    <w:p w14:paraId="4A2EADED" w14:textId="77C68944" w:rsidR="001F24C4" w:rsidRPr="00AA1F9E" w:rsidRDefault="001F24C4" w:rsidP="00CE39D1">
      <w:pPr>
        <w:pStyle w:val="Footnote"/>
        <w:rPr>
          <w:kern w:val="0"/>
        </w:rPr>
      </w:pPr>
      <w:r w:rsidRPr="00AA1F9E">
        <w:rPr>
          <w:rStyle w:val="EndnoteReference"/>
          <w:sz w:val="16"/>
          <w:szCs w:val="16"/>
        </w:rPr>
        <w:endnoteRef/>
      </w:r>
      <w:r w:rsidRPr="00AA1F9E">
        <w:t xml:space="preserve"> </w:t>
      </w:r>
      <w:r>
        <w:t xml:space="preserve">Colin McDowell, </w:t>
      </w:r>
      <w:r w:rsidR="009549B9">
        <w:t>“</w:t>
      </w:r>
      <w:r>
        <w:t>Yves Saint Laurent (1936–2008),</w:t>
      </w:r>
      <w:r w:rsidR="009549B9">
        <w:t>”</w:t>
      </w:r>
      <w:r>
        <w:t xml:space="preserve"> Business of Fashion, August 21, 2015, accessed November 12, 2016, </w:t>
      </w:r>
      <w:r w:rsidRPr="002B184B">
        <w:t>www.businessoffashion.com/articles/education/yves-saint-laurent-1936-2008-2</w:t>
      </w:r>
      <w:r>
        <w:t>.</w:t>
      </w:r>
    </w:p>
  </w:endnote>
  <w:endnote w:id="32">
    <w:p w14:paraId="7BD34672" w14:textId="709D5D71" w:rsidR="001F24C4" w:rsidRPr="00AA1F9E" w:rsidRDefault="001F24C4" w:rsidP="00CE39D1">
      <w:pPr>
        <w:pStyle w:val="Footnote"/>
        <w:rPr>
          <w:kern w:val="0"/>
        </w:rPr>
      </w:pPr>
      <w:r w:rsidRPr="00AA1F9E">
        <w:rPr>
          <w:rStyle w:val="EndnoteReference"/>
          <w:sz w:val="16"/>
          <w:szCs w:val="16"/>
        </w:rPr>
        <w:endnoteRef/>
      </w:r>
      <w:r w:rsidRPr="00AA1F9E">
        <w:t xml:space="preserve"> Sarah</w:t>
      </w:r>
      <w:r>
        <w:t xml:space="preserve"> Leon,</w:t>
      </w:r>
      <w:r w:rsidRPr="00AA1F9E">
        <w:t xml:space="preserve"> </w:t>
      </w:r>
      <w:r w:rsidR="009549B9">
        <w:t>“</w:t>
      </w:r>
      <w:r>
        <w:t>‘</w:t>
      </w:r>
      <w:r w:rsidRPr="00AA1F9E">
        <w:t>Saint Laurent Rive Gauche: Fashion Revolution,</w:t>
      </w:r>
      <w:r>
        <w:t>’</w:t>
      </w:r>
      <w:r w:rsidRPr="00AA1F9E">
        <w:t xml:space="preserve"> Pierre </w:t>
      </w:r>
      <w:proofErr w:type="spellStart"/>
      <w:r w:rsidRPr="00AA1F9E">
        <w:t>Bergé</w:t>
      </w:r>
      <w:proofErr w:type="spellEnd"/>
      <w:r w:rsidRPr="00AA1F9E">
        <w:t xml:space="preserve"> Explores YSL's Legacy </w:t>
      </w:r>
      <w:r>
        <w:t>i</w:t>
      </w:r>
      <w:r w:rsidRPr="00AA1F9E">
        <w:t xml:space="preserve">n New Book </w:t>
      </w:r>
      <w:r>
        <w:t>a</w:t>
      </w:r>
      <w:r w:rsidRPr="00AA1F9E">
        <w:t>nd Exhibit</w:t>
      </w:r>
      <w:r>
        <w:t>,</w:t>
      </w:r>
      <w:r w:rsidR="009549B9">
        <w:t>”</w:t>
      </w:r>
      <w:r>
        <w:t xml:space="preserve"> </w:t>
      </w:r>
      <w:r w:rsidRPr="00356EF7">
        <w:rPr>
          <w:i/>
        </w:rPr>
        <w:t>Huffington Post</w:t>
      </w:r>
      <w:r>
        <w:t>,</w:t>
      </w:r>
      <w:r w:rsidRPr="00AA1F9E">
        <w:t xml:space="preserve"> Oct</w:t>
      </w:r>
      <w:r>
        <w:t>ober 2,</w:t>
      </w:r>
      <w:r w:rsidRPr="00AA1F9E">
        <w:t xml:space="preserve"> 2002</w:t>
      </w:r>
      <w:r>
        <w:t>, accessed November 12,</w:t>
      </w:r>
      <w:r w:rsidRPr="00AA1F9E">
        <w:t xml:space="preserve"> 2016</w:t>
      </w:r>
      <w:r>
        <w:t>, www</w:t>
      </w:r>
      <w:r w:rsidRPr="00AA1F9E">
        <w:t>.huffingtonpost.com/2012/04/05/saint-laurent-rive-gauche_n_1403517.html</w:t>
      </w:r>
      <w:r>
        <w:t>.</w:t>
      </w:r>
    </w:p>
  </w:endnote>
  <w:endnote w:id="33">
    <w:p w14:paraId="73426C16" w14:textId="4500857D" w:rsidR="001F24C4" w:rsidRPr="0078372B" w:rsidRDefault="001F24C4" w:rsidP="00CE39D1">
      <w:pPr>
        <w:pStyle w:val="Footnote"/>
      </w:pPr>
      <w:r w:rsidRPr="00AA1F9E">
        <w:rPr>
          <w:rStyle w:val="EndnoteReference"/>
          <w:sz w:val="16"/>
          <w:szCs w:val="16"/>
        </w:rPr>
        <w:endnoteRef/>
      </w:r>
      <w:r w:rsidRPr="0078372B">
        <w:t xml:space="preserve"> </w:t>
      </w:r>
      <w:proofErr w:type="spellStart"/>
      <w:r w:rsidRPr="0078372B">
        <w:t>Schiro</w:t>
      </w:r>
      <w:proofErr w:type="spellEnd"/>
      <w:r w:rsidRPr="0078372B">
        <w:t xml:space="preserve">, op. cit. </w:t>
      </w:r>
    </w:p>
  </w:endnote>
  <w:endnote w:id="34">
    <w:p w14:paraId="56397EC1" w14:textId="400DD637" w:rsidR="001F24C4" w:rsidRPr="0078372B" w:rsidRDefault="001F24C4" w:rsidP="00CE39D1">
      <w:pPr>
        <w:pStyle w:val="Footnote"/>
      </w:pPr>
      <w:r w:rsidRPr="00AA1F9E">
        <w:rPr>
          <w:rStyle w:val="EndnoteReference"/>
          <w:sz w:val="16"/>
          <w:szCs w:val="16"/>
        </w:rPr>
        <w:endnoteRef/>
      </w:r>
      <w:r w:rsidRPr="0078372B">
        <w:t xml:space="preserve"> Watson, op. cit.</w:t>
      </w:r>
    </w:p>
  </w:endnote>
  <w:endnote w:id="35">
    <w:p w14:paraId="76C08834" w14:textId="66483E07" w:rsidR="001F24C4" w:rsidRPr="00AA1F9E" w:rsidRDefault="001F24C4" w:rsidP="00CE39D1">
      <w:pPr>
        <w:pStyle w:val="Footnote"/>
      </w:pPr>
      <w:r w:rsidRPr="00AA1F9E">
        <w:rPr>
          <w:rStyle w:val="EndnoteReference"/>
          <w:sz w:val="16"/>
          <w:szCs w:val="16"/>
        </w:rPr>
        <w:endnoteRef/>
      </w:r>
      <w:r w:rsidRPr="00AA1F9E">
        <w:t xml:space="preserve"> </w:t>
      </w:r>
      <w:r w:rsidR="009549B9">
        <w:t>“</w:t>
      </w:r>
      <w:r w:rsidRPr="004476C4">
        <w:t>Charles of the Ritz Sold to Yves Saint Laurent,</w:t>
      </w:r>
      <w:r w:rsidR="009549B9">
        <w:t>”</w:t>
      </w:r>
      <w:r w:rsidRPr="004476C4">
        <w:t xml:space="preserve"> </w:t>
      </w:r>
      <w:r w:rsidRPr="00B8303D">
        <w:rPr>
          <w:i/>
        </w:rPr>
        <w:t>New York Times</w:t>
      </w:r>
      <w:r w:rsidRPr="004476C4">
        <w:t xml:space="preserve">, November 19, 1986, accessed </w:t>
      </w:r>
      <w:r>
        <w:t>July 28, 2017</w:t>
      </w:r>
      <w:r w:rsidRPr="004476C4">
        <w:t>, www.nytimes.com/1986/11/19/business/charles-of-the-ritz-sold-to-yves-saint-laurent.html.</w:t>
      </w:r>
    </w:p>
  </w:endnote>
  <w:endnote w:id="36">
    <w:p w14:paraId="533627C7" w14:textId="3E9F1086" w:rsidR="001F24C4" w:rsidRPr="00AA1F9E" w:rsidRDefault="001F24C4" w:rsidP="00CE39D1">
      <w:pPr>
        <w:pStyle w:val="Footnote"/>
      </w:pPr>
      <w:r w:rsidRPr="00AA1F9E">
        <w:rPr>
          <w:rStyle w:val="EndnoteReference"/>
          <w:sz w:val="16"/>
          <w:szCs w:val="16"/>
        </w:rPr>
        <w:endnoteRef/>
      </w:r>
      <w:r w:rsidRPr="00AA1F9E">
        <w:t xml:space="preserve"> Rourke, </w:t>
      </w:r>
      <w:r>
        <w:t>op. cit.</w:t>
      </w:r>
    </w:p>
  </w:endnote>
  <w:endnote w:id="37">
    <w:p w14:paraId="5FA0E4EB" w14:textId="60DFDFDA" w:rsidR="001F24C4" w:rsidRPr="00AA1F9E" w:rsidRDefault="001F24C4" w:rsidP="00CE39D1">
      <w:pPr>
        <w:pStyle w:val="Footnote"/>
        <w:rPr>
          <w:rStyle w:val="HTMLCite"/>
          <w:sz w:val="16"/>
          <w:szCs w:val="16"/>
        </w:rPr>
      </w:pPr>
      <w:r w:rsidRPr="00AA1F9E">
        <w:rPr>
          <w:rStyle w:val="EndnoteReference"/>
          <w:sz w:val="16"/>
          <w:szCs w:val="16"/>
        </w:rPr>
        <w:endnoteRef/>
      </w:r>
      <w:r w:rsidRPr="00AA1F9E">
        <w:t xml:space="preserve"> </w:t>
      </w:r>
      <w:r>
        <w:t xml:space="preserve">Nigel Groom, </w:t>
      </w:r>
      <w:r w:rsidRPr="0078372B">
        <w:rPr>
          <w:i/>
        </w:rPr>
        <w:t>New Perfume Handbook</w:t>
      </w:r>
      <w:r>
        <w:t>, 2nd ed. (New York, NY:</w:t>
      </w:r>
      <w:r w:rsidRPr="00AA1F9E">
        <w:t xml:space="preserve"> Springer</w:t>
      </w:r>
      <w:r>
        <w:t xml:space="preserve"> Publishing, 1997), </w:t>
      </w:r>
      <w:r w:rsidRPr="00AA1F9E">
        <w:t xml:space="preserve">236. </w:t>
      </w:r>
    </w:p>
  </w:endnote>
  <w:endnote w:id="38">
    <w:p w14:paraId="18EBAC74" w14:textId="0D073060" w:rsidR="001F24C4" w:rsidRDefault="001F24C4" w:rsidP="00CE39D1">
      <w:pPr>
        <w:pStyle w:val="Footnote"/>
      </w:pPr>
      <w:r w:rsidRPr="00AA1F9E">
        <w:rPr>
          <w:rStyle w:val="EndnoteReference"/>
          <w:sz w:val="16"/>
          <w:szCs w:val="16"/>
        </w:rPr>
        <w:endnoteRef/>
      </w:r>
      <w:r>
        <w:t xml:space="preserve"> </w:t>
      </w:r>
      <w:r w:rsidR="009549B9">
        <w:t>“</w:t>
      </w:r>
      <w:r>
        <w:t>Charles of the Ritz Sold to Yves Saint Laurent,</w:t>
      </w:r>
      <w:r w:rsidR="009549B9">
        <w:t>”</w:t>
      </w:r>
      <w:r>
        <w:t xml:space="preserve"> </w:t>
      </w:r>
      <w:r w:rsidRPr="003A7324">
        <w:rPr>
          <w:i/>
        </w:rPr>
        <w:t>New York Times</w:t>
      </w:r>
      <w:r w:rsidRPr="00F773EB">
        <w:t>, Nov</w:t>
      </w:r>
      <w:r>
        <w:t>ember 19,</w:t>
      </w:r>
      <w:r w:rsidRPr="00F773EB">
        <w:t xml:space="preserve"> 1986</w:t>
      </w:r>
      <w:r>
        <w:t xml:space="preserve">, accessed </w:t>
      </w:r>
      <w:r w:rsidRPr="00F773EB">
        <w:t>Nov</w:t>
      </w:r>
      <w:r>
        <w:t>ember 12,</w:t>
      </w:r>
      <w:r w:rsidRPr="00F773EB">
        <w:t xml:space="preserve"> 2016</w:t>
      </w:r>
      <w:r>
        <w:t xml:space="preserve">, </w:t>
      </w:r>
      <w:r w:rsidRPr="00F773EB">
        <w:t>www.nytimes.com/1986/11/19/business/charles-of-the-ritz-sold-to-yves-saint-laurent.html</w:t>
      </w:r>
      <w:r>
        <w:t>.</w:t>
      </w:r>
      <w:r w:rsidDel="00C40E17">
        <w:t xml:space="preserve"> </w:t>
      </w:r>
    </w:p>
  </w:endnote>
  <w:endnote w:id="39">
    <w:p w14:paraId="2443A493" w14:textId="54B533BC" w:rsidR="001F24C4" w:rsidRPr="00472B46" w:rsidRDefault="001F24C4" w:rsidP="00472B46">
      <w:pPr>
        <w:pStyle w:val="Footnote"/>
      </w:pPr>
      <w:r>
        <w:rPr>
          <w:rStyle w:val="EndnoteReference"/>
        </w:rPr>
        <w:endnoteRef/>
      </w:r>
      <w:r>
        <w:t xml:space="preserve"> US$1 = </w:t>
      </w:r>
      <w:r w:rsidRPr="00C40E17">
        <w:t>£0.7033 on November 19, 1986.</w:t>
      </w:r>
    </w:p>
  </w:endnote>
  <w:endnote w:id="40">
    <w:p w14:paraId="520D6B5A" w14:textId="2D2EFAC5" w:rsidR="001F24C4" w:rsidRPr="00AA1F9E" w:rsidRDefault="001F24C4" w:rsidP="00CE39D1">
      <w:pPr>
        <w:pStyle w:val="Footnote"/>
      </w:pPr>
      <w:r w:rsidRPr="009549B9">
        <w:rPr>
          <w:vertAlign w:val="superscript"/>
        </w:rPr>
        <w:endnoteRef/>
      </w:r>
      <w:r w:rsidRPr="00AA1F9E">
        <w:t xml:space="preserve"> </w:t>
      </w:r>
      <w:r w:rsidR="009549B9">
        <w:t>“</w:t>
      </w:r>
      <w:r>
        <w:t>Charles of the Ritz Sold to Yves Saint Laurent,</w:t>
      </w:r>
      <w:r w:rsidR="009549B9">
        <w:t>”</w:t>
      </w:r>
      <w:r>
        <w:t xml:space="preserve"> </w:t>
      </w:r>
      <w:r w:rsidRPr="00E87E89">
        <w:t>op. cit.</w:t>
      </w:r>
      <w:r>
        <w:rPr>
          <w:i/>
        </w:rPr>
        <w:t xml:space="preserve"> </w:t>
      </w:r>
    </w:p>
  </w:endnote>
  <w:endnote w:id="41">
    <w:p w14:paraId="334DEB9C" w14:textId="77F21CE7" w:rsidR="001F24C4" w:rsidRPr="00AA1F9E" w:rsidRDefault="001F24C4" w:rsidP="00CE39D1">
      <w:pPr>
        <w:pStyle w:val="Footnote"/>
      </w:pPr>
      <w:r w:rsidRPr="009549B9">
        <w:rPr>
          <w:vertAlign w:val="superscript"/>
        </w:rPr>
        <w:endnoteRef/>
      </w:r>
      <w:r w:rsidRPr="00AA1F9E">
        <w:t xml:space="preserve"> </w:t>
      </w:r>
      <w:r>
        <w:t xml:space="preserve">Ibid. </w:t>
      </w:r>
    </w:p>
  </w:endnote>
  <w:endnote w:id="42">
    <w:p w14:paraId="4F5487C1" w14:textId="40C10EC3" w:rsidR="001F24C4" w:rsidRDefault="001F24C4" w:rsidP="00CE39D1">
      <w:pPr>
        <w:pStyle w:val="Footnote"/>
      </w:pPr>
      <w:r w:rsidRPr="009549B9">
        <w:rPr>
          <w:vertAlign w:val="superscript"/>
        </w:rPr>
        <w:endnoteRef/>
      </w:r>
      <w:r>
        <w:t xml:space="preserve"> </w:t>
      </w:r>
      <w:r w:rsidRPr="00AA1F9E">
        <w:t>Donald</w:t>
      </w:r>
      <w:r w:rsidRPr="001027D7">
        <w:t xml:space="preserve"> </w:t>
      </w:r>
      <w:r w:rsidRPr="00AA1F9E">
        <w:t xml:space="preserve">Bernhardt and Marshall </w:t>
      </w:r>
      <w:proofErr w:type="spellStart"/>
      <w:r w:rsidRPr="00AA1F9E">
        <w:t>Eckblad</w:t>
      </w:r>
      <w:proofErr w:type="spellEnd"/>
      <w:r>
        <w:t>,</w:t>
      </w:r>
      <w:r w:rsidRPr="00AA1F9E">
        <w:t xml:space="preserve"> </w:t>
      </w:r>
      <w:r w:rsidR="009549B9">
        <w:t>“</w:t>
      </w:r>
      <w:r w:rsidRPr="00AA1F9E">
        <w:t>Stock Market Crash of 1987</w:t>
      </w:r>
      <w:r>
        <w:t>,</w:t>
      </w:r>
      <w:r w:rsidR="009549B9">
        <w:t>”</w:t>
      </w:r>
      <w:r w:rsidRPr="00AA1F9E">
        <w:t xml:space="preserve"> </w:t>
      </w:r>
      <w:r>
        <w:t xml:space="preserve">Federal Reserve History, November 22, 2013, accessed January 25, </w:t>
      </w:r>
      <w:r w:rsidRPr="00AA1F9E">
        <w:t>2017</w:t>
      </w:r>
      <w:r>
        <w:t>, www</w:t>
      </w:r>
      <w:r w:rsidRPr="00AA1F9E">
        <w:t>.federalreservehistory.org/Events/DetailView/48</w:t>
      </w:r>
      <w:r>
        <w:t>.</w:t>
      </w:r>
    </w:p>
  </w:endnote>
  <w:endnote w:id="43">
    <w:p w14:paraId="78E8C6E9" w14:textId="7B491DDA" w:rsidR="001F24C4" w:rsidRPr="00AA1F9E" w:rsidRDefault="001F24C4" w:rsidP="00DC45AB">
      <w:pPr>
        <w:pStyle w:val="Footnote"/>
      </w:pPr>
      <w:r w:rsidRPr="009549B9">
        <w:rPr>
          <w:vertAlign w:val="superscript"/>
        </w:rPr>
        <w:endnoteRef/>
      </w:r>
      <w:r w:rsidRPr="00AA1F9E">
        <w:t xml:space="preserve"> </w:t>
      </w:r>
      <w:r w:rsidRPr="00356EF7">
        <w:rPr>
          <w:rFonts w:eastAsiaTheme="minorEastAsia"/>
        </w:rPr>
        <w:t>₣ = French francs, replaced by the euro in 1999.</w:t>
      </w:r>
      <w:r>
        <w:rPr>
          <w:rFonts w:eastAsiaTheme="minorEastAsia"/>
          <w:kern w:val="0"/>
          <w:sz w:val="22"/>
          <w:szCs w:val="22"/>
        </w:rPr>
        <w:t xml:space="preserve"> </w:t>
      </w:r>
      <w:r w:rsidRPr="00AA1F9E">
        <w:t xml:space="preserve">Suzy </w:t>
      </w:r>
      <w:proofErr w:type="spellStart"/>
      <w:r w:rsidRPr="00AA1F9E">
        <w:t>Menkes</w:t>
      </w:r>
      <w:proofErr w:type="spellEnd"/>
      <w:r w:rsidRPr="00AA1F9E">
        <w:t xml:space="preserve">, </w:t>
      </w:r>
      <w:r w:rsidR="009549B9">
        <w:t>“</w:t>
      </w:r>
      <w:r w:rsidRPr="00AA1F9E">
        <w:t>Elf Sanofi Buying Saint Laurent,</w:t>
      </w:r>
      <w:r w:rsidR="009549B9">
        <w:t>”</w:t>
      </w:r>
      <w:r w:rsidRPr="00AA1F9E">
        <w:t xml:space="preserve"> </w:t>
      </w:r>
      <w:r w:rsidRPr="0078372B">
        <w:rPr>
          <w:i/>
        </w:rPr>
        <w:t>New York Times</w:t>
      </w:r>
      <w:r>
        <w:t xml:space="preserve">, </w:t>
      </w:r>
      <w:r w:rsidRPr="00AA1F9E">
        <w:t>January 20, 1993, accessed June 10, 2016,</w:t>
      </w:r>
      <w:r>
        <w:t xml:space="preserve"> </w:t>
      </w:r>
      <w:r w:rsidRPr="00AA1F9E">
        <w:t>www.nytimes.com/1993/01/20/business/worldbusiness/20iht-ysl__0.html</w:t>
      </w:r>
      <w:r>
        <w:t>.</w:t>
      </w:r>
    </w:p>
  </w:endnote>
  <w:endnote w:id="44">
    <w:p w14:paraId="1523C3A5" w14:textId="02C0804C" w:rsidR="001F24C4" w:rsidRPr="00AA1F9E" w:rsidRDefault="001F24C4" w:rsidP="00CE39D1">
      <w:pPr>
        <w:pStyle w:val="Footnote"/>
      </w:pPr>
      <w:r w:rsidRPr="009549B9">
        <w:rPr>
          <w:vertAlign w:val="superscript"/>
        </w:rPr>
        <w:endnoteRef/>
      </w:r>
      <w:r w:rsidRPr="00AA1F9E">
        <w:t xml:space="preserve"> </w:t>
      </w:r>
      <w:r>
        <w:t xml:space="preserve">Ibid. </w:t>
      </w:r>
    </w:p>
  </w:endnote>
  <w:endnote w:id="45">
    <w:p w14:paraId="1815531B" w14:textId="77CD5E96" w:rsidR="001F24C4" w:rsidRPr="00AA1F9E" w:rsidRDefault="001F24C4" w:rsidP="00CE39D1">
      <w:pPr>
        <w:pStyle w:val="Footnote"/>
      </w:pPr>
      <w:r w:rsidRPr="009549B9">
        <w:rPr>
          <w:vertAlign w:val="superscript"/>
        </w:rPr>
        <w:endnoteRef/>
      </w:r>
      <w:r w:rsidRPr="00AA1F9E">
        <w:t xml:space="preserve"> </w:t>
      </w:r>
      <w:r>
        <w:t xml:space="preserve">Ibid. </w:t>
      </w:r>
    </w:p>
  </w:endnote>
  <w:endnote w:id="46">
    <w:p w14:paraId="0521F533" w14:textId="1B388DC1" w:rsidR="001F24C4" w:rsidRPr="00AA1F9E" w:rsidRDefault="001F24C4" w:rsidP="00CE39D1">
      <w:pPr>
        <w:pStyle w:val="Footnote"/>
      </w:pPr>
      <w:r w:rsidRPr="009549B9">
        <w:rPr>
          <w:vertAlign w:val="superscript"/>
        </w:rPr>
        <w:endnoteRef/>
      </w:r>
      <w:r w:rsidRPr="00AA1F9E">
        <w:t xml:space="preserve"> </w:t>
      </w:r>
      <w:r>
        <w:t xml:space="preserve">Ibid. </w:t>
      </w:r>
    </w:p>
  </w:endnote>
  <w:endnote w:id="47">
    <w:p w14:paraId="02C85676" w14:textId="6EEAB81D" w:rsidR="001F24C4" w:rsidRPr="00AA1F9E" w:rsidRDefault="001F24C4" w:rsidP="00CE39D1">
      <w:pPr>
        <w:pStyle w:val="Footnote"/>
        <w:rPr>
          <w:rFonts w:ascii="Times New Roman" w:hAnsi="Times New Roman" w:cs="Times New Roman"/>
        </w:rPr>
      </w:pPr>
      <w:r w:rsidRPr="009549B9">
        <w:rPr>
          <w:vertAlign w:val="superscript"/>
        </w:rPr>
        <w:endnoteRef/>
      </w:r>
      <w:r w:rsidRPr="009549B9">
        <w:rPr>
          <w:vertAlign w:val="superscript"/>
        </w:rPr>
        <w:t xml:space="preserve"> </w:t>
      </w:r>
      <w:r>
        <w:t xml:space="preserve">Ibid. </w:t>
      </w:r>
    </w:p>
  </w:endnote>
  <w:endnote w:id="48">
    <w:p w14:paraId="5AA9916E" w14:textId="44F34138" w:rsidR="001F24C4" w:rsidRPr="00AA1F9E" w:rsidRDefault="001F24C4" w:rsidP="00CE39D1">
      <w:pPr>
        <w:pStyle w:val="Footnote"/>
      </w:pPr>
      <w:r w:rsidRPr="009549B9">
        <w:rPr>
          <w:vertAlign w:val="superscript"/>
        </w:rPr>
        <w:endnoteRef/>
      </w:r>
      <w:r w:rsidRPr="00AA1F9E">
        <w:t xml:space="preserve"> </w:t>
      </w:r>
      <w:r>
        <w:t xml:space="preserve">Ibid. </w:t>
      </w:r>
    </w:p>
  </w:endnote>
  <w:endnote w:id="49">
    <w:p w14:paraId="363D1B61" w14:textId="530FDD1B" w:rsidR="001F24C4" w:rsidRPr="00BD2A0C" w:rsidRDefault="001F24C4" w:rsidP="00BD2A0C">
      <w:pPr>
        <w:pStyle w:val="Footnote"/>
      </w:pPr>
      <w:r w:rsidRPr="00BD2A0C">
        <w:rPr>
          <w:rStyle w:val="EndnoteReference"/>
        </w:rPr>
        <w:endnoteRef/>
      </w:r>
      <w:r w:rsidRPr="00BD2A0C">
        <w:t xml:space="preserve"> </w:t>
      </w:r>
      <w:r w:rsidRPr="00BB2798">
        <w:t>Lauretta</w:t>
      </w:r>
      <w:r>
        <w:t xml:space="preserve"> Roberts,</w:t>
      </w:r>
      <w:r w:rsidRPr="00BB2798">
        <w:t xml:space="preserve"> </w:t>
      </w:r>
      <w:r w:rsidR="009549B9">
        <w:t>“</w:t>
      </w:r>
      <w:r w:rsidRPr="00BB2798">
        <w:t xml:space="preserve">Who </w:t>
      </w:r>
      <w:r>
        <w:t>N</w:t>
      </w:r>
      <w:r w:rsidRPr="00BB2798">
        <w:t xml:space="preserve">ext for Yves Saint Laurent after </w:t>
      </w:r>
      <w:proofErr w:type="spellStart"/>
      <w:r w:rsidRPr="00BB2798">
        <w:t>Slimane</w:t>
      </w:r>
      <w:proofErr w:type="spellEnd"/>
      <w:r w:rsidRPr="00BB2798">
        <w:t xml:space="preserve"> Departure Is Confirmed</w:t>
      </w:r>
      <w:proofErr w:type="gramStart"/>
      <w:r w:rsidRPr="00BB2798">
        <w:t>?</w:t>
      </w:r>
      <w:r>
        <w:t>,</w:t>
      </w:r>
      <w:proofErr w:type="gramEnd"/>
      <w:r w:rsidR="009549B9">
        <w:t>”</w:t>
      </w:r>
      <w:r w:rsidRPr="00BB2798">
        <w:t xml:space="preserve"> </w:t>
      </w:r>
      <w:r w:rsidRPr="00B8303D">
        <w:rPr>
          <w:i/>
        </w:rPr>
        <w:t>Industry London</w:t>
      </w:r>
      <w:r>
        <w:t xml:space="preserve">, </w:t>
      </w:r>
      <w:r w:rsidRPr="00BB2798">
        <w:t>A</w:t>
      </w:r>
      <w:r>
        <w:t>pril 1,</w:t>
      </w:r>
      <w:r w:rsidRPr="00BB2798">
        <w:t xml:space="preserve"> 2016</w:t>
      </w:r>
      <w:r>
        <w:t xml:space="preserve">, accessed </w:t>
      </w:r>
      <w:r w:rsidRPr="00BB2798">
        <w:t>July</w:t>
      </w:r>
      <w:r>
        <w:t xml:space="preserve"> 27, 2017, </w:t>
      </w:r>
      <w:r w:rsidRPr="00BB2798">
        <w:t>www.theindustrylondon.com/saint-laurent-confirms-departure-</w:t>
      </w:r>
      <w:r>
        <w:t>of-creative-chief-hedi-slimane.</w:t>
      </w:r>
    </w:p>
  </w:endnote>
  <w:endnote w:id="50">
    <w:p w14:paraId="615030BA" w14:textId="57991B50" w:rsidR="001F24C4" w:rsidRPr="00BD2A0C" w:rsidRDefault="001F24C4" w:rsidP="00BD2A0C">
      <w:pPr>
        <w:pStyle w:val="Footnote"/>
      </w:pPr>
      <w:r w:rsidRPr="00BD2A0C">
        <w:rPr>
          <w:rStyle w:val="EndnoteReference"/>
        </w:rPr>
        <w:endnoteRef/>
      </w:r>
      <w:r w:rsidRPr="00BD2A0C">
        <w:t xml:space="preserve"> </w:t>
      </w:r>
      <w:r w:rsidR="009549B9">
        <w:t>“</w:t>
      </w:r>
      <w:r w:rsidRPr="00BD2A0C">
        <w:t>History</w:t>
      </w:r>
      <w:r>
        <w:t>,</w:t>
      </w:r>
      <w:r w:rsidR="009549B9">
        <w:t>”</w:t>
      </w:r>
      <w:r>
        <w:t xml:space="preserve"> </w:t>
      </w:r>
      <w:proofErr w:type="spellStart"/>
      <w:r w:rsidRPr="00BD2A0C">
        <w:t>Kering</w:t>
      </w:r>
      <w:proofErr w:type="spellEnd"/>
      <w:r w:rsidRPr="00BD2A0C">
        <w:t xml:space="preserve"> Group,</w:t>
      </w:r>
      <w:r>
        <w:t xml:space="preserve"> accessed January 25, </w:t>
      </w:r>
      <w:r w:rsidRPr="00BD2A0C">
        <w:t>2017</w:t>
      </w:r>
      <w:r>
        <w:t>, www</w:t>
      </w:r>
      <w:r w:rsidRPr="00BD2A0C">
        <w:t>.kering.com/en/group/history</w:t>
      </w:r>
      <w:r>
        <w:t>.</w:t>
      </w:r>
    </w:p>
  </w:endnote>
  <w:endnote w:id="51">
    <w:p w14:paraId="5C6A3D44" w14:textId="5EC27BA3" w:rsidR="001F24C4" w:rsidRPr="00AA1F9E" w:rsidRDefault="001F24C4" w:rsidP="00BD2A0C">
      <w:pPr>
        <w:pStyle w:val="Footnote"/>
        <w:rPr>
          <w:rFonts w:ascii="Times New Roman" w:hAnsi="Times New Roman" w:cs="Times New Roman"/>
        </w:rPr>
      </w:pPr>
      <w:r w:rsidRPr="00BD2A0C">
        <w:rPr>
          <w:rStyle w:val="EndnoteReference"/>
        </w:rPr>
        <w:endnoteRef/>
      </w:r>
      <w:r w:rsidRPr="00BD2A0C">
        <w:t xml:space="preserve"> </w:t>
      </w:r>
      <w:proofErr w:type="spellStart"/>
      <w:r>
        <w:t>Kering</w:t>
      </w:r>
      <w:proofErr w:type="spellEnd"/>
      <w:r>
        <w:t>,</w:t>
      </w:r>
      <w:r w:rsidRPr="000B7886">
        <w:t xml:space="preserve"> </w:t>
      </w:r>
      <w:r w:rsidR="009549B9">
        <w:t>“</w:t>
      </w:r>
      <w:r w:rsidRPr="003B34FA">
        <w:t xml:space="preserve">Investors </w:t>
      </w:r>
      <w:r>
        <w:t>P</w:t>
      </w:r>
      <w:r w:rsidRPr="003B34FA">
        <w:t>resentation</w:t>
      </w:r>
      <w:r>
        <w:t>—</w:t>
      </w:r>
      <w:r w:rsidRPr="003B34FA">
        <w:t>September 2013</w:t>
      </w:r>
      <w:r>
        <w:t>,</w:t>
      </w:r>
      <w:r w:rsidR="009549B9">
        <w:t>”</w:t>
      </w:r>
      <w:r w:rsidRPr="000B7886">
        <w:t xml:space="preserve"> Sept</w:t>
      </w:r>
      <w:r>
        <w:t>ember 30,</w:t>
      </w:r>
      <w:r w:rsidRPr="000B7886">
        <w:t xml:space="preserve"> 2013</w:t>
      </w:r>
      <w:r>
        <w:t>, accessed</w:t>
      </w:r>
      <w:r w:rsidRPr="000B7886">
        <w:t xml:space="preserve"> </w:t>
      </w:r>
      <w:r>
        <w:t xml:space="preserve">July 27, 2017, </w:t>
      </w:r>
      <w:r w:rsidRPr="000B7886">
        <w:t>http://www.ker</w:t>
      </w:r>
      <w:r>
        <w:t>ing.com/en/finance/publications.</w:t>
      </w:r>
    </w:p>
  </w:endnote>
  <w:endnote w:id="52">
    <w:p w14:paraId="72BD308B" w14:textId="6E35D56E" w:rsidR="001F24C4" w:rsidRPr="00BD2A0C" w:rsidRDefault="001F24C4" w:rsidP="00BD2A0C">
      <w:pPr>
        <w:pStyle w:val="Footnote"/>
      </w:pPr>
      <w:r w:rsidRPr="00BD2A0C">
        <w:rPr>
          <w:rStyle w:val="EndnoteReference"/>
        </w:rPr>
        <w:endnoteRef/>
      </w:r>
      <w:r w:rsidRPr="00BD2A0C">
        <w:t xml:space="preserve"> François-Henri Pinault, </w:t>
      </w:r>
      <w:r w:rsidR="009549B9">
        <w:t>“</w:t>
      </w:r>
      <w:proofErr w:type="spellStart"/>
      <w:r w:rsidRPr="00BD2A0C">
        <w:t>Kering’s</w:t>
      </w:r>
      <w:proofErr w:type="spellEnd"/>
      <w:r w:rsidRPr="00BD2A0C">
        <w:t xml:space="preserve"> CEO on Finding the Elusive Formula for Growing Acquired Brands,</w:t>
      </w:r>
      <w:r w:rsidR="009549B9">
        <w:t>”</w:t>
      </w:r>
      <w:r w:rsidRPr="00BD2A0C">
        <w:t xml:space="preserve"> </w:t>
      </w:r>
      <w:r w:rsidRPr="0078372B">
        <w:rPr>
          <w:i/>
        </w:rPr>
        <w:t>Harvard Business Review</w:t>
      </w:r>
      <w:r>
        <w:t xml:space="preserve"> 92, no. 3 (March 2014): 43–46.</w:t>
      </w:r>
    </w:p>
  </w:endnote>
  <w:endnote w:id="53">
    <w:p w14:paraId="5EFC3257" w14:textId="03812F2D" w:rsidR="001F24C4" w:rsidRPr="00AA1F9E" w:rsidRDefault="001F24C4" w:rsidP="00CE39D1">
      <w:pPr>
        <w:pStyle w:val="Footnote"/>
      </w:pPr>
      <w:r w:rsidRPr="00AA1F9E">
        <w:rPr>
          <w:rStyle w:val="EndnoteReference"/>
          <w:sz w:val="16"/>
          <w:szCs w:val="16"/>
        </w:rPr>
        <w:endnoteRef/>
      </w:r>
      <w:r w:rsidRPr="00AA1F9E">
        <w:t xml:space="preserve"> </w:t>
      </w:r>
      <w:r w:rsidR="009549B9">
        <w:t>“</w:t>
      </w:r>
      <w:r>
        <w:t>Saint Laurent,</w:t>
      </w:r>
      <w:r w:rsidR="009549B9">
        <w:t>”</w:t>
      </w:r>
      <w:r w:rsidRPr="00891E1E">
        <w:t xml:space="preserve"> </w:t>
      </w:r>
      <w:proofErr w:type="spellStart"/>
      <w:r>
        <w:t>Kering</w:t>
      </w:r>
      <w:proofErr w:type="spellEnd"/>
      <w:r>
        <w:t xml:space="preserve"> Group, accessed </w:t>
      </w:r>
      <w:r w:rsidRPr="00891E1E">
        <w:t>July</w:t>
      </w:r>
      <w:r>
        <w:t xml:space="preserve"> 27, 2017, </w:t>
      </w:r>
      <w:r w:rsidRPr="00891E1E">
        <w:t>www.kering.com/en/brands/luxury/saint-laurent</w:t>
      </w:r>
      <w:r>
        <w:t>.</w:t>
      </w:r>
    </w:p>
  </w:endnote>
  <w:endnote w:id="54">
    <w:p w14:paraId="0C24188A" w14:textId="6B92FD7D" w:rsidR="001F24C4" w:rsidRPr="00AA1F9E" w:rsidRDefault="001F24C4" w:rsidP="00CE39D1">
      <w:pPr>
        <w:pStyle w:val="Footnote"/>
      </w:pPr>
      <w:r w:rsidRPr="00AA1F9E">
        <w:rPr>
          <w:rStyle w:val="EndnoteReference"/>
          <w:sz w:val="16"/>
          <w:szCs w:val="16"/>
        </w:rPr>
        <w:endnoteRef/>
      </w:r>
      <w:r w:rsidRPr="00AA1F9E">
        <w:t xml:space="preserve"> </w:t>
      </w:r>
      <w:r w:rsidRPr="004E4554">
        <w:t>Pinault</w:t>
      </w:r>
      <w:r>
        <w:t>, op. cit.</w:t>
      </w:r>
    </w:p>
  </w:endnote>
  <w:endnote w:id="55">
    <w:p w14:paraId="5FCE0CF2" w14:textId="011397A7" w:rsidR="001F24C4" w:rsidRDefault="001F24C4" w:rsidP="00CE39D1">
      <w:pPr>
        <w:pStyle w:val="Footnote"/>
      </w:pPr>
      <w:r w:rsidRPr="00AA1F9E">
        <w:rPr>
          <w:rStyle w:val="EndnoteReference"/>
          <w:sz w:val="16"/>
          <w:szCs w:val="16"/>
        </w:rPr>
        <w:endnoteRef/>
      </w:r>
      <w:r w:rsidRPr="00AA1F9E">
        <w:t xml:space="preserve"> </w:t>
      </w:r>
      <w:proofErr w:type="spellStart"/>
      <w:r w:rsidRPr="00F773EB">
        <w:t>Schiro</w:t>
      </w:r>
      <w:proofErr w:type="spellEnd"/>
      <w:r w:rsidRPr="00F773EB">
        <w:t xml:space="preserve">, </w:t>
      </w:r>
      <w:r>
        <w:t>op. cit.</w:t>
      </w:r>
    </w:p>
  </w:endnote>
  <w:endnote w:id="56">
    <w:p w14:paraId="1276ECD7" w14:textId="1506B259" w:rsidR="001F24C4" w:rsidRPr="001A5A7B" w:rsidRDefault="001F24C4" w:rsidP="001A5A7B">
      <w:pPr>
        <w:pStyle w:val="Footnote"/>
      </w:pPr>
      <w:r w:rsidRPr="001A5A7B">
        <w:rPr>
          <w:rStyle w:val="EndnoteReference"/>
        </w:rPr>
        <w:endnoteRef/>
      </w:r>
      <w:r w:rsidRPr="001A5A7B">
        <w:t xml:space="preserve"> </w:t>
      </w:r>
      <w:proofErr w:type="spellStart"/>
      <w:r>
        <w:t>Kering</w:t>
      </w:r>
      <w:proofErr w:type="spellEnd"/>
      <w:r>
        <w:t>,</w:t>
      </w:r>
      <w:r w:rsidRPr="000B7886">
        <w:t xml:space="preserve"> </w:t>
      </w:r>
      <w:r>
        <w:t>op. cit.</w:t>
      </w:r>
    </w:p>
  </w:endnote>
  <w:endnote w:id="57">
    <w:p w14:paraId="7768A960" w14:textId="77777777" w:rsidR="001F24C4" w:rsidRPr="00AA1F9E" w:rsidRDefault="001F24C4" w:rsidP="00CE39D1">
      <w:pPr>
        <w:pStyle w:val="Footnote"/>
        <w:rPr>
          <w:rFonts w:ascii="Times New Roman" w:hAnsi="Times New Roman" w:cs="Times New Roman"/>
        </w:rPr>
      </w:pPr>
      <w:r w:rsidRPr="00B8303D">
        <w:rPr>
          <w:rStyle w:val="EndnoteReference"/>
        </w:rPr>
        <w:endnoteRef/>
      </w:r>
      <w:r w:rsidRPr="00B8303D">
        <w:rPr>
          <w:rStyle w:val="EndnoteReference"/>
        </w:rPr>
        <w:t xml:space="preserve"> </w:t>
      </w:r>
      <w:r>
        <w:t xml:space="preserve">David B. </w:t>
      </w:r>
      <w:proofErr w:type="spellStart"/>
      <w:r>
        <w:t>Yoffie</w:t>
      </w:r>
      <w:proofErr w:type="spellEnd"/>
      <w:r>
        <w:t xml:space="preserve"> and Mary </w:t>
      </w:r>
      <w:proofErr w:type="spellStart"/>
      <w:r>
        <w:t>Kwak</w:t>
      </w:r>
      <w:proofErr w:type="spellEnd"/>
      <w:r>
        <w:t xml:space="preserve">, </w:t>
      </w:r>
      <w:r w:rsidRPr="001A5A7B">
        <w:rPr>
          <w:i/>
        </w:rPr>
        <w:t>Gucci Group N.V. (A)</w:t>
      </w:r>
      <w:r>
        <w:t xml:space="preserve"> (Boston, MA: Harvard Business Publishing, 2000). Available from Ivey Publishing, product no. 701037. </w:t>
      </w:r>
    </w:p>
  </w:endnote>
  <w:endnote w:id="58">
    <w:p w14:paraId="0536CDB3" w14:textId="34F716B5" w:rsidR="001F24C4" w:rsidRPr="0078372B" w:rsidRDefault="001F24C4" w:rsidP="00CE39D1">
      <w:pPr>
        <w:pStyle w:val="Footnote"/>
      </w:pPr>
      <w:r w:rsidRPr="00AA1F9E">
        <w:rPr>
          <w:rStyle w:val="EndnoteReference"/>
          <w:sz w:val="16"/>
          <w:szCs w:val="16"/>
        </w:rPr>
        <w:endnoteRef/>
      </w:r>
      <w:r w:rsidRPr="00AA1F9E">
        <w:t xml:space="preserve"> </w:t>
      </w:r>
      <w:r w:rsidR="009549B9">
        <w:t>“</w:t>
      </w:r>
      <w:r w:rsidRPr="00AA1F9E">
        <w:t>Design Guru Reveals Yves Saint-Laurent Hate Mail</w:t>
      </w:r>
      <w:r>
        <w:t>,</w:t>
      </w:r>
      <w:r w:rsidR="009549B9">
        <w:t>”</w:t>
      </w:r>
      <w:r w:rsidRPr="00AA1F9E">
        <w:t xml:space="preserve"> CNN.</w:t>
      </w:r>
      <w:r>
        <w:t>com,</w:t>
      </w:r>
      <w:r w:rsidRPr="00AA1F9E">
        <w:t xml:space="preserve"> June</w:t>
      </w:r>
      <w:r>
        <w:t xml:space="preserve"> 1,</w:t>
      </w:r>
      <w:r w:rsidRPr="00AA1F9E">
        <w:t xml:space="preserve"> 2011</w:t>
      </w:r>
      <w:r>
        <w:t xml:space="preserve">, accessed January 25, </w:t>
      </w:r>
      <w:r w:rsidRPr="00AA1F9E">
        <w:t>2017</w:t>
      </w:r>
      <w:r>
        <w:t xml:space="preserve">, </w:t>
      </w:r>
      <w:r w:rsidRPr="0078372B">
        <w:t>http://edition.cnn.com/2011/BUSINESS/06/01/tom.ford.interview.</w:t>
      </w:r>
    </w:p>
  </w:endnote>
  <w:endnote w:id="59">
    <w:p w14:paraId="227E0F64" w14:textId="32B5BE36" w:rsidR="001F24C4" w:rsidRPr="0078372B" w:rsidRDefault="001F24C4" w:rsidP="00CE39D1">
      <w:pPr>
        <w:pStyle w:val="Footnote"/>
      </w:pPr>
      <w:r w:rsidRPr="00AA1F9E">
        <w:rPr>
          <w:rStyle w:val="EndnoteReference"/>
          <w:sz w:val="16"/>
          <w:szCs w:val="16"/>
        </w:rPr>
        <w:endnoteRef/>
      </w:r>
      <w:r w:rsidRPr="0078372B">
        <w:t xml:space="preserve"> </w:t>
      </w:r>
      <w:r>
        <w:t xml:space="preserve">Ibid. </w:t>
      </w:r>
    </w:p>
  </w:endnote>
  <w:endnote w:id="60">
    <w:p w14:paraId="59212E1E" w14:textId="7B0A6369" w:rsidR="001F24C4" w:rsidRPr="00AA1F9E" w:rsidRDefault="001F24C4" w:rsidP="00CE39D1">
      <w:pPr>
        <w:pStyle w:val="Footnote"/>
      </w:pPr>
      <w:r w:rsidRPr="00AA1F9E">
        <w:rPr>
          <w:rStyle w:val="EndnoteReference"/>
          <w:sz w:val="16"/>
          <w:szCs w:val="16"/>
        </w:rPr>
        <w:endnoteRef/>
      </w:r>
      <w:r w:rsidRPr="0078372B">
        <w:t xml:space="preserve"> Venetia Van Hoorn Alkema, </w:t>
      </w:r>
      <w:r w:rsidR="009549B9">
        <w:t>“</w:t>
      </w:r>
      <w:r w:rsidRPr="0078372B">
        <w:t xml:space="preserve">Stefano </w:t>
      </w:r>
      <w:proofErr w:type="spellStart"/>
      <w:r w:rsidRPr="0078372B">
        <w:t>Pilati</w:t>
      </w:r>
      <w:proofErr w:type="spellEnd"/>
      <w:r w:rsidRPr="0078372B">
        <w:t>,</w:t>
      </w:r>
      <w:r w:rsidR="009549B9">
        <w:t>”</w:t>
      </w:r>
      <w:r>
        <w:t xml:space="preserve"> </w:t>
      </w:r>
      <w:r w:rsidRPr="0078372B">
        <w:rPr>
          <w:i/>
        </w:rPr>
        <w:t>British Vogue</w:t>
      </w:r>
      <w:r>
        <w:t>, March 8,</w:t>
      </w:r>
      <w:r w:rsidRPr="00AA1F9E">
        <w:t xml:space="preserve"> 2011</w:t>
      </w:r>
      <w:r>
        <w:t>, accessed November 12,</w:t>
      </w:r>
      <w:r w:rsidRPr="00AA1F9E">
        <w:t xml:space="preserve"> 2016</w:t>
      </w:r>
      <w:r>
        <w:t>, www</w:t>
      </w:r>
      <w:r w:rsidRPr="00AA1F9E">
        <w:t>.vogue.co.uk/article/stefano-pilati-biography</w:t>
      </w:r>
      <w:r>
        <w:t>.</w:t>
      </w:r>
    </w:p>
  </w:endnote>
  <w:endnote w:id="61">
    <w:p w14:paraId="68F316FA" w14:textId="0D79E3DF" w:rsidR="001F24C4" w:rsidRPr="00AA1F9E" w:rsidRDefault="001F24C4" w:rsidP="00CE39D1">
      <w:pPr>
        <w:pStyle w:val="Footnote"/>
      </w:pPr>
      <w:r w:rsidRPr="00AA1F9E">
        <w:rPr>
          <w:rStyle w:val="EndnoteReference"/>
          <w:sz w:val="16"/>
          <w:szCs w:val="16"/>
        </w:rPr>
        <w:endnoteRef/>
      </w:r>
      <w:r w:rsidRPr="00AA1F9E">
        <w:t xml:space="preserve"> </w:t>
      </w:r>
      <w:r>
        <w:t xml:space="preserve">Ibid. </w:t>
      </w:r>
    </w:p>
  </w:endnote>
  <w:endnote w:id="62">
    <w:p w14:paraId="50C56C1B" w14:textId="39DC4000" w:rsidR="001F24C4" w:rsidRPr="001A5A7B" w:rsidRDefault="001F24C4" w:rsidP="001A5A7B">
      <w:pPr>
        <w:pStyle w:val="Footnote"/>
      </w:pPr>
      <w:r w:rsidRPr="001A5A7B">
        <w:rPr>
          <w:rStyle w:val="EndnoteReference"/>
        </w:rPr>
        <w:endnoteRef/>
      </w:r>
      <w:r w:rsidRPr="001A5A7B">
        <w:t xml:space="preserve"> </w:t>
      </w:r>
      <w:r w:rsidRPr="00D02273">
        <w:t xml:space="preserve">Suzy </w:t>
      </w:r>
      <w:proofErr w:type="spellStart"/>
      <w:r w:rsidRPr="00D02273">
        <w:t>Menkes</w:t>
      </w:r>
      <w:proofErr w:type="spellEnd"/>
      <w:r w:rsidRPr="00D02273">
        <w:t xml:space="preserve">, </w:t>
      </w:r>
      <w:r w:rsidR="009549B9">
        <w:t>“</w:t>
      </w:r>
      <w:r w:rsidRPr="00D02273">
        <w:t xml:space="preserve">Fashion Houses Move to Tighten Brand Control: </w:t>
      </w:r>
      <w:r>
        <w:t>A License to Kill,</w:t>
      </w:r>
      <w:r w:rsidR="009549B9">
        <w:t>”</w:t>
      </w:r>
      <w:r w:rsidRPr="00D02273">
        <w:t xml:space="preserve"> </w:t>
      </w:r>
      <w:r w:rsidRPr="00B8303D">
        <w:rPr>
          <w:i/>
        </w:rPr>
        <w:t>New York Times</w:t>
      </w:r>
      <w:r w:rsidRPr="00D02273">
        <w:t>, July 4, 200</w:t>
      </w:r>
      <w:r>
        <w:t>0, accessed November 13, 2016,</w:t>
      </w:r>
      <w:r w:rsidRPr="00D02273">
        <w:t xml:space="preserve"> www.nytimes.com/2000/07/04/style/fashion-houses-move-to-tighten-brand-control-a-license-to-kill.html.</w:t>
      </w:r>
      <w:r w:rsidRPr="001A5A7B" w:rsidDel="00CD6E68">
        <w:t xml:space="preserve"> </w:t>
      </w:r>
    </w:p>
  </w:endnote>
  <w:endnote w:id="63">
    <w:p w14:paraId="40D1283E" w14:textId="0C6DC2E6" w:rsidR="001F24C4" w:rsidRPr="00AA1F9E" w:rsidRDefault="001F24C4" w:rsidP="00CE39D1">
      <w:pPr>
        <w:pStyle w:val="Footnote"/>
      </w:pPr>
      <w:r w:rsidRPr="00AA1F9E">
        <w:rPr>
          <w:rStyle w:val="EndnoteReference"/>
          <w:sz w:val="16"/>
          <w:szCs w:val="16"/>
        </w:rPr>
        <w:endnoteRef/>
      </w:r>
      <w:r w:rsidRPr="00AA1F9E">
        <w:t xml:space="preserve"> </w:t>
      </w:r>
      <w:r>
        <w:t xml:space="preserve">Ibid. </w:t>
      </w:r>
    </w:p>
  </w:endnote>
  <w:endnote w:id="64">
    <w:p w14:paraId="3301A399" w14:textId="66CA3794" w:rsidR="001F24C4" w:rsidRPr="00AA1F9E" w:rsidRDefault="001F24C4" w:rsidP="00CE39D1">
      <w:pPr>
        <w:pStyle w:val="Footnote"/>
      </w:pPr>
      <w:r w:rsidRPr="00AA1F9E">
        <w:rPr>
          <w:rStyle w:val="EndnoteReference"/>
          <w:sz w:val="16"/>
          <w:szCs w:val="16"/>
        </w:rPr>
        <w:endnoteRef/>
      </w:r>
      <w:r w:rsidRPr="00AA1F9E">
        <w:t xml:space="preserve"> </w:t>
      </w:r>
      <w:proofErr w:type="spellStart"/>
      <w:r w:rsidRPr="00AA1F9E">
        <w:t>Schiro</w:t>
      </w:r>
      <w:proofErr w:type="spellEnd"/>
      <w:r w:rsidRPr="00AA1F9E">
        <w:t xml:space="preserve">, </w:t>
      </w:r>
      <w:r>
        <w:t>op. cit.</w:t>
      </w:r>
      <w:r w:rsidRPr="00AA1F9E" w:rsidDel="00D3794C">
        <w:t xml:space="preserve"> </w:t>
      </w:r>
    </w:p>
  </w:endnote>
  <w:endnote w:id="65">
    <w:p w14:paraId="60EDEC96" w14:textId="782F61A9" w:rsidR="001F24C4" w:rsidRDefault="001F24C4" w:rsidP="00CE39D1">
      <w:pPr>
        <w:pStyle w:val="Footnote"/>
      </w:pPr>
      <w:r w:rsidRPr="00AA1F9E">
        <w:rPr>
          <w:rStyle w:val="EndnoteReference"/>
          <w:sz w:val="16"/>
          <w:szCs w:val="16"/>
        </w:rPr>
        <w:endnoteRef/>
      </w:r>
      <w:r w:rsidRPr="00AA1F9E">
        <w:t xml:space="preserve"> </w:t>
      </w:r>
      <w:r w:rsidR="009549B9">
        <w:t>“</w:t>
      </w:r>
      <w:r w:rsidRPr="00AA1F9E">
        <w:t xml:space="preserve">YSL: His Legacy Lives </w:t>
      </w:r>
      <w:r>
        <w:t>o</w:t>
      </w:r>
      <w:r w:rsidRPr="00AA1F9E">
        <w:t>n</w:t>
      </w:r>
      <w:r>
        <w:t>,</w:t>
      </w:r>
      <w:r w:rsidR="009549B9">
        <w:t>”</w:t>
      </w:r>
      <w:r w:rsidRPr="00AA1F9E">
        <w:t xml:space="preserve"> InStyle.com, </w:t>
      </w:r>
      <w:r>
        <w:t>February 1,</w:t>
      </w:r>
      <w:r w:rsidRPr="00AA1F9E">
        <w:t xml:space="preserve"> 2015</w:t>
      </w:r>
      <w:r>
        <w:t xml:space="preserve">, accessed January 25, </w:t>
      </w:r>
      <w:r w:rsidRPr="00AA1F9E">
        <w:t>2017</w:t>
      </w:r>
      <w:r>
        <w:t>, www</w:t>
      </w:r>
      <w:r w:rsidRPr="00AA1F9E">
        <w:t>.instyle.com/celebrity/ysl-his-legacy-lives</w:t>
      </w:r>
      <w:r>
        <w:t>.</w:t>
      </w:r>
    </w:p>
  </w:endnote>
  <w:endnote w:id="66">
    <w:p w14:paraId="229A25B0" w14:textId="247FF868" w:rsidR="001F24C4" w:rsidRPr="001A5A7B" w:rsidRDefault="001F24C4" w:rsidP="001A5A7B">
      <w:pPr>
        <w:pStyle w:val="Footnote"/>
      </w:pPr>
      <w:r w:rsidRPr="00BA118B">
        <w:rPr>
          <w:rStyle w:val="EndnoteReference"/>
        </w:rPr>
        <w:endnoteRef/>
      </w:r>
      <w:r w:rsidRPr="0078372B">
        <w:rPr>
          <w:vertAlign w:val="superscript"/>
        </w:rPr>
        <w:t xml:space="preserve"> </w:t>
      </w:r>
      <w:r>
        <w:t>Lauren</w:t>
      </w:r>
      <w:r w:rsidRPr="0090562A">
        <w:t xml:space="preserve"> Milligan, </w:t>
      </w:r>
      <w:r w:rsidR="009549B9">
        <w:t>“</w:t>
      </w:r>
      <w:r w:rsidRPr="0090562A">
        <w:t>YSL Couture?</w:t>
      </w:r>
      <w:r w:rsidR="009549B9">
        <w:t>”</w:t>
      </w:r>
      <w:r w:rsidRPr="0090562A">
        <w:t xml:space="preserve"> </w:t>
      </w:r>
      <w:r w:rsidRPr="00B8303D">
        <w:rPr>
          <w:i/>
        </w:rPr>
        <w:t>Vogue</w:t>
      </w:r>
      <w:r w:rsidRPr="0090562A">
        <w:t>, July</w:t>
      </w:r>
      <w:r>
        <w:t xml:space="preserve"> 17, 2012, accessed</w:t>
      </w:r>
      <w:r w:rsidRPr="0090562A">
        <w:t xml:space="preserve"> July</w:t>
      </w:r>
      <w:r>
        <w:t xml:space="preserve"> 27, 2017, </w:t>
      </w:r>
      <w:r w:rsidRPr="0090562A">
        <w:t>www.vogue.co.uk/article/hedi-slimane-yves-saint-laurent-paris-couture-return</w:t>
      </w:r>
      <w:r>
        <w:t>.</w:t>
      </w:r>
    </w:p>
  </w:endnote>
  <w:endnote w:id="67">
    <w:p w14:paraId="0EA499B2" w14:textId="6259EB49" w:rsidR="001F24C4" w:rsidRPr="00F773EB" w:rsidRDefault="001F24C4" w:rsidP="00CE39D1">
      <w:pPr>
        <w:pStyle w:val="Footnote"/>
      </w:pPr>
      <w:r w:rsidRPr="00E87E89">
        <w:rPr>
          <w:vertAlign w:val="superscript"/>
        </w:rPr>
        <w:endnoteRef/>
      </w:r>
      <w:r w:rsidRPr="00F773EB">
        <w:t xml:space="preserve"> </w:t>
      </w:r>
      <w:r w:rsidRPr="00184FA6">
        <w:rPr>
          <w:rFonts w:hint="eastAsia"/>
        </w:rPr>
        <w:t>€</w:t>
      </w:r>
      <w:r w:rsidRPr="00184FA6">
        <w:t xml:space="preserve">1 = </w:t>
      </w:r>
      <w:r>
        <w:t>£</w:t>
      </w:r>
      <w:r w:rsidRPr="00184FA6">
        <w:t>0.8331 on December 31, 2011</w:t>
      </w:r>
      <w:r>
        <w:t>.</w:t>
      </w:r>
    </w:p>
  </w:endnote>
  <w:endnote w:id="68">
    <w:p w14:paraId="5BA90373" w14:textId="15A0063E" w:rsidR="001F24C4" w:rsidRPr="00BA118B" w:rsidRDefault="001F24C4" w:rsidP="00BA118B">
      <w:pPr>
        <w:pStyle w:val="Footnote"/>
      </w:pPr>
      <w:r w:rsidRPr="0078372B">
        <w:rPr>
          <w:rStyle w:val="EndnoteReference"/>
        </w:rPr>
        <w:endnoteRef/>
      </w:r>
      <w:r w:rsidRPr="00BA118B">
        <w:t xml:space="preserve"> </w:t>
      </w:r>
      <w:r>
        <w:t>Ella</w:t>
      </w:r>
      <w:r w:rsidRPr="003A7324">
        <w:t xml:space="preserve"> </w:t>
      </w:r>
      <w:r w:rsidRPr="0078372B">
        <w:t xml:space="preserve">Alexander, </w:t>
      </w:r>
      <w:r w:rsidR="009549B9">
        <w:t>“</w:t>
      </w:r>
      <w:r w:rsidRPr="0078372B">
        <w:t xml:space="preserve">The Fashion World Reacts to </w:t>
      </w:r>
      <w:proofErr w:type="spellStart"/>
      <w:r w:rsidRPr="0078372B">
        <w:t>Slimane’s</w:t>
      </w:r>
      <w:proofErr w:type="spellEnd"/>
      <w:r w:rsidRPr="0078372B">
        <w:t xml:space="preserve"> Debut</w:t>
      </w:r>
      <w:r>
        <w:t>,</w:t>
      </w:r>
      <w:r w:rsidR="009549B9">
        <w:t>”</w:t>
      </w:r>
      <w:r w:rsidRPr="0078372B">
        <w:t xml:space="preserve"> </w:t>
      </w:r>
      <w:r w:rsidRPr="0078372B">
        <w:rPr>
          <w:i/>
        </w:rPr>
        <w:t>British Vogue</w:t>
      </w:r>
      <w:r>
        <w:t>,</w:t>
      </w:r>
      <w:r w:rsidRPr="0078372B">
        <w:t xml:space="preserve"> Aug</w:t>
      </w:r>
      <w:r>
        <w:t>ust 20,</w:t>
      </w:r>
      <w:r w:rsidRPr="0078372B">
        <w:t xml:space="preserve"> 2016, accessed January 25, 2017, www.vogue.co.uk/article/hedi-slimane-yves-saint-laurent-debut-fashion-reactions.</w:t>
      </w:r>
    </w:p>
  </w:endnote>
  <w:endnote w:id="69">
    <w:p w14:paraId="0E5A3888" w14:textId="201185D5" w:rsidR="001F24C4" w:rsidRDefault="001F24C4" w:rsidP="00356EF7">
      <w:pPr>
        <w:pStyle w:val="Footnote"/>
      </w:pPr>
      <w:r w:rsidRPr="00356EF7">
        <w:rPr>
          <w:rStyle w:val="EndnoteReference"/>
        </w:rPr>
        <w:endnoteRef/>
      </w:r>
      <w:r>
        <w:t xml:space="preserve"> </w:t>
      </w:r>
      <w:r w:rsidRPr="00A556EC">
        <w:t xml:space="preserve">Lauretta Roberts, </w:t>
      </w:r>
      <w:r w:rsidR="009549B9">
        <w:t>“</w:t>
      </w:r>
      <w:r w:rsidRPr="00A556EC">
        <w:t xml:space="preserve">Who Next for Yves Saint Laurent After </w:t>
      </w:r>
      <w:proofErr w:type="spellStart"/>
      <w:r w:rsidRPr="00A556EC">
        <w:t>Slimane</w:t>
      </w:r>
      <w:proofErr w:type="spellEnd"/>
      <w:r w:rsidRPr="00A556EC">
        <w:t xml:space="preserve"> Departure is Confirmed</w:t>
      </w:r>
      <w:proofErr w:type="gramStart"/>
      <w:r w:rsidRPr="00A556EC">
        <w:t>?,</w:t>
      </w:r>
      <w:proofErr w:type="gramEnd"/>
      <w:r w:rsidR="009549B9">
        <w:t>”</w:t>
      </w:r>
      <w:r w:rsidRPr="00A556EC">
        <w:t xml:space="preserve"> Industry, April 1, 2016</w:t>
      </w:r>
      <w:r w:rsidRPr="00A94430">
        <w:t>, accessed July 29, 2017, www.theindustrylondon.com/saint-laurent-confirms-departure-of-creative-chief-hedi-slimane.</w:t>
      </w:r>
    </w:p>
  </w:endnote>
  <w:endnote w:id="70">
    <w:p w14:paraId="3F38EDB8" w14:textId="19A17464" w:rsidR="001F24C4" w:rsidRDefault="001F24C4" w:rsidP="00356EF7">
      <w:pPr>
        <w:pStyle w:val="Footnote"/>
      </w:pPr>
      <w:r w:rsidRPr="00356EF7">
        <w:rPr>
          <w:rStyle w:val="EndnoteReference"/>
        </w:rPr>
        <w:endnoteRef/>
      </w:r>
      <w:r>
        <w:t xml:space="preserve"> Ibid. </w:t>
      </w:r>
    </w:p>
  </w:endnote>
  <w:endnote w:id="71">
    <w:p w14:paraId="7DF63F0C" w14:textId="6AC9CBF2" w:rsidR="001F24C4" w:rsidRPr="00AA1F9E" w:rsidRDefault="001F24C4" w:rsidP="00CE39D1">
      <w:pPr>
        <w:pStyle w:val="Footnote"/>
      </w:pPr>
      <w:r w:rsidRPr="00E87E89">
        <w:rPr>
          <w:vertAlign w:val="superscript"/>
        </w:rPr>
        <w:endnoteRef/>
      </w:r>
      <w:r w:rsidRPr="00B8303D">
        <w:rPr>
          <w:rStyle w:val="EndnoteReference"/>
          <w:rFonts w:ascii="Times New Roman" w:hAnsi="Times New Roman" w:cs="Times New Roman"/>
          <w:sz w:val="20"/>
          <w:szCs w:val="20"/>
        </w:rPr>
        <w:t xml:space="preserve"> </w:t>
      </w:r>
      <w:r w:rsidRPr="00AA1F9E">
        <w:t>Nathan</w:t>
      </w:r>
      <w:r w:rsidRPr="00CD6E68">
        <w:t xml:space="preserve"> </w:t>
      </w:r>
      <w:r>
        <w:t>Heller,</w:t>
      </w:r>
      <w:r w:rsidRPr="00AA1F9E">
        <w:t xml:space="preserve"> </w:t>
      </w:r>
      <w:r w:rsidR="009549B9">
        <w:t>“</w:t>
      </w:r>
      <w:proofErr w:type="spellStart"/>
      <w:r w:rsidRPr="00AA1F9E">
        <w:t>Hedi</w:t>
      </w:r>
      <w:proofErr w:type="spellEnd"/>
      <w:r w:rsidRPr="00AA1F9E">
        <w:t xml:space="preserve"> </w:t>
      </w:r>
      <w:proofErr w:type="spellStart"/>
      <w:r w:rsidRPr="00AA1F9E">
        <w:t>Slimane</w:t>
      </w:r>
      <w:proofErr w:type="spellEnd"/>
      <w:r w:rsidRPr="00AA1F9E">
        <w:t xml:space="preserve"> Thrills and Scandalizes as Creative Director of Saint Laurent</w:t>
      </w:r>
      <w:r>
        <w:t>,</w:t>
      </w:r>
      <w:r w:rsidR="009549B9">
        <w:t>”</w:t>
      </w:r>
      <w:r>
        <w:t xml:space="preserve"> </w:t>
      </w:r>
      <w:r w:rsidRPr="0078372B">
        <w:rPr>
          <w:i/>
        </w:rPr>
        <w:t>Vogue</w:t>
      </w:r>
      <w:r>
        <w:t>,</w:t>
      </w:r>
      <w:r w:rsidRPr="00AA1F9E">
        <w:t xml:space="preserve"> Aug</w:t>
      </w:r>
      <w:r>
        <w:t>ust 27,</w:t>
      </w:r>
      <w:r w:rsidRPr="00AA1F9E">
        <w:t xml:space="preserve"> 2013</w:t>
      </w:r>
      <w:r>
        <w:t>, accessed November 12,</w:t>
      </w:r>
      <w:r w:rsidRPr="00AA1F9E">
        <w:t xml:space="preserve"> 2016</w:t>
      </w:r>
      <w:r>
        <w:t>, www</w:t>
      </w:r>
      <w:r w:rsidRPr="00AA1F9E">
        <w:t>.vogue.com/865208/hedi-slimane-thrills-and-scandalizes-as-creative-director-of-saint-laurent/#1</w:t>
      </w:r>
      <w:r>
        <w:t>.</w:t>
      </w:r>
    </w:p>
  </w:endnote>
  <w:endnote w:id="72">
    <w:p w14:paraId="6ADD9B41" w14:textId="562BF265" w:rsidR="001F24C4" w:rsidRPr="001A5A7B" w:rsidRDefault="001F24C4" w:rsidP="001A5A7B">
      <w:pPr>
        <w:pStyle w:val="Footnote"/>
      </w:pPr>
      <w:r w:rsidRPr="008D0234">
        <w:rPr>
          <w:rStyle w:val="EndnoteReference"/>
        </w:rPr>
        <w:endnoteRef/>
      </w:r>
      <w:r w:rsidRPr="001A5A7B">
        <w:t xml:space="preserve"> </w:t>
      </w:r>
      <w:proofErr w:type="spellStart"/>
      <w:r>
        <w:t>Letessier</w:t>
      </w:r>
      <w:proofErr w:type="spellEnd"/>
      <w:r>
        <w:t>, op. cit.</w:t>
      </w:r>
    </w:p>
  </w:endnote>
  <w:endnote w:id="73">
    <w:p w14:paraId="5299FC08" w14:textId="6EFEFEF4" w:rsidR="001F24C4" w:rsidRPr="00AA1F9E" w:rsidRDefault="001F24C4" w:rsidP="00CE39D1">
      <w:pPr>
        <w:pStyle w:val="Footnote"/>
      </w:pPr>
      <w:r w:rsidRPr="00B8303D">
        <w:rPr>
          <w:rStyle w:val="EndnoteReference"/>
        </w:rPr>
        <w:endnoteRef/>
      </w:r>
      <w:r w:rsidRPr="00B8303D">
        <w:rPr>
          <w:rStyle w:val="EndnoteReference"/>
        </w:rPr>
        <w:t xml:space="preserve"> </w:t>
      </w:r>
      <w:r w:rsidRPr="00AA1F9E">
        <w:t xml:space="preserve">Heller, </w:t>
      </w:r>
      <w:r>
        <w:t>op. cit.</w:t>
      </w:r>
    </w:p>
  </w:endnote>
  <w:endnote w:id="74">
    <w:p w14:paraId="78669CA3" w14:textId="109A2D27" w:rsidR="001F24C4" w:rsidRPr="00AA1F9E" w:rsidRDefault="001F24C4" w:rsidP="00CE39D1">
      <w:pPr>
        <w:pStyle w:val="Footnote"/>
      </w:pPr>
      <w:r w:rsidRPr="00B8303D">
        <w:rPr>
          <w:rStyle w:val="EndnoteReference"/>
        </w:rPr>
        <w:endnoteRef/>
      </w:r>
      <w:r w:rsidRPr="00B8303D">
        <w:rPr>
          <w:rStyle w:val="EndnoteReference"/>
        </w:rPr>
        <w:t xml:space="preserve"> </w:t>
      </w:r>
      <w:r w:rsidRPr="0078372B">
        <w:t xml:space="preserve">Steff </w:t>
      </w:r>
      <w:proofErr w:type="spellStart"/>
      <w:r w:rsidRPr="0078372B">
        <w:t>Yotka</w:t>
      </w:r>
      <w:proofErr w:type="spellEnd"/>
      <w:r w:rsidRPr="0078372B">
        <w:t xml:space="preserve">, </w:t>
      </w:r>
      <w:r w:rsidR="009549B9">
        <w:t>“</w:t>
      </w:r>
      <w:r w:rsidRPr="0078372B">
        <w:t>Saint Laurent Moves Its Men’s and Women’s Shows to Los Angeles</w:t>
      </w:r>
      <w:r>
        <w:t>,</w:t>
      </w:r>
      <w:r w:rsidR="009549B9">
        <w:t>”</w:t>
      </w:r>
      <w:r w:rsidRPr="0078372B">
        <w:t xml:space="preserve"> </w:t>
      </w:r>
      <w:r w:rsidRPr="00356EF7">
        <w:rPr>
          <w:i/>
        </w:rPr>
        <w:t>Vogue</w:t>
      </w:r>
      <w:r>
        <w:t>,</w:t>
      </w:r>
      <w:r w:rsidRPr="0078372B">
        <w:t xml:space="preserve"> Jan</w:t>
      </w:r>
      <w:r>
        <w:t>uary 13,</w:t>
      </w:r>
      <w:r w:rsidRPr="0078372B">
        <w:t xml:space="preserve"> 2016, accessed January 26, 2017, www.vogue.com/13387119/saint-laurent-moves-fall-2016-show-to-los-angeles.</w:t>
      </w:r>
    </w:p>
  </w:endnote>
  <w:endnote w:id="75">
    <w:p w14:paraId="34F6004E" w14:textId="28D5B370" w:rsidR="001F24C4" w:rsidRPr="001A5A7B" w:rsidRDefault="001F24C4" w:rsidP="001A5A7B">
      <w:pPr>
        <w:pStyle w:val="Footnote"/>
      </w:pPr>
      <w:r w:rsidRPr="008D0234">
        <w:rPr>
          <w:rStyle w:val="EndnoteReference"/>
        </w:rPr>
        <w:endnoteRef/>
      </w:r>
      <w:r>
        <w:t xml:space="preserve"> Natalie</w:t>
      </w:r>
      <w:r w:rsidRPr="00E476DC">
        <w:t xml:space="preserve"> </w:t>
      </w:r>
      <w:r>
        <w:t>Wall,</w:t>
      </w:r>
      <w:r w:rsidRPr="00AF682B">
        <w:t xml:space="preserve"> </w:t>
      </w:r>
      <w:r w:rsidR="009549B9">
        <w:t>“</w:t>
      </w:r>
      <w:r w:rsidRPr="009B3DE2">
        <w:t>Marilyn Manson is Saint</w:t>
      </w:r>
      <w:r>
        <w:t xml:space="preserve"> Laurent’s New Muse. No, Really,</w:t>
      </w:r>
      <w:r w:rsidR="009549B9">
        <w:t>”</w:t>
      </w:r>
      <w:r w:rsidRPr="00AF682B">
        <w:t xml:space="preserve"> </w:t>
      </w:r>
      <w:r w:rsidRPr="00B8303D">
        <w:rPr>
          <w:i/>
        </w:rPr>
        <w:t>Cosmopolitan</w:t>
      </w:r>
      <w:r w:rsidRPr="00AF682B">
        <w:t xml:space="preserve">, </w:t>
      </w:r>
      <w:r>
        <w:t xml:space="preserve">April 2, 2013, accessed </w:t>
      </w:r>
      <w:r w:rsidRPr="00AF682B">
        <w:t>July</w:t>
      </w:r>
      <w:r>
        <w:t xml:space="preserve"> 29, 2017, </w:t>
      </w:r>
      <w:r w:rsidRPr="00B8303D">
        <w:t>www.cosmopolitan.com/uk/fashion/news/a19612/marilyn-manson-stars-in-new-saint-laurent-campaign</w:t>
      </w:r>
      <w:r>
        <w:t xml:space="preserve">; </w:t>
      </w:r>
      <w:r w:rsidRPr="001A5A7B">
        <w:t xml:space="preserve">Michael Schrage, </w:t>
      </w:r>
      <w:r w:rsidR="009549B9">
        <w:t>“</w:t>
      </w:r>
      <w:r w:rsidRPr="001A5A7B">
        <w:t>To Inspire Innovation, Get a Muse,</w:t>
      </w:r>
      <w:r w:rsidR="009549B9">
        <w:t>”</w:t>
      </w:r>
      <w:r w:rsidRPr="001A5A7B">
        <w:t xml:space="preserve"> </w:t>
      </w:r>
      <w:r w:rsidRPr="0078372B">
        <w:rPr>
          <w:i/>
        </w:rPr>
        <w:t>Harvard Business Review</w:t>
      </w:r>
      <w:r>
        <w:t xml:space="preserve">, </w:t>
      </w:r>
      <w:r w:rsidRPr="001A5A7B">
        <w:t>January 6, 2012, accessed June 12, 2016</w:t>
      </w:r>
      <w:r>
        <w:t>,</w:t>
      </w:r>
      <w:r w:rsidRPr="001A5A7B">
        <w:t xml:space="preserve"> https://hbr.org/2012/01/need-innovation-inspiration-ge.</w:t>
      </w:r>
    </w:p>
  </w:endnote>
  <w:endnote w:id="76">
    <w:p w14:paraId="5C76799D" w14:textId="65E4F22F" w:rsidR="001F24C4" w:rsidRPr="00AA1F9E" w:rsidRDefault="001F24C4" w:rsidP="00CE39D1">
      <w:pPr>
        <w:pStyle w:val="Footnote"/>
        <w:rPr>
          <w:kern w:val="0"/>
        </w:rPr>
      </w:pPr>
      <w:r w:rsidRPr="00B8303D">
        <w:rPr>
          <w:rStyle w:val="EndnoteReference"/>
        </w:rPr>
        <w:endnoteRef/>
      </w:r>
      <w:r w:rsidRPr="00B8303D">
        <w:rPr>
          <w:rStyle w:val="EndnoteReference"/>
        </w:rPr>
        <w:t xml:space="preserve"> </w:t>
      </w:r>
      <w:r w:rsidRPr="00AA1F9E">
        <w:t>Alex</w:t>
      </w:r>
      <w:r w:rsidRPr="00AB3E70">
        <w:t xml:space="preserve"> </w:t>
      </w:r>
      <w:r>
        <w:t>Needham,</w:t>
      </w:r>
      <w:r w:rsidRPr="00AA1F9E">
        <w:t xml:space="preserve"> </w:t>
      </w:r>
      <w:r w:rsidR="009549B9">
        <w:t>“</w:t>
      </w:r>
      <w:proofErr w:type="spellStart"/>
      <w:r w:rsidRPr="00AA1F9E">
        <w:t>Hedi</w:t>
      </w:r>
      <w:proofErr w:type="spellEnd"/>
      <w:r w:rsidRPr="00AA1F9E">
        <w:t xml:space="preserve"> </w:t>
      </w:r>
      <w:proofErr w:type="spellStart"/>
      <w:r w:rsidRPr="00AA1F9E">
        <w:t>Slimane</w:t>
      </w:r>
      <w:proofErr w:type="spellEnd"/>
      <w:r w:rsidRPr="00AA1F9E">
        <w:t xml:space="preserve"> Lifts the Lid on Saint Laurent</w:t>
      </w:r>
      <w:r>
        <w:t>,</w:t>
      </w:r>
      <w:r w:rsidR="009549B9">
        <w:t>”</w:t>
      </w:r>
      <w:r>
        <w:t xml:space="preserve"> </w:t>
      </w:r>
      <w:r w:rsidRPr="0078372B">
        <w:rPr>
          <w:i/>
        </w:rPr>
        <w:t>Guardian</w:t>
      </w:r>
      <w:r>
        <w:t>,</w:t>
      </w:r>
      <w:r w:rsidRPr="00AA1F9E">
        <w:t xml:space="preserve"> Sept</w:t>
      </w:r>
      <w:r>
        <w:t>ember 19,</w:t>
      </w:r>
      <w:r w:rsidRPr="00AA1F9E">
        <w:t xml:space="preserve"> 2013</w:t>
      </w:r>
      <w:r>
        <w:t>, accessed November 12,</w:t>
      </w:r>
      <w:r w:rsidRPr="00AA1F9E">
        <w:t xml:space="preserve"> 2016</w:t>
      </w:r>
      <w:r>
        <w:t xml:space="preserve">, </w:t>
      </w:r>
      <w:r w:rsidRPr="00AA1F9E">
        <w:t>www.theguardian.com/fashion/2013/sep/19/hedi-slimane-yves-saint-laurent-ysl</w:t>
      </w:r>
      <w:r>
        <w:t>.</w:t>
      </w:r>
    </w:p>
  </w:endnote>
  <w:endnote w:id="77">
    <w:p w14:paraId="706049A4" w14:textId="0FCA8254" w:rsidR="001F24C4" w:rsidRPr="00737102" w:rsidRDefault="001F24C4" w:rsidP="00EC1F71">
      <w:pPr>
        <w:pStyle w:val="Footnote"/>
        <w:rPr>
          <w:rFonts w:ascii="Times New Roman" w:hAnsi="Times New Roman" w:cs="Times New Roman"/>
        </w:rPr>
      </w:pPr>
      <w:r w:rsidRPr="00B8303D">
        <w:rPr>
          <w:rStyle w:val="EndnoteReference"/>
        </w:rPr>
        <w:endnoteRef/>
      </w:r>
      <w:r w:rsidRPr="00B8303D">
        <w:rPr>
          <w:rStyle w:val="EndnoteReference"/>
        </w:rPr>
        <w:t xml:space="preserve"> </w:t>
      </w:r>
      <w:r>
        <w:t>Ibid.</w:t>
      </w:r>
    </w:p>
  </w:endnote>
  <w:endnote w:id="78">
    <w:p w14:paraId="48246E9A" w14:textId="0BC4F44C" w:rsidR="001F24C4" w:rsidRPr="00AA1F9E" w:rsidRDefault="001F24C4" w:rsidP="00CE39D1">
      <w:pPr>
        <w:pStyle w:val="Footnote"/>
      </w:pPr>
      <w:r w:rsidRPr="00B8303D">
        <w:rPr>
          <w:rStyle w:val="EndnoteReference"/>
        </w:rPr>
        <w:endnoteRef/>
      </w:r>
      <w:r w:rsidRPr="00B8303D">
        <w:rPr>
          <w:rStyle w:val="EndnoteReference"/>
        </w:rPr>
        <w:t xml:space="preserve"> </w:t>
      </w:r>
      <w:r w:rsidRPr="00AA1F9E">
        <w:t>Elizabeth</w:t>
      </w:r>
      <w:r w:rsidRPr="000A5B09">
        <w:t xml:space="preserve"> </w:t>
      </w:r>
      <w:r w:rsidRPr="00AA1F9E">
        <w:t xml:space="preserve">Snead, </w:t>
      </w:r>
      <w:r w:rsidR="009549B9">
        <w:t>“</w:t>
      </w:r>
      <w:proofErr w:type="spellStart"/>
      <w:r w:rsidRPr="00AA1F9E">
        <w:t>Hedi</w:t>
      </w:r>
      <w:proofErr w:type="spellEnd"/>
      <w:r w:rsidRPr="00AA1F9E">
        <w:t xml:space="preserve"> </w:t>
      </w:r>
      <w:proofErr w:type="spellStart"/>
      <w:r w:rsidRPr="00AA1F9E">
        <w:t>Slimane</w:t>
      </w:r>
      <w:proofErr w:type="spellEnd"/>
      <w:r w:rsidRPr="00AA1F9E">
        <w:t xml:space="preserve"> to Launch New Yves Saint Laurent Website (Video)</w:t>
      </w:r>
      <w:r>
        <w:t>,</w:t>
      </w:r>
      <w:r w:rsidR="009549B9">
        <w:t>”</w:t>
      </w:r>
      <w:r w:rsidRPr="00AA1F9E">
        <w:t xml:space="preserve"> Hollywood Reporter</w:t>
      </w:r>
      <w:r>
        <w:t>,</w:t>
      </w:r>
      <w:r w:rsidRPr="00AA1F9E">
        <w:t xml:space="preserve"> Oct</w:t>
      </w:r>
      <w:r>
        <w:t>ober 1,</w:t>
      </w:r>
      <w:r w:rsidRPr="00AA1F9E">
        <w:t xml:space="preserve"> 2012</w:t>
      </w:r>
      <w:r>
        <w:t xml:space="preserve">, accessed January 25, </w:t>
      </w:r>
      <w:r w:rsidRPr="00AA1F9E">
        <w:t>2017</w:t>
      </w:r>
      <w:r>
        <w:t>, www</w:t>
      </w:r>
      <w:r w:rsidRPr="00AA1F9E">
        <w:t>.hollywoodrep</w:t>
      </w:r>
      <w:bookmarkStart w:id="0" w:name="_GoBack"/>
      <w:bookmarkEnd w:id="0"/>
      <w:r w:rsidRPr="00AA1F9E">
        <w:t>orter.com/fash-track/hedi-slimane-yves-saint-laurent-website-375355</w:t>
      </w:r>
      <w:r>
        <w:t>.</w:t>
      </w:r>
    </w:p>
  </w:endnote>
  <w:endnote w:id="79">
    <w:p w14:paraId="38B3D95F" w14:textId="47194A31" w:rsidR="001F24C4" w:rsidRPr="00AA1F9E" w:rsidRDefault="001F24C4" w:rsidP="00CE39D1">
      <w:pPr>
        <w:pStyle w:val="Footnote"/>
      </w:pPr>
      <w:r w:rsidRPr="00AA1F9E">
        <w:rPr>
          <w:rStyle w:val="EndnoteReference"/>
          <w:sz w:val="16"/>
          <w:szCs w:val="16"/>
        </w:rPr>
        <w:endnoteRef/>
      </w:r>
      <w:r w:rsidRPr="00AA1F9E">
        <w:t xml:space="preserve"> </w:t>
      </w:r>
      <w:r w:rsidRPr="005566DA">
        <w:t xml:space="preserve">Wall, </w:t>
      </w:r>
      <w:r>
        <w:t>op. cit.</w:t>
      </w:r>
    </w:p>
  </w:endnote>
  <w:endnote w:id="80">
    <w:p w14:paraId="29F94BE4" w14:textId="47BFE671" w:rsidR="001F24C4" w:rsidRPr="000A5B09" w:rsidRDefault="001F24C4" w:rsidP="000A5B09">
      <w:pPr>
        <w:pStyle w:val="Footnote"/>
      </w:pPr>
      <w:r w:rsidRPr="0078372B">
        <w:rPr>
          <w:rStyle w:val="EndnoteReference"/>
        </w:rPr>
        <w:endnoteRef/>
      </w:r>
      <w:r w:rsidRPr="000A5B09">
        <w:t xml:space="preserve"> </w:t>
      </w:r>
      <w:r w:rsidRPr="0078372B">
        <w:t>Allison</w:t>
      </w:r>
      <w:r w:rsidRPr="000A5B09">
        <w:t xml:space="preserve"> </w:t>
      </w:r>
      <w:r>
        <w:t xml:space="preserve">P. </w:t>
      </w:r>
      <w:r w:rsidRPr="003A7324">
        <w:t>Davis,</w:t>
      </w:r>
      <w:r w:rsidRPr="0078372B">
        <w:t xml:space="preserve"> </w:t>
      </w:r>
      <w:r w:rsidR="009549B9">
        <w:t>“</w:t>
      </w:r>
      <w:proofErr w:type="spellStart"/>
      <w:r w:rsidRPr="0078372B">
        <w:t>Hedi</w:t>
      </w:r>
      <w:proofErr w:type="spellEnd"/>
      <w:r w:rsidRPr="0078372B">
        <w:t xml:space="preserve"> </w:t>
      </w:r>
      <w:proofErr w:type="spellStart"/>
      <w:r w:rsidRPr="0078372B">
        <w:t>Slimane</w:t>
      </w:r>
      <w:proofErr w:type="spellEnd"/>
      <w:r w:rsidRPr="0078372B">
        <w:t xml:space="preserve"> </w:t>
      </w:r>
      <w:r>
        <w:t>i</w:t>
      </w:r>
      <w:r w:rsidRPr="0078372B">
        <w:t xml:space="preserve">s </w:t>
      </w:r>
      <w:r>
        <w:t>n</w:t>
      </w:r>
      <w:r w:rsidRPr="0078372B">
        <w:t>ot Amused by Parody Tees</w:t>
      </w:r>
      <w:r>
        <w:t>,</w:t>
      </w:r>
      <w:r w:rsidR="009549B9">
        <w:t>”</w:t>
      </w:r>
      <w:r w:rsidRPr="0078372B">
        <w:t xml:space="preserve"> The Cut</w:t>
      </w:r>
      <w:r>
        <w:t>,</w:t>
      </w:r>
      <w:r w:rsidRPr="0078372B">
        <w:t xml:space="preserve"> Oct</w:t>
      </w:r>
      <w:r>
        <w:t>ober 1,</w:t>
      </w:r>
      <w:r w:rsidRPr="0078372B">
        <w:t xml:space="preserve"> 2013, accessed January 26, 2017, http://nymag.com/thecut/2013/10/hedi-slimane-is-not-amused-by-parody-tees.html.</w:t>
      </w:r>
    </w:p>
  </w:endnote>
  <w:endnote w:id="81">
    <w:p w14:paraId="5BE12A57" w14:textId="03BBD304" w:rsidR="001F24C4" w:rsidRPr="001A5A7B" w:rsidRDefault="001F24C4" w:rsidP="001A5A7B">
      <w:pPr>
        <w:pStyle w:val="Footnote"/>
      </w:pPr>
      <w:r w:rsidRPr="0077031E">
        <w:rPr>
          <w:rStyle w:val="EndnoteReference"/>
        </w:rPr>
        <w:endnoteRef/>
      </w:r>
      <w:r w:rsidRPr="001A5A7B">
        <w:t xml:space="preserve"> Paton, </w:t>
      </w:r>
      <w:r>
        <w:t>op. cit.</w:t>
      </w:r>
    </w:p>
  </w:endnote>
  <w:endnote w:id="82">
    <w:p w14:paraId="03451E18" w14:textId="2425120E" w:rsidR="001F24C4" w:rsidRPr="0078372B" w:rsidRDefault="001F24C4" w:rsidP="0078372B">
      <w:pPr>
        <w:pStyle w:val="Footnote"/>
        <w:outlineLvl w:val="0"/>
      </w:pPr>
      <w:r w:rsidRPr="0078372B">
        <w:rPr>
          <w:rStyle w:val="EndnoteReference"/>
        </w:rPr>
        <w:endnoteRef/>
      </w:r>
      <w:r w:rsidRPr="00537D2C">
        <w:t xml:space="preserve"> </w:t>
      </w:r>
      <w:r w:rsidR="009549B9">
        <w:t>“</w:t>
      </w:r>
      <w:r>
        <w:t>Brands</w:t>
      </w:r>
      <w:r w:rsidRPr="001B5760">
        <w:t xml:space="preserve"> Key Figures,</w:t>
      </w:r>
      <w:r w:rsidR="009549B9">
        <w:t>”</w:t>
      </w:r>
      <w:r w:rsidRPr="001B5760">
        <w:t xml:space="preserve"> </w:t>
      </w:r>
      <w:proofErr w:type="spellStart"/>
      <w:r w:rsidRPr="001B5760">
        <w:t>Kering</w:t>
      </w:r>
      <w:proofErr w:type="spellEnd"/>
      <w:r w:rsidRPr="001B5760">
        <w:t xml:space="preserve"> Group</w:t>
      </w:r>
      <w:r>
        <w:t>, accessed June 10, 2016, www.</w:t>
      </w:r>
      <w:r w:rsidRPr="001B5760">
        <w:t>kering.com/en/finance/group/brands-key-figures</w:t>
      </w:r>
      <w:r>
        <w:t>.</w:t>
      </w:r>
      <w:r w:rsidRPr="001B5760">
        <w:t xml:space="preserve"> </w:t>
      </w:r>
    </w:p>
  </w:endnote>
  <w:endnote w:id="83">
    <w:p w14:paraId="0DA04169" w14:textId="671E7824" w:rsidR="001F24C4" w:rsidRPr="0078372B" w:rsidRDefault="001F24C4" w:rsidP="008D1AD8">
      <w:pPr>
        <w:pStyle w:val="Footnote"/>
      </w:pPr>
      <w:r w:rsidRPr="0078372B">
        <w:rPr>
          <w:rStyle w:val="EndnoteReference"/>
        </w:rPr>
        <w:endnoteRef/>
      </w:r>
      <w:r w:rsidRPr="0078372B">
        <w:t xml:space="preserve"> </w:t>
      </w:r>
      <w:r>
        <w:t xml:space="preserve">Ibid. </w:t>
      </w:r>
    </w:p>
  </w:endnote>
  <w:endnote w:id="84">
    <w:p w14:paraId="57F9FF95" w14:textId="6BDD91D0" w:rsidR="001F24C4" w:rsidRDefault="001F24C4" w:rsidP="00CE39D1">
      <w:pPr>
        <w:pStyle w:val="Footnote"/>
      </w:pPr>
      <w:r w:rsidRPr="00AA1F9E">
        <w:rPr>
          <w:rStyle w:val="EndnoteReference"/>
          <w:sz w:val="16"/>
          <w:szCs w:val="16"/>
        </w:rPr>
        <w:endnoteRef/>
      </w:r>
      <w:r>
        <w:t xml:space="preserve"> </w:t>
      </w:r>
      <w:r w:rsidRPr="00F773EB">
        <w:t xml:space="preserve">Friedman, </w:t>
      </w:r>
      <w:r>
        <w:t>op. cit.</w:t>
      </w:r>
    </w:p>
  </w:endnote>
  <w:endnote w:id="85">
    <w:p w14:paraId="2CCEEEF1" w14:textId="0D6359FF" w:rsidR="001F24C4" w:rsidRDefault="001F24C4" w:rsidP="00CE39D1">
      <w:pPr>
        <w:pStyle w:val="Footnote"/>
      </w:pPr>
      <w:r w:rsidRPr="00AA1F9E">
        <w:rPr>
          <w:rStyle w:val="EndnoteReference"/>
          <w:sz w:val="16"/>
          <w:szCs w:val="16"/>
        </w:rPr>
        <w:endnoteRef/>
      </w:r>
      <w:r w:rsidRPr="00AA1F9E">
        <w:t xml:space="preserve"> </w:t>
      </w:r>
      <w:r>
        <w:t xml:space="preserve">Ibid. </w:t>
      </w:r>
    </w:p>
  </w:endnote>
  <w:endnote w:id="86">
    <w:p w14:paraId="19B1580A" w14:textId="19D615CC" w:rsidR="001F24C4" w:rsidRPr="00AA1F9E" w:rsidRDefault="001F24C4" w:rsidP="00CE39D1">
      <w:pPr>
        <w:pStyle w:val="Footnote"/>
      </w:pPr>
      <w:r w:rsidRPr="00AA1F9E">
        <w:rPr>
          <w:rStyle w:val="EndnoteReference"/>
          <w:sz w:val="16"/>
          <w:szCs w:val="16"/>
        </w:rPr>
        <w:endnoteRef/>
      </w:r>
      <w:r w:rsidRPr="00AA1F9E">
        <w:t xml:space="preserve"> </w:t>
      </w:r>
      <w:r w:rsidRPr="00506F06">
        <w:t>Kathlee</w:t>
      </w:r>
      <w:r>
        <w:t xml:space="preserve">n </w:t>
      </w:r>
      <w:proofErr w:type="spellStart"/>
      <w:r>
        <w:t>Hou</w:t>
      </w:r>
      <w:proofErr w:type="spellEnd"/>
      <w:r>
        <w:t>,</w:t>
      </w:r>
      <w:r w:rsidRPr="00506F06">
        <w:t xml:space="preserve"> </w:t>
      </w:r>
      <w:r w:rsidR="009549B9">
        <w:t>“</w:t>
      </w:r>
      <w:r w:rsidRPr="00506F06">
        <w:t>YSL Beauty Gets a New, French Creative Director Who Loves Sexy Makeup</w:t>
      </w:r>
      <w:r>
        <w:t>,</w:t>
      </w:r>
      <w:r w:rsidR="009549B9">
        <w:t>”</w:t>
      </w:r>
      <w:r w:rsidRPr="00506F06">
        <w:t xml:space="preserve"> The Cut</w:t>
      </w:r>
      <w:r>
        <w:t>,</w:t>
      </w:r>
      <w:r w:rsidRPr="00506F06">
        <w:t xml:space="preserve"> </w:t>
      </w:r>
      <w:r>
        <w:t xml:space="preserve">January 26, </w:t>
      </w:r>
      <w:r w:rsidRPr="00506F06">
        <w:t>2017</w:t>
      </w:r>
      <w:r>
        <w:t>, accessed January 28,</w:t>
      </w:r>
      <w:r w:rsidRPr="00506F06">
        <w:t xml:space="preserve"> 2017</w:t>
      </w:r>
      <w:r>
        <w:t xml:space="preserve">, </w:t>
      </w:r>
      <w:r w:rsidRPr="00506F06">
        <w:t>http://nymag.com/thecut/2017/01/tom-pecheux-is-ysl-beautys-new-creative-director.html</w:t>
      </w:r>
      <w:r>
        <w:t>.</w:t>
      </w:r>
    </w:p>
  </w:endnote>
  <w:endnote w:id="87">
    <w:p w14:paraId="438B2BDC" w14:textId="4F725711" w:rsidR="001F24C4" w:rsidRDefault="001F24C4" w:rsidP="00CE39D1">
      <w:pPr>
        <w:pStyle w:val="Footnote"/>
      </w:pPr>
      <w:r w:rsidRPr="00AA1F9E">
        <w:rPr>
          <w:rStyle w:val="EndnoteReference"/>
          <w:sz w:val="16"/>
          <w:szCs w:val="16"/>
        </w:rPr>
        <w:endnoteRef/>
      </w:r>
      <w:r w:rsidRPr="00AA1F9E">
        <w:t xml:space="preserve"> </w:t>
      </w:r>
      <w:r>
        <w:t>Holgate,</w:t>
      </w:r>
      <w:r w:rsidRPr="00AA1F9E">
        <w:t xml:space="preserve"> </w:t>
      </w:r>
      <w:r>
        <w:t>op. cit.</w:t>
      </w:r>
    </w:p>
  </w:endnote>
  <w:endnote w:id="88">
    <w:p w14:paraId="4D1E618D" w14:textId="70830283" w:rsidR="001F24C4" w:rsidRPr="00AA1F9E" w:rsidRDefault="001F24C4" w:rsidP="00CE39D1">
      <w:pPr>
        <w:pStyle w:val="Footnote"/>
      </w:pPr>
      <w:r w:rsidRPr="00AA1F9E">
        <w:rPr>
          <w:rStyle w:val="EndnoteReference"/>
          <w:sz w:val="16"/>
          <w:szCs w:val="16"/>
        </w:rPr>
        <w:endnoteRef/>
      </w:r>
      <w:r w:rsidRPr="00AA1F9E">
        <w:t xml:space="preserve"> </w:t>
      </w:r>
      <w:r>
        <w:t>Ibid.</w:t>
      </w:r>
    </w:p>
  </w:endnote>
  <w:endnote w:id="89">
    <w:p w14:paraId="219134C4" w14:textId="3A1BE075" w:rsidR="001F24C4" w:rsidRDefault="001F24C4" w:rsidP="00537D2C">
      <w:pPr>
        <w:pStyle w:val="Footnote"/>
      </w:pPr>
      <w:r>
        <w:rPr>
          <w:rStyle w:val="EndnoteReference"/>
        </w:rPr>
        <w:endnoteRef/>
      </w:r>
      <w:r w:rsidRPr="00AA1F9E">
        <w:t xml:space="preserve"> </w:t>
      </w:r>
      <w:r w:rsidR="009549B9">
        <w:t>“</w:t>
      </w:r>
      <w:r>
        <w:t xml:space="preserve">Global </w:t>
      </w:r>
      <w:r w:rsidRPr="00745966">
        <w:t xml:space="preserve">Luxury Market </w:t>
      </w:r>
      <w:proofErr w:type="gramStart"/>
      <w:r>
        <w:t>Worth</w:t>
      </w:r>
      <w:proofErr w:type="gramEnd"/>
      <w:r>
        <w:t xml:space="preserve"> 224 Billion, Top 20 Brands</w:t>
      </w:r>
      <w:r w:rsidRPr="00745966">
        <w:t>,</w:t>
      </w:r>
      <w:r w:rsidR="009549B9">
        <w:t>”</w:t>
      </w:r>
      <w:r w:rsidRPr="00745966">
        <w:t xml:space="preserve"> </w:t>
      </w:r>
      <w:r>
        <w:t xml:space="preserve">Consultancy.uk, October 22, 2015, accessed January 26, 2017, </w:t>
      </w:r>
      <w:r w:rsidRPr="00745966">
        <w:t>www.consultancy.uk/news/2803/global-luxury-market-worth-224-billion-top-20-brands</w:t>
      </w:r>
      <w:r>
        <w:t>.</w:t>
      </w:r>
    </w:p>
  </w:endnote>
  <w:endnote w:id="90">
    <w:p w14:paraId="5AA2152C" w14:textId="27D4AAF4" w:rsidR="001F24C4" w:rsidRPr="00537D2C" w:rsidRDefault="001F24C4" w:rsidP="00537D2C">
      <w:pPr>
        <w:pStyle w:val="Footnote"/>
      </w:pPr>
      <w:r w:rsidRPr="0078372B">
        <w:rPr>
          <w:rStyle w:val="EndnoteReference"/>
        </w:rPr>
        <w:endnoteRef/>
      </w:r>
      <w:r w:rsidRPr="0078372B">
        <w:t xml:space="preserve"> Tim</w:t>
      </w:r>
      <w:r>
        <w:t xml:space="preserve"> Blanks,</w:t>
      </w:r>
      <w:r w:rsidRPr="0078372B">
        <w:t xml:space="preserve"> </w:t>
      </w:r>
      <w:r w:rsidR="009549B9">
        <w:t>“</w:t>
      </w:r>
      <w:r w:rsidRPr="0078372B">
        <w:t xml:space="preserve">Yves </w:t>
      </w:r>
      <w:r>
        <w:t>i</w:t>
      </w:r>
      <w:r w:rsidRPr="0078372B">
        <w:t>s Back at Saint Laurent</w:t>
      </w:r>
      <w:r>
        <w:t>,</w:t>
      </w:r>
      <w:r w:rsidR="009549B9">
        <w:t>”</w:t>
      </w:r>
      <w:r w:rsidRPr="0078372B">
        <w:t xml:space="preserve"> Business of Fashion, September 28, 2016, accessed January 25, 2017, www.businessoffashion.com/articles/fashion-show-review/saint-laurent-springsummer-2017-yves-saint-laurent-anthony-vaccarello.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S Shell Dlg 2">
    <w:altName w:val="Arial Unicode MS"/>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E5E3A" w14:textId="77777777" w:rsidR="001F24C4" w:rsidRDefault="001F24C4" w:rsidP="00D75295">
      <w:r>
        <w:separator/>
      </w:r>
    </w:p>
  </w:footnote>
  <w:footnote w:type="continuationSeparator" w:id="0">
    <w:p w14:paraId="12188F20" w14:textId="77777777" w:rsidR="001F24C4" w:rsidRDefault="001F24C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45A40" w14:textId="3727FD4E" w:rsidR="001F24C4" w:rsidRDefault="001F24C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49B9">
      <w:rPr>
        <w:rFonts w:ascii="Arial" w:hAnsi="Arial"/>
        <w:b/>
        <w:noProof/>
      </w:rPr>
      <w:t>16</w:t>
    </w:r>
    <w:r>
      <w:rPr>
        <w:rFonts w:ascii="Arial" w:hAnsi="Arial"/>
        <w:b/>
      </w:rPr>
      <w:fldChar w:fldCharType="end"/>
    </w:r>
    <w:r>
      <w:rPr>
        <w:rFonts w:ascii="Arial" w:hAnsi="Arial"/>
        <w:b/>
      </w:rPr>
      <w:tab/>
      <w:t>9B17M137</w:t>
    </w:r>
  </w:p>
  <w:p w14:paraId="4EA70E7C" w14:textId="77777777" w:rsidR="001F24C4" w:rsidRPr="00C92CC4" w:rsidRDefault="001F24C4">
    <w:pPr>
      <w:pStyle w:val="Header"/>
      <w:rPr>
        <w:sz w:val="18"/>
        <w:szCs w:val="18"/>
      </w:rPr>
    </w:pPr>
  </w:p>
  <w:p w14:paraId="79E37E97" w14:textId="77777777" w:rsidR="001F24C4" w:rsidRPr="00C92CC4" w:rsidRDefault="001F24C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9304F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00F01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94A66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5F8E7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E4CCE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5808C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58B9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14484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2683F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10B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94E7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4C0A5FEF"/>
    <w:multiLevelType w:val="hybridMultilevel"/>
    <w:tmpl w:val="6D5E4734"/>
    <w:lvl w:ilvl="0" w:tplc="D4623D9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4C2"/>
    <w:rsid w:val="000044EE"/>
    <w:rsid w:val="000045E0"/>
    <w:rsid w:val="000052C2"/>
    <w:rsid w:val="00007A87"/>
    <w:rsid w:val="0001190E"/>
    <w:rsid w:val="00013322"/>
    <w:rsid w:val="00013360"/>
    <w:rsid w:val="000167AE"/>
    <w:rsid w:val="000175AB"/>
    <w:rsid w:val="00017AB9"/>
    <w:rsid w:val="0002073E"/>
    <w:rsid w:val="00020A10"/>
    <w:rsid w:val="000216CE"/>
    <w:rsid w:val="00025DC7"/>
    <w:rsid w:val="00026486"/>
    <w:rsid w:val="000320BB"/>
    <w:rsid w:val="00032F8F"/>
    <w:rsid w:val="0003324C"/>
    <w:rsid w:val="00034CA0"/>
    <w:rsid w:val="00035CEF"/>
    <w:rsid w:val="0003795A"/>
    <w:rsid w:val="00042EAF"/>
    <w:rsid w:val="00044984"/>
    <w:rsid w:val="00044ECC"/>
    <w:rsid w:val="000470D7"/>
    <w:rsid w:val="00050E83"/>
    <w:rsid w:val="000531D3"/>
    <w:rsid w:val="0005409C"/>
    <w:rsid w:val="0005646B"/>
    <w:rsid w:val="00061508"/>
    <w:rsid w:val="00062C19"/>
    <w:rsid w:val="0006603A"/>
    <w:rsid w:val="00066FA9"/>
    <w:rsid w:val="00070B3A"/>
    <w:rsid w:val="00080582"/>
    <w:rsid w:val="0008102D"/>
    <w:rsid w:val="00081D31"/>
    <w:rsid w:val="00083126"/>
    <w:rsid w:val="00083A81"/>
    <w:rsid w:val="00083C85"/>
    <w:rsid w:val="00084336"/>
    <w:rsid w:val="00092BAF"/>
    <w:rsid w:val="000937B8"/>
    <w:rsid w:val="00094C0E"/>
    <w:rsid w:val="00094C9B"/>
    <w:rsid w:val="00096A55"/>
    <w:rsid w:val="000973C1"/>
    <w:rsid w:val="000A2430"/>
    <w:rsid w:val="000A4563"/>
    <w:rsid w:val="000A5997"/>
    <w:rsid w:val="000A5B09"/>
    <w:rsid w:val="000A6B31"/>
    <w:rsid w:val="000B166F"/>
    <w:rsid w:val="000B7886"/>
    <w:rsid w:val="000C2AF7"/>
    <w:rsid w:val="000C5283"/>
    <w:rsid w:val="000C7700"/>
    <w:rsid w:val="000D04C6"/>
    <w:rsid w:val="000D1280"/>
    <w:rsid w:val="000D2575"/>
    <w:rsid w:val="000D315B"/>
    <w:rsid w:val="000D4356"/>
    <w:rsid w:val="000D480A"/>
    <w:rsid w:val="000D5241"/>
    <w:rsid w:val="000D5A12"/>
    <w:rsid w:val="000D5B83"/>
    <w:rsid w:val="000E1B05"/>
    <w:rsid w:val="000E39E4"/>
    <w:rsid w:val="000E658F"/>
    <w:rsid w:val="000F0C22"/>
    <w:rsid w:val="000F0F1E"/>
    <w:rsid w:val="000F1211"/>
    <w:rsid w:val="000F13DA"/>
    <w:rsid w:val="000F266B"/>
    <w:rsid w:val="000F6B09"/>
    <w:rsid w:val="000F6FDC"/>
    <w:rsid w:val="001004BC"/>
    <w:rsid w:val="001027D7"/>
    <w:rsid w:val="00104567"/>
    <w:rsid w:val="00105E8C"/>
    <w:rsid w:val="0010685B"/>
    <w:rsid w:val="00107BA2"/>
    <w:rsid w:val="00111AF8"/>
    <w:rsid w:val="00111EA4"/>
    <w:rsid w:val="00114136"/>
    <w:rsid w:val="00115938"/>
    <w:rsid w:val="00117E89"/>
    <w:rsid w:val="00120D90"/>
    <w:rsid w:val="00124D7D"/>
    <w:rsid w:val="00125CB2"/>
    <w:rsid w:val="0012732D"/>
    <w:rsid w:val="00127DAA"/>
    <w:rsid w:val="00131D3F"/>
    <w:rsid w:val="00135E52"/>
    <w:rsid w:val="00137B63"/>
    <w:rsid w:val="001432B4"/>
    <w:rsid w:val="00145F22"/>
    <w:rsid w:val="001464F9"/>
    <w:rsid w:val="00147C79"/>
    <w:rsid w:val="00151F33"/>
    <w:rsid w:val="00152C30"/>
    <w:rsid w:val="00153175"/>
    <w:rsid w:val="00154FC9"/>
    <w:rsid w:val="0015578C"/>
    <w:rsid w:val="00160C4A"/>
    <w:rsid w:val="001613AD"/>
    <w:rsid w:val="001626A5"/>
    <w:rsid w:val="0016787E"/>
    <w:rsid w:val="001709D5"/>
    <w:rsid w:val="00171FAC"/>
    <w:rsid w:val="00176878"/>
    <w:rsid w:val="001825D4"/>
    <w:rsid w:val="00184FA6"/>
    <w:rsid w:val="00185097"/>
    <w:rsid w:val="00191D82"/>
    <w:rsid w:val="0019241A"/>
    <w:rsid w:val="001929FD"/>
    <w:rsid w:val="00197643"/>
    <w:rsid w:val="001A028D"/>
    <w:rsid w:val="001A4A81"/>
    <w:rsid w:val="001A4C89"/>
    <w:rsid w:val="001A5335"/>
    <w:rsid w:val="001A5A7B"/>
    <w:rsid w:val="001A752D"/>
    <w:rsid w:val="001B014C"/>
    <w:rsid w:val="001B5760"/>
    <w:rsid w:val="001C08AD"/>
    <w:rsid w:val="001C3C22"/>
    <w:rsid w:val="001D3457"/>
    <w:rsid w:val="001D3AB1"/>
    <w:rsid w:val="001D6731"/>
    <w:rsid w:val="001D765D"/>
    <w:rsid w:val="001E02B4"/>
    <w:rsid w:val="001E42FE"/>
    <w:rsid w:val="001E6FB7"/>
    <w:rsid w:val="001F001F"/>
    <w:rsid w:val="001F1856"/>
    <w:rsid w:val="001F20E9"/>
    <w:rsid w:val="001F24C4"/>
    <w:rsid w:val="001F44B4"/>
    <w:rsid w:val="001F7004"/>
    <w:rsid w:val="001F7CB2"/>
    <w:rsid w:val="001F7CE9"/>
    <w:rsid w:val="00203AA1"/>
    <w:rsid w:val="0021000D"/>
    <w:rsid w:val="00210806"/>
    <w:rsid w:val="0021315B"/>
    <w:rsid w:val="00213E98"/>
    <w:rsid w:val="00214C0C"/>
    <w:rsid w:val="002174F8"/>
    <w:rsid w:val="002175B4"/>
    <w:rsid w:val="00217807"/>
    <w:rsid w:val="002179C3"/>
    <w:rsid w:val="002262AA"/>
    <w:rsid w:val="00231348"/>
    <w:rsid w:val="002352E0"/>
    <w:rsid w:val="0023551F"/>
    <w:rsid w:val="00235D5B"/>
    <w:rsid w:val="002364EF"/>
    <w:rsid w:val="0024188B"/>
    <w:rsid w:val="002430AA"/>
    <w:rsid w:val="00245B1B"/>
    <w:rsid w:val="0025590A"/>
    <w:rsid w:val="00257405"/>
    <w:rsid w:val="00261BE5"/>
    <w:rsid w:val="002621BE"/>
    <w:rsid w:val="00262536"/>
    <w:rsid w:val="0026276A"/>
    <w:rsid w:val="002675F2"/>
    <w:rsid w:val="0027483F"/>
    <w:rsid w:val="00281639"/>
    <w:rsid w:val="00282A53"/>
    <w:rsid w:val="00283019"/>
    <w:rsid w:val="00292A1B"/>
    <w:rsid w:val="002936CD"/>
    <w:rsid w:val="002A02EF"/>
    <w:rsid w:val="002A25A5"/>
    <w:rsid w:val="002B184B"/>
    <w:rsid w:val="002B21C0"/>
    <w:rsid w:val="002B33D5"/>
    <w:rsid w:val="002C38C4"/>
    <w:rsid w:val="002C5873"/>
    <w:rsid w:val="002D0F42"/>
    <w:rsid w:val="002D1722"/>
    <w:rsid w:val="002D1A19"/>
    <w:rsid w:val="002D1D01"/>
    <w:rsid w:val="002D4D25"/>
    <w:rsid w:val="002D5BD1"/>
    <w:rsid w:val="002E2896"/>
    <w:rsid w:val="002E28A8"/>
    <w:rsid w:val="002E32F0"/>
    <w:rsid w:val="002E485F"/>
    <w:rsid w:val="002E495B"/>
    <w:rsid w:val="002E5BDC"/>
    <w:rsid w:val="002F03CA"/>
    <w:rsid w:val="002F0BB0"/>
    <w:rsid w:val="002F2D8C"/>
    <w:rsid w:val="002F460C"/>
    <w:rsid w:val="002F48D6"/>
    <w:rsid w:val="002F4A22"/>
    <w:rsid w:val="002F6DCA"/>
    <w:rsid w:val="003003E5"/>
    <w:rsid w:val="00300AA4"/>
    <w:rsid w:val="00300DD8"/>
    <w:rsid w:val="00303F1C"/>
    <w:rsid w:val="003079B8"/>
    <w:rsid w:val="00307C33"/>
    <w:rsid w:val="00311E08"/>
    <w:rsid w:val="003127F4"/>
    <w:rsid w:val="003149EE"/>
    <w:rsid w:val="00315DC8"/>
    <w:rsid w:val="003203EE"/>
    <w:rsid w:val="003208B6"/>
    <w:rsid w:val="003245CB"/>
    <w:rsid w:val="00326842"/>
    <w:rsid w:val="0033148E"/>
    <w:rsid w:val="00332A1B"/>
    <w:rsid w:val="00343565"/>
    <w:rsid w:val="00344E58"/>
    <w:rsid w:val="003457CE"/>
    <w:rsid w:val="00347808"/>
    <w:rsid w:val="00350F39"/>
    <w:rsid w:val="00351210"/>
    <w:rsid w:val="00354899"/>
    <w:rsid w:val="00355FD6"/>
    <w:rsid w:val="00356EF7"/>
    <w:rsid w:val="00357C54"/>
    <w:rsid w:val="00357CF8"/>
    <w:rsid w:val="00357D09"/>
    <w:rsid w:val="003617DA"/>
    <w:rsid w:val="00361C8E"/>
    <w:rsid w:val="0036329E"/>
    <w:rsid w:val="00364A5C"/>
    <w:rsid w:val="00365709"/>
    <w:rsid w:val="003707C1"/>
    <w:rsid w:val="0037080C"/>
    <w:rsid w:val="003726B8"/>
    <w:rsid w:val="00372B99"/>
    <w:rsid w:val="00373AA8"/>
    <w:rsid w:val="00373FB1"/>
    <w:rsid w:val="00374AA6"/>
    <w:rsid w:val="003758B4"/>
    <w:rsid w:val="0038121B"/>
    <w:rsid w:val="0038172C"/>
    <w:rsid w:val="00382787"/>
    <w:rsid w:val="00384F7D"/>
    <w:rsid w:val="003861B9"/>
    <w:rsid w:val="003A2D29"/>
    <w:rsid w:val="003A2F3C"/>
    <w:rsid w:val="003A4C1D"/>
    <w:rsid w:val="003A5A6A"/>
    <w:rsid w:val="003A6911"/>
    <w:rsid w:val="003A7645"/>
    <w:rsid w:val="003B30D8"/>
    <w:rsid w:val="003B34FA"/>
    <w:rsid w:val="003B5467"/>
    <w:rsid w:val="003B69D3"/>
    <w:rsid w:val="003B7EF2"/>
    <w:rsid w:val="003C2EC2"/>
    <w:rsid w:val="003C30F8"/>
    <w:rsid w:val="003C3A32"/>
    <w:rsid w:val="003C3FA4"/>
    <w:rsid w:val="003C6AF8"/>
    <w:rsid w:val="003E0816"/>
    <w:rsid w:val="003E243C"/>
    <w:rsid w:val="003E355E"/>
    <w:rsid w:val="003E415E"/>
    <w:rsid w:val="003E5B91"/>
    <w:rsid w:val="003E5F3D"/>
    <w:rsid w:val="003E7860"/>
    <w:rsid w:val="003E7AD0"/>
    <w:rsid w:val="003F2B0C"/>
    <w:rsid w:val="003F5AA4"/>
    <w:rsid w:val="003F79E8"/>
    <w:rsid w:val="003F79F7"/>
    <w:rsid w:val="00400B10"/>
    <w:rsid w:val="0040191F"/>
    <w:rsid w:val="0040461C"/>
    <w:rsid w:val="0040523F"/>
    <w:rsid w:val="00406742"/>
    <w:rsid w:val="004077BC"/>
    <w:rsid w:val="00414908"/>
    <w:rsid w:val="0041490E"/>
    <w:rsid w:val="00416838"/>
    <w:rsid w:val="00420575"/>
    <w:rsid w:val="004221E4"/>
    <w:rsid w:val="00422D34"/>
    <w:rsid w:val="00432E0F"/>
    <w:rsid w:val="00440FAB"/>
    <w:rsid w:val="00441202"/>
    <w:rsid w:val="00442F1D"/>
    <w:rsid w:val="00444364"/>
    <w:rsid w:val="00447349"/>
    <w:rsid w:val="004476C4"/>
    <w:rsid w:val="00450B96"/>
    <w:rsid w:val="0045421D"/>
    <w:rsid w:val="00461482"/>
    <w:rsid w:val="004641DC"/>
    <w:rsid w:val="00466C7C"/>
    <w:rsid w:val="00467825"/>
    <w:rsid w:val="00467DAE"/>
    <w:rsid w:val="00467FF9"/>
    <w:rsid w:val="00471088"/>
    <w:rsid w:val="00471A5D"/>
    <w:rsid w:val="00472B46"/>
    <w:rsid w:val="00474DA4"/>
    <w:rsid w:val="00476931"/>
    <w:rsid w:val="0048208A"/>
    <w:rsid w:val="00483AF9"/>
    <w:rsid w:val="00492570"/>
    <w:rsid w:val="004955AD"/>
    <w:rsid w:val="00495885"/>
    <w:rsid w:val="0049771F"/>
    <w:rsid w:val="004A1014"/>
    <w:rsid w:val="004A5A88"/>
    <w:rsid w:val="004A6197"/>
    <w:rsid w:val="004A73B9"/>
    <w:rsid w:val="004B0878"/>
    <w:rsid w:val="004B0E1B"/>
    <w:rsid w:val="004B14E8"/>
    <w:rsid w:val="004B1C84"/>
    <w:rsid w:val="004B1CCB"/>
    <w:rsid w:val="004B631A"/>
    <w:rsid w:val="004B6A22"/>
    <w:rsid w:val="004C1827"/>
    <w:rsid w:val="004D007C"/>
    <w:rsid w:val="004D1EBE"/>
    <w:rsid w:val="004D2840"/>
    <w:rsid w:val="004D73A5"/>
    <w:rsid w:val="004E0FF4"/>
    <w:rsid w:val="004E115D"/>
    <w:rsid w:val="004E1BBC"/>
    <w:rsid w:val="004E3000"/>
    <w:rsid w:val="004E4554"/>
    <w:rsid w:val="004E4596"/>
    <w:rsid w:val="004E468E"/>
    <w:rsid w:val="004E4AA8"/>
    <w:rsid w:val="004E70DC"/>
    <w:rsid w:val="004F143D"/>
    <w:rsid w:val="004F616B"/>
    <w:rsid w:val="00506F06"/>
    <w:rsid w:val="005074AC"/>
    <w:rsid w:val="005115A7"/>
    <w:rsid w:val="00512120"/>
    <w:rsid w:val="00513D8E"/>
    <w:rsid w:val="005211B5"/>
    <w:rsid w:val="005217D2"/>
    <w:rsid w:val="00521A1D"/>
    <w:rsid w:val="00523CA9"/>
    <w:rsid w:val="0052589C"/>
    <w:rsid w:val="00531606"/>
    <w:rsid w:val="0053244D"/>
    <w:rsid w:val="00532CF5"/>
    <w:rsid w:val="005355D7"/>
    <w:rsid w:val="00537D2C"/>
    <w:rsid w:val="005412C2"/>
    <w:rsid w:val="0054433F"/>
    <w:rsid w:val="005443DF"/>
    <w:rsid w:val="00545215"/>
    <w:rsid w:val="00547660"/>
    <w:rsid w:val="00547A3C"/>
    <w:rsid w:val="0055237C"/>
    <w:rsid w:val="005528CB"/>
    <w:rsid w:val="005535B1"/>
    <w:rsid w:val="005566DA"/>
    <w:rsid w:val="0055673A"/>
    <w:rsid w:val="005659EC"/>
    <w:rsid w:val="00566771"/>
    <w:rsid w:val="005668B0"/>
    <w:rsid w:val="00567CE5"/>
    <w:rsid w:val="005736A4"/>
    <w:rsid w:val="00576491"/>
    <w:rsid w:val="005815BC"/>
    <w:rsid w:val="005817DB"/>
    <w:rsid w:val="00581DDD"/>
    <w:rsid w:val="00581E2E"/>
    <w:rsid w:val="00584F15"/>
    <w:rsid w:val="00585D5A"/>
    <w:rsid w:val="005923BD"/>
    <w:rsid w:val="00594702"/>
    <w:rsid w:val="005A2EAE"/>
    <w:rsid w:val="005A3E78"/>
    <w:rsid w:val="005B45A2"/>
    <w:rsid w:val="005B4E86"/>
    <w:rsid w:val="005B6544"/>
    <w:rsid w:val="005B7222"/>
    <w:rsid w:val="005C01AF"/>
    <w:rsid w:val="005C5F97"/>
    <w:rsid w:val="005C6043"/>
    <w:rsid w:val="005D39D7"/>
    <w:rsid w:val="005D3CB6"/>
    <w:rsid w:val="005D5066"/>
    <w:rsid w:val="005D5A19"/>
    <w:rsid w:val="005D6D0B"/>
    <w:rsid w:val="005D7A85"/>
    <w:rsid w:val="005E1501"/>
    <w:rsid w:val="005E4C92"/>
    <w:rsid w:val="005E7151"/>
    <w:rsid w:val="005F345E"/>
    <w:rsid w:val="005F5E3F"/>
    <w:rsid w:val="006007F1"/>
    <w:rsid w:val="00602396"/>
    <w:rsid w:val="006025CB"/>
    <w:rsid w:val="006049E4"/>
    <w:rsid w:val="00605495"/>
    <w:rsid w:val="00606705"/>
    <w:rsid w:val="00606A1A"/>
    <w:rsid w:val="00610119"/>
    <w:rsid w:val="006113CD"/>
    <w:rsid w:val="006114B3"/>
    <w:rsid w:val="00611901"/>
    <w:rsid w:val="006124D0"/>
    <w:rsid w:val="00612AB6"/>
    <w:rsid w:val="00613393"/>
    <w:rsid w:val="00614E3A"/>
    <w:rsid w:val="006163F7"/>
    <w:rsid w:val="00623F2C"/>
    <w:rsid w:val="00637334"/>
    <w:rsid w:val="00637ACE"/>
    <w:rsid w:val="00640567"/>
    <w:rsid w:val="006455B1"/>
    <w:rsid w:val="00645BA5"/>
    <w:rsid w:val="0065214A"/>
    <w:rsid w:val="00652606"/>
    <w:rsid w:val="00654761"/>
    <w:rsid w:val="0065651A"/>
    <w:rsid w:val="00657509"/>
    <w:rsid w:val="0066109D"/>
    <w:rsid w:val="00662A53"/>
    <w:rsid w:val="006657C2"/>
    <w:rsid w:val="00667238"/>
    <w:rsid w:val="00667BB8"/>
    <w:rsid w:val="00671422"/>
    <w:rsid w:val="00671685"/>
    <w:rsid w:val="006724BE"/>
    <w:rsid w:val="00673955"/>
    <w:rsid w:val="00675EF0"/>
    <w:rsid w:val="00680EB9"/>
    <w:rsid w:val="00682754"/>
    <w:rsid w:val="0068690B"/>
    <w:rsid w:val="00686DA6"/>
    <w:rsid w:val="0068738B"/>
    <w:rsid w:val="006909BF"/>
    <w:rsid w:val="00690CD7"/>
    <w:rsid w:val="006945BB"/>
    <w:rsid w:val="006971B8"/>
    <w:rsid w:val="006A58A9"/>
    <w:rsid w:val="006A606D"/>
    <w:rsid w:val="006A77EF"/>
    <w:rsid w:val="006B0422"/>
    <w:rsid w:val="006B064E"/>
    <w:rsid w:val="006B2077"/>
    <w:rsid w:val="006B3D1E"/>
    <w:rsid w:val="006B4DD1"/>
    <w:rsid w:val="006B7339"/>
    <w:rsid w:val="006B7F7A"/>
    <w:rsid w:val="006C0371"/>
    <w:rsid w:val="006C08B6"/>
    <w:rsid w:val="006C0B1A"/>
    <w:rsid w:val="006C4384"/>
    <w:rsid w:val="006C4E37"/>
    <w:rsid w:val="006C5478"/>
    <w:rsid w:val="006C6065"/>
    <w:rsid w:val="006C7F4C"/>
    <w:rsid w:val="006C7F9F"/>
    <w:rsid w:val="006D1B4B"/>
    <w:rsid w:val="006D3A39"/>
    <w:rsid w:val="006D59D9"/>
    <w:rsid w:val="006D6533"/>
    <w:rsid w:val="006E17A3"/>
    <w:rsid w:val="006E2F6D"/>
    <w:rsid w:val="006E58F6"/>
    <w:rsid w:val="006E5E3E"/>
    <w:rsid w:val="006E6E43"/>
    <w:rsid w:val="006E77E1"/>
    <w:rsid w:val="006E78FA"/>
    <w:rsid w:val="006F131D"/>
    <w:rsid w:val="006F3D94"/>
    <w:rsid w:val="007019E0"/>
    <w:rsid w:val="00701A23"/>
    <w:rsid w:val="00702296"/>
    <w:rsid w:val="00704031"/>
    <w:rsid w:val="00704BE3"/>
    <w:rsid w:val="0070759B"/>
    <w:rsid w:val="00707BA1"/>
    <w:rsid w:val="0071036B"/>
    <w:rsid w:val="007110FC"/>
    <w:rsid w:val="00711459"/>
    <w:rsid w:val="00711DBA"/>
    <w:rsid w:val="007126C2"/>
    <w:rsid w:val="007140D2"/>
    <w:rsid w:val="00721310"/>
    <w:rsid w:val="00722C92"/>
    <w:rsid w:val="00723EF3"/>
    <w:rsid w:val="00724274"/>
    <w:rsid w:val="0072513F"/>
    <w:rsid w:val="00733EE9"/>
    <w:rsid w:val="007345E7"/>
    <w:rsid w:val="00734C2B"/>
    <w:rsid w:val="00736D91"/>
    <w:rsid w:val="007373F0"/>
    <w:rsid w:val="00740C36"/>
    <w:rsid w:val="00745966"/>
    <w:rsid w:val="00745C08"/>
    <w:rsid w:val="007477D1"/>
    <w:rsid w:val="00747874"/>
    <w:rsid w:val="00752BCD"/>
    <w:rsid w:val="00753E6F"/>
    <w:rsid w:val="00754030"/>
    <w:rsid w:val="00756B30"/>
    <w:rsid w:val="00756D8D"/>
    <w:rsid w:val="007571DB"/>
    <w:rsid w:val="007611F0"/>
    <w:rsid w:val="0076329F"/>
    <w:rsid w:val="0076344E"/>
    <w:rsid w:val="0076595B"/>
    <w:rsid w:val="00766DA1"/>
    <w:rsid w:val="0077031E"/>
    <w:rsid w:val="007737DC"/>
    <w:rsid w:val="00774341"/>
    <w:rsid w:val="00776551"/>
    <w:rsid w:val="00776DF7"/>
    <w:rsid w:val="007779F3"/>
    <w:rsid w:val="0078372B"/>
    <w:rsid w:val="007854EA"/>
    <w:rsid w:val="007866A6"/>
    <w:rsid w:val="00786DF0"/>
    <w:rsid w:val="0078764C"/>
    <w:rsid w:val="00791B46"/>
    <w:rsid w:val="007922DE"/>
    <w:rsid w:val="00794E16"/>
    <w:rsid w:val="00796779"/>
    <w:rsid w:val="007A130D"/>
    <w:rsid w:val="007A404B"/>
    <w:rsid w:val="007A510E"/>
    <w:rsid w:val="007A5140"/>
    <w:rsid w:val="007B06A9"/>
    <w:rsid w:val="007B1C38"/>
    <w:rsid w:val="007B1E32"/>
    <w:rsid w:val="007B23D7"/>
    <w:rsid w:val="007B5DE8"/>
    <w:rsid w:val="007B623A"/>
    <w:rsid w:val="007B6469"/>
    <w:rsid w:val="007B7274"/>
    <w:rsid w:val="007B75C7"/>
    <w:rsid w:val="007C0E8F"/>
    <w:rsid w:val="007C13B2"/>
    <w:rsid w:val="007C1D54"/>
    <w:rsid w:val="007C5B3A"/>
    <w:rsid w:val="007C5FC3"/>
    <w:rsid w:val="007D3B18"/>
    <w:rsid w:val="007D4102"/>
    <w:rsid w:val="007E0B86"/>
    <w:rsid w:val="007E363A"/>
    <w:rsid w:val="007E5921"/>
    <w:rsid w:val="007E61BE"/>
    <w:rsid w:val="007E7515"/>
    <w:rsid w:val="007F2399"/>
    <w:rsid w:val="007F4CC4"/>
    <w:rsid w:val="007F50A2"/>
    <w:rsid w:val="007F5665"/>
    <w:rsid w:val="007F6D0A"/>
    <w:rsid w:val="007F6E58"/>
    <w:rsid w:val="00803B9D"/>
    <w:rsid w:val="00806E29"/>
    <w:rsid w:val="00812719"/>
    <w:rsid w:val="00821FFC"/>
    <w:rsid w:val="008251B0"/>
    <w:rsid w:val="008271CA"/>
    <w:rsid w:val="00830148"/>
    <w:rsid w:val="00831744"/>
    <w:rsid w:val="00831F77"/>
    <w:rsid w:val="00832A46"/>
    <w:rsid w:val="00833240"/>
    <w:rsid w:val="008343EA"/>
    <w:rsid w:val="008349EA"/>
    <w:rsid w:val="008467D5"/>
    <w:rsid w:val="00846BE9"/>
    <w:rsid w:val="00847532"/>
    <w:rsid w:val="008523C8"/>
    <w:rsid w:val="00854892"/>
    <w:rsid w:val="0085505E"/>
    <w:rsid w:val="00855158"/>
    <w:rsid w:val="00855F9A"/>
    <w:rsid w:val="00856D9F"/>
    <w:rsid w:val="008574E6"/>
    <w:rsid w:val="008575B3"/>
    <w:rsid w:val="008611EA"/>
    <w:rsid w:val="008643A8"/>
    <w:rsid w:val="00864FDB"/>
    <w:rsid w:val="00866F6D"/>
    <w:rsid w:val="0087169B"/>
    <w:rsid w:val="00871EF4"/>
    <w:rsid w:val="00871FF2"/>
    <w:rsid w:val="00873D3A"/>
    <w:rsid w:val="00873DB0"/>
    <w:rsid w:val="00883917"/>
    <w:rsid w:val="00883C0A"/>
    <w:rsid w:val="00884CBF"/>
    <w:rsid w:val="00886DB0"/>
    <w:rsid w:val="00891E1E"/>
    <w:rsid w:val="008925BD"/>
    <w:rsid w:val="0089489B"/>
    <w:rsid w:val="00895059"/>
    <w:rsid w:val="00895784"/>
    <w:rsid w:val="008A1E2A"/>
    <w:rsid w:val="008A268E"/>
    <w:rsid w:val="008A41FF"/>
    <w:rsid w:val="008A4DC4"/>
    <w:rsid w:val="008A5BB1"/>
    <w:rsid w:val="008A5E24"/>
    <w:rsid w:val="008A70BE"/>
    <w:rsid w:val="008B2B91"/>
    <w:rsid w:val="008B2E7F"/>
    <w:rsid w:val="008B2FA3"/>
    <w:rsid w:val="008B5263"/>
    <w:rsid w:val="008B5B9F"/>
    <w:rsid w:val="008C037D"/>
    <w:rsid w:val="008C19C0"/>
    <w:rsid w:val="008C4E46"/>
    <w:rsid w:val="008C68B0"/>
    <w:rsid w:val="008C7CD9"/>
    <w:rsid w:val="008D0234"/>
    <w:rsid w:val="008D05DF"/>
    <w:rsid w:val="008D12DB"/>
    <w:rsid w:val="008D1AD8"/>
    <w:rsid w:val="008D46EE"/>
    <w:rsid w:val="008D6D2A"/>
    <w:rsid w:val="008D799A"/>
    <w:rsid w:val="008E1F02"/>
    <w:rsid w:val="008E448B"/>
    <w:rsid w:val="008E4AF6"/>
    <w:rsid w:val="008E5CF8"/>
    <w:rsid w:val="008E6A03"/>
    <w:rsid w:val="008F2391"/>
    <w:rsid w:val="008F3D5B"/>
    <w:rsid w:val="008F6475"/>
    <w:rsid w:val="008F6512"/>
    <w:rsid w:val="00900E10"/>
    <w:rsid w:val="0090562A"/>
    <w:rsid w:val="009067A4"/>
    <w:rsid w:val="0090722E"/>
    <w:rsid w:val="00910A7A"/>
    <w:rsid w:val="00910B22"/>
    <w:rsid w:val="0091279B"/>
    <w:rsid w:val="00913134"/>
    <w:rsid w:val="00913425"/>
    <w:rsid w:val="00917ABD"/>
    <w:rsid w:val="009209D8"/>
    <w:rsid w:val="00923C67"/>
    <w:rsid w:val="00924496"/>
    <w:rsid w:val="009267E9"/>
    <w:rsid w:val="009273DB"/>
    <w:rsid w:val="00931B72"/>
    <w:rsid w:val="00933C80"/>
    <w:rsid w:val="009340DB"/>
    <w:rsid w:val="00934C11"/>
    <w:rsid w:val="00937B3F"/>
    <w:rsid w:val="009403EA"/>
    <w:rsid w:val="0094058A"/>
    <w:rsid w:val="0094193B"/>
    <w:rsid w:val="00943F17"/>
    <w:rsid w:val="009479DF"/>
    <w:rsid w:val="00954302"/>
    <w:rsid w:val="009549B9"/>
    <w:rsid w:val="00955EAC"/>
    <w:rsid w:val="00961E0B"/>
    <w:rsid w:val="009626F3"/>
    <w:rsid w:val="0096456D"/>
    <w:rsid w:val="00967244"/>
    <w:rsid w:val="00967BB2"/>
    <w:rsid w:val="00970A63"/>
    <w:rsid w:val="00972498"/>
    <w:rsid w:val="009725E6"/>
    <w:rsid w:val="009734F0"/>
    <w:rsid w:val="00974CC6"/>
    <w:rsid w:val="009766D9"/>
    <w:rsid w:val="00976AD4"/>
    <w:rsid w:val="009828CE"/>
    <w:rsid w:val="00983CBF"/>
    <w:rsid w:val="00985998"/>
    <w:rsid w:val="009867D4"/>
    <w:rsid w:val="00993068"/>
    <w:rsid w:val="00997F94"/>
    <w:rsid w:val="009A2020"/>
    <w:rsid w:val="009A312F"/>
    <w:rsid w:val="009A5348"/>
    <w:rsid w:val="009A67BB"/>
    <w:rsid w:val="009B0998"/>
    <w:rsid w:val="009B131E"/>
    <w:rsid w:val="009B3DE2"/>
    <w:rsid w:val="009B4A4F"/>
    <w:rsid w:val="009B5904"/>
    <w:rsid w:val="009B6A62"/>
    <w:rsid w:val="009C26D7"/>
    <w:rsid w:val="009C76D5"/>
    <w:rsid w:val="009C7E9E"/>
    <w:rsid w:val="009D0A1F"/>
    <w:rsid w:val="009D0C43"/>
    <w:rsid w:val="009D2FCF"/>
    <w:rsid w:val="009D37AE"/>
    <w:rsid w:val="009D44D1"/>
    <w:rsid w:val="009D6EE7"/>
    <w:rsid w:val="009E1750"/>
    <w:rsid w:val="009E2E8F"/>
    <w:rsid w:val="009E58B0"/>
    <w:rsid w:val="009E5F9F"/>
    <w:rsid w:val="009E70A5"/>
    <w:rsid w:val="009F084B"/>
    <w:rsid w:val="009F0ED0"/>
    <w:rsid w:val="009F4315"/>
    <w:rsid w:val="009F7AA4"/>
    <w:rsid w:val="00A056E8"/>
    <w:rsid w:val="00A063D1"/>
    <w:rsid w:val="00A12B28"/>
    <w:rsid w:val="00A12E3C"/>
    <w:rsid w:val="00A2002C"/>
    <w:rsid w:val="00A212E8"/>
    <w:rsid w:val="00A2143B"/>
    <w:rsid w:val="00A215F8"/>
    <w:rsid w:val="00A22197"/>
    <w:rsid w:val="00A247F8"/>
    <w:rsid w:val="00A37B8A"/>
    <w:rsid w:val="00A40DD2"/>
    <w:rsid w:val="00A410AA"/>
    <w:rsid w:val="00A42E88"/>
    <w:rsid w:val="00A44EB5"/>
    <w:rsid w:val="00A46A85"/>
    <w:rsid w:val="00A50480"/>
    <w:rsid w:val="00A53E4D"/>
    <w:rsid w:val="00A547B8"/>
    <w:rsid w:val="00A55486"/>
    <w:rsid w:val="00A556EC"/>
    <w:rsid w:val="00A559DB"/>
    <w:rsid w:val="00A6128F"/>
    <w:rsid w:val="00A630C7"/>
    <w:rsid w:val="00A65D9C"/>
    <w:rsid w:val="00A674D6"/>
    <w:rsid w:val="00A70443"/>
    <w:rsid w:val="00A71ADA"/>
    <w:rsid w:val="00A71DE0"/>
    <w:rsid w:val="00A737DC"/>
    <w:rsid w:val="00A74062"/>
    <w:rsid w:val="00A74870"/>
    <w:rsid w:val="00A74A19"/>
    <w:rsid w:val="00A7592A"/>
    <w:rsid w:val="00A75CE1"/>
    <w:rsid w:val="00A8116C"/>
    <w:rsid w:val="00A8283A"/>
    <w:rsid w:val="00A85ECD"/>
    <w:rsid w:val="00A85FC6"/>
    <w:rsid w:val="00A903F6"/>
    <w:rsid w:val="00A906AA"/>
    <w:rsid w:val="00A91415"/>
    <w:rsid w:val="00A9237D"/>
    <w:rsid w:val="00A9451A"/>
    <w:rsid w:val="00A95D5C"/>
    <w:rsid w:val="00A96D28"/>
    <w:rsid w:val="00AA1F9E"/>
    <w:rsid w:val="00AA2066"/>
    <w:rsid w:val="00AA2A7B"/>
    <w:rsid w:val="00AA425F"/>
    <w:rsid w:val="00AA75C4"/>
    <w:rsid w:val="00AB21E6"/>
    <w:rsid w:val="00AB3E70"/>
    <w:rsid w:val="00AB48D1"/>
    <w:rsid w:val="00AC28A1"/>
    <w:rsid w:val="00AC2AB3"/>
    <w:rsid w:val="00AC31E1"/>
    <w:rsid w:val="00AC5101"/>
    <w:rsid w:val="00AC51DB"/>
    <w:rsid w:val="00AC7584"/>
    <w:rsid w:val="00AC7F84"/>
    <w:rsid w:val="00AD0DAB"/>
    <w:rsid w:val="00AD1BC6"/>
    <w:rsid w:val="00AD2BB0"/>
    <w:rsid w:val="00AD344B"/>
    <w:rsid w:val="00AD4F5A"/>
    <w:rsid w:val="00AE3984"/>
    <w:rsid w:val="00AE505C"/>
    <w:rsid w:val="00AE51FE"/>
    <w:rsid w:val="00AE595E"/>
    <w:rsid w:val="00AE6DBF"/>
    <w:rsid w:val="00AE6ECE"/>
    <w:rsid w:val="00AF0AAC"/>
    <w:rsid w:val="00AF35FC"/>
    <w:rsid w:val="00AF6805"/>
    <w:rsid w:val="00AF682B"/>
    <w:rsid w:val="00B01D06"/>
    <w:rsid w:val="00B03639"/>
    <w:rsid w:val="00B04869"/>
    <w:rsid w:val="00B0652A"/>
    <w:rsid w:val="00B071E9"/>
    <w:rsid w:val="00B1388A"/>
    <w:rsid w:val="00B2173D"/>
    <w:rsid w:val="00B21799"/>
    <w:rsid w:val="00B23C2A"/>
    <w:rsid w:val="00B271CC"/>
    <w:rsid w:val="00B301D5"/>
    <w:rsid w:val="00B3757D"/>
    <w:rsid w:val="00B40937"/>
    <w:rsid w:val="00B423EF"/>
    <w:rsid w:val="00B4389E"/>
    <w:rsid w:val="00B453DE"/>
    <w:rsid w:val="00B45A73"/>
    <w:rsid w:val="00B4742F"/>
    <w:rsid w:val="00B47F60"/>
    <w:rsid w:val="00B52D92"/>
    <w:rsid w:val="00B54DFE"/>
    <w:rsid w:val="00B57F36"/>
    <w:rsid w:val="00B62C98"/>
    <w:rsid w:val="00B63692"/>
    <w:rsid w:val="00B643B5"/>
    <w:rsid w:val="00B64D9F"/>
    <w:rsid w:val="00B65B8E"/>
    <w:rsid w:val="00B67782"/>
    <w:rsid w:val="00B67DC0"/>
    <w:rsid w:val="00B702AE"/>
    <w:rsid w:val="00B71992"/>
    <w:rsid w:val="00B7255A"/>
    <w:rsid w:val="00B73D07"/>
    <w:rsid w:val="00B75D23"/>
    <w:rsid w:val="00B80A97"/>
    <w:rsid w:val="00B826ED"/>
    <w:rsid w:val="00B827CC"/>
    <w:rsid w:val="00B8303D"/>
    <w:rsid w:val="00B83F2C"/>
    <w:rsid w:val="00B901F9"/>
    <w:rsid w:val="00B903B0"/>
    <w:rsid w:val="00B90D32"/>
    <w:rsid w:val="00B91CE2"/>
    <w:rsid w:val="00B9364B"/>
    <w:rsid w:val="00B93A1E"/>
    <w:rsid w:val="00B950D7"/>
    <w:rsid w:val="00B97CEB"/>
    <w:rsid w:val="00BA0AC3"/>
    <w:rsid w:val="00BA0B09"/>
    <w:rsid w:val="00BA118B"/>
    <w:rsid w:val="00BA1B93"/>
    <w:rsid w:val="00BA3E30"/>
    <w:rsid w:val="00BA3FB8"/>
    <w:rsid w:val="00BA575B"/>
    <w:rsid w:val="00BA5F1A"/>
    <w:rsid w:val="00BA6B79"/>
    <w:rsid w:val="00BB0753"/>
    <w:rsid w:val="00BB0C77"/>
    <w:rsid w:val="00BB11AC"/>
    <w:rsid w:val="00BB2798"/>
    <w:rsid w:val="00BB3E3A"/>
    <w:rsid w:val="00BC11B8"/>
    <w:rsid w:val="00BC45F3"/>
    <w:rsid w:val="00BC51C0"/>
    <w:rsid w:val="00BC577C"/>
    <w:rsid w:val="00BC79F1"/>
    <w:rsid w:val="00BD272C"/>
    <w:rsid w:val="00BD2A0C"/>
    <w:rsid w:val="00BD2AD5"/>
    <w:rsid w:val="00BD352B"/>
    <w:rsid w:val="00BD397F"/>
    <w:rsid w:val="00BD6EFB"/>
    <w:rsid w:val="00BE1510"/>
    <w:rsid w:val="00BE2DB9"/>
    <w:rsid w:val="00BE356E"/>
    <w:rsid w:val="00BE7DC5"/>
    <w:rsid w:val="00BF1692"/>
    <w:rsid w:val="00BF1AC3"/>
    <w:rsid w:val="00BF1BC2"/>
    <w:rsid w:val="00BF2924"/>
    <w:rsid w:val="00BF29ED"/>
    <w:rsid w:val="00BF329F"/>
    <w:rsid w:val="00BF54D2"/>
    <w:rsid w:val="00C013BE"/>
    <w:rsid w:val="00C01E88"/>
    <w:rsid w:val="00C1376E"/>
    <w:rsid w:val="00C152C4"/>
    <w:rsid w:val="00C15BE2"/>
    <w:rsid w:val="00C22219"/>
    <w:rsid w:val="00C23BBC"/>
    <w:rsid w:val="00C23D95"/>
    <w:rsid w:val="00C24D6D"/>
    <w:rsid w:val="00C3447F"/>
    <w:rsid w:val="00C34584"/>
    <w:rsid w:val="00C36DD1"/>
    <w:rsid w:val="00C36FF9"/>
    <w:rsid w:val="00C37360"/>
    <w:rsid w:val="00C40E17"/>
    <w:rsid w:val="00C41DCA"/>
    <w:rsid w:val="00C44F78"/>
    <w:rsid w:val="00C45EDA"/>
    <w:rsid w:val="00C471C5"/>
    <w:rsid w:val="00C50E90"/>
    <w:rsid w:val="00C51505"/>
    <w:rsid w:val="00C51AA1"/>
    <w:rsid w:val="00C51B72"/>
    <w:rsid w:val="00C53715"/>
    <w:rsid w:val="00C5585A"/>
    <w:rsid w:val="00C5797C"/>
    <w:rsid w:val="00C62A8C"/>
    <w:rsid w:val="00C65B78"/>
    <w:rsid w:val="00C65F92"/>
    <w:rsid w:val="00C745DB"/>
    <w:rsid w:val="00C77B65"/>
    <w:rsid w:val="00C80918"/>
    <w:rsid w:val="00C81491"/>
    <w:rsid w:val="00C81676"/>
    <w:rsid w:val="00C81A9F"/>
    <w:rsid w:val="00C83EF1"/>
    <w:rsid w:val="00C85686"/>
    <w:rsid w:val="00C914C0"/>
    <w:rsid w:val="00C91C31"/>
    <w:rsid w:val="00C92C32"/>
    <w:rsid w:val="00C92CC4"/>
    <w:rsid w:val="00C96578"/>
    <w:rsid w:val="00CA0AFB"/>
    <w:rsid w:val="00CA1AAF"/>
    <w:rsid w:val="00CA2CE1"/>
    <w:rsid w:val="00CA3976"/>
    <w:rsid w:val="00CA4A3B"/>
    <w:rsid w:val="00CA55C2"/>
    <w:rsid w:val="00CA56F5"/>
    <w:rsid w:val="00CA757B"/>
    <w:rsid w:val="00CB4D2D"/>
    <w:rsid w:val="00CB6186"/>
    <w:rsid w:val="00CB6BE5"/>
    <w:rsid w:val="00CC0CAB"/>
    <w:rsid w:val="00CC1787"/>
    <w:rsid w:val="00CC182C"/>
    <w:rsid w:val="00CC3DC5"/>
    <w:rsid w:val="00CC445D"/>
    <w:rsid w:val="00CC4CA7"/>
    <w:rsid w:val="00CC4E90"/>
    <w:rsid w:val="00CC5FC9"/>
    <w:rsid w:val="00CC7A44"/>
    <w:rsid w:val="00CD0824"/>
    <w:rsid w:val="00CD2908"/>
    <w:rsid w:val="00CD4FCB"/>
    <w:rsid w:val="00CD6E68"/>
    <w:rsid w:val="00CE20F3"/>
    <w:rsid w:val="00CE39D1"/>
    <w:rsid w:val="00CE3DA7"/>
    <w:rsid w:val="00CE543A"/>
    <w:rsid w:val="00CE7494"/>
    <w:rsid w:val="00CF146D"/>
    <w:rsid w:val="00CF697D"/>
    <w:rsid w:val="00CF7C79"/>
    <w:rsid w:val="00D02273"/>
    <w:rsid w:val="00D033F9"/>
    <w:rsid w:val="00D03A82"/>
    <w:rsid w:val="00D06F58"/>
    <w:rsid w:val="00D113DF"/>
    <w:rsid w:val="00D128B9"/>
    <w:rsid w:val="00D1452B"/>
    <w:rsid w:val="00D15344"/>
    <w:rsid w:val="00D15C74"/>
    <w:rsid w:val="00D16F2B"/>
    <w:rsid w:val="00D170CA"/>
    <w:rsid w:val="00D20153"/>
    <w:rsid w:val="00D227C1"/>
    <w:rsid w:val="00D26FCE"/>
    <w:rsid w:val="00D276B6"/>
    <w:rsid w:val="00D31BEC"/>
    <w:rsid w:val="00D333CE"/>
    <w:rsid w:val="00D358AA"/>
    <w:rsid w:val="00D36237"/>
    <w:rsid w:val="00D3794C"/>
    <w:rsid w:val="00D415FA"/>
    <w:rsid w:val="00D417C6"/>
    <w:rsid w:val="00D41EC0"/>
    <w:rsid w:val="00D42D93"/>
    <w:rsid w:val="00D47E6C"/>
    <w:rsid w:val="00D504A2"/>
    <w:rsid w:val="00D52FA7"/>
    <w:rsid w:val="00D55BBD"/>
    <w:rsid w:val="00D61B1B"/>
    <w:rsid w:val="00D63150"/>
    <w:rsid w:val="00D64A32"/>
    <w:rsid w:val="00D64EFC"/>
    <w:rsid w:val="00D650FE"/>
    <w:rsid w:val="00D65668"/>
    <w:rsid w:val="00D65A8C"/>
    <w:rsid w:val="00D66B02"/>
    <w:rsid w:val="00D7115A"/>
    <w:rsid w:val="00D715D7"/>
    <w:rsid w:val="00D71BC1"/>
    <w:rsid w:val="00D72FE6"/>
    <w:rsid w:val="00D75295"/>
    <w:rsid w:val="00D76CE9"/>
    <w:rsid w:val="00D77B0E"/>
    <w:rsid w:val="00D816AA"/>
    <w:rsid w:val="00D84390"/>
    <w:rsid w:val="00D84E5A"/>
    <w:rsid w:val="00D8679F"/>
    <w:rsid w:val="00D915CF"/>
    <w:rsid w:val="00D97089"/>
    <w:rsid w:val="00D9716E"/>
    <w:rsid w:val="00D97F12"/>
    <w:rsid w:val="00DA59A9"/>
    <w:rsid w:val="00DB1474"/>
    <w:rsid w:val="00DB23D6"/>
    <w:rsid w:val="00DB42E7"/>
    <w:rsid w:val="00DB4737"/>
    <w:rsid w:val="00DB57BB"/>
    <w:rsid w:val="00DB64E6"/>
    <w:rsid w:val="00DB7361"/>
    <w:rsid w:val="00DB7FEA"/>
    <w:rsid w:val="00DC2224"/>
    <w:rsid w:val="00DC243A"/>
    <w:rsid w:val="00DC418E"/>
    <w:rsid w:val="00DC45AB"/>
    <w:rsid w:val="00DC4BFC"/>
    <w:rsid w:val="00DD150D"/>
    <w:rsid w:val="00DD36B5"/>
    <w:rsid w:val="00DD5C33"/>
    <w:rsid w:val="00DD6FE1"/>
    <w:rsid w:val="00DE0E07"/>
    <w:rsid w:val="00DE2B88"/>
    <w:rsid w:val="00DE3594"/>
    <w:rsid w:val="00DF1F7C"/>
    <w:rsid w:val="00DF2273"/>
    <w:rsid w:val="00DF32C2"/>
    <w:rsid w:val="00DF4587"/>
    <w:rsid w:val="00DF6000"/>
    <w:rsid w:val="00DF72F4"/>
    <w:rsid w:val="00E023C6"/>
    <w:rsid w:val="00E0320E"/>
    <w:rsid w:val="00E042D2"/>
    <w:rsid w:val="00E0551D"/>
    <w:rsid w:val="00E05CBB"/>
    <w:rsid w:val="00E15EED"/>
    <w:rsid w:val="00E1690A"/>
    <w:rsid w:val="00E230FE"/>
    <w:rsid w:val="00E255EA"/>
    <w:rsid w:val="00E25C4C"/>
    <w:rsid w:val="00E309BC"/>
    <w:rsid w:val="00E34334"/>
    <w:rsid w:val="00E46A7D"/>
    <w:rsid w:val="00E471A7"/>
    <w:rsid w:val="00E476DC"/>
    <w:rsid w:val="00E53DAA"/>
    <w:rsid w:val="00E57BB5"/>
    <w:rsid w:val="00E62CE8"/>
    <w:rsid w:val="00E635CF"/>
    <w:rsid w:val="00E657E3"/>
    <w:rsid w:val="00E66547"/>
    <w:rsid w:val="00E7441D"/>
    <w:rsid w:val="00E777B7"/>
    <w:rsid w:val="00E80C16"/>
    <w:rsid w:val="00E81E41"/>
    <w:rsid w:val="00E83FF2"/>
    <w:rsid w:val="00E86697"/>
    <w:rsid w:val="00E873A8"/>
    <w:rsid w:val="00E87E89"/>
    <w:rsid w:val="00E90266"/>
    <w:rsid w:val="00E92EB3"/>
    <w:rsid w:val="00E931B2"/>
    <w:rsid w:val="00E95E1D"/>
    <w:rsid w:val="00E95ED6"/>
    <w:rsid w:val="00E97478"/>
    <w:rsid w:val="00E97CF0"/>
    <w:rsid w:val="00EA19F4"/>
    <w:rsid w:val="00EA4031"/>
    <w:rsid w:val="00EA61C8"/>
    <w:rsid w:val="00EB2735"/>
    <w:rsid w:val="00EB3953"/>
    <w:rsid w:val="00EB5410"/>
    <w:rsid w:val="00EB67D8"/>
    <w:rsid w:val="00EB7207"/>
    <w:rsid w:val="00EC0C4B"/>
    <w:rsid w:val="00EC1F71"/>
    <w:rsid w:val="00EC6E0A"/>
    <w:rsid w:val="00ED04A3"/>
    <w:rsid w:val="00ED0B3D"/>
    <w:rsid w:val="00ED4877"/>
    <w:rsid w:val="00ED4E18"/>
    <w:rsid w:val="00ED6A70"/>
    <w:rsid w:val="00EE1F37"/>
    <w:rsid w:val="00EE26C6"/>
    <w:rsid w:val="00EE2ABF"/>
    <w:rsid w:val="00EE3BD3"/>
    <w:rsid w:val="00EE5420"/>
    <w:rsid w:val="00EE69DA"/>
    <w:rsid w:val="00EF0588"/>
    <w:rsid w:val="00EF0CA7"/>
    <w:rsid w:val="00EF31E1"/>
    <w:rsid w:val="00EF5E86"/>
    <w:rsid w:val="00F0159C"/>
    <w:rsid w:val="00F105B7"/>
    <w:rsid w:val="00F124A8"/>
    <w:rsid w:val="00F12AFF"/>
    <w:rsid w:val="00F146FA"/>
    <w:rsid w:val="00F16197"/>
    <w:rsid w:val="00F17A21"/>
    <w:rsid w:val="00F17BAD"/>
    <w:rsid w:val="00F17CE6"/>
    <w:rsid w:val="00F21AED"/>
    <w:rsid w:val="00F22CA3"/>
    <w:rsid w:val="00F25BAA"/>
    <w:rsid w:val="00F26FA0"/>
    <w:rsid w:val="00F30228"/>
    <w:rsid w:val="00F31D64"/>
    <w:rsid w:val="00F3272A"/>
    <w:rsid w:val="00F4252E"/>
    <w:rsid w:val="00F42B91"/>
    <w:rsid w:val="00F438EB"/>
    <w:rsid w:val="00F43DEB"/>
    <w:rsid w:val="00F450C4"/>
    <w:rsid w:val="00F45FD5"/>
    <w:rsid w:val="00F50E91"/>
    <w:rsid w:val="00F528F1"/>
    <w:rsid w:val="00F5713C"/>
    <w:rsid w:val="00F57D29"/>
    <w:rsid w:val="00F60162"/>
    <w:rsid w:val="00F62211"/>
    <w:rsid w:val="00F62A97"/>
    <w:rsid w:val="00F67AB4"/>
    <w:rsid w:val="00F67BC3"/>
    <w:rsid w:val="00F72284"/>
    <w:rsid w:val="00F72305"/>
    <w:rsid w:val="00F76653"/>
    <w:rsid w:val="00F778BA"/>
    <w:rsid w:val="00F77ED8"/>
    <w:rsid w:val="00F8161E"/>
    <w:rsid w:val="00F84830"/>
    <w:rsid w:val="00F92A99"/>
    <w:rsid w:val="00F96201"/>
    <w:rsid w:val="00FA0CDE"/>
    <w:rsid w:val="00FA338C"/>
    <w:rsid w:val="00FA35E0"/>
    <w:rsid w:val="00FA3C18"/>
    <w:rsid w:val="00FB1F44"/>
    <w:rsid w:val="00FB408E"/>
    <w:rsid w:val="00FB50A8"/>
    <w:rsid w:val="00FB63A2"/>
    <w:rsid w:val="00FB7F37"/>
    <w:rsid w:val="00FC0784"/>
    <w:rsid w:val="00FC0FAF"/>
    <w:rsid w:val="00FC1718"/>
    <w:rsid w:val="00FC30E9"/>
    <w:rsid w:val="00FC5216"/>
    <w:rsid w:val="00FD0B18"/>
    <w:rsid w:val="00FD0F58"/>
    <w:rsid w:val="00FD0F82"/>
    <w:rsid w:val="00FD17B4"/>
    <w:rsid w:val="00FD1C02"/>
    <w:rsid w:val="00FD5FA0"/>
    <w:rsid w:val="00FD6778"/>
    <w:rsid w:val="00FE3CB0"/>
    <w:rsid w:val="00FE714F"/>
    <w:rsid w:val="00FE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E1886C7"/>
  <w15:docId w15:val="{A8AA2855-0B01-47EB-A444-D960265F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398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E476DC"/>
    <w:pPr>
      <w:jc w:val="both"/>
    </w:pPr>
    <w:rPr>
      <w:rFonts w:ascii="Arial" w:hAnsi="Arial" w:cs="Arial"/>
      <w:sz w:val="17"/>
      <w:szCs w:val="17"/>
    </w:rPr>
  </w:style>
  <w:style w:type="character" w:customStyle="1" w:styleId="FootnoteChar">
    <w:name w:val="Footnote Char"/>
    <w:basedOn w:val="FootnoteTextChar"/>
    <w:link w:val="Footnote"/>
    <w:rsid w:val="00E476DC"/>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rsid w:val="00FD0F82"/>
    <w:rPr>
      <w:i/>
      <w:iCs/>
    </w:rPr>
  </w:style>
  <w:style w:type="character" w:styleId="Strong">
    <w:name w:val="Strong"/>
    <w:basedOn w:val="DefaultParagraphFont"/>
    <w:uiPriority w:val="22"/>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HTMLCite">
    <w:name w:val="HTML Cite"/>
    <w:basedOn w:val="DefaultParagraphFont"/>
    <w:uiPriority w:val="99"/>
    <w:semiHidden/>
    <w:unhideWhenUsed/>
    <w:rsid w:val="006945BB"/>
    <w:rPr>
      <w:i/>
      <w:iCs/>
    </w:rPr>
  </w:style>
  <w:style w:type="paragraph" w:styleId="Bibliography">
    <w:name w:val="Bibliography"/>
    <w:basedOn w:val="Normal"/>
    <w:next w:val="Normal"/>
    <w:uiPriority w:val="37"/>
    <w:unhideWhenUsed/>
    <w:rsid w:val="00EC0C4B"/>
  </w:style>
  <w:style w:type="character" w:styleId="FollowedHyperlink">
    <w:name w:val="FollowedHyperlink"/>
    <w:basedOn w:val="DefaultParagraphFont"/>
    <w:uiPriority w:val="99"/>
    <w:semiHidden/>
    <w:unhideWhenUsed/>
    <w:rsid w:val="003A2F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7297">
      <w:bodyDiv w:val="1"/>
      <w:marLeft w:val="0"/>
      <w:marRight w:val="0"/>
      <w:marTop w:val="0"/>
      <w:marBottom w:val="0"/>
      <w:divBdr>
        <w:top w:val="none" w:sz="0" w:space="0" w:color="auto"/>
        <w:left w:val="none" w:sz="0" w:space="0" w:color="auto"/>
        <w:bottom w:val="none" w:sz="0" w:space="0" w:color="auto"/>
        <w:right w:val="none" w:sz="0" w:space="0" w:color="auto"/>
      </w:divBdr>
    </w:div>
    <w:div w:id="38671150">
      <w:bodyDiv w:val="1"/>
      <w:marLeft w:val="0"/>
      <w:marRight w:val="0"/>
      <w:marTop w:val="0"/>
      <w:marBottom w:val="0"/>
      <w:divBdr>
        <w:top w:val="none" w:sz="0" w:space="0" w:color="auto"/>
        <w:left w:val="none" w:sz="0" w:space="0" w:color="auto"/>
        <w:bottom w:val="none" w:sz="0" w:space="0" w:color="auto"/>
        <w:right w:val="none" w:sz="0" w:space="0" w:color="auto"/>
      </w:divBdr>
    </w:div>
    <w:div w:id="191962045">
      <w:bodyDiv w:val="1"/>
      <w:marLeft w:val="0"/>
      <w:marRight w:val="0"/>
      <w:marTop w:val="0"/>
      <w:marBottom w:val="0"/>
      <w:divBdr>
        <w:top w:val="none" w:sz="0" w:space="0" w:color="auto"/>
        <w:left w:val="none" w:sz="0" w:space="0" w:color="auto"/>
        <w:bottom w:val="none" w:sz="0" w:space="0" w:color="auto"/>
        <w:right w:val="none" w:sz="0" w:space="0" w:color="auto"/>
      </w:divBdr>
    </w:div>
    <w:div w:id="206374106">
      <w:bodyDiv w:val="1"/>
      <w:marLeft w:val="0"/>
      <w:marRight w:val="0"/>
      <w:marTop w:val="0"/>
      <w:marBottom w:val="0"/>
      <w:divBdr>
        <w:top w:val="none" w:sz="0" w:space="0" w:color="auto"/>
        <w:left w:val="none" w:sz="0" w:space="0" w:color="auto"/>
        <w:bottom w:val="none" w:sz="0" w:space="0" w:color="auto"/>
        <w:right w:val="none" w:sz="0" w:space="0" w:color="auto"/>
      </w:divBdr>
    </w:div>
    <w:div w:id="258409572">
      <w:bodyDiv w:val="1"/>
      <w:marLeft w:val="0"/>
      <w:marRight w:val="0"/>
      <w:marTop w:val="0"/>
      <w:marBottom w:val="0"/>
      <w:divBdr>
        <w:top w:val="none" w:sz="0" w:space="0" w:color="auto"/>
        <w:left w:val="none" w:sz="0" w:space="0" w:color="auto"/>
        <w:bottom w:val="none" w:sz="0" w:space="0" w:color="auto"/>
        <w:right w:val="none" w:sz="0" w:space="0" w:color="auto"/>
      </w:divBdr>
    </w:div>
    <w:div w:id="275060201">
      <w:bodyDiv w:val="1"/>
      <w:marLeft w:val="0"/>
      <w:marRight w:val="0"/>
      <w:marTop w:val="0"/>
      <w:marBottom w:val="0"/>
      <w:divBdr>
        <w:top w:val="none" w:sz="0" w:space="0" w:color="auto"/>
        <w:left w:val="none" w:sz="0" w:space="0" w:color="auto"/>
        <w:bottom w:val="none" w:sz="0" w:space="0" w:color="auto"/>
        <w:right w:val="none" w:sz="0" w:space="0" w:color="auto"/>
      </w:divBdr>
    </w:div>
    <w:div w:id="296880169">
      <w:bodyDiv w:val="1"/>
      <w:marLeft w:val="0"/>
      <w:marRight w:val="0"/>
      <w:marTop w:val="0"/>
      <w:marBottom w:val="0"/>
      <w:divBdr>
        <w:top w:val="none" w:sz="0" w:space="0" w:color="auto"/>
        <w:left w:val="none" w:sz="0" w:space="0" w:color="auto"/>
        <w:bottom w:val="none" w:sz="0" w:space="0" w:color="auto"/>
        <w:right w:val="none" w:sz="0" w:space="0" w:color="auto"/>
      </w:divBdr>
      <w:divsChild>
        <w:div w:id="915631959">
          <w:marLeft w:val="0"/>
          <w:marRight w:val="0"/>
          <w:marTop w:val="30"/>
          <w:marBottom w:val="0"/>
          <w:divBdr>
            <w:top w:val="none" w:sz="0" w:space="0" w:color="auto"/>
            <w:left w:val="none" w:sz="0" w:space="0" w:color="auto"/>
            <w:bottom w:val="none" w:sz="0" w:space="0" w:color="auto"/>
            <w:right w:val="none" w:sz="0" w:space="0" w:color="auto"/>
          </w:divBdr>
        </w:div>
      </w:divsChild>
    </w:div>
    <w:div w:id="331372422">
      <w:bodyDiv w:val="1"/>
      <w:marLeft w:val="0"/>
      <w:marRight w:val="0"/>
      <w:marTop w:val="0"/>
      <w:marBottom w:val="0"/>
      <w:divBdr>
        <w:top w:val="none" w:sz="0" w:space="0" w:color="auto"/>
        <w:left w:val="none" w:sz="0" w:space="0" w:color="auto"/>
        <w:bottom w:val="none" w:sz="0" w:space="0" w:color="auto"/>
        <w:right w:val="none" w:sz="0" w:space="0" w:color="auto"/>
      </w:divBdr>
    </w:div>
    <w:div w:id="351958038">
      <w:bodyDiv w:val="1"/>
      <w:marLeft w:val="0"/>
      <w:marRight w:val="0"/>
      <w:marTop w:val="0"/>
      <w:marBottom w:val="0"/>
      <w:divBdr>
        <w:top w:val="none" w:sz="0" w:space="0" w:color="auto"/>
        <w:left w:val="none" w:sz="0" w:space="0" w:color="auto"/>
        <w:bottom w:val="none" w:sz="0" w:space="0" w:color="auto"/>
        <w:right w:val="none" w:sz="0" w:space="0" w:color="auto"/>
      </w:divBdr>
    </w:div>
    <w:div w:id="448863577">
      <w:bodyDiv w:val="1"/>
      <w:marLeft w:val="0"/>
      <w:marRight w:val="0"/>
      <w:marTop w:val="0"/>
      <w:marBottom w:val="0"/>
      <w:divBdr>
        <w:top w:val="none" w:sz="0" w:space="0" w:color="auto"/>
        <w:left w:val="none" w:sz="0" w:space="0" w:color="auto"/>
        <w:bottom w:val="none" w:sz="0" w:space="0" w:color="auto"/>
        <w:right w:val="none" w:sz="0" w:space="0" w:color="auto"/>
      </w:divBdr>
    </w:div>
    <w:div w:id="515122466">
      <w:bodyDiv w:val="1"/>
      <w:marLeft w:val="0"/>
      <w:marRight w:val="0"/>
      <w:marTop w:val="0"/>
      <w:marBottom w:val="0"/>
      <w:divBdr>
        <w:top w:val="none" w:sz="0" w:space="0" w:color="auto"/>
        <w:left w:val="none" w:sz="0" w:space="0" w:color="auto"/>
        <w:bottom w:val="none" w:sz="0" w:space="0" w:color="auto"/>
        <w:right w:val="none" w:sz="0" w:space="0" w:color="auto"/>
      </w:divBdr>
      <w:divsChild>
        <w:div w:id="1867939456">
          <w:marLeft w:val="0"/>
          <w:marRight w:val="0"/>
          <w:marTop w:val="0"/>
          <w:marBottom w:val="0"/>
          <w:divBdr>
            <w:top w:val="none" w:sz="0" w:space="0" w:color="auto"/>
            <w:left w:val="none" w:sz="0" w:space="0" w:color="auto"/>
            <w:bottom w:val="none" w:sz="0" w:space="0" w:color="auto"/>
            <w:right w:val="none" w:sz="0" w:space="0" w:color="auto"/>
          </w:divBdr>
        </w:div>
      </w:divsChild>
    </w:div>
    <w:div w:id="534080679">
      <w:bodyDiv w:val="1"/>
      <w:marLeft w:val="0"/>
      <w:marRight w:val="0"/>
      <w:marTop w:val="0"/>
      <w:marBottom w:val="0"/>
      <w:divBdr>
        <w:top w:val="none" w:sz="0" w:space="0" w:color="auto"/>
        <w:left w:val="none" w:sz="0" w:space="0" w:color="auto"/>
        <w:bottom w:val="none" w:sz="0" w:space="0" w:color="auto"/>
        <w:right w:val="none" w:sz="0" w:space="0" w:color="auto"/>
      </w:divBdr>
    </w:div>
    <w:div w:id="579413763">
      <w:bodyDiv w:val="1"/>
      <w:marLeft w:val="0"/>
      <w:marRight w:val="0"/>
      <w:marTop w:val="0"/>
      <w:marBottom w:val="0"/>
      <w:divBdr>
        <w:top w:val="none" w:sz="0" w:space="0" w:color="auto"/>
        <w:left w:val="none" w:sz="0" w:space="0" w:color="auto"/>
        <w:bottom w:val="none" w:sz="0" w:space="0" w:color="auto"/>
        <w:right w:val="none" w:sz="0" w:space="0" w:color="auto"/>
      </w:divBdr>
    </w:div>
    <w:div w:id="671179112">
      <w:bodyDiv w:val="1"/>
      <w:marLeft w:val="0"/>
      <w:marRight w:val="0"/>
      <w:marTop w:val="0"/>
      <w:marBottom w:val="0"/>
      <w:divBdr>
        <w:top w:val="none" w:sz="0" w:space="0" w:color="auto"/>
        <w:left w:val="none" w:sz="0" w:space="0" w:color="auto"/>
        <w:bottom w:val="none" w:sz="0" w:space="0" w:color="auto"/>
        <w:right w:val="none" w:sz="0" w:space="0" w:color="auto"/>
      </w:divBdr>
    </w:div>
    <w:div w:id="813831390">
      <w:bodyDiv w:val="1"/>
      <w:marLeft w:val="0"/>
      <w:marRight w:val="0"/>
      <w:marTop w:val="0"/>
      <w:marBottom w:val="0"/>
      <w:divBdr>
        <w:top w:val="none" w:sz="0" w:space="0" w:color="auto"/>
        <w:left w:val="none" w:sz="0" w:space="0" w:color="auto"/>
        <w:bottom w:val="none" w:sz="0" w:space="0" w:color="auto"/>
        <w:right w:val="none" w:sz="0" w:space="0" w:color="auto"/>
      </w:divBdr>
    </w:div>
    <w:div w:id="837423430">
      <w:bodyDiv w:val="1"/>
      <w:marLeft w:val="0"/>
      <w:marRight w:val="0"/>
      <w:marTop w:val="0"/>
      <w:marBottom w:val="0"/>
      <w:divBdr>
        <w:top w:val="none" w:sz="0" w:space="0" w:color="auto"/>
        <w:left w:val="none" w:sz="0" w:space="0" w:color="auto"/>
        <w:bottom w:val="none" w:sz="0" w:space="0" w:color="auto"/>
        <w:right w:val="none" w:sz="0" w:space="0" w:color="auto"/>
      </w:divBdr>
    </w:div>
    <w:div w:id="941230122">
      <w:bodyDiv w:val="1"/>
      <w:marLeft w:val="0"/>
      <w:marRight w:val="0"/>
      <w:marTop w:val="0"/>
      <w:marBottom w:val="0"/>
      <w:divBdr>
        <w:top w:val="none" w:sz="0" w:space="0" w:color="auto"/>
        <w:left w:val="none" w:sz="0" w:space="0" w:color="auto"/>
        <w:bottom w:val="none" w:sz="0" w:space="0" w:color="auto"/>
        <w:right w:val="none" w:sz="0" w:space="0" w:color="auto"/>
      </w:divBdr>
    </w:div>
    <w:div w:id="948008673">
      <w:bodyDiv w:val="1"/>
      <w:marLeft w:val="0"/>
      <w:marRight w:val="0"/>
      <w:marTop w:val="0"/>
      <w:marBottom w:val="0"/>
      <w:divBdr>
        <w:top w:val="none" w:sz="0" w:space="0" w:color="auto"/>
        <w:left w:val="none" w:sz="0" w:space="0" w:color="auto"/>
        <w:bottom w:val="none" w:sz="0" w:space="0" w:color="auto"/>
        <w:right w:val="none" w:sz="0" w:space="0" w:color="auto"/>
      </w:divBdr>
    </w:div>
    <w:div w:id="976228863">
      <w:bodyDiv w:val="1"/>
      <w:marLeft w:val="0"/>
      <w:marRight w:val="0"/>
      <w:marTop w:val="0"/>
      <w:marBottom w:val="0"/>
      <w:divBdr>
        <w:top w:val="none" w:sz="0" w:space="0" w:color="auto"/>
        <w:left w:val="none" w:sz="0" w:space="0" w:color="auto"/>
        <w:bottom w:val="none" w:sz="0" w:space="0" w:color="auto"/>
        <w:right w:val="none" w:sz="0" w:space="0" w:color="auto"/>
      </w:divBdr>
    </w:div>
    <w:div w:id="1045712470">
      <w:bodyDiv w:val="1"/>
      <w:marLeft w:val="0"/>
      <w:marRight w:val="0"/>
      <w:marTop w:val="0"/>
      <w:marBottom w:val="0"/>
      <w:divBdr>
        <w:top w:val="none" w:sz="0" w:space="0" w:color="auto"/>
        <w:left w:val="none" w:sz="0" w:space="0" w:color="auto"/>
        <w:bottom w:val="none" w:sz="0" w:space="0" w:color="auto"/>
        <w:right w:val="none" w:sz="0" w:space="0" w:color="auto"/>
      </w:divBdr>
    </w:div>
    <w:div w:id="1096435802">
      <w:bodyDiv w:val="1"/>
      <w:marLeft w:val="0"/>
      <w:marRight w:val="0"/>
      <w:marTop w:val="0"/>
      <w:marBottom w:val="0"/>
      <w:divBdr>
        <w:top w:val="none" w:sz="0" w:space="0" w:color="auto"/>
        <w:left w:val="none" w:sz="0" w:space="0" w:color="auto"/>
        <w:bottom w:val="none" w:sz="0" w:space="0" w:color="auto"/>
        <w:right w:val="none" w:sz="0" w:space="0" w:color="auto"/>
      </w:divBdr>
    </w:div>
    <w:div w:id="1140070683">
      <w:bodyDiv w:val="1"/>
      <w:marLeft w:val="0"/>
      <w:marRight w:val="0"/>
      <w:marTop w:val="0"/>
      <w:marBottom w:val="0"/>
      <w:divBdr>
        <w:top w:val="none" w:sz="0" w:space="0" w:color="auto"/>
        <w:left w:val="none" w:sz="0" w:space="0" w:color="auto"/>
        <w:bottom w:val="none" w:sz="0" w:space="0" w:color="auto"/>
        <w:right w:val="none" w:sz="0" w:space="0" w:color="auto"/>
      </w:divBdr>
    </w:div>
    <w:div w:id="1191380513">
      <w:bodyDiv w:val="1"/>
      <w:marLeft w:val="0"/>
      <w:marRight w:val="0"/>
      <w:marTop w:val="0"/>
      <w:marBottom w:val="0"/>
      <w:divBdr>
        <w:top w:val="none" w:sz="0" w:space="0" w:color="auto"/>
        <w:left w:val="none" w:sz="0" w:space="0" w:color="auto"/>
        <w:bottom w:val="none" w:sz="0" w:space="0" w:color="auto"/>
        <w:right w:val="none" w:sz="0" w:space="0" w:color="auto"/>
      </w:divBdr>
      <w:divsChild>
        <w:div w:id="1443453923">
          <w:marLeft w:val="720"/>
          <w:marRight w:val="0"/>
          <w:marTop w:val="0"/>
          <w:marBottom w:val="0"/>
          <w:divBdr>
            <w:top w:val="none" w:sz="0" w:space="0" w:color="auto"/>
            <w:left w:val="none" w:sz="0" w:space="0" w:color="auto"/>
            <w:bottom w:val="none" w:sz="0" w:space="0" w:color="auto"/>
            <w:right w:val="none" w:sz="0" w:space="0" w:color="auto"/>
          </w:divBdr>
        </w:div>
        <w:div w:id="995185335">
          <w:marLeft w:val="0"/>
          <w:marRight w:val="0"/>
          <w:marTop w:val="225"/>
          <w:marBottom w:val="0"/>
          <w:divBdr>
            <w:top w:val="none" w:sz="0" w:space="0" w:color="auto"/>
            <w:left w:val="none" w:sz="0" w:space="0" w:color="auto"/>
            <w:bottom w:val="none" w:sz="0" w:space="0" w:color="auto"/>
            <w:right w:val="none" w:sz="0" w:space="0" w:color="auto"/>
          </w:divBdr>
        </w:div>
      </w:divsChild>
    </w:div>
    <w:div w:id="1197498386">
      <w:bodyDiv w:val="1"/>
      <w:marLeft w:val="0"/>
      <w:marRight w:val="0"/>
      <w:marTop w:val="0"/>
      <w:marBottom w:val="0"/>
      <w:divBdr>
        <w:top w:val="none" w:sz="0" w:space="0" w:color="auto"/>
        <w:left w:val="none" w:sz="0" w:space="0" w:color="auto"/>
        <w:bottom w:val="none" w:sz="0" w:space="0" w:color="auto"/>
        <w:right w:val="none" w:sz="0" w:space="0" w:color="auto"/>
      </w:divBdr>
    </w:div>
    <w:div w:id="1202673240">
      <w:bodyDiv w:val="1"/>
      <w:marLeft w:val="0"/>
      <w:marRight w:val="0"/>
      <w:marTop w:val="0"/>
      <w:marBottom w:val="0"/>
      <w:divBdr>
        <w:top w:val="none" w:sz="0" w:space="0" w:color="auto"/>
        <w:left w:val="none" w:sz="0" w:space="0" w:color="auto"/>
        <w:bottom w:val="none" w:sz="0" w:space="0" w:color="auto"/>
        <w:right w:val="none" w:sz="0" w:space="0" w:color="auto"/>
      </w:divBdr>
    </w:div>
    <w:div w:id="1226182362">
      <w:bodyDiv w:val="1"/>
      <w:marLeft w:val="0"/>
      <w:marRight w:val="0"/>
      <w:marTop w:val="0"/>
      <w:marBottom w:val="0"/>
      <w:divBdr>
        <w:top w:val="none" w:sz="0" w:space="0" w:color="auto"/>
        <w:left w:val="none" w:sz="0" w:space="0" w:color="auto"/>
        <w:bottom w:val="none" w:sz="0" w:space="0" w:color="auto"/>
        <w:right w:val="none" w:sz="0" w:space="0" w:color="auto"/>
      </w:divBdr>
    </w:div>
    <w:div w:id="1279679339">
      <w:bodyDiv w:val="1"/>
      <w:marLeft w:val="0"/>
      <w:marRight w:val="0"/>
      <w:marTop w:val="0"/>
      <w:marBottom w:val="0"/>
      <w:divBdr>
        <w:top w:val="none" w:sz="0" w:space="0" w:color="auto"/>
        <w:left w:val="none" w:sz="0" w:space="0" w:color="auto"/>
        <w:bottom w:val="none" w:sz="0" w:space="0" w:color="auto"/>
        <w:right w:val="none" w:sz="0" w:space="0" w:color="auto"/>
      </w:divBdr>
    </w:div>
    <w:div w:id="1301500617">
      <w:bodyDiv w:val="1"/>
      <w:marLeft w:val="0"/>
      <w:marRight w:val="0"/>
      <w:marTop w:val="0"/>
      <w:marBottom w:val="0"/>
      <w:divBdr>
        <w:top w:val="none" w:sz="0" w:space="0" w:color="auto"/>
        <w:left w:val="none" w:sz="0" w:space="0" w:color="auto"/>
        <w:bottom w:val="none" w:sz="0" w:space="0" w:color="auto"/>
        <w:right w:val="none" w:sz="0" w:space="0" w:color="auto"/>
      </w:divBdr>
    </w:div>
    <w:div w:id="1316295938">
      <w:bodyDiv w:val="1"/>
      <w:marLeft w:val="0"/>
      <w:marRight w:val="0"/>
      <w:marTop w:val="0"/>
      <w:marBottom w:val="0"/>
      <w:divBdr>
        <w:top w:val="none" w:sz="0" w:space="0" w:color="auto"/>
        <w:left w:val="none" w:sz="0" w:space="0" w:color="auto"/>
        <w:bottom w:val="none" w:sz="0" w:space="0" w:color="auto"/>
        <w:right w:val="none" w:sz="0" w:space="0" w:color="auto"/>
      </w:divBdr>
    </w:div>
    <w:div w:id="1328090768">
      <w:bodyDiv w:val="1"/>
      <w:marLeft w:val="0"/>
      <w:marRight w:val="0"/>
      <w:marTop w:val="0"/>
      <w:marBottom w:val="0"/>
      <w:divBdr>
        <w:top w:val="none" w:sz="0" w:space="0" w:color="auto"/>
        <w:left w:val="none" w:sz="0" w:space="0" w:color="auto"/>
        <w:bottom w:val="none" w:sz="0" w:space="0" w:color="auto"/>
        <w:right w:val="none" w:sz="0" w:space="0" w:color="auto"/>
      </w:divBdr>
    </w:div>
    <w:div w:id="1357005494">
      <w:bodyDiv w:val="1"/>
      <w:marLeft w:val="0"/>
      <w:marRight w:val="0"/>
      <w:marTop w:val="0"/>
      <w:marBottom w:val="0"/>
      <w:divBdr>
        <w:top w:val="none" w:sz="0" w:space="0" w:color="auto"/>
        <w:left w:val="none" w:sz="0" w:space="0" w:color="auto"/>
        <w:bottom w:val="none" w:sz="0" w:space="0" w:color="auto"/>
        <w:right w:val="none" w:sz="0" w:space="0" w:color="auto"/>
      </w:divBdr>
    </w:div>
    <w:div w:id="1393578551">
      <w:bodyDiv w:val="1"/>
      <w:marLeft w:val="0"/>
      <w:marRight w:val="0"/>
      <w:marTop w:val="0"/>
      <w:marBottom w:val="0"/>
      <w:divBdr>
        <w:top w:val="none" w:sz="0" w:space="0" w:color="auto"/>
        <w:left w:val="none" w:sz="0" w:space="0" w:color="auto"/>
        <w:bottom w:val="none" w:sz="0" w:space="0" w:color="auto"/>
        <w:right w:val="none" w:sz="0" w:space="0" w:color="auto"/>
      </w:divBdr>
    </w:div>
    <w:div w:id="1434471261">
      <w:bodyDiv w:val="1"/>
      <w:marLeft w:val="0"/>
      <w:marRight w:val="0"/>
      <w:marTop w:val="0"/>
      <w:marBottom w:val="0"/>
      <w:divBdr>
        <w:top w:val="none" w:sz="0" w:space="0" w:color="auto"/>
        <w:left w:val="none" w:sz="0" w:space="0" w:color="auto"/>
        <w:bottom w:val="none" w:sz="0" w:space="0" w:color="auto"/>
        <w:right w:val="none" w:sz="0" w:space="0" w:color="auto"/>
      </w:divBdr>
    </w:div>
    <w:div w:id="1477800626">
      <w:bodyDiv w:val="1"/>
      <w:marLeft w:val="0"/>
      <w:marRight w:val="0"/>
      <w:marTop w:val="0"/>
      <w:marBottom w:val="0"/>
      <w:divBdr>
        <w:top w:val="none" w:sz="0" w:space="0" w:color="auto"/>
        <w:left w:val="none" w:sz="0" w:space="0" w:color="auto"/>
        <w:bottom w:val="none" w:sz="0" w:space="0" w:color="auto"/>
        <w:right w:val="none" w:sz="0" w:space="0" w:color="auto"/>
      </w:divBdr>
    </w:div>
    <w:div w:id="1490708296">
      <w:bodyDiv w:val="1"/>
      <w:marLeft w:val="0"/>
      <w:marRight w:val="0"/>
      <w:marTop w:val="0"/>
      <w:marBottom w:val="0"/>
      <w:divBdr>
        <w:top w:val="none" w:sz="0" w:space="0" w:color="auto"/>
        <w:left w:val="none" w:sz="0" w:space="0" w:color="auto"/>
        <w:bottom w:val="none" w:sz="0" w:space="0" w:color="auto"/>
        <w:right w:val="none" w:sz="0" w:space="0" w:color="auto"/>
      </w:divBdr>
    </w:div>
    <w:div w:id="1651447111">
      <w:bodyDiv w:val="1"/>
      <w:marLeft w:val="0"/>
      <w:marRight w:val="0"/>
      <w:marTop w:val="0"/>
      <w:marBottom w:val="0"/>
      <w:divBdr>
        <w:top w:val="none" w:sz="0" w:space="0" w:color="auto"/>
        <w:left w:val="none" w:sz="0" w:space="0" w:color="auto"/>
        <w:bottom w:val="none" w:sz="0" w:space="0" w:color="auto"/>
        <w:right w:val="none" w:sz="0" w:space="0" w:color="auto"/>
      </w:divBdr>
      <w:divsChild>
        <w:div w:id="1550189232">
          <w:marLeft w:val="720"/>
          <w:marRight w:val="0"/>
          <w:marTop w:val="0"/>
          <w:marBottom w:val="0"/>
          <w:divBdr>
            <w:top w:val="none" w:sz="0" w:space="0" w:color="auto"/>
            <w:left w:val="none" w:sz="0" w:space="0" w:color="auto"/>
            <w:bottom w:val="none" w:sz="0" w:space="0" w:color="auto"/>
            <w:right w:val="none" w:sz="0" w:space="0" w:color="auto"/>
          </w:divBdr>
        </w:div>
        <w:div w:id="275529595">
          <w:marLeft w:val="0"/>
          <w:marRight w:val="0"/>
          <w:marTop w:val="225"/>
          <w:marBottom w:val="0"/>
          <w:divBdr>
            <w:top w:val="none" w:sz="0" w:space="0" w:color="auto"/>
            <w:left w:val="none" w:sz="0" w:space="0" w:color="auto"/>
            <w:bottom w:val="none" w:sz="0" w:space="0" w:color="auto"/>
            <w:right w:val="none" w:sz="0" w:space="0" w:color="auto"/>
          </w:divBdr>
        </w:div>
      </w:divsChild>
    </w:div>
    <w:div w:id="1655718113">
      <w:bodyDiv w:val="1"/>
      <w:marLeft w:val="0"/>
      <w:marRight w:val="0"/>
      <w:marTop w:val="0"/>
      <w:marBottom w:val="0"/>
      <w:divBdr>
        <w:top w:val="none" w:sz="0" w:space="0" w:color="auto"/>
        <w:left w:val="none" w:sz="0" w:space="0" w:color="auto"/>
        <w:bottom w:val="none" w:sz="0" w:space="0" w:color="auto"/>
        <w:right w:val="none" w:sz="0" w:space="0" w:color="auto"/>
      </w:divBdr>
    </w:div>
    <w:div w:id="1750884018">
      <w:bodyDiv w:val="1"/>
      <w:marLeft w:val="0"/>
      <w:marRight w:val="0"/>
      <w:marTop w:val="0"/>
      <w:marBottom w:val="0"/>
      <w:divBdr>
        <w:top w:val="none" w:sz="0" w:space="0" w:color="auto"/>
        <w:left w:val="none" w:sz="0" w:space="0" w:color="auto"/>
        <w:bottom w:val="none" w:sz="0" w:space="0" w:color="auto"/>
        <w:right w:val="none" w:sz="0" w:space="0" w:color="auto"/>
      </w:divBdr>
    </w:div>
    <w:div w:id="1779524215">
      <w:bodyDiv w:val="1"/>
      <w:marLeft w:val="0"/>
      <w:marRight w:val="0"/>
      <w:marTop w:val="0"/>
      <w:marBottom w:val="0"/>
      <w:divBdr>
        <w:top w:val="none" w:sz="0" w:space="0" w:color="auto"/>
        <w:left w:val="none" w:sz="0" w:space="0" w:color="auto"/>
        <w:bottom w:val="none" w:sz="0" w:space="0" w:color="auto"/>
        <w:right w:val="none" w:sz="0" w:space="0" w:color="auto"/>
      </w:divBdr>
    </w:div>
    <w:div w:id="1807312855">
      <w:bodyDiv w:val="1"/>
      <w:marLeft w:val="0"/>
      <w:marRight w:val="0"/>
      <w:marTop w:val="0"/>
      <w:marBottom w:val="0"/>
      <w:divBdr>
        <w:top w:val="none" w:sz="0" w:space="0" w:color="auto"/>
        <w:left w:val="none" w:sz="0" w:space="0" w:color="auto"/>
        <w:bottom w:val="none" w:sz="0" w:space="0" w:color="auto"/>
        <w:right w:val="none" w:sz="0" w:space="0" w:color="auto"/>
      </w:divBdr>
    </w:div>
    <w:div w:id="1851020279">
      <w:bodyDiv w:val="1"/>
      <w:marLeft w:val="0"/>
      <w:marRight w:val="0"/>
      <w:marTop w:val="0"/>
      <w:marBottom w:val="0"/>
      <w:divBdr>
        <w:top w:val="none" w:sz="0" w:space="0" w:color="auto"/>
        <w:left w:val="none" w:sz="0" w:space="0" w:color="auto"/>
        <w:bottom w:val="none" w:sz="0" w:space="0" w:color="auto"/>
        <w:right w:val="none" w:sz="0" w:space="0" w:color="auto"/>
      </w:divBdr>
    </w:div>
    <w:div w:id="1898011950">
      <w:bodyDiv w:val="1"/>
      <w:marLeft w:val="0"/>
      <w:marRight w:val="0"/>
      <w:marTop w:val="0"/>
      <w:marBottom w:val="0"/>
      <w:divBdr>
        <w:top w:val="none" w:sz="0" w:space="0" w:color="auto"/>
        <w:left w:val="none" w:sz="0" w:space="0" w:color="auto"/>
        <w:bottom w:val="none" w:sz="0" w:space="0" w:color="auto"/>
        <w:right w:val="none" w:sz="0" w:space="0" w:color="auto"/>
      </w:divBdr>
    </w:div>
    <w:div w:id="19417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Market Size</c:v>
          </c:tx>
          <c:spPr>
            <a:solidFill>
              <a:schemeClr val="tx1">
                <a:lumMod val="75000"/>
                <a:lumOff val="2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2006</c:v>
                </c:pt>
                <c:pt idx="1">
                  <c:v>2007</c:v>
                </c:pt>
                <c:pt idx="2">
                  <c:v>2008</c:v>
                </c:pt>
                <c:pt idx="3">
                  <c:v>2009</c:v>
                </c:pt>
                <c:pt idx="4">
                  <c:v>2010</c:v>
                </c:pt>
                <c:pt idx="5">
                  <c:v>2011</c:v>
                </c:pt>
                <c:pt idx="6">
                  <c:v>2012</c:v>
                </c:pt>
                <c:pt idx="7">
                  <c:v>2013</c:v>
                </c:pt>
                <c:pt idx="8">
                  <c:v>2014</c:v>
                </c:pt>
                <c:pt idx="9">
                  <c:v>2017</c:v>
                </c:pt>
              </c:numCache>
            </c:numRef>
          </c:cat>
          <c:val>
            <c:numRef>
              <c:f>Sheet1!$B$2:$B$11</c:f>
              <c:numCache>
                <c:formatCode>General</c:formatCode>
                <c:ptCount val="10"/>
                <c:pt idx="0">
                  <c:v>159</c:v>
                </c:pt>
                <c:pt idx="1">
                  <c:v>170</c:v>
                </c:pt>
                <c:pt idx="2">
                  <c:v>167</c:v>
                </c:pt>
                <c:pt idx="3">
                  <c:v>153</c:v>
                </c:pt>
                <c:pt idx="4">
                  <c:v>173</c:v>
                </c:pt>
                <c:pt idx="5">
                  <c:v>192</c:v>
                </c:pt>
                <c:pt idx="6">
                  <c:v>212</c:v>
                </c:pt>
                <c:pt idx="7">
                  <c:v>218</c:v>
                </c:pt>
                <c:pt idx="8">
                  <c:v>224</c:v>
                </c:pt>
                <c:pt idx="9">
                  <c:v>265</c:v>
                </c:pt>
              </c:numCache>
            </c:numRef>
          </c:val>
        </c:ser>
        <c:dLbls>
          <c:dLblPos val="outEnd"/>
          <c:showLegendKey val="0"/>
          <c:showVal val="1"/>
          <c:showCatName val="0"/>
          <c:showSerName val="0"/>
          <c:showPercent val="0"/>
          <c:showBubbleSize val="0"/>
        </c:dLbls>
        <c:gapWidth val="219"/>
        <c:overlap val="-27"/>
        <c:axId val="188416928"/>
        <c:axId val="188421408"/>
      </c:barChart>
      <c:catAx>
        <c:axId val="18841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21408"/>
        <c:crosses val="autoZero"/>
        <c:auto val="1"/>
        <c:lblAlgn val="ctr"/>
        <c:lblOffset val="100"/>
        <c:noMultiLvlLbl val="0"/>
      </c:catAx>
      <c:valAx>
        <c:axId val="18842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 Billion</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1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v>Nationality</c:v>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Sheet3!$B$8:$B$12</c:f>
              <c:strCache>
                <c:ptCount val="5"/>
                <c:pt idx="0">
                  <c:v>Europe</c:v>
                </c:pt>
                <c:pt idx="1">
                  <c:v>Americas</c:v>
                </c:pt>
                <c:pt idx="2">
                  <c:v>Japan</c:v>
                </c:pt>
                <c:pt idx="3">
                  <c:v>Mainland China</c:v>
                </c:pt>
                <c:pt idx="4">
                  <c:v>Rest of World</c:v>
                </c:pt>
              </c:strCache>
            </c:strRef>
          </c:cat>
          <c:val>
            <c:numRef>
              <c:f>Sheet3!$C$8:$C$12</c:f>
              <c:numCache>
                <c:formatCode>0%</c:formatCode>
                <c:ptCount val="5"/>
                <c:pt idx="0">
                  <c:v>0.01</c:v>
                </c:pt>
                <c:pt idx="1">
                  <c:v>0.06</c:v>
                </c:pt>
                <c:pt idx="2">
                  <c:v>0.01</c:v>
                </c:pt>
                <c:pt idx="3">
                  <c:v>0.08</c:v>
                </c:pt>
                <c:pt idx="4">
                  <c:v>7.0000000000000007E-2</c:v>
                </c:pt>
              </c:numCache>
            </c:numRef>
          </c:val>
        </c:ser>
        <c:ser>
          <c:idx val="1"/>
          <c:order val="1"/>
          <c:tx>
            <c:v>Area</c:v>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Sheet3!$B$8:$B$12</c:f>
              <c:strCache>
                <c:ptCount val="5"/>
                <c:pt idx="0">
                  <c:v>Europe</c:v>
                </c:pt>
                <c:pt idx="1">
                  <c:v>Americas</c:v>
                </c:pt>
                <c:pt idx="2">
                  <c:v>Japan</c:v>
                </c:pt>
                <c:pt idx="3">
                  <c:v>Mainland China</c:v>
                </c:pt>
                <c:pt idx="4">
                  <c:v>Rest of World</c:v>
                </c:pt>
              </c:strCache>
            </c:strRef>
          </c:cat>
          <c:val>
            <c:numRef>
              <c:f>Sheet3!$D$8:$D$12</c:f>
              <c:numCache>
                <c:formatCode>0%</c:formatCode>
                <c:ptCount val="5"/>
                <c:pt idx="0">
                  <c:v>0.04</c:v>
                </c:pt>
                <c:pt idx="1">
                  <c:v>0.02</c:v>
                </c:pt>
                <c:pt idx="2">
                  <c:v>0.06</c:v>
                </c:pt>
                <c:pt idx="3">
                  <c:v>-0.03</c:v>
                </c:pt>
                <c:pt idx="4">
                  <c:v>0.01</c:v>
                </c:pt>
              </c:numCache>
            </c:numRef>
          </c:val>
        </c:ser>
        <c:dLbls>
          <c:dLblPos val="outEnd"/>
          <c:showLegendKey val="0"/>
          <c:showVal val="1"/>
          <c:showCatName val="0"/>
          <c:showSerName val="0"/>
          <c:showPercent val="0"/>
          <c:showBubbleSize val="0"/>
        </c:dLbls>
        <c:gapWidth val="219"/>
        <c:overlap val="-27"/>
        <c:axId val="187343560"/>
        <c:axId val="188497080"/>
      </c:barChart>
      <c:catAx>
        <c:axId val="187343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97080"/>
        <c:crosses val="autoZero"/>
        <c:auto val="1"/>
        <c:lblAlgn val="ctr"/>
        <c:lblOffset val="100"/>
        <c:noMultiLvlLbl val="0"/>
      </c:catAx>
      <c:valAx>
        <c:axId val="188497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2015F Growth</a:t>
                </a: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435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Mar08</b:Tag>
    <b:SourceType>InternetSite</b:SourceType>
    <b:Guid>{F773C8D4-C804-4B92-B852-7E8621FC5D51}</b:Guid>
    <b:Title>Los Angeles Times</b:Title>
    <b:Year>2008</b:Year>
    <b:Author>
      <b:Author>
        <b:NameList>
          <b:Person>
            <b:Last>Rourke</b:Last>
            <b:First>Mary</b:First>
          </b:Person>
        </b:NameList>
      </b:Author>
    </b:Author>
    <b:Month>June</b:Month>
    <b:Day>2</b:Day>
    <b:YearAccessed>2017</b:YearAccessed>
    <b:MonthAccessed>April</b:MonthAccessed>
    <b:DayAccessed>6</b:DayAccessed>
    <b:URL>http://www.latimes.com/local/obituaries/la-me-ysl2-2008jun02-story.html</b:URL>
    <b:RefOrder>1</b:RefOrder>
  </b:Source>
</b:Sources>
</file>

<file path=customXml/itemProps1.xml><?xml version="1.0" encoding="utf-8"?>
<ds:datastoreItem xmlns:ds="http://schemas.openxmlformats.org/officeDocument/2006/customXml" ds:itemID="{3259C4A9-348E-406F-B4B0-BB7FAF7B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5096</Words>
  <Characters>29052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2017-08-04T15:20:00Z</cp:lastPrinted>
  <dcterms:created xsi:type="dcterms:W3CDTF">2017-08-22T19:37:00Z</dcterms:created>
  <dcterms:modified xsi:type="dcterms:W3CDTF">2017-08-31T14:22:00Z</dcterms:modified>
</cp:coreProperties>
</file>