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A6946" w14:textId="66FFDEF0" w:rsidR="008467D5" w:rsidRPr="00082992" w:rsidRDefault="004149A5" w:rsidP="00013360">
      <w:pPr>
        <w:tabs>
          <w:tab w:val="left" w:pos="-1440"/>
          <w:tab w:val="left" w:pos="-720"/>
          <w:tab w:val="left" w:pos="1"/>
          <w:tab w:val="right" w:pos="9360"/>
        </w:tabs>
        <w:jc w:val="both"/>
        <w:rPr>
          <w:rFonts w:ascii="Arial" w:hAnsi="Arial"/>
          <w:sz w:val="24"/>
        </w:rPr>
      </w:pPr>
      <w:r w:rsidRPr="004149A5">
        <w:rPr>
          <w:rFonts w:ascii="Arial" w:hAnsi="Arial"/>
          <w:b/>
          <w:noProof/>
          <w:sz w:val="24"/>
          <w:lang w:eastAsia="en-GB"/>
        </w:rPr>
        <w:drawing>
          <wp:inline distT="0" distB="0" distL="0" distR="0" wp14:anchorId="011896E0" wp14:editId="2760C24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4F3AE4E" w14:textId="77777777" w:rsidR="00856D9F" w:rsidRPr="00082992" w:rsidRDefault="00856D9F" w:rsidP="008467D5">
      <w:pPr>
        <w:pBdr>
          <w:bottom w:val="single" w:sz="18" w:space="1" w:color="auto"/>
        </w:pBdr>
        <w:tabs>
          <w:tab w:val="left" w:pos="-1440"/>
          <w:tab w:val="left" w:pos="-720"/>
          <w:tab w:val="left" w:pos="1"/>
        </w:tabs>
        <w:jc w:val="both"/>
        <w:rPr>
          <w:rFonts w:ascii="Arial" w:hAnsi="Arial"/>
          <w:b/>
          <w:sz w:val="24"/>
        </w:rPr>
      </w:pPr>
    </w:p>
    <w:p w14:paraId="63729431" w14:textId="236F9EF2" w:rsidR="00D75295" w:rsidRPr="00082992" w:rsidRDefault="004149A5" w:rsidP="00187DCD">
      <w:pPr>
        <w:pStyle w:val="ProductNumber"/>
        <w:outlineLvl w:val="0"/>
      </w:pPr>
      <w:r>
        <w:t>9B17M</w:t>
      </w:r>
      <w:r w:rsidR="00AC414F">
        <w:t>142</w:t>
      </w:r>
    </w:p>
    <w:p w14:paraId="3DABFBEF" w14:textId="77777777" w:rsidR="00D75295" w:rsidRPr="00082992" w:rsidRDefault="00D75295" w:rsidP="00D75295">
      <w:pPr>
        <w:jc w:val="right"/>
        <w:rPr>
          <w:rFonts w:ascii="Arial" w:hAnsi="Arial"/>
          <w:b/>
          <w:sz w:val="28"/>
          <w:szCs w:val="28"/>
        </w:rPr>
      </w:pPr>
    </w:p>
    <w:p w14:paraId="09ECDB64" w14:textId="77777777" w:rsidR="00866F6D" w:rsidRPr="00082992" w:rsidRDefault="00866F6D" w:rsidP="00D75295">
      <w:pPr>
        <w:jc w:val="right"/>
        <w:rPr>
          <w:rFonts w:ascii="Arial" w:hAnsi="Arial"/>
          <w:b/>
          <w:sz w:val="28"/>
          <w:szCs w:val="28"/>
        </w:rPr>
      </w:pPr>
    </w:p>
    <w:p w14:paraId="5EA93D74" w14:textId="5F92F278" w:rsidR="00921F77" w:rsidRPr="00082992" w:rsidRDefault="00B253F6" w:rsidP="00187DCD">
      <w:pPr>
        <w:outlineLvl w:val="0"/>
        <w:rPr>
          <w:lang w:eastAsia="zh-CN"/>
        </w:rPr>
      </w:pPr>
      <w:r w:rsidRPr="00082992">
        <w:rPr>
          <w:rFonts w:ascii="Arial" w:hAnsi="Arial"/>
          <w:b/>
          <w:sz w:val="28"/>
          <w:szCs w:val="28"/>
        </w:rPr>
        <w:t>MISMAN</w:t>
      </w:r>
      <w:r w:rsidR="00EE5E97">
        <w:rPr>
          <w:rFonts w:ascii="Arial" w:hAnsi="Arial"/>
          <w:b/>
          <w:sz w:val="28"/>
          <w:szCs w:val="28"/>
        </w:rPr>
        <w:t>A</w:t>
      </w:r>
      <w:r w:rsidRPr="00082992">
        <w:rPr>
          <w:rFonts w:ascii="Arial" w:hAnsi="Arial"/>
          <w:b/>
          <w:sz w:val="28"/>
          <w:szCs w:val="28"/>
        </w:rPr>
        <w:t xml:space="preserve">GEMENT OF </w:t>
      </w:r>
      <w:r w:rsidR="003D0BEB" w:rsidRPr="00082992">
        <w:rPr>
          <w:rFonts w:ascii="Arial" w:hAnsi="Arial"/>
          <w:b/>
          <w:sz w:val="28"/>
          <w:szCs w:val="28"/>
        </w:rPr>
        <w:t xml:space="preserve">FISCAL POLICY: GREECE’S </w:t>
      </w:r>
      <w:proofErr w:type="gramStart"/>
      <w:r w:rsidR="003D0BEB" w:rsidRPr="00082992">
        <w:rPr>
          <w:rFonts w:ascii="Arial" w:hAnsi="Arial"/>
          <w:b/>
          <w:sz w:val="28"/>
          <w:szCs w:val="28"/>
        </w:rPr>
        <w:t>ACHILLES</w:t>
      </w:r>
      <w:r w:rsidR="007624A0">
        <w:rPr>
          <w:rFonts w:ascii="Arial" w:hAnsi="Arial"/>
          <w:b/>
          <w:sz w:val="28"/>
          <w:szCs w:val="28"/>
        </w:rPr>
        <w:t>’</w:t>
      </w:r>
      <w:r w:rsidR="003D0BEB" w:rsidRPr="00082992">
        <w:rPr>
          <w:rFonts w:ascii="Arial" w:hAnsi="Arial"/>
          <w:b/>
          <w:sz w:val="28"/>
          <w:szCs w:val="28"/>
        </w:rPr>
        <w:t xml:space="preserve"> HEEL</w:t>
      </w:r>
      <w:proofErr w:type="gramEnd"/>
      <w:r w:rsidR="00921F77" w:rsidRPr="00082992">
        <w:rPr>
          <w:rStyle w:val="EndnoteReference"/>
          <w:rFonts w:ascii="Arial" w:hAnsi="Arial" w:cs="Arial"/>
          <w:b w:val="0"/>
          <w:color w:val="auto"/>
          <w:sz w:val="28"/>
          <w:szCs w:val="28"/>
        </w:rPr>
        <w:endnoteReference w:id="1"/>
      </w:r>
      <w:r w:rsidR="00921F77" w:rsidRPr="00082992">
        <w:rPr>
          <w:lang w:eastAsia="zh-CN"/>
        </w:rPr>
        <w:t xml:space="preserve"> </w:t>
      </w:r>
    </w:p>
    <w:p w14:paraId="1DA778D7" w14:textId="77777777" w:rsidR="00921F77" w:rsidRPr="00082992" w:rsidRDefault="00921F77" w:rsidP="00013360">
      <w:pPr>
        <w:pStyle w:val="CaseTitle"/>
        <w:spacing w:after="0" w:line="240" w:lineRule="auto"/>
        <w:rPr>
          <w:color w:val="auto"/>
          <w:sz w:val="20"/>
          <w:szCs w:val="20"/>
        </w:rPr>
      </w:pPr>
    </w:p>
    <w:p w14:paraId="3CD38096" w14:textId="77777777" w:rsidR="00921F77" w:rsidRPr="00082992" w:rsidRDefault="00921F77" w:rsidP="00013360">
      <w:pPr>
        <w:pStyle w:val="CaseTitle"/>
        <w:spacing w:after="0" w:line="240" w:lineRule="auto"/>
        <w:rPr>
          <w:color w:val="auto"/>
          <w:sz w:val="20"/>
          <w:szCs w:val="20"/>
        </w:rPr>
      </w:pPr>
    </w:p>
    <w:p w14:paraId="18F8C1FA" w14:textId="77777777" w:rsidR="00921F77" w:rsidRPr="00082992" w:rsidRDefault="00921F77" w:rsidP="00013360">
      <w:pPr>
        <w:pStyle w:val="CaseTitle"/>
        <w:spacing w:after="0" w:line="240" w:lineRule="auto"/>
        <w:rPr>
          <w:color w:val="auto"/>
          <w:sz w:val="20"/>
          <w:szCs w:val="20"/>
        </w:rPr>
      </w:pPr>
    </w:p>
    <w:p w14:paraId="1A36523D" w14:textId="77777777" w:rsidR="00921F77" w:rsidRPr="00082992" w:rsidRDefault="00921F77" w:rsidP="00104567">
      <w:pPr>
        <w:pStyle w:val="StyleCopyrightStatementAfter0ptBottomSinglesolidline1"/>
        <w:rPr>
          <w:color w:val="auto"/>
        </w:rPr>
      </w:pPr>
      <w:r w:rsidRPr="00082992">
        <w:rPr>
          <w:color w:val="auto"/>
        </w:rPr>
        <w:t>Tulsi Jayakumar wrote this case solely to provide material for class discussion. The author does not intend to illustrate either effective or ineffective handling of a managerial situation. The authors may have disguised certain names and other identifying information to protect confidentiality.</w:t>
      </w:r>
    </w:p>
    <w:p w14:paraId="30FDAD67" w14:textId="77777777" w:rsidR="00921F77" w:rsidRPr="00082992" w:rsidRDefault="00921F77" w:rsidP="00104567">
      <w:pPr>
        <w:pStyle w:val="StyleCopyrightStatementAfter0ptBottomSinglesolidline1"/>
        <w:rPr>
          <w:color w:val="auto"/>
        </w:rPr>
      </w:pPr>
    </w:p>
    <w:p w14:paraId="5967A5B8" w14:textId="77777777" w:rsidR="004149A5" w:rsidRDefault="004149A5" w:rsidP="003F4462">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84D5969" w14:textId="77777777" w:rsidR="004149A5" w:rsidRDefault="004149A5" w:rsidP="003F4462">
      <w:pPr>
        <w:pStyle w:val="StyleCopyrightStatementAfter0ptBottomSinglesolidline1"/>
        <w:pBdr>
          <w:top w:val="none" w:sz="0" w:space="0" w:color="auto"/>
        </w:pBdr>
      </w:pPr>
    </w:p>
    <w:p w14:paraId="4F9B834E" w14:textId="7D6ADECC" w:rsidR="00921F77" w:rsidRPr="00082992" w:rsidRDefault="004149A5" w:rsidP="004149A5">
      <w:pPr>
        <w:pStyle w:val="StyleStyleCopyrightStatementAfter0ptBottomSinglesolid"/>
        <w:rPr>
          <w:color w:val="auto"/>
        </w:rPr>
      </w:pPr>
      <w:r>
        <w:t>Copyright © 2017, Richard Ivey School of Business Foundation</w:t>
      </w:r>
      <w:r w:rsidR="00921F77" w:rsidRPr="00082992">
        <w:rPr>
          <w:color w:val="auto"/>
        </w:rPr>
        <w:tab/>
        <w:t>Version: 2017-</w:t>
      </w:r>
      <w:r w:rsidR="008423D5">
        <w:rPr>
          <w:color w:val="auto"/>
        </w:rPr>
        <w:t>09-14</w:t>
      </w:r>
    </w:p>
    <w:p w14:paraId="1C0919E9" w14:textId="77777777" w:rsidR="00921F77" w:rsidRPr="00082992" w:rsidRDefault="00921F77" w:rsidP="00104567">
      <w:pPr>
        <w:pStyle w:val="StyleCopyrightStatementAfter0ptBottomSinglesolidline1"/>
        <w:rPr>
          <w:rFonts w:ascii="Times New Roman" w:hAnsi="Times New Roman"/>
          <w:color w:val="auto"/>
          <w:sz w:val="20"/>
        </w:rPr>
      </w:pPr>
    </w:p>
    <w:p w14:paraId="2433B991" w14:textId="77777777" w:rsidR="00921F77" w:rsidRPr="00082992" w:rsidRDefault="00921F77" w:rsidP="006F1D9E">
      <w:pPr>
        <w:pStyle w:val="Footnote"/>
      </w:pPr>
      <w:bookmarkStart w:id="0" w:name="_GoBack"/>
      <w:bookmarkEnd w:id="0"/>
    </w:p>
    <w:p w14:paraId="7FBDE06F" w14:textId="7B21B945" w:rsidR="00921F77" w:rsidRPr="00082992" w:rsidRDefault="00921F77" w:rsidP="006D5856">
      <w:pPr>
        <w:pStyle w:val="BodyTextMain"/>
      </w:pPr>
      <w:r w:rsidRPr="00082992">
        <w:t xml:space="preserve">In December 2016, the debt-stricken Greek government, led by Alexis Tsipras—the leader of the tiny, radical left party, </w:t>
      </w:r>
      <w:proofErr w:type="spellStart"/>
      <w:r w:rsidRPr="00082992">
        <w:t>Syriza</w:t>
      </w:r>
      <w:proofErr w:type="spellEnd"/>
      <w:r w:rsidRPr="00082992">
        <w:t xml:space="preserve">—announced the distribution of a sizeable </w:t>
      </w:r>
      <w:r w:rsidR="008423D5">
        <w:t>“</w:t>
      </w:r>
      <w:r w:rsidRPr="00082992">
        <w:t>Christmas gift</w:t>
      </w:r>
      <w:r w:rsidR="008423D5">
        <w:t>”</w:t>
      </w:r>
      <w:r w:rsidRPr="00082992">
        <w:t xml:space="preserve"> for its low-income pensioners, a one-time bonus that would </w:t>
      </w:r>
      <w:r w:rsidR="00832691" w:rsidRPr="00082992">
        <w:t xml:space="preserve">cost the government </w:t>
      </w:r>
      <w:r w:rsidRPr="00082992">
        <w:t>€617 million.</w:t>
      </w:r>
      <w:r w:rsidRPr="00F2034E">
        <w:rPr>
          <w:rStyle w:val="EndnoteReference"/>
          <w:b w:val="0"/>
          <w:color w:val="auto"/>
        </w:rPr>
        <w:endnoteReference w:id="2"/>
      </w:r>
      <w:r w:rsidRPr="00082992">
        <w:t xml:space="preserve"> </w:t>
      </w:r>
      <w:r w:rsidR="005572ED" w:rsidRPr="00082992">
        <w:t>The Eurozone nations supporting Greece</w:t>
      </w:r>
      <w:r w:rsidR="00EE5E97">
        <w:t xml:space="preserve"> in its period of</w:t>
      </w:r>
      <w:r w:rsidR="005572ED" w:rsidRPr="00082992">
        <w:t xml:space="preserve"> economic ruin disapproved of t</w:t>
      </w:r>
      <w:r w:rsidRPr="00082992">
        <w:t>his largesse</w:t>
      </w:r>
      <w:r w:rsidR="005572ED" w:rsidRPr="00082992">
        <w:t>, which</w:t>
      </w:r>
      <w:r w:rsidR="00C637C2" w:rsidRPr="00082992">
        <w:t xml:space="preserve"> was in addition to </w:t>
      </w:r>
      <w:r w:rsidRPr="00082992">
        <w:t xml:space="preserve">Greece’s decision to keep a lower value-added tax (VAT) on some </w:t>
      </w:r>
      <w:r w:rsidR="00F0083A">
        <w:t xml:space="preserve">of the country’s </w:t>
      </w:r>
      <w:r w:rsidRPr="00082992">
        <w:t>islands</w:t>
      </w:r>
      <w:r w:rsidR="003F3B27" w:rsidRPr="00082992">
        <w:t>,</w:t>
      </w:r>
      <w:r w:rsidRPr="00082992">
        <w:t xml:space="preserve"> </w:t>
      </w:r>
      <w:r w:rsidR="00C637C2" w:rsidRPr="00082992">
        <w:t xml:space="preserve">both implemented </w:t>
      </w:r>
      <w:r w:rsidRPr="00082992">
        <w:t xml:space="preserve">without consulting </w:t>
      </w:r>
      <w:r w:rsidR="005572ED" w:rsidRPr="00082992">
        <w:t>the creditor nations</w:t>
      </w:r>
      <w:r w:rsidR="00C637C2" w:rsidRPr="00082992">
        <w:t>.</w:t>
      </w:r>
      <w:r w:rsidRPr="00F2034E">
        <w:rPr>
          <w:rStyle w:val="EndnoteReference"/>
          <w:b w:val="0"/>
          <w:color w:val="auto"/>
        </w:rPr>
        <w:endnoteReference w:id="3"/>
      </w:r>
      <w:r w:rsidRPr="00082992">
        <w:t xml:space="preserve"> Greece had already received two bailouts from the</w:t>
      </w:r>
      <w:r w:rsidR="009C697B">
        <w:t xml:space="preserve"> so-called</w:t>
      </w:r>
      <w:r w:rsidRPr="00082992">
        <w:t xml:space="preserve"> </w:t>
      </w:r>
      <w:r w:rsidR="008423D5">
        <w:t>“</w:t>
      </w:r>
      <w:r w:rsidRPr="00082992">
        <w:t>troika</w:t>
      </w:r>
      <w:r w:rsidR="008423D5">
        <w:t>”</w:t>
      </w:r>
      <w:r w:rsidR="005572ED" w:rsidRPr="00082992">
        <w:t>—</w:t>
      </w:r>
      <w:r w:rsidRPr="00082992">
        <w:t>the International Monetary Fund (IMF), the European Central Bank (ECB), and the European Commission</w:t>
      </w:r>
      <w:r w:rsidR="005572ED" w:rsidRPr="00082992">
        <w:t xml:space="preserve">—one </w:t>
      </w:r>
      <w:r w:rsidR="00884E73" w:rsidRPr="00082992">
        <w:t xml:space="preserve">bailout </w:t>
      </w:r>
      <w:r w:rsidR="005572ED" w:rsidRPr="00082992">
        <w:t>in 2010 and the other in 2012.</w:t>
      </w:r>
      <w:r w:rsidRPr="00082992">
        <w:t xml:space="preserve"> In return, Greece </w:t>
      </w:r>
      <w:r w:rsidR="005572ED" w:rsidRPr="00082992">
        <w:t>committed</w:t>
      </w:r>
      <w:r w:rsidRPr="00082992">
        <w:t xml:space="preserve"> to reduce its debt</w:t>
      </w:r>
      <w:r w:rsidR="009015DA">
        <w:t>-</w:t>
      </w:r>
      <w:r w:rsidRPr="00082992">
        <w:t>to</w:t>
      </w:r>
      <w:r w:rsidR="009015DA">
        <w:t>-</w:t>
      </w:r>
      <w:r w:rsidRPr="00082992">
        <w:t>gross</w:t>
      </w:r>
      <w:r w:rsidR="009015DA">
        <w:t>-</w:t>
      </w:r>
      <w:r w:rsidRPr="00082992">
        <w:t>domestic</w:t>
      </w:r>
      <w:r w:rsidR="009015DA">
        <w:t>-</w:t>
      </w:r>
      <w:r w:rsidRPr="00082992">
        <w:t xml:space="preserve">product (GDP) ratio from 160 per cent in 2012 to 124 per cent by 2020. </w:t>
      </w:r>
    </w:p>
    <w:p w14:paraId="745A72E4" w14:textId="77777777" w:rsidR="00921F77" w:rsidRPr="00082992" w:rsidRDefault="00921F77" w:rsidP="006D5856">
      <w:pPr>
        <w:pStyle w:val="BodyTextMain"/>
      </w:pPr>
    </w:p>
    <w:p w14:paraId="11063D9D" w14:textId="01477385" w:rsidR="00921F77" w:rsidRPr="00082992" w:rsidRDefault="00921F77" w:rsidP="006D5856">
      <w:pPr>
        <w:pStyle w:val="BodyTextMain"/>
      </w:pPr>
      <w:r w:rsidRPr="00082992">
        <w:t xml:space="preserve">In 2015, the creditor nations of the Eurozone had linked a third bailout to Greece’s implementation of strong austerity measures and achievement of specific fiscal targets. </w:t>
      </w:r>
      <w:r w:rsidR="00F27EB1" w:rsidRPr="00082992">
        <w:t xml:space="preserve">The bailout was to </w:t>
      </w:r>
      <w:proofErr w:type="gramStart"/>
      <w:r w:rsidR="00F27EB1" w:rsidRPr="00082992">
        <w:t>be paid</w:t>
      </w:r>
      <w:proofErr w:type="gramEnd"/>
      <w:r w:rsidR="00F27EB1" w:rsidRPr="00082992">
        <w:t xml:space="preserve"> in tranches from 2015 to 2018, but the Eurozone had halted payments</w:t>
      </w:r>
      <w:r w:rsidRPr="00082992">
        <w:t>.</w:t>
      </w:r>
      <w:r w:rsidRPr="00F2034E">
        <w:rPr>
          <w:rStyle w:val="EndnoteReference"/>
          <w:b w:val="0"/>
          <w:color w:val="auto"/>
        </w:rPr>
        <w:endnoteReference w:id="4"/>
      </w:r>
      <w:r w:rsidRPr="00082992">
        <w:t xml:space="preserve"> Greece, whose debt</w:t>
      </w:r>
      <w:r w:rsidR="009015DA">
        <w:t>-</w:t>
      </w:r>
      <w:r w:rsidRPr="00082992">
        <w:t>to</w:t>
      </w:r>
      <w:r w:rsidR="009015DA">
        <w:t>-</w:t>
      </w:r>
      <w:r w:rsidRPr="00082992">
        <w:t>GDP ratio had shot up to 181 per cent in December 2016,</w:t>
      </w:r>
      <w:r w:rsidRPr="00F2034E">
        <w:rPr>
          <w:rStyle w:val="EndnoteReference"/>
          <w:b w:val="0"/>
          <w:color w:val="auto"/>
        </w:rPr>
        <w:endnoteReference w:id="5"/>
      </w:r>
      <w:r w:rsidRPr="00082992">
        <w:t xml:space="preserve"> seemed to have reached another impasse. </w:t>
      </w:r>
    </w:p>
    <w:p w14:paraId="3776708D" w14:textId="77777777" w:rsidR="00921F77" w:rsidRPr="00082992" w:rsidRDefault="00921F77" w:rsidP="006D5856">
      <w:pPr>
        <w:pStyle w:val="BodyTextMain"/>
      </w:pPr>
    </w:p>
    <w:p w14:paraId="33C9724C" w14:textId="3C1843C9" w:rsidR="00921F77" w:rsidRPr="00082992" w:rsidRDefault="00921F77" w:rsidP="006D5856">
      <w:pPr>
        <w:pStyle w:val="BodyTextMain"/>
      </w:pPr>
      <w:r w:rsidRPr="00082992">
        <w:t>The IMF took a contrary position to the Eurozone nations on resolving Greece’s debt crisis.</w:t>
      </w:r>
      <w:r w:rsidRPr="00082992">
        <w:rPr>
          <w:rStyle w:val="EndnoteReference"/>
          <w:color w:val="auto"/>
        </w:rPr>
        <w:endnoteReference w:id="6"/>
      </w:r>
      <w:r w:rsidRPr="00082992">
        <w:t xml:space="preserve"> The IMF had already refused to participate in the 2015 bailout and commit further funds. Rather than impose austerity </w:t>
      </w:r>
      <w:r w:rsidR="00884E73" w:rsidRPr="00082992">
        <w:t xml:space="preserve">measures </w:t>
      </w:r>
      <w:r w:rsidRPr="00082992">
        <w:t xml:space="preserve">and stringent fiscal targets, the IMF wanted the </w:t>
      </w:r>
      <w:r w:rsidR="00024192" w:rsidRPr="00082992">
        <w:t>Eurozone</w:t>
      </w:r>
      <w:r w:rsidRPr="00082992">
        <w:t xml:space="preserve"> to restructure Greece’s debt</w:t>
      </w:r>
      <w:r w:rsidR="009015DA">
        <w:t>,</w:t>
      </w:r>
      <w:r w:rsidRPr="00F2034E">
        <w:rPr>
          <w:rStyle w:val="EndnoteReference"/>
          <w:b w:val="0"/>
          <w:color w:val="auto"/>
        </w:rPr>
        <w:endnoteReference w:id="7"/>
      </w:r>
      <w:r w:rsidRPr="00082992">
        <w:t xml:space="preserve"> and </w:t>
      </w:r>
      <w:r w:rsidR="00884E73" w:rsidRPr="00082992">
        <w:t xml:space="preserve">wanted </w:t>
      </w:r>
      <w:r w:rsidRPr="00082992">
        <w:t xml:space="preserve">Greece to implement structural reforms as a means of increasing the competitiveness of the Greek economy. With little access to international capital markets, and with 10-year Greek government bond yields soaring to 6.94 per cent </w:t>
      </w:r>
      <w:r w:rsidR="00E70547" w:rsidRPr="00082992">
        <w:t xml:space="preserve">in December 2016 </w:t>
      </w:r>
      <w:r w:rsidR="009015DA">
        <w:t>(</w:t>
      </w:r>
      <w:r w:rsidRPr="00082992">
        <w:t>as opposed to the 0.25 per cent on German bonds of comparable maturities</w:t>
      </w:r>
      <w:r w:rsidR="009015DA">
        <w:t>)</w:t>
      </w:r>
      <w:r w:rsidRPr="00082992">
        <w:t>,</w:t>
      </w:r>
      <w:r w:rsidRPr="00F2034E">
        <w:rPr>
          <w:rStyle w:val="EndnoteReference"/>
          <w:b w:val="0"/>
          <w:color w:val="auto"/>
        </w:rPr>
        <w:endnoteReference w:id="8"/>
      </w:r>
      <w:r w:rsidRPr="00082992">
        <w:t xml:space="preserve"> Greece faced the spectre of a default and the prospect of an exit from the </w:t>
      </w:r>
      <w:r w:rsidR="008B7CC7" w:rsidRPr="00082992">
        <w:t>e</w:t>
      </w:r>
      <w:r w:rsidRPr="00082992">
        <w:t xml:space="preserve">uro. </w:t>
      </w:r>
    </w:p>
    <w:p w14:paraId="78D96047" w14:textId="77777777" w:rsidR="00921F77" w:rsidRPr="00082992" w:rsidRDefault="00921F77" w:rsidP="006D5856">
      <w:pPr>
        <w:pStyle w:val="BodyTextMain"/>
      </w:pPr>
    </w:p>
    <w:p w14:paraId="55C893C2" w14:textId="7CB2F1F3" w:rsidR="00921F77" w:rsidRPr="00082992" w:rsidRDefault="00921F77" w:rsidP="006D5856">
      <w:pPr>
        <w:pStyle w:val="BodyTextMain"/>
      </w:pPr>
      <w:r w:rsidRPr="00082992">
        <w:t xml:space="preserve">What explained the </w:t>
      </w:r>
      <w:r w:rsidR="00E70547" w:rsidRPr="00082992">
        <w:t>escalation</w:t>
      </w:r>
      <w:r w:rsidRPr="00082992">
        <w:t xml:space="preserve"> in Greece’s debt</w:t>
      </w:r>
      <w:r w:rsidR="009015DA">
        <w:t>-</w:t>
      </w:r>
      <w:r w:rsidRPr="00082992">
        <w:t>to</w:t>
      </w:r>
      <w:r w:rsidR="009015DA">
        <w:t>-</w:t>
      </w:r>
      <w:r w:rsidRPr="00082992">
        <w:t xml:space="preserve">GDP ratio to its current high three-digit figure and Greece’s economic troubles? Why were investors </w:t>
      </w:r>
      <w:r w:rsidR="009015DA">
        <w:t>un</w:t>
      </w:r>
      <w:r w:rsidRPr="00082992">
        <w:t xml:space="preserve">willing to bet on Greek bonds? Faced with an imminent exit from the </w:t>
      </w:r>
      <w:r w:rsidR="008B7CC7" w:rsidRPr="00082992">
        <w:t>e</w:t>
      </w:r>
      <w:r w:rsidRPr="00082992">
        <w:t xml:space="preserve">uro, how could Greece overcome its troubles? </w:t>
      </w:r>
    </w:p>
    <w:p w14:paraId="0AD95EB5" w14:textId="77777777" w:rsidR="00921F77" w:rsidRPr="00082992" w:rsidRDefault="00921F77" w:rsidP="006D5856">
      <w:pPr>
        <w:pStyle w:val="BodyTextMain"/>
      </w:pPr>
    </w:p>
    <w:p w14:paraId="50130870" w14:textId="77777777" w:rsidR="00921F77" w:rsidRPr="00082992" w:rsidRDefault="00921F77" w:rsidP="006D5856">
      <w:pPr>
        <w:pStyle w:val="BodyTextMain"/>
      </w:pPr>
    </w:p>
    <w:p w14:paraId="0537A3DB" w14:textId="77777777" w:rsidR="00921F77" w:rsidRPr="00082992" w:rsidRDefault="00921F77" w:rsidP="00082992">
      <w:pPr>
        <w:pStyle w:val="BodyTextMain"/>
        <w:keepNext/>
        <w:outlineLvl w:val="0"/>
        <w:rPr>
          <w:rFonts w:ascii="Arial" w:hAnsi="Arial" w:cs="Arial"/>
          <w:b/>
          <w:sz w:val="20"/>
          <w:szCs w:val="20"/>
        </w:rPr>
      </w:pPr>
      <w:r w:rsidRPr="00082992">
        <w:rPr>
          <w:rFonts w:ascii="Arial" w:hAnsi="Arial" w:cs="Arial"/>
          <w:b/>
          <w:sz w:val="20"/>
          <w:szCs w:val="20"/>
        </w:rPr>
        <w:lastRenderedPageBreak/>
        <w:t>BACKGROUND</w:t>
      </w:r>
      <w:r w:rsidRPr="008423D5">
        <w:rPr>
          <w:vertAlign w:val="superscript"/>
        </w:rPr>
        <w:endnoteReference w:id="9"/>
      </w:r>
    </w:p>
    <w:p w14:paraId="4295C301" w14:textId="77777777" w:rsidR="00921F77" w:rsidRPr="00082992" w:rsidRDefault="00921F77" w:rsidP="00082992">
      <w:pPr>
        <w:pStyle w:val="BodyTextMain"/>
        <w:keepNext/>
      </w:pPr>
    </w:p>
    <w:p w14:paraId="42326E85" w14:textId="53A189FE" w:rsidR="00921F77" w:rsidRPr="00082992" w:rsidRDefault="00921F77" w:rsidP="0083548F">
      <w:pPr>
        <w:pStyle w:val="BodyTextMain"/>
      </w:pPr>
      <w:r w:rsidRPr="00082992">
        <w:t xml:space="preserve">Greece, officially the Hellenic Republic, </w:t>
      </w:r>
      <w:proofErr w:type="gramStart"/>
      <w:r w:rsidRPr="00082992">
        <w:t>had been subjugated</w:t>
      </w:r>
      <w:proofErr w:type="gramEnd"/>
      <w:r w:rsidRPr="00082992">
        <w:t xml:space="preserve"> to the Ottoman Empire </w:t>
      </w:r>
      <w:r w:rsidR="008B7CC7" w:rsidRPr="00082992">
        <w:t>from</w:t>
      </w:r>
      <w:r w:rsidRPr="00082992">
        <w:t xml:space="preserve"> 1453 BCE</w:t>
      </w:r>
      <w:r w:rsidR="008B7CC7" w:rsidRPr="00082992">
        <w:t xml:space="preserve"> until 1829</w:t>
      </w:r>
      <w:r w:rsidR="00C2441A">
        <w:t>, when it</w:t>
      </w:r>
      <w:r w:rsidRPr="00082992">
        <w:t xml:space="preserve"> achieve</w:t>
      </w:r>
      <w:r w:rsidR="00C2441A">
        <w:t>d</w:t>
      </w:r>
      <w:r w:rsidRPr="00082992">
        <w:t xml:space="preserve"> independence</w:t>
      </w:r>
      <w:r w:rsidR="00C2441A">
        <w:t>—</w:t>
      </w:r>
      <w:r w:rsidRPr="00082992">
        <w:t>eight years after the Greek War of Independence started.</w:t>
      </w:r>
      <w:r w:rsidRPr="00F2034E">
        <w:rPr>
          <w:rStyle w:val="EndnoteReference"/>
          <w:b w:val="0"/>
          <w:color w:val="auto"/>
        </w:rPr>
        <w:endnoteReference w:id="10"/>
      </w:r>
      <w:r w:rsidRPr="00082992">
        <w:t xml:space="preserve"> Greece’s subsequent history was </w:t>
      </w:r>
      <w:r w:rsidR="008423D5">
        <w:t>“</w:t>
      </w:r>
      <w:r w:rsidRPr="00082992">
        <w:t>a narrative of debt, default, and external dependence.</w:t>
      </w:r>
      <w:r w:rsidR="008423D5">
        <w:t>”</w:t>
      </w:r>
      <w:r w:rsidRPr="00F2034E">
        <w:rPr>
          <w:rStyle w:val="EndnoteReference"/>
          <w:b w:val="0"/>
          <w:color w:val="auto"/>
        </w:rPr>
        <w:endnoteReference w:id="11"/>
      </w:r>
      <w:r w:rsidRPr="00082992">
        <w:t xml:space="preserve"> Greece remained in a state of external default</w:t>
      </w:r>
      <w:r w:rsidR="009015DA">
        <w:t xml:space="preserve"> for</w:t>
      </w:r>
      <w:r w:rsidRPr="00082992">
        <w:t xml:space="preserve"> at least </w:t>
      </w:r>
      <w:r w:rsidR="008B7CC7" w:rsidRPr="00082992">
        <w:t>half</w:t>
      </w:r>
      <w:r w:rsidRPr="00082992">
        <w:t xml:space="preserve"> of the years since its independence, and experienced at least three major episodes of debt defaults in the period spanning from independence to the sovereign debt crisis in 2010 (see Exhibit 1). The sovereign debt crisis was rooted in Greek policy decisions stretching back more than three decades to 1973. The crisis unrolled in four stages. </w:t>
      </w:r>
    </w:p>
    <w:p w14:paraId="1AC1B2F9" w14:textId="77777777" w:rsidR="00921F77" w:rsidRPr="00082992" w:rsidRDefault="00921F77" w:rsidP="006D5856">
      <w:pPr>
        <w:pStyle w:val="BodyTextMain"/>
        <w:rPr>
          <w:sz w:val="20"/>
        </w:rPr>
      </w:pPr>
    </w:p>
    <w:p w14:paraId="27172ECF" w14:textId="77777777" w:rsidR="00921F77" w:rsidRPr="00082992" w:rsidRDefault="00921F77" w:rsidP="006D5856">
      <w:pPr>
        <w:pStyle w:val="BodyTextMain"/>
        <w:rPr>
          <w:sz w:val="20"/>
        </w:rPr>
      </w:pPr>
    </w:p>
    <w:p w14:paraId="13FBB98D" w14:textId="51869C1D" w:rsidR="00921F77" w:rsidRPr="00082992" w:rsidRDefault="00921F77" w:rsidP="00187DCD">
      <w:pPr>
        <w:pStyle w:val="Casehead2"/>
        <w:outlineLvl w:val="0"/>
      </w:pPr>
      <w:r w:rsidRPr="00082992">
        <w:t>Stage I: Preparing for Entry into the European Economic Community (1974–1980)</w:t>
      </w:r>
    </w:p>
    <w:p w14:paraId="3B0A0774" w14:textId="77777777" w:rsidR="00921F77" w:rsidRPr="00082992" w:rsidRDefault="00921F77" w:rsidP="006D5856">
      <w:pPr>
        <w:pStyle w:val="BodyTextMain"/>
      </w:pPr>
    </w:p>
    <w:p w14:paraId="0ACCAD95" w14:textId="1B437AEE" w:rsidR="00921F77" w:rsidRPr="00082992" w:rsidRDefault="00921F77" w:rsidP="006D5856">
      <w:pPr>
        <w:pStyle w:val="BodyTextMain"/>
        <w:rPr>
          <w:spacing w:val="-2"/>
          <w:kern w:val="22"/>
        </w:rPr>
      </w:pPr>
      <w:r w:rsidRPr="00082992">
        <w:rPr>
          <w:spacing w:val="-2"/>
          <w:kern w:val="22"/>
        </w:rPr>
        <w:t xml:space="preserve">Greece was fiscally prudent and sustained its macroeconomic performance from 1974 to 1980 (see Exhibit 2). The government adhered to the </w:t>
      </w:r>
      <w:r w:rsidR="008423D5">
        <w:rPr>
          <w:spacing w:val="-2"/>
          <w:kern w:val="22"/>
        </w:rPr>
        <w:t>“</w:t>
      </w:r>
      <w:r w:rsidRPr="00082992">
        <w:rPr>
          <w:spacing w:val="-2"/>
          <w:kern w:val="22"/>
        </w:rPr>
        <w:t>golden rule</w:t>
      </w:r>
      <w:r w:rsidR="008423D5">
        <w:rPr>
          <w:spacing w:val="-2"/>
          <w:kern w:val="22"/>
        </w:rPr>
        <w:t>”</w:t>
      </w:r>
      <w:r w:rsidRPr="00082992">
        <w:rPr>
          <w:spacing w:val="-2"/>
          <w:kern w:val="22"/>
        </w:rPr>
        <w:t xml:space="preserve"> of fiscal policy</w:t>
      </w:r>
      <w:r w:rsidR="006A103C" w:rsidRPr="00082992">
        <w:rPr>
          <w:spacing w:val="-2"/>
          <w:kern w:val="22"/>
        </w:rPr>
        <w:t xml:space="preserve"> (</w:t>
      </w:r>
      <w:r w:rsidR="00B0731C" w:rsidRPr="00082992">
        <w:t>keeping revenue deficits zero while allowing capital deficits</w:t>
      </w:r>
      <w:r w:rsidR="006A103C" w:rsidRPr="00082992">
        <w:t xml:space="preserve">) </w:t>
      </w:r>
      <w:r w:rsidR="00B0731C" w:rsidRPr="00082992">
        <w:t>by</w:t>
      </w:r>
      <w:r w:rsidRPr="00082992">
        <w:rPr>
          <w:spacing w:val="-2"/>
          <w:kern w:val="22"/>
        </w:rPr>
        <w:t xml:space="preserve"> allowing deficits only in the public investment program</w:t>
      </w:r>
      <w:r w:rsidR="00544C98">
        <w:rPr>
          <w:spacing w:val="-2"/>
          <w:kern w:val="22"/>
        </w:rPr>
        <w:t>,</w:t>
      </w:r>
      <w:r w:rsidRPr="00F2034E">
        <w:rPr>
          <w:rStyle w:val="EndnoteReference"/>
          <w:b w:val="0"/>
          <w:color w:val="auto"/>
          <w:spacing w:val="-2"/>
          <w:kern w:val="22"/>
        </w:rPr>
        <w:endnoteReference w:id="12"/>
      </w:r>
      <w:r w:rsidRPr="00082992">
        <w:rPr>
          <w:spacing w:val="-2"/>
          <w:kern w:val="22"/>
        </w:rPr>
        <w:t xml:space="preserve"> and keeping the fiscal deficit below 3 per cent of GDP. Thus, on the eve of entry into the European Economic Community (EEC) in 1980, Greece recorded a fiscal deficit of 2.6 per cent and a debt</w:t>
      </w:r>
      <w:r w:rsidR="00F2034E">
        <w:rPr>
          <w:spacing w:val="-2"/>
          <w:kern w:val="22"/>
        </w:rPr>
        <w:t>-</w:t>
      </w:r>
      <w:r w:rsidRPr="00082992">
        <w:rPr>
          <w:spacing w:val="-2"/>
          <w:kern w:val="22"/>
        </w:rPr>
        <w:t>to</w:t>
      </w:r>
      <w:r w:rsidR="00F2034E">
        <w:rPr>
          <w:spacing w:val="-2"/>
          <w:kern w:val="22"/>
        </w:rPr>
        <w:t>-</w:t>
      </w:r>
      <w:r w:rsidRPr="00082992">
        <w:rPr>
          <w:spacing w:val="-2"/>
          <w:kern w:val="22"/>
        </w:rPr>
        <w:t>GDP ratio of 21.4 per cent.</w:t>
      </w:r>
      <w:r w:rsidRPr="00F2034E">
        <w:rPr>
          <w:rStyle w:val="EndnoteReference"/>
          <w:b w:val="0"/>
          <w:color w:val="auto"/>
          <w:spacing w:val="-2"/>
          <w:kern w:val="22"/>
        </w:rPr>
        <w:endnoteReference w:id="13"/>
      </w:r>
    </w:p>
    <w:p w14:paraId="10177723" w14:textId="77777777" w:rsidR="003D2146" w:rsidRPr="00082992" w:rsidRDefault="003D2146" w:rsidP="006D5856">
      <w:pPr>
        <w:pStyle w:val="BodyTextMain"/>
      </w:pPr>
    </w:p>
    <w:p w14:paraId="73748C86" w14:textId="3BB40BD5" w:rsidR="00921F77" w:rsidRPr="00082992" w:rsidRDefault="00921F77" w:rsidP="006D5856">
      <w:pPr>
        <w:pStyle w:val="BodyTextMain"/>
      </w:pPr>
      <w:r w:rsidRPr="00082992">
        <w:t xml:space="preserve">However, notwithstanding favourable macro-indicators, Greece suffered from structural weaknesses, both in demand and supply. Growth </w:t>
      </w:r>
      <w:proofErr w:type="gramStart"/>
      <w:r w:rsidRPr="00082992">
        <w:t>was basically</w:t>
      </w:r>
      <w:proofErr w:type="gramEnd"/>
      <w:r w:rsidRPr="00082992">
        <w:t xml:space="preserve"> driven by domestic consumption. Greeks tended to save and did not invest much of their incomes, especially in machinery, equipment, or plants. Public sector outlays </w:t>
      </w:r>
      <w:proofErr w:type="gramStart"/>
      <w:r w:rsidRPr="00082992">
        <w:t>were also skewed</w:t>
      </w:r>
      <w:proofErr w:type="gramEnd"/>
      <w:r w:rsidRPr="00082992">
        <w:t xml:space="preserve"> toward</w:t>
      </w:r>
      <w:r w:rsidR="0049629B">
        <w:t>s</w:t>
      </w:r>
      <w:r w:rsidRPr="00082992">
        <w:t xml:space="preserve"> current expenditure rather than toward</w:t>
      </w:r>
      <w:r w:rsidR="0049629B">
        <w:t>s</w:t>
      </w:r>
      <w:r w:rsidRPr="00082992">
        <w:t xml:space="preserve"> investment. Thus, despite economic growth, the Greek industrial base remained narrow; agriculture was large and inefficient, and services occupied the dominant share of </w:t>
      </w:r>
      <w:r w:rsidR="00F2034E">
        <w:t xml:space="preserve">the </w:t>
      </w:r>
      <w:r w:rsidR="00CA7C53">
        <w:t xml:space="preserve">country’s </w:t>
      </w:r>
      <w:r w:rsidRPr="00082992">
        <w:t>GDP.</w:t>
      </w:r>
      <w:r w:rsidRPr="00F2034E">
        <w:rPr>
          <w:rStyle w:val="EndnoteReference"/>
          <w:b w:val="0"/>
          <w:color w:val="auto"/>
        </w:rPr>
        <w:endnoteReference w:id="14"/>
      </w:r>
      <w:r w:rsidRPr="00082992">
        <w:t xml:space="preserve"> The Bank of Greece followed an accommodative monetary policy to finance the fiscal deficits, which led to strong inflationary pressures, squeezed business profits, and </w:t>
      </w:r>
      <w:r w:rsidR="00092374" w:rsidRPr="00082992">
        <w:t xml:space="preserve">negatively </w:t>
      </w:r>
      <w:r w:rsidRPr="00082992">
        <w:t xml:space="preserve">affected business investments. </w:t>
      </w:r>
    </w:p>
    <w:p w14:paraId="036AF27A" w14:textId="77777777" w:rsidR="00921F77" w:rsidRPr="00082992" w:rsidRDefault="00921F77" w:rsidP="006D5856">
      <w:pPr>
        <w:pStyle w:val="BodyTextMain"/>
      </w:pPr>
    </w:p>
    <w:p w14:paraId="416C8969" w14:textId="77777777" w:rsidR="00921F77" w:rsidRPr="00082992" w:rsidRDefault="00921F77" w:rsidP="006D5856">
      <w:pPr>
        <w:pStyle w:val="BodyTextMain"/>
      </w:pPr>
    </w:p>
    <w:p w14:paraId="38E4D7EF" w14:textId="0AAB9DE9" w:rsidR="00921F77" w:rsidRPr="00082992" w:rsidRDefault="00921F77" w:rsidP="00187DCD">
      <w:pPr>
        <w:pStyle w:val="Casehead2"/>
        <w:outlineLvl w:val="0"/>
      </w:pPr>
      <w:r w:rsidRPr="00082992">
        <w:t>Stage II: Creating a Culture of Macroeconomic Populism (the 1980s)</w:t>
      </w:r>
    </w:p>
    <w:p w14:paraId="3E3CCCB5" w14:textId="77777777" w:rsidR="00921F77" w:rsidRPr="00082992" w:rsidRDefault="00921F77" w:rsidP="006D5856">
      <w:pPr>
        <w:pStyle w:val="BodyTextMain"/>
      </w:pPr>
    </w:p>
    <w:p w14:paraId="20ED5AFC" w14:textId="0598AB54" w:rsidR="00921F77" w:rsidRPr="00AC414F" w:rsidRDefault="00F2034E" w:rsidP="006D5856">
      <w:pPr>
        <w:pStyle w:val="BodyTextMain"/>
        <w:rPr>
          <w:spacing w:val="-2"/>
          <w:kern w:val="22"/>
        </w:rPr>
      </w:pPr>
      <w:r w:rsidRPr="00AC414F">
        <w:rPr>
          <w:spacing w:val="-2"/>
          <w:kern w:val="22"/>
        </w:rPr>
        <w:t>In the 1980s, s</w:t>
      </w:r>
      <w:r w:rsidR="00921F77" w:rsidRPr="00AC414F">
        <w:rPr>
          <w:spacing w:val="-2"/>
          <w:kern w:val="22"/>
        </w:rPr>
        <w:t>uccessive governments enshrined the culture of macroeconomic populism</w:t>
      </w:r>
      <w:r w:rsidR="0049629B" w:rsidRPr="00AC414F">
        <w:rPr>
          <w:spacing w:val="-2"/>
          <w:kern w:val="22"/>
        </w:rPr>
        <w:t xml:space="preserve">, </w:t>
      </w:r>
      <w:r w:rsidR="00EA2D19" w:rsidRPr="00AC414F">
        <w:rPr>
          <w:spacing w:val="-2"/>
          <w:kern w:val="22"/>
        </w:rPr>
        <w:t>which saw</w:t>
      </w:r>
      <w:r w:rsidR="0049629B" w:rsidRPr="00AC414F">
        <w:rPr>
          <w:spacing w:val="-2"/>
          <w:kern w:val="22"/>
        </w:rPr>
        <w:t xml:space="preserve"> higher wages, as </w:t>
      </w:r>
      <w:r w:rsidRPr="00AC414F">
        <w:rPr>
          <w:spacing w:val="-2"/>
          <w:kern w:val="22"/>
        </w:rPr>
        <w:t>well as</w:t>
      </w:r>
      <w:r w:rsidR="0049629B" w:rsidRPr="00AC414F">
        <w:rPr>
          <w:spacing w:val="-2"/>
          <w:kern w:val="22"/>
        </w:rPr>
        <w:t xml:space="preserve"> government spending,</w:t>
      </w:r>
      <w:r w:rsidR="00921F77" w:rsidRPr="00AC414F">
        <w:rPr>
          <w:spacing w:val="-2"/>
          <w:kern w:val="22"/>
        </w:rPr>
        <w:t xml:space="preserve"> among the Greek masses. The ruling New Democracy (ND) party</w:t>
      </w:r>
      <w:r w:rsidR="003E6E2B" w:rsidRPr="00AC414F">
        <w:rPr>
          <w:spacing w:val="-2"/>
          <w:kern w:val="22"/>
        </w:rPr>
        <w:t xml:space="preserve">, </w:t>
      </w:r>
      <w:r w:rsidR="00921F77" w:rsidRPr="00AC414F">
        <w:rPr>
          <w:spacing w:val="-2"/>
          <w:kern w:val="22"/>
        </w:rPr>
        <w:t>a centre-right party</w:t>
      </w:r>
      <w:r w:rsidR="003E6E2B" w:rsidRPr="00AC414F">
        <w:rPr>
          <w:spacing w:val="-2"/>
          <w:kern w:val="22"/>
        </w:rPr>
        <w:t xml:space="preserve">, </w:t>
      </w:r>
      <w:r w:rsidR="00921F77" w:rsidRPr="00AC414F">
        <w:rPr>
          <w:spacing w:val="-2"/>
          <w:kern w:val="22"/>
        </w:rPr>
        <w:t xml:space="preserve">had already initiated a </w:t>
      </w:r>
      <w:r w:rsidR="008423D5">
        <w:rPr>
          <w:spacing w:val="-2"/>
          <w:kern w:val="22"/>
        </w:rPr>
        <w:t>“</w:t>
      </w:r>
      <w:r w:rsidR="00921F77" w:rsidRPr="00AC414F">
        <w:rPr>
          <w:spacing w:val="-2"/>
          <w:kern w:val="22"/>
        </w:rPr>
        <w:t>spending spree and deferral of taxes</w:t>
      </w:r>
      <w:r w:rsidR="008423D5">
        <w:rPr>
          <w:spacing w:val="-2"/>
          <w:kern w:val="22"/>
        </w:rPr>
        <w:t>”</w:t>
      </w:r>
      <w:r w:rsidR="00921F77" w:rsidRPr="00AC414F">
        <w:rPr>
          <w:spacing w:val="-2"/>
          <w:kern w:val="22"/>
        </w:rPr>
        <w:t xml:space="preserve"> in 1981</w:t>
      </w:r>
      <w:r w:rsidR="00707918" w:rsidRPr="00AC414F">
        <w:rPr>
          <w:spacing w:val="-2"/>
          <w:kern w:val="22"/>
        </w:rPr>
        <w:t>.</w:t>
      </w:r>
      <w:r w:rsidR="00921F77" w:rsidRPr="00AC414F">
        <w:rPr>
          <w:rStyle w:val="EndnoteReference"/>
          <w:b w:val="0"/>
          <w:color w:val="auto"/>
          <w:spacing w:val="-2"/>
          <w:kern w:val="22"/>
        </w:rPr>
        <w:endnoteReference w:id="15"/>
      </w:r>
      <w:r w:rsidR="00921F77" w:rsidRPr="00AC414F">
        <w:rPr>
          <w:spacing w:val="-2"/>
          <w:kern w:val="22"/>
        </w:rPr>
        <w:t xml:space="preserve"> In October 1981, the socialist party, </w:t>
      </w:r>
      <w:r w:rsidR="00152F9C" w:rsidRPr="00AC414F">
        <w:rPr>
          <w:spacing w:val="-2"/>
          <w:kern w:val="22"/>
        </w:rPr>
        <w:t xml:space="preserve">the </w:t>
      </w:r>
      <w:r w:rsidR="00921F77" w:rsidRPr="00AC414F">
        <w:rPr>
          <w:spacing w:val="-2"/>
          <w:kern w:val="22"/>
        </w:rPr>
        <w:t>Pan</w:t>
      </w:r>
      <w:r w:rsidR="00152F9C" w:rsidRPr="00AC414F">
        <w:rPr>
          <w:spacing w:val="-2"/>
          <w:kern w:val="22"/>
        </w:rPr>
        <w:t>h</w:t>
      </w:r>
      <w:r w:rsidR="00921F77" w:rsidRPr="00AC414F">
        <w:rPr>
          <w:spacing w:val="-2"/>
          <w:kern w:val="22"/>
        </w:rPr>
        <w:t>ellenic Socialist Movement (PASOK), headed by Andreas Papandreou</w:t>
      </w:r>
      <w:r w:rsidR="00707918" w:rsidRPr="00AC414F">
        <w:rPr>
          <w:spacing w:val="-2"/>
          <w:kern w:val="22"/>
        </w:rPr>
        <w:t>,</w:t>
      </w:r>
      <w:r w:rsidR="00921F77" w:rsidRPr="00AC414F">
        <w:rPr>
          <w:spacing w:val="-2"/>
          <w:kern w:val="22"/>
        </w:rPr>
        <w:t xml:space="preserve"> won the election</w:t>
      </w:r>
      <w:r w:rsidRPr="00AC414F">
        <w:rPr>
          <w:spacing w:val="-2"/>
          <w:kern w:val="22"/>
        </w:rPr>
        <w:t>,</w:t>
      </w:r>
      <w:r w:rsidR="00921F77" w:rsidRPr="00AC414F">
        <w:rPr>
          <w:spacing w:val="-2"/>
          <w:kern w:val="22"/>
        </w:rPr>
        <w:t xml:space="preserve"> formed the government</w:t>
      </w:r>
      <w:r w:rsidRPr="00AC414F">
        <w:rPr>
          <w:spacing w:val="-2"/>
          <w:kern w:val="22"/>
        </w:rPr>
        <w:t>,</w:t>
      </w:r>
      <w:r w:rsidR="001F0179" w:rsidRPr="00AC414F">
        <w:rPr>
          <w:spacing w:val="-2"/>
          <w:kern w:val="22"/>
        </w:rPr>
        <w:t xml:space="preserve"> and continued</w:t>
      </w:r>
      <w:r w:rsidR="00805A0B" w:rsidRPr="00AC414F">
        <w:rPr>
          <w:spacing w:val="-2"/>
          <w:kern w:val="22"/>
        </w:rPr>
        <w:t xml:space="preserve"> with the culture of excessive spending</w:t>
      </w:r>
      <w:r w:rsidR="00707918" w:rsidRPr="00AC414F">
        <w:rPr>
          <w:spacing w:val="-2"/>
          <w:kern w:val="22"/>
        </w:rPr>
        <w:t>.</w:t>
      </w:r>
      <w:r w:rsidR="00921F77" w:rsidRPr="00AC414F">
        <w:rPr>
          <w:rStyle w:val="EndnoteReference"/>
          <w:b w:val="0"/>
          <w:color w:val="auto"/>
          <w:spacing w:val="-2"/>
          <w:kern w:val="22"/>
        </w:rPr>
        <w:endnoteReference w:id="16"/>
      </w:r>
      <w:r w:rsidR="00921F77" w:rsidRPr="00AC414F">
        <w:rPr>
          <w:spacing w:val="-2"/>
          <w:kern w:val="22"/>
        </w:rPr>
        <w:t xml:space="preserve"> Greek governments had </w:t>
      </w:r>
      <w:r w:rsidR="00707918" w:rsidRPr="00AC414F">
        <w:rPr>
          <w:spacing w:val="-2"/>
          <w:kern w:val="22"/>
        </w:rPr>
        <w:t>been disregarding</w:t>
      </w:r>
      <w:r w:rsidR="00921F77" w:rsidRPr="00AC414F">
        <w:rPr>
          <w:spacing w:val="-2"/>
          <w:kern w:val="22"/>
        </w:rPr>
        <w:t xml:space="preserve"> the golden rule of fiscal policy since 1978. This</w:t>
      </w:r>
      <w:r w:rsidRPr="00AC414F">
        <w:rPr>
          <w:spacing w:val="-2"/>
          <w:kern w:val="22"/>
        </w:rPr>
        <w:t xml:space="preserve"> disregard</w:t>
      </w:r>
      <w:r w:rsidR="00921F77" w:rsidRPr="00AC414F">
        <w:rPr>
          <w:spacing w:val="-2"/>
          <w:kern w:val="22"/>
        </w:rPr>
        <w:t xml:space="preserve"> </w:t>
      </w:r>
      <w:proofErr w:type="gramStart"/>
      <w:r w:rsidR="00707918" w:rsidRPr="00AC414F">
        <w:rPr>
          <w:spacing w:val="-2"/>
          <w:kern w:val="22"/>
        </w:rPr>
        <w:t xml:space="preserve">was </w:t>
      </w:r>
      <w:r w:rsidR="00921F77" w:rsidRPr="00AC414F">
        <w:rPr>
          <w:spacing w:val="-2"/>
          <w:kern w:val="22"/>
        </w:rPr>
        <w:t>accentuated</w:t>
      </w:r>
      <w:proofErr w:type="gramEnd"/>
      <w:r w:rsidR="00921F77" w:rsidRPr="00AC414F">
        <w:rPr>
          <w:spacing w:val="-2"/>
          <w:kern w:val="22"/>
        </w:rPr>
        <w:t xml:space="preserve"> with the socialist regime through the 1980s, which </w:t>
      </w:r>
      <w:r w:rsidR="00707918" w:rsidRPr="00AC414F">
        <w:rPr>
          <w:spacing w:val="-2"/>
          <w:kern w:val="22"/>
        </w:rPr>
        <w:t xml:space="preserve">led to </w:t>
      </w:r>
      <w:r w:rsidR="00921F77" w:rsidRPr="00AC414F">
        <w:rPr>
          <w:spacing w:val="-2"/>
          <w:kern w:val="22"/>
        </w:rPr>
        <w:t>high fiscal deficits and public debt. The recession of the early 1980s led to accommodative macroeconomic policies</w:t>
      </w:r>
      <w:r w:rsidR="004C434E" w:rsidRPr="00AC414F">
        <w:rPr>
          <w:spacing w:val="-2"/>
          <w:kern w:val="22"/>
        </w:rPr>
        <w:t xml:space="preserve"> (</w:t>
      </w:r>
      <w:r w:rsidR="00EA2D19" w:rsidRPr="00AC414F">
        <w:rPr>
          <w:spacing w:val="-2"/>
          <w:kern w:val="22"/>
        </w:rPr>
        <w:t>which allowed</w:t>
      </w:r>
      <w:r w:rsidR="00CA7C53" w:rsidRPr="00AC414F">
        <w:rPr>
          <w:spacing w:val="-2"/>
          <w:kern w:val="22"/>
        </w:rPr>
        <w:t xml:space="preserve"> a</w:t>
      </w:r>
      <w:r w:rsidR="004C434E" w:rsidRPr="00AC414F">
        <w:rPr>
          <w:spacing w:val="-2"/>
          <w:kern w:val="22"/>
        </w:rPr>
        <w:t xml:space="preserve"> loose money supply</w:t>
      </w:r>
      <w:r w:rsidRPr="00AC414F">
        <w:rPr>
          <w:spacing w:val="-2"/>
          <w:kern w:val="22"/>
        </w:rPr>
        <w:t>,</w:t>
      </w:r>
      <w:r w:rsidR="004C434E" w:rsidRPr="00AC414F">
        <w:rPr>
          <w:spacing w:val="-2"/>
          <w:kern w:val="22"/>
        </w:rPr>
        <w:t xml:space="preserve"> cheap interest rates</w:t>
      </w:r>
      <w:r w:rsidRPr="00AC414F">
        <w:rPr>
          <w:spacing w:val="-2"/>
          <w:kern w:val="22"/>
        </w:rPr>
        <w:t>,</w:t>
      </w:r>
      <w:r w:rsidR="004C434E" w:rsidRPr="00AC414F">
        <w:rPr>
          <w:spacing w:val="-2"/>
          <w:kern w:val="22"/>
        </w:rPr>
        <w:t xml:space="preserve"> and/or high government spending)</w:t>
      </w:r>
      <w:r w:rsidR="00921F77" w:rsidRPr="00AC414F">
        <w:rPr>
          <w:spacing w:val="-2"/>
          <w:kern w:val="22"/>
        </w:rPr>
        <w:t xml:space="preserve"> and</w:t>
      </w:r>
      <w:r w:rsidR="00707918" w:rsidRPr="00AC414F">
        <w:rPr>
          <w:spacing w:val="-2"/>
          <w:kern w:val="22"/>
        </w:rPr>
        <w:t xml:space="preserve">, in 1981, </w:t>
      </w:r>
      <w:r w:rsidR="00921F77" w:rsidRPr="00AC414F">
        <w:rPr>
          <w:spacing w:val="-2"/>
          <w:kern w:val="22"/>
        </w:rPr>
        <w:t>public</w:t>
      </w:r>
      <w:r w:rsidR="00211914" w:rsidRPr="00AC414F">
        <w:rPr>
          <w:spacing w:val="-2"/>
          <w:kern w:val="22"/>
        </w:rPr>
        <w:t xml:space="preserve"> </w:t>
      </w:r>
      <w:r w:rsidR="00921F77" w:rsidRPr="00AC414F">
        <w:rPr>
          <w:spacing w:val="-2"/>
          <w:kern w:val="22"/>
        </w:rPr>
        <w:t xml:space="preserve">sector borrowing rose. </w:t>
      </w:r>
    </w:p>
    <w:p w14:paraId="4CC8292C" w14:textId="77777777" w:rsidR="00921F77" w:rsidRPr="00082992" w:rsidRDefault="00921F77" w:rsidP="006D5856">
      <w:pPr>
        <w:pStyle w:val="BodyTextMain"/>
      </w:pPr>
    </w:p>
    <w:p w14:paraId="54AD591F" w14:textId="18557101" w:rsidR="00921F77" w:rsidRPr="00AC414F" w:rsidRDefault="00921F77" w:rsidP="006D5856">
      <w:pPr>
        <w:pStyle w:val="BodyTextMain"/>
        <w:rPr>
          <w:spacing w:val="-2"/>
          <w:kern w:val="22"/>
        </w:rPr>
      </w:pPr>
      <w:r w:rsidRPr="00AC414F">
        <w:rPr>
          <w:spacing w:val="-2"/>
          <w:kern w:val="22"/>
        </w:rPr>
        <w:t xml:space="preserve">A key characteristic of the Greek economy was a bloated public sector, with the state controlling 75 per cent of the business assets in the country </w:t>
      </w:r>
      <w:r w:rsidR="004C434E" w:rsidRPr="00AC414F">
        <w:rPr>
          <w:spacing w:val="-2"/>
          <w:kern w:val="22"/>
        </w:rPr>
        <w:t>even</w:t>
      </w:r>
      <w:r w:rsidRPr="00AC414F">
        <w:rPr>
          <w:spacing w:val="-2"/>
          <w:kern w:val="22"/>
        </w:rPr>
        <w:t xml:space="preserve"> </w:t>
      </w:r>
      <w:r w:rsidR="004C434E" w:rsidRPr="00AC414F">
        <w:rPr>
          <w:spacing w:val="-2"/>
          <w:kern w:val="22"/>
        </w:rPr>
        <w:t>until</w:t>
      </w:r>
      <w:r w:rsidRPr="00AC414F">
        <w:rPr>
          <w:spacing w:val="-2"/>
          <w:kern w:val="22"/>
        </w:rPr>
        <w:t xml:space="preserve"> 1990.</w:t>
      </w:r>
      <w:r w:rsidRPr="00AC414F">
        <w:rPr>
          <w:rStyle w:val="EndnoteReference"/>
          <w:b w:val="0"/>
          <w:color w:val="auto"/>
          <w:spacing w:val="-2"/>
          <w:kern w:val="22"/>
        </w:rPr>
        <w:endnoteReference w:id="17"/>
      </w:r>
      <w:r w:rsidRPr="00AC414F">
        <w:rPr>
          <w:spacing w:val="-2"/>
          <w:kern w:val="22"/>
        </w:rPr>
        <w:t xml:space="preserve"> Greek politicians had traditionally viewed the public sector as a large base of electoral support that they could ill-afford to antagonize. As such,</w:t>
      </w:r>
      <w:r w:rsidR="003E6E2B" w:rsidRPr="00AC414F">
        <w:rPr>
          <w:spacing w:val="-2"/>
          <w:kern w:val="22"/>
        </w:rPr>
        <w:t xml:space="preserve"> politicians </w:t>
      </w:r>
      <w:r w:rsidRPr="00AC414F">
        <w:rPr>
          <w:spacing w:val="-2"/>
          <w:kern w:val="22"/>
        </w:rPr>
        <w:t>provi</w:t>
      </w:r>
      <w:r w:rsidR="003E6E2B" w:rsidRPr="00AC414F">
        <w:rPr>
          <w:spacing w:val="-2"/>
          <w:kern w:val="22"/>
        </w:rPr>
        <w:t>ded</w:t>
      </w:r>
      <w:r w:rsidRPr="00AC414F">
        <w:rPr>
          <w:spacing w:val="-2"/>
          <w:kern w:val="22"/>
        </w:rPr>
        <w:t xml:space="preserve"> public sector jobs</w:t>
      </w:r>
      <w:r w:rsidR="003E6E2B" w:rsidRPr="00AC414F">
        <w:rPr>
          <w:spacing w:val="-2"/>
          <w:kern w:val="22"/>
        </w:rPr>
        <w:t xml:space="preserve"> and</w:t>
      </w:r>
      <w:r w:rsidRPr="00AC414F">
        <w:rPr>
          <w:spacing w:val="-2"/>
          <w:kern w:val="22"/>
        </w:rPr>
        <w:t xml:space="preserve"> negotiat</w:t>
      </w:r>
      <w:r w:rsidR="003E6E2B" w:rsidRPr="00AC414F">
        <w:rPr>
          <w:spacing w:val="-2"/>
          <w:kern w:val="22"/>
        </w:rPr>
        <w:t>ed</w:t>
      </w:r>
      <w:r w:rsidRPr="00AC414F">
        <w:rPr>
          <w:spacing w:val="-2"/>
          <w:kern w:val="22"/>
        </w:rPr>
        <w:t xml:space="preserve"> generous wage and pension agreements with politically influential public sector unions as a means of securing electoral support.</w:t>
      </w:r>
      <w:r w:rsidRPr="00AC414F">
        <w:rPr>
          <w:rFonts w:ascii="Gill Sans MT" w:hAnsi="Gill Sans MT"/>
          <w:spacing w:val="-2"/>
          <w:kern w:val="22"/>
          <w:sz w:val="18"/>
          <w:szCs w:val="18"/>
        </w:rPr>
        <w:t xml:space="preserve"> </w:t>
      </w:r>
      <w:r w:rsidRPr="00AC414F">
        <w:rPr>
          <w:spacing w:val="-2"/>
          <w:kern w:val="22"/>
        </w:rPr>
        <w:t>Populist spending policies, including large pension expenditures, heavy subsidies to inefficient public sector enterprises, increase</w:t>
      </w:r>
      <w:r w:rsidR="00F2034E" w:rsidRPr="00AC414F">
        <w:rPr>
          <w:spacing w:val="-2"/>
          <w:kern w:val="22"/>
        </w:rPr>
        <w:t>s</w:t>
      </w:r>
      <w:r w:rsidRPr="00AC414F">
        <w:rPr>
          <w:spacing w:val="-2"/>
          <w:kern w:val="22"/>
        </w:rPr>
        <w:t xml:space="preserve"> in wages</w:t>
      </w:r>
      <w:r w:rsidR="00211914" w:rsidRPr="00AC414F">
        <w:rPr>
          <w:spacing w:val="-2"/>
          <w:kern w:val="22"/>
        </w:rPr>
        <w:t>,</w:t>
      </w:r>
      <w:r w:rsidRPr="00AC414F">
        <w:rPr>
          <w:spacing w:val="-2"/>
          <w:kern w:val="22"/>
        </w:rPr>
        <w:t xml:space="preserve"> and government consumption led to large public sector deficits.</w:t>
      </w:r>
      <w:r w:rsidRPr="00AC414F">
        <w:rPr>
          <w:rStyle w:val="EndnoteReference"/>
          <w:b w:val="0"/>
          <w:color w:val="auto"/>
          <w:spacing w:val="-2"/>
          <w:kern w:val="22"/>
        </w:rPr>
        <w:endnoteReference w:id="18"/>
      </w:r>
      <w:r w:rsidRPr="00AC414F">
        <w:rPr>
          <w:spacing w:val="-2"/>
          <w:kern w:val="22"/>
        </w:rPr>
        <w:t xml:space="preserve"> This</w:t>
      </w:r>
      <w:r w:rsidR="00F2034E" w:rsidRPr="00AC414F">
        <w:rPr>
          <w:spacing w:val="-2"/>
          <w:kern w:val="22"/>
        </w:rPr>
        <w:t xml:space="preserve"> situation</w:t>
      </w:r>
      <w:r w:rsidRPr="00AC414F">
        <w:rPr>
          <w:spacing w:val="-2"/>
          <w:kern w:val="22"/>
        </w:rPr>
        <w:t xml:space="preserve"> </w:t>
      </w:r>
      <w:proofErr w:type="gramStart"/>
      <w:r w:rsidRPr="00AC414F">
        <w:rPr>
          <w:spacing w:val="-2"/>
          <w:kern w:val="22"/>
        </w:rPr>
        <w:t>was compounded</w:t>
      </w:r>
      <w:proofErr w:type="gramEnd"/>
      <w:r w:rsidRPr="00AC414F">
        <w:rPr>
          <w:spacing w:val="-2"/>
          <w:kern w:val="22"/>
        </w:rPr>
        <w:t xml:space="preserve"> by government guarantees on loans </w:t>
      </w:r>
      <w:r w:rsidR="00211914" w:rsidRPr="00AC414F">
        <w:rPr>
          <w:spacing w:val="-2"/>
          <w:kern w:val="22"/>
        </w:rPr>
        <w:t xml:space="preserve">taken </w:t>
      </w:r>
      <w:r w:rsidRPr="00AC414F">
        <w:rPr>
          <w:spacing w:val="-2"/>
          <w:kern w:val="22"/>
        </w:rPr>
        <w:t xml:space="preserve">by both private and public enterprises </w:t>
      </w:r>
      <w:r w:rsidR="00211914" w:rsidRPr="00AC414F">
        <w:rPr>
          <w:spacing w:val="-2"/>
          <w:kern w:val="22"/>
        </w:rPr>
        <w:t>and</w:t>
      </w:r>
      <w:r w:rsidRPr="00AC414F">
        <w:rPr>
          <w:spacing w:val="-2"/>
          <w:kern w:val="22"/>
        </w:rPr>
        <w:t xml:space="preserve"> agricultural cooperatives, amounting to 32 per cent of </w:t>
      </w:r>
      <w:r w:rsidR="00F2034E" w:rsidRPr="00AC414F">
        <w:rPr>
          <w:spacing w:val="-2"/>
          <w:kern w:val="22"/>
        </w:rPr>
        <w:t xml:space="preserve">Greece’s </w:t>
      </w:r>
      <w:r w:rsidRPr="00AC414F">
        <w:rPr>
          <w:spacing w:val="-2"/>
          <w:kern w:val="22"/>
        </w:rPr>
        <w:t xml:space="preserve">GDP by 1989. </w:t>
      </w:r>
      <w:r w:rsidR="00211914" w:rsidRPr="00AC414F">
        <w:rPr>
          <w:spacing w:val="-2"/>
          <w:kern w:val="22"/>
        </w:rPr>
        <w:t xml:space="preserve">When </w:t>
      </w:r>
      <w:r w:rsidRPr="00AC414F">
        <w:rPr>
          <w:spacing w:val="-2"/>
          <w:kern w:val="22"/>
        </w:rPr>
        <w:t xml:space="preserve">these enterprises </w:t>
      </w:r>
      <w:r w:rsidR="00211914" w:rsidRPr="00AC414F">
        <w:rPr>
          <w:spacing w:val="-2"/>
          <w:kern w:val="22"/>
        </w:rPr>
        <w:t xml:space="preserve">failed, </w:t>
      </w:r>
      <w:r w:rsidRPr="00AC414F">
        <w:rPr>
          <w:spacing w:val="-2"/>
          <w:kern w:val="22"/>
        </w:rPr>
        <w:t xml:space="preserve">the government </w:t>
      </w:r>
      <w:r w:rsidR="00211914" w:rsidRPr="00AC414F">
        <w:rPr>
          <w:spacing w:val="-2"/>
          <w:kern w:val="22"/>
        </w:rPr>
        <w:t>took</w:t>
      </w:r>
      <w:r w:rsidRPr="00AC414F">
        <w:rPr>
          <w:spacing w:val="-2"/>
          <w:kern w:val="22"/>
        </w:rPr>
        <w:t xml:space="preserve"> up the loans, exacerbating the </w:t>
      </w:r>
      <w:r w:rsidRPr="00AC414F">
        <w:rPr>
          <w:spacing w:val="-2"/>
          <w:kern w:val="22"/>
        </w:rPr>
        <w:lastRenderedPageBreak/>
        <w:t>problem of deficits.</w:t>
      </w:r>
      <w:r w:rsidRPr="00AC414F">
        <w:rPr>
          <w:rStyle w:val="EndnoteReference"/>
          <w:b w:val="0"/>
          <w:color w:val="auto"/>
          <w:spacing w:val="-2"/>
          <w:kern w:val="22"/>
        </w:rPr>
        <w:endnoteReference w:id="19"/>
      </w:r>
      <w:r w:rsidRPr="00AC414F">
        <w:rPr>
          <w:spacing w:val="-2"/>
          <w:kern w:val="22"/>
        </w:rPr>
        <w:t xml:space="preserve"> A</w:t>
      </w:r>
      <w:r w:rsidR="00F62815" w:rsidRPr="00AC414F">
        <w:rPr>
          <w:spacing w:val="-2"/>
          <w:kern w:val="22"/>
        </w:rPr>
        <w:t xml:space="preserve"> </w:t>
      </w:r>
      <w:r w:rsidRPr="00AC414F">
        <w:rPr>
          <w:spacing w:val="-2"/>
          <w:kern w:val="22"/>
        </w:rPr>
        <w:t xml:space="preserve">culture of </w:t>
      </w:r>
      <w:r w:rsidR="008423D5">
        <w:rPr>
          <w:spacing w:val="-2"/>
          <w:kern w:val="22"/>
        </w:rPr>
        <w:t>“</w:t>
      </w:r>
      <w:proofErr w:type="spellStart"/>
      <w:r w:rsidRPr="00AC414F">
        <w:rPr>
          <w:spacing w:val="-2"/>
          <w:kern w:val="22"/>
        </w:rPr>
        <w:t>clientelism</w:t>
      </w:r>
      <w:proofErr w:type="spellEnd"/>
      <w:r w:rsidR="008423D5">
        <w:rPr>
          <w:spacing w:val="-2"/>
          <w:kern w:val="22"/>
        </w:rPr>
        <w:t>”</w:t>
      </w:r>
      <w:r w:rsidRPr="00AC414F">
        <w:rPr>
          <w:spacing w:val="-2"/>
          <w:kern w:val="22"/>
        </w:rPr>
        <w:t xml:space="preserve"> </w:t>
      </w:r>
      <w:r w:rsidR="00F62815" w:rsidRPr="00AC414F">
        <w:rPr>
          <w:spacing w:val="-2"/>
          <w:kern w:val="22"/>
        </w:rPr>
        <w:t xml:space="preserve">became the norm: </w:t>
      </w:r>
      <w:r w:rsidR="008423D5">
        <w:rPr>
          <w:spacing w:val="-2"/>
          <w:kern w:val="22"/>
        </w:rPr>
        <w:t>“</w:t>
      </w:r>
      <w:r w:rsidRPr="00AC414F">
        <w:rPr>
          <w:iCs/>
          <w:spacing w:val="-2"/>
          <w:kern w:val="22"/>
        </w:rPr>
        <w:t xml:space="preserve">proffering </w:t>
      </w:r>
      <w:r w:rsidR="00F62815" w:rsidRPr="00AC414F">
        <w:rPr>
          <w:iCs/>
          <w:spacing w:val="-2"/>
          <w:kern w:val="22"/>
        </w:rPr>
        <w:t xml:space="preserve">. . . </w:t>
      </w:r>
      <w:r w:rsidRPr="00AC414F">
        <w:rPr>
          <w:iCs/>
          <w:spacing w:val="-2"/>
          <w:kern w:val="22"/>
        </w:rPr>
        <w:t xml:space="preserve">material goods in return for electoral support, where the criterion of distribution that the patron </w:t>
      </w:r>
      <w:r w:rsidR="00611DE1" w:rsidRPr="00AC414F">
        <w:rPr>
          <w:iCs/>
          <w:spacing w:val="-2"/>
          <w:kern w:val="22"/>
        </w:rPr>
        <w:t>[</w:t>
      </w:r>
      <w:r w:rsidRPr="00AC414F">
        <w:rPr>
          <w:iCs/>
          <w:spacing w:val="-2"/>
          <w:kern w:val="22"/>
        </w:rPr>
        <w:t>the political party</w:t>
      </w:r>
      <w:r w:rsidR="00611DE1" w:rsidRPr="00AC414F">
        <w:rPr>
          <w:iCs/>
          <w:spacing w:val="-2"/>
          <w:kern w:val="22"/>
        </w:rPr>
        <w:t>]</w:t>
      </w:r>
      <w:r w:rsidRPr="00AC414F">
        <w:rPr>
          <w:iCs/>
          <w:spacing w:val="-2"/>
          <w:kern w:val="22"/>
        </w:rPr>
        <w:t xml:space="preserve"> used was simply: did you (will you) support me?</w:t>
      </w:r>
      <w:r w:rsidR="008423D5">
        <w:rPr>
          <w:spacing w:val="-2"/>
          <w:kern w:val="22"/>
        </w:rPr>
        <w:t>”</w:t>
      </w:r>
      <w:r w:rsidRPr="00AC414F">
        <w:rPr>
          <w:rStyle w:val="EndnoteReference"/>
          <w:b w:val="0"/>
          <w:color w:val="auto"/>
          <w:spacing w:val="-2"/>
          <w:kern w:val="22"/>
        </w:rPr>
        <w:endnoteReference w:id="20"/>
      </w:r>
      <w:r w:rsidR="00F62815" w:rsidRPr="00AC414F">
        <w:rPr>
          <w:spacing w:val="-2"/>
          <w:kern w:val="22"/>
        </w:rPr>
        <w:t xml:space="preserve"> The result was </w:t>
      </w:r>
      <w:r w:rsidR="008423D5">
        <w:rPr>
          <w:spacing w:val="-2"/>
          <w:kern w:val="22"/>
        </w:rPr>
        <w:t>“</w:t>
      </w:r>
      <w:r w:rsidRPr="00AC414F">
        <w:rPr>
          <w:spacing w:val="-2"/>
          <w:kern w:val="22"/>
        </w:rPr>
        <w:t>pervasive tax evasion and a complex tax code that grant</w:t>
      </w:r>
      <w:r w:rsidR="00F62815" w:rsidRPr="00AC414F">
        <w:rPr>
          <w:spacing w:val="-2"/>
          <w:kern w:val="22"/>
        </w:rPr>
        <w:t>[</w:t>
      </w:r>
      <w:proofErr w:type="spellStart"/>
      <w:proofErr w:type="gramStart"/>
      <w:r w:rsidRPr="00AC414F">
        <w:rPr>
          <w:spacing w:val="-2"/>
          <w:kern w:val="22"/>
        </w:rPr>
        <w:t>ed</w:t>
      </w:r>
      <w:proofErr w:type="spellEnd"/>
      <w:proofErr w:type="gramEnd"/>
      <w:r w:rsidR="00F62815" w:rsidRPr="00AC414F">
        <w:rPr>
          <w:spacing w:val="-2"/>
          <w:kern w:val="22"/>
        </w:rPr>
        <w:t>]</w:t>
      </w:r>
      <w:r w:rsidRPr="00AC414F">
        <w:rPr>
          <w:spacing w:val="-2"/>
          <w:kern w:val="22"/>
        </w:rPr>
        <w:t xml:space="preserve"> exemptions to numerous professions and tax brackets.</w:t>
      </w:r>
      <w:r w:rsidR="008423D5">
        <w:rPr>
          <w:spacing w:val="-2"/>
          <w:kern w:val="22"/>
        </w:rPr>
        <w:t>”</w:t>
      </w:r>
      <w:r w:rsidRPr="00AC414F">
        <w:rPr>
          <w:rStyle w:val="EndnoteReference"/>
          <w:b w:val="0"/>
          <w:color w:val="auto"/>
          <w:spacing w:val="-2"/>
          <w:kern w:val="22"/>
        </w:rPr>
        <w:endnoteReference w:id="21"/>
      </w:r>
    </w:p>
    <w:p w14:paraId="1940E57D" w14:textId="77777777" w:rsidR="00921F77" w:rsidRPr="00082992" w:rsidRDefault="00921F77" w:rsidP="006D5856">
      <w:pPr>
        <w:pStyle w:val="BodyTextMain"/>
      </w:pPr>
    </w:p>
    <w:p w14:paraId="69B09D1D" w14:textId="771AE67C" w:rsidR="00921F77" w:rsidRPr="00082992" w:rsidRDefault="00921F77" w:rsidP="006D5856">
      <w:pPr>
        <w:pStyle w:val="BodyTextMain"/>
      </w:pPr>
      <w:r w:rsidRPr="00082992">
        <w:t xml:space="preserve">The Bank of Greece accommodated the large government deficits through cheap monetary policies, comprising negative interest rates and high growth rates of money supply and credit in the first half of the 1980s. </w:t>
      </w:r>
      <w:proofErr w:type="gramStart"/>
      <w:r w:rsidRPr="00082992">
        <w:t>To further accommodate</w:t>
      </w:r>
      <w:proofErr w:type="gramEnd"/>
      <w:r w:rsidRPr="00082992">
        <w:t xml:space="preserve"> the government’s borrowing needs, </w:t>
      </w:r>
      <w:r w:rsidR="00611DE1" w:rsidRPr="00082992">
        <w:t xml:space="preserve">the </w:t>
      </w:r>
      <w:r w:rsidR="00F2034E">
        <w:t>b</w:t>
      </w:r>
      <w:r w:rsidR="00611DE1" w:rsidRPr="00082992">
        <w:t xml:space="preserve">ank </w:t>
      </w:r>
      <w:r w:rsidRPr="00082992">
        <w:t xml:space="preserve">implemented a system of credit allocation, which restrained credit to the private sector, thereby crowding out private investment. Structural weaknesses in the economy, such as concentration of industrial activity in traditional </w:t>
      </w:r>
      <w:r w:rsidR="007B15CA" w:rsidRPr="00082992">
        <w:t>(</w:t>
      </w:r>
      <w:r w:rsidRPr="00082992">
        <w:t>albeit declining</w:t>
      </w:r>
      <w:r w:rsidR="007B15CA" w:rsidRPr="00082992">
        <w:t xml:space="preserve">) </w:t>
      </w:r>
      <w:r w:rsidRPr="00082992">
        <w:t>industries</w:t>
      </w:r>
      <w:r w:rsidR="007B15CA" w:rsidRPr="00082992">
        <w:t>,</w:t>
      </w:r>
      <w:r w:rsidRPr="00082992">
        <w:t xml:space="preserve"> rigidities and controls</w:t>
      </w:r>
      <w:r w:rsidR="00D3349B" w:rsidRPr="00082992">
        <w:t xml:space="preserve"> in the labour and product markets</w:t>
      </w:r>
      <w:r w:rsidR="007B15CA" w:rsidRPr="00082992">
        <w:t>,</w:t>
      </w:r>
      <w:r w:rsidRPr="00082992">
        <w:t xml:space="preserve"> negative movements in total factor productivity</w:t>
      </w:r>
      <w:r w:rsidR="007B15CA" w:rsidRPr="00082992">
        <w:t>,</w:t>
      </w:r>
      <w:r w:rsidRPr="00082992">
        <w:t xml:space="preserve"> and weak overall investment remained unaddressed</w:t>
      </w:r>
      <w:r w:rsidR="00F2034E">
        <w:t>,</w:t>
      </w:r>
      <w:r w:rsidRPr="00082992">
        <w:t xml:space="preserve"> and further affected the competitiveness of the economy.</w:t>
      </w:r>
      <w:r w:rsidRPr="00F2034E">
        <w:rPr>
          <w:rStyle w:val="EndnoteReference"/>
          <w:b w:val="0"/>
          <w:color w:val="auto"/>
        </w:rPr>
        <w:endnoteReference w:id="22"/>
      </w:r>
      <w:r w:rsidRPr="00082992">
        <w:t xml:space="preserve"> These weaknesses became particularly glaring after Greece’s accession to the EEC in 1981, when it had to compete with other European countries </w:t>
      </w:r>
      <w:r w:rsidR="007B15CA" w:rsidRPr="00082992">
        <w:t xml:space="preserve">that </w:t>
      </w:r>
      <w:r w:rsidRPr="00082992">
        <w:t>were far more cost</w:t>
      </w:r>
      <w:r w:rsidR="00F2034E">
        <w:t xml:space="preserve"> </w:t>
      </w:r>
      <w:r w:rsidRPr="00082992">
        <w:t>effective, efficient</w:t>
      </w:r>
      <w:r w:rsidR="007B15CA" w:rsidRPr="00082992">
        <w:t>,</w:t>
      </w:r>
      <w:r w:rsidRPr="00082992">
        <w:t xml:space="preserve"> and advanced. </w:t>
      </w:r>
    </w:p>
    <w:p w14:paraId="37883DEC" w14:textId="77777777" w:rsidR="00921F77" w:rsidRPr="00082992" w:rsidRDefault="00921F77" w:rsidP="006D5856">
      <w:pPr>
        <w:pStyle w:val="BodyTextMain"/>
      </w:pPr>
    </w:p>
    <w:p w14:paraId="00BC5F27" w14:textId="23E93915" w:rsidR="00921F77" w:rsidRPr="00082992" w:rsidRDefault="00921F77" w:rsidP="006D5856">
      <w:pPr>
        <w:pStyle w:val="BodyTextMain"/>
      </w:pPr>
      <w:r w:rsidRPr="00082992">
        <w:t xml:space="preserve">During the 1980s, public spending increased from 29.7 to 48 per cent of </w:t>
      </w:r>
      <w:r w:rsidR="00F2034E">
        <w:t xml:space="preserve">Greece’s </w:t>
      </w:r>
      <w:r w:rsidRPr="00082992">
        <w:t>GDP, and fiscal deficits averaged 10 per cent per annum.</w:t>
      </w:r>
      <w:r w:rsidRPr="00F2034E">
        <w:rPr>
          <w:rStyle w:val="EndnoteReference"/>
          <w:b w:val="0"/>
          <w:color w:val="auto"/>
        </w:rPr>
        <w:endnoteReference w:id="23"/>
      </w:r>
      <w:r w:rsidRPr="00082992">
        <w:t xml:space="preserve"> Public receipts during the period went up from 27 to 32.1 per cent of GDP.</w:t>
      </w:r>
      <w:r w:rsidRPr="00F2034E">
        <w:rPr>
          <w:rStyle w:val="EndnoteReference"/>
          <w:b w:val="0"/>
          <w:color w:val="auto"/>
        </w:rPr>
        <w:endnoteReference w:id="24"/>
      </w:r>
      <w:r w:rsidRPr="00082992">
        <w:t xml:space="preserve"> The initial source of fiscal destabilization was the rise in the primary deficits. With time, interest payments also rose and </w:t>
      </w:r>
      <w:r w:rsidR="007540DE" w:rsidRPr="00082992">
        <w:t>became</w:t>
      </w:r>
      <w:r w:rsidRPr="00082992">
        <w:t xml:space="preserve"> an </w:t>
      </w:r>
      <w:r w:rsidR="008423D5">
        <w:t>“</w:t>
      </w:r>
      <w:r w:rsidRPr="00082992">
        <w:t>additional destabilizing force.</w:t>
      </w:r>
      <w:r w:rsidR="008423D5">
        <w:t>”</w:t>
      </w:r>
      <w:r w:rsidRPr="00F2034E">
        <w:rPr>
          <w:rStyle w:val="EndnoteReference"/>
          <w:b w:val="0"/>
          <w:color w:val="auto"/>
        </w:rPr>
        <w:endnoteReference w:id="25"/>
      </w:r>
      <w:r w:rsidRPr="00082992">
        <w:t xml:space="preserve"> The debt</w:t>
      </w:r>
      <w:r w:rsidR="00F2034E">
        <w:t>-</w:t>
      </w:r>
      <w:r w:rsidR="007540DE" w:rsidRPr="00082992">
        <w:t>to</w:t>
      </w:r>
      <w:r w:rsidR="00F2034E">
        <w:t>-</w:t>
      </w:r>
      <w:r w:rsidRPr="00082992">
        <w:t>GDP ratio increased to 68.21 per cent in 1990.</w:t>
      </w:r>
      <w:r w:rsidRPr="00F2034E">
        <w:rPr>
          <w:rStyle w:val="EndnoteReference"/>
          <w:b w:val="0"/>
          <w:color w:val="auto"/>
        </w:rPr>
        <w:endnoteReference w:id="26"/>
      </w:r>
      <w:r w:rsidRPr="00082992">
        <w:t xml:space="preserve"> Interest payments as a proportion of GDP on this high and rising debt kept increasing as well. </w:t>
      </w:r>
    </w:p>
    <w:p w14:paraId="559B1B88" w14:textId="77777777" w:rsidR="00921F77" w:rsidRPr="00082992" w:rsidRDefault="00921F77" w:rsidP="006D5856">
      <w:pPr>
        <w:pStyle w:val="BodyTextMain"/>
      </w:pPr>
    </w:p>
    <w:p w14:paraId="6215A324" w14:textId="782E5AFC" w:rsidR="00921F77" w:rsidRPr="00AC414F" w:rsidRDefault="00921F77" w:rsidP="006D5856">
      <w:pPr>
        <w:pStyle w:val="BodyTextMain"/>
        <w:rPr>
          <w:spacing w:val="-2"/>
          <w:kern w:val="22"/>
        </w:rPr>
      </w:pPr>
      <w:r w:rsidRPr="00AC414F">
        <w:rPr>
          <w:spacing w:val="-2"/>
          <w:kern w:val="22"/>
        </w:rPr>
        <w:t>Following a recession in 1986</w:t>
      </w:r>
      <w:r w:rsidR="007540DE" w:rsidRPr="00AC414F">
        <w:rPr>
          <w:spacing w:val="-2"/>
          <w:kern w:val="22"/>
        </w:rPr>
        <w:t>–</w:t>
      </w:r>
      <w:r w:rsidR="00AC414F" w:rsidRPr="00AC414F">
        <w:rPr>
          <w:spacing w:val="-2"/>
          <w:kern w:val="22"/>
        </w:rPr>
        <w:t>19</w:t>
      </w:r>
      <w:r w:rsidRPr="00AC414F">
        <w:rPr>
          <w:spacing w:val="-2"/>
          <w:kern w:val="22"/>
        </w:rPr>
        <w:t>87, Greece initiated an economic stabilization program with the goal of improving its balance</w:t>
      </w:r>
      <w:r w:rsidR="00CA7C53" w:rsidRPr="00AC414F">
        <w:rPr>
          <w:spacing w:val="-2"/>
          <w:kern w:val="22"/>
        </w:rPr>
        <w:t>-</w:t>
      </w:r>
      <w:r w:rsidRPr="00AC414F">
        <w:rPr>
          <w:spacing w:val="-2"/>
          <w:kern w:val="22"/>
        </w:rPr>
        <w:t>of</w:t>
      </w:r>
      <w:r w:rsidR="00CA7C53" w:rsidRPr="00AC414F">
        <w:rPr>
          <w:spacing w:val="-2"/>
          <w:kern w:val="22"/>
        </w:rPr>
        <w:t>-</w:t>
      </w:r>
      <w:r w:rsidRPr="00AC414F">
        <w:rPr>
          <w:spacing w:val="-2"/>
          <w:kern w:val="22"/>
        </w:rPr>
        <w:t xml:space="preserve">payments position and reducing the inflation differential relative to its trading partners. The program </w:t>
      </w:r>
      <w:r w:rsidR="00EA2D19" w:rsidRPr="00AC414F">
        <w:rPr>
          <w:spacing w:val="-2"/>
          <w:kern w:val="22"/>
        </w:rPr>
        <w:t xml:space="preserve">was </w:t>
      </w:r>
      <w:r w:rsidRPr="00AC414F">
        <w:rPr>
          <w:spacing w:val="-2"/>
          <w:kern w:val="22"/>
        </w:rPr>
        <w:t>comprised of an incomes policy aimed at reducing labo</w:t>
      </w:r>
      <w:r w:rsidR="007540DE" w:rsidRPr="00AC414F">
        <w:rPr>
          <w:spacing w:val="-2"/>
          <w:kern w:val="22"/>
        </w:rPr>
        <w:t>u</w:t>
      </w:r>
      <w:r w:rsidRPr="00AC414F">
        <w:rPr>
          <w:spacing w:val="-2"/>
          <w:kern w:val="22"/>
        </w:rPr>
        <w:t xml:space="preserve">r costs per unit of output, tight fiscal and monetary policies, </w:t>
      </w:r>
      <w:r w:rsidR="007540DE" w:rsidRPr="00AC414F">
        <w:rPr>
          <w:spacing w:val="-2"/>
          <w:kern w:val="22"/>
        </w:rPr>
        <w:t>and</w:t>
      </w:r>
      <w:r w:rsidRPr="00AC414F">
        <w:rPr>
          <w:spacing w:val="-2"/>
          <w:kern w:val="22"/>
        </w:rPr>
        <w:t xml:space="preserve"> an exchange rate policy aimed at maintaining Greece’s international competitiveness. </w:t>
      </w:r>
      <w:proofErr w:type="gramStart"/>
      <w:r w:rsidRPr="00AC414F">
        <w:rPr>
          <w:spacing w:val="-2"/>
          <w:kern w:val="22"/>
        </w:rPr>
        <w:t>As a result</w:t>
      </w:r>
      <w:proofErr w:type="gramEnd"/>
      <w:r w:rsidRPr="00AC414F">
        <w:rPr>
          <w:spacing w:val="-2"/>
          <w:kern w:val="22"/>
        </w:rPr>
        <w:t xml:space="preserve"> of these stabilization efforts, real wages reduced and public sector borrowing to GDP declined in 1987.</w:t>
      </w:r>
      <w:r w:rsidRPr="00AC414F">
        <w:rPr>
          <w:rStyle w:val="EndnoteReference"/>
          <w:b w:val="0"/>
          <w:color w:val="auto"/>
          <w:spacing w:val="-2"/>
          <w:kern w:val="22"/>
        </w:rPr>
        <w:endnoteReference w:id="27"/>
      </w:r>
      <w:r w:rsidRPr="00AC414F">
        <w:rPr>
          <w:spacing w:val="-2"/>
          <w:kern w:val="22"/>
        </w:rPr>
        <w:t xml:space="preserve"> At the same time, interest rates</w:t>
      </w:r>
      <w:r w:rsidR="007540DE" w:rsidRPr="00AC414F">
        <w:rPr>
          <w:spacing w:val="-2"/>
          <w:kern w:val="22"/>
        </w:rPr>
        <w:t xml:space="preserve">, </w:t>
      </w:r>
      <w:r w:rsidRPr="00AC414F">
        <w:rPr>
          <w:spacing w:val="-2"/>
          <w:kern w:val="22"/>
        </w:rPr>
        <w:t>both real and nominal</w:t>
      </w:r>
      <w:r w:rsidR="007540DE" w:rsidRPr="00AC414F">
        <w:rPr>
          <w:spacing w:val="-2"/>
          <w:kern w:val="22"/>
        </w:rPr>
        <w:t>,</w:t>
      </w:r>
      <w:r w:rsidRPr="00AC414F">
        <w:rPr>
          <w:spacing w:val="-2"/>
          <w:kern w:val="22"/>
        </w:rPr>
        <w:t xml:space="preserve"> increased and became positive. While </w:t>
      </w:r>
      <w:r w:rsidR="007540DE" w:rsidRPr="00AC414F">
        <w:rPr>
          <w:spacing w:val="-2"/>
          <w:kern w:val="22"/>
        </w:rPr>
        <w:t xml:space="preserve">the </w:t>
      </w:r>
      <w:r w:rsidR="00502DDC" w:rsidRPr="00AC414F">
        <w:rPr>
          <w:spacing w:val="-2"/>
          <w:kern w:val="22"/>
        </w:rPr>
        <w:t xml:space="preserve">increases in the </w:t>
      </w:r>
      <w:r w:rsidRPr="00AC414F">
        <w:rPr>
          <w:spacing w:val="-2"/>
          <w:kern w:val="22"/>
        </w:rPr>
        <w:t xml:space="preserve">interest rate raised the deficit further, </w:t>
      </w:r>
      <w:r w:rsidR="00502DDC" w:rsidRPr="00AC414F">
        <w:rPr>
          <w:spacing w:val="-2"/>
          <w:kern w:val="22"/>
        </w:rPr>
        <w:t xml:space="preserve">they </w:t>
      </w:r>
      <w:r w:rsidR="007540DE" w:rsidRPr="00AC414F">
        <w:rPr>
          <w:spacing w:val="-2"/>
          <w:kern w:val="22"/>
        </w:rPr>
        <w:t xml:space="preserve">also </w:t>
      </w:r>
      <w:r w:rsidRPr="00AC414F">
        <w:rPr>
          <w:spacing w:val="-2"/>
          <w:kern w:val="22"/>
        </w:rPr>
        <w:t>increased the attractiveness of Greek bonds, thereby easing the pressure</w:t>
      </w:r>
      <w:r w:rsidR="005628E6" w:rsidRPr="00AC414F">
        <w:rPr>
          <w:spacing w:val="-2"/>
          <w:kern w:val="22"/>
        </w:rPr>
        <w:t xml:space="preserve"> on</w:t>
      </w:r>
      <w:r w:rsidRPr="00AC414F">
        <w:rPr>
          <w:spacing w:val="-2"/>
          <w:kern w:val="22"/>
        </w:rPr>
        <w:t xml:space="preserve"> financing </w:t>
      </w:r>
      <w:r w:rsidR="007540DE" w:rsidRPr="00AC414F">
        <w:rPr>
          <w:spacing w:val="-2"/>
          <w:kern w:val="22"/>
        </w:rPr>
        <w:t xml:space="preserve">the </w:t>
      </w:r>
      <w:r w:rsidRPr="00AC414F">
        <w:rPr>
          <w:spacing w:val="-2"/>
          <w:kern w:val="22"/>
        </w:rPr>
        <w:t>deficits.</w:t>
      </w:r>
      <w:r w:rsidRPr="00AC414F">
        <w:rPr>
          <w:rStyle w:val="EndnoteReference"/>
          <w:b w:val="0"/>
          <w:color w:val="auto"/>
          <w:spacing w:val="-2"/>
          <w:kern w:val="22"/>
        </w:rPr>
        <w:endnoteReference w:id="28"/>
      </w:r>
      <w:r w:rsidRPr="00AC414F">
        <w:rPr>
          <w:spacing w:val="-2"/>
          <w:kern w:val="22"/>
        </w:rPr>
        <w:t xml:space="preserve"> However, macroeconomic and income policies were again relaxed in 1989</w:t>
      </w:r>
      <w:r w:rsidR="00EA2D19" w:rsidRPr="00AC414F">
        <w:rPr>
          <w:spacing w:val="-2"/>
          <w:kern w:val="22"/>
        </w:rPr>
        <w:t>,</w:t>
      </w:r>
      <w:r w:rsidRPr="00AC414F">
        <w:rPr>
          <w:spacing w:val="-2"/>
          <w:kern w:val="22"/>
        </w:rPr>
        <w:t xml:space="preserve"> when the government shifted from its earlier stance of adjustment toward</w:t>
      </w:r>
      <w:r w:rsidR="00F2034E" w:rsidRPr="00AC414F">
        <w:rPr>
          <w:spacing w:val="-2"/>
          <w:kern w:val="22"/>
        </w:rPr>
        <w:t>s</w:t>
      </w:r>
      <w:r w:rsidRPr="00AC414F">
        <w:rPr>
          <w:spacing w:val="-2"/>
          <w:kern w:val="22"/>
        </w:rPr>
        <w:t xml:space="preserve"> development</w:t>
      </w:r>
      <w:r w:rsidR="007540DE" w:rsidRPr="00AC414F">
        <w:rPr>
          <w:spacing w:val="-2"/>
          <w:kern w:val="22"/>
        </w:rPr>
        <w:t>,</w:t>
      </w:r>
      <w:r w:rsidRPr="00AC414F">
        <w:rPr>
          <w:spacing w:val="-2"/>
          <w:kern w:val="22"/>
        </w:rPr>
        <w:t xml:space="preserve"> leading to a re-emergence of macroeconomic imbalances.</w:t>
      </w:r>
      <w:r w:rsidRPr="00AC414F">
        <w:rPr>
          <w:rStyle w:val="EndnoteReference"/>
          <w:b w:val="0"/>
          <w:color w:val="auto"/>
          <w:spacing w:val="-2"/>
          <w:kern w:val="22"/>
        </w:rPr>
        <w:endnoteReference w:id="29"/>
      </w:r>
      <w:r w:rsidRPr="00AC414F">
        <w:rPr>
          <w:b/>
          <w:spacing w:val="-2"/>
          <w:kern w:val="22"/>
        </w:rPr>
        <w:t xml:space="preserve"> </w:t>
      </w:r>
    </w:p>
    <w:p w14:paraId="732092B0" w14:textId="77777777" w:rsidR="00921F77" w:rsidRPr="00082992" w:rsidRDefault="00921F77" w:rsidP="006D5856">
      <w:pPr>
        <w:pStyle w:val="BodyTextMain"/>
      </w:pPr>
    </w:p>
    <w:p w14:paraId="654C6E14" w14:textId="77777777" w:rsidR="007540DE" w:rsidRPr="00082992" w:rsidRDefault="007540DE" w:rsidP="006D5856">
      <w:pPr>
        <w:pStyle w:val="BodyTextMain"/>
      </w:pPr>
    </w:p>
    <w:p w14:paraId="43A85862" w14:textId="44334427" w:rsidR="00921F77" w:rsidRPr="00082992" w:rsidRDefault="00921F77" w:rsidP="00187DCD">
      <w:pPr>
        <w:pStyle w:val="Casehead2"/>
        <w:outlineLvl w:val="0"/>
      </w:pPr>
      <w:r w:rsidRPr="00082992">
        <w:t xml:space="preserve">Stage III: Preparing </w:t>
      </w:r>
      <w:r w:rsidR="00502DDC" w:rsidRPr="00082992">
        <w:t>f</w:t>
      </w:r>
      <w:r w:rsidRPr="00082992">
        <w:t>or and Ent</w:t>
      </w:r>
      <w:r w:rsidR="00F57024">
        <w:t>ering</w:t>
      </w:r>
      <w:r w:rsidRPr="00082992">
        <w:t xml:space="preserve"> the E</w:t>
      </w:r>
      <w:r w:rsidR="005F1419" w:rsidRPr="00082992">
        <w:t xml:space="preserve">uropean </w:t>
      </w:r>
      <w:r w:rsidRPr="00082992">
        <w:t>U</w:t>
      </w:r>
      <w:r w:rsidR="005F1419" w:rsidRPr="00082992">
        <w:t>nion</w:t>
      </w:r>
      <w:r w:rsidRPr="00082992">
        <w:t xml:space="preserve"> (1990</w:t>
      </w:r>
      <w:r w:rsidR="007540DE" w:rsidRPr="00082992">
        <w:t>–</w:t>
      </w:r>
      <w:r w:rsidRPr="00082992">
        <w:t>2008)</w:t>
      </w:r>
    </w:p>
    <w:p w14:paraId="2C53778D" w14:textId="77777777" w:rsidR="00921F77" w:rsidRPr="00082992" w:rsidRDefault="00921F77" w:rsidP="006D5856">
      <w:pPr>
        <w:pStyle w:val="BodyTextMain"/>
      </w:pPr>
    </w:p>
    <w:p w14:paraId="191E2ECC" w14:textId="59D1DFB9" w:rsidR="00921F77" w:rsidRDefault="00921F77" w:rsidP="006D5856">
      <w:pPr>
        <w:pStyle w:val="BodyTextMain"/>
      </w:pPr>
      <w:r w:rsidRPr="00082992">
        <w:t xml:space="preserve">In 1990, the ND won a parliamentary majority by just two seats, and its leader, Konstantinos </w:t>
      </w:r>
      <w:proofErr w:type="spellStart"/>
      <w:r w:rsidRPr="00082992">
        <w:t>Mitsotakis</w:t>
      </w:r>
      <w:proofErr w:type="spellEnd"/>
      <w:r w:rsidRPr="00082992">
        <w:t>, became prime minister. The PASOK was re-elected in 1993</w:t>
      </w:r>
      <w:r w:rsidR="008A18D8">
        <w:t>,</w:t>
      </w:r>
      <w:r w:rsidRPr="00082992">
        <w:t xml:space="preserve"> and remained in power from 1993 to 2004.</w:t>
      </w:r>
      <w:r w:rsidRPr="00C72D7B">
        <w:rPr>
          <w:rStyle w:val="EndnoteReference"/>
          <w:b w:val="0"/>
          <w:color w:val="auto"/>
        </w:rPr>
        <w:endnoteReference w:id="30"/>
      </w:r>
      <w:r w:rsidRPr="00082992">
        <w:t xml:space="preserve"> Upon signing the </w:t>
      </w:r>
      <w:r w:rsidR="00502DDC" w:rsidRPr="00082992">
        <w:t>Maastricht</w:t>
      </w:r>
      <w:r w:rsidR="00FF6312" w:rsidRPr="00082992">
        <w:t xml:space="preserve"> </w:t>
      </w:r>
      <w:r w:rsidR="007540DE" w:rsidRPr="00082992">
        <w:t>Treaty on European Union (</w:t>
      </w:r>
      <w:r w:rsidR="00FF6312" w:rsidRPr="00082992">
        <w:t>EU</w:t>
      </w:r>
      <w:r w:rsidR="007540DE" w:rsidRPr="00082992">
        <w:t>)</w:t>
      </w:r>
      <w:r w:rsidRPr="00082992">
        <w:t xml:space="preserve"> in 1992, Greece undertook fiscal consolidation and structural reforms as a pre-condition to participat</w:t>
      </w:r>
      <w:r w:rsidR="007540DE" w:rsidRPr="00082992">
        <w:t>ing</w:t>
      </w:r>
      <w:r w:rsidRPr="00082992">
        <w:t xml:space="preserve"> in the European Economic and Monetary Union (EMU). The </w:t>
      </w:r>
      <w:r w:rsidR="008A18D8">
        <w:t>t</w:t>
      </w:r>
      <w:r w:rsidRPr="00082992">
        <w:t xml:space="preserve">reaty stipulated certain convergence criteria that had to </w:t>
      </w:r>
      <w:proofErr w:type="gramStart"/>
      <w:r w:rsidRPr="00082992">
        <w:t>be fulfilled</w:t>
      </w:r>
      <w:proofErr w:type="gramEnd"/>
      <w:r w:rsidRPr="00082992">
        <w:t xml:space="preserve"> before a country could join the Euro</w:t>
      </w:r>
      <w:r w:rsidR="007540DE" w:rsidRPr="00082992">
        <w:t>zone</w:t>
      </w:r>
      <w:r w:rsidRPr="00082992">
        <w:t xml:space="preserve">. Greece ran the risk of </w:t>
      </w:r>
      <w:proofErr w:type="gramStart"/>
      <w:r w:rsidRPr="00082992">
        <w:t>being excluded</w:t>
      </w:r>
      <w:proofErr w:type="gramEnd"/>
      <w:r w:rsidRPr="00082992">
        <w:t xml:space="preserve"> from the next phase of the EMU unless it resolved issues pertaining to a sharp divergence in its public finances and inflation scenarios from those of other EU members. Thus, Greece had to adopt austerity measures, including deep cuts in public spending, in order to qualify for </w:t>
      </w:r>
      <w:r w:rsidR="00F5354A" w:rsidRPr="00082992">
        <w:t>E</w:t>
      </w:r>
      <w:r w:rsidRPr="00082992">
        <w:t>uro</w:t>
      </w:r>
      <w:r w:rsidR="00502DDC" w:rsidRPr="00082992">
        <w:t>zone</w:t>
      </w:r>
      <w:r w:rsidRPr="00082992">
        <w:t xml:space="preserve"> membership.</w:t>
      </w:r>
      <w:r w:rsidRPr="00C72D7B">
        <w:rPr>
          <w:rStyle w:val="EndnoteReference"/>
          <w:b w:val="0"/>
          <w:color w:val="auto"/>
        </w:rPr>
        <w:endnoteReference w:id="31"/>
      </w:r>
    </w:p>
    <w:p w14:paraId="753C88A0" w14:textId="77777777" w:rsidR="00C72D7B" w:rsidRPr="00082992" w:rsidRDefault="00C72D7B" w:rsidP="006D5856">
      <w:pPr>
        <w:pStyle w:val="BodyTextMain"/>
      </w:pPr>
    </w:p>
    <w:p w14:paraId="39B8B00B" w14:textId="1672FEAA" w:rsidR="00921F77" w:rsidRPr="00AC414F" w:rsidRDefault="00921F77" w:rsidP="006D5856">
      <w:pPr>
        <w:pStyle w:val="BodyTextMain"/>
        <w:rPr>
          <w:spacing w:val="-4"/>
          <w:kern w:val="22"/>
        </w:rPr>
      </w:pPr>
      <w:r w:rsidRPr="00AC414F">
        <w:rPr>
          <w:spacing w:val="-4"/>
          <w:kern w:val="22"/>
        </w:rPr>
        <w:t>Greece drew up a new convergence program in 1994, with targets to reduce the general government deficit to 1 per cent, stabiliz</w:t>
      </w:r>
      <w:r w:rsidR="00F5354A" w:rsidRPr="00AC414F">
        <w:rPr>
          <w:spacing w:val="-4"/>
          <w:kern w:val="22"/>
        </w:rPr>
        <w:t>e</w:t>
      </w:r>
      <w:r w:rsidRPr="00AC414F">
        <w:rPr>
          <w:spacing w:val="-4"/>
          <w:kern w:val="22"/>
        </w:rPr>
        <w:t xml:space="preserve"> and then reduc</w:t>
      </w:r>
      <w:r w:rsidR="00F5354A" w:rsidRPr="00AC414F">
        <w:rPr>
          <w:spacing w:val="-4"/>
          <w:kern w:val="22"/>
        </w:rPr>
        <w:t>e</w:t>
      </w:r>
      <w:r w:rsidRPr="00AC414F">
        <w:rPr>
          <w:spacing w:val="-4"/>
          <w:kern w:val="22"/>
        </w:rPr>
        <w:t xml:space="preserve"> the government’s </w:t>
      </w:r>
      <w:r w:rsidR="00F2034E" w:rsidRPr="00AC414F">
        <w:rPr>
          <w:spacing w:val="-4"/>
          <w:kern w:val="22"/>
        </w:rPr>
        <w:t>debt-to-G</w:t>
      </w:r>
      <w:r w:rsidRPr="00AC414F">
        <w:rPr>
          <w:spacing w:val="-4"/>
          <w:kern w:val="22"/>
        </w:rPr>
        <w:t>DP ratio, reduc</w:t>
      </w:r>
      <w:r w:rsidR="00F5354A" w:rsidRPr="00AC414F">
        <w:rPr>
          <w:spacing w:val="-4"/>
          <w:kern w:val="22"/>
        </w:rPr>
        <w:t>e</w:t>
      </w:r>
      <w:r w:rsidRPr="00AC414F">
        <w:rPr>
          <w:spacing w:val="-4"/>
          <w:kern w:val="22"/>
        </w:rPr>
        <w:t xml:space="preserve"> inflation to 3.3 per cent</w:t>
      </w:r>
      <w:r w:rsidR="00F5354A" w:rsidRPr="00AC414F">
        <w:rPr>
          <w:spacing w:val="-4"/>
          <w:kern w:val="22"/>
        </w:rPr>
        <w:t>,</w:t>
      </w:r>
      <w:r w:rsidRPr="00AC414F">
        <w:rPr>
          <w:spacing w:val="-4"/>
          <w:kern w:val="22"/>
        </w:rPr>
        <w:t xml:space="preserve"> reduc</w:t>
      </w:r>
      <w:r w:rsidR="00F5354A" w:rsidRPr="00AC414F">
        <w:rPr>
          <w:spacing w:val="-4"/>
          <w:kern w:val="22"/>
        </w:rPr>
        <w:t>e</w:t>
      </w:r>
      <w:r w:rsidRPr="00AC414F">
        <w:rPr>
          <w:spacing w:val="-4"/>
          <w:kern w:val="22"/>
        </w:rPr>
        <w:t xml:space="preserve"> </w:t>
      </w:r>
      <w:r w:rsidRPr="00AC414F">
        <w:rPr>
          <w:spacing w:val="-4"/>
          <w:kern w:val="22"/>
        </w:rPr>
        <w:lastRenderedPageBreak/>
        <w:t xml:space="preserve">money supply growth to 7 to 9 per cent, </w:t>
      </w:r>
      <w:r w:rsidR="00F5354A" w:rsidRPr="00AC414F">
        <w:rPr>
          <w:spacing w:val="-4"/>
          <w:kern w:val="22"/>
        </w:rPr>
        <w:t>and</w:t>
      </w:r>
      <w:r w:rsidRPr="00AC414F">
        <w:rPr>
          <w:spacing w:val="-4"/>
          <w:kern w:val="22"/>
        </w:rPr>
        <w:t xml:space="preserve"> moderat</w:t>
      </w:r>
      <w:r w:rsidR="00F5354A" w:rsidRPr="00AC414F">
        <w:rPr>
          <w:spacing w:val="-4"/>
          <w:kern w:val="22"/>
        </w:rPr>
        <w:t>e</w:t>
      </w:r>
      <w:r w:rsidRPr="00AC414F">
        <w:rPr>
          <w:spacing w:val="-4"/>
          <w:kern w:val="22"/>
        </w:rPr>
        <w:t xml:space="preserve"> wages by 1999. </w:t>
      </w:r>
      <w:r w:rsidR="00F5354A" w:rsidRPr="00AC414F">
        <w:rPr>
          <w:spacing w:val="-4"/>
          <w:kern w:val="22"/>
        </w:rPr>
        <w:t>Intent</w:t>
      </w:r>
      <w:r w:rsidRPr="00AC414F">
        <w:rPr>
          <w:spacing w:val="-4"/>
          <w:kern w:val="22"/>
        </w:rPr>
        <w:t xml:space="preserve"> on entering the EMU, </w:t>
      </w:r>
      <w:r w:rsidR="00F5354A" w:rsidRPr="00AC414F">
        <w:rPr>
          <w:spacing w:val="-4"/>
          <w:kern w:val="22"/>
        </w:rPr>
        <w:t xml:space="preserve">Greece </w:t>
      </w:r>
      <w:r w:rsidRPr="00AC414F">
        <w:rPr>
          <w:spacing w:val="-4"/>
          <w:kern w:val="22"/>
        </w:rPr>
        <w:t>implemented economic policies to ensure the convergence criteria</w:t>
      </w:r>
      <w:r w:rsidR="00F5354A" w:rsidRPr="00AC414F">
        <w:rPr>
          <w:spacing w:val="-4"/>
          <w:kern w:val="22"/>
        </w:rPr>
        <w:t xml:space="preserve"> </w:t>
      </w:r>
      <w:proofErr w:type="gramStart"/>
      <w:r w:rsidR="00F5354A" w:rsidRPr="00AC414F">
        <w:rPr>
          <w:spacing w:val="-4"/>
          <w:kern w:val="22"/>
        </w:rPr>
        <w:t>were achieved</w:t>
      </w:r>
      <w:proofErr w:type="gramEnd"/>
      <w:r w:rsidRPr="00AC414F">
        <w:rPr>
          <w:spacing w:val="-4"/>
          <w:kern w:val="22"/>
        </w:rPr>
        <w:t xml:space="preserve">. These included a tight monetary policy focused on a </w:t>
      </w:r>
      <w:r w:rsidR="004A3841" w:rsidRPr="00AC414F">
        <w:rPr>
          <w:spacing w:val="-4"/>
          <w:kern w:val="22"/>
        </w:rPr>
        <w:t xml:space="preserve">targeted </w:t>
      </w:r>
      <w:r w:rsidRPr="00AC414F">
        <w:rPr>
          <w:spacing w:val="-4"/>
          <w:kern w:val="22"/>
        </w:rPr>
        <w:t>exchange rate</w:t>
      </w:r>
      <w:r w:rsidR="004A3841" w:rsidRPr="00AC414F">
        <w:rPr>
          <w:spacing w:val="-4"/>
          <w:kern w:val="22"/>
        </w:rPr>
        <w:t xml:space="preserve"> (</w:t>
      </w:r>
      <w:r w:rsidRPr="00AC414F">
        <w:rPr>
          <w:spacing w:val="-4"/>
          <w:kern w:val="22"/>
        </w:rPr>
        <w:t xml:space="preserve">called the </w:t>
      </w:r>
      <w:r w:rsidR="008423D5">
        <w:rPr>
          <w:spacing w:val="-4"/>
          <w:kern w:val="22"/>
        </w:rPr>
        <w:t>“</w:t>
      </w:r>
      <w:r w:rsidRPr="00AC414F">
        <w:rPr>
          <w:spacing w:val="-4"/>
          <w:kern w:val="22"/>
        </w:rPr>
        <w:t>hard</w:t>
      </w:r>
      <w:r w:rsidR="004A3841" w:rsidRPr="00AC414F">
        <w:rPr>
          <w:spacing w:val="-4"/>
          <w:kern w:val="22"/>
        </w:rPr>
        <w:t xml:space="preserve"> </w:t>
      </w:r>
      <w:r w:rsidRPr="00AC414F">
        <w:rPr>
          <w:spacing w:val="-4"/>
          <w:kern w:val="22"/>
        </w:rPr>
        <w:t>drachma policy</w:t>
      </w:r>
      <w:r w:rsidR="008423D5">
        <w:rPr>
          <w:spacing w:val="-4"/>
          <w:kern w:val="22"/>
        </w:rPr>
        <w:t>”</w:t>
      </w:r>
      <w:r w:rsidR="004A3841" w:rsidRPr="00AC414F">
        <w:rPr>
          <w:spacing w:val="-4"/>
          <w:kern w:val="22"/>
        </w:rPr>
        <w:t>),</w:t>
      </w:r>
      <w:r w:rsidRPr="00AC414F">
        <w:rPr>
          <w:spacing w:val="-4"/>
          <w:kern w:val="22"/>
        </w:rPr>
        <w:t xml:space="preserve"> a restrictive budgetary policy </w:t>
      </w:r>
      <w:r w:rsidR="004A3841" w:rsidRPr="00AC414F">
        <w:rPr>
          <w:spacing w:val="-4"/>
          <w:kern w:val="22"/>
        </w:rPr>
        <w:t xml:space="preserve">that </w:t>
      </w:r>
      <w:r w:rsidRPr="00AC414F">
        <w:rPr>
          <w:spacing w:val="-4"/>
          <w:kern w:val="22"/>
        </w:rPr>
        <w:t xml:space="preserve">brought </w:t>
      </w:r>
      <w:r w:rsidR="004A3841" w:rsidRPr="00AC414F">
        <w:rPr>
          <w:spacing w:val="-4"/>
          <w:kern w:val="22"/>
        </w:rPr>
        <w:t xml:space="preserve">the </w:t>
      </w:r>
      <w:r w:rsidRPr="00AC414F">
        <w:rPr>
          <w:spacing w:val="-4"/>
          <w:kern w:val="22"/>
        </w:rPr>
        <w:t xml:space="preserve">fiscal deficit </w:t>
      </w:r>
      <w:r w:rsidR="008A18D8" w:rsidRPr="00AC414F">
        <w:rPr>
          <w:spacing w:val="-4"/>
          <w:kern w:val="22"/>
        </w:rPr>
        <w:t xml:space="preserve">down </w:t>
      </w:r>
      <w:r w:rsidRPr="00AC414F">
        <w:rPr>
          <w:spacing w:val="-4"/>
          <w:kern w:val="22"/>
        </w:rPr>
        <w:t xml:space="preserve">from 13.5 per cent in 1993 to 1 per cent in 2000, and </w:t>
      </w:r>
      <w:r w:rsidR="004A3841" w:rsidRPr="00AC414F">
        <w:rPr>
          <w:spacing w:val="-4"/>
          <w:kern w:val="22"/>
        </w:rPr>
        <w:t xml:space="preserve">efforts </w:t>
      </w:r>
      <w:r w:rsidRPr="00AC414F">
        <w:rPr>
          <w:spacing w:val="-4"/>
          <w:kern w:val="22"/>
        </w:rPr>
        <w:t xml:space="preserve">to stabilize the </w:t>
      </w:r>
      <w:r w:rsidR="00F2034E" w:rsidRPr="00AC414F">
        <w:rPr>
          <w:spacing w:val="-4"/>
          <w:kern w:val="22"/>
        </w:rPr>
        <w:t>debt-to-G</w:t>
      </w:r>
      <w:r w:rsidRPr="00AC414F">
        <w:rPr>
          <w:spacing w:val="-4"/>
          <w:kern w:val="22"/>
        </w:rPr>
        <w:t xml:space="preserve">DP ratio at 100 per cent. </w:t>
      </w:r>
      <w:r w:rsidR="00F20130" w:rsidRPr="00AC414F">
        <w:rPr>
          <w:spacing w:val="-4"/>
          <w:kern w:val="22"/>
        </w:rPr>
        <w:t>To drive down inflation, t</w:t>
      </w:r>
      <w:r w:rsidR="004A3841" w:rsidRPr="00AC414F">
        <w:rPr>
          <w:spacing w:val="-4"/>
          <w:kern w:val="22"/>
        </w:rPr>
        <w:t xml:space="preserve">he country </w:t>
      </w:r>
      <w:r w:rsidRPr="00AC414F">
        <w:rPr>
          <w:spacing w:val="-4"/>
          <w:kern w:val="22"/>
        </w:rPr>
        <w:t xml:space="preserve">employed an </w:t>
      </w:r>
      <w:r w:rsidR="00837D8C" w:rsidRPr="00AC414F">
        <w:rPr>
          <w:spacing w:val="-4"/>
          <w:kern w:val="22"/>
        </w:rPr>
        <w:t>i</w:t>
      </w:r>
      <w:r w:rsidRPr="00AC414F">
        <w:rPr>
          <w:spacing w:val="-4"/>
          <w:kern w:val="22"/>
        </w:rPr>
        <w:t>ncome</w:t>
      </w:r>
      <w:r w:rsidR="00837D8C" w:rsidRPr="00AC414F">
        <w:rPr>
          <w:spacing w:val="-4"/>
          <w:kern w:val="22"/>
        </w:rPr>
        <w:t>s</w:t>
      </w:r>
      <w:r w:rsidRPr="00AC414F">
        <w:rPr>
          <w:spacing w:val="-4"/>
          <w:kern w:val="22"/>
        </w:rPr>
        <w:t xml:space="preserve"> policy focused on moderatin</w:t>
      </w:r>
      <w:r w:rsidR="004A3841" w:rsidRPr="00AC414F">
        <w:rPr>
          <w:spacing w:val="-4"/>
          <w:kern w:val="22"/>
        </w:rPr>
        <w:t>g</w:t>
      </w:r>
      <w:r w:rsidRPr="00AC414F">
        <w:rPr>
          <w:spacing w:val="-4"/>
          <w:kern w:val="22"/>
        </w:rPr>
        <w:t xml:space="preserve"> </w:t>
      </w:r>
      <w:r w:rsidR="004A3841" w:rsidRPr="00AC414F">
        <w:rPr>
          <w:spacing w:val="-4"/>
          <w:kern w:val="22"/>
        </w:rPr>
        <w:t xml:space="preserve">increases in </w:t>
      </w:r>
      <w:r w:rsidRPr="00AC414F">
        <w:rPr>
          <w:spacing w:val="-4"/>
          <w:kern w:val="22"/>
        </w:rPr>
        <w:t>wage</w:t>
      </w:r>
      <w:r w:rsidR="004A3841" w:rsidRPr="00AC414F">
        <w:rPr>
          <w:spacing w:val="-4"/>
          <w:kern w:val="22"/>
        </w:rPr>
        <w:t>s</w:t>
      </w:r>
      <w:r w:rsidRPr="00AC414F">
        <w:rPr>
          <w:spacing w:val="-4"/>
          <w:kern w:val="22"/>
        </w:rPr>
        <w:t xml:space="preserve"> and price</w:t>
      </w:r>
      <w:r w:rsidR="004A3841" w:rsidRPr="00AC414F">
        <w:rPr>
          <w:spacing w:val="-4"/>
          <w:kern w:val="22"/>
        </w:rPr>
        <w:t>s</w:t>
      </w:r>
      <w:r w:rsidR="005024B2" w:rsidRPr="00AC414F">
        <w:rPr>
          <w:spacing w:val="-4"/>
          <w:kern w:val="22"/>
        </w:rPr>
        <w:t>.</w:t>
      </w:r>
      <w:r w:rsidRPr="00AC414F">
        <w:rPr>
          <w:rStyle w:val="EndnoteReference"/>
          <w:b w:val="0"/>
          <w:color w:val="auto"/>
          <w:spacing w:val="-4"/>
          <w:kern w:val="22"/>
        </w:rPr>
        <w:endnoteReference w:id="32"/>
      </w:r>
      <w:r w:rsidR="00837D8C" w:rsidRPr="00AC414F">
        <w:rPr>
          <w:spacing w:val="-4"/>
          <w:kern w:val="22"/>
        </w:rPr>
        <w:t xml:space="preserve"> Greece also</w:t>
      </w:r>
      <w:r w:rsidRPr="00AC414F">
        <w:rPr>
          <w:spacing w:val="-4"/>
          <w:kern w:val="22"/>
        </w:rPr>
        <w:t xml:space="preserve"> reduced </w:t>
      </w:r>
      <w:r w:rsidR="005024B2" w:rsidRPr="00AC414F">
        <w:rPr>
          <w:spacing w:val="-4"/>
          <w:kern w:val="22"/>
        </w:rPr>
        <w:t>its</w:t>
      </w:r>
      <w:r w:rsidRPr="00AC414F">
        <w:rPr>
          <w:spacing w:val="-4"/>
          <w:kern w:val="22"/>
        </w:rPr>
        <w:t xml:space="preserve"> current account deficit in 1994.</w:t>
      </w:r>
    </w:p>
    <w:p w14:paraId="7D46663E" w14:textId="77777777" w:rsidR="00921F77" w:rsidRPr="00082992" w:rsidRDefault="00921F77" w:rsidP="006D5856">
      <w:pPr>
        <w:pStyle w:val="BodyTextMain"/>
      </w:pPr>
    </w:p>
    <w:p w14:paraId="10CD46F9" w14:textId="5C58118F" w:rsidR="00921F77" w:rsidRPr="00082992" w:rsidRDefault="00921F77" w:rsidP="006D5856">
      <w:pPr>
        <w:pStyle w:val="BodyTextMain"/>
      </w:pPr>
      <w:proofErr w:type="gramStart"/>
      <w:r w:rsidRPr="00082992">
        <w:t>As a result</w:t>
      </w:r>
      <w:proofErr w:type="gramEnd"/>
      <w:r w:rsidRPr="00082992">
        <w:t xml:space="preserve"> of these policy measures, Greece was able to substantial</w:t>
      </w:r>
      <w:r w:rsidR="00F20130" w:rsidRPr="00082992">
        <w:t>ly</w:t>
      </w:r>
      <w:r w:rsidRPr="00082992">
        <w:t xml:space="preserve"> converge its macro-indicators with EU levels. Greece also introduced structural reforms in financial and labo</w:t>
      </w:r>
      <w:r w:rsidR="00F20130" w:rsidRPr="00082992">
        <w:t>u</w:t>
      </w:r>
      <w:r w:rsidRPr="00082992">
        <w:t xml:space="preserve">r markets with a view to boost efficiency and increase potential output, </w:t>
      </w:r>
      <w:r w:rsidR="00F20130" w:rsidRPr="00082992">
        <w:t>and</w:t>
      </w:r>
      <w:r w:rsidRPr="00082992">
        <w:t xml:space="preserve"> establish</w:t>
      </w:r>
      <w:r w:rsidR="00F20130" w:rsidRPr="00082992">
        <w:t>ed</w:t>
      </w:r>
      <w:r w:rsidRPr="00082992">
        <w:t xml:space="preserve"> independent regulatory authorities such as the Competition Commission.</w:t>
      </w:r>
      <w:r w:rsidRPr="008A18D8">
        <w:rPr>
          <w:rStyle w:val="EndnoteReference"/>
          <w:b w:val="0"/>
          <w:color w:val="auto"/>
        </w:rPr>
        <w:endnoteReference w:id="33"/>
      </w:r>
      <w:r w:rsidRPr="00082992">
        <w:t xml:space="preserve"> The success of the convergence program resulted in Greece becoming the 12th</w:t>
      </w:r>
      <w:r w:rsidRPr="00082992">
        <w:rPr>
          <w:vertAlign w:val="superscript"/>
        </w:rPr>
        <w:t xml:space="preserve"> </w:t>
      </w:r>
      <w:r w:rsidRPr="00082992">
        <w:t xml:space="preserve">member of the EMU in 2001. </w:t>
      </w:r>
    </w:p>
    <w:p w14:paraId="2E28680B" w14:textId="77777777" w:rsidR="00921F77" w:rsidRPr="00082992" w:rsidRDefault="00921F77" w:rsidP="006D5856">
      <w:pPr>
        <w:pStyle w:val="BodyTextMain"/>
      </w:pPr>
    </w:p>
    <w:p w14:paraId="5F2C4091" w14:textId="1D549A59" w:rsidR="00921F77" w:rsidRPr="00AC414F" w:rsidRDefault="00921F77" w:rsidP="006D5856">
      <w:pPr>
        <w:pStyle w:val="BodyTextMain"/>
        <w:rPr>
          <w:spacing w:val="-4"/>
          <w:kern w:val="22"/>
        </w:rPr>
      </w:pPr>
      <w:r w:rsidRPr="00AC414F">
        <w:rPr>
          <w:spacing w:val="-4"/>
          <w:kern w:val="22"/>
        </w:rPr>
        <w:t xml:space="preserve">The period of </w:t>
      </w:r>
      <w:r w:rsidR="00502DDC" w:rsidRPr="00AC414F">
        <w:rPr>
          <w:spacing w:val="-4"/>
          <w:kern w:val="22"/>
        </w:rPr>
        <w:t>E</w:t>
      </w:r>
      <w:r w:rsidRPr="00AC414F">
        <w:rPr>
          <w:spacing w:val="-4"/>
          <w:kern w:val="22"/>
        </w:rPr>
        <w:t>uro</w:t>
      </w:r>
      <w:r w:rsidR="00502DDC" w:rsidRPr="00AC414F">
        <w:rPr>
          <w:spacing w:val="-4"/>
          <w:kern w:val="22"/>
        </w:rPr>
        <w:t>zone</w:t>
      </w:r>
      <w:r w:rsidR="00F20130" w:rsidRPr="00AC414F">
        <w:rPr>
          <w:spacing w:val="-4"/>
          <w:kern w:val="22"/>
        </w:rPr>
        <w:t xml:space="preserve"> </w:t>
      </w:r>
      <w:r w:rsidRPr="00AC414F">
        <w:rPr>
          <w:spacing w:val="-4"/>
          <w:kern w:val="22"/>
        </w:rPr>
        <w:t xml:space="preserve">participation before the </w:t>
      </w:r>
      <w:r w:rsidR="00E07CC5" w:rsidRPr="00AC414F">
        <w:rPr>
          <w:spacing w:val="-4"/>
          <w:kern w:val="22"/>
        </w:rPr>
        <w:t>2001–2008 g</w:t>
      </w:r>
      <w:r w:rsidRPr="00AC414F">
        <w:rPr>
          <w:spacing w:val="-4"/>
          <w:kern w:val="22"/>
        </w:rPr>
        <w:t xml:space="preserve">lobal </w:t>
      </w:r>
      <w:r w:rsidR="00E07CC5" w:rsidRPr="00AC414F">
        <w:rPr>
          <w:spacing w:val="-4"/>
          <w:kern w:val="22"/>
        </w:rPr>
        <w:t>f</w:t>
      </w:r>
      <w:r w:rsidRPr="00AC414F">
        <w:rPr>
          <w:spacing w:val="-4"/>
          <w:kern w:val="22"/>
        </w:rPr>
        <w:t xml:space="preserve">inancial </w:t>
      </w:r>
      <w:r w:rsidR="00E07CC5" w:rsidRPr="00AC414F">
        <w:rPr>
          <w:spacing w:val="-4"/>
          <w:kern w:val="22"/>
        </w:rPr>
        <w:t>c</w:t>
      </w:r>
      <w:r w:rsidRPr="00AC414F">
        <w:rPr>
          <w:spacing w:val="-4"/>
          <w:kern w:val="22"/>
        </w:rPr>
        <w:t xml:space="preserve">risis was </w:t>
      </w:r>
      <w:r w:rsidR="00E07CC5" w:rsidRPr="00AC414F">
        <w:rPr>
          <w:spacing w:val="-4"/>
          <w:kern w:val="22"/>
        </w:rPr>
        <w:t>a</w:t>
      </w:r>
      <w:r w:rsidRPr="00AC414F">
        <w:rPr>
          <w:spacing w:val="-4"/>
          <w:kern w:val="22"/>
        </w:rPr>
        <w:t xml:space="preserve"> </w:t>
      </w:r>
      <w:r w:rsidR="008423D5">
        <w:rPr>
          <w:spacing w:val="-4"/>
          <w:kern w:val="22"/>
        </w:rPr>
        <w:t>“</w:t>
      </w:r>
      <w:r w:rsidR="00E07CC5" w:rsidRPr="00AC414F">
        <w:rPr>
          <w:spacing w:val="-4"/>
          <w:kern w:val="22"/>
        </w:rPr>
        <w:t>g</w:t>
      </w:r>
      <w:r w:rsidRPr="00AC414F">
        <w:rPr>
          <w:spacing w:val="-4"/>
          <w:kern w:val="22"/>
        </w:rPr>
        <w:t xml:space="preserve">olden </w:t>
      </w:r>
      <w:r w:rsidR="00E07CC5" w:rsidRPr="00AC414F">
        <w:rPr>
          <w:spacing w:val="-4"/>
          <w:kern w:val="22"/>
        </w:rPr>
        <w:t>p</w:t>
      </w:r>
      <w:r w:rsidRPr="00AC414F">
        <w:rPr>
          <w:spacing w:val="-4"/>
          <w:kern w:val="22"/>
        </w:rPr>
        <w:t>eriod</w:t>
      </w:r>
      <w:r w:rsidR="008423D5">
        <w:rPr>
          <w:spacing w:val="-4"/>
          <w:kern w:val="22"/>
        </w:rPr>
        <w:t>”</w:t>
      </w:r>
      <w:r w:rsidRPr="00AC414F">
        <w:rPr>
          <w:spacing w:val="-4"/>
          <w:kern w:val="22"/>
        </w:rPr>
        <w:t xml:space="preserve"> for Greece. Growth rates at 4 per cent per annum were comparable to the Euro</w:t>
      </w:r>
      <w:r w:rsidR="00502DDC" w:rsidRPr="00AC414F">
        <w:rPr>
          <w:spacing w:val="-4"/>
          <w:kern w:val="22"/>
        </w:rPr>
        <w:t>zone</w:t>
      </w:r>
      <w:r w:rsidRPr="00AC414F">
        <w:rPr>
          <w:spacing w:val="-4"/>
          <w:kern w:val="22"/>
        </w:rPr>
        <w:t xml:space="preserve"> average. Inflation, although slightly higher than the Euro</w:t>
      </w:r>
      <w:r w:rsidR="00502DDC" w:rsidRPr="00AC414F">
        <w:rPr>
          <w:spacing w:val="-4"/>
          <w:kern w:val="22"/>
        </w:rPr>
        <w:t>zone</w:t>
      </w:r>
      <w:r w:rsidRPr="00AC414F">
        <w:rPr>
          <w:spacing w:val="-4"/>
          <w:kern w:val="22"/>
        </w:rPr>
        <w:t xml:space="preserve"> average, remained subdued at </w:t>
      </w:r>
      <w:r w:rsidR="00F20130" w:rsidRPr="00AC414F">
        <w:rPr>
          <w:spacing w:val="-4"/>
          <w:kern w:val="22"/>
        </w:rPr>
        <w:t xml:space="preserve">an average of </w:t>
      </w:r>
      <w:r w:rsidRPr="00AC414F">
        <w:rPr>
          <w:spacing w:val="-4"/>
          <w:kern w:val="22"/>
        </w:rPr>
        <w:t xml:space="preserve">3.2 per cent per annum. Unemployment fell to 9.8 per cent of the labour force. The public </w:t>
      </w:r>
      <w:r w:rsidR="00F2034E" w:rsidRPr="00AC414F">
        <w:rPr>
          <w:spacing w:val="-4"/>
          <w:kern w:val="22"/>
        </w:rPr>
        <w:t>debt-to-G</w:t>
      </w:r>
      <w:r w:rsidRPr="00AC414F">
        <w:rPr>
          <w:spacing w:val="-4"/>
          <w:kern w:val="22"/>
        </w:rPr>
        <w:t xml:space="preserve">DP ratio </w:t>
      </w:r>
      <w:proofErr w:type="gramStart"/>
      <w:r w:rsidRPr="00AC414F">
        <w:rPr>
          <w:spacing w:val="-4"/>
          <w:kern w:val="22"/>
        </w:rPr>
        <w:t>was stabilized</w:t>
      </w:r>
      <w:proofErr w:type="gramEnd"/>
      <w:r w:rsidRPr="00AC414F">
        <w:rPr>
          <w:spacing w:val="-4"/>
          <w:kern w:val="22"/>
        </w:rPr>
        <w:t xml:space="preserve"> at slightly above 100 per cent, which</w:t>
      </w:r>
      <w:r w:rsidR="008346DA" w:rsidRPr="00AC414F">
        <w:rPr>
          <w:spacing w:val="-4"/>
          <w:kern w:val="22"/>
        </w:rPr>
        <w:t>,</w:t>
      </w:r>
      <w:r w:rsidRPr="00AC414F">
        <w:rPr>
          <w:spacing w:val="-4"/>
          <w:kern w:val="22"/>
        </w:rPr>
        <w:t xml:space="preserve"> although higher than the Euro</w:t>
      </w:r>
      <w:r w:rsidR="00502DDC" w:rsidRPr="00AC414F">
        <w:rPr>
          <w:spacing w:val="-4"/>
          <w:kern w:val="22"/>
        </w:rPr>
        <w:t>zone</w:t>
      </w:r>
      <w:r w:rsidRPr="00AC414F">
        <w:rPr>
          <w:spacing w:val="-4"/>
          <w:kern w:val="22"/>
        </w:rPr>
        <w:t xml:space="preserve"> average</w:t>
      </w:r>
      <w:r w:rsidR="008346DA" w:rsidRPr="00AC414F">
        <w:rPr>
          <w:spacing w:val="-4"/>
          <w:kern w:val="22"/>
        </w:rPr>
        <w:t>,</w:t>
      </w:r>
      <w:r w:rsidRPr="00AC414F">
        <w:rPr>
          <w:spacing w:val="-4"/>
          <w:kern w:val="22"/>
        </w:rPr>
        <w:t xml:space="preserve"> did not pose a solvency problem. However, Greece was unable to solve the underlying fiscal mismatches. </w:t>
      </w:r>
      <w:r w:rsidR="00502DDC" w:rsidRPr="00AC414F">
        <w:rPr>
          <w:spacing w:val="-4"/>
          <w:kern w:val="22"/>
        </w:rPr>
        <w:t>It</w:t>
      </w:r>
      <w:r w:rsidR="00A713FE" w:rsidRPr="00AC414F">
        <w:rPr>
          <w:spacing w:val="-4"/>
          <w:kern w:val="22"/>
        </w:rPr>
        <w:t xml:space="preserve"> </w:t>
      </w:r>
      <w:r w:rsidRPr="00AC414F">
        <w:rPr>
          <w:spacing w:val="-4"/>
          <w:kern w:val="22"/>
        </w:rPr>
        <w:t xml:space="preserve">was unable </w:t>
      </w:r>
      <w:proofErr w:type="gramStart"/>
      <w:r w:rsidRPr="00AC414F">
        <w:rPr>
          <w:spacing w:val="-4"/>
          <w:kern w:val="22"/>
        </w:rPr>
        <w:t xml:space="preserve">to </w:t>
      </w:r>
      <w:r w:rsidR="00A713FE" w:rsidRPr="00AC414F">
        <w:rPr>
          <w:spacing w:val="-4"/>
          <w:kern w:val="22"/>
        </w:rPr>
        <w:t xml:space="preserve">effectively </w:t>
      </w:r>
      <w:r w:rsidRPr="00AC414F">
        <w:rPr>
          <w:spacing w:val="-4"/>
          <w:kern w:val="22"/>
        </w:rPr>
        <w:t>control</w:t>
      </w:r>
      <w:proofErr w:type="gramEnd"/>
      <w:r w:rsidRPr="00AC414F">
        <w:rPr>
          <w:spacing w:val="-4"/>
          <w:kern w:val="22"/>
        </w:rPr>
        <w:t xml:space="preserve"> its primary government expenditure</w:t>
      </w:r>
      <w:r w:rsidR="00A713FE" w:rsidRPr="00AC414F">
        <w:rPr>
          <w:spacing w:val="-4"/>
          <w:kern w:val="22"/>
        </w:rPr>
        <w:t>s</w:t>
      </w:r>
      <w:r w:rsidRPr="00AC414F">
        <w:rPr>
          <w:spacing w:val="-4"/>
          <w:kern w:val="22"/>
        </w:rPr>
        <w:t>, especially in areas such as local authorities, social security funds</w:t>
      </w:r>
      <w:r w:rsidR="00A713FE" w:rsidRPr="00AC414F">
        <w:rPr>
          <w:spacing w:val="-4"/>
          <w:kern w:val="22"/>
        </w:rPr>
        <w:t>,</w:t>
      </w:r>
      <w:r w:rsidRPr="00AC414F">
        <w:rPr>
          <w:spacing w:val="-4"/>
          <w:kern w:val="22"/>
        </w:rPr>
        <w:t xml:space="preserve"> and the health sector. </w:t>
      </w:r>
      <w:r w:rsidR="00013BBD" w:rsidRPr="00AC414F">
        <w:rPr>
          <w:spacing w:val="-4"/>
          <w:kern w:val="22"/>
        </w:rPr>
        <w:t>At the same time</w:t>
      </w:r>
      <w:r w:rsidRPr="00AC414F">
        <w:rPr>
          <w:spacing w:val="-4"/>
          <w:kern w:val="22"/>
        </w:rPr>
        <w:t xml:space="preserve">, </w:t>
      </w:r>
      <w:r w:rsidR="00013BBD" w:rsidRPr="00AC414F">
        <w:rPr>
          <w:spacing w:val="-4"/>
          <w:kern w:val="22"/>
        </w:rPr>
        <w:t xml:space="preserve">the country’s fiscal </w:t>
      </w:r>
      <w:r w:rsidRPr="00AC414F">
        <w:rPr>
          <w:spacing w:val="-4"/>
          <w:kern w:val="22"/>
        </w:rPr>
        <w:t xml:space="preserve">receipts </w:t>
      </w:r>
      <w:r w:rsidR="00013BBD" w:rsidRPr="00AC414F">
        <w:rPr>
          <w:spacing w:val="-4"/>
          <w:kern w:val="22"/>
        </w:rPr>
        <w:t>were</w:t>
      </w:r>
      <w:r w:rsidRPr="00AC414F">
        <w:rPr>
          <w:spacing w:val="-4"/>
          <w:kern w:val="22"/>
        </w:rPr>
        <w:t xml:space="preserve"> weak due to rampant tax evasion, which undermined the effectiveness of the tax system.</w:t>
      </w:r>
      <w:r w:rsidRPr="00AC414F">
        <w:rPr>
          <w:rStyle w:val="EndnoteReference"/>
          <w:b w:val="0"/>
          <w:color w:val="auto"/>
          <w:spacing w:val="-4"/>
          <w:kern w:val="22"/>
        </w:rPr>
        <w:endnoteReference w:id="34"/>
      </w:r>
      <w:r w:rsidRPr="00AC414F">
        <w:rPr>
          <w:spacing w:val="-4"/>
          <w:kern w:val="22"/>
        </w:rPr>
        <w:t xml:space="preserve"> Further, Greece’s decision to host the Summer Olympic Games in 2004 cost the state in excess of </w:t>
      </w:r>
      <w:r w:rsidR="00013BBD" w:rsidRPr="00AC414F">
        <w:rPr>
          <w:spacing w:val="-4"/>
          <w:kern w:val="22"/>
        </w:rPr>
        <w:t>€</w:t>
      </w:r>
      <w:r w:rsidRPr="00AC414F">
        <w:rPr>
          <w:spacing w:val="-4"/>
          <w:kern w:val="22"/>
        </w:rPr>
        <w:t>9 billion (</w:t>
      </w:r>
      <w:r w:rsidR="00013BBD" w:rsidRPr="00AC414F">
        <w:rPr>
          <w:spacing w:val="-4"/>
          <w:kern w:val="22"/>
        </w:rPr>
        <w:t>US</w:t>
      </w:r>
      <w:r w:rsidRPr="00AC414F">
        <w:rPr>
          <w:spacing w:val="-4"/>
          <w:kern w:val="22"/>
        </w:rPr>
        <w:t>$11.6 billion).</w:t>
      </w:r>
      <w:r w:rsidR="00661D86" w:rsidRPr="00AC414F">
        <w:rPr>
          <w:spacing w:val="-4"/>
          <w:kern w:val="22"/>
        </w:rPr>
        <w:t xml:space="preserve"> </w:t>
      </w:r>
      <w:r w:rsidRPr="00AC414F">
        <w:rPr>
          <w:spacing w:val="-4"/>
          <w:kern w:val="22"/>
        </w:rPr>
        <w:t>This</w:t>
      </w:r>
      <w:r w:rsidR="00E07CC5" w:rsidRPr="00AC414F">
        <w:rPr>
          <w:spacing w:val="-4"/>
          <w:kern w:val="22"/>
        </w:rPr>
        <w:t xml:space="preserve"> cost</w:t>
      </w:r>
      <w:r w:rsidRPr="00AC414F">
        <w:rPr>
          <w:spacing w:val="-4"/>
          <w:kern w:val="22"/>
        </w:rPr>
        <w:t xml:space="preserve"> had to be financed through public borrowing</w:t>
      </w:r>
      <w:r w:rsidR="00013BBD" w:rsidRPr="00AC414F">
        <w:rPr>
          <w:spacing w:val="-4"/>
          <w:kern w:val="22"/>
        </w:rPr>
        <w:t>,</w:t>
      </w:r>
      <w:r w:rsidRPr="00AC414F">
        <w:rPr>
          <w:spacing w:val="-4"/>
          <w:kern w:val="22"/>
        </w:rPr>
        <w:t xml:space="preserve"> leading to a</w:t>
      </w:r>
      <w:r w:rsidR="00013BBD" w:rsidRPr="00AC414F">
        <w:rPr>
          <w:spacing w:val="-4"/>
          <w:kern w:val="22"/>
        </w:rPr>
        <w:t>n increasing</w:t>
      </w:r>
      <w:r w:rsidRPr="00AC414F">
        <w:rPr>
          <w:spacing w:val="-4"/>
          <w:kern w:val="22"/>
        </w:rPr>
        <w:t xml:space="preserve"> deficit (6.1 per cent)</w:t>
      </w:r>
      <w:r w:rsidR="00013BBD" w:rsidRPr="00AC414F">
        <w:rPr>
          <w:spacing w:val="-4"/>
          <w:kern w:val="22"/>
        </w:rPr>
        <w:t xml:space="preserve"> and</w:t>
      </w:r>
      <w:r w:rsidRPr="00AC414F">
        <w:rPr>
          <w:spacing w:val="-4"/>
          <w:kern w:val="22"/>
        </w:rPr>
        <w:t xml:space="preserve"> </w:t>
      </w:r>
      <w:r w:rsidR="00F2034E" w:rsidRPr="00AC414F">
        <w:rPr>
          <w:spacing w:val="-4"/>
          <w:kern w:val="22"/>
        </w:rPr>
        <w:t>debt-to-G</w:t>
      </w:r>
      <w:r w:rsidRPr="00AC414F">
        <w:rPr>
          <w:spacing w:val="-4"/>
          <w:kern w:val="22"/>
        </w:rPr>
        <w:t>DP ratio (110.6 per cent) for 2004.</w:t>
      </w:r>
      <w:r w:rsidRPr="00AC414F">
        <w:rPr>
          <w:rStyle w:val="EndnoteReference"/>
          <w:b w:val="0"/>
          <w:color w:val="auto"/>
          <w:spacing w:val="-4"/>
          <w:kern w:val="22"/>
        </w:rPr>
        <w:endnoteReference w:id="35"/>
      </w:r>
      <w:r w:rsidRPr="00AC414F">
        <w:rPr>
          <w:spacing w:val="-4"/>
          <w:kern w:val="22"/>
        </w:rPr>
        <w:t xml:space="preserve"> </w:t>
      </w:r>
    </w:p>
    <w:p w14:paraId="3FB5DAF5" w14:textId="77777777" w:rsidR="00921F77" w:rsidRPr="00082992" w:rsidRDefault="00921F77" w:rsidP="006D5856">
      <w:pPr>
        <w:pStyle w:val="BodyTextMain"/>
      </w:pPr>
    </w:p>
    <w:p w14:paraId="3E9DD281" w14:textId="3B55575F" w:rsidR="00921F77" w:rsidRPr="00082992" w:rsidRDefault="00921F77" w:rsidP="006D5856">
      <w:pPr>
        <w:pStyle w:val="BodyTextMain"/>
      </w:pPr>
      <w:r w:rsidRPr="00082992">
        <w:t xml:space="preserve">The problem of public finances </w:t>
      </w:r>
      <w:proofErr w:type="gramStart"/>
      <w:r w:rsidRPr="00082992">
        <w:t>was compounded</w:t>
      </w:r>
      <w:proofErr w:type="gramEnd"/>
      <w:r w:rsidRPr="00082992">
        <w:t xml:space="preserve"> by the lack of credib</w:t>
      </w:r>
      <w:r w:rsidR="00013BBD" w:rsidRPr="00082992">
        <w:t>le</w:t>
      </w:r>
      <w:r w:rsidRPr="00082992">
        <w:t xml:space="preserve"> data pertaining to </w:t>
      </w:r>
      <w:r w:rsidR="00F9635C" w:rsidRPr="00082992">
        <w:t xml:space="preserve">the </w:t>
      </w:r>
      <w:r w:rsidRPr="00082992">
        <w:t xml:space="preserve">finances. In 2004, Prime Minister </w:t>
      </w:r>
      <w:r w:rsidR="00FF6312" w:rsidRPr="00082992">
        <w:t>K</w:t>
      </w:r>
      <w:r w:rsidRPr="00082992">
        <w:t xml:space="preserve">ostas Karamanlis of the ND, </w:t>
      </w:r>
      <w:r w:rsidR="00013BBD" w:rsidRPr="00082992">
        <w:t xml:space="preserve">relying </w:t>
      </w:r>
      <w:r w:rsidRPr="00082992">
        <w:t xml:space="preserve">on audits of the </w:t>
      </w:r>
      <w:r w:rsidR="00013BBD" w:rsidRPr="00082992">
        <w:t xml:space="preserve">deficit data provided by the </w:t>
      </w:r>
      <w:r w:rsidRPr="00082992">
        <w:t>predecessor government</w:t>
      </w:r>
      <w:r w:rsidR="00013BBD" w:rsidRPr="00082992">
        <w:t xml:space="preserve"> (</w:t>
      </w:r>
      <w:r w:rsidRPr="00082992">
        <w:t>PASOK</w:t>
      </w:r>
      <w:r w:rsidR="00013BBD" w:rsidRPr="00082992">
        <w:t>)</w:t>
      </w:r>
      <w:r w:rsidRPr="00082992">
        <w:t xml:space="preserve">, accused the latter of </w:t>
      </w:r>
      <w:r w:rsidR="00013BBD" w:rsidRPr="00082992">
        <w:t xml:space="preserve">skewing the </w:t>
      </w:r>
      <w:r w:rsidRPr="00082992">
        <w:t>data.</w:t>
      </w:r>
      <w:r w:rsidRPr="00E07CC5">
        <w:rPr>
          <w:rStyle w:val="EndnoteReference"/>
          <w:b w:val="0"/>
          <w:color w:val="auto"/>
        </w:rPr>
        <w:endnoteReference w:id="36"/>
      </w:r>
      <w:r w:rsidRPr="00082992">
        <w:t xml:space="preserve"> The Eurostat, while revising the Greek debt and deficit figures for the period 1999</w:t>
      </w:r>
      <w:r w:rsidR="00013BBD" w:rsidRPr="00082992">
        <w:t>–</w:t>
      </w:r>
      <w:r w:rsidRPr="00082992">
        <w:t xml:space="preserve">2003, had </w:t>
      </w:r>
      <w:r w:rsidR="00013BBD" w:rsidRPr="00082992">
        <w:t xml:space="preserve">also </w:t>
      </w:r>
      <w:r w:rsidRPr="00082992">
        <w:t>raised concerns about the reliability of the</w:t>
      </w:r>
      <w:r w:rsidR="00013BBD" w:rsidRPr="00082992">
        <w:t xml:space="preserve"> data</w:t>
      </w:r>
      <w:r w:rsidRPr="00082992">
        <w:t xml:space="preserve"> (see Exhibit 3).</w:t>
      </w:r>
      <w:r w:rsidRPr="00E07CC5">
        <w:rPr>
          <w:rStyle w:val="EndnoteReference"/>
          <w:b w:val="0"/>
          <w:color w:val="auto"/>
        </w:rPr>
        <w:endnoteReference w:id="37"/>
      </w:r>
      <w:r w:rsidRPr="00082992">
        <w:t xml:space="preserve"> It appeared that Greece had </w:t>
      </w:r>
      <w:r w:rsidR="00013BBD" w:rsidRPr="00082992">
        <w:t xml:space="preserve">falsely represented </w:t>
      </w:r>
      <w:r w:rsidRPr="00082992">
        <w:t xml:space="preserve">its deficits to gain admission to the </w:t>
      </w:r>
      <w:r w:rsidR="00013BBD" w:rsidRPr="00082992">
        <w:t>E</w:t>
      </w:r>
      <w:r w:rsidRPr="00082992">
        <w:t>uro</w:t>
      </w:r>
      <w:r w:rsidR="00013BBD" w:rsidRPr="00082992">
        <w:t>zone</w:t>
      </w:r>
      <w:r w:rsidRPr="00082992">
        <w:t>.</w:t>
      </w:r>
      <w:r w:rsidRPr="00E07CC5">
        <w:rPr>
          <w:rStyle w:val="EndnoteReference"/>
          <w:b w:val="0"/>
          <w:color w:val="auto"/>
        </w:rPr>
        <w:endnoteReference w:id="38"/>
      </w:r>
      <w:r w:rsidRPr="00082992">
        <w:t xml:space="preserve"> The E</w:t>
      </w:r>
      <w:r w:rsidR="005F1419" w:rsidRPr="00082992">
        <w:t xml:space="preserve">uropean </w:t>
      </w:r>
      <w:r w:rsidRPr="00082992">
        <w:t>C</w:t>
      </w:r>
      <w:r w:rsidR="005F1419" w:rsidRPr="00082992">
        <w:t>ommission</w:t>
      </w:r>
      <w:r w:rsidRPr="00082992">
        <w:t xml:space="preserve"> placed Greece under fiscal monitoring in 2005 due to its unsustainable finances.</w:t>
      </w:r>
      <w:r w:rsidRPr="00E07CC5">
        <w:rPr>
          <w:rStyle w:val="EndnoteReference"/>
          <w:b w:val="0"/>
          <w:color w:val="auto"/>
        </w:rPr>
        <w:endnoteReference w:id="39"/>
      </w:r>
      <w:r w:rsidRPr="00082992">
        <w:t xml:space="preserve"> </w:t>
      </w:r>
    </w:p>
    <w:p w14:paraId="47A16F1D" w14:textId="77777777" w:rsidR="00921F77" w:rsidRPr="00082992" w:rsidRDefault="00921F77" w:rsidP="006D5856">
      <w:pPr>
        <w:pStyle w:val="BodyTextMain"/>
      </w:pPr>
    </w:p>
    <w:p w14:paraId="6ACBA559" w14:textId="5405BB77" w:rsidR="00013BBD" w:rsidRPr="00082992" w:rsidRDefault="00921F77" w:rsidP="006D5856">
      <w:pPr>
        <w:pStyle w:val="BodyTextMain"/>
      </w:pPr>
      <w:r w:rsidRPr="00082992">
        <w:t xml:space="preserve">The </w:t>
      </w:r>
      <w:r w:rsidR="00013BBD" w:rsidRPr="00082992">
        <w:t>g</w:t>
      </w:r>
      <w:r w:rsidRPr="00082992">
        <w:t>overnor of the Bank of Greece, chronicling the problems associated with this period, noted:</w:t>
      </w:r>
    </w:p>
    <w:p w14:paraId="288E3724" w14:textId="77777777" w:rsidR="00013BBD" w:rsidRPr="00082992" w:rsidRDefault="00013BBD" w:rsidP="006D5856">
      <w:pPr>
        <w:pStyle w:val="BodyTextMain"/>
      </w:pPr>
    </w:p>
    <w:p w14:paraId="1730739E" w14:textId="0F444DBC" w:rsidR="00921F77" w:rsidRPr="00082992" w:rsidRDefault="00921F77" w:rsidP="00082992">
      <w:pPr>
        <w:pStyle w:val="BodyTextMain"/>
        <w:ind w:left="720"/>
      </w:pPr>
      <w:r w:rsidRPr="00082992">
        <w:t>The Greek society showed a clear preference for consumption over saving and investment, while it strongly reacted to attempts to change established structures. The political system assigned a big weight to political costs and hesitated to undertake decisive reform initiatives</w:t>
      </w:r>
      <w:r w:rsidR="00013BBD" w:rsidRPr="00082992">
        <w:t xml:space="preserve">. . . . </w:t>
      </w:r>
      <w:r w:rsidRPr="00082992">
        <w:t xml:space="preserve">In the economy in particular, growth was strong, but </w:t>
      </w:r>
      <w:proofErr w:type="gramStart"/>
      <w:r w:rsidRPr="00082992">
        <w:t>was led</w:t>
      </w:r>
      <w:proofErr w:type="gramEnd"/>
      <w:r w:rsidRPr="00082992">
        <w:t xml:space="preserve"> by domestic demand, which was fuelled by borrowing, both public and private. The production base did not adjust accordingly and competitiveness declined rapidly, resulting in a deterioration of the external deficit. Public spending kept increasing, while revenue lagged behind, leading to large deficits and historically high levels of public debt.</w:t>
      </w:r>
      <w:r w:rsidRPr="00E07CC5">
        <w:rPr>
          <w:rStyle w:val="EndnoteReference"/>
          <w:b w:val="0"/>
          <w:color w:val="auto"/>
        </w:rPr>
        <w:endnoteReference w:id="40"/>
      </w:r>
      <w:r w:rsidRPr="00082992">
        <w:t xml:space="preserve"> </w:t>
      </w:r>
    </w:p>
    <w:p w14:paraId="28D51D2A" w14:textId="77777777" w:rsidR="00921F77" w:rsidRPr="00082992" w:rsidRDefault="00921F77" w:rsidP="006D5856">
      <w:pPr>
        <w:pStyle w:val="BodyTextMain"/>
      </w:pPr>
    </w:p>
    <w:p w14:paraId="1E8D6523" w14:textId="77777777" w:rsidR="00013BBD" w:rsidRPr="00082992" w:rsidRDefault="00013BBD" w:rsidP="006D5856">
      <w:pPr>
        <w:pStyle w:val="BodyTextMain"/>
      </w:pPr>
    </w:p>
    <w:p w14:paraId="12CC966C" w14:textId="442DCEE3" w:rsidR="00921F77" w:rsidRPr="00082992" w:rsidRDefault="00921F77" w:rsidP="00082992">
      <w:pPr>
        <w:pStyle w:val="Casehead2"/>
        <w:keepNext/>
        <w:outlineLvl w:val="0"/>
      </w:pPr>
      <w:r w:rsidRPr="00082992">
        <w:t>Stage IV: The Global Financial Crisis (2008</w:t>
      </w:r>
      <w:r w:rsidR="00013BBD" w:rsidRPr="00082992">
        <w:t>–</w:t>
      </w:r>
      <w:r w:rsidRPr="00082992">
        <w:t xml:space="preserve">2009) and </w:t>
      </w:r>
      <w:r w:rsidR="00013BBD" w:rsidRPr="00082992">
        <w:t>I</w:t>
      </w:r>
      <w:r w:rsidRPr="00082992">
        <w:t xml:space="preserve">ts </w:t>
      </w:r>
      <w:r w:rsidR="00013BBD" w:rsidRPr="00082992">
        <w:t>A</w:t>
      </w:r>
      <w:r w:rsidRPr="00082992">
        <w:t>ftermath</w:t>
      </w:r>
    </w:p>
    <w:p w14:paraId="79BF881A" w14:textId="77777777" w:rsidR="00921F77" w:rsidRPr="00082992" w:rsidRDefault="00921F77" w:rsidP="00082992">
      <w:pPr>
        <w:pStyle w:val="BodyTextMain"/>
        <w:keepNext/>
      </w:pPr>
    </w:p>
    <w:p w14:paraId="5CAE98BC" w14:textId="038FBF82" w:rsidR="00CB5FF5" w:rsidRPr="00082992" w:rsidRDefault="00921F77" w:rsidP="006D5856">
      <w:pPr>
        <w:pStyle w:val="BodyTextMain"/>
        <w:rPr>
          <w:spacing w:val="-4"/>
          <w:kern w:val="22"/>
        </w:rPr>
      </w:pPr>
      <w:r w:rsidRPr="00082992">
        <w:rPr>
          <w:spacing w:val="-4"/>
          <w:kern w:val="22"/>
        </w:rPr>
        <w:t xml:space="preserve">The </w:t>
      </w:r>
      <w:r w:rsidR="00372A09" w:rsidRPr="00082992">
        <w:rPr>
          <w:spacing w:val="-4"/>
          <w:kern w:val="22"/>
        </w:rPr>
        <w:t xml:space="preserve">global </w:t>
      </w:r>
      <w:r w:rsidRPr="00082992">
        <w:rPr>
          <w:spacing w:val="-4"/>
          <w:kern w:val="22"/>
        </w:rPr>
        <w:t xml:space="preserve">financial crisis, which originated in the United States in 2008, had ramifications for the </w:t>
      </w:r>
      <w:r w:rsidR="00372A09" w:rsidRPr="00082992">
        <w:rPr>
          <w:spacing w:val="-4"/>
          <w:kern w:val="22"/>
        </w:rPr>
        <w:t xml:space="preserve">world’s </w:t>
      </w:r>
      <w:r w:rsidRPr="00082992">
        <w:rPr>
          <w:spacing w:val="-4"/>
          <w:kern w:val="22"/>
        </w:rPr>
        <w:t>financial system</w:t>
      </w:r>
      <w:r w:rsidR="00372A09" w:rsidRPr="00082992">
        <w:rPr>
          <w:spacing w:val="-4"/>
          <w:kern w:val="22"/>
        </w:rPr>
        <w:t>s</w:t>
      </w:r>
      <w:r w:rsidRPr="00082992">
        <w:rPr>
          <w:spacing w:val="-4"/>
          <w:kern w:val="22"/>
        </w:rPr>
        <w:t xml:space="preserve">. More importantly, the crisis brought to the fore the limitations of macroeconomic policy in averting recessionary conditions. It demonstrated </w:t>
      </w:r>
      <w:r w:rsidR="00DF7913" w:rsidRPr="00082992">
        <w:rPr>
          <w:spacing w:val="-4"/>
          <w:kern w:val="22"/>
        </w:rPr>
        <w:t xml:space="preserve">that </w:t>
      </w:r>
      <w:r w:rsidRPr="00082992">
        <w:rPr>
          <w:spacing w:val="-4"/>
          <w:kern w:val="22"/>
        </w:rPr>
        <w:t>automatic stabilizers</w:t>
      </w:r>
      <w:r w:rsidRPr="00E07CC5">
        <w:rPr>
          <w:rStyle w:val="EndnoteReference"/>
          <w:b w:val="0"/>
          <w:color w:val="auto"/>
          <w:spacing w:val="-4"/>
          <w:kern w:val="22"/>
        </w:rPr>
        <w:endnoteReference w:id="41"/>
      </w:r>
      <w:r w:rsidRPr="00AC414F">
        <w:rPr>
          <w:b/>
          <w:spacing w:val="-4"/>
          <w:kern w:val="22"/>
        </w:rPr>
        <w:t xml:space="preserve"> </w:t>
      </w:r>
      <w:r w:rsidR="00DF7913" w:rsidRPr="00082992">
        <w:rPr>
          <w:spacing w:val="-4"/>
          <w:kern w:val="22"/>
        </w:rPr>
        <w:t>and</w:t>
      </w:r>
      <w:r w:rsidRPr="00082992">
        <w:rPr>
          <w:spacing w:val="-4"/>
          <w:kern w:val="22"/>
        </w:rPr>
        <w:t xml:space="preserve"> discretionary fiscal measures </w:t>
      </w:r>
      <w:r w:rsidRPr="00082992">
        <w:rPr>
          <w:spacing w:val="-4"/>
          <w:kern w:val="22"/>
        </w:rPr>
        <w:lastRenderedPageBreak/>
        <w:t>undertaken by governments during a recession</w:t>
      </w:r>
      <w:r w:rsidR="00DF7913" w:rsidRPr="00082992">
        <w:rPr>
          <w:spacing w:val="-4"/>
          <w:kern w:val="22"/>
        </w:rPr>
        <w:t xml:space="preserve"> had a</w:t>
      </w:r>
      <w:r w:rsidR="00670B8D">
        <w:rPr>
          <w:spacing w:val="-4"/>
          <w:kern w:val="22"/>
        </w:rPr>
        <w:t xml:space="preserve"> negative</w:t>
      </w:r>
      <w:r w:rsidR="00DF7913" w:rsidRPr="00082992">
        <w:rPr>
          <w:spacing w:val="-4"/>
          <w:kern w:val="22"/>
        </w:rPr>
        <w:t xml:space="preserve"> impact </w:t>
      </w:r>
      <w:r w:rsidRPr="00082992">
        <w:rPr>
          <w:spacing w:val="-4"/>
          <w:kern w:val="22"/>
        </w:rPr>
        <w:t xml:space="preserve">on public finances. Nowhere was this starker than in the case of Greece, where a decade of chronic overspending and structural rigidities had </w:t>
      </w:r>
      <w:r w:rsidR="00DF7913" w:rsidRPr="00082992">
        <w:rPr>
          <w:spacing w:val="-4"/>
          <w:kern w:val="22"/>
        </w:rPr>
        <w:t xml:space="preserve">undermined </w:t>
      </w:r>
      <w:r w:rsidRPr="00082992">
        <w:rPr>
          <w:spacing w:val="-4"/>
          <w:kern w:val="22"/>
        </w:rPr>
        <w:t xml:space="preserve">the fiscal situation, which remained precarious in 2008. When the global financial crisis hit </w:t>
      </w:r>
      <w:r w:rsidR="00CB5FF5" w:rsidRPr="00082992">
        <w:rPr>
          <w:spacing w:val="-4"/>
          <w:kern w:val="22"/>
        </w:rPr>
        <w:t>Greece</w:t>
      </w:r>
      <w:r w:rsidRPr="00082992">
        <w:rPr>
          <w:spacing w:val="-4"/>
          <w:kern w:val="22"/>
        </w:rPr>
        <w:t xml:space="preserve"> in 2008, </w:t>
      </w:r>
      <w:r w:rsidR="00CB5FF5" w:rsidRPr="00082992">
        <w:rPr>
          <w:spacing w:val="-4"/>
          <w:kern w:val="22"/>
        </w:rPr>
        <w:t xml:space="preserve">its </w:t>
      </w:r>
      <w:r w:rsidRPr="00082992">
        <w:rPr>
          <w:spacing w:val="-4"/>
          <w:kern w:val="22"/>
        </w:rPr>
        <w:t>fiscal situation</w:t>
      </w:r>
      <w:r w:rsidR="00CB5FF5" w:rsidRPr="00082992">
        <w:rPr>
          <w:spacing w:val="-4"/>
          <w:kern w:val="22"/>
        </w:rPr>
        <w:t xml:space="preserve"> and</w:t>
      </w:r>
      <w:r w:rsidRPr="00082992">
        <w:rPr>
          <w:spacing w:val="-4"/>
          <w:kern w:val="22"/>
        </w:rPr>
        <w:t xml:space="preserve"> dependence on external financing proved to be </w:t>
      </w:r>
      <w:r w:rsidR="00CB5FF5" w:rsidRPr="00082992">
        <w:rPr>
          <w:spacing w:val="-4"/>
          <w:kern w:val="22"/>
        </w:rPr>
        <w:t xml:space="preserve">the country’s </w:t>
      </w:r>
      <w:r w:rsidRPr="00082992">
        <w:rPr>
          <w:spacing w:val="-4"/>
          <w:kern w:val="22"/>
        </w:rPr>
        <w:t xml:space="preserve">undoing. </w:t>
      </w:r>
    </w:p>
    <w:p w14:paraId="26B6ED86" w14:textId="77777777" w:rsidR="00CB5FF5" w:rsidRPr="00082992" w:rsidRDefault="00CB5FF5" w:rsidP="006D5856">
      <w:pPr>
        <w:pStyle w:val="BodyTextMain"/>
        <w:rPr>
          <w:spacing w:val="-4"/>
          <w:kern w:val="22"/>
        </w:rPr>
      </w:pPr>
    </w:p>
    <w:p w14:paraId="77CDFE0D" w14:textId="6CB53C2A" w:rsidR="00921F77" w:rsidRPr="00082992" w:rsidRDefault="00921F77" w:rsidP="006D5856">
      <w:pPr>
        <w:pStyle w:val="BodyTextMain"/>
        <w:rPr>
          <w:spacing w:val="-4"/>
          <w:kern w:val="22"/>
        </w:rPr>
      </w:pPr>
      <w:r w:rsidRPr="00082992">
        <w:rPr>
          <w:spacing w:val="-4"/>
          <w:kern w:val="22"/>
        </w:rPr>
        <w:t>In October 2009, the PASOK government</w:t>
      </w:r>
      <w:r w:rsidR="00E07CC5">
        <w:rPr>
          <w:spacing w:val="-4"/>
          <w:kern w:val="22"/>
        </w:rPr>
        <w:t>,</w:t>
      </w:r>
      <w:r w:rsidRPr="00082992">
        <w:rPr>
          <w:spacing w:val="-4"/>
          <w:kern w:val="22"/>
        </w:rPr>
        <w:t xml:space="preserve"> led by George Papandreou</w:t>
      </w:r>
      <w:r w:rsidR="00E07CC5">
        <w:rPr>
          <w:spacing w:val="-4"/>
          <w:kern w:val="22"/>
        </w:rPr>
        <w:t>,</w:t>
      </w:r>
      <w:r w:rsidRPr="00082992">
        <w:rPr>
          <w:spacing w:val="-4"/>
          <w:kern w:val="22"/>
        </w:rPr>
        <w:t xml:space="preserve"> came to power. Within weeks of assuming office, Papandreou revised </w:t>
      </w:r>
      <w:r w:rsidR="00CB5FF5" w:rsidRPr="00082992">
        <w:rPr>
          <w:spacing w:val="-4"/>
          <w:kern w:val="22"/>
        </w:rPr>
        <w:t xml:space="preserve">the </w:t>
      </w:r>
      <w:r w:rsidRPr="00082992">
        <w:rPr>
          <w:spacing w:val="-4"/>
          <w:kern w:val="22"/>
        </w:rPr>
        <w:t xml:space="preserve">Greek budget deficit estimates from the 6.7 per cent </w:t>
      </w:r>
      <w:r w:rsidR="00CB5FF5" w:rsidRPr="00082992">
        <w:rPr>
          <w:spacing w:val="-4"/>
          <w:kern w:val="22"/>
        </w:rPr>
        <w:t xml:space="preserve">of </w:t>
      </w:r>
      <w:r w:rsidRPr="00082992">
        <w:rPr>
          <w:spacing w:val="-4"/>
          <w:kern w:val="22"/>
        </w:rPr>
        <w:t>GDP provided earlier</w:t>
      </w:r>
      <w:r w:rsidR="00CB5FF5" w:rsidRPr="00082992">
        <w:rPr>
          <w:spacing w:val="-4"/>
          <w:kern w:val="22"/>
        </w:rPr>
        <w:t xml:space="preserve"> to 12.7 per cent of GDP</w:t>
      </w:r>
      <w:r w:rsidRPr="00082992">
        <w:rPr>
          <w:spacing w:val="-4"/>
          <w:kern w:val="22"/>
        </w:rPr>
        <w:t>, before finally declaring a deficit of 15.4 per cent of GDP for 2009.</w:t>
      </w:r>
      <w:r w:rsidRPr="00E07CC5">
        <w:rPr>
          <w:rStyle w:val="EndnoteReference"/>
          <w:b w:val="0"/>
          <w:color w:val="auto"/>
          <w:spacing w:val="-4"/>
          <w:kern w:val="22"/>
        </w:rPr>
        <w:endnoteReference w:id="42"/>
      </w:r>
      <w:r w:rsidRPr="00082992">
        <w:rPr>
          <w:spacing w:val="-4"/>
          <w:kern w:val="22"/>
        </w:rPr>
        <w:t xml:space="preserve"> This </w:t>
      </w:r>
      <w:r w:rsidR="00CA7C53">
        <w:rPr>
          <w:spacing w:val="-4"/>
          <w:kern w:val="22"/>
        </w:rPr>
        <w:t xml:space="preserve">event </w:t>
      </w:r>
      <w:r w:rsidRPr="00082992">
        <w:rPr>
          <w:spacing w:val="-4"/>
          <w:kern w:val="22"/>
        </w:rPr>
        <w:t xml:space="preserve">was the trigger for the crisis of confidence, which ultimately manifested in the sovereign debt crisis. </w:t>
      </w:r>
    </w:p>
    <w:p w14:paraId="4C90A781" w14:textId="77777777" w:rsidR="00921F77" w:rsidRPr="00082992" w:rsidRDefault="00921F77" w:rsidP="004F1976">
      <w:pPr>
        <w:pStyle w:val="BodyTextMain"/>
      </w:pPr>
    </w:p>
    <w:p w14:paraId="1065C45A" w14:textId="77777777" w:rsidR="00CB5FF5" w:rsidRPr="00082992" w:rsidRDefault="00CB5FF5" w:rsidP="004F1976">
      <w:pPr>
        <w:pStyle w:val="BodyTextMain"/>
      </w:pPr>
    </w:p>
    <w:p w14:paraId="6476E7B6" w14:textId="77777777" w:rsidR="00921F77" w:rsidRPr="00082992" w:rsidRDefault="00921F77" w:rsidP="00187DCD">
      <w:pPr>
        <w:pStyle w:val="Casehead1"/>
        <w:outlineLvl w:val="0"/>
      </w:pPr>
      <w:r w:rsidRPr="00082992">
        <w:t>THE GREEK SOVEREIGN DEBT CRISIS</w:t>
      </w:r>
    </w:p>
    <w:p w14:paraId="40A427E1" w14:textId="77777777" w:rsidR="00921F77" w:rsidRPr="00082992" w:rsidRDefault="00921F77" w:rsidP="004F1976">
      <w:pPr>
        <w:pStyle w:val="BodyTextMain"/>
      </w:pPr>
    </w:p>
    <w:p w14:paraId="4A57CBB2" w14:textId="7B98D2B9" w:rsidR="00B87856" w:rsidRPr="00082992" w:rsidRDefault="00921F77" w:rsidP="006D5856">
      <w:pPr>
        <w:pStyle w:val="BodyTextMain"/>
      </w:pPr>
      <w:r w:rsidRPr="00082992">
        <w:t>Greek sovereign debt referred to debt issued by the government of Greece in the form of sovereign bonds</w:t>
      </w:r>
      <w:r w:rsidR="00B87856" w:rsidRPr="00082992">
        <w:t>. The government</w:t>
      </w:r>
      <w:r w:rsidRPr="00082992">
        <w:t xml:space="preserve"> promise</w:t>
      </w:r>
      <w:r w:rsidR="00B87856" w:rsidRPr="00082992">
        <w:t>d</w:t>
      </w:r>
      <w:r w:rsidRPr="00082992">
        <w:t xml:space="preserve"> to repay the face value of the bond at a specified future date, along with periodic interest payments at a given rate. The</w:t>
      </w:r>
      <w:r w:rsidR="00B87856" w:rsidRPr="00082992">
        <w:t xml:space="preserve"> bonds</w:t>
      </w:r>
      <w:r w:rsidRPr="00082992">
        <w:t xml:space="preserve"> represented an accumulation of government deficits</w:t>
      </w:r>
      <w:r w:rsidR="00B87856" w:rsidRPr="00082992">
        <w:t>—</w:t>
      </w:r>
      <w:r w:rsidRPr="00082992">
        <w:t>the excess of government expenditure over government revenues</w:t>
      </w:r>
      <w:r w:rsidR="00B87856" w:rsidRPr="00082992">
        <w:t>—that</w:t>
      </w:r>
      <w:r w:rsidRPr="00082992">
        <w:t xml:space="preserve"> had to be funded through borrowings. </w:t>
      </w:r>
      <w:r w:rsidR="00B87856" w:rsidRPr="00082992">
        <w:t xml:space="preserve">The </w:t>
      </w:r>
      <w:r w:rsidRPr="00082992">
        <w:t>bonds were</w:t>
      </w:r>
      <w:r w:rsidR="00B87856" w:rsidRPr="00082992">
        <w:t>,</w:t>
      </w:r>
      <w:r w:rsidRPr="00082992">
        <w:t xml:space="preserve"> </w:t>
      </w:r>
      <w:r w:rsidR="00B87856" w:rsidRPr="00082992">
        <w:t xml:space="preserve">theoretically, </w:t>
      </w:r>
      <w:proofErr w:type="gramStart"/>
      <w:r w:rsidRPr="00082992">
        <w:t>risk-free</w:t>
      </w:r>
      <w:proofErr w:type="gramEnd"/>
      <w:r w:rsidRPr="00082992">
        <w:t xml:space="preserve"> </w:t>
      </w:r>
      <w:r w:rsidR="00CA7C53">
        <w:t>because</w:t>
      </w:r>
      <w:r w:rsidR="00CA7C53" w:rsidRPr="00082992">
        <w:t xml:space="preserve"> </w:t>
      </w:r>
      <w:r w:rsidRPr="00082992">
        <w:t xml:space="preserve">a government could use various means to guarantee repayments, such as increasing taxes or printing money. However, in practice, </w:t>
      </w:r>
      <w:r w:rsidR="00B87856" w:rsidRPr="00082992">
        <w:t xml:space="preserve">there were </w:t>
      </w:r>
      <w:r w:rsidRPr="00082992">
        <w:t>several cases</w:t>
      </w:r>
      <w:r w:rsidR="00B87856" w:rsidRPr="00082992">
        <w:t>, including Greece,</w:t>
      </w:r>
      <w:r w:rsidRPr="00082992">
        <w:t xml:space="preserve"> of governments being unable to repay</w:t>
      </w:r>
      <w:r w:rsidR="00B87856" w:rsidRPr="00082992">
        <w:t>, and thus defaulting on the</w:t>
      </w:r>
      <w:r w:rsidRPr="00082992">
        <w:t xml:space="preserve"> debts. </w:t>
      </w:r>
    </w:p>
    <w:p w14:paraId="7A7DDF6C" w14:textId="77777777" w:rsidR="00B87856" w:rsidRPr="00082992" w:rsidRDefault="00B87856" w:rsidP="006D5856">
      <w:pPr>
        <w:pStyle w:val="BodyTextMain"/>
      </w:pPr>
    </w:p>
    <w:p w14:paraId="749AB8C1" w14:textId="30D90210" w:rsidR="00921F77" w:rsidRPr="00082992" w:rsidRDefault="00921F77" w:rsidP="006D5856">
      <w:pPr>
        <w:pStyle w:val="BodyTextMain"/>
      </w:pPr>
      <w:r w:rsidRPr="00082992">
        <w:t>Sovereign bond yields referred to the interest rates that the government paid on such bonds, which in turn depended on factors such as creditworthiness of the country as assessed by rating agencies, country risks</w:t>
      </w:r>
      <w:r w:rsidR="008B4DAA" w:rsidRPr="00082992">
        <w:t xml:space="preserve"> </w:t>
      </w:r>
      <w:r w:rsidR="00CA7C53">
        <w:t>(</w:t>
      </w:r>
      <w:r w:rsidRPr="00082992">
        <w:t>based on internal and external factors such as wars and unrest</w:t>
      </w:r>
      <w:r w:rsidR="00CA7C53">
        <w:t>)</w:t>
      </w:r>
      <w:r w:rsidRPr="00082992">
        <w:t>, and the exchange rates.</w:t>
      </w:r>
      <w:r w:rsidRPr="00107834">
        <w:rPr>
          <w:rStyle w:val="EndnoteReference"/>
          <w:b w:val="0"/>
          <w:color w:val="auto"/>
        </w:rPr>
        <w:endnoteReference w:id="43"/>
      </w:r>
      <w:r w:rsidRPr="00082992">
        <w:t xml:space="preserve"> The higher the perceived risk of default, the greater the bond yields</w:t>
      </w:r>
      <w:r w:rsidR="00CA7C53" w:rsidRPr="00CA7C53">
        <w:t xml:space="preserve"> </w:t>
      </w:r>
      <w:r w:rsidR="00CA7C53" w:rsidRPr="00082992">
        <w:t>would be</w:t>
      </w:r>
      <w:r w:rsidRPr="00082992">
        <w:t xml:space="preserve">. </w:t>
      </w:r>
    </w:p>
    <w:p w14:paraId="6EAEB208" w14:textId="77777777" w:rsidR="00921F77" w:rsidRPr="00082992" w:rsidRDefault="00921F77" w:rsidP="006D5856">
      <w:pPr>
        <w:pStyle w:val="BodyTextMain"/>
      </w:pPr>
    </w:p>
    <w:p w14:paraId="3EF0C8BA" w14:textId="7442EBA2" w:rsidR="00921F77" w:rsidRPr="00082992" w:rsidRDefault="00921F77" w:rsidP="006D5856">
      <w:pPr>
        <w:pStyle w:val="BodyTextMain"/>
        <w:rPr>
          <w:rFonts w:asciiTheme="minorHAnsi" w:hAnsiTheme="minorHAnsi" w:cstheme="minorBidi"/>
        </w:rPr>
      </w:pPr>
      <w:r w:rsidRPr="00082992">
        <w:t>Global investors in Greek bonds examine</w:t>
      </w:r>
      <w:r w:rsidR="008B4DAA" w:rsidRPr="00082992">
        <w:t>d</w:t>
      </w:r>
      <w:r w:rsidRPr="00082992">
        <w:t xml:space="preserve"> sovereign bond spreads</w:t>
      </w:r>
      <w:r w:rsidR="008B4DAA" w:rsidRPr="00082992">
        <w:t>—</w:t>
      </w:r>
      <w:r w:rsidRPr="00082992">
        <w:t xml:space="preserve">the difference between yields </w:t>
      </w:r>
      <w:r w:rsidR="008B4DAA" w:rsidRPr="00082992">
        <w:t xml:space="preserve">from Greek bonds </w:t>
      </w:r>
      <w:r w:rsidRPr="00082992">
        <w:t xml:space="preserve">and </w:t>
      </w:r>
      <w:r w:rsidR="008423D5">
        <w:t>“</w:t>
      </w:r>
      <w:r w:rsidRPr="00082992">
        <w:t>risk-free</w:t>
      </w:r>
      <w:r w:rsidR="008423D5">
        <w:t>”</w:t>
      </w:r>
      <w:r w:rsidRPr="00082992">
        <w:t xml:space="preserve"> German </w:t>
      </w:r>
      <w:r w:rsidRPr="00AC414F">
        <w:rPr>
          <w:i/>
        </w:rPr>
        <w:t>bunds</w:t>
      </w:r>
      <w:r w:rsidRPr="00082992">
        <w:t xml:space="preserve"> of similar maturities</w:t>
      </w:r>
      <w:r w:rsidR="008B4DAA" w:rsidRPr="00082992">
        <w:t>—</w:t>
      </w:r>
      <w:r w:rsidRPr="00082992">
        <w:t>to assess sovereign credit-worthiness and the risk of investments</w:t>
      </w:r>
      <w:r w:rsidR="008B4DAA" w:rsidRPr="00082992">
        <w:t xml:space="preserve"> in Greece</w:t>
      </w:r>
      <w:r w:rsidRPr="00082992">
        <w:t xml:space="preserve">. Bond spreads, especially during periods of financial crisis </w:t>
      </w:r>
      <w:r w:rsidR="008B4DAA" w:rsidRPr="00082992">
        <w:t xml:space="preserve">that </w:t>
      </w:r>
      <w:r w:rsidRPr="00082992">
        <w:t>affected the government’s debt-servicing capability, provided a comprehensive measure of the overall risk premium, stemming from market, credit, liquidity, and other risks.</w:t>
      </w:r>
      <w:r w:rsidRPr="00107834">
        <w:rPr>
          <w:rStyle w:val="EndnoteReference"/>
          <w:b w:val="0"/>
          <w:color w:val="auto"/>
        </w:rPr>
        <w:endnoteReference w:id="44"/>
      </w:r>
    </w:p>
    <w:p w14:paraId="36517019" w14:textId="77777777" w:rsidR="00921F77" w:rsidRPr="00082992" w:rsidRDefault="00921F77" w:rsidP="006D5856">
      <w:pPr>
        <w:pStyle w:val="BodyTextMain"/>
      </w:pPr>
      <w:r w:rsidRPr="00082992">
        <w:t xml:space="preserve"> </w:t>
      </w:r>
    </w:p>
    <w:p w14:paraId="6D463177" w14:textId="56023B25" w:rsidR="00921F77" w:rsidRPr="00AC414F" w:rsidRDefault="00921F77" w:rsidP="00A33456">
      <w:pPr>
        <w:pStyle w:val="BodyTextMain"/>
        <w:rPr>
          <w:spacing w:val="-2"/>
          <w:kern w:val="22"/>
        </w:rPr>
      </w:pPr>
      <w:r w:rsidRPr="00AC414F">
        <w:rPr>
          <w:spacing w:val="-2"/>
          <w:kern w:val="22"/>
        </w:rPr>
        <w:t xml:space="preserve">After accession to the </w:t>
      </w:r>
      <w:r w:rsidR="003612D9" w:rsidRPr="00AC414F">
        <w:rPr>
          <w:spacing w:val="-2"/>
          <w:kern w:val="22"/>
        </w:rPr>
        <w:t>E</w:t>
      </w:r>
      <w:r w:rsidRPr="00AC414F">
        <w:rPr>
          <w:spacing w:val="-2"/>
          <w:kern w:val="22"/>
        </w:rPr>
        <w:t>urozone, Greek sovereign bonds were denominated in euro</w:t>
      </w:r>
      <w:r w:rsidR="003612D9" w:rsidRPr="00AC414F">
        <w:rPr>
          <w:spacing w:val="-2"/>
          <w:kern w:val="22"/>
        </w:rPr>
        <w:t>s</w:t>
      </w:r>
      <w:r w:rsidRPr="00AC414F">
        <w:rPr>
          <w:spacing w:val="-2"/>
          <w:kern w:val="22"/>
        </w:rPr>
        <w:t xml:space="preserve"> and held mainly by non-residents rather than domestic creditors (see Exhibit 4). Public debt had its own challenges, even when borrowed from domestic sources. It could crowd out private investment. Reliance on external debt</w:t>
      </w:r>
      <w:r w:rsidR="003612D9" w:rsidRPr="00AC414F">
        <w:rPr>
          <w:spacing w:val="-2"/>
          <w:kern w:val="22"/>
        </w:rPr>
        <w:t>,</w:t>
      </w:r>
      <w:r w:rsidRPr="00AC414F">
        <w:rPr>
          <w:spacing w:val="-2"/>
          <w:kern w:val="22"/>
        </w:rPr>
        <w:t xml:space="preserve"> as in the case</w:t>
      </w:r>
      <w:r w:rsidR="003612D9" w:rsidRPr="00AC414F">
        <w:rPr>
          <w:spacing w:val="-2"/>
          <w:kern w:val="22"/>
        </w:rPr>
        <w:t xml:space="preserve"> of Greece,</w:t>
      </w:r>
      <w:r w:rsidRPr="00AC414F">
        <w:rPr>
          <w:spacing w:val="-2"/>
          <w:kern w:val="22"/>
        </w:rPr>
        <w:t xml:space="preserve"> posed other challenges. </w:t>
      </w:r>
      <w:r w:rsidR="00545460" w:rsidRPr="00AC414F">
        <w:rPr>
          <w:spacing w:val="-2"/>
          <w:kern w:val="22"/>
        </w:rPr>
        <w:t>S</w:t>
      </w:r>
      <w:r w:rsidRPr="00AC414F">
        <w:rPr>
          <w:spacing w:val="-2"/>
          <w:kern w:val="22"/>
        </w:rPr>
        <w:t>udden stops in external capital flows could result in defaults. Currency mismatches between the domestic currency-denominated tax revenues and the foreign currency-denominated debt servicing outlays could lead to balance sheet effects. Reliance on external sources for financing debt meant that the country would be unable to use a domestically spurred inflation to reduce the real debt burden. Finally, there was the risk of external political interference, which came with external debt.</w:t>
      </w:r>
      <w:r w:rsidRPr="00AC414F">
        <w:rPr>
          <w:rStyle w:val="EndnoteReference"/>
          <w:b w:val="0"/>
          <w:color w:val="auto"/>
          <w:spacing w:val="-2"/>
          <w:kern w:val="22"/>
        </w:rPr>
        <w:endnoteReference w:id="45"/>
      </w:r>
      <w:r w:rsidRPr="00AC414F">
        <w:rPr>
          <w:spacing w:val="-2"/>
          <w:kern w:val="22"/>
        </w:rPr>
        <w:t xml:space="preserve"> </w:t>
      </w:r>
    </w:p>
    <w:p w14:paraId="38E49FE3" w14:textId="77777777" w:rsidR="00921F77" w:rsidRPr="00082992" w:rsidRDefault="00921F77" w:rsidP="006D5856">
      <w:pPr>
        <w:pStyle w:val="BodyTextMain"/>
      </w:pPr>
    </w:p>
    <w:p w14:paraId="35D69278" w14:textId="6BE4EE02" w:rsidR="00921F77" w:rsidRPr="00082992" w:rsidRDefault="00921F77" w:rsidP="006D5856">
      <w:pPr>
        <w:pStyle w:val="BodyTextMain"/>
      </w:pPr>
      <w:r w:rsidRPr="00082992">
        <w:t>Greece’s sovereign debt crisis was as much about its excessive dependence on external borrowings</w:t>
      </w:r>
      <w:r w:rsidR="00476489">
        <w:t>—</w:t>
      </w:r>
      <w:r w:rsidRPr="00082992">
        <w:t xml:space="preserve">and the resultant critical importance of investor confidence in sustaining </w:t>
      </w:r>
      <w:r w:rsidR="00545460" w:rsidRPr="00082992">
        <w:t xml:space="preserve">these </w:t>
      </w:r>
      <w:r w:rsidRPr="00082992">
        <w:t>borrowings</w:t>
      </w:r>
      <w:r w:rsidR="00476489">
        <w:t>—</w:t>
      </w:r>
      <w:r w:rsidRPr="00082992">
        <w:t xml:space="preserve">as it was about </w:t>
      </w:r>
      <w:r w:rsidR="00D019CB">
        <w:t>the nation’s</w:t>
      </w:r>
      <w:r w:rsidRPr="00082992">
        <w:t xml:space="preserve"> propensity for fiscal profligacy. Greece had relied on external borrowings even in the early years for financing its War of Independence against the Ottoman Empire, reaching indebtedness levels of about 120 per cent of GDP in 1832. Most of these borrowings were from private foreign investors in London and New York. However, during times of crisis, Greece had resorted to official loans from foreign governments as well. This practice of external borrowings had continued well after World War II, more so because of the relatively low and declining Greek domestic savings rate.</w:t>
      </w:r>
      <w:r w:rsidRPr="00107834">
        <w:rPr>
          <w:rStyle w:val="EndnoteReference"/>
          <w:b w:val="0"/>
          <w:color w:val="auto"/>
        </w:rPr>
        <w:endnoteReference w:id="46"/>
      </w:r>
      <w:r w:rsidRPr="00082992">
        <w:t xml:space="preserve"> Private foreign investors were willing to </w:t>
      </w:r>
      <w:r w:rsidRPr="00082992">
        <w:lastRenderedPageBreak/>
        <w:t xml:space="preserve">lend </w:t>
      </w:r>
      <w:r w:rsidR="00596AAB" w:rsidRPr="00082992">
        <w:t xml:space="preserve">money </w:t>
      </w:r>
      <w:r w:rsidRPr="00082992">
        <w:t>to Greece due to the high bond yields, which reflected high</w:t>
      </w:r>
      <w:r w:rsidR="006A194B">
        <w:t>-</w:t>
      </w:r>
      <w:r w:rsidRPr="00082992">
        <w:t>risk premiums due to higher default risks</w:t>
      </w:r>
      <w:r w:rsidR="00596AAB" w:rsidRPr="00082992">
        <w:t xml:space="preserve"> and </w:t>
      </w:r>
      <w:r w:rsidRPr="00082992">
        <w:t xml:space="preserve">different </w:t>
      </w:r>
      <w:r w:rsidR="00596AAB" w:rsidRPr="00082992">
        <w:t xml:space="preserve">rates of </w:t>
      </w:r>
      <w:r w:rsidRPr="00082992">
        <w:t>inflation between Greece and its European peers.</w:t>
      </w:r>
      <w:r w:rsidRPr="00107834">
        <w:rPr>
          <w:rStyle w:val="EndnoteReference"/>
          <w:b w:val="0"/>
          <w:color w:val="auto"/>
        </w:rPr>
        <w:endnoteReference w:id="47"/>
      </w:r>
    </w:p>
    <w:p w14:paraId="03BDD89E" w14:textId="77777777" w:rsidR="00921F77" w:rsidRPr="00082992" w:rsidRDefault="00921F77" w:rsidP="006D5856">
      <w:pPr>
        <w:pStyle w:val="BodyTextMain"/>
      </w:pPr>
    </w:p>
    <w:p w14:paraId="252BE2C4" w14:textId="1838A230" w:rsidR="00921F77" w:rsidRPr="00B744B7" w:rsidRDefault="00921F77" w:rsidP="006D5856">
      <w:pPr>
        <w:pStyle w:val="BodyTextMain"/>
        <w:rPr>
          <w:spacing w:val="-2"/>
          <w:kern w:val="22"/>
        </w:rPr>
      </w:pPr>
      <w:r w:rsidRPr="00B744B7">
        <w:rPr>
          <w:spacing w:val="-2"/>
          <w:kern w:val="22"/>
        </w:rPr>
        <w:t>As Greece prepared to enter the EMU in the 1990s and adopt the euro as its national currency, investors</w:t>
      </w:r>
      <w:r w:rsidR="00282D76" w:rsidRPr="00B744B7">
        <w:rPr>
          <w:spacing w:val="-2"/>
          <w:kern w:val="22"/>
        </w:rPr>
        <w:t xml:space="preserve"> were</w:t>
      </w:r>
      <w:r w:rsidRPr="00B744B7">
        <w:rPr>
          <w:spacing w:val="-2"/>
          <w:kern w:val="22"/>
        </w:rPr>
        <w:t xml:space="preserve"> buoyed by the belief that </w:t>
      </w:r>
      <w:r w:rsidR="009C67BD" w:rsidRPr="00B744B7">
        <w:rPr>
          <w:spacing w:val="-2"/>
          <w:kern w:val="22"/>
        </w:rPr>
        <w:t xml:space="preserve">the strict entry criteria of the Maastricht Treaty meant </w:t>
      </w:r>
      <w:r w:rsidRPr="00B744B7">
        <w:rPr>
          <w:spacing w:val="-2"/>
          <w:kern w:val="22"/>
        </w:rPr>
        <w:t>Greece’s macro-fundamentals would converge with those of its other European peers</w:t>
      </w:r>
      <w:r w:rsidR="00282D76" w:rsidRPr="00B744B7">
        <w:rPr>
          <w:spacing w:val="-2"/>
          <w:kern w:val="22"/>
        </w:rPr>
        <w:t xml:space="preserve">. Thus, </w:t>
      </w:r>
      <w:r w:rsidR="00BB6910" w:rsidRPr="00B744B7">
        <w:rPr>
          <w:spacing w:val="-2"/>
          <w:kern w:val="22"/>
        </w:rPr>
        <w:t>investors</w:t>
      </w:r>
      <w:r w:rsidRPr="00B744B7">
        <w:rPr>
          <w:spacing w:val="-2"/>
          <w:kern w:val="22"/>
        </w:rPr>
        <w:t xml:space="preserve"> began to </w:t>
      </w:r>
      <w:r w:rsidR="00282D76" w:rsidRPr="00B744B7">
        <w:rPr>
          <w:spacing w:val="-2"/>
          <w:kern w:val="22"/>
        </w:rPr>
        <w:t xml:space="preserve">place </w:t>
      </w:r>
      <w:r w:rsidRPr="00B744B7">
        <w:rPr>
          <w:spacing w:val="-2"/>
          <w:kern w:val="22"/>
        </w:rPr>
        <w:t>more confidence in Greek bonds. As a result, Greek borrowing costs dropped dramatically and converged with those of its more credit-worthy European peers</w:t>
      </w:r>
      <w:r w:rsidR="00282D76" w:rsidRPr="00B744B7">
        <w:rPr>
          <w:spacing w:val="-2"/>
          <w:kern w:val="22"/>
        </w:rPr>
        <w:t>,</w:t>
      </w:r>
      <w:r w:rsidRPr="00B744B7">
        <w:rPr>
          <w:spacing w:val="-2"/>
          <w:kern w:val="22"/>
        </w:rPr>
        <w:t xml:space="preserve"> like Germany. Thus, average 10-year Greek bond yields declined from 23.2 per cent in 1993 to 6.3 per cent in 1999</w:t>
      </w:r>
      <w:r w:rsidR="00282D76" w:rsidRPr="00B744B7">
        <w:rPr>
          <w:spacing w:val="-2"/>
          <w:kern w:val="22"/>
        </w:rPr>
        <w:t>,</w:t>
      </w:r>
      <w:r w:rsidRPr="00B744B7">
        <w:rPr>
          <w:spacing w:val="-2"/>
          <w:kern w:val="22"/>
        </w:rPr>
        <w:t xml:space="preserve"> and </w:t>
      </w:r>
      <w:r w:rsidR="00282D76" w:rsidRPr="00B744B7">
        <w:rPr>
          <w:spacing w:val="-2"/>
          <w:kern w:val="22"/>
        </w:rPr>
        <w:t xml:space="preserve">the </w:t>
      </w:r>
      <w:r w:rsidRPr="00B744B7">
        <w:rPr>
          <w:spacing w:val="-2"/>
          <w:kern w:val="22"/>
        </w:rPr>
        <w:t xml:space="preserve">bond spreads declined </w:t>
      </w:r>
      <w:r w:rsidR="00282D76" w:rsidRPr="00B744B7">
        <w:rPr>
          <w:spacing w:val="-2"/>
          <w:kern w:val="22"/>
        </w:rPr>
        <w:t xml:space="preserve">accordingly </w:t>
      </w:r>
      <w:r w:rsidRPr="00B744B7">
        <w:rPr>
          <w:spacing w:val="-2"/>
          <w:kern w:val="22"/>
        </w:rPr>
        <w:t xml:space="preserve">(see Exhibit 5). </w:t>
      </w:r>
    </w:p>
    <w:p w14:paraId="1FA749FA" w14:textId="77777777" w:rsidR="00921F77" w:rsidRPr="00082992" w:rsidRDefault="00921F77" w:rsidP="006D5856">
      <w:pPr>
        <w:pStyle w:val="BodyTextMain"/>
      </w:pPr>
    </w:p>
    <w:p w14:paraId="6FCDCE50" w14:textId="4C969582" w:rsidR="00921F77" w:rsidRPr="00082992" w:rsidRDefault="00921F77" w:rsidP="006D5856">
      <w:pPr>
        <w:pStyle w:val="BodyTextMain"/>
      </w:pPr>
      <w:r w:rsidRPr="00082992">
        <w:t xml:space="preserve">However, </w:t>
      </w:r>
      <w:r w:rsidR="00282D76" w:rsidRPr="00082992">
        <w:t xml:space="preserve">the </w:t>
      </w:r>
      <w:r w:rsidRPr="00082992">
        <w:t xml:space="preserve">borrowings </w:t>
      </w:r>
      <w:proofErr w:type="gramStart"/>
      <w:r w:rsidRPr="00082992">
        <w:t>were not used</w:t>
      </w:r>
      <w:proofErr w:type="gramEnd"/>
      <w:r w:rsidRPr="00082992">
        <w:t xml:space="preserve"> to increase the competitiveness of the economy. Rather, the Greek government used </w:t>
      </w:r>
      <w:r w:rsidR="00282D76" w:rsidRPr="00082992">
        <w:t xml:space="preserve">the </w:t>
      </w:r>
      <w:r w:rsidRPr="00082992">
        <w:t>cheap credit to pay for its spending</w:t>
      </w:r>
      <w:r w:rsidR="00282D76" w:rsidRPr="00082992">
        <w:t>—</w:t>
      </w:r>
      <w:r w:rsidRPr="00082992">
        <w:t xml:space="preserve">both domestic </w:t>
      </w:r>
      <w:r w:rsidR="00282D76" w:rsidRPr="00082992">
        <w:t>and for</w:t>
      </w:r>
      <w:r w:rsidRPr="00082992">
        <w:t xml:space="preserve"> imports</w:t>
      </w:r>
      <w:r w:rsidR="00282D76" w:rsidRPr="00082992">
        <w:t>—</w:t>
      </w:r>
      <w:r w:rsidRPr="00082992">
        <w:t xml:space="preserve">and offset lower tax revenues. Thus, capital inflows </w:t>
      </w:r>
      <w:proofErr w:type="gramStart"/>
      <w:r w:rsidRPr="00082992">
        <w:t>were used</w:t>
      </w:r>
      <w:proofErr w:type="gramEnd"/>
      <w:r w:rsidRPr="00082992">
        <w:t xml:space="preserve"> to fund current consumption rather than capital expenditure </w:t>
      </w:r>
      <w:r w:rsidR="00282D76" w:rsidRPr="00082992">
        <w:t xml:space="preserve">that </w:t>
      </w:r>
      <w:r w:rsidRPr="00082992">
        <w:t xml:space="preserve">could generate productive streams of revenue for repaying debt. Moreover, </w:t>
      </w:r>
      <w:r w:rsidR="00282D76" w:rsidRPr="00082992">
        <w:t xml:space="preserve">adopting </w:t>
      </w:r>
      <w:r w:rsidRPr="00082992">
        <w:t>the euro denied Greece access to its sole source of international competitiveness at the time</w:t>
      </w:r>
      <w:r w:rsidR="00282D76" w:rsidRPr="00082992">
        <w:t xml:space="preserve">: </w:t>
      </w:r>
      <w:r w:rsidRPr="00082992">
        <w:t>devalu</w:t>
      </w:r>
      <w:r w:rsidR="00282D76" w:rsidRPr="00082992">
        <w:t>ing</w:t>
      </w:r>
      <w:r w:rsidRPr="00082992">
        <w:t xml:space="preserve"> the drachma.</w:t>
      </w:r>
      <w:r w:rsidRPr="00D43603">
        <w:rPr>
          <w:rStyle w:val="EndnoteReference"/>
          <w:b w:val="0"/>
          <w:color w:val="auto"/>
        </w:rPr>
        <w:endnoteReference w:id="48"/>
      </w:r>
      <w:r w:rsidRPr="00082992">
        <w:t xml:space="preserve"> </w:t>
      </w:r>
    </w:p>
    <w:p w14:paraId="4570D2BE" w14:textId="77777777" w:rsidR="00921F77" w:rsidRPr="00082992" w:rsidRDefault="00921F77" w:rsidP="006D5856">
      <w:pPr>
        <w:pStyle w:val="BodyTextMain"/>
      </w:pPr>
    </w:p>
    <w:p w14:paraId="14518A49" w14:textId="2D3D70ED" w:rsidR="00921F77" w:rsidRPr="00082992" w:rsidRDefault="00921F77" w:rsidP="006D5856">
      <w:pPr>
        <w:pStyle w:val="BodyTextMain"/>
      </w:pPr>
      <w:r w:rsidRPr="00082992">
        <w:t xml:space="preserve">In Greece, </w:t>
      </w:r>
      <w:r w:rsidR="008423D5">
        <w:t>“</w:t>
      </w:r>
      <w:r w:rsidRPr="00082992">
        <w:t>the international financial crisis soon evolved into a sovereign debt crisis.</w:t>
      </w:r>
      <w:r w:rsidR="008423D5">
        <w:t>”</w:t>
      </w:r>
      <w:r w:rsidRPr="00AC414F">
        <w:rPr>
          <w:rStyle w:val="EndnoteReference"/>
          <w:b w:val="0"/>
          <w:color w:val="auto"/>
        </w:rPr>
        <w:endnoteReference w:id="49"/>
      </w:r>
      <w:r w:rsidRPr="00082992">
        <w:t xml:space="preserve"> Investors, already </w:t>
      </w:r>
      <w:r w:rsidR="00D2357F">
        <w:t>concerned</w:t>
      </w:r>
      <w:r w:rsidRPr="00082992">
        <w:t xml:space="preserve"> </w:t>
      </w:r>
      <w:r w:rsidR="00D2357F">
        <w:t>about</w:t>
      </w:r>
      <w:r w:rsidRPr="00082992">
        <w:t xml:space="preserve"> Papandreou’s announcement of Greece’s </w:t>
      </w:r>
      <w:r w:rsidR="00282D76" w:rsidRPr="00082992">
        <w:t xml:space="preserve">misrepresented </w:t>
      </w:r>
      <w:r w:rsidRPr="00082992">
        <w:t>deficits, lost confidence after a series of credit-rating downgrades by all three rating agencies</w:t>
      </w:r>
      <w:r w:rsidR="007463CF" w:rsidRPr="00082992">
        <w:t>,</w:t>
      </w:r>
      <w:r w:rsidRPr="00082992">
        <w:t xml:space="preserve"> culminat</w:t>
      </w:r>
      <w:r w:rsidR="007463CF" w:rsidRPr="00082992">
        <w:t>ing</w:t>
      </w:r>
      <w:r w:rsidRPr="00082992">
        <w:t xml:space="preserve"> </w:t>
      </w:r>
      <w:r w:rsidR="007463CF" w:rsidRPr="00082992">
        <w:t>in April 2010</w:t>
      </w:r>
      <w:r w:rsidR="00D2357F">
        <w:t>,</w:t>
      </w:r>
      <w:r w:rsidR="007463CF" w:rsidRPr="00082992">
        <w:t xml:space="preserve"> </w:t>
      </w:r>
      <w:r w:rsidRPr="00082992">
        <w:t xml:space="preserve">with </w:t>
      </w:r>
      <w:proofErr w:type="gramStart"/>
      <w:r w:rsidRPr="00082992">
        <w:t>Standard &amp; Poor</w:t>
      </w:r>
      <w:r w:rsidR="00D2357F">
        <w:t>’s</w:t>
      </w:r>
      <w:r w:rsidR="00D360A3">
        <w:t xml:space="preserve"> Financial Services LLC</w:t>
      </w:r>
      <w:r w:rsidRPr="00082992">
        <w:t xml:space="preserve"> downgrading </w:t>
      </w:r>
      <w:r w:rsidR="007463CF" w:rsidRPr="00082992">
        <w:t>Greece’s</w:t>
      </w:r>
      <w:proofErr w:type="gramEnd"/>
      <w:r w:rsidR="007463CF" w:rsidRPr="00082992">
        <w:t xml:space="preserve"> </w:t>
      </w:r>
      <w:r w:rsidRPr="00082992">
        <w:t>sovereign debt ratings to junk status.</w:t>
      </w:r>
      <w:r w:rsidRPr="00D43603">
        <w:rPr>
          <w:rStyle w:val="EndnoteReference"/>
          <w:b w:val="0"/>
          <w:color w:val="auto"/>
        </w:rPr>
        <w:endnoteReference w:id="50"/>
      </w:r>
      <w:r w:rsidRPr="00082992">
        <w:t xml:space="preserve"> Consequently, the market views on Greece changed rapidly. Greek bond yields </w:t>
      </w:r>
      <w:r w:rsidR="00BA504B" w:rsidRPr="00082992">
        <w:t>rose steeply</w:t>
      </w:r>
      <w:r w:rsidRPr="00082992">
        <w:t xml:space="preserve"> </w:t>
      </w:r>
      <w:r w:rsidR="001A0314" w:rsidRPr="00082992">
        <w:t xml:space="preserve">after </w:t>
      </w:r>
      <w:r w:rsidRPr="00082992">
        <w:t>2010</w:t>
      </w:r>
      <w:r w:rsidR="00D360A3">
        <w:t>,</w:t>
      </w:r>
      <w:r w:rsidRPr="00082992">
        <w:t xml:space="preserve"> and bond spreads between Greek and German long-term bond yields rose to 6.35 per cent (see Exhibit 5). In fact, after 2010, Greece lost access to private bond markets and had to resort to </w:t>
      </w:r>
      <w:r w:rsidR="00BA504B" w:rsidRPr="00082992">
        <w:t>E</w:t>
      </w:r>
      <w:r w:rsidRPr="00082992">
        <w:t>urozone rescue loans.</w:t>
      </w:r>
      <w:r w:rsidRPr="00D43603">
        <w:rPr>
          <w:rStyle w:val="EndnoteReference"/>
          <w:b w:val="0"/>
          <w:color w:val="auto"/>
        </w:rPr>
        <w:endnoteReference w:id="51"/>
      </w:r>
      <w:r w:rsidRPr="00082992">
        <w:t xml:space="preserve"> </w:t>
      </w:r>
    </w:p>
    <w:p w14:paraId="1732BC08" w14:textId="77777777" w:rsidR="00921F77" w:rsidRPr="00082992" w:rsidRDefault="00921F77" w:rsidP="006D5856">
      <w:pPr>
        <w:pStyle w:val="BodyTextMain"/>
        <w:rPr>
          <w:sz w:val="20"/>
          <w:szCs w:val="20"/>
        </w:rPr>
      </w:pPr>
    </w:p>
    <w:p w14:paraId="10644A83" w14:textId="10793223" w:rsidR="00921F77" w:rsidRPr="00082992" w:rsidRDefault="00921F77" w:rsidP="006D5856">
      <w:pPr>
        <w:pStyle w:val="BodyTextMain"/>
      </w:pPr>
      <w:r w:rsidRPr="00082992">
        <w:t xml:space="preserve">In response to these developments </w:t>
      </w:r>
      <w:r w:rsidR="00BA504B" w:rsidRPr="00082992">
        <w:t xml:space="preserve">with </w:t>
      </w:r>
      <w:r w:rsidRPr="00082992">
        <w:t xml:space="preserve">its external debt, the Papandreou government announced a series of domestic measures to </w:t>
      </w:r>
      <w:r w:rsidR="00BA504B" w:rsidRPr="00082992">
        <w:t xml:space="preserve">deflate </w:t>
      </w:r>
      <w:r w:rsidRPr="00082992">
        <w:t>the country’s ballooning fiscal deficits, regain investor trust</w:t>
      </w:r>
      <w:r w:rsidR="00BA504B" w:rsidRPr="00082992">
        <w:t>,</w:t>
      </w:r>
      <w:r w:rsidRPr="00082992">
        <w:t xml:space="preserve"> and win back the country</w:t>
      </w:r>
      <w:r w:rsidR="00BA504B" w:rsidRPr="00082992">
        <w:t>’</w:t>
      </w:r>
      <w:r w:rsidRPr="00082992">
        <w:t xml:space="preserve">s lost credibility. </w:t>
      </w:r>
      <w:proofErr w:type="gramStart"/>
      <w:r w:rsidRPr="00082992">
        <w:t>The</w:t>
      </w:r>
      <w:r w:rsidR="00BA504B" w:rsidRPr="00082992">
        <w:t xml:space="preserve"> measure</w:t>
      </w:r>
      <w:r w:rsidRPr="00082992">
        <w:t>s included a</w:t>
      </w:r>
      <w:r w:rsidR="00BA504B" w:rsidRPr="00082992">
        <w:t xml:space="preserve"> </w:t>
      </w:r>
      <w:r w:rsidRPr="00082992">
        <w:t>10 per cent cut in social security spending, abolition of bonuses at state banks and a 90 per cent tax on private bankers</w:t>
      </w:r>
      <w:r w:rsidR="00BA504B" w:rsidRPr="00082992">
        <w:t>’</w:t>
      </w:r>
      <w:r w:rsidRPr="00082992">
        <w:t xml:space="preserve"> bonuses, a 2 per cent increase in VAT from 21 per cent to 23 per cent, bans on increases in public sector salaries and pensions for at least </w:t>
      </w:r>
      <w:r w:rsidR="00BA504B" w:rsidRPr="00082992">
        <w:t xml:space="preserve">three </w:t>
      </w:r>
      <w:r w:rsidRPr="00082992">
        <w:t xml:space="preserve">years, </w:t>
      </w:r>
      <w:r w:rsidR="00BA504B" w:rsidRPr="00082992">
        <w:t xml:space="preserve">and a </w:t>
      </w:r>
      <w:r w:rsidRPr="00082992">
        <w:t>cap</w:t>
      </w:r>
      <w:r w:rsidR="00BA504B" w:rsidRPr="00082992">
        <w:t xml:space="preserve"> on</w:t>
      </w:r>
      <w:r w:rsidRPr="00082992">
        <w:t xml:space="preserve"> annual holiday bonuses </w:t>
      </w:r>
      <w:r w:rsidR="00BA504B" w:rsidRPr="00082992">
        <w:t xml:space="preserve">that including cancelling them altogether </w:t>
      </w:r>
      <w:r w:rsidRPr="00082992">
        <w:t>for high earners.</w:t>
      </w:r>
      <w:proofErr w:type="gramEnd"/>
      <w:r w:rsidRPr="00082992">
        <w:t xml:space="preserve"> In addition, the government announced a freeze on state-funded pensions, as </w:t>
      </w:r>
      <w:r w:rsidR="00BA504B" w:rsidRPr="00082992">
        <w:t xml:space="preserve">well as </w:t>
      </w:r>
      <w:r w:rsidRPr="00082992">
        <w:t>increases in taxes on fuel, tobacco</w:t>
      </w:r>
      <w:r w:rsidR="00BA504B" w:rsidRPr="00082992">
        <w:t>,</w:t>
      </w:r>
      <w:r w:rsidRPr="00082992">
        <w:t xml:space="preserve"> and alcohol</w:t>
      </w:r>
      <w:r w:rsidR="00BA504B" w:rsidRPr="00082992">
        <w:t>,</w:t>
      </w:r>
      <w:r w:rsidRPr="00082992">
        <w:t xml:space="preserve"> and taxes on illegal construction.</w:t>
      </w:r>
      <w:r w:rsidRPr="00D43603">
        <w:rPr>
          <w:rStyle w:val="EndnoteReference"/>
          <w:b w:val="0"/>
          <w:color w:val="auto"/>
        </w:rPr>
        <w:endnoteReference w:id="52"/>
      </w:r>
      <w:r w:rsidRPr="00082992">
        <w:t xml:space="preserve"> Papandreou further promised to fight corruption and tax evasion, calling them the country</w:t>
      </w:r>
      <w:r w:rsidR="00BA504B" w:rsidRPr="00082992">
        <w:t>’</w:t>
      </w:r>
      <w:r w:rsidRPr="00082992">
        <w:t>s biggest problems.</w:t>
      </w:r>
      <w:r w:rsidRPr="00D43603">
        <w:rPr>
          <w:rStyle w:val="EndnoteReference"/>
          <w:b w:val="0"/>
          <w:color w:val="auto"/>
        </w:rPr>
        <w:endnoteReference w:id="53"/>
      </w:r>
    </w:p>
    <w:p w14:paraId="728B41A1" w14:textId="77777777" w:rsidR="00921F77" w:rsidRPr="00082992" w:rsidRDefault="00921F77" w:rsidP="006D5856">
      <w:pPr>
        <w:pStyle w:val="BodyTextMain"/>
      </w:pPr>
    </w:p>
    <w:p w14:paraId="6361A69C" w14:textId="3C6F0606" w:rsidR="00921F77" w:rsidRPr="00082992" w:rsidRDefault="00921F77" w:rsidP="006D5856">
      <w:pPr>
        <w:pStyle w:val="BodyTextMain"/>
      </w:pPr>
      <w:r w:rsidRPr="00082992">
        <w:t xml:space="preserve">Simultaneously, the government began to explore options for a bailout to help avoid a default, since high bond yields meant that the government would be unable to borrow to refinance its debt and </w:t>
      </w:r>
      <w:proofErr w:type="gramStart"/>
      <w:r w:rsidRPr="00082992">
        <w:t>would be forced</w:t>
      </w:r>
      <w:proofErr w:type="gramEnd"/>
      <w:r w:rsidRPr="00082992">
        <w:t xml:space="preserve"> to default, even if it did not intend to do so. The first bailout following the onset of the crisis happened in May 2010</w:t>
      </w:r>
      <w:r w:rsidR="000D2B5E">
        <w:t>,</w:t>
      </w:r>
      <w:r w:rsidRPr="00082992">
        <w:t xml:space="preserve"> when the troika, fearing a financial contagion and turmoil, agreed to provide €110 billion ($146 billion) in loans over three years.</w:t>
      </w:r>
      <w:r w:rsidRPr="00D43603">
        <w:rPr>
          <w:rStyle w:val="EndnoteReference"/>
          <w:b w:val="0"/>
          <w:color w:val="auto"/>
        </w:rPr>
        <w:endnoteReference w:id="54"/>
      </w:r>
      <w:r w:rsidRPr="00082992">
        <w:t xml:space="preserve"> In exchange for this external aid, Greece agreed to implement a fiscal adjustment worth €30</w:t>
      </w:r>
      <w:r w:rsidR="00976B24" w:rsidRPr="00082992">
        <w:t xml:space="preserve"> </w:t>
      </w:r>
      <w:r w:rsidRPr="00082992">
        <w:t>b</w:t>
      </w:r>
      <w:r w:rsidR="00976B24" w:rsidRPr="00082992">
        <w:t>illio</w:t>
      </w:r>
      <w:r w:rsidRPr="00082992">
        <w:t xml:space="preserve">n (or 12.5 per cent of the 2009 GDP) spread over the following three years. </w:t>
      </w:r>
      <w:r w:rsidR="000D2B5E">
        <w:t>The country</w:t>
      </w:r>
      <w:r w:rsidRPr="00082992">
        <w:t xml:space="preserve"> also committed to bring the budget deficit </w:t>
      </w:r>
      <w:r w:rsidR="00976B24" w:rsidRPr="00082992">
        <w:t xml:space="preserve">down </w:t>
      </w:r>
      <w:r w:rsidRPr="00082992">
        <w:t>to 3 per cent of GDP by 2014.</w:t>
      </w:r>
      <w:r w:rsidRPr="00D43603">
        <w:rPr>
          <w:rStyle w:val="EndnoteReference"/>
          <w:b w:val="0"/>
          <w:color w:val="auto"/>
        </w:rPr>
        <w:endnoteReference w:id="55"/>
      </w:r>
      <w:r w:rsidRPr="00082992">
        <w:t xml:space="preserve"> These were over and above the austerity measures earlier announced and partly implemented, which amounted to around 6 per cent of GDP. The bailout funds would bridge the funding gap left by the austerity program </w:t>
      </w:r>
      <w:r w:rsidR="00EE4BA7" w:rsidRPr="00082992">
        <w:t xml:space="preserve">until </w:t>
      </w:r>
      <w:r w:rsidRPr="00082992">
        <w:t>Greece could return to borrow on financial markets at acceptable terms.</w:t>
      </w:r>
      <w:r w:rsidRPr="00D43603">
        <w:rPr>
          <w:rStyle w:val="EndnoteReference"/>
          <w:b w:val="0"/>
          <w:color w:val="auto"/>
        </w:rPr>
        <w:endnoteReference w:id="56"/>
      </w:r>
      <w:r w:rsidRPr="00082992">
        <w:t xml:space="preserve"> </w:t>
      </w:r>
    </w:p>
    <w:p w14:paraId="3441A8E2" w14:textId="77777777" w:rsidR="00921F77" w:rsidRPr="00082992" w:rsidRDefault="00921F77" w:rsidP="006D5856">
      <w:pPr>
        <w:pStyle w:val="BodyTextMain"/>
        <w:rPr>
          <w:rFonts w:eastAsiaTheme="minorEastAsia"/>
        </w:rPr>
      </w:pPr>
    </w:p>
    <w:p w14:paraId="51AD5F3C" w14:textId="352B87A5" w:rsidR="006F1DE2" w:rsidRDefault="00921F77" w:rsidP="006D5856">
      <w:pPr>
        <w:pStyle w:val="BodyTextMain"/>
        <w:rPr>
          <w:spacing w:val="-2"/>
          <w:kern w:val="22"/>
        </w:rPr>
      </w:pPr>
      <w:r w:rsidRPr="00082992">
        <w:rPr>
          <w:spacing w:val="-2"/>
          <w:kern w:val="22"/>
        </w:rPr>
        <w:t xml:space="preserve">However, in 2011, it became clear that the May 2010 agreement was not working and that Greece would be unable to stabilize its </w:t>
      </w:r>
      <w:r w:rsidR="00F2034E">
        <w:rPr>
          <w:spacing w:val="-2"/>
          <w:kern w:val="22"/>
        </w:rPr>
        <w:t>debt-to-G</w:t>
      </w:r>
      <w:r w:rsidRPr="00082992">
        <w:rPr>
          <w:spacing w:val="-2"/>
          <w:kern w:val="22"/>
        </w:rPr>
        <w:t xml:space="preserve">DP ratio. One reason </w:t>
      </w:r>
      <w:r w:rsidR="000D2B5E">
        <w:rPr>
          <w:spacing w:val="-2"/>
          <w:kern w:val="22"/>
        </w:rPr>
        <w:t xml:space="preserve">for this failure </w:t>
      </w:r>
      <w:r w:rsidRPr="00082992">
        <w:rPr>
          <w:spacing w:val="-2"/>
          <w:kern w:val="22"/>
        </w:rPr>
        <w:t xml:space="preserve">was that revised estimates of the 2009 Greek deficit published in 2011 indicated that the extent of fiscal contraction required to achieve the target </w:t>
      </w:r>
      <w:r w:rsidR="00F2034E">
        <w:rPr>
          <w:spacing w:val="-2"/>
          <w:kern w:val="22"/>
        </w:rPr>
        <w:t>debt-to-G</w:t>
      </w:r>
      <w:r w:rsidRPr="00082992">
        <w:rPr>
          <w:spacing w:val="-2"/>
          <w:kern w:val="22"/>
        </w:rPr>
        <w:t xml:space="preserve">DP ratios was far greater than that indicated in the 2010 agreement. </w:t>
      </w:r>
    </w:p>
    <w:p w14:paraId="55F8A364" w14:textId="741BDD0B" w:rsidR="00921F77" w:rsidRPr="00082992" w:rsidRDefault="00921F77" w:rsidP="006D5856">
      <w:pPr>
        <w:pStyle w:val="BodyTextMain"/>
        <w:rPr>
          <w:spacing w:val="-2"/>
          <w:kern w:val="22"/>
        </w:rPr>
      </w:pPr>
      <w:r w:rsidRPr="00082992">
        <w:rPr>
          <w:spacing w:val="-2"/>
          <w:kern w:val="22"/>
        </w:rPr>
        <w:lastRenderedPageBreak/>
        <w:t xml:space="preserve">Moreover, bond yields across the Eurozone started increasing after the </w:t>
      </w:r>
      <w:r w:rsidR="008423D5">
        <w:rPr>
          <w:spacing w:val="-2"/>
          <w:kern w:val="22"/>
        </w:rPr>
        <w:t>“</w:t>
      </w:r>
      <w:r w:rsidRPr="00082992">
        <w:rPr>
          <w:spacing w:val="-2"/>
          <w:kern w:val="22"/>
        </w:rPr>
        <w:t xml:space="preserve">Deauville </w:t>
      </w:r>
      <w:r w:rsidR="00D6538E" w:rsidRPr="00082992">
        <w:rPr>
          <w:spacing w:val="-2"/>
          <w:kern w:val="22"/>
        </w:rPr>
        <w:t>bargain</w:t>
      </w:r>
      <w:r w:rsidRPr="00082992">
        <w:rPr>
          <w:spacing w:val="-2"/>
          <w:kern w:val="22"/>
        </w:rPr>
        <w:t>.</w:t>
      </w:r>
      <w:r w:rsidR="008423D5">
        <w:rPr>
          <w:spacing w:val="-2"/>
          <w:kern w:val="22"/>
        </w:rPr>
        <w:t>”</w:t>
      </w:r>
      <w:r w:rsidRPr="00082992">
        <w:rPr>
          <w:spacing w:val="-2"/>
          <w:kern w:val="22"/>
        </w:rPr>
        <w:t xml:space="preserve"> The </w:t>
      </w:r>
      <w:r w:rsidR="00EE4BA7" w:rsidRPr="00082992">
        <w:rPr>
          <w:spacing w:val="-2"/>
          <w:kern w:val="22"/>
        </w:rPr>
        <w:t xml:space="preserve">deal, formed in October 2010, </w:t>
      </w:r>
      <w:r w:rsidRPr="00082992">
        <w:rPr>
          <w:spacing w:val="-2"/>
          <w:kern w:val="22"/>
        </w:rPr>
        <w:t xml:space="preserve">was an agreement between the German and French leaders, Chancellor Angela Merkel and President Nicholas </w:t>
      </w:r>
      <w:proofErr w:type="gramStart"/>
      <w:r w:rsidRPr="00082992">
        <w:rPr>
          <w:spacing w:val="-2"/>
          <w:kern w:val="22"/>
        </w:rPr>
        <w:t xml:space="preserve">Sarkozy, </w:t>
      </w:r>
      <w:r w:rsidR="00EE4BA7" w:rsidRPr="00082992">
        <w:rPr>
          <w:spacing w:val="-2"/>
          <w:kern w:val="22"/>
        </w:rPr>
        <w:t>that</w:t>
      </w:r>
      <w:proofErr w:type="gramEnd"/>
      <w:r w:rsidR="00EE4BA7" w:rsidRPr="00082992">
        <w:rPr>
          <w:spacing w:val="-2"/>
          <w:kern w:val="22"/>
        </w:rPr>
        <w:t xml:space="preserve"> </w:t>
      </w:r>
      <w:r w:rsidRPr="00082992">
        <w:rPr>
          <w:spacing w:val="-2"/>
          <w:kern w:val="22"/>
        </w:rPr>
        <w:t xml:space="preserve">euphemistically sought for </w:t>
      </w:r>
      <w:r w:rsidR="008423D5">
        <w:rPr>
          <w:spacing w:val="-2"/>
          <w:kern w:val="22"/>
        </w:rPr>
        <w:t>“</w:t>
      </w:r>
      <w:r w:rsidRPr="00082992">
        <w:rPr>
          <w:spacing w:val="-2"/>
          <w:kern w:val="22"/>
        </w:rPr>
        <w:t>adequate participation by private bondholders</w:t>
      </w:r>
      <w:r w:rsidR="00EE4BA7" w:rsidRPr="00082992">
        <w:rPr>
          <w:spacing w:val="-2"/>
          <w:kern w:val="22"/>
        </w:rPr>
        <w:t>.</w:t>
      </w:r>
      <w:r w:rsidR="008423D5">
        <w:rPr>
          <w:spacing w:val="-2"/>
          <w:kern w:val="22"/>
        </w:rPr>
        <w:t>”</w:t>
      </w:r>
      <w:r w:rsidRPr="00D43603">
        <w:rPr>
          <w:rStyle w:val="EndnoteReference"/>
          <w:b w:val="0"/>
          <w:color w:val="auto"/>
          <w:spacing w:val="-2"/>
          <w:kern w:val="22"/>
        </w:rPr>
        <w:endnoteReference w:id="57"/>
      </w:r>
      <w:r w:rsidRPr="00082992">
        <w:rPr>
          <w:spacing w:val="-2"/>
          <w:kern w:val="22"/>
        </w:rPr>
        <w:t xml:space="preserve"> In effect, the deal </w:t>
      </w:r>
      <w:r w:rsidR="00EE4BA7" w:rsidRPr="00082992">
        <w:rPr>
          <w:spacing w:val="-2"/>
          <w:kern w:val="22"/>
        </w:rPr>
        <w:t>involved</w:t>
      </w:r>
      <w:r w:rsidRPr="00082992">
        <w:rPr>
          <w:spacing w:val="-2"/>
          <w:kern w:val="22"/>
        </w:rPr>
        <w:t xml:space="preserve"> plans to make </w:t>
      </w:r>
      <w:proofErr w:type="gramStart"/>
      <w:r w:rsidRPr="00082992">
        <w:rPr>
          <w:spacing w:val="-2"/>
          <w:kern w:val="22"/>
        </w:rPr>
        <w:t>bond holders</w:t>
      </w:r>
      <w:proofErr w:type="gramEnd"/>
      <w:r w:rsidRPr="00082992">
        <w:rPr>
          <w:spacing w:val="-2"/>
          <w:kern w:val="22"/>
        </w:rPr>
        <w:t>, such as banks and hedge funds, agree to debt write</w:t>
      </w:r>
      <w:r w:rsidR="00966BBD">
        <w:rPr>
          <w:spacing w:val="-2"/>
          <w:kern w:val="22"/>
        </w:rPr>
        <w:t>-</w:t>
      </w:r>
      <w:r w:rsidRPr="00082992">
        <w:rPr>
          <w:spacing w:val="-2"/>
          <w:kern w:val="22"/>
        </w:rPr>
        <w:t>downs</w:t>
      </w:r>
      <w:r w:rsidR="00EE4BA7" w:rsidRPr="00082992">
        <w:rPr>
          <w:spacing w:val="-2"/>
          <w:kern w:val="22"/>
        </w:rPr>
        <w:t xml:space="preserve"> (colloquially known as </w:t>
      </w:r>
      <w:r w:rsidR="008423D5">
        <w:rPr>
          <w:spacing w:val="-2"/>
          <w:kern w:val="22"/>
        </w:rPr>
        <w:t>“</w:t>
      </w:r>
      <w:r w:rsidR="00661D86" w:rsidRPr="00082992">
        <w:rPr>
          <w:spacing w:val="-2"/>
          <w:kern w:val="22"/>
        </w:rPr>
        <w:t>haircut</w:t>
      </w:r>
      <w:r w:rsidR="004A7D5A" w:rsidRPr="00082992">
        <w:rPr>
          <w:spacing w:val="-2"/>
          <w:kern w:val="22"/>
        </w:rPr>
        <w:t>s</w:t>
      </w:r>
      <w:r w:rsidR="008423D5">
        <w:rPr>
          <w:spacing w:val="-2"/>
          <w:kern w:val="22"/>
        </w:rPr>
        <w:t>”</w:t>
      </w:r>
      <w:r w:rsidR="00EE4BA7" w:rsidRPr="00082992">
        <w:rPr>
          <w:spacing w:val="-2"/>
          <w:kern w:val="22"/>
        </w:rPr>
        <w:t xml:space="preserve">) </w:t>
      </w:r>
      <w:r w:rsidRPr="00082992">
        <w:rPr>
          <w:spacing w:val="-2"/>
          <w:kern w:val="22"/>
        </w:rPr>
        <w:t>through debt-restructuring agreements.</w:t>
      </w:r>
      <w:r w:rsidRPr="00D43603">
        <w:rPr>
          <w:rStyle w:val="EndnoteReference"/>
          <w:b w:val="0"/>
          <w:color w:val="auto"/>
          <w:spacing w:val="-2"/>
          <w:kern w:val="22"/>
        </w:rPr>
        <w:endnoteReference w:id="58"/>
      </w:r>
      <w:r w:rsidRPr="00082992">
        <w:rPr>
          <w:spacing w:val="-2"/>
          <w:kern w:val="22"/>
        </w:rPr>
        <w:t xml:space="preserve"> Further, the political costs of implementing the austerity measures and reforms that were part of the bailout program </w:t>
      </w:r>
      <w:r w:rsidR="00C70FCE" w:rsidRPr="00082992">
        <w:rPr>
          <w:spacing w:val="-2"/>
          <w:kern w:val="22"/>
        </w:rPr>
        <w:t>inhibited</w:t>
      </w:r>
      <w:r w:rsidRPr="00082992">
        <w:rPr>
          <w:spacing w:val="-2"/>
          <w:kern w:val="22"/>
        </w:rPr>
        <w:t xml:space="preserve"> Greece</w:t>
      </w:r>
      <w:r w:rsidR="00C70FCE" w:rsidRPr="00082992">
        <w:rPr>
          <w:spacing w:val="-2"/>
          <w:kern w:val="22"/>
        </w:rPr>
        <w:t xml:space="preserve"> from</w:t>
      </w:r>
      <w:r w:rsidRPr="00082992">
        <w:rPr>
          <w:spacing w:val="-2"/>
          <w:kern w:val="22"/>
        </w:rPr>
        <w:t xml:space="preserve"> implement</w:t>
      </w:r>
      <w:r w:rsidR="00C70FCE" w:rsidRPr="00082992">
        <w:rPr>
          <w:spacing w:val="-2"/>
          <w:kern w:val="22"/>
        </w:rPr>
        <w:t>i</w:t>
      </w:r>
      <w:r w:rsidRPr="00082992">
        <w:rPr>
          <w:spacing w:val="-2"/>
          <w:kern w:val="22"/>
        </w:rPr>
        <w:t>n</w:t>
      </w:r>
      <w:r w:rsidR="00C70FCE" w:rsidRPr="00082992">
        <w:rPr>
          <w:spacing w:val="-2"/>
          <w:kern w:val="22"/>
        </w:rPr>
        <w:t>g</w:t>
      </w:r>
      <w:r w:rsidRPr="00082992">
        <w:rPr>
          <w:spacing w:val="-2"/>
          <w:kern w:val="22"/>
        </w:rPr>
        <w:t xml:space="preserve"> the </w:t>
      </w:r>
      <w:r w:rsidR="00C70FCE" w:rsidRPr="00082992">
        <w:rPr>
          <w:spacing w:val="-2"/>
          <w:kern w:val="22"/>
        </w:rPr>
        <w:t>changes</w:t>
      </w:r>
      <w:r w:rsidRPr="00082992">
        <w:rPr>
          <w:spacing w:val="-2"/>
          <w:kern w:val="22"/>
        </w:rPr>
        <w:t>. In 2011, amid public anger over austerity, Prime Minister Papandreou announced a national referendum on the second bailout, which was under negotiation. However, he called off the referendum after the centre-right opposition agreed to back the deal. Papandreou</w:t>
      </w:r>
      <w:r w:rsidR="00E07CC5">
        <w:rPr>
          <w:spacing w:val="-2"/>
          <w:kern w:val="22"/>
        </w:rPr>
        <w:t>’</w:t>
      </w:r>
      <w:r w:rsidRPr="00082992">
        <w:rPr>
          <w:spacing w:val="-2"/>
          <w:kern w:val="22"/>
        </w:rPr>
        <w:t xml:space="preserve">s government collapsed and a new unity government, tasked with implementing further austerity and structural reforms, came into power. </w:t>
      </w:r>
    </w:p>
    <w:p w14:paraId="3EA1237F" w14:textId="77777777" w:rsidR="00921F77" w:rsidRPr="00082992" w:rsidRDefault="00921F77" w:rsidP="006D5856">
      <w:pPr>
        <w:pStyle w:val="BodyTextMain"/>
      </w:pPr>
    </w:p>
    <w:p w14:paraId="46DB95C1" w14:textId="6CA2A4DB" w:rsidR="00921F77" w:rsidRPr="00082992" w:rsidRDefault="00921F77" w:rsidP="006D5856">
      <w:pPr>
        <w:pStyle w:val="BodyTextMain"/>
      </w:pPr>
      <w:r w:rsidRPr="00082992">
        <w:t>The second bailout for Greece, approved in March 2012, was worth €130 billion ($172 billion).</w:t>
      </w:r>
      <w:r w:rsidRPr="00D43603">
        <w:rPr>
          <w:rStyle w:val="EndnoteReference"/>
          <w:b w:val="0"/>
          <w:color w:val="auto"/>
        </w:rPr>
        <w:endnoteReference w:id="59"/>
      </w:r>
      <w:r w:rsidRPr="00082992">
        <w:t xml:space="preserve"> The deal included a 53.5 per cent haircut for private Greek bondholders, negotiated by the troika in October 2011</w:t>
      </w:r>
      <w:r w:rsidR="00B86B2E">
        <w:t>; yet t</w:t>
      </w:r>
      <w:r w:rsidRPr="00082992">
        <w:t xml:space="preserve">he final figure for the haircut </w:t>
      </w:r>
      <w:r w:rsidR="00661D86" w:rsidRPr="00082992">
        <w:t>was</w:t>
      </w:r>
      <w:r w:rsidRPr="00082992">
        <w:t xml:space="preserve"> 74 per cent.</w:t>
      </w:r>
      <w:r w:rsidRPr="00D43603">
        <w:rPr>
          <w:rStyle w:val="EndnoteReference"/>
          <w:b w:val="0"/>
          <w:color w:val="auto"/>
        </w:rPr>
        <w:endnoteReference w:id="60"/>
      </w:r>
      <w:r w:rsidRPr="00082992">
        <w:t xml:space="preserve"> In exchange, Greece was required to reduce its </w:t>
      </w:r>
      <w:r w:rsidR="00F2034E">
        <w:t>debt-to-G</w:t>
      </w:r>
      <w:r w:rsidRPr="00082992">
        <w:t>DP ratio from 160 to 120.5 per cent by 2020.</w:t>
      </w:r>
      <w:r w:rsidRPr="00D43603">
        <w:rPr>
          <w:rStyle w:val="EndnoteReference"/>
          <w:b w:val="0"/>
          <w:color w:val="auto"/>
        </w:rPr>
        <w:endnoteReference w:id="61"/>
      </w:r>
      <w:r w:rsidRPr="00082992">
        <w:t xml:space="preserve"> </w:t>
      </w:r>
      <w:r w:rsidR="00B86B2E">
        <w:t>T</w:t>
      </w:r>
      <w:r w:rsidR="00661D86" w:rsidRPr="00082992">
        <w:t>he Greek</w:t>
      </w:r>
      <w:r w:rsidR="00B86B2E">
        <w:t xml:space="preserve"> populace</w:t>
      </w:r>
      <w:r w:rsidR="00661D86" w:rsidRPr="00082992">
        <w:t xml:space="preserve"> deeply resented </w:t>
      </w:r>
      <w:r w:rsidRPr="00082992">
        <w:t xml:space="preserve">the austerity programs enforced by the troika, which was reflected in the </w:t>
      </w:r>
      <w:r w:rsidR="00661D86" w:rsidRPr="00082992">
        <w:t xml:space="preserve">increased </w:t>
      </w:r>
      <w:r w:rsidRPr="00082992">
        <w:t xml:space="preserve">share of </w:t>
      </w:r>
      <w:r w:rsidR="00661D86" w:rsidRPr="00082992">
        <w:t xml:space="preserve">votes obtained by </w:t>
      </w:r>
      <w:r w:rsidRPr="00082992">
        <w:t xml:space="preserve">the anti-austerity </w:t>
      </w:r>
      <w:r w:rsidR="00661D86" w:rsidRPr="00082992">
        <w:t>l</w:t>
      </w:r>
      <w:r w:rsidRPr="00082992">
        <w:t>eft fringe parties</w:t>
      </w:r>
      <w:r w:rsidR="00661D86" w:rsidRPr="00082992">
        <w:t>—an increase of</w:t>
      </w:r>
      <w:r w:rsidRPr="00082992">
        <w:t xml:space="preserve"> 46 per cent </w:t>
      </w:r>
      <w:r w:rsidR="00661D86" w:rsidRPr="00082992">
        <w:t>over their share in the</w:t>
      </w:r>
      <w:r w:rsidRPr="00082992">
        <w:t xml:space="preserve"> </w:t>
      </w:r>
      <w:r w:rsidR="00E040A4" w:rsidRPr="00082992">
        <w:t>earlier</w:t>
      </w:r>
      <w:r w:rsidRPr="00082992">
        <w:t xml:space="preserve"> election. Following </w:t>
      </w:r>
      <w:r w:rsidR="00661D86" w:rsidRPr="00082992">
        <w:t xml:space="preserve">the </w:t>
      </w:r>
      <w:r w:rsidRPr="00082992">
        <w:t xml:space="preserve">election, Antonio Samaras led a coalition of the ND </w:t>
      </w:r>
      <w:r w:rsidR="00661D86" w:rsidRPr="00082992">
        <w:t>and</w:t>
      </w:r>
      <w:r w:rsidRPr="00082992">
        <w:t xml:space="preserve"> PASOK to form a government, and announced that Greece </w:t>
      </w:r>
      <w:r w:rsidR="008423D5">
        <w:t>“</w:t>
      </w:r>
      <w:r w:rsidRPr="00082992">
        <w:t>had voted to stay in the euro.</w:t>
      </w:r>
      <w:r w:rsidR="008423D5">
        <w:t>”</w:t>
      </w:r>
      <w:r w:rsidRPr="00D43603">
        <w:rPr>
          <w:rStyle w:val="EndnoteReference"/>
          <w:b w:val="0"/>
          <w:color w:val="auto"/>
        </w:rPr>
        <w:endnoteReference w:id="62"/>
      </w:r>
      <w:r w:rsidRPr="00082992">
        <w:t xml:space="preserve"> </w:t>
      </w:r>
    </w:p>
    <w:p w14:paraId="710CE60D" w14:textId="77777777" w:rsidR="00921F77" w:rsidRPr="00082992" w:rsidRDefault="00921F77" w:rsidP="006D5856">
      <w:pPr>
        <w:pStyle w:val="BodyTextMain"/>
      </w:pPr>
    </w:p>
    <w:p w14:paraId="16E271DE" w14:textId="23A76063" w:rsidR="00921F77" w:rsidRPr="00082992" w:rsidRDefault="00921F77" w:rsidP="006D5856">
      <w:pPr>
        <w:pStyle w:val="BodyTextMain"/>
      </w:pPr>
      <w:r w:rsidRPr="00082992">
        <w:t xml:space="preserve">In 2013, unemployment in Greece exceeded 27 per cent, </w:t>
      </w:r>
      <w:r w:rsidR="00661D86" w:rsidRPr="00082992">
        <w:t xml:space="preserve">with rates over </w:t>
      </w:r>
      <w:r w:rsidRPr="00082992">
        <w:t xml:space="preserve">60 per cent for those in the 25 years and </w:t>
      </w:r>
      <w:r w:rsidR="00661D86" w:rsidRPr="00082992">
        <w:t>younger demographic</w:t>
      </w:r>
      <w:r w:rsidRPr="00082992">
        <w:t>. Not surprisingly, a new set of austerity measures in 2013</w:t>
      </w:r>
      <w:r w:rsidR="00661D86" w:rsidRPr="00082992">
        <w:t>—</w:t>
      </w:r>
      <w:r w:rsidRPr="00082992">
        <w:t>implemented to secure the release of the first tranche of the rescue</w:t>
      </w:r>
      <w:r w:rsidR="00661D86" w:rsidRPr="00082992">
        <w:t xml:space="preserve"> </w:t>
      </w:r>
      <w:r w:rsidRPr="00082992">
        <w:t>loans approved as part of the second bailout</w:t>
      </w:r>
      <w:r w:rsidR="00661D86" w:rsidRPr="00082992">
        <w:t>—</w:t>
      </w:r>
      <w:r w:rsidRPr="00082992">
        <w:t xml:space="preserve">faced deep resentment and protest. These measures aimed </w:t>
      </w:r>
      <w:r w:rsidR="00661D86" w:rsidRPr="00082992">
        <w:t xml:space="preserve">to </w:t>
      </w:r>
      <w:r w:rsidRPr="00082992">
        <w:t xml:space="preserve">overhaul the civil service and implement a new tax code </w:t>
      </w:r>
      <w:r w:rsidR="005E70D0" w:rsidRPr="00082992">
        <w:t>and</w:t>
      </w:r>
      <w:r w:rsidRPr="00082992">
        <w:t xml:space="preserve"> budget cuts. The</w:t>
      </w:r>
      <w:r w:rsidR="005E70D0" w:rsidRPr="00082992">
        <w:t xml:space="preserve"> measures</w:t>
      </w:r>
      <w:r w:rsidRPr="00082992">
        <w:t xml:space="preserve"> included </w:t>
      </w:r>
      <w:r w:rsidR="008423D5">
        <w:t>“</w:t>
      </w:r>
      <w:r w:rsidRPr="00082992">
        <w:t>plans to put 25,000 civil servants, including teachers, municipal police officers</w:t>
      </w:r>
      <w:r w:rsidR="005E70D0" w:rsidRPr="00082992">
        <w:t>,</w:t>
      </w:r>
      <w:r w:rsidRPr="00082992">
        <w:t xml:space="preserve"> and school janitors, into a </w:t>
      </w:r>
      <w:r w:rsidR="005E70D0" w:rsidRPr="00082992">
        <w:t>‘</w:t>
      </w:r>
      <w:r w:rsidRPr="00082992">
        <w:t>mobility plan</w:t>
      </w:r>
      <w:r w:rsidR="005E70D0" w:rsidRPr="00082992">
        <w:t>’</w:t>
      </w:r>
      <w:r w:rsidRPr="00082992">
        <w:t xml:space="preserve"> by the end of the year, docking their wages ahead of forced transfers or dismissals.</w:t>
      </w:r>
      <w:r w:rsidR="008423D5">
        <w:t>”</w:t>
      </w:r>
      <w:r w:rsidRPr="00D43603">
        <w:rPr>
          <w:rStyle w:val="EndnoteReference"/>
          <w:b w:val="0"/>
          <w:color w:val="auto"/>
        </w:rPr>
        <w:endnoteReference w:id="63"/>
      </w:r>
      <w:r w:rsidRPr="00082992">
        <w:t xml:space="preserve"> </w:t>
      </w:r>
    </w:p>
    <w:p w14:paraId="08370FEB" w14:textId="77777777" w:rsidR="00921F77" w:rsidRPr="00082992" w:rsidRDefault="00921F77" w:rsidP="006D5856">
      <w:pPr>
        <w:pStyle w:val="BodyTextMain"/>
      </w:pPr>
    </w:p>
    <w:p w14:paraId="436A5BAD" w14:textId="2105E580" w:rsidR="00921F77" w:rsidRPr="00082992" w:rsidRDefault="00B86B2E" w:rsidP="006D5856">
      <w:pPr>
        <w:pStyle w:val="BodyTextMain"/>
        <w:rPr>
          <w:spacing w:val="-2"/>
          <w:kern w:val="22"/>
        </w:rPr>
      </w:pPr>
      <w:r>
        <w:rPr>
          <w:spacing w:val="-2"/>
          <w:kern w:val="22"/>
        </w:rPr>
        <w:t>By</w:t>
      </w:r>
      <w:r w:rsidR="00921F77" w:rsidRPr="00082992">
        <w:rPr>
          <w:spacing w:val="-2"/>
          <w:kern w:val="22"/>
        </w:rPr>
        <w:t xml:space="preserve"> 2014, Greece appeared close to recovery, reversing the 15 per cent fiscal deficit figure of 2010</w:t>
      </w:r>
      <w:r>
        <w:rPr>
          <w:spacing w:val="-2"/>
          <w:kern w:val="22"/>
        </w:rPr>
        <w:t>,</w:t>
      </w:r>
      <w:r w:rsidR="00921F77" w:rsidRPr="00082992">
        <w:rPr>
          <w:spacing w:val="-2"/>
          <w:kern w:val="22"/>
        </w:rPr>
        <w:t xml:space="preserve"> and even achieving a small primary surplus</w:t>
      </w:r>
      <w:r w:rsidR="005E70D0" w:rsidRPr="00082992">
        <w:rPr>
          <w:spacing w:val="-2"/>
          <w:kern w:val="22"/>
        </w:rPr>
        <w:t xml:space="preserve"> and </w:t>
      </w:r>
      <w:r w:rsidR="00921F77" w:rsidRPr="00082992">
        <w:rPr>
          <w:spacing w:val="-2"/>
          <w:kern w:val="22"/>
        </w:rPr>
        <w:t>growth after four years of recession.</w:t>
      </w:r>
      <w:r w:rsidR="00921F77" w:rsidRPr="00D43603">
        <w:rPr>
          <w:rStyle w:val="EndnoteReference"/>
          <w:b w:val="0"/>
          <w:color w:val="auto"/>
          <w:spacing w:val="-2"/>
          <w:kern w:val="22"/>
        </w:rPr>
        <w:endnoteReference w:id="64"/>
      </w:r>
      <w:r w:rsidR="00921F77" w:rsidRPr="00082992">
        <w:rPr>
          <w:spacing w:val="-2"/>
          <w:kern w:val="22"/>
        </w:rPr>
        <w:t xml:space="preserve"> However, </w:t>
      </w:r>
      <w:r w:rsidR="005E70D0" w:rsidRPr="00082992">
        <w:rPr>
          <w:spacing w:val="-2"/>
          <w:kern w:val="22"/>
        </w:rPr>
        <w:t xml:space="preserve">the </w:t>
      </w:r>
      <w:r w:rsidR="00921F77" w:rsidRPr="00082992">
        <w:rPr>
          <w:spacing w:val="-2"/>
          <w:kern w:val="22"/>
        </w:rPr>
        <w:t xml:space="preserve">fiscal consolidation </w:t>
      </w:r>
      <w:proofErr w:type="gramStart"/>
      <w:r w:rsidR="00921F77" w:rsidRPr="00082992">
        <w:rPr>
          <w:spacing w:val="-2"/>
          <w:kern w:val="22"/>
        </w:rPr>
        <w:t>was achieved</w:t>
      </w:r>
      <w:proofErr w:type="gramEnd"/>
      <w:r w:rsidR="00921F77" w:rsidRPr="00082992">
        <w:rPr>
          <w:spacing w:val="-2"/>
          <w:kern w:val="22"/>
        </w:rPr>
        <w:t xml:space="preserve"> </w:t>
      </w:r>
      <w:r w:rsidR="005E70D0" w:rsidRPr="00082992">
        <w:rPr>
          <w:spacing w:val="-2"/>
          <w:kern w:val="22"/>
        </w:rPr>
        <w:t xml:space="preserve">with </w:t>
      </w:r>
      <w:r w:rsidR="00921F77" w:rsidRPr="00082992">
        <w:rPr>
          <w:spacing w:val="-2"/>
          <w:kern w:val="22"/>
        </w:rPr>
        <w:t>large increases in taxation rather than spending cuts. In 2014, Greece returned to the international financial markets with its first issue of Eurobonds since the beginning of the crisis in 2010. Interest rates in the rest of the developed world at this time were ultra-low. Further,</w:t>
      </w:r>
      <w:r w:rsidRPr="00082992">
        <w:rPr>
          <w:spacing w:val="-2"/>
          <w:kern w:val="22"/>
        </w:rPr>
        <w:t xml:space="preserve"> in 2012, </w:t>
      </w:r>
      <w:r w:rsidR="00921F77" w:rsidRPr="00082992">
        <w:rPr>
          <w:spacing w:val="-2"/>
          <w:kern w:val="22"/>
        </w:rPr>
        <w:t xml:space="preserve">the </w:t>
      </w:r>
      <w:r w:rsidR="00F67090" w:rsidRPr="00082992">
        <w:rPr>
          <w:spacing w:val="-2"/>
          <w:kern w:val="22"/>
        </w:rPr>
        <w:t xml:space="preserve">president of the </w:t>
      </w:r>
      <w:r w:rsidR="00921F77" w:rsidRPr="00082992">
        <w:rPr>
          <w:spacing w:val="-2"/>
          <w:kern w:val="22"/>
        </w:rPr>
        <w:t xml:space="preserve">ECB, Mario Draghi, had </w:t>
      </w:r>
      <w:r w:rsidR="00FC3786" w:rsidRPr="00082992">
        <w:rPr>
          <w:spacing w:val="-2"/>
          <w:kern w:val="22"/>
        </w:rPr>
        <w:t xml:space="preserve">announced </w:t>
      </w:r>
      <w:r w:rsidR="00921F77" w:rsidRPr="00082992">
        <w:rPr>
          <w:spacing w:val="-2"/>
          <w:kern w:val="22"/>
        </w:rPr>
        <w:t xml:space="preserve">an open-ended program to buy the government bonds of struggling Eurozone states on the secondary market, with a vow to </w:t>
      </w:r>
      <w:r w:rsidR="008423D5">
        <w:rPr>
          <w:spacing w:val="-2"/>
          <w:kern w:val="22"/>
        </w:rPr>
        <w:t>“</w:t>
      </w:r>
      <w:r w:rsidR="00921F77" w:rsidRPr="00082992">
        <w:rPr>
          <w:spacing w:val="-2"/>
          <w:kern w:val="22"/>
        </w:rPr>
        <w:t>do whatever it takes to preserve the euro.</w:t>
      </w:r>
      <w:r w:rsidR="008423D5">
        <w:rPr>
          <w:spacing w:val="-2"/>
          <w:kern w:val="22"/>
        </w:rPr>
        <w:t>”</w:t>
      </w:r>
      <w:r w:rsidR="00921F77" w:rsidRPr="00D43603">
        <w:rPr>
          <w:rStyle w:val="EndnoteReference"/>
          <w:b w:val="0"/>
          <w:color w:val="auto"/>
          <w:spacing w:val="-2"/>
          <w:kern w:val="22"/>
        </w:rPr>
        <w:endnoteReference w:id="65"/>
      </w:r>
      <w:r w:rsidR="00921F77" w:rsidRPr="00082992">
        <w:rPr>
          <w:spacing w:val="-2"/>
          <w:kern w:val="22"/>
        </w:rPr>
        <w:t xml:space="preserve"> Greece’s </w:t>
      </w:r>
      <w:r w:rsidR="00F2034E">
        <w:rPr>
          <w:spacing w:val="-2"/>
          <w:kern w:val="22"/>
        </w:rPr>
        <w:t>debt-to-G</w:t>
      </w:r>
      <w:r w:rsidR="00921F77" w:rsidRPr="00082992">
        <w:rPr>
          <w:spacing w:val="-2"/>
          <w:kern w:val="22"/>
        </w:rPr>
        <w:t>DP ratio was still 175 per cent, and the IMF had forecast a growth rate of only 0.6 per cent of GDP in 2014.</w:t>
      </w:r>
      <w:r w:rsidR="00921F77" w:rsidRPr="00D43603">
        <w:rPr>
          <w:rStyle w:val="EndnoteReference"/>
          <w:b w:val="0"/>
          <w:color w:val="auto"/>
          <w:spacing w:val="-2"/>
          <w:kern w:val="22"/>
        </w:rPr>
        <w:endnoteReference w:id="66"/>
      </w:r>
      <w:r w:rsidR="00921F77" w:rsidRPr="00082992">
        <w:rPr>
          <w:spacing w:val="-2"/>
          <w:kern w:val="22"/>
        </w:rPr>
        <w:t xml:space="preserve"> Despite its history of default</w:t>
      </w:r>
      <w:r w:rsidR="00F67090" w:rsidRPr="00082992">
        <w:rPr>
          <w:spacing w:val="-2"/>
          <w:kern w:val="22"/>
        </w:rPr>
        <w:t>,</w:t>
      </w:r>
      <w:r w:rsidR="00921F77" w:rsidRPr="00082992">
        <w:rPr>
          <w:spacing w:val="-2"/>
          <w:kern w:val="22"/>
        </w:rPr>
        <w:t xml:space="preserve"> credit </w:t>
      </w:r>
      <w:proofErr w:type="gramStart"/>
      <w:r w:rsidR="00921F77" w:rsidRPr="00082992">
        <w:rPr>
          <w:spacing w:val="-2"/>
          <w:kern w:val="22"/>
        </w:rPr>
        <w:t>ratings still</w:t>
      </w:r>
      <w:proofErr w:type="gramEnd"/>
      <w:r w:rsidR="00921F77" w:rsidRPr="00082992">
        <w:rPr>
          <w:spacing w:val="-2"/>
          <w:kern w:val="22"/>
        </w:rPr>
        <w:t xml:space="preserve"> remaining in junk status, </w:t>
      </w:r>
      <w:r w:rsidR="00F67090" w:rsidRPr="00082992">
        <w:rPr>
          <w:spacing w:val="-2"/>
          <w:kern w:val="22"/>
        </w:rPr>
        <w:t>and</w:t>
      </w:r>
      <w:r w:rsidR="00921F77" w:rsidRPr="00082992">
        <w:rPr>
          <w:spacing w:val="-2"/>
          <w:kern w:val="22"/>
        </w:rPr>
        <w:t xml:space="preserve"> private bond holders </w:t>
      </w:r>
      <w:r w:rsidR="00F67090" w:rsidRPr="00082992">
        <w:rPr>
          <w:spacing w:val="-2"/>
          <w:kern w:val="22"/>
        </w:rPr>
        <w:t xml:space="preserve">recently </w:t>
      </w:r>
      <w:r w:rsidR="00921F77" w:rsidRPr="00082992">
        <w:rPr>
          <w:spacing w:val="-2"/>
          <w:kern w:val="22"/>
        </w:rPr>
        <w:t xml:space="preserve">suffering losses amounting to €130 billion </w:t>
      </w:r>
      <w:r w:rsidR="00F67090" w:rsidRPr="00082992">
        <w:rPr>
          <w:spacing w:val="-2"/>
          <w:kern w:val="22"/>
        </w:rPr>
        <w:t>in</w:t>
      </w:r>
      <w:r w:rsidR="00921F77" w:rsidRPr="00082992">
        <w:rPr>
          <w:spacing w:val="-2"/>
          <w:kern w:val="22"/>
        </w:rPr>
        <w:t xml:space="preserve"> haircuts, the government was able to attract €3</w:t>
      </w:r>
      <w:r w:rsidR="00F67090" w:rsidRPr="00082992">
        <w:rPr>
          <w:spacing w:val="-2"/>
          <w:kern w:val="22"/>
        </w:rPr>
        <w:t xml:space="preserve"> </w:t>
      </w:r>
      <w:r w:rsidR="00921F77" w:rsidRPr="00082992">
        <w:rPr>
          <w:spacing w:val="-2"/>
          <w:kern w:val="22"/>
        </w:rPr>
        <w:t xml:space="preserve">billion in </w:t>
      </w:r>
      <w:r w:rsidR="00CA514A" w:rsidRPr="00082992">
        <w:rPr>
          <w:spacing w:val="-2"/>
          <w:kern w:val="22"/>
        </w:rPr>
        <w:t>5</w:t>
      </w:r>
      <w:r w:rsidR="00921F77" w:rsidRPr="00082992">
        <w:rPr>
          <w:spacing w:val="-2"/>
          <w:kern w:val="22"/>
        </w:rPr>
        <w:t>-year bonds at yields of 4.95 per cent.</w:t>
      </w:r>
      <w:r w:rsidR="00921F77" w:rsidRPr="00D43603">
        <w:rPr>
          <w:rStyle w:val="EndnoteReference"/>
          <w:b w:val="0"/>
          <w:color w:val="auto"/>
          <w:spacing w:val="-2"/>
          <w:kern w:val="22"/>
        </w:rPr>
        <w:endnoteReference w:id="67"/>
      </w:r>
      <w:r w:rsidR="00921F77" w:rsidRPr="00082992">
        <w:rPr>
          <w:spacing w:val="-2"/>
          <w:kern w:val="22"/>
        </w:rPr>
        <w:t xml:space="preserve"> </w:t>
      </w:r>
    </w:p>
    <w:p w14:paraId="624BC341" w14:textId="77777777" w:rsidR="00921F77" w:rsidRPr="00082992" w:rsidRDefault="00921F77" w:rsidP="006D5856">
      <w:pPr>
        <w:pStyle w:val="BodyTextMain"/>
      </w:pPr>
    </w:p>
    <w:p w14:paraId="0F8E726D" w14:textId="12912CA9" w:rsidR="00921F77" w:rsidRPr="00082992" w:rsidRDefault="002511D1" w:rsidP="006D5856">
      <w:pPr>
        <w:pStyle w:val="BodyTextMain"/>
      </w:pPr>
      <w:r>
        <w:t>F</w:t>
      </w:r>
      <w:r w:rsidR="00921F77" w:rsidRPr="00082992">
        <w:t xml:space="preserve">aced with a loss of 25 per cent of their income in five years and battling unemployment rates of 25 per cent, </w:t>
      </w:r>
      <w:r w:rsidRPr="00082992">
        <w:t>Greek</w:t>
      </w:r>
      <w:r>
        <w:t xml:space="preserve"> citizens</w:t>
      </w:r>
      <w:r w:rsidRPr="00082992">
        <w:t xml:space="preserve"> </w:t>
      </w:r>
      <w:proofErr w:type="gramStart"/>
      <w:r w:rsidR="00921F77" w:rsidRPr="00082992">
        <w:t>were increasingly disenchanted</w:t>
      </w:r>
      <w:proofErr w:type="gramEnd"/>
      <w:r w:rsidR="00921F77" w:rsidRPr="00082992">
        <w:t xml:space="preserve"> with the austerity programs prescribed by the international creditors. Nor could they appreciate the bailout programs, since they could not see the impact of the bailout money, which was not finding its way back to the economy but </w:t>
      </w:r>
      <w:proofErr w:type="gramStart"/>
      <w:r w:rsidR="00921F77" w:rsidRPr="00082992">
        <w:t>was being used</w:t>
      </w:r>
      <w:proofErr w:type="gramEnd"/>
      <w:r w:rsidR="00921F77" w:rsidRPr="00082992">
        <w:t xml:space="preserve"> simply to pay off Greece’s international loans.</w:t>
      </w:r>
      <w:r w:rsidR="00921F77" w:rsidRPr="00D43603">
        <w:rPr>
          <w:rStyle w:val="EndnoteReference"/>
          <w:b w:val="0"/>
          <w:color w:val="auto"/>
        </w:rPr>
        <w:endnoteReference w:id="68"/>
      </w:r>
      <w:r w:rsidR="00921F77" w:rsidRPr="00082992">
        <w:t xml:space="preserve"> In January 2015, Tsipras, leader of </w:t>
      </w:r>
      <w:r w:rsidR="00766210" w:rsidRPr="00082992">
        <w:t xml:space="preserve">the </w:t>
      </w:r>
      <w:r w:rsidR="00921F77" w:rsidRPr="00082992">
        <w:t xml:space="preserve">small radical </w:t>
      </w:r>
      <w:r w:rsidR="00363AE8" w:rsidRPr="00082992">
        <w:t>l</w:t>
      </w:r>
      <w:r w:rsidR="00921F77" w:rsidRPr="00082992">
        <w:t>eft party</w:t>
      </w:r>
      <w:r w:rsidR="00363AE8" w:rsidRPr="00082992">
        <w:t xml:space="preserve">, </w:t>
      </w:r>
      <w:proofErr w:type="spellStart"/>
      <w:r w:rsidR="00921F77" w:rsidRPr="00082992">
        <w:t>Syriza</w:t>
      </w:r>
      <w:proofErr w:type="spellEnd"/>
      <w:r w:rsidR="00921F77" w:rsidRPr="00082992">
        <w:t>, in a coalition with the right-wing Independent Greeks,</w:t>
      </w:r>
      <w:r w:rsidR="00921F77" w:rsidRPr="00D43603">
        <w:rPr>
          <w:rStyle w:val="EndnoteReference"/>
          <w:b w:val="0"/>
          <w:color w:val="auto"/>
        </w:rPr>
        <w:endnoteReference w:id="69"/>
      </w:r>
      <w:r w:rsidR="00921F77" w:rsidRPr="00082992">
        <w:t xml:space="preserve"> came to power riding on promises to roll back austerity </w:t>
      </w:r>
      <w:r w:rsidR="00363AE8" w:rsidRPr="00082992">
        <w:t xml:space="preserve">measures </w:t>
      </w:r>
      <w:r w:rsidR="00921F77" w:rsidRPr="00082992">
        <w:t xml:space="preserve">and renegotiate Greece’s debt, which had reached 180 per cent. Leading the first </w:t>
      </w:r>
      <w:r w:rsidR="00363AE8" w:rsidRPr="00082992">
        <w:t>E</w:t>
      </w:r>
      <w:r w:rsidR="00921F77" w:rsidRPr="00082992">
        <w:t xml:space="preserve">urozone government </w:t>
      </w:r>
      <w:proofErr w:type="gramStart"/>
      <w:r w:rsidR="00921F77" w:rsidRPr="00082992">
        <w:t>to openly oppose</w:t>
      </w:r>
      <w:proofErr w:type="gramEnd"/>
      <w:r w:rsidR="00921F77" w:rsidRPr="00082992">
        <w:t xml:space="preserve"> the bailout conditions imposed by the </w:t>
      </w:r>
      <w:r w:rsidR="00363AE8" w:rsidRPr="00082992">
        <w:t>E</w:t>
      </w:r>
      <w:r w:rsidR="00921F77" w:rsidRPr="00082992">
        <w:t xml:space="preserve">urozone and the IMF, </w:t>
      </w:r>
      <w:r w:rsidR="00921F77" w:rsidRPr="00082992">
        <w:lastRenderedPageBreak/>
        <w:t xml:space="preserve">Tsipras said the election results had </w:t>
      </w:r>
      <w:r w:rsidR="008423D5">
        <w:t>“</w:t>
      </w:r>
      <w:r w:rsidR="00921F77" w:rsidRPr="00082992">
        <w:t>made the troika history.</w:t>
      </w:r>
      <w:r w:rsidR="008423D5">
        <w:t>”</w:t>
      </w:r>
      <w:r w:rsidR="00921F77" w:rsidRPr="00082992">
        <w:t xml:space="preserve"> He also promised restoration of social justice </w:t>
      </w:r>
      <w:r w:rsidR="00E93112" w:rsidRPr="00082992">
        <w:t xml:space="preserve">by </w:t>
      </w:r>
      <w:r w:rsidR="00921F77" w:rsidRPr="00082992">
        <w:t xml:space="preserve">raising wages and pensions, and abolishing the new </w:t>
      </w:r>
      <w:r w:rsidR="008423D5">
        <w:t>“</w:t>
      </w:r>
      <w:r w:rsidR="00921F77" w:rsidRPr="00082992">
        <w:t>unfair</w:t>
      </w:r>
      <w:r w:rsidR="008423D5">
        <w:t>”</w:t>
      </w:r>
      <w:r w:rsidR="00921F77" w:rsidRPr="00082992">
        <w:t xml:space="preserve"> taxes.</w:t>
      </w:r>
      <w:r w:rsidR="00921F77" w:rsidRPr="00D43603">
        <w:rPr>
          <w:rStyle w:val="EndnoteReference"/>
          <w:b w:val="0"/>
          <w:color w:val="auto"/>
        </w:rPr>
        <w:endnoteReference w:id="70"/>
      </w:r>
      <w:r w:rsidR="00921F77" w:rsidRPr="00082992">
        <w:t xml:space="preserve"> </w:t>
      </w:r>
    </w:p>
    <w:p w14:paraId="66C882F5" w14:textId="77777777" w:rsidR="00921F77" w:rsidRPr="00082992" w:rsidRDefault="00921F77" w:rsidP="006D5856">
      <w:pPr>
        <w:pStyle w:val="BodyTextMain"/>
      </w:pPr>
    </w:p>
    <w:p w14:paraId="3554D628" w14:textId="45A490A5" w:rsidR="00921F77" w:rsidRPr="00082992" w:rsidRDefault="00921F77" w:rsidP="006D5856">
      <w:pPr>
        <w:pStyle w:val="BodyTextMain"/>
        <w:rPr>
          <w:spacing w:val="-2"/>
          <w:kern w:val="22"/>
        </w:rPr>
      </w:pPr>
      <w:r w:rsidRPr="00082992">
        <w:rPr>
          <w:spacing w:val="-2"/>
          <w:kern w:val="22"/>
        </w:rPr>
        <w:t>In June 2015, history seemed to repeat itself. In response to international creditors’ terms of structural and fiscal reforms in return for new bailout loans, Tsipras struck a hard position, calling for a national referendum on July 5, 2015</w:t>
      </w:r>
      <w:r w:rsidR="00E93112" w:rsidRPr="00082992">
        <w:rPr>
          <w:spacing w:val="-2"/>
          <w:kern w:val="22"/>
        </w:rPr>
        <w:t>,</w:t>
      </w:r>
      <w:r w:rsidRPr="00082992">
        <w:rPr>
          <w:spacing w:val="-2"/>
          <w:kern w:val="22"/>
        </w:rPr>
        <w:t xml:space="preserve"> on the proposals.</w:t>
      </w:r>
      <w:r w:rsidRPr="002511D1">
        <w:rPr>
          <w:rStyle w:val="EndnoteReference"/>
          <w:b w:val="0"/>
          <w:color w:val="auto"/>
          <w:spacing w:val="-2"/>
          <w:kern w:val="22"/>
        </w:rPr>
        <w:endnoteReference w:id="71"/>
      </w:r>
      <w:r w:rsidRPr="00082992">
        <w:rPr>
          <w:spacing w:val="-2"/>
          <w:kern w:val="22"/>
        </w:rPr>
        <w:t xml:space="preserve"> Anticipating turmoil as investors sought to take their money out of Greece, Tsipras announced emergency capital controls, limiting bank withdrawals to </w:t>
      </w:r>
      <w:r w:rsidR="00E93112" w:rsidRPr="00082992">
        <w:rPr>
          <w:spacing w:val="-2"/>
          <w:kern w:val="22"/>
        </w:rPr>
        <w:t>€</w:t>
      </w:r>
      <w:r w:rsidRPr="00082992">
        <w:rPr>
          <w:spacing w:val="-2"/>
          <w:kern w:val="22"/>
        </w:rPr>
        <w:t>60 ($67) per day and calling a bank holiday after the ECB capped its support.</w:t>
      </w:r>
      <w:r w:rsidRPr="002511D1">
        <w:rPr>
          <w:rStyle w:val="EndnoteReference"/>
          <w:b w:val="0"/>
          <w:color w:val="auto"/>
          <w:spacing w:val="-2"/>
          <w:kern w:val="22"/>
        </w:rPr>
        <w:endnoteReference w:id="72"/>
      </w:r>
      <w:r w:rsidRPr="00082992">
        <w:rPr>
          <w:spacing w:val="-2"/>
          <w:kern w:val="22"/>
        </w:rPr>
        <w:t xml:space="preserve"> On June 30</w:t>
      </w:r>
      <w:r w:rsidR="00E93112" w:rsidRPr="00082992">
        <w:rPr>
          <w:spacing w:val="-2"/>
          <w:kern w:val="22"/>
        </w:rPr>
        <w:t>,</w:t>
      </w:r>
      <w:r w:rsidRPr="00082992">
        <w:rPr>
          <w:spacing w:val="-2"/>
          <w:kern w:val="22"/>
        </w:rPr>
        <w:t xml:space="preserve"> 2015, Greece officially defaulted on a $1.7 billion payment to the IMF,</w:t>
      </w:r>
      <w:r w:rsidRPr="00D43603">
        <w:rPr>
          <w:rStyle w:val="EndnoteReference"/>
          <w:b w:val="0"/>
          <w:color w:val="auto"/>
          <w:spacing w:val="-2"/>
          <w:kern w:val="22"/>
        </w:rPr>
        <w:endnoteReference w:id="73"/>
      </w:r>
      <w:r w:rsidRPr="00082992">
        <w:rPr>
          <w:spacing w:val="-2"/>
          <w:kern w:val="22"/>
        </w:rPr>
        <w:t xml:space="preserve"> necessitating a third bailout. Greeks </w:t>
      </w:r>
      <w:r w:rsidR="002511D1">
        <w:rPr>
          <w:spacing w:val="-2"/>
          <w:kern w:val="22"/>
        </w:rPr>
        <w:t xml:space="preserve">voters had </w:t>
      </w:r>
      <w:r w:rsidRPr="00082992">
        <w:rPr>
          <w:spacing w:val="-2"/>
          <w:kern w:val="22"/>
        </w:rPr>
        <w:t>reject</w:t>
      </w:r>
      <w:r w:rsidR="00E93112" w:rsidRPr="00082992">
        <w:rPr>
          <w:spacing w:val="-2"/>
          <w:kern w:val="22"/>
        </w:rPr>
        <w:t>ed the</w:t>
      </w:r>
      <w:r w:rsidRPr="00082992">
        <w:rPr>
          <w:spacing w:val="-2"/>
          <w:kern w:val="22"/>
        </w:rPr>
        <w:t xml:space="preserve"> international creditor terms in the July 5</w:t>
      </w:r>
      <w:r w:rsidR="00E93112" w:rsidRPr="00082992">
        <w:rPr>
          <w:spacing w:val="-2"/>
          <w:kern w:val="22"/>
        </w:rPr>
        <w:t>th</w:t>
      </w:r>
      <w:r w:rsidRPr="00082992">
        <w:rPr>
          <w:spacing w:val="-2"/>
          <w:kern w:val="22"/>
        </w:rPr>
        <w:t xml:space="preserve"> referendum, </w:t>
      </w:r>
      <w:r w:rsidR="00E93112" w:rsidRPr="00082992">
        <w:rPr>
          <w:spacing w:val="-2"/>
          <w:kern w:val="22"/>
        </w:rPr>
        <w:t xml:space="preserve">but </w:t>
      </w:r>
      <w:r w:rsidRPr="00082992">
        <w:rPr>
          <w:spacing w:val="-2"/>
          <w:kern w:val="22"/>
        </w:rPr>
        <w:t xml:space="preserve">the Greek </w:t>
      </w:r>
      <w:r w:rsidR="00E93112" w:rsidRPr="00082992">
        <w:rPr>
          <w:spacing w:val="-2"/>
          <w:kern w:val="22"/>
        </w:rPr>
        <w:t>p</w:t>
      </w:r>
      <w:r w:rsidRPr="00082992">
        <w:rPr>
          <w:spacing w:val="-2"/>
          <w:kern w:val="22"/>
        </w:rPr>
        <w:t>arliament, led by Tsipras, accepted the bailout deal. Consequently, in August 2015, Greece received its third bailout of €86 billion ($96 billion)</w:t>
      </w:r>
      <w:r w:rsidR="00E93112" w:rsidRPr="00082992">
        <w:rPr>
          <w:spacing w:val="-2"/>
          <w:kern w:val="22"/>
        </w:rPr>
        <w:t>,</w:t>
      </w:r>
      <w:r w:rsidRPr="00082992">
        <w:rPr>
          <w:spacing w:val="-2"/>
          <w:kern w:val="22"/>
        </w:rPr>
        <w:t xml:space="preserve"> to </w:t>
      </w:r>
      <w:proofErr w:type="gramStart"/>
      <w:r w:rsidRPr="00082992">
        <w:rPr>
          <w:spacing w:val="-2"/>
          <w:kern w:val="22"/>
        </w:rPr>
        <w:t>be distributed</w:t>
      </w:r>
      <w:proofErr w:type="gramEnd"/>
      <w:r w:rsidRPr="00082992">
        <w:rPr>
          <w:spacing w:val="-2"/>
          <w:kern w:val="22"/>
        </w:rPr>
        <w:t xml:space="preserve"> in tranches and </w:t>
      </w:r>
      <w:r w:rsidR="002511D1">
        <w:rPr>
          <w:spacing w:val="-2"/>
          <w:kern w:val="22"/>
        </w:rPr>
        <w:t xml:space="preserve">to </w:t>
      </w:r>
      <w:r w:rsidRPr="00082992">
        <w:rPr>
          <w:spacing w:val="-2"/>
          <w:kern w:val="22"/>
        </w:rPr>
        <w:t>conclude in August 2018. In return, the creditor nations, especially Germany, required policy commitments from Greece, including implementation of tax reforms, cuts in public spending, privatization of state assets</w:t>
      </w:r>
      <w:r w:rsidR="00E93112" w:rsidRPr="00082992">
        <w:rPr>
          <w:spacing w:val="-2"/>
          <w:kern w:val="22"/>
        </w:rPr>
        <w:t>,</w:t>
      </w:r>
      <w:r w:rsidRPr="00082992">
        <w:rPr>
          <w:spacing w:val="-2"/>
          <w:kern w:val="22"/>
        </w:rPr>
        <w:t xml:space="preserve"> and labour law reforms, among other austerity measures</w:t>
      </w:r>
      <w:r w:rsidR="00E93112" w:rsidRPr="00082992">
        <w:rPr>
          <w:spacing w:val="-2"/>
          <w:kern w:val="22"/>
        </w:rPr>
        <w:t>.</w:t>
      </w:r>
      <w:r w:rsidRPr="002511D1">
        <w:rPr>
          <w:rStyle w:val="EndnoteReference"/>
          <w:b w:val="0"/>
          <w:color w:val="auto"/>
        </w:rPr>
        <w:endnoteReference w:id="74"/>
      </w:r>
      <w:r w:rsidRPr="00082992">
        <w:rPr>
          <w:spacing w:val="-2"/>
          <w:kern w:val="22"/>
        </w:rPr>
        <w:t xml:space="preserve"> </w:t>
      </w:r>
      <w:r w:rsidR="00E93112" w:rsidRPr="00082992">
        <w:rPr>
          <w:spacing w:val="-2"/>
          <w:kern w:val="22"/>
        </w:rPr>
        <w:t>The goal was to</w:t>
      </w:r>
      <w:r w:rsidRPr="00082992">
        <w:rPr>
          <w:spacing w:val="-2"/>
          <w:kern w:val="22"/>
        </w:rPr>
        <w:t xml:space="preserve"> achieve a primary budget surplus of 3.5 per cent of GDP by 2018 (0.25 per cent deficit in 2015, 0.5 per cent surplus in 2016</w:t>
      </w:r>
      <w:r w:rsidR="00E93112" w:rsidRPr="00082992">
        <w:rPr>
          <w:spacing w:val="-2"/>
          <w:kern w:val="22"/>
        </w:rPr>
        <w:t>,</w:t>
      </w:r>
      <w:r w:rsidRPr="00082992">
        <w:rPr>
          <w:spacing w:val="-2"/>
          <w:kern w:val="22"/>
        </w:rPr>
        <w:t xml:space="preserve"> and 1.75 per cent surplus in 2017).</w:t>
      </w:r>
      <w:r w:rsidRPr="00D43603">
        <w:rPr>
          <w:rStyle w:val="EndnoteReference"/>
          <w:b w:val="0"/>
          <w:color w:val="auto"/>
          <w:spacing w:val="-2"/>
          <w:kern w:val="22"/>
        </w:rPr>
        <w:endnoteReference w:id="75"/>
      </w:r>
      <w:r w:rsidRPr="00082992">
        <w:rPr>
          <w:spacing w:val="-2"/>
          <w:kern w:val="22"/>
        </w:rPr>
        <w:t xml:space="preserve"> The Bank of Greece felt that this was not feasible and proposed a surplus of 1.5 to 2 per cent of GDP (see Exhibit 6).</w:t>
      </w:r>
      <w:r w:rsidR="00E93112" w:rsidRPr="00D43603">
        <w:rPr>
          <w:rStyle w:val="EndnoteReference"/>
          <w:b w:val="0"/>
          <w:color w:val="auto"/>
        </w:rPr>
        <w:endnoteReference w:id="76"/>
      </w:r>
    </w:p>
    <w:p w14:paraId="12A89E9E" w14:textId="77777777" w:rsidR="00921F77" w:rsidRPr="00082992" w:rsidRDefault="00921F77" w:rsidP="006D5856">
      <w:pPr>
        <w:pStyle w:val="BodyTextMain"/>
      </w:pPr>
    </w:p>
    <w:p w14:paraId="69D9BDF5" w14:textId="6A7F425B" w:rsidR="00921F77" w:rsidRPr="00082992" w:rsidRDefault="00921F77" w:rsidP="006D5856">
      <w:pPr>
        <w:pStyle w:val="BodyTextMain"/>
        <w:rPr>
          <w:spacing w:val="-2"/>
          <w:kern w:val="22"/>
        </w:rPr>
      </w:pPr>
      <w:r w:rsidRPr="00082992">
        <w:rPr>
          <w:spacing w:val="-2"/>
          <w:kern w:val="22"/>
        </w:rPr>
        <w:t xml:space="preserve">A division rose between the IMF and the </w:t>
      </w:r>
      <w:r w:rsidR="00E93112" w:rsidRPr="00082992">
        <w:rPr>
          <w:spacing w:val="-2"/>
          <w:kern w:val="22"/>
        </w:rPr>
        <w:t>Euro</w:t>
      </w:r>
      <w:r w:rsidRPr="00082992">
        <w:rPr>
          <w:spacing w:val="-2"/>
          <w:kern w:val="22"/>
        </w:rPr>
        <w:t>zone creditors. The IMF refused to contribut</w:t>
      </w:r>
      <w:r w:rsidR="00E93112" w:rsidRPr="00082992">
        <w:rPr>
          <w:spacing w:val="-2"/>
          <w:kern w:val="22"/>
        </w:rPr>
        <w:t>e</w:t>
      </w:r>
      <w:r w:rsidRPr="00082992">
        <w:rPr>
          <w:spacing w:val="-2"/>
          <w:kern w:val="22"/>
        </w:rPr>
        <w:t xml:space="preserve"> funds to this bailout unless the creditors provided Greece </w:t>
      </w:r>
      <w:r w:rsidR="00E93112" w:rsidRPr="00082992">
        <w:rPr>
          <w:spacing w:val="-2"/>
          <w:kern w:val="22"/>
        </w:rPr>
        <w:t xml:space="preserve">with </w:t>
      </w:r>
      <w:r w:rsidR="008423D5">
        <w:rPr>
          <w:spacing w:val="-2"/>
          <w:kern w:val="22"/>
        </w:rPr>
        <w:t>“</w:t>
      </w:r>
      <w:r w:rsidRPr="00082992">
        <w:rPr>
          <w:spacing w:val="-2"/>
          <w:kern w:val="22"/>
        </w:rPr>
        <w:t>significant debt relief</w:t>
      </w:r>
      <w:r w:rsidR="008423D5">
        <w:rPr>
          <w:spacing w:val="-2"/>
          <w:kern w:val="22"/>
        </w:rPr>
        <w:t>”</w:t>
      </w:r>
      <w:r w:rsidRPr="00082992">
        <w:rPr>
          <w:spacing w:val="-2"/>
          <w:kern w:val="22"/>
        </w:rPr>
        <w:t xml:space="preserve"> in the form of </w:t>
      </w:r>
      <w:r w:rsidR="008423D5">
        <w:rPr>
          <w:spacing w:val="-2"/>
          <w:kern w:val="22"/>
        </w:rPr>
        <w:t>“</w:t>
      </w:r>
      <w:r w:rsidRPr="00082992">
        <w:rPr>
          <w:spacing w:val="-2"/>
          <w:kern w:val="22"/>
        </w:rPr>
        <w:t>longer grace periods, longer payment schedules</w:t>
      </w:r>
      <w:r w:rsidR="00E93112" w:rsidRPr="00082992">
        <w:rPr>
          <w:spacing w:val="-2"/>
          <w:kern w:val="22"/>
        </w:rPr>
        <w:t>,</w:t>
      </w:r>
      <w:r w:rsidRPr="00082992">
        <w:rPr>
          <w:spacing w:val="-2"/>
          <w:kern w:val="22"/>
        </w:rPr>
        <w:t xml:space="preserve"> and lower interest rates, instead of outright debt cancellation</w:t>
      </w:r>
      <w:r w:rsidR="008423D5">
        <w:rPr>
          <w:spacing w:val="-2"/>
          <w:kern w:val="22"/>
        </w:rPr>
        <w:t>”</w:t>
      </w:r>
      <w:r w:rsidRPr="00082992">
        <w:rPr>
          <w:spacing w:val="-2"/>
          <w:kern w:val="22"/>
        </w:rPr>
        <w:t xml:space="preserve"> </w:t>
      </w:r>
      <w:r w:rsidR="002511D1">
        <w:rPr>
          <w:spacing w:val="-2"/>
          <w:kern w:val="22"/>
        </w:rPr>
        <w:t>because</w:t>
      </w:r>
      <w:r w:rsidRPr="00082992">
        <w:rPr>
          <w:spacing w:val="-2"/>
          <w:kern w:val="22"/>
        </w:rPr>
        <w:t xml:space="preserve"> </w:t>
      </w:r>
      <w:r w:rsidR="008423D5">
        <w:rPr>
          <w:spacing w:val="-2"/>
          <w:kern w:val="22"/>
        </w:rPr>
        <w:t>“</w:t>
      </w:r>
      <w:r w:rsidRPr="00082992">
        <w:rPr>
          <w:spacing w:val="-2"/>
          <w:kern w:val="22"/>
        </w:rPr>
        <w:t>it was unrealistic for Greece to repay its debts without extra help.</w:t>
      </w:r>
      <w:r w:rsidR="008423D5">
        <w:rPr>
          <w:spacing w:val="-2"/>
          <w:kern w:val="22"/>
        </w:rPr>
        <w:t>”</w:t>
      </w:r>
      <w:r w:rsidRPr="00D43603">
        <w:rPr>
          <w:rStyle w:val="EndnoteReference"/>
          <w:b w:val="0"/>
          <w:color w:val="auto"/>
        </w:rPr>
        <w:endnoteReference w:id="77"/>
      </w:r>
      <w:r w:rsidRPr="00082992">
        <w:rPr>
          <w:spacing w:val="-2"/>
          <w:kern w:val="22"/>
        </w:rPr>
        <w:t xml:space="preserve"> </w:t>
      </w:r>
      <w:r w:rsidR="00E93112" w:rsidRPr="00082992">
        <w:rPr>
          <w:spacing w:val="-2"/>
          <w:kern w:val="22"/>
        </w:rPr>
        <w:t xml:space="preserve">The IMF </w:t>
      </w:r>
      <w:r w:rsidRPr="00082992">
        <w:rPr>
          <w:spacing w:val="-2"/>
          <w:kern w:val="22"/>
        </w:rPr>
        <w:t xml:space="preserve">stressed debt restructuring and structural reforms, while the </w:t>
      </w:r>
      <w:r w:rsidR="00E93112" w:rsidRPr="00082992">
        <w:rPr>
          <w:spacing w:val="-2"/>
          <w:kern w:val="22"/>
        </w:rPr>
        <w:t>E</w:t>
      </w:r>
      <w:r w:rsidRPr="00082992">
        <w:rPr>
          <w:spacing w:val="-2"/>
          <w:kern w:val="22"/>
        </w:rPr>
        <w:t xml:space="preserve">urozone insisted on </w:t>
      </w:r>
      <w:r w:rsidR="00EC3460">
        <w:rPr>
          <w:spacing w:val="-2"/>
          <w:kern w:val="22"/>
        </w:rPr>
        <w:t xml:space="preserve">an </w:t>
      </w:r>
      <w:r w:rsidRPr="00082992">
        <w:rPr>
          <w:spacing w:val="-2"/>
          <w:kern w:val="22"/>
        </w:rPr>
        <w:t>austerity</w:t>
      </w:r>
      <w:r w:rsidR="002511D1">
        <w:rPr>
          <w:spacing w:val="-2"/>
          <w:kern w:val="22"/>
        </w:rPr>
        <w:t>-</w:t>
      </w:r>
      <w:r w:rsidRPr="00082992">
        <w:rPr>
          <w:spacing w:val="-2"/>
          <w:kern w:val="22"/>
        </w:rPr>
        <w:t>measures</w:t>
      </w:r>
      <w:r w:rsidR="00EC3460">
        <w:rPr>
          <w:spacing w:val="-2"/>
          <w:kern w:val="22"/>
        </w:rPr>
        <w:t>-led</w:t>
      </w:r>
      <w:r w:rsidRPr="00082992">
        <w:rPr>
          <w:spacing w:val="-2"/>
          <w:kern w:val="22"/>
        </w:rPr>
        <w:t xml:space="preserve"> fiscal surplus.</w:t>
      </w:r>
      <w:r w:rsidRPr="002511D1">
        <w:rPr>
          <w:rStyle w:val="EndnoteReference"/>
          <w:b w:val="0"/>
          <w:color w:val="auto"/>
          <w:spacing w:val="-2"/>
          <w:kern w:val="22"/>
        </w:rPr>
        <w:endnoteReference w:id="78"/>
      </w:r>
    </w:p>
    <w:p w14:paraId="6159406F" w14:textId="77777777" w:rsidR="00921F77" w:rsidRPr="00082992" w:rsidRDefault="00921F77" w:rsidP="006D5856">
      <w:pPr>
        <w:pStyle w:val="BodyTextMain"/>
      </w:pPr>
    </w:p>
    <w:p w14:paraId="3809D9C3" w14:textId="02379FD3" w:rsidR="00921F77" w:rsidRPr="00082992" w:rsidRDefault="00E93112" w:rsidP="006D5856">
      <w:pPr>
        <w:pStyle w:val="BodyTextMain"/>
      </w:pPr>
      <w:r w:rsidRPr="00082992">
        <w:t>In 2016, m</w:t>
      </w:r>
      <w:r w:rsidR="00921F77" w:rsidRPr="00082992">
        <w:t>ore than six years, 13 austerity packages, 12 pension cuts</w:t>
      </w:r>
      <w:r w:rsidRPr="00082992">
        <w:t>,</w:t>
      </w:r>
      <w:r w:rsidR="00921F77" w:rsidRPr="00082992">
        <w:t xml:space="preserve"> and </w:t>
      </w:r>
      <w:proofErr w:type="gramStart"/>
      <w:r w:rsidR="00921F77" w:rsidRPr="00082992">
        <w:t>three</w:t>
      </w:r>
      <w:proofErr w:type="gramEnd"/>
      <w:r w:rsidR="00921F77" w:rsidRPr="00082992">
        <w:t xml:space="preserve"> bailouts later, Greece </w:t>
      </w:r>
      <w:r w:rsidRPr="00082992">
        <w:t xml:space="preserve">was </w:t>
      </w:r>
      <w:r w:rsidR="00921F77" w:rsidRPr="00082992">
        <w:t>continu</w:t>
      </w:r>
      <w:r w:rsidRPr="00082992">
        <w:t>ing</w:t>
      </w:r>
      <w:r w:rsidR="00921F77" w:rsidRPr="00082992">
        <w:t xml:space="preserve"> its downward economic spiral. </w:t>
      </w:r>
      <w:r w:rsidR="002511D1">
        <w:t>Its</w:t>
      </w:r>
      <w:r w:rsidR="00921F77" w:rsidRPr="00082992">
        <w:t xml:space="preserve"> debt</w:t>
      </w:r>
      <w:r w:rsidRPr="00082992">
        <w:t xml:space="preserve"> </w:t>
      </w:r>
      <w:r w:rsidR="00921F77" w:rsidRPr="00082992">
        <w:t>stood at about 181 per cent of GDP. The repayment of loans received as part of the second bailout alone would continue until 2056.</w:t>
      </w:r>
      <w:r w:rsidR="00921F77" w:rsidRPr="00D43603">
        <w:rPr>
          <w:rStyle w:val="EndnoteReference"/>
          <w:b w:val="0"/>
          <w:color w:val="auto"/>
        </w:rPr>
        <w:endnoteReference w:id="79"/>
      </w:r>
      <w:r w:rsidR="00921F77" w:rsidRPr="00082992">
        <w:t xml:space="preserve"> Non-performing loans totalling $119 billion accounted for 45 per cent of the country’s loans. Unemployment was around 23 per cent, and about three-fourths of unemployed people had been jobless for at least a year.</w:t>
      </w:r>
      <w:r w:rsidR="00921F77" w:rsidRPr="00D43603">
        <w:rPr>
          <w:rStyle w:val="EndnoteReference"/>
          <w:b w:val="0"/>
          <w:color w:val="auto"/>
        </w:rPr>
        <w:endnoteReference w:id="80"/>
      </w:r>
      <w:r w:rsidR="00921F77" w:rsidRPr="00082992">
        <w:t xml:space="preserve"> Greek consumption had declined by 6.4 per cent and </w:t>
      </w:r>
      <w:r w:rsidR="00657C9B" w:rsidRPr="00082992">
        <w:t xml:space="preserve">exports by </w:t>
      </w:r>
      <w:r w:rsidR="00921F77" w:rsidRPr="00082992">
        <w:t xml:space="preserve">7.2 per cent in the second quarter of the year. The public sector accounted for 40 per cent of GDP. Greece’s real growth rate was </w:t>
      </w:r>
      <w:r w:rsidR="00657C9B" w:rsidRPr="00082992">
        <w:t>−</w:t>
      </w:r>
      <w:r w:rsidR="00921F77" w:rsidRPr="00082992">
        <w:t xml:space="preserve">0.1 per cent, inflation was </w:t>
      </w:r>
      <w:r w:rsidR="00657C9B" w:rsidRPr="00082992">
        <w:t>−</w:t>
      </w:r>
      <w:r w:rsidR="00921F77" w:rsidRPr="00082992">
        <w:t xml:space="preserve">0.82 per cent, </w:t>
      </w:r>
      <w:r w:rsidR="00657C9B" w:rsidRPr="00082992">
        <w:t xml:space="preserve">the </w:t>
      </w:r>
      <w:r w:rsidR="00921F77" w:rsidRPr="00082992">
        <w:t xml:space="preserve">fiscal deficit </w:t>
      </w:r>
      <w:r w:rsidR="00657C9B" w:rsidRPr="00082992">
        <w:t>was −</w:t>
      </w:r>
      <w:r w:rsidR="00921F77" w:rsidRPr="00082992">
        <w:t>4.5 per cent</w:t>
      </w:r>
      <w:r w:rsidR="00657C9B" w:rsidRPr="00082992">
        <w:t>,</w:t>
      </w:r>
      <w:r w:rsidR="00921F77" w:rsidRPr="00082992">
        <w:t xml:space="preserve"> and </w:t>
      </w:r>
      <w:r w:rsidR="00657C9B" w:rsidRPr="00082992">
        <w:t xml:space="preserve">the </w:t>
      </w:r>
      <w:r w:rsidR="00921F77" w:rsidRPr="00082992">
        <w:t xml:space="preserve">current account balance </w:t>
      </w:r>
      <w:r w:rsidR="00657C9B" w:rsidRPr="00082992">
        <w:t>was −</w:t>
      </w:r>
      <w:r w:rsidR="00921F77" w:rsidRPr="00082992">
        <w:t xml:space="preserve">$70 million. The country required foreign investment to kick-start growth, which seemed impossible, given the hostile fiscal policies faced by both domestic and foreign investors. The harsh austerity measures had led to greater tax evasion </w:t>
      </w:r>
      <w:r w:rsidR="003F3B27" w:rsidRPr="00082992">
        <w:t>and</w:t>
      </w:r>
      <w:r w:rsidR="00921F77" w:rsidRPr="00082992">
        <w:t xml:space="preserve"> Gree</w:t>
      </w:r>
      <w:r w:rsidR="00D471FC">
        <w:t>ce’s</w:t>
      </w:r>
      <w:r w:rsidR="00921F77" w:rsidRPr="00082992">
        <w:t xml:space="preserve"> </w:t>
      </w:r>
      <w:r w:rsidR="00D471FC">
        <w:t>attempts</w:t>
      </w:r>
      <w:r w:rsidR="003F3B27" w:rsidRPr="00082992">
        <w:t xml:space="preserve"> </w:t>
      </w:r>
      <w:r w:rsidR="00921F77" w:rsidRPr="00082992">
        <w:t xml:space="preserve">to renege </w:t>
      </w:r>
      <w:r w:rsidR="003F3B27" w:rsidRPr="00082992">
        <w:t xml:space="preserve">on </w:t>
      </w:r>
      <w:r w:rsidR="00D471FC">
        <w:t>its</w:t>
      </w:r>
      <w:r w:rsidR="00921F77" w:rsidRPr="00082992">
        <w:t xml:space="preserve"> loan repayments.</w:t>
      </w:r>
      <w:r w:rsidR="00921F77" w:rsidRPr="00D43603">
        <w:rPr>
          <w:rStyle w:val="EndnoteReference"/>
          <w:b w:val="0"/>
          <w:color w:val="auto"/>
        </w:rPr>
        <w:endnoteReference w:id="81"/>
      </w:r>
      <w:r w:rsidR="00921F77" w:rsidRPr="00082992">
        <w:t xml:space="preserve"> </w:t>
      </w:r>
    </w:p>
    <w:p w14:paraId="6CF3D5D8" w14:textId="77777777" w:rsidR="00921F77" w:rsidRPr="00082992" w:rsidRDefault="00921F77" w:rsidP="006D5856">
      <w:pPr>
        <w:pStyle w:val="BodyTextMain"/>
      </w:pPr>
    </w:p>
    <w:p w14:paraId="4AC5F7AF" w14:textId="683770CD" w:rsidR="009D6A25" w:rsidRPr="00082992" w:rsidRDefault="00921F77" w:rsidP="00B253F6">
      <w:pPr>
        <w:pStyle w:val="BodyTextMain"/>
      </w:pPr>
      <w:r w:rsidRPr="00082992">
        <w:t>In December 2016, the yields on Greek</w:t>
      </w:r>
      <w:r w:rsidR="003F3B27" w:rsidRPr="00082992">
        <w:t xml:space="preserve"> </w:t>
      </w:r>
      <w:r w:rsidRPr="00082992">
        <w:t xml:space="preserve">10-year </w:t>
      </w:r>
      <w:r w:rsidR="003F3B27" w:rsidRPr="00082992">
        <w:t>g</w:t>
      </w:r>
      <w:r w:rsidRPr="00082992">
        <w:t xml:space="preserve">overnment bonds stood at 6.94 per cent, as opposed to the 0.25 per cent </w:t>
      </w:r>
      <w:r w:rsidR="003F3B27" w:rsidRPr="00082992">
        <w:t xml:space="preserve">yield </w:t>
      </w:r>
      <w:r w:rsidRPr="00082992">
        <w:t>on German bonds of comparable maturities.</w:t>
      </w:r>
      <w:r w:rsidRPr="00D43603">
        <w:rPr>
          <w:rStyle w:val="EndnoteReference"/>
          <w:b w:val="0"/>
          <w:color w:val="auto"/>
        </w:rPr>
        <w:endnoteReference w:id="82"/>
      </w:r>
      <w:r w:rsidRPr="00082992">
        <w:t xml:space="preserve"> </w:t>
      </w:r>
      <w:r w:rsidR="003F3B27" w:rsidRPr="00082992">
        <w:t xml:space="preserve">Greece’s </w:t>
      </w:r>
      <w:r w:rsidRPr="00082992">
        <w:t xml:space="preserve">two-year bond yields were </w:t>
      </w:r>
      <w:r w:rsidR="003F3B27" w:rsidRPr="00082992">
        <w:t xml:space="preserve">even </w:t>
      </w:r>
      <w:r w:rsidRPr="00082992">
        <w:t>higher at 7.44 per cent</w:t>
      </w:r>
      <w:r w:rsidR="00E90B5A" w:rsidRPr="00082992">
        <w:t>,</w:t>
      </w:r>
      <w:r w:rsidRPr="00082992">
        <w:t xml:space="preserve"> compared to </w:t>
      </w:r>
      <w:r w:rsidR="003F3B27" w:rsidRPr="00082992">
        <w:t>−</w:t>
      </w:r>
      <w:r w:rsidRPr="00082992">
        <w:t xml:space="preserve">0.8 per cent </w:t>
      </w:r>
      <w:r w:rsidR="00E90B5A" w:rsidRPr="00082992">
        <w:t xml:space="preserve">for </w:t>
      </w:r>
      <w:r w:rsidR="003F3B27" w:rsidRPr="00082992">
        <w:t xml:space="preserve">their </w:t>
      </w:r>
      <w:r w:rsidRPr="00082992">
        <w:t>German equivalents.</w:t>
      </w:r>
      <w:r w:rsidRPr="00D43603">
        <w:rPr>
          <w:rStyle w:val="EndnoteReference"/>
          <w:b w:val="0"/>
          <w:color w:val="auto"/>
        </w:rPr>
        <w:endnoteReference w:id="83"/>
      </w:r>
      <w:r w:rsidRPr="00082992">
        <w:t xml:space="preserve"> </w:t>
      </w:r>
      <w:r w:rsidR="003F3B27" w:rsidRPr="00082992">
        <w:t>In December 2016, t</w:t>
      </w:r>
      <w:r w:rsidRPr="00082992">
        <w:t xml:space="preserve">he finance ministers of the 19 Eurozone countries offered </w:t>
      </w:r>
      <w:r w:rsidR="003F3B27" w:rsidRPr="00082992">
        <w:t xml:space="preserve">Greece </w:t>
      </w:r>
      <w:r w:rsidR="008423D5">
        <w:t>“</w:t>
      </w:r>
      <w:r w:rsidRPr="00082992">
        <w:t>short-term debt relief</w:t>
      </w:r>
      <w:r w:rsidR="007624A0">
        <w:t>,</w:t>
      </w:r>
      <w:r w:rsidR="008423D5">
        <w:t>”</w:t>
      </w:r>
      <w:r w:rsidRPr="00082992">
        <w:t xml:space="preserve"> to </w:t>
      </w:r>
      <w:proofErr w:type="gramStart"/>
      <w:r w:rsidRPr="00082992">
        <w:t>be applied</w:t>
      </w:r>
      <w:proofErr w:type="gramEnd"/>
      <w:r w:rsidRPr="00082992">
        <w:t xml:space="preserve"> before 2018</w:t>
      </w:r>
      <w:r w:rsidR="00D471FC">
        <w:t>, t</w:t>
      </w:r>
      <w:r w:rsidRPr="00082992">
        <w:t>hat could reduce the country</w:t>
      </w:r>
      <w:r w:rsidR="003F3B27" w:rsidRPr="00082992">
        <w:t>’</w:t>
      </w:r>
      <w:r w:rsidRPr="00082992">
        <w:t xml:space="preserve">s </w:t>
      </w:r>
      <w:r w:rsidR="00F2034E">
        <w:t>debt-to-G</w:t>
      </w:r>
      <w:r w:rsidR="00DB1143" w:rsidRPr="00082992">
        <w:t>DP</w:t>
      </w:r>
      <w:r w:rsidRPr="00082992">
        <w:t xml:space="preserve"> ratio by around 20 percentage points </w:t>
      </w:r>
      <w:r w:rsidR="003F3B27" w:rsidRPr="00082992">
        <w:t xml:space="preserve">by </w:t>
      </w:r>
      <w:r w:rsidRPr="00082992">
        <w:t>2060.</w:t>
      </w:r>
      <w:r w:rsidRPr="00D43603">
        <w:rPr>
          <w:rStyle w:val="EndnoteReference"/>
          <w:b w:val="0"/>
          <w:color w:val="auto"/>
        </w:rPr>
        <w:endnoteReference w:id="84"/>
      </w:r>
      <w:r w:rsidRPr="00082992">
        <w:t xml:space="preserve"> Within 10 days of </w:t>
      </w:r>
      <w:r w:rsidR="00DB1143" w:rsidRPr="00082992">
        <w:t xml:space="preserve">securing this </w:t>
      </w:r>
      <w:r w:rsidR="008423D5">
        <w:t>“</w:t>
      </w:r>
      <w:r w:rsidRPr="00082992">
        <w:t>relief</w:t>
      </w:r>
      <w:r w:rsidR="003F3B27" w:rsidRPr="00082992">
        <w:t>,</w:t>
      </w:r>
      <w:r w:rsidR="008423D5">
        <w:t>”</w:t>
      </w:r>
      <w:r w:rsidRPr="00082992">
        <w:t xml:space="preserve"> Greece snubbed its international lenders </w:t>
      </w:r>
      <w:r w:rsidR="007624A0">
        <w:t>by</w:t>
      </w:r>
      <w:r w:rsidRPr="00082992">
        <w:t xml:space="preserve"> offer</w:t>
      </w:r>
      <w:r w:rsidR="007624A0">
        <w:t>ing</w:t>
      </w:r>
      <w:r w:rsidRPr="00082992">
        <w:t xml:space="preserve"> its low-income pensioners a pre-Christmas payoff</w:t>
      </w:r>
      <w:r w:rsidR="003F3B27" w:rsidRPr="00082992">
        <w:t xml:space="preserve"> and</w:t>
      </w:r>
      <w:r w:rsidRPr="00082992">
        <w:t xml:space="preserve"> </w:t>
      </w:r>
      <w:r w:rsidR="00DB1143" w:rsidRPr="00082992">
        <w:t>institut</w:t>
      </w:r>
      <w:r w:rsidR="007624A0">
        <w:t>ing</w:t>
      </w:r>
      <w:r w:rsidR="00DB1143" w:rsidRPr="00082992">
        <w:t xml:space="preserve"> </w:t>
      </w:r>
      <w:r w:rsidRPr="00082992">
        <w:t>a VAT suspension</w:t>
      </w:r>
      <w:r w:rsidR="00DB1143" w:rsidRPr="00082992">
        <w:t xml:space="preserve"> on some islands</w:t>
      </w:r>
      <w:r w:rsidRPr="00082992">
        <w:t>, which violated the terms of the 2015 bailout. The prospect of an exit from the Euro</w:t>
      </w:r>
      <w:r w:rsidR="003F3B27" w:rsidRPr="00082992">
        <w:t>zone</w:t>
      </w:r>
      <w:r w:rsidRPr="00082992">
        <w:t xml:space="preserve"> hung over Greece like </w:t>
      </w:r>
      <w:r w:rsidR="00D471FC">
        <w:t>an ominous cloud.</w:t>
      </w:r>
      <w:r w:rsidRPr="00082992">
        <w:t xml:space="preserve"> At the same time, Tsipras knew that the political reality of </w:t>
      </w:r>
      <w:r w:rsidR="003F3B27" w:rsidRPr="00082992">
        <w:t xml:space="preserve">the </w:t>
      </w:r>
      <w:r w:rsidRPr="00082992">
        <w:t xml:space="preserve">wafer-thin majority of two that his coalition government held </w:t>
      </w:r>
      <w:r w:rsidR="006D5856" w:rsidRPr="00082992">
        <w:t>gave him very little scope for fiscal navigation to accede to the creditors’ demands.</w:t>
      </w:r>
      <w:r w:rsidR="003F3B27" w:rsidRPr="00D43603">
        <w:rPr>
          <w:rStyle w:val="EndnoteReference"/>
          <w:b w:val="0"/>
          <w:color w:val="auto"/>
        </w:rPr>
        <w:endnoteReference w:id="85"/>
      </w:r>
      <w:r w:rsidR="006D5856" w:rsidRPr="00082992">
        <w:t xml:space="preserve"> Could Greece overcome its </w:t>
      </w:r>
      <w:r w:rsidR="008423D5">
        <w:t>“</w:t>
      </w:r>
      <w:r w:rsidR="006D5856" w:rsidRPr="00082992">
        <w:t>Achilles</w:t>
      </w:r>
      <w:r w:rsidR="007624A0">
        <w:t>’</w:t>
      </w:r>
      <w:r w:rsidR="006D5856" w:rsidRPr="00082992">
        <w:t xml:space="preserve"> heel</w:t>
      </w:r>
      <w:r w:rsidR="008423D5">
        <w:t>”</w:t>
      </w:r>
      <w:r w:rsidR="003F3B27" w:rsidRPr="00082992">
        <w:t>—</w:t>
      </w:r>
      <w:r w:rsidR="003A4E43" w:rsidRPr="00082992">
        <w:t xml:space="preserve">poor </w:t>
      </w:r>
      <w:r w:rsidR="006D5856" w:rsidRPr="00082992">
        <w:t>fiscal policy? How could Tsipras set the Greek fiscal house in order?</w:t>
      </w:r>
    </w:p>
    <w:p w14:paraId="4E4F726A" w14:textId="7825EF62" w:rsidR="004F59FC" w:rsidRPr="00082992" w:rsidRDefault="004F59FC">
      <w:pPr>
        <w:spacing w:after="200" w:line="276" w:lineRule="auto"/>
        <w:rPr>
          <w:rFonts w:ascii="Arial" w:hAnsi="Arial" w:cs="Arial"/>
          <w:sz w:val="17"/>
          <w:szCs w:val="17"/>
        </w:rPr>
      </w:pPr>
      <w:r w:rsidRPr="00082992">
        <w:br w:type="page"/>
      </w:r>
    </w:p>
    <w:p w14:paraId="32A996B0" w14:textId="03D8C0C4" w:rsidR="00F14515" w:rsidRPr="00082992" w:rsidRDefault="00F14515" w:rsidP="00082992">
      <w:pPr>
        <w:pStyle w:val="ExhibitHeading"/>
      </w:pPr>
      <w:r w:rsidRPr="00082992">
        <w:lastRenderedPageBreak/>
        <w:t xml:space="preserve">EXHIBIT 1: TIMELINE OF </w:t>
      </w:r>
      <w:r w:rsidR="005C7694" w:rsidRPr="00082992">
        <w:t>GREECE’S DEFAULTS AND BAILOUTS</w:t>
      </w:r>
    </w:p>
    <w:p w14:paraId="40330CBC" w14:textId="77777777" w:rsidR="00F57647" w:rsidRPr="00082992" w:rsidRDefault="00F57647" w:rsidP="004149A5">
      <w:pPr>
        <w:pStyle w:val="Footnote"/>
        <w:jc w:val="center"/>
        <w:rPr>
          <w:sz w:val="20"/>
          <w:szCs w:val="20"/>
        </w:rPr>
      </w:pPr>
    </w:p>
    <w:tbl>
      <w:tblPr>
        <w:tblStyle w:val="TableGrid"/>
        <w:tblW w:w="4849" w:type="pct"/>
        <w:jc w:val="center"/>
        <w:tblCellMar>
          <w:top w:w="29" w:type="dxa"/>
          <w:left w:w="115" w:type="dxa"/>
          <w:bottom w:w="29" w:type="dxa"/>
          <w:right w:w="115" w:type="dxa"/>
        </w:tblCellMar>
        <w:tblLook w:val="04A0" w:firstRow="1" w:lastRow="0" w:firstColumn="1" w:lastColumn="0" w:noHBand="0" w:noVBand="1"/>
      </w:tblPr>
      <w:tblGrid>
        <w:gridCol w:w="1226"/>
        <w:gridCol w:w="7842"/>
      </w:tblGrid>
      <w:tr w:rsidR="00082992" w:rsidRPr="00082992" w14:paraId="0E5668B4" w14:textId="77777777" w:rsidTr="00B744B7">
        <w:trPr>
          <w:trHeight w:val="20"/>
          <w:jc w:val="center"/>
        </w:trPr>
        <w:tc>
          <w:tcPr>
            <w:tcW w:w="1226" w:type="dxa"/>
            <w:vAlign w:val="center"/>
          </w:tcPr>
          <w:p w14:paraId="72050F7A" w14:textId="23C4BE46" w:rsidR="00F57647" w:rsidRPr="00082992" w:rsidRDefault="004F59FC" w:rsidP="004F59FC">
            <w:pPr>
              <w:pStyle w:val="ExhibitText"/>
              <w:jc w:val="center"/>
              <w:rPr>
                <w:b/>
                <w:sz w:val="18"/>
                <w:szCs w:val="18"/>
              </w:rPr>
            </w:pPr>
            <w:r w:rsidRPr="00082992">
              <w:rPr>
                <w:b/>
                <w:sz w:val="18"/>
                <w:szCs w:val="18"/>
              </w:rPr>
              <w:t>Year</w:t>
            </w:r>
          </w:p>
        </w:tc>
        <w:tc>
          <w:tcPr>
            <w:tcW w:w="7841" w:type="dxa"/>
            <w:vAlign w:val="center"/>
          </w:tcPr>
          <w:p w14:paraId="472FC2F1" w14:textId="7C4FEA61" w:rsidR="00F57647" w:rsidRPr="00082992" w:rsidRDefault="004F59FC" w:rsidP="004F59FC">
            <w:pPr>
              <w:pStyle w:val="ExhibitText"/>
              <w:jc w:val="left"/>
              <w:rPr>
                <w:b/>
                <w:sz w:val="18"/>
                <w:szCs w:val="18"/>
              </w:rPr>
            </w:pPr>
            <w:r w:rsidRPr="00082992">
              <w:rPr>
                <w:b/>
                <w:sz w:val="18"/>
                <w:szCs w:val="18"/>
              </w:rPr>
              <w:t>Main Events</w:t>
            </w:r>
          </w:p>
        </w:tc>
      </w:tr>
      <w:tr w:rsidR="00082992" w:rsidRPr="00082992" w14:paraId="4D4B3B08" w14:textId="77777777" w:rsidTr="00B744B7">
        <w:trPr>
          <w:trHeight w:val="20"/>
          <w:jc w:val="center"/>
        </w:trPr>
        <w:tc>
          <w:tcPr>
            <w:tcW w:w="1226" w:type="dxa"/>
            <w:vAlign w:val="center"/>
          </w:tcPr>
          <w:p w14:paraId="23FB6A01" w14:textId="03B7DE9A" w:rsidR="00F57647" w:rsidRPr="00082992" w:rsidRDefault="00F57647" w:rsidP="004F59FC">
            <w:pPr>
              <w:pStyle w:val="ExhibitText"/>
              <w:jc w:val="center"/>
              <w:rPr>
                <w:sz w:val="18"/>
                <w:szCs w:val="18"/>
              </w:rPr>
            </w:pPr>
            <w:r w:rsidRPr="00082992">
              <w:rPr>
                <w:sz w:val="18"/>
                <w:szCs w:val="18"/>
              </w:rPr>
              <w:t>1824</w:t>
            </w:r>
            <w:r w:rsidR="004F59FC" w:rsidRPr="00082992">
              <w:rPr>
                <w:sz w:val="18"/>
                <w:szCs w:val="18"/>
              </w:rPr>
              <w:t>–18</w:t>
            </w:r>
            <w:r w:rsidRPr="00082992">
              <w:rPr>
                <w:sz w:val="18"/>
                <w:szCs w:val="18"/>
              </w:rPr>
              <w:t>25</w:t>
            </w:r>
          </w:p>
        </w:tc>
        <w:tc>
          <w:tcPr>
            <w:tcW w:w="7841" w:type="dxa"/>
            <w:vAlign w:val="center"/>
          </w:tcPr>
          <w:p w14:paraId="7F1E6D12" w14:textId="66ADBC46" w:rsidR="00F57647" w:rsidRPr="00082992" w:rsidRDefault="00F57647" w:rsidP="004F59FC">
            <w:pPr>
              <w:pStyle w:val="ExhibitText"/>
              <w:jc w:val="left"/>
              <w:rPr>
                <w:sz w:val="18"/>
                <w:szCs w:val="18"/>
              </w:rPr>
            </w:pPr>
            <w:r w:rsidRPr="00082992">
              <w:rPr>
                <w:sz w:val="18"/>
                <w:szCs w:val="18"/>
              </w:rPr>
              <w:t>Uprising against the Ottoman Empire. Two loans issued in London to finance the war</w:t>
            </w:r>
            <w:r w:rsidR="004F59FC" w:rsidRPr="00082992">
              <w:rPr>
                <w:sz w:val="18"/>
                <w:szCs w:val="18"/>
              </w:rPr>
              <w:t>.</w:t>
            </w:r>
          </w:p>
        </w:tc>
      </w:tr>
      <w:tr w:rsidR="00082992" w:rsidRPr="00082992" w14:paraId="21F24919" w14:textId="77777777" w:rsidTr="00B744B7">
        <w:trPr>
          <w:trHeight w:val="20"/>
          <w:jc w:val="center"/>
        </w:trPr>
        <w:tc>
          <w:tcPr>
            <w:tcW w:w="1226" w:type="dxa"/>
            <w:vAlign w:val="center"/>
          </w:tcPr>
          <w:p w14:paraId="5A248689" w14:textId="0455269C" w:rsidR="00F57647" w:rsidRPr="00082992" w:rsidRDefault="00F57647" w:rsidP="004F59FC">
            <w:pPr>
              <w:pStyle w:val="ExhibitText"/>
              <w:jc w:val="center"/>
              <w:rPr>
                <w:sz w:val="18"/>
                <w:szCs w:val="18"/>
              </w:rPr>
            </w:pPr>
            <w:r w:rsidRPr="00082992">
              <w:rPr>
                <w:sz w:val="18"/>
                <w:szCs w:val="18"/>
              </w:rPr>
              <w:t>1826</w:t>
            </w:r>
          </w:p>
        </w:tc>
        <w:tc>
          <w:tcPr>
            <w:tcW w:w="7841" w:type="dxa"/>
            <w:vAlign w:val="center"/>
          </w:tcPr>
          <w:p w14:paraId="464A0D70" w14:textId="77D3F296" w:rsidR="00F57647" w:rsidRPr="00082992" w:rsidRDefault="00C02C53" w:rsidP="004F59FC">
            <w:pPr>
              <w:pStyle w:val="ExhibitText"/>
              <w:jc w:val="left"/>
              <w:rPr>
                <w:sz w:val="18"/>
                <w:szCs w:val="18"/>
              </w:rPr>
            </w:pPr>
            <w:r w:rsidRPr="00082992">
              <w:rPr>
                <w:sz w:val="18"/>
                <w:szCs w:val="18"/>
              </w:rPr>
              <w:t xml:space="preserve">First Greek </w:t>
            </w:r>
            <w:r w:rsidR="004F59FC" w:rsidRPr="00082992">
              <w:rPr>
                <w:sz w:val="18"/>
                <w:szCs w:val="18"/>
              </w:rPr>
              <w:t>d</w:t>
            </w:r>
            <w:r w:rsidR="00F57647" w:rsidRPr="00082992">
              <w:rPr>
                <w:sz w:val="18"/>
                <w:szCs w:val="18"/>
              </w:rPr>
              <w:t xml:space="preserve">efault on the </w:t>
            </w:r>
            <w:r w:rsidR="008423D5">
              <w:rPr>
                <w:sz w:val="18"/>
                <w:szCs w:val="18"/>
              </w:rPr>
              <w:t>“</w:t>
            </w:r>
            <w:r w:rsidR="00F57647" w:rsidRPr="00082992">
              <w:rPr>
                <w:sz w:val="18"/>
                <w:szCs w:val="18"/>
              </w:rPr>
              <w:t>independence loans</w:t>
            </w:r>
            <w:r w:rsidR="008423D5">
              <w:rPr>
                <w:sz w:val="18"/>
                <w:szCs w:val="18"/>
              </w:rPr>
              <w:t>”</w:t>
            </w:r>
            <w:r w:rsidR="00F57647" w:rsidRPr="00082992">
              <w:rPr>
                <w:sz w:val="18"/>
                <w:szCs w:val="18"/>
              </w:rPr>
              <w:t xml:space="preserve"> (</w:t>
            </w:r>
            <w:proofErr w:type="spellStart"/>
            <w:r w:rsidR="00F57647" w:rsidRPr="00082992">
              <w:rPr>
                <w:sz w:val="18"/>
                <w:szCs w:val="18"/>
              </w:rPr>
              <w:t>Debt</w:t>
            </w:r>
            <w:proofErr w:type="gramStart"/>
            <w:r w:rsidR="004F59FC" w:rsidRPr="00082992">
              <w:rPr>
                <w:sz w:val="18"/>
                <w:szCs w:val="18"/>
              </w:rPr>
              <w:t>:</w:t>
            </w:r>
            <w:r w:rsidR="00F57647" w:rsidRPr="00082992">
              <w:rPr>
                <w:sz w:val="18"/>
                <w:szCs w:val="18"/>
              </w:rPr>
              <w:t>GDP</w:t>
            </w:r>
            <w:proofErr w:type="spellEnd"/>
            <w:proofErr w:type="gramEnd"/>
            <w:r w:rsidR="004F59FC" w:rsidRPr="00082992">
              <w:rPr>
                <w:sz w:val="18"/>
                <w:szCs w:val="18"/>
              </w:rPr>
              <w:t xml:space="preserve"> </w:t>
            </w:r>
            <w:r w:rsidR="00F57647" w:rsidRPr="00082992">
              <w:rPr>
                <w:sz w:val="18"/>
                <w:szCs w:val="18"/>
              </w:rPr>
              <w:t>&gt;</w:t>
            </w:r>
            <w:r w:rsidR="004F59FC" w:rsidRPr="00082992">
              <w:rPr>
                <w:sz w:val="18"/>
                <w:szCs w:val="18"/>
              </w:rPr>
              <w:t xml:space="preserve"> </w:t>
            </w:r>
            <w:r w:rsidR="00F57647" w:rsidRPr="00082992">
              <w:rPr>
                <w:sz w:val="18"/>
                <w:szCs w:val="18"/>
              </w:rPr>
              <w:t>100%)</w:t>
            </w:r>
            <w:r w:rsidR="00C3225E">
              <w:rPr>
                <w:sz w:val="18"/>
                <w:szCs w:val="18"/>
              </w:rPr>
              <w:t>.</w:t>
            </w:r>
          </w:p>
        </w:tc>
      </w:tr>
      <w:tr w:rsidR="00082992" w:rsidRPr="00082992" w14:paraId="705A6B5B" w14:textId="77777777" w:rsidTr="00B744B7">
        <w:trPr>
          <w:trHeight w:val="20"/>
          <w:jc w:val="center"/>
        </w:trPr>
        <w:tc>
          <w:tcPr>
            <w:tcW w:w="1226" w:type="dxa"/>
            <w:vAlign w:val="center"/>
          </w:tcPr>
          <w:p w14:paraId="66EAFB87" w14:textId="498209FE" w:rsidR="00F57647" w:rsidRPr="00082992" w:rsidRDefault="00F57647" w:rsidP="004F59FC">
            <w:pPr>
              <w:pStyle w:val="ExhibitText"/>
              <w:jc w:val="center"/>
              <w:rPr>
                <w:sz w:val="18"/>
                <w:szCs w:val="18"/>
              </w:rPr>
            </w:pPr>
            <w:r w:rsidRPr="00082992">
              <w:rPr>
                <w:sz w:val="18"/>
                <w:szCs w:val="18"/>
              </w:rPr>
              <w:t>1829</w:t>
            </w:r>
          </w:p>
        </w:tc>
        <w:tc>
          <w:tcPr>
            <w:tcW w:w="7841" w:type="dxa"/>
            <w:vAlign w:val="center"/>
          </w:tcPr>
          <w:p w14:paraId="5FC053C4" w14:textId="49B695C5" w:rsidR="00F57647" w:rsidRPr="00082992" w:rsidRDefault="00F57647" w:rsidP="004F59FC">
            <w:pPr>
              <w:pStyle w:val="ExhibitText"/>
              <w:jc w:val="left"/>
              <w:rPr>
                <w:sz w:val="18"/>
                <w:szCs w:val="18"/>
              </w:rPr>
            </w:pPr>
            <w:r w:rsidRPr="00082992">
              <w:rPr>
                <w:sz w:val="18"/>
                <w:szCs w:val="18"/>
              </w:rPr>
              <w:t>Independence</w:t>
            </w:r>
            <w:r w:rsidR="00C3225E">
              <w:rPr>
                <w:sz w:val="18"/>
                <w:szCs w:val="18"/>
              </w:rPr>
              <w:t>.</w:t>
            </w:r>
          </w:p>
        </w:tc>
      </w:tr>
      <w:tr w:rsidR="00082992" w:rsidRPr="00082992" w14:paraId="4210E24E" w14:textId="77777777" w:rsidTr="00B744B7">
        <w:trPr>
          <w:trHeight w:val="20"/>
          <w:jc w:val="center"/>
        </w:trPr>
        <w:tc>
          <w:tcPr>
            <w:tcW w:w="1226" w:type="dxa"/>
            <w:vAlign w:val="center"/>
          </w:tcPr>
          <w:p w14:paraId="57D56423" w14:textId="5546336D" w:rsidR="00F57647" w:rsidRPr="00082992" w:rsidRDefault="00F57647" w:rsidP="004F59FC">
            <w:pPr>
              <w:pStyle w:val="ExhibitText"/>
              <w:jc w:val="center"/>
              <w:rPr>
                <w:sz w:val="18"/>
                <w:szCs w:val="18"/>
              </w:rPr>
            </w:pPr>
            <w:r w:rsidRPr="00082992">
              <w:rPr>
                <w:bCs/>
                <w:sz w:val="18"/>
                <w:szCs w:val="18"/>
              </w:rPr>
              <w:t>1833</w:t>
            </w:r>
          </w:p>
        </w:tc>
        <w:tc>
          <w:tcPr>
            <w:tcW w:w="7841" w:type="dxa"/>
            <w:vAlign w:val="center"/>
          </w:tcPr>
          <w:p w14:paraId="306F8A14" w14:textId="6065D063" w:rsidR="00F57647" w:rsidRPr="00082992" w:rsidRDefault="00F57647" w:rsidP="004F59FC">
            <w:pPr>
              <w:pStyle w:val="ExhibitText"/>
              <w:jc w:val="left"/>
              <w:rPr>
                <w:sz w:val="18"/>
                <w:szCs w:val="18"/>
              </w:rPr>
            </w:pPr>
            <w:r w:rsidRPr="00082992">
              <w:rPr>
                <w:sz w:val="18"/>
                <w:szCs w:val="18"/>
              </w:rPr>
              <w:t xml:space="preserve">King Otto of Bavaria enthroned as King of Greece. The three </w:t>
            </w:r>
            <w:r w:rsidR="008423D5">
              <w:rPr>
                <w:sz w:val="18"/>
                <w:szCs w:val="18"/>
              </w:rPr>
              <w:t>“</w:t>
            </w:r>
            <w:r w:rsidRPr="00082992">
              <w:rPr>
                <w:sz w:val="18"/>
                <w:szCs w:val="18"/>
              </w:rPr>
              <w:t>Great Powers</w:t>
            </w:r>
            <w:r w:rsidR="008423D5">
              <w:rPr>
                <w:sz w:val="18"/>
                <w:szCs w:val="18"/>
              </w:rPr>
              <w:t>”</w:t>
            </w:r>
            <w:r w:rsidR="004F59FC" w:rsidRPr="00082992">
              <w:rPr>
                <w:sz w:val="18"/>
                <w:szCs w:val="18"/>
              </w:rPr>
              <w:t>—</w:t>
            </w:r>
            <w:r w:rsidRPr="00082992">
              <w:rPr>
                <w:sz w:val="18"/>
                <w:szCs w:val="18"/>
              </w:rPr>
              <w:t>Great Br</w:t>
            </w:r>
            <w:r w:rsidR="00283C0D" w:rsidRPr="00082992">
              <w:rPr>
                <w:sz w:val="18"/>
                <w:szCs w:val="18"/>
              </w:rPr>
              <w:t>itain, Russia</w:t>
            </w:r>
            <w:r w:rsidR="004F59FC" w:rsidRPr="00082992">
              <w:rPr>
                <w:sz w:val="18"/>
                <w:szCs w:val="18"/>
              </w:rPr>
              <w:t>,</w:t>
            </w:r>
            <w:r w:rsidR="00283C0D" w:rsidRPr="00082992">
              <w:rPr>
                <w:sz w:val="18"/>
                <w:szCs w:val="18"/>
              </w:rPr>
              <w:t xml:space="preserve"> and France</w:t>
            </w:r>
            <w:r w:rsidR="004F59FC" w:rsidRPr="00082992">
              <w:rPr>
                <w:sz w:val="18"/>
                <w:szCs w:val="18"/>
              </w:rPr>
              <w:t>—</w:t>
            </w:r>
            <w:r w:rsidR="00283C0D" w:rsidRPr="00082992">
              <w:rPr>
                <w:sz w:val="18"/>
                <w:szCs w:val="18"/>
              </w:rPr>
              <w:t>bail</w:t>
            </w:r>
            <w:r w:rsidRPr="00082992">
              <w:rPr>
                <w:sz w:val="18"/>
                <w:szCs w:val="18"/>
              </w:rPr>
              <w:t xml:space="preserve"> Greece </w:t>
            </w:r>
            <w:r w:rsidR="004F59FC" w:rsidRPr="00082992">
              <w:rPr>
                <w:sz w:val="18"/>
                <w:szCs w:val="18"/>
              </w:rPr>
              <w:t xml:space="preserve">out </w:t>
            </w:r>
            <w:r w:rsidRPr="00082992">
              <w:rPr>
                <w:sz w:val="18"/>
                <w:szCs w:val="18"/>
              </w:rPr>
              <w:t>through a guaranteed loan of 60 million francs</w:t>
            </w:r>
            <w:r w:rsidR="004F59FC" w:rsidRPr="00082992">
              <w:rPr>
                <w:sz w:val="18"/>
                <w:szCs w:val="18"/>
              </w:rPr>
              <w:t>,</w:t>
            </w:r>
            <w:r w:rsidRPr="00082992">
              <w:rPr>
                <w:sz w:val="18"/>
                <w:szCs w:val="18"/>
              </w:rPr>
              <w:t xml:space="preserve"> to be raised in private markets, in exchange for legal control over Greek revenues. </w:t>
            </w:r>
          </w:p>
        </w:tc>
      </w:tr>
      <w:tr w:rsidR="00082992" w:rsidRPr="00082992" w14:paraId="5C448803" w14:textId="77777777" w:rsidTr="00B744B7">
        <w:trPr>
          <w:trHeight w:val="20"/>
          <w:jc w:val="center"/>
        </w:trPr>
        <w:tc>
          <w:tcPr>
            <w:tcW w:w="1226" w:type="dxa"/>
            <w:vAlign w:val="center"/>
          </w:tcPr>
          <w:p w14:paraId="1CC6974A" w14:textId="012FBB16" w:rsidR="00F57647" w:rsidRPr="00082992" w:rsidRDefault="00F57647" w:rsidP="004F59FC">
            <w:pPr>
              <w:pStyle w:val="ExhibitText"/>
              <w:jc w:val="center"/>
              <w:rPr>
                <w:sz w:val="18"/>
                <w:szCs w:val="18"/>
              </w:rPr>
            </w:pPr>
            <w:r w:rsidRPr="00082992">
              <w:rPr>
                <w:sz w:val="18"/>
                <w:szCs w:val="18"/>
              </w:rPr>
              <w:t>1843</w:t>
            </w:r>
          </w:p>
        </w:tc>
        <w:tc>
          <w:tcPr>
            <w:tcW w:w="7841" w:type="dxa"/>
            <w:vAlign w:val="center"/>
          </w:tcPr>
          <w:p w14:paraId="09A6BA44" w14:textId="2D67C7E4" w:rsidR="00F57647" w:rsidRPr="00082992" w:rsidRDefault="00283C0D" w:rsidP="004F59FC">
            <w:pPr>
              <w:pStyle w:val="ExhibitText"/>
              <w:jc w:val="left"/>
              <w:rPr>
                <w:sz w:val="18"/>
                <w:szCs w:val="18"/>
              </w:rPr>
            </w:pPr>
            <w:r w:rsidRPr="00082992">
              <w:rPr>
                <w:sz w:val="18"/>
                <w:szCs w:val="18"/>
              </w:rPr>
              <w:t>High taxes and expense cuts in Greece in exchange for th</w:t>
            </w:r>
            <w:r w:rsidR="00C3225E">
              <w:rPr>
                <w:sz w:val="18"/>
                <w:szCs w:val="18"/>
              </w:rPr>
              <w:t>e 1833</w:t>
            </w:r>
            <w:r w:rsidRPr="00082992">
              <w:rPr>
                <w:sz w:val="18"/>
                <w:szCs w:val="18"/>
              </w:rPr>
              <w:t xml:space="preserve"> bailout cause public discontent. </w:t>
            </w:r>
            <w:r w:rsidR="00F57647" w:rsidRPr="00082992">
              <w:rPr>
                <w:sz w:val="18"/>
                <w:szCs w:val="18"/>
              </w:rPr>
              <w:t>Economic crisis and revolt against Otto</w:t>
            </w:r>
            <w:r w:rsidR="004F59FC" w:rsidRPr="00082992">
              <w:rPr>
                <w:sz w:val="18"/>
                <w:szCs w:val="18"/>
              </w:rPr>
              <w:t>.</w:t>
            </w:r>
          </w:p>
        </w:tc>
      </w:tr>
      <w:tr w:rsidR="00082992" w:rsidRPr="00082992" w14:paraId="40B40AC2" w14:textId="77777777" w:rsidTr="00B744B7">
        <w:trPr>
          <w:trHeight w:val="20"/>
          <w:jc w:val="center"/>
        </w:trPr>
        <w:tc>
          <w:tcPr>
            <w:tcW w:w="1226" w:type="dxa"/>
            <w:vAlign w:val="center"/>
          </w:tcPr>
          <w:p w14:paraId="4C22B59A" w14:textId="658FC75B" w:rsidR="00F57647" w:rsidRPr="00082992" w:rsidRDefault="00F57647" w:rsidP="004F59FC">
            <w:pPr>
              <w:pStyle w:val="ExhibitText"/>
              <w:jc w:val="center"/>
              <w:rPr>
                <w:sz w:val="18"/>
                <w:szCs w:val="18"/>
              </w:rPr>
            </w:pPr>
            <w:r w:rsidRPr="00082992">
              <w:rPr>
                <w:sz w:val="18"/>
                <w:szCs w:val="18"/>
              </w:rPr>
              <w:t>1862</w:t>
            </w:r>
          </w:p>
        </w:tc>
        <w:tc>
          <w:tcPr>
            <w:tcW w:w="7841" w:type="dxa"/>
            <w:vAlign w:val="center"/>
          </w:tcPr>
          <w:p w14:paraId="6A9DBEF7" w14:textId="26F67A60" w:rsidR="00F57647" w:rsidRPr="00082992" w:rsidRDefault="00F57647" w:rsidP="004F59FC">
            <w:pPr>
              <w:pStyle w:val="ExhibitText"/>
              <w:jc w:val="left"/>
              <w:rPr>
                <w:sz w:val="18"/>
                <w:szCs w:val="18"/>
              </w:rPr>
            </w:pPr>
            <w:r w:rsidRPr="00082992">
              <w:rPr>
                <w:sz w:val="18"/>
                <w:szCs w:val="18"/>
              </w:rPr>
              <w:t>King Otto overthrown</w:t>
            </w:r>
            <w:r w:rsidR="004F59FC" w:rsidRPr="00082992">
              <w:rPr>
                <w:sz w:val="18"/>
                <w:szCs w:val="18"/>
              </w:rPr>
              <w:t>.</w:t>
            </w:r>
          </w:p>
        </w:tc>
      </w:tr>
      <w:tr w:rsidR="00082992" w:rsidRPr="00082992" w14:paraId="49B89780" w14:textId="77777777" w:rsidTr="00B744B7">
        <w:trPr>
          <w:trHeight w:val="20"/>
          <w:jc w:val="center"/>
        </w:trPr>
        <w:tc>
          <w:tcPr>
            <w:tcW w:w="1226" w:type="dxa"/>
            <w:vAlign w:val="center"/>
          </w:tcPr>
          <w:p w14:paraId="560D8613" w14:textId="492B7B34" w:rsidR="00F57647" w:rsidRPr="00082992" w:rsidRDefault="00F57647" w:rsidP="004F59FC">
            <w:pPr>
              <w:pStyle w:val="ExhibitText"/>
              <w:jc w:val="center"/>
              <w:rPr>
                <w:sz w:val="18"/>
                <w:szCs w:val="18"/>
              </w:rPr>
            </w:pPr>
            <w:r w:rsidRPr="00082992">
              <w:rPr>
                <w:sz w:val="18"/>
                <w:szCs w:val="18"/>
              </w:rPr>
              <w:t>1878</w:t>
            </w:r>
            <w:r w:rsidR="004F59FC" w:rsidRPr="00082992">
              <w:rPr>
                <w:sz w:val="18"/>
                <w:szCs w:val="18"/>
              </w:rPr>
              <w:t>–18</w:t>
            </w:r>
            <w:r w:rsidR="00283C0D" w:rsidRPr="00082992">
              <w:rPr>
                <w:sz w:val="18"/>
                <w:szCs w:val="18"/>
              </w:rPr>
              <w:t>79</w:t>
            </w:r>
          </w:p>
        </w:tc>
        <w:tc>
          <w:tcPr>
            <w:tcW w:w="7841" w:type="dxa"/>
            <w:vAlign w:val="center"/>
          </w:tcPr>
          <w:p w14:paraId="5FDD5952" w14:textId="58C17BFB" w:rsidR="00F57647" w:rsidRPr="00082992" w:rsidRDefault="007034FB" w:rsidP="004F59FC">
            <w:pPr>
              <w:pStyle w:val="ExhibitText"/>
              <w:jc w:val="left"/>
              <w:rPr>
                <w:sz w:val="18"/>
                <w:szCs w:val="18"/>
              </w:rPr>
            </w:pPr>
            <w:r w:rsidRPr="00082992">
              <w:rPr>
                <w:sz w:val="18"/>
                <w:szCs w:val="18"/>
              </w:rPr>
              <w:t>Debt restructuring and exit from crisis</w:t>
            </w:r>
            <w:r w:rsidR="0013505B" w:rsidRPr="00082992">
              <w:rPr>
                <w:sz w:val="18"/>
                <w:szCs w:val="18"/>
              </w:rPr>
              <w:t>. Beginning of another lending boom</w:t>
            </w:r>
            <w:r w:rsidR="004F59FC" w:rsidRPr="00082992">
              <w:rPr>
                <w:sz w:val="18"/>
                <w:szCs w:val="18"/>
              </w:rPr>
              <w:t>.</w:t>
            </w:r>
          </w:p>
        </w:tc>
      </w:tr>
      <w:tr w:rsidR="00082992" w:rsidRPr="00082992" w14:paraId="66AD7846" w14:textId="77777777" w:rsidTr="00B744B7">
        <w:trPr>
          <w:trHeight w:val="20"/>
          <w:jc w:val="center"/>
        </w:trPr>
        <w:tc>
          <w:tcPr>
            <w:tcW w:w="1226" w:type="dxa"/>
            <w:vAlign w:val="center"/>
          </w:tcPr>
          <w:p w14:paraId="6F0FB4B0" w14:textId="3ED7571E" w:rsidR="00C6270A" w:rsidRPr="00082992" w:rsidRDefault="00283C0D" w:rsidP="004F59FC">
            <w:pPr>
              <w:pStyle w:val="ExhibitText"/>
              <w:jc w:val="center"/>
              <w:rPr>
                <w:sz w:val="18"/>
                <w:szCs w:val="18"/>
              </w:rPr>
            </w:pPr>
            <w:r w:rsidRPr="00082992">
              <w:rPr>
                <w:sz w:val="18"/>
                <w:szCs w:val="18"/>
              </w:rPr>
              <w:t>1893</w:t>
            </w:r>
          </w:p>
        </w:tc>
        <w:tc>
          <w:tcPr>
            <w:tcW w:w="7841" w:type="dxa"/>
            <w:vAlign w:val="center"/>
          </w:tcPr>
          <w:p w14:paraId="4893BC59" w14:textId="11BE347D" w:rsidR="00C6270A" w:rsidRPr="00082992" w:rsidRDefault="00283C0D" w:rsidP="004F59FC">
            <w:pPr>
              <w:pStyle w:val="ExhibitText"/>
              <w:jc w:val="left"/>
              <w:rPr>
                <w:sz w:val="18"/>
                <w:szCs w:val="18"/>
              </w:rPr>
            </w:pPr>
            <w:r w:rsidRPr="00082992">
              <w:rPr>
                <w:sz w:val="18"/>
                <w:szCs w:val="18"/>
              </w:rPr>
              <w:t>Second Greek default</w:t>
            </w:r>
            <w:r w:rsidR="004F59FC" w:rsidRPr="00082992">
              <w:rPr>
                <w:sz w:val="18"/>
                <w:szCs w:val="18"/>
              </w:rPr>
              <w:t>.</w:t>
            </w:r>
          </w:p>
        </w:tc>
      </w:tr>
      <w:tr w:rsidR="00082992" w:rsidRPr="00082992" w14:paraId="1D56BDEB" w14:textId="77777777" w:rsidTr="00B744B7">
        <w:trPr>
          <w:trHeight w:val="20"/>
          <w:jc w:val="center"/>
        </w:trPr>
        <w:tc>
          <w:tcPr>
            <w:tcW w:w="1226" w:type="dxa"/>
            <w:vAlign w:val="center"/>
          </w:tcPr>
          <w:p w14:paraId="27EBFC62" w14:textId="3FB7981E" w:rsidR="00C6270A" w:rsidRPr="00082992" w:rsidRDefault="00283C0D" w:rsidP="004F59FC">
            <w:pPr>
              <w:pStyle w:val="ExhibitText"/>
              <w:jc w:val="center"/>
              <w:rPr>
                <w:sz w:val="18"/>
                <w:szCs w:val="18"/>
              </w:rPr>
            </w:pPr>
            <w:r w:rsidRPr="00082992">
              <w:rPr>
                <w:sz w:val="18"/>
                <w:szCs w:val="18"/>
              </w:rPr>
              <w:t>1898</w:t>
            </w:r>
          </w:p>
        </w:tc>
        <w:tc>
          <w:tcPr>
            <w:tcW w:w="7841" w:type="dxa"/>
            <w:vAlign w:val="center"/>
          </w:tcPr>
          <w:p w14:paraId="233E051C" w14:textId="24225B60" w:rsidR="00C6270A" w:rsidRPr="00082992" w:rsidRDefault="00283C0D" w:rsidP="004F59FC">
            <w:pPr>
              <w:pStyle w:val="ExhibitText"/>
              <w:jc w:val="left"/>
              <w:rPr>
                <w:bCs/>
                <w:sz w:val="18"/>
                <w:szCs w:val="18"/>
              </w:rPr>
            </w:pPr>
            <w:r w:rsidRPr="00082992">
              <w:rPr>
                <w:sz w:val="18"/>
                <w:szCs w:val="18"/>
              </w:rPr>
              <w:t xml:space="preserve">Second </w:t>
            </w:r>
            <w:r w:rsidR="004F59FC" w:rsidRPr="00082992">
              <w:rPr>
                <w:sz w:val="18"/>
                <w:szCs w:val="18"/>
              </w:rPr>
              <w:t>g</w:t>
            </w:r>
            <w:r w:rsidRPr="00082992">
              <w:rPr>
                <w:sz w:val="18"/>
                <w:szCs w:val="18"/>
              </w:rPr>
              <w:t>uaranteed loan by the Great Powers</w:t>
            </w:r>
            <w:r w:rsidR="001F667E" w:rsidRPr="00082992">
              <w:rPr>
                <w:sz w:val="18"/>
                <w:szCs w:val="18"/>
              </w:rPr>
              <w:t>. Greece’s fiscal affairs again become subject to external interference</w:t>
            </w:r>
            <w:r w:rsidR="001F667E" w:rsidRPr="00082992">
              <w:rPr>
                <w:bCs/>
                <w:sz w:val="18"/>
                <w:szCs w:val="18"/>
              </w:rPr>
              <w:t>.</w:t>
            </w:r>
          </w:p>
        </w:tc>
      </w:tr>
      <w:tr w:rsidR="00082992" w:rsidRPr="00082992" w14:paraId="3A4CE083" w14:textId="77777777" w:rsidTr="00B744B7">
        <w:trPr>
          <w:trHeight w:val="20"/>
          <w:jc w:val="center"/>
        </w:trPr>
        <w:tc>
          <w:tcPr>
            <w:tcW w:w="1226" w:type="dxa"/>
            <w:vAlign w:val="center"/>
          </w:tcPr>
          <w:p w14:paraId="23C0A36F" w14:textId="5518316A" w:rsidR="00C6270A" w:rsidRPr="00082992" w:rsidRDefault="00174098" w:rsidP="004F59FC">
            <w:pPr>
              <w:pStyle w:val="ExhibitText"/>
              <w:jc w:val="center"/>
              <w:rPr>
                <w:sz w:val="18"/>
                <w:szCs w:val="18"/>
              </w:rPr>
            </w:pPr>
            <w:r w:rsidRPr="00082992">
              <w:rPr>
                <w:sz w:val="18"/>
                <w:szCs w:val="18"/>
              </w:rPr>
              <w:t>1929</w:t>
            </w:r>
            <w:r w:rsidR="004F59FC" w:rsidRPr="00082992">
              <w:rPr>
                <w:sz w:val="18"/>
                <w:szCs w:val="18"/>
              </w:rPr>
              <w:t>–</w:t>
            </w:r>
            <w:r w:rsidRPr="00082992">
              <w:rPr>
                <w:sz w:val="18"/>
                <w:szCs w:val="18"/>
              </w:rPr>
              <w:t>193</w:t>
            </w:r>
            <w:r w:rsidR="00BD5BFE" w:rsidRPr="00082992">
              <w:rPr>
                <w:sz w:val="18"/>
                <w:szCs w:val="18"/>
              </w:rPr>
              <w:t>1</w:t>
            </w:r>
          </w:p>
        </w:tc>
        <w:tc>
          <w:tcPr>
            <w:tcW w:w="7841" w:type="dxa"/>
            <w:vAlign w:val="center"/>
          </w:tcPr>
          <w:p w14:paraId="304AA29B" w14:textId="7587EDE7" w:rsidR="00C6270A" w:rsidRPr="00082992" w:rsidRDefault="00174098" w:rsidP="004F59FC">
            <w:pPr>
              <w:pStyle w:val="ExhibitText"/>
              <w:jc w:val="left"/>
              <w:rPr>
                <w:sz w:val="18"/>
                <w:szCs w:val="18"/>
              </w:rPr>
            </w:pPr>
            <w:r w:rsidRPr="00082992">
              <w:rPr>
                <w:sz w:val="18"/>
                <w:szCs w:val="18"/>
              </w:rPr>
              <w:t>Government revenues decline, inflation rises to above 40</w:t>
            </w:r>
            <w:r w:rsidR="00C3225E">
              <w:rPr>
                <w:sz w:val="18"/>
                <w:szCs w:val="18"/>
              </w:rPr>
              <w:t>%</w:t>
            </w:r>
            <w:r w:rsidRPr="00082992">
              <w:rPr>
                <w:sz w:val="18"/>
                <w:szCs w:val="18"/>
              </w:rPr>
              <w:t>, exports shrink</w:t>
            </w:r>
            <w:r w:rsidR="004F59FC" w:rsidRPr="00082992">
              <w:rPr>
                <w:sz w:val="18"/>
                <w:szCs w:val="18"/>
              </w:rPr>
              <w:t>,</w:t>
            </w:r>
            <w:r w:rsidRPr="00082992">
              <w:rPr>
                <w:sz w:val="18"/>
                <w:szCs w:val="18"/>
              </w:rPr>
              <w:t xml:space="preserve"> an</w:t>
            </w:r>
            <w:r w:rsidR="003F3CBC" w:rsidRPr="00082992">
              <w:rPr>
                <w:sz w:val="18"/>
                <w:szCs w:val="18"/>
              </w:rPr>
              <w:t>d foreign exchange reserves</w:t>
            </w:r>
            <w:r w:rsidRPr="00082992">
              <w:rPr>
                <w:sz w:val="18"/>
                <w:szCs w:val="18"/>
              </w:rPr>
              <w:t xml:space="preserve"> </w:t>
            </w:r>
            <w:r w:rsidR="003F3CBC" w:rsidRPr="00082992">
              <w:rPr>
                <w:sz w:val="18"/>
                <w:szCs w:val="18"/>
              </w:rPr>
              <w:t>deplete</w:t>
            </w:r>
            <w:r w:rsidRPr="00082992">
              <w:rPr>
                <w:sz w:val="18"/>
                <w:szCs w:val="18"/>
              </w:rPr>
              <w:t xml:space="preserve">. A banking crisis in 1931, as </w:t>
            </w:r>
            <w:r w:rsidR="004F59FC" w:rsidRPr="00082992">
              <w:rPr>
                <w:sz w:val="18"/>
                <w:szCs w:val="18"/>
              </w:rPr>
              <w:t xml:space="preserve">well as </w:t>
            </w:r>
            <w:r w:rsidRPr="00082992">
              <w:rPr>
                <w:sz w:val="18"/>
                <w:szCs w:val="18"/>
              </w:rPr>
              <w:t>a mass immigration of refugees from Asia Minor</w:t>
            </w:r>
            <w:r w:rsidR="004F59FC" w:rsidRPr="00082992">
              <w:rPr>
                <w:sz w:val="18"/>
                <w:szCs w:val="18"/>
              </w:rPr>
              <w:t>,</w:t>
            </w:r>
            <w:r w:rsidRPr="00082992">
              <w:rPr>
                <w:sz w:val="18"/>
                <w:szCs w:val="18"/>
              </w:rPr>
              <w:t xml:space="preserve"> leads to worsening public finances. </w:t>
            </w:r>
            <w:r w:rsidR="004F59FC" w:rsidRPr="00082992">
              <w:rPr>
                <w:sz w:val="18"/>
                <w:szCs w:val="18"/>
              </w:rPr>
              <w:t xml:space="preserve">Two </w:t>
            </w:r>
            <w:r w:rsidR="008423D5">
              <w:rPr>
                <w:sz w:val="18"/>
                <w:szCs w:val="18"/>
              </w:rPr>
              <w:t>“</w:t>
            </w:r>
            <w:r w:rsidRPr="00082992">
              <w:rPr>
                <w:sz w:val="18"/>
                <w:szCs w:val="18"/>
              </w:rPr>
              <w:t>refugee loans</w:t>
            </w:r>
            <w:r w:rsidR="008423D5">
              <w:rPr>
                <w:sz w:val="18"/>
                <w:szCs w:val="18"/>
              </w:rPr>
              <w:t>”</w:t>
            </w:r>
            <w:r w:rsidRPr="00082992">
              <w:rPr>
                <w:sz w:val="18"/>
                <w:szCs w:val="18"/>
              </w:rPr>
              <w:t xml:space="preserve"> borrowed in 1924 and 1928, with the League of Nations acting as the trustee.</w:t>
            </w:r>
          </w:p>
        </w:tc>
      </w:tr>
      <w:tr w:rsidR="00082992" w:rsidRPr="00082992" w14:paraId="4CCC8D70" w14:textId="77777777" w:rsidTr="00B744B7">
        <w:trPr>
          <w:trHeight w:val="20"/>
          <w:jc w:val="center"/>
        </w:trPr>
        <w:tc>
          <w:tcPr>
            <w:tcW w:w="1226" w:type="dxa"/>
            <w:vAlign w:val="center"/>
          </w:tcPr>
          <w:p w14:paraId="324DD104" w14:textId="778F7514" w:rsidR="00C6270A" w:rsidRPr="00082992" w:rsidRDefault="00BD5BFE" w:rsidP="004F59FC">
            <w:pPr>
              <w:pStyle w:val="ExhibitText"/>
              <w:jc w:val="center"/>
              <w:rPr>
                <w:sz w:val="18"/>
                <w:szCs w:val="18"/>
              </w:rPr>
            </w:pPr>
            <w:r w:rsidRPr="00082992">
              <w:rPr>
                <w:sz w:val="18"/>
                <w:szCs w:val="18"/>
              </w:rPr>
              <w:t>1932</w:t>
            </w:r>
          </w:p>
        </w:tc>
        <w:tc>
          <w:tcPr>
            <w:tcW w:w="7841" w:type="dxa"/>
            <w:vAlign w:val="center"/>
          </w:tcPr>
          <w:p w14:paraId="6E584E9B" w14:textId="4DEECDC3" w:rsidR="00C6270A" w:rsidRPr="00082992" w:rsidRDefault="00BD5BFE" w:rsidP="004F59FC">
            <w:pPr>
              <w:pStyle w:val="ExhibitText"/>
              <w:jc w:val="left"/>
              <w:rPr>
                <w:sz w:val="18"/>
                <w:szCs w:val="18"/>
              </w:rPr>
            </w:pPr>
            <w:r w:rsidRPr="00082992">
              <w:rPr>
                <w:sz w:val="18"/>
                <w:szCs w:val="18"/>
              </w:rPr>
              <w:t xml:space="preserve">Greece exits the </w:t>
            </w:r>
            <w:r w:rsidR="008423D5">
              <w:rPr>
                <w:sz w:val="18"/>
                <w:szCs w:val="18"/>
              </w:rPr>
              <w:t>“</w:t>
            </w:r>
            <w:r w:rsidR="009178CD">
              <w:rPr>
                <w:sz w:val="18"/>
                <w:szCs w:val="18"/>
              </w:rPr>
              <w:t>g</w:t>
            </w:r>
            <w:r w:rsidRPr="00082992">
              <w:rPr>
                <w:sz w:val="18"/>
                <w:szCs w:val="18"/>
              </w:rPr>
              <w:t xml:space="preserve">old </w:t>
            </w:r>
            <w:r w:rsidR="009178CD">
              <w:rPr>
                <w:sz w:val="18"/>
                <w:szCs w:val="18"/>
              </w:rPr>
              <w:t>s</w:t>
            </w:r>
            <w:r w:rsidRPr="00082992">
              <w:rPr>
                <w:sz w:val="18"/>
                <w:szCs w:val="18"/>
              </w:rPr>
              <w:t>tandard.</w:t>
            </w:r>
            <w:r w:rsidR="008423D5">
              <w:rPr>
                <w:sz w:val="18"/>
                <w:szCs w:val="18"/>
              </w:rPr>
              <w:t>”</w:t>
            </w:r>
            <w:r w:rsidRPr="00082992">
              <w:rPr>
                <w:sz w:val="18"/>
                <w:szCs w:val="18"/>
              </w:rPr>
              <w:t xml:space="preserve"> Its currency</w:t>
            </w:r>
            <w:r w:rsidR="004F59FC" w:rsidRPr="00082992">
              <w:rPr>
                <w:sz w:val="18"/>
                <w:szCs w:val="18"/>
              </w:rPr>
              <w:t>,</w:t>
            </w:r>
            <w:r w:rsidRPr="00082992">
              <w:rPr>
                <w:sz w:val="18"/>
                <w:szCs w:val="18"/>
              </w:rPr>
              <w:t xml:space="preserve"> the drachma, depreciates by 50</w:t>
            </w:r>
            <w:r w:rsidR="00C3225E">
              <w:rPr>
                <w:sz w:val="18"/>
                <w:szCs w:val="18"/>
              </w:rPr>
              <w:t>%</w:t>
            </w:r>
            <w:r w:rsidRPr="00082992">
              <w:rPr>
                <w:sz w:val="18"/>
                <w:szCs w:val="18"/>
              </w:rPr>
              <w:t xml:space="preserve"> and external debt servicing cost</w:t>
            </w:r>
            <w:r w:rsidR="004F59FC" w:rsidRPr="00082992">
              <w:rPr>
                <w:sz w:val="18"/>
                <w:szCs w:val="18"/>
              </w:rPr>
              <w:t>s</w:t>
            </w:r>
            <w:r w:rsidRPr="00082992">
              <w:rPr>
                <w:sz w:val="18"/>
                <w:szCs w:val="18"/>
              </w:rPr>
              <w:t xml:space="preserve"> double. Debts</w:t>
            </w:r>
            <w:r w:rsidR="004F59FC" w:rsidRPr="00082992">
              <w:rPr>
                <w:sz w:val="18"/>
                <w:szCs w:val="18"/>
              </w:rPr>
              <w:t>,</w:t>
            </w:r>
            <w:r w:rsidRPr="00082992">
              <w:rPr>
                <w:sz w:val="18"/>
                <w:szCs w:val="18"/>
              </w:rPr>
              <w:t xml:space="preserve"> borrowed in dollars and pounds, </w:t>
            </w:r>
            <w:proofErr w:type="gramStart"/>
            <w:r w:rsidRPr="00082992">
              <w:rPr>
                <w:sz w:val="18"/>
                <w:szCs w:val="18"/>
              </w:rPr>
              <w:t>can no longer be serviced</w:t>
            </w:r>
            <w:proofErr w:type="gramEnd"/>
            <w:r w:rsidRPr="00082992">
              <w:rPr>
                <w:sz w:val="18"/>
                <w:szCs w:val="18"/>
              </w:rPr>
              <w:t xml:space="preserve"> through drachma tax revenues. Thus,</w:t>
            </w:r>
            <w:r w:rsidR="00C3225E">
              <w:rPr>
                <w:sz w:val="18"/>
                <w:szCs w:val="18"/>
              </w:rPr>
              <w:t xml:space="preserve"> there is a</w:t>
            </w:r>
            <w:r w:rsidRPr="00082992">
              <w:rPr>
                <w:sz w:val="18"/>
                <w:szCs w:val="18"/>
              </w:rPr>
              <w:t xml:space="preserve"> </w:t>
            </w:r>
            <w:r w:rsidR="004F59FC" w:rsidRPr="00082992">
              <w:rPr>
                <w:sz w:val="18"/>
                <w:szCs w:val="18"/>
              </w:rPr>
              <w:t>t</w:t>
            </w:r>
            <w:r w:rsidR="00C02C53" w:rsidRPr="00082992">
              <w:rPr>
                <w:sz w:val="18"/>
                <w:szCs w:val="18"/>
              </w:rPr>
              <w:t>hird Greek default</w:t>
            </w:r>
            <w:r w:rsidRPr="00082992">
              <w:rPr>
                <w:sz w:val="18"/>
                <w:szCs w:val="18"/>
              </w:rPr>
              <w:t xml:space="preserve"> in April 1932. </w:t>
            </w:r>
          </w:p>
        </w:tc>
      </w:tr>
      <w:tr w:rsidR="00082992" w:rsidRPr="00082992" w14:paraId="3C5F61A1" w14:textId="77777777" w:rsidTr="00B744B7">
        <w:trPr>
          <w:trHeight w:val="20"/>
          <w:jc w:val="center"/>
        </w:trPr>
        <w:tc>
          <w:tcPr>
            <w:tcW w:w="1226" w:type="dxa"/>
            <w:vAlign w:val="center"/>
          </w:tcPr>
          <w:p w14:paraId="5E5AE8B6" w14:textId="0F9FF0AB" w:rsidR="00C6270A" w:rsidRPr="00082992" w:rsidRDefault="00D7651B" w:rsidP="004F59FC">
            <w:pPr>
              <w:pStyle w:val="ExhibitText"/>
              <w:jc w:val="center"/>
              <w:rPr>
                <w:sz w:val="18"/>
                <w:szCs w:val="18"/>
              </w:rPr>
            </w:pPr>
            <w:r w:rsidRPr="00082992">
              <w:rPr>
                <w:sz w:val="18"/>
                <w:szCs w:val="18"/>
              </w:rPr>
              <w:t>1941</w:t>
            </w:r>
            <w:r w:rsidR="004F59FC" w:rsidRPr="00082992">
              <w:rPr>
                <w:sz w:val="18"/>
                <w:szCs w:val="18"/>
              </w:rPr>
              <w:t>–</w:t>
            </w:r>
            <w:r w:rsidR="004778E1" w:rsidRPr="00082992">
              <w:rPr>
                <w:sz w:val="18"/>
                <w:szCs w:val="18"/>
              </w:rPr>
              <w:t>1944</w:t>
            </w:r>
          </w:p>
        </w:tc>
        <w:tc>
          <w:tcPr>
            <w:tcW w:w="7841" w:type="dxa"/>
            <w:vAlign w:val="center"/>
          </w:tcPr>
          <w:p w14:paraId="609E84F4" w14:textId="05E07E81" w:rsidR="00C6270A" w:rsidRPr="00082992" w:rsidRDefault="00D7651B" w:rsidP="004F59FC">
            <w:pPr>
              <w:pStyle w:val="ExhibitText"/>
              <w:jc w:val="left"/>
              <w:rPr>
                <w:sz w:val="18"/>
                <w:szCs w:val="18"/>
              </w:rPr>
            </w:pPr>
            <w:r w:rsidRPr="00082992">
              <w:rPr>
                <w:rFonts w:eastAsiaTheme="minorHAnsi"/>
                <w:sz w:val="18"/>
                <w:szCs w:val="18"/>
              </w:rPr>
              <w:t>Occupation by Nazi Germany and Fascist Italy</w:t>
            </w:r>
            <w:r w:rsidR="004F59FC" w:rsidRPr="00082992">
              <w:rPr>
                <w:rFonts w:eastAsiaTheme="minorHAnsi"/>
                <w:sz w:val="18"/>
                <w:szCs w:val="18"/>
              </w:rPr>
              <w:t>.</w:t>
            </w:r>
          </w:p>
        </w:tc>
      </w:tr>
      <w:tr w:rsidR="00082992" w:rsidRPr="00082992" w14:paraId="33C05485" w14:textId="77777777" w:rsidTr="00B744B7">
        <w:trPr>
          <w:trHeight w:val="20"/>
          <w:jc w:val="center"/>
        </w:trPr>
        <w:tc>
          <w:tcPr>
            <w:tcW w:w="1226" w:type="dxa"/>
            <w:vAlign w:val="center"/>
          </w:tcPr>
          <w:p w14:paraId="323120ED" w14:textId="576AA0DD" w:rsidR="00C6270A" w:rsidRPr="00082992" w:rsidRDefault="004778E1" w:rsidP="004F59FC">
            <w:pPr>
              <w:pStyle w:val="ExhibitText"/>
              <w:jc w:val="center"/>
              <w:rPr>
                <w:sz w:val="18"/>
                <w:szCs w:val="18"/>
              </w:rPr>
            </w:pPr>
            <w:r w:rsidRPr="00082992">
              <w:rPr>
                <w:sz w:val="18"/>
                <w:szCs w:val="18"/>
              </w:rPr>
              <w:t>1946</w:t>
            </w:r>
          </w:p>
        </w:tc>
        <w:tc>
          <w:tcPr>
            <w:tcW w:w="7841" w:type="dxa"/>
            <w:vAlign w:val="center"/>
          </w:tcPr>
          <w:p w14:paraId="21C8E9DC" w14:textId="7C9C9276" w:rsidR="00C6270A" w:rsidRPr="00082992" w:rsidRDefault="004778E1" w:rsidP="004F59FC">
            <w:pPr>
              <w:pStyle w:val="ExhibitText"/>
              <w:jc w:val="left"/>
              <w:rPr>
                <w:sz w:val="18"/>
                <w:szCs w:val="18"/>
              </w:rPr>
            </w:pPr>
            <w:r w:rsidRPr="00082992">
              <w:rPr>
                <w:sz w:val="18"/>
                <w:szCs w:val="18"/>
              </w:rPr>
              <w:t>Civil war</w:t>
            </w:r>
            <w:r w:rsidR="00C3225E">
              <w:rPr>
                <w:sz w:val="18"/>
                <w:szCs w:val="18"/>
              </w:rPr>
              <w:t>.</w:t>
            </w:r>
          </w:p>
        </w:tc>
      </w:tr>
      <w:tr w:rsidR="00082992" w:rsidRPr="00082992" w14:paraId="5935B8BE" w14:textId="77777777" w:rsidTr="00B744B7">
        <w:trPr>
          <w:trHeight w:val="20"/>
          <w:jc w:val="center"/>
        </w:trPr>
        <w:tc>
          <w:tcPr>
            <w:tcW w:w="1226" w:type="dxa"/>
            <w:vAlign w:val="center"/>
          </w:tcPr>
          <w:p w14:paraId="7477439C" w14:textId="369BC1FF" w:rsidR="00C6270A" w:rsidRPr="00082992" w:rsidRDefault="004778E1" w:rsidP="004F59FC">
            <w:pPr>
              <w:pStyle w:val="ExhibitText"/>
              <w:jc w:val="center"/>
              <w:rPr>
                <w:sz w:val="18"/>
                <w:szCs w:val="18"/>
              </w:rPr>
            </w:pPr>
            <w:r w:rsidRPr="00082992">
              <w:rPr>
                <w:sz w:val="18"/>
                <w:szCs w:val="18"/>
              </w:rPr>
              <w:t>1949</w:t>
            </w:r>
          </w:p>
        </w:tc>
        <w:tc>
          <w:tcPr>
            <w:tcW w:w="7841" w:type="dxa"/>
            <w:vAlign w:val="center"/>
          </w:tcPr>
          <w:p w14:paraId="1E69BAF3" w14:textId="1DABA84A" w:rsidR="00C6270A" w:rsidRPr="00082992" w:rsidRDefault="004778E1" w:rsidP="004F59FC">
            <w:pPr>
              <w:pStyle w:val="ExhibitText"/>
              <w:jc w:val="left"/>
              <w:rPr>
                <w:sz w:val="18"/>
                <w:szCs w:val="18"/>
              </w:rPr>
            </w:pPr>
            <w:r w:rsidRPr="00082992">
              <w:rPr>
                <w:sz w:val="18"/>
                <w:szCs w:val="18"/>
              </w:rPr>
              <w:t xml:space="preserve">Marshall Plan </w:t>
            </w:r>
            <w:r w:rsidR="004F59FC" w:rsidRPr="00082992">
              <w:rPr>
                <w:sz w:val="18"/>
                <w:szCs w:val="18"/>
              </w:rPr>
              <w:t>g</w:t>
            </w:r>
            <w:r w:rsidRPr="00082992">
              <w:rPr>
                <w:sz w:val="18"/>
                <w:szCs w:val="18"/>
              </w:rPr>
              <w:t xml:space="preserve">rants and lending by </w:t>
            </w:r>
            <w:r w:rsidR="00C3225E">
              <w:rPr>
                <w:sz w:val="18"/>
                <w:szCs w:val="18"/>
              </w:rPr>
              <w:t xml:space="preserve">the </w:t>
            </w:r>
            <w:r w:rsidRPr="00082992">
              <w:rPr>
                <w:sz w:val="18"/>
                <w:szCs w:val="18"/>
              </w:rPr>
              <w:t>U</w:t>
            </w:r>
            <w:r w:rsidR="004F59FC" w:rsidRPr="00082992">
              <w:rPr>
                <w:sz w:val="18"/>
                <w:szCs w:val="18"/>
              </w:rPr>
              <w:t xml:space="preserve">nited </w:t>
            </w:r>
            <w:r w:rsidRPr="00082992">
              <w:rPr>
                <w:sz w:val="18"/>
                <w:szCs w:val="18"/>
              </w:rPr>
              <w:t>S</w:t>
            </w:r>
            <w:r w:rsidR="004F59FC" w:rsidRPr="00082992">
              <w:rPr>
                <w:sz w:val="18"/>
                <w:szCs w:val="18"/>
              </w:rPr>
              <w:t>tates.</w:t>
            </w:r>
          </w:p>
        </w:tc>
      </w:tr>
      <w:tr w:rsidR="00082992" w:rsidRPr="00082992" w14:paraId="79610AC6" w14:textId="77777777" w:rsidTr="00B744B7">
        <w:trPr>
          <w:trHeight w:val="20"/>
          <w:jc w:val="center"/>
        </w:trPr>
        <w:tc>
          <w:tcPr>
            <w:tcW w:w="1226" w:type="dxa"/>
            <w:vAlign w:val="center"/>
          </w:tcPr>
          <w:p w14:paraId="7CFD4143" w14:textId="204F883E" w:rsidR="00C6270A" w:rsidRPr="00082992" w:rsidRDefault="004778E1" w:rsidP="004F59FC">
            <w:pPr>
              <w:pStyle w:val="ExhibitText"/>
              <w:jc w:val="center"/>
              <w:rPr>
                <w:sz w:val="18"/>
                <w:szCs w:val="18"/>
              </w:rPr>
            </w:pPr>
            <w:r w:rsidRPr="00082992">
              <w:rPr>
                <w:sz w:val="18"/>
                <w:szCs w:val="18"/>
              </w:rPr>
              <w:t>1964</w:t>
            </w:r>
          </w:p>
        </w:tc>
        <w:tc>
          <w:tcPr>
            <w:tcW w:w="7841" w:type="dxa"/>
            <w:vAlign w:val="center"/>
          </w:tcPr>
          <w:p w14:paraId="1ABDAB4B" w14:textId="4BA4BE7E" w:rsidR="00C6270A" w:rsidRPr="00082992" w:rsidRDefault="004778E1" w:rsidP="004F59FC">
            <w:pPr>
              <w:pStyle w:val="ExhibitText"/>
              <w:jc w:val="left"/>
              <w:rPr>
                <w:sz w:val="18"/>
                <w:szCs w:val="18"/>
              </w:rPr>
            </w:pPr>
            <w:r w:rsidRPr="00082992">
              <w:rPr>
                <w:sz w:val="18"/>
                <w:szCs w:val="18"/>
              </w:rPr>
              <w:t>Debt restructuring and market re-access to loans</w:t>
            </w:r>
            <w:r w:rsidR="004F59FC" w:rsidRPr="00082992">
              <w:rPr>
                <w:sz w:val="18"/>
                <w:szCs w:val="18"/>
              </w:rPr>
              <w:t>.</w:t>
            </w:r>
          </w:p>
        </w:tc>
      </w:tr>
      <w:tr w:rsidR="00082992" w:rsidRPr="00082992" w14:paraId="49C10DD8" w14:textId="77777777" w:rsidTr="00B744B7">
        <w:trPr>
          <w:trHeight w:val="20"/>
          <w:jc w:val="center"/>
        </w:trPr>
        <w:tc>
          <w:tcPr>
            <w:tcW w:w="1226" w:type="dxa"/>
            <w:vAlign w:val="center"/>
          </w:tcPr>
          <w:p w14:paraId="276B86A2" w14:textId="15B6B471" w:rsidR="004778E1" w:rsidRPr="00082992" w:rsidRDefault="004778E1" w:rsidP="004F59FC">
            <w:pPr>
              <w:pStyle w:val="ExhibitText"/>
              <w:jc w:val="center"/>
              <w:rPr>
                <w:sz w:val="18"/>
                <w:szCs w:val="18"/>
              </w:rPr>
            </w:pPr>
            <w:r w:rsidRPr="00082992">
              <w:rPr>
                <w:sz w:val="18"/>
                <w:szCs w:val="18"/>
              </w:rPr>
              <w:t>1967</w:t>
            </w:r>
            <w:r w:rsidR="004F59FC" w:rsidRPr="00082992">
              <w:rPr>
                <w:sz w:val="18"/>
                <w:szCs w:val="18"/>
              </w:rPr>
              <w:t>–</w:t>
            </w:r>
            <w:r w:rsidRPr="00082992">
              <w:rPr>
                <w:sz w:val="18"/>
                <w:szCs w:val="18"/>
              </w:rPr>
              <w:t>1974</w:t>
            </w:r>
          </w:p>
        </w:tc>
        <w:tc>
          <w:tcPr>
            <w:tcW w:w="7841" w:type="dxa"/>
            <w:vAlign w:val="center"/>
          </w:tcPr>
          <w:p w14:paraId="6318CEC4" w14:textId="3EAE6003" w:rsidR="004778E1" w:rsidRPr="00082992" w:rsidRDefault="004778E1" w:rsidP="004F59FC">
            <w:pPr>
              <w:pStyle w:val="ExhibitText"/>
              <w:jc w:val="left"/>
              <w:rPr>
                <w:sz w:val="18"/>
                <w:szCs w:val="18"/>
              </w:rPr>
            </w:pPr>
            <w:r w:rsidRPr="00082992">
              <w:rPr>
                <w:sz w:val="18"/>
                <w:szCs w:val="18"/>
              </w:rPr>
              <w:t xml:space="preserve">Military </w:t>
            </w:r>
            <w:proofErr w:type="gramStart"/>
            <w:r w:rsidR="004F59FC" w:rsidRPr="00082992">
              <w:rPr>
                <w:sz w:val="18"/>
                <w:szCs w:val="18"/>
              </w:rPr>
              <w:t>c</w:t>
            </w:r>
            <w:r w:rsidRPr="00082992">
              <w:rPr>
                <w:sz w:val="18"/>
                <w:szCs w:val="18"/>
              </w:rPr>
              <w:t>oup</w:t>
            </w:r>
            <w:r w:rsidR="004F59FC" w:rsidRPr="00082992">
              <w:rPr>
                <w:sz w:val="18"/>
                <w:szCs w:val="18"/>
              </w:rPr>
              <w:t>,</w:t>
            </w:r>
            <w:proofErr w:type="gramEnd"/>
            <w:r w:rsidRPr="00082992">
              <w:rPr>
                <w:sz w:val="18"/>
                <w:szCs w:val="18"/>
              </w:rPr>
              <w:t xml:space="preserve"> and military junta take</w:t>
            </w:r>
            <w:r w:rsidR="004F59FC" w:rsidRPr="00082992">
              <w:rPr>
                <w:sz w:val="18"/>
                <w:szCs w:val="18"/>
              </w:rPr>
              <w:t>s</w:t>
            </w:r>
            <w:r w:rsidRPr="00082992">
              <w:rPr>
                <w:sz w:val="18"/>
                <w:szCs w:val="18"/>
              </w:rPr>
              <w:t xml:space="preserve"> power</w:t>
            </w:r>
            <w:r w:rsidR="004F59FC" w:rsidRPr="00082992">
              <w:rPr>
                <w:sz w:val="18"/>
                <w:szCs w:val="18"/>
              </w:rPr>
              <w:t>.</w:t>
            </w:r>
          </w:p>
        </w:tc>
      </w:tr>
      <w:tr w:rsidR="00082992" w:rsidRPr="00082992" w14:paraId="6A38C7AF" w14:textId="77777777" w:rsidTr="00B744B7">
        <w:trPr>
          <w:trHeight w:val="20"/>
          <w:jc w:val="center"/>
        </w:trPr>
        <w:tc>
          <w:tcPr>
            <w:tcW w:w="1226" w:type="dxa"/>
            <w:vAlign w:val="center"/>
          </w:tcPr>
          <w:p w14:paraId="4FFF1B92" w14:textId="237BBE84" w:rsidR="004778E1" w:rsidRPr="00082992" w:rsidRDefault="00C4316E" w:rsidP="004F59FC">
            <w:pPr>
              <w:pStyle w:val="ExhibitText"/>
              <w:jc w:val="center"/>
              <w:rPr>
                <w:sz w:val="18"/>
                <w:szCs w:val="18"/>
              </w:rPr>
            </w:pPr>
            <w:r w:rsidRPr="00082992">
              <w:rPr>
                <w:sz w:val="18"/>
                <w:szCs w:val="18"/>
              </w:rPr>
              <w:t>197</w:t>
            </w:r>
            <w:r w:rsidR="003E328B" w:rsidRPr="00082992">
              <w:rPr>
                <w:sz w:val="18"/>
                <w:szCs w:val="18"/>
              </w:rPr>
              <w:t>4</w:t>
            </w:r>
          </w:p>
        </w:tc>
        <w:tc>
          <w:tcPr>
            <w:tcW w:w="7841" w:type="dxa"/>
            <w:vAlign w:val="center"/>
          </w:tcPr>
          <w:p w14:paraId="08D18DC7" w14:textId="270BB8CE" w:rsidR="004778E1" w:rsidRPr="00082992" w:rsidRDefault="00C4316E" w:rsidP="004F59FC">
            <w:pPr>
              <w:pStyle w:val="ExhibitText"/>
              <w:jc w:val="left"/>
              <w:rPr>
                <w:sz w:val="18"/>
                <w:szCs w:val="18"/>
              </w:rPr>
            </w:pPr>
            <w:r w:rsidRPr="00082992">
              <w:rPr>
                <w:sz w:val="18"/>
                <w:szCs w:val="18"/>
              </w:rPr>
              <w:t>Collapse of the dictatorship.</w:t>
            </w:r>
            <w:r w:rsidRPr="00082992">
              <w:rPr>
                <w:rFonts w:ascii="Times New Roman" w:hAnsi="Times New Roman" w:cs="Times New Roman"/>
                <w:sz w:val="18"/>
                <w:szCs w:val="18"/>
                <w:lang w:eastAsia="en-US"/>
              </w:rPr>
              <w:t xml:space="preserve"> </w:t>
            </w:r>
            <w:r w:rsidRPr="00082992">
              <w:rPr>
                <w:sz w:val="18"/>
                <w:szCs w:val="18"/>
              </w:rPr>
              <w:t>Referendum creates a parliamentary republic. A new centre-right government of the New Democracy (ND), headed by Constantine Karamanlis, comes to power.</w:t>
            </w:r>
          </w:p>
        </w:tc>
      </w:tr>
      <w:tr w:rsidR="00082992" w:rsidRPr="00082992" w14:paraId="366C5740" w14:textId="77777777" w:rsidTr="00B744B7">
        <w:trPr>
          <w:trHeight w:val="20"/>
          <w:jc w:val="center"/>
        </w:trPr>
        <w:tc>
          <w:tcPr>
            <w:tcW w:w="1226" w:type="dxa"/>
            <w:vAlign w:val="center"/>
          </w:tcPr>
          <w:p w14:paraId="3F2B2594" w14:textId="5D488360" w:rsidR="004778E1" w:rsidRPr="00082992" w:rsidRDefault="003E328B" w:rsidP="004F59FC">
            <w:pPr>
              <w:pStyle w:val="ExhibitText"/>
              <w:jc w:val="center"/>
              <w:rPr>
                <w:sz w:val="18"/>
                <w:szCs w:val="18"/>
              </w:rPr>
            </w:pPr>
            <w:r w:rsidRPr="00082992">
              <w:rPr>
                <w:sz w:val="18"/>
                <w:szCs w:val="18"/>
              </w:rPr>
              <w:t>1981</w:t>
            </w:r>
          </w:p>
        </w:tc>
        <w:tc>
          <w:tcPr>
            <w:tcW w:w="7841" w:type="dxa"/>
            <w:vAlign w:val="center"/>
          </w:tcPr>
          <w:p w14:paraId="754D6D70" w14:textId="323B20A8" w:rsidR="004778E1" w:rsidRPr="00082992" w:rsidRDefault="003E328B" w:rsidP="004F59FC">
            <w:pPr>
              <w:pStyle w:val="ExhibitText"/>
              <w:jc w:val="left"/>
              <w:rPr>
                <w:sz w:val="18"/>
                <w:szCs w:val="18"/>
              </w:rPr>
            </w:pPr>
            <w:r w:rsidRPr="00082992">
              <w:rPr>
                <w:sz w:val="18"/>
                <w:szCs w:val="18"/>
              </w:rPr>
              <w:t>Membership in</w:t>
            </w:r>
            <w:r w:rsidR="0089791E" w:rsidRPr="00082992">
              <w:rPr>
                <w:sz w:val="18"/>
                <w:szCs w:val="18"/>
              </w:rPr>
              <w:t xml:space="preserve"> the</w:t>
            </w:r>
            <w:r w:rsidRPr="00082992">
              <w:rPr>
                <w:sz w:val="18"/>
                <w:szCs w:val="18"/>
              </w:rPr>
              <w:t xml:space="preserve"> European Economic Community</w:t>
            </w:r>
            <w:r w:rsidR="004F59FC" w:rsidRPr="00082992">
              <w:rPr>
                <w:sz w:val="18"/>
                <w:szCs w:val="18"/>
              </w:rPr>
              <w:t>.</w:t>
            </w:r>
          </w:p>
        </w:tc>
      </w:tr>
      <w:tr w:rsidR="00082992" w:rsidRPr="00082992" w14:paraId="2275BFBD" w14:textId="77777777" w:rsidTr="00B744B7">
        <w:trPr>
          <w:trHeight w:val="20"/>
          <w:jc w:val="center"/>
        </w:trPr>
        <w:tc>
          <w:tcPr>
            <w:tcW w:w="1226" w:type="dxa"/>
            <w:vAlign w:val="center"/>
          </w:tcPr>
          <w:p w14:paraId="0BA33228" w14:textId="1DD93D69" w:rsidR="004778E1" w:rsidRPr="00082992" w:rsidRDefault="00B113D2" w:rsidP="004F59FC">
            <w:pPr>
              <w:pStyle w:val="ExhibitText"/>
              <w:jc w:val="center"/>
              <w:rPr>
                <w:sz w:val="18"/>
                <w:szCs w:val="18"/>
              </w:rPr>
            </w:pPr>
            <w:r w:rsidRPr="00082992">
              <w:rPr>
                <w:sz w:val="18"/>
                <w:szCs w:val="18"/>
              </w:rPr>
              <w:t>2001</w:t>
            </w:r>
          </w:p>
        </w:tc>
        <w:tc>
          <w:tcPr>
            <w:tcW w:w="7841" w:type="dxa"/>
            <w:vAlign w:val="center"/>
          </w:tcPr>
          <w:p w14:paraId="0EC7CFA6" w14:textId="42A627AF" w:rsidR="004778E1" w:rsidRPr="00082992" w:rsidRDefault="00B113D2" w:rsidP="004F59FC">
            <w:pPr>
              <w:pStyle w:val="ExhibitText"/>
              <w:jc w:val="left"/>
              <w:rPr>
                <w:sz w:val="18"/>
                <w:szCs w:val="18"/>
              </w:rPr>
            </w:pPr>
            <w:r w:rsidRPr="00082992">
              <w:rPr>
                <w:sz w:val="18"/>
                <w:szCs w:val="18"/>
              </w:rPr>
              <w:t xml:space="preserve">Introduction of the </w:t>
            </w:r>
            <w:r w:rsidR="004F59FC" w:rsidRPr="00082992">
              <w:rPr>
                <w:sz w:val="18"/>
                <w:szCs w:val="18"/>
              </w:rPr>
              <w:t>e</w:t>
            </w:r>
            <w:r w:rsidRPr="00082992">
              <w:rPr>
                <w:sz w:val="18"/>
                <w:szCs w:val="18"/>
              </w:rPr>
              <w:t>uro</w:t>
            </w:r>
            <w:r w:rsidR="004F59FC" w:rsidRPr="00082992">
              <w:rPr>
                <w:sz w:val="18"/>
                <w:szCs w:val="18"/>
              </w:rPr>
              <w:t>.</w:t>
            </w:r>
          </w:p>
        </w:tc>
      </w:tr>
      <w:tr w:rsidR="00082992" w:rsidRPr="00082992" w14:paraId="10C34AF5" w14:textId="77777777" w:rsidTr="00B744B7">
        <w:trPr>
          <w:trHeight w:val="20"/>
          <w:jc w:val="center"/>
        </w:trPr>
        <w:tc>
          <w:tcPr>
            <w:tcW w:w="1226" w:type="dxa"/>
            <w:vAlign w:val="center"/>
          </w:tcPr>
          <w:p w14:paraId="0698EA73" w14:textId="11107741" w:rsidR="004778E1" w:rsidRPr="00082992" w:rsidRDefault="002B05FA" w:rsidP="004F59FC">
            <w:pPr>
              <w:pStyle w:val="ExhibitText"/>
              <w:jc w:val="center"/>
              <w:rPr>
                <w:sz w:val="18"/>
                <w:szCs w:val="18"/>
              </w:rPr>
            </w:pPr>
            <w:r w:rsidRPr="00082992">
              <w:rPr>
                <w:sz w:val="18"/>
                <w:szCs w:val="18"/>
              </w:rPr>
              <w:t>2010</w:t>
            </w:r>
          </w:p>
        </w:tc>
        <w:tc>
          <w:tcPr>
            <w:tcW w:w="7841" w:type="dxa"/>
            <w:vAlign w:val="center"/>
          </w:tcPr>
          <w:p w14:paraId="3366FB4B" w14:textId="120C15C3" w:rsidR="004778E1" w:rsidRPr="00082992" w:rsidRDefault="002B05FA" w:rsidP="004F59FC">
            <w:pPr>
              <w:pStyle w:val="ExhibitText"/>
              <w:jc w:val="left"/>
              <w:rPr>
                <w:sz w:val="18"/>
                <w:szCs w:val="18"/>
              </w:rPr>
            </w:pPr>
            <w:r w:rsidRPr="00082992">
              <w:rPr>
                <w:sz w:val="18"/>
                <w:szCs w:val="18"/>
              </w:rPr>
              <w:t xml:space="preserve">Sovereign Debt Crisis. The </w:t>
            </w:r>
            <w:r w:rsidR="008423D5">
              <w:rPr>
                <w:sz w:val="18"/>
                <w:szCs w:val="18"/>
              </w:rPr>
              <w:t>“</w:t>
            </w:r>
            <w:r w:rsidRPr="00082992">
              <w:rPr>
                <w:sz w:val="18"/>
                <w:szCs w:val="18"/>
              </w:rPr>
              <w:t>troika</w:t>
            </w:r>
            <w:r w:rsidR="008423D5">
              <w:rPr>
                <w:sz w:val="18"/>
                <w:szCs w:val="18"/>
              </w:rPr>
              <w:t>”</w:t>
            </w:r>
            <w:r w:rsidRPr="00082992">
              <w:rPr>
                <w:sz w:val="18"/>
                <w:szCs w:val="18"/>
              </w:rPr>
              <w:t xml:space="preserve"> demands primary surpluses and reforms as a condition for bailout and for </w:t>
            </w:r>
            <w:r w:rsidR="005B287F" w:rsidRPr="00082992">
              <w:rPr>
                <w:sz w:val="18"/>
                <w:szCs w:val="18"/>
              </w:rPr>
              <w:t>Eurozone</w:t>
            </w:r>
            <w:r w:rsidRPr="00082992">
              <w:rPr>
                <w:sz w:val="18"/>
                <w:szCs w:val="18"/>
              </w:rPr>
              <w:t xml:space="preserve"> membership. Greece loses market access.</w:t>
            </w:r>
          </w:p>
        </w:tc>
      </w:tr>
      <w:tr w:rsidR="00082992" w:rsidRPr="00082992" w14:paraId="6486FC4A" w14:textId="77777777" w:rsidTr="00B744B7">
        <w:trPr>
          <w:trHeight w:val="20"/>
          <w:jc w:val="center"/>
        </w:trPr>
        <w:tc>
          <w:tcPr>
            <w:tcW w:w="1226" w:type="dxa"/>
            <w:vAlign w:val="center"/>
          </w:tcPr>
          <w:p w14:paraId="5B412735" w14:textId="7649879C" w:rsidR="004778E1" w:rsidRPr="00082992" w:rsidRDefault="002B05FA" w:rsidP="004F59FC">
            <w:pPr>
              <w:pStyle w:val="ExhibitText"/>
              <w:jc w:val="center"/>
              <w:rPr>
                <w:sz w:val="18"/>
                <w:szCs w:val="18"/>
              </w:rPr>
            </w:pPr>
            <w:r w:rsidRPr="00082992">
              <w:rPr>
                <w:sz w:val="18"/>
                <w:szCs w:val="18"/>
              </w:rPr>
              <w:t>2012</w:t>
            </w:r>
          </w:p>
        </w:tc>
        <w:tc>
          <w:tcPr>
            <w:tcW w:w="7841" w:type="dxa"/>
            <w:vAlign w:val="center"/>
          </w:tcPr>
          <w:p w14:paraId="6D8A0FA4" w14:textId="6B94CDD9" w:rsidR="004778E1" w:rsidRPr="00082992" w:rsidRDefault="002B05FA" w:rsidP="005B287F">
            <w:pPr>
              <w:pStyle w:val="ExhibitText"/>
              <w:jc w:val="left"/>
              <w:rPr>
                <w:sz w:val="18"/>
                <w:szCs w:val="18"/>
              </w:rPr>
            </w:pPr>
            <w:r w:rsidRPr="00082992">
              <w:rPr>
                <w:sz w:val="18"/>
                <w:szCs w:val="18"/>
              </w:rPr>
              <w:t xml:space="preserve">Private debt restructuring and </w:t>
            </w:r>
            <w:r w:rsidR="008423D5">
              <w:rPr>
                <w:sz w:val="18"/>
                <w:szCs w:val="18"/>
              </w:rPr>
              <w:t>“</w:t>
            </w:r>
            <w:r w:rsidRPr="00082992">
              <w:rPr>
                <w:sz w:val="18"/>
                <w:szCs w:val="18"/>
              </w:rPr>
              <w:t>haircuts</w:t>
            </w:r>
            <w:r w:rsidR="005B287F" w:rsidRPr="00082992">
              <w:rPr>
                <w:sz w:val="18"/>
                <w:szCs w:val="18"/>
              </w:rPr>
              <w:t>.</w:t>
            </w:r>
            <w:r w:rsidR="008423D5">
              <w:rPr>
                <w:sz w:val="18"/>
                <w:szCs w:val="18"/>
              </w:rPr>
              <w:t>”</w:t>
            </w:r>
          </w:p>
        </w:tc>
      </w:tr>
      <w:tr w:rsidR="00082992" w:rsidRPr="00082992" w14:paraId="69FC5CA0" w14:textId="77777777" w:rsidTr="00B744B7">
        <w:trPr>
          <w:trHeight w:val="20"/>
          <w:jc w:val="center"/>
        </w:trPr>
        <w:tc>
          <w:tcPr>
            <w:tcW w:w="1226" w:type="dxa"/>
            <w:vAlign w:val="center"/>
          </w:tcPr>
          <w:p w14:paraId="617F2B02" w14:textId="3B2D8DC4" w:rsidR="004778E1" w:rsidRPr="00082992" w:rsidRDefault="00D335A5" w:rsidP="004F59FC">
            <w:pPr>
              <w:pStyle w:val="ExhibitText"/>
              <w:jc w:val="center"/>
              <w:rPr>
                <w:sz w:val="18"/>
                <w:szCs w:val="18"/>
              </w:rPr>
            </w:pPr>
            <w:r w:rsidRPr="00082992">
              <w:rPr>
                <w:sz w:val="18"/>
                <w:szCs w:val="18"/>
              </w:rPr>
              <w:t>2014</w:t>
            </w:r>
          </w:p>
        </w:tc>
        <w:tc>
          <w:tcPr>
            <w:tcW w:w="7841" w:type="dxa"/>
            <w:vAlign w:val="center"/>
          </w:tcPr>
          <w:p w14:paraId="66A1D885" w14:textId="4DA961C0" w:rsidR="004778E1" w:rsidRPr="00082992" w:rsidRDefault="00D335A5" w:rsidP="005B287F">
            <w:pPr>
              <w:pStyle w:val="ExhibitText"/>
              <w:jc w:val="left"/>
              <w:rPr>
                <w:sz w:val="18"/>
                <w:szCs w:val="18"/>
              </w:rPr>
            </w:pPr>
            <w:r w:rsidRPr="00082992">
              <w:rPr>
                <w:sz w:val="18"/>
                <w:szCs w:val="18"/>
              </w:rPr>
              <w:t>Greece goes back to international financial markets and attracts €3</w:t>
            </w:r>
            <w:r w:rsidR="005B287F" w:rsidRPr="00082992">
              <w:rPr>
                <w:sz w:val="18"/>
                <w:szCs w:val="18"/>
              </w:rPr>
              <w:t xml:space="preserve"> </w:t>
            </w:r>
            <w:r w:rsidRPr="00082992">
              <w:rPr>
                <w:sz w:val="18"/>
                <w:szCs w:val="18"/>
              </w:rPr>
              <w:t xml:space="preserve">billion in </w:t>
            </w:r>
            <w:r w:rsidR="005B287F" w:rsidRPr="00082992">
              <w:rPr>
                <w:sz w:val="18"/>
                <w:szCs w:val="18"/>
              </w:rPr>
              <w:t>5</w:t>
            </w:r>
            <w:r w:rsidRPr="00082992">
              <w:rPr>
                <w:sz w:val="18"/>
                <w:szCs w:val="18"/>
              </w:rPr>
              <w:t>-year bonds at yields of 4.95</w:t>
            </w:r>
            <w:r w:rsidR="00C3225E">
              <w:rPr>
                <w:sz w:val="18"/>
                <w:szCs w:val="18"/>
              </w:rPr>
              <w:t>%</w:t>
            </w:r>
            <w:r w:rsidR="005B287F" w:rsidRPr="00082992">
              <w:rPr>
                <w:sz w:val="18"/>
                <w:szCs w:val="18"/>
              </w:rPr>
              <w:t>.</w:t>
            </w:r>
          </w:p>
        </w:tc>
      </w:tr>
      <w:tr w:rsidR="00082992" w:rsidRPr="00082992" w14:paraId="75FC0A7B" w14:textId="77777777" w:rsidTr="00B744B7">
        <w:trPr>
          <w:trHeight w:val="20"/>
          <w:jc w:val="center"/>
        </w:trPr>
        <w:tc>
          <w:tcPr>
            <w:tcW w:w="1226" w:type="dxa"/>
            <w:vAlign w:val="center"/>
          </w:tcPr>
          <w:p w14:paraId="2078C96F" w14:textId="38B5642B" w:rsidR="004778E1" w:rsidRPr="00082992" w:rsidRDefault="00D335A5" w:rsidP="004F59FC">
            <w:pPr>
              <w:pStyle w:val="ExhibitText"/>
              <w:jc w:val="center"/>
              <w:rPr>
                <w:sz w:val="18"/>
                <w:szCs w:val="18"/>
              </w:rPr>
            </w:pPr>
            <w:r w:rsidRPr="00082992">
              <w:rPr>
                <w:sz w:val="18"/>
                <w:szCs w:val="18"/>
              </w:rPr>
              <w:t>2015</w:t>
            </w:r>
          </w:p>
        </w:tc>
        <w:tc>
          <w:tcPr>
            <w:tcW w:w="7841" w:type="dxa"/>
            <w:vAlign w:val="center"/>
          </w:tcPr>
          <w:p w14:paraId="54D47792" w14:textId="66D4A9FE" w:rsidR="004778E1" w:rsidRPr="00082992" w:rsidRDefault="00D335A5" w:rsidP="004F59FC">
            <w:pPr>
              <w:pStyle w:val="ExhibitText"/>
              <w:jc w:val="left"/>
              <w:rPr>
                <w:sz w:val="18"/>
                <w:szCs w:val="18"/>
              </w:rPr>
            </w:pPr>
            <w:r w:rsidRPr="00082992">
              <w:rPr>
                <w:sz w:val="18"/>
                <w:szCs w:val="18"/>
              </w:rPr>
              <w:t xml:space="preserve">Greece officially defaults on a </w:t>
            </w:r>
            <w:r w:rsidR="005B287F" w:rsidRPr="00082992">
              <w:rPr>
                <w:sz w:val="18"/>
                <w:szCs w:val="18"/>
              </w:rPr>
              <w:t>US</w:t>
            </w:r>
            <w:r w:rsidRPr="00082992">
              <w:rPr>
                <w:sz w:val="18"/>
                <w:szCs w:val="18"/>
              </w:rPr>
              <w:t>$1.7 billion payment to the IMF</w:t>
            </w:r>
            <w:r w:rsidR="009D0162" w:rsidRPr="00082992">
              <w:rPr>
                <w:sz w:val="18"/>
                <w:szCs w:val="18"/>
              </w:rPr>
              <w:t>. Greeks reject international creditor terms in a national referendum. Tsipras accepts a bailout deal, and Greece receives its third bailout.</w:t>
            </w:r>
          </w:p>
        </w:tc>
      </w:tr>
      <w:tr w:rsidR="00082992" w:rsidRPr="00082992" w14:paraId="6DF0B505" w14:textId="77777777" w:rsidTr="00B744B7">
        <w:trPr>
          <w:trHeight w:val="20"/>
          <w:jc w:val="center"/>
        </w:trPr>
        <w:tc>
          <w:tcPr>
            <w:tcW w:w="1226" w:type="dxa"/>
            <w:vAlign w:val="center"/>
          </w:tcPr>
          <w:p w14:paraId="11912F9F" w14:textId="3E83989F" w:rsidR="009D0162" w:rsidRPr="00082992" w:rsidRDefault="009D0162" w:rsidP="004F59FC">
            <w:pPr>
              <w:pStyle w:val="ExhibitText"/>
              <w:jc w:val="center"/>
              <w:rPr>
                <w:sz w:val="18"/>
                <w:szCs w:val="18"/>
              </w:rPr>
            </w:pPr>
            <w:r w:rsidRPr="00082992">
              <w:rPr>
                <w:sz w:val="18"/>
                <w:szCs w:val="18"/>
              </w:rPr>
              <w:t>2016</w:t>
            </w:r>
          </w:p>
        </w:tc>
        <w:tc>
          <w:tcPr>
            <w:tcW w:w="7841" w:type="dxa"/>
            <w:vAlign w:val="center"/>
          </w:tcPr>
          <w:p w14:paraId="09DC9299" w14:textId="2EC9BD8E" w:rsidR="009D0162" w:rsidRPr="00082992" w:rsidRDefault="009D0162" w:rsidP="005B287F">
            <w:pPr>
              <w:pStyle w:val="ExhibitText"/>
              <w:jc w:val="left"/>
              <w:rPr>
                <w:sz w:val="18"/>
                <w:szCs w:val="18"/>
              </w:rPr>
            </w:pPr>
            <w:r w:rsidRPr="00082992">
              <w:rPr>
                <w:sz w:val="18"/>
                <w:szCs w:val="18"/>
              </w:rPr>
              <w:t xml:space="preserve">Greece snubs its international lenders and offers its low-income pensioners a pre-Christmas payoff, as </w:t>
            </w:r>
            <w:r w:rsidR="005B287F" w:rsidRPr="00082992">
              <w:rPr>
                <w:sz w:val="18"/>
                <w:szCs w:val="18"/>
              </w:rPr>
              <w:t xml:space="preserve">well as </w:t>
            </w:r>
            <w:r w:rsidRPr="00082992">
              <w:rPr>
                <w:sz w:val="18"/>
                <w:szCs w:val="18"/>
              </w:rPr>
              <w:t>a VAT suspension, which violates the terms of the 2015 bailout.</w:t>
            </w:r>
          </w:p>
        </w:tc>
      </w:tr>
    </w:tbl>
    <w:p w14:paraId="20DF8CF1" w14:textId="77777777" w:rsidR="004F59FC" w:rsidRPr="00082992" w:rsidRDefault="004F59FC" w:rsidP="00082992">
      <w:pPr>
        <w:pStyle w:val="ExhibitText"/>
      </w:pPr>
    </w:p>
    <w:p w14:paraId="49D0651E" w14:textId="48074CA8" w:rsidR="00F57647" w:rsidRPr="00082992" w:rsidRDefault="009D0162" w:rsidP="00671486">
      <w:pPr>
        <w:pStyle w:val="Footnote"/>
      </w:pPr>
      <w:r w:rsidRPr="00082992">
        <w:t xml:space="preserve">Source: Carmen M. Reinhart and Christoph </w:t>
      </w:r>
      <w:proofErr w:type="spellStart"/>
      <w:r w:rsidRPr="00082992">
        <w:t>Trebesch</w:t>
      </w:r>
      <w:proofErr w:type="spellEnd"/>
      <w:r w:rsidRPr="00082992">
        <w:t xml:space="preserve">, </w:t>
      </w:r>
      <w:r w:rsidR="008423D5">
        <w:t>“</w:t>
      </w:r>
      <w:r w:rsidRPr="00082992">
        <w:t>The Pitfalls of Ex</w:t>
      </w:r>
      <w:r w:rsidR="008423D5">
        <w:t>ternal Dependence: Greece, 1829–</w:t>
      </w:r>
      <w:r w:rsidRPr="00082992">
        <w:t>2015</w:t>
      </w:r>
      <w:r w:rsidR="00671486" w:rsidRPr="00082992">
        <w:t>,</w:t>
      </w:r>
      <w:r w:rsidR="008423D5">
        <w:t>”</w:t>
      </w:r>
      <w:r w:rsidRPr="00082992">
        <w:t xml:space="preserve"> NBER Working </w:t>
      </w:r>
      <w:r w:rsidR="00671486" w:rsidRPr="00082992">
        <w:t>P</w:t>
      </w:r>
      <w:r w:rsidRPr="00082992">
        <w:t xml:space="preserve">aper 21664, </w:t>
      </w:r>
      <w:r w:rsidR="00671486" w:rsidRPr="00082992">
        <w:t xml:space="preserve">National Bureau of Economic </w:t>
      </w:r>
      <w:r w:rsidR="005B287F" w:rsidRPr="00082992">
        <w:t>Research</w:t>
      </w:r>
      <w:r w:rsidR="00671486" w:rsidRPr="00082992">
        <w:t xml:space="preserve">, </w:t>
      </w:r>
      <w:r w:rsidRPr="00082992">
        <w:t xml:space="preserve">2015, </w:t>
      </w:r>
      <w:r w:rsidR="00C743CD" w:rsidRPr="00082992">
        <w:t>12</w:t>
      </w:r>
      <w:r w:rsidR="00671486" w:rsidRPr="00082992">
        <w:t>, accessed August 10, 2017, www.nber.org/papers/w21664.</w:t>
      </w:r>
    </w:p>
    <w:p w14:paraId="0F6821BE" w14:textId="77777777" w:rsidR="006D5856" w:rsidRPr="00082992" w:rsidRDefault="006D5856">
      <w:pPr>
        <w:spacing w:after="200" w:line="276" w:lineRule="auto"/>
        <w:rPr>
          <w:sz w:val="18"/>
          <w:szCs w:val="18"/>
        </w:rPr>
      </w:pPr>
      <w:r w:rsidRPr="00082992">
        <w:rPr>
          <w:sz w:val="18"/>
          <w:szCs w:val="18"/>
        </w:rPr>
        <w:br w:type="page"/>
      </w:r>
    </w:p>
    <w:p w14:paraId="28E33BEF" w14:textId="77777777" w:rsidR="00531061" w:rsidRPr="00082992" w:rsidRDefault="00531061">
      <w:pPr>
        <w:spacing w:after="200" w:line="276" w:lineRule="auto"/>
        <w:rPr>
          <w:rFonts w:ascii="Arial" w:hAnsi="Arial" w:cs="Arial"/>
          <w:sz w:val="18"/>
          <w:szCs w:val="18"/>
        </w:rPr>
        <w:sectPr w:rsidR="00531061" w:rsidRPr="00082992" w:rsidSect="00EB5410">
          <w:headerReference w:type="default" r:id="rId11"/>
          <w:endnotePr>
            <w:numFmt w:val="decimal"/>
          </w:endnotePr>
          <w:pgSz w:w="12240" w:h="15840"/>
          <w:pgMar w:top="1080" w:right="1440" w:bottom="1440" w:left="1440" w:header="1080" w:footer="720" w:gutter="0"/>
          <w:cols w:space="720"/>
          <w:titlePg/>
          <w:docGrid w:linePitch="360"/>
        </w:sectPr>
      </w:pPr>
    </w:p>
    <w:p w14:paraId="307F055C" w14:textId="7617D325" w:rsidR="00531061" w:rsidRPr="00082992" w:rsidRDefault="00531061" w:rsidP="00187DCD">
      <w:pPr>
        <w:pStyle w:val="ExhibitHeading"/>
        <w:outlineLvl w:val="0"/>
      </w:pPr>
      <w:r w:rsidRPr="00082992">
        <w:lastRenderedPageBreak/>
        <w:t xml:space="preserve">EXHIBIT </w:t>
      </w:r>
      <w:r w:rsidR="009D6A25" w:rsidRPr="00082992">
        <w:t>2</w:t>
      </w:r>
      <w:r w:rsidRPr="00082992">
        <w:t>: GREECE</w:t>
      </w:r>
      <w:r w:rsidR="001E7573" w:rsidRPr="00082992">
        <w:t>—</w:t>
      </w:r>
      <w:r w:rsidRPr="00082992">
        <w:t>KEY INDICATORS FOR SELECT YEARS (1973</w:t>
      </w:r>
      <w:r w:rsidR="00C3225E">
        <w:t>–</w:t>
      </w:r>
      <w:r w:rsidRPr="00082992">
        <w:t>2015)</w:t>
      </w:r>
    </w:p>
    <w:p w14:paraId="13FD637B" w14:textId="77777777" w:rsidR="00D84046" w:rsidRPr="00082992" w:rsidRDefault="00D84046" w:rsidP="00D84046">
      <w:pPr>
        <w:pStyle w:val="ExhibitHeading"/>
        <w:rPr>
          <w:sz w:val="12"/>
        </w:rPr>
      </w:pPr>
    </w:p>
    <w:tbl>
      <w:tblPr>
        <w:tblW w:w="4763" w:type="pct"/>
        <w:jc w:val="center"/>
        <w:tblLayout w:type="fixed"/>
        <w:tblCellMar>
          <w:left w:w="28" w:type="dxa"/>
          <w:right w:w="28" w:type="dxa"/>
        </w:tblCellMar>
        <w:tblLook w:val="04A0" w:firstRow="1" w:lastRow="0" w:firstColumn="1" w:lastColumn="0" w:noHBand="0" w:noVBand="1"/>
      </w:tblPr>
      <w:tblGrid>
        <w:gridCol w:w="2501"/>
        <w:gridCol w:w="479"/>
        <w:gridCol w:w="425"/>
        <w:gridCol w:w="425"/>
        <w:gridCol w:w="426"/>
        <w:gridCol w:w="425"/>
        <w:gridCol w:w="425"/>
        <w:gridCol w:w="425"/>
        <w:gridCol w:w="426"/>
        <w:gridCol w:w="425"/>
        <w:gridCol w:w="425"/>
        <w:gridCol w:w="567"/>
        <w:gridCol w:w="567"/>
        <w:gridCol w:w="567"/>
        <w:gridCol w:w="567"/>
        <w:gridCol w:w="567"/>
        <w:gridCol w:w="567"/>
        <w:gridCol w:w="567"/>
        <w:gridCol w:w="501"/>
        <w:gridCol w:w="492"/>
        <w:gridCol w:w="567"/>
      </w:tblGrid>
      <w:tr w:rsidR="004149A5" w:rsidRPr="004149A5" w14:paraId="5C4E5099" w14:textId="77777777" w:rsidTr="008423D5">
        <w:trPr>
          <w:trHeight w:val="216"/>
          <w:tblHeader/>
          <w:jc w:val="center"/>
        </w:trPr>
        <w:tc>
          <w:tcPr>
            <w:tcW w:w="25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DE1CFA" w14:textId="77777777" w:rsidR="00531061" w:rsidRPr="004149A5" w:rsidRDefault="00531061" w:rsidP="005B287F">
            <w:pPr>
              <w:pStyle w:val="ExhibitText"/>
              <w:jc w:val="left"/>
              <w:rPr>
                <w:b/>
                <w:sz w:val="16"/>
                <w:szCs w:val="16"/>
              </w:rPr>
            </w:pPr>
            <w:bookmarkStart w:id="1" w:name="RANGE!A1"/>
            <w:r w:rsidRPr="004149A5">
              <w:rPr>
                <w:b/>
                <w:sz w:val="16"/>
                <w:szCs w:val="16"/>
              </w:rPr>
              <w:t>Series Name</w:t>
            </w:r>
            <w:bookmarkEnd w:id="1"/>
          </w:p>
        </w:tc>
        <w:tc>
          <w:tcPr>
            <w:tcW w:w="479" w:type="dxa"/>
            <w:tcBorders>
              <w:top w:val="single" w:sz="4" w:space="0" w:color="auto"/>
              <w:left w:val="nil"/>
              <w:bottom w:val="single" w:sz="4" w:space="0" w:color="auto"/>
              <w:right w:val="single" w:sz="4" w:space="0" w:color="auto"/>
            </w:tcBorders>
            <w:shd w:val="clear" w:color="auto" w:fill="FFFFFF"/>
            <w:noWrap/>
            <w:vAlign w:val="center"/>
            <w:hideMark/>
          </w:tcPr>
          <w:p w14:paraId="360AA4F9" w14:textId="77777777" w:rsidR="00531061" w:rsidRPr="004149A5" w:rsidRDefault="00531061" w:rsidP="005B287F">
            <w:pPr>
              <w:pStyle w:val="ExhibitText"/>
              <w:jc w:val="right"/>
              <w:rPr>
                <w:b/>
                <w:sz w:val="16"/>
                <w:szCs w:val="16"/>
              </w:rPr>
            </w:pPr>
            <w:r w:rsidRPr="004149A5">
              <w:rPr>
                <w:b/>
                <w:sz w:val="16"/>
                <w:szCs w:val="16"/>
              </w:rPr>
              <w:t>1973</w:t>
            </w:r>
          </w:p>
        </w:tc>
        <w:tc>
          <w:tcPr>
            <w:tcW w:w="425" w:type="dxa"/>
            <w:tcBorders>
              <w:top w:val="single" w:sz="4" w:space="0" w:color="auto"/>
              <w:left w:val="nil"/>
              <w:bottom w:val="single" w:sz="4" w:space="0" w:color="auto"/>
              <w:right w:val="single" w:sz="4" w:space="0" w:color="auto"/>
            </w:tcBorders>
            <w:shd w:val="clear" w:color="auto" w:fill="FFFFFF"/>
            <w:noWrap/>
            <w:vAlign w:val="center"/>
            <w:hideMark/>
          </w:tcPr>
          <w:p w14:paraId="5167AB90" w14:textId="77777777" w:rsidR="00531061" w:rsidRPr="004149A5" w:rsidRDefault="00531061" w:rsidP="005B287F">
            <w:pPr>
              <w:pStyle w:val="ExhibitText"/>
              <w:jc w:val="right"/>
              <w:rPr>
                <w:b/>
                <w:sz w:val="16"/>
                <w:szCs w:val="16"/>
              </w:rPr>
            </w:pPr>
            <w:r w:rsidRPr="004149A5">
              <w:rPr>
                <w:b/>
                <w:sz w:val="16"/>
                <w:szCs w:val="16"/>
              </w:rPr>
              <w:t>1974</w:t>
            </w:r>
          </w:p>
        </w:tc>
        <w:tc>
          <w:tcPr>
            <w:tcW w:w="425" w:type="dxa"/>
            <w:tcBorders>
              <w:top w:val="single" w:sz="4" w:space="0" w:color="auto"/>
              <w:left w:val="nil"/>
              <w:bottom w:val="single" w:sz="4" w:space="0" w:color="auto"/>
              <w:right w:val="single" w:sz="4" w:space="0" w:color="auto"/>
            </w:tcBorders>
            <w:shd w:val="clear" w:color="auto" w:fill="FFFFFF"/>
            <w:noWrap/>
            <w:vAlign w:val="center"/>
            <w:hideMark/>
          </w:tcPr>
          <w:p w14:paraId="112D9B9E" w14:textId="77777777" w:rsidR="00531061" w:rsidRPr="004149A5" w:rsidRDefault="00531061" w:rsidP="005B287F">
            <w:pPr>
              <w:pStyle w:val="ExhibitText"/>
              <w:jc w:val="right"/>
              <w:rPr>
                <w:b/>
                <w:sz w:val="16"/>
                <w:szCs w:val="16"/>
              </w:rPr>
            </w:pPr>
            <w:r w:rsidRPr="004149A5">
              <w:rPr>
                <w:b/>
                <w:sz w:val="16"/>
                <w:szCs w:val="16"/>
              </w:rPr>
              <w:t>1975</w:t>
            </w:r>
          </w:p>
        </w:tc>
        <w:tc>
          <w:tcPr>
            <w:tcW w:w="426" w:type="dxa"/>
            <w:tcBorders>
              <w:top w:val="single" w:sz="4" w:space="0" w:color="auto"/>
              <w:left w:val="nil"/>
              <w:bottom w:val="single" w:sz="4" w:space="0" w:color="auto"/>
              <w:right w:val="single" w:sz="4" w:space="0" w:color="auto"/>
            </w:tcBorders>
            <w:shd w:val="clear" w:color="auto" w:fill="FFFFFF"/>
            <w:noWrap/>
            <w:vAlign w:val="center"/>
            <w:hideMark/>
          </w:tcPr>
          <w:p w14:paraId="1DB7A9E2" w14:textId="77777777" w:rsidR="00531061" w:rsidRPr="004149A5" w:rsidRDefault="00531061" w:rsidP="005B287F">
            <w:pPr>
              <w:pStyle w:val="ExhibitText"/>
              <w:jc w:val="right"/>
              <w:rPr>
                <w:b/>
                <w:sz w:val="16"/>
                <w:szCs w:val="16"/>
              </w:rPr>
            </w:pPr>
            <w:r w:rsidRPr="004149A5">
              <w:rPr>
                <w:b/>
                <w:sz w:val="16"/>
                <w:szCs w:val="16"/>
              </w:rPr>
              <w:t>1980</w:t>
            </w:r>
          </w:p>
        </w:tc>
        <w:tc>
          <w:tcPr>
            <w:tcW w:w="425" w:type="dxa"/>
            <w:tcBorders>
              <w:top w:val="single" w:sz="4" w:space="0" w:color="auto"/>
              <w:left w:val="nil"/>
              <w:bottom w:val="single" w:sz="4" w:space="0" w:color="auto"/>
              <w:right w:val="single" w:sz="4" w:space="0" w:color="auto"/>
            </w:tcBorders>
            <w:shd w:val="clear" w:color="auto" w:fill="FFFFFF"/>
            <w:noWrap/>
            <w:vAlign w:val="center"/>
            <w:hideMark/>
          </w:tcPr>
          <w:p w14:paraId="29FD0065" w14:textId="77777777" w:rsidR="00531061" w:rsidRPr="004149A5" w:rsidRDefault="00531061" w:rsidP="005B287F">
            <w:pPr>
              <w:pStyle w:val="ExhibitText"/>
              <w:jc w:val="right"/>
              <w:rPr>
                <w:b/>
                <w:sz w:val="16"/>
                <w:szCs w:val="16"/>
              </w:rPr>
            </w:pPr>
            <w:r w:rsidRPr="004149A5">
              <w:rPr>
                <w:b/>
                <w:sz w:val="16"/>
                <w:szCs w:val="16"/>
              </w:rPr>
              <w:t>1981</w:t>
            </w:r>
          </w:p>
        </w:tc>
        <w:tc>
          <w:tcPr>
            <w:tcW w:w="425" w:type="dxa"/>
            <w:tcBorders>
              <w:top w:val="single" w:sz="4" w:space="0" w:color="auto"/>
              <w:left w:val="nil"/>
              <w:bottom w:val="single" w:sz="4" w:space="0" w:color="auto"/>
              <w:right w:val="single" w:sz="4" w:space="0" w:color="auto"/>
            </w:tcBorders>
            <w:shd w:val="clear" w:color="auto" w:fill="FFFFFF"/>
            <w:noWrap/>
            <w:vAlign w:val="center"/>
            <w:hideMark/>
          </w:tcPr>
          <w:p w14:paraId="6A04EC7E" w14:textId="77777777" w:rsidR="00531061" w:rsidRPr="004149A5" w:rsidRDefault="00531061" w:rsidP="005B287F">
            <w:pPr>
              <w:pStyle w:val="ExhibitText"/>
              <w:jc w:val="right"/>
              <w:rPr>
                <w:b/>
                <w:sz w:val="16"/>
                <w:szCs w:val="16"/>
              </w:rPr>
            </w:pPr>
            <w:r w:rsidRPr="004149A5">
              <w:rPr>
                <w:b/>
                <w:sz w:val="16"/>
                <w:szCs w:val="16"/>
              </w:rPr>
              <w:t>1985</w:t>
            </w:r>
          </w:p>
        </w:tc>
        <w:tc>
          <w:tcPr>
            <w:tcW w:w="425" w:type="dxa"/>
            <w:tcBorders>
              <w:top w:val="single" w:sz="4" w:space="0" w:color="auto"/>
              <w:left w:val="nil"/>
              <w:bottom w:val="single" w:sz="4" w:space="0" w:color="auto"/>
              <w:right w:val="single" w:sz="4" w:space="0" w:color="auto"/>
            </w:tcBorders>
            <w:shd w:val="clear" w:color="auto" w:fill="FFFFFF"/>
            <w:noWrap/>
            <w:vAlign w:val="center"/>
            <w:hideMark/>
          </w:tcPr>
          <w:p w14:paraId="59F19AC1" w14:textId="77777777" w:rsidR="00531061" w:rsidRPr="004149A5" w:rsidRDefault="00531061" w:rsidP="005B287F">
            <w:pPr>
              <w:pStyle w:val="ExhibitText"/>
              <w:jc w:val="right"/>
              <w:rPr>
                <w:b/>
                <w:sz w:val="16"/>
                <w:szCs w:val="16"/>
              </w:rPr>
            </w:pPr>
            <w:r w:rsidRPr="004149A5">
              <w:rPr>
                <w:b/>
                <w:sz w:val="16"/>
                <w:szCs w:val="16"/>
              </w:rPr>
              <w:t>1990</w:t>
            </w:r>
          </w:p>
        </w:tc>
        <w:tc>
          <w:tcPr>
            <w:tcW w:w="426" w:type="dxa"/>
            <w:tcBorders>
              <w:top w:val="single" w:sz="4" w:space="0" w:color="auto"/>
              <w:left w:val="nil"/>
              <w:bottom w:val="single" w:sz="4" w:space="0" w:color="auto"/>
              <w:right w:val="single" w:sz="4" w:space="0" w:color="auto"/>
            </w:tcBorders>
            <w:shd w:val="clear" w:color="auto" w:fill="FFFFFF"/>
            <w:noWrap/>
            <w:vAlign w:val="center"/>
            <w:hideMark/>
          </w:tcPr>
          <w:p w14:paraId="24CAB70E" w14:textId="77777777" w:rsidR="00531061" w:rsidRPr="004149A5" w:rsidRDefault="00531061" w:rsidP="005B287F">
            <w:pPr>
              <w:pStyle w:val="ExhibitText"/>
              <w:jc w:val="right"/>
              <w:rPr>
                <w:b/>
                <w:sz w:val="16"/>
                <w:szCs w:val="16"/>
              </w:rPr>
            </w:pPr>
            <w:r w:rsidRPr="004149A5">
              <w:rPr>
                <w:b/>
                <w:sz w:val="16"/>
                <w:szCs w:val="16"/>
              </w:rPr>
              <w:t>1991</w:t>
            </w:r>
          </w:p>
        </w:tc>
        <w:tc>
          <w:tcPr>
            <w:tcW w:w="425" w:type="dxa"/>
            <w:tcBorders>
              <w:top w:val="single" w:sz="4" w:space="0" w:color="auto"/>
              <w:left w:val="nil"/>
              <w:bottom w:val="single" w:sz="4" w:space="0" w:color="auto"/>
              <w:right w:val="single" w:sz="4" w:space="0" w:color="auto"/>
            </w:tcBorders>
            <w:shd w:val="clear" w:color="auto" w:fill="FFFFFF"/>
            <w:noWrap/>
            <w:vAlign w:val="center"/>
            <w:hideMark/>
          </w:tcPr>
          <w:p w14:paraId="0FDD5EDE" w14:textId="77777777" w:rsidR="00531061" w:rsidRPr="004149A5" w:rsidRDefault="00531061" w:rsidP="005B287F">
            <w:pPr>
              <w:pStyle w:val="ExhibitText"/>
              <w:jc w:val="right"/>
              <w:rPr>
                <w:b/>
                <w:sz w:val="16"/>
                <w:szCs w:val="16"/>
              </w:rPr>
            </w:pPr>
            <w:r w:rsidRPr="004149A5">
              <w:rPr>
                <w:b/>
                <w:sz w:val="16"/>
                <w:szCs w:val="16"/>
              </w:rPr>
              <w:t>1995</w:t>
            </w:r>
          </w:p>
        </w:tc>
        <w:tc>
          <w:tcPr>
            <w:tcW w:w="425" w:type="dxa"/>
            <w:tcBorders>
              <w:top w:val="single" w:sz="4" w:space="0" w:color="auto"/>
              <w:left w:val="nil"/>
              <w:bottom w:val="single" w:sz="4" w:space="0" w:color="auto"/>
              <w:right w:val="single" w:sz="4" w:space="0" w:color="auto"/>
            </w:tcBorders>
            <w:shd w:val="clear" w:color="auto" w:fill="FFFFFF"/>
            <w:noWrap/>
            <w:vAlign w:val="center"/>
            <w:hideMark/>
          </w:tcPr>
          <w:p w14:paraId="3A8D28C4" w14:textId="77777777" w:rsidR="00531061" w:rsidRPr="004149A5" w:rsidRDefault="00531061" w:rsidP="005B287F">
            <w:pPr>
              <w:pStyle w:val="ExhibitText"/>
              <w:jc w:val="right"/>
              <w:rPr>
                <w:b/>
                <w:sz w:val="16"/>
                <w:szCs w:val="16"/>
              </w:rPr>
            </w:pPr>
            <w:r w:rsidRPr="004149A5">
              <w:rPr>
                <w:b/>
                <w:sz w:val="16"/>
                <w:szCs w:val="16"/>
              </w:rPr>
              <w:t>2000</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5461B0EF" w14:textId="77777777" w:rsidR="00531061" w:rsidRPr="004149A5" w:rsidRDefault="00531061" w:rsidP="005B287F">
            <w:pPr>
              <w:pStyle w:val="ExhibitText"/>
              <w:jc w:val="right"/>
              <w:rPr>
                <w:b/>
                <w:sz w:val="16"/>
                <w:szCs w:val="16"/>
              </w:rPr>
            </w:pPr>
            <w:r w:rsidRPr="004149A5">
              <w:rPr>
                <w:b/>
                <w:sz w:val="16"/>
                <w:szCs w:val="16"/>
              </w:rPr>
              <w:t>2001</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42CD9079" w14:textId="77777777" w:rsidR="00531061" w:rsidRPr="004149A5" w:rsidRDefault="00531061" w:rsidP="005B287F">
            <w:pPr>
              <w:pStyle w:val="ExhibitText"/>
              <w:jc w:val="right"/>
              <w:rPr>
                <w:b/>
                <w:sz w:val="16"/>
                <w:szCs w:val="16"/>
              </w:rPr>
            </w:pPr>
            <w:r w:rsidRPr="004149A5">
              <w:rPr>
                <w:b/>
                <w:sz w:val="16"/>
                <w:szCs w:val="16"/>
              </w:rPr>
              <w:t>2007</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632C4F04" w14:textId="77777777" w:rsidR="00531061" w:rsidRPr="004149A5" w:rsidRDefault="00531061" w:rsidP="005B287F">
            <w:pPr>
              <w:pStyle w:val="ExhibitText"/>
              <w:jc w:val="right"/>
              <w:rPr>
                <w:b/>
                <w:sz w:val="16"/>
                <w:szCs w:val="16"/>
              </w:rPr>
            </w:pPr>
            <w:r w:rsidRPr="004149A5">
              <w:rPr>
                <w:b/>
                <w:sz w:val="16"/>
                <w:szCs w:val="16"/>
              </w:rPr>
              <w:t>2008</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35E03D39" w14:textId="77777777" w:rsidR="00531061" w:rsidRPr="004149A5" w:rsidRDefault="00531061" w:rsidP="005B287F">
            <w:pPr>
              <w:pStyle w:val="ExhibitText"/>
              <w:jc w:val="right"/>
              <w:rPr>
                <w:b/>
                <w:sz w:val="16"/>
                <w:szCs w:val="16"/>
              </w:rPr>
            </w:pPr>
            <w:r w:rsidRPr="004149A5">
              <w:rPr>
                <w:b/>
                <w:sz w:val="16"/>
                <w:szCs w:val="16"/>
              </w:rPr>
              <w:t>2009</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76997557" w14:textId="77777777" w:rsidR="00531061" w:rsidRPr="004149A5" w:rsidRDefault="00531061" w:rsidP="005B287F">
            <w:pPr>
              <w:pStyle w:val="ExhibitText"/>
              <w:jc w:val="right"/>
              <w:rPr>
                <w:b/>
                <w:sz w:val="16"/>
                <w:szCs w:val="16"/>
              </w:rPr>
            </w:pPr>
            <w:r w:rsidRPr="004149A5">
              <w:rPr>
                <w:b/>
                <w:sz w:val="16"/>
                <w:szCs w:val="16"/>
              </w:rPr>
              <w:t>2010</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78378F4D" w14:textId="77777777" w:rsidR="00531061" w:rsidRPr="004149A5" w:rsidRDefault="00531061" w:rsidP="005B287F">
            <w:pPr>
              <w:pStyle w:val="ExhibitText"/>
              <w:jc w:val="right"/>
              <w:rPr>
                <w:b/>
                <w:sz w:val="16"/>
                <w:szCs w:val="16"/>
              </w:rPr>
            </w:pPr>
            <w:r w:rsidRPr="004149A5">
              <w:rPr>
                <w:b/>
                <w:sz w:val="16"/>
                <w:szCs w:val="16"/>
              </w:rPr>
              <w:t>2011</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06817131" w14:textId="77777777" w:rsidR="00531061" w:rsidRPr="004149A5" w:rsidRDefault="00531061" w:rsidP="005B287F">
            <w:pPr>
              <w:pStyle w:val="ExhibitText"/>
              <w:jc w:val="right"/>
              <w:rPr>
                <w:b/>
                <w:sz w:val="16"/>
                <w:szCs w:val="16"/>
              </w:rPr>
            </w:pPr>
            <w:r w:rsidRPr="004149A5">
              <w:rPr>
                <w:b/>
                <w:sz w:val="16"/>
                <w:szCs w:val="16"/>
              </w:rPr>
              <w:t>2012</w:t>
            </w:r>
          </w:p>
        </w:tc>
        <w:tc>
          <w:tcPr>
            <w:tcW w:w="501" w:type="dxa"/>
            <w:tcBorders>
              <w:top w:val="single" w:sz="4" w:space="0" w:color="auto"/>
              <w:left w:val="nil"/>
              <w:bottom w:val="single" w:sz="4" w:space="0" w:color="auto"/>
              <w:right w:val="single" w:sz="4" w:space="0" w:color="auto"/>
            </w:tcBorders>
            <w:shd w:val="clear" w:color="auto" w:fill="FFFFFF"/>
            <w:noWrap/>
            <w:vAlign w:val="center"/>
            <w:hideMark/>
          </w:tcPr>
          <w:p w14:paraId="2EE00DCA" w14:textId="77777777" w:rsidR="00531061" w:rsidRPr="004149A5" w:rsidRDefault="00531061" w:rsidP="005B287F">
            <w:pPr>
              <w:pStyle w:val="ExhibitText"/>
              <w:jc w:val="right"/>
              <w:rPr>
                <w:b/>
                <w:sz w:val="16"/>
                <w:szCs w:val="16"/>
              </w:rPr>
            </w:pPr>
            <w:r w:rsidRPr="004149A5">
              <w:rPr>
                <w:b/>
                <w:sz w:val="16"/>
                <w:szCs w:val="16"/>
              </w:rPr>
              <w:t>2013</w:t>
            </w:r>
          </w:p>
        </w:tc>
        <w:tc>
          <w:tcPr>
            <w:tcW w:w="492" w:type="dxa"/>
            <w:tcBorders>
              <w:top w:val="single" w:sz="4" w:space="0" w:color="auto"/>
              <w:left w:val="nil"/>
              <w:bottom w:val="single" w:sz="4" w:space="0" w:color="auto"/>
              <w:right w:val="single" w:sz="4" w:space="0" w:color="auto"/>
            </w:tcBorders>
            <w:shd w:val="clear" w:color="auto" w:fill="FFFFFF"/>
            <w:noWrap/>
            <w:vAlign w:val="center"/>
            <w:hideMark/>
          </w:tcPr>
          <w:p w14:paraId="647DBF92" w14:textId="77777777" w:rsidR="00531061" w:rsidRPr="004149A5" w:rsidRDefault="00531061" w:rsidP="005B287F">
            <w:pPr>
              <w:pStyle w:val="ExhibitText"/>
              <w:jc w:val="right"/>
              <w:rPr>
                <w:b/>
                <w:sz w:val="16"/>
                <w:szCs w:val="16"/>
              </w:rPr>
            </w:pPr>
            <w:r w:rsidRPr="004149A5">
              <w:rPr>
                <w:b/>
                <w:sz w:val="16"/>
                <w:szCs w:val="16"/>
              </w:rPr>
              <w:t>2014</w:t>
            </w:r>
          </w:p>
        </w:tc>
        <w:tc>
          <w:tcPr>
            <w:tcW w:w="567" w:type="dxa"/>
            <w:tcBorders>
              <w:top w:val="single" w:sz="4" w:space="0" w:color="auto"/>
              <w:left w:val="nil"/>
              <w:bottom w:val="single" w:sz="4" w:space="0" w:color="auto"/>
              <w:right w:val="single" w:sz="4" w:space="0" w:color="auto"/>
            </w:tcBorders>
            <w:shd w:val="clear" w:color="auto" w:fill="FFFFFF"/>
            <w:noWrap/>
            <w:vAlign w:val="center"/>
            <w:hideMark/>
          </w:tcPr>
          <w:p w14:paraId="472B1EED" w14:textId="77777777" w:rsidR="00531061" w:rsidRPr="004149A5" w:rsidRDefault="00531061" w:rsidP="005B287F">
            <w:pPr>
              <w:pStyle w:val="ExhibitText"/>
              <w:jc w:val="right"/>
              <w:rPr>
                <w:b/>
                <w:sz w:val="16"/>
                <w:szCs w:val="16"/>
              </w:rPr>
            </w:pPr>
            <w:r w:rsidRPr="004149A5">
              <w:rPr>
                <w:b/>
                <w:sz w:val="16"/>
                <w:szCs w:val="16"/>
              </w:rPr>
              <w:t>2015</w:t>
            </w:r>
          </w:p>
        </w:tc>
      </w:tr>
      <w:tr w:rsidR="004149A5" w:rsidRPr="004149A5" w14:paraId="1A7D36FF"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4376EA01" w14:textId="4E142A3A" w:rsidR="00531061" w:rsidRPr="004149A5" w:rsidRDefault="00531061">
            <w:pPr>
              <w:pStyle w:val="ExhibitText"/>
              <w:jc w:val="left"/>
              <w:rPr>
                <w:sz w:val="16"/>
                <w:szCs w:val="16"/>
              </w:rPr>
            </w:pPr>
            <w:r w:rsidRPr="004149A5">
              <w:rPr>
                <w:sz w:val="16"/>
                <w:szCs w:val="16"/>
              </w:rPr>
              <w:t>GDP growth</w:t>
            </w:r>
            <w:r w:rsidR="001E7573" w:rsidRPr="004149A5">
              <w:rPr>
                <w:sz w:val="16"/>
                <w:szCs w:val="16"/>
              </w:rPr>
              <w:t>,</w:t>
            </w:r>
            <w:r w:rsidRPr="004149A5">
              <w:rPr>
                <w:sz w:val="16"/>
                <w:szCs w:val="16"/>
              </w:rPr>
              <w:t xml:space="preserve"> annual</w:t>
            </w:r>
            <w:r w:rsidR="006A3E04" w:rsidRPr="004149A5">
              <w:rPr>
                <w:sz w:val="16"/>
                <w:szCs w:val="16"/>
              </w:rPr>
              <w:t xml:space="preserve"> </w:t>
            </w:r>
            <w:r w:rsidR="001E7573" w:rsidRPr="004149A5">
              <w:rPr>
                <w:sz w:val="16"/>
                <w:szCs w:val="16"/>
              </w:rPr>
              <w:t>(%</w:t>
            </w:r>
            <w:r w:rsidRPr="004149A5">
              <w:rPr>
                <w:sz w:val="16"/>
                <w:szCs w:val="16"/>
              </w:rPr>
              <w:t>)</w:t>
            </w:r>
          </w:p>
        </w:tc>
        <w:tc>
          <w:tcPr>
            <w:tcW w:w="479" w:type="dxa"/>
            <w:tcBorders>
              <w:top w:val="nil"/>
              <w:left w:val="nil"/>
              <w:bottom w:val="single" w:sz="4" w:space="0" w:color="auto"/>
              <w:right w:val="single" w:sz="4" w:space="0" w:color="auto"/>
            </w:tcBorders>
            <w:shd w:val="clear" w:color="auto" w:fill="FFFFFF"/>
            <w:noWrap/>
            <w:vAlign w:val="center"/>
            <w:hideMark/>
          </w:tcPr>
          <w:p w14:paraId="43FBFBD5" w14:textId="77777777" w:rsidR="00531061" w:rsidRPr="004149A5" w:rsidRDefault="00531061" w:rsidP="005B287F">
            <w:pPr>
              <w:pStyle w:val="ExhibitText"/>
              <w:jc w:val="right"/>
              <w:rPr>
                <w:sz w:val="16"/>
                <w:szCs w:val="16"/>
              </w:rPr>
            </w:pPr>
            <w:r w:rsidRPr="004149A5">
              <w:rPr>
                <w:sz w:val="16"/>
                <w:szCs w:val="16"/>
              </w:rPr>
              <w:t>8.1</w:t>
            </w:r>
          </w:p>
        </w:tc>
        <w:tc>
          <w:tcPr>
            <w:tcW w:w="425" w:type="dxa"/>
            <w:tcBorders>
              <w:top w:val="nil"/>
              <w:left w:val="nil"/>
              <w:bottom w:val="single" w:sz="4" w:space="0" w:color="auto"/>
              <w:right w:val="single" w:sz="4" w:space="0" w:color="auto"/>
            </w:tcBorders>
            <w:shd w:val="clear" w:color="auto" w:fill="FFFFFF"/>
            <w:noWrap/>
            <w:vAlign w:val="center"/>
            <w:hideMark/>
          </w:tcPr>
          <w:p w14:paraId="34F9018E" w14:textId="76A4C989"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6.4</w:t>
            </w:r>
          </w:p>
        </w:tc>
        <w:tc>
          <w:tcPr>
            <w:tcW w:w="425" w:type="dxa"/>
            <w:tcBorders>
              <w:top w:val="nil"/>
              <w:left w:val="nil"/>
              <w:bottom w:val="single" w:sz="4" w:space="0" w:color="auto"/>
              <w:right w:val="single" w:sz="4" w:space="0" w:color="auto"/>
            </w:tcBorders>
            <w:shd w:val="clear" w:color="auto" w:fill="FFFFFF"/>
            <w:noWrap/>
            <w:vAlign w:val="center"/>
            <w:hideMark/>
          </w:tcPr>
          <w:p w14:paraId="4FBD82FF" w14:textId="77777777" w:rsidR="00531061" w:rsidRPr="004149A5" w:rsidRDefault="00531061" w:rsidP="005B287F">
            <w:pPr>
              <w:pStyle w:val="ExhibitText"/>
              <w:jc w:val="right"/>
              <w:rPr>
                <w:sz w:val="16"/>
                <w:szCs w:val="16"/>
              </w:rPr>
            </w:pPr>
            <w:r w:rsidRPr="004149A5">
              <w:rPr>
                <w:sz w:val="16"/>
                <w:szCs w:val="16"/>
              </w:rPr>
              <w:t>6.4</w:t>
            </w:r>
          </w:p>
        </w:tc>
        <w:tc>
          <w:tcPr>
            <w:tcW w:w="426" w:type="dxa"/>
            <w:tcBorders>
              <w:top w:val="nil"/>
              <w:left w:val="nil"/>
              <w:bottom w:val="single" w:sz="4" w:space="0" w:color="auto"/>
              <w:right w:val="single" w:sz="4" w:space="0" w:color="auto"/>
            </w:tcBorders>
            <w:shd w:val="clear" w:color="auto" w:fill="FFFFFF"/>
            <w:noWrap/>
            <w:vAlign w:val="center"/>
            <w:hideMark/>
          </w:tcPr>
          <w:p w14:paraId="34574562" w14:textId="77777777" w:rsidR="00531061" w:rsidRPr="004149A5" w:rsidRDefault="00531061" w:rsidP="005B287F">
            <w:pPr>
              <w:pStyle w:val="ExhibitText"/>
              <w:jc w:val="right"/>
              <w:rPr>
                <w:sz w:val="16"/>
                <w:szCs w:val="16"/>
              </w:rPr>
            </w:pPr>
            <w:r w:rsidRPr="004149A5">
              <w:rPr>
                <w:sz w:val="16"/>
                <w:szCs w:val="16"/>
              </w:rPr>
              <w:t>0.7</w:t>
            </w:r>
          </w:p>
        </w:tc>
        <w:tc>
          <w:tcPr>
            <w:tcW w:w="425" w:type="dxa"/>
            <w:tcBorders>
              <w:top w:val="nil"/>
              <w:left w:val="nil"/>
              <w:bottom w:val="single" w:sz="4" w:space="0" w:color="auto"/>
              <w:right w:val="single" w:sz="4" w:space="0" w:color="auto"/>
            </w:tcBorders>
            <w:shd w:val="clear" w:color="auto" w:fill="FFFFFF"/>
            <w:noWrap/>
            <w:vAlign w:val="center"/>
            <w:hideMark/>
          </w:tcPr>
          <w:p w14:paraId="130D84CA" w14:textId="2AD47E23"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1.6</w:t>
            </w:r>
          </w:p>
        </w:tc>
        <w:tc>
          <w:tcPr>
            <w:tcW w:w="425" w:type="dxa"/>
            <w:tcBorders>
              <w:top w:val="nil"/>
              <w:left w:val="nil"/>
              <w:bottom w:val="single" w:sz="4" w:space="0" w:color="auto"/>
              <w:right w:val="single" w:sz="4" w:space="0" w:color="auto"/>
            </w:tcBorders>
            <w:shd w:val="clear" w:color="auto" w:fill="FFFFFF"/>
            <w:noWrap/>
            <w:vAlign w:val="center"/>
            <w:hideMark/>
          </w:tcPr>
          <w:p w14:paraId="08ABF81A" w14:textId="77777777" w:rsidR="00531061" w:rsidRPr="004149A5" w:rsidRDefault="00531061" w:rsidP="005B287F">
            <w:pPr>
              <w:pStyle w:val="ExhibitText"/>
              <w:jc w:val="right"/>
              <w:rPr>
                <w:sz w:val="16"/>
                <w:szCs w:val="16"/>
              </w:rPr>
            </w:pPr>
            <w:r w:rsidRPr="004149A5">
              <w:rPr>
                <w:sz w:val="16"/>
                <w:szCs w:val="16"/>
              </w:rPr>
              <w:t>2.5</w:t>
            </w:r>
          </w:p>
        </w:tc>
        <w:tc>
          <w:tcPr>
            <w:tcW w:w="425" w:type="dxa"/>
            <w:tcBorders>
              <w:top w:val="nil"/>
              <w:left w:val="nil"/>
              <w:bottom w:val="single" w:sz="4" w:space="0" w:color="auto"/>
              <w:right w:val="single" w:sz="4" w:space="0" w:color="auto"/>
            </w:tcBorders>
            <w:shd w:val="clear" w:color="auto" w:fill="FFFFFF"/>
            <w:noWrap/>
            <w:vAlign w:val="center"/>
            <w:hideMark/>
          </w:tcPr>
          <w:p w14:paraId="4859B232" w14:textId="77777777" w:rsidR="00531061" w:rsidRPr="004149A5" w:rsidRDefault="00531061" w:rsidP="005B287F">
            <w:pPr>
              <w:pStyle w:val="ExhibitText"/>
              <w:jc w:val="right"/>
              <w:rPr>
                <w:sz w:val="16"/>
                <w:szCs w:val="16"/>
              </w:rPr>
            </w:pPr>
            <w:r w:rsidRPr="004149A5">
              <w:rPr>
                <w:sz w:val="16"/>
                <w:szCs w:val="16"/>
              </w:rPr>
              <w:t>0.0</w:t>
            </w:r>
          </w:p>
        </w:tc>
        <w:tc>
          <w:tcPr>
            <w:tcW w:w="426" w:type="dxa"/>
            <w:tcBorders>
              <w:top w:val="nil"/>
              <w:left w:val="nil"/>
              <w:bottom w:val="single" w:sz="4" w:space="0" w:color="auto"/>
              <w:right w:val="single" w:sz="4" w:space="0" w:color="auto"/>
            </w:tcBorders>
            <w:shd w:val="clear" w:color="auto" w:fill="FFFFFF"/>
            <w:noWrap/>
            <w:vAlign w:val="center"/>
            <w:hideMark/>
          </w:tcPr>
          <w:p w14:paraId="3415FD35" w14:textId="77777777" w:rsidR="00531061" w:rsidRPr="004149A5" w:rsidRDefault="00531061" w:rsidP="005B287F">
            <w:pPr>
              <w:pStyle w:val="ExhibitText"/>
              <w:jc w:val="right"/>
              <w:rPr>
                <w:sz w:val="16"/>
                <w:szCs w:val="16"/>
              </w:rPr>
            </w:pPr>
            <w:r w:rsidRPr="004149A5">
              <w:rPr>
                <w:sz w:val="16"/>
                <w:szCs w:val="16"/>
              </w:rPr>
              <w:t>3.1</w:t>
            </w:r>
          </w:p>
        </w:tc>
        <w:tc>
          <w:tcPr>
            <w:tcW w:w="425" w:type="dxa"/>
            <w:tcBorders>
              <w:top w:val="nil"/>
              <w:left w:val="nil"/>
              <w:bottom w:val="single" w:sz="4" w:space="0" w:color="auto"/>
              <w:right w:val="single" w:sz="4" w:space="0" w:color="auto"/>
            </w:tcBorders>
            <w:shd w:val="clear" w:color="auto" w:fill="FFFFFF"/>
            <w:noWrap/>
            <w:vAlign w:val="center"/>
            <w:hideMark/>
          </w:tcPr>
          <w:p w14:paraId="4A9FBA50" w14:textId="77777777" w:rsidR="00531061" w:rsidRPr="004149A5" w:rsidRDefault="00531061" w:rsidP="005B287F">
            <w:pPr>
              <w:pStyle w:val="ExhibitText"/>
              <w:jc w:val="right"/>
              <w:rPr>
                <w:sz w:val="16"/>
                <w:szCs w:val="16"/>
              </w:rPr>
            </w:pPr>
            <w:r w:rsidRPr="004149A5">
              <w:rPr>
                <w:sz w:val="16"/>
                <w:szCs w:val="16"/>
              </w:rPr>
              <w:t>2.1</w:t>
            </w:r>
          </w:p>
        </w:tc>
        <w:tc>
          <w:tcPr>
            <w:tcW w:w="425" w:type="dxa"/>
            <w:tcBorders>
              <w:top w:val="nil"/>
              <w:left w:val="nil"/>
              <w:bottom w:val="single" w:sz="4" w:space="0" w:color="auto"/>
              <w:right w:val="single" w:sz="4" w:space="0" w:color="auto"/>
            </w:tcBorders>
            <w:shd w:val="clear" w:color="auto" w:fill="FFFFFF"/>
            <w:noWrap/>
            <w:vAlign w:val="center"/>
            <w:hideMark/>
          </w:tcPr>
          <w:p w14:paraId="6CBB63A7" w14:textId="77777777" w:rsidR="00531061" w:rsidRPr="004149A5" w:rsidRDefault="00531061" w:rsidP="005B287F">
            <w:pPr>
              <w:pStyle w:val="ExhibitText"/>
              <w:jc w:val="right"/>
              <w:rPr>
                <w:sz w:val="16"/>
                <w:szCs w:val="16"/>
              </w:rPr>
            </w:pPr>
            <w:r w:rsidRPr="004149A5">
              <w:rPr>
                <w:sz w:val="16"/>
                <w:szCs w:val="16"/>
              </w:rPr>
              <w:t>3.9</w:t>
            </w:r>
          </w:p>
        </w:tc>
        <w:tc>
          <w:tcPr>
            <w:tcW w:w="567" w:type="dxa"/>
            <w:tcBorders>
              <w:top w:val="nil"/>
              <w:left w:val="nil"/>
              <w:bottom w:val="single" w:sz="4" w:space="0" w:color="auto"/>
              <w:right w:val="single" w:sz="4" w:space="0" w:color="auto"/>
            </w:tcBorders>
            <w:shd w:val="clear" w:color="auto" w:fill="FFFFFF"/>
            <w:noWrap/>
            <w:vAlign w:val="center"/>
            <w:hideMark/>
          </w:tcPr>
          <w:p w14:paraId="6BEB00A4" w14:textId="77777777" w:rsidR="00531061" w:rsidRPr="004149A5" w:rsidRDefault="00531061" w:rsidP="005B287F">
            <w:pPr>
              <w:pStyle w:val="ExhibitText"/>
              <w:jc w:val="right"/>
              <w:rPr>
                <w:sz w:val="16"/>
                <w:szCs w:val="16"/>
              </w:rPr>
            </w:pPr>
            <w:r w:rsidRPr="004149A5">
              <w:rPr>
                <w:sz w:val="16"/>
                <w:szCs w:val="16"/>
              </w:rPr>
              <w:t>4.1</w:t>
            </w:r>
          </w:p>
        </w:tc>
        <w:tc>
          <w:tcPr>
            <w:tcW w:w="567" w:type="dxa"/>
            <w:tcBorders>
              <w:top w:val="nil"/>
              <w:left w:val="nil"/>
              <w:bottom w:val="single" w:sz="4" w:space="0" w:color="auto"/>
              <w:right w:val="single" w:sz="4" w:space="0" w:color="auto"/>
            </w:tcBorders>
            <w:shd w:val="clear" w:color="auto" w:fill="FFFFFF"/>
            <w:noWrap/>
            <w:vAlign w:val="center"/>
            <w:hideMark/>
          </w:tcPr>
          <w:p w14:paraId="318480E6" w14:textId="77777777" w:rsidR="00531061" w:rsidRPr="004149A5" w:rsidRDefault="00531061" w:rsidP="005B287F">
            <w:pPr>
              <w:pStyle w:val="ExhibitText"/>
              <w:jc w:val="right"/>
              <w:rPr>
                <w:sz w:val="16"/>
                <w:szCs w:val="16"/>
              </w:rPr>
            </w:pPr>
            <w:r w:rsidRPr="004149A5">
              <w:rPr>
                <w:sz w:val="16"/>
                <w:szCs w:val="16"/>
              </w:rPr>
              <w:t>3.3</w:t>
            </w:r>
          </w:p>
        </w:tc>
        <w:tc>
          <w:tcPr>
            <w:tcW w:w="567" w:type="dxa"/>
            <w:tcBorders>
              <w:top w:val="nil"/>
              <w:left w:val="nil"/>
              <w:bottom w:val="single" w:sz="4" w:space="0" w:color="auto"/>
              <w:right w:val="single" w:sz="4" w:space="0" w:color="auto"/>
            </w:tcBorders>
            <w:shd w:val="clear" w:color="auto" w:fill="FFFFFF"/>
            <w:noWrap/>
            <w:vAlign w:val="center"/>
            <w:hideMark/>
          </w:tcPr>
          <w:p w14:paraId="4351D1FE" w14:textId="34F7D7D0"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0.3</w:t>
            </w:r>
          </w:p>
        </w:tc>
        <w:tc>
          <w:tcPr>
            <w:tcW w:w="567" w:type="dxa"/>
            <w:tcBorders>
              <w:top w:val="nil"/>
              <w:left w:val="nil"/>
              <w:bottom w:val="single" w:sz="4" w:space="0" w:color="auto"/>
              <w:right w:val="single" w:sz="4" w:space="0" w:color="auto"/>
            </w:tcBorders>
            <w:shd w:val="clear" w:color="auto" w:fill="FFFFFF"/>
            <w:noWrap/>
            <w:vAlign w:val="center"/>
            <w:hideMark/>
          </w:tcPr>
          <w:p w14:paraId="34F1E054" w14:textId="231F0AE6"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4.3</w:t>
            </w:r>
          </w:p>
        </w:tc>
        <w:tc>
          <w:tcPr>
            <w:tcW w:w="567" w:type="dxa"/>
            <w:tcBorders>
              <w:top w:val="nil"/>
              <w:left w:val="nil"/>
              <w:bottom w:val="single" w:sz="4" w:space="0" w:color="auto"/>
              <w:right w:val="single" w:sz="4" w:space="0" w:color="auto"/>
            </w:tcBorders>
            <w:shd w:val="clear" w:color="auto" w:fill="FFFFFF"/>
            <w:noWrap/>
            <w:vAlign w:val="center"/>
            <w:hideMark/>
          </w:tcPr>
          <w:p w14:paraId="3E37D54D" w14:textId="78F1E634"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5.5</w:t>
            </w:r>
          </w:p>
        </w:tc>
        <w:tc>
          <w:tcPr>
            <w:tcW w:w="567" w:type="dxa"/>
            <w:tcBorders>
              <w:top w:val="nil"/>
              <w:left w:val="nil"/>
              <w:bottom w:val="single" w:sz="4" w:space="0" w:color="auto"/>
              <w:right w:val="single" w:sz="4" w:space="0" w:color="auto"/>
            </w:tcBorders>
            <w:shd w:val="clear" w:color="auto" w:fill="FFFFFF"/>
            <w:noWrap/>
            <w:vAlign w:val="center"/>
            <w:hideMark/>
          </w:tcPr>
          <w:p w14:paraId="7EFEBC31" w14:textId="7319521F"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9.1</w:t>
            </w:r>
          </w:p>
        </w:tc>
        <w:tc>
          <w:tcPr>
            <w:tcW w:w="567" w:type="dxa"/>
            <w:tcBorders>
              <w:top w:val="nil"/>
              <w:left w:val="nil"/>
              <w:bottom w:val="single" w:sz="4" w:space="0" w:color="auto"/>
              <w:right w:val="single" w:sz="4" w:space="0" w:color="auto"/>
            </w:tcBorders>
            <w:shd w:val="clear" w:color="auto" w:fill="FFFFFF"/>
            <w:noWrap/>
            <w:vAlign w:val="center"/>
            <w:hideMark/>
          </w:tcPr>
          <w:p w14:paraId="0D86A01C" w14:textId="2D706B92"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7.3</w:t>
            </w:r>
          </w:p>
        </w:tc>
        <w:tc>
          <w:tcPr>
            <w:tcW w:w="501" w:type="dxa"/>
            <w:tcBorders>
              <w:top w:val="nil"/>
              <w:left w:val="nil"/>
              <w:bottom w:val="single" w:sz="4" w:space="0" w:color="auto"/>
              <w:right w:val="single" w:sz="4" w:space="0" w:color="auto"/>
            </w:tcBorders>
            <w:shd w:val="clear" w:color="auto" w:fill="FFFFFF"/>
            <w:noWrap/>
            <w:vAlign w:val="center"/>
            <w:hideMark/>
          </w:tcPr>
          <w:p w14:paraId="00B912D7" w14:textId="4CDB80B4"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3.2</w:t>
            </w:r>
          </w:p>
        </w:tc>
        <w:tc>
          <w:tcPr>
            <w:tcW w:w="492" w:type="dxa"/>
            <w:tcBorders>
              <w:top w:val="nil"/>
              <w:left w:val="nil"/>
              <w:bottom w:val="single" w:sz="4" w:space="0" w:color="auto"/>
              <w:right w:val="single" w:sz="4" w:space="0" w:color="auto"/>
            </w:tcBorders>
            <w:shd w:val="clear" w:color="auto" w:fill="FFFFFF"/>
            <w:noWrap/>
            <w:vAlign w:val="center"/>
            <w:hideMark/>
          </w:tcPr>
          <w:p w14:paraId="57146C37" w14:textId="77777777" w:rsidR="00531061" w:rsidRPr="004149A5" w:rsidRDefault="00531061" w:rsidP="005B287F">
            <w:pPr>
              <w:pStyle w:val="ExhibitText"/>
              <w:jc w:val="right"/>
              <w:rPr>
                <w:sz w:val="16"/>
                <w:szCs w:val="16"/>
              </w:rPr>
            </w:pPr>
            <w:r w:rsidRPr="004149A5">
              <w:rPr>
                <w:sz w:val="16"/>
                <w:szCs w:val="16"/>
              </w:rPr>
              <w:t>0.4</w:t>
            </w:r>
          </w:p>
        </w:tc>
        <w:tc>
          <w:tcPr>
            <w:tcW w:w="567" w:type="dxa"/>
            <w:tcBorders>
              <w:top w:val="nil"/>
              <w:left w:val="nil"/>
              <w:bottom w:val="single" w:sz="4" w:space="0" w:color="auto"/>
              <w:right w:val="single" w:sz="4" w:space="0" w:color="auto"/>
            </w:tcBorders>
            <w:shd w:val="clear" w:color="auto" w:fill="FFFFFF"/>
            <w:noWrap/>
            <w:vAlign w:val="center"/>
            <w:hideMark/>
          </w:tcPr>
          <w:p w14:paraId="458856F8" w14:textId="1BE549DE"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0.2</w:t>
            </w:r>
          </w:p>
        </w:tc>
      </w:tr>
      <w:tr w:rsidR="004149A5" w:rsidRPr="004149A5" w14:paraId="3CA8D2DB"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50B39260" w14:textId="72F8C0DD" w:rsidR="00531061" w:rsidRPr="004149A5" w:rsidRDefault="00531061">
            <w:pPr>
              <w:pStyle w:val="ExhibitText"/>
              <w:jc w:val="left"/>
              <w:rPr>
                <w:sz w:val="16"/>
                <w:szCs w:val="16"/>
              </w:rPr>
            </w:pPr>
            <w:r w:rsidRPr="004149A5">
              <w:rPr>
                <w:sz w:val="16"/>
                <w:szCs w:val="16"/>
              </w:rPr>
              <w:t>Inflation, GDP deflator</w:t>
            </w:r>
            <w:r w:rsidR="001E7573" w:rsidRPr="004149A5">
              <w:rPr>
                <w:sz w:val="16"/>
                <w:szCs w:val="16"/>
              </w:rPr>
              <w:t>,</w:t>
            </w:r>
            <w:r w:rsidRPr="004149A5">
              <w:rPr>
                <w:sz w:val="16"/>
                <w:szCs w:val="16"/>
              </w:rPr>
              <w:t xml:space="preserve"> annual</w:t>
            </w:r>
            <w:r w:rsidR="006A3E04" w:rsidRPr="004149A5">
              <w:rPr>
                <w:sz w:val="16"/>
                <w:szCs w:val="16"/>
              </w:rPr>
              <w:t xml:space="preserve"> </w:t>
            </w:r>
            <w:r w:rsidR="001E7573" w:rsidRPr="004149A5">
              <w:rPr>
                <w:sz w:val="16"/>
                <w:szCs w:val="16"/>
              </w:rPr>
              <w:t>(%</w:t>
            </w:r>
            <w:r w:rsidRPr="004149A5">
              <w:rPr>
                <w:sz w:val="16"/>
                <w:szCs w:val="16"/>
              </w:rPr>
              <w:t>)</w:t>
            </w:r>
          </w:p>
        </w:tc>
        <w:tc>
          <w:tcPr>
            <w:tcW w:w="479" w:type="dxa"/>
            <w:tcBorders>
              <w:top w:val="nil"/>
              <w:left w:val="nil"/>
              <w:bottom w:val="single" w:sz="4" w:space="0" w:color="auto"/>
              <w:right w:val="single" w:sz="4" w:space="0" w:color="auto"/>
            </w:tcBorders>
            <w:shd w:val="clear" w:color="auto" w:fill="FFFFFF"/>
            <w:noWrap/>
            <w:vAlign w:val="center"/>
            <w:hideMark/>
          </w:tcPr>
          <w:p w14:paraId="1403607E" w14:textId="77777777" w:rsidR="00531061" w:rsidRPr="004149A5" w:rsidRDefault="00531061" w:rsidP="005B287F">
            <w:pPr>
              <w:pStyle w:val="ExhibitText"/>
              <w:jc w:val="right"/>
              <w:rPr>
                <w:sz w:val="16"/>
                <w:szCs w:val="16"/>
              </w:rPr>
            </w:pPr>
            <w:r w:rsidRPr="004149A5">
              <w:rPr>
                <w:sz w:val="16"/>
                <w:szCs w:val="16"/>
              </w:rPr>
              <w:t>20.9</w:t>
            </w:r>
          </w:p>
        </w:tc>
        <w:tc>
          <w:tcPr>
            <w:tcW w:w="425" w:type="dxa"/>
            <w:tcBorders>
              <w:top w:val="nil"/>
              <w:left w:val="nil"/>
              <w:bottom w:val="single" w:sz="4" w:space="0" w:color="auto"/>
              <w:right w:val="single" w:sz="4" w:space="0" w:color="auto"/>
            </w:tcBorders>
            <w:shd w:val="clear" w:color="auto" w:fill="FFFFFF"/>
            <w:noWrap/>
            <w:vAlign w:val="center"/>
            <w:hideMark/>
          </w:tcPr>
          <w:p w14:paraId="60997FAA" w14:textId="77777777" w:rsidR="00531061" w:rsidRPr="004149A5" w:rsidRDefault="00531061" w:rsidP="005B287F">
            <w:pPr>
              <w:pStyle w:val="ExhibitText"/>
              <w:jc w:val="right"/>
              <w:rPr>
                <w:sz w:val="16"/>
                <w:szCs w:val="16"/>
              </w:rPr>
            </w:pPr>
            <w:r w:rsidRPr="004149A5">
              <w:rPr>
                <w:sz w:val="16"/>
                <w:szCs w:val="16"/>
              </w:rPr>
              <w:t>22.8</w:t>
            </w:r>
          </w:p>
        </w:tc>
        <w:tc>
          <w:tcPr>
            <w:tcW w:w="425" w:type="dxa"/>
            <w:tcBorders>
              <w:top w:val="nil"/>
              <w:left w:val="nil"/>
              <w:bottom w:val="single" w:sz="4" w:space="0" w:color="auto"/>
              <w:right w:val="single" w:sz="4" w:space="0" w:color="auto"/>
            </w:tcBorders>
            <w:shd w:val="clear" w:color="auto" w:fill="FFFFFF"/>
            <w:noWrap/>
            <w:vAlign w:val="center"/>
            <w:hideMark/>
          </w:tcPr>
          <w:p w14:paraId="7BC377F1" w14:textId="77777777" w:rsidR="00531061" w:rsidRPr="004149A5" w:rsidRDefault="00531061" w:rsidP="005B287F">
            <w:pPr>
              <w:pStyle w:val="ExhibitText"/>
              <w:jc w:val="right"/>
              <w:rPr>
                <w:sz w:val="16"/>
                <w:szCs w:val="16"/>
              </w:rPr>
            </w:pPr>
            <w:r w:rsidRPr="004149A5">
              <w:rPr>
                <w:sz w:val="16"/>
                <w:szCs w:val="16"/>
              </w:rPr>
              <w:t>13.1</w:t>
            </w:r>
          </w:p>
        </w:tc>
        <w:tc>
          <w:tcPr>
            <w:tcW w:w="426" w:type="dxa"/>
            <w:tcBorders>
              <w:top w:val="nil"/>
              <w:left w:val="nil"/>
              <w:bottom w:val="single" w:sz="4" w:space="0" w:color="auto"/>
              <w:right w:val="single" w:sz="4" w:space="0" w:color="auto"/>
            </w:tcBorders>
            <w:shd w:val="clear" w:color="auto" w:fill="FFFFFF"/>
            <w:noWrap/>
            <w:vAlign w:val="center"/>
            <w:hideMark/>
          </w:tcPr>
          <w:p w14:paraId="14DD5AEE" w14:textId="77777777" w:rsidR="00531061" w:rsidRPr="004149A5" w:rsidRDefault="00531061" w:rsidP="005B287F">
            <w:pPr>
              <w:pStyle w:val="ExhibitText"/>
              <w:jc w:val="right"/>
              <w:rPr>
                <w:sz w:val="16"/>
                <w:szCs w:val="16"/>
              </w:rPr>
            </w:pPr>
            <w:r w:rsidRPr="004149A5">
              <w:rPr>
                <w:sz w:val="16"/>
                <w:szCs w:val="16"/>
              </w:rPr>
              <w:t>19.2</w:t>
            </w:r>
          </w:p>
        </w:tc>
        <w:tc>
          <w:tcPr>
            <w:tcW w:w="425" w:type="dxa"/>
            <w:tcBorders>
              <w:top w:val="nil"/>
              <w:left w:val="nil"/>
              <w:bottom w:val="single" w:sz="4" w:space="0" w:color="auto"/>
              <w:right w:val="single" w:sz="4" w:space="0" w:color="auto"/>
            </w:tcBorders>
            <w:shd w:val="clear" w:color="auto" w:fill="FFFFFF"/>
            <w:noWrap/>
            <w:vAlign w:val="center"/>
            <w:hideMark/>
          </w:tcPr>
          <w:p w14:paraId="0AF6120A" w14:textId="77777777" w:rsidR="00531061" w:rsidRPr="004149A5" w:rsidRDefault="00531061" w:rsidP="005B287F">
            <w:pPr>
              <w:pStyle w:val="ExhibitText"/>
              <w:jc w:val="right"/>
              <w:rPr>
                <w:sz w:val="16"/>
                <w:szCs w:val="16"/>
              </w:rPr>
            </w:pPr>
            <w:r w:rsidRPr="004149A5">
              <w:rPr>
                <w:sz w:val="16"/>
                <w:szCs w:val="16"/>
              </w:rPr>
              <w:t>21.6</w:t>
            </w:r>
          </w:p>
        </w:tc>
        <w:tc>
          <w:tcPr>
            <w:tcW w:w="425" w:type="dxa"/>
            <w:tcBorders>
              <w:top w:val="nil"/>
              <w:left w:val="nil"/>
              <w:bottom w:val="single" w:sz="4" w:space="0" w:color="auto"/>
              <w:right w:val="single" w:sz="4" w:space="0" w:color="auto"/>
            </w:tcBorders>
            <w:shd w:val="clear" w:color="auto" w:fill="FFFFFF"/>
            <w:noWrap/>
            <w:vAlign w:val="center"/>
            <w:hideMark/>
          </w:tcPr>
          <w:p w14:paraId="1D1EB83E" w14:textId="77777777" w:rsidR="00531061" w:rsidRPr="004149A5" w:rsidRDefault="00531061" w:rsidP="005B287F">
            <w:pPr>
              <w:pStyle w:val="ExhibitText"/>
              <w:jc w:val="right"/>
              <w:rPr>
                <w:sz w:val="16"/>
                <w:szCs w:val="16"/>
              </w:rPr>
            </w:pPr>
            <w:r w:rsidRPr="004149A5">
              <w:rPr>
                <w:sz w:val="16"/>
                <w:szCs w:val="16"/>
              </w:rPr>
              <w:t>19.0</w:t>
            </w:r>
          </w:p>
        </w:tc>
        <w:tc>
          <w:tcPr>
            <w:tcW w:w="425" w:type="dxa"/>
            <w:tcBorders>
              <w:top w:val="nil"/>
              <w:left w:val="nil"/>
              <w:bottom w:val="single" w:sz="4" w:space="0" w:color="auto"/>
              <w:right w:val="single" w:sz="4" w:space="0" w:color="auto"/>
            </w:tcBorders>
            <w:shd w:val="clear" w:color="auto" w:fill="FFFFFF"/>
            <w:noWrap/>
            <w:vAlign w:val="center"/>
            <w:hideMark/>
          </w:tcPr>
          <w:p w14:paraId="3E8ED540" w14:textId="77777777" w:rsidR="00531061" w:rsidRPr="004149A5" w:rsidRDefault="00531061" w:rsidP="005B287F">
            <w:pPr>
              <w:pStyle w:val="ExhibitText"/>
              <w:jc w:val="right"/>
              <w:rPr>
                <w:sz w:val="16"/>
                <w:szCs w:val="16"/>
              </w:rPr>
            </w:pPr>
            <w:r w:rsidRPr="004149A5">
              <w:rPr>
                <w:sz w:val="16"/>
                <w:szCs w:val="16"/>
              </w:rPr>
              <w:t>20.7</w:t>
            </w:r>
          </w:p>
        </w:tc>
        <w:tc>
          <w:tcPr>
            <w:tcW w:w="426" w:type="dxa"/>
            <w:tcBorders>
              <w:top w:val="nil"/>
              <w:left w:val="nil"/>
              <w:bottom w:val="single" w:sz="4" w:space="0" w:color="auto"/>
              <w:right w:val="single" w:sz="4" w:space="0" w:color="auto"/>
            </w:tcBorders>
            <w:shd w:val="clear" w:color="auto" w:fill="FFFFFF"/>
            <w:noWrap/>
            <w:vAlign w:val="center"/>
            <w:hideMark/>
          </w:tcPr>
          <w:p w14:paraId="0897D0F8" w14:textId="77777777" w:rsidR="00531061" w:rsidRPr="004149A5" w:rsidRDefault="00531061" w:rsidP="005B287F">
            <w:pPr>
              <w:pStyle w:val="ExhibitText"/>
              <w:jc w:val="right"/>
              <w:rPr>
                <w:sz w:val="16"/>
                <w:szCs w:val="16"/>
              </w:rPr>
            </w:pPr>
            <w:r w:rsidRPr="004149A5">
              <w:rPr>
                <w:sz w:val="16"/>
                <w:szCs w:val="16"/>
              </w:rPr>
              <w:t>19.8</w:t>
            </w:r>
          </w:p>
        </w:tc>
        <w:tc>
          <w:tcPr>
            <w:tcW w:w="425" w:type="dxa"/>
            <w:tcBorders>
              <w:top w:val="nil"/>
              <w:left w:val="nil"/>
              <w:bottom w:val="single" w:sz="4" w:space="0" w:color="auto"/>
              <w:right w:val="single" w:sz="4" w:space="0" w:color="auto"/>
            </w:tcBorders>
            <w:shd w:val="clear" w:color="auto" w:fill="FFFFFF"/>
            <w:noWrap/>
            <w:vAlign w:val="center"/>
            <w:hideMark/>
          </w:tcPr>
          <w:p w14:paraId="43386FF8" w14:textId="77777777" w:rsidR="00531061" w:rsidRPr="004149A5" w:rsidRDefault="00531061" w:rsidP="005B287F">
            <w:pPr>
              <w:pStyle w:val="ExhibitText"/>
              <w:jc w:val="right"/>
              <w:rPr>
                <w:sz w:val="16"/>
                <w:szCs w:val="16"/>
              </w:rPr>
            </w:pPr>
            <w:r w:rsidRPr="004149A5">
              <w:rPr>
                <w:sz w:val="16"/>
                <w:szCs w:val="16"/>
              </w:rPr>
              <w:t>9.8</w:t>
            </w:r>
          </w:p>
        </w:tc>
        <w:tc>
          <w:tcPr>
            <w:tcW w:w="425" w:type="dxa"/>
            <w:tcBorders>
              <w:top w:val="nil"/>
              <w:left w:val="nil"/>
              <w:bottom w:val="single" w:sz="4" w:space="0" w:color="auto"/>
              <w:right w:val="single" w:sz="4" w:space="0" w:color="auto"/>
            </w:tcBorders>
            <w:shd w:val="clear" w:color="auto" w:fill="FFFFFF"/>
            <w:noWrap/>
            <w:vAlign w:val="center"/>
            <w:hideMark/>
          </w:tcPr>
          <w:p w14:paraId="672C4792" w14:textId="77777777" w:rsidR="00531061" w:rsidRPr="004149A5" w:rsidRDefault="00531061" w:rsidP="005B287F">
            <w:pPr>
              <w:pStyle w:val="ExhibitText"/>
              <w:jc w:val="right"/>
              <w:rPr>
                <w:sz w:val="16"/>
                <w:szCs w:val="16"/>
              </w:rPr>
            </w:pPr>
            <w:r w:rsidRPr="004149A5">
              <w:rPr>
                <w:sz w:val="16"/>
                <w:szCs w:val="16"/>
              </w:rPr>
              <w:t>1.6</w:t>
            </w:r>
          </w:p>
        </w:tc>
        <w:tc>
          <w:tcPr>
            <w:tcW w:w="567" w:type="dxa"/>
            <w:tcBorders>
              <w:top w:val="nil"/>
              <w:left w:val="nil"/>
              <w:bottom w:val="single" w:sz="4" w:space="0" w:color="auto"/>
              <w:right w:val="single" w:sz="4" w:space="0" w:color="auto"/>
            </w:tcBorders>
            <w:shd w:val="clear" w:color="auto" w:fill="FFFFFF"/>
            <w:noWrap/>
            <w:vAlign w:val="center"/>
            <w:hideMark/>
          </w:tcPr>
          <w:p w14:paraId="28C29B02" w14:textId="77777777" w:rsidR="00531061" w:rsidRPr="004149A5" w:rsidRDefault="00531061" w:rsidP="005B287F">
            <w:pPr>
              <w:pStyle w:val="ExhibitText"/>
              <w:jc w:val="right"/>
              <w:rPr>
                <w:sz w:val="16"/>
                <w:szCs w:val="16"/>
              </w:rPr>
            </w:pPr>
            <w:r w:rsidRPr="004149A5">
              <w:rPr>
                <w:sz w:val="16"/>
                <w:szCs w:val="16"/>
              </w:rPr>
              <w:t>3.5</w:t>
            </w:r>
          </w:p>
        </w:tc>
        <w:tc>
          <w:tcPr>
            <w:tcW w:w="567" w:type="dxa"/>
            <w:tcBorders>
              <w:top w:val="nil"/>
              <w:left w:val="nil"/>
              <w:bottom w:val="single" w:sz="4" w:space="0" w:color="auto"/>
              <w:right w:val="single" w:sz="4" w:space="0" w:color="auto"/>
            </w:tcBorders>
            <w:shd w:val="clear" w:color="auto" w:fill="FFFFFF"/>
            <w:noWrap/>
            <w:vAlign w:val="center"/>
            <w:hideMark/>
          </w:tcPr>
          <w:p w14:paraId="4CC175F1" w14:textId="77777777" w:rsidR="00531061" w:rsidRPr="004149A5" w:rsidRDefault="00531061" w:rsidP="005B287F">
            <w:pPr>
              <w:pStyle w:val="ExhibitText"/>
              <w:jc w:val="right"/>
              <w:rPr>
                <w:sz w:val="16"/>
                <w:szCs w:val="16"/>
              </w:rPr>
            </w:pPr>
            <w:r w:rsidRPr="004149A5">
              <w:rPr>
                <w:sz w:val="16"/>
                <w:szCs w:val="16"/>
              </w:rPr>
              <w:t>3.4</w:t>
            </w:r>
          </w:p>
        </w:tc>
        <w:tc>
          <w:tcPr>
            <w:tcW w:w="567" w:type="dxa"/>
            <w:tcBorders>
              <w:top w:val="nil"/>
              <w:left w:val="nil"/>
              <w:bottom w:val="single" w:sz="4" w:space="0" w:color="auto"/>
              <w:right w:val="single" w:sz="4" w:space="0" w:color="auto"/>
            </w:tcBorders>
            <w:shd w:val="clear" w:color="auto" w:fill="FFFFFF"/>
            <w:noWrap/>
            <w:vAlign w:val="center"/>
            <w:hideMark/>
          </w:tcPr>
          <w:p w14:paraId="34D66CB4" w14:textId="77777777" w:rsidR="00531061" w:rsidRPr="004149A5" w:rsidRDefault="00531061" w:rsidP="005B287F">
            <w:pPr>
              <w:pStyle w:val="ExhibitText"/>
              <w:jc w:val="right"/>
              <w:rPr>
                <w:sz w:val="16"/>
                <w:szCs w:val="16"/>
              </w:rPr>
            </w:pPr>
            <w:r w:rsidRPr="004149A5">
              <w:rPr>
                <w:sz w:val="16"/>
                <w:szCs w:val="16"/>
              </w:rPr>
              <w:t>4.3</w:t>
            </w:r>
          </w:p>
        </w:tc>
        <w:tc>
          <w:tcPr>
            <w:tcW w:w="567" w:type="dxa"/>
            <w:tcBorders>
              <w:top w:val="nil"/>
              <w:left w:val="nil"/>
              <w:bottom w:val="single" w:sz="4" w:space="0" w:color="auto"/>
              <w:right w:val="single" w:sz="4" w:space="0" w:color="auto"/>
            </w:tcBorders>
            <w:shd w:val="clear" w:color="auto" w:fill="FFFFFF"/>
            <w:noWrap/>
            <w:vAlign w:val="center"/>
            <w:hideMark/>
          </w:tcPr>
          <w:p w14:paraId="2114FA2D" w14:textId="77777777" w:rsidR="00531061" w:rsidRPr="004149A5" w:rsidRDefault="00531061" w:rsidP="005B287F">
            <w:pPr>
              <w:pStyle w:val="ExhibitText"/>
              <w:jc w:val="right"/>
              <w:rPr>
                <w:sz w:val="16"/>
                <w:szCs w:val="16"/>
              </w:rPr>
            </w:pPr>
            <w:r w:rsidRPr="004149A5">
              <w:rPr>
                <w:sz w:val="16"/>
                <w:szCs w:val="16"/>
              </w:rPr>
              <w:t>2.6</w:t>
            </w:r>
          </w:p>
        </w:tc>
        <w:tc>
          <w:tcPr>
            <w:tcW w:w="567" w:type="dxa"/>
            <w:tcBorders>
              <w:top w:val="nil"/>
              <w:left w:val="nil"/>
              <w:bottom w:val="single" w:sz="4" w:space="0" w:color="auto"/>
              <w:right w:val="single" w:sz="4" w:space="0" w:color="auto"/>
            </w:tcBorders>
            <w:shd w:val="clear" w:color="auto" w:fill="FFFFFF"/>
            <w:noWrap/>
            <w:vAlign w:val="center"/>
            <w:hideMark/>
          </w:tcPr>
          <w:p w14:paraId="3CCE6072" w14:textId="77777777" w:rsidR="00531061" w:rsidRPr="004149A5" w:rsidRDefault="00531061" w:rsidP="005B287F">
            <w:pPr>
              <w:pStyle w:val="ExhibitText"/>
              <w:jc w:val="right"/>
              <w:rPr>
                <w:sz w:val="16"/>
                <w:szCs w:val="16"/>
              </w:rPr>
            </w:pPr>
            <w:r w:rsidRPr="004149A5">
              <w:rPr>
                <w:sz w:val="16"/>
                <w:szCs w:val="16"/>
              </w:rPr>
              <w:t>0.7</w:t>
            </w:r>
          </w:p>
        </w:tc>
        <w:tc>
          <w:tcPr>
            <w:tcW w:w="567" w:type="dxa"/>
            <w:tcBorders>
              <w:top w:val="nil"/>
              <w:left w:val="nil"/>
              <w:bottom w:val="single" w:sz="4" w:space="0" w:color="auto"/>
              <w:right w:val="single" w:sz="4" w:space="0" w:color="auto"/>
            </w:tcBorders>
            <w:shd w:val="clear" w:color="auto" w:fill="FFFFFF"/>
            <w:noWrap/>
            <w:vAlign w:val="center"/>
            <w:hideMark/>
          </w:tcPr>
          <w:p w14:paraId="5456D5EC" w14:textId="77777777" w:rsidR="00531061" w:rsidRPr="004149A5" w:rsidRDefault="00531061" w:rsidP="005B287F">
            <w:pPr>
              <w:pStyle w:val="ExhibitText"/>
              <w:jc w:val="right"/>
              <w:rPr>
                <w:sz w:val="16"/>
                <w:szCs w:val="16"/>
              </w:rPr>
            </w:pPr>
            <w:r w:rsidRPr="004149A5">
              <w:rPr>
                <w:sz w:val="16"/>
                <w:szCs w:val="16"/>
              </w:rPr>
              <w:t>0.8</w:t>
            </w:r>
          </w:p>
        </w:tc>
        <w:tc>
          <w:tcPr>
            <w:tcW w:w="567" w:type="dxa"/>
            <w:tcBorders>
              <w:top w:val="nil"/>
              <w:left w:val="nil"/>
              <w:bottom w:val="single" w:sz="4" w:space="0" w:color="auto"/>
              <w:right w:val="single" w:sz="4" w:space="0" w:color="auto"/>
            </w:tcBorders>
            <w:shd w:val="clear" w:color="auto" w:fill="FFFFFF"/>
            <w:noWrap/>
            <w:vAlign w:val="center"/>
            <w:hideMark/>
          </w:tcPr>
          <w:p w14:paraId="225996C7" w14:textId="4C0BCA68"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0.4</w:t>
            </w:r>
          </w:p>
        </w:tc>
        <w:tc>
          <w:tcPr>
            <w:tcW w:w="501" w:type="dxa"/>
            <w:tcBorders>
              <w:top w:val="nil"/>
              <w:left w:val="nil"/>
              <w:bottom w:val="single" w:sz="4" w:space="0" w:color="auto"/>
              <w:right w:val="single" w:sz="4" w:space="0" w:color="auto"/>
            </w:tcBorders>
            <w:shd w:val="clear" w:color="auto" w:fill="FFFFFF"/>
            <w:noWrap/>
            <w:vAlign w:val="center"/>
            <w:hideMark/>
          </w:tcPr>
          <w:p w14:paraId="61FA142D" w14:textId="7B60D5D0"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2.4</w:t>
            </w:r>
          </w:p>
        </w:tc>
        <w:tc>
          <w:tcPr>
            <w:tcW w:w="492" w:type="dxa"/>
            <w:tcBorders>
              <w:top w:val="nil"/>
              <w:left w:val="nil"/>
              <w:bottom w:val="single" w:sz="4" w:space="0" w:color="auto"/>
              <w:right w:val="single" w:sz="4" w:space="0" w:color="auto"/>
            </w:tcBorders>
            <w:shd w:val="clear" w:color="auto" w:fill="FFFFFF"/>
            <w:noWrap/>
            <w:vAlign w:val="center"/>
            <w:hideMark/>
          </w:tcPr>
          <w:p w14:paraId="51E4F1EA" w14:textId="4CF78B3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1.8</w:t>
            </w:r>
          </w:p>
        </w:tc>
        <w:tc>
          <w:tcPr>
            <w:tcW w:w="567" w:type="dxa"/>
            <w:tcBorders>
              <w:top w:val="nil"/>
              <w:left w:val="nil"/>
              <w:bottom w:val="single" w:sz="4" w:space="0" w:color="auto"/>
              <w:right w:val="single" w:sz="4" w:space="0" w:color="auto"/>
            </w:tcBorders>
            <w:shd w:val="clear" w:color="auto" w:fill="FFFFFF"/>
            <w:noWrap/>
            <w:vAlign w:val="center"/>
            <w:hideMark/>
          </w:tcPr>
          <w:p w14:paraId="5721899B" w14:textId="4FA3AFBD"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1.0</w:t>
            </w:r>
          </w:p>
        </w:tc>
      </w:tr>
      <w:tr w:rsidR="004149A5" w:rsidRPr="004149A5" w14:paraId="034678F9"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33ADE357" w14:textId="402DB92A" w:rsidR="00531061" w:rsidRPr="004149A5" w:rsidRDefault="00531061" w:rsidP="005B287F">
            <w:pPr>
              <w:pStyle w:val="ExhibitText"/>
              <w:jc w:val="left"/>
              <w:rPr>
                <w:sz w:val="16"/>
                <w:szCs w:val="16"/>
              </w:rPr>
            </w:pPr>
            <w:bookmarkStart w:id="2" w:name="RANGE!A4"/>
            <w:r w:rsidRPr="004149A5">
              <w:rPr>
                <w:sz w:val="16"/>
                <w:szCs w:val="16"/>
              </w:rPr>
              <w:t>Agriculture, value added</w:t>
            </w:r>
            <w:bookmarkEnd w:id="2"/>
          </w:p>
        </w:tc>
        <w:tc>
          <w:tcPr>
            <w:tcW w:w="479" w:type="dxa"/>
            <w:tcBorders>
              <w:top w:val="nil"/>
              <w:left w:val="nil"/>
              <w:bottom w:val="single" w:sz="4" w:space="0" w:color="auto"/>
              <w:right w:val="single" w:sz="4" w:space="0" w:color="auto"/>
            </w:tcBorders>
            <w:shd w:val="clear" w:color="auto" w:fill="FFFFFF"/>
            <w:noWrap/>
            <w:vAlign w:val="center"/>
          </w:tcPr>
          <w:p w14:paraId="30F75AE5" w14:textId="5599D6CD"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1C66D850" w14:textId="09D25AF5"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308535BA" w14:textId="65F80C5E"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016AF10C" w14:textId="77FF6828"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7EAE0FFB" w14:textId="1C4BC9F5"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76A7F9FB" w14:textId="228F868F"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252E09D9" w14:textId="7729EB85"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723C8074" w14:textId="1E3D49C6"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hideMark/>
          </w:tcPr>
          <w:p w14:paraId="1618CBF1" w14:textId="77777777" w:rsidR="00531061" w:rsidRPr="004149A5" w:rsidRDefault="00531061" w:rsidP="005B287F">
            <w:pPr>
              <w:pStyle w:val="ExhibitText"/>
              <w:jc w:val="right"/>
              <w:rPr>
                <w:sz w:val="16"/>
                <w:szCs w:val="16"/>
              </w:rPr>
            </w:pPr>
            <w:r w:rsidRPr="004149A5">
              <w:rPr>
                <w:sz w:val="16"/>
                <w:szCs w:val="16"/>
              </w:rPr>
              <w:t>8.1</w:t>
            </w:r>
          </w:p>
        </w:tc>
        <w:tc>
          <w:tcPr>
            <w:tcW w:w="425" w:type="dxa"/>
            <w:tcBorders>
              <w:top w:val="nil"/>
              <w:left w:val="nil"/>
              <w:bottom w:val="single" w:sz="4" w:space="0" w:color="auto"/>
              <w:right w:val="single" w:sz="4" w:space="0" w:color="auto"/>
            </w:tcBorders>
            <w:shd w:val="clear" w:color="auto" w:fill="FFFFFF"/>
            <w:noWrap/>
            <w:vAlign w:val="center"/>
            <w:hideMark/>
          </w:tcPr>
          <w:p w14:paraId="5054A24F" w14:textId="77777777" w:rsidR="00531061" w:rsidRPr="004149A5" w:rsidRDefault="00531061" w:rsidP="005B287F">
            <w:pPr>
              <w:pStyle w:val="ExhibitText"/>
              <w:jc w:val="right"/>
              <w:rPr>
                <w:sz w:val="16"/>
                <w:szCs w:val="16"/>
              </w:rPr>
            </w:pPr>
            <w:r w:rsidRPr="004149A5">
              <w:rPr>
                <w:sz w:val="16"/>
                <w:szCs w:val="16"/>
              </w:rPr>
              <w:t>6.1</w:t>
            </w:r>
          </w:p>
        </w:tc>
        <w:tc>
          <w:tcPr>
            <w:tcW w:w="567" w:type="dxa"/>
            <w:tcBorders>
              <w:top w:val="nil"/>
              <w:left w:val="nil"/>
              <w:bottom w:val="single" w:sz="4" w:space="0" w:color="auto"/>
              <w:right w:val="single" w:sz="4" w:space="0" w:color="auto"/>
            </w:tcBorders>
            <w:shd w:val="clear" w:color="auto" w:fill="FFFFFF"/>
            <w:noWrap/>
            <w:vAlign w:val="center"/>
            <w:hideMark/>
          </w:tcPr>
          <w:p w14:paraId="59E38EA8" w14:textId="77777777" w:rsidR="00531061" w:rsidRPr="004149A5" w:rsidRDefault="00531061" w:rsidP="005B287F">
            <w:pPr>
              <w:pStyle w:val="ExhibitText"/>
              <w:jc w:val="right"/>
              <w:rPr>
                <w:sz w:val="16"/>
                <w:szCs w:val="16"/>
              </w:rPr>
            </w:pPr>
            <w:r w:rsidRPr="004149A5">
              <w:rPr>
                <w:sz w:val="16"/>
                <w:szCs w:val="16"/>
              </w:rPr>
              <w:t>5.8</w:t>
            </w:r>
          </w:p>
        </w:tc>
        <w:tc>
          <w:tcPr>
            <w:tcW w:w="567" w:type="dxa"/>
            <w:tcBorders>
              <w:top w:val="nil"/>
              <w:left w:val="nil"/>
              <w:bottom w:val="single" w:sz="4" w:space="0" w:color="auto"/>
              <w:right w:val="single" w:sz="4" w:space="0" w:color="auto"/>
            </w:tcBorders>
            <w:shd w:val="clear" w:color="auto" w:fill="FFFFFF"/>
            <w:noWrap/>
            <w:vAlign w:val="center"/>
            <w:hideMark/>
          </w:tcPr>
          <w:p w14:paraId="09E4BAB2" w14:textId="77777777" w:rsidR="00531061" w:rsidRPr="004149A5" w:rsidRDefault="00531061" w:rsidP="005B287F">
            <w:pPr>
              <w:pStyle w:val="ExhibitText"/>
              <w:jc w:val="right"/>
              <w:rPr>
                <w:sz w:val="16"/>
                <w:szCs w:val="16"/>
              </w:rPr>
            </w:pPr>
            <w:r w:rsidRPr="004149A5">
              <w:rPr>
                <w:sz w:val="16"/>
                <w:szCs w:val="16"/>
              </w:rPr>
              <w:t>3.4</w:t>
            </w:r>
          </w:p>
        </w:tc>
        <w:tc>
          <w:tcPr>
            <w:tcW w:w="567" w:type="dxa"/>
            <w:tcBorders>
              <w:top w:val="nil"/>
              <w:left w:val="nil"/>
              <w:bottom w:val="single" w:sz="4" w:space="0" w:color="auto"/>
              <w:right w:val="single" w:sz="4" w:space="0" w:color="auto"/>
            </w:tcBorders>
            <w:shd w:val="clear" w:color="auto" w:fill="FFFFFF"/>
            <w:noWrap/>
            <w:vAlign w:val="center"/>
            <w:hideMark/>
          </w:tcPr>
          <w:p w14:paraId="26DAF537" w14:textId="77777777" w:rsidR="00531061" w:rsidRPr="004149A5" w:rsidRDefault="00531061" w:rsidP="005B287F">
            <w:pPr>
              <w:pStyle w:val="ExhibitText"/>
              <w:jc w:val="right"/>
              <w:rPr>
                <w:sz w:val="16"/>
                <w:szCs w:val="16"/>
              </w:rPr>
            </w:pPr>
            <w:r w:rsidRPr="004149A5">
              <w:rPr>
                <w:sz w:val="16"/>
                <w:szCs w:val="16"/>
              </w:rPr>
              <w:t>3.2</w:t>
            </w:r>
          </w:p>
        </w:tc>
        <w:tc>
          <w:tcPr>
            <w:tcW w:w="567" w:type="dxa"/>
            <w:tcBorders>
              <w:top w:val="nil"/>
              <w:left w:val="nil"/>
              <w:bottom w:val="single" w:sz="4" w:space="0" w:color="auto"/>
              <w:right w:val="single" w:sz="4" w:space="0" w:color="auto"/>
            </w:tcBorders>
            <w:shd w:val="clear" w:color="auto" w:fill="FFFFFF"/>
            <w:noWrap/>
            <w:vAlign w:val="center"/>
            <w:hideMark/>
          </w:tcPr>
          <w:p w14:paraId="38FDFB73" w14:textId="77777777" w:rsidR="00531061" w:rsidRPr="004149A5" w:rsidRDefault="00531061" w:rsidP="005B287F">
            <w:pPr>
              <w:pStyle w:val="ExhibitText"/>
              <w:jc w:val="right"/>
              <w:rPr>
                <w:sz w:val="16"/>
                <w:szCs w:val="16"/>
              </w:rPr>
            </w:pPr>
            <w:r w:rsidRPr="004149A5">
              <w:rPr>
                <w:sz w:val="16"/>
                <w:szCs w:val="16"/>
              </w:rPr>
              <w:t>3.1</w:t>
            </w:r>
          </w:p>
        </w:tc>
        <w:tc>
          <w:tcPr>
            <w:tcW w:w="567" w:type="dxa"/>
            <w:tcBorders>
              <w:top w:val="nil"/>
              <w:left w:val="nil"/>
              <w:bottom w:val="single" w:sz="4" w:space="0" w:color="auto"/>
              <w:right w:val="single" w:sz="4" w:space="0" w:color="auto"/>
            </w:tcBorders>
            <w:shd w:val="clear" w:color="auto" w:fill="FFFFFF"/>
            <w:noWrap/>
            <w:vAlign w:val="center"/>
            <w:hideMark/>
          </w:tcPr>
          <w:p w14:paraId="02A434A9" w14:textId="77777777" w:rsidR="00531061" w:rsidRPr="004149A5" w:rsidRDefault="00531061" w:rsidP="005B287F">
            <w:pPr>
              <w:pStyle w:val="ExhibitText"/>
              <w:jc w:val="right"/>
              <w:rPr>
                <w:sz w:val="16"/>
                <w:szCs w:val="16"/>
              </w:rPr>
            </w:pPr>
            <w:r w:rsidRPr="004149A5">
              <w:rPr>
                <w:sz w:val="16"/>
                <w:szCs w:val="16"/>
              </w:rPr>
              <w:t>3.3</w:t>
            </w:r>
          </w:p>
        </w:tc>
        <w:tc>
          <w:tcPr>
            <w:tcW w:w="567" w:type="dxa"/>
            <w:tcBorders>
              <w:top w:val="nil"/>
              <w:left w:val="nil"/>
              <w:bottom w:val="single" w:sz="4" w:space="0" w:color="auto"/>
              <w:right w:val="single" w:sz="4" w:space="0" w:color="auto"/>
            </w:tcBorders>
            <w:shd w:val="clear" w:color="auto" w:fill="FFFFFF"/>
            <w:noWrap/>
            <w:vAlign w:val="center"/>
            <w:hideMark/>
          </w:tcPr>
          <w:p w14:paraId="7084EE9D" w14:textId="77777777" w:rsidR="00531061" w:rsidRPr="004149A5" w:rsidRDefault="00531061" w:rsidP="005B287F">
            <w:pPr>
              <w:pStyle w:val="ExhibitText"/>
              <w:jc w:val="right"/>
              <w:rPr>
                <w:sz w:val="16"/>
                <w:szCs w:val="16"/>
              </w:rPr>
            </w:pPr>
            <w:r w:rsidRPr="004149A5">
              <w:rPr>
                <w:sz w:val="16"/>
                <w:szCs w:val="16"/>
              </w:rPr>
              <w:t>3.4</w:t>
            </w:r>
          </w:p>
        </w:tc>
        <w:tc>
          <w:tcPr>
            <w:tcW w:w="567" w:type="dxa"/>
            <w:tcBorders>
              <w:top w:val="nil"/>
              <w:left w:val="nil"/>
              <w:bottom w:val="single" w:sz="4" w:space="0" w:color="auto"/>
              <w:right w:val="single" w:sz="4" w:space="0" w:color="auto"/>
            </w:tcBorders>
            <w:shd w:val="clear" w:color="auto" w:fill="FFFFFF"/>
            <w:noWrap/>
            <w:vAlign w:val="center"/>
            <w:hideMark/>
          </w:tcPr>
          <w:p w14:paraId="36C2F838" w14:textId="77777777" w:rsidR="00531061" w:rsidRPr="004149A5" w:rsidRDefault="00531061" w:rsidP="005B287F">
            <w:pPr>
              <w:pStyle w:val="ExhibitText"/>
              <w:jc w:val="right"/>
              <w:rPr>
                <w:sz w:val="16"/>
                <w:szCs w:val="16"/>
              </w:rPr>
            </w:pPr>
            <w:r w:rsidRPr="004149A5">
              <w:rPr>
                <w:sz w:val="16"/>
                <w:szCs w:val="16"/>
              </w:rPr>
              <w:t>3.7</w:t>
            </w:r>
          </w:p>
        </w:tc>
        <w:tc>
          <w:tcPr>
            <w:tcW w:w="501" w:type="dxa"/>
            <w:tcBorders>
              <w:top w:val="nil"/>
              <w:left w:val="nil"/>
              <w:bottom w:val="single" w:sz="4" w:space="0" w:color="auto"/>
              <w:right w:val="single" w:sz="4" w:space="0" w:color="auto"/>
            </w:tcBorders>
            <w:shd w:val="clear" w:color="auto" w:fill="FFFFFF"/>
            <w:noWrap/>
            <w:vAlign w:val="center"/>
            <w:hideMark/>
          </w:tcPr>
          <w:p w14:paraId="70B95E92" w14:textId="77777777" w:rsidR="00531061" w:rsidRPr="004149A5" w:rsidRDefault="00531061" w:rsidP="005B287F">
            <w:pPr>
              <w:pStyle w:val="ExhibitText"/>
              <w:jc w:val="right"/>
              <w:rPr>
                <w:sz w:val="16"/>
                <w:szCs w:val="16"/>
              </w:rPr>
            </w:pPr>
            <w:r w:rsidRPr="004149A5">
              <w:rPr>
                <w:sz w:val="16"/>
                <w:szCs w:val="16"/>
              </w:rPr>
              <w:t>3.6</w:t>
            </w:r>
          </w:p>
        </w:tc>
        <w:tc>
          <w:tcPr>
            <w:tcW w:w="492" w:type="dxa"/>
            <w:tcBorders>
              <w:top w:val="nil"/>
              <w:left w:val="nil"/>
              <w:bottom w:val="single" w:sz="4" w:space="0" w:color="auto"/>
              <w:right w:val="single" w:sz="4" w:space="0" w:color="auto"/>
            </w:tcBorders>
            <w:shd w:val="clear" w:color="auto" w:fill="FFFFFF"/>
            <w:noWrap/>
            <w:vAlign w:val="center"/>
            <w:hideMark/>
          </w:tcPr>
          <w:p w14:paraId="126E0C44" w14:textId="77777777" w:rsidR="00531061" w:rsidRPr="004149A5" w:rsidRDefault="00531061" w:rsidP="005B287F">
            <w:pPr>
              <w:pStyle w:val="ExhibitText"/>
              <w:jc w:val="right"/>
              <w:rPr>
                <w:sz w:val="16"/>
                <w:szCs w:val="16"/>
              </w:rPr>
            </w:pPr>
            <w:r w:rsidRPr="004149A5">
              <w:rPr>
                <w:sz w:val="16"/>
                <w:szCs w:val="16"/>
              </w:rPr>
              <w:t>3.7</w:t>
            </w:r>
          </w:p>
        </w:tc>
        <w:tc>
          <w:tcPr>
            <w:tcW w:w="567" w:type="dxa"/>
            <w:tcBorders>
              <w:top w:val="nil"/>
              <w:left w:val="nil"/>
              <w:bottom w:val="single" w:sz="4" w:space="0" w:color="auto"/>
              <w:right w:val="single" w:sz="4" w:space="0" w:color="auto"/>
            </w:tcBorders>
            <w:shd w:val="clear" w:color="auto" w:fill="FFFFFF"/>
            <w:noWrap/>
            <w:vAlign w:val="center"/>
            <w:hideMark/>
          </w:tcPr>
          <w:p w14:paraId="22D93EAF" w14:textId="77777777" w:rsidR="00531061" w:rsidRPr="004149A5" w:rsidRDefault="00531061" w:rsidP="005B287F">
            <w:pPr>
              <w:pStyle w:val="ExhibitText"/>
              <w:jc w:val="right"/>
              <w:rPr>
                <w:sz w:val="16"/>
                <w:szCs w:val="16"/>
              </w:rPr>
            </w:pPr>
            <w:r w:rsidRPr="004149A5">
              <w:rPr>
                <w:sz w:val="16"/>
                <w:szCs w:val="16"/>
              </w:rPr>
              <w:t>4.1</w:t>
            </w:r>
          </w:p>
        </w:tc>
      </w:tr>
      <w:tr w:rsidR="004149A5" w:rsidRPr="004149A5" w14:paraId="33D8F4E8"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419BA12E" w14:textId="77777777" w:rsidR="00531061" w:rsidRPr="004149A5" w:rsidRDefault="00531061" w:rsidP="005B287F">
            <w:pPr>
              <w:pStyle w:val="ExhibitText"/>
              <w:jc w:val="left"/>
              <w:rPr>
                <w:sz w:val="16"/>
                <w:szCs w:val="16"/>
              </w:rPr>
            </w:pPr>
            <w:r w:rsidRPr="004149A5">
              <w:rPr>
                <w:sz w:val="16"/>
                <w:szCs w:val="16"/>
              </w:rPr>
              <w:t xml:space="preserve">Industry, value </w:t>
            </w:r>
          </w:p>
        </w:tc>
        <w:tc>
          <w:tcPr>
            <w:tcW w:w="479" w:type="dxa"/>
            <w:tcBorders>
              <w:top w:val="nil"/>
              <w:left w:val="nil"/>
              <w:bottom w:val="single" w:sz="4" w:space="0" w:color="auto"/>
              <w:right w:val="single" w:sz="4" w:space="0" w:color="auto"/>
            </w:tcBorders>
            <w:shd w:val="clear" w:color="auto" w:fill="FFFFFF"/>
            <w:noWrap/>
            <w:vAlign w:val="center"/>
          </w:tcPr>
          <w:p w14:paraId="0A832873" w14:textId="3043FF88"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64B379E0" w14:textId="3BAECCA3"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45765C2" w14:textId="3BED66F3"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37E7A615" w14:textId="1D935B09"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4CDB4EF7" w14:textId="39182B2E"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147143AF" w14:textId="6F3D656A"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83E3DE8" w14:textId="21688E51"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66D9C2FF" w14:textId="4328882D"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hideMark/>
          </w:tcPr>
          <w:p w14:paraId="4B1AA90C" w14:textId="77777777" w:rsidR="00531061" w:rsidRPr="004149A5" w:rsidRDefault="00531061" w:rsidP="005B287F">
            <w:pPr>
              <w:pStyle w:val="ExhibitText"/>
              <w:jc w:val="right"/>
              <w:rPr>
                <w:sz w:val="16"/>
                <w:szCs w:val="16"/>
              </w:rPr>
            </w:pPr>
            <w:r w:rsidRPr="004149A5">
              <w:rPr>
                <w:sz w:val="16"/>
                <w:szCs w:val="16"/>
              </w:rPr>
              <w:t>21.6</w:t>
            </w:r>
          </w:p>
        </w:tc>
        <w:tc>
          <w:tcPr>
            <w:tcW w:w="425" w:type="dxa"/>
            <w:tcBorders>
              <w:top w:val="nil"/>
              <w:left w:val="nil"/>
              <w:bottom w:val="single" w:sz="4" w:space="0" w:color="auto"/>
              <w:right w:val="single" w:sz="4" w:space="0" w:color="auto"/>
            </w:tcBorders>
            <w:shd w:val="clear" w:color="auto" w:fill="FFFFFF"/>
            <w:noWrap/>
            <w:vAlign w:val="center"/>
            <w:hideMark/>
          </w:tcPr>
          <w:p w14:paraId="58D4073A" w14:textId="77777777" w:rsidR="00531061" w:rsidRPr="004149A5" w:rsidRDefault="00531061" w:rsidP="005B287F">
            <w:pPr>
              <w:pStyle w:val="ExhibitText"/>
              <w:jc w:val="right"/>
              <w:rPr>
                <w:sz w:val="16"/>
                <w:szCs w:val="16"/>
              </w:rPr>
            </w:pPr>
            <w:r w:rsidRPr="004149A5">
              <w:rPr>
                <w:sz w:val="16"/>
                <w:szCs w:val="16"/>
              </w:rPr>
              <w:t>21.0</w:t>
            </w:r>
          </w:p>
        </w:tc>
        <w:tc>
          <w:tcPr>
            <w:tcW w:w="567" w:type="dxa"/>
            <w:tcBorders>
              <w:top w:val="nil"/>
              <w:left w:val="nil"/>
              <w:bottom w:val="single" w:sz="4" w:space="0" w:color="auto"/>
              <w:right w:val="single" w:sz="4" w:space="0" w:color="auto"/>
            </w:tcBorders>
            <w:shd w:val="clear" w:color="auto" w:fill="FFFFFF"/>
            <w:noWrap/>
            <w:vAlign w:val="center"/>
            <w:hideMark/>
          </w:tcPr>
          <w:p w14:paraId="59261C0D" w14:textId="77777777" w:rsidR="00531061" w:rsidRPr="004149A5" w:rsidRDefault="00531061" w:rsidP="005B287F">
            <w:pPr>
              <w:pStyle w:val="ExhibitText"/>
              <w:jc w:val="right"/>
              <w:rPr>
                <w:sz w:val="16"/>
                <w:szCs w:val="16"/>
              </w:rPr>
            </w:pPr>
            <w:r w:rsidRPr="004149A5">
              <w:rPr>
                <w:sz w:val="16"/>
                <w:szCs w:val="16"/>
              </w:rPr>
              <w:t>21.7</w:t>
            </w:r>
          </w:p>
        </w:tc>
        <w:tc>
          <w:tcPr>
            <w:tcW w:w="567" w:type="dxa"/>
            <w:tcBorders>
              <w:top w:val="nil"/>
              <w:left w:val="nil"/>
              <w:bottom w:val="single" w:sz="4" w:space="0" w:color="auto"/>
              <w:right w:val="single" w:sz="4" w:space="0" w:color="auto"/>
            </w:tcBorders>
            <w:shd w:val="clear" w:color="auto" w:fill="FFFFFF"/>
            <w:noWrap/>
            <w:vAlign w:val="center"/>
            <w:hideMark/>
          </w:tcPr>
          <w:p w14:paraId="260F12B7" w14:textId="77777777" w:rsidR="00531061" w:rsidRPr="004149A5" w:rsidRDefault="00531061" w:rsidP="005B287F">
            <w:pPr>
              <w:pStyle w:val="ExhibitText"/>
              <w:jc w:val="right"/>
              <w:rPr>
                <w:sz w:val="16"/>
                <w:szCs w:val="16"/>
              </w:rPr>
            </w:pPr>
            <w:r w:rsidRPr="004149A5">
              <w:rPr>
                <w:sz w:val="16"/>
                <w:szCs w:val="16"/>
              </w:rPr>
              <w:t>20.4</w:t>
            </w:r>
          </w:p>
        </w:tc>
        <w:tc>
          <w:tcPr>
            <w:tcW w:w="567" w:type="dxa"/>
            <w:tcBorders>
              <w:top w:val="nil"/>
              <w:left w:val="nil"/>
              <w:bottom w:val="single" w:sz="4" w:space="0" w:color="auto"/>
              <w:right w:val="single" w:sz="4" w:space="0" w:color="auto"/>
            </w:tcBorders>
            <w:shd w:val="clear" w:color="auto" w:fill="FFFFFF"/>
            <w:noWrap/>
            <w:vAlign w:val="center"/>
            <w:hideMark/>
          </w:tcPr>
          <w:p w14:paraId="2B4DB0DA" w14:textId="77777777" w:rsidR="00531061" w:rsidRPr="004149A5" w:rsidRDefault="00531061" w:rsidP="005B287F">
            <w:pPr>
              <w:pStyle w:val="ExhibitText"/>
              <w:jc w:val="right"/>
              <w:rPr>
                <w:sz w:val="16"/>
                <w:szCs w:val="16"/>
              </w:rPr>
            </w:pPr>
            <w:r w:rsidRPr="004149A5">
              <w:rPr>
                <w:sz w:val="16"/>
                <w:szCs w:val="16"/>
              </w:rPr>
              <w:t>17.7</w:t>
            </w:r>
          </w:p>
        </w:tc>
        <w:tc>
          <w:tcPr>
            <w:tcW w:w="567" w:type="dxa"/>
            <w:tcBorders>
              <w:top w:val="nil"/>
              <w:left w:val="nil"/>
              <w:bottom w:val="single" w:sz="4" w:space="0" w:color="auto"/>
              <w:right w:val="single" w:sz="4" w:space="0" w:color="auto"/>
            </w:tcBorders>
            <w:shd w:val="clear" w:color="auto" w:fill="FFFFFF"/>
            <w:noWrap/>
            <w:vAlign w:val="center"/>
            <w:hideMark/>
          </w:tcPr>
          <w:p w14:paraId="5E8661C7" w14:textId="77777777" w:rsidR="00531061" w:rsidRPr="004149A5" w:rsidRDefault="00531061" w:rsidP="005B287F">
            <w:pPr>
              <w:pStyle w:val="ExhibitText"/>
              <w:jc w:val="right"/>
              <w:rPr>
                <w:sz w:val="16"/>
                <w:szCs w:val="16"/>
              </w:rPr>
            </w:pPr>
            <w:r w:rsidRPr="004149A5">
              <w:rPr>
                <w:sz w:val="16"/>
                <w:szCs w:val="16"/>
              </w:rPr>
              <w:t>17.1</w:t>
            </w:r>
          </w:p>
        </w:tc>
        <w:tc>
          <w:tcPr>
            <w:tcW w:w="567" w:type="dxa"/>
            <w:tcBorders>
              <w:top w:val="nil"/>
              <w:left w:val="nil"/>
              <w:bottom w:val="single" w:sz="4" w:space="0" w:color="auto"/>
              <w:right w:val="single" w:sz="4" w:space="0" w:color="auto"/>
            </w:tcBorders>
            <w:shd w:val="clear" w:color="auto" w:fill="FFFFFF"/>
            <w:noWrap/>
            <w:vAlign w:val="center"/>
            <w:hideMark/>
          </w:tcPr>
          <w:p w14:paraId="6461ED2D" w14:textId="77777777" w:rsidR="00531061" w:rsidRPr="004149A5" w:rsidRDefault="00531061" w:rsidP="005B287F">
            <w:pPr>
              <w:pStyle w:val="ExhibitText"/>
              <w:jc w:val="right"/>
              <w:rPr>
                <w:sz w:val="16"/>
                <w:szCs w:val="16"/>
              </w:rPr>
            </w:pPr>
            <w:r w:rsidRPr="004149A5">
              <w:rPr>
                <w:sz w:val="16"/>
                <w:szCs w:val="16"/>
              </w:rPr>
              <w:t>15.7</w:t>
            </w:r>
          </w:p>
        </w:tc>
        <w:tc>
          <w:tcPr>
            <w:tcW w:w="567" w:type="dxa"/>
            <w:tcBorders>
              <w:top w:val="nil"/>
              <w:left w:val="nil"/>
              <w:bottom w:val="single" w:sz="4" w:space="0" w:color="auto"/>
              <w:right w:val="single" w:sz="4" w:space="0" w:color="auto"/>
            </w:tcBorders>
            <w:shd w:val="clear" w:color="auto" w:fill="FFFFFF"/>
            <w:noWrap/>
            <w:vAlign w:val="center"/>
            <w:hideMark/>
          </w:tcPr>
          <w:p w14:paraId="1BD4C80B" w14:textId="77777777" w:rsidR="00531061" w:rsidRPr="004149A5" w:rsidRDefault="00531061" w:rsidP="005B287F">
            <w:pPr>
              <w:pStyle w:val="ExhibitText"/>
              <w:jc w:val="right"/>
              <w:rPr>
                <w:sz w:val="16"/>
                <w:szCs w:val="16"/>
              </w:rPr>
            </w:pPr>
            <w:r w:rsidRPr="004149A5">
              <w:rPr>
                <w:sz w:val="16"/>
                <w:szCs w:val="16"/>
              </w:rPr>
              <w:t>15.6</w:t>
            </w:r>
          </w:p>
        </w:tc>
        <w:tc>
          <w:tcPr>
            <w:tcW w:w="567" w:type="dxa"/>
            <w:tcBorders>
              <w:top w:val="nil"/>
              <w:left w:val="nil"/>
              <w:bottom w:val="single" w:sz="4" w:space="0" w:color="auto"/>
              <w:right w:val="single" w:sz="4" w:space="0" w:color="auto"/>
            </w:tcBorders>
            <w:shd w:val="clear" w:color="auto" w:fill="FFFFFF"/>
            <w:noWrap/>
            <w:vAlign w:val="center"/>
            <w:hideMark/>
          </w:tcPr>
          <w:p w14:paraId="4D0B08AA" w14:textId="77777777" w:rsidR="00531061" w:rsidRPr="004149A5" w:rsidRDefault="00531061" w:rsidP="005B287F">
            <w:pPr>
              <w:pStyle w:val="ExhibitText"/>
              <w:jc w:val="right"/>
              <w:rPr>
                <w:sz w:val="16"/>
                <w:szCs w:val="16"/>
              </w:rPr>
            </w:pPr>
            <w:r w:rsidRPr="004149A5">
              <w:rPr>
                <w:sz w:val="16"/>
                <w:szCs w:val="16"/>
              </w:rPr>
              <w:t>16.2</w:t>
            </w:r>
          </w:p>
        </w:tc>
        <w:tc>
          <w:tcPr>
            <w:tcW w:w="501" w:type="dxa"/>
            <w:tcBorders>
              <w:top w:val="nil"/>
              <w:left w:val="nil"/>
              <w:bottom w:val="single" w:sz="4" w:space="0" w:color="auto"/>
              <w:right w:val="single" w:sz="4" w:space="0" w:color="auto"/>
            </w:tcBorders>
            <w:shd w:val="clear" w:color="auto" w:fill="FFFFFF"/>
            <w:noWrap/>
            <w:vAlign w:val="center"/>
            <w:hideMark/>
          </w:tcPr>
          <w:p w14:paraId="3B584437" w14:textId="77777777" w:rsidR="00531061" w:rsidRPr="004149A5" w:rsidRDefault="00531061" w:rsidP="005B287F">
            <w:pPr>
              <w:pStyle w:val="ExhibitText"/>
              <w:jc w:val="right"/>
              <w:rPr>
                <w:sz w:val="16"/>
                <w:szCs w:val="16"/>
              </w:rPr>
            </w:pPr>
            <w:r w:rsidRPr="004149A5">
              <w:rPr>
                <w:sz w:val="16"/>
                <w:szCs w:val="16"/>
              </w:rPr>
              <w:t>16.5</w:t>
            </w:r>
          </w:p>
        </w:tc>
        <w:tc>
          <w:tcPr>
            <w:tcW w:w="492" w:type="dxa"/>
            <w:tcBorders>
              <w:top w:val="nil"/>
              <w:left w:val="nil"/>
              <w:bottom w:val="single" w:sz="4" w:space="0" w:color="auto"/>
              <w:right w:val="single" w:sz="4" w:space="0" w:color="auto"/>
            </w:tcBorders>
            <w:shd w:val="clear" w:color="auto" w:fill="FFFFFF"/>
            <w:noWrap/>
            <w:vAlign w:val="center"/>
            <w:hideMark/>
          </w:tcPr>
          <w:p w14:paraId="443DBF62" w14:textId="77777777" w:rsidR="00531061" w:rsidRPr="004149A5" w:rsidRDefault="00531061" w:rsidP="005B287F">
            <w:pPr>
              <w:pStyle w:val="ExhibitText"/>
              <w:jc w:val="right"/>
              <w:rPr>
                <w:sz w:val="16"/>
                <w:szCs w:val="16"/>
              </w:rPr>
            </w:pPr>
            <w:r w:rsidRPr="004149A5">
              <w:rPr>
                <w:sz w:val="16"/>
                <w:szCs w:val="16"/>
              </w:rPr>
              <w:t>15.9</w:t>
            </w:r>
          </w:p>
        </w:tc>
        <w:tc>
          <w:tcPr>
            <w:tcW w:w="567" w:type="dxa"/>
            <w:tcBorders>
              <w:top w:val="nil"/>
              <w:left w:val="nil"/>
              <w:bottom w:val="single" w:sz="4" w:space="0" w:color="auto"/>
              <w:right w:val="single" w:sz="4" w:space="0" w:color="auto"/>
            </w:tcBorders>
            <w:shd w:val="clear" w:color="auto" w:fill="FFFFFF"/>
            <w:noWrap/>
            <w:vAlign w:val="center"/>
            <w:hideMark/>
          </w:tcPr>
          <w:p w14:paraId="0FE3DE6F" w14:textId="77777777" w:rsidR="00531061" w:rsidRPr="004149A5" w:rsidRDefault="00531061" w:rsidP="005B287F">
            <w:pPr>
              <w:pStyle w:val="ExhibitText"/>
              <w:jc w:val="right"/>
              <w:rPr>
                <w:sz w:val="16"/>
                <w:szCs w:val="16"/>
              </w:rPr>
            </w:pPr>
            <w:r w:rsidRPr="004149A5">
              <w:rPr>
                <w:sz w:val="16"/>
                <w:szCs w:val="16"/>
              </w:rPr>
              <w:t>15.7</w:t>
            </w:r>
          </w:p>
        </w:tc>
      </w:tr>
      <w:tr w:rsidR="004149A5" w:rsidRPr="004149A5" w14:paraId="6894AD42"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2538450B" w14:textId="77777777" w:rsidR="00531061" w:rsidRPr="004149A5" w:rsidRDefault="00531061" w:rsidP="005B287F">
            <w:pPr>
              <w:pStyle w:val="ExhibitText"/>
              <w:jc w:val="left"/>
              <w:rPr>
                <w:sz w:val="16"/>
                <w:szCs w:val="16"/>
              </w:rPr>
            </w:pPr>
            <w:r w:rsidRPr="004149A5">
              <w:rPr>
                <w:sz w:val="16"/>
                <w:szCs w:val="16"/>
              </w:rPr>
              <w:t>Services, etc., value add</w:t>
            </w:r>
          </w:p>
        </w:tc>
        <w:tc>
          <w:tcPr>
            <w:tcW w:w="479" w:type="dxa"/>
            <w:tcBorders>
              <w:top w:val="nil"/>
              <w:left w:val="nil"/>
              <w:bottom w:val="single" w:sz="4" w:space="0" w:color="auto"/>
              <w:right w:val="single" w:sz="4" w:space="0" w:color="auto"/>
            </w:tcBorders>
            <w:shd w:val="clear" w:color="auto" w:fill="FFFFFF"/>
            <w:noWrap/>
            <w:vAlign w:val="center"/>
          </w:tcPr>
          <w:p w14:paraId="7ABD8BE3" w14:textId="04FCFC85"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4AC7BF3" w14:textId="78702971"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781BF61C" w14:textId="01F2DDEC"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63BD9265" w14:textId="5D38629A"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7AA62134" w14:textId="572B8CCE"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254B30A" w14:textId="3CC5AA08"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166556E2" w14:textId="0618BDAA"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48C2E42F" w14:textId="7E30E48B"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hideMark/>
          </w:tcPr>
          <w:p w14:paraId="77B8AEDF" w14:textId="77777777" w:rsidR="00531061" w:rsidRPr="004149A5" w:rsidRDefault="00531061" w:rsidP="005B287F">
            <w:pPr>
              <w:pStyle w:val="ExhibitText"/>
              <w:jc w:val="right"/>
              <w:rPr>
                <w:sz w:val="16"/>
                <w:szCs w:val="16"/>
              </w:rPr>
            </w:pPr>
            <w:r w:rsidRPr="004149A5">
              <w:rPr>
                <w:sz w:val="16"/>
                <w:szCs w:val="16"/>
              </w:rPr>
              <w:t>70.3</w:t>
            </w:r>
          </w:p>
        </w:tc>
        <w:tc>
          <w:tcPr>
            <w:tcW w:w="425" w:type="dxa"/>
            <w:tcBorders>
              <w:top w:val="nil"/>
              <w:left w:val="nil"/>
              <w:bottom w:val="single" w:sz="4" w:space="0" w:color="auto"/>
              <w:right w:val="single" w:sz="4" w:space="0" w:color="auto"/>
            </w:tcBorders>
            <w:shd w:val="clear" w:color="auto" w:fill="FFFFFF"/>
            <w:noWrap/>
            <w:vAlign w:val="center"/>
            <w:hideMark/>
          </w:tcPr>
          <w:p w14:paraId="03198C03" w14:textId="77777777" w:rsidR="00531061" w:rsidRPr="004149A5" w:rsidRDefault="00531061" w:rsidP="005B287F">
            <w:pPr>
              <w:pStyle w:val="ExhibitText"/>
              <w:jc w:val="right"/>
              <w:rPr>
                <w:sz w:val="16"/>
                <w:szCs w:val="16"/>
              </w:rPr>
            </w:pPr>
            <w:r w:rsidRPr="004149A5">
              <w:rPr>
                <w:sz w:val="16"/>
                <w:szCs w:val="16"/>
              </w:rPr>
              <w:t>72.9</w:t>
            </w:r>
          </w:p>
        </w:tc>
        <w:tc>
          <w:tcPr>
            <w:tcW w:w="567" w:type="dxa"/>
            <w:tcBorders>
              <w:top w:val="nil"/>
              <w:left w:val="nil"/>
              <w:bottom w:val="single" w:sz="4" w:space="0" w:color="auto"/>
              <w:right w:val="single" w:sz="4" w:space="0" w:color="auto"/>
            </w:tcBorders>
            <w:shd w:val="clear" w:color="auto" w:fill="FFFFFF"/>
            <w:noWrap/>
            <w:vAlign w:val="center"/>
            <w:hideMark/>
          </w:tcPr>
          <w:p w14:paraId="061D1141" w14:textId="77777777" w:rsidR="00531061" w:rsidRPr="004149A5" w:rsidRDefault="00531061" w:rsidP="005B287F">
            <w:pPr>
              <w:pStyle w:val="ExhibitText"/>
              <w:jc w:val="right"/>
              <w:rPr>
                <w:sz w:val="16"/>
                <w:szCs w:val="16"/>
              </w:rPr>
            </w:pPr>
            <w:r w:rsidRPr="004149A5">
              <w:rPr>
                <w:sz w:val="16"/>
                <w:szCs w:val="16"/>
              </w:rPr>
              <w:t>72.4</w:t>
            </w:r>
          </w:p>
        </w:tc>
        <w:tc>
          <w:tcPr>
            <w:tcW w:w="567" w:type="dxa"/>
            <w:tcBorders>
              <w:top w:val="nil"/>
              <w:left w:val="nil"/>
              <w:bottom w:val="single" w:sz="4" w:space="0" w:color="auto"/>
              <w:right w:val="single" w:sz="4" w:space="0" w:color="auto"/>
            </w:tcBorders>
            <w:shd w:val="clear" w:color="auto" w:fill="FFFFFF"/>
            <w:noWrap/>
            <w:vAlign w:val="center"/>
            <w:hideMark/>
          </w:tcPr>
          <w:p w14:paraId="242BAD01" w14:textId="77777777" w:rsidR="00531061" w:rsidRPr="004149A5" w:rsidRDefault="00531061" w:rsidP="005B287F">
            <w:pPr>
              <w:pStyle w:val="ExhibitText"/>
              <w:jc w:val="right"/>
              <w:rPr>
                <w:sz w:val="16"/>
                <w:szCs w:val="16"/>
              </w:rPr>
            </w:pPr>
            <w:r w:rsidRPr="004149A5">
              <w:rPr>
                <w:sz w:val="16"/>
                <w:szCs w:val="16"/>
              </w:rPr>
              <w:t>76.2</w:t>
            </w:r>
          </w:p>
        </w:tc>
        <w:tc>
          <w:tcPr>
            <w:tcW w:w="567" w:type="dxa"/>
            <w:tcBorders>
              <w:top w:val="nil"/>
              <w:left w:val="nil"/>
              <w:bottom w:val="single" w:sz="4" w:space="0" w:color="auto"/>
              <w:right w:val="single" w:sz="4" w:space="0" w:color="auto"/>
            </w:tcBorders>
            <w:shd w:val="clear" w:color="auto" w:fill="FFFFFF"/>
            <w:noWrap/>
            <w:vAlign w:val="center"/>
            <w:hideMark/>
          </w:tcPr>
          <w:p w14:paraId="3A98C749" w14:textId="77777777" w:rsidR="00531061" w:rsidRPr="004149A5" w:rsidRDefault="00531061" w:rsidP="005B287F">
            <w:pPr>
              <w:pStyle w:val="ExhibitText"/>
              <w:jc w:val="right"/>
              <w:rPr>
                <w:sz w:val="16"/>
                <w:szCs w:val="16"/>
              </w:rPr>
            </w:pPr>
            <w:r w:rsidRPr="004149A5">
              <w:rPr>
                <w:sz w:val="16"/>
                <w:szCs w:val="16"/>
              </w:rPr>
              <w:t>79.1</w:t>
            </w:r>
          </w:p>
        </w:tc>
        <w:tc>
          <w:tcPr>
            <w:tcW w:w="567" w:type="dxa"/>
            <w:tcBorders>
              <w:top w:val="nil"/>
              <w:left w:val="nil"/>
              <w:bottom w:val="single" w:sz="4" w:space="0" w:color="auto"/>
              <w:right w:val="single" w:sz="4" w:space="0" w:color="auto"/>
            </w:tcBorders>
            <w:shd w:val="clear" w:color="auto" w:fill="FFFFFF"/>
            <w:noWrap/>
            <w:vAlign w:val="center"/>
            <w:hideMark/>
          </w:tcPr>
          <w:p w14:paraId="12221480" w14:textId="77777777" w:rsidR="00531061" w:rsidRPr="004149A5" w:rsidRDefault="00531061" w:rsidP="005B287F">
            <w:pPr>
              <w:pStyle w:val="ExhibitText"/>
              <w:jc w:val="right"/>
              <w:rPr>
                <w:sz w:val="16"/>
                <w:szCs w:val="16"/>
              </w:rPr>
            </w:pPr>
            <w:r w:rsidRPr="004149A5">
              <w:rPr>
                <w:sz w:val="16"/>
                <w:szCs w:val="16"/>
              </w:rPr>
              <w:t>79.7</w:t>
            </w:r>
          </w:p>
        </w:tc>
        <w:tc>
          <w:tcPr>
            <w:tcW w:w="567" w:type="dxa"/>
            <w:tcBorders>
              <w:top w:val="nil"/>
              <w:left w:val="nil"/>
              <w:bottom w:val="single" w:sz="4" w:space="0" w:color="auto"/>
              <w:right w:val="single" w:sz="4" w:space="0" w:color="auto"/>
            </w:tcBorders>
            <w:shd w:val="clear" w:color="auto" w:fill="FFFFFF"/>
            <w:noWrap/>
            <w:vAlign w:val="center"/>
            <w:hideMark/>
          </w:tcPr>
          <w:p w14:paraId="40792D8B" w14:textId="77777777" w:rsidR="00531061" w:rsidRPr="004149A5" w:rsidRDefault="00531061" w:rsidP="005B287F">
            <w:pPr>
              <w:pStyle w:val="ExhibitText"/>
              <w:jc w:val="right"/>
              <w:rPr>
                <w:sz w:val="16"/>
                <w:szCs w:val="16"/>
              </w:rPr>
            </w:pPr>
            <w:r w:rsidRPr="004149A5">
              <w:rPr>
                <w:sz w:val="16"/>
                <w:szCs w:val="16"/>
              </w:rPr>
              <w:t>81.1</w:t>
            </w:r>
          </w:p>
        </w:tc>
        <w:tc>
          <w:tcPr>
            <w:tcW w:w="567" w:type="dxa"/>
            <w:tcBorders>
              <w:top w:val="nil"/>
              <w:left w:val="nil"/>
              <w:bottom w:val="single" w:sz="4" w:space="0" w:color="auto"/>
              <w:right w:val="single" w:sz="4" w:space="0" w:color="auto"/>
            </w:tcBorders>
            <w:shd w:val="clear" w:color="auto" w:fill="FFFFFF"/>
            <w:noWrap/>
            <w:vAlign w:val="center"/>
            <w:hideMark/>
          </w:tcPr>
          <w:p w14:paraId="03D50C6F" w14:textId="77777777" w:rsidR="00531061" w:rsidRPr="004149A5" w:rsidRDefault="00531061" w:rsidP="005B287F">
            <w:pPr>
              <w:pStyle w:val="ExhibitText"/>
              <w:jc w:val="right"/>
              <w:rPr>
                <w:sz w:val="16"/>
                <w:szCs w:val="16"/>
              </w:rPr>
            </w:pPr>
            <w:r w:rsidRPr="004149A5">
              <w:rPr>
                <w:sz w:val="16"/>
                <w:szCs w:val="16"/>
              </w:rPr>
              <w:t>81.1</w:t>
            </w:r>
          </w:p>
        </w:tc>
        <w:tc>
          <w:tcPr>
            <w:tcW w:w="567" w:type="dxa"/>
            <w:tcBorders>
              <w:top w:val="nil"/>
              <w:left w:val="nil"/>
              <w:bottom w:val="single" w:sz="4" w:space="0" w:color="auto"/>
              <w:right w:val="single" w:sz="4" w:space="0" w:color="auto"/>
            </w:tcBorders>
            <w:shd w:val="clear" w:color="auto" w:fill="FFFFFF"/>
            <w:noWrap/>
            <w:vAlign w:val="center"/>
            <w:hideMark/>
          </w:tcPr>
          <w:p w14:paraId="1F4AB71F" w14:textId="77777777" w:rsidR="00531061" w:rsidRPr="004149A5" w:rsidRDefault="00531061" w:rsidP="005B287F">
            <w:pPr>
              <w:pStyle w:val="ExhibitText"/>
              <w:jc w:val="right"/>
              <w:rPr>
                <w:sz w:val="16"/>
                <w:szCs w:val="16"/>
              </w:rPr>
            </w:pPr>
            <w:r w:rsidRPr="004149A5">
              <w:rPr>
                <w:sz w:val="16"/>
                <w:szCs w:val="16"/>
              </w:rPr>
              <w:t>80.1</w:t>
            </w:r>
          </w:p>
        </w:tc>
        <w:tc>
          <w:tcPr>
            <w:tcW w:w="501" w:type="dxa"/>
            <w:tcBorders>
              <w:top w:val="nil"/>
              <w:left w:val="nil"/>
              <w:bottom w:val="single" w:sz="4" w:space="0" w:color="auto"/>
              <w:right w:val="single" w:sz="4" w:space="0" w:color="auto"/>
            </w:tcBorders>
            <w:shd w:val="clear" w:color="auto" w:fill="FFFFFF"/>
            <w:noWrap/>
            <w:vAlign w:val="center"/>
            <w:hideMark/>
          </w:tcPr>
          <w:p w14:paraId="105FEDF7" w14:textId="77777777" w:rsidR="00531061" w:rsidRPr="004149A5" w:rsidRDefault="00531061" w:rsidP="005B287F">
            <w:pPr>
              <w:pStyle w:val="ExhibitText"/>
              <w:jc w:val="right"/>
              <w:rPr>
                <w:sz w:val="16"/>
                <w:szCs w:val="16"/>
              </w:rPr>
            </w:pPr>
            <w:r w:rsidRPr="004149A5">
              <w:rPr>
                <w:sz w:val="16"/>
                <w:szCs w:val="16"/>
              </w:rPr>
              <w:t>79.9</w:t>
            </w:r>
          </w:p>
        </w:tc>
        <w:tc>
          <w:tcPr>
            <w:tcW w:w="492" w:type="dxa"/>
            <w:tcBorders>
              <w:top w:val="nil"/>
              <w:left w:val="nil"/>
              <w:bottom w:val="single" w:sz="4" w:space="0" w:color="auto"/>
              <w:right w:val="single" w:sz="4" w:space="0" w:color="auto"/>
            </w:tcBorders>
            <w:shd w:val="clear" w:color="auto" w:fill="FFFFFF"/>
            <w:noWrap/>
            <w:vAlign w:val="center"/>
            <w:hideMark/>
          </w:tcPr>
          <w:p w14:paraId="4B38DE11" w14:textId="77777777" w:rsidR="00531061" w:rsidRPr="004149A5" w:rsidRDefault="00531061" w:rsidP="005B287F">
            <w:pPr>
              <w:pStyle w:val="ExhibitText"/>
              <w:jc w:val="right"/>
              <w:rPr>
                <w:sz w:val="16"/>
                <w:szCs w:val="16"/>
              </w:rPr>
            </w:pPr>
            <w:r w:rsidRPr="004149A5">
              <w:rPr>
                <w:sz w:val="16"/>
                <w:szCs w:val="16"/>
              </w:rPr>
              <w:t>80.3</w:t>
            </w:r>
          </w:p>
        </w:tc>
        <w:tc>
          <w:tcPr>
            <w:tcW w:w="567" w:type="dxa"/>
            <w:tcBorders>
              <w:top w:val="nil"/>
              <w:left w:val="nil"/>
              <w:bottom w:val="single" w:sz="4" w:space="0" w:color="auto"/>
              <w:right w:val="single" w:sz="4" w:space="0" w:color="auto"/>
            </w:tcBorders>
            <w:shd w:val="clear" w:color="auto" w:fill="FFFFFF"/>
            <w:noWrap/>
            <w:vAlign w:val="center"/>
            <w:hideMark/>
          </w:tcPr>
          <w:p w14:paraId="5FAC1B00" w14:textId="77777777" w:rsidR="00531061" w:rsidRPr="004149A5" w:rsidRDefault="00531061" w:rsidP="005B287F">
            <w:pPr>
              <w:pStyle w:val="ExhibitText"/>
              <w:jc w:val="right"/>
              <w:rPr>
                <w:sz w:val="16"/>
                <w:szCs w:val="16"/>
              </w:rPr>
            </w:pPr>
            <w:r w:rsidRPr="004149A5">
              <w:rPr>
                <w:sz w:val="16"/>
                <w:szCs w:val="16"/>
              </w:rPr>
              <w:t>80.2</w:t>
            </w:r>
          </w:p>
        </w:tc>
      </w:tr>
      <w:tr w:rsidR="004149A5" w:rsidRPr="004149A5" w14:paraId="4639C395"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2AC7AA26" w14:textId="77777777" w:rsidR="00531061" w:rsidRPr="004149A5" w:rsidRDefault="00531061" w:rsidP="005B287F">
            <w:pPr>
              <w:pStyle w:val="ExhibitText"/>
              <w:jc w:val="left"/>
              <w:rPr>
                <w:sz w:val="16"/>
                <w:szCs w:val="16"/>
              </w:rPr>
            </w:pPr>
            <w:r w:rsidRPr="004149A5">
              <w:rPr>
                <w:sz w:val="16"/>
                <w:szCs w:val="16"/>
              </w:rPr>
              <w:t>Exports of goods and services</w:t>
            </w:r>
          </w:p>
        </w:tc>
        <w:tc>
          <w:tcPr>
            <w:tcW w:w="479" w:type="dxa"/>
            <w:tcBorders>
              <w:top w:val="nil"/>
              <w:left w:val="nil"/>
              <w:bottom w:val="single" w:sz="4" w:space="0" w:color="auto"/>
              <w:right w:val="single" w:sz="4" w:space="0" w:color="auto"/>
            </w:tcBorders>
            <w:shd w:val="clear" w:color="auto" w:fill="FFFFFF"/>
            <w:noWrap/>
            <w:vAlign w:val="center"/>
            <w:hideMark/>
          </w:tcPr>
          <w:p w14:paraId="48D7403B" w14:textId="77777777" w:rsidR="00531061" w:rsidRPr="004149A5" w:rsidRDefault="00531061" w:rsidP="005B287F">
            <w:pPr>
              <w:pStyle w:val="ExhibitText"/>
              <w:jc w:val="right"/>
              <w:rPr>
                <w:sz w:val="16"/>
                <w:szCs w:val="16"/>
              </w:rPr>
            </w:pPr>
            <w:r w:rsidRPr="004149A5">
              <w:rPr>
                <w:sz w:val="16"/>
                <w:szCs w:val="16"/>
              </w:rPr>
              <w:t>11.6</w:t>
            </w:r>
          </w:p>
        </w:tc>
        <w:tc>
          <w:tcPr>
            <w:tcW w:w="425" w:type="dxa"/>
            <w:tcBorders>
              <w:top w:val="nil"/>
              <w:left w:val="nil"/>
              <w:bottom w:val="single" w:sz="4" w:space="0" w:color="auto"/>
              <w:right w:val="single" w:sz="4" w:space="0" w:color="auto"/>
            </w:tcBorders>
            <w:shd w:val="clear" w:color="auto" w:fill="FFFFFF"/>
            <w:noWrap/>
            <w:vAlign w:val="center"/>
            <w:hideMark/>
          </w:tcPr>
          <w:p w14:paraId="04C7FBC4" w14:textId="77777777" w:rsidR="00531061" w:rsidRPr="004149A5" w:rsidRDefault="00531061" w:rsidP="005B287F">
            <w:pPr>
              <w:pStyle w:val="ExhibitText"/>
              <w:jc w:val="right"/>
              <w:rPr>
                <w:sz w:val="16"/>
                <w:szCs w:val="16"/>
              </w:rPr>
            </w:pPr>
            <w:r w:rsidRPr="004149A5">
              <w:rPr>
                <w:sz w:val="16"/>
                <w:szCs w:val="16"/>
              </w:rPr>
              <w:t>14.2</w:t>
            </w:r>
          </w:p>
        </w:tc>
        <w:tc>
          <w:tcPr>
            <w:tcW w:w="425" w:type="dxa"/>
            <w:tcBorders>
              <w:top w:val="nil"/>
              <w:left w:val="nil"/>
              <w:bottom w:val="single" w:sz="4" w:space="0" w:color="auto"/>
              <w:right w:val="single" w:sz="4" w:space="0" w:color="auto"/>
            </w:tcBorders>
            <w:shd w:val="clear" w:color="auto" w:fill="FFFFFF"/>
            <w:noWrap/>
            <w:vAlign w:val="center"/>
            <w:hideMark/>
          </w:tcPr>
          <w:p w14:paraId="07124A00" w14:textId="77777777" w:rsidR="00531061" w:rsidRPr="004149A5" w:rsidRDefault="00531061" w:rsidP="005B287F">
            <w:pPr>
              <w:pStyle w:val="ExhibitText"/>
              <w:jc w:val="right"/>
              <w:rPr>
                <w:sz w:val="16"/>
                <w:szCs w:val="16"/>
              </w:rPr>
            </w:pPr>
            <w:r w:rsidRPr="004149A5">
              <w:rPr>
                <w:sz w:val="16"/>
                <w:szCs w:val="16"/>
              </w:rPr>
              <w:t>14.1</w:t>
            </w:r>
          </w:p>
        </w:tc>
        <w:tc>
          <w:tcPr>
            <w:tcW w:w="426" w:type="dxa"/>
            <w:tcBorders>
              <w:top w:val="nil"/>
              <w:left w:val="nil"/>
              <w:bottom w:val="single" w:sz="4" w:space="0" w:color="auto"/>
              <w:right w:val="single" w:sz="4" w:space="0" w:color="auto"/>
            </w:tcBorders>
            <w:shd w:val="clear" w:color="auto" w:fill="FFFFFF"/>
            <w:noWrap/>
            <w:vAlign w:val="center"/>
            <w:hideMark/>
          </w:tcPr>
          <w:p w14:paraId="63AD9387" w14:textId="77777777" w:rsidR="00531061" w:rsidRPr="004149A5" w:rsidRDefault="00531061" w:rsidP="005B287F">
            <w:pPr>
              <w:pStyle w:val="ExhibitText"/>
              <w:jc w:val="right"/>
              <w:rPr>
                <w:sz w:val="16"/>
                <w:szCs w:val="16"/>
              </w:rPr>
            </w:pPr>
            <w:r w:rsidRPr="004149A5">
              <w:rPr>
                <w:sz w:val="16"/>
                <w:szCs w:val="16"/>
              </w:rPr>
              <w:t>19.3</w:t>
            </w:r>
          </w:p>
        </w:tc>
        <w:tc>
          <w:tcPr>
            <w:tcW w:w="425" w:type="dxa"/>
            <w:tcBorders>
              <w:top w:val="nil"/>
              <w:left w:val="nil"/>
              <w:bottom w:val="single" w:sz="4" w:space="0" w:color="auto"/>
              <w:right w:val="single" w:sz="4" w:space="0" w:color="auto"/>
            </w:tcBorders>
            <w:shd w:val="clear" w:color="auto" w:fill="FFFFFF"/>
            <w:noWrap/>
            <w:vAlign w:val="center"/>
            <w:hideMark/>
          </w:tcPr>
          <w:p w14:paraId="15017E5C" w14:textId="77777777" w:rsidR="00531061" w:rsidRPr="004149A5" w:rsidRDefault="00531061" w:rsidP="005B287F">
            <w:pPr>
              <w:pStyle w:val="ExhibitText"/>
              <w:jc w:val="right"/>
              <w:rPr>
                <w:sz w:val="16"/>
                <w:szCs w:val="16"/>
              </w:rPr>
            </w:pPr>
            <w:r w:rsidRPr="004149A5">
              <w:rPr>
                <w:sz w:val="16"/>
                <w:szCs w:val="16"/>
              </w:rPr>
              <w:t>21.4</w:t>
            </w:r>
          </w:p>
        </w:tc>
        <w:tc>
          <w:tcPr>
            <w:tcW w:w="425" w:type="dxa"/>
            <w:tcBorders>
              <w:top w:val="nil"/>
              <w:left w:val="nil"/>
              <w:bottom w:val="single" w:sz="4" w:space="0" w:color="auto"/>
              <w:right w:val="single" w:sz="4" w:space="0" w:color="auto"/>
            </w:tcBorders>
            <w:shd w:val="clear" w:color="auto" w:fill="FFFFFF"/>
            <w:noWrap/>
            <w:vAlign w:val="center"/>
            <w:hideMark/>
          </w:tcPr>
          <w:p w14:paraId="75593A81" w14:textId="77777777" w:rsidR="00531061" w:rsidRPr="004149A5" w:rsidRDefault="00531061" w:rsidP="005B287F">
            <w:pPr>
              <w:pStyle w:val="ExhibitText"/>
              <w:jc w:val="right"/>
              <w:rPr>
                <w:sz w:val="16"/>
                <w:szCs w:val="16"/>
              </w:rPr>
            </w:pPr>
            <w:r w:rsidRPr="004149A5">
              <w:rPr>
                <w:sz w:val="16"/>
                <w:szCs w:val="16"/>
              </w:rPr>
              <w:t>16.1</w:t>
            </w:r>
          </w:p>
        </w:tc>
        <w:tc>
          <w:tcPr>
            <w:tcW w:w="425" w:type="dxa"/>
            <w:tcBorders>
              <w:top w:val="nil"/>
              <w:left w:val="nil"/>
              <w:bottom w:val="single" w:sz="4" w:space="0" w:color="auto"/>
              <w:right w:val="single" w:sz="4" w:space="0" w:color="auto"/>
            </w:tcBorders>
            <w:shd w:val="clear" w:color="auto" w:fill="FFFFFF"/>
            <w:noWrap/>
            <w:vAlign w:val="center"/>
            <w:hideMark/>
          </w:tcPr>
          <w:p w14:paraId="7B2651B5" w14:textId="77777777" w:rsidR="00531061" w:rsidRPr="004149A5" w:rsidRDefault="00531061" w:rsidP="005B287F">
            <w:pPr>
              <w:pStyle w:val="ExhibitText"/>
              <w:jc w:val="right"/>
              <w:rPr>
                <w:sz w:val="16"/>
                <w:szCs w:val="16"/>
              </w:rPr>
            </w:pPr>
            <w:r w:rsidRPr="004149A5">
              <w:rPr>
                <w:sz w:val="16"/>
                <w:szCs w:val="16"/>
              </w:rPr>
              <w:t>14.8</w:t>
            </w:r>
          </w:p>
        </w:tc>
        <w:tc>
          <w:tcPr>
            <w:tcW w:w="426" w:type="dxa"/>
            <w:tcBorders>
              <w:top w:val="nil"/>
              <w:left w:val="nil"/>
              <w:bottom w:val="single" w:sz="4" w:space="0" w:color="auto"/>
              <w:right w:val="single" w:sz="4" w:space="0" w:color="auto"/>
            </w:tcBorders>
            <w:shd w:val="clear" w:color="auto" w:fill="FFFFFF"/>
            <w:noWrap/>
            <w:vAlign w:val="center"/>
            <w:hideMark/>
          </w:tcPr>
          <w:p w14:paraId="08198DDC" w14:textId="77777777" w:rsidR="00531061" w:rsidRPr="004149A5" w:rsidRDefault="00531061" w:rsidP="005B287F">
            <w:pPr>
              <w:pStyle w:val="ExhibitText"/>
              <w:jc w:val="right"/>
              <w:rPr>
                <w:sz w:val="16"/>
                <w:szCs w:val="16"/>
              </w:rPr>
            </w:pPr>
            <w:r w:rsidRPr="004149A5">
              <w:rPr>
                <w:sz w:val="16"/>
                <w:szCs w:val="16"/>
              </w:rPr>
              <w:t>14.2</w:t>
            </w:r>
          </w:p>
        </w:tc>
        <w:tc>
          <w:tcPr>
            <w:tcW w:w="425" w:type="dxa"/>
            <w:tcBorders>
              <w:top w:val="nil"/>
              <w:left w:val="nil"/>
              <w:bottom w:val="single" w:sz="4" w:space="0" w:color="auto"/>
              <w:right w:val="single" w:sz="4" w:space="0" w:color="auto"/>
            </w:tcBorders>
            <w:shd w:val="clear" w:color="auto" w:fill="FFFFFF"/>
            <w:noWrap/>
            <w:vAlign w:val="center"/>
            <w:hideMark/>
          </w:tcPr>
          <w:p w14:paraId="5763E333" w14:textId="77777777" w:rsidR="00531061" w:rsidRPr="004149A5" w:rsidRDefault="00531061" w:rsidP="005B287F">
            <w:pPr>
              <w:pStyle w:val="ExhibitText"/>
              <w:jc w:val="right"/>
              <w:rPr>
                <w:sz w:val="16"/>
                <w:szCs w:val="16"/>
              </w:rPr>
            </w:pPr>
            <w:r w:rsidRPr="004149A5">
              <w:rPr>
                <w:sz w:val="16"/>
                <w:szCs w:val="16"/>
              </w:rPr>
              <w:t>14.4</w:t>
            </w:r>
          </w:p>
        </w:tc>
        <w:tc>
          <w:tcPr>
            <w:tcW w:w="425" w:type="dxa"/>
            <w:tcBorders>
              <w:top w:val="nil"/>
              <w:left w:val="nil"/>
              <w:bottom w:val="single" w:sz="4" w:space="0" w:color="auto"/>
              <w:right w:val="single" w:sz="4" w:space="0" w:color="auto"/>
            </w:tcBorders>
            <w:shd w:val="clear" w:color="auto" w:fill="FFFFFF"/>
            <w:noWrap/>
            <w:vAlign w:val="center"/>
            <w:hideMark/>
          </w:tcPr>
          <w:p w14:paraId="2E0FF0CC" w14:textId="77777777" w:rsidR="00531061" w:rsidRPr="004149A5" w:rsidRDefault="00531061" w:rsidP="005B287F">
            <w:pPr>
              <w:pStyle w:val="ExhibitText"/>
              <w:jc w:val="right"/>
              <w:rPr>
                <w:sz w:val="16"/>
                <w:szCs w:val="16"/>
              </w:rPr>
            </w:pPr>
            <w:r w:rsidRPr="004149A5">
              <w:rPr>
                <w:sz w:val="16"/>
                <w:szCs w:val="16"/>
              </w:rPr>
              <w:t>23.7</w:t>
            </w:r>
          </w:p>
        </w:tc>
        <w:tc>
          <w:tcPr>
            <w:tcW w:w="567" w:type="dxa"/>
            <w:tcBorders>
              <w:top w:val="nil"/>
              <w:left w:val="nil"/>
              <w:bottom w:val="single" w:sz="4" w:space="0" w:color="auto"/>
              <w:right w:val="single" w:sz="4" w:space="0" w:color="auto"/>
            </w:tcBorders>
            <w:shd w:val="clear" w:color="auto" w:fill="FFFFFF"/>
            <w:noWrap/>
            <w:vAlign w:val="center"/>
            <w:hideMark/>
          </w:tcPr>
          <w:p w14:paraId="349590B6" w14:textId="77777777" w:rsidR="00531061" w:rsidRPr="004149A5" w:rsidRDefault="00531061" w:rsidP="005B287F">
            <w:pPr>
              <w:pStyle w:val="ExhibitText"/>
              <w:jc w:val="right"/>
              <w:rPr>
                <w:sz w:val="16"/>
                <w:szCs w:val="16"/>
              </w:rPr>
            </w:pPr>
            <w:r w:rsidRPr="004149A5">
              <w:rPr>
                <w:sz w:val="16"/>
                <w:szCs w:val="16"/>
              </w:rPr>
              <w:t>22.8</w:t>
            </w:r>
          </w:p>
        </w:tc>
        <w:tc>
          <w:tcPr>
            <w:tcW w:w="567" w:type="dxa"/>
            <w:tcBorders>
              <w:top w:val="nil"/>
              <w:left w:val="nil"/>
              <w:bottom w:val="single" w:sz="4" w:space="0" w:color="auto"/>
              <w:right w:val="single" w:sz="4" w:space="0" w:color="auto"/>
            </w:tcBorders>
            <w:shd w:val="clear" w:color="auto" w:fill="FFFFFF"/>
            <w:noWrap/>
            <w:vAlign w:val="center"/>
            <w:hideMark/>
          </w:tcPr>
          <w:p w14:paraId="68DD5E59" w14:textId="77777777" w:rsidR="00531061" w:rsidRPr="004149A5" w:rsidRDefault="00531061" w:rsidP="005B287F">
            <w:pPr>
              <w:pStyle w:val="ExhibitText"/>
              <w:jc w:val="right"/>
              <w:rPr>
                <w:sz w:val="16"/>
                <w:szCs w:val="16"/>
              </w:rPr>
            </w:pPr>
            <w:r w:rsidRPr="004149A5">
              <w:rPr>
                <w:sz w:val="16"/>
                <w:szCs w:val="16"/>
              </w:rPr>
              <w:t>22.5</w:t>
            </w:r>
          </w:p>
        </w:tc>
        <w:tc>
          <w:tcPr>
            <w:tcW w:w="567" w:type="dxa"/>
            <w:tcBorders>
              <w:top w:val="nil"/>
              <w:left w:val="nil"/>
              <w:bottom w:val="single" w:sz="4" w:space="0" w:color="auto"/>
              <w:right w:val="single" w:sz="4" w:space="0" w:color="auto"/>
            </w:tcBorders>
            <w:shd w:val="clear" w:color="auto" w:fill="FFFFFF"/>
            <w:noWrap/>
            <w:vAlign w:val="center"/>
            <w:hideMark/>
          </w:tcPr>
          <w:p w14:paraId="0F795A12" w14:textId="77777777" w:rsidR="00531061" w:rsidRPr="004149A5" w:rsidRDefault="00531061" w:rsidP="005B287F">
            <w:pPr>
              <w:pStyle w:val="ExhibitText"/>
              <w:jc w:val="right"/>
              <w:rPr>
                <w:sz w:val="16"/>
                <w:szCs w:val="16"/>
              </w:rPr>
            </w:pPr>
            <w:r w:rsidRPr="004149A5">
              <w:rPr>
                <w:sz w:val="16"/>
                <w:szCs w:val="16"/>
              </w:rPr>
              <w:t>23.4</w:t>
            </w:r>
          </w:p>
        </w:tc>
        <w:tc>
          <w:tcPr>
            <w:tcW w:w="567" w:type="dxa"/>
            <w:tcBorders>
              <w:top w:val="nil"/>
              <w:left w:val="nil"/>
              <w:bottom w:val="single" w:sz="4" w:space="0" w:color="auto"/>
              <w:right w:val="single" w:sz="4" w:space="0" w:color="auto"/>
            </w:tcBorders>
            <w:shd w:val="clear" w:color="auto" w:fill="FFFFFF"/>
            <w:noWrap/>
            <w:vAlign w:val="center"/>
            <w:hideMark/>
          </w:tcPr>
          <w:p w14:paraId="3D8120EF" w14:textId="77777777" w:rsidR="00531061" w:rsidRPr="004149A5" w:rsidRDefault="00531061" w:rsidP="005B287F">
            <w:pPr>
              <w:pStyle w:val="ExhibitText"/>
              <w:jc w:val="right"/>
              <w:rPr>
                <w:sz w:val="16"/>
                <w:szCs w:val="16"/>
              </w:rPr>
            </w:pPr>
            <w:r w:rsidRPr="004149A5">
              <w:rPr>
                <w:sz w:val="16"/>
                <w:szCs w:val="16"/>
              </w:rPr>
              <w:t>19.0</w:t>
            </w:r>
          </w:p>
        </w:tc>
        <w:tc>
          <w:tcPr>
            <w:tcW w:w="567" w:type="dxa"/>
            <w:tcBorders>
              <w:top w:val="nil"/>
              <w:left w:val="nil"/>
              <w:bottom w:val="single" w:sz="4" w:space="0" w:color="auto"/>
              <w:right w:val="single" w:sz="4" w:space="0" w:color="auto"/>
            </w:tcBorders>
            <w:shd w:val="clear" w:color="auto" w:fill="FFFFFF"/>
            <w:noWrap/>
            <w:vAlign w:val="center"/>
            <w:hideMark/>
          </w:tcPr>
          <w:p w14:paraId="1DD933BD" w14:textId="77777777" w:rsidR="00531061" w:rsidRPr="004149A5" w:rsidRDefault="00531061" w:rsidP="005B287F">
            <w:pPr>
              <w:pStyle w:val="ExhibitText"/>
              <w:jc w:val="right"/>
              <w:rPr>
                <w:sz w:val="16"/>
                <w:szCs w:val="16"/>
              </w:rPr>
            </w:pPr>
            <w:r w:rsidRPr="004149A5">
              <w:rPr>
                <w:sz w:val="16"/>
                <w:szCs w:val="16"/>
              </w:rPr>
              <w:t>22.1</w:t>
            </w:r>
          </w:p>
        </w:tc>
        <w:tc>
          <w:tcPr>
            <w:tcW w:w="567" w:type="dxa"/>
            <w:tcBorders>
              <w:top w:val="nil"/>
              <w:left w:val="nil"/>
              <w:bottom w:val="single" w:sz="4" w:space="0" w:color="auto"/>
              <w:right w:val="single" w:sz="4" w:space="0" w:color="auto"/>
            </w:tcBorders>
            <w:shd w:val="clear" w:color="auto" w:fill="FFFFFF"/>
            <w:noWrap/>
            <w:vAlign w:val="center"/>
            <w:hideMark/>
          </w:tcPr>
          <w:p w14:paraId="30A29501" w14:textId="77777777" w:rsidR="00531061" w:rsidRPr="004149A5" w:rsidRDefault="00531061" w:rsidP="005B287F">
            <w:pPr>
              <w:pStyle w:val="ExhibitText"/>
              <w:jc w:val="right"/>
              <w:rPr>
                <w:sz w:val="16"/>
                <w:szCs w:val="16"/>
              </w:rPr>
            </w:pPr>
            <w:r w:rsidRPr="004149A5">
              <w:rPr>
                <w:sz w:val="16"/>
                <w:szCs w:val="16"/>
              </w:rPr>
              <w:t>25.5</w:t>
            </w:r>
          </w:p>
        </w:tc>
        <w:tc>
          <w:tcPr>
            <w:tcW w:w="567" w:type="dxa"/>
            <w:tcBorders>
              <w:top w:val="nil"/>
              <w:left w:val="nil"/>
              <w:bottom w:val="single" w:sz="4" w:space="0" w:color="auto"/>
              <w:right w:val="single" w:sz="4" w:space="0" w:color="auto"/>
            </w:tcBorders>
            <w:shd w:val="clear" w:color="auto" w:fill="FFFFFF"/>
            <w:noWrap/>
            <w:vAlign w:val="center"/>
            <w:hideMark/>
          </w:tcPr>
          <w:p w14:paraId="683B1BCE" w14:textId="77777777" w:rsidR="00531061" w:rsidRPr="004149A5" w:rsidRDefault="00531061" w:rsidP="005B287F">
            <w:pPr>
              <w:pStyle w:val="ExhibitText"/>
              <w:jc w:val="right"/>
              <w:rPr>
                <w:sz w:val="16"/>
                <w:szCs w:val="16"/>
              </w:rPr>
            </w:pPr>
            <w:r w:rsidRPr="004149A5">
              <w:rPr>
                <w:sz w:val="16"/>
                <w:szCs w:val="16"/>
              </w:rPr>
              <w:t>28.7</w:t>
            </w:r>
          </w:p>
        </w:tc>
        <w:tc>
          <w:tcPr>
            <w:tcW w:w="501" w:type="dxa"/>
            <w:tcBorders>
              <w:top w:val="nil"/>
              <w:left w:val="nil"/>
              <w:bottom w:val="single" w:sz="4" w:space="0" w:color="auto"/>
              <w:right w:val="single" w:sz="4" w:space="0" w:color="auto"/>
            </w:tcBorders>
            <w:shd w:val="clear" w:color="auto" w:fill="FFFFFF"/>
            <w:noWrap/>
            <w:vAlign w:val="center"/>
            <w:hideMark/>
          </w:tcPr>
          <w:p w14:paraId="3EA6A2E0" w14:textId="77777777" w:rsidR="00531061" w:rsidRPr="004149A5" w:rsidRDefault="00531061" w:rsidP="005B287F">
            <w:pPr>
              <w:pStyle w:val="ExhibitText"/>
              <w:jc w:val="right"/>
              <w:rPr>
                <w:sz w:val="16"/>
                <w:szCs w:val="16"/>
              </w:rPr>
            </w:pPr>
            <w:r w:rsidRPr="004149A5">
              <w:rPr>
                <w:sz w:val="16"/>
                <w:szCs w:val="16"/>
              </w:rPr>
              <w:t>30.4</w:t>
            </w:r>
          </w:p>
        </w:tc>
        <w:tc>
          <w:tcPr>
            <w:tcW w:w="492" w:type="dxa"/>
            <w:tcBorders>
              <w:top w:val="nil"/>
              <w:left w:val="nil"/>
              <w:bottom w:val="single" w:sz="4" w:space="0" w:color="auto"/>
              <w:right w:val="single" w:sz="4" w:space="0" w:color="auto"/>
            </w:tcBorders>
            <w:shd w:val="clear" w:color="auto" w:fill="FFFFFF"/>
            <w:noWrap/>
            <w:vAlign w:val="center"/>
            <w:hideMark/>
          </w:tcPr>
          <w:p w14:paraId="19C33A94" w14:textId="77777777" w:rsidR="00531061" w:rsidRPr="004149A5" w:rsidRDefault="00531061" w:rsidP="005B287F">
            <w:pPr>
              <w:pStyle w:val="ExhibitText"/>
              <w:jc w:val="right"/>
              <w:rPr>
                <w:sz w:val="16"/>
                <w:szCs w:val="16"/>
              </w:rPr>
            </w:pPr>
            <w:r w:rsidRPr="004149A5">
              <w:rPr>
                <w:sz w:val="16"/>
                <w:szCs w:val="16"/>
              </w:rPr>
              <w:t>32.5</w:t>
            </w:r>
          </w:p>
        </w:tc>
        <w:tc>
          <w:tcPr>
            <w:tcW w:w="567" w:type="dxa"/>
            <w:tcBorders>
              <w:top w:val="nil"/>
              <w:left w:val="nil"/>
              <w:bottom w:val="single" w:sz="4" w:space="0" w:color="auto"/>
              <w:right w:val="single" w:sz="4" w:space="0" w:color="auto"/>
            </w:tcBorders>
            <w:shd w:val="clear" w:color="auto" w:fill="FFFFFF"/>
            <w:noWrap/>
            <w:vAlign w:val="center"/>
            <w:hideMark/>
          </w:tcPr>
          <w:p w14:paraId="71AAF304" w14:textId="77777777" w:rsidR="00531061" w:rsidRPr="004149A5" w:rsidRDefault="00531061" w:rsidP="005B287F">
            <w:pPr>
              <w:pStyle w:val="ExhibitText"/>
              <w:jc w:val="right"/>
              <w:rPr>
                <w:sz w:val="16"/>
                <w:szCs w:val="16"/>
              </w:rPr>
            </w:pPr>
            <w:r w:rsidRPr="004149A5">
              <w:rPr>
                <w:sz w:val="16"/>
                <w:szCs w:val="16"/>
              </w:rPr>
              <w:t>31.9</w:t>
            </w:r>
          </w:p>
        </w:tc>
      </w:tr>
      <w:tr w:rsidR="004149A5" w:rsidRPr="004149A5" w14:paraId="039DF2F7"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311110F5" w14:textId="77777777" w:rsidR="00531061" w:rsidRPr="004149A5" w:rsidRDefault="00531061" w:rsidP="005B287F">
            <w:pPr>
              <w:pStyle w:val="ExhibitText"/>
              <w:jc w:val="left"/>
              <w:rPr>
                <w:sz w:val="16"/>
                <w:szCs w:val="16"/>
              </w:rPr>
            </w:pPr>
            <w:r w:rsidRPr="004149A5">
              <w:rPr>
                <w:sz w:val="16"/>
                <w:szCs w:val="16"/>
              </w:rPr>
              <w:t>Imports of goods and services</w:t>
            </w:r>
          </w:p>
        </w:tc>
        <w:tc>
          <w:tcPr>
            <w:tcW w:w="479" w:type="dxa"/>
            <w:tcBorders>
              <w:top w:val="nil"/>
              <w:left w:val="nil"/>
              <w:bottom w:val="single" w:sz="4" w:space="0" w:color="auto"/>
              <w:right w:val="single" w:sz="4" w:space="0" w:color="auto"/>
            </w:tcBorders>
            <w:shd w:val="clear" w:color="auto" w:fill="FFFFFF"/>
            <w:noWrap/>
            <w:vAlign w:val="center"/>
            <w:hideMark/>
          </w:tcPr>
          <w:p w14:paraId="76C45B12" w14:textId="77777777" w:rsidR="00531061" w:rsidRPr="004149A5" w:rsidRDefault="00531061" w:rsidP="005B287F">
            <w:pPr>
              <w:pStyle w:val="ExhibitText"/>
              <w:jc w:val="right"/>
              <w:rPr>
                <w:sz w:val="16"/>
                <w:szCs w:val="16"/>
              </w:rPr>
            </w:pPr>
            <w:r w:rsidRPr="004149A5">
              <w:rPr>
                <w:sz w:val="16"/>
                <w:szCs w:val="16"/>
              </w:rPr>
              <w:t>20.1</w:t>
            </w:r>
          </w:p>
        </w:tc>
        <w:tc>
          <w:tcPr>
            <w:tcW w:w="425" w:type="dxa"/>
            <w:tcBorders>
              <w:top w:val="nil"/>
              <w:left w:val="nil"/>
              <w:bottom w:val="single" w:sz="4" w:space="0" w:color="auto"/>
              <w:right w:val="single" w:sz="4" w:space="0" w:color="auto"/>
            </w:tcBorders>
            <w:shd w:val="clear" w:color="auto" w:fill="FFFFFF"/>
            <w:noWrap/>
            <w:vAlign w:val="center"/>
            <w:hideMark/>
          </w:tcPr>
          <w:p w14:paraId="65E6BA19" w14:textId="77777777" w:rsidR="00531061" w:rsidRPr="004149A5" w:rsidRDefault="00531061" w:rsidP="005B287F">
            <w:pPr>
              <w:pStyle w:val="ExhibitText"/>
              <w:jc w:val="right"/>
              <w:rPr>
                <w:sz w:val="16"/>
                <w:szCs w:val="16"/>
              </w:rPr>
            </w:pPr>
            <w:r w:rsidRPr="004149A5">
              <w:rPr>
                <w:sz w:val="16"/>
                <w:szCs w:val="16"/>
              </w:rPr>
              <w:t>21.3</w:t>
            </w:r>
          </w:p>
        </w:tc>
        <w:tc>
          <w:tcPr>
            <w:tcW w:w="425" w:type="dxa"/>
            <w:tcBorders>
              <w:top w:val="nil"/>
              <w:left w:val="nil"/>
              <w:bottom w:val="single" w:sz="4" w:space="0" w:color="auto"/>
              <w:right w:val="single" w:sz="4" w:space="0" w:color="auto"/>
            </w:tcBorders>
            <w:shd w:val="clear" w:color="auto" w:fill="FFFFFF"/>
            <w:noWrap/>
            <w:vAlign w:val="center"/>
            <w:hideMark/>
          </w:tcPr>
          <w:p w14:paraId="5F7E34F6" w14:textId="77777777" w:rsidR="00531061" w:rsidRPr="004149A5" w:rsidRDefault="00531061" w:rsidP="005B287F">
            <w:pPr>
              <w:pStyle w:val="ExhibitText"/>
              <w:jc w:val="right"/>
              <w:rPr>
                <w:sz w:val="16"/>
                <w:szCs w:val="16"/>
              </w:rPr>
            </w:pPr>
            <w:r w:rsidRPr="004149A5">
              <w:rPr>
                <w:sz w:val="16"/>
                <w:szCs w:val="16"/>
              </w:rPr>
              <w:t>21.2</w:t>
            </w:r>
          </w:p>
        </w:tc>
        <w:tc>
          <w:tcPr>
            <w:tcW w:w="426" w:type="dxa"/>
            <w:tcBorders>
              <w:top w:val="nil"/>
              <w:left w:val="nil"/>
              <w:bottom w:val="single" w:sz="4" w:space="0" w:color="auto"/>
              <w:right w:val="single" w:sz="4" w:space="0" w:color="auto"/>
            </w:tcBorders>
            <w:shd w:val="clear" w:color="auto" w:fill="FFFFFF"/>
            <w:noWrap/>
            <w:vAlign w:val="center"/>
            <w:hideMark/>
          </w:tcPr>
          <w:p w14:paraId="07C2A015" w14:textId="77777777" w:rsidR="00531061" w:rsidRPr="004149A5" w:rsidRDefault="00531061" w:rsidP="005B287F">
            <w:pPr>
              <w:pStyle w:val="ExhibitText"/>
              <w:jc w:val="right"/>
              <w:rPr>
                <w:sz w:val="16"/>
                <w:szCs w:val="16"/>
              </w:rPr>
            </w:pPr>
            <w:r w:rsidRPr="004149A5">
              <w:rPr>
                <w:sz w:val="16"/>
                <w:szCs w:val="16"/>
              </w:rPr>
              <w:t>25.3</w:t>
            </w:r>
          </w:p>
        </w:tc>
        <w:tc>
          <w:tcPr>
            <w:tcW w:w="425" w:type="dxa"/>
            <w:tcBorders>
              <w:top w:val="nil"/>
              <w:left w:val="nil"/>
              <w:bottom w:val="single" w:sz="4" w:space="0" w:color="auto"/>
              <w:right w:val="single" w:sz="4" w:space="0" w:color="auto"/>
            </w:tcBorders>
            <w:shd w:val="clear" w:color="auto" w:fill="FFFFFF"/>
            <w:noWrap/>
            <w:vAlign w:val="center"/>
            <w:hideMark/>
          </w:tcPr>
          <w:p w14:paraId="5083E985" w14:textId="77777777" w:rsidR="00531061" w:rsidRPr="004149A5" w:rsidRDefault="00531061" w:rsidP="005B287F">
            <w:pPr>
              <w:pStyle w:val="ExhibitText"/>
              <w:jc w:val="right"/>
              <w:rPr>
                <w:sz w:val="16"/>
                <w:szCs w:val="16"/>
              </w:rPr>
            </w:pPr>
            <w:r w:rsidRPr="004149A5">
              <w:rPr>
                <w:sz w:val="16"/>
                <w:szCs w:val="16"/>
              </w:rPr>
              <w:t>25.8</w:t>
            </w:r>
          </w:p>
        </w:tc>
        <w:tc>
          <w:tcPr>
            <w:tcW w:w="425" w:type="dxa"/>
            <w:tcBorders>
              <w:top w:val="nil"/>
              <w:left w:val="nil"/>
              <w:bottom w:val="single" w:sz="4" w:space="0" w:color="auto"/>
              <w:right w:val="single" w:sz="4" w:space="0" w:color="auto"/>
            </w:tcBorders>
            <w:shd w:val="clear" w:color="auto" w:fill="FFFFFF"/>
            <w:noWrap/>
            <w:vAlign w:val="center"/>
            <w:hideMark/>
          </w:tcPr>
          <w:p w14:paraId="6FA26D61" w14:textId="77777777" w:rsidR="00531061" w:rsidRPr="004149A5" w:rsidRDefault="00531061" w:rsidP="005B287F">
            <w:pPr>
              <w:pStyle w:val="ExhibitText"/>
              <w:jc w:val="right"/>
              <w:rPr>
                <w:sz w:val="16"/>
                <w:szCs w:val="16"/>
              </w:rPr>
            </w:pPr>
            <w:r w:rsidRPr="004149A5">
              <w:rPr>
                <w:sz w:val="16"/>
                <w:szCs w:val="16"/>
              </w:rPr>
              <w:t>24.3</w:t>
            </w:r>
          </w:p>
        </w:tc>
        <w:tc>
          <w:tcPr>
            <w:tcW w:w="425" w:type="dxa"/>
            <w:tcBorders>
              <w:top w:val="nil"/>
              <w:left w:val="nil"/>
              <w:bottom w:val="single" w:sz="4" w:space="0" w:color="auto"/>
              <w:right w:val="single" w:sz="4" w:space="0" w:color="auto"/>
            </w:tcBorders>
            <w:shd w:val="clear" w:color="auto" w:fill="FFFFFF"/>
            <w:noWrap/>
            <w:vAlign w:val="center"/>
            <w:hideMark/>
          </w:tcPr>
          <w:p w14:paraId="454B08D1" w14:textId="77777777" w:rsidR="00531061" w:rsidRPr="004149A5" w:rsidRDefault="00531061" w:rsidP="005B287F">
            <w:pPr>
              <w:pStyle w:val="ExhibitText"/>
              <w:jc w:val="right"/>
              <w:rPr>
                <w:sz w:val="16"/>
                <w:szCs w:val="16"/>
              </w:rPr>
            </w:pPr>
            <w:r w:rsidRPr="004149A5">
              <w:rPr>
                <w:sz w:val="16"/>
                <w:szCs w:val="16"/>
              </w:rPr>
              <w:t>25.3</w:t>
            </w:r>
          </w:p>
        </w:tc>
        <w:tc>
          <w:tcPr>
            <w:tcW w:w="426" w:type="dxa"/>
            <w:tcBorders>
              <w:top w:val="nil"/>
              <w:left w:val="nil"/>
              <w:bottom w:val="single" w:sz="4" w:space="0" w:color="auto"/>
              <w:right w:val="single" w:sz="4" w:space="0" w:color="auto"/>
            </w:tcBorders>
            <w:shd w:val="clear" w:color="auto" w:fill="FFFFFF"/>
            <w:noWrap/>
            <w:vAlign w:val="center"/>
            <w:hideMark/>
          </w:tcPr>
          <w:p w14:paraId="6A9E0706" w14:textId="77777777" w:rsidR="00531061" w:rsidRPr="004149A5" w:rsidRDefault="00531061" w:rsidP="005B287F">
            <w:pPr>
              <w:pStyle w:val="ExhibitText"/>
              <w:jc w:val="right"/>
              <w:rPr>
                <w:sz w:val="16"/>
                <w:szCs w:val="16"/>
              </w:rPr>
            </w:pPr>
            <w:r w:rsidRPr="004149A5">
              <w:rPr>
                <w:sz w:val="16"/>
                <w:szCs w:val="16"/>
              </w:rPr>
              <w:t>24.4</w:t>
            </w:r>
          </w:p>
        </w:tc>
        <w:tc>
          <w:tcPr>
            <w:tcW w:w="425" w:type="dxa"/>
            <w:tcBorders>
              <w:top w:val="nil"/>
              <w:left w:val="nil"/>
              <w:bottom w:val="single" w:sz="4" w:space="0" w:color="auto"/>
              <w:right w:val="single" w:sz="4" w:space="0" w:color="auto"/>
            </w:tcBorders>
            <w:shd w:val="clear" w:color="auto" w:fill="FFFFFF"/>
            <w:noWrap/>
            <w:vAlign w:val="center"/>
            <w:hideMark/>
          </w:tcPr>
          <w:p w14:paraId="4B806DDC" w14:textId="77777777" w:rsidR="00531061" w:rsidRPr="004149A5" w:rsidRDefault="00531061" w:rsidP="005B287F">
            <w:pPr>
              <w:pStyle w:val="ExhibitText"/>
              <w:jc w:val="right"/>
              <w:rPr>
                <w:sz w:val="16"/>
                <w:szCs w:val="16"/>
              </w:rPr>
            </w:pPr>
            <w:r w:rsidRPr="004149A5">
              <w:rPr>
                <w:sz w:val="16"/>
                <w:szCs w:val="16"/>
              </w:rPr>
              <w:t>22.7</w:t>
            </w:r>
          </w:p>
        </w:tc>
        <w:tc>
          <w:tcPr>
            <w:tcW w:w="425" w:type="dxa"/>
            <w:tcBorders>
              <w:top w:val="nil"/>
              <w:left w:val="nil"/>
              <w:bottom w:val="single" w:sz="4" w:space="0" w:color="auto"/>
              <w:right w:val="single" w:sz="4" w:space="0" w:color="auto"/>
            </w:tcBorders>
            <w:shd w:val="clear" w:color="auto" w:fill="FFFFFF"/>
            <w:noWrap/>
            <w:vAlign w:val="center"/>
            <w:hideMark/>
          </w:tcPr>
          <w:p w14:paraId="1903745B" w14:textId="77777777" w:rsidR="00531061" w:rsidRPr="004149A5" w:rsidRDefault="00531061" w:rsidP="005B287F">
            <w:pPr>
              <w:pStyle w:val="ExhibitText"/>
              <w:jc w:val="right"/>
              <w:rPr>
                <w:sz w:val="16"/>
                <w:szCs w:val="16"/>
              </w:rPr>
            </w:pPr>
            <w:r w:rsidRPr="004149A5">
              <w:rPr>
                <w:sz w:val="16"/>
                <w:szCs w:val="16"/>
              </w:rPr>
              <w:t>34.7</w:t>
            </w:r>
          </w:p>
        </w:tc>
        <w:tc>
          <w:tcPr>
            <w:tcW w:w="567" w:type="dxa"/>
            <w:tcBorders>
              <w:top w:val="nil"/>
              <w:left w:val="nil"/>
              <w:bottom w:val="single" w:sz="4" w:space="0" w:color="auto"/>
              <w:right w:val="single" w:sz="4" w:space="0" w:color="auto"/>
            </w:tcBorders>
            <w:shd w:val="clear" w:color="auto" w:fill="FFFFFF"/>
            <w:noWrap/>
            <w:vAlign w:val="center"/>
            <w:hideMark/>
          </w:tcPr>
          <w:p w14:paraId="34937BF6" w14:textId="77777777" w:rsidR="00531061" w:rsidRPr="004149A5" w:rsidRDefault="00531061" w:rsidP="005B287F">
            <w:pPr>
              <w:pStyle w:val="ExhibitText"/>
              <w:jc w:val="right"/>
              <w:rPr>
                <w:sz w:val="16"/>
                <w:szCs w:val="16"/>
              </w:rPr>
            </w:pPr>
            <w:r w:rsidRPr="004149A5">
              <w:rPr>
                <w:sz w:val="16"/>
                <w:szCs w:val="16"/>
              </w:rPr>
              <w:t>33.4</w:t>
            </w:r>
          </w:p>
        </w:tc>
        <w:tc>
          <w:tcPr>
            <w:tcW w:w="567" w:type="dxa"/>
            <w:tcBorders>
              <w:top w:val="nil"/>
              <w:left w:val="nil"/>
              <w:bottom w:val="single" w:sz="4" w:space="0" w:color="auto"/>
              <w:right w:val="single" w:sz="4" w:space="0" w:color="auto"/>
            </w:tcBorders>
            <w:shd w:val="clear" w:color="auto" w:fill="FFFFFF"/>
            <w:noWrap/>
            <w:vAlign w:val="center"/>
            <w:hideMark/>
          </w:tcPr>
          <w:p w14:paraId="190748FD" w14:textId="77777777" w:rsidR="00531061" w:rsidRPr="004149A5" w:rsidRDefault="00531061" w:rsidP="005B287F">
            <w:pPr>
              <w:pStyle w:val="ExhibitText"/>
              <w:jc w:val="right"/>
              <w:rPr>
                <w:sz w:val="16"/>
                <w:szCs w:val="16"/>
              </w:rPr>
            </w:pPr>
            <w:r w:rsidRPr="004149A5">
              <w:rPr>
                <w:sz w:val="16"/>
                <w:szCs w:val="16"/>
              </w:rPr>
              <w:t>35.0</w:t>
            </w:r>
          </w:p>
        </w:tc>
        <w:tc>
          <w:tcPr>
            <w:tcW w:w="567" w:type="dxa"/>
            <w:tcBorders>
              <w:top w:val="nil"/>
              <w:left w:val="nil"/>
              <w:bottom w:val="single" w:sz="4" w:space="0" w:color="auto"/>
              <w:right w:val="single" w:sz="4" w:space="0" w:color="auto"/>
            </w:tcBorders>
            <w:shd w:val="clear" w:color="auto" w:fill="FFFFFF"/>
            <w:noWrap/>
            <w:vAlign w:val="center"/>
            <w:hideMark/>
          </w:tcPr>
          <w:p w14:paraId="4787C35D" w14:textId="77777777" w:rsidR="00531061" w:rsidRPr="004149A5" w:rsidRDefault="00531061" w:rsidP="005B287F">
            <w:pPr>
              <w:pStyle w:val="ExhibitText"/>
              <w:jc w:val="right"/>
              <w:rPr>
                <w:sz w:val="16"/>
                <w:szCs w:val="16"/>
              </w:rPr>
            </w:pPr>
            <w:r w:rsidRPr="004149A5">
              <w:rPr>
                <w:sz w:val="16"/>
                <w:szCs w:val="16"/>
              </w:rPr>
              <w:t>36.0</w:t>
            </w:r>
          </w:p>
        </w:tc>
        <w:tc>
          <w:tcPr>
            <w:tcW w:w="567" w:type="dxa"/>
            <w:tcBorders>
              <w:top w:val="nil"/>
              <w:left w:val="nil"/>
              <w:bottom w:val="single" w:sz="4" w:space="0" w:color="auto"/>
              <w:right w:val="single" w:sz="4" w:space="0" w:color="auto"/>
            </w:tcBorders>
            <w:shd w:val="clear" w:color="auto" w:fill="FFFFFF"/>
            <w:noWrap/>
            <w:vAlign w:val="center"/>
            <w:hideMark/>
          </w:tcPr>
          <w:p w14:paraId="3E5E9C21" w14:textId="77777777" w:rsidR="00531061" w:rsidRPr="004149A5" w:rsidRDefault="00531061" w:rsidP="005B287F">
            <w:pPr>
              <w:pStyle w:val="ExhibitText"/>
              <w:jc w:val="right"/>
              <w:rPr>
                <w:sz w:val="16"/>
                <w:szCs w:val="16"/>
              </w:rPr>
            </w:pPr>
            <w:r w:rsidRPr="004149A5">
              <w:rPr>
                <w:sz w:val="16"/>
                <w:szCs w:val="16"/>
              </w:rPr>
              <w:t>28.8</w:t>
            </w:r>
          </w:p>
        </w:tc>
        <w:tc>
          <w:tcPr>
            <w:tcW w:w="567" w:type="dxa"/>
            <w:tcBorders>
              <w:top w:val="nil"/>
              <w:left w:val="nil"/>
              <w:bottom w:val="single" w:sz="4" w:space="0" w:color="auto"/>
              <w:right w:val="single" w:sz="4" w:space="0" w:color="auto"/>
            </w:tcBorders>
            <w:shd w:val="clear" w:color="auto" w:fill="FFFFFF"/>
            <w:noWrap/>
            <w:vAlign w:val="center"/>
            <w:hideMark/>
          </w:tcPr>
          <w:p w14:paraId="4E98738E" w14:textId="77777777" w:rsidR="00531061" w:rsidRPr="004149A5" w:rsidRDefault="00531061" w:rsidP="005B287F">
            <w:pPr>
              <w:pStyle w:val="ExhibitText"/>
              <w:jc w:val="right"/>
              <w:rPr>
                <w:sz w:val="16"/>
                <w:szCs w:val="16"/>
              </w:rPr>
            </w:pPr>
            <w:r w:rsidRPr="004149A5">
              <w:rPr>
                <w:sz w:val="16"/>
                <w:szCs w:val="16"/>
              </w:rPr>
              <w:t>30.7</w:t>
            </w:r>
          </w:p>
        </w:tc>
        <w:tc>
          <w:tcPr>
            <w:tcW w:w="567" w:type="dxa"/>
            <w:tcBorders>
              <w:top w:val="nil"/>
              <w:left w:val="nil"/>
              <w:bottom w:val="single" w:sz="4" w:space="0" w:color="auto"/>
              <w:right w:val="single" w:sz="4" w:space="0" w:color="auto"/>
            </w:tcBorders>
            <w:shd w:val="clear" w:color="auto" w:fill="FFFFFF"/>
            <w:noWrap/>
            <w:vAlign w:val="center"/>
            <w:hideMark/>
          </w:tcPr>
          <w:p w14:paraId="4995F90F" w14:textId="77777777" w:rsidR="00531061" w:rsidRPr="004149A5" w:rsidRDefault="00531061" w:rsidP="005B287F">
            <w:pPr>
              <w:pStyle w:val="ExhibitText"/>
              <w:jc w:val="right"/>
              <w:rPr>
                <w:sz w:val="16"/>
                <w:szCs w:val="16"/>
              </w:rPr>
            </w:pPr>
            <w:r w:rsidRPr="004149A5">
              <w:rPr>
                <w:sz w:val="16"/>
                <w:szCs w:val="16"/>
              </w:rPr>
              <w:t>32.3</w:t>
            </w:r>
          </w:p>
        </w:tc>
        <w:tc>
          <w:tcPr>
            <w:tcW w:w="567" w:type="dxa"/>
            <w:tcBorders>
              <w:top w:val="nil"/>
              <w:left w:val="nil"/>
              <w:bottom w:val="single" w:sz="4" w:space="0" w:color="auto"/>
              <w:right w:val="single" w:sz="4" w:space="0" w:color="auto"/>
            </w:tcBorders>
            <w:shd w:val="clear" w:color="auto" w:fill="FFFFFF"/>
            <w:noWrap/>
            <w:vAlign w:val="center"/>
            <w:hideMark/>
          </w:tcPr>
          <w:p w14:paraId="19809290" w14:textId="77777777" w:rsidR="00531061" w:rsidRPr="004149A5" w:rsidRDefault="00531061" w:rsidP="005B287F">
            <w:pPr>
              <w:pStyle w:val="ExhibitText"/>
              <w:jc w:val="right"/>
              <w:rPr>
                <w:sz w:val="16"/>
                <w:szCs w:val="16"/>
              </w:rPr>
            </w:pPr>
            <w:r w:rsidRPr="004149A5">
              <w:rPr>
                <w:sz w:val="16"/>
                <w:szCs w:val="16"/>
              </w:rPr>
              <w:t>33.1</w:t>
            </w:r>
          </w:p>
        </w:tc>
        <w:tc>
          <w:tcPr>
            <w:tcW w:w="501" w:type="dxa"/>
            <w:tcBorders>
              <w:top w:val="nil"/>
              <w:left w:val="nil"/>
              <w:bottom w:val="single" w:sz="4" w:space="0" w:color="auto"/>
              <w:right w:val="single" w:sz="4" w:space="0" w:color="auto"/>
            </w:tcBorders>
            <w:shd w:val="clear" w:color="auto" w:fill="FFFFFF"/>
            <w:noWrap/>
            <w:vAlign w:val="center"/>
            <w:hideMark/>
          </w:tcPr>
          <w:p w14:paraId="7483572E" w14:textId="77777777" w:rsidR="00531061" w:rsidRPr="004149A5" w:rsidRDefault="00531061" w:rsidP="005B287F">
            <w:pPr>
              <w:pStyle w:val="ExhibitText"/>
              <w:jc w:val="right"/>
              <w:rPr>
                <w:sz w:val="16"/>
                <w:szCs w:val="16"/>
              </w:rPr>
            </w:pPr>
            <w:r w:rsidRPr="004149A5">
              <w:rPr>
                <w:sz w:val="16"/>
                <w:szCs w:val="16"/>
              </w:rPr>
              <w:t>33.2</w:t>
            </w:r>
          </w:p>
        </w:tc>
        <w:tc>
          <w:tcPr>
            <w:tcW w:w="492" w:type="dxa"/>
            <w:tcBorders>
              <w:top w:val="nil"/>
              <w:left w:val="nil"/>
              <w:bottom w:val="single" w:sz="4" w:space="0" w:color="auto"/>
              <w:right w:val="single" w:sz="4" w:space="0" w:color="auto"/>
            </w:tcBorders>
            <w:shd w:val="clear" w:color="auto" w:fill="FFFFFF"/>
            <w:noWrap/>
            <w:vAlign w:val="center"/>
            <w:hideMark/>
          </w:tcPr>
          <w:p w14:paraId="6DB47ABE" w14:textId="77777777" w:rsidR="00531061" w:rsidRPr="004149A5" w:rsidRDefault="00531061" w:rsidP="005B287F">
            <w:pPr>
              <w:pStyle w:val="ExhibitText"/>
              <w:jc w:val="right"/>
              <w:rPr>
                <w:sz w:val="16"/>
                <w:szCs w:val="16"/>
              </w:rPr>
            </w:pPr>
            <w:r w:rsidRPr="004149A5">
              <w:rPr>
                <w:sz w:val="16"/>
                <w:szCs w:val="16"/>
              </w:rPr>
              <w:t>34.9</w:t>
            </w:r>
          </w:p>
        </w:tc>
        <w:tc>
          <w:tcPr>
            <w:tcW w:w="567" w:type="dxa"/>
            <w:tcBorders>
              <w:top w:val="nil"/>
              <w:left w:val="nil"/>
              <w:bottom w:val="single" w:sz="4" w:space="0" w:color="auto"/>
              <w:right w:val="single" w:sz="4" w:space="0" w:color="auto"/>
            </w:tcBorders>
            <w:shd w:val="clear" w:color="auto" w:fill="FFFFFF"/>
            <w:noWrap/>
            <w:vAlign w:val="center"/>
            <w:hideMark/>
          </w:tcPr>
          <w:p w14:paraId="3FD5AEC1" w14:textId="77777777" w:rsidR="00531061" w:rsidRPr="004149A5" w:rsidRDefault="00531061" w:rsidP="005B287F">
            <w:pPr>
              <w:pStyle w:val="ExhibitText"/>
              <w:jc w:val="right"/>
              <w:rPr>
                <w:sz w:val="16"/>
                <w:szCs w:val="16"/>
              </w:rPr>
            </w:pPr>
            <w:r w:rsidRPr="004149A5">
              <w:rPr>
                <w:sz w:val="16"/>
                <w:szCs w:val="16"/>
              </w:rPr>
              <w:t>31.8</w:t>
            </w:r>
          </w:p>
        </w:tc>
      </w:tr>
      <w:tr w:rsidR="004149A5" w:rsidRPr="004149A5" w14:paraId="268846B4"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5D7EA0D5" w14:textId="7AE72A81" w:rsidR="00531061" w:rsidRPr="004149A5" w:rsidRDefault="00531061" w:rsidP="005B287F">
            <w:pPr>
              <w:pStyle w:val="ExhibitText"/>
              <w:jc w:val="left"/>
              <w:rPr>
                <w:sz w:val="16"/>
                <w:szCs w:val="16"/>
              </w:rPr>
            </w:pPr>
            <w:r w:rsidRPr="004149A5">
              <w:rPr>
                <w:sz w:val="16"/>
                <w:szCs w:val="16"/>
              </w:rPr>
              <w:t>Gross capital formatio</w:t>
            </w:r>
            <w:r w:rsidR="002D4FA7" w:rsidRPr="004149A5">
              <w:rPr>
                <w:sz w:val="16"/>
                <w:szCs w:val="16"/>
              </w:rPr>
              <w:t>n</w:t>
            </w:r>
          </w:p>
        </w:tc>
        <w:tc>
          <w:tcPr>
            <w:tcW w:w="479" w:type="dxa"/>
            <w:tcBorders>
              <w:top w:val="nil"/>
              <w:left w:val="nil"/>
              <w:bottom w:val="single" w:sz="4" w:space="0" w:color="auto"/>
              <w:right w:val="single" w:sz="4" w:space="0" w:color="auto"/>
            </w:tcBorders>
            <w:shd w:val="clear" w:color="auto" w:fill="FFFFFF"/>
            <w:noWrap/>
            <w:vAlign w:val="center"/>
            <w:hideMark/>
          </w:tcPr>
          <w:p w14:paraId="5DECE092" w14:textId="77777777" w:rsidR="00531061" w:rsidRPr="004149A5" w:rsidRDefault="00531061" w:rsidP="005B287F">
            <w:pPr>
              <w:pStyle w:val="ExhibitText"/>
              <w:jc w:val="right"/>
              <w:rPr>
                <w:sz w:val="16"/>
                <w:szCs w:val="16"/>
              </w:rPr>
            </w:pPr>
            <w:r w:rsidRPr="004149A5">
              <w:rPr>
                <w:sz w:val="16"/>
                <w:szCs w:val="16"/>
              </w:rPr>
              <w:t>48.3</w:t>
            </w:r>
          </w:p>
        </w:tc>
        <w:tc>
          <w:tcPr>
            <w:tcW w:w="425" w:type="dxa"/>
            <w:tcBorders>
              <w:top w:val="nil"/>
              <w:left w:val="nil"/>
              <w:bottom w:val="single" w:sz="4" w:space="0" w:color="auto"/>
              <w:right w:val="single" w:sz="4" w:space="0" w:color="auto"/>
            </w:tcBorders>
            <w:shd w:val="clear" w:color="auto" w:fill="FFFFFF"/>
            <w:noWrap/>
            <w:vAlign w:val="center"/>
            <w:hideMark/>
          </w:tcPr>
          <w:p w14:paraId="63702F08" w14:textId="77777777" w:rsidR="00531061" w:rsidRPr="004149A5" w:rsidRDefault="00531061" w:rsidP="005B287F">
            <w:pPr>
              <w:pStyle w:val="ExhibitText"/>
              <w:jc w:val="right"/>
              <w:rPr>
                <w:sz w:val="16"/>
                <w:szCs w:val="16"/>
              </w:rPr>
            </w:pPr>
            <w:r w:rsidRPr="004149A5">
              <w:rPr>
                <w:sz w:val="16"/>
                <w:szCs w:val="16"/>
              </w:rPr>
              <w:t>38.3</w:t>
            </w:r>
          </w:p>
        </w:tc>
        <w:tc>
          <w:tcPr>
            <w:tcW w:w="425" w:type="dxa"/>
            <w:tcBorders>
              <w:top w:val="nil"/>
              <w:left w:val="nil"/>
              <w:bottom w:val="single" w:sz="4" w:space="0" w:color="auto"/>
              <w:right w:val="single" w:sz="4" w:space="0" w:color="auto"/>
            </w:tcBorders>
            <w:shd w:val="clear" w:color="auto" w:fill="FFFFFF"/>
            <w:noWrap/>
            <w:vAlign w:val="center"/>
            <w:hideMark/>
          </w:tcPr>
          <w:p w14:paraId="61C9389F" w14:textId="77777777" w:rsidR="00531061" w:rsidRPr="004149A5" w:rsidRDefault="00531061" w:rsidP="005B287F">
            <w:pPr>
              <w:pStyle w:val="ExhibitText"/>
              <w:jc w:val="right"/>
              <w:rPr>
                <w:sz w:val="16"/>
                <w:szCs w:val="16"/>
              </w:rPr>
            </w:pPr>
            <w:r w:rsidRPr="004149A5">
              <w:rPr>
                <w:sz w:val="16"/>
                <w:szCs w:val="16"/>
              </w:rPr>
              <w:t>36.4</w:t>
            </w:r>
          </w:p>
        </w:tc>
        <w:tc>
          <w:tcPr>
            <w:tcW w:w="426" w:type="dxa"/>
            <w:tcBorders>
              <w:top w:val="nil"/>
              <w:left w:val="nil"/>
              <w:bottom w:val="single" w:sz="4" w:space="0" w:color="auto"/>
              <w:right w:val="single" w:sz="4" w:space="0" w:color="auto"/>
            </w:tcBorders>
            <w:shd w:val="clear" w:color="auto" w:fill="FFFFFF"/>
            <w:noWrap/>
            <w:vAlign w:val="center"/>
            <w:hideMark/>
          </w:tcPr>
          <w:p w14:paraId="7F8E091E" w14:textId="77777777" w:rsidR="00531061" w:rsidRPr="004149A5" w:rsidRDefault="00531061" w:rsidP="005B287F">
            <w:pPr>
              <w:pStyle w:val="ExhibitText"/>
              <w:jc w:val="right"/>
              <w:rPr>
                <w:sz w:val="16"/>
                <w:szCs w:val="16"/>
              </w:rPr>
            </w:pPr>
            <w:r w:rsidRPr="004149A5">
              <w:rPr>
                <w:sz w:val="16"/>
                <w:szCs w:val="16"/>
              </w:rPr>
              <w:t>30.6</w:t>
            </w:r>
          </w:p>
        </w:tc>
        <w:tc>
          <w:tcPr>
            <w:tcW w:w="425" w:type="dxa"/>
            <w:tcBorders>
              <w:top w:val="nil"/>
              <w:left w:val="nil"/>
              <w:bottom w:val="single" w:sz="4" w:space="0" w:color="auto"/>
              <w:right w:val="single" w:sz="4" w:space="0" w:color="auto"/>
            </w:tcBorders>
            <w:shd w:val="clear" w:color="auto" w:fill="FFFFFF"/>
            <w:noWrap/>
            <w:vAlign w:val="center"/>
            <w:hideMark/>
          </w:tcPr>
          <w:p w14:paraId="0700D08B" w14:textId="77777777" w:rsidR="00531061" w:rsidRPr="004149A5" w:rsidRDefault="00531061" w:rsidP="005B287F">
            <w:pPr>
              <w:pStyle w:val="ExhibitText"/>
              <w:jc w:val="right"/>
              <w:rPr>
                <w:sz w:val="16"/>
                <w:szCs w:val="16"/>
              </w:rPr>
            </w:pPr>
            <w:r w:rsidRPr="004149A5">
              <w:rPr>
                <w:sz w:val="16"/>
                <w:szCs w:val="16"/>
              </w:rPr>
              <w:t>25.0</w:t>
            </w:r>
          </w:p>
        </w:tc>
        <w:tc>
          <w:tcPr>
            <w:tcW w:w="425" w:type="dxa"/>
            <w:tcBorders>
              <w:top w:val="nil"/>
              <w:left w:val="nil"/>
              <w:bottom w:val="single" w:sz="4" w:space="0" w:color="auto"/>
              <w:right w:val="single" w:sz="4" w:space="0" w:color="auto"/>
            </w:tcBorders>
            <w:shd w:val="clear" w:color="auto" w:fill="FFFFFF"/>
            <w:noWrap/>
            <w:vAlign w:val="center"/>
            <w:hideMark/>
          </w:tcPr>
          <w:p w14:paraId="454D15B9" w14:textId="77777777" w:rsidR="00531061" w:rsidRPr="004149A5" w:rsidRDefault="00531061" w:rsidP="005B287F">
            <w:pPr>
              <w:pStyle w:val="ExhibitText"/>
              <w:jc w:val="right"/>
              <w:rPr>
                <w:sz w:val="16"/>
                <w:szCs w:val="16"/>
              </w:rPr>
            </w:pPr>
            <w:r w:rsidRPr="004149A5">
              <w:rPr>
                <w:sz w:val="16"/>
                <w:szCs w:val="16"/>
              </w:rPr>
              <w:t>31.3</w:t>
            </w:r>
          </w:p>
        </w:tc>
        <w:tc>
          <w:tcPr>
            <w:tcW w:w="425" w:type="dxa"/>
            <w:tcBorders>
              <w:top w:val="nil"/>
              <w:left w:val="nil"/>
              <w:bottom w:val="single" w:sz="4" w:space="0" w:color="auto"/>
              <w:right w:val="single" w:sz="4" w:space="0" w:color="auto"/>
            </w:tcBorders>
            <w:shd w:val="clear" w:color="auto" w:fill="FFFFFF"/>
            <w:noWrap/>
            <w:vAlign w:val="center"/>
            <w:hideMark/>
          </w:tcPr>
          <w:p w14:paraId="39474102" w14:textId="77777777" w:rsidR="00531061" w:rsidRPr="004149A5" w:rsidRDefault="00531061" w:rsidP="005B287F">
            <w:pPr>
              <w:pStyle w:val="ExhibitText"/>
              <w:jc w:val="right"/>
              <w:rPr>
                <w:sz w:val="16"/>
                <w:szCs w:val="16"/>
              </w:rPr>
            </w:pPr>
            <w:r w:rsidRPr="004149A5">
              <w:rPr>
                <w:sz w:val="16"/>
                <w:szCs w:val="16"/>
              </w:rPr>
              <w:t>27.6</w:t>
            </w:r>
          </w:p>
        </w:tc>
        <w:tc>
          <w:tcPr>
            <w:tcW w:w="426" w:type="dxa"/>
            <w:tcBorders>
              <w:top w:val="nil"/>
              <w:left w:val="nil"/>
              <w:bottom w:val="single" w:sz="4" w:space="0" w:color="auto"/>
              <w:right w:val="single" w:sz="4" w:space="0" w:color="auto"/>
            </w:tcBorders>
            <w:shd w:val="clear" w:color="auto" w:fill="FFFFFF"/>
            <w:noWrap/>
            <w:vAlign w:val="center"/>
            <w:hideMark/>
          </w:tcPr>
          <w:p w14:paraId="7D95CBA8" w14:textId="77777777" w:rsidR="00531061" w:rsidRPr="004149A5" w:rsidRDefault="00531061" w:rsidP="005B287F">
            <w:pPr>
              <w:pStyle w:val="ExhibitText"/>
              <w:jc w:val="right"/>
              <w:rPr>
                <w:sz w:val="16"/>
                <w:szCs w:val="16"/>
              </w:rPr>
            </w:pPr>
            <w:r w:rsidRPr="004149A5">
              <w:rPr>
                <w:sz w:val="16"/>
                <w:szCs w:val="16"/>
              </w:rPr>
              <w:t>28.4</w:t>
            </w:r>
          </w:p>
        </w:tc>
        <w:tc>
          <w:tcPr>
            <w:tcW w:w="425" w:type="dxa"/>
            <w:tcBorders>
              <w:top w:val="nil"/>
              <w:left w:val="nil"/>
              <w:bottom w:val="single" w:sz="4" w:space="0" w:color="auto"/>
              <w:right w:val="single" w:sz="4" w:space="0" w:color="auto"/>
            </w:tcBorders>
            <w:shd w:val="clear" w:color="auto" w:fill="FFFFFF"/>
            <w:noWrap/>
            <w:vAlign w:val="center"/>
            <w:hideMark/>
          </w:tcPr>
          <w:p w14:paraId="76B2D561" w14:textId="77777777" w:rsidR="00531061" w:rsidRPr="004149A5" w:rsidRDefault="00531061" w:rsidP="005B287F">
            <w:pPr>
              <w:pStyle w:val="ExhibitText"/>
              <w:jc w:val="right"/>
              <w:rPr>
                <w:sz w:val="16"/>
                <w:szCs w:val="16"/>
              </w:rPr>
            </w:pPr>
            <w:r w:rsidRPr="004149A5">
              <w:rPr>
                <w:sz w:val="16"/>
                <w:szCs w:val="16"/>
              </w:rPr>
              <w:t>22.5</w:t>
            </w:r>
          </w:p>
        </w:tc>
        <w:tc>
          <w:tcPr>
            <w:tcW w:w="425" w:type="dxa"/>
            <w:tcBorders>
              <w:top w:val="nil"/>
              <w:left w:val="nil"/>
              <w:bottom w:val="single" w:sz="4" w:space="0" w:color="auto"/>
              <w:right w:val="single" w:sz="4" w:space="0" w:color="auto"/>
            </w:tcBorders>
            <w:shd w:val="clear" w:color="auto" w:fill="FFFFFF"/>
            <w:noWrap/>
            <w:vAlign w:val="center"/>
            <w:hideMark/>
          </w:tcPr>
          <w:p w14:paraId="45B0D310" w14:textId="77777777" w:rsidR="00531061" w:rsidRPr="004149A5" w:rsidRDefault="00531061" w:rsidP="005B287F">
            <w:pPr>
              <w:pStyle w:val="ExhibitText"/>
              <w:jc w:val="right"/>
              <w:rPr>
                <w:sz w:val="16"/>
                <w:szCs w:val="16"/>
              </w:rPr>
            </w:pPr>
            <w:r w:rsidRPr="004149A5">
              <w:rPr>
                <w:sz w:val="16"/>
                <w:szCs w:val="16"/>
              </w:rPr>
              <w:t>25.8</w:t>
            </w:r>
          </w:p>
        </w:tc>
        <w:tc>
          <w:tcPr>
            <w:tcW w:w="567" w:type="dxa"/>
            <w:tcBorders>
              <w:top w:val="nil"/>
              <w:left w:val="nil"/>
              <w:bottom w:val="single" w:sz="4" w:space="0" w:color="auto"/>
              <w:right w:val="single" w:sz="4" w:space="0" w:color="auto"/>
            </w:tcBorders>
            <w:shd w:val="clear" w:color="auto" w:fill="FFFFFF"/>
            <w:noWrap/>
            <w:vAlign w:val="center"/>
            <w:hideMark/>
          </w:tcPr>
          <w:p w14:paraId="2B9DEB26" w14:textId="77777777" w:rsidR="00531061" w:rsidRPr="004149A5" w:rsidRDefault="00531061" w:rsidP="005B287F">
            <w:pPr>
              <w:pStyle w:val="ExhibitText"/>
              <w:jc w:val="right"/>
              <w:rPr>
                <w:sz w:val="16"/>
                <w:szCs w:val="16"/>
              </w:rPr>
            </w:pPr>
            <w:r w:rsidRPr="004149A5">
              <w:rPr>
                <w:sz w:val="16"/>
                <w:szCs w:val="16"/>
              </w:rPr>
              <w:t>25.7</w:t>
            </w:r>
          </w:p>
        </w:tc>
        <w:tc>
          <w:tcPr>
            <w:tcW w:w="567" w:type="dxa"/>
            <w:tcBorders>
              <w:top w:val="nil"/>
              <w:left w:val="nil"/>
              <w:bottom w:val="single" w:sz="4" w:space="0" w:color="auto"/>
              <w:right w:val="single" w:sz="4" w:space="0" w:color="auto"/>
            </w:tcBorders>
            <w:shd w:val="clear" w:color="auto" w:fill="FFFFFF"/>
            <w:noWrap/>
            <w:vAlign w:val="center"/>
            <w:hideMark/>
          </w:tcPr>
          <w:p w14:paraId="6452DE94" w14:textId="77777777" w:rsidR="00531061" w:rsidRPr="004149A5" w:rsidRDefault="00531061" w:rsidP="005B287F">
            <w:pPr>
              <w:pStyle w:val="ExhibitText"/>
              <w:jc w:val="right"/>
              <w:rPr>
                <w:sz w:val="16"/>
                <w:szCs w:val="16"/>
              </w:rPr>
            </w:pPr>
            <w:r w:rsidRPr="004149A5">
              <w:rPr>
                <w:sz w:val="16"/>
                <w:szCs w:val="16"/>
              </w:rPr>
              <w:t>27.1</w:t>
            </w:r>
          </w:p>
        </w:tc>
        <w:tc>
          <w:tcPr>
            <w:tcW w:w="567" w:type="dxa"/>
            <w:tcBorders>
              <w:top w:val="nil"/>
              <w:left w:val="nil"/>
              <w:bottom w:val="single" w:sz="4" w:space="0" w:color="auto"/>
              <w:right w:val="single" w:sz="4" w:space="0" w:color="auto"/>
            </w:tcBorders>
            <w:shd w:val="clear" w:color="auto" w:fill="FFFFFF"/>
            <w:noWrap/>
            <w:vAlign w:val="center"/>
            <w:hideMark/>
          </w:tcPr>
          <w:p w14:paraId="5A31C26F" w14:textId="77777777" w:rsidR="00531061" w:rsidRPr="004149A5" w:rsidRDefault="00531061" w:rsidP="005B287F">
            <w:pPr>
              <w:pStyle w:val="ExhibitText"/>
              <w:jc w:val="right"/>
              <w:rPr>
                <w:sz w:val="16"/>
                <w:szCs w:val="16"/>
              </w:rPr>
            </w:pPr>
            <w:r w:rsidRPr="004149A5">
              <w:rPr>
                <w:sz w:val="16"/>
                <w:szCs w:val="16"/>
              </w:rPr>
              <w:t>24.5</w:t>
            </w:r>
          </w:p>
        </w:tc>
        <w:tc>
          <w:tcPr>
            <w:tcW w:w="567" w:type="dxa"/>
            <w:tcBorders>
              <w:top w:val="nil"/>
              <w:left w:val="nil"/>
              <w:bottom w:val="single" w:sz="4" w:space="0" w:color="auto"/>
              <w:right w:val="single" w:sz="4" w:space="0" w:color="auto"/>
            </w:tcBorders>
            <w:shd w:val="clear" w:color="auto" w:fill="FFFFFF"/>
            <w:noWrap/>
            <w:vAlign w:val="center"/>
            <w:hideMark/>
          </w:tcPr>
          <w:p w14:paraId="41FD0107" w14:textId="77777777" w:rsidR="00531061" w:rsidRPr="004149A5" w:rsidRDefault="00531061" w:rsidP="005B287F">
            <w:pPr>
              <w:pStyle w:val="ExhibitText"/>
              <w:jc w:val="right"/>
              <w:rPr>
                <w:sz w:val="16"/>
                <w:szCs w:val="16"/>
              </w:rPr>
            </w:pPr>
            <w:r w:rsidRPr="004149A5">
              <w:rPr>
                <w:sz w:val="16"/>
                <w:szCs w:val="16"/>
              </w:rPr>
              <w:t>18.3</w:t>
            </w:r>
          </w:p>
        </w:tc>
        <w:tc>
          <w:tcPr>
            <w:tcW w:w="567" w:type="dxa"/>
            <w:tcBorders>
              <w:top w:val="nil"/>
              <w:left w:val="nil"/>
              <w:bottom w:val="single" w:sz="4" w:space="0" w:color="auto"/>
              <w:right w:val="single" w:sz="4" w:space="0" w:color="auto"/>
            </w:tcBorders>
            <w:shd w:val="clear" w:color="auto" w:fill="FFFFFF"/>
            <w:noWrap/>
            <w:vAlign w:val="center"/>
            <w:hideMark/>
          </w:tcPr>
          <w:p w14:paraId="221D482E" w14:textId="77777777" w:rsidR="00531061" w:rsidRPr="004149A5" w:rsidRDefault="00531061" w:rsidP="005B287F">
            <w:pPr>
              <w:pStyle w:val="ExhibitText"/>
              <w:jc w:val="right"/>
              <w:rPr>
                <w:sz w:val="16"/>
                <w:szCs w:val="16"/>
              </w:rPr>
            </w:pPr>
            <w:r w:rsidRPr="004149A5">
              <w:rPr>
                <w:sz w:val="16"/>
                <w:szCs w:val="16"/>
              </w:rPr>
              <w:t>17.0</w:t>
            </w:r>
          </w:p>
        </w:tc>
        <w:tc>
          <w:tcPr>
            <w:tcW w:w="567" w:type="dxa"/>
            <w:tcBorders>
              <w:top w:val="nil"/>
              <w:left w:val="nil"/>
              <w:bottom w:val="single" w:sz="4" w:space="0" w:color="auto"/>
              <w:right w:val="single" w:sz="4" w:space="0" w:color="auto"/>
            </w:tcBorders>
            <w:shd w:val="clear" w:color="auto" w:fill="FFFFFF"/>
            <w:noWrap/>
            <w:vAlign w:val="center"/>
            <w:hideMark/>
          </w:tcPr>
          <w:p w14:paraId="5866CFFF" w14:textId="77777777" w:rsidR="00531061" w:rsidRPr="004149A5" w:rsidRDefault="00531061" w:rsidP="005B287F">
            <w:pPr>
              <w:pStyle w:val="ExhibitText"/>
              <w:jc w:val="right"/>
              <w:rPr>
                <w:sz w:val="16"/>
                <w:szCs w:val="16"/>
              </w:rPr>
            </w:pPr>
            <w:r w:rsidRPr="004149A5">
              <w:rPr>
                <w:sz w:val="16"/>
                <w:szCs w:val="16"/>
              </w:rPr>
              <w:t>15.1</w:t>
            </w:r>
          </w:p>
        </w:tc>
        <w:tc>
          <w:tcPr>
            <w:tcW w:w="567" w:type="dxa"/>
            <w:tcBorders>
              <w:top w:val="nil"/>
              <w:left w:val="nil"/>
              <w:bottom w:val="single" w:sz="4" w:space="0" w:color="auto"/>
              <w:right w:val="single" w:sz="4" w:space="0" w:color="auto"/>
            </w:tcBorders>
            <w:shd w:val="clear" w:color="auto" w:fill="FFFFFF"/>
            <w:noWrap/>
            <w:vAlign w:val="center"/>
            <w:hideMark/>
          </w:tcPr>
          <w:p w14:paraId="7B4647D1" w14:textId="77777777" w:rsidR="00531061" w:rsidRPr="004149A5" w:rsidRDefault="00531061" w:rsidP="005B287F">
            <w:pPr>
              <w:pStyle w:val="ExhibitText"/>
              <w:jc w:val="right"/>
              <w:rPr>
                <w:sz w:val="16"/>
                <w:szCs w:val="16"/>
              </w:rPr>
            </w:pPr>
            <w:r w:rsidRPr="004149A5">
              <w:rPr>
                <w:sz w:val="16"/>
                <w:szCs w:val="16"/>
              </w:rPr>
              <w:t>12.8</w:t>
            </w:r>
          </w:p>
        </w:tc>
        <w:tc>
          <w:tcPr>
            <w:tcW w:w="501" w:type="dxa"/>
            <w:tcBorders>
              <w:top w:val="nil"/>
              <w:left w:val="nil"/>
              <w:bottom w:val="single" w:sz="4" w:space="0" w:color="auto"/>
              <w:right w:val="single" w:sz="4" w:space="0" w:color="auto"/>
            </w:tcBorders>
            <w:shd w:val="clear" w:color="auto" w:fill="FFFFFF"/>
            <w:noWrap/>
            <w:vAlign w:val="center"/>
            <w:hideMark/>
          </w:tcPr>
          <w:p w14:paraId="523E297E" w14:textId="77777777" w:rsidR="00531061" w:rsidRPr="004149A5" w:rsidRDefault="00531061" w:rsidP="005B287F">
            <w:pPr>
              <w:pStyle w:val="ExhibitText"/>
              <w:jc w:val="right"/>
              <w:rPr>
                <w:sz w:val="16"/>
                <w:szCs w:val="16"/>
              </w:rPr>
            </w:pPr>
            <w:r w:rsidRPr="004149A5">
              <w:rPr>
                <w:sz w:val="16"/>
                <w:szCs w:val="16"/>
              </w:rPr>
              <w:t>11.6</w:t>
            </w:r>
          </w:p>
        </w:tc>
        <w:tc>
          <w:tcPr>
            <w:tcW w:w="492" w:type="dxa"/>
            <w:tcBorders>
              <w:top w:val="nil"/>
              <w:left w:val="nil"/>
              <w:bottom w:val="single" w:sz="4" w:space="0" w:color="auto"/>
              <w:right w:val="single" w:sz="4" w:space="0" w:color="auto"/>
            </w:tcBorders>
            <w:shd w:val="clear" w:color="auto" w:fill="FFFFFF"/>
            <w:noWrap/>
            <w:vAlign w:val="center"/>
            <w:hideMark/>
          </w:tcPr>
          <w:p w14:paraId="35CA9753" w14:textId="77777777" w:rsidR="00531061" w:rsidRPr="004149A5" w:rsidRDefault="00531061" w:rsidP="005B287F">
            <w:pPr>
              <w:pStyle w:val="ExhibitText"/>
              <w:jc w:val="right"/>
              <w:rPr>
                <w:sz w:val="16"/>
                <w:szCs w:val="16"/>
              </w:rPr>
            </w:pPr>
            <w:r w:rsidRPr="004149A5">
              <w:rPr>
                <w:sz w:val="16"/>
                <w:szCs w:val="16"/>
              </w:rPr>
              <w:t>11.8</w:t>
            </w:r>
          </w:p>
        </w:tc>
        <w:tc>
          <w:tcPr>
            <w:tcW w:w="567" w:type="dxa"/>
            <w:tcBorders>
              <w:top w:val="nil"/>
              <w:left w:val="nil"/>
              <w:bottom w:val="single" w:sz="4" w:space="0" w:color="auto"/>
              <w:right w:val="single" w:sz="4" w:space="0" w:color="auto"/>
            </w:tcBorders>
            <w:shd w:val="clear" w:color="auto" w:fill="FFFFFF"/>
            <w:noWrap/>
            <w:vAlign w:val="center"/>
            <w:hideMark/>
          </w:tcPr>
          <w:p w14:paraId="381C08BF" w14:textId="77777777" w:rsidR="00531061" w:rsidRPr="004149A5" w:rsidRDefault="00531061" w:rsidP="005B287F">
            <w:pPr>
              <w:pStyle w:val="ExhibitText"/>
              <w:jc w:val="right"/>
              <w:rPr>
                <w:sz w:val="16"/>
                <w:szCs w:val="16"/>
              </w:rPr>
            </w:pPr>
            <w:r w:rsidRPr="004149A5">
              <w:rPr>
                <w:sz w:val="16"/>
                <w:szCs w:val="16"/>
              </w:rPr>
              <w:t>9.8</w:t>
            </w:r>
          </w:p>
        </w:tc>
      </w:tr>
      <w:tr w:rsidR="004149A5" w:rsidRPr="004149A5" w14:paraId="5E8328E9"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550D2D86" w14:textId="77777777" w:rsidR="00531061" w:rsidRPr="004149A5" w:rsidRDefault="00531061" w:rsidP="005B287F">
            <w:pPr>
              <w:pStyle w:val="ExhibitText"/>
              <w:jc w:val="left"/>
              <w:rPr>
                <w:sz w:val="16"/>
                <w:szCs w:val="16"/>
              </w:rPr>
            </w:pPr>
            <w:r w:rsidRPr="004149A5">
              <w:rPr>
                <w:sz w:val="16"/>
                <w:szCs w:val="16"/>
              </w:rPr>
              <w:t>Time required to start a business (days)</w:t>
            </w:r>
          </w:p>
        </w:tc>
        <w:tc>
          <w:tcPr>
            <w:tcW w:w="479" w:type="dxa"/>
            <w:tcBorders>
              <w:top w:val="nil"/>
              <w:left w:val="nil"/>
              <w:bottom w:val="single" w:sz="4" w:space="0" w:color="auto"/>
              <w:right w:val="single" w:sz="4" w:space="0" w:color="auto"/>
            </w:tcBorders>
            <w:shd w:val="clear" w:color="auto" w:fill="FFFFFF"/>
            <w:noWrap/>
            <w:vAlign w:val="center"/>
          </w:tcPr>
          <w:p w14:paraId="7598481D" w14:textId="34BC94C5"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6E1389F3" w14:textId="41A40F2D"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7EA03492" w14:textId="4DE7015F"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630DCAA2" w14:textId="322C730D"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2323A3F6" w14:textId="6E4695E2"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2955D88E" w14:textId="24F0E8FA"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D617E4D" w14:textId="49268B9F"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00372B17" w14:textId="66C73391"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F7CC009" w14:textId="03123598"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4FDFF954" w14:textId="6C9EBB9E" w:rsidR="00531061" w:rsidRPr="004149A5" w:rsidRDefault="00531061" w:rsidP="005B287F">
            <w:pPr>
              <w:pStyle w:val="ExhibitText"/>
              <w:jc w:val="right"/>
              <w:rPr>
                <w:sz w:val="16"/>
                <w:szCs w:val="16"/>
              </w:rPr>
            </w:pPr>
          </w:p>
        </w:tc>
        <w:tc>
          <w:tcPr>
            <w:tcW w:w="567" w:type="dxa"/>
            <w:tcBorders>
              <w:top w:val="nil"/>
              <w:left w:val="nil"/>
              <w:bottom w:val="single" w:sz="4" w:space="0" w:color="auto"/>
              <w:right w:val="single" w:sz="4" w:space="0" w:color="auto"/>
            </w:tcBorders>
            <w:shd w:val="clear" w:color="auto" w:fill="FFFFFF"/>
            <w:noWrap/>
            <w:vAlign w:val="center"/>
          </w:tcPr>
          <w:p w14:paraId="5E6CEE7F" w14:textId="20908D78" w:rsidR="00531061" w:rsidRPr="004149A5" w:rsidRDefault="00531061" w:rsidP="005B287F">
            <w:pPr>
              <w:pStyle w:val="ExhibitText"/>
              <w:jc w:val="right"/>
              <w:rPr>
                <w:sz w:val="16"/>
                <w:szCs w:val="16"/>
              </w:rPr>
            </w:pPr>
          </w:p>
        </w:tc>
        <w:tc>
          <w:tcPr>
            <w:tcW w:w="567" w:type="dxa"/>
            <w:tcBorders>
              <w:top w:val="nil"/>
              <w:left w:val="nil"/>
              <w:bottom w:val="single" w:sz="4" w:space="0" w:color="auto"/>
              <w:right w:val="single" w:sz="4" w:space="0" w:color="auto"/>
            </w:tcBorders>
            <w:shd w:val="clear" w:color="auto" w:fill="FFFFFF"/>
            <w:noWrap/>
            <w:vAlign w:val="center"/>
            <w:hideMark/>
          </w:tcPr>
          <w:p w14:paraId="140655F5" w14:textId="77777777" w:rsidR="00531061" w:rsidRPr="004149A5" w:rsidRDefault="00531061" w:rsidP="005B287F">
            <w:pPr>
              <w:pStyle w:val="ExhibitText"/>
              <w:jc w:val="right"/>
              <w:rPr>
                <w:sz w:val="16"/>
                <w:szCs w:val="16"/>
              </w:rPr>
            </w:pPr>
            <w:r w:rsidRPr="004149A5">
              <w:rPr>
                <w:sz w:val="16"/>
                <w:szCs w:val="16"/>
              </w:rPr>
              <w:t>38.0</w:t>
            </w:r>
          </w:p>
        </w:tc>
        <w:tc>
          <w:tcPr>
            <w:tcW w:w="567" w:type="dxa"/>
            <w:tcBorders>
              <w:top w:val="nil"/>
              <w:left w:val="nil"/>
              <w:bottom w:val="single" w:sz="4" w:space="0" w:color="auto"/>
              <w:right w:val="single" w:sz="4" w:space="0" w:color="auto"/>
            </w:tcBorders>
            <w:shd w:val="clear" w:color="auto" w:fill="FFFFFF"/>
            <w:noWrap/>
            <w:vAlign w:val="center"/>
            <w:hideMark/>
          </w:tcPr>
          <w:p w14:paraId="521C46FC" w14:textId="77777777" w:rsidR="00531061" w:rsidRPr="004149A5" w:rsidRDefault="00531061" w:rsidP="005B287F">
            <w:pPr>
              <w:pStyle w:val="ExhibitText"/>
              <w:jc w:val="right"/>
              <w:rPr>
                <w:sz w:val="16"/>
                <w:szCs w:val="16"/>
              </w:rPr>
            </w:pPr>
            <w:r w:rsidRPr="004149A5">
              <w:rPr>
                <w:sz w:val="16"/>
                <w:szCs w:val="16"/>
              </w:rPr>
              <w:t>19.0</w:t>
            </w:r>
          </w:p>
        </w:tc>
        <w:tc>
          <w:tcPr>
            <w:tcW w:w="567" w:type="dxa"/>
            <w:tcBorders>
              <w:top w:val="nil"/>
              <w:left w:val="nil"/>
              <w:bottom w:val="single" w:sz="4" w:space="0" w:color="auto"/>
              <w:right w:val="single" w:sz="4" w:space="0" w:color="auto"/>
            </w:tcBorders>
            <w:shd w:val="clear" w:color="auto" w:fill="FFFFFF"/>
            <w:noWrap/>
            <w:vAlign w:val="center"/>
            <w:hideMark/>
          </w:tcPr>
          <w:p w14:paraId="21DC071E" w14:textId="77777777" w:rsidR="00531061" w:rsidRPr="004149A5" w:rsidRDefault="00531061" w:rsidP="005B287F">
            <w:pPr>
              <w:pStyle w:val="ExhibitText"/>
              <w:jc w:val="right"/>
              <w:rPr>
                <w:sz w:val="16"/>
                <w:szCs w:val="16"/>
              </w:rPr>
            </w:pPr>
            <w:r w:rsidRPr="004149A5">
              <w:rPr>
                <w:sz w:val="16"/>
                <w:szCs w:val="16"/>
              </w:rPr>
              <w:t>19.0</w:t>
            </w:r>
          </w:p>
        </w:tc>
        <w:tc>
          <w:tcPr>
            <w:tcW w:w="567" w:type="dxa"/>
            <w:tcBorders>
              <w:top w:val="nil"/>
              <w:left w:val="nil"/>
              <w:bottom w:val="single" w:sz="4" w:space="0" w:color="auto"/>
              <w:right w:val="single" w:sz="4" w:space="0" w:color="auto"/>
            </w:tcBorders>
            <w:shd w:val="clear" w:color="auto" w:fill="FFFFFF"/>
            <w:noWrap/>
            <w:vAlign w:val="center"/>
            <w:hideMark/>
          </w:tcPr>
          <w:p w14:paraId="1109CE03" w14:textId="77777777" w:rsidR="00531061" w:rsidRPr="004149A5" w:rsidRDefault="00531061" w:rsidP="005B287F">
            <w:pPr>
              <w:pStyle w:val="ExhibitText"/>
              <w:jc w:val="right"/>
              <w:rPr>
                <w:sz w:val="16"/>
                <w:szCs w:val="16"/>
              </w:rPr>
            </w:pPr>
            <w:r w:rsidRPr="004149A5">
              <w:rPr>
                <w:sz w:val="16"/>
                <w:szCs w:val="16"/>
              </w:rPr>
              <w:t>19.0</w:t>
            </w:r>
          </w:p>
        </w:tc>
        <w:tc>
          <w:tcPr>
            <w:tcW w:w="567" w:type="dxa"/>
            <w:tcBorders>
              <w:top w:val="nil"/>
              <w:left w:val="nil"/>
              <w:bottom w:val="single" w:sz="4" w:space="0" w:color="auto"/>
              <w:right w:val="single" w:sz="4" w:space="0" w:color="auto"/>
            </w:tcBorders>
            <w:shd w:val="clear" w:color="auto" w:fill="FFFFFF"/>
            <w:noWrap/>
            <w:vAlign w:val="center"/>
            <w:hideMark/>
          </w:tcPr>
          <w:p w14:paraId="403100D6" w14:textId="77777777" w:rsidR="00531061" w:rsidRPr="004149A5" w:rsidRDefault="00531061" w:rsidP="005B287F">
            <w:pPr>
              <w:pStyle w:val="ExhibitText"/>
              <w:jc w:val="right"/>
              <w:rPr>
                <w:sz w:val="16"/>
                <w:szCs w:val="16"/>
              </w:rPr>
            </w:pPr>
            <w:r w:rsidRPr="004149A5">
              <w:rPr>
                <w:sz w:val="16"/>
                <w:szCs w:val="16"/>
              </w:rPr>
              <w:t>11.0</w:t>
            </w:r>
          </w:p>
        </w:tc>
        <w:tc>
          <w:tcPr>
            <w:tcW w:w="567" w:type="dxa"/>
            <w:tcBorders>
              <w:top w:val="nil"/>
              <w:left w:val="nil"/>
              <w:bottom w:val="single" w:sz="4" w:space="0" w:color="auto"/>
              <w:right w:val="single" w:sz="4" w:space="0" w:color="auto"/>
            </w:tcBorders>
            <w:shd w:val="clear" w:color="auto" w:fill="FFFFFF"/>
            <w:noWrap/>
            <w:vAlign w:val="center"/>
            <w:hideMark/>
          </w:tcPr>
          <w:p w14:paraId="32F9F0FA" w14:textId="77777777" w:rsidR="00531061" w:rsidRPr="004149A5" w:rsidRDefault="00531061" w:rsidP="005B287F">
            <w:pPr>
              <w:pStyle w:val="ExhibitText"/>
              <w:jc w:val="right"/>
              <w:rPr>
                <w:sz w:val="16"/>
                <w:szCs w:val="16"/>
              </w:rPr>
            </w:pPr>
            <w:r w:rsidRPr="004149A5">
              <w:rPr>
                <w:sz w:val="16"/>
                <w:szCs w:val="16"/>
              </w:rPr>
              <w:t>11.0</w:t>
            </w:r>
          </w:p>
        </w:tc>
        <w:tc>
          <w:tcPr>
            <w:tcW w:w="501" w:type="dxa"/>
            <w:tcBorders>
              <w:top w:val="nil"/>
              <w:left w:val="nil"/>
              <w:bottom w:val="single" w:sz="4" w:space="0" w:color="auto"/>
              <w:right w:val="single" w:sz="4" w:space="0" w:color="auto"/>
            </w:tcBorders>
            <w:shd w:val="clear" w:color="auto" w:fill="FFFFFF"/>
            <w:noWrap/>
            <w:vAlign w:val="center"/>
            <w:hideMark/>
          </w:tcPr>
          <w:p w14:paraId="399E7B7D" w14:textId="77777777" w:rsidR="00531061" w:rsidRPr="004149A5" w:rsidRDefault="00531061" w:rsidP="005B287F">
            <w:pPr>
              <w:pStyle w:val="ExhibitText"/>
              <w:jc w:val="right"/>
              <w:rPr>
                <w:sz w:val="16"/>
                <w:szCs w:val="16"/>
              </w:rPr>
            </w:pPr>
            <w:r w:rsidRPr="004149A5">
              <w:rPr>
                <w:sz w:val="16"/>
                <w:szCs w:val="16"/>
              </w:rPr>
              <w:t>14.0</w:t>
            </w:r>
          </w:p>
        </w:tc>
        <w:tc>
          <w:tcPr>
            <w:tcW w:w="492" w:type="dxa"/>
            <w:tcBorders>
              <w:top w:val="nil"/>
              <w:left w:val="nil"/>
              <w:bottom w:val="single" w:sz="4" w:space="0" w:color="auto"/>
              <w:right w:val="single" w:sz="4" w:space="0" w:color="auto"/>
            </w:tcBorders>
            <w:shd w:val="clear" w:color="auto" w:fill="FFFFFF"/>
            <w:noWrap/>
            <w:vAlign w:val="center"/>
            <w:hideMark/>
          </w:tcPr>
          <w:p w14:paraId="0FF44DFE" w14:textId="77777777" w:rsidR="00531061" w:rsidRPr="004149A5" w:rsidRDefault="00531061" w:rsidP="005B287F">
            <w:pPr>
              <w:pStyle w:val="ExhibitText"/>
              <w:jc w:val="right"/>
              <w:rPr>
                <w:sz w:val="16"/>
                <w:szCs w:val="16"/>
              </w:rPr>
            </w:pPr>
            <w:r w:rsidRPr="004149A5">
              <w:rPr>
                <w:sz w:val="16"/>
                <w:szCs w:val="16"/>
              </w:rPr>
              <w:t>13.0</w:t>
            </w:r>
          </w:p>
        </w:tc>
        <w:tc>
          <w:tcPr>
            <w:tcW w:w="567" w:type="dxa"/>
            <w:tcBorders>
              <w:top w:val="nil"/>
              <w:left w:val="nil"/>
              <w:bottom w:val="single" w:sz="4" w:space="0" w:color="auto"/>
              <w:right w:val="single" w:sz="4" w:space="0" w:color="auto"/>
            </w:tcBorders>
            <w:shd w:val="clear" w:color="auto" w:fill="FFFFFF"/>
            <w:noWrap/>
            <w:vAlign w:val="center"/>
            <w:hideMark/>
          </w:tcPr>
          <w:p w14:paraId="2A60CC1C" w14:textId="77777777" w:rsidR="00531061" w:rsidRPr="004149A5" w:rsidRDefault="00531061" w:rsidP="005B287F">
            <w:pPr>
              <w:pStyle w:val="ExhibitText"/>
              <w:jc w:val="right"/>
              <w:rPr>
                <w:sz w:val="16"/>
                <w:szCs w:val="16"/>
              </w:rPr>
            </w:pPr>
            <w:r w:rsidRPr="004149A5">
              <w:rPr>
                <w:sz w:val="16"/>
                <w:szCs w:val="16"/>
              </w:rPr>
              <w:t>13.0</w:t>
            </w:r>
          </w:p>
        </w:tc>
      </w:tr>
      <w:tr w:rsidR="004149A5" w:rsidRPr="004149A5" w14:paraId="11D10624"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68C54B35" w14:textId="77777777" w:rsidR="00531061" w:rsidRPr="004149A5" w:rsidRDefault="00531061" w:rsidP="005B287F">
            <w:pPr>
              <w:pStyle w:val="ExhibitText"/>
              <w:jc w:val="left"/>
              <w:rPr>
                <w:sz w:val="16"/>
                <w:szCs w:val="16"/>
              </w:rPr>
            </w:pPr>
            <w:r w:rsidRPr="004149A5">
              <w:rPr>
                <w:sz w:val="16"/>
                <w:szCs w:val="16"/>
              </w:rPr>
              <w:t>Domestic credit provided by financial sector</w:t>
            </w:r>
          </w:p>
        </w:tc>
        <w:tc>
          <w:tcPr>
            <w:tcW w:w="479" w:type="dxa"/>
            <w:tcBorders>
              <w:top w:val="nil"/>
              <w:left w:val="nil"/>
              <w:bottom w:val="single" w:sz="4" w:space="0" w:color="auto"/>
              <w:right w:val="single" w:sz="4" w:space="0" w:color="auto"/>
            </w:tcBorders>
            <w:shd w:val="clear" w:color="auto" w:fill="FFFFFF"/>
            <w:noWrap/>
            <w:vAlign w:val="center"/>
            <w:hideMark/>
          </w:tcPr>
          <w:p w14:paraId="73E324EA" w14:textId="77777777" w:rsidR="00531061" w:rsidRPr="004149A5" w:rsidRDefault="00531061" w:rsidP="005B287F">
            <w:pPr>
              <w:pStyle w:val="ExhibitText"/>
              <w:jc w:val="right"/>
              <w:rPr>
                <w:sz w:val="16"/>
                <w:szCs w:val="16"/>
              </w:rPr>
            </w:pPr>
            <w:r w:rsidRPr="004149A5">
              <w:rPr>
                <w:sz w:val="16"/>
                <w:szCs w:val="16"/>
              </w:rPr>
              <w:t>26.6</w:t>
            </w:r>
          </w:p>
        </w:tc>
        <w:tc>
          <w:tcPr>
            <w:tcW w:w="425" w:type="dxa"/>
            <w:tcBorders>
              <w:top w:val="nil"/>
              <w:left w:val="nil"/>
              <w:bottom w:val="single" w:sz="4" w:space="0" w:color="auto"/>
              <w:right w:val="single" w:sz="4" w:space="0" w:color="auto"/>
            </w:tcBorders>
            <w:shd w:val="clear" w:color="auto" w:fill="FFFFFF"/>
            <w:noWrap/>
            <w:vAlign w:val="center"/>
            <w:hideMark/>
          </w:tcPr>
          <w:p w14:paraId="6C0C1E17" w14:textId="77777777" w:rsidR="00531061" w:rsidRPr="004149A5" w:rsidRDefault="00531061" w:rsidP="005B287F">
            <w:pPr>
              <w:pStyle w:val="ExhibitText"/>
              <w:jc w:val="right"/>
              <w:rPr>
                <w:sz w:val="16"/>
                <w:szCs w:val="16"/>
              </w:rPr>
            </w:pPr>
            <w:r w:rsidRPr="004149A5">
              <w:rPr>
                <w:sz w:val="16"/>
                <w:szCs w:val="16"/>
              </w:rPr>
              <w:t>28.7</w:t>
            </w:r>
          </w:p>
        </w:tc>
        <w:tc>
          <w:tcPr>
            <w:tcW w:w="425" w:type="dxa"/>
            <w:tcBorders>
              <w:top w:val="nil"/>
              <w:left w:val="nil"/>
              <w:bottom w:val="single" w:sz="4" w:space="0" w:color="auto"/>
              <w:right w:val="single" w:sz="4" w:space="0" w:color="auto"/>
            </w:tcBorders>
            <w:shd w:val="clear" w:color="auto" w:fill="FFFFFF"/>
            <w:noWrap/>
            <w:vAlign w:val="center"/>
            <w:hideMark/>
          </w:tcPr>
          <w:p w14:paraId="27EB4694" w14:textId="77777777" w:rsidR="00531061" w:rsidRPr="004149A5" w:rsidRDefault="00531061" w:rsidP="005B287F">
            <w:pPr>
              <w:pStyle w:val="ExhibitText"/>
              <w:jc w:val="right"/>
              <w:rPr>
                <w:sz w:val="16"/>
                <w:szCs w:val="16"/>
              </w:rPr>
            </w:pPr>
            <w:r w:rsidRPr="004149A5">
              <w:rPr>
                <w:sz w:val="16"/>
                <w:szCs w:val="16"/>
              </w:rPr>
              <w:t>30.3</w:t>
            </w:r>
          </w:p>
        </w:tc>
        <w:tc>
          <w:tcPr>
            <w:tcW w:w="426" w:type="dxa"/>
            <w:tcBorders>
              <w:top w:val="nil"/>
              <w:left w:val="nil"/>
              <w:bottom w:val="single" w:sz="4" w:space="0" w:color="auto"/>
              <w:right w:val="single" w:sz="4" w:space="0" w:color="auto"/>
            </w:tcBorders>
            <w:shd w:val="clear" w:color="auto" w:fill="FFFFFF"/>
            <w:noWrap/>
            <w:vAlign w:val="center"/>
            <w:hideMark/>
          </w:tcPr>
          <w:p w14:paraId="07FF56BD" w14:textId="77777777" w:rsidR="00531061" w:rsidRPr="004149A5" w:rsidRDefault="00531061" w:rsidP="005B287F">
            <w:pPr>
              <w:pStyle w:val="ExhibitText"/>
              <w:jc w:val="right"/>
              <w:rPr>
                <w:sz w:val="16"/>
                <w:szCs w:val="16"/>
              </w:rPr>
            </w:pPr>
            <w:r w:rsidRPr="004149A5">
              <w:rPr>
                <w:sz w:val="16"/>
                <w:szCs w:val="16"/>
              </w:rPr>
              <w:t>59.4</w:t>
            </w:r>
          </w:p>
        </w:tc>
        <w:tc>
          <w:tcPr>
            <w:tcW w:w="425" w:type="dxa"/>
            <w:tcBorders>
              <w:top w:val="nil"/>
              <w:left w:val="nil"/>
              <w:bottom w:val="single" w:sz="4" w:space="0" w:color="auto"/>
              <w:right w:val="single" w:sz="4" w:space="0" w:color="auto"/>
            </w:tcBorders>
            <w:shd w:val="clear" w:color="auto" w:fill="FFFFFF"/>
            <w:noWrap/>
            <w:vAlign w:val="center"/>
            <w:hideMark/>
          </w:tcPr>
          <w:p w14:paraId="69AF4243" w14:textId="77777777" w:rsidR="00531061" w:rsidRPr="004149A5" w:rsidRDefault="00531061" w:rsidP="005B287F">
            <w:pPr>
              <w:pStyle w:val="ExhibitText"/>
              <w:jc w:val="right"/>
              <w:rPr>
                <w:sz w:val="16"/>
                <w:szCs w:val="16"/>
              </w:rPr>
            </w:pPr>
            <w:r w:rsidRPr="004149A5">
              <w:rPr>
                <w:sz w:val="16"/>
                <w:szCs w:val="16"/>
              </w:rPr>
              <w:t>66.3</w:t>
            </w:r>
          </w:p>
        </w:tc>
        <w:tc>
          <w:tcPr>
            <w:tcW w:w="425" w:type="dxa"/>
            <w:tcBorders>
              <w:top w:val="nil"/>
              <w:left w:val="nil"/>
              <w:bottom w:val="single" w:sz="4" w:space="0" w:color="auto"/>
              <w:right w:val="single" w:sz="4" w:space="0" w:color="auto"/>
            </w:tcBorders>
            <w:shd w:val="clear" w:color="auto" w:fill="FFFFFF"/>
            <w:noWrap/>
            <w:vAlign w:val="center"/>
            <w:hideMark/>
          </w:tcPr>
          <w:p w14:paraId="038DE7A0" w14:textId="77777777" w:rsidR="00531061" w:rsidRPr="004149A5" w:rsidRDefault="00531061" w:rsidP="005B287F">
            <w:pPr>
              <w:pStyle w:val="ExhibitText"/>
              <w:jc w:val="right"/>
              <w:rPr>
                <w:sz w:val="16"/>
                <w:szCs w:val="16"/>
              </w:rPr>
            </w:pPr>
            <w:r w:rsidRPr="004149A5">
              <w:rPr>
                <w:sz w:val="16"/>
                <w:szCs w:val="16"/>
              </w:rPr>
              <w:t>71.5</w:t>
            </w:r>
          </w:p>
        </w:tc>
        <w:tc>
          <w:tcPr>
            <w:tcW w:w="425" w:type="dxa"/>
            <w:tcBorders>
              <w:top w:val="nil"/>
              <w:left w:val="nil"/>
              <w:bottom w:val="single" w:sz="4" w:space="0" w:color="auto"/>
              <w:right w:val="single" w:sz="4" w:space="0" w:color="auto"/>
            </w:tcBorders>
            <w:shd w:val="clear" w:color="auto" w:fill="FFFFFF"/>
            <w:noWrap/>
            <w:vAlign w:val="center"/>
            <w:hideMark/>
          </w:tcPr>
          <w:p w14:paraId="75FB8C16" w14:textId="77777777" w:rsidR="00531061" w:rsidRPr="004149A5" w:rsidRDefault="00531061" w:rsidP="005B287F">
            <w:pPr>
              <w:pStyle w:val="ExhibitText"/>
              <w:jc w:val="right"/>
              <w:rPr>
                <w:sz w:val="16"/>
                <w:szCs w:val="16"/>
              </w:rPr>
            </w:pPr>
            <w:r w:rsidRPr="004149A5">
              <w:rPr>
                <w:sz w:val="16"/>
                <w:szCs w:val="16"/>
              </w:rPr>
              <w:t>85.2</w:t>
            </w:r>
          </w:p>
        </w:tc>
        <w:tc>
          <w:tcPr>
            <w:tcW w:w="426" w:type="dxa"/>
            <w:tcBorders>
              <w:top w:val="nil"/>
              <w:left w:val="nil"/>
              <w:bottom w:val="single" w:sz="4" w:space="0" w:color="auto"/>
              <w:right w:val="single" w:sz="4" w:space="0" w:color="auto"/>
            </w:tcBorders>
            <w:shd w:val="clear" w:color="auto" w:fill="FFFFFF"/>
            <w:noWrap/>
            <w:vAlign w:val="center"/>
            <w:hideMark/>
          </w:tcPr>
          <w:p w14:paraId="4E3A1337" w14:textId="77777777" w:rsidR="00531061" w:rsidRPr="004149A5" w:rsidRDefault="00531061" w:rsidP="005B287F">
            <w:pPr>
              <w:pStyle w:val="ExhibitText"/>
              <w:jc w:val="right"/>
              <w:rPr>
                <w:sz w:val="16"/>
                <w:szCs w:val="16"/>
              </w:rPr>
            </w:pPr>
            <w:r w:rsidRPr="004149A5">
              <w:rPr>
                <w:sz w:val="16"/>
                <w:szCs w:val="16"/>
              </w:rPr>
              <w:t>77.8</w:t>
            </w:r>
          </w:p>
        </w:tc>
        <w:tc>
          <w:tcPr>
            <w:tcW w:w="425" w:type="dxa"/>
            <w:tcBorders>
              <w:top w:val="nil"/>
              <w:left w:val="nil"/>
              <w:bottom w:val="single" w:sz="4" w:space="0" w:color="auto"/>
              <w:right w:val="single" w:sz="4" w:space="0" w:color="auto"/>
            </w:tcBorders>
            <w:shd w:val="clear" w:color="auto" w:fill="FFFFFF"/>
            <w:noWrap/>
            <w:vAlign w:val="center"/>
            <w:hideMark/>
          </w:tcPr>
          <w:p w14:paraId="24FFFC20" w14:textId="77777777" w:rsidR="00531061" w:rsidRPr="004149A5" w:rsidRDefault="00531061" w:rsidP="005B287F">
            <w:pPr>
              <w:pStyle w:val="ExhibitText"/>
              <w:jc w:val="right"/>
              <w:rPr>
                <w:sz w:val="16"/>
                <w:szCs w:val="16"/>
              </w:rPr>
            </w:pPr>
            <w:r w:rsidRPr="004149A5">
              <w:rPr>
                <w:sz w:val="16"/>
                <w:szCs w:val="16"/>
              </w:rPr>
              <w:t>82.1</w:t>
            </w:r>
          </w:p>
        </w:tc>
        <w:tc>
          <w:tcPr>
            <w:tcW w:w="425" w:type="dxa"/>
            <w:tcBorders>
              <w:top w:val="nil"/>
              <w:left w:val="nil"/>
              <w:bottom w:val="single" w:sz="4" w:space="0" w:color="auto"/>
              <w:right w:val="single" w:sz="4" w:space="0" w:color="auto"/>
            </w:tcBorders>
            <w:shd w:val="clear" w:color="auto" w:fill="FFFFFF"/>
            <w:noWrap/>
            <w:vAlign w:val="center"/>
            <w:hideMark/>
          </w:tcPr>
          <w:p w14:paraId="0B78149F" w14:textId="77777777" w:rsidR="00531061" w:rsidRPr="004149A5" w:rsidRDefault="00531061" w:rsidP="005B287F">
            <w:pPr>
              <w:pStyle w:val="ExhibitText"/>
              <w:jc w:val="right"/>
              <w:rPr>
                <w:sz w:val="16"/>
                <w:szCs w:val="16"/>
              </w:rPr>
            </w:pPr>
            <w:r w:rsidRPr="004149A5">
              <w:rPr>
                <w:sz w:val="16"/>
                <w:szCs w:val="16"/>
              </w:rPr>
              <w:t>87.0</w:t>
            </w:r>
          </w:p>
        </w:tc>
        <w:tc>
          <w:tcPr>
            <w:tcW w:w="567" w:type="dxa"/>
            <w:tcBorders>
              <w:top w:val="nil"/>
              <w:left w:val="nil"/>
              <w:bottom w:val="single" w:sz="4" w:space="0" w:color="auto"/>
              <w:right w:val="single" w:sz="4" w:space="0" w:color="auto"/>
            </w:tcBorders>
            <w:shd w:val="clear" w:color="auto" w:fill="FFFFFF"/>
            <w:noWrap/>
            <w:vAlign w:val="center"/>
            <w:hideMark/>
          </w:tcPr>
          <w:p w14:paraId="18BBC5B2" w14:textId="77777777" w:rsidR="00531061" w:rsidRPr="004149A5" w:rsidRDefault="00531061" w:rsidP="005B287F">
            <w:pPr>
              <w:pStyle w:val="ExhibitText"/>
              <w:jc w:val="right"/>
              <w:rPr>
                <w:sz w:val="16"/>
                <w:szCs w:val="16"/>
              </w:rPr>
            </w:pPr>
            <w:r w:rsidRPr="004149A5">
              <w:rPr>
                <w:sz w:val="16"/>
                <w:szCs w:val="16"/>
              </w:rPr>
              <w:t>100.5</w:t>
            </w:r>
          </w:p>
        </w:tc>
        <w:tc>
          <w:tcPr>
            <w:tcW w:w="567" w:type="dxa"/>
            <w:tcBorders>
              <w:top w:val="nil"/>
              <w:left w:val="nil"/>
              <w:bottom w:val="single" w:sz="4" w:space="0" w:color="auto"/>
              <w:right w:val="single" w:sz="4" w:space="0" w:color="auto"/>
            </w:tcBorders>
            <w:shd w:val="clear" w:color="auto" w:fill="FFFFFF"/>
            <w:noWrap/>
            <w:vAlign w:val="center"/>
            <w:hideMark/>
          </w:tcPr>
          <w:p w14:paraId="769BFE66" w14:textId="77777777" w:rsidR="00531061" w:rsidRPr="004149A5" w:rsidRDefault="00531061" w:rsidP="005B287F">
            <w:pPr>
              <w:pStyle w:val="ExhibitText"/>
              <w:jc w:val="right"/>
              <w:rPr>
                <w:sz w:val="16"/>
                <w:szCs w:val="16"/>
              </w:rPr>
            </w:pPr>
            <w:r w:rsidRPr="004149A5">
              <w:rPr>
                <w:sz w:val="16"/>
                <w:szCs w:val="16"/>
              </w:rPr>
              <w:t>112.1</w:t>
            </w:r>
          </w:p>
        </w:tc>
        <w:tc>
          <w:tcPr>
            <w:tcW w:w="567" w:type="dxa"/>
            <w:tcBorders>
              <w:top w:val="nil"/>
              <w:left w:val="nil"/>
              <w:bottom w:val="single" w:sz="4" w:space="0" w:color="auto"/>
              <w:right w:val="single" w:sz="4" w:space="0" w:color="auto"/>
            </w:tcBorders>
            <w:shd w:val="clear" w:color="auto" w:fill="FFFFFF"/>
            <w:noWrap/>
            <w:vAlign w:val="center"/>
            <w:hideMark/>
          </w:tcPr>
          <w:p w14:paraId="597B8CDC" w14:textId="77777777" w:rsidR="00531061" w:rsidRPr="004149A5" w:rsidRDefault="00531061" w:rsidP="005B287F">
            <w:pPr>
              <w:pStyle w:val="ExhibitText"/>
              <w:jc w:val="right"/>
              <w:rPr>
                <w:sz w:val="16"/>
                <w:szCs w:val="16"/>
              </w:rPr>
            </w:pPr>
            <w:r w:rsidRPr="004149A5">
              <w:rPr>
                <w:sz w:val="16"/>
                <w:szCs w:val="16"/>
              </w:rPr>
              <w:t>115.5</w:t>
            </w:r>
          </w:p>
        </w:tc>
        <w:tc>
          <w:tcPr>
            <w:tcW w:w="567" w:type="dxa"/>
            <w:tcBorders>
              <w:top w:val="nil"/>
              <w:left w:val="nil"/>
              <w:bottom w:val="single" w:sz="4" w:space="0" w:color="auto"/>
              <w:right w:val="single" w:sz="4" w:space="0" w:color="auto"/>
            </w:tcBorders>
            <w:shd w:val="clear" w:color="auto" w:fill="FFFFFF"/>
            <w:noWrap/>
            <w:vAlign w:val="center"/>
            <w:hideMark/>
          </w:tcPr>
          <w:p w14:paraId="73D7ACDC" w14:textId="77777777" w:rsidR="00531061" w:rsidRPr="004149A5" w:rsidRDefault="00531061" w:rsidP="005B287F">
            <w:pPr>
              <w:pStyle w:val="ExhibitText"/>
              <w:jc w:val="right"/>
              <w:rPr>
                <w:sz w:val="16"/>
                <w:szCs w:val="16"/>
              </w:rPr>
            </w:pPr>
            <w:r w:rsidRPr="004149A5">
              <w:rPr>
                <w:sz w:val="16"/>
                <w:szCs w:val="16"/>
              </w:rPr>
              <w:t>115.7</w:t>
            </w:r>
          </w:p>
        </w:tc>
        <w:tc>
          <w:tcPr>
            <w:tcW w:w="567" w:type="dxa"/>
            <w:tcBorders>
              <w:top w:val="nil"/>
              <w:left w:val="nil"/>
              <w:bottom w:val="single" w:sz="4" w:space="0" w:color="auto"/>
              <w:right w:val="single" w:sz="4" w:space="0" w:color="auto"/>
            </w:tcBorders>
            <w:shd w:val="clear" w:color="auto" w:fill="FFFFFF"/>
            <w:noWrap/>
            <w:vAlign w:val="center"/>
            <w:hideMark/>
          </w:tcPr>
          <w:p w14:paraId="340F6511" w14:textId="77777777" w:rsidR="00531061" w:rsidRPr="004149A5" w:rsidRDefault="00531061" w:rsidP="005B287F">
            <w:pPr>
              <w:pStyle w:val="ExhibitText"/>
              <w:jc w:val="right"/>
              <w:rPr>
                <w:sz w:val="16"/>
                <w:szCs w:val="16"/>
              </w:rPr>
            </w:pPr>
            <w:r w:rsidRPr="004149A5">
              <w:rPr>
                <w:sz w:val="16"/>
                <w:szCs w:val="16"/>
              </w:rPr>
              <w:t>147.6</w:t>
            </w:r>
          </w:p>
        </w:tc>
        <w:tc>
          <w:tcPr>
            <w:tcW w:w="567" w:type="dxa"/>
            <w:tcBorders>
              <w:top w:val="nil"/>
              <w:left w:val="nil"/>
              <w:bottom w:val="single" w:sz="4" w:space="0" w:color="auto"/>
              <w:right w:val="single" w:sz="4" w:space="0" w:color="auto"/>
            </w:tcBorders>
            <w:shd w:val="clear" w:color="auto" w:fill="FFFFFF"/>
            <w:noWrap/>
            <w:vAlign w:val="center"/>
            <w:hideMark/>
          </w:tcPr>
          <w:p w14:paraId="4DA4FB71" w14:textId="77777777" w:rsidR="00531061" w:rsidRPr="004149A5" w:rsidRDefault="00531061" w:rsidP="005B287F">
            <w:pPr>
              <w:pStyle w:val="ExhibitText"/>
              <w:jc w:val="right"/>
              <w:rPr>
                <w:sz w:val="16"/>
                <w:szCs w:val="16"/>
              </w:rPr>
            </w:pPr>
            <w:r w:rsidRPr="004149A5">
              <w:rPr>
                <w:sz w:val="16"/>
                <w:szCs w:val="16"/>
              </w:rPr>
              <w:t>156.0</w:t>
            </w:r>
          </w:p>
        </w:tc>
        <w:tc>
          <w:tcPr>
            <w:tcW w:w="567" w:type="dxa"/>
            <w:tcBorders>
              <w:top w:val="nil"/>
              <w:left w:val="nil"/>
              <w:bottom w:val="single" w:sz="4" w:space="0" w:color="auto"/>
              <w:right w:val="single" w:sz="4" w:space="0" w:color="auto"/>
            </w:tcBorders>
            <w:shd w:val="clear" w:color="auto" w:fill="FFFFFF"/>
            <w:noWrap/>
            <w:vAlign w:val="center"/>
            <w:hideMark/>
          </w:tcPr>
          <w:p w14:paraId="4D4EF5B7" w14:textId="77777777" w:rsidR="00531061" w:rsidRPr="004149A5" w:rsidRDefault="00531061" w:rsidP="005B287F">
            <w:pPr>
              <w:pStyle w:val="ExhibitText"/>
              <w:jc w:val="right"/>
              <w:rPr>
                <w:sz w:val="16"/>
                <w:szCs w:val="16"/>
              </w:rPr>
            </w:pPr>
            <w:r w:rsidRPr="004149A5">
              <w:rPr>
                <w:sz w:val="16"/>
                <w:szCs w:val="16"/>
              </w:rPr>
              <w:t>139.1</w:t>
            </w:r>
          </w:p>
        </w:tc>
        <w:tc>
          <w:tcPr>
            <w:tcW w:w="501" w:type="dxa"/>
            <w:tcBorders>
              <w:top w:val="nil"/>
              <w:left w:val="nil"/>
              <w:bottom w:val="single" w:sz="4" w:space="0" w:color="auto"/>
              <w:right w:val="single" w:sz="4" w:space="0" w:color="auto"/>
            </w:tcBorders>
            <w:shd w:val="clear" w:color="auto" w:fill="FFFFFF"/>
            <w:noWrap/>
            <w:vAlign w:val="center"/>
            <w:hideMark/>
          </w:tcPr>
          <w:p w14:paraId="69355B40" w14:textId="77777777" w:rsidR="00531061" w:rsidRPr="004149A5" w:rsidRDefault="00531061" w:rsidP="005B287F">
            <w:pPr>
              <w:pStyle w:val="ExhibitText"/>
              <w:jc w:val="right"/>
              <w:rPr>
                <w:sz w:val="16"/>
                <w:szCs w:val="16"/>
              </w:rPr>
            </w:pPr>
            <w:r w:rsidRPr="004149A5">
              <w:rPr>
                <w:sz w:val="16"/>
                <w:szCs w:val="16"/>
              </w:rPr>
              <w:t>137.1</w:t>
            </w:r>
          </w:p>
        </w:tc>
        <w:tc>
          <w:tcPr>
            <w:tcW w:w="492" w:type="dxa"/>
            <w:tcBorders>
              <w:top w:val="nil"/>
              <w:left w:val="nil"/>
              <w:bottom w:val="single" w:sz="4" w:space="0" w:color="auto"/>
              <w:right w:val="single" w:sz="4" w:space="0" w:color="auto"/>
            </w:tcBorders>
            <w:shd w:val="clear" w:color="auto" w:fill="FFFFFF"/>
            <w:noWrap/>
            <w:vAlign w:val="center"/>
            <w:hideMark/>
          </w:tcPr>
          <w:p w14:paraId="3EFA8410" w14:textId="77777777" w:rsidR="00531061" w:rsidRPr="004149A5" w:rsidRDefault="00531061" w:rsidP="005B287F">
            <w:pPr>
              <w:pStyle w:val="ExhibitText"/>
              <w:jc w:val="right"/>
              <w:rPr>
                <w:sz w:val="16"/>
                <w:szCs w:val="16"/>
              </w:rPr>
            </w:pPr>
            <w:r w:rsidRPr="004149A5">
              <w:rPr>
                <w:sz w:val="16"/>
                <w:szCs w:val="16"/>
              </w:rPr>
              <w:t>138.3</w:t>
            </w:r>
          </w:p>
        </w:tc>
        <w:tc>
          <w:tcPr>
            <w:tcW w:w="567" w:type="dxa"/>
            <w:tcBorders>
              <w:top w:val="nil"/>
              <w:left w:val="nil"/>
              <w:bottom w:val="single" w:sz="4" w:space="0" w:color="auto"/>
              <w:right w:val="single" w:sz="4" w:space="0" w:color="auto"/>
            </w:tcBorders>
            <w:shd w:val="clear" w:color="auto" w:fill="FFFFFF"/>
            <w:noWrap/>
            <w:vAlign w:val="center"/>
            <w:hideMark/>
          </w:tcPr>
          <w:p w14:paraId="2BA91D2D" w14:textId="77777777" w:rsidR="00531061" w:rsidRPr="004149A5" w:rsidRDefault="00531061" w:rsidP="005B287F">
            <w:pPr>
              <w:pStyle w:val="ExhibitText"/>
              <w:jc w:val="right"/>
              <w:rPr>
                <w:sz w:val="16"/>
                <w:szCs w:val="16"/>
              </w:rPr>
            </w:pPr>
            <w:r w:rsidRPr="004149A5">
              <w:rPr>
                <w:sz w:val="16"/>
                <w:szCs w:val="16"/>
              </w:rPr>
              <w:t>135.7</w:t>
            </w:r>
          </w:p>
        </w:tc>
      </w:tr>
      <w:tr w:rsidR="004149A5" w:rsidRPr="004149A5" w14:paraId="76E91EA3"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1AE54ECC" w14:textId="77777777" w:rsidR="00531061" w:rsidRPr="004149A5" w:rsidRDefault="00531061" w:rsidP="005B287F">
            <w:pPr>
              <w:pStyle w:val="ExhibitText"/>
              <w:jc w:val="left"/>
              <w:rPr>
                <w:sz w:val="16"/>
                <w:szCs w:val="16"/>
              </w:rPr>
            </w:pPr>
            <w:r w:rsidRPr="004149A5">
              <w:rPr>
                <w:sz w:val="16"/>
                <w:szCs w:val="16"/>
              </w:rPr>
              <w:t>Tax revenue</w:t>
            </w:r>
          </w:p>
        </w:tc>
        <w:tc>
          <w:tcPr>
            <w:tcW w:w="479" w:type="dxa"/>
            <w:tcBorders>
              <w:top w:val="nil"/>
              <w:left w:val="nil"/>
              <w:bottom w:val="single" w:sz="4" w:space="0" w:color="auto"/>
              <w:right w:val="single" w:sz="4" w:space="0" w:color="auto"/>
            </w:tcBorders>
            <w:shd w:val="clear" w:color="auto" w:fill="FFFFFF"/>
            <w:noWrap/>
            <w:vAlign w:val="center"/>
            <w:hideMark/>
          </w:tcPr>
          <w:p w14:paraId="6A0CB908" w14:textId="77777777" w:rsidR="00531061" w:rsidRPr="004149A5" w:rsidRDefault="00531061" w:rsidP="005B287F">
            <w:pPr>
              <w:pStyle w:val="ExhibitText"/>
              <w:jc w:val="right"/>
              <w:rPr>
                <w:sz w:val="16"/>
                <w:szCs w:val="16"/>
              </w:rPr>
            </w:pPr>
            <w:r w:rsidRPr="004149A5">
              <w:rPr>
                <w:sz w:val="16"/>
                <w:szCs w:val="16"/>
              </w:rPr>
              <w:t>12.5</w:t>
            </w:r>
          </w:p>
        </w:tc>
        <w:tc>
          <w:tcPr>
            <w:tcW w:w="425" w:type="dxa"/>
            <w:tcBorders>
              <w:top w:val="nil"/>
              <w:left w:val="nil"/>
              <w:bottom w:val="single" w:sz="4" w:space="0" w:color="auto"/>
              <w:right w:val="single" w:sz="4" w:space="0" w:color="auto"/>
            </w:tcBorders>
            <w:shd w:val="clear" w:color="auto" w:fill="FFFFFF"/>
            <w:noWrap/>
            <w:vAlign w:val="center"/>
            <w:hideMark/>
          </w:tcPr>
          <w:p w14:paraId="05234858" w14:textId="77777777" w:rsidR="00531061" w:rsidRPr="004149A5" w:rsidRDefault="00531061" w:rsidP="005B287F">
            <w:pPr>
              <w:pStyle w:val="ExhibitText"/>
              <w:jc w:val="right"/>
              <w:rPr>
                <w:sz w:val="16"/>
                <w:szCs w:val="16"/>
              </w:rPr>
            </w:pPr>
            <w:r w:rsidRPr="004149A5">
              <w:rPr>
                <w:sz w:val="16"/>
                <w:szCs w:val="16"/>
              </w:rPr>
              <w:t>12.6</w:t>
            </w:r>
          </w:p>
        </w:tc>
        <w:tc>
          <w:tcPr>
            <w:tcW w:w="425" w:type="dxa"/>
            <w:tcBorders>
              <w:top w:val="nil"/>
              <w:left w:val="nil"/>
              <w:bottom w:val="single" w:sz="4" w:space="0" w:color="auto"/>
              <w:right w:val="single" w:sz="4" w:space="0" w:color="auto"/>
            </w:tcBorders>
            <w:shd w:val="clear" w:color="auto" w:fill="FFFFFF"/>
            <w:noWrap/>
            <w:vAlign w:val="center"/>
            <w:hideMark/>
          </w:tcPr>
          <w:p w14:paraId="359B02AE" w14:textId="77777777" w:rsidR="00531061" w:rsidRPr="004149A5" w:rsidRDefault="00531061" w:rsidP="005B287F">
            <w:pPr>
              <w:pStyle w:val="ExhibitText"/>
              <w:jc w:val="right"/>
              <w:rPr>
                <w:sz w:val="16"/>
                <w:szCs w:val="16"/>
              </w:rPr>
            </w:pPr>
            <w:r w:rsidRPr="004149A5">
              <w:rPr>
                <w:sz w:val="16"/>
                <w:szCs w:val="16"/>
              </w:rPr>
              <w:t>12.7</w:t>
            </w:r>
          </w:p>
        </w:tc>
        <w:tc>
          <w:tcPr>
            <w:tcW w:w="426" w:type="dxa"/>
            <w:tcBorders>
              <w:top w:val="nil"/>
              <w:left w:val="nil"/>
              <w:bottom w:val="single" w:sz="4" w:space="0" w:color="auto"/>
              <w:right w:val="single" w:sz="4" w:space="0" w:color="auto"/>
            </w:tcBorders>
            <w:shd w:val="clear" w:color="auto" w:fill="FFFFFF"/>
            <w:noWrap/>
            <w:vAlign w:val="center"/>
            <w:hideMark/>
          </w:tcPr>
          <w:p w14:paraId="16C29538" w14:textId="77777777" w:rsidR="00531061" w:rsidRPr="004149A5" w:rsidRDefault="00531061" w:rsidP="005B287F">
            <w:pPr>
              <w:pStyle w:val="ExhibitText"/>
              <w:jc w:val="right"/>
              <w:rPr>
                <w:sz w:val="16"/>
                <w:szCs w:val="16"/>
              </w:rPr>
            </w:pPr>
            <w:r w:rsidRPr="004149A5">
              <w:rPr>
                <w:sz w:val="16"/>
                <w:szCs w:val="16"/>
              </w:rPr>
              <w:t>13.8</w:t>
            </w:r>
          </w:p>
        </w:tc>
        <w:tc>
          <w:tcPr>
            <w:tcW w:w="425" w:type="dxa"/>
            <w:tcBorders>
              <w:top w:val="nil"/>
              <w:left w:val="nil"/>
              <w:bottom w:val="single" w:sz="4" w:space="0" w:color="auto"/>
              <w:right w:val="single" w:sz="4" w:space="0" w:color="auto"/>
            </w:tcBorders>
            <w:shd w:val="clear" w:color="auto" w:fill="FFFFFF"/>
            <w:noWrap/>
            <w:vAlign w:val="center"/>
            <w:hideMark/>
          </w:tcPr>
          <w:p w14:paraId="41E34E2D" w14:textId="77777777" w:rsidR="00531061" w:rsidRPr="004149A5" w:rsidRDefault="00531061" w:rsidP="005B287F">
            <w:pPr>
              <w:pStyle w:val="ExhibitText"/>
              <w:jc w:val="right"/>
              <w:rPr>
                <w:sz w:val="16"/>
                <w:szCs w:val="16"/>
              </w:rPr>
            </w:pPr>
            <w:r w:rsidRPr="004149A5">
              <w:rPr>
                <w:sz w:val="16"/>
                <w:szCs w:val="16"/>
              </w:rPr>
              <w:t>12.2</w:t>
            </w:r>
          </w:p>
        </w:tc>
        <w:tc>
          <w:tcPr>
            <w:tcW w:w="425" w:type="dxa"/>
            <w:tcBorders>
              <w:top w:val="nil"/>
              <w:left w:val="nil"/>
              <w:bottom w:val="single" w:sz="4" w:space="0" w:color="auto"/>
              <w:right w:val="single" w:sz="4" w:space="0" w:color="auto"/>
            </w:tcBorders>
            <w:shd w:val="clear" w:color="auto" w:fill="FFFFFF"/>
            <w:noWrap/>
            <w:vAlign w:val="center"/>
            <w:hideMark/>
          </w:tcPr>
          <w:p w14:paraId="483ADD1A" w14:textId="77777777" w:rsidR="00531061" w:rsidRPr="004149A5" w:rsidRDefault="00531061" w:rsidP="005B287F">
            <w:pPr>
              <w:pStyle w:val="ExhibitText"/>
              <w:jc w:val="right"/>
              <w:rPr>
                <w:sz w:val="16"/>
                <w:szCs w:val="16"/>
              </w:rPr>
            </w:pPr>
            <w:r w:rsidRPr="004149A5">
              <w:rPr>
                <w:sz w:val="16"/>
                <w:szCs w:val="16"/>
              </w:rPr>
              <w:t>18.6</w:t>
            </w:r>
          </w:p>
        </w:tc>
        <w:tc>
          <w:tcPr>
            <w:tcW w:w="425" w:type="dxa"/>
            <w:tcBorders>
              <w:top w:val="nil"/>
              <w:left w:val="nil"/>
              <w:bottom w:val="single" w:sz="4" w:space="0" w:color="auto"/>
              <w:right w:val="single" w:sz="4" w:space="0" w:color="auto"/>
            </w:tcBorders>
            <w:shd w:val="clear" w:color="auto" w:fill="FFFFFF"/>
            <w:noWrap/>
            <w:vAlign w:val="center"/>
            <w:hideMark/>
          </w:tcPr>
          <w:p w14:paraId="15411699" w14:textId="6821B702" w:rsidR="00531061" w:rsidRPr="004149A5" w:rsidRDefault="00500D4D" w:rsidP="00500D4D">
            <w:pPr>
              <w:pStyle w:val="ExhibitText"/>
              <w:jc w:val="right"/>
              <w:rPr>
                <w:sz w:val="16"/>
                <w:szCs w:val="16"/>
              </w:rPr>
            </w:pPr>
            <w:r w:rsidRPr="004149A5">
              <w:rPr>
                <w:sz w:val="16"/>
                <w:szCs w:val="16"/>
              </w:rPr>
              <w:t>n/a</w:t>
            </w:r>
          </w:p>
        </w:tc>
        <w:tc>
          <w:tcPr>
            <w:tcW w:w="426" w:type="dxa"/>
            <w:tcBorders>
              <w:top w:val="nil"/>
              <w:left w:val="nil"/>
              <w:bottom w:val="single" w:sz="4" w:space="0" w:color="auto"/>
              <w:right w:val="single" w:sz="4" w:space="0" w:color="auto"/>
            </w:tcBorders>
            <w:shd w:val="clear" w:color="auto" w:fill="FFFFFF"/>
            <w:noWrap/>
            <w:vAlign w:val="center"/>
            <w:hideMark/>
          </w:tcPr>
          <w:p w14:paraId="7D0CB17D" w14:textId="7076B139" w:rsidR="00531061" w:rsidRPr="004149A5" w:rsidRDefault="00500D4D" w:rsidP="00500D4D">
            <w:pPr>
              <w:pStyle w:val="ExhibitText"/>
              <w:jc w:val="right"/>
              <w:rPr>
                <w:sz w:val="16"/>
                <w:szCs w:val="16"/>
              </w:rPr>
            </w:pPr>
            <w:r w:rsidRPr="004149A5">
              <w:rPr>
                <w:sz w:val="16"/>
                <w:szCs w:val="16"/>
              </w:rPr>
              <w:t>n/a</w:t>
            </w:r>
          </w:p>
        </w:tc>
        <w:tc>
          <w:tcPr>
            <w:tcW w:w="425" w:type="dxa"/>
            <w:tcBorders>
              <w:top w:val="nil"/>
              <w:left w:val="nil"/>
              <w:bottom w:val="single" w:sz="4" w:space="0" w:color="auto"/>
              <w:right w:val="single" w:sz="4" w:space="0" w:color="auto"/>
            </w:tcBorders>
            <w:shd w:val="clear" w:color="auto" w:fill="FFFFFF"/>
            <w:noWrap/>
            <w:vAlign w:val="center"/>
            <w:hideMark/>
          </w:tcPr>
          <w:p w14:paraId="6B01F44E" w14:textId="77777777" w:rsidR="00531061" w:rsidRPr="004149A5" w:rsidRDefault="00531061" w:rsidP="005B287F">
            <w:pPr>
              <w:pStyle w:val="ExhibitText"/>
              <w:jc w:val="right"/>
              <w:rPr>
                <w:sz w:val="16"/>
                <w:szCs w:val="16"/>
              </w:rPr>
            </w:pPr>
            <w:r w:rsidRPr="004149A5">
              <w:rPr>
                <w:sz w:val="16"/>
                <w:szCs w:val="16"/>
              </w:rPr>
              <w:t>20.6</w:t>
            </w:r>
          </w:p>
        </w:tc>
        <w:tc>
          <w:tcPr>
            <w:tcW w:w="425" w:type="dxa"/>
            <w:tcBorders>
              <w:top w:val="nil"/>
              <w:left w:val="nil"/>
              <w:bottom w:val="single" w:sz="4" w:space="0" w:color="auto"/>
              <w:right w:val="single" w:sz="4" w:space="0" w:color="auto"/>
            </w:tcBorders>
            <w:shd w:val="clear" w:color="auto" w:fill="FFFFFF"/>
            <w:noWrap/>
            <w:vAlign w:val="center"/>
            <w:hideMark/>
          </w:tcPr>
          <w:p w14:paraId="450643C1" w14:textId="77777777" w:rsidR="00531061" w:rsidRPr="004149A5" w:rsidRDefault="00531061" w:rsidP="005B287F">
            <w:pPr>
              <w:pStyle w:val="ExhibitText"/>
              <w:jc w:val="right"/>
              <w:rPr>
                <w:sz w:val="16"/>
                <w:szCs w:val="16"/>
              </w:rPr>
            </w:pPr>
            <w:r w:rsidRPr="004149A5">
              <w:rPr>
                <w:sz w:val="16"/>
                <w:szCs w:val="16"/>
              </w:rPr>
              <w:t>22.5</w:t>
            </w:r>
          </w:p>
        </w:tc>
        <w:tc>
          <w:tcPr>
            <w:tcW w:w="567" w:type="dxa"/>
            <w:tcBorders>
              <w:top w:val="nil"/>
              <w:left w:val="nil"/>
              <w:bottom w:val="single" w:sz="4" w:space="0" w:color="auto"/>
              <w:right w:val="single" w:sz="4" w:space="0" w:color="auto"/>
            </w:tcBorders>
            <w:shd w:val="clear" w:color="auto" w:fill="FFFFFF"/>
            <w:noWrap/>
            <w:vAlign w:val="center"/>
            <w:hideMark/>
          </w:tcPr>
          <w:p w14:paraId="1C6220DA" w14:textId="77777777" w:rsidR="00531061" w:rsidRPr="004149A5" w:rsidRDefault="00531061" w:rsidP="005B287F">
            <w:pPr>
              <w:pStyle w:val="ExhibitText"/>
              <w:jc w:val="right"/>
              <w:rPr>
                <w:sz w:val="16"/>
                <w:szCs w:val="16"/>
              </w:rPr>
            </w:pPr>
            <w:r w:rsidRPr="004149A5">
              <w:rPr>
                <w:sz w:val="16"/>
                <w:szCs w:val="16"/>
              </w:rPr>
              <w:t>20.9</w:t>
            </w:r>
          </w:p>
        </w:tc>
        <w:tc>
          <w:tcPr>
            <w:tcW w:w="567" w:type="dxa"/>
            <w:tcBorders>
              <w:top w:val="nil"/>
              <w:left w:val="nil"/>
              <w:bottom w:val="single" w:sz="4" w:space="0" w:color="auto"/>
              <w:right w:val="single" w:sz="4" w:space="0" w:color="auto"/>
            </w:tcBorders>
            <w:shd w:val="clear" w:color="auto" w:fill="FFFFFF"/>
            <w:noWrap/>
            <w:vAlign w:val="center"/>
            <w:hideMark/>
          </w:tcPr>
          <w:p w14:paraId="7B930796" w14:textId="77777777" w:rsidR="00531061" w:rsidRPr="004149A5" w:rsidRDefault="00531061" w:rsidP="005B287F">
            <w:pPr>
              <w:pStyle w:val="ExhibitText"/>
              <w:jc w:val="right"/>
              <w:rPr>
                <w:sz w:val="16"/>
                <w:szCs w:val="16"/>
              </w:rPr>
            </w:pPr>
            <w:r w:rsidRPr="004149A5">
              <w:rPr>
                <w:sz w:val="16"/>
                <w:szCs w:val="16"/>
              </w:rPr>
              <w:t>20.2</w:t>
            </w:r>
          </w:p>
        </w:tc>
        <w:tc>
          <w:tcPr>
            <w:tcW w:w="567" w:type="dxa"/>
            <w:tcBorders>
              <w:top w:val="nil"/>
              <w:left w:val="nil"/>
              <w:bottom w:val="single" w:sz="4" w:space="0" w:color="auto"/>
              <w:right w:val="single" w:sz="4" w:space="0" w:color="auto"/>
            </w:tcBorders>
            <w:shd w:val="clear" w:color="auto" w:fill="FFFFFF"/>
            <w:noWrap/>
            <w:vAlign w:val="center"/>
            <w:hideMark/>
          </w:tcPr>
          <w:p w14:paraId="5296EEC4" w14:textId="77777777" w:rsidR="00531061" w:rsidRPr="004149A5" w:rsidRDefault="00531061" w:rsidP="005B287F">
            <w:pPr>
              <w:pStyle w:val="ExhibitText"/>
              <w:jc w:val="right"/>
              <w:rPr>
                <w:sz w:val="16"/>
                <w:szCs w:val="16"/>
              </w:rPr>
            </w:pPr>
            <w:r w:rsidRPr="004149A5">
              <w:rPr>
                <w:sz w:val="16"/>
                <w:szCs w:val="16"/>
              </w:rPr>
              <w:t>20.2</w:t>
            </w:r>
          </w:p>
        </w:tc>
        <w:tc>
          <w:tcPr>
            <w:tcW w:w="567" w:type="dxa"/>
            <w:tcBorders>
              <w:top w:val="nil"/>
              <w:left w:val="nil"/>
              <w:bottom w:val="single" w:sz="4" w:space="0" w:color="auto"/>
              <w:right w:val="single" w:sz="4" w:space="0" w:color="auto"/>
            </w:tcBorders>
            <w:shd w:val="clear" w:color="auto" w:fill="FFFFFF"/>
            <w:noWrap/>
            <w:vAlign w:val="center"/>
            <w:hideMark/>
          </w:tcPr>
          <w:p w14:paraId="0352B6FD" w14:textId="77777777" w:rsidR="00531061" w:rsidRPr="004149A5" w:rsidRDefault="00531061" w:rsidP="005B287F">
            <w:pPr>
              <w:pStyle w:val="ExhibitText"/>
              <w:jc w:val="right"/>
              <w:rPr>
                <w:sz w:val="16"/>
                <w:szCs w:val="16"/>
              </w:rPr>
            </w:pPr>
            <w:r w:rsidRPr="004149A5">
              <w:rPr>
                <w:sz w:val="16"/>
                <w:szCs w:val="16"/>
              </w:rPr>
              <w:t>19.8</w:t>
            </w:r>
          </w:p>
        </w:tc>
        <w:tc>
          <w:tcPr>
            <w:tcW w:w="567" w:type="dxa"/>
            <w:tcBorders>
              <w:top w:val="nil"/>
              <w:left w:val="nil"/>
              <w:bottom w:val="single" w:sz="4" w:space="0" w:color="auto"/>
              <w:right w:val="single" w:sz="4" w:space="0" w:color="auto"/>
            </w:tcBorders>
            <w:shd w:val="clear" w:color="auto" w:fill="FFFFFF"/>
            <w:noWrap/>
            <w:vAlign w:val="center"/>
            <w:hideMark/>
          </w:tcPr>
          <w:p w14:paraId="1742BCF6" w14:textId="77777777" w:rsidR="00531061" w:rsidRPr="004149A5" w:rsidRDefault="00531061" w:rsidP="005B287F">
            <w:pPr>
              <w:pStyle w:val="ExhibitText"/>
              <w:jc w:val="right"/>
              <w:rPr>
                <w:sz w:val="16"/>
                <w:szCs w:val="16"/>
              </w:rPr>
            </w:pPr>
            <w:r w:rsidRPr="004149A5">
              <w:rPr>
                <w:sz w:val="16"/>
                <w:szCs w:val="16"/>
              </w:rPr>
              <w:t>20.2</w:t>
            </w:r>
          </w:p>
        </w:tc>
        <w:tc>
          <w:tcPr>
            <w:tcW w:w="567" w:type="dxa"/>
            <w:tcBorders>
              <w:top w:val="nil"/>
              <w:left w:val="nil"/>
              <w:bottom w:val="single" w:sz="4" w:space="0" w:color="auto"/>
              <w:right w:val="single" w:sz="4" w:space="0" w:color="auto"/>
            </w:tcBorders>
            <w:shd w:val="clear" w:color="auto" w:fill="FFFFFF"/>
            <w:noWrap/>
            <w:vAlign w:val="center"/>
            <w:hideMark/>
          </w:tcPr>
          <w:p w14:paraId="7657F3EC" w14:textId="77777777" w:rsidR="00531061" w:rsidRPr="004149A5" w:rsidRDefault="00531061" w:rsidP="005B287F">
            <w:pPr>
              <w:pStyle w:val="ExhibitText"/>
              <w:jc w:val="right"/>
              <w:rPr>
                <w:sz w:val="16"/>
                <w:szCs w:val="16"/>
              </w:rPr>
            </w:pPr>
            <w:r w:rsidRPr="004149A5">
              <w:rPr>
                <w:sz w:val="16"/>
                <w:szCs w:val="16"/>
              </w:rPr>
              <w:t>22.1</w:t>
            </w:r>
          </w:p>
        </w:tc>
        <w:tc>
          <w:tcPr>
            <w:tcW w:w="567" w:type="dxa"/>
            <w:tcBorders>
              <w:top w:val="nil"/>
              <w:left w:val="nil"/>
              <w:bottom w:val="single" w:sz="4" w:space="0" w:color="auto"/>
              <w:right w:val="single" w:sz="4" w:space="0" w:color="auto"/>
            </w:tcBorders>
            <w:shd w:val="clear" w:color="auto" w:fill="FFFFFF"/>
            <w:noWrap/>
            <w:vAlign w:val="center"/>
            <w:hideMark/>
          </w:tcPr>
          <w:p w14:paraId="27358B50" w14:textId="77777777" w:rsidR="00531061" w:rsidRPr="004149A5" w:rsidRDefault="00531061" w:rsidP="005B287F">
            <w:pPr>
              <w:pStyle w:val="ExhibitText"/>
              <w:jc w:val="right"/>
              <w:rPr>
                <w:sz w:val="16"/>
                <w:szCs w:val="16"/>
              </w:rPr>
            </w:pPr>
            <w:r w:rsidRPr="004149A5">
              <w:rPr>
                <w:sz w:val="16"/>
                <w:szCs w:val="16"/>
              </w:rPr>
              <w:t>23.6</w:t>
            </w:r>
          </w:p>
        </w:tc>
        <w:tc>
          <w:tcPr>
            <w:tcW w:w="501" w:type="dxa"/>
            <w:tcBorders>
              <w:top w:val="nil"/>
              <w:left w:val="nil"/>
              <w:bottom w:val="single" w:sz="4" w:space="0" w:color="auto"/>
              <w:right w:val="single" w:sz="4" w:space="0" w:color="auto"/>
            </w:tcBorders>
            <w:shd w:val="clear" w:color="auto" w:fill="FFFFFF"/>
            <w:noWrap/>
            <w:vAlign w:val="center"/>
            <w:hideMark/>
          </w:tcPr>
          <w:p w14:paraId="4C2E492A" w14:textId="77777777" w:rsidR="00531061" w:rsidRPr="004149A5" w:rsidRDefault="00531061" w:rsidP="005B287F">
            <w:pPr>
              <w:pStyle w:val="ExhibitText"/>
              <w:jc w:val="right"/>
              <w:rPr>
                <w:sz w:val="16"/>
                <w:szCs w:val="16"/>
              </w:rPr>
            </w:pPr>
            <w:r w:rsidRPr="004149A5">
              <w:rPr>
                <w:sz w:val="16"/>
                <w:szCs w:val="16"/>
              </w:rPr>
              <w:t>23.7</w:t>
            </w:r>
          </w:p>
        </w:tc>
        <w:tc>
          <w:tcPr>
            <w:tcW w:w="492" w:type="dxa"/>
            <w:tcBorders>
              <w:top w:val="nil"/>
              <w:left w:val="nil"/>
              <w:bottom w:val="single" w:sz="4" w:space="0" w:color="auto"/>
              <w:right w:val="single" w:sz="4" w:space="0" w:color="auto"/>
            </w:tcBorders>
            <w:shd w:val="clear" w:color="auto" w:fill="FFFFFF"/>
            <w:noWrap/>
            <w:vAlign w:val="center"/>
            <w:hideMark/>
          </w:tcPr>
          <w:p w14:paraId="26B9A694" w14:textId="77777777" w:rsidR="00531061" w:rsidRPr="004149A5" w:rsidRDefault="00531061" w:rsidP="005B287F">
            <w:pPr>
              <w:pStyle w:val="ExhibitText"/>
              <w:jc w:val="right"/>
              <w:rPr>
                <w:sz w:val="16"/>
                <w:szCs w:val="16"/>
              </w:rPr>
            </w:pPr>
            <w:r w:rsidRPr="004149A5">
              <w:rPr>
                <w:sz w:val="16"/>
                <w:szCs w:val="16"/>
              </w:rPr>
              <w:t>24.4</w:t>
            </w:r>
          </w:p>
        </w:tc>
        <w:tc>
          <w:tcPr>
            <w:tcW w:w="567" w:type="dxa"/>
            <w:tcBorders>
              <w:top w:val="nil"/>
              <w:left w:val="nil"/>
              <w:bottom w:val="single" w:sz="4" w:space="0" w:color="auto"/>
              <w:right w:val="single" w:sz="4" w:space="0" w:color="auto"/>
            </w:tcBorders>
            <w:shd w:val="clear" w:color="auto" w:fill="FFFFFF"/>
            <w:noWrap/>
            <w:vAlign w:val="center"/>
            <w:hideMark/>
          </w:tcPr>
          <w:p w14:paraId="3B3838D5" w14:textId="77777777" w:rsidR="00531061" w:rsidRPr="004149A5" w:rsidRDefault="00531061" w:rsidP="005B287F">
            <w:pPr>
              <w:pStyle w:val="ExhibitText"/>
              <w:jc w:val="right"/>
              <w:rPr>
                <w:sz w:val="16"/>
                <w:szCs w:val="16"/>
              </w:rPr>
            </w:pPr>
            <w:r w:rsidRPr="004149A5">
              <w:rPr>
                <w:sz w:val="16"/>
                <w:szCs w:val="16"/>
              </w:rPr>
              <w:t>24.7</w:t>
            </w:r>
          </w:p>
        </w:tc>
      </w:tr>
      <w:tr w:rsidR="004149A5" w:rsidRPr="004149A5" w14:paraId="5834925B"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68495C8E" w14:textId="77777777" w:rsidR="00531061" w:rsidRPr="004149A5" w:rsidRDefault="00531061" w:rsidP="005B287F">
            <w:pPr>
              <w:pStyle w:val="ExhibitText"/>
              <w:jc w:val="left"/>
              <w:rPr>
                <w:sz w:val="16"/>
                <w:szCs w:val="16"/>
              </w:rPr>
            </w:pPr>
            <w:r w:rsidRPr="004149A5">
              <w:rPr>
                <w:sz w:val="16"/>
                <w:szCs w:val="16"/>
              </w:rPr>
              <w:t>Military expenditure</w:t>
            </w:r>
          </w:p>
        </w:tc>
        <w:tc>
          <w:tcPr>
            <w:tcW w:w="479" w:type="dxa"/>
            <w:tcBorders>
              <w:top w:val="nil"/>
              <w:left w:val="nil"/>
              <w:bottom w:val="single" w:sz="4" w:space="0" w:color="auto"/>
              <w:right w:val="single" w:sz="4" w:space="0" w:color="auto"/>
            </w:tcBorders>
            <w:shd w:val="clear" w:color="auto" w:fill="FFFFFF"/>
            <w:noWrap/>
            <w:vAlign w:val="center"/>
          </w:tcPr>
          <w:p w14:paraId="6170B1D7" w14:textId="649002BE"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3B63616B" w14:textId="03C61E2D"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6E9D1751" w14:textId="62804E15"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1B946947" w14:textId="6F405C22"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27977D2B" w14:textId="131B82C2"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79A9B32F" w14:textId="21741070"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hideMark/>
          </w:tcPr>
          <w:p w14:paraId="7E4C06BC" w14:textId="77777777" w:rsidR="00531061" w:rsidRPr="004149A5" w:rsidRDefault="00531061" w:rsidP="005B287F">
            <w:pPr>
              <w:pStyle w:val="ExhibitText"/>
              <w:jc w:val="right"/>
              <w:rPr>
                <w:sz w:val="16"/>
                <w:szCs w:val="16"/>
              </w:rPr>
            </w:pPr>
            <w:r w:rsidRPr="004149A5">
              <w:rPr>
                <w:sz w:val="16"/>
                <w:szCs w:val="16"/>
              </w:rPr>
              <w:t>3.3</w:t>
            </w:r>
          </w:p>
        </w:tc>
        <w:tc>
          <w:tcPr>
            <w:tcW w:w="426" w:type="dxa"/>
            <w:tcBorders>
              <w:top w:val="nil"/>
              <w:left w:val="nil"/>
              <w:bottom w:val="single" w:sz="4" w:space="0" w:color="auto"/>
              <w:right w:val="single" w:sz="4" w:space="0" w:color="auto"/>
            </w:tcBorders>
            <w:shd w:val="clear" w:color="auto" w:fill="FFFFFF"/>
            <w:noWrap/>
            <w:vAlign w:val="center"/>
            <w:hideMark/>
          </w:tcPr>
          <w:p w14:paraId="45AB5375" w14:textId="77777777" w:rsidR="00531061" w:rsidRPr="004149A5" w:rsidRDefault="00531061" w:rsidP="005B287F">
            <w:pPr>
              <w:pStyle w:val="ExhibitText"/>
              <w:jc w:val="right"/>
              <w:rPr>
                <w:sz w:val="16"/>
                <w:szCs w:val="16"/>
              </w:rPr>
            </w:pPr>
            <w:r w:rsidRPr="004149A5">
              <w:rPr>
                <w:sz w:val="16"/>
                <w:szCs w:val="16"/>
              </w:rPr>
              <w:t>3.0</w:t>
            </w:r>
          </w:p>
        </w:tc>
        <w:tc>
          <w:tcPr>
            <w:tcW w:w="425" w:type="dxa"/>
            <w:tcBorders>
              <w:top w:val="nil"/>
              <w:left w:val="nil"/>
              <w:bottom w:val="single" w:sz="4" w:space="0" w:color="auto"/>
              <w:right w:val="single" w:sz="4" w:space="0" w:color="auto"/>
            </w:tcBorders>
            <w:shd w:val="clear" w:color="auto" w:fill="FFFFFF"/>
            <w:noWrap/>
            <w:vAlign w:val="center"/>
            <w:hideMark/>
          </w:tcPr>
          <w:p w14:paraId="58AD7E67" w14:textId="77777777" w:rsidR="00531061" w:rsidRPr="004149A5" w:rsidRDefault="00531061" w:rsidP="005B287F">
            <w:pPr>
              <w:pStyle w:val="ExhibitText"/>
              <w:jc w:val="right"/>
              <w:rPr>
                <w:sz w:val="16"/>
                <w:szCs w:val="16"/>
              </w:rPr>
            </w:pPr>
            <w:r w:rsidRPr="004149A5">
              <w:rPr>
                <w:sz w:val="16"/>
                <w:szCs w:val="16"/>
              </w:rPr>
              <w:t>3.1</w:t>
            </w:r>
          </w:p>
        </w:tc>
        <w:tc>
          <w:tcPr>
            <w:tcW w:w="425" w:type="dxa"/>
            <w:tcBorders>
              <w:top w:val="nil"/>
              <w:left w:val="nil"/>
              <w:bottom w:val="single" w:sz="4" w:space="0" w:color="auto"/>
              <w:right w:val="single" w:sz="4" w:space="0" w:color="auto"/>
            </w:tcBorders>
            <w:shd w:val="clear" w:color="auto" w:fill="FFFFFF"/>
            <w:noWrap/>
            <w:vAlign w:val="center"/>
            <w:hideMark/>
          </w:tcPr>
          <w:p w14:paraId="12D71986" w14:textId="77777777" w:rsidR="00531061" w:rsidRPr="004149A5" w:rsidRDefault="00531061" w:rsidP="005B287F">
            <w:pPr>
              <w:pStyle w:val="ExhibitText"/>
              <w:jc w:val="right"/>
              <w:rPr>
                <w:sz w:val="16"/>
                <w:szCs w:val="16"/>
              </w:rPr>
            </w:pPr>
            <w:r w:rsidRPr="004149A5">
              <w:rPr>
                <w:sz w:val="16"/>
                <w:szCs w:val="16"/>
              </w:rPr>
              <w:t>3.5</w:t>
            </w:r>
          </w:p>
        </w:tc>
        <w:tc>
          <w:tcPr>
            <w:tcW w:w="567" w:type="dxa"/>
            <w:tcBorders>
              <w:top w:val="nil"/>
              <w:left w:val="nil"/>
              <w:bottom w:val="single" w:sz="4" w:space="0" w:color="auto"/>
              <w:right w:val="single" w:sz="4" w:space="0" w:color="auto"/>
            </w:tcBorders>
            <w:shd w:val="clear" w:color="auto" w:fill="FFFFFF"/>
            <w:noWrap/>
            <w:vAlign w:val="center"/>
            <w:hideMark/>
          </w:tcPr>
          <w:p w14:paraId="60FAF6EE" w14:textId="77777777" w:rsidR="00531061" w:rsidRPr="004149A5" w:rsidRDefault="00531061" w:rsidP="005B287F">
            <w:pPr>
              <w:pStyle w:val="ExhibitText"/>
              <w:jc w:val="right"/>
              <w:rPr>
                <w:sz w:val="16"/>
                <w:szCs w:val="16"/>
              </w:rPr>
            </w:pPr>
            <w:r w:rsidRPr="004149A5">
              <w:rPr>
                <w:sz w:val="16"/>
                <w:szCs w:val="16"/>
              </w:rPr>
              <w:t>3.3</w:t>
            </w:r>
          </w:p>
        </w:tc>
        <w:tc>
          <w:tcPr>
            <w:tcW w:w="567" w:type="dxa"/>
            <w:tcBorders>
              <w:top w:val="nil"/>
              <w:left w:val="nil"/>
              <w:bottom w:val="single" w:sz="4" w:space="0" w:color="auto"/>
              <w:right w:val="single" w:sz="4" w:space="0" w:color="auto"/>
            </w:tcBorders>
            <w:shd w:val="clear" w:color="auto" w:fill="FFFFFF"/>
            <w:noWrap/>
            <w:vAlign w:val="center"/>
            <w:hideMark/>
          </w:tcPr>
          <w:p w14:paraId="16DFECB8" w14:textId="77777777" w:rsidR="00531061" w:rsidRPr="004149A5" w:rsidRDefault="00531061" w:rsidP="005B287F">
            <w:pPr>
              <w:pStyle w:val="ExhibitText"/>
              <w:jc w:val="right"/>
              <w:rPr>
                <w:sz w:val="16"/>
                <w:szCs w:val="16"/>
              </w:rPr>
            </w:pPr>
            <w:r w:rsidRPr="004149A5">
              <w:rPr>
                <w:sz w:val="16"/>
                <w:szCs w:val="16"/>
              </w:rPr>
              <w:t>2.7</w:t>
            </w:r>
          </w:p>
        </w:tc>
        <w:tc>
          <w:tcPr>
            <w:tcW w:w="567" w:type="dxa"/>
            <w:tcBorders>
              <w:top w:val="nil"/>
              <w:left w:val="nil"/>
              <w:bottom w:val="single" w:sz="4" w:space="0" w:color="auto"/>
              <w:right w:val="single" w:sz="4" w:space="0" w:color="auto"/>
            </w:tcBorders>
            <w:shd w:val="clear" w:color="auto" w:fill="FFFFFF"/>
            <w:noWrap/>
            <w:vAlign w:val="center"/>
            <w:hideMark/>
          </w:tcPr>
          <w:p w14:paraId="278903AC" w14:textId="77777777" w:rsidR="00531061" w:rsidRPr="004149A5" w:rsidRDefault="00531061" w:rsidP="005B287F">
            <w:pPr>
              <w:pStyle w:val="ExhibitText"/>
              <w:jc w:val="right"/>
              <w:rPr>
                <w:sz w:val="16"/>
                <w:szCs w:val="16"/>
              </w:rPr>
            </w:pPr>
            <w:r w:rsidRPr="004149A5">
              <w:rPr>
                <w:sz w:val="16"/>
                <w:szCs w:val="16"/>
              </w:rPr>
              <w:t>3.0</w:t>
            </w:r>
          </w:p>
        </w:tc>
        <w:tc>
          <w:tcPr>
            <w:tcW w:w="567" w:type="dxa"/>
            <w:tcBorders>
              <w:top w:val="nil"/>
              <w:left w:val="nil"/>
              <w:bottom w:val="single" w:sz="4" w:space="0" w:color="auto"/>
              <w:right w:val="single" w:sz="4" w:space="0" w:color="auto"/>
            </w:tcBorders>
            <w:shd w:val="clear" w:color="auto" w:fill="FFFFFF"/>
            <w:noWrap/>
            <w:vAlign w:val="center"/>
            <w:hideMark/>
          </w:tcPr>
          <w:p w14:paraId="4E5E9322" w14:textId="77777777" w:rsidR="00531061" w:rsidRPr="004149A5" w:rsidRDefault="00531061" w:rsidP="005B287F">
            <w:pPr>
              <w:pStyle w:val="ExhibitText"/>
              <w:jc w:val="right"/>
              <w:rPr>
                <w:sz w:val="16"/>
                <w:szCs w:val="16"/>
              </w:rPr>
            </w:pPr>
            <w:r w:rsidRPr="004149A5">
              <w:rPr>
                <w:sz w:val="16"/>
                <w:szCs w:val="16"/>
              </w:rPr>
              <w:t>3.2</w:t>
            </w:r>
          </w:p>
        </w:tc>
        <w:tc>
          <w:tcPr>
            <w:tcW w:w="567" w:type="dxa"/>
            <w:tcBorders>
              <w:top w:val="nil"/>
              <w:left w:val="nil"/>
              <w:bottom w:val="single" w:sz="4" w:space="0" w:color="auto"/>
              <w:right w:val="single" w:sz="4" w:space="0" w:color="auto"/>
            </w:tcBorders>
            <w:shd w:val="clear" w:color="auto" w:fill="FFFFFF"/>
            <w:noWrap/>
            <w:vAlign w:val="center"/>
            <w:hideMark/>
          </w:tcPr>
          <w:p w14:paraId="1D3F5B4B" w14:textId="77777777" w:rsidR="00531061" w:rsidRPr="004149A5" w:rsidRDefault="00531061" w:rsidP="005B287F">
            <w:pPr>
              <w:pStyle w:val="ExhibitText"/>
              <w:jc w:val="right"/>
              <w:rPr>
                <w:sz w:val="16"/>
                <w:szCs w:val="16"/>
              </w:rPr>
            </w:pPr>
            <w:r w:rsidRPr="004149A5">
              <w:rPr>
                <w:sz w:val="16"/>
                <w:szCs w:val="16"/>
              </w:rPr>
              <w:t>2.7</w:t>
            </w:r>
          </w:p>
        </w:tc>
        <w:tc>
          <w:tcPr>
            <w:tcW w:w="567" w:type="dxa"/>
            <w:tcBorders>
              <w:top w:val="nil"/>
              <w:left w:val="nil"/>
              <w:bottom w:val="single" w:sz="4" w:space="0" w:color="auto"/>
              <w:right w:val="single" w:sz="4" w:space="0" w:color="auto"/>
            </w:tcBorders>
            <w:shd w:val="clear" w:color="auto" w:fill="FFFFFF"/>
            <w:noWrap/>
            <w:vAlign w:val="center"/>
            <w:hideMark/>
          </w:tcPr>
          <w:p w14:paraId="229DFADB" w14:textId="77777777" w:rsidR="00531061" w:rsidRPr="004149A5" w:rsidRDefault="00531061" w:rsidP="005B287F">
            <w:pPr>
              <w:pStyle w:val="ExhibitText"/>
              <w:jc w:val="right"/>
              <w:rPr>
                <w:sz w:val="16"/>
                <w:szCs w:val="16"/>
              </w:rPr>
            </w:pPr>
            <w:r w:rsidRPr="004149A5">
              <w:rPr>
                <w:sz w:val="16"/>
                <w:szCs w:val="16"/>
              </w:rPr>
              <w:t>2.5</w:t>
            </w:r>
          </w:p>
        </w:tc>
        <w:tc>
          <w:tcPr>
            <w:tcW w:w="567" w:type="dxa"/>
            <w:tcBorders>
              <w:top w:val="nil"/>
              <w:left w:val="nil"/>
              <w:bottom w:val="single" w:sz="4" w:space="0" w:color="auto"/>
              <w:right w:val="single" w:sz="4" w:space="0" w:color="auto"/>
            </w:tcBorders>
            <w:shd w:val="clear" w:color="auto" w:fill="FFFFFF"/>
            <w:noWrap/>
            <w:vAlign w:val="center"/>
            <w:hideMark/>
          </w:tcPr>
          <w:p w14:paraId="21AD564A" w14:textId="77777777" w:rsidR="00531061" w:rsidRPr="004149A5" w:rsidRDefault="00531061" w:rsidP="005B287F">
            <w:pPr>
              <w:pStyle w:val="ExhibitText"/>
              <w:jc w:val="right"/>
              <w:rPr>
                <w:sz w:val="16"/>
                <w:szCs w:val="16"/>
              </w:rPr>
            </w:pPr>
            <w:r w:rsidRPr="004149A5">
              <w:rPr>
                <w:sz w:val="16"/>
                <w:szCs w:val="16"/>
              </w:rPr>
              <w:t>2.4</w:t>
            </w:r>
          </w:p>
        </w:tc>
        <w:tc>
          <w:tcPr>
            <w:tcW w:w="501" w:type="dxa"/>
            <w:tcBorders>
              <w:top w:val="nil"/>
              <w:left w:val="nil"/>
              <w:bottom w:val="single" w:sz="4" w:space="0" w:color="auto"/>
              <w:right w:val="single" w:sz="4" w:space="0" w:color="auto"/>
            </w:tcBorders>
            <w:shd w:val="clear" w:color="auto" w:fill="FFFFFF"/>
            <w:noWrap/>
            <w:vAlign w:val="center"/>
            <w:hideMark/>
          </w:tcPr>
          <w:p w14:paraId="11D4073D" w14:textId="77777777" w:rsidR="00531061" w:rsidRPr="004149A5" w:rsidRDefault="00531061" w:rsidP="005B287F">
            <w:pPr>
              <w:pStyle w:val="ExhibitText"/>
              <w:jc w:val="right"/>
              <w:rPr>
                <w:sz w:val="16"/>
                <w:szCs w:val="16"/>
              </w:rPr>
            </w:pPr>
            <w:r w:rsidRPr="004149A5">
              <w:rPr>
                <w:sz w:val="16"/>
                <w:szCs w:val="16"/>
              </w:rPr>
              <w:t>2.4</w:t>
            </w:r>
          </w:p>
        </w:tc>
        <w:tc>
          <w:tcPr>
            <w:tcW w:w="492" w:type="dxa"/>
            <w:tcBorders>
              <w:top w:val="nil"/>
              <w:left w:val="nil"/>
              <w:bottom w:val="single" w:sz="4" w:space="0" w:color="auto"/>
              <w:right w:val="single" w:sz="4" w:space="0" w:color="auto"/>
            </w:tcBorders>
            <w:shd w:val="clear" w:color="auto" w:fill="FFFFFF"/>
            <w:noWrap/>
            <w:vAlign w:val="center"/>
            <w:hideMark/>
          </w:tcPr>
          <w:p w14:paraId="0E266509" w14:textId="77777777" w:rsidR="00531061" w:rsidRPr="004149A5" w:rsidRDefault="00531061" w:rsidP="005B287F">
            <w:pPr>
              <w:pStyle w:val="ExhibitText"/>
              <w:jc w:val="right"/>
              <w:rPr>
                <w:sz w:val="16"/>
                <w:szCs w:val="16"/>
              </w:rPr>
            </w:pPr>
            <w:r w:rsidRPr="004149A5">
              <w:rPr>
                <w:sz w:val="16"/>
                <w:szCs w:val="16"/>
              </w:rPr>
              <w:t>2.3</w:t>
            </w:r>
          </w:p>
        </w:tc>
        <w:tc>
          <w:tcPr>
            <w:tcW w:w="567" w:type="dxa"/>
            <w:tcBorders>
              <w:top w:val="nil"/>
              <w:left w:val="nil"/>
              <w:bottom w:val="single" w:sz="4" w:space="0" w:color="auto"/>
              <w:right w:val="single" w:sz="4" w:space="0" w:color="auto"/>
            </w:tcBorders>
            <w:shd w:val="clear" w:color="auto" w:fill="FFFFFF"/>
            <w:noWrap/>
            <w:vAlign w:val="center"/>
            <w:hideMark/>
          </w:tcPr>
          <w:p w14:paraId="71FED4BF" w14:textId="77777777" w:rsidR="00531061" w:rsidRPr="004149A5" w:rsidRDefault="00531061" w:rsidP="005B287F">
            <w:pPr>
              <w:pStyle w:val="ExhibitText"/>
              <w:jc w:val="right"/>
              <w:rPr>
                <w:sz w:val="16"/>
                <w:szCs w:val="16"/>
              </w:rPr>
            </w:pPr>
            <w:r w:rsidRPr="004149A5">
              <w:rPr>
                <w:sz w:val="16"/>
                <w:szCs w:val="16"/>
              </w:rPr>
              <w:t>2.6</w:t>
            </w:r>
          </w:p>
        </w:tc>
      </w:tr>
      <w:tr w:rsidR="004149A5" w:rsidRPr="004149A5" w14:paraId="2D2212C9"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73DF8758" w14:textId="77777777" w:rsidR="00531061" w:rsidRPr="004149A5" w:rsidRDefault="00531061" w:rsidP="005B287F">
            <w:pPr>
              <w:pStyle w:val="ExhibitText"/>
              <w:jc w:val="left"/>
              <w:rPr>
                <w:sz w:val="16"/>
                <w:szCs w:val="16"/>
              </w:rPr>
            </w:pPr>
            <w:r w:rsidRPr="004149A5">
              <w:rPr>
                <w:sz w:val="16"/>
                <w:szCs w:val="16"/>
              </w:rPr>
              <w:t>Merchandise trade</w:t>
            </w:r>
          </w:p>
        </w:tc>
        <w:tc>
          <w:tcPr>
            <w:tcW w:w="479" w:type="dxa"/>
            <w:tcBorders>
              <w:top w:val="nil"/>
              <w:left w:val="nil"/>
              <w:bottom w:val="single" w:sz="4" w:space="0" w:color="auto"/>
              <w:right w:val="single" w:sz="4" w:space="0" w:color="auto"/>
            </w:tcBorders>
            <w:shd w:val="clear" w:color="auto" w:fill="FFFFFF"/>
            <w:noWrap/>
            <w:vAlign w:val="center"/>
            <w:hideMark/>
          </w:tcPr>
          <w:p w14:paraId="61583673" w14:textId="77777777" w:rsidR="00531061" w:rsidRPr="004149A5" w:rsidRDefault="00531061" w:rsidP="005B287F">
            <w:pPr>
              <w:pStyle w:val="ExhibitText"/>
              <w:jc w:val="right"/>
              <w:rPr>
                <w:sz w:val="16"/>
                <w:szCs w:val="16"/>
              </w:rPr>
            </w:pPr>
            <w:r w:rsidRPr="004149A5">
              <w:rPr>
                <w:sz w:val="16"/>
                <w:szCs w:val="16"/>
              </w:rPr>
              <w:t>22.1</w:t>
            </w:r>
          </w:p>
        </w:tc>
        <w:tc>
          <w:tcPr>
            <w:tcW w:w="425" w:type="dxa"/>
            <w:tcBorders>
              <w:top w:val="nil"/>
              <w:left w:val="nil"/>
              <w:bottom w:val="single" w:sz="4" w:space="0" w:color="auto"/>
              <w:right w:val="single" w:sz="4" w:space="0" w:color="auto"/>
            </w:tcBorders>
            <w:shd w:val="clear" w:color="auto" w:fill="FFFFFF"/>
            <w:noWrap/>
            <w:vAlign w:val="center"/>
            <w:hideMark/>
          </w:tcPr>
          <w:p w14:paraId="102DC0CF" w14:textId="77777777" w:rsidR="00531061" w:rsidRPr="004149A5" w:rsidRDefault="00531061" w:rsidP="005B287F">
            <w:pPr>
              <w:pStyle w:val="ExhibitText"/>
              <w:jc w:val="right"/>
              <w:rPr>
                <w:sz w:val="16"/>
                <w:szCs w:val="16"/>
              </w:rPr>
            </w:pPr>
            <w:r w:rsidRPr="004149A5">
              <w:rPr>
                <w:sz w:val="16"/>
                <w:szCs w:val="16"/>
              </w:rPr>
              <w:t>25.3</w:t>
            </w:r>
          </w:p>
        </w:tc>
        <w:tc>
          <w:tcPr>
            <w:tcW w:w="425" w:type="dxa"/>
            <w:tcBorders>
              <w:top w:val="nil"/>
              <w:left w:val="nil"/>
              <w:bottom w:val="single" w:sz="4" w:space="0" w:color="auto"/>
              <w:right w:val="single" w:sz="4" w:space="0" w:color="auto"/>
            </w:tcBorders>
            <w:shd w:val="clear" w:color="auto" w:fill="FFFFFF"/>
            <w:noWrap/>
            <w:vAlign w:val="center"/>
            <w:hideMark/>
          </w:tcPr>
          <w:p w14:paraId="464A6F4F" w14:textId="77777777" w:rsidR="00531061" w:rsidRPr="004149A5" w:rsidRDefault="00531061" w:rsidP="005B287F">
            <w:pPr>
              <w:pStyle w:val="ExhibitText"/>
              <w:jc w:val="right"/>
              <w:rPr>
                <w:sz w:val="16"/>
                <w:szCs w:val="16"/>
              </w:rPr>
            </w:pPr>
            <w:r w:rsidRPr="004149A5">
              <w:rPr>
                <w:sz w:val="16"/>
                <w:szCs w:val="16"/>
              </w:rPr>
              <w:t>26.8</w:t>
            </w:r>
          </w:p>
        </w:tc>
        <w:tc>
          <w:tcPr>
            <w:tcW w:w="426" w:type="dxa"/>
            <w:tcBorders>
              <w:top w:val="nil"/>
              <w:left w:val="nil"/>
              <w:bottom w:val="single" w:sz="4" w:space="0" w:color="auto"/>
              <w:right w:val="single" w:sz="4" w:space="0" w:color="auto"/>
            </w:tcBorders>
            <w:shd w:val="clear" w:color="auto" w:fill="FFFFFF"/>
            <w:noWrap/>
            <w:vAlign w:val="center"/>
            <w:hideMark/>
          </w:tcPr>
          <w:p w14:paraId="309D06B0" w14:textId="77777777" w:rsidR="00531061" w:rsidRPr="004149A5" w:rsidRDefault="00531061" w:rsidP="005B287F">
            <w:pPr>
              <w:pStyle w:val="ExhibitText"/>
              <w:jc w:val="right"/>
              <w:rPr>
                <w:sz w:val="16"/>
                <w:szCs w:val="16"/>
              </w:rPr>
            </w:pPr>
            <w:r w:rsidRPr="004149A5">
              <w:rPr>
                <w:sz w:val="16"/>
                <w:szCs w:val="16"/>
              </w:rPr>
              <w:t>27.6</w:t>
            </w:r>
          </w:p>
        </w:tc>
        <w:tc>
          <w:tcPr>
            <w:tcW w:w="425" w:type="dxa"/>
            <w:tcBorders>
              <w:top w:val="nil"/>
              <w:left w:val="nil"/>
              <w:bottom w:val="single" w:sz="4" w:space="0" w:color="auto"/>
              <w:right w:val="single" w:sz="4" w:space="0" w:color="auto"/>
            </w:tcBorders>
            <w:shd w:val="clear" w:color="auto" w:fill="FFFFFF"/>
            <w:noWrap/>
            <w:vAlign w:val="center"/>
            <w:hideMark/>
          </w:tcPr>
          <w:p w14:paraId="13165160" w14:textId="77777777" w:rsidR="00531061" w:rsidRPr="004149A5" w:rsidRDefault="00531061" w:rsidP="005B287F">
            <w:pPr>
              <w:pStyle w:val="ExhibitText"/>
              <w:jc w:val="right"/>
              <w:rPr>
                <w:sz w:val="16"/>
                <w:szCs w:val="16"/>
              </w:rPr>
            </w:pPr>
            <w:r w:rsidRPr="004149A5">
              <w:rPr>
                <w:sz w:val="16"/>
                <w:szCs w:val="16"/>
              </w:rPr>
              <w:t>24.9</w:t>
            </w:r>
          </w:p>
        </w:tc>
        <w:tc>
          <w:tcPr>
            <w:tcW w:w="425" w:type="dxa"/>
            <w:tcBorders>
              <w:top w:val="nil"/>
              <w:left w:val="nil"/>
              <w:bottom w:val="single" w:sz="4" w:space="0" w:color="auto"/>
              <w:right w:val="single" w:sz="4" w:space="0" w:color="auto"/>
            </w:tcBorders>
            <w:shd w:val="clear" w:color="auto" w:fill="FFFFFF"/>
            <w:noWrap/>
            <w:vAlign w:val="center"/>
            <w:hideMark/>
          </w:tcPr>
          <w:p w14:paraId="5A3C95A2" w14:textId="77777777" w:rsidR="00531061" w:rsidRPr="004149A5" w:rsidRDefault="00531061" w:rsidP="005B287F">
            <w:pPr>
              <w:pStyle w:val="ExhibitText"/>
              <w:jc w:val="right"/>
              <w:rPr>
                <w:sz w:val="16"/>
                <w:szCs w:val="16"/>
              </w:rPr>
            </w:pPr>
            <w:r w:rsidRPr="004149A5">
              <w:rPr>
                <w:sz w:val="16"/>
                <w:szCs w:val="16"/>
              </w:rPr>
              <w:t>30.7</w:t>
            </w:r>
          </w:p>
        </w:tc>
        <w:tc>
          <w:tcPr>
            <w:tcW w:w="425" w:type="dxa"/>
            <w:tcBorders>
              <w:top w:val="nil"/>
              <w:left w:val="nil"/>
              <w:bottom w:val="single" w:sz="4" w:space="0" w:color="auto"/>
              <w:right w:val="single" w:sz="4" w:space="0" w:color="auto"/>
            </w:tcBorders>
            <w:shd w:val="clear" w:color="auto" w:fill="FFFFFF"/>
            <w:noWrap/>
            <w:vAlign w:val="center"/>
            <w:hideMark/>
          </w:tcPr>
          <w:p w14:paraId="614545CF" w14:textId="77777777" w:rsidR="00531061" w:rsidRPr="004149A5" w:rsidRDefault="00531061" w:rsidP="005B287F">
            <w:pPr>
              <w:pStyle w:val="ExhibitText"/>
              <w:jc w:val="right"/>
              <w:rPr>
                <w:sz w:val="16"/>
                <w:szCs w:val="16"/>
              </w:rPr>
            </w:pPr>
            <w:r w:rsidRPr="004149A5">
              <w:rPr>
                <w:sz w:val="16"/>
                <w:szCs w:val="16"/>
              </w:rPr>
              <w:t>28.5</w:t>
            </w:r>
          </w:p>
        </w:tc>
        <w:tc>
          <w:tcPr>
            <w:tcW w:w="426" w:type="dxa"/>
            <w:tcBorders>
              <w:top w:val="nil"/>
              <w:left w:val="nil"/>
              <w:bottom w:val="single" w:sz="4" w:space="0" w:color="auto"/>
              <w:right w:val="single" w:sz="4" w:space="0" w:color="auto"/>
            </w:tcBorders>
            <w:shd w:val="clear" w:color="auto" w:fill="FFFFFF"/>
            <w:noWrap/>
            <w:vAlign w:val="center"/>
            <w:hideMark/>
          </w:tcPr>
          <w:p w14:paraId="39940DDC" w14:textId="77777777" w:rsidR="00531061" w:rsidRPr="004149A5" w:rsidRDefault="00531061" w:rsidP="005B287F">
            <w:pPr>
              <w:pStyle w:val="ExhibitText"/>
              <w:jc w:val="right"/>
              <w:rPr>
                <w:sz w:val="16"/>
                <w:szCs w:val="16"/>
              </w:rPr>
            </w:pPr>
            <w:r w:rsidRPr="004149A5">
              <w:rPr>
                <w:sz w:val="16"/>
                <w:szCs w:val="16"/>
              </w:rPr>
              <w:t>28.8</w:t>
            </w:r>
          </w:p>
        </w:tc>
        <w:tc>
          <w:tcPr>
            <w:tcW w:w="425" w:type="dxa"/>
            <w:tcBorders>
              <w:top w:val="nil"/>
              <w:left w:val="nil"/>
              <w:bottom w:val="single" w:sz="4" w:space="0" w:color="auto"/>
              <w:right w:val="single" w:sz="4" w:space="0" w:color="auto"/>
            </w:tcBorders>
            <w:shd w:val="clear" w:color="auto" w:fill="FFFFFF"/>
            <w:noWrap/>
            <w:vAlign w:val="center"/>
            <w:hideMark/>
          </w:tcPr>
          <w:p w14:paraId="7FE48DD4" w14:textId="77777777" w:rsidR="00531061" w:rsidRPr="004149A5" w:rsidRDefault="00531061" w:rsidP="005B287F">
            <w:pPr>
              <w:pStyle w:val="ExhibitText"/>
              <w:jc w:val="right"/>
              <w:rPr>
                <w:sz w:val="16"/>
                <w:szCs w:val="16"/>
              </w:rPr>
            </w:pPr>
            <w:r w:rsidRPr="004149A5">
              <w:rPr>
                <w:sz w:val="16"/>
                <w:szCs w:val="16"/>
              </w:rPr>
              <w:t>27.0</w:t>
            </w:r>
          </w:p>
        </w:tc>
        <w:tc>
          <w:tcPr>
            <w:tcW w:w="425" w:type="dxa"/>
            <w:tcBorders>
              <w:top w:val="nil"/>
              <w:left w:val="nil"/>
              <w:bottom w:val="single" w:sz="4" w:space="0" w:color="auto"/>
              <w:right w:val="single" w:sz="4" w:space="0" w:color="auto"/>
            </w:tcBorders>
            <w:shd w:val="clear" w:color="auto" w:fill="FFFFFF"/>
            <w:noWrap/>
            <w:vAlign w:val="center"/>
            <w:hideMark/>
          </w:tcPr>
          <w:p w14:paraId="7E220735" w14:textId="77777777" w:rsidR="00531061" w:rsidRPr="004149A5" w:rsidRDefault="00531061" w:rsidP="005B287F">
            <w:pPr>
              <w:pStyle w:val="ExhibitText"/>
              <w:jc w:val="right"/>
              <w:rPr>
                <w:sz w:val="16"/>
                <w:szCs w:val="16"/>
              </w:rPr>
            </w:pPr>
            <w:r w:rsidRPr="004149A5">
              <w:rPr>
                <w:sz w:val="16"/>
                <w:szCs w:val="16"/>
              </w:rPr>
              <w:t>34.8</w:t>
            </w:r>
          </w:p>
        </w:tc>
        <w:tc>
          <w:tcPr>
            <w:tcW w:w="567" w:type="dxa"/>
            <w:tcBorders>
              <w:top w:val="nil"/>
              <w:left w:val="nil"/>
              <w:bottom w:val="single" w:sz="4" w:space="0" w:color="auto"/>
              <w:right w:val="single" w:sz="4" w:space="0" w:color="auto"/>
            </w:tcBorders>
            <w:shd w:val="clear" w:color="auto" w:fill="FFFFFF"/>
            <w:noWrap/>
            <w:vAlign w:val="center"/>
            <w:hideMark/>
          </w:tcPr>
          <w:p w14:paraId="7A7B6C91" w14:textId="77777777" w:rsidR="00531061" w:rsidRPr="004149A5" w:rsidRDefault="00531061" w:rsidP="005B287F">
            <w:pPr>
              <w:pStyle w:val="ExhibitText"/>
              <w:jc w:val="right"/>
              <w:rPr>
                <w:sz w:val="16"/>
                <w:szCs w:val="16"/>
              </w:rPr>
            </w:pPr>
            <w:r w:rsidRPr="004149A5">
              <w:rPr>
                <w:sz w:val="16"/>
                <w:szCs w:val="16"/>
              </w:rPr>
              <w:t>32.7</w:t>
            </w:r>
          </w:p>
        </w:tc>
        <w:tc>
          <w:tcPr>
            <w:tcW w:w="567" w:type="dxa"/>
            <w:tcBorders>
              <w:top w:val="nil"/>
              <w:left w:val="nil"/>
              <w:bottom w:val="single" w:sz="4" w:space="0" w:color="auto"/>
              <w:right w:val="single" w:sz="4" w:space="0" w:color="auto"/>
            </w:tcBorders>
            <w:shd w:val="clear" w:color="auto" w:fill="FFFFFF"/>
            <w:noWrap/>
            <w:vAlign w:val="center"/>
            <w:hideMark/>
          </w:tcPr>
          <w:p w14:paraId="6C0101AA" w14:textId="77777777" w:rsidR="00531061" w:rsidRPr="004149A5" w:rsidRDefault="00531061" w:rsidP="005B287F">
            <w:pPr>
              <w:pStyle w:val="ExhibitText"/>
              <w:jc w:val="right"/>
              <w:rPr>
                <w:sz w:val="16"/>
                <w:szCs w:val="16"/>
              </w:rPr>
            </w:pPr>
            <w:r w:rsidRPr="004149A5">
              <w:rPr>
                <w:sz w:val="16"/>
                <w:szCs w:val="16"/>
              </w:rPr>
              <w:t>32.1</w:t>
            </w:r>
          </w:p>
        </w:tc>
        <w:tc>
          <w:tcPr>
            <w:tcW w:w="567" w:type="dxa"/>
            <w:tcBorders>
              <w:top w:val="nil"/>
              <w:left w:val="nil"/>
              <w:bottom w:val="single" w:sz="4" w:space="0" w:color="auto"/>
              <w:right w:val="single" w:sz="4" w:space="0" w:color="auto"/>
            </w:tcBorders>
            <w:shd w:val="clear" w:color="auto" w:fill="FFFFFF"/>
            <w:noWrap/>
            <w:vAlign w:val="center"/>
            <w:hideMark/>
          </w:tcPr>
          <w:p w14:paraId="7DA9D4DC" w14:textId="77777777" w:rsidR="00531061" w:rsidRPr="004149A5" w:rsidRDefault="00531061" w:rsidP="005B287F">
            <w:pPr>
              <w:pStyle w:val="ExhibitText"/>
              <w:jc w:val="right"/>
              <w:rPr>
                <w:sz w:val="16"/>
                <w:szCs w:val="16"/>
              </w:rPr>
            </w:pPr>
            <w:r w:rsidRPr="004149A5">
              <w:rPr>
                <w:sz w:val="16"/>
                <w:szCs w:val="16"/>
              </w:rPr>
              <w:t>33.6</w:t>
            </w:r>
          </w:p>
        </w:tc>
        <w:tc>
          <w:tcPr>
            <w:tcW w:w="567" w:type="dxa"/>
            <w:tcBorders>
              <w:top w:val="nil"/>
              <w:left w:val="nil"/>
              <w:bottom w:val="single" w:sz="4" w:space="0" w:color="auto"/>
              <w:right w:val="single" w:sz="4" w:space="0" w:color="auto"/>
            </w:tcBorders>
            <w:shd w:val="clear" w:color="auto" w:fill="FFFFFF"/>
            <w:noWrap/>
            <w:vAlign w:val="center"/>
            <w:hideMark/>
          </w:tcPr>
          <w:p w14:paraId="7757F0BB" w14:textId="77777777" w:rsidR="00531061" w:rsidRPr="004149A5" w:rsidRDefault="00531061" w:rsidP="005B287F">
            <w:pPr>
              <w:pStyle w:val="ExhibitText"/>
              <w:jc w:val="right"/>
              <w:rPr>
                <w:sz w:val="16"/>
                <w:szCs w:val="16"/>
              </w:rPr>
            </w:pPr>
            <w:r w:rsidRPr="004149A5">
              <w:rPr>
                <w:sz w:val="16"/>
                <w:szCs w:val="16"/>
              </w:rPr>
              <w:t>27.2</w:t>
            </w:r>
          </w:p>
        </w:tc>
        <w:tc>
          <w:tcPr>
            <w:tcW w:w="567" w:type="dxa"/>
            <w:tcBorders>
              <w:top w:val="nil"/>
              <w:left w:val="nil"/>
              <w:bottom w:val="single" w:sz="4" w:space="0" w:color="auto"/>
              <w:right w:val="single" w:sz="4" w:space="0" w:color="auto"/>
            </w:tcBorders>
            <w:shd w:val="clear" w:color="auto" w:fill="FFFFFF"/>
            <w:noWrap/>
            <w:vAlign w:val="center"/>
            <w:hideMark/>
          </w:tcPr>
          <w:p w14:paraId="03BB3D09" w14:textId="77777777" w:rsidR="00531061" w:rsidRPr="004149A5" w:rsidRDefault="00531061" w:rsidP="005B287F">
            <w:pPr>
              <w:pStyle w:val="ExhibitText"/>
              <w:jc w:val="right"/>
              <w:rPr>
                <w:sz w:val="16"/>
                <w:szCs w:val="16"/>
              </w:rPr>
            </w:pPr>
            <w:r w:rsidRPr="004149A5">
              <w:rPr>
                <w:sz w:val="16"/>
                <w:szCs w:val="16"/>
              </w:rPr>
              <w:t>31.7</w:t>
            </w:r>
          </w:p>
        </w:tc>
        <w:tc>
          <w:tcPr>
            <w:tcW w:w="567" w:type="dxa"/>
            <w:tcBorders>
              <w:top w:val="nil"/>
              <w:left w:val="nil"/>
              <w:bottom w:val="single" w:sz="4" w:space="0" w:color="auto"/>
              <w:right w:val="single" w:sz="4" w:space="0" w:color="auto"/>
            </w:tcBorders>
            <w:shd w:val="clear" w:color="auto" w:fill="FFFFFF"/>
            <w:noWrap/>
            <w:vAlign w:val="center"/>
            <w:hideMark/>
          </w:tcPr>
          <w:p w14:paraId="41212290" w14:textId="77777777" w:rsidR="00531061" w:rsidRPr="004149A5" w:rsidRDefault="00531061" w:rsidP="005B287F">
            <w:pPr>
              <w:pStyle w:val="ExhibitText"/>
              <w:jc w:val="right"/>
              <w:rPr>
                <w:sz w:val="16"/>
                <w:szCs w:val="16"/>
              </w:rPr>
            </w:pPr>
            <w:r w:rsidRPr="004149A5">
              <w:rPr>
                <w:sz w:val="16"/>
                <w:szCs w:val="16"/>
              </w:rPr>
              <w:t>35.2</w:t>
            </w:r>
          </w:p>
        </w:tc>
        <w:tc>
          <w:tcPr>
            <w:tcW w:w="567" w:type="dxa"/>
            <w:tcBorders>
              <w:top w:val="nil"/>
              <w:left w:val="nil"/>
              <w:bottom w:val="single" w:sz="4" w:space="0" w:color="auto"/>
              <w:right w:val="single" w:sz="4" w:space="0" w:color="auto"/>
            </w:tcBorders>
            <w:shd w:val="clear" w:color="auto" w:fill="FFFFFF"/>
            <w:noWrap/>
            <w:vAlign w:val="center"/>
            <w:hideMark/>
          </w:tcPr>
          <w:p w14:paraId="2F37D32B" w14:textId="77777777" w:rsidR="00531061" w:rsidRPr="004149A5" w:rsidRDefault="00531061" w:rsidP="005B287F">
            <w:pPr>
              <w:pStyle w:val="ExhibitText"/>
              <w:jc w:val="right"/>
              <w:rPr>
                <w:sz w:val="16"/>
                <w:szCs w:val="16"/>
              </w:rPr>
            </w:pPr>
            <w:r w:rsidRPr="004149A5">
              <w:rPr>
                <w:sz w:val="16"/>
                <w:szCs w:val="16"/>
              </w:rPr>
              <w:t>40.2</w:t>
            </w:r>
          </w:p>
        </w:tc>
        <w:tc>
          <w:tcPr>
            <w:tcW w:w="501" w:type="dxa"/>
            <w:tcBorders>
              <w:top w:val="nil"/>
              <w:left w:val="nil"/>
              <w:bottom w:val="single" w:sz="4" w:space="0" w:color="auto"/>
              <w:right w:val="single" w:sz="4" w:space="0" w:color="auto"/>
            </w:tcBorders>
            <w:shd w:val="clear" w:color="auto" w:fill="FFFFFF"/>
            <w:noWrap/>
            <w:vAlign w:val="center"/>
            <w:hideMark/>
          </w:tcPr>
          <w:p w14:paraId="0BACDED5" w14:textId="77777777" w:rsidR="00531061" w:rsidRPr="004149A5" w:rsidRDefault="00531061" w:rsidP="005B287F">
            <w:pPr>
              <w:pStyle w:val="ExhibitText"/>
              <w:jc w:val="right"/>
              <w:rPr>
                <w:sz w:val="16"/>
                <w:szCs w:val="16"/>
              </w:rPr>
            </w:pPr>
            <w:r w:rsidRPr="004149A5">
              <w:rPr>
                <w:sz w:val="16"/>
                <w:szCs w:val="16"/>
              </w:rPr>
              <w:t>41.2</w:t>
            </w:r>
          </w:p>
        </w:tc>
        <w:tc>
          <w:tcPr>
            <w:tcW w:w="492" w:type="dxa"/>
            <w:tcBorders>
              <w:top w:val="nil"/>
              <w:left w:val="nil"/>
              <w:bottom w:val="single" w:sz="4" w:space="0" w:color="auto"/>
              <w:right w:val="single" w:sz="4" w:space="0" w:color="auto"/>
            </w:tcBorders>
            <w:shd w:val="clear" w:color="auto" w:fill="FFFFFF"/>
            <w:noWrap/>
            <w:vAlign w:val="center"/>
            <w:hideMark/>
          </w:tcPr>
          <w:p w14:paraId="01ED4C6D" w14:textId="77777777" w:rsidR="00531061" w:rsidRPr="004149A5" w:rsidRDefault="00531061" w:rsidP="005B287F">
            <w:pPr>
              <w:pStyle w:val="ExhibitText"/>
              <w:jc w:val="right"/>
              <w:rPr>
                <w:sz w:val="16"/>
                <w:szCs w:val="16"/>
              </w:rPr>
            </w:pPr>
            <w:r w:rsidRPr="004149A5">
              <w:rPr>
                <w:sz w:val="16"/>
                <w:szCs w:val="16"/>
              </w:rPr>
              <w:t>42.3</w:t>
            </w:r>
          </w:p>
        </w:tc>
        <w:tc>
          <w:tcPr>
            <w:tcW w:w="567" w:type="dxa"/>
            <w:tcBorders>
              <w:top w:val="nil"/>
              <w:left w:val="nil"/>
              <w:bottom w:val="single" w:sz="4" w:space="0" w:color="auto"/>
              <w:right w:val="single" w:sz="4" w:space="0" w:color="auto"/>
            </w:tcBorders>
            <w:shd w:val="clear" w:color="auto" w:fill="FFFFFF"/>
            <w:noWrap/>
            <w:vAlign w:val="center"/>
            <w:hideMark/>
          </w:tcPr>
          <w:p w14:paraId="0799AA2C" w14:textId="77777777" w:rsidR="00531061" w:rsidRPr="004149A5" w:rsidRDefault="00531061" w:rsidP="005B287F">
            <w:pPr>
              <w:pStyle w:val="ExhibitText"/>
              <w:jc w:val="right"/>
              <w:rPr>
                <w:sz w:val="16"/>
                <w:szCs w:val="16"/>
              </w:rPr>
            </w:pPr>
            <w:r w:rsidRPr="004149A5">
              <w:rPr>
                <w:sz w:val="16"/>
                <w:szCs w:val="16"/>
              </w:rPr>
              <w:t>39.5</w:t>
            </w:r>
          </w:p>
        </w:tc>
      </w:tr>
      <w:tr w:rsidR="004149A5" w:rsidRPr="004149A5" w14:paraId="0039ED14" w14:textId="77777777" w:rsidTr="008423D5">
        <w:trPr>
          <w:cantSplit/>
          <w:trHeight w:val="908"/>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0F37675B" w14:textId="04BCC44B" w:rsidR="00531061" w:rsidRPr="004149A5" w:rsidRDefault="00531061" w:rsidP="005B287F">
            <w:pPr>
              <w:pStyle w:val="ExhibitText"/>
              <w:jc w:val="left"/>
              <w:rPr>
                <w:sz w:val="16"/>
                <w:szCs w:val="16"/>
              </w:rPr>
            </w:pPr>
            <w:r w:rsidRPr="004149A5">
              <w:rPr>
                <w:sz w:val="16"/>
                <w:szCs w:val="16"/>
              </w:rPr>
              <w:t>Net migration</w:t>
            </w:r>
            <w:r w:rsidR="001E7573" w:rsidRPr="004149A5">
              <w:rPr>
                <w:sz w:val="16"/>
                <w:szCs w:val="16"/>
              </w:rPr>
              <w:t xml:space="preserve"> (no. of people)</w:t>
            </w:r>
          </w:p>
        </w:tc>
        <w:tc>
          <w:tcPr>
            <w:tcW w:w="479" w:type="dxa"/>
            <w:tcBorders>
              <w:top w:val="nil"/>
              <w:left w:val="nil"/>
              <w:bottom w:val="single" w:sz="4" w:space="0" w:color="auto"/>
              <w:right w:val="single" w:sz="4" w:space="0" w:color="auto"/>
            </w:tcBorders>
            <w:shd w:val="clear" w:color="auto" w:fill="FFFFFF"/>
            <w:noWrap/>
            <w:textDirection w:val="btLr"/>
            <w:vAlign w:val="center"/>
          </w:tcPr>
          <w:p w14:paraId="5B84B715" w14:textId="7CA768DB" w:rsidR="00531061" w:rsidRPr="004149A5" w:rsidRDefault="00531061" w:rsidP="001E7573">
            <w:pPr>
              <w:pStyle w:val="ExhibitText"/>
              <w:ind w:left="113" w:right="113"/>
              <w:jc w:val="center"/>
              <w:rPr>
                <w:sz w:val="16"/>
                <w:szCs w:val="16"/>
              </w:rPr>
            </w:pPr>
          </w:p>
        </w:tc>
        <w:tc>
          <w:tcPr>
            <w:tcW w:w="425" w:type="dxa"/>
            <w:tcBorders>
              <w:top w:val="nil"/>
              <w:left w:val="nil"/>
              <w:bottom w:val="single" w:sz="4" w:space="0" w:color="auto"/>
              <w:right w:val="single" w:sz="4" w:space="0" w:color="auto"/>
            </w:tcBorders>
            <w:shd w:val="clear" w:color="auto" w:fill="FFFFFF"/>
            <w:noWrap/>
            <w:textDirection w:val="btLr"/>
            <w:vAlign w:val="center"/>
          </w:tcPr>
          <w:p w14:paraId="0D70787C" w14:textId="3D6EA766" w:rsidR="00531061" w:rsidRPr="004149A5" w:rsidRDefault="00531061" w:rsidP="001E7573">
            <w:pPr>
              <w:pStyle w:val="ExhibitText"/>
              <w:ind w:left="113" w:right="113"/>
              <w:jc w:val="center"/>
              <w:rPr>
                <w:sz w:val="16"/>
                <w:szCs w:val="16"/>
              </w:rPr>
            </w:pPr>
          </w:p>
        </w:tc>
        <w:tc>
          <w:tcPr>
            <w:tcW w:w="425" w:type="dxa"/>
            <w:tcBorders>
              <w:top w:val="nil"/>
              <w:left w:val="nil"/>
              <w:bottom w:val="single" w:sz="4" w:space="0" w:color="auto"/>
              <w:right w:val="single" w:sz="4" w:space="0" w:color="auto"/>
            </w:tcBorders>
            <w:shd w:val="clear" w:color="auto" w:fill="FFFFFF"/>
            <w:noWrap/>
            <w:textDirection w:val="btLr"/>
            <w:vAlign w:val="center"/>
          </w:tcPr>
          <w:p w14:paraId="2ECAF2BB" w14:textId="5918C80C" w:rsidR="00531061" w:rsidRPr="004149A5" w:rsidRDefault="00531061" w:rsidP="001E7573">
            <w:pPr>
              <w:pStyle w:val="ExhibitText"/>
              <w:ind w:left="113" w:right="113"/>
              <w:jc w:val="center"/>
              <w:rPr>
                <w:sz w:val="16"/>
                <w:szCs w:val="16"/>
              </w:rPr>
            </w:pPr>
          </w:p>
        </w:tc>
        <w:tc>
          <w:tcPr>
            <w:tcW w:w="426" w:type="dxa"/>
            <w:tcBorders>
              <w:top w:val="nil"/>
              <w:left w:val="nil"/>
              <w:bottom w:val="single" w:sz="4" w:space="0" w:color="auto"/>
              <w:right w:val="single" w:sz="4" w:space="0" w:color="auto"/>
            </w:tcBorders>
            <w:shd w:val="clear" w:color="auto" w:fill="FFFFFF"/>
            <w:noWrap/>
            <w:textDirection w:val="btLr"/>
            <w:vAlign w:val="center"/>
          </w:tcPr>
          <w:p w14:paraId="3ACEC6ED" w14:textId="26BF65F4" w:rsidR="00531061" w:rsidRPr="004149A5" w:rsidRDefault="00531061" w:rsidP="001E7573">
            <w:pPr>
              <w:pStyle w:val="ExhibitText"/>
              <w:ind w:left="113" w:right="113"/>
              <w:jc w:val="center"/>
              <w:rPr>
                <w:sz w:val="16"/>
                <w:szCs w:val="16"/>
              </w:rPr>
            </w:pPr>
          </w:p>
        </w:tc>
        <w:tc>
          <w:tcPr>
            <w:tcW w:w="425" w:type="dxa"/>
            <w:tcBorders>
              <w:top w:val="nil"/>
              <w:left w:val="nil"/>
              <w:bottom w:val="single" w:sz="4" w:space="0" w:color="auto"/>
              <w:right w:val="single" w:sz="4" w:space="0" w:color="auto"/>
            </w:tcBorders>
            <w:shd w:val="clear" w:color="auto" w:fill="FFFFFF"/>
            <w:noWrap/>
            <w:textDirection w:val="btLr"/>
            <w:vAlign w:val="center"/>
          </w:tcPr>
          <w:p w14:paraId="29B24785" w14:textId="17B70335" w:rsidR="00531061" w:rsidRPr="004149A5" w:rsidRDefault="00531061" w:rsidP="001E7573">
            <w:pPr>
              <w:pStyle w:val="ExhibitText"/>
              <w:ind w:left="113" w:right="113"/>
              <w:jc w:val="center"/>
              <w:rPr>
                <w:sz w:val="16"/>
                <w:szCs w:val="16"/>
              </w:rPr>
            </w:pPr>
          </w:p>
        </w:tc>
        <w:tc>
          <w:tcPr>
            <w:tcW w:w="425" w:type="dxa"/>
            <w:tcBorders>
              <w:top w:val="nil"/>
              <w:left w:val="nil"/>
              <w:bottom w:val="single" w:sz="4" w:space="0" w:color="auto"/>
              <w:right w:val="single" w:sz="4" w:space="0" w:color="auto"/>
            </w:tcBorders>
            <w:shd w:val="clear" w:color="auto" w:fill="FFFFFF"/>
            <w:noWrap/>
            <w:textDirection w:val="btLr"/>
            <w:vAlign w:val="center"/>
          </w:tcPr>
          <w:p w14:paraId="376E6F7E" w14:textId="6302B941" w:rsidR="00531061" w:rsidRPr="004149A5" w:rsidRDefault="00531061" w:rsidP="001E7573">
            <w:pPr>
              <w:pStyle w:val="ExhibitText"/>
              <w:ind w:left="113" w:right="113"/>
              <w:jc w:val="center"/>
              <w:rPr>
                <w:sz w:val="16"/>
                <w:szCs w:val="16"/>
              </w:rPr>
            </w:pPr>
          </w:p>
        </w:tc>
        <w:tc>
          <w:tcPr>
            <w:tcW w:w="425" w:type="dxa"/>
            <w:tcBorders>
              <w:top w:val="nil"/>
              <w:left w:val="nil"/>
              <w:bottom w:val="single" w:sz="4" w:space="0" w:color="auto"/>
              <w:right w:val="single" w:sz="4" w:space="0" w:color="auto"/>
            </w:tcBorders>
            <w:shd w:val="clear" w:color="auto" w:fill="FFFFFF"/>
            <w:noWrap/>
            <w:textDirection w:val="btLr"/>
            <w:vAlign w:val="center"/>
          </w:tcPr>
          <w:p w14:paraId="22B7F4C4" w14:textId="7A89EADF" w:rsidR="00531061" w:rsidRPr="004149A5" w:rsidRDefault="00531061" w:rsidP="001E7573">
            <w:pPr>
              <w:pStyle w:val="ExhibitText"/>
              <w:ind w:left="113" w:right="113"/>
              <w:jc w:val="center"/>
              <w:rPr>
                <w:sz w:val="16"/>
                <w:szCs w:val="16"/>
              </w:rPr>
            </w:pPr>
          </w:p>
        </w:tc>
        <w:tc>
          <w:tcPr>
            <w:tcW w:w="426" w:type="dxa"/>
            <w:tcBorders>
              <w:top w:val="nil"/>
              <w:left w:val="nil"/>
              <w:bottom w:val="single" w:sz="4" w:space="0" w:color="auto"/>
              <w:right w:val="single" w:sz="4" w:space="0" w:color="auto"/>
            </w:tcBorders>
            <w:shd w:val="clear" w:color="auto" w:fill="FFFFFF"/>
            <w:noWrap/>
            <w:textDirection w:val="btLr"/>
            <w:vAlign w:val="center"/>
          </w:tcPr>
          <w:p w14:paraId="0635BB54" w14:textId="18045B4F" w:rsidR="00531061" w:rsidRPr="004149A5" w:rsidRDefault="00531061" w:rsidP="001E7573">
            <w:pPr>
              <w:pStyle w:val="ExhibitText"/>
              <w:ind w:left="113" w:right="113"/>
              <w:jc w:val="center"/>
              <w:rPr>
                <w:sz w:val="16"/>
                <w:szCs w:val="16"/>
              </w:rPr>
            </w:pPr>
          </w:p>
        </w:tc>
        <w:tc>
          <w:tcPr>
            <w:tcW w:w="425" w:type="dxa"/>
            <w:tcBorders>
              <w:top w:val="nil"/>
              <w:left w:val="nil"/>
              <w:bottom w:val="single" w:sz="4" w:space="0" w:color="auto"/>
              <w:right w:val="single" w:sz="4" w:space="0" w:color="auto"/>
            </w:tcBorders>
            <w:shd w:val="clear" w:color="auto" w:fill="FFFFFF"/>
            <w:noWrap/>
            <w:textDirection w:val="btLr"/>
            <w:vAlign w:val="center"/>
          </w:tcPr>
          <w:p w14:paraId="56603ADD" w14:textId="7A2FA78F" w:rsidR="00531061" w:rsidRPr="004149A5" w:rsidRDefault="00531061" w:rsidP="001E7573">
            <w:pPr>
              <w:pStyle w:val="ExhibitText"/>
              <w:ind w:left="113" w:right="113"/>
              <w:jc w:val="center"/>
              <w:rPr>
                <w:sz w:val="16"/>
                <w:szCs w:val="16"/>
              </w:rPr>
            </w:pPr>
          </w:p>
        </w:tc>
        <w:tc>
          <w:tcPr>
            <w:tcW w:w="425" w:type="dxa"/>
            <w:tcBorders>
              <w:top w:val="nil"/>
              <w:left w:val="nil"/>
              <w:bottom w:val="single" w:sz="4" w:space="0" w:color="auto"/>
              <w:right w:val="single" w:sz="4" w:space="0" w:color="auto"/>
            </w:tcBorders>
            <w:shd w:val="clear" w:color="auto" w:fill="FFFFFF"/>
            <w:noWrap/>
            <w:textDirection w:val="btLr"/>
            <w:vAlign w:val="center"/>
          </w:tcPr>
          <w:p w14:paraId="44BF16B6" w14:textId="113C0C31" w:rsidR="00531061" w:rsidRPr="004149A5" w:rsidRDefault="00531061" w:rsidP="001E7573">
            <w:pPr>
              <w:pStyle w:val="ExhibitText"/>
              <w:ind w:left="113" w:right="113"/>
              <w:jc w:val="center"/>
              <w:rPr>
                <w:sz w:val="16"/>
                <w:szCs w:val="16"/>
              </w:rPr>
            </w:pPr>
          </w:p>
        </w:tc>
        <w:tc>
          <w:tcPr>
            <w:tcW w:w="567" w:type="dxa"/>
            <w:tcBorders>
              <w:top w:val="nil"/>
              <w:left w:val="nil"/>
              <w:bottom w:val="single" w:sz="4" w:space="0" w:color="auto"/>
              <w:right w:val="single" w:sz="4" w:space="0" w:color="auto"/>
            </w:tcBorders>
            <w:shd w:val="clear" w:color="auto" w:fill="FFFFFF"/>
            <w:noWrap/>
            <w:textDirection w:val="btLr"/>
            <w:vAlign w:val="center"/>
          </w:tcPr>
          <w:p w14:paraId="71D72991" w14:textId="47AC755D" w:rsidR="00531061" w:rsidRPr="004149A5" w:rsidRDefault="00531061" w:rsidP="001E7573">
            <w:pPr>
              <w:pStyle w:val="ExhibitText"/>
              <w:ind w:left="113" w:right="113"/>
              <w:jc w:val="center"/>
              <w:rPr>
                <w:sz w:val="16"/>
                <w:szCs w:val="16"/>
              </w:rPr>
            </w:pPr>
          </w:p>
        </w:tc>
        <w:tc>
          <w:tcPr>
            <w:tcW w:w="567" w:type="dxa"/>
            <w:tcBorders>
              <w:top w:val="nil"/>
              <w:left w:val="nil"/>
              <w:bottom w:val="single" w:sz="4" w:space="0" w:color="auto"/>
              <w:right w:val="single" w:sz="4" w:space="0" w:color="auto"/>
            </w:tcBorders>
            <w:shd w:val="clear" w:color="auto" w:fill="FFFFFF"/>
            <w:noWrap/>
            <w:textDirection w:val="btLr"/>
            <w:vAlign w:val="center"/>
            <w:hideMark/>
          </w:tcPr>
          <w:p w14:paraId="66629DA1" w14:textId="0187B24A" w:rsidR="00531061" w:rsidRPr="004149A5" w:rsidRDefault="00531061" w:rsidP="001E7573">
            <w:pPr>
              <w:pStyle w:val="ExhibitText"/>
              <w:ind w:left="113" w:right="113"/>
              <w:jc w:val="center"/>
              <w:rPr>
                <w:sz w:val="16"/>
                <w:szCs w:val="16"/>
              </w:rPr>
            </w:pPr>
            <w:r w:rsidRPr="004149A5">
              <w:rPr>
                <w:sz w:val="16"/>
                <w:szCs w:val="16"/>
              </w:rPr>
              <w:t>80</w:t>
            </w:r>
            <w:r w:rsidR="001E7573" w:rsidRPr="004149A5">
              <w:rPr>
                <w:sz w:val="16"/>
                <w:szCs w:val="16"/>
              </w:rPr>
              <w:t>,</w:t>
            </w:r>
            <w:r w:rsidRPr="004149A5">
              <w:rPr>
                <w:sz w:val="16"/>
                <w:szCs w:val="16"/>
              </w:rPr>
              <w:t>157</w:t>
            </w:r>
          </w:p>
        </w:tc>
        <w:tc>
          <w:tcPr>
            <w:tcW w:w="567" w:type="dxa"/>
            <w:tcBorders>
              <w:top w:val="nil"/>
              <w:left w:val="nil"/>
              <w:bottom w:val="single" w:sz="4" w:space="0" w:color="auto"/>
              <w:right w:val="single" w:sz="4" w:space="0" w:color="auto"/>
            </w:tcBorders>
            <w:shd w:val="clear" w:color="auto" w:fill="FFFFFF"/>
            <w:noWrap/>
            <w:textDirection w:val="btLr"/>
            <w:vAlign w:val="center"/>
          </w:tcPr>
          <w:p w14:paraId="7046105D" w14:textId="3E1F4827" w:rsidR="00531061" w:rsidRPr="004149A5" w:rsidRDefault="00531061" w:rsidP="001E7573">
            <w:pPr>
              <w:pStyle w:val="ExhibitText"/>
              <w:ind w:left="113" w:right="113"/>
              <w:jc w:val="center"/>
              <w:rPr>
                <w:sz w:val="16"/>
                <w:szCs w:val="16"/>
              </w:rPr>
            </w:pPr>
          </w:p>
        </w:tc>
        <w:tc>
          <w:tcPr>
            <w:tcW w:w="567" w:type="dxa"/>
            <w:tcBorders>
              <w:top w:val="nil"/>
              <w:left w:val="nil"/>
              <w:bottom w:val="single" w:sz="4" w:space="0" w:color="auto"/>
              <w:right w:val="single" w:sz="4" w:space="0" w:color="auto"/>
            </w:tcBorders>
            <w:shd w:val="clear" w:color="auto" w:fill="FFFFFF"/>
            <w:noWrap/>
            <w:textDirection w:val="btLr"/>
            <w:vAlign w:val="center"/>
          </w:tcPr>
          <w:p w14:paraId="4AEEA8AF" w14:textId="511FD210" w:rsidR="00531061" w:rsidRPr="004149A5" w:rsidRDefault="00531061" w:rsidP="001E7573">
            <w:pPr>
              <w:pStyle w:val="ExhibitText"/>
              <w:ind w:left="113" w:right="113"/>
              <w:jc w:val="center"/>
              <w:rPr>
                <w:sz w:val="16"/>
                <w:szCs w:val="16"/>
              </w:rPr>
            </w:pPr>
          </w:p>
        </w:tc>
        <w:tc>
          <w:tcPr>
            <w:tcW w:w="567" w:type="dxa"/>
            <w:tcBorders>
              <w:top w:val="nil"/>
              <w:left w:val="nil"/>
              <w:bottom w:val="single" w:sz="4" w:space="0" w:color="auto"/>
              <w:right w:val="single" w:sz="4" w:space="0" w:color="auto"/>
            </w:tcBorders>
            <w:shd w:val="clear" w:color="auto" w:fill="FFFFFF"/>
            <w:noWrap/>
            <w:textDirection w:val="btLr"/>
            <w:vAlign w:val="center"/>
          </w:tcPr>
          <w:p w14:paraId="40CA26CD" w14:textId="4CCA9E1B" w:rsidR="00531061" w:rsidRPr="004149A5" w:rsidRDefault="00531061" w:rsidP="001E7573">
            <w:pPr>
              <w:pStyle w:val="ExhibitText"/>
              <w:ind w:left="113" w:right="113"/>
              <w:jc w:val="center"/>
              <w:rPr>
                <w:sz w:val="16"/>
                <w:szCs w:val="16"/>
              </w:rPr>
            </w:pPr>
          </w:p>
        </w:tc>
        <w:tc>
          <w:tcPr>
            <w:tcW w:w="567" w:type="dxa"/>
            <w:tcBorders>
              <w:top w:val="nil"/>
              <w:left w:val="nil"/>
              <w:bottom w:val="single" w:sz="4" w:space="0" w:color="auto"/>
              <w:right w:val="single" w:sz="4" w:space="0" w:color="auto"/>
            </w:tcBorders>
            <w:shd w:val="clear" w:color="auto" w:fill="FFFFFF"/>
            <w:noWrap/>
            <w:textDirection w:val="btLr"/>
            <w:vAlign w:val="center"/>
          </w:tcPr>
          <w:p w14:paraId="263F6F86" w14:textId="14205A09" w:rsidR="00531061" w:rsidRPr="004149A5" w:rsidRDefault="00531061" w:rsidP="001E7573">
            <w:pPr>
              <w:pStyle w:val="ExhibitText"/>
              <w:ind w:left="113" w:right="113"/>
              <w:jc w:val="center"/>
              <w:rPr>
                <w:sz w:val="16"/>
                <w:szCs w:val="16"/>
              </w:rPr>
            </w:pPr>
          </w:p>
        </w:tc>
        <w:tc>
          <w:tcPr>
            <w:tcW w:w="567" w:type="dxa"/>
            <w:tcBorders>
              <w:top w:val="nil"/>
              <w:left w:val="nil"/>
              <w:bottom w:val="single" w:sz="4" w:space="0" w:color="auto"/>
              <w:right w:val="single" w:sz="4" w:space="0" w:color="auto"/>
            </w:tcBorders>
            <w:shd w:val="clear" w:color="auto" w:fill="FFFFFF"/>
            <w:noWrap/>
            <w:textDirection w:val="btLr"/>
            <w:vAlign w:val="center"/>
            <w:hideMark/>
          </w:tcPr>
          <w:p w14:paraId="6AA6347B" w14:textId="382AD826" w:rsidR="00531061" w:rsidRPr="004149A5" w:rsidRDefault="005B287F" w:rsidP="001E7573">
            <w:pPr>
              <w:pStyle w:val="ExhibitText"/>
              <w:ind w:left="113" w:right="113"/>
              <w:jc w:val="center"/>
              <w:rPr>
                <w:sz w:val="16"/>
                <w:szCs w:val="16"/>
              </w:rPr>
            </w:pPr>
            <w:r w:rsidRPr="004149A5">
              <w:rPr>
                <w:sz w:val="16"/>
                <w:szCs w:val="16"/>
              </w:rPr>
              <w:t>−</w:t>
            </w:r>
            <w:r w:rsidR="00531061" w:rsidRPr="004149A5">
              <w:rPr>
                <w:sz w:val="16"/>
                <w:szCs w:val="16"/>
              </w:rPr>
              <w:t>136</w:t>
            </w:r>
            <w:r w:rsidR="001E7573" w:rsidRPr="004149A5">
              <w:rPr>
                <w:sz w:val="16"/>
                <w:szCs w:val="16"/>
              </w:rPr>
              <w:t>,</w:t>
            </w:r>
            <w:r w:rsidR="00531061" w:rsidRPr="004149A5">
              <w:rPr>
                <w:sz w:val="16"/>
                <w:szCs w:val="16"/>
              </w:rPr>
              <w:t>299</w:t>
            </w:r>
          </w:p>
        </w:tc>
        <w:tc>
          <w:tcPr>
            <w:tcW w:w="501" w:type="dxa"/>
            <w:tcBorders>
              <w:top w:val="nil"/>
              <w:left w:val="nil"/>
              <w:bottom w:val="single" w:sz="4" w:space="0" w:color="auto"/>
              <w:right w:val="single" w:sz="4" w:space="0" w:color="auto"/>
            </w:tcBorders>
            <w:shd w:val="clear" w:color="auto" w:fill="FFFFFF"/>
            <w:noWrap/>
            <w:textDirection w:val="btLr"/>
            <w:vAlign w:val="center"/>
          </w:tcPr>
          <w:p w14:paraId="0538337F" w14:textId="5EB2EB37" w:rsidR="00531061" w:rsidRPr="004149A5" w:rsidRDefault="00531061" w:rsidP="001E7573">
            <w:pPr>
              <w:pStyle w:val="ExhibitText"/>
              <w:ind w:left="113" w:right="113"/>
              <w:jc w:val="center"/>
              <w:rPr>
                <w:sz w:val="16"/>
                <w:szCs w:val="16"/>
              </w:rPr>
            </w:pPr>
          </w:p>
        </w:tc>
        <w:tc>
          <w:tcPr>
            <w:tcW w:w="492" w:type="dxa"/>
            <w:tcBorders>
              <w:top w:val="nil"/>
              <w:left w:val="nil"/>
              <w:bottom w:val="single" w:sz="4" w:space="0" w:color="auto"/>
              <w:right w:val="single" w:sz="4" w:space="0" w:color="auto"/>
            </w:tcBorders>
            <w:shd w:val="clear" w:color="auto" w:fill="FFFFFF"/>
            <w:noWrap/>
            <w:textDirection w:val="btLr"/>
            <w:vAlign w:val="center"/>
          </w:tcPr>
          <w:p w14:paraId="581C3653" w14:textId="10F68CC7" w:rsidR="00531061" w:rsidRPr="004149A5" w:rsidRDefault="00531061" w:rsidP="001E7573">
            <w:pPr>
              <w:pStyle w:val="ExhibitText"/>
              <w:ind w:left="113" w:right="113"/>
              <w:jc w:val="center"/>
              <w:rPr>
                <w:sz w:val="16"/>
                <w:szCs w:val="16"/>
              </w:rPr>
            </w:pPr>
          </w:p>
        </w:tc>
        <w:tc>
          <w:tcPr>
            <w:tcW w:w="567" w:type="dxa"/>
            <w:tcBorders>
              <w:top w:val="nil"/>
              <w:left w:val="nil"/>
              <w:bottom w:val="single" w:sz="4" w:space="0" w:color="auto"/>
              <w:right w:val="single" w:sz="4" w:space="0" w:color="auto"/>
            </w:tcBorders>
            <w:shd w:val="clear" w:color="auto" w:fill="FFFFFF"/>
            <w:noWrap/>
            <w:textDirection w:val="btLr"/>
            <w:vAlign w:val="center"/>
          </w:tcPr>
          <w:p w14:paraId="4D5CE7EA" w14:textId="5D836211" w:rsidR="00531061" w:rsidRPr="004149A5" w:rsidRDefault="00531061" w:rsidP="001E7573">
            <w:pPr>
              <w:pStyle w:val="ExhibitText"/>
              <w:ind w:left="113" w:right="113"/>
              <w:jc w:val="center"/>
              <w:rPr>
                <w:sz w:val="16"/>
                <w:szCs w:val="16"/>
              </w:rPr>
            </w:pPr>
          </w:p>
        </w:tc>
      </w:tr>
      <w:tr w:rsidR="004149A5" w:rsidRPr="004149A5" w14:paraId="579FA71E"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4948CF6A" w14:textId="77777777" w:rsidR="00531061" w:rsidRPr="004149A5" w:rsidRDefault="00531061" w:rsidP="005B287F">
            <w:pPr>
              <w:pStyle w:val="ExhibitText"/>
              <w:jc w:val="left"/>
              <w:rPr>
                <w:sz w:val="16"/>
                <w:szCs w:val="16"/>
              </w:rPr>
            </w:pPr>
            <w:r w:rsidRPr="004149A5">
              <w:rPr>
                <w:sz w:val="16"/>
                <w:szCs w:val="16"/>
              </w:rPr>
              <w:t>Current account balance</w:t>
            </w:r>
          </w:p>
        </w:tc>
        <w:tc>
          <w:tcPr>
            <w:tcW w:w="479" w:type="dxa"/>
            <w:tcBorders>
              <w:top w:val="nil"/>
              <w:left w:val="nil"/>
              <w:bottom w:val="single" w:sz="4" w:space="0" w:color="auto"/>
              <w:right w:val="single" w:sz="4" w:space="0" w:color="auto"/>
            </w:tcBorders>
            <w:shd w:val="clear" w:color="auto" w:fill="FFFFFF"/>
            <w:noWrap/>
            <w:vAlign w:val="center"/>
            <w:hideMark/>
          </w:tcPr>
          <w:p w14:paraId="0949E35D" w14:textId="7D0959B3" w:rsidR="00531061" w:rsidRPr="004149A5" w:rsidRDefault="00187DCD" w:rsidP="005B287F">
            <w:pPr>
              <w:pStyle w:val="ExhibitText"/>
              <w:jc w:val="right"/>
              <w:rPr>
                <w:sz w:val="16"/>
                <w:szCs w:val="16"/>
              </w:rPr>
            </w:pPr>
            <w:r w:rsidRPr="004149A5">
              <w:rPr>
                <w:sz w:val="16"/>
                <w:szCs w:val="16"/>
              </w:rPr>
              <w:t xml:space="preserve"> </w:t>
            </w:r>
          </w:p>
        </w:tc>
        <w:tc>
          <w:tcPr>
            <w:tcW w:w="425" w:type="dxa"/>
            <w:tcBorders>
              <w:top w:val="nil"/>
              <w:left w:val="nil"/>
              <w:bottom w:val="single" w:sz="4" w:space="0" w:color="auto"/>
              <w:right w:val="single" w:sz="4" w:space="0" w:color="auto"/>
            </w:tcBorders>
            <w:shd w:val="clear" w:color="auto" w:fill="FFFFFF"/>
            <w:noWrap/>
            <w:vAlign w:val="center"/>
            <w:hideMark/>
          </w:tcPr>
          <w:p w14:paraId="72A41E14" w14:textId="58BDB5B4" w:rsidR="00531061" w:rsidRPr="004149A5" w:rsidRDefault="00187DCD" w:rsidP="005B287F">
            <w:pPr>
              <w:pStyle w:val="ExhibitText"/>
              <w:jc w:val="right"/>
              <w:rPr>
                <w:sz w:val="16"/>
                <w:szCs w:val="16"/>
              </w:rPr>
            </w:pPr>
            <w:r w:rsidRPr="004149A5">
              <w:rPr>
                <w:sz w:val="16"/>
                <w:szCs w:val="16"/>
              </w:rPr>
              <w:t xml:space="preserve"> </w:t>
            </w:r>
          </w:p>
        </w:tc>
        <w:tc>
          <w:tcPr>
            <w:tcW w:w="425" w:type="dxa"/>
            <w:tcBorders>
              <w:top w:val="nil"/>
              <w:left w:val="nil"/>
              <w:bottom w:val="single" w:sz="4" w:space="0" w:color="auto"/>
              <w:right w:val="single" w:sz="4" w:space="0" w:color="auto"/>
            </w:tcBorders>
            <w:shd w:val="clear" w:color="auto" w:fill="FFFFFF"/>
            <w:noWrap/>
            <w:vAlign w:val="center"/>
            <w:hideMark/>
          </w:tcPr>
          <w:p w14:paraId="1D22E76B" w14:textId="2AAF735F" w:rsidR="00531061" w:rsidRPr="004149A5" w:rsidRDefault="00187DCD" w:rsidP="005B287F">
            <w:pPr>
              <w:pStyle w:val="ExhibitText"/>
              <w:jc w:val="right"/>
              <w:rPr>
                <w:sz w:val="16"/>
                <w:szCs w:val="16"/>
              </w:rPr>
            </w:pPr>
            <w:r w:rsidRPr="004149A5">
              <w:rPr>
                <w:sz w:val="16"/>
                <w:szCs w:val="16"/>
              </w:rPr>
              <w:t xml:space="preserve"> </w:t>
            </w:r>
          </w:p>
        </w:tc>
        <w:tc>
          <w:tcPr>
            <w:tcW w:w="426" w:type="dxa"/>
            <w:tcBorders>
              <w:top w:val="nil"/>
              <w:left w:val="nil"/>
              <w:bottom w:val="single" w:sz="4" w:space="0" w:color="auto"/>
              <w:right w:val="single" w:sz="4" w:space="0" w:color="auto"/>
            </w:tcBorders>
            <w:shd w:val="clear" w:color="auto" w:fill="FFFFFF"/>
            <w:noWrap/>
            <w:vAlign w:val="center"/>
            <w:hideMark/>
          </w:tcPr>
          <w:p w14:paraId="5F14BAFA" w14:textId="145613B9"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3.9</w:t>
            </w:r>
          </w:p>
        </w:tc>
        <w:tc>
          <w:tcPr>
            <w:tcW w:w="425" w:type="dxa"/>
            <w:tcBorders>
              <w:top w:val="nil"/>
              <w:left w:val="nil"/>
              <w:bottom w:val="single" w:sz="4" w:space="0" w:color="auto"/>
              <w:right w:val="single" w:sz="4" w:space="0" w:color="auto"/>
            </w:tcBorders>
            <w:shd w:val="clear" w:color="auto" w:fill="FFFFFF"/>
            <w:noWrap/>
            <w:vAlign w:val="center"/>
            <w:hideMark/>
          </w:tcPr>
          <w:p w14:paraId="3955F11F" w14:textId="453F691D"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4.6</w:t>
            </w:r>
          </w:p>
        </w:tc>
        <w:tc>
          <w:tcPr>
            <w:tcW w:w="425" w:type="dxa"/>
            <w:tcBorders>
              <w:top w:val="nil"/>
              <w:left w:val="nil"/>
              <w:bottom w:val="single" w:sz="4" w:space="0" w:color="auto"/>
              <w:right w:val="single" w:sz="4" w:space="0" w:color="auto"/>
            </w:tcBorders>
            <w:shd w:val="clear" w:color="auto" w:fill="FFFFFF"/>
            <w:noWrap/>
            <w:vAlign w:val="center"/>
            <w:hideMark/>
          </w:tcPr>
          <w:p w14:paraId="3110061C" w14:textId="2CB04D43"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6.9</w:t>
            </w:r>
          </w:p>
        </w:tc>
        <w:tc>
          <w:tcPr>
            <w:tcW w:w="425" w:type="dxa"/>
            <w:tcBorders>
              <w:top w:val="nil"/>
              <w:left w:val="nil"/>
              <w:bottom w:val="single" w:sz="4" w:space="0" w:color="auto"/>
              <w:right w:val="single" w:sz="4" w:space="0" w:color="auto"/>
            </w:tcBorders>
            <w:shd w:val="clear" w:color="auto" w:fill="FFFFFF"/>
            <w:noWrap/>
            <w:vAlign w:val="center"/>
            <w:hideMark/>
          </w:tcPr>
          <w:p w14:paraId="4EC71D76" w14:textId="0290C103"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3.6</w:t>
            </w:r>
          </w:p>
        </w:tc>
        <w:tc>
          <w:tcPr>
            <w:tcW w:w="426" w:type="dxa"/>
            <w:tcBorders>
              <w:top w:val="nil"/>
              <w:left w:val="nil"/>
              <w:bottom w:val="single" w:sz="4" w:space="0" w:color="auto"/>
              <w:right w:val="single" w:sz="4" w:space="0" w:color="auto"/>
            </w:tcBorders>
            <w:shd w:val="clear" w:color="auto" w:fill="FFFFFF"/>
            <w:noWrap/>
            <w:vAlign w:val="center"/>
            <w:hideMark/>
          </w:tcPr>
          <w:p w14:paraId="47C22809" w14:textId="06493003"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1.5</w:t>
            </w:r>
          </w:p>
        </w:tc>
        <w:tc>
          <w:tcPr>
            <w:tcW w:w="425" w:type="dxa"/>
            <w:tcBorders>
              <w:top w:val="nil"/>
              <w:left w:val="nil"/>
              <w:bottom w:val="single" w:sz="4" w:space="0" w:color="auto"/>
              <w:right w:val="single" w:sz="4" w:space="0" w:color="auto"/>
            </w:tcBorders>
            <w:shd w:val="clear" w:color="auto" w:fill="FFFFFF"/>
            <w:noWrap/>
            <w:vAlign w:val="center"/>
            <w:hideMark/>
          </w:tcPr>
          <w:p w14:paraId="7E86B7E2" w14:textId="40C3A51B"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2.1</w:t>
            </w:r>
          </w:p>
        </w:tc>
        <w:tc>
          <w:tcPr>
            <w:tcW w:w="425" w:type="dxa"/>
            <w:tcBorders>
              <w:top w:val="nil"/>
              <w:left w:val="nil"/>
              <w:bottom w:val="single" w:sz="4" w:space="0" w:color="auto"/>
              <w:right w:val="single" w:sz="4" w:space="0" w:color="auto"/>
            </w:tcBorders>
            <w:shd w:val="clear" w:color="auto" w:fill="FFFFFF"/>
            <w:noWrap/>
            <w:vAlign w:val="center"/>
            <w:hideMark/>
          </w:tcPr>
          <w:p w14:paraId="11495868" w14:textId="2CA1C84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7.5</w:t>
            </w:r>
          </w:p>
        </w:tc>
        <w:tc>
          <w:tcPr>
            <w:tcW w:w="567" w:type="dxa"/>
            <w:tcBorders>
              <w:top w:val="nil"/>
              <w:left w:val="nil"/>
              <w:bottom w:val="single" w:sz="4" w:space="0" w:color="auto"/>
              <w:right w:val="single" w:sz="4" w:space="0" w:color="auto"/>
            </w:tcBorders>
            <w:shd w:val="clear" w:color="auto" w:fill="FFFFFF"/>
            <w:noWrap/>
            <w:vAlign w:val="center"/>
            <w:hideMark/>
          </w:tcPr>
          <w:p w14:paraId="45D158A2" w14:textId="558C2CCB"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6.9</w:t>
            </w:r>
          </w:p>
        </w:tc>
        <w:tc>
          <w:tcPr>
            <w:tcW w:w="567" w:type="dxa"/>
            <w:tcBorders>
              <w:top w:val="nil"/>
              <w:left w:val="nil"/>
              <w:bottom w:val="single" w:sz="4" w:space="0" w:color="auto"/>
              <w:right w:val="single" w:sz="4" w:space="0" w:color="auto"/>
            </w:tcBorders>
            <w:shd w:val="clear" w:color="auto" w:fill="FFFFFF"/>
            <w:noWrap/>
            <w:vAlign w:val="center"/>
            <w:hideMark/>
          </w:tcPr>
          <w:p w14:paraId="0B422A4D" w14:textId="7D9F5703"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14.0</w:t>
            </w:r>
          </w:p>
        </w:tc>
        <w:tc>
          <w:tcPr>
            <w:tcW w:w="567" w:type="dxa"/>
            <w:tcBorders>
              <w:top w:val="nil"/>
              <w:left w:val="nil"/>
              <w:bottom w:val="single" w:sz="4" w:space="0" w:color="auto"/>
              <w:right w:val="single" w:sz="4" w:space="0" w:color="auto"/>
            </w:tcBorders>
            <w:shd w:val="clear" w:color="auto" w:fill="FFFFFF"/>
            <w:noWrap/>
            <w:vAlign w:val="center"/>
            <w:hideMark/>
          </w:tcPr>
          <w:p w14:paraId="045D9196" w14:textId="64DA042D"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14.5</w:t>
            </w:r>
          </w:p>
        </w:tc>
        <w:tc>
          <w:tcPr>
            <w:tcW w:w="567" w:type="dxa"/>
            <w:tcBorders>
              <w:top w:val="nil"/>
              <w:left w:val="nil"/>
              <w:bottom w:val="single" w:sz="4" w:space="0" w:color="auto"/>
              <w:right w:val="single" w:sz="4" w:space="0" w:color="auto"/>
            </w:tcBorders>
            <w:shd w:val="clear" w:color="auto" w:fill="FFFFFF"/>
            <w:noWrap/>
            <w:vAlign w:val="center"/>
            <w:hideMark/>
          </w:tcPr>
          <w:p w14:paraId="14A6D128" w14:textId="1ADF166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10.9</w:t>
            </w:r>
          </w:p>
        </w:tc>
        <w:tc>
          <w:tcPr>
            <w:tcW w:w="567" w:type="dxa"/>
            <w:tcBorders>
              <w:top w:val="nil"/>
              <w:left w:val="nil"/>
              <w:bottom w:val="single" w:sz="4" w:space="0" w:color="auto"/>
              <w:right w:val="single" w:sz="4" w:space="0" w:color="auto"/>
            </w:tcBorders>
            <w:shd w:val="clear" w:color="auto" w:fill="FFFFFF"/>
            <w:noWrap/>
            <w:vAlign w:val="center"/>
            <w:hideMark/>
          </w:tcPr>
          <w:p w14:paraId="5EB29EB5" w14:textId="7B6A4D85"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10.1</w:t>
            </w:r>
          </w:p>
        </w:tc>
        <w:tc>
          <w:tcPr>
            <w:tcW w:w="567" w:type="dxa"/>
            <w:tcBorders>
              <w:top w:val="nil"/>
              <w:left w:val="nil"/>
              <w:bottom w:val="single" w:sz="4" w:space="0" w:color="auto"/>
              <w:right w:val="single" w:sz="4" w:space="0" w:color="auto"/>
            </w:tcBorders>
            <w:shd w:val="clear" w:color="auto" w:fill="FFFFFF"/>
            <w:noWrap/>
            <w:vAlign w:val="center"/>
            <w:hideMark/>
          </w:tcPr>
          <w:p w14:paraId="057F61EB" w14:textId="382CCFB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9.9</w:t>
            </w:r>
          </w:p>
        </w:tc>
        <w:tc>
          <w:tcPr>
            <w:tcW w:w="567" w:type="dxa"/>
            <w:tcBorders>
              <w:top w:val="nil"/>
              <w:left w:val="nil"/>
              <w:bottom w:val="single" w:sz="4" w:space="0" w:color="auto"/>
              <w:right w:val="single" w:sz="4" w:space="0" w:color="auto"/>
            </w:tcBorders>
            <w:shd w:val="clear" w:color="auto" w:fill="FFFFFF"/>
            <w:noWrap/>
            <w:vAlign w:val="center"/>
            <w:hideMark/>
          </w:tcPr>
          <w:p w14:paraId="02DC37E3" w14:textId="2A28943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2.5</w:t>
            </w:r>
          </w:p>
        </w:tc>
        <w:tc>
          <w:tcPr>
            <w:tcW w:w="501" w:type="dxa"/>
            <w:tcBorders>
              <w:top w:val="nil"/>
              <w:left w:val="nil"/>
              <w:bottom w:val="single" w:sz="4" w:space="0" w:color="auto"/>
              <w:right w:val="single" w:sz="4" w:space="0" w:color="auto"/>
            </w:tcBorders>
            <w:shd w:val="clear" w:color="auto" w:fill="FFFFFF"/>
            <w:noWrap/>
            <w:vAlign w:val="center"/>
            <w:hideMark/>
          </w:tcPr>
          <w:p w14:paraId="5558A5D4" w14:textId="71C9DBF0"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2.1</w:t>
            </w:r>
          </w:p>
        </w:tc>
        <w:tc>
          <w:tcPr>
            <w:tcW w:w="492" w:type="dxa"/>
            <w:tcBorders>
              <w:top w:val="nil"/>
              <w:left w:val="nil"/>
              <w:bottom w:val="single" w:sz="4" w:space="0" w:color="auto"/>
              <w:right w:val="single" w:sz="4" w:space="0" w:color="auto"/>
            </w:tcBorders>
            <w:shd w:val="clear" w:color="auto" w:fill="FFFFFF"/>
            <w:noWrap/>
            <w:vAlign w:val="center"/>
            <w:hideMark/>
          </w:tcPr>
          <w:p w14:paraId="44DE8FDB" w14:textId="6807729B"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1.6</w:t>
            </w:r>
          </w:p>
        </w:tc>
        <w:tc>
          <w:tcPr>
            <w:tcW w:w="567" w:type="dxa"/>
            <w:tcBorders>
              <w:top w:val="nil"/>
              <w:left w:val="nil"/>
              <w:bottom w:val="single" w:sz="4" w:space="0" w:color="auto"/>
              <w:right w:val="single" w:sz="4" w:space="0" w:color="auto"/>
            </w:tcBorders>
            <w:shd w:val="clear" w:color="auto" w:fill="FFFFFF"/>
            <w:noWrap/>
            <w:vAlign w:val="center"/>
            <w:hideMark/>
          </w:tcPr>
          <w:p w14:paraId="2941AD3C" w14:textId="77777777" w:rsidR="00531061" w:rsidRPr="004149A5" w:rsidRDefault="00531061" w:rsidP="005B287F">
            <w:pPr>
              <w:pStyle w:val="ExhibitText"/>
              <w:jc w:val="right"/>
              <w:rPr>
                <w:sz w:val="16"/>
                <w:szCs w:val="16"/>
              </w:rPr>
            </w:pPr>
            <w:r w:rsidRPr="004149A5">
              <w:rPr>
                <w:sz w:val="16"/>
                <w:szCs w:val="16"/>
              </w:rPr>
              <w:t>0.1</w:t>
            </w:r>
          </w:p>
        </w:tc>
      </w:tr>
      <w:tr w:rsidR="004149A5" w:rsidRPr="004149A5" w14:paraId="3E40D4BA"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22DB1F50" w14:textId="11F69221" w:rsidR="00531061" w:rsidRPr="004149A5" w:rsidRDefault="00531061">
            <w:pPr>
              <w:pStyle w:val="ExhibitText"/>
              <w:jc w:val="left"/>
              <w:rPr>
                <w:sz w:val="16"/>
                <w:szCs w:val="16"/>
              </w:rPr>
            </w:pPr>
            <w:r w:rsidRPr="004149A5">
              <w:rPr>
                <w:sz w:val="16"/>
                <w:szCs w:val="16"/>
              </w:rPr>
              <w:t xml:space="preserve">Unemployment </w:t>
            </w:r>
            <w:r w:rsidR="001E7573" w:rsidRPr="004149A5">
              <w:rPr>
                <w:sz w:val="16"/>
                <w:szCs w:val="16"/>
              </w:rPr>
              <w:t>r</w:t>
            </w:r>
            <w:r w:rsidRPr="004149A5">
              <w:rPr>
                <w:sz w:val="16"/>
                <w:szCs w:val="16"/>
              </w:rPr>
              <w:t>ate</w:t>
            </w:r>
            <w:r w:rsidR="001E7573" w:rsidRPr="004149A5">
              <w:rPr>
                <w:sz w:val="16"/>
                <w:szCs w:val="16"/>
              </w:rPr>
              <w:t>,</w:t>
            </w:r>
            <w:r w:rsidRPr="004149A5">
              <w:rPr>
                <w:sz w:val="16"/>
                <w:szCs w:val="16"/>
              </w:rPr>
              <w:t xml:space="preserve"> as a proportion of labo</w:t>
            </w:r>
            <w:r w:rsidR="001E7573" w:rsidRPr="004149A5">
              <w:rPr>
                <w:sz w:val="16"/>
                <w:szCs w:val="16"/>
              </w:rPr>
              <w:t>u</w:t>
            </w:r>
            <w:r w:rsidRPr="004149A5">
              <w:rPr>
                <w:sz w:val="16"/>
                <w:szCs w:val="16"/>
              </w:rPr>
              <w:t>r force</w:t>
            </w:r>
            <w:r w:rsidR="001E7573" w:rsidRPr="004149A5">
              <w:rPr>
                <w:sz w:val="16"/>
                <w:szCs w:val="16"/>
              </w:rPr>
              <w:t xml:space="preserve"> (%</w:t>
            </w:r>
            <w:r w:rsidRPr="004149A5">
              <w:rPr>
                <w:sz w:val="16"/>
                <w:szCs w:val="16"/>
              </w:rPr>
              <w:t>)</w:t>
            </w:r>
          </w:p>
        </w:tc>
        <w:tc>
          <w:tcPr>
            <w:tcW w:w="479" w:type="dxa"/>
            <w:tcBorders>
              <w:top w:val="nil"/>
              <w:left w:val="nil"/>
              <w:bottom w:val="single" w:sz="4" w:space="0" w:color="auto"/>
              <w:right w:val="single" w:sz="4" w:space="0" w:color="auto"/>
            </w:tcBorders>
            <w:shd w:val="clear" w:color="auto" w:fill="FFFFFF"/>
            <w:noWrap/>
            <w:vAlign w:val="center"/>
          </w:tcPr>
          <w:p w14:paraId="4B4D0BBD" w14:textId="217984A1"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65C83D08" w14:textId="6DEB906C"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4DDA40E9" w14:textId="6BFC56A6"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48F8FECA" w14:textId="53507A80"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1353648D" w14:textId="12BE1B4E"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01452E8C" w14:textId="483F837C"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617629C" w14:textId="79C7CF8A"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tcPr>
          <w:p w14:paraId="5A2EEBE3" w14:textId="08B353DC"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51C5A60" w14:textId="65DB2ABD"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hideMark/>
          </w:tcPr>
          <w:p w14:paraId="3BC3F8D4" w14:textId="77777777" w:rsidR="00531061" w:rsidRPr="004149A5" w:rsidRDefault="00531061" w:rsidP="005B287F">
            <w:pPr>
              <w:pStyle w:val="ExhibitText"/>
              <w:jc w:val="right"/>
              <w:rPr>
                <w:sz w:val="16"/>
                <w:szCs w:val="16"/>
              </w:rPr>
            </w:pPr>
            <w:r w:rsidRPr="004149A5">
              <w:rPr>
                <w:sz w:val="16"/>
                <w:szCs w:val="16"/>
              </w:rPr>
              <w:t>11.4</w:t>
            </w:r>
          </w:p>
        </w:tc>
        <w:tc>
          <w:tcPr>
            <w:tcW w:w="567" w:type="dxa"/>
            <w:tcBorders>
              <w:top w:val="nil"/>
              <w:left w:val="nil"/>
              <w:bottom w:val="single" w:sz="4" w:space="0" w:color="auto"/>
              <w:right w:val="single" w:sz="4" w:space="0" w:color="auto"/>
            </w:tcBorders>
            <w:shd w:val="clear" w:color="auto" w:fill="FFFFFF"/>
            <w:noWrap/>
            <w:vAlign w:val="center"/>
            <w:hideMark/>
          </w:tcPr>
          <w:p w14:paraId="682DC2B1" w14:textId="77777777" w:rsidR="00531061" w:rsidRPr="004149A5" w:rsidRDefault="00531061" w:rsidP="005B287F">
            <w:pPr>
              <w:pStyle w:val="ExhibitText"/>
              <w:jc w:val="right"/>
              <w:rPr>
                <w:sz w:val="16"/>
                <w:szCs w:val="16"/>
              </w:rPr>
            </w:pPr>
            <w:r w:rsidRPr="004149A5">
              <w:rPr>
                <w:sz w:val="16"/>
                <w:szCs w:val="16"/>
              </w:rPr>
              <w:t>10.8</w:t>
            </w:r>
          </w:p>
        </w:tc>
        <w:tc>
          <w:tcPr>
            <w:tcW w:w="567" w:type="dxa"/>
            <w:tcBorders>
              <w:top w:val="nil"/>
              <w:left w:val="nil"/>
              <w:bottom w:val="single" w:sz="4" w:space="0" w:color="auto"/>
              <w:right w:val="single" w:sz="4" w:space="0" w:color="auto"/>
            </w:tcBorders>
            <w:shd w:val="clear" w:color="auto" w:fill="FFFFFF"/>
            <w:noWrap/>
            <w:vAlign w:val="center"/>
            <w:hideMark/>
          </w:tcPr>
          <w:p w14:paraId="3E92ECCC" w14:textId="77777777" w:rsidR="00531061" w:rsidRPr="004149A5" w:rsidRDefault="00531061" w:rsidP="005B287F">
            <w:pPr>
              <w:pStyle w:val="ExhibitText"/>
              <w:jc w:val="right"/>
              <w:rPr>
                <w:sz w:val="16"/>
                <w:szCs w:val="16"/>
              </w:rPr>
            </w:pPr>
            <w:r w:rsidRPr="004149A5">
              <w:rPr>
                <w:sz w:val="16"/>
                <w:szCs w:val="16"/>
              </w:rPr>
              <w:t>8.4</w:t>
            </w:r>
          </w:p>
        </w:tc>
        <w:tc>
          <w:tcPr>
            <w:tcW w:w="567" w:type="dxa"/>
            <w:tcBorders>
              <w:top w:val="nil"/>
              <w:left w:val="nil"/>
              <w:bottom w:val="single" w:sz="4" w:space="0" w:color="auto"/>
              <w:right w:val="single" w:sz="4" w:space="0" w:color="auto"/>
            </w:tcBorders>
            <w:shd w:val="clear" w:color="auto" w:fill="FFFFFF"/>
            <w:noWrap/>
            <w:vAlign w:val="center"/>
            <w:hideMark/>
          </w:tcPr>
          <w:p w14:paraId="2593288D" w14:textId="77777777" w:rsidR="00531061" w:rsidRPr="004149A5" w:rsidRDefault="00531061" w:rsidP="005B287F">
            <w:pPr>
              <w:pStyle w:val="ExhibitText"/>
              <w:jc w:val="right"/>
              <w:rPr>
                <w:sz w:val="16"/>
                <w:szCs w:val="16"/>
              </w:rPr>
            </w:pPr>
            <w:r w:rsidRPr="004149A5">
              <w:rPr>
                <w:sz w:val="16"/>
                <w:szCs w:val="16"/>
              </w:rPr>
              <w:t>7.8</w:t>
            </w:r>
          </w:p>
        </w:tc>
        <w:tc>
          <w:tcPr>
            <w:tcW w:w="567" w:type="dxa"/>
            <w:tcBorders>
              <w:top w:val="nil"/>
              <w:left w:val="nil"/>
              <w:bottom w:val="single" w:sz="4" w:space="0" w:color="auto"/>
              <w:right w:val="single" w:sz="4" w:space="0" w:color="auto"/>
            </w:tcBorders>
            <w:shd w:val="clear" w:color="auto" w:fill="FFFFFF"/>
            <w:noWrap/>
            <w:vAlign w:val="center"/>
            <w:hideMark/>
          </w:tcPr>
          <w:p w14:paraId="198765EB" w14:textId="77777777" w:rsidR="00531061" w:rsidRPr="004149A5" w:rsidRDefault="00531061" w:rsidP="005B287F">
            <w:pPr>
              <w:pStyle w:val="ExhibitText"/>
              <w:jc w:val="right"/>
              <w:rPr>
                <w:sz w:val="16"/>
                <w:szCs w:val="16"/>
              </w:rPr>
            </w:pPr>
            <w:r w:rsidRPr="004149A5">
              <w:rPr>
                <w:sz w:val="16"/>
                <w:szCs w:val="16"/>
              </w:rPr>
              <w:t>9.6</w:t>
            </w:r>
          </w:p>
        </w:tc>
        <w:tc>
          <w:tcPr>
            <w:tcW w:w="567" w:type="dxa"/>
            <w:tcBorders>
              <w:top w:val="nil"/>
              <w:left w:val="nil"/>
              <w:bottom w:val="single" w:sz="4" w:space="0" w:color="auto"/>
              <w:right w:val="single" w:sz="4" w:space="0" w:color="auto"/>
            </w:tcBorders>
            <w:shd w:val="clear" w:color="auto" w:fill="FFFFFF"/>
            <w:noWrap/>
            <w:vAlign w:val="center"/>
            <w:hideMark/>
          </w:tcPr>
          <w:p w14:paraId="7A5DA0CA" w14:textId="77777777" w:rsidR="00531061" w:rsidRPr="004149A5" w:rsidRDefault="00531061" w:rsidP="005B287F">
            <w:pPr>
              <w:pStyle w:val="ExhibitText"/>
              <w:jc w:val="right"/>
              <w:rPr>
                <w:sz w:val="16"/>
                <w:szCs w:val="16"/>
              </w:rPr>
            </w:pPr>
            <w:r w:rsidRPr="004149A5">
              <w:rPr>
                <w:sz w:val="16"/>
                <w:szCs w:val="16"/>
              </w:rPr>
              <w:t>12.7</w:t>
            </w:r>
          </w:p>
        </w:tc>
        <w:tc>
          <w:tcPr>
            <w:tcW w:w="567" w:type="dxa"/>
            <w:tcBorders>
              <w:top w:val="nil"/>
              <w:left w:val="nil"/>
              <w:bottom w:val="single" w:sz="4" w:space="0" w:color="auto"/>
              <w:right w:val="single" w:sz="4" w:space="0" w:color="auto"/>
            </w:tcBorders>
            <w:shd w:val="clear" w:color="auto" w:fill="FFFFFF"/>
            <w:noWrap/>
            <w:vAlign w:val="center"/>
            <w:hideMark/>
          </w:tcPr>
          <w:p w14:paraId="74EE5CF7" w14:textId="77777777" w:rsidR="00531061" w:rsidRPr="004149A5" w:rsidRDefault="00531061" w:rsidP="005B287F">
            <w:pPr>
              <w:pStyle w:val="ExhibitText"/>
              <w:jc w:val="right"/>
              <w:rPr>
                <w:sz w:val="16"/>
                <w:szCs w:val="16"/>
              </w:rPr>
            </w:pPr>
            <w:r w:rsidRPr="004149A5">
              <w:rPr>
                <w:sz w:val="16"/>
                <w:szCs w:val="16"/>
              </w:rPr>
              <w:t>17.9</w:t>
            </w:r>
          </w:p>
        </w:tc>
        <w:tc>
          <w:tcPr>
            <w:tcW w:w="567" w:type="dxa"/>
            <w:tcBorders>
              <w:top w:val="nil"/>
              <w:left w:val="nil"/>
              <w:bottom w:val="single" w:sz="4" w:space="0" w:color="auto"/>
              <w:right w:val="single" w:sz="4" w:space="0" w:color="auto"/>
            </w:tcBorders>
            <w:shd w:val="clear" w:color="auto" w:fill="FFFFFF"/>
            <w:noWrap/>
            <w:vAlign w:val="center"/>
            <w:hideMark/>
          </w:tcPr>
          <w:p w14:paraId="77716C09" w14:textId="77777777" w:rsidR="00531061" w:rsidRPr="004149A5" w:rsidRDefault="00531061" w:rsidP="005B287F">
            <w:pPr>
              <w:pStyle w:val="ExhibitText"/>
              <w:jc w:val="right"/>
              <w:rPr>
                <w:sz w:val="16"/>
                <w:szCs w:val="16"/>
              </w:rPr>
            </w:pPr>
            <w:r w:rsidRPr="004149A5">
              <w:rPr>
                <w:sz w:val="16"/>
                <w:szCs w:val="16"/>
              </w:rPr>
              <w:t>24.4</w:t>
            </w:r>
          </w:p>
        </w:tc>
        <w:tc>
          <w:tcPr>
            <w:tcW w:w="501" w:type="dxa"/>
            <w:tcBorders>
              <w:top w:val="nil"/>
              <w:left w:val="nil"/>
              <w:bottom w:val="single" w:sz="4" w:space="0" w:color="auto"/>
              <w:right w:val="single" w:sz="4" w:space="0" w:color="auto"/>
            </w:tcBorders>
            <w:shd w:val="clear" w:color="auto" w:fill="FFFFFF"/>
            <w:noWrap/>
            <w:vAlign w:val="center"/>
            <w:hideMark/>
          </w:tcPr>
          <w:p w14:paraId="554A7C4C" w14:textId="77777777" w:rsidR="00531061" w:rsidRPr="004149A5" w:rsidRDefault="00531061" w:rsidP="005B287F">
            <w:pPr>
              <w:pStyle w:val="ExhibitText"/>
              <w:jc w:val="right"/>
              <w:rPr>
                <w:sz w:val="16"/>
                <w:szCs w:val="16"/>
              </w:rPr>
            </w:pPr>
            <w:r w:rsidRPr="004149A5">
              <w:rPr>
                <w:sz w:val="16"/>
                <w:szCs w:val="16"/>
              </w:rPr>
              <w:t>27.5</w:t>
            </w:r>
          </w:p>
        </w:tc>
        <w:tc>
          <w:tcPr>
            <w:tcW w:w="492" w:type="dxa"/>
            <w:tcBorders>
              <w:top w:val="nil"/>
              <w:left w:val="nil"/>
              <w:bottom w:val="single" w:sz="4" w:space="0" w:color="auto"/>
              <w:right w:val="single" w:sz="4" w:space="0" w:color="auto"/>
            </w:tcBorders>
            <w:shd w:val="clear" w:color="auto" w:fill="FFFFFF"/>
            <w:noWrap/>
            <w:vAlign w:val="center"/>
            <w:hideMark/>
          </w:tcPr>
          <w:p w14:paraId="258F4029" w14:textId="77777777" w:rsidR="00531061" w:rsidRPr="004149A5" w:rsidRDefault="00531061" w:rsidP="005B287F">
            <w:pPr>
              <w:pStyle w:val="ExhibitText"/>
              <w:jc w:val="right"/>
              <w:rPr>
                <w:sz w:val="16"/>
                <w:szCs w:val="16"/>
              </w:rPr>
            </w:pPr>
            <w:r w:rsidRPr="004149A5">
              <w:rPr>
                <w:sz w:val="16"/>
                <w:szCs w:val="16"/>
              </w:rPr>
              <w:t>26.5</w:t>
            </w:r>
          </w:p>
        </w:tc>
        <w:tc>
          <w:tcPr>
            <w:tcW w:w="567" w:type="dxa"/>
            <w:tcBorders>
              <w:top w:val="nil"/>
              <w:left w:val="nil"/>
              <w:bottom w:val="single" w:sz="4" w:space="0" w:color="auto"/>
              <w:right w:val="single" w:sz="4" w:space="0" w:color="auto"/>
            </w:tcBorders>
            <w:shd w:val="clear" w:color="auto" w:fill="FFFFFF"/>
            <w:noWrap/>
            <w:vAlign w:val="center"/>
            <w:hideMark/>
          </w:tcPr>
          <w:p w14:paraId="039D227D" w14:textId="77777777" w:rsidR="00531061" w:rsidRPr="004149A5" w:rsidRDefault="00531061" w:rsidP="005B287F">
            <w:pPr>
              <w:pStyle w:val="ExhibitText"/>
              <w:jc w:val="right"/>
              <w:rPr>
                <w:sz w:val="16"/>
                <w:szCs w:val="16"/>
              </w:rPr>
            </w:pPr>
            <w:r w:rsidRPr="004149A5">
              <w:rPr>
                <w:sz w:val="16"/>
                <w:szCs w:val="16"/>
              </w:rPr>
              <w:t>24.9</w:t>
            </w:r>
          </w:p>
        </w:tc>
      </w:tr>
      <w:tr w:rsidR="004149A5" w:rsidRPr="004149A5" w14:paraId="315B2295"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582DA9B4" w14:textId="24037D90" w:rsidR="00531061" w:rsidRPr="004149A5" w:rsidRDefault="00531061">
            <w:pPr>
              <w:pStyle w:val="ExhibitText"/>
              <w:jc w:val="left"/>
              <w:rPr>
                <w:sz w:val="16"/>
                <w:szCs w:val="16"/>
              </w:rPr>
            </w:pPr>
            <w:r w:rsidRPr="004149A5">
              <w:rPr>
                <w:sz w:val="16"/>
                <w:szCs w:val="16"/>
              </w:rPr>
              <w:t>Gov</w:t>
            </w:r>
            <w:r w:rsidR="001E7573" w:rsidRPr="004149A5">
              <w:rPr>
                <w:sz w:val="16"/>
                <w:szCs w:val="16"/>
              </w:rPr>
              <w:t>ernment</w:t>
            </w:r>
            <w:r w:rsidRPr="004149A5">
              <w:rPr>
                <w:sz w:val="16"/>
                <w:szCs w:val="16"/>
              </w:rPr>
              <w:t xml:space="preserve"> debt</w:t>
            </w:r>
          </w:p>
        </w:tc>
        <w:tc>
          <w:tcPr>
            <w:tcW w:w="479" w:type="dxa"/>
            <w:tcBorders>
              <w:top w:val="nil"/>
              <w:left w:val="nil"/>
              <w:bottom w:val="single" w:sz="4" w:space="0" w:color="auto"/>
              <w:right w:val="single" w:sz="4" w:space="0" w:color="auto"/>
            </w:tcBorders>
            <w:shd w:val="clear" w:color="auto" w:fill="FFFFFF"/>
            <w:noWrap/>
            <w:vAlign w:val="center"/>
            <w:hideMark/>
          </w:tcPr>
          <w:p w14:paraId="6AD438D4" w14:textId="77777777" w:rsidR="00531061" w:rsidRPr="004149A5" w:rsidRDefault="00531061" w:rsidP="005B287F">
            <w:pPr>
              <w:pStyle w:val="ExhibitText"/>
              <w:jc w:val="right"/>
              <w:rPr>
                <w:sz w:val="16"/>
                <w:szCs w:val="16"/>
              </w:rPr>
            </w:pPr>
            <w:r w:rsidRPr="004149A5">
              <w:rPr>
                <w:sz w:val="16"/>
                <w:szCs w:val="16"/>
              </w:rPr>
              <w:t>15.0</w:t>
            </w:r>
          </w:p>
        </w:tc>
        <w:tc>
          <w:tcPr>
            <w:tcW w:w="425" w:type="dxa"/>
            <w:tcBorders>
              <w:top w:val="nil"/>
              <w:left w:val="nil"/>
              <w:bottom w:val="single" w:sz="4" w:space="0" w:color="auto"/>
              <w:right w:val="single" w:sz="4" w:space="0" w:color="auto"/>
            </w:tcBorders>
            <w:shd w:val="clear" w:color="auto" w:fill="FFFFFF"/>
            <w:noWrap/>
            <w:vAlign w:val="center"/>
            <w:hideMark/>
          </w:tcPr>
          <w:p w14:paraId="6A950012" w14:textId="77777777" w:rsidR="00531061" w:rsidRPr="004149A5" w:rsidRDefault="00531061" w:rsidP="005B287F">
            <w:pPr>
              <w:pStyle w:val="ExhibitText"/>
              <w:jc w:val="right"/>
              <w:rPr>
                <w:sz w:val="16"/>
                <w:szCs w:val="16"/>
              </w:rPr>
            </w:pPr>
            <w:r w:rsidRPr="004149A5">
              <w:rPr>
                <w:sz w:val="16"/>
                <w:szCs w:val="16"/>
              </w:rPr>
              <w:t>20.0</w:t>
            </w:r>
          </w:p>
        </w:tc>
        <w:tc>
          <w:tcPr>
            <w:tcW w:w="425" w:type="dxa"/>
            <w:tcBorders>
              <w:top w:val="nil"/>
              <w:left w:val="nil"/>
              <w:bottom w:val="single" w:sz="4" w:space="0" w:color="auto"/>
              <w:right w:val="single" w:sz="4" w:space="0" w:color="auto"/>
            </w:tcBorders>
            <w:noWrap/>
            <w:vAlign w:val="center"/>
            <w:hideMark/>
          </w:tcPr>
          <w:p w14:paraId="71309178" w14:textId="2B1CBF63" w:rsidR="00531061" w:rsidRPr="004149A5" w:rsidRDefault="00187DCD" w:rsidP="005B287F">
            <w:pPr>
              <w:pStyle w:val="ExhibitText"/>
              <w:jc w:val="right"/>
              <w:rPr>
                <w:sz w:val="16"/>
                <w:szCs w:val="16"/>
              </w:rPr>
            </w:pPr>
            <w:r w:rsidRPr="004149A5">
              <w:rPr>
                <w:sz w:val="16"/>
                <w:szCs w:val="16"/>
              </w:rPr>
              <w:t xml:space="preserve"> </w:t>
            </w:r>
          </w:p>
        </w:tc>
        <w:tc>
          <w:tcPr>
            <w:tcW w:w="426" w:type="dxa"/>
            <w:tcBorders>
              <w:top w:val="nil"/>
              <w:left w:val="nil"/>
              <w:bottom w:val="single" w:sz="4" w:space="0" w:color="auto"/>
              <w:right w:val="single" w:sz="4" w:space="0" w:color="auto"/>
            </w:tcBorders>
            <w:shd w:val="clear" w:color="auto" w:fill="FFFFFF"/>
            <w:noWrap/>
            <w:vAlign w:val="center"/>
            <w:hideMark/>
          </w:tcPr>
          <w:p w14:paraId="6F49AE1D" w14:textId="77777777" w:rsidR="00531061" w:rsidRPr="004149A5" w:rsidRDefault="00531061" w:rsidP="005B287F">
            <w:pPr>
              <w:pStyle w:val="ExhibitText"/>
              <w:jc w:val="right"/>
              <w:rPr>
                <w:sz w:val="16"/>
                <w:szCs w:val="16"/>
              </w:rPr>
            </w:pPr>
            <w:r w:rsidRPr="004149A5">
              <w:rPr>
                <w:sz w:val="16"/>
                <w:szCs w:val="16"/>
              </w:rPr>
              <w:t>21.4</w:t>
            </w:r>
          </w:p>
        </w:tc>
        <w:tc>
          <w:tcPr>
            <w:tcW w:w="425" w:type="dxa"/>
            <w:tcBorders>
              <w:top w:val="nil"/>
              <w:left w:val="nil"/>
              <w:bottom w:val="single" w:sz="4" w:space="0" w:color="auto"/>
              <w:right w:val="single" w:sz="4" w:space="0" w:color="auto"/>
            </w:tcBorders>
            <w:shd w:val="clear" w:color="auto" w:fill="FFFFFF"/>
            <w:noWrap/>
            <w:vAlign w:val="center"/>
            <w:hideMark/>
          </w:tcPr>
          <w:p w14:paraId="78A982BF" w14:textId="77777777" w:rsidR="00531061" w:rsidRPr="004149A5" w:rsidRDefault="00531061" w:rsidP="005B287F">
            <w:pPr>
              <w:pStyle w:val="ExhibitText"/>
              <w:jc w:val="right"/>
              <w:rPr>
                <w:sz w:val="16"/>
                <w:szCs w:val="16"/>
              </w:rPr>
            </w:pPr>
            <w:r w:rsidRPr="004149A5">
              <w:rPr>
                <w:sz w:val="16"/>
                <w:szCs w:val="16"/>
              </w:rPr>
              <w:t>25.4</w:t>
            </w:r>
          </w:p>
        </w:tc>
        <w:tc>
          <w:tcPr>
            <w:tcW w:w="425" w:type="dxa"/>
            <w:tcBorders>
              <w:top w:val="nil"/>
              <w:left w:val="nil"/>
              <w:bottom w:val="single" w:sz="4" w:space="0" w:color="auto"/>
              <w:right w:val="single" w:sz="4" w:space="0" w:color="auto"/>
            </w:tcBorders>
            <w:noWrap/>
            <w:vAlign w:val="center"/>
            <w:hideMark/>
          </w:tcPr>
          <w:p w14:paraId="1A09CF1A" w14:textId="77777777" w:rsidR="00531061" w:rsidRPr="004149A5" w:rsidRDefault="00531061" w:rsidP="005B287F">
            <w:pPr>
              <w:pStyle w:val="ExhibitText"/>
              <w:jc w:val="right"/>
              <w:rPr>
                <w:sz w:val="16"/>
                <w:szCs w:val="16"/>
              </w:rPr>
            </w:pPr>
            <w:r w:rsidRPr="004149A5">
              <w:rPr>
                <w:sz w:val="16"/>
                <w:szCs w:val="16"/>
              </w:rPr>
              <w:t>46.0</w:t>
            </w:r>
          </w:p>
        </w:tc>
        <w:tc>
          <w:tcPr>
            <w:tcW w:w="425" w:type="dxa"/>
            <w:tcBorders>
              <w:top w:val="nil"/>
              <w:left w:val="nil"/>
              <w:bottom w:val="single" w:sz="4" w:space="0" w:color="auto"/>
              <w:right w:val="single" w:sz="4" w:space="0" w:color="auto"/>
            </w:tcBorders>
            <w:noWrap/>
            <w:vAlign w:val="center"/>
            <w:hideMark/>
          </w:tcPr>
          <w:p w14:paraId="055AD9B6" w14:textId="77777777" w:rsidR="00531061" w:rsidRPr="004149A5" w:rsidRDefault="00531061" w:rsidP="005B287F">
            <w:pPr>
              <w:pStyle w:val="ExhibitText"/>
              <w:jc w:val="right"/>
              <w:rPr>
                <w:sz w:val="16"/>
                <w:szCs w:val="16"/>
              </w:rPr>
            </w:pPr>
            <w:r w:rsidRPr="004149A5">
              <w:rPr>
                <w:sz w:val="16"/>
                <w:szCs w:val="16"/>
              </w:rPr>
              <w:t>68.2</w:t>
            </w:r>
          </w:p>
        </w:tc>
        <w:tc>
          <w:tcPr>
            <w:tcW w:w="426" w:type="dxa"/>
            <w:tcBorders>
              <w:top w:val="nil"/>
              <w:left w:val="nil"/>
              <w:bottom w:val="single" w:sz="4" w:space="0" w:color="auto"/>
              <w:right w:val="single" w:sz="4" w:space="0" w:color="auto"/>
            </w:tcBorders>
            <w:noWrap/>
            <w:vAlign w:val="center"/>
            <w:hideMark/>
          </w:tcPr>
          <w:p w14:paraId="095ED69D" w14:textId="77777777" w:rsidR="00531061" w:rsidRPr="004149A5" w:rsidRDefault="00531061" w:rsidP="005B287F">
            <w:pPr>
              <w:pStyle w:val="ExhibitText"/>
              <w:jc w:val="right"/>
              <w:rPr>
                <w:sz w:val="16"/>
                <w:szCs w:val="16"/>
              </w:rPr>
            </w:pPr>
            <w:r w:rsidRPr="004149A5">
              <w:rPr>
                <w:sz w:val="16"/>
                <w:szCs w:val="16"/>
              </w:rPr>
              <w:t>70.5</w:t>
            </w:r>
          </w:p>
        </w:tc>
        <w:tc>
          <w:tcPr>
            <w:tcW w:w="425" w:type="dxa"/>
            <w:tcBorders>
              <w:top w:val="nil"/>
              <w:left w:val="nil"/>
              <w:bottom w:val="single" w:sz="4" w:space="0" w:color="auto"/>
              <w:right w:val="single" w:sz="4" w:space="0" w:color="auto"/>
            </w:tcBorders>
            <w:noWrap/>
            <w:vAlign w:val="center"/>
            <w:hideMark/>
          </w:tcPr>
          <w:p w14:paraId="165C010E" w14:textId="77777777" w:rsidR="00531061" w:rsidRPr="004149A5" w:rsidRDefault="00531061" w:rsidP="005B287F">
            <w:pPr>
              <w:pStyle w:val="ExhibitText"/>
              <w:jc w:val="right"/>
              <w:rPr>
                <w:sz w:val="16"/>
                <w:szCs w:val="16"/>
              </w:rPr>
            </w:pPr>
            <w:r w:rsidRPr="004149A5">
              <w:rPr>
                <w:sz w:val="16"/>
                <w:szCs w:val="16"/>
              </w:rPr>
              <w:t>99.0</w:t>
            </w:r>
          </w:p>
        </w:tc>
        <w:tc>
          <w:tcPr>
            <w:tcW w:w="425" w:type="dxa"/>
            <w:tcBorders>
              <w:top w:val="nil"/>
              <w:left w:val="nil"/>
              <w:bottom w:val="single" w:sz="4" w:space="0" w:color="auto"/>
              <w:right w:val="single" w:sz="4" w:space="0" w:color="auto"/>
            </w:tcBorders>
            <w:noWrap/>
            <w:vAlign w:val="center"/>
            <w:hideMark/>
          </w:tcPr>
          <w:p w14:paraId="62A13C84" w14:textId="77777777" w:rsidR="00531061" w:rsidRPr="004149A5" w:rsidRDefault="00531061" w:rsidP="005B287F">
            <w:pPr>
              <w:pStyle w:val="ExhibitText"/>
              <w:jc w:val="right"/>
              <w:rPr>
                <w:sz w:val="16"/>
                <w:szCs w:val="16"/>
              </w:rPr>
            </w:pPr>
            <w:r w:rsidRPr="004149A5">
              <w:rPr>
                <w:sz w:val="16"/>
                <w:szCs w:val="16"/>
              </w:rPr>
              <w:t>104.9</w:t>
            </w:r>
          </w:p>
        </w:tc>
        <w:tc>
          <w:tcPr>
            <w:tcW w:w="567" w:type="dxa"/>
            <w:tcBorders>
              <w:top w:val="nil"/>
              <w:left w:val="nil"/>
              <w:bottom w:val="single" w:sz="4" w:space="0" w:color="auto"/>
              <w:right w:val="single" w:sz="4" w:space="0" w:color="auto"/>
            </w:tcBorders>
            <w:noWrap/>
            <w:vAlign w:val="center"/>
            <w:hideMark/>
          </w:tcPr>
          <w:p w14:paraId="5E9B8A43" w14:textId="77777777" w:rsidR="00531061" w:rsidRPr="004149A5" w:rsidRDefault="00531061" w:rsidP="005B287F">
            <w:pPr>
              <w:pStyle w:val="ExhibitText"/>
              <w:jc w:val="right"/>
              <w:rPr>
                <w:sz w:val="16"/>
                <w:szCs w:val="16"/>
              </w:rPr>
            </w:pPr>
            <w:r w:rsidRPr="004149A5">
              <w:rPr>
                <w:sz w:val="16"/>
                <w:szCs w:val="16"/>
              </w:rPr>
              <w:t>107.1</w:t>
            </w:r>
          </w:p>
        </w:tc>
        <w:tc>
          <w:tcPr>
            <w:tcW w:w="567" w:type="dxa"/>
            <w:tcBorders>
              <w:top w:val="nil"/>
              <w:left w:val="nil"/>
              <w:bottom w:val="single" w:sz="4" w:space="0" w:color="auto"/>
              <w:right w:val="single" w:sz="4" w:space="0" w:color="auto"/>
            </w:tcBorders>
            <w:noWrap/>
            <w:vAlign w:val="center"/>
            <w:hideMark/>
          </w:tcPr>
          <w:p w14:paraId="10142547" w14:textId="77777777" w:rsidR="00531061" w:rsidRPr="004149A5" w:rsidRDefault="00531061" w:rsidP="005B287F">
            <w:pPr>
              <w:pStyle w:val="ExhibitText"/>
              <w:jc w:val="right"/>
              <w:rPr>
                <w:sz w:val="16"/>
                <w:szCs w:val="16"/>
              </w:rPr>
            </w:pPr>
            <w:r w:rsidRPr="004149A5">
              <w:rPr>
                <w:sz w:val="16"/>
                <w:szCs w:val="16"/>
              </w:rPr>
              <w:t>103.1</w:t>
            </w:r>
          </w:p>
        </w:tc>
        <w:tc>
          <w:tcPr>
            <w:tcW w:w="567" w:type="dxa"/>
            <w:tcBorders>
              <w:top w:val="nil"/>
              <w:left w:val="nil"/>
              <w:bottom w:val="single" w:sz="4" w:space="0" w:color="auto"/>
              <w:right w:val="single" w:sz="4" w:space="0" w:color="auto"/>
            </w:tcBorders>
            <w:noWrap/>
            <w:vAlign w:val="center"/>
            <w:hideMark/>
          </w:tcPr>
          <w:p w14:paraId="6FE6CEB6" w14:textId="77777777" w:rsidR="00531061" w:rsidRPr="004149A5" w:rsidRDefault="00531061" w:rsidP="005B287F">
            <w:pPr>
              <w:pStyle w:val="ExhibitText"/>
              <w:jc w:val="right"/>
              <w:rPr>
                <w:sz w:val="16"/>
                <w:szCs w:val="16"/>
              </w:rPr>
            </w:pPr>
            <w:r w:rsidRPr="004149A5">
              <w:rPr>
                <w:sz w:val="16"/>
                <w:szCs w:val="16"/>
              </w:rPr>
              <w:t>109.4</w:t>
            </w:r>
          </w:p>
        </w:tc>
        <w:tc>
          <w:tcPr>
            <w:tcW w:w="567" w:type="dxa"/>
            <w:tcBorders>
              <w:top w:val="nil"/>
              <w:left w:val="nil"/>
              <w:bottom w:val="single" w:sz="4" w:space="0" w:color="auto"/>
              <w:right w:val="single" w:sz="4" w:space="0" w:color="auto"/>
            </w:tcBorders>
            <w:noWrap/>
            <w:vAlign w:val="center"/>
            <w:hideMark/>
          </w:tcPr>
          <w:p w14:paraId="0495059F" w14:textId="77777777" w:rsidR="00531061" w:rsidRPr="004149A5" w:rsidRDefault="00531061" w:rsidP="005B287F">
            <w:pPr>
              <w:pStyle w:val="ExhibitText"/>
              <w:jc w:val="right"/>
              <w:rPr>
                <w:sz w:val="16"/>
                <w:szCs w:val="16"/>
              </w:rPr>
            </w:pPr>
            <w:r w:rsidRPr="004149A5">
              <w:rPr>
                <w:sz w:val="16"/>
                <w:szCs w:val="16"/>
              </w:rPr>
              <w:t>126.7</w:t>
            </w:r>
          </w:p>
        </w:tc>
        <w:tc>
          <w:tcPr>
            <w:tcW w:w="567" w:type="dxa"/>
            <w:tcBorders>
              <w:top w:val="nil"/>
              <w:left w:val="nil"/>
              <w:bottom w:val="single" w:sz="4" w:space="0" w:color="auto"/>
              <w:right w:val="single" w:sz="4" w:space="0" w:color="auto"/>
            </w:tcBorders>
            <w:noWrap/>
            <w:vAlign w:val="center"/>
            <w:hideMark/>
          </w:tcPr>
          <w:p w14:paraId="64054EA5" w14:textId="77777777" w:rsidR="00531061" w:rsidRPr="004149A5" w:rsidRDefault="00531061" w:rsidP="005B287F">
            <w:pPr>
              <w:pStyle w:val="ExhibitText"/>
              <w:jc w:val="right"/>
              <w:rPr>
                <w:sz w:val="16"/>
                <w:szCs w:val="16"/>
              </w:rPr>
            </w:pPr>
            <w:r w:rsidRPr="004149A5">
              <w:rPr>
                <w:sz w:val="16"/>
                <w:szCs w:val="16"/>
              </w:rPr>
              <w:t>146.2</w:t>
            </w:r>
          </w:p>
        </w:tc>
        <w:tc>
          <w:tcPr>
            <w:tcW w:w="567" w:type="dxa"/>
            <w:tcBorders>
              <w:top w:val="nil"/>
              <w:left w:val="nil"/>
              <w:bottom w:val="single" w:sz="4" w:space="0" w:color="auto"/>
              <w:right w:val="single" w:sz="4" w:space="0" w:color="auto"/>
            </w:tcBorders>
            <w:noWrap/>
            <w:vAlign w:val="center"/>
            <w:hideMark/>
          </w:tcPr>
          <w:p w14:paraId="3AA6FE63" w14:textId="77777777" w:rsidR="00531061" w:rsidRPr="004149A5" w:rsidRDefault="00531061" w:rsidP="005B287F">
            <w:pPr>
              <w:pStyle w:val="ExhibitText"/>
              <w:jc w:val="right"/>
              <w:rPr>
                <w:sz w:val="16"/>
                <w:szCs w:val="16"/>
              </w:rPr>
            </w:pPr>
            <w:r w:rsidRPr="004149A5">
              <w:rPr>
                <w:sz w:val="16"/>
                <w:szCs w:val="16"/>
              </w:rPr>
              <w:t>172.1</w:t>
            </w:r>
          </w:p>
        </w:tc>
        <w:tc>
          <w:tcPr>
            <w:tcW w:w="567" w:type="dxa"/>
            <w:tcBorders>
              <w:top w:val="nil"/>
              <w:left w:val="nil"/>
              <w:bottom w:val="single" w:sz="4" w:space="0" w:color="auto"/>
              <w:right w:val="single" w:sz="4" w:space="0" w:color="auto"/>
            </w:tcBorders>
            <w:noWrap/>
            <w:vAlign w:val="center"/>
            <w:hideMark/>
          </w:tcPr>
          <w:p w14:paraId="3379EBC4" w14:textId="77777777" w:rsidR="00531061" w:rsidRPr="004149A5" w:rsidRDefault="00531061" w:rsidP="005B287F">
            <w:pPr>
              <w:pStyle w:val="ExhibitText"/>
              <w:jc w:val="right"/>
              <w:rPr>
                <w:sz w:val="16"/>
                <w:szCs w:val="16"/>
              </w:rPr>
            </w:pPr>
            <w:r w:rsidRPr="004149A5">
              <w:rPr>
                <w:sz w:val="16"/>
                <w:szCs w:val="16"/>
              </w:rPr>
              <w:t>159.6</w:t>
            </w:r>
          </w:p>
        </w:tc>
        <w:tc>
          <w:tcPr>
            <w:tcW w:w="501" w:type="dxa"/>
            <w:tcBorders>
              <w:top w:val="nil"/>
              <w:left w:val="nil"/>
              <w:bottom w:val="single" w:sz="4" w:space="0" w:color="auto"/>
              <w:right w:val="single" w:sz="4" w:space="0" w:color="auto"/>
            </w:tcBorders>
            <w:noWrap/>
            <w:vAlign w:val="center"/>
            <w:hideMark/>
          </w:tcPr>
          <w:p w14:paraId="675682D6" w14:textId="77777777" w:rsidR="00531061" w:rsidRPr="004149A5" w:rsidRDefault="00531061" w:rsidP="005B287F">
            <w:pPr>
              <w:pStyle w:val="ExhibitText"/>
              <w:jc w:val="right"/>
              <w:rPr>
                <w:sz w:val="16"/>
                <w:szCs w:val="16"/>
              </w:rPr>
            </w:pPr>
            <w:r w:rsidRPr="004149A5">
              <w:rPr>
                <w:sz w:val="16"/>
                <w:szCs w:val="16"/>
              </w:rPr>
              <w:t>177.4</w:t>
            </w:r>
          </w:p>
        </w:tc>
        <w:tc>
          <w:tcPr>
            <w:tcW w:w="492" w:type="dxa"/>
            <w:tcBorders>
              <w:top w:val="nil"/>
              <w:left w:val="nil"/>
              <w:bottom w:val="single" w:sz="4" w:space="0" w:color="auto"/>
              <w:right w:val="single" w:sz="4" w:space="0" w:color="auto"/>
            </w:tcBorders>
            <w:noWrap/>
            <w:vAlign w:val="center"/>
            <w:hideMark/>
          </w:tcPr>
          <w:p w14:paraId="7CE63444" w14:textId="77777777" w:rsidR="00531061" w:rsidRPr="004149A5" w:rsidRDefault="00531061" w:rsidP="005B287F">
            <w:pPr>
              <w:pStyle w:val="ExhibitText"/>
              <w:jc w:val="right"/>
              <w:rPr>
                <w:sz w:val="16"/>
                <w:szCs w:val="16"/>
              </w:rPr>
            </w:pPr>
            <w:r w:rsidRPr="004149A5">
              <w:rPr>
                <w:sz w:val="16"/>
                <w:szCs w:val="16"/>
              </w:rPr>
              <w:t>179.7</w:t>
            </w:r>
          </w:p>
        </w:tc>
        <w:tc>
          <w:tcPr>
            <w:tcW w:w="567" w:type="dxa"/>
            <w:tcBorders>
              <w:top w:val="nil"/>
              <w:left w:val="nil"/>
              <w:bottom w:val="single" w:sz="4" w:space="0" w:color="auto"/>
              <w:right w:val="single" w:sz="4" w:space="0" w:color="auto"/>
            </w:tcBorders>
            <w:noWrap/>
            <w:vAlign w:val="center"/>
            <w:hideMark/>
          </w:tcPr>
          <w:p w14:paraId="266FFD74" w14:textId="77777777" w:rsidR="00531061" w:rsidRPr="004149A5" w:rsidRDefault="00531061" w:rsidP="005B287F">
            <w:pPr>
              <w:pStyle w:val="ExhibitText"/>
              <w:jc w:val="right"/>
              <w:rPr>
                <w:sz w:val="16"/>
                <w:szCs w:val="16"/>
              </w:rPr>
            </w:pPr>
            <w:r w:rsidRPr="004149A5">
              <w:rPr>
                <w:sz w:val="16"/>
                <w:szCs w:val="16"/>
              </w:rPr>
              <w:t>177.4</w:t>
            </w:r>
          </w:p>
        </w:tc>
      </w:tr>
      <w:tr w:rsidR="004149A5" w:rsidRPr="004149A5" w14:paraId="552AD805" w14:textId="77777777" w:rsidTr="008423D5">
        <w:trPr>
          <w:trHeight w:val="216"/>
          <w:jc w:val="center"/>
        </w:trPr>
        <w:tc>
          <w:tcPr>
            <w:tcW w:w="2501" w:type="dxa"/>
            <w:tcBorders>
              <w:top w:val="nil"/>
              <w:left w:val="single" w:sz="4" w:space="0" w:color="auto"/>
              <w:bottom w:val="single" w:sz="4" w:space="0" w:color="auto"/>
              <w:right w:val="single" w:sz="4" w:space="0" w:color="auto"/>
            </w:tcBorders>
            <w:shd w:val="clear" w:color="auto" w:fill="FFFFFF"/>
            <w:vAlign w:val="center"/>
            <w:hideMark/>
          </w:tcPr>
          <w:p w14:paraId="104A86FF" w14:textId="62FD5CDB" w:rsidR="00531061" w:rsidRPr="004149A5" w:rsidRDefault="00531061">
            <w:pPr>
              <w:pStyle w:val="ExhibitText"/>
              <w:jc w:val="left"/>
              <w:rPr>
                <w:sz w:val="16"/>
                <w:szCs w:val="16"/>
              </w:rPr>
            </w:pPr>
            <w:r w:rsidRPr="004149A5">
              <w:rPr>
                <w:sz w:val="16"/>
                <w:szCs w:val="16"/>
              </w:rPr>
              <w:t>Gov</w:t>
            </w:r>
            <w:r w:rsidR="001E7573" w:rsidRPr="004149A5">
              <w:rPr>
                <w:sz w:val="16"/>
                <w:szCs w:val="16"/>
              </w:rPr>
              <w:t>ernment</w:t>
            </w:r>
            <w:r w:rsidRPr="004149A5">
              <w:rPr>
                <w:sz w:val="16"/>
                <w:szCs w:val="16"/>
              </w:rPr>
              <w:t xml:space="preserve"> </w:t>
            </w:r>
            <w:r w:rsidR="001E7573" w:rsidRPr="004149A5">
              <w:rPr>
                <w:sz w:val="16"/>
                <w:szCs w:val="16"/>
              </w:rPr>
              <w:t>f</w:t>
            </w:r>
            <w:r w:rsidRPr="004149A5">
              <w:rPr>
                <w:sz w:val="16"/>
                <w:szCs w:val="16"/>
              </w:rPr>
              <w:t xml:space="preserve">iscal </w:t>
            </w:r>
            <w:r w:rsidR="001E7573" w:rsidRPr="004149A5">
              <w:rPr>
                <w:sz w:val="16"/>
                <w:szCs w:val="16"/>
              </w:rPr>
              <w:t>b</w:t>
            </w:r>
            <w:r w:rsidRPr="004149A5">
              <w:rPr>
                <w:sz w:val="16"/>
                <w:szCs w:val="16"/>
              </w:rPr>
              <w:t>alance</w:t>
            </w:r>
          </w:p>
        </w:tc>
        <w:tc>
          <w:tcPr>
            <w:tcW w:w="479" w:type="dxa"/>
            <w:tcBorders>
              <w:top w:val="nil"/>
              <w:left w:val="nil"/>
              <w:bottom w:val="single" w:sz="4" w:space="0" w:color="auto"/>
              <w:right w:val="single" w:sz="4" w:space="0" w:color="auto"/>
            </w:tcBorders>
            <w:shd w:val="clear" w:color="auto" w:fill="FFFFFF"/>
            <w:noWrap/>
            <w:vAlign w:val="center"/>
          </w:tcPr>
          <w:p w14:paraId="1629A873" w14:textId="2CF9C9B3"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shd w:val="clear" w:color="auto" w:fill="FFFFFF"/>
            <w:noWrap/>
            <w:vAlign w:val="center"/>
          </w:tcPr>
          <w:p w14:paraId="57300603" w14:textId="0CA08374" w:rsidR="00531061" w:rsidRPr="004149A5" w:rsidRDefault="00531061" w:rsidP="005B287F">
            <w:pPr>
              <w:pStyle w:val="ExhibitText"/>
              <w:jc w:val="right"/>
              <w:rPr>
                <w:sz w:val="16"/>
                <w:szCs w:val="16"/>
              </w:rPr>
            </w:pPr>
          </w:p>
        </w:tc>
        <w:tc>
          <w:tcPr>
            <w:tcW w:w="425" w:type="dxa"/>
            <w:tcBorders>
              <w:top w:val="nil"/>
              <w:left w:val="nil"/>
              <w:bottom w:val="single" w:sz="4" w:space="0" w:color="auto"/>
              <w:right w:val="single" w:sz="4" w:space="0" w:color="auto"/>
            </w:tcBorders>
            <w:noWrap/>
            <w:vAlign w:val="center"/>
          </w:tcPr>
          <w:p w14:paraId="686390CE" w14:textId="147AD4BC" w:rsidR="00531061" w:rsidRPr="004149A5" w:rsidRDefault="00531061" w:rsidP="005B287F">
            <w:pPr>
              <w:pStyle w:val="ExhibitText"/>
              <w:jc w:val="right"/>
              <w:rPr>
                <w:sz w:val="16"/>
                <w:szCs w:val="16"/>
              </w:rPr>
            </w:pPr>
          </w:p>
        </w:tc>
        <w:tc>
          <w:tcPr>
            <w:tcW w:w="426" w:type="dxa"/>
            <w:tcBorders>
              <w:top w:val="nil"/>
              <w:left w:val="nil"/>
              <w:bottom w:val="single" w:sz="4" w:space="0" w:color="auto"/>
              <w:right w:val="single" w:sz="4" w:space="0" w:color="auto"/>
            </w:tcBorders>
            <w:shd w:val="clear" w:color="auto" w:fill="FFFFFF"/>
            <w:noWrap/>
            <w:vAlign w:val="center"/>
            <w:hideMark/>
          </w:tcPr>
          <w:p w14:paraId="4EB7285E" w14:textId="473FFF92"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2.8</w:t>
            </w:r>
          </w:p>
        </w:tc>
        <w:tc>
          <w:tcPr>
            <w:tcW w:w="425" w:type="dxa"/>
            <w:tcBorders>
              <w:top w:val="nil"/>
              <w:left w:val="nil"/>
              <w:bottom w:val="single" w:sz="4" w:space="0" w:color="auto"/>
              <w:right w:val="single" w:sz="4" w:space="0" w:color="auto"/>
            </w:tcBorders>
            <w:shd w:val="clear" w:color="auto" w:fill="FFFFFF"/>
            <w:noWrap/>
            <w:vAlign w:val="center"/>
            <w:hideMark/>
          </w:tcPr>
          <w:p w14:paraId="63948FD0" w14:textId="7D3C649E"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7.9</w:t>
            </w:r>
          </w:p>
        </w:tc>
        <w:tc>
          <w:tcPr>
            <w:tcW w:w="425" w:type="dxa"/>
            <w:tcBorders>
              <w:top w:val="nil"/>
              <w:left w:val="nil"/>
              <w:bottom w:val="single" w:sz="4" w:space="0" w:color="auto"/>
              <w:right w:val="single" w:sz="4" w:space="0" w:color="auto"/>
            </w:tcBorders>
            <w:noWrap/>
            <w:vAlign w:val="center"/>
            <w:hideMark/>
          </w:tcPr>
          <w:p w14:paraId="555E0D75" w14:textId="10ED06C6"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10.6</w:t>
            </w:r>
          </w:p>
        </w:tc>
        <w:tc>
          <w:tcPr>
            <w:tcW w:w="425" w:type="dxa"/>
            <w:tcBorders>
              <w:top w:val="nil"/>
              <w:left w:val="nil"/>
              <w:bottom w:val="single" w:sz="4" w:space="0" w:color="auto"/>
              <w:right w:val="single" w:sz="4" w:space="0" w:color="auto"/>
            </w:tcBorders>
            <w:noWrap/>
            <w:vAlign w:val="center"/>
            <w:hideMark/>
          </w:tcPr>
          <w:p w14:paraId="143714C1" w14:textId="702999B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14.7</w:t>
            </w:r>
          </w:p>
        </w:tc>
        <w:tc>
          <w:tcPr>
            <w:tcW w:w="426" w:type="dxa"/>
            <w:tcBorders>
              <w:top w:val="nil"/>
              <w:left w:val="nil"/>
              <w:bottom w:val="single" w:sz="4" w:space="0" w:color="auto"/>
              <w:right w:val="single" w:sz="4" w:space="0" w:color="auto"/>
            </w:tcBorders>
            <w:noWrap/>
            <w:vAlign w:val="center"/>
            <w:hideMark/>
          </w:tcPr>
          <w:p w14:paraId="2023DC06" w14:textId="06FA0B3F"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10.7</w:t>
            </w:r>
          </w:p>
        </w:tc>
        <w:tc>
          <w:tcPr>
            <w:tcW w:w="425" w:type="dxa"/>
            <w:tcBorders>
              <w:top w:val="nil"/>
              <w:left w:val="nil"/>
              <w:bottom w:val="single" w:sz="4" w:space="0" w:color="auto"/>
              <w:right w:val="single" w:sz="4" w:space="0" w:color="auto"/>
            </w:tcBorders>
            <w:noWrap/>
            <w:vAlign w:val="center"/>
            <w:hideMark/>
          </w:tcPr>
          <w:p w14:paraId="1ABC9698" w14:textId="418E31C0"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9.7</w:t>
            </w:r>
          </w:p>
        </w:tc>
        <w:tc>
          <w:tcPr>
            <w:tcW w:w="425" w:type="dxa"/>
            <w:tcBorders>
              <w:top w:val="nil"/>
              <w:left w:val="nil"/>
              <w:bottom w:val="single" w:sz="4" w:space="0" w:color="auto"/>
              <w:right w:val="single" w:sz="4" w:space="0" w:color="auto"/>
            </w:tcBorders>
            <w:shd w:val="clear" w:color="auto" w:fill="FFFFFF"/>
            <w:noWrap/>
            <w:vAlign w:val="center"/>
            <w:hideMark/>
          </w:tcPr>
          <w:p w14:paraId="4FE9F27A" w14:textId="07175FA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4.1</w:t>
            </w:r>
          </w:p>
        </w:tc>
        <w:tc>
          <w:tcPr>
            <w:tcW w:w="567" w:type="dxa"/>
            <w:tcBorders>
              <w:top w:val="nil"/>
              <w:left w:val="nil"/>
              <w:bottom w:val="single" w:sz="4" w:space="0" w:color="auto"/>
              <w:right w:val="single" w:sz="4" w:space="0" w:color="auto"/>
            </w:tcBorders>
            <w:shd w:val="clear" w:color="auto" w:fill="FFFFFF"/>
            <w:noWrap/>
            <w:vAlign w:val="center"/>
            <w:hideMark/>
          </w:tcPr>
          <w:p w14:paraId="5D080112" w14:textId="26BC64E7"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5.5</w:t>
            </w:r>
          </w:p>
        </w:tc>
        <w:tc>
          <w:tcPr>
            <w:tcW w:w="567" w:type="dxa"/>
            <w:tcBorders>
              <w:top w:val="nil"/>
              <w:left w:val="nil"/>
              <w:bottom w:val="single" w:sz="4" w:space="0" w:color="auto"/>
              <w:right w:val="single" w:sz="4" w:space="0" w:color="auto"/>
            </w:tcBorders>
            <w:shd w:val="clear" w:color="auto" w:fill="FFFFFF"/>
            <w:noWrap/>
            <w:vAlign w:val="center"/>
            <w:hideMark/>
          </w:tcPr>
          <w:p w14:paraId="171DE5B6" w14:textId="2477BB5A"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6.7</w:t>
            </w:r>
          </w:p>
        </w:tc>
        <w:tc>
          <w:tcPr>
            <w:tcW w:w="567" w:type="dxa"/>
            <w:tcBorders>
              <w:top w:val="nil"/>
              <w:left w:val="nil"/>
              <w:bottom w:val="single" w:sz="4" w:space="0" w:color="auto"/>
              <w:right w:val="single" w:sz="4" w:space="0" w:color="auto"/>
            </w:tcBorders>
            <w:shd w:val="clear" w:color="auto" w:fill="FFFFFF"/>
            <w:noWrap/>
            <w:vAlign w:val="center"/>
            <w:hideMark/>
          </w:tcPr>
          <w:p w14:paraId="7102263F" w14:textId="205B1F79"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10.2</w:t>
            </w:r>
          </w:p>
        </w:tc>
        <w:tc>
          <w:tcPr>
            <w:tcW w:w="567" w:type="dxa"/>
            <w:tcBorders>
              <w:top w:val="nil"/>
              <w:left w:val="nil"/>
              <w:bottom w:val="single" w:sz="4" w:space="0" w:color="auto"/>
              <w:right w:val="single" w:sz="4" w:space="0" w:color="auto"/>
            </w:tcBorders>
            <w:shd w:val="clear" w:color="auto" w:fill="FFFFFF"/>
            <w:noWrap/>
            <w:vAlign w:val="center"/>
            <w:hideMark/>
          </w:tcPr>
          <w:p w14:paraId="7A822263" w14:textId="62D32C23"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15.1</w:t>
            </w:r>
          </w:p>
        </w:tc>
        <w:tc>
          <w:tcPr>
            <w:tcW w:w="567" w:type="dxa"/>
            <w:tcBorders>
              <w:top w:val="nil"/>
              <w:left w:val="nil"/>
              <w:bottom w:val="single" w:sz="4" w:space="0" w:color="auto"/>
              <w:right w:val="single" w:sz="4" w:space="0" w:color="auto"/>
            </w:tcBorders>
            <w:shd w:val="clear" w:color="auto" w:fill="FFFFFF"/>
            <w:noWrap/>
            <w:vAlign w:val="center"/>
            <w:hideMark/>
          </w:tcPr>
          <w:p w14:paraId="6D6E388F" w14:textId="5A5129FB"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11.2</w:t>
            </w:r>
          </w:p>
        </w:tc>
        <w:tc>
          <w:tcPr>
            <w:tcW w:w="567" w:type="dxa"/>
            <w:tcBorders>
              <w:top w:val="nil"/>
              <w:left w:val="nil"/>
              <w:bottom w:val="single" w:sz="4" w:space="0" w:color="auto"/>
              <w:right w:val="single" w:sz="4" w:space="0" w:color="auto"/>
            </w:tcBorders>
            <w:shd w:val="clear" w:color="auto" w:fill="FFFFFF"/>
            <w:noWrap/>
            <w:vAlign w:val="center"/>
            <w:hideMark/>
          </w:tcPr>
          <w:p w14:paraId="387CA4E2" w14:textId="76C47844"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10.3</w:t>
            </w:r>
          </w:p>
        </w:tc>
        <w:tc>
          <w:tcPr>
            <w:tcW w:w="567" w:type="dxa"/>
            <w:tcBorders>
              <w:top w:val="nil"/>
              <w:left w:val="nil"/>
              <w:bottom w:val="single" w:sz="4" w:space="0" w:color="auto"/>
              <w:right w:val="single" w:sz="4" w:space="0" w:color="auto"/>
            </w:tcBorders>
            <w:shd w:val="clear" w:color="auto" w:fill="FFFFFF"/>
            <w:noWrap/>
            <w:vAlign w:val="center"/>
            <w:hideMark/>
          </w:tcPr>
          <w:p w14:paraId="20CE5156" w14:textId="6A46D318"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8.8</w:t>
            </w:r>
          </w:p>
        </w:tc>
        <w:tc>
          <w:tcPr>
            <w:tcW w:w="501" w:type="dxa"/>
            <w:tcBorders>
              <w:top w:val="nil"/>
              <w:left w:val="nil"/>
              <w:bottom w:val="single" w:sz="4" w:space="0" w:color="auto"/>
              <w:right w:val="single" w:sz="4" w:space="0" w:color="auto"/>
            </w:tcBorders>
            <w:shd w:val="clear" w:color="auto" w:fill="FFFFFF"/>
            <w:noWrap/>
            <w:vAlign w:val="center"/>
            <w:hideMark/>
          </w:tcPr>
          <w:p w14:paraId="261324EA" w14:textId="3A1D2C71"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13.2</w:t>
            </w:r>
          </w:p>
        </w:tc>
        <w:tc>
          <w:tcPr>
            <w:tcW w:w="492" w:type="dxa"/>
            <w:tcBorders>
              <w:top w:val="nil"/>
              <w:left w:val="nil"/>
              <w:bottom w:val="single" w:sz="4" w:space="0" w:color="auto"/>
              <w:right w:val="single" w:sz="4" w:space="0" w:color="auto"/>
            </w:tcBorders>
            <w:shd w:val="clear" w:color="auto" w:fill="FFFFFF"/>
            <w:noWrap/>
            <w:vAlign w:val="center"/>
            <w:hideMark/>
          </w:tcPr>
          <w:p w14:paraId="477BE239" w14:textId="0C3EB409"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3.6</w:t>
            </w:r>
          </w:p>
        </w:tc>
        <w:tc>
          <w:tcPr>
            <w:tcW w:w="567" w:type="dxa"/>
            <w:tcBorders>
              <w:top w:val="nil"/>
              <w:left w:val="nil"/>
              <w:bottom w:val="single" w:sz="4" w:space="0" w:color="auto"/>
              <w:right w:val="single" w:sz="4" w:space="0" w:color="auto"/>
            </w:tcBorders>
            <w:shd w:val="clear" w:color="auto" w:fill="FFFFFF"/>
            <w:noWrap/>
            <w:vAlign w:val="center"/>
            <w:hideMark/>
          </w:tcPr>
          <w:p w14:paraId="76A28DE7" w14:textId="5C8D6D99" w:rsidR="00531061" w:rsidRPr="004149A5" w:rsidRDefault="005B287F" w:rsidP="005B287F">
            <w:pPr>
              <w:pStyle w:val="ExhibitText"/>
              <w:jc w:val="right"/>
              <w:rPr>
                <w:sz w:val="16"/>
                <w:szCs w:val="16"/>
              </w:rPr>
            </w:pPr>
            <w:r w:rsidRPr="004149A5">
              <w:rPr>
                <w:sz w:val="16"/>
                <w:szCs w:val="16"/>
              </w:rPr>
              <w:t>−</w:t>
            </w:r>
            <w:r w:rsidR="00531061" w:rsidRPr="004149A5">
              <w:rPr>
                <w:sz w:val="16"/>
                <w:szCs w:val="16"/>
              </w:rPr>
              <w:t>7.5</w:t>
            </w:r>
          </w:p>
        </w:tc>
      </w:tr>
    </w:tbl>
    <w:p w14:paraId="67AE1074" w14:textId="77777777" w:rsidR="00531061" w:rsidRPr="00082992" w:rsidRDefault="00531061" w:rsidP="007A0F53">
      <w:pPr>
        <w:pStyle w:val="Footnote"/>
      </w:pPr>
    </w:p>
    <w:p w14:paraId="1BBA2DC6" w14:textId="37149448" w:rsidR="00531061" w:rsidRPr="00082992" w:rsidRDefault="001E7573" w:rsidP="007A0F53">
      <w:pPr>
        <w:pStyle w:val="Footnote"/>
      </w:pPr>
      <w:r w:rsidRPr="00082992">
        <w:t xml:space="preserve">Note: All figures are a percentage </w:t>
      </w:r>
      <w:r w:rsidR="00531061" w:rsidRPr="00082992">
        <w:t xml:space="preserve">of GDP unless </w:t>
      </w:r>
      <w:r w:rsidRPr="00082992">
        <w:t xml:space="preserve">otherwise </w:t>
      </w:r>
      <w:r w:rsidR="00531061" w:rsidRPr="00082992">
        <w:t>specified</w:t>
      </w:r>
      <w:r w:rsidRPr="00082992">
        <w:t>.</w:t>
      </w:r>
    </w:p>
    <w:p w14:paraId="1311D0A4" w14:textId="1E37AD47" w:rsidR="00531061" w:rsidRPr="00082992" w:rsidRDefault="00531061" w:rsidP="00082992">
      <w:pPr>
        <w:pStyle w:val="Footnote"/>
        <w:rPr>
          <w:sz w:val="18"/>
          <w:szCs w:val="18"/>
        </w:rPr>
      </w:pPr>
      <w:r w:rsidRPr="00082992">
        <w:t xml:space="preserve">Source: </w:t>
      </w:r>
      <w:r w:rsidR="008423D5">
        <w:t>“</w:t>
      </w:r>
      <w:r w:rsidR="001E7573" w:rsidRPr="00082992">
        <w:t>Greece,</w:t>
      </w:r>
      <w:r w:rsidR="008423D5">
        <w:t>”</w:t>
      </w:r>
      <w:r w:rsidR="001E7573" w:rsidRPr="00082992">
        <w:t xml:space="preserve"> </w:t>
      </w:r>
      <w:proofErr w:type="spellStart"/>
      <w:r w:rsidR="00B462E9" w:rsidRPr="00082992">
        <w:t>DataBank</w:t>
      </w:r>
      <w:proofErr w:type="spellEnd"/>
      <w:r w:rsidR="00B462E9" w:rsidRPr="00082992">
        <w:t>, The World Bank, accessed</w:t>
      </w:r>
      <w:r w:rsidR="00A50AAB">
        <w:t xml:space="preserve"> February 12, 2017</w:t>
      </w:r>
      <w:r w:rsidR="00281681">
        <w:t>,</w:t>
      </w:r>
      <w:r w:rsidR="00B462E9" w:rsidRPr="00082992">
        <w:t xml:space="preserve"> </w:t>
      </w:r>
      <w:r w:rsidRPr="00082992">
        <w:t>http://data.worldbank.org/country/greece</w:t>
      </w:r>
      <w:r w:rsidR="007A0F53" w:rsidRPr="00082992">
        <w:t>.</w:t>
      </w:r>
      <w:r w:rsidRPr="00082992">
        <w:rPr>
          <w:sz w:val="18"/>
          <w:szCs w:val="18"/>
        </w:rPr>
        <w:br w:type="page"/>
      </w:r>
    </w:p>
    <w:p w14:paraId="2D7DDAF4" w14:textId="77777777" w:rsidR="00531061" w:rsidRPr="00082992" w:rsidRDefault="00531061" w:rsidP="006D5856">
      <w:pPr>
        <w:pStyle w:val="Casehead1"/>
        <w:sectPr w:rsidR="00531061" w:rsidRPr="00082992" w:rsidSect="00531061">
          <w:headerReference w:type="default" r:id="rId12"/>
          <w:endnotePr>
            <w:numFmt w:val="decimal"/>
          </w:endnotePr>
          <w:pgSz w:w="15840" w:h="12240" w:orient="landscape"/>
          <w:pgMar w:top="1440" w:right="1440" w:bottom="1440" w:left="1440" w:header="1080" w:footer="720" w:gutter="0"/>
          <w:cols w:space="720"/>
          <w:docGrid w:linePitch="360"/>
        </w:sectPr>
      </w:pPr>
    </w:p>
    <w:p w14:paraId="50457F08" w14:textId="0B0C2ED3" w:rsidR="00531061" w:rsidRPr="00B744B7" w:rsidRDefault="00531061" w:rsidP="00187DCD">
      <w:pPr>
        <w:pStyle w:val="ExhibitHeading"/>
        <w:outlineLvl w:val="0"/>
        <w:rPr>
          <w:spacing w:val="-2"/>
          <w:kern w:val="20"/>
        </w:rPr>
      </w:pPr>
      <w:r w:rsidRPr="00B744B7">
        <w:rPr>
          <w:spacing w:val="-2"/>
          <w:kern w:val="20"/>
        </w:rPr>
        <w:lastRenderedPageBreak/>
        <w:t xml:space="preserve">EXHIBIT </w:t>
      </w:r>
      <w:r w:rsidR="009D6A25" w:rsidRPr="00B744B7">
        <w:rPr>
          <w:spacing w:val="-2"/>
          <w:kern w:val="20"/>
        </w:rPr>
        <w:t>3</w:t>
      </w:r>
      <w:r w:rsidRPr="00B744B7">
        <w:rPr>
          <w:spacing w:val="-2"/>
          <w:kern w:val="20"/>
        </w:rPr>
        <w:t>: DEBT AND DEFICIT FIGURES FOR GREECE</w:t>
      </w:r>
      <w:r w:rsidR="00B462E9" w:rsidRPr="00B744B7">
        <w:rPr>
          <w:spacing w:val="-2"/>
          <w:kern w:val="20"/>
        </w:rPr>
        <w:t xml:space="preserve">, </w:t>
      </w:r>
      <w:r w:rsidRPr="00B744B7">
        <w:rPr>
          <w:spacing w:val="-2"/>
          <w:kern w:val="20"/>
        </w:rPr>
        <w:t>DECLARED V</w:t>
      </w:r>
      <w:r w:rsidR="00C3225E" w:rsidRPr="00B744B7">
        <w:rPr>
          <w:spacing w:val="-2"/>
          <w:kern w:val="20"/>
        </w:rPr>
        <w:t>ersus</w:t>
      </w:r>
      <w:r w:rsidRPr="00B744B7">
        <w:rPr>
          <w:spacing w:val="-2"/>
          <w:kern w:val="20"/>
        </w:rPr>
        <w:t xml:space="preserve"> REVISED</w:t>
      </w:r>
      <w:r w:rsidR="00B462E9" w:rsidRPr="00B744B7">
        <w:rPr>
          <w:spacing w:val="-2"/>
          <w:kern w:val="20"/>
        </w:rPr>
        <w:t xml:space="preserve"> (1997–2003)</w:t>
      </w:r>
    </w:p>
    <w:p w14:paraId="15273F2F" w14:textId="77777777" w:rsidR="00531061" w:rsidRPr="00082992" w:rsidRDefault="00531061" w:rsidP="00D56A93">
      <w:pPr>
        <w:pStyle w:val="ExhibitText"/>
      </w:pPr>
    </w:p>
    <w:tbl>
      <w:tblPr>
        <w:tblStyle w:val="TableGrid"/>
        <w:tblW w:w="5000" w:type="pct"/>
        <w:jc w:val="center"/>
        <w:tblLook w:val="04A0" w:firstRow="1" w:lastRow="0" w:firstColumn="1" w:lastColumn="0" w:noHBand="0" w:noVBand="1"/>
      </w:tblPr>
      <w:tblGrid>
        <w:gridCol w:w="1435"/>
        <w:gridCol w:w="1444"/>
        <w:gridCol w:w="924"/>
        <w:gridCol w:w="924"/>
        <w:gridCol w:w="925"/>
        <w:gridCol w:w="924"/>
        <w:gridCol w:w="925"/>
        <w:gridCol w:w="924"/>
        <w:gridCol w:w="925"/>
      </w:tblGrid>
      <w:tr w:rsidR="00082992" w:rsidRPr="00082992" w14:paraId="117E06D9" w14:textId="77777777" w:rsidTr="008423D5">
        <w:trPr>
          <w:trHeight w:val="216"/>
          <w:jc w:val="center"/>
        </w:trPr>
        <w:tc>
          <w:tcPr>
            <w:tcW w:w="1435" w:type="dxa"/>
            <w:vAlign w:val="center"/>
          </w:tcPr>
          <w:p w14:paraId="1DAFA96B" w14:textId="77777777" w:rsidR="00531061" w:rsidRPr="00082992" w:rsidRDefault="00531061" w:rsidP="00D56A93">
            <w:pPr>
              <w:pStyle w:val="ExhibitText"/>
              <w:jc w:val="left"/>
              <w:rPr>
                <w:b/>
              </w:rPr>
            </w:pPr>
          </w:p>
        </w:tc>
        <w:tc>
          <w:tcPr>
            <w:tcW w:w="1444" w:type="dxa"/>
            <w:vAlign w:val="center"/>
          </w:tcPr>
          <w:p w14:paraId="77034250" w14:textId="77777777" w:rsidR="00531061" w:rsidRPr="00082992" w:rsidRDefault="00531061" w:rsidP="00D56A93">
            <w:pPr>
              <w:pStyle w:val="ExhibitText"/>
              <w:jc w:val="left"/>
              <w:rPr>
                <w:b/>
              </w:rPr>
            </w:pPr>
          </w:p>
        </w:tc>
        <w:tc>
          <w:tcPr>
            <w:tcW w:w="924" w:type="dxa"/>
            <w:vAlign w:val="center"/>
            <w:hideMark/>
          </w:tcPr>
          <w:p w14:paraId="5313EC1A" w14:textId="77777777" w:rsidR="00531061" w:rsidRPr="00082992" w:rsidRDefault="00531061" w:rsidP="00D56A93">
            <w:pPr>
              <w:pStyle w:val="ExhibitText"/>
              <w:jc w:val="right"/>
              <w:rPr>
                <w:b/>
              </w:rPr>
            </w:pPr>
            <w:r w:rsidRPr="00082992">
              <w:rPr>
                <w:b/>
              </w:rPr>
              <w:t>1997</w:t>
            </w:r>
          </w:p>
        </w:tc>
        <w:tc>
          <w:tcPr>
            <w:tcW w:w="924" w:type="dxa"/>
            <w:vAlign w:val="center"/>
            <w:hideMark/>
          </w:tcPr>
          <w:p w14:paraId="3E5570CB" w14:textId="77777777" w:rsidR="00531061" w:rsidRPr="00082992" w:rsidRDefault="00531061" w:rsidP="00D56A93">
            <w:pPr>
              <w:pStyle w:val="ExhibitText"/>
              <w:jc w:val="right"/>
              <w:rPr>
                <w:b/>
              </w:rPr>
            </w:pPr>
            <w:r w:rsidRPr="00082992">
              <w:rPr>
                <w:b/>
              </w:rPr>
              <w:t>1998</w:t>
            </w:r>
          </w:p>
        </w:tc>
        <w:tc>
          <w:tcPr>
            <w:tcW w:w="925" w:type="dxa"/>
            <w:vAlign w:val="center"/>
            <w:hideMark/>
          </w:tcPr>
          <w:p w14:paraId="6ED5034B" w14:textId="77777777" w:rsidR="00531061" w:rsidRPr="00082992" w:rsidRDefault="00531061" w:rsidP="00D56A93">
            <w:pPr>
              <w:pStyle w:val="ExhibitText"/>
              <w:jc w:val="right"/>
              <w:rPr>
                <w:b/>
              </w:rPr>
            </w:pPr>
            <w:r w:rsidRPr="00082992">
              <w:rPr>
                <w:b/>
              </w:rPr>
              <w:t>1999</w:t>
            </w:r>
          </w:p>
        </w:tc>
        <w:tc>
          <w:tcPr>
            <w:tcW w:w="924" w:type="dxa"/>
            <w:vAlign w:val="center"/>
            <w:hideMark/>
          </w:tcPr>
          <w:p w14:paraId="7CEC557E" w14:textId="77777777" w:rsidR="00531061" w:rsidRPr="00082992" w:rsidRDefault="00531061" w:rsidP="00D56A93">
            <w:pPr>
              <w:pStyle w:val="ExhibitText"/>
              <w:jc w:val="right"/>
              <w:rPr>
                <w:b/>
              </w:rPr>
            </w:pPr>
            <w:r w:rsidRPr="00082992">
              <w:rPr>
                <w:b/>
              </w:rPr>
              <w:t>2000</w:t>
            </w:r>
          </w:p>
        </w:tc>
        <w:tc>
          <w:tcPr>
            <w:tcW w:w="925" w:type="dxa"/>
            <w:vAlign w:val="center"/>
            <w:hideMark/>
          </w:tcPr>
          <w:p w14:paraId="1198CFB7" w14:textId="77777777" w:rsidR="00531061" w:rsidRPr="00082992" w:rsidRDefault="00531061" w:rsidP="00D56A93">
            <w:pPr>
              <w:pStyle w:val="ExhibitText"/>
              <w:jc w:val="right"/>
              <w:rPr>
                <w:b/>
              </w:rPr>
            </w:pPr>
            <w:r w:rsidRPr="00082992">
              <w:rPr>
                <w:b/>
              </w:rPr>
              <w:t>2001</w:t>
            </w:r>
          </w:p>
        </w:tc>
        <w:tc>
          <w:tcPr>
            <w:tcW w:w="924" w:type="dxa"/>
            <w:vAlign w:val="center"/>
            <w:hideMark/>
          </w:tcPr>
          <w:p w14:paraId="2E656C95" w14:textId="77777777" w:rsidR="00531061" w:rsidRPr="00082992" w:rsidRDefault="00531061" w:rsidP="00D56A93">
            <w:pPr>
              <w:pStyle w:val="ExhibitText"/>
              <w:jc w:val="right"/>
              <w:rPr>
                <w:b/>
              </w:rPr>
            </w:pPr>
            <w:r w:rsidRPr="00082992">
              <w:rPr>
                <w:b/>
              </w:rPr>
              <w:t>2002</w:t>
            </w:r>
          </w:p>
        </w:tc>
        <w:tc>
          <w:tcPr>
            <w:tcW w:w="925" w:type="dxa"/>
            <w:vAlign w:val="center"/>
            <w:hideMark/>
          </w:tcPr>
          <w:p w14:paraId="04036673" w14:textId="77777777" w:rsidR="00531061" w:rsidRPr="00082992" w:rsidRDefault="00531061" w:rsidP="00D56A93">
            <w:pPr>
              <w:pStyle w:val="ExhibitText"/>
              <w:jc w:val="right"/>
              <w:rPr>
                <w:b/>
              </w:rPr>
            </w:pPr>
            <w:r w:rsidRPr="00082992">
              <w:rPr>
                <w:b/>
              </w:rPr>
              <w:t>2003</w:t>
            </w:r>
          </w:p>
        </w:tc>
      </w:tr>
      <w:tr w:rsidR="00082992" w:rsidRPr="00082992" w14:paraId="1345AE7D" w14:textId="77777777" w:rsidTr="008423D5">
        <w:trPr>
          <w:trHeight w:val="216"/>
          <w:jc w:val="center"/>
        </w:trPr>
        <w:tc>
          <w:tcPr>
            <w:tcW w:w="1435" w:type="dxa"/>
            <w:vMerge w:val="restart"/>
            <w:vAlign w:val="center"/>
            <w:hideMark/>
          </w:tcPr>
          <w:p w14:paraId="2AD967BC" w14:textId="77777777" w:rsidR="00531061" w:rsidRPr="00082992" w:rsidRDefault="00DD46AB" w:rsidP="00D56A93">
            <w:pPr>
              <w:pStyle w:val="ExhibitText"/>
              <w:jc w:val="left"/>
            </w:pPr>
            <w:r w:rsidRPr="00082992">
              <w:t>Government Deficit</w:t>
            </w:r>
          </w:p>
        </w:tc>
        <w:tc>
          <w:tcPr>
            <w:tcW w:w="1444" w:type="dxa"/>
            <w:vAlign w:val="center"/>
            <w:hideMark/>
          </w:tcPr>
          <w:p w14:paraId="716D53E9" w14:textId="77777777" w:rsidR="00531061" w:rsidRPr="00082992" w:rsidRDefault="00531061" w:rsidP="00D56A93">
            <w:pPr>
              <w:pStyle w:val="ExhibitText"/>
              <w:jc w:val="left"/>
            </w:pPr>
            <w:r w:rsidRPr="00082992">
              <w:t>Declared</w:t>
            </w:r>
          </w:p>
        </w:tc>
        <w:tc>
          <w:tcPr>
            <w:tcW w:w="924" w:type="dxa"/>
            <w:vAlign w:val="center"/>
            <w:hideMark/>
          </w:tcPr>
          <w:p w14:paraId="0A390FD4" w14:textId="690D7ED3" w:rsidR="00531061" w:rsidRPr="00082992" w:rsidRDefault="00D56A93" w:rsidP="00D56A93">
            <w:pPr>
              <w:pStyle w:val="ExhibitText"/>
              <w:jc w:val="right"/>
            </w:pPr>
            <w:r w:rsidRPr="00082992">
              <w:t>−</w:t>
            </w:r>
            <w:r w:rsidR="00531061" w:rsidRPr="00082992">
              <w:t>4.03</w:t>
            </w:r>
          </w:p>
        </w:tc>
        <w:tc>
          <w:tcPr>
            <w:tcW w:w="924" w:type="dxa"/>
            <w:vAlign w:val="center"/>
            <w:hideMark/>
          </w:tcPr>
          <w:p w14:paraId="4A20E6FF" w14:textId="77777777" w:rsidR="00531061" w:rsidRPr="00082992" w:rsidRDefault="00531061" w:rsidP="00D56A93">
            <w:pPr>
              <w:pStyle w:val="ExhibitText"/>
              <w:jc w:val="right"/>
            </w:pPr>
            <w:r w:rsidRPr="00082992">
              <w:t>2.46</w:t>
            </w:r>
          </w:p>
        </w:tc>
        <w:tc>
          <w:tcPr>
            <w:tcW w:w="925" w:type="dxa"/>
            <w:vAlign w:val="center"/>
            <w:hideMark/>
          </w:tcPr>
          <w:p w14:paraId="6B4A9A34" w14:textId="77777777" w:rsidR="00531061" w:rsidRPr="00082992" w:rsidRDefault="00531061" w:rsidP="00D56A93">
            <w:pPr>
              <w:pStyle w:val="ExhibitText"/>
              <w:jc w:val="right"/>
            </w:pPr>
            <w:r w:rsidRPr="00082992">
              <w:t>1.77</w:t>
            </w:r>
          </w:p>
        </w:tc>
        <w:tc>
          <w:tcPr>
            <w:tcW w:w="924" w:type="dxa"/>
            <w:vAlign w:val="center"/>
            <w:hideMark/>
          </w:tcPr>
          <w:p w14:paraId="280AA75E" w14:textId="45C744C9" w:rsidR="00531061" w:rsidRPr="00082992" w:rsidRDefault="00D56A93" w:rsidP="00D56A93">
            <w:pPr>
              <w:pStyle w:val="ExhibitText"/>
              <w:jc w:val="right"/>
            </w:pPr>
            <w:r w:rsidRPr="00082992">
              <w:t>−</w:t>
            </w:r>
            <w:r w:rsidR="00531061" w:rsidRPr="00082992">
              <w:t>2</w:t>
            </w:r>
            <w:r w:rsidRPr="00082992">
              <w:t>.00</w:t>
            </w:r>
          </w:p>
        </w:tc>
        <w:tc>
          <w:tcPr>
            <w:tcW w:w="925" w:type="dxa"/>
            <w:vAlign w:val="center"/>
            <w:hideMark/>
          </w:tcPr>
          <w:p w14:paraId="3BC378F8" w14:textId="08A6AE96" w:rsidR="00531061" w:rsidRPr="00082992" w:rsidRDefault="00D56A93" w:rsidP="00D56A93">
            <w:pPr>
              <w:pStyle w:val="ExhibitText"/>
              <w:jc w:val="right"/>
            </w:pPr>
            <w:r w:rsidRPr="00082992">
              <w:t>−</w:t>
            </w:r>
            <w:r w:rsidR="00531061" w:rsidRPr="00082992">
              <w:t>1.4</w:t>
            </w:r>
            <w:r w:rsidRPr="00082992">
              <w:t>0</w:t>
            </w:r>
          </w:p>
        </w:tc>
        <w:tc>
          <w:tcPr>
            <w:tcW w:w="924" w:type="dxa"/>
            <w:vAlign w:val="center"/>
            <w:hideMark/>
          </w:tcPr>
          <w:p w14:paraId="5504A84C" w14:textId="7D84629E" w:rsidR="00531061" w:rsidRPr="00082992" w:rsidRDefault="00D56A93" w:rsidP="00D56A93">
            <w:pPr>
              <w:pStyle w:val="ExhibitText"/>
              <w:jc w:val="right"/>
            </w:pPr>
            <w:r w:rsidRPr="00082992">
              <w:t>−</w:t>
            </w:r>
            <w:r w:rsidR="00531061" w:rsidRPr="00082992">
              <w:t>1.4</w:t>
            </w:r>
            <w:r w:rsidRPr="00082992">
              <w:t>0</w:t>
            </w:r>
          </w:p>
        </w:tc>
        <w:tc>
          <w:tcPr>
            <w:tcW w:w="925" w:type="dxa"/>
            <w:vAlign w:val="center"/>
            <w:hideMark/>
          </w:tcPr>
          <w:p w14:paraId="2EB93C29" w14:textId="5AC83518" w:rsidR="00531061" w:rsidRPr="00082992" w:rsidRDefault="00D56A93" w:rsidP="00D56A93">
            <w:pPr>
              <w:pStyle w:val="ExhibitText"/>
              <w:jc w:val="right"/>
            </w:pPr>
            <w:r w:rsidRPr="00082992">
              <w:t>−</w:t>
            </w:r>
            <w:r w:rsidR="00531061" w:rsidRPr="00082992">
              <w:t>1.7</w:t>
            </w:r>
            <w:r w:rsidRPr="00082992">
              <w:t>0</w:t>
            </w:r>
          </w:p>
        </w:tc>
      </w:tr>
      <w:tr w:rsidR="00082992" w:rsidRPr="00082992" w14:paraId="0CB5D2A2" w14:textId="77777777" w:rsidTr="008423D5">
        <w:trPr>
          <w:trHeight w:val="216"/>
          <w:jc w:val="center"/>
        </w:trPr>
        <w:tc>
          <w:tcPr>
            <w:tcW w:w="1435" w:type="dxa"/>
            <w:vMerge/>
            <w:vAlign w:val="center"/>
            <w:hideMark/>
          </w:tcPr>
          <w:p w14:paraId="7343B0B9" w14:textId="77777777" w:rsidR="00531061" w:rsidRPr="00082992" w:rsidRDefault="00531061" w:rsidP="00D56A93">
            <w:pPr>
              <w:pStyle w:val="ExhibitText"/>
              <w:jc w:val="left"/>
            </w:pPr>
          </w:p>
        </w:tc>
        <w:tc>
          <w:tcPr>
            <w:tcW w:w="1444" w:type="dxa"/>
            <w:vAlign w:val="center"/>
            <w:hideMark/>
          </w:tcPr>
          <w:p w14:paraId="06DF95B5" w14:textId="77777777" w:rsidR="00531061" w:rsidRPr="00082992" w:rsidRDefault="00531061" w:rsidP="00D56A93">
            <w:pPr>
              <w:pStyle w:val="ExhibitText"/>
              <w:jc w:val="left"/>
            </w:pPr>
            <w:r w:rsidRPr="00082992">
              <w:t>Revised</w:t>
            </w:r>
          </w:p>
        </w:tc>
        <w:tc>
          <w:tcPr>
            <w:tcW w:w="924" w:type="dxa"/>
            <w:vAlign w:val="center"/>
            <w:hideMark/>
          </w:tcPr>
          <w:p w14:paraId="4A7EF4D4" w14:textId="4DA9B08F" w:rsidR="00531061" w:rsidRPr="00082992" w:rsidRDefault="00D56A93" w:rsidP="00D56A93">
            <w:pPr>
              <w:pStyle w:val="ExhibitText"/>
              <w:jc w:val="right"/>
            </w:pPr>
            <w:r w:rsidRPr="00082992">
              <w:t>−</w:t>
            </w:r>
            <w:r w:rsidR="00531061" w:rsidRPr="00082992">
              <w:t>6.61</w:t>
            </w:r>
          </w:p>
        </w:tc>
        <w:tc>
          <w:tcPr>
            <w:tcW w:w="924" w:type="dxa"/>
            <w:vAlign w:val="center"/>
            <w:hideMark/>
          </w:tcPr>
          <w:p w14:paraId="03834C13" w14:textId="01E74BCC" w:rsidR="00531061" w:rsidRPr="00082992" w:rsidRDefault="00D56A93" w:rsidP="00D56A93">
            <w:pPr>
              <w:pStyle w:val="ExhibitText"/>
              <w:jc w:val="right"/>
            </w:pPr>
            <w:r w:rsidRPr="00082992">
              <w:t>−</w:t>
            </w:r>
            <w:r w:rsidR="00531061" w:rsidRPr="00082992">
              <w:t>4.28</w:t>
            </w:r>
          </w:p>
        </w:tc>
        <w:tc>
          <w:tcPr>
            <w:tcW w:w="925" w:type="dxa"/>
            <w:vAlign w:val="center"/>
            <w:hideMark/>
          </w:tcPr>
          <w:p w14:paraId="5F0A2D52" w14:textId="21538F87" w:rsidR="00531061" w:rsidRPr="00082992" w:rsidRDefault="00D56A93" w:rsidP="00D56A93">
            <w:pPr>
              <w:pStyle w:val="ExhibitText"/>
              <w:jc w:val="right"/>
            </w:pPr>
            <w:r w:rsidRPr="00082992">
              <w:t>−</w:t>
            </w:r>
            <w:r w:rsidR="00531061" w:rsidRPr="00082992">
              <w:t>3.44</w:t>
            </w:r>
          </w:p>
        </w:tc>
        <w:tc>
          <w:tcPr>
            <w:tcW w:w="924" w:type="dxa"/>
            <w:vAlign w:val="center"/>
            <w:hideMark/>
          </w:tcPr>
          <w:p w14:paraId="24799A60" w14:textId="1DB5ED4A" w:rsidR="00531061" w:rsidRPr="00082992" w:rsidRDefault="00D56A93" w:rsidP="00D56A93">
            <w:pPr>
              <w:pStyle w:val="ExhibitText"/>
              <w:jc w:val="right"/>
            </w:pPr>
            <w:r w:rsidRPr="00082992">
              <w:t>−</w:t>
            </w:r>
            <w:r w:rsidR="00531061" w:rsidRPr="00082992">
              <w:t>4.1</w:t>
            </w:r>
            <w:r w:rsidRPr="00082992">
              <w:t>0</w:t>
            </w:r>
          </w:p>
        </w:tc>
        <w:tc>
          <w:tcPr>
            <w:tcW w:w="925" w:type="dxa"/>
            <w:vAlign w:val="center"/>
            <w:hideMark/>
          </w:tcPr>
          <w:p w14:paraId="68242AD1" w14:textId="675CDFAF" w:rsidR="00531061" w:rsidRPr="00082992" w:rsidRDefault="00D56A93" w:rsidP="00D56A93">
            <w:pPr>
              <w:pStyle w:val="ExhibitText"/>
              <w:jc w:val="right"/>
            </w:pPr>
            <w:r w:rsidRPr="00082992">
              <w:t>−</w:t>
            </w:r>
            <w:r w:rsidR="00531061" w:rsidRPr="00082992">
              <w:t>3.7</w:t>
            </w:r>
            <w:r w:rsidRPr="00082992">
              <w:t>0</w:t>
            </w:r>
          </w:p>
        </w:tc>
        <w:tc>
          <w:tcPr>
            <w:tcW w:w="924" w:type="dxa"/>
            <w:vAlign w:val="center"/>
            <w:hideMark/>
          </w:tcPr>
          <w:p w14:paraId="4E8B7AE0" w14:textId="70FE386E" w:rsidR="00531061" w:rsidRPr="00082992" w:rsidRDefault="00D56A93" w:rsidP="00D56A93">
            <w:pPr>
              <w:pStyle w:val="ExhibitText"/>
              <w:jc w:val="right"/>
            </w:pPr>
            <w:r w:rsidRPr="00082992">
              <w:t>−</w:t>
            </w:r>
            <w:r w:rsidR="00531061" w:rsidRPr="00082992">
              <w:t>3.7</w:t>
            </w:r>
            <w:r w:rsidRPr="00082992">
              <w:t>0</w:t>
            </w:r>
          </w:p>
        </w:tc>
        <w:tc>
          <w:tcPr>
            <w:tcW w:w="925" w:type="dxa"/>
            <w:vAlign w:val="center"/>
            <w:hideMark/>
          </w:tcPr>
          <w:p w14:paraId="57F5D33E" w14:textId="63C7B777" w:rsidR="00531061" w:rsidRPr="00082992" w:rsidRDefault="00D56A93" w:rsidP="00D56A93">
            <w:pPr>
              <w:pStyle w:val="ExhibitText"/>
              <w:jc w:val="right"/>
            </w:pPr>
            <w:r w:rsidRPr="00082992">
              <w:t>−</w:t>
            </w:r>
            <w:r w:rsidR="00531061" w:rsidRPr="00082992">
              <w:t>4.6</w:t>
            </w:r>
            <w:r w:rsidRPr="00082992">
              <w:t>0</w:t>
            </w:r>
          </w:p>
        </w:tc>
      </w:tr>
      <w:tr w:rsidR="00082992" w:rsidRPr="00082992" w14:paraId="3E8AA306" w14:textId="77777777" w:rsidTr="008423D5">
        <w:trPr>
          <w:trHeight w:val="216"/>
          <w:jc w:val="center"/>
        </w:trPr>
        <w:tc>
          <w:tcPr>
            <w:tcW w:w="1435" w:type="dxa"/>
            <w:vMerge w:val="restart"/>
            <w:vAlign w:val="center"/>
            <w:hideMark/>
          </w:tcPr>
          <w:p w14:paraId="365E53EA" w14:textId="77777777" w:rsidR="00531061" w:rsidRPr="00082992" w:rsidRDefault="00DD46AB" w:rsidP="00D56A93">
            <w:pPr>
              <w:pStyle w:val="ExhibitText"/>
              <w:jc w:val="left"/>
            </w:pPr>
            <w:r w:rsidRPr="00082992">
              <w:t>Government Debt</w:t>
            </w:r>
          </w:p>
        </w:tc>
        <w:tc>
          <w:tcPr>
            <w:tcW w:w="1444" w:type="dxa"/>
            <w:vAlign w:val="center"/>
            <w:hideMark/>
          </w:tcPr>
          <w:p w14:paraId="5BC60149" w14:textId="77777777" w:rsidR="00531061" w:rsidRPr="00082992" w:rsidRDefault="00531061" w:rsidP="00D56A93">
            <w:pPr>
              <w:pStyle w:val="ExhibitText"/>
              <w:jc w:val="left"/>
            </w:pPr>
            <w:r w:rsidRPr="00082992">
              <w:t>Declared</w:t>
            </w:r>
          </w:p>
        </w:tc>
        <w:tc>
          <w:tcPr>
            <w:tcW w:w="924" w:type="dxa"/>
            <w:vAlign w:val="center"/>
            <w:hideMark/>
          </w:tcPr>
          <w:p w14:paraId="562C4015" w14:textId="77777777" w:rsidR="00531061" w:rsidRPr="00082992" w:rsidRDefault="00531061" w:rsidP="00D56A93">
            <w:pPr>
              <w:pStyle w:val="ExhibitText"/>
              <w:jc w:val="right"/>
            </w:pPr>
            <w:r w:rsidRPr="00082992">
              <w:t>108.18</w:t>
            </w:r>
          </w:p>
        </w:tc>
        <w:tc>
          <w:tcPr>
            <w:tcW w:w="924" w:type="dxa"/>
            <w:vAlign w:val="center"/>
            <w:hideMark/>
          </w:tcPr>
          <w:p w14:paraId="7AA35B6A" w14:textId="77777777" w:rsidR="00531061" w:rsidRPr="00082992" w:rsidRDefault="00531061" w:rsidP="00D56A93">
            <w:pPr>
              <w:pStyle w:val="ExhibitText"/>
              <w:jc w:val="right"/>
            </w:pPr>
            <w:r w:rsidRPr="00082992">
              <w:t>105.82</w:t>
            </w:r>
          </w:p>
        </w:tc>
        <w:tc>
          <w:tcPr>
            <w:tcW w:w="925" w:type="dxa"/>
            <w:vAlign w:val="center"/>
            <w:hideMark/>
          </w:tcPr>
          <w:p w14:paraId="67F6E006" w14:textId="77777777" w:rsidR="00531061" w:rsidRPr="00082992" w:rsidRDefault="00531061" w:rsidP="00D56A93">
            <w:pPr>
              <w:pStyle w:val="ExhibitText"/>
              <w:jc w:val="right"/>
            </w:pPr>
            <w:r w:rsidRPr="00082992">
              <w:t>105.24</w:t>
            </w:r>
          </w:p>
        </w:tc>
        <w:tc>
          <w:tcPr>
            <w:tcW w:w="924" w:type="dxa"/>
            <w:vAlign w:val="center"/>
            <w:hideMark/>
          </w:tcPr>
          <w:p w14:paraId="04FD4364" w14:textId="1342251F" w:rsidR="00531061" w:rsidRPr="00082992" w:rsidRDefault="00531061" w:rsidP="00D56A93">
            <w:pPr>
              <w:pStyle w:val="ExhibitText"/>
              <w:jc w:val="right"/>
            </w:pPr>
            <w:r w:rsidRPr="00082992">
              <w:t>106.1</w:t>
            </w:r>
            <w:r w:rsidR="00D56A93" w:rsidRPr="00082992">
              <w:t>0</w:t>
            </w:r>
          </w:p>
        </w:tc>
        <w:tc>
          <w:tcPr>
            <w:tcW w:w="925" w:type="dxa"/>
            <w:vAlign w:val="center"/>
            <w:hideMark/>
          </w:tcPr>
          <w:p w14:paraId="030EF473" w14:textId="60814647" w:rsidR="00531061" w:rsidRPr="00082992" w:rsidRDefault="00531061" w:rsidP="00D56A93">
            <w:pPr>
              <w:pStyle w:val="ExhibitText"/>
              <w:jc w:val="right"/>
            </w:pPr>
            <w:r w:rsidRPr="00082992">
              <w:t>106.6</w:t>
            </w:r>
            <w:r w:rsidR="00D56A93" w:rsidRPr="00082992">
              <w:t>0</w:t>
            </w:r>
          </w:p>
        </w:tc>
        <w:tc>
          <w:tcPr>
            <w:tcW w:w="924" w:type="dxa"/>
            <w:vAlign w:val="center"/>
            <w:hideMark/>
          </w:tcPr>
          <w:p w14:paraId="6FC49E31" w14:textId="10D9A7D2" w:rsidR="00531061" w:rsidRPr="00082992" w:rsidRDefault="00531061" w:rsidP="00D56A93">
            <w:pPr>
              <w:pStyle w:val="ExhibitText"/>
              <w:jc w:val="right"/>
            </w:pPr>
            <w:r w:rsidRPr="00082992">
              <w:t>104.6</w:t>
            </w:r>
            <w:r w:rsidR="00D56A93" w:rsidRPr="00082992">
              <w:t>0</w:t>
            </w:r>
          </w:p>
        </w:tc>
        <w:tc>
          <w:tcPr>
            <w:tcW w:w="925" w:type="dxa"/>
            <w:vAlign w:val="center"/>
            <w:hideMark/>
          </w:tcPr>
          <w:p w14:paraId="64F5A367" w14:textId="72FAFF16" w:rsidR="00531061" w:rsidRPr="00082992" w:rsidRDefault="00531061" w:rsidP="00D56A93">
            <w:pPr>
              <w:pStyle w:val="ExhibitText"/>
              <w:jc w:val="right"/>
            </w:pPr>
            <w:r w:rsidRPr="00082992">
              <w:t>102.6</w:t>
            </w:r>
            <w:r w:rsidR="00D56A93" w:rsidRPr="00082992">
              <w:t>0</w:t>
            </w:r>
          </w:p>
        </w:tc>
      </w:tr>
      <w:tr w:rsidR="00D56A93" w:rsidRPr="00082992" w14:paraId="5D74BEA0" w14:textId="77777777" w:rsidTr="008423D5">
        <w:trPr>
          <w:trHeight w:val="216"/>
          <w:jc w:val="center"/>
        </w:trPr>
        <w:tc>
          <w:tcPr>
            <w:tcW w:w="1435" w:type="dxa"/>
            <w:vMerge/>
            <w:vAlign w:val="center"/>
            <w:hideMark/>
          </w:tcPr>
          <w:p w14:paraId="679CF9A4" w14:textId="77777777" w:rsidR="00531061" w:rsidRPr="00082992" w:rsidRDefault="00531061" w:rsidP="00D56A93">
            <w:pPr>
              <w:pStyle w:val="ExhibitText"/>
              <w:jc w:val="left"/>
            </w:pPr>
          </w:p>
        </w:tc>
        <w:tc>
          <w:tcPr>
            <w:tcW w:w="1444" w:type="dxa"/>
            <w:vAlign w:val="center"/>
            <w:hideMark/>
          </w:tcPr>
          <w:p w14:paraId="0C21E7F7" w14:textId="77777777" w:rsidR="00531061" w:rsidRPr="00082992" w:rsidRDefault="00531061" w:rsidP="00D56A93">
            <w:pPr>
              <w:pStyle w:val="ExhibitText"/>
              <w:jc w:val="left"/>
            </w:pPr>
            <w:r w:rsidRPr="00082992">
              <w:t>Revised</w:t>
            </w:r>
          </w:p>
        </w:tc>
        <w:tc>
          <w:tcPr>
            <w:tcW w:w="924" w:type="dxa"/>
            <w:vAlign w:val="center"/>
            <w:hideMark/>
          </w:tcPr>
          <w:p w14:paraId="0BCCAAFA" w14:textId="77777777" w:rsidR="00531061" w:rsidRPr="00082992" w:rsidRDefault="00531061" w:rsidP="00D56A93">
            <w:pPr>
              <w:pStyle w:val="ExhibitText"/>
              <w:jc w:val="right"/>
            </w:pPr>
            <w:r w:rsidRPr="00082992">
              <w:t>114.01</w:t>
            </w:r>
          </w:p>
        </w:tc>
        <w:tc>
          <w:tcPr>
            <w:tcW w:w="924" w:type="dxa"/>
            <w:vAlign w:val="center"/>
            <w:hideMark/>
          </w:tcPr>
          <w:p w14:paraId="45C7EDCB" w14:textId="77777777" w:rsidR="00531061" w:rsidRPr="00082992" w:rsidRDefault="00531061" w:rsidP="00D56A93">
            <w:pPr>
              <w:pStyle w:val="ExhibitText"/>
              <w:jc w:val="right"/>
            </w:pPr>
            <w:r w:rsidRPr="00082992">
              <w:t>112.41</w:t>
            </w:r>
          </w:p>
        </w:tc>
        <w:tc>
          <w:tcPr>
            <w:tcW w:w="925" w:type="dxa"/>
            <w:vAlign w:val="center"/>
            <w:hideMark/>
          </w:tcPr>
          <w:p w14:paraId="21FA6EB2" w14:textId="77777777" w:rsidR="00531061" w:rsidRPr="00082992" w:rsidRDefault="00531061" w:rsidP="00D56A93">
            <w:pPr>
              <w:pStyle w:val="ExhibitText"/>
              <w:jc w:val="right"/>
            </w:pPr>
            <w:r w:rsidRPr="00082992">
              <w:t>112.31</w:t>
            </w:r>
          </w:p>
        </w:tc>
        <w:tc>
          <w:tcPr>
            <w:tcW w:w="924" w:type="dxa"/>
            <w:vAlign w:val="center"/>
            <w:hideMark/>
          </w:tcPr>
          <w:p w14:paraId="1F75765C" w14:textId="0FA3A01D" w:rsidR="00531061" w:rsidRPr="00082992" w:rsidRDefault="00531061" w:rsidP="00D56A93">
            <w:pPr>
              <w:pStyle w:val="ExhibitText"/>
              <w:jc w:val="right"/>
            </w:pPr>
            <w:r w:rsidRPr="00082992">
              <w:t>114</w:t>
            </w:r>
            <w:r w:rsidR="00D56A93" w:rsidRPr="00082992">
              <w:t>.00</w:t>
            </w:r>
          </w:p>
        </w:tc>
        <w:tc>
          <w:tcPr>
            <w:tcW w:w="925" w:type="dxa"/>
            <w:vAlign w:val="center"/>
            <w:hideMark/>
          </w:tcPr>
          <w:p w14:paraId="784A7D23" w14:textId="5A720688" w:rsidR="00531061" w:rsidRPr="00082992" w:rsidRDefault="00531061" w:rsidP="00D56A93">
            <w:pPr>
              <w:pStyle w:val="ExhibitText"/>
              <w:jc w:val="right"/>
            </w:pPr>
            <w:r w:rsidRPr="00082992">
              <w:t>114.7</w:t>
            </w:r>
            <w:r w:rsidR="00D56A93" w:rsidRPr="00082992">
              <w:t>0</w:t>
            </w:r>
          </w:p>
        </w:tc>
        <w:tc>
          <w:tcPr>
            <w:tcW w:w="924" w:type="dxa"/>
            <w:vAlign w:val="center"/>
            <w:hideMark/>
          </w:tcPr>
          <w:p w14:paraId="5CAFA020" w14:textId="63716918" w:rsidR="00531061" w:rsidRPr="00082992" w:rsidRDefault="00531061" w:rsidP="00D56A93">
            <w:pPr>
              <w:pStyle w:val="ExhibitText"/>
              <w:jc w:val="right"/>
            </w:pPr>
            <w:r w:rsidRPr="00082992">
              <w:t>112.5</w:t>
            </w:r>
            <w:r w:rsidR="00D56A93" w:rsidRPr="00082992">
              <w:t>0</w:t>
            </w:r>
          </w:p>
        </w:tc>
        <w:tc>
          <w:tcPr>
            <w:tcW w:w="925" w:type="dxa"/>
            <w:vAlign w:val="center"/>
            <w:hideMark/>
          </w:tcPr>
          <w:p w14:paraId="589EC191" w14:textId="2218E6BB" w:rsidR="00531061" w:rsidRPr="00082992" w:rsidRDefault="00531061" w:rsidP="00D56A93">
            <w:pPr>
              <w:pStyle w:val="ExhibitText"/>
              <w:jc w:val="right"/>
            </w:pPr>
            <w:r w:rsidRPr="00082992">
              <w:t>109.9</w:t>
            </w:r>
            <w:r w:rsidR="00D56A93" w:rsidRPr="00082992">
              <w:t>0</w:t>
            </w:r>
          </w:p>
        </w:tc>
      </w:tr>
    </w:tbl>
    <w:p w14:paraId="62C1EFFE" w14:textId="77777777" w:rsidR="00531061" w:rsidRPr="00082992" w:rsidRDefault="00531061" w:rsidP="00DD46AB">
      <w:pPr>
        <w:pStyle w:val="Footnote"/>
      </w:pPr>
    </w:p>
    <w:p w14:paraId="4520C461" w14:textId="6F25748A" w:rsidR="00531061" w:rsidRPr="00B744B7" w:rsidRDefault="00531061" w:rsidP="00DD46AB">
      <w:pPr>
        <w:pStyle w:val="Footnote"/>
        <w:rPr>
          <w:spacing w:val="-4"/>
          <w:kern w:val="17"/>
        </w:rPr>
      </w:pPr>
      <w:r w:rsidRPr="00B744B7">
        <w:rPr>
          <w:spacing w:val="-4"/>
          <w:kern w:val="17"/>
        </w:rPr>
        <w:t xml:space="preserve">Source: </w:t>
      </w:r>
      <w:r w:rsidR="008423D5">
        <w:rPr>
          <w:spacing w:val="-4"/>
          <w:kern w:val="17"/>
        </w:rPr>
        <w:t>“</w:t>
      </w:r>
      <w:r w:rsidR="00B462E9" w:rsidRPr="00B744B7">
        <w:rPr>
          <w:spacing w:val="-4"/>
          <w:kern w:val="17"/>
        </w:rPr>
        <w:t>Report by Eurostat on the Revision of the Greek Government Deficit and Debt Figures,</w:t>
      </w:r>
      <w:r w:rsidR="008423D5">
        <w:rPr>
          <w:spacing w:val="-4"/>
          <w:kern w:val="17"/>
        </w:rPr>
        <w:t>”</w:t>
      </w:r>
      <w:r w:rsidR="00B462E9" w:rsidRPr="00B744B7">
        <w:rPr>
          <w:spacing w:val="-4"/>
          <w:kern w:val="17"/>
        </w:rPr>
        <w:t xml:space="preserve"> Eurostat, European Commission, November 22, 2004, accessed April 12, 2015, http://ec.europa.eu/eurostat/documents/4187653/5765001/GREECE-EN.PDF/2da4e4f6-f9f2-4848-b1a9-cb229fcabae3?version=1.0</w:t>
      </w:r>
      <w:r w:rsidR="00DD46AB" w:rsidRPr="00B744B7">
        <w:rPr>
          <w:spacing w:val="-4"/>
          <w:kern w:val="17"/>
        </w:rPr>
        <w:t>.</w:t>
      </w:r>
    </w:p>
    <w:p w14:paraId="151AA6AA" w14:textId="77777777" w:rsidR="00531061" w:rsidRPr="00082992" w:rsidRDefault="00531061" w:rsidP="00082992">
      <w:pPr>
        <w:pStyle w:val="ExhibitText"/>
      </w:pPr>
    </w:p>
    <w:p w14:paraId="3A78910A" w14:textId="77777777" w:rsidR="00531061" w:rsidRPr="00082992" w:rsidRDefault="00531061" w:rsidP="00082992">
      <w:pPr>
        <w:pStyle w:val="ExhibitText"/>
      </w:pPr>
    </w:p>
    <w:p w14:paraId="562FC7AE" w14:textId="4E4732E9" w:rsidR="00E51E3D" w:rsidRPr="00082992" w:rsidRDefault="00531061" w:rsidP="00187DCD">
      <w:pPr>
        <w:pStyle w:val="ExhibitHeading"/>
        <w:outlineLvl w:val="0"/>
      </w:pPr>
      <w:r w:rsidRPr="00082992">
        <w:t xml:space="preserve">EXHIBIT </w:t>
      </w:r>
      <w:r w:rsidR="009D6A25" w:rsidRPr="00082992">
        <w:t>4</w:t>
      </w:r>
      <w:r w:rsidRPr="00082992">
        <w:t>: GREECE’S DEBTORS</w:t>
      </w:r>
      <w:r w:rsidR="002D6400" w:rsidRPr="00082992">
        <w:t>, by</w:t>
      </w:r>
      <w:r w:rsidRPr="00082992">
        <w:t xml:space="preserve"> INSTITUTION AND COUNTRY</w:t>
      </w:r>
    </w:p>
    <w:p w14:paraId="3E60F8D6" w14:textId="1C78F468" w:rsidR="00531061" w:rsidRPr="00082992" w:rsidRDefault="00531061" w:rsidP="00E51E3D">
      <w:pPr>
        <w:pStyle w:val="ExhibitText"/>
      </w:pPr>
    </w:p>
    <w:tbl>
      <w:tblPr>
        <w:tblStyle w:val="TableGrid"/>
        <w:tblpPr w:leftFromText="180" w:rightFromText="180" w:vertAnchor="text" w:tblpX="279" w:tblpY="1"/>
        <w:tblOverlap w:val="never"/>
        <w:tblW w:w="4248" w:type="dxa"/>
        <w:tblCellMar>
          <w:top w:w="58" w:type="dxa"/>
          <w:left w:w="115" w:type="dxa"/>
          <w:bottom w:w="58" w:type="dxa"/>
          <w:right w:w="115" w:type="dxa"/>
        </w:tblCellMar>
        <w:tblLook w:val="04A0" w:firstRow="1" w:lastRow="0" w:firstColumn="1" w:lastColumn="0" w:noHBand="0" w:noVBand="1"/>
      </w:tblPr>
      <w:tblGrid>
        <w:gridCol w:w="4248"/>
      </w:tblGrid>
      <w:tr w:rsidR="00082992" w:rsidRPr="00082992" w14:paraId="3F7C4D75" w14:textId="77777777" w:rsidTr="00B744B7">
        <w:trPr>
          <w:trHeight w:val="848"/>
        </w:trPr>
        <w:tc>
          <w:tcPr>
            <w:tcW w:w="4248" w:type="dxa"/>
            <w:vAlign w:val="center"/>
          </w:tcPr>
          <w:p w14:paraId="0705681B" w14:textId="77777777" w:rsidR="00E51E3D" w:rsidRPr="007C03C9" w:rsidRDefault="00E51E3D" w:rsidP="00B744B7">
            <w:pPr>
              <w:pStyle w:val="ExhibitText"/>
              <w:jc w:val="center"/>
              <w:rPr>
                <w:szCs w:val="18"/>
              </w:rPr>
            </w:pPr>
            <w:r w:rsidRPr="007C03C9">
              <w:rPr>
                <w:szCs w:val="18"/>
              </w:rPr>
              <w:t>EUROZONE: 60%</w:t>
            </w:r>
          </w:p>
          <w:p w14:paraId="757775D3" w14:textId="6D6D1C35" w:rsidR="00E51E3D" w:rsidRPr="007C03C9" w:rsidRDefault="00E51E3D" w:rsidP="00B744B7">
            <w:pPr>
              <w:pStyle w:val="ExhibitText"/>
              <w:jc w:val="center"/>
              <w:rPr>
                <w:szCs w:val="18"/>
              </w:rPr>
            </w:pPr>
            <w:r w:rsidRPr="007C03C9">
              <w:rPr>
                <w:szCs w:val="18"/>
              </w:rPr>
              <w:t>European Financial Stability Fund: €141.8 b</w:t>
            </w:r>
            <w:r w:rsidR="00C3225E" w:rsidRPr="007C03C9">
              <w:rPr>
                <w:szCs w:val="18"/>
              </w:rPr>
              <w:t>illion</w:t>
            </w:r>
          </w:p>
          <w:p w14:paraId="1CFA0AC8" w14:textId="0DE00901" w:rsidR="00E51E3D" w:rsidRPr="007C03C9" w:rsidRDefault="00E51E3D" w:rsidP="00B744B7">
            <w:pPr>
              <w:pStyle w:val="ExhibitText"/>
              <w:jc w:val="center"/>
              <w:rPr>
                <w:szCs w:val="18"/>
              </w:rPr>
            </w:pPr>
            <w:r w:rsidRPr="007C03C9">
              <w:rPr>
                <w:szCs w:val="18"/>
              </w:rPr>
              <w:t xml:space="preserve">Greek Loan Facility: €52.9 </w:t>
            </w:r>
            <w:r w:rsidR="00C3225E" w:rsidRPr="007C03C9">
              <w:rPr>
                <w:szCs w:val="18"/>
              </w:rPr>
              <w:t>billion</w:t>
            </w:r>
          </w:p>
        </w:tc>
      </w:tr>
      <w:tr w:rsidR="00082992" w:rsidRPr="00082992" w14:paraId="0901468F" w14:textId="77777777" w:rsidTr="00B744B7">
        <w:trPr>
          <w:trHeight w:val="288"/>
        </w:trPr>
        <w:tc>
          <w:tcPr>
            <w:tcW w:w="4248" w:type="dxa"/>
            <w:vAlign w:val="center"/>
          </w:tcPr>
          <w:p w14:paraId="1EB46131" w14:textId="6FECC8A7" w:rsidR="00E51E3D" w:rsidRPr="007C03C9" w:rsidRDefault="00E51E3D" w:rsidP="00B744B7">
            <w:pPr>
              <w:pStyle w:val="ExhibitText"/>
              <w:jc w:val="center"/>
              <w:rPr>
                <w:szCs w:val="18"/>
              </w:rPr>
            </w:pPr>
            <w:r w:rsidRPr="007C03C9">
              <w:rPr>
                <w:szCs w:val="18"/>
              </w:rPr>
              <w:t>IMF: 10%</w:t>
            </w:r>
          </w:p>
        </w:tc>
      </w:tr>
      <w:tr w:rsidR="00082992" w:rsidRPr="00082992" w14:paraId="41D83423" w14:textId="77777777" w:rsidTr="00B744B7">
        <w:trPr>
          <w:trHeight w:val="288"/>
        </w:trPr>
        <w:tc>
          <w:tcPr>
            <w:tcW w:w="4248" w:type="dxa"/>
            <w:vAlign w:val="center"/>
          </w:tcPr>
          <w:p w14:paraId="10FC8071" w14:textId="69DA9C36" w:rsidR="00E51E3D" w:rsidRPr="007C03C9" w:rsidRDefault="00E51E3D" w:rsidP="00B744B7">
            <w:pPr>
              <w:pStyle w:val="ExhibitText"/>
              <w:jc w:val="center"/>
              <w:rPr>
                <w:szCs w:val="18"/>
              </w:rPr>
            </w:pPr>
            <w:r w:rsidRPr="007C03C9">
              <w:rPr>
                <w:szCs w:val="18"/>
              </w:rPr>
              <w:t>ECB: 6%</w:t>
            </w:r>
          </w:p>
        </w:tc>
      </w:tr>
      <w:tr w:rsidR="00082992" w:rsidRPr="00082992" w14:paraId="3A61882D" w14:textId="77777777" w:rsidTr="00B744B7">
        <w:trPr>
          <w:trHeight w:val="288"/>
        </w:trPr>
        <w:tc>
          <w:tcPr>
            <w:tcW w:w="4248" w:type="dxa"/>
            <w:vAlign w:val="center"/>
          </w:tcPr>
          <w:p w14:paraId="1E54E853" w14:textId="02A7B30A" w:rsidR="00E51E3D" w:rsidRPr="007C03C9" w:rsidRDefault="00E51E3D" w:rsidP="00B744B7">
            <w:pPr>
              <w:pStyle w:val="ExhibitText"/>
              <w:jc w:val="center"/>
              <w:rPr>
                <w:szCs w:val="18"/>
              </w:rPr>
            </w:pPr>
            <w:r w:rsidRPr="007C03C9">
              <w:rPr>
                <w:szCs w:val="18"/>
              </w:rPr>
              <w:t>GREEK BANKS: 3%</w:t>
            </w:r>
          </w:p>
        </w:tc>
      </w:tr>
      <w:tr w:rsidR="00082992" w:rsidRPr="00082992" w14:paraId="29B283A1" w14:textId="77777777" w:rsidTr="00B744B7">
        <w:trPr>
          <w:trHeight w:val="288"/>
        </w:trPr>
        <w:tc>
          <w:tcPr>
            <w:tcW w:w="4248" w:type="dxa"/>
            <w:vAlign w:val="center"/>
          </w:tcPr>
          <w:p w14:paraId="4AB1FFE3" w14:textId="768C3DED" w:rsidR="00E51E3D" w:rsidRPr="007C03C9" w:rsidRDefault="00E51E3D" w:rsidP="00B744B7">
            <w:pPr>
              <w:pStyle w:val="ExhibitText"/>
              <w:jc w:val="center"/>
              <w:rPr>
                <w:szCs w:val="18"/>
              </w:rPr>
            </w:pPr>
            <w:r w:rsidRPr="007C03C9">
              <w:rPr>
                <w:szCs w:val="18"/>
              </w:rPr>
              <w:t>FOREIGN BANKS: 1%</w:t>
            </w:r>
          </w:p>
        </w:tc>
      </w:tr>
      <w:tr w:rsidR="00082992" w:rsidRPr="00082992" w14:paraId="362B7BBA" w14:textId="77777777" w:rsidTr="00B744B7">
        <w:trPr>
          <w:trHeight w:val="288"/>
        </w:trPr>
        <w:tc>
          <w:tcPr>
            <w:tcW w:w="4248" w:type="dxa"/>
            <w:vAlign w:val="center"/>
          </w:tcPr>
          <w:p w14:paraId="40707B00" w14:textId="7D30AF3F" w:rsidR="00E51E3D" w:rsidRPr="007C03C9" w:rsidRDefault="00E51E3D" w:rsidP="00B744B7">
            <w:pPr>
              <w:pStyle w:val="ExhibitText"/>
              <w:jc w:val="center"/>
              <w:rPr>
                <w:szCs w:val="18"/>
              </w:rPr>
            </w:pPr>
            <w:r w:rsidRPr="007C03C9">
              <w:rPr>
                <w:szCs w:val="18"/>
              </w:rPr>
              <w:t>BANK OF GREECE: 1%</w:t>
            </w:r>
          </w:p>
        </w:tc>
      </w:tr>
      <w:tr w:rsidR="00082992" w:rsidRPr="00082992" w14:paraId="6B5055D0" w14:textId="77777777" w:rsidTr="00B744B7">
        <w:trPr>
          <w:trHeight w:val="288"/>
        </w:trPr>
        <w:tc>
          <w:tcPr>
            <w:tcW w:w="4248" w:type="dxa"/>
            <w:vAlign w:val="center"/>
          </w:tcPr>
          <w:p w14:paraId="3D366869" w14:textId="4FC00849" w:rsidR="00E51E3D" w:rsidRPr="007C03C9" w:rsidRDefault="00E51E3D" w:rsidP="00B744B7">
            <w:pPr>
              <w:pStyle w:val="ExhibitText"/>
              <w:jc w:val="center"/>
              <w:rPr>
                <w:szCs w:val="18"/>
              </w:rPr>
            </w:pPr>
            <w:r w:rsidRPr="007C03C9">
              <w:rPr>
                <w:szCs w:val="18"/>
              </w:rPr>
              <w:t>OTHER BONDS: 15%</w:t>
            </w:r>
          </w:p>
        </w:tc>
      </w:tr>
      <w:tr w:rsidR="00082992" w:rsidRPr="00082992" w14:paraId="045A4DBB" w14:textId="77777777" w:rsidTr="00B744B7">
        <w:trPr>
          <w:trHeight w:val="288"/>
        </w:trPr>
        <w:tc>
          <w:tcPr>
            <w:tcW w:w="4248" w:type="dxa"/>
            <w:vAlign w:val="center"/>
          </w:tcPr>
          <w:p w14:paraId="03F90C52" w14:textId="150AB0DD" w:rsidR="00E51E3D" w:rsidRPr="007C03C9" w:rsidRDefault="00E51E3D" w:rsidP="00B744B7">
            <w:pPr>
              <w:pStyle w:val="ExhibitText"/>
              <w:jc w:val="center"/>
              <w:rPr>
                <w:szCs w:val="18"/>
              </w:rPr>
            </w:pPr>
            <w:r w:rsidRPr="007C03C9">
              <w:rPr>
                <w:szCs w:val="18"/>
              </w:rPr>
              <w:t>OTHER LOANS: 3%</w:t>
            </w:r>
          </w:p>
        </w:tc>
      </w:tr>
    </w:tbl>
    <w:tbl>
      <w:tblPr>
        <w:tblStyle w:val="TableGrid"/>
        <w:tblpPr w:leftFromText="180" w:rightFromText="180" w:vertAnchor="text" w:tblpXSpec="right" w:tblpY="1"/>
        <w:tblOverlap w:val="never"/>
        <w:tblW w:w="3600" w:type="dxa"/>
        <w:jc w:val="right"/>
        <w:tblLook w:val="04A0" w:firstRow="1" w:lastRow="0" w:firstColumn="1" w:lastColumn="0" w:noHBand="0" w:noVBand="1"/>
      </w:tblPr>
      <w:tblGrid>
        <w:gridCol w:w="1836"/>
        <w:gridCol w:w="1764"/>
      </w:tblGrid>
      <w:tr w:rsidR="00082992" w:rsidRPr="00082992" w14:paraId="09E268F9" w14:textId="77777777" w:rsidTr="00271CFC">
        <w:trPr>
          <w:trHeight w:val="288"/>
          <w:jc w:val="right"/>
        </w:trPr>
        <w:tc>
          <w:tcPr>
            <w:tcW w:w="2157" w:type="dxa"/>
            <w:vAlign w:val="center"/>
          </w:tcPr>
          <w:p w14:paraId="79B8691C" w14:textId="414DED2E" w:rsidR="00271CFC" w:rsidRPr="00082992" w:rsidRDefault="00271CFC" w:rsidP="00271CFC">
            <w:pPr>
              <w:pStyle w:val="ExhibitText"/>
              <w:jc w:val="left"/>
              <w:rPr>
                <w:b/>
              </w:rPr>
            </w:pPr>
            <w:r w:rsidRPr="00082992">
              <w:rPr>
                <w:b/>
              </w:rPr>
              <w:t>COUNTRY</w:t>
            </w:r>
          </w:p>
        </w:tc>
        <w:tc>
          <w:tcPr>
            <w:tcW w:w="2163" w:type="dxa"/>
            <w:vAlign w:val="center"/>
          </w:tcPr>
          <w:p w14:paraId="6590C33E" w14:textId="2D5F5D9C" w:rsidR="00271CFC" w:rsidRPr="00082992" w:rsidRDefault="00271CFC" w:rsidP="00271CFC">
            <w:pPr>
              <w:pStyle w:val="ExhibitText"/>
              <w:jc w:val="center"/>
              <w:rPr>
                <w:b/>
              </w:rPr>
            </w:pPr>
            <w:r w:rsidRPr="00082992">
              <w:rPr>
                <w:b/>
              </w:rPr>
              <w:t>AMOUNT</w:t>
            </w:r>
          </w:p>
          <w:p w14:paraId="32A548B0" w14:textId="6A3BAD04" w:rsidR="00271CFC" w:rsidRPr="00082992" w:rsidRDefault="00271CFC" w:rsidP="00271CFC">
            <w:pPr>
              <w:pStyle w:val="ExhibitText"/>
              <w:jc w:val="center"/>
              <w:rPr>
                <w:b/>
              </w:rPr>
            </w:pPr>
            <w:r w:rsidRPr="00082992">
              <w:rPr>
                <w:b/>
              </w:rPr>
              <w:t>(in € b</w:t>
            </w:r>
            <w:r w:rsidR="00C3225E">
              <w:rPr>
                <w:b/>
              </w:rPr>
              <w:t>illio</w:t>
            </w:r>
            <w:r w:rsidRPr="00082992">
              <w:rPr>
                <w:b/>
              </w:rPr>
              <w:t>n</w:t>
            </w:r>
            <w:r w:rsidR="00C3225E">
              <w:rPr>
                <w:b/>
              </w:rPr>
              <w:t>s</w:t>
            </w:r>
            <w:r w:rsidRPr="00082992">
              <w:rPr>
                <w:b/>
              </w:rPr>
              <w:t>)</w:t>
            </w:r>
          </w:p>
        </w:tc>
      </w:tr>
      <w:tr w:rsidR="00082992" w:rsidRPr="00082992" w14:paraId="0B9FAFF5" w14:textId="77777777" w:rsidTr="00271CFC">
        <w:trPr>
          <w:trHeight w:val="288"/>
          <w:jc w:val="right"/>
        </w:trPr>
        <w:tc>
          <w:tcPr>
            <w:tcW w:w="2157" w:type="dxa"/>
            <w:vAlign w:val="center"/>
          </w:tcPr>
          <w:p w14:paraId="4DE1D48D" w14:textId="5A59CB36" w:rsidR="00271CFC" w:rsidRPr="00082992" w:rsidRDefault="00271CFC" w:rsidP="00271CFC">
            <w:pPr>
              <w:pStyle w:val="ExhibitText"/>
              <w:jc w:val="left"/>
            </w:pPr>
            <w:r w:rsidRPr="00082992">
              <w:t>Germany</w:t>
            </w:r>
            <w:r w:rsidRPr="00082992">
              <w:rPr>
                <w:vertAlign w:val="superscript"/>
              </w:rPr>
              <w:t>1</w:t>
            </w:r>
          </w:p>
        </w:tc>
        <w:tc>
          <w:tcPr>
            <w:tcW w:w="2163" w:type="dxa"/>
            <w:vAlign w:val="center"/>
          </w:tcPr>
          <w:p w14:paraId="6BA3F29F" w14:textId="6744F280" w:rsidR="00271CFC" w:rsidRPr="00082992" w:rsidRDefault="00271CFC" w:rsidP="00271CFC">
            <w:pPr>
              <w:pStyle w:val="ExhibitText"/>
              <w:ind w:right="576"/>
              <w:jc w:val="right"/>
            </w:pPr>
            <w:r w:rsidRPr="00082992">
              <w:t>68.2</w:t>
            </w:r>
          </w:p>
        </w:tc>
      </w:tr>
      <w:tr w:rsidR="00082992" w:rsidRPr="00082992" w14:paraId="1A8B5382" w14:textId="77777777" w:rsidTr="00271CFC">
        <w:trPr>
          <w:trHeight w:val="288"/>
          <w:jc w:val="right"/>
        </w:trPr>
        <w:tc>
          <w:tcPr>
            <w:tcW w:w="2157" w:type="dxa"/>
            <w:vAlign w:val="center"/>
          </w:tcPr>
          <w:p w14:paraId="082DF697" w14:textId="3E2FC68E" w:rsidR="00271CFC" w:rsidRPr="00082992" w:rsidRDefault="00271CFC" w:rsidP="00271CFC">
            <w:pPr>
              <w:pStyle w:val="ExhibitText"/>
              <w:jc w:val="left"/>
            </w:pPr>
            <w:r w:rsidRPr="00082992">
              <w:t>France</w:t>
            </w:r>
            <w:r w:rsidRPr="00082992">
              <w:rPr>
                <w:vertAlign w:val="superscript"/>
              </w:rPr>
              <w:t>1</w:t>
            </w:r>
          </w:p>
        </w:tc>
        <w:tc>
          <w:tcPr>
            <w:tcW w:w="2163" w:type="dxa"/>
            <w:vAlign w:val="center"/>
          </w:tcPr>
          <w:p w14:paraId="6659B540" w14:textId="5B180598" w:rsidR="00271CFC" w:rsidRPr="00082992" w:rsidRDefault="00271CFC" w:rsidP="00271CFC">
            <w:pPr>
              <w:pStyle w:val="ExhibitText"/>
              <w:ind w:right="576"/>
              <w:jc w:val="right"/>
            </w:pPr>
            <w:r w:rsidRPr="00082992">
              <w:t>43.8</w:t>
            </w:r>
          </w:p>
        </w:tc>
      </w:tr>
      <w:tr w:rsidR="00082992" w:rsidRPr="00082992" w14:paraId="35EFE88F" w14:textId="77777777" w:rsidTr="00271CFC">
        <w:trPr>
          <w:trHeight w:val="288"/>
          <w:jc w:val="right"/>
        </w:trPr>
        <w:tc>
          <w:tcPr>
            <w:tcW w:w="2157" w:type="dxa"/>
            <w:vAlign w:val="center"/>
          </w:tcPr>
          <w:p w14:paraId="6E0F7458" w14:textId="59FCDB90" w:rsidR="00271CFC" w:rsidRPr="00082992" w:rsidRDefault="00271CFC" w:rsidP="00271CFC">
            <w:pPr>
              <w:pStyle w:val="ExhibitText"/>
              <w:jc w:val="left"/>
            </w:pPr>
            <w:r w:rsidRPr="00082992">
              <w:t>Italy</w:t>
            </w:r>
            <w:r w:rsidRPr="00082992">
              <w:rPr>
                <w:vertAlign w:val="superscript"/>
              </w:rPr>
              <w:t>1</w:t>
            </w:r>
          </w:p>
        </w:tc>
        <w:tc>
          <w:tcPr>
            <w:tcW w:w="2163" w:type="dxa"/>
            <w:vAlign w:val="center"/>
          </w:tcPr>
          <w:p w14:paraId="61EF572B" w14:textId="547FFF8C" w:rsidR="00271CFC" w:rsidRPr="00082992" w:rsidRDefault="00271CFC" w:rsidP="00271CFC">
            <w:pPr>
              <w:pStyle w:val="ExhibitText"/>
              <w:ind w:right="576"/>
              <w:jc w:val="right"/>
            </w:pPr>
            <w:r w:rsidRPr="00082992">
              <w:t>38.4</w:t>
            </w:r>
          </w:p>
        </w:tc>
      </w:tr>
      <w:tr w:rsidR="00082992" w:rsidRPr="00082992" w14:paraId="2783B196" w14:textId="77777777" w:rsidTr="00271CFC">
        <w:trPr>
          <w:trHeight w:val="288"/>
          <w:jc w:val="right"/>
        </w:trPr>
        <w:tc>
          <w:tcPr>
            <w:tcW w:w="2157" w:type="dxa"/>
            <w:vAlign w:val="center"/>
          </w:tcPr>
          <w:p w14:paraId="4FB98AEB" w14:textId="4D7B8EB3" w:rsidR="00271CFC" w:rsidRPr="00082992" w:rsidRDefault="00271CFC" w:rsidP="00271CFC">
            <w:pPr>
              <w:pStyle w:val="ExhibitText"/>
              <w:jc w:val="left"/>
            </w:pPr>
            <w:r w:rsidRPr="00082992">
              <w:t>Spain</w:t>
            </w:r>
            <w:r w:rsidRPr="00082992">
              <w:rPr>
                <w:vertAlign w:val="superscript"/>
              </w:rPr>
              <w:t>1</w:t>
            </w:r>
          </w:p>
        </w:tc>
        <w:tc>
          <w:tcPr>
            <w:tcW w:w="2163" w:type="dxa"/>
            <w:vAlign w:val="center"/>
          </w:tcPr>
          <w:p w14:paraId="1C133277" w14:textId="00B12F62" w:rsidR="00271CFC" w:rsidRPr="00082992" w:rsidRDefault="00271CFC" w:rsidP="00271CFC">
            <w:pPr>
              <w:pStyle w:val="ExhibitText"/>
              <w:ind w:right="576"/>
              <w:jc w:val="right"/>
            </w:pPr>
            <w:r w:rsidRPr="00082992">
              <w:t>25.0</w:t>
            </w:r>
          </w:p>
        </w:tc>
      </w:tr>
      <w:tr w:rsidR="00082992" w:rsidRPr="00082992" w14:paraId="15136E19" w14:textId="77777777" w:rsidTr="00271CFC">
        <w:trPr>
          <w:trHeight w:val="288"/>
          <w:jc w:val="right"/>
        </w:trPr>
        <w:tc>
          <w:tcPr>
            <w:tcW w:w="2157" w:type="dxa"/>
            <w:vAlign w:val="center"/>
          </w:tcPr>
          <w:p w14:paraId="02407D5F" w14:textId="5F22ABD9" w:rsidR="00271CFC" w:rsidRPr="00082992" w:rsidRDefault="00271CFC" w:rsidP="00271CFC">
            <w:pPr>
              <w:pStyle w:val="ExhibitText"/>
              <w:jc w:val="left"/>
            </w:pPr>
            <w:r w:rsidRPr="00082992">
              <w:t>IMF</w:t>
            </w:r>
          </w:p>
        </w:tc>
        <w:tc>
          <w:tcPr>
            <w:tcW w:w="2163" w:type="dxa"/>
            <w:vAlign w:val="center"/>
          </w:tcPr>
          <w:p w14:paraId="7F1649A0" w14:textId="50279858" w:rsidR="00271CFC" w:rsidRPr="00082992" w:rsidRDefault="00271CFC" w:rsidP="00271CFC">
            <w:pPr>
              <w:pStyle w:val="ExhibitText"/>
              <w:ind w:right="576"/>
              <w:jc w:val="right"/>
            </w:pPr>
            <w:r w:rsidRPr="00082992">
              <w:t>21.4</w:t>
            </w:r>
          </w:p>
        </w:tc>
      </w:tr>
      <w:tr w:rsidR="00082992" w:rsidRPr="00082992" w14:paraId="2525460A" w14:textId="77777777" w:rsidTr="00271CFC">
        <w:trPr>
          <w:trHeight w:val="288"/>
          <w:jc w:val="right"/>
        </w:trPr>
        <w:tc>
          <w:tcPr>
            <w:tcW w:w="2157" w:type="dxa"/>
            <w:vAlign w:val="center"/>
          </w:tcPr>
          <w:p w14:paraId="25737FF0" w14:textId="1A0C531E" w:rsidR="00271CFC" w:rsidRPr="00082992" w:rsidRDefault="00271CFC" w:rsidP="00271CFC">
            <w:pPr>
              <w:pStyle w:val="ExhibitText"/>
              <w:jc w:val="left"/>
            </w:pPr>
            <w:r w:rsidRPr="00082992">
              <w:t>ECB</w:t>
            </w:r>
          </w:p>
        </w:tc>
        <w:tc>
          <w:tcPr>
            <w:tcW w:w="2163" w:type="dxa"/>
            <w:vAlign w:val="center"/>
          </w:tcPr>
          <w:p w14:paraId="5AFFDF45" w14:textId="65DD75FF" w:rsidR="00271CFC" w:rsidRPr="00082992" w:rsidRDefault="00271CFC" w:rsidP="00271CFC">
            <w:pPr>
              <w:pStyle w:val="ExhibitText"/>
              <w:ind w:right="576"/>
              <w:jc w:val="right"/>
            </w:pPr>
            <w:r w:rsidRPr="00082992">
              <w:t>18.1</w:t>
            </w:r>
          </w:p>
        </w:tc>
      </w:tr>
      <w:tr w:rsidR="00082992" w:rsidRPr="00082992" w14:paraId="66D05033" w14:textId="77777777" w:rsidTr="00271CFC">
        <w:trPr>
          <w:trHeight w:val="288"/>
          <w:jc w:val="right"/>
        </w:trPr>
        <w:tc>
          <w:tcPr>
            <w:tcW w:w="2157" w:type="dxa"/>
            <w:vAlign w:val="center"/>
          </w:tcPr>
          <w:p w14:paraId="21FCBDA9" w14:textId="7C049824" w:rsidR="00271CFC" w:rsidRPr="00082992" w:rsidRDefault="00271CFC" w:rsidP="00271CFC">
            <w:pPr>
              <w:pStyle w:val="ExhibitText"/>
              <w:jc w:val="left"/>
            </w:pPr>
            <w:r w:rsidRPr="00082992">
              <w:t>Netherlands</w:t>
            </w:r>
            <w:r w:rsidRPr="00082992">
              <w:rPr>
                <w:vertAlign w:val="superscript"/>
              </w:rPr>
              <w:t>1</w:t>
            </w:r>
          </w:p>
        </w:tc>
        <w:tc>
          <w:tcPr>
            <w:tcW w:w="2163" w:type="dxa"/>
            <w:vAlign w:val="center"/>
          </w:tcPr>
          <w:p w14:paraId="7804AF91" w14:textId="574D9B7B" w:rsidR="00271CFC" w:rsidRPr="00082992" w:rsidRDefault="00271CFC" w:rsidP="00271CFC">
            <w:pPr>
              <w:pStyle w:val="ExhibitText"/>
              <w:ind w:right="576"/>
              <w:jc w:val="right"/>
            </w:pPr>
            <w:r w:rsidRPr="00082992">
              <w:t>13.4</w:t>
            </w:r>
          </w:p>
        </w:tc>
      </w:tr>
      <w:tr w:rsidR="00082992" w:rsidRPr="00082992" w14:paraId="14541311" w14:textId="77777777" w:rsidTr="00271CFC">
        <w:trPr>
          <w:trHeight w:val="288"/>
          <w:jc w:val="right"/>
        </w:trPr>
        <w:tc>
          <w:tcPr>
            <w:tcW w:w="2157" w:type="dxa"/>
            <w:vAlign w:val="center"/>
          </w:tcPr>
          <w:p w14:paraId="60A19E8D" w14:textId="761FD51F" w:rsidR="00271CFC" w:rsidRPr="00082992" w:rsidRDefault="00271CFC" w:rsidP="00271CFC">
            <w:pPr>
              <w:pStyle w:val="ExhibitText"/>
              <w:jc w:val="left"/>
            </w:pPr>
            <w:r w:rsidRPr="00082992">
              <w:t>U</w:t>
            </w:r>
            <w:r w:rsidR="00D84630" w:rsidRPr="00082992">
              <w:t>.</w:t>
            </w:r>
            <w:r w:rsidRPr="00082992">
              <w:t>S</w:t>
            </w:r>
            <w:r w:rsidR="00D84630" w:rsidRPr="00082992">
              <w:t>.</w:t>
            </w:r>
            <w:r w:rsidRPr="00082992">
              <w:rPr>
                <w:vertAlign w:val="superscript"/>
              </w:rPr>
              <w:t>2</w:t>
            </w:r>
          </w:p>
        </w:tc>
        <w:tc>
          <w:tcPr>
            <w:tcW w:w="2163" w:type="dxa"/>
            <w:vAlign w:val="center"/>
          </w:tcPr>
          <w:p w14:paraId="334C61E3" w14:textId="190424E7" w:rsidR="00271CFC" w:rsidRPr="00082992" w:rsidRDefault="00271CFC" w:rsidP="00271CFC">
            <w:pPr>
              <w:pStyle w:val="ExhibitText"/>
              <w:ind w:right="576"/>
              <w:jc w:val="right"/>
            </w:pPr>
            <w:r w:rsidRPr="00082992">
              <w:t>11.3</w:t>
            </w:r>
          </w:p>
        </w:tc>
      </w:tr>
      <w:tr w:rsidR="00082992" w:rsidRPr="00082992" w14:paraId="2FA63DE5" w14:textId="77777777" w:rsidTr="00271CFC">
        <w:trPr>
          <w:trHeight w:val="288"/>
          <w:jc w:val="right"/>
        </w:trPr>
        <w:tc>
          <w:tcPr>
            <w:tcW w:w="2157" w:type="dxa"/>
            <w:vAlign w:val="center"/>
          </w:tcPr>
          <w:p w14:paraId="786C1F3B" w14:textId="382B21A7" w:rsidR="00271CFC" w:rsidRPr="00082992" w:rsidRDefault="00271CFC" w:rsidP="00271CFC">
            <w:pPr>
              <w:pStyle w:val="ExhibitText"/>
              <w:jc w:val="left"/>
            </w:pPr>
            <w:r w:rsidRPr="00082992">
              <w:t>U</w:t>
            </w:r>
            <w:r w:rsidR="00D84630" w:rsidRPr="00082992">
              <w:t>.</w:t>
            </w:r>
            <w:r w:rsidRPr="00082992">
              <w:t>K</w:t>
            </w:r>
            <w:r w:rsidR="00D84630" w:rsidRPr="00082992">
              <w:t>.</w:t>
            </w:r>
            <w:r w:rsidRPr="00082992">
              <w:rPr>
                <w:vertAlign w:val="superscript"/>
              </w:rPr>
              <w:t>2</w:t>
            </w:r>
          </w:p>
        </w:tc>
        <w:tc>
          <w:tcPr>
            <w:tcW w:w="2163" w:type="dxa"/>
            <w:vAlign w:val="center"/>
          </w:tcPr>
          <w:p w14:paraId="66F71324" w14:textId="1231CDD4" w:rsidR="00271CFC" w:rsidRPr="00082992" w:rsidRDefault="00271CFC" w:rsidP="00271CFC">
            <w:pPr>
              <w:pStyle w:val="ExhibitText"/>
              <w:ind w:right="576"/>
              <w:jc w:val="right"/>
            </w:pPr>
            <w:r w:rsidRPr="00082992">
              <w:t>10.8</w:t>
            </w:r>
          </w:p>
        </w:tc>
      </w:tr>
      <w:tr w:rsidR="00082992" w:rsidRPr="00082992" w14:paraId="7620D212" w14:textId="77777777" w:rsidTr="00271CFC">
        <w:trPr>
          <w:trHeight w:val="288"/>
          <w:jc w:val="right"/>
        </w:trPr>
        <w:tc>
          <w:tcPr>
            <w:tcW w:w="2157" w:type="dxa"/>
            <w:vAlign w:val="center"/>
          </w:tcPr>
          <w:p w14:paraId="17A150A9" w14:textId="1BB20247" w:rsidR="00271CFC" w:rsidRPr="00082992" w:rsidRDefault="00271CFC" w:rsidP="00271CFC">
            <w:pPr>
              <w:pStyle w:val="ExhibitText"/>
              <w:jc w:val="left"/>
            </w:pPr>
            <w:r w:rsidRPr="00082992">
              <w:t>Belgium</w:t>
            </w:r>
            <w:r w:rsidRPr="00082992">
              <w:rPr>
                <w:vertAlign w:val="superscript"/>
              </w:rPr>
              <w:t>3</w:t>
            </w:r>
          </w:p>
        </w:tc>
        <w:tc>
          <w:tcPr>
            <w:tcW w:w="2163" w:type="dxa"/>
            <w:vAlign w:val="center"/>
          </w:tcPr>
          <w:p w14:paraId="22A02E66" w14:textId="170E237B" w:rsidR="00271CFC" w:rsidRPr="00082992" w:rsidRDefault="00271CFC" w:rsidP="00271CFC">
            <w:pPr>
              <w:pStyle w:val="ExhibitText"/>
              <w:ind w:right="576"/>
              <w:jc w:val="right"/>
            </w:pPr>
            <w:r w:rsidRPr="00082992">
              <w:t>7.5</w:t>
            </w:r>
          </w:p>
        </w:tc>
      </w:tr>
      <w:tr w:rsidR="00082992" w:rsidRPr="00082992" w14:paraId="05082027" w14:textId="77777777" w:rsidTr="00271CFC">
        <w:trPr>
          <w:trHeight w:val="288"/>
          <w:jc w:val="right"/>
        </w:trPr>
        <w:tc>
          <w:tcPr>
            <w:tcW w:w="2157" w:type="dxa"/>
            <w:vAlign w:val="center"/>
          </w:tcPr>
          <w:p w14:paraId="60409B38" w14:textId="23C62D85" w:rsidR="00271CFC" w:rsidRPr="00082992" w:rsidRDefault="00271CFC" w:rsidP="00271CFC">
            <w:pPr>
              <w:pStyle w:val="ExhibitText"/>
              <w:jc w:val="left"/>
            </w:pPr>
            <w:r w:rsidRPr="00082992">
              <w:t>Austria</w:t>
            </w:r>
            <w:r w:rsidRPr="00082992">
              <w:rPr>
                <w:vertAlign w:val="superscript"/>
              </w:rPr>
              <w:t>3</w:t>
            </w:r>
          </w:p>
        </w:tc>
        <w:tc>
          <w:tcPr>
            <w:tcW w:w="2163" w:type="dxa"/>
            <w:vAlign w:val="center"/>
          </w:tcPr>
          <w:p w14:paraId="298F99B3" w14:textId="04CD0762" w:rsidR="00271CFC" w:rsidRPr="00082992" w:rsidRDefault="00271CFC" w:rsidP="00271CFC">
            <w:pPr>
              <w:pStyle w:val="ExhibitText"/>
              <w:ind w:right="576"/>
              <w:jc w:val="right"/>
            </w:pPr>
            <w:r w:rsidRPr="00082992">
              <w:t>5.9</w:t>
            </w:r>
          </w:p>
        </w:tc>
      </w:tr>
      <w:tr w:rsidR="00082992" w:rsidRPr="00082992" w14:paraId="5B631F4B" w14:textId="77777777" w:rsidTr="00271CFC">
        <w:trPr>
          <w:trHeight w:val="288"/>
          <w:jc w:val="right"/>
        </w:trPr>
        <w:tc>
          <w:tcPr>
            <w:tcW w:w="2157" w:type="dxa"/>
            <w:vAlign w:val="center"/>
          </w:tcPr>
          <w:p w14:paraId="75825BA0" w14:textId="04B46FE5" w:rsidR="00271CFC" w:rsidRPr="00082992" w:rsidRDefault="00271CFC" w:rsidP="00271CFC">
            <w:pPr>
              <w:pStyle w:val="ExhibitText"/>
              <w:jc w:val="left"/>
            </w:pPr>
            <w:r w:rsidRPr="00082992">
              <w:t>Finland</w:t>
            </w:r>
            <w:r w:rsidRPr="00082992">
              <w:rPr>
                <w:vertAlign w:val="superscript"/>
              </w:rPr>
              <w:t>3</w:t>
            </w:r>
          </w:p>
        </w:tc>
        <w:tc>
          <w:tcPr>
            <w:tcW w:w="2163" w:type="dxa"/>
            <w:vAlign w:val="center"/>
          </w:tcPr>
          <w:p w14:paraId="2502116C" w14:textId="19354A08" w:rsidR="00271CFC" w:rsidRPr="00082992" w:rsidRDefault="00271CFC" w:rsidP="00271CFC">
            <w:pPr>
              <w:pStyle w:val="ExhibitText"/>
              <w:ind w:right="576"/>
              <w:jc w:val="right"/>
            </w:pPr>
            <w:r w:rsidRPr="00082992">
              <w:t>3.7</w:t>
            </w:r>
          </w:p>
        </w:tc>
      </w:tr>
    </w:tbl>
    <w:p w14:paraId="2936F92B" w14:textId="567929B6" w:rsidR="00531061" w:rsidRPr="00082992" w:rsidRDefault="00531061" w:rsidP="002D6400">
      <w:pPr>
        <w:pStyle w:val="ExhibitText"/>
      </w:pPr>
    </w:p>
    <w:p w14:paraId="2A566FB6" w14:textId="77777777" w:rsidR="00271CFC" w:rsidRPr="00082992" w:rsidRDefault="00271CFC" w:rsidP="002D6400">
      <w:pPr>
        <w:pStyle w:val="ExhibitText"/>
      </w:pPr>
    </w:p>
    <w:p w14:paraId="5108549C" w14:textId="77777777" w:rsidR="00271CFC" w:rsidRPr="00082992" w:rsidRDefault="00271CFC" w:rsidP="002D6400">
      <w:pPr>
        <w:pStyle w:val="ExhibitText"/>
      </w:pPr>
    </w:p>
    <w:p w14:paraId="47A2C70D" w14:textId="77777777" w:rsidR="00271CFC" w:rsidRPr="00082992" w:rsidRDefault="00271CFC" w:rsidP="002D6400">
      <w:pPr>
        <w:pStyle w:val="ExhibitText"/>
      </w:pPr>
    </w:p>
    <w:p w14:paraId="4ABB2A85" w14:textId="77777777" w:rsidR="00271CFC" w:rsidRPr="00082992" w:rsidRDefault="00271CFC" w:rsidP="002D6400">
      <w:pPr>
        <w:pStyle w:val="ExhibitText"/>
      </w:pPr>
    </w:p>
    <w:p w14:paraId="095B0045" w14:textId="77777777" w:rsidR="00271CFC" w:rsidRPr="00082992" w:rsidRDefault="00271CFC" w:rsidP="002D6400">
      <w:pPr>
        <w:pStyle w:val="ExhibitText"/>
      </w:pPr>
    </w:p>
    <w:p w14:paraId="03260347" w14:textId="77777777" w:rsidR="00271CFC" w:rsidRPr="00082992" w:rsidRDefault="00271CFC" w:rsidP="002D6400">
      <w:pPr>
        <w:pStyle w:val="ExhibitText"/>
      </w:pPr>
    </w:p>
    <w:p w14:paraId="645874B6" w14:textId="77777777" w:rsidR="00271CFC" w:rsidRPr="00082992" w:rsidRDefault="00271CFC" w:rsidP="002D6400">
      <w:pPr>
        <w:pStyle w:val="ExhibitText"/>
      </w:pPr>
    </w:p>
    <w:p w14:paraId="3082539F" w14:textId="77777777" w:rsidR="00271CFC" w:rsidRPr="00082992" w:rsidRDefault="00271CFC" w:rsidP="002D6400">
      <w:pPr>
        <w:pStyle w:val="ExhibitText"/>
      </w:pPr>
    </w:p>
    <w:p w14:paraId="12CEBBA7" w14:textId="77777777" w:rsidR="00271CFC" w:rsidRPr="00082992" w:rsidRDefault="00271CFC" w:rsidP="002D6400">
      <w:pPr>
        <w:pStyle w:val="ExhibitText"/>
      </w:pPr>
    </w:p>
    <w:p w14:paraId="2001B4AF" w14:textId="77777777" w:rsidR="00271CFC" w:rsidRPr="00082992" w:rsidRDefault="00271CFC" w:rsidP="002D6400">
      <w:pPr>
        <w:pStyle w:val="ExhibitText"/>
      </w:pPr>
    </w:p>
    <w:p w14:paraId="7C7D6E32" w14:textId="77777777" w:rsidR="00271CFC" w:rsidRPr="00082992" w:rsidRDefault="00271CFC" w:rsidP="002D6400">
      <w:pPr>
        <w:pStyle w:val="ExhibitText"/>
      </w:pPr>
    </w:p>
    <w:p w14:paraId="72F95F15" w14:textId="77777777" w:rsidR="00271CFC" w:rsidRPr="00082992" w:rsidRDefault="00271CFC" w:rsidP="002D6400">
      <w:pPr>
        <w:pStyle w:val="ExhibitText"/>
      </w:pPr>
    </w:p>
    <w:p w14:paraId="63C1B09F" w14:textId="77777777" w:rsidR="00271CFC" w:rsidRPr="00082992" w:rsidRDefault="00271CFC" w:rsidP="002D6400">
      <w:pPr>
        <w:pStyle w:val="ExhibitText"/>
      </w:pPr>
    </w:p>
    <w:p w14:paraId="18A1B7AE" w14:textId="77777777" w:rsidR="00271CFC" w:rsidRPr="00082992" w:rsidRDefault="00271CFC" w:rsidP="002D6400">
      <w:pPr>
        <w:pStyle w:val="ExhibitText"/>
      </w:pPr>
    </w:p>
    <w:p w14:paraId="0F10419D" w14:textId="77777777" w:rsidR="00271CFC" w:rsidRPr="00082992" w:rsidRDefault="00271CFC" w:rsidP="002D6400">
      <w:pPr>
        <w:pStyle w:val="ExhibitText"/>
      </w:pPr>
    </w:p>
    <w:p w14:paraId="669FE573" w14:textId="77777777" w:rsidR="00271CFC" w:rsidRPr="00082992" w:rsidRDefault="00271CFC" w:rsidP="002D6400">
      <w:pPr>
        <w:pStyle w:val="ExhibitText"/>
      </w:pPr>
    </w:p>
    <w:p w14:paraId="1F324B0A" w14:textId="77777777" w:rsidR="00271CFC" w:rsidRPr="00082992" w:rsidRDefault="00271CFC" w:rsidP="002D6400">
      <w:pPr>
        <w:pStyle w:val="ExhibitText"/>
      </w:pPr>
    </w:p>
    <w:p w14:paraId="67758570" w14:textId="77777777" w:rsidR="00271CFC" w:rsidRPr="00082992" w:rsidRDefault="00271CFC" w:rsidP="00271CFC">
      <w:pPr>
        <w:pStyle w:val="ExhibitText"/>
      </w:pPr>
    </w:p>
    <w:p w14:paraId="7E66E803" w14:textId="4AC03CE5" w:rsidR="00271CFC" w:rsidRPr="00082992" w:rsidRDefault="00271CFC" w:rsidP="00271CFC">
      <w:pPr>
        <w:pStyle w:val="Footnote"/>
      </w:pPr>
      <w:r w:rsidRPr="00082992">
        <w:t xml:space="preserve">Notes: </w:t>
      </w:r>
      <w:r w:rsidR="00D84630" w:rsidRPr="00082992">
        <w:t>IMF = International Monetary Fund; ECB = European Central Bank</w:t>
      </w:r>
      <w:r w:rsidR="00B744B7">
        <w:t xml:space="preserve">; </w:t>
      </w:r>
      <w:r w:rsidR="00281681">
        <w:t>Due to rounding, the total does not</w:t>
      </w:r>
      <w:r w:rsidR="00B744B7">
        <w:t xml:space="preserve"> equal 100 per cent; </w:t>
      </w:r>
      <w:proofErr w:type="gramStart"/>
      <w:r w:rsidRPr="00082992">
        <w:rPr>
          <w:vertAlign w:val="superscript"/>
        </w:rPr>
        <w:t>1</w:t>
      </w:r>
      <w:proofErr w:type="gramEnd"/>
      <w:r w:rsidRPr="00082992">
        <w:t xml:space="preserve"> These loans were mostly in the form of EU bailout loans, but some were provided by domestic banks</w:t>
      </w:r>
      <w:r w:rsidR="00B744B7">
        <w:t xml:space="preserve">; </w:t>
      </w:r>
      <w:r w:rsidRPr="00082992">
        <w:rPr>
          <w:vertAlign w:val="superscript"/>
        </w:rPr>
        <w:t>2</w:t>
      </w:r>
      <w:r w:rsidRPr="00082992">
        <w:t xml:space="preserve"> Loans provided only by domestic banks</w:t>
      </w:r>
      <w:r w:rsidR="00B744B7">
        <w:t xml:space="preserve">; </w:t>
      </w:r>
      <w:r w:rsidRPr="00082992">
        <w:rPr>
          <w:vertAlign w:val="superscript"/>
        </w:rPr>
        <w:t>3</w:t>
      </w:r>
      <w:r w:rsidRPr="00082992">
        <w:t xml:space="preserve"> Only EU bailout loans</w:t>
      </w:r>
      <w:r w:rsidR="00D84630" w:rsidRPr="00082992">
        <w:t>.</w:t>
      </w:r>
    </w:p>
    <w:p w14:paraId="3F23B25B" w14:textId="6E6B7E1C" w:rsidR="00271CFC" w:rsidRPr="00082992" w:rsidRDefault="00271CFC" w:rsidP="00082992">
      <w:pPr>
        <w:pStyle w:val="Footnote"/>
      </w:pPr>
      <w:r w:rsidRPr="00082992">
        <w:t xml:space="preserve">Source: </w:t>
      </w:r>
      <w:r w:rsidR="008423D5">
        <w:t>“</w:t>
      </w:r>
      <w:r w:rsidR="00D84630" w:rsidRPr="00082992">
        <w:t>The Greek Debt Crisis Story in Numbers,</w:t>
      </w:r>
      <w:r w:rsidR="008423D5">
        <w:t>”</w:t>
      </w:r>
      <w:r w:rsidR="00D84630" w:rsidRPr="00082992">
        <w:t xml:space="preserve"> BBC News, July 10, 2015, accessed August 10, 2017, </w:t>
      </w:r>
      <w:r w:rsidRPr="00082992">
        <w:t>www.bbc.com/news/world-europe-33407742.</w:t>
      </w:r>
    </w:p>
    <w:p w14:paraId="577E13CA" w14:textId="77777777" w:rsidR="00271CFC" w:rsidRPr="00082992" w:rsidRDefault="00271CFC" w:rsidP="00082992">
      <w:pPr>
        <w:pStyle w:val="ExhibitText"/>
      </w:pPr>
    </w:p>
    <w:p w14:paraId="1ACA1835" w14:textId="2FB4AF60" w:rsidR="00D84630" w:rsidRPr="00082992" w:rsidRDefault="00D84630">
      <w:pPr>
        <w:spacing w:after="200" w:line="276" w:lineRule="auto"/>
        <w:rPr>
          <w:rFonts w:ascii="Arial" w:hAnsi="Arial" w:cs="Arial"/>
        </w:rPr>
      </w:pPr>
      <w:r w:rsidRPr="00082992">
        <w:br w:type="page"/>
      </w:r>
    </w:p>
    <w:p w14:paraId="20F629E0" w14:textId="765962E2" w:rsidR="00D84630" w:rsidRPr="00082992" w:rsidRDefault="00271CFC" w:rsidP="00271CFC">
      <w:pPr>
        <w:pStyle w:val="ExhibitHeading"/>
        <w:outlineLvl w:val="0"/>
      </w:pPr>
      <w:r w:rsidRPr="00082992">
        <w:lastRenderedPageBreak/>
        <w:t>EXHIBIT 5: LONG-TERM GOVERNMENT 10-YEAR BOND YIELDS</w:t>
      </w:r>
      <w:r w:rsidR="00D84630" w:rsidRPr="00082992">
        <w:t>, Germany v</w:t>
      </w:r>
      <w:r w:rsidR="00C3225E">
        <w:t>ERSUS</w:t>
      </w:r>
      <w:r w:rsidR="00D84630" w:rsidRPr="00082992">
        <w:t xml:space="preserve"> Greece</w:t>
      </w:r>
    </w:p>
    <w:p w14:paraId="560F6B57" w14:textId="2BEC80C8" w:rsidR="00271CFC" w:rsidRPr="00082992" w:rsidRDefault="00D84630" w:rsidP="00271CFC">
      <w:pPr>
        <w:pStyle w:val="ExhibitHeading"/>
        <w:outlineLvl w:val="0"/>
        <w:rPr>
          <w:rFonts w:cstheme="minorBidi"/>
        </w:rPr>
      </w:pPr>
      <w:r w:rsidRPr="00082992">
        <w:t>(</w:t>
      </w:r>
      <w:r w:rsidR="00271CFC" w:rsidRPr="00082992">
        <w:t>1993</w:t>
      </w:r>
      <w:r w:rsidRPr="00082992">
        <w:t>–</w:t>
      </w:r>
      <w:r w:rsidR="00271CFC" w:rsidRPr="00082992">
        <w:t>2017</w:t>
      </w:r>
      <w:r w:rsidRPr="00082992">
        <w:t>)</w:t>
      </w:r>
    </w:p>
    <w:p w14:paraId="7DB1EEBC" w14:textId="77777777" w:rsidR="00271CFC" w:rsidRPr="00082992" w:rsidRDefault="00271CFC" w:rsidP="00082992">
      <w:pPr>
        <w:pStyle w:val="ExhibitText"/>
      </w:pPr>
    </w:p>
    <w:p w14:paraId="66FBD8AB" w14:textId="0BC64982" w:rsidR="00531061" w:rsidRPr="00082992" w:rsidRDefault="0005040A" w:rsidP="00DB588E">
      <w:pPr>
        <w:jc w:val="center"/>
        <w:rPr>
          <w:rFonts w:ascii="Arial" w:hAnsi="Arial"/>
          <w:b/>
          <w:sz w:val="28"/>
          <w:szCs w:val="28"/>
        </w:rPr>
      </w:pPr>
      <w:r>
        <w:rPr>
          <w:noProof/>
          <w:lang w:eastAsia="en-GB"/>
        </w:rPr>
        <w:drawing>
          <wp:inline distT="0" distB="0" distL="0" distR="0" wp14:anchorId="036BBD0C" wp14:editId="775871A0">
            <wp:extent cx="5180549" cy="3377828"/>
            <wp:effectExtent l="0" t="0" r="127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B3FBA0" w14:textId="77777777" w:rsidR="00DB588E" w:rsidRPr="00082992" w:rsidRDefault="00DB588E" w:rsidP="00082992">
      <w:pPr>
        <w:pStyle w:val="ExhibitText"/>
      </w:pPr>
    </w:p>
    <w:p w14:paraId="21C90B5C" w14:textId="431CAE37" w:rsidR="00531061" w:rsidRPr="00082992" w:rsidRDefault="00531061" w:rsidP="00DB588E">
      <w:pPr>
        <w:pStyle w:val="Footnote"/>
      </w:pPr>
      <w:r w:rsidRPr="00082992">
        <w:t xml:space="preserve">Source: Created by case author </w:t>
      </w:r>
      <w:r w:rsidR="00D84630" w:rsidRPr="00082992">
        <w:t xml:space="preserve">based on </w:t>
      </w:r>
      <w:r w:rsidRPr="00082992">
        <w:t>Statistical Data Warehouse, E</w:t>
      </w:r>
      <w:r w:rsidR="00D84630" w:rsidRPr="00082992">
        <w:t xml:space="preserve">uropean </w:t>
      </w:r>
      <w:r w:rsidRPr="00082992">
        <w:t>C</w:t>
      </w:r>
      <w:r w:rsidR="00D84630" w:rsidRPr="00082992">
        <w:t xml:space="preserve">entral </w:t>
      </w:r>
      <w:proofErr w:type="gramStart"/>
      <w:r w:rsidRPr="00082992">
        <w:t>B</w:t>
      </w:r>
      <w:r w:rsidR="00D84630" w:rsidRPr="00082992">
        <w:t>ank,</w:t>
      </w:r>
      <w:proofErr w:type="gramEnd"/>
      <w:r w:rsidR="00D84630" w:rsidRPr="00082992">
        <w:t xml:space="preserve"> accessed</w:t>
      </w:r>
      <w:r w:rsidR="0005040A">
        <w:t xml:space="preserve"> April 16, 2017</w:t>
      </w:r>
      <w:r w:rsidR="00D84630" w:rsidRPr="00082992">
        <w:t xml:space="preserve">, </w:t>
      </w:r>
      <w:r w:rsidRPr="00082992">
        <w:t>https://sdw.ecb.europa.eu/browse.do?node=9691124</w:t>
      </w:r>
      <w:r w:rsidR="00DB588E" w:rsidRPr="00082992">
        <w:t>.</w:t>
      </w:r>
    </w:p>
    <w:p w14:paraId="38C580EB" w14:textId="77777777" w:rsidR="00531061" w:rsidRPr="00082992" w:rsidRDefault="00531061">
      <w:pPr>
        <w:spacing w:after="200" w:line="276" w:lineRule="auto"/>
        <w:rPr>
          <w:rFonts w:ascii="Arial" w:hAnsi="Arial" w:cs="Arial"/>
          <w:b/>
          <w:caps/>
          <w:sz w:val="18"/>
          <w:szCs w:val="18"/>
        </w:rPr>
      </w:pPr>
      <w:r w:rsidRPr="00082992">
        <w:rPr>
          <w:sz w:val="18"/>
          <w:szCs w:val="18"/>
        </w:rPr>
        <w:br w:type="page"/>
      </w:r>
    </w:p>
    <w:p w14:paraId="0BEF8F91" w14:textId="77777777" w:rsidR="00531061" w:rsidRPr="00082992" w:rsidRDefault="00531061" w:rsidP="00531061">
      <w:pPr>
        <w:pStyle w:val="Casehead1"/>
        <w:sectPr w:rsidR="00531061" w:rsidRPr="00082992" w:rsidSect="00531061">
          <w:headerReference w:type="default" r:id="rId14"/>
          <w:endnotePr>
            <w:numFmt w:val="decimal"/>
          </w:endnotePr>
          <w:pgSz w:w="12240" w:h="15840"/>
          <w:pgMar w:top="1080" w:right="1440" w:bottom="1440" w:left="1440" w:header="1080" w:footer="720" w:gutter="0"/>
          <w:cols w:space="720"/>
          <w:docGrid w:linePitch="360"/>
        </w:sectPr>
      </w:pPr>
    </w:p>
    <w:p w14:paraId="00635923" w14:textId="2B574818" w:rsidR="001A73E9" w:rsidRPr="00082992" w:rsidRDefault="001A73E9" w:rsidP="00187DCD">
      <w:pPr>
        <w:pStyle w:val="ExhibitHeading"/>
        <w:outlineLvl w:val="0"/>
      </w:pPr>
      <w:r w:rsidRPr="00082992">
        <w:lastRenderedPageBreak/>
        <w:t xml:space="preserve">EXHIBIT </w:t>
      </w:r>
      <w:r w:rsidR="009D6A25" w:rsidRPr="00082992">
        <w:t>6</w:t>
      </w:r>
      <w:r w:rsidRPr="00082992">
        <w:t>: GREEK FISCAL DATA</w:t>
      </w:r>
      <w:r w:rsidR="0002614C" w:rsidRPr="00082992">
        <w:t>—</w:t>
      </w:r>
      <w:r w:rsidRPr="00082992">
        <w:t>REVENUE, EXPENDITURE</w:t>
      </w:r>
      <w:r w:rsidR="0002614C" w:rsidRPr="00082992">
        <w:t>,</w:t>
      </w:r>
      <w:r w:rsidRPr="00082992">
        <w:t xml:space="preserve"> AND DEFICIT/SURPLUS (</w:t>
      </w:r>
      <w:r w:rsidR="00DE16EB" w:rsidRPr="00082992">
        <w:t>percent</w:t>
      </w:r>
      <w:r w:rsidR="0002614C" w:rsidRPr="00082992">
        <w:t xml:space="preserve">age of </w:t>
      </w:r>
      <w:r w:rsidRPr="00082992">
        <w:t>GDP)</w:t>
      </w:r>
    </w:p>
    <w:p w14:paraId="7E5F54AD" w14:textId="77777777" w:rsidR="001A73E9" w:rsidRPr="00082992" w:rsidRDefault="001A73E9" w:rsidP="008D086B">
      <w:pPr>
        <w:pStyle w:val="BodyTextMain"/>
        <w:rPr>
          <w:sz w:val="1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1260"/>
        <w:gridCol w:w="1890"/>
        <w:gridCol w:w="1620"/>
        <w:gridCol w:w="593"/>
        <w:gridCol w:w="594"/>
        <w:gridCol w:w="593"/>
        <w:gridCol w:w="594"/>
        <w:gridCol w:w="593"/>
        <w:gridCol w:w="594"/>
        <w:gridCol w:w="593"/>
        <w:gridCol w:w="594"/>
        <w:gridCol w:w="593"/>
        <w:gridCol w:w="594"/>
      </w:tblGrid>
      <w:tr w:rsidR="00082992" w:rsidRPr="00082992" w14:paraId="476D12D0" w14:textId="77777777" w:rsidTr="001D04CD">
        <w:trPr>
          <w:trHeight w:val="288"/>
          <w:jc w:val="center"/>
        </w:trPr>
        <w:tc>
          <w:tcPr>
            <w:tcW w:w="7015" w:type="dxa"/>
            <w:gridSpan w:val="4"/>
            <w:tcBorders>
              <w:top w:val="single" w:sz="4" w:space="0" w:color="auto"/>
              <w:left w:val="single" w:sz="4" w:space="0" w:color="auto"/>
              <w:bottom w:val="single" w:sz="4" w:space="0" w:color="auto"/>
              <w:right w:val="single" w:sz="4" w:space="0" w:color="auto"/>
            </w:tcBorders>
            <w:noWrap/>
            <w:vAlign w:val="center"/>
            <w:hideMark/>
          </w:tcPr>
          <w:p w14:paraId="2A405D32" w14:textId="77777777" w:rsidR="001A73E9" w:rsidRPr="00082992" w:rsidRDefault="001A73E9" w:rsidP="005928D4">
            <w:pPr>
              <w:pStyle w:val="ExhibitText"/>
              <w:jc w:val="left"/>
              <w:rPr>
                <w:b/>
                <w:sz w:val="16"/>
                <w:szCs w:val="16"/>
              </w:rPr>
            </w:pPr>
            <w:r w:rsidRPr="00082992">
              <w:rPr>
                <w:b/>
                <w:sz w:val="16"/>
                <w:szCs w:val="16"/>
              </w:rPr>
              <w:t>CATEGORY</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244220E" w14:textId="77777777" w:rsidR="001A73E9" w:rsidRPr="00082992" w:rsidRDefault="001A73E9" w:rsidP="005928D4">
            <w:pPr>
              <w:pStyle w:val="ExhibitText"/>
              <w:jc w:val="right"/>
              <w:rPr>
                <w:b/>
                <w:sz w:val="16"/>
                <w:szCs w:val="16"/>
              </w:rPr>
            </w:pPr>
            <w:r w:rsidRPr="00082992">
              <w:rPr>
                <w:b/>
                <w:sz w:val="16"/>
                <w:szCs w:val="16"/>
              </w:rPr>
              <w:t>2007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ADB333A" w14:textId="77777777" w:rsidR="001A73E9" w:rsidRPr="00082992" w:rsidRDefault="001A73E9" w:rsidP="005928D4">
            <w:pPr>
              <w:pStyle w:val="ExhibitText"/>
              <w:jc w:val="right"/>
              <w:rPr>
                <w:b/>
                <w:sz w:val="16"/>
                <w:szCs w:val="16"/>
              </w:rPr>
            </w:pPr>
            <w:r w:rsidRPr="00082992">
              <w:rPr>
                <w:b/>
                <w:sz w:val="16"/>
                <w:szCs w:val="16"/>
              </w:rPr>
              <w:t>2008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648FE22" w14:textId="77777777" w:rsidR="001A73E9" w:rsidRPr="00082992" w:rsidRDefault="001A73E9" w:rsidP="005928D4">
            <w:pPr>
              <w:pStyle w:val="ExhibitText"/>
              <w:jc w:val="right"/>
              <w:rPr>
                <w:b/>
                <w:sz w:val="16"/>
                <w:szCs w:val="16"/>
              </w:rPr>
            </w:pPr>
            <w:r w:rsidRPr="00082992">
              <w:rPr>
                <w:b/>
                <w:sz w:val="16"/>
                <w:szCs w:val="16"/>
              </w:rPr>
              <w:t>2009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94A2275" w14:textId="77777777" w:rsidR="001A73E9" w:rsidRPr="00082992" w:rsidRDefault="001A73E9" w:rsidP="005928D4">
            <w:pPr>
              <w:pStyle w:val="ExhibitText"/>
              <w:jc w:val="right"/>
              <w:rPr>
                <w:b/>
                <w:sz w:val="16"/>
                <w:szCs w:val="16"/>
              </w:rPr>
            </w:pPr>
            <w:r w:rsidRPr="00082992">
              <w:rPr>
                <w:b/>
                <w:sz w:val="16"/>
                <w:szCs w:val="16"/>
              </w:rPr>
              <w:t>2010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C188B00" w14:textId="77777777" w:rsidR="001A73E9" w:rsidRPr="00082992" w:rsidRDefault="001A73E9" w:rsidP="005928D4">
            <w:pPr>
              <w:pStyle w:val="ExhibitText"/>
              <w:jc w:val="right"/>
              <w:rPr>
                <w:b/>
                <w:sz w:val="16"/>
                <w:szCs w:val="16"/>
              </w:rPr>
            </w:pPr>
            <w:r w:rsidRPr="00082992">
              <w:rPr>
                <w:b/>
                <w:sz w:val="16"/>
                <w:szCs w:val="16"/>
              </w:rPr>
              <w:t>2011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49972CD" w14:textId="77777777" w:rsidR="001A73E9" w:rsidRPr="00082992" w:rsidRDefault="001A73E9" w:rsidP="005928D4">
            <w:pPr>
              <w:pStyle w:val="ExhibitText"/>
              <w:jc w:val="right"/>
              <w:rPr>
                <w:b/>
                <w:sz w:val="16"/>
                <w:szCs w:val="16"/>
              </w:rPr>
            </w:pPr>
            <w:r w:rsidRPr="00082992">
              <w:rPr>
                <w:b/>
                <w:sz w:val="16"/>
                <w:szCs w:val="16"/>
              </w:rPr>
              <w:t>2012</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DD60501" w14:textId="77777777" w:rsidR="001A73E9" w:rsidRPr="00082992" w:rsidRDefault="001A73E9" w:rsidP="005928D4">
            <w:pPr>
              <w:pStyle w:val="ExhibitText"/>
              <w:jc w:val="right"/>
              <w:rPr>
                <w:b/>
                <w:sz w:val="16"/>
                <w:szCs w:val="16"/>
              </w:rPr>
            </w:pPr>
            <w:r w:rsidRPr="00082992">
              <w:rPr>
                <w:b/>
                <w:sz w:val="16"/>
                <w:szCs w:val="16"/>
              </w:rPr>
              <w:t>2013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68ACBBC" w14:textId="77777777" w:rsidR="001A73E9" w:rsidRPr="00082992" w:rsidRDefault="001A73E9" w:rsidP="005928D4">
            <w:pPr>
              <w:pStyle w:val="ExhibitText"/>
              <w:jc w:val="right"/>
              <w:rPr>
                <w:b/>
                <w:sz w:val="16"/>
                <w:szCs w:val="16"/>
              </w:rPr>
            </w:pPr>
            <w:r w:rsidRPr="00082992">
              <w:rPr>
                <w:b/>
                <w:sz w:val="16"/>
                <w:szCs w:val="16"/>
              </w:rPr>
              <w:t>2014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5B6B302" w14:textId="77777777" w:rsidR="001A73E9" w:rsidRPr="00082992" w:rsidRDefault="001A73E9" w:rsidP="005928D4">
            <w:pPr>
              <w:pStyle w:val="ExhibitText"/>
              <w:jc w:val="right"/>
              <w:rPr>
                <w:b/>
                <w:sz w:val="16"/>
                <w:szCs w:val="16"/>
              </w:rPr>
            </w:pPr>
            <w:r w:rsidRPr="00082992">
              <w:rPr>
                <w:b/>
                <w:sz w:val="16"/>
                <w:szCs w:val="16"/>
              </w:rPr>
              <w:t>2015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CFE00AF" w14:textId="77777777" w:rsidR="001A73E9" w:rsidRPr="00082992" w:rsidRDefault="001A73E9" w:rsidP="005928D4">
            <w:pPr>
              <w:pStyle w:val="ExhibitText"/>
              <w:jc w:val="right"/>
              <w:rPr>
                <w:b/>
                <w:sz w:val="16"/>
                <w:szCs w:val="16"/>
              </w:rPr>
            </w:pPr>
            <w:r w:rsidRPr="00082992">
              <w:rPr>
                <w:b/>
                <w:sz w:val="16"/>
                <w:szCs w:val="16"/>
              </w:rPr>
              <w:t>2016</w:t>
            </w:r>
          </w:p>
        </w:tc>
      </w:tr>
      <w:tr w:rsidR="00082992" w:rsidRPr="00082992" w14:paraId="30BCE0FB" w14:textId="77777777" w:rsidTr="001D04CD">
        <w:trPr>
          <w:trHeight w:val="288"/>
          <w:jc w:val="center"/>
        </w:trPr>
        <w:tc>
          <w:tcPr>
            <w:tcW w:w="2245" w:type="dxa"/>
            <w:vMerge w:val="restart"/>
            <w:tcBorders>
              <w:top w:val="single" w:sz="4" w:space="0" w:color="auto"/>
              <w:left w:val="single" w:sz="4" w:space="0" w:color="auto"/>
              <w:bottom w:val="single" w:sz="4" w:space="0" w:color="auto"/>
              <w:right w:val="single" w:sz="4" w:space="0" w:color="auto"/>
            </w:tcBorders>
            <w:vAlign w:val="center"/>
            <w:hideMark/>
          </w:tcPr>
          <w:p w14:paraId="68E7985A" w14:textId="087CA9E3" w:rsidR="005928D4" w:rsidRPr="00082992" w:rsidRDefault="005928D4" w:rsidP="005928D4">
            <w:pPr>
              <w:pStyle w:val="ExhibitText"/>
              <w:jc w:val="left"/>
              <w:rPr>
                <w:sz w:val="16"/>
                <w:szCs w:val="16"/>
              </w:rPr>
            </w:pPr>
            <w:r w:rsidRPr="00082992">
              <w:rPr>
                <w:sz w:val="16"/>
                <w:szCs w:val="16"/>
              </w:rPr>
              <w:t>General Government Revenue</w:t>
            </w:r>
          </w:p>
          <w:p w14:paraId="3E779C37" w14:textId="58F78276" w:rsidR="001A73E9" w:rsidRPr="00082992" w:rsidRDefault="005928D4">
            <w:pPr>
              <w:pStyle w:val="ExhibitText"/>
              <w:jc w:val="left"/>
              <w:rPr>
                <w:sz w:val="16"/>
                <w:szCs w:val="16"/>
              </w:rPr>
            </w:pPr>
            <w:r w:rsidRPr="00082992">
              <w:rPr>
                <w:sz w:val="16"/>
                <w:szCs w:val="16"/>
              </w:rPr>
              <w:t xml:space="preserve">(Percentage of </w:t>
            </w:r>
            <w:r w:rsidR="001A73E9" w:rsidRPr="00082992">
              <w:rPr>
                <w:sz w:val="16"/>
                <w:szCs w:val="16"/>
              </w:rPr>
              <w:t>GDP</w:t>
            </w:r>
            <w:r w:rsidRPr="00082992">
              <w:rPr>
                <w:sz w:val="16"/>
                <w:szCs w:val="16"/>
              </w:rPr>
              <w:t>)</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0DB0BDFA" w14:textId="32852CBB" w:rsidR="001A73E9" w:rsidRPr="00082992" w:rsidRDefault="005928D4" w:rsidP="005928D4">
            <w:pPr>
              <w:pStyle w:val="ExhibitText"/>
              <w:jc w:val="left"/>
              <w:rPr>
                <w:sz w:val="16"/>
                <w:szCs w:val="16"/>
              </w:rPr>
            </w:pPr>
            <w:r w:rsidRPr="00082992">
              <w:rPr>
                <w:sz w:val="16"/>
                <w:szCs w:val="16"/>
              </w:rPr>
              <w:t>Current Revenue</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5074EB0C" w14:textId="5906B9AA" w:rsidR="001A73E9" w:rsidRPr="00082992" w:rsidRDefault="005928D4" w:rsidP="005928D4">
            <w:pPr>
              <w:pStyle w:val="ExhibitText"/>
              <w:jc w:val="left"/>
              <w:rPr>
                <w:sz w:val="16"/>
                <w:szCs w:val="16"/>
              </w:rPr>
            </w:pPr>
            <w:r w:rsidRPr="00082992">
              <w:rPr>
                <w:sz w:val="16"/>
                <w:szCs w:val="16"/>
              </w:rPr>
              <w:t>Direct Taxes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06A1349" w14:textId="0B4F91FE" w:rsidR="001A73E9" w:rsidRPr="00082992" w:rsidRDefault="005928D4" w:rsidP="005928D4">
            <w:pPr>
              <w:pStyle w:val="ExhibitText"/>
              <w:jc w:val="left"/>
              <w:rPr>
                <w:sz w:val="16"/>
                <w:szCs w:val="16"/>
              </w:rPr>
            </w:pPr>
            <w:r w:rsidRPr="00082992">
              <w:rPr>
                <w:sz w:val="16"/>
                <w:szCs w:val="16"/>
              </w:rPr>
              <w:t>Households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072AEE2" w14:textId="77777777" w:rsidR="001A73E9" w:rsidRPr="00082992" w:rsidRDefault="001A73E9" w:rsidP="005928D4">
            <w:pPr>
              <w:pStyle w:val="ExhibitText"/>
              <w:jc w:val="right"/>
              <w:rPr>
                <w:sz w:val="16"/>
                <w:szCs w:val="16"/>
              </w:rPr>
            </w:pPr>
            <w:r w:rsidRPr="00082992">
              <w:rPr>
                <w:sz w:val="16"/>
                <w:szCs w:val="16"/>
              </w:rPr>
              <w:t>5.2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AAC0C5C" w14:textId="77777777" w:rsidR="001A73E9" w:rsidRPr="00082992" w:rsidRDefault="001A73E9" w:rsidP="005928D4">
            <w:pPr>
              <w:pStyle w:val="ExhibitText"/>
              <w:jc w:val="right"/>
              <w:rPr>
                <w:sz w:val="16"/>
                <w:szCs w:val="16"/>
              </w:rPr>
            </w:pPr>
            <w:r w:rsidRPr="00082992">
              <w:rPr>
                <w:sz w:val="16"/>
                <w:szCs w:val="16"/>
              </w:rPr>
              <w:t>5.1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56313CB" w14:textId="77777777" w:rsidR="001A73E9" w:rsidRPr="00082992" w:rsidRDefault="001A73E9" w:rsidP="005928D4">
            <w:pPr>
              <w:pStyle w:val="ExhibitText"/>
              <w:jc w:val="right"/>
              <w:rPr>
                <w:sz w:val="16"/>
                <w:szCs w:val="16"/>
              </w:rPr>
            </w:pPr>
            <w:r w:rsidRPr="00082992">
              <w:rPr>
                <w:sz w:val="16"/>
                <w:szCs w:val="16"/>
              </w:rPr>
              <w:t>5.3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4FB1BA7" w14:textId="77777777" w:rsidR="001A73E9" w:rsidRPr="00082992" w:rsidRDefault="001A73E9" w:rsidP="005928D4">
            <w:pPr>
              <w:pStyle w:val="ExhibitText"/>
              <w:jc w:val="right"/>
              <w:rPr>
                <w:sz w:val="16"/>
                <w:szCs w:val="16"/>
              </w:rPr>
            </w:pPr>
            <w:r w:rsidRPr="00082992">
              <w:rPr>
                <w:sz w:val="16"/>
                <w:szCs w:val="16"/>
              </w:rPr>
              <w:t>5.1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060A565" w14:textId="77777777" w:rsidR="001A73E9" w:rsidRPr="00082992" w:rsidRDefault="001A73E9" w:rsidP="005928D4">
            <w:pPr>
              <w:pStyle w:val="ExhibitText"/>
              <w:jc w:val="right"/>
              <w:rPr>
                <w:sz w:val="16"/>
                <w:szCs w:val="16"/>
              </w:rPr>
            </w:pPr>
            <w:r w:rsidRPr="00082992">
              <w:rPr>
                <w:sz w:val="16"/>
                <w:szCs w:val="16"/>
              </w:rPr>
              <w:t>5.7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6B5D15C" w14:textId="77777777" w:rsidR="001A73E9" w:rsidRPr="00082992" w:rsidRDefault="001A73E9" w:rsidP="005928D4">
            <w:pPr>
              <w:pStyle w:val="ExhibitText"/>
              <w:jc w:val="right"/>
              <w:rPr>
                <w:sz w:val="16"/>
                <w:szCs w:val="16"/>
              </w:rPr>
            </w:pPr>
            <w:r w:rsidRPr="00082992">
              <w:rPr>
                <w:sz w:val="16"/>
                <w:szCs w:val="16"/>
              </w:rPr>
              <w:t>6.6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82D7CB4" w14:textId="77777777" w:rsidR="001A73E9" w:rsidRPr="00082992" w:rsidRDefault="001A73E9" w:rsidP="005928D4">
            <w:pPr>
              <w:pStyle w:val="ExhibitText"/>
              <w:jc w:val="right"/>
              <w:rPr>
                <w:sz w:val="16"/>
                <w:szCs w:val="16"/>
              </w:rPr>
            </w:pPr>
            <w:r w:rsidRPr="00082992">
              <w:rPr>
                <w:sz w:val="16"/>
                <w:szCs w:val="16"/>
              </w:rPr>
              <w:t>6.4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415EDC5" w14:textId="77777777" w:rsidR="001A73E9" w:rsidRPr="00082992" w:rsidRDefault="001A73E9" w:rsidP="005928D4">
            <w:pPr>
              <w:pStyle w:val="ExhibitText"/>
              <w:jc w:val="right"/>
              <w:rPr>
                <w:sz w:val="16"/>
                <w:szCs w:val="16"/>
              </w:rPr>
            </w:pPr>
            <w:r w:rsidRPr="00082992">
              <w:rPr>
                <w:sz w:val="16"/>
                <w:szCs w:val="16"/>
              </w:rPr>
              <w:t>6.1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84F5317" w14:textId="77777777" w:rsidR="001A73E9" w:rsidRPr="00082992" w:rsidRDefault="001A73E9" w:rsidP="005928D4">
            <w:pPr>
              <w:pStyle w:val="ExhibitText"/>
              <w:jc w:val="right"/>
              <w:rPr>
                <w:sz w:val="16"/>
                <w:szCs w:val="16"/>
              </w:rPr>
            </w:pPr>
            <w:r w:rsidRPr="00082992">
              <w:rPr>
                <w:sz w:val="16"/>
                <w:szCs w:val="16"/>
              </w:rPr>
              <w:t>5.9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6337FDB" w14:textId="53CC4075" w:rsidR="001A73E9" w:rsidRPr="00082992" w:rsidRDefault="00187DCD" w:rsidP="005928D4">
            <w:pPr>
              <w:pStyle w:val="ExhibitText"/>
              <w:jc w:val="right"/>
              <w:rPr>
                <w:sz w:val="16"/>
                <w:szCs w:val="16"/>
              </w:rPr>
            </w:pPr>
            <w:r w:rsidRPr="00082992">
              <w:rPr>
                <w:sz w:val="16"/>
                <w:szCs w:val="16"/>
              </w:rPr>
              <w:t xml:space="preserve"> </w:t>
            </w:r>
          </w:p>
        </w:tc>
      </w:tr>
      <w:tr w:rsidR="00082992" w:rsidRPr="00082992" w14:paraId="22737CFE"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590FD0BA"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EC75DB7"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51630FC5"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6060CDAF" w14:textId="77777777" w:rsidR="001A73E9" w:rsidRPr="00082992" w:rsidRDefault="001A73E9" w:rsidP="005928D4">
            <w:pPr>
              <w:pStyle w:val="ExhibitText"/>
              <w:jc w:val="left"/>
              <w:rPr>
                <w:sz w:val="16"/>
                <w:szCs w:val="16"/>
              </w:rPr>
            </w:pPr>
            <w:r w:rsidRPr="00082992">
              <w:rPr>
                <w:sz w:val="16"/>
                <w:szCs w:val="16"/>
              </w:rPr>
              <w:t>Corporations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CBF9999" w14:textId="77777777" w:rsidR="001A73E9" w:rsidRPr="00082992" w:rsidRDefault="001A73E9" w:rsidP="005928D4">
            <w:pPr>
              <w:pStyle w:val="ExhibitText"/>
              <w:jc w:val="right"/>
              <w:rPr>
                <w:sz w:val="16"/>
                <w:szCs w:val="16"/>
              </w:rPr>
            </w:pPr>
            <w:r w:rsidRPr="00082992">
              <w:rPr>
                <w:sz w:val="16"/>
                <w:szCs w:val="16"/>
              </w:rPr>
              <w:t>3.1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D74796B" w14:textId="6EBBBF16" w:rsidR="001A73E9" w:rsidRPr="00082992" w:rsidRDefault="001A73E9" w:rsidP="005928D4">
            <w:pPr>
              <w:pStyle w:val="ExhibitText"/>
              <w:jc w:val="right"/>
              <w:rPr>
                <w:sz w:val="16"/>
                <w:szCs w:val="16"/>
              </w:rPr>
            </w:pPr>
            <w:r w:rsidRPr="00082992">
              <w:rPr>
                <w:sz w:val="16"/>
                <w:szCs w:val="16"/>
              </w:rPr>
              <w:t>3</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862DB01" w14:textId="77777777" w:rsidR="001A73E9" w:rsidRPr="00082992" w:rsidRDefault="001A73E9" w:rsidP="005928D4">
            <w:pPr>
              <w:pStyle w:val="ExhibitText"/>
              <w:jc w:val="right"/>
              <w:rPr>
                <w:sz w:val="16"/>
                <w:szCs w:val="16"/>
              </w:rPr>
            </w:pPr>
            <w:r w:rsidRPr="00082992">
              <w:rPr>
                <w:sz w:val="16"/>
                <w:szCs w:val="16"/>
              </w:rPr>
              <w:t>3.2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378AD19" w14:textId="77777777" w:rsidR="001A73E9" w:rsidRPr="00082992" w:rsidRDefault="001A73E9" w:rsidP="005928D4">
            <w:pPr>
              <w:pStyle w:val="ExhibitText"/>
              <w:jc w:val="right"/>
              <w:rPr>
                <w:sz w:val="16"/>
                <w:szCs w:val="16"/>
              </w:rPr>
            </w:pPr>
            <w:r w:rsidRPr="00082992">
              <w:rPr>
                <w:sz w:val="16"/>
                <w:szCs w:val="16"/>
              </w:rPr>
              <w:t>3.1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7957BF7" w14:textId="77777777" w:rsidR="001A73E9" w:rsidRPr="00082992" w:rsidRDefault="001A73E9" w:rsidP="005928D4">
            <w:pPr>
              <w:pStyle w:val="ExhibitText"/>
              <w:jc w:val="right"/>
              <w:rPr>
                <w:sz w:val="16"/>
                <w:szCs w:val="16"/>
              </w:rPr>
            </w:pPr>
            <w:r w:rsidRPr="00082992">
              <w:rPr>
                <w:sz w:val="16"/>
                <w:szCs w:val="16"/>
              </w:rPr>
              <w:t>3.5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CC16B14" w14:textId="77777777" w:rsidR="001A73E9" w:rsidRPr="00082992" w:rsidRDefault="001A73E9" w:rsidP="005928D4">
            <w:pPr>
              <w:pStyle w:val="ExhibitText"/>
              <w:jc w:val="right"/>
              <w:rPr>
                <w:sz w:val="16"/>
                <w:szCs w:val="16"/>
              </w:rPr>
            </w:pPr>
            <w:r w:rsidRPr="00082992">
              <w:rPr>
                <w:sz w:val="16"/>
                <w:szCs w:val="16"/>
              </w:rPr>
              <w:t>4.1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335A886" w14:textId="1198E600" w:rsidR="001A73E9" w:rsidRPr="00082992" w:rsidRDefault="001A73E9" w:rsidP="005928D4">
            <w:pPr>
              <w:pStyle w:val="ExhibitText"/>
              <w:jc w:val="right"/>
              <w:rPr>
                <w:sz w:val="16"/>
                <w:szCs w:val="16"/>
              </w:rPr>
            </w:pPr>
            <w:r w:rsidRPr="00082992">
              <w:rPr>
                <w:sz w:val="16"/>
                <w:szCs w:val="16"/>
              </w:rPr>
              <w:t>4</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C8ED062" w14:textId="77777777" w:rsidR="001A73E9" w:rsidRPr="00082992" w:rsidRDefault="001A73E9" w:rsidP="005928D4">
            <w:pPr>
              <w:pStyle w:val="ExhibitText"/>
              <w:jc w:val="right"/>
              <w:rPr>
                <w:sz w:val="16"/>
                <w:szCs w:val="16"/>
              </w:rPr>
            </w:pPr>
            <w:r w:rsidRPr="00082992">
              <w:rPr>
                <w:sz w:val="16"/>
                <w:szCs w:val="16"/>
              </w:rPr>
              <w:t>3.6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DDCFFD0" w14:textId="77777777" w:rsidR="001A73E9" w:rsidRPr="00082992" w:rsidRDefault="001A73E9" w:rsidP="005928D4">
            <w:pPr>
              <w:pStyle w:val="ExhibitText"/>
              <w:jc w:val="right"/>
              <w:rPr>
                <w:sz w:val="16"/>
                <w:szCs w:val="16"/>
              </w:rPr>
            </w:pPr>
            <w:r w:rsidRPr="00082992">
              <w:rPr>
                <w:sz w:val="16"/>
                <w:szCs w:val="16"/>
              </w:rPr>
              <w:t>3.5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24EC1F5" w14:textId="4CC6ED3A" w:rsidR="001A73E9" w:rsidRPr="00082992" w:rsidRDefault="00187DCD" w:rsidP="005928D4">
            <w:pPr>
              <w:pStyle w:val="ExhibitText"/>
              <w:jc w:val="right"/>
              <w:rPr>
                <w:sz w:val="16"/>
                <w:szCs w:val="16"/>
              </w:rPr>
            </w:pPr>
            <w:r w:rsidRPr="00082992">
              <w:rPr>
                <w:sz w:val="16"/>
                <w:szCs w:val="16"/>
              </w:rPr>
              <w:t xml:space="preserve"> </w:t>
            </w:r>
          </w:p>
        </w:tc>
      </w:tr>
      <w:tr w:rsidR="00082992" w:rsidRPr="00082992" w14:paraId="5588B35E"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438EDD77"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AD2E9C2"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85E94E9"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0F839BE5" w14:textId="77777777" w:rsidR="001A73E9" w:rsidRPr="00082992" w:rsidRDefault="001A73E9" w:rsidP="005928D4">
            <w:pPr>
              <w:pStyle w:val="ExhibitText"/>
              <w:jc w:val="left"/>
              <w:rPr>
                <w:sz w:val="16"/>
                <w:szCs w:val="16"/>
              </w:rPr>
            </w:pPr>
            <w:r w:rsidRPr="00082992">
              <w:rPr>
                <w:sz w:val="16"/>
                <w:szCs w:val="16"/>
              </w:rPr>
              <w:t>Total Direct Taxes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7004D39" w14:textId="77777777" w:rsidR="001A73E9" w:rsidRPr="00082992" w:rsidRDefault="001A73E9" w:rsidP="005928D4">
            <w:pPr>
              <w:pStyle w:val="ExhibitText"/>
              <w:jc w:val="right"/>
              <w:rPr>
                <w:sz w:val="16"/>
                <w:szCs w:val="16"/>
              </w:rPr>
            </w:pPr>
            <w:r w:rsidRPr="00082992">
              <w:rPr>
                <w:sz w:val="16"/>
                <w:szCs w:val="16"/>
              </w:rPr>
              <w:t>8.3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19F63EA" w14:textId="77777777" w:rsidR="001A73E9" w:rsidRPr="00082992" w:rsidRDefault="001A73E9" w:rsidP="005928D4">
            <w:pPr>
              <w:pStyle w:val="ExhibitText"/>
              <w:jc w:val="right"/>
              <w:rPr>
                <w:sz w:val="16"/>
                <w:szCs w:val="16"/>
              </w:rPr>
            </w:pPr>
            <w:r w:rsidRPr="00082992">
              <w:rPr>
                <w:sz w:val="16"/>
                <w:szCs w:val="16"/>
              </w:rPr>
              <w:t>8.1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AC8EA8B" w14:textId="77777777" w:rsidR="001A73E9" w:rsidRPr="00082992" w:rsidRDefault="001A73E9" w:rsidP="005928D4">
            <w:pPr>
              <w:pStyle w:val="ExhibitText"/>
              <w:jc w:val="right"/>
              <w:rPr>
                <w:sz w:val="16"/>
                <w:szCs w:val="16"/>
              </w:rPr>
            </w:pPr>
            <w:r w:rsidRPr="00082992">
              <w:rPr>
                <w:sz w:val="16"/>
                <w:szCs w:val="16"/>
              </w:rPr>
              <w:t>8.5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8DA8493" w14:textId="77777777" w:rsidR="001A73E9" w:rsidRPr="00082992" w:rsidRDefault="001A73E9" w:rsidP="005928D4">
            <w:pPr>
              <w:pStyle w:val="ExhibitText"/>
              <w:jc w:val="right"/>
              <w:rPr>
                <w:sz w:val="16"/>
                <w:szCs w:val="16"/>
              </w:rPr>
            </w:pPr>
            <w:r w:rsidRPr="00082992">
              <w:rPr>
                <w:sz w:val="16"/>
                <w:szCs w:val="16"/>
              </w:rPr>
              <w:t>8.3</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21CF071" w14:textId="77777777" w:rsidR="001A73E9" w:rsidRPr="00082992" w:rsidRDefault="001A73E9" w:rsidP="005928D4">
            <w:pPr>
              <w:pStyle w:val="ExhibitText"/>
              <w:jc w:val="right"/>
              <w:rPr>
                <w:sz w:val="16"/>
                <w:szCs w:val="16"/>
              </w:rPr>
            </w:pPr>
            <w:r w:rsidRPr="00082992">
              <w:rPr>
                <w:sz w:val="16"/>
                <w:szCs w:val="16"/>
              </w:rPr>
              <w:t>9.2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B40EE40" w14:textId="77777777" w:rsidR="001A73E9" w:rsidRPr="00082992" w:rsidRDefault="001A73E9" w:rsidP="005928D4">
            <w:pPr>
              <w:pStyle w:val="ExhibitText"/>
              <w:jc w:val="right"/>
              <w:rPr>
                <w:sz w:val="16"/>
                <w:szCs w:val="16"/>
              </w:rPr>
            </w:pPr>
            <w:r w:rsidRPr="00082992">
              <w:rPr>
                <w:sz w:val="16"/>
                <w:szCs w:val="16"/>
              </w:rPr>
              <w:t>10.8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500E6DD" w14:textId="77777777" w:rsidR="001A73E9" w:rsidRPr="00082992" w:rsidRDefault="001A73E9" w:rsidP="005928D4">
            <w:pPr>
              <w:pStyle w:val="ExhibitText"/>
              <w:jc w:val="right"/>
              <w:rPr>
                <w:sz w:val="16"/>
                <w:szCs w:val="16"/>
              </w:rPr>
            </w:pPr>
            <w:r w:rsidRPr="00082992">
              <w:rPr>
                <w:sz w:val="16"/>
                <w:szCs w:val="16"/>
              </w:rPr>
              <w:t>10.5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EA58F6A" w14:textId="77777777" w:rsidR="001A73E9" w:rsidRPr="00082992" w:rsidRDefault="001A73E9" w:rsidP="005928D4">
            <w:pPr>
              <w:pStyle w:val="ExhibitText"/>
              <w:jc w:val="right"/>
              <w:rPr>
                <w:sz w:val="16"/>
                <w:szCs w:val="16"/>
              </w:rPr>
            </w:pPr>
            <w:r w:rsidRPr="00082992">
              <w:rPr>
                <w:sz w:val="16"/>
                <w:szCs w:val="16"/>
              </w:rPr>
              <w:t>9.8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07BBB43" w14:textId="77777777" w:rsidR="001A73E9" w:rsidRPr="00082992" w:rsidRDefault="001A73E9" w:rsidP="005928D4">
            <w:pPr>
              <w:pStyle w:val="ExhibitText"/>
              <w:jc w:val="right"/>
              <w:rPr>
                <w:sz w:val="16"/>
                <w:szCs w:val="16"/>
              </w:rPr>
            </w:pPr>
            <w:r w:rsidRPr="00082992">
              <w:rPr>
                <w:sz w:val="16"/>
                <w:szCs w:val="16"/>
              </w:rPr>
              <w:t>9.7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5CBC670" w14:textId="20178BBF" w:rsidR="001A73E9" w:rsidRPr="00082992" w:rsidRDefault="00187DCD" w:rsidP="005928D4">
            <w:pPr>
              <w:pStyle w:val="ExhibitText"/>
              <w:jc w:val="right"/>
              <w:rPr>
                <w:sz w:val="16"/>
                <w:szCs w:val="16"/>
              </w:rPr>
            </w:pPr>
            <w:r w:rsidRPr="00082992">
              <w:rPr>
                <w:sz w:val="16"/>
                <w:szCs w:val="16"/>
              </w:rPr>
              <w:t xml:space="preserve"> </w:t>
            </w:r>
          </w:p>
        </w:tc>
      </w:tr>
      <w:tr w:rsidR="00082992" w:rsidRPr="00082992" w14:paraId="4982FA45"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78560093"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6610908" w14:textId="77777777" w:rsidR="001A73E9" w:rsidRPr="00082992" w:rsidRDefault="001A73E9" w:rsidP="005928D4">
            <w:pPr>
              <w:pStyle w:val="ExhibitText"/>
              <w:jc w:val="left"/>
              <w:rPr>
                <w:sz w:val="16"/>
                <w:szCs w:val="16"/>
              </w:rPr>
            </w:pP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23A434AD" w14:textId="2A54DDFB" w:rsidR="001A73E9" w:rsidRPr="00082992" w:rsidRDefault="005928D4" w:rsidP="005928D4">
            <w:pPr>
              <w:pStyle w:val="ExhibitText"/>
              <w:jc w:val="left"/>
              <w:rPr>
                <w:sz w:val="16"/>
                <w:szCs w:val="16"/>
              </w:rPr>
            </w:pPr>
            <w:r w:rsidRPr="00082992">
              <w:rPr>
                <w:sz w:val="16"/>
                <w:szCs w:val="16"/>
              </w:rPr>
              <w:t>Indirect Taxes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D85903C" w14:textId="77777777" w:rsidR="001A73E9" w:rsidRPr="00082992" w:rsidRDefault="001A73E9" w:rsidP="005928D4">
            <w:pPr>
              <w:pStyle w:val="ExhibitText"/>
              <w:jc w:val="left"/>
              <w:rPr>
                <w:sz w:val="16"/>
                <w:szCs w:val="16"/>
              </w:rPr>
            </w:pPr>
            <w:r w:rsidRPr="00082992">
              <w:rPr>
                <w:sz w:val="16"/>
                <w:szCs w:val="16"/>
              </w:rPr>
              <w:t>VAT</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7FB4143" w14:textId="77777777" w:rsidR="001A73E9" w:rsidRPr="00082992" w:rsidRDefault="001A73E9" w:rsidP="005928D4">
            <w:pPr>
              <w:pStyle w:val="ExhibitText"/>
              <w:jc w:val="right"/>
              <w:rPr>
                <w:sz w:val="16"/>
                <w:szCs w:val="16"/>
              </w:rPr>
            </w:pPr>
            <w:r w:rsidRPr="00082992">
              <w:rPr>
                <w:sz w:val="16"/>
                <w:szCs w:val="16"/>
              </w:rPr>
              <w:t>7.1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D037DBC" w14:textId="64C82EE4" w:rsidR="001A73E9" w:rsidRPr="00082992" w:rsidRDefault="001A73E9" w:rsidP="005928D4">
            <w:pPr>
              <w:pStyle w:val="ExhibitText"/>
              <w:jc w:val="right"/>
              <w:rPr>
                <w:sz w:val="16"/>
                <w:szCs w:val="16"/>
              </w:rPr>
            </w:pPr>
            <w:r w:rsidRPr="00082992">
              <w:rPr>
                <w:sz w:val="16"/>
                <w:szCs w:val="16"/>
              </w:rPr>
              <w:t>7</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9FB5955" w14:textId="77777777" w:rsidR="001A73E9" w:rsidRPr="00082992" w:rsidRDefault="001A73E9" w:rsidP="005928D4">
            <w:pPr>
              <w:pStyle w:val="ExhibitText"/>
              <w:jc w:val="right"/>
              <w:rPr>
                <w:sz w:val="16"/>
                <w:szCs w:val="16"/>
              </w:rPr>
            </w:pPr>
            <w:r w:rsidRPr="00082992">
              <w:rPr>
                <w:sz w:val="16"/>
                <w:szCs w:val="16"/>
              </w:rPr>
              <w:t>6.3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A9EE905" w14:textId="77777777" w:rsidR="001A73E9" w:rsidRPr="00082992" w:rsidRDefault="001A73E9" w:rsidP="005928D4">
            <w:pPr>
              <w:pStyle w:val="ExhibitText"/>
              <w:jc w:val="right"/>
              <w:rPr>
                <w:sz w:val="16"/>
                <w:szCs w:val="16"/>
              </w:rPr>
            </w:pPr>
            <w:r w:rsidRPr="00082992">
              <w:rPr>
                <w:sz w:val="16"/>
                <w:szCs w:val="16"/>
              </w:rPr>
              <w:t>7.1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D5E482C" w14:textId="77777777" w:rsidR="001A73E9" w:rsidRPr="00082992" w:rsidRDefault="001A73E9" w:rsidP="005928D4">
            <w:pPr>
              <w:pStyle w:val="ExhibitText"/>
              <w:jc w:val="right"/>
              <w:rPr>
                <w:sz w:val="16"/>
                <w:szCs w:val="16"/>
              </w:rPr>
            </w:pPr>
            <w:r w:rsidRPr="00082992">
              <w:rPr>
                <w:sz w:val="16"/>
                <w:szCs w:val="16"/>
              </w:rPr>
              <w:t>7.3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5039448" w14:textId="77777777" w:rsidR="001A73E9" w:rsidRPr="00082992" w:rsidRDefault="001A73E9" w:rsidP="005928D4">
            <w:pPr>
              <w:pStyle w:val="ExhibitText"/>
              <w:jc w:val="right"/>
              <w:rPr>
                <w:sz w:val="16"/>
                <w:szCs w:val="16"/>
              </w:rPr>
            </w:pPr>
            <w:r w:rsidRPr="00082992">
              <w:rPr>
                <w:sz w:val="16"/>
                <w:szCs w:val="16"/>
              </w:rPr>
              <w:t>7.2</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55C4EE4" w14:textId="31BC4C7E" w:rsidR="001A73E9" w:rsidRPr="00082992" w:rsidRDefault="001A73E9" w:rsidP="005928D4">
            <w:pPr>
              <w:pStyle w:val="ExhibitText"/>
              <w:jc w:val="right"/>
              <w:rPr>
                <w:sz w:val="16"/>
                <w:szCs w:val="16"/>
              </w:rPr>
            </w:pPr>
            <w:r w:rsidRPr="00082992">
              <w:rPr>
                <w:sz w:val="16"/>
                <w:szCs w:val="16"/>
              </w:rPr>
              <w:t>7</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14B7EA3" w14:textId="77777777" w:rsidR="001A73E9" w:rsidRPr="00082992" w:rsidRDefault="001A73E9" w:rsidP="005928D4">
            <w:pPr>
              <w:pStyle w:val="ExhibitText"/>
              <w:jc w:val="right"/>
              <w:rPr>
                <w:sz w:val="16"/>
                <w:szCs w:val="16"/>
              </w:rPr>
            </w:pPr>
            <w:r w:rsidRPr="00082992">
              <w:rPr>
                <w:sz w:val="16"/>
                <w:szCs w:val="16"/>
              </w:rPr>
              <w:t>7.1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845E5B7" w14:textId="77777777" w:rsidR="001A73E9" w:rsidRPr="00082992" w:rsidRDefault="001A73E9" w:rsidP="005928D4">
            <w:pPr>
              <w:pStyle w:val="ExhibitText"/>
              <w:jc w:val="right"/>
              <w:rPr>
                <w:sz w:val="16"/>
                <w:szCs w:val="16"/>
              </w:rPr>
            </w:pPr>
            <w:r w:rsidRPr="00082992">
              <w:rPr>
                <w:sz w:val="16"/>
                <w:szCs w:val="16"/>
              </w:rPr>
              <w:t>7.3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C8A87A7" w14:textId="77777777" w:rsidR="001A73E9" w:rsidRPr="00082992" w:rsidRDefault="001A73E9" w:rsidP="005928D4">
            <w:pPr>
              <w:pStyle w:val="ExhibitText"/>
              <w:jc w:val="right"/>
              <w:rPr>
                <w:sz w:val="16"/>
                <w:szCs w:val="16"/>
              </w:rPr>
            </w:pPr>
            <w:r w:rsidRPr="00082992">
              <w:rPr>
                <w:sz w:val="16"/>
                <w:szCs w:val="16"/>
              </w:rPr>
              <w:t>8.1</w:t>
            </w:r>
          </w:p>
        </w:tc>
      </w:tr>
      <w:tr w:rsidR="00082992" w:rsidRPr="00082992" w14:paraId="5EC3B9C0"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40C7F26C"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1ABEC67"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B991D15"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4BFD9D86" w14:textId="14D4BC5B" w:rsidR="001A73E9" w:rsidRPr="00082992" w:rsidRDefault="001A73E9" w:rsidP="005928D4">
            <w:pPr>
              <w:pStyle w:val="ExhibitText"/>
              <w:jc w:val="left"/>
              <w:rPr>
                <w:sz w:val="16"/>
                <w:szCs w:val="16"/>
              </w:rPr>
            </w:pPr>
            <w:r w:rsidRPr="00082992">
              <w:rPr>
                <w:sz w:val="16"/>
                <w:szCs w:val="16"/>
              </w:rPr>
              <w:t xml:space="preserve">Taxes </w:t>
            </w:r>
            <w:r w:rsidR="005928D4" w:rsidRPr="00082992">
              <w:rPr>
                <w:sz w:val="16"/>
                <w:szCs w:val="16"/>
              </w:rPr>
              <w:t>on Energy</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B90F0EC" w14:textId="77777777" w:rsidR="001A73E9" w:rsidRPr="00082992" w:rsidRDefault="001A73E9" w:rsidP="005928D4">
            <w:pPr>
              <w:pStyle w:val="ExhibitText"/>
              <w:jc w:val="right"/>
              <w:rPr>
                <w:sz w:val="16"/>
                <w:szCs w:val="16"/>
              </w:rPr>
            </w:pPr>
            <w:r w:rsidRPr="00082992">
              <w:rPr>
                <w:sz w:val="16"/>
                <w:szCs w:val="16"/>
              </w:rPr>
              <w:t>1.2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277865E" w14:textId="77777777" w:rsidR="001A73E9" w:rsidRPr="00082992" w:rsidRDefault="001A73E9" w:rsidP="005928D4">
            <w:pPr>
              <w:pStyle w:val="ExhibitText"/>
              <w:jc w:val="right"/>
              <w:rPr>
                <w:sz w:val="16"/>
                <w:szCs w:val="16"/>
              </w:rPr>
            </w:pPr>
            <w:r w:rsidRPr="00082992">
              <w:rPr>
                <w:sz w:val="16"/>
                <w:szCs w:val="16"/>
              </w:rPr>
              <w:t>1.5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E6AAEEC" w14:textId="77777777" w:rsidR="001A73E9" w:rsidRPr="00082992" w:rsidRDefault="001A73E9" w:rsidP="005928D4">
            <w:pPr>
              <w:pStyle w:val="ExhibitText"/>
              <w:jc w:val="right"/>
              <w:rPr>
                <w:sz w:val="16"/>
                <w:szCs w:val="16"/>
              </w:rPr>
            </w:pPr>
            <w:r w:rsidRPr="00082992">
              <w:rPr>
                <w:sz w:val="16"/>
                <w:szCs w:val="16"/>
              </w:rPr>
              <w:t>1.8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DC5675A" w14:textId="77777777" w:rsidR="001A73E9" w:rsidRPr="00082992" w:rsidRDefault="001A73E9" w:rsidP="005928D4">
            <w:pPr>
              <w:pStyle w:val="ExhibitText"/>
              <w:jc w:val="right"/>
              <w:rPr>
                <w:sz w:val="16"/>
                <w:szCs w:val="16"/>
              </w:rPr>
            </w:pPr>
            <w:r w:rsidRPr="00082992">
              <w:rPr>
                <w:sz w:val="16"/>
                <w:szCs w:val="16"/>
              </w:rPr>
              <w:t>2.5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91ADCD0" w14:textId="77777777" w:rsidR="001A73E9" w:rsidRPr="00082992" w:rsidRDefault="001A73E9" w:rsidP="005928D4">
            <w:pPr>
              <w:pStyle w:val="ExhibitText"/>
              <w:jc w:val="right"/>
              <w:rPr>
                <w:sz w:val="16"/>
                <w:szCs w:val="16"/>
              </w:rPr>
            </w:pPr>
            <w:r w:rsidRPr="00082992">
              <w:rPr>
                <w:sz w:val="16"/>
                <w:szCs w:val="16"/>
              </w:rPr>
              <w:t>2.2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695C771" w14:textId="77777777" w:rsidR="001A73E9" w:rsidRPr="00082992" w:rsidRDefault="001A73E9" w:rsidP="005928D4">
            <w:pPr>
              <w:pStyle w:val="ExhibitText"/>
              <w:jc w:val="right"/>
              <w:rPr>
                <w:sz w:val="16"/>
                <w:szCs w:val="16"/>
              </w:rPr>
            </w:pPr>
            <w:r w:rsidRPr="00082992">
              <w:rPr>
                <w:sz w:val="16"/>
                <w:szCs w:val="16"/>
              </w:rPr>
              <w:t>2.3</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B111684" w14:textId="77777777" w:rsidR="001A73E9" w:rsidRPr="00082992" w:rsidRDefault="001A73E9" w:rsidP="005928D4">
            <w:pPr>
              <w:pStyle w:val="ExhibitText"/>
              <w:jc w:val="right"/>
              <w:rPr>
                <w:sz w:val="16"/>
                <w:szCs w:val="16"/>
              </w:rPr>
            </w:pPr>
            <w:r w:rsidRPr="00082992">
              <w:rPr>
                <w:sz w:val="16"/>
                <w:szCs w:val="16"/>
              </w:rPr>
              <w:t>2.3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9997EF9" w14:textId="53FE2DA0" w:rsidR="001A73E9" w:rsidRPr="00082992" w:rsidRDefault="001A73E9" w:rsidP="005928D4">
            <w:pPr>
              <w:pStyle w:val="ExhibitText"/>
              <w:jc w:val="right"/>
              <w:rPr>
                <w:sz w:val="16"/>
                <w:szCs w:val="16"/>
              </w:rPr>
            </w:pPr>
            <w:r w:rsidRPr="00082992">
              <w:rPr>
                <w:sz w:val="16"/>
                <w:szCs w:val="16"/>
              </w:rPr>
              <w:t>3</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0A8F911" w14:textId="77777777" w:rsidR="001A73E9" w:rsidRPr="00082992" w:rsidRDefault="001A73E9" w:rsidP="005928D4">
            <w:pPr>
              <w:pStyle w:val="ExhibitText"/>
              <w:jc w:val="right"/>
              <w:rPr>
                <w:sz w:val="16"/>
                <w:szCs w:val="16"/>
              </w:rPr>
            </w:pPr>
            <w:r w:rsidRPr="00082992">
              <w:rPr>
                <w:sz w:val="16"/>
                <w:szCs w:val="16"/>
              </w:rPr>
              <w:t>2.3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D67B627" w14:textId="77777777" w:rsidR="001A73E9" w:rsidRPr="00082992" w:rsidRDefault="001A73E9" w:rsidP="005928D4">
            <w:pPr>
              <w:pStyle w:val="ExhibitText"/>
              <w:jc w:val="right"/>
              <w:rPr>
                <w:sz w:val="16"/>
                <w:szCs w:val="16"/>
              </w:rPr>
            </w:pPr>
            <w:r w:rsidRPr="00082992">
              <w:rPr>
                <w:sz w:val="16"/>
                <w:szCs w:val="16"/>
              </w:rPr>
              <w:t>2.3</w:t>
            </w:r>
          </w:p>
        </w:tc>
      </w:tr>
      <w:tr w:rsidR="00082992" w:rsidRPr="00082992" w14:paraId="0B5789E7"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15B9F4D0"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9F17EEB"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09ECF6A"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478811BD" w14:textId="77777777" w:rsidR="001A73E9" w:rsidRPr="00082992" w:rsidRDefault="001A73E9" w:rsidP="005928D4">
            <w:pPr>
              <w:pStyle w:val="ExhibitText"/>
              <w:jc w:val="left"/>
              <w:rPr>
                <w:sz w:val="16"/>
                <w:szCs w:val="16"/>
              </w:rPr>
            </w:pPr>
            <w:r w:rsidRPr="00082992">
              <w:rPr>
                <w:sz w:val="16"/>
                <w:szCs w:val="16"/>
              </w:rPr>
              <w:t>Total Indirect Taxes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A1D5FA5" w14:textId="77777777" w:rsidR="001A73E9" w:rsidRPr="00082992" w:rsidRDefault="001A73E9" w:rsidP="005928D4">
            <w:pPr>
              <w:pStyle w:val="ExhibitText"/>
              <w:jc w:val="right"/>
              <w:rPr>
                <w:sz w:val="16"/>
                <w:szCs w:val="16"/>
              </w:rPr>
            </w:pPr>
            <w:r w:rsidRPr="00082992">
              <w:rPr>
                <w:sz w:val="16"/>
                <w:szCs w:val="16"/>
              </w:rPr>
              <w:t>12.6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3EB0A91" w14:textId="77777777" w:rsidR="001A73E9" w:rsidRPr="00082992" w:rsidRDefault="001A73E9" w:rsidP="005928D4">
            <w:pPr>
              <w:pStyle w:val="ExhibitText"/>
              <w:jc w:val="right"/>
              <w:rPr>
                <w:sz w:val="16"/>
                <w:szCs w:val="16"/>
              </w:rPr>
            </w:pPr>
            <w:r w:rsidRPr="00082992">
              <w:rPr>
                <w:sz w:val="16"/>
                <w:szCs w:val="16"/>
              </w:rPr>
              <w:t>12.6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B013D68" w14:textId="77777777" w:rsidR="001A73E9" w:rsidRPr="00082992" w:rsidRDefault="001A73E9" w:rsidP="005928D4">
            <w:pPr>
              <w:pStyle w:val="ExhibitText"/>
              <w:jc w:val="right"/>
              <w:rPr>
                <w:sz w:val="16"/>
                <w:szCs w:val="16"/>
              </w:rPr>
            </w:pPr>
            <w:r w:rsidRPr="00082992">
              <w:rPr>
                <w:sz w:val="16"/>
                <w:szCs w:val="16"/>
              </w:rPr>
              <w:t>11.7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99DABBB" w14:textId="77777777" w:rsidR="001A73E9" w:rsidRPr="00082992" w:rsidRDefault="001A73E9" w:rsidP="005928D4">
            <w:pPr>
              <w:pStyle w:val="ExhibitText"/>
              <w:jc w:val="right"/>
              <w:rPr>
                <w:sz w:val="16"/>
                <w:szCs w:val="16"/>
              </w:rPr>
            </w:pPr>
            <w:r w:rsidRPr="00082992">
              <w:rPr>
                <w:sz w:val="16"/>
                <w:szCs w:val="16"/>
              </w:rPr>
              <w:t>12.6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0D1DC76" w14:textId="77777777" w:rsidR="001A73E9" w:rsidRPr="00082992" w:rsidRDefault="001A73E9" w:rsidP="005928D4">
            <w:pPr>
              <w:pStyle w:val="ExhibitText"/>
              <w:jc w:val="right"/>
              <w:rPr>
                <w:sz w:val="16"/>
                <w:szCs w:val="16"/>
              </w:rPr>
            </w:pPr>
            <w:r w:rsidRPr="00082992">
              <w:rPr>
                <w:sz w:val="16"/>
                <w:szCs w:val="16"/>
              </w:rPr>
              <w:t>13.5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E033ED6" w14:textId="77777777" w:rsidR="001A73E9" w:rsidRPr="00082992" w:rsidRDefault="001A73E9" w:rsidP="005928D4">
            <w:pPr>
              <w:pStyle w:val="ExhibitText"/>
              <w:jc w:val="right"/>
              <w:rPr>
                <w:sz w:val="16"/>
                <w:szCs w:val="16"/>
              </w:rPr>
            </w:pPr>
            <w:r w:rsidRPr="00082992">
              <w:rPr>
                <w:sz w:val="16"/>
                <w:szCs w:val="16"/>
              </w:rPr>
              <w:t>13.6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D8E526A" w14:textId="77777777" w:rsidR="001A73E9" w:rsidRPr="00082992" w:rsidRDefault="001A73E9" w:rsidP="005928D4">
            <w:pPr>
              <w:pStyle w:val="ExhibitText"/>
              <w:jc w:val="right"/>
              <w:rPr>
                <w:sz w:val="16"/>
                <w:szCs w:val="16"/>
              </w:rPr>
            </w:pPr>
            <w:r w:rsidRPr="00082992">
              <w:rPr>
                <w:sz w:val="16"/>
                <w:szCs w:val="16"/>
              </w:rPr>
              <w:t>14.1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7FC741A" w14:textId="77777777" w:rsidR="001A73E9" w:rsidRPr="00082992" w:rsidRDefault="001A73E9" w:rsidP="005928D4">
            <w:pPr>
              <w:pStyle w:val="ExhibitText"/>
              <w:jc w:val="right"/>
              <w:rPr>
                <w:sz w:val="16"/>
                <w:szCs w:val="16"/>
              </w:rPr>
            </w:pPr>
            <w:r w:rsidRPr="00082992">
              <w:rPr>
                <w:sz w:val="16"/>
                <w:szCs w:val="16"/>
              </w:rPr>
              <w:t>15.5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AFEE57F" w14:textId="77777777" w:rsidR="001A73E9" w:rsidRPr="00082992" w:rsidRDefault="001A73E9" w:rsidP="005928D4">
            <w:pPr>
              <w:pStyle w:val="ExhibitText"/>
              <w:jc w:val="right"/>
              <w:rPr>
                <w:sz w:val="16"/>
                <w:szCs w:val="16"/>
              </w:rPr>
            </w:pPr>
            <w:r w:rsidRPr="00082992">
              <w:rPr>
                <w:sz w:val="16"/>
                <w:szCs w:val="16"/>
              </w:rPr>
              <w:t>16.1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FB7056A" w14:textId="77777777" w:rsidR="001A73E9" w:rsidRPr="00082992" w:rsidRDefault="001A73E9" w:rsidP="005928D4">
            <w:pPr>
              <w:pStyle w:val="ExhibitText"/>
              <w:jc w:val="right"/>
              <w:rPr>
                <w:sz w:val="16"/>
                <w:szCs w:val="16"/>
              </w:rPr>
            </w:pPr>
            <w:r w:rsidRPr="00082992">
              <w:rPr>
                <w:sz w:val="16"/>
                <w:szCs w:val="16"/>
              </w:rPr>
              <w:t>17.1</w:t>
            </w:r>
          </w:p>
        </w:tc>
      </w:tr>
      <w:tr w:rsidR="00082992" w:rsidRPr="00082992" w14:paraId="65498745"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385226F4"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2AD35C8" w14:textId="77777777" w:rsidR="001A73E9" w:rsidRPr="00082992" w:rsidRDefault="001A73E9" w:rsidP="005928D4">
            <w:pPr>
              <w:pStyle w:val="ExhibitText"/>
              <w:jc w:val="left"/>
              <w:rPr>
                <w:sz w:val="16"/>
                <w:szCs w:val="16"/>
              </w:rPr>
            </w:pP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09F51D04" w14:textId="404A9E30" w:rsidR="001A73E9" w:rsidRPr="00082992" w:rsidRDefault="005928D4" w:rsidP="005928D4">
            <w:pPr>
              <w:pStyle w:val="ExhibitText"/>
              <w:jc w:val="left"/>
              <w:rPr>
                <w:sz w:val="16"/>
                <w:szCs w:val="16"/>
              </w:rPr>
            </w:pPr>
            <w:r w:rsidRPr="00082992">
              <w:rPr>
                <w:sz w:val="16"/>
                <w:szCs w:val="16"/>
              </w:rPr>
              <w:t>Net Social Contributions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B66D063" w14:textId="2204CB3F" w:rsidR="001A73E9" w:rsidRPr="00082992" w:rsidRDefault="001A73E9" w:rsidP="005928D4">
            <w:pPr>
              <w:pStyle w:val="ExhibitText"/>
              <w:jc w:val="left"/>
              <w:rPr>
                <w:sz w:val="16"/>
                <w:szCs w:val="16"/>
              </w:rPr>
            </w:pPr>
            <w:r w:rsidRPr="00082992">
              <w:rPr>
                <w:sz w:val="16"/>
                <w:szCs w:val="16"/>
              </w:rPr>
              <w:t>Employers</w:t>
            </w:r>
            <w:r w:rsidR="005928D4" w:rsidRPr="00082992">
              <w:rPr>
                <w:sz w:val="16"/>
                <w:szCs w:val="16"/>
              </w:rPr>
              <w:t>*</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25526B4" w14:textId="69DA50B9" w:rsidR="001A73E9" w:rsidRPr="00082992" w:rsidRDefault="001A73E9" w:rsidP="005928D4">
            <w:pPr>
              <w:pStyle w:val="ExhibitText"/>
              <w:jc w:val="right"/>
              <w:rPr>
                <w:sz w:val="16"/>
                <w:szCs w:val="16"/>
              </w:rPr>
            </w:pPr>
            <w:r w:rsidRPr="00082992">
              <w:rPr>
                <w:sz w:val="16"/>
                <w:szCs w:val="16"/>
              </w:rPr>
              <w:t>5</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7BA9ED5" w14:textId="53A7BB45" w:rsidR="001A73E9" w:rsidRPr="00082992" w:rsidRDefault="001A73E9" w:rsidP="005928D4">
            <w:pPr>
              <w:pStyle w:val="ExhibitText"/>
              <w:jc w:val="right"/>
              <w:rPr>
                <w:sz w:val="16"/>
                <w:szCs w:val="16"/>
              </w:rPr>
            </w:pPr>
            <w:r w:rsidRPr="00082992">
              <w:rPr>
                <w:sz w:val="16"/>
                <w:szCs w:val="16"/>
              </w:rPr>
              <w:t>5</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D6C2A3F" w14:textId="77777777" w:rsidR="001A73E9" w:rsidRPr="00082992" w:rsidRDefault="001A73E9" w:rsidP="005928D4">
            <w:pPr>
              <w:pStyle w:val="ExhibitText"/>
              <w:jc w:val="right"/>
              <w:rPr>
                <w:sz w:val="16"/>
                <w:szCs w:val="16"/>
              </w:rPr>
            </w:pPr>
            <w:r w:rsidRPr="00082992">
              <w:rPr>
                <w:sz w:val="16"/>
                <w:szCs w:val="16"/>
              </w:rPr>
              <w:t>4.7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99D76B2" w14:textId="77777777" w:rsidR="001A73E9" w:rsidRPr="00082992" w:rsidRDefault="001A73E9" w:rsidP="005928D4">
            <w:pPr>
              <w:pStyle w:val="ExhibitText"/>
              <w:jc w:val="right"/>
              <w:rPr>
                <w:sz w:val="16"/>
                <w:szCs w:val="16"/>
              </w:rPr>
            </w:pPr>
            <w:r w:rsidRPr="00082992">
              <w:rPr>
                <w:sz w:val="16"/>
                <w:szCs w:val="16"/>
              </w:rPr>
              <w:t>5.1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8DF7344" w14:textId="77777777" w:rsidR="001A73E9" w:rsidRPr="00082992" w:rsidRDefault="001A73E9" w:rsidP="005928D4">
            <w:pPr>
              <w:pStyle w:val="ExhibitText"/>
              <w:jc w:val="right"/>
              <w:rPr>
                <w:sz w:val="16"/>
                <w:szCs w:val="16"/>
              </w:rPr>
            </w:pPr>
            <w:r w:rsidRPr="00082992">
              <w:rPr>
                <w:sz w:val="16"/>
                <w:szCs w:val="16"/>
              </w:rPr>
              <w:t>4.8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F55C10F" w14:textId="77777777" w:rsidR="001A73E9" w:rsidRPr="00082992" w:rsidRDefault="001A73E9" w:rsidP="005928D4">
            <w:pPr>
              <w:pStyle w:val="ExhibitText"/>
              <w:jc w:val="right"/>
              <w:rPr>
                <w:sz w:val="16"/>
                <w:szCs w:val="16"/>
              </w:rPr>
            </w:pPr>
            <w:r w:rsidRPr="00082992">
              <w:rPr>
                <w:sz w:val="16"/>
                <w:szCs w:val="16"/>
              </w:rPr>
              <w:t>4.8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7DC2F9F" w14:textId="77777777" w:rsidR="001A73E9" w:rsidRPr="00082992" w:rsidRDefault="001A73E9" w:rsidP="005928D4">
            <w:pPr>
              <w:pStyle w:val="ExhibitText"/>
              <w:jc w:val="right"/>
              <w:rPr>
                <w:sz w:val="16"/>
                <w:szCs w:val="16"/>
              </w:rPr>
            </w:pPr>
            <w:r w:rsidRPr="00082992">
              <w:rPr>
                <w:sz w:val="16"/>
                <w:szCs w:val="16"/>
              </w:rPr>
              <w:t>4.7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51BB211" w14:textId="77777777" w:rsidR="001A73E9" w:rsidRPr="00082992" w:rsidRDefault="001A73E9" w:rsidP="005928D4">
            <w:pPr>
              <w:pStyle w:val="ExhibitText"/>
              <w:jc w:val="right"/>
              <w:rPr>
                <w:sz w:val="16"/>
                <w:szCs w:val="16"/>
              </w:rPr>
            </w:pPr>
            <w:r w:rsidRPr="00082992">
              <w:rPr>
                <w:sz w:val="16"/>
                <w:szCs w:val="16"/>
              </w:rPr>
              <w:t>4.5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28AFEB4" w14:textId="77777777" w:rsidR="001A73E9" w:rsidRPr="00082992" w:rsidRDefault="001A73E9" w:rsidP="005928D4">
            <w:pPr>
              <w:pStyle w:val="ExhibitText"/>
              <w:jc w:val="right"/>
              <w:rPr>
                <w:sz w:val="16"/>
                <w:szCs w:val="16"/>
              </w:rPr>
            </w:pPr>
            <w:r w:rsidRPr="00082992">
              <w:rPr>
                <w:sz w:val="16"/>
                <w:szCs w:val="16"/>
              </w:rPr>
              <w:t>4.4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95A3901" w14:textId="77777777" w:rsidR="001A73E9" w:rsidRPr="00082992" w:rsidRDefault="001A73E9" w:rsidP="005928D4">
            <w:pPr>
              <w:pStyle w:val="ExhibitText"/>
              <w:jc w:val="right"/>
              <w:rPr>
                <w:sz w:val="16"/>
                <w:szCs w:val="16"/>
              </w:rPr>
            </w:pPr>
            <w:r w:rsidRPr="00082992">
              <w:rPr>
                <w:sz w:val="16"/>
                <w:szCs w:val="16"/>
              </w:rPr>
              <w:t>4.4</w:t>
            </w:r>
          </w:p>
        </w:tc>
      </w:tr>
      <w:tr w:rsidR="00082992" w:rsidRPr="00082992" w14:paraId="6AD5E664"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50D74CD7"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6EABA7B9"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A4E5952"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3AC57508" w14:textId="74F440D8" w:rsidR="001A73E9" w:rsidRPr="00082992" w:rsidRDefault="001A73E9" w:rsidP="005928D4">
            <w:pPr>
              <w:pStyle w:val="ExhibitText"/>
              <w:jc w:val="left"/>
              <w:rPr>
                <w:sz w:val="16"/>
                <w:szCs w:val="16"/>
              </w:rPr>
            </w:pPr>
            <w:r w:rsidRPr="00082992">
              <w:rPr>
                <w:sz w:val="16"/>
                <w:szCs w:val="16"/>
              </w:rPr>
              <w:t>Households</w:t>
            </w:r>
            <w:r w:rsidR="005928D4" w:rsidRPr="00082992">
              <w:rPr>
                <w:sz w:val="16"/>
                <w:szCs w:val="16"/>
              </w:rPr>
              <w:t>*</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427905E" w14:textId="77777777" w:rsidR="001A73E9" w:rsidRPr="00082992" w:rsidRDefault="001A73E9" w:rsidP="005928D4">
            <w:pPr>
              <w:pStyle w:val="ExhibitText"/>
              <w:jc w:val="right"/>
              <w:rPr>
                <w:sz w:val="16"/>
                <w:szCs w:val="16"/>
              </w:rPr>
            </w:pPr>
            <w:r w:rsidRPr="00082992">
              <w:rPr>
                <w:sz w:val="16"/>
                <w:szCs w:val="16"/>
              </w:rPr>
              <w:t>5.8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CDA4588" w14:textId="77777777" w:rsidR="001A73E9" w:rsidRPr="00082992" w:rsidRDefault="001A73E9" w:rsidP="005928D4">
            <w:pPr>
              <w:pStyle w:val="ExhibitText"/>
              <w:jc w:val="right"/>
              <w:rPr>
                <w:sz w:val="16"/>
                <w:szCs w:val="16"/>
              </w:rPr>
            </w:pPr>
            <w:r w:rsidRPr="00082992">
              <w:rPr>
                <w:sz w:val="16"/>
                <w:szCs w:val="16"/>
              </w:rPr>
              <w:t>5.7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CAA5504" w14:textId="77777777" w:rsidR="001A73E9" w:rsidRPr="00082992" w:rsidRDefault="001A73E9" w:rsidP="005928D4">
            <w:pPr>
              <w:pStyle w:val="ExhibitText"/>
              <w:jc w:val="right"/>
              <w:rPr>
                <w:sz w:val="16"/>
                <w:szCs w:val="16"/>
              </w:rPr>
            </w:pPr>
            <w:r w:rsidRPr="00082992">
              <w:rPr>
                <w:sz w:val="16"/>
                <w:szCs w:val="16"/>
              </w:rPr>
              <w:t>5.5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D8C2F6D" w14:textId="77777777" w:rsidR="001A73E9" w:rsidRPr="00082992" w:rsidRDefault="001A73E9" w:rsidP="005928D4">
            <w:pPr>
              <w:pStyle w:val="ExhibitText"/>
              <w:jc w:val="right"/>
              <w:rPr>
                <w:sz w:val="16"/>
                <w:szCs w:val="16"/>
              </w:rPr>
            </w:pPr>
            <w:r w:rsidRPr="00082992">
              <w:rPr>
                <w:sz w:val="16"/>
                <w:szCs w:val="16"/>
              </w:rPr>
              <w:t>5.9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604528D" w14:textId="77777777" w:rsidR="001A73E9" w:rsidRPr="00082992" w:rsidRDefault="001A73E9" w:rsidP="005928D4">
            <w:pPr>
              <w:pStyle w:val="ExhibitText"/>
              <w:jc w:val="right"/>
              <w:rPr>
                <w:sz w:val="16"/>
                <w:szCs w:val="16"/>
              </w:rPr>
            </w:pPr>
            <w:r w:rsidRPr="00082992">
              <w:rPr>
                <w:sz w:val="16"/>
                <w:szCs w:val="16"/>
              </w:rPr>
              <w:t>5.9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EDF988E" w14:textId="77777777" w:rsidR="001A73E9" w:rsidRPr="00082992" w:rsidRDefault="001A73E9" w:rsidP="005928D4">
            <w:pPr>
              <w:pStyle w:val="ExhibitText"/>
              <w:jc w:val="right"/>
              <w:rPr>
                <w:sz w:val="16"/>
                <w:szCs w:val="16"/>
              </w:rPr>
            </w:pPr>
            <w:r w:rsidRPr="00082992">
              <w:rPr>
                <w:sz w:val="16"/>
                <w:szCs w:val="16"/>
              </w:rPr>
              <w:t>6.1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2EC554E" w14:textId="1FCF43FC" w:rsidR="001A73E9" w:rsidRPr="00082992" w:rsidRDefault="001A73E9" w:rsidP="005928D4">
            <w:pPr>
              <w:pStyle w:val="ExhibitText"/>
              <w:jc w:val="right"/>
              <w:rPr>
                <w:sz w:val="16"/>
                <w:szCs w:val="16"/>
              </w:rPr>
            </w:pPr>
            <w:r w:rsidRPr="00082992">
              <w:rPr>
                <w:sz w:val="16"/>
                <w:szCs w:val="16"/>
              </w:rPr>
              <w:t>6</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F916361" w14:textId="36617625" w:rsidR="001A73E9" w:rsidRPr="00082992" w:rsidRDefault="001A73E9" w:rsidP="005928D4">
            <w:pPr>
              <w:pStyle w:val="ExhibitText"/>
              <w:jc w:val="right"/>
              <w:rPr>
                <w:sz w:val="16"/>
                <w:szCs w:val="16"/>
              </w:rPr>
            </w:pPr>
            <w:r w:rsidRPr="00082992">
              <w:rPr>
                <w:sz w:val="16"/>
                <w:szCs w:val="16"/>
              </w:rPr>
              <w:t>6</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79E7C78" w14:textId="77777777" w:rsidR="001A73E9" w:rsidRPr="00082992" w:rsidRDefault="001A73E9" w:rsidP="005928D4">
            <w:pPr>
              <w:pStyle w:val="ExhibitText"/>
              <w:jc w:val="right"/>
              <w:rPr>
                <w:sz w:val="16"/>
                <w:szCs w:val="16"/>
              </w:rPr>
            </w:pPr>
            <w:r w:rsidRPr="00082992">
              <w:rPr>
                <w:sz w:val="16"/>
                <w:szCs w:val="16"/>
              </w:rPr>
              <w:t>6.3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619E794" w14:textId="77777777" w:rsidR="001A73E9" w:rsidRPr="00082992" w:rsidRDefault="001A73E9" w:rsidP="005928D4">
            <w:pPr>
              <w:pStyle w:val="ExhibitText"/>
              <w:jc w:val="right"/>
              <w:rPr>
                <w:sz w:val="16"/>
                <w:szCs w:val="16"/>
              </w:rPr>
            </w:pPr>
            <w:r w:rsidRPr="00082992">
              <w:rPr>
                <w:sz w:val="16"/>
                <w:szCs w:val="16"/>
              </w:rPr>
              <w:t>6.6</w:t>
            </w:r>
          </w:p>
        </w:tc>
      </w:tr>
      <w:tr w:rsidR="00082992" w:rsidRPr="00082992" w14:paraId="6E5C151D"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2AF46B10"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7DBC0B77"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3210DF73"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4C590522" w14:textId="77777777" w:rsidR="001A73E9" w:rsidRPr="00082992" w:rsidRDefault="001A73E9" w:rsidP="005928D4">
            <w:pPr>
              <w:pStyle w:val="ExhibitText"/>
              <w:jc w:val="left"/>
              <w:rPr>
                <w:sz w:val="16"/>
                <w:szCs w:val="16"/>
              </w:rPr>
            </w:pPr>
            <w:r w:rsidRPr="00082992">
              <w:rPr>
                <w:sz w:val="16"/>
                <w:szCs w:val="16"/>
              </w:rPr>
              <w:t>Total</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E26D8B3" w14:textId="77777777" w:rsidR="001A73E9" w:rsidRPr="00082992" w:rsidRDefault="001A73E9" w:rsidP="005928D4">
            <w:pPr>
              <w:pStyle w:val="ExhibitText"/>
              <w:jc w:val="right"/>
              <w:rPr>
                <w:sz w:val="16"/>
                <w:szCs w:val="16"/>
              </w:rPr>
            </w:pPr>
            <w:r w:rsidRPr="00082992">
              <w:rPr>
                <w:sz w:val="16"/>
                <w:szCs w:val="16"/>
              </w:rPr>
              <w:t>12.4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353FB5C" w14:textId="77777777" w:rsidR="001A73E9" w:rsidRPr="00082992" w:rsidRDefault="001A73E9" w:rsidP="005928D4">
            <w:pPr>
              <w:pStyle w:val="ExhibitText"/>
              <w:jc w:val="right"/>
              <w:rPr>
                <w:sz w:val="16"/>
                <w:szCs w:val="16"/>
              </w:rPr>
            </w:pPr>
            <w:r w:rsidRPr="00082992">
              <w:rPr>
                <w:sz w:val="16"/>
                <w:szCs w:val="16"/>
              </w:rPr>
              <w:t>12.7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7DEB1F7" w14:textId="77777777" w:rsidR="001A73E9" w:rsidRPr="00082992" w:rsidRDefault="001A73E9" w:rsidP="005928D4">
            <w:pPr>
              <w:pStyle w:val="ExhibitText"/>
              <w:jc w:val="right"/>
              <w:rPr>
                <w:sz w:val="16"/>
                <w:szCs w:val="16"/>
              </w:rPr>
            </w:pPr>
            <w:r w:rsidRPr="00082992">
              <w:rPr>
                <w:sz w:val="16"/>
                <w:szCs w:val="16"/>
              </w:rPr>
              <w:t>12.4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55E3DC1" w14:textId="77777777" w:rsidR="001A73E9" w:rsidRPr="00082992" w:rsidRDefault="001A73E9" w:rsidP="005928D4">
            <w:pPr>
              <w:pStyle w:val="ExhibitText"/>
              <w:jc w:val="right"/>
              <w:rPr>
                <w:sz w:val="16"/>
                <w:szCs w:val="16"/>
              </w:rPr>
            </w:pPr>
            <w:r w:rsidRPr="00082992">
              <w:rPr>
                <w:sz w:val="16"/>
                <w:szCs w:val="16"/>
              </w:rPr>
              <w:t>13.1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B73EA9B" w14:textId="77777777" w:rsidR="001A73E9" w:rsidRPr="00082992" w:rsidRDefault="001A73E9" w:rsidP="005928D4">
            <w:pPr>
              <w:pStyle w:val="ExhibitText"/>
              <w:jc w:val="right"/>
              <w:rPr>
                <w:sz w:val="16"/>
                <w:szCs w:val="16"/>
              </w:rPr>
            </w:pPr>
            <w:r w:rsidRPr="00082992">
              <w:rPr>
                <w:sz w:val="16"/>
                <w:szCs w:val="16"/>
              </w:rPr>
              <w:t>13.2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8FC1FD0" w14:textId="77777777" w:rsidR="001A73E9" w:rsidRPr="00082992" w:rsidRDefault="001A73E9" w:rsidP="005928D4">
            <w:pPr>
              <w:pStyle w:val="ExhibitText"/>
              <w:jc w:val="right"/>
              <w:rPr>
                <w:sz w:val="16"/>
                <w:szCs w:val="16"/>
              </w:rPr>
            </w:pPr>
            <w:r w:rsidRPr="00082992">
              <w:rPr>
                <w:sz w:val="16"/>
                <w:szCs w:val="16"/>
              </w:rPr>
              <w:t>13.9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B5D50CB" w14:textId="77777777" w:rsidR="001A73E9" w:rsidRPr="00082992" w:rsidRDefault="001A73E9" w:rsidP="005928D4">
            <w:pPr>
              <w:pStyle w:val="ExhibitText"/>
              <w:jc w:val="right"/>
              <w:rPr>
                <w:sz w:val="16"/>
                <w:szCs w:val="16"/>
              </w:rPr>
            </w:pPr>
            <w:r w:rsidRPr="00082992">
              <w:rPr>
                <w:sz w:val="16"/>
                <w:szCs w:val="16"/>
              </w:rPr>
              <w:t>13.5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5F15A9C" w14:textId="77777777" w:rsidR="001A73E9" w:rsidRPr="00082992" w:rsidRDefault="001A73E9" w:rsidP="005928D4">
            <w:pPr>
              <w:pStyle w:val="ExhibitText"/>
              <w:jc w:val="right"/>
              <w:rPr>
                <w:sz w:val="16"/>
                <w:szCs w:val="16"/>
              </w:rPr>
            </w:pPr>
            <w:r w:rsidRPr="00082992">
              <w:rPr>
                <w:sz w:val="16"/>
                <w:szCs w:val="16"/>
              </w:rPr>
              <w:t>13.5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72DC481" w14:textId="77777777" w:rsidR="001A73E9" w:rsidRPr="00082992" w:rsidRDefault="001A73E9" w:rsidP="005928D4">
            <w:pPr>
              <w:pStyle w:val="ExhibitText"/>
              <w:jc w:val="right"/>
              <w:rPr>
                <w:sz w:val="16"/>
                <w:szCs w:val="16"/>
              </w:rPr>
            </w:pPr>
            <w:r w:rsidRPr="00082992">
              <w:rPr>
                <w:sz w:val="16"/>
                <w:szCs w:val="16"/>
              </w:rPr>
              <w:t>13.9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1D83452" w14:textId="77777777" w:rsidR="001A73E9" w:rsidRPr="00082992" w:rsidRDefault="001A73E9" w:rsidP="005928D4">
            <w:pPr>
              <w:pStyle w:val="ExhibitText"/>
              <w:jc w:val="right"/>
              <w:rPr>
                <w:sz w:val="16"/>
                <w:szCs w:val="16"/>
              </w:rPr>
            </w:pPr>
            <w:r w:rsidRPr="00082992">
              <w:rPr>
                <w:sz w:val="16"/>
                <w:szCs w:val="16"/>
              </w:rPr>
              <w:t>14.2</w:t>
            </w:r>
          </w:p>
        </w:tc>
      </w:tr>
      <w:tr w:rsidR="00082992" w:rsidRPr="00082992" w14:paraId="20402C1D"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5DA2E5E1"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D59DBC1"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0B504DFD" w14:textId="09A37AF2" w:rsidR="001A73E9" w:rsidRPr="00082992" w:rsidRDefault="005928D4" w:rsidP="005928D4">
            <w:pPr>
              <w:pStyle w:val="ExhibitText"/>
              <w:jc w:val="left"/>
              <w:rPr>
                <w:sz w:val="16"/>
                <w:szCs w:val="16"/>
              </w:rPr>
            </w:pPr>
            <w:r w:rsidRPr="00082992">
              <w:rPr>
                <w:sz w:val="16"/>
                <w:szCs w:val="16"/>
              </w:rPr>
              <w:t>Sales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2CC9258" w14:textId="77777777" w:rsidR="001A73E9" w:rsidRPr="00082992" w:rsidRDefault="001A73E9" w:rsidP="005928D4">
            <w:pPr>
              <w:pStyle w:val="ExhibitText"/>
              <w:jc w:val="right"/>
              <w:rPr>
                <w:sz w:val="16"/>
                <w:szCs w:val="16"/>
              </w:rPr>
            </w:pPr>
            <w:r w:rsidRPr="00082992">
              <w:rPr>
                <w:sz w:val="16"/>
                <w:szCs w:val="16"/>
              </w:rPr>
              <w:t>2.8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D16EC9F" w14:textId="7AF993CB" w:rsidR="001A73E9" w:rsidRPr="00082992" w:rsidRDefault="001A73E9" w:rsidP="005928D4">
            <w:pPr>
              <w:pStyle w:val="ExhibitText"/>
              <w:jc w:val="right"/>
              <w:rPr>
                <w:sz w:val="16"/>
                <w:szCs w:val="16"/>
              </w:rPr>
            </w:pPr>
            <w:r w:rsidRPr="00082992">
              <w:rPr>
                <w:sz w:val="16"/>
                <w:szCs w:val="16"/>
              </w:rPr>
              <w:t>3</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3806183" w14:textId="77777777" w:rsidR="001A73E9" w:rsidRPr="00082992" w:rsidRDefault="001A73E9" w:rsidP="005928D4">
            <w:pPr>
              <w:pStyle w:val="ExhibitText"/>
              <w:jc w:val="right"/>
              <w:rPr>
                <w:sz w:val="16"/>
                <w:szCs w:val="16"/>
              </w:rPr>
            </w:pPr>
            <w:r w:rsidRPr="00082992">
              <w:rPr>
                <w:sz w:val="16"/>
                <w:szCs w:val="16"/>
              </w:rPr>
              <w:t>2.9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F299896" w14:textId="2713536E" w:rsidR="001A73E9" w:rsidRPr="00082992" w:rsidRDefault="001A73E9" w:rsidP="005928D4">
            <w:pPr>
              <w:pStyle w:val="ExhibitText"/>
              <w:jc w:val="right"/>
              <w:rPr>
                <w:sz w:val="16"/>
                <w:szCs w:val="16"/>
              </w:rPr>
            </w:pPr>
            <w:r w:rsidRPr="00082992">
              <w:rPr>
                <w:sz w:val="16"/>
                <w:szCs w:val="16"/>
              </w:rPr>
              <w:t>3</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9CF7C99" w14:textId="77777777" w:rsidR="001A73E9" w:rsidRPr="00082992" w:rsidRDefault="001A73E9" w:rsidP="005928D4">
            <w:pPr>
              <w:pStyle w:val="ExhibitText"/>
              <w:jc w:val="right"/>
              <w:rPr>
                <w:sz w:val="16"/>
                <w:szCs w:val="16"/>
              </w:rPr>
            </w:pPr>
            <w:r w:rsidRPr="00082992">
              <w:rPr>
                <w:sz w:val="16"/>
                <w:szCs w:val="16"/>
              </w:rPr>
              <w:t>2.9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7EBC5B5" w14:textId="77777777" w:rsidR="001A73E9" w:rsidRPr="00082992" w:rsidRDefault="001A73E9" w:rsidP="005928D4">
            <w:pPr>
              <w:pStyle w:val="ExhibitText"/>
              <w:jc w:val="right"/>
              <w:rPr>
                <w:sz w:val="16"/>
                <w:szCs w:val="16"/>
              </w:rPr>
            </w:pPr>
            <w:r w:rsidRPr="00082992">
              <w:rPr>
                <w:sz w:val="16"/>
                <w:szCs w:val="16"/>
              </w:rPr>
              <w:t>2.8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B0C9F92" w14:textId="77777777" w:rsidR="001A73E9" w:rsidRPr="00082992" w:rsidRDefault="001A73E9" w:rsidP="005928D4">
            <w:pPr>
              <w:pStyle w:val="ExhibitText"/>
              <w:jc w:val="right"/>
              <w:rPr>
                <w:sz w:val="16"/>
                <w:szCs w:val="16"/>
              </w:rPr>
            </w:pPr>
            <w:r w:rsidRPr="00082992">
              <w:rPr>
                <w:sz w:val="16"/>
                <w:szCs w:val="16"/>
              </w:rPr>
              <w:t>2.8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E5296AF" w14:textId="77777777" w:rsidR="001A73E9" w:rsidRPr="00082992" w:rsidRDefault="001A73E9" w:rsidP="005928D4">
            <w:pPr>
              <w:pStyle w:val="ExhibitText"/>
              <w:jc w:val="right"/>
              <w:rPr>
                <w:sz w:val="16"/>
                <w:szCs w:val="16"/>
              </w:rPr>
            </w:pPr>
            <w:r w:rsidRPr="00082992">
              <w:rPr>
                <w:sz w:val="16"/>
                <w:szCs w:val="16"/>
              </w:rPr>
              <w:t>2.8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16B679B" w14:textId="77777777" w:rsidR="001A73E9" w:rsidRPr="00082992" w:rsidRDefault="001A73E9" w:rsidP="005928D4">
            <w:pPr>
              <w:pStyle w:val="ExhibitText"/>
              <w:jc w:val="right"/>
              <w:rPr>
                <w:sz w:val="16"/>
                <w:szCs w:val="16"/>
              </w:rPr>
            </w:pPr>
            <w:r w:rsidRPr="00082992">
              <w:rPr>
                <w:sz w:val="16"/>
                <w:szCs w:val="16"/>
              </w:rPr>
              <w:t>2.9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0726958" w14:textId="77777777" w:rsidR="001A73E9" w:rsidRPr="00082992" w:rsidRDefault="001A73E9" w:rsidP="005928D4">
            <w:pPr>
              <w:pStyle w:val="ExhibitText"/>
              <w:jc w:val="right"/>
              <w:rPr>
                <w:sz w:val="16"/>
                <w:szCs w:val="16"/>
              </w:rPr>
            </w:pPr>
            <w:r w:rsidRPr="00082992">
              <w:rPr>
                <w:sz w:val="16"/>
                <w:szCs w:val="16"/>
              </w:rPr>
              <w:t>3.2</w:t>
            </w:r>
          </w:p>
        </w:tc>
      </w:tr>
      <w:tr w:rsidR="00082992" w:rsidRPr="00082992" w14:paraId="4D01E83B"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58E91187"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00523C57"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6DE19657" w14:textId="255D9089" w:rsidR="001A73E9" w:rsidRPr="00082992" w:rsidRDefault="001A73E9" w:rsidP="005928D4">
            <w:pPr>
              <w:pStyle w:val="ExhibitText"/>
              <w:jc w:val="left"/>
              <w:rPr>
                <w:b/>
                <w:sz w:val="16"/>
                <w:szCs w:val="16"/>
              </w:rPr>
            </w:pPr>
            <w:r w:rsidRPr="00082992">
              <w:rPr>
                <w:b/>
                <w:sz w:val="16"/>
                <w:szCs w:val="16"/>
              </w:rPr>
              <w:t>TOTAL CURRENT REV</w:t>
            </w:r>
            <w:r w:rsidR="005928D4" w:rsidRPr="00082992">
              <w:rPr>
                <w:b/>
                <w:sz w:val="16"/>
                <w:szCs w:val="16"/>
              </w:rPr>
              <w:t>ENUE</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251856A" w14:textId="77777777" w:rsidR="001A73E9" w:rsidRPr="00082992" w:rsidRDefault="001A73E9" w:rsidP="005928D4">
            <w:pPr>
              <w:pStyle w:val="ExhibitText"/>
              <w:jc w:val="right"/>
              <w:rPr>
                <w:b/>
                <w:sz w:val="16"/>
                <w:szCs w:val="16"/>
              </w:rPr>
            </w:pPr>
            <w:r w:rsidRPr="00082992">
              <w:rPr>
                <w:b/>
                <w:sz w:val="16"/>
                <w:szCs w:val="16"/>
              </w:rPr>
              <w:t>37.9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C77F479" w14:textId="77777777" w:rsidR="001A73E9" w:rsidRPr="00082992" w:rsidRDefault="001A73E9" w:rsidP="005928D4">
            <w:pPr>
              <w:pStyle w:val="ExhibitText"/>
              <w:jc w:val="right"/>
              <w:rPr>
                <w:b/>
                <w:sz w:val="16"/>
                <w:szCs w:val="16"/>
              </w:rPr>
            </w:pPr>
            <w:r w:rsidRPr="00082992">
              <w:rPr>
                <w:b/>
                <w:sz w:val="16"/>
                <w:szCs w:val="16"/>
              </w:rPr>
              <w:t>38.5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0EA8BF1" w14:textId="77777777" w:rsidR="001A73E9" w:rsidRPr="00082992" w:rsidRDefault="001A73E9" w:rsidP="005928D4">
            <w:pPr>
              <w:pStyle w:val="ExhibitText"/>
              <w:jc w:val="right"/>
              <w:rPr>
                <w:b/>
                <w:sz w:val="16"/>
                <w:szCs w:val="16"/>
              </w:rPr>
            </w:pPr>
            <w:r w:rsidRPr="00082992">
              <w:rPr>
                <w:b/>
                <w:sz w:val="16"/>
                <w:szCs w:val="16"/>
              </w:rPr>
              <w:t>37.6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107800B" w14:textId="77777777" w:rsidR="001A73E9" w:rsidRPr="00082992" w:rsidRDefault="001A73E9" w:rsidP="005928D4">
            <w:pPr>
              <w:pStyle w:val="ExhibitText"/>
              <w:jc w:val="right"/>
              <w:rPr>
                <w:b/>
                <w:sz w:val="16"/>
                <w:szCs w:val="16"/>
              </w:rPr>
            </w:pPr>
            <w:r w:rsidRPr="00082992">
              <w:rPr>
                <w:b/>
                <w:sz w:val="16"/>
                <w:szCs w:val="16"/>
              </w:rPr>
              <w:t>39.2</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7C81F74" w14:textId="77777777" w:rsidR="001A73E9" w:rsidRPr="00082992" w:rsidRDefault="001A73E9" w:rsidP="005928D4">
            <w:pPr>
              <w:pStyle w:val="ExhibitText"/>
              <w:jc w:val="right"/>
              <w:rPr>
                <w:b/>
                <w:sz w:val="16"/>
                <w:szCs w:val="16"/>
              </w:rPr>
            </w:pPr>
            <w:r w:rsidRPr="00082992">
              <w:rPr>
                <w:b/>
                <w:sz w:val="16"/>
                <w:szCs w:val="16"/>
              </w:rPr>
              <w:t>41.5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36B8FE9" w14:textId="2B9F1943" w:rsidR="001A73E9" w:rsidRPr="00082992" w:rsidRDefault="001A73E9" w:rsidP="005928D4">
            <w:pPr>
              <w:pStyle w:val="ExhibitText"/>
              <w:jc w:val="right"/>
              <w:rPr>
                <w:b/>
                <w:sz w:val="16"/>
                <w:szCs w:val="16"/>
              </w:rPr>
            </w:pPr>
            <w:r w:rsidRPr="00082992">
              <w:rPr>
                <w:b/>
                <w:sz w:val="16"/>
                <w:szCs w:val="16"/>
              </w:rPr>
              <w:t>44</w:t>
            </w:r>
            <w:r w:rsidR="0002614C" w:rsidRPr="00082992">
              <w:rPr>
                <w:b/>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07CD7A1" w14:textId="77777777" w:rsidR="001A73E9" w:rsidRPr="00082992" w:rsidRDefault="001A73E9" w:rsidP="005928D4">
            <w:pPr>
              <w:pStyle w:val="ExhibitText"/>
              <w:jc w:val="right"/>
              <w:rPr>
                <w:b/>
                <w:sz w:val="16"/>
                <w:szCs w:val="16"/>
              </w:rPr>
            </w:pPr>
            <w:r w:rsidRPr="00082992">
              <w:rPr>
                <w:b/>
                <w:sz w:val="16"/>
                <w:szCs w:val="16"/>
              </w:rPr>
              <w:t>44.9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0690A3D" w14:textId="77777777" w:rsidR="001A73E9" w:rsidRPr="00082992" w:rsidRDefault="001A73E9" w:rsidP="005928D4">
            <w:pPr>
              <w:pStyle w:val="ExhibitText"/>
              <w:jc w:val="right"/>
              <w:rPr>
                <w:b/>
                <w:sz w:val="16"/>
                <w:szCs w:val="16"/>
              </w:rPr>
            </w:pPr>
            <w:r w:rsidRPr="00082992">
              <w:rPr>
                <w:b/>
                <w:sz w:val="16"/>
                <w:szCs w:val="16"/>
              </w:rPr>
              <w:t>44.4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8BA9C55" w14:textId="77777777" w:rsidR="001A73E9" w:rsidRPr="00082992" w:rsidRDefault="001A73E9" w:rsidP="005928D4">
            <w:pPr>
              <w:pStyle w:val="ExhibitText"/>
              <w:jc w:val="right"/>
              <w:rPr>
                <w:b/>
                <w:sz w:val="16"/>
                <w:szCs w:val="16"/>
              </w:rPr>
            </w:pPr>
            <w:r w:rsidRPr="00082992">
              <w:rPr>
                <w:b/>
                <w:sz w:val="16"/>
                <w:szCs w:val="16"/>
              </w:rPr>
              <w:t>45.3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A0C1802" w14:textId="77777777" w:rsidR="001A73E9" w:rsidRPr="00082992" w:rsidRDefault="001A73E9" w:rsidP="005928D4">
            <w:pPr>
              <w:pStyle w:val="ExhibitText"/>
              <w:jc w:val="right"/>
              <w:rPr>
                <w:b/>
                <w:sz w:val="16"/>
                <w:szCs w:val="16"/>
              </w:rPr>
            </w:pPr>
            <w:r w:rsidRPr="00082992">
              <w:rPr>
                <w:b/>
                <w:sz w:val="16"/>
                <w:szCs w:val="16"/>
              </w:rPr>
              <w:t>47.9</w:t>
            </w:r>
          </w:p>
        </w:tc>
      </w:tr>
      <w:tr w:rsidR="00082992" w:rsidRPr="00082992" w14:paraId="40E87E43"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5D3701AA" w14:textId="77777777" w:rsidR="001A73E9" w:rsidRPr="00082992" w:rsidRDefault="001A73E9" w:rsidP="005928D4">
            <w:pPr>
              <w:pStyle w:val="ExhibitText"/>
              <w:jc w:val="left"/>
              <w:rPr>
                <w:sz w:val="16"/>
                <w:szCs w:val="16"/>
              </w:rPr>
            </w:pP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2247B59F" w14:textId="1C710BAF" w:rsidR="001A73E9" w:rsidRPr="00082992" w:rsidRDefault="005928D4" w:rsidP="005928D4">
            <w:pPr>
              <w:pStyle w:val="ExhibitText"/>
              <w:jc w:val="left"/>
              <w:rPr>
                <w:sz w:val="16"/>
                <w:szCs w:val="16"/>
              </w:rPr>
            </w:pPr>
            <w:r w:rsidRPr="00082992">
              <w:rPr>
                <w:sz w:val="16"/>
                <w:szCs w:val="16"/>
              </w:rPr>
              <w:t>Capital Revenue</w:t>
            </w: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340F4697" w14:textId="403889C3" w:rsidR="001A73E9" w:rsidRPr="00082992" w:rsidRDefault="005928D4" w:rsidP="005928D4">
            <w:pPr>
              <w:pStyle w:val="ExhibitText"/>
              <w:jc w:val="left"/>
              <w:rPr>
                <w:sz w:val="16"/>
                <w:szCs w:val="16"/>
              </w:rPr>
            </w:pPr>
            <w:r w:rsidRPr="00082992">
              <w:rPr>
                <w:sz w:val="16"/>
                <w:szCs w:val="16"/>
              </w:rPr>
              <w:t>Capital Taxes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913E0AD" w14:textId="77777777" w:rsidR="001A73E9" w:rsidRPr="00082992" w:rsidRDefault="001A73E9" w:rsidP="005928D4">
            <w:pPr>
              <w:pStyle w:val="ExhibitText"/>
              <w:jc w:val="right"/>
              <w:rPr>
                <w:sz w:val="16"/>
                <w:szCs w:val="16"/>
              </w:rPr>
            </w:pPr>
            <w:r w:rsidRPr="00082992">
              <w:rPr>
                <w:sz w:val="16"/>
                <w:szCs w:val="16"/>
              </w:rPr>
              <w:t>0.1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A9F342D" w14:textId="77777777" w:rsidR="001A73E9" w:rsidRPr="00082992" w:rsidRDefault="001A73E9" w:rsidP="005928D4">
            <w:pPr>
              <w:pStyle w:val="ExhibitText"/>
              <w:jc w:val="right"/>
              <w:rPr>
                <w:sz w:val="16"/>
                <w:szCs w:val="16"/>
              </w:rPr>
            </w:pPr>
            <w:r w:rsidRPr="00082992">
              <w:rPr>
                <w:sz w:val="16"/>
                <w:szCs w:val="16"/>
              </w:rPr>
              <w:t>0.3</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8A16854" w14:textId="77777777" w:rsidR="001A73E9" w:rsidRPr="00082992" w:rsidRDefault="001A73E9" w:rsidP="005928D4">
            <w:pPr>
              <w:pStyle w:val="ExhibitText"/>
              <w:jc w:val="right"/>
              <w:rPr>
                <w:sz w:val="16"/>
                <w:szCs w:val="16"/>
              </w:rPr>
            </w:pPr>
            <w:r w:rsidRPr="00082992">
              <w:rPr>
                <w:sz w:val="16"/>
                <w:szCs w:val="16"/>
              </w:rPr>
              <w:t>0.2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32C5162" w14:textId="77777777" w:rsidR="001A73E9" w:rsidRPr="00082992" w:rsidRDefault="001A73E9" w:rsidP="005928D4">
            <w:pPr>
              <w:pStyle w:val="ExhibitText"/>
              <w:jc w:val="right"/>
              <w:rPr>
                <w:sz w:val="16"/>
                <w:szCs w:val="16"/>
              </w:rPr>
            </w:pPr>
            <w:r w:rsidRPr="00082992">
              <w:rPr>
                <w:sz w:val="16"/>
                <w:szCs w:val="16"/>
              </w:rPr>
              <w:t>0.1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63AE18A" w14:textId="77777777" w:rsidR="001A73E9" w:rsidRPr="00082992" w:rsidRDefault="001A73E9" w:rsidP="005928D4">
            <w:pPr>
              <w:pStyle w:val="ExhibitText"/>
              <w:jc w:val="right"/>
              <w:rPr>
                <w:sz w:val="16"/>
                <w:szCs w:val="16"/>
              </w:rPr>
            </w:pPr>
            <w:r w:rsidRPr="00082992">
              <w:rPr>
                <w:sz w:val="16"/>
                <w:szCs w:val="16"/>
              </w:rPr>
              <w:t>0.1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BEB22CE" w14:textId="77777777" w:rsidR="001A73E9" w:rsidRPr="00082992" w:rsidRDefault="001A73E9" w:rsidP="005928D4">
            <w:pPr>
              <w:pStyle w:val="ExhibitText"/>
              <w:jc w:val="right"/>
              <w:rPr>
                <w:sz w:val="16"/>
                <w:szCs w:val="16"/>
              </w:rPr>
            </w:pPr>
            <w:r w:rsidRPr="00082992">
              <w:rPr>
                <w:sz w:val="16"/>
                <w:szCs w:val="16"/>
              </w:rPr>
              <w:t>0.1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6A3111A" w14:textId="77777777" w:rsidR="001A73E9" w:rsidRPr="00082992" w:rsidRDefault="001A73E9" w:rsidP="005928D4">
            <w:pPr>
              <w:pStyle w:val="ExhibitText"/>
              <w:jc w:val="right"/>
              <w:rPr>
                <w:sz w:val="16"/>
                <w:szCs w:val="16"/>
              </w:rPr>
            </w:pPr>
            <w:r w:rsidRPr="00082992">
              <w:rPr>
                <w:sz w:val="16"/>
                <w:szCs w:val="16"/>
              </w:rPr>
              <w:t>0.1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8D3EB3B" w14:textId="77777777" w:rsidR="001A73E9" w:rsidRPr="00082992" w:rsidRDefault="001A73E9" w:rsidP="005928D4">
            <w:pPr>
              <w:pStyle w:val="ExhibitText"/>
              <w:jc w:val="right"/>
              <w:rPr>
                <w:sz w:val="16"/>
                <w:szCs w:val="16"/>
              </w:rPr>
            </w:pPr>
            <w:r w:rsidRPr="00082992">
              <w:rPr>
                <w:sz w:val="16"/>
                <w:szCs w:val="16"/>
              </w:rPr>
              <w:t>0.1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4F44000" w14:textId="77777777" w:rsidR="001A73E9" w:rsidRPr="00082992" w:rsidRDefault="001A73E9" w:rsidP="005928D4">
            <w:pPr>
              <w:pStyle w:val="ExhibitText"/>
              <w:jc w:val="right"/>
              <w:rPr>
                <w:sz w:val="16"/>
                <w:szCs w:val="16"/>
              </w:rPr>
            </w:pPr>
            <w:r w:rsidRPr="00082992">
              <w:rPr>
                <w:sz w:val="16"/>
                <w:szCs w:val="16"/>
              </w:rPr>
              <w:t>0.1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9482CB8" w14:textId="77777777" w:rsidR="001A73E9" w:rsidRPr="00082992" w:rsidRDefault="001A73E9" w:rsidP="005928D4">
            <w:pPr>
              <w:pStyle w:val="ExhibitText"/>
              <w:jc w:val="right"/>
              <w:rPr>
                <w:sz w:val="16"/>
                <w:szCs w:val="16"/>
              </w:rPr>
            </w:pPr>
            <w:r w:rsidRPr="00082992">
              <w:rPr>
                <w:sz w:val="16"/>
                <w:szCs w:val="16"/>
              </w:rPr>
              <w:t>0.1</w:t>
            </w:r>
          </w:p>
        </w:tc>
      </w:tr>
      <w:tr w:rsidR="00082992" w:rsidRPr="00082992" w14:paraId="19A207F5"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3240AE00"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766011C9"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5E97396A" w14:textId="77777777" w:rsidR="001A73E9" w:rsidRPr="00082992" w:rsidRDefault="001A73E9" w:rsidP="005928D4">
            <w:pPr>
              <w:pStyle w:val="ExhibitText"/>
              <w:jc w:val="left"/>
              <w:rPr>
                <w:b/>
                <w:sz w:val="16"/>
                <w:szCs w:val="16"/>
              </w:rPr>
            </w:pPr>
            <w:r w:rsidRPr="00082992">
              <w:rPr>
                <w:b/>
                <w:sz w:val="16"/>
                <w:szCs w:val="16"/>
              </w:rPr>
              <w:t>TOTAL CAPITAL REVENUE</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A8278D6" w14:textId="77777777" w:rsidR="001A73E9" w:rsidRPr="00082992" w:rsidRDefault="001A73E9" w:rsidP="005928D4">
            <w:pPr>
              <w:pStyle w:val="ExhibitText"/>
              <w:jc w:val="right"/>
              <w:rPr>
                <w:b/>
                <w:sz w:val="16"/>
                <w:szCs w:val="16"/>
              </w:rPr>
            </w:pPr>
            <w:r w:rsidRPr="00082992">
              <w:rPr>
                <w:b/>
                <w:sz w:val="16"/>
                <w:szCs w:val="16"/>
              </w:rPr>
              <w:t>2.4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A62A813" w14:textId="77777777" w:rsidR="001A73E9" w:rsidRPr="00082992" w:rsidRDefault="001A73E9" w:rsidP="005928D4">
            <w:pPr>
              <w:pStyle w:val="ExhibitText"/>
              <w:jc w:val="right"/>
              <w:rPr>
                <w:b/>
                <w:sz w:val="16"/>
                <w:szCs w:val="16"/>
              </w:rPr>
            </w:pPr>
            <w:r w:rsidRPr="00082992">
              <w:rPr>
                <w:b/>
                <w:sz w:val="16"/>
                <w:szCs w:val="16"/>
              </w:rPr>
              <w:t>2.2</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5D69DD2" w14:textId="77777777" w:rsidR="001A73E9" w:rsidRPr="00082992" w:rsidRDefault="001A73E9" w:rsidP="005928D4">
            <w:pPr>
              <w:pStyle w:val="ExhibitText"/>
              <w:jc w:val="right"/>
              <w:rPr>
                <w:b/>
                <w:sz w:val="16"/>
                <w:szCs w:val="16"/>
              </w:rPr>
            </w:pPr>
            <w:r w:rsidRPr="00082992">
              <w:rPr>
                <w:b/>
                <w:sz w:val="16"/>
                <w:szCs w:val="16"/>
              </w:rPr>
              <w:t>1.4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5714E9E" w14:textId="77777777" w:rsidR="001A73E9" w:rsidRPr="00082992" w:rsidRDefault="001A73E9" w:rsidP="005928D4">
            <w:pPr>
              <w:pStyle w:val="ExhibitText"/>
              <w:jc w:val="right"/>
              <w:rPr>
                <w:b/>
                <w:sz w:val="16"/>
                <w:szCs w:val="16"/>
              </w:rPr>
            </w:pPr>
            <w:r w:rsidRPr="00082992">
              <w:rPr>
                <w:b/>
                <w:sz w:val="16"/>
                <w:szCs w:val="16"/>
              </w:rPr>
              <w:t>2.1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6E1C842" w14:textId="77777777" w:rsidR="001A73E9" w:rsidRPr="00082992" w:rsidRDefault="001A73E9" w:rsidP="005928D4">
            <w:pPr>
              <w:pStyle w:val="ExhibitText"/>
              <w:jc w:val="right"/>
              <w:rPr>
                <w:b/>
                <w:sz w:val="16"/>
                <w:szCs w:val="16"/>
              </w:rPr>
            </w:pPr>
            <w:r w:rsidRPr="00082992">
              <w:rPr>
                <w:b/>
                <w:sz w:val="16"/>
                <w:szCs w:val="16"/>
              </w:rPr>
              <w:t>2.5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ECC630B" w14:textId="77777777" w:rsidR="001A73E9" w:rsidRPr="00082992" w:rsidRDefault="001A73E9" w:rsidP="005928D4">
            <w:pPr>
              <w:pStyle w:val="ExhibitText"/>
              <w:jc w:val="right"/>
              <w:rPr>
                <w:b/>
                <w:sz w:val="16"/>
                <w:szCs w:val="16"/>
              </w:rPr>
            </w:pPr>
            <w:r w:rsidRPr="00082992">
              <w:rPr>
                <w:b/>
                <w:sz w:val="16"/>
                <w:szCs w:val="16"/>
              </w:rPr>
              <w:t>2.5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2007961" w14:textId="77777777" w:rsidR="001A73E9" w:rsidRPr="00082992" w:rsidRDefault="001A73E9" w:rsidP="005928D4">
            <w:pPr>
              <w:pStyle w:val="ExhibitText"/>
              <w:jc w:val="right"/>
              <w:rPr>
                <w:b/>
                <w:sz w:val="16"/>
                <w:szCs w:val="16"/>
              </w:rPr>
            </w:pPr>
            <w:r w:rsidRPr="00082992">
              <w:rPr>
                <w:b/>
                <w:sz w:val="16"/>
                <w:szCs w:val="16"/>
              </w:rPr>
              <w:t>4.2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73D7D05" w14:textId="77777777" w:rsidR="001A73E9" w:rsidRPr="00082992" w:rsidRDefault="001A73E9" w:rsidP="005928D4">
            <w:pPr>
              <w:pStyle w:val="ExhibitText"/>
              <w:jc w:val="right"/>
              <w:rPr>
                <w:b/>
                <w:sz w:val="16"/>
                <w:szCs w:val="16"/>
              </w:rPr>
            </w:pPr>
            <w:r w:rsidRPr="00082992">
              <w:rPr>
                <w:b/>
                <w:sz w:val="16"/>
                <w:szCs w:val="16"/>
              </w:rPr>
              <w:t>2.5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CF1E92E" w14:textId="59293834" w:rsidR="001A73E9" w:rsidRPr="00082992" w:rsidRDefault="001A73E9" w:rsidP="005928D4">
            <w:pPr>
              <w:pStyle w:val="ExhibitText"/>
              <w:jc w:val="right"/>
              <w:rPr>
                <w:b/>
                <w:sz w:val="16"/>
                <w:szCs w:val="16"/>
              </w:rPr>
            </w:pPr>
            <w:r w:rsidRPr="00082992">
              <w:rPr>
                <w:b/>
                <w:sz w:val="16"/>
                <w:szCs w:val="16"/>
              </w:rPr>
              <w:t>3</w:t>
            </w:r>
            <w:r w:rsidR="0002614C" w:rsidRPr="00082992">
              <w:rPr>
                <w:b/>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78B64AC" w14:textId="77777777" w:rsidR="001A73E9" w:rsidRPr="00082992" w:rsidRDefault="001A73E9" w:rsidP="005928D4">
            <w:pPr>
              <w:pStyle w:val="ExhibitText"/>
              <w:jc w:val="right"/>
              <w:rPr>
                <w:b/>
                <w:sz w:val="16"/>
                <w:szCs w:val="16"/>
              </w:rPr>
            </w:pPr>
            <w:r w:rsidRPr="00082992">
              <w:rPr>
                <w:b/>
                <w:sz w:val="16"/>
                <w:szCs w:val="16"/>
              </w:rPr>
              <w:t>1.8</w:t>
            </w:r>
          </w:p>
        </w:tc>
      </w:tr>
      <w:tr w:rsidR="00082992" w:rsidRPr="00082992" w14:paraId="15208942" w14:textId="77777777" w:rsidTr="001D04CD">
        <w:trPr>
          <w:trHeight w:val="288"/>
          <w:jc w:val="center"/>
        </w:trPr>
        <w:tc>
          <w:tcPr>
            <w:tcW w:w="7015" w:type="dxa"/>
            <w:gridSpan w:val="4"/>
            <w:tcBorders>
              <w:top w:val="single" w:sz="4" w:space="0" w:color="auto"/>
              <w:left w:val="single" w:sz="4" w:space="0" w:color="auto"/>
              <w:bottom w:val="single" w:sz="4" w:space="0" w:color="auto"/>
              <w:right w:val="single" w:sz="4" w:space="0" w:color="auto"/>
            </w:tcBorders>
            <w:vAlign w:val="center"/>
            <w:hideMark/>
          </w:tcPr>
          <w:p w14:paraId="781803F0" w14:textId="1B54EB62" w:rsidR="001A73E9" w:rsidRPr="00082992" w:rsidRDefault="005928D4" w:rsidP="005928D4">
            <w:pPr>
              <w:pStyle w:val="ExhibitText"/>
              <w:jc w:val="left"/>
              <w:rPr>
                <w:sz w:val="16"/>
                <w:szCs w:val="16"/>
              </w:rPr>
            </w:pPr>
            <w:r w:rsidRPr="00082992">
              <w:rPr>
                <w:sz w:val="16"/>
                <w:szCs w:val="16"/>
              </w:rPr>
              <w:t>Total Revenues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C5C0865" w14:textId="77777777" w:rsidR="001A73E9" w:rsidRPr="00082992" w:rsidRDefault="001A73E9" w:rsidP="005928D4">
            <w:pPr>
              <w:pStyle w:val="ExhibitText"/>
              <w:jc w:val="right"/>
              <w:rPr>
                <w:sz w:val="16"/>
                <w:szCs w:val="16"/>
              </w:rPr>
            </w:pPr>
            <w:r w:rsidRPr="00082992">
              <w:rPr>
                <w:sz w:val="16"/>
                <w:szCs w:val="16"/>
              </w:rPr>
              <w:t>40.4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1BAEE6D" w14:textId="77777777" w:rsidR="001A73E9" w:rsidRPr="00082992" w:rsidRDefault="001A73E9" w:rsidP="005928D4">
            <w:pPr>
              <w:pStyle w:val="ExhibitText"/>
              <w:jc w:val="right"/>
              <w:rPr>
                <w:sz w:val="16"/>
                <w:szCs w:val="16"/>
              </w:rPr>
            </w:pPr>
            <w:r w:rsidRPr="00082992">
              <w:rPr>
                <w:sz w:val="16"/>
                <w:szCs w:val="16"/>
              </w:rPr>
              <w:t>40.7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B597601" w14:textId="77777777" w:rsidR="001A73E9" w:rsidRPr="00082992" w:rsidRDefault="001A73E9" w:rsidP="005928D4">
            <w:pPr>
              <w:pStyle w:val="ExhibitText"/>
              <w:jc w:val="right"/>
              <w:rPr>
                <w:sz w:val="16"/>
                <w:szCs w:val="16"/>
              </w:rPr>
            </w:pPr>
            <w:r w:rsidRPr="00082992">
              <w:rPr>
                <w:sz w:val="16"/>
                <w:szCs w:val="16"/>
              </w:rPr>
              <w:t>38.9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210FD3A" w14:textId="77777777" w:rsidR="001A73E9" w:rsidRPr="00082992" w:rsidRDefault="001A73E9" w:rsidP="005928D4">
            <w:pPr>
              <w:pStyle w:val="ExhibitText"/>
              <w:jc w:val="right"/>
              <w:rPr>
                <w:sz w:val="16"/>
                <w:szCs w:val="16"/>
              </w:rPr>
            </w:pPr>
            <w:r w:rsidRPr="00082992">
              <w:rPr>
                <w:sz w:val="16"/>
                <w:szCs w:val="16"/>
              </w:rPr>
              <w:t>41.3</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0CF6406" w14:textId="2B745FCE" w:rsidR="001A73E9" w:rsidRPr="00082992" w:rsidRDefault="001A73E9" w:rsidP="005928D4">
            <w:pPr>
              <w:pStyle w:val="ExhibitText"/>
              <w:jc w:val="right"/>
              <w:rPr>
                <w:sz w:val="16"/>
                <w:szCs w:val="16"/>
              </w:rPr>
            </w:pPr>
            <w:r w:rsidRPr="00082992">
              <w:rPr>
                <w:sz w:val="16"/>
                <w:szCs w:val="16"/>
              </w:rPr>
              <w:t>44</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F3D1EBC" w14:textId="77777777" w:rsidR="001A73E9" w:rsidRPr="00082992" w:rsidRDefault="001A73E9" w:rsidP="005928D4">
            <w:pPr>
              <w:pStyle w:val="ExhibitText"/>
              <w:jc w:val="right"/>
              <w:rPr>
                <w:sz w:val="16"/>
                <w:szCs w:val="16"/>
              </w:rPr>
            </w:pPr>
            <w:r w:rsidRPr="00082992">
              <w:rPr>
                <w:sz w:val="16"/>
                <w:szCs w:val="16"/>
              </w:rPr>
              <w:t>46.5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6D0E2FF" w14:textId="77777777" w:rsidR="001A73E9" w:rsidRPr="00082992" w:rsidRDefault="001A73E9" w:rsidP="005928D4">
            <w:pPr>
              <w:pStyle w:val="ExhibitText"/>
              <w:jc w:val="right"/>
              <w:rPr>
                <w:sz w:val="16"/>
                <w:szCs w:val="16"/>
              </w:rPr>
            </w:pPr>
            <w:r w:rsidRPr="00082992">
              <w:rPr>
                <w:sz w:val="16"/>
                <w:szCs w:val="16"/>
              </w:rPr>
              <w:t>49.1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6A11C2A" w14:textId="77777777" w:rsidR="001A73E9" w:rsidRPr="00082992" w:rsidRDefault="001A73E9" w:rsidP="005928D4">
            <w:pPr>
              <w:pStyle w:val="ExhibitText"/>
              <w:jc w:val="right"/>
              <w:rPr>
                <w:sz w:val="16"/>
                <w:szCs w:val="16"/>
              </w:rPr>
            </w:pPr>
            <w:r w:rsidRPr="00082992">
              <w:rPr>
                <w:sz w:val="16"/>
                <w:szCs w:val="16"/>
              </w:rPr>
              <w:t>46.9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DC254B1" w14:textId="77777777" w:rsidR="001A73E9" w:rsidRPr="00082992" w:rsidRDefault="001A73E9" w:rsidP="005928D4">
            <w:pPr>
              <w:pStyle w:val="ExhibitText"/>
              <w:jc w:val="right"/>
              <w:rPr>
                <w:sz w:val="16"/>
                <w:szCs w:val="16"/>
              </w:rPr>
            </w:pPr>
            <w:r w:rsidRPr="00082992">
              <w:rPr>
                <w:sz w:val="16"/>
                <w:szCs w:val="16"/>
              </w:rPr>
              <w:t>48.3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337F78D" w14:textId="77777777" w:rsidR="001A73E9" w:rsidRPr="00082992" w:rsidRDefault="001A73E9" w:rsidP="005928D4">
            <w:pPr>
              <w:pStyle w:val="ExhibitText"/>
              <w:jc w:val="right"/>
              <w:rPr>
                <w:sz w:val="16"/>
                <w:szCs w:val="16"/>
              </w:rPr>
            </w:pPr>
            <w:r w:rsidRPr="00082992">
              <w:rPr>
                <w:sz w:val="16"/>
                <w:szCs w:val="16"/>
              </w:rPr>
              <w:t>49.7</w:t>
            </w:r>
          </w:p>
        </w:tc>
      </w:tr>
      <w:tr w:rsidR="00082992" w:rsidRPr="00082992" w14:paraId="286088F9" w14:textId="77777777" w:rsidTr="001D04CD">
        <w:trPr>
          <w:trHeight w:val="288"/>
          <w:jc w:val="center"/>
        </w:trPr>
        <w:tc>
          <w:tcPr>
            <w:tcW w:w="7015" w:type="dxa"/>
            <w:gridSpan w:val="4"/>
            <w:tcBorders>
              <w:top w:val="single" w:sz="4" w:space="0" w:color="auto"/>
              <w:left w:val="single" w:sz="4" w:space="0" w:color="auto"/>
              <w:bottom w:val="single" w:sz="4" w:space="0" w:color="auto"/>
              <w:right w:val="single" w:sz="4" w:space="0" w:color="auto"/>
            </w:tcBorders>
            <w:vAlign w:val="center"/>
            <w:hideMark/>
          </w:tcPr>
          <w:p w14:paraId="1C3E62D3" w14:textId="02A396A3" w:rsidR="001A73E9" w:rsidRPr="00082992" w:rsidRDefault="005928D4" w:rsidP="005928D4">
            <w:pPr>
              <w:pStyle w:val="ExhibitText"/>
              <w:jc w:val="left"/>
              <w:rPr>
                <w:sz w:val="16"/>
                <w:szCs w:val="16"/>
              </w:rPr>
            </w:pPr>
            <w:r w:rsidRPr="00082992">
              <w:rPr>
                <w:sz w:val="16"/>
                <w:szCs w:val="16"/>
              </w:rPr>
              <w:t>Fiscal Burden</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0620BD3" w14:textId="77777777" w:rsidR="001A73E9" w:rsidRPr="00082992" w:rsidRDefault="001A73E9" w:rsidP="005928D4">
            <w:pPr>
              <w:pStyle w:val="ExhibitText"/>
              <w:jc w:val="right"/>
              <w:rPr>
                <w:sz w:val="16"/>
                <w:szCs w:val="16"/>
              </w:rPr>
            </w:pPr>
            <w:r w:rsidRPr="00082992">
              <w:rPr>
                <w:sz w:val="16"/>
                <w:szCs w:val="16"/>
              </w:rPr>
              <w:t>33.4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C6C68F4" w14:textId="77777777" w:rsidR="001A73E9" w:rsidRPr="00082992" w:rsidRDefault="001A73E9" w:rsidP="005928D4">
            <w:pPr>
              <w:pStyle w:val="ExhibitText"/>
              <w:jc w:val="right"/>
              <w:rPr>
                <w:sz w:val="16"/>
                <w:szCs w:val="16"/>
              </w:rPr>
            </w:pPr>
            <w:r w:rsidRPr="00082992">
              <w:rPr>
                <w:sz w:val="16"/>
                <w:szCs w:val="16"/>
              </w:rPr>
              <w:t>33.6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603478A" w14:textId="77777777" w:rsidR="001A73E9" w:rsidRPr="00082992" w:rsidRDefault="001A73E9" w:rsidP="005928D4">
            <w:pPr>
              <w:pStyle w:val="ExhibitText"/>
              <w:jc w:val="right"/>
              <w:rPr>
                <w:sz w:val="16"/>
                <w:szCs w:val="16"/>
              </w:rPr>
            </w:pPr>
            <w:r w:rsidRPr="00082992">
              <w:rPr>
                <w:sz w:val="16"/>
                <w:szCs w:val="16"/>
              </w:rPr>
              <w:t>32.8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6DC2605" w14:textId="77777777" w:rsidR="001A73E9" w:rsidRPr="00082992" w:rsidRDefault="001A73E9" w:rsidP="005928D4">
            <w:pPr>
              <w:pStyle w:val="ExhibitText"/>
              <w:jc w:val="right"/>
              <w:rPr>
                <w:sz w:val="16"/>
                <w:szCs w:val="16"/>
              </w:rPr>
            </w:pPr>
            <w:r w:rsidRPr="00082992">
              <w:rPr>
                <w:sz w:val="16"/>
                <w:szCs w:val="16"/>
              </w:rPr>
              <w:t>34.1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6AB39BA" w14:textId="2A8C2832" w:rsidR="001A73E9" w:rsidRPr="00082992" w:rsidRDefault="001A73E9" w:rsidP="005928D4">
            <w:pPr>
              <w:pStyle w:val="ExhibitText"/>
              <w:jc w:val="right"/>
              <w:rPr>
                <w:sz w:val="16"/>
                <w:szCs w:val="16"/>
              </w:rPr>
            </w:pPr>
            <w:r w:rsidRPr="00082992">
              <w:rPr>
                <w:sz w:val="16"/>
                <w:szCs w:val="16"/>
              </w:rPr>
              <w:t>36</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1D258FB" w14:textId="77777777" w:rsidR="001A73E9" w:rsidRPr="00082992" w:rsidRDefault="001A73E9" w:rsidP="005928D4">
            <w:pPr>
              <w:pStyle w:val="ExhibitText"/>
              <w:jc w:val="right"/>
              <w:rPr>
                <w:sz w:val="16"/>
                <w:szCs w:val="16"/>
              </w:rPr>
            </w:pPr>
            <w:r w:rsidRPr="00082992">
              <w:rPr>
                <w:sz w:val="16"/>
                <w:szCs w:val="16"/>
              </w:rPr>
              <w:t>38.4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DAC68CE" w14:textId="77777777" w:rsidR="001A73E9" w:rsidRPr="00082992" w:rsidRDefault="001A73E9" w:rsidP="005928D4">
            <w:pPr>
              <w:pStyle w:val="ExhibitText"/>
              <w:jc w:val="right"/>
              <w:rPr>
                <w:sz w:val="16"/>
                <w:szCs w:val="16"/>
              </w:rPr>
            </w:pPr>
            <w:r w:rsidRPr="00082992">
              <w:rPr>
                <w:sz w:val="16"/>
                <w:szCs w:val="16"/>
              </w:rPr>
              <w:t>38.2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A3D7597" w14:textId="77777777" w:rsidR="001A73E9" w:rsidRPr="00082992" w:rsidRDefault="001A73E9" w:rsidP="005928D4">
            <w:pPr>
              <w:pStyle w:val="ExhibitText"/>
              <w:jc w:val="right"/>
              <w:rPr>
                <w:sz w:val="16"/>
                <w:szCs w:val="16"/>
              </w:rPr>
            </w:pPr>
            <w:r w:rsidRPr="00082992">
              <w:rPr>
                <w:sz w:val="16"/>
                <w:szCs w:val="16"/>
              </w:rPr>
              <w:t>38.9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2D4D1A9" w14:textId="77777777" w:rsidR="001A73E9" w:rsidRPr="00082992" w:rsidRDefault="001A73E9" w:rsidP="005928D4">
            <w:pPr>
              <w:pStyle w:val="ExhibitText"/>
              <w:jc w:val="right"/>
              <w:rPr>
                <w:sz w:val="16"/>
                <w:szCs w:val="16"/>
              </w:rPr>
            </w:pPr>
            <w:r w:rsidRPr="00082992">
              <w:rPr>
                <w:sz w:val="16"/>
                <w:szCs w:val="16"/>
              </w:rPr>
              <w:t>39.8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97C15E2" w14:textId="77777777" w:rsidR="001A73E9" w:rsidRPr="00082992" w:rsidRDefault="001A73E9" w:rsidP="005928D4">
            <w:pPr>
              <w:pStyle w:val="ExhibitText"/>
              <w:jc w:val="right"/>
              <w:rPr>
                <w:sz w:val="16"/>
                <w:szCs w:val="16"/>
              </w:rPr>
            </w:pPr>
            <w:r w:rsidRPr="00082992">
              <w:rPr>
                <w:sz w:val="16"/>
                <w:szCs w:val="16"/>
              </w:rPr>
              <w:t>41.6</w:t>
            </w:r>
          </w:p>
        </w:tc>
      </w:tr>
      <w:tr w:rsidR="00082992" w:rsidRPr="00082992" w14:paraId="473C84DB" w14:textId="77777777" w:rsidTr="001D04CD">
        <w:trPr>
          <w:trHeight w:val="288"/>
          <w:jc w:val="center"/>
        </w:trPr>
        <w:tc>
          <w:tcPr>
            <w:tcW w:w="2245" w:type="dxa"/>
            <w:vMerge w:val="restart"/>
            <w:tcBorders>
              <w:top w:val="single" w:sz="4" w:space="0" w:color="auto"/>
              <w:left w:val="single" w:sz="4" w:space="0" w:color="auto"/>
              <w:bottom w:val="single" w:sz="4" w:space="0" w:color="auto"/>
              <w:right w:val="single" w:sz="4" w:space="0" w:color="auto"/>
            </w:tcBorders>
            <w:vAlign w:val="center"/>
            <w:hideMark/>
          </w:tcPr>
          <w:p w14:paraId="6DE5CD23" w14:textId="11D75426" w:rsidR="005928D4" w:rsidRPr="00082992" w:rsidRDefault="005928D4" w:rsidP="005928D4">
            <w:pPr>
              <w:pStyle w:val="ExhibitText"/>
              <w:jc w:val="left"/>
              <w:rPr>
                <w:sz w:val="16"/>
                <w:szCs w:val="16"/>
              </w:rPr>
            </w:pPr>
            <w:r w:rsidRPr="00082992">
              <w:rPr>
                <w:sz w:val="16"/>
                <w:szCs w:val="16"/>
              </w:rPr>
              <w:t>General Government Expenditure</w:t>
            </w:r>
          </w:p>
          <w:p w14:paraId="1A737454" w14:textId="69B3844F" w:rsidR="001A73E9" w:rsidRPr="00082992" w:rsidRDefault="005928D4">
            <w:pPr>
              <w:pStyle w:val="ExhibitText"/>
              <w:jc w:val="left"/>
              <w:rPr>
                <w:sz w:val="16"/>
                <w:szCs w:val="16"/>
              </w:rPr>
            </w:pPr>
            <w:r w:rsidRPr="00082992">
              <w:rPr>
                <w:sz w:val="16"/>
                <w:szCs w:val="16"/>
              </w:rPr>
              <w:t>(Per</w:t>
            </w:r>
            <w:r w:rsidR="0002614C" w:rsidRPr="00082992">
              <w:rPr>
                <w:sz w:val="16"/>
                <w:szCs w:val="16"/>
              </w:rPr>
              <w:t>c</w:t>
            </w:r>
            <w:r w:rsidRPr="00082992">
              <w:rPr>
                <w:sz w:val="16"/>
                <w:szCs w:val="16"/>
              </w:rPr>
              <w:t>ent</w:t>
            </w:r>
            <w:r w:rsidR="0002614C" w:rsidRPr="00082992">
              <w:rPr>
                <w:sz w:val="16"/>
                <w:szCs w:val="16"/>
              </w:rPr>
              <w:t>age</w:t>
            </w:r>
            <w:r w:rsidRPr="00082992">
              <w:rPr>
                <w:sz w:val="16"/>
                <w:szCs w:val="16"/>
              </w:rPr>
              <w:t xml:space="preserve"> </w:t>
            </w:r>
            <w:r w:rsidR="0002614C" w:rsidRPr="00082992">
              <w:rPr>
                <w:sz w:val="16"/>
                <w:szCs w:val="16"/>
              </w:rPr>
              <w:t xml:space="preserve">of </w:t>
            </w:r>
            <w:r w:rsidR="001A73E9" w:rsidRPr="00082992">
              <w:rPr>
                <w:sz w:val="16"/>
                <w:szCs w:val="16"/>
              </w:rPr>
              <w:t>GDP</w:t>
            </w:r>
            <w:r w:rsidRPr="00082992">
              <w:rPr>
                <w:sz w:val="16"/>
                <w:szCs w:val="16"/>
              </w:rPr>
              <w:t>)</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5A427303" w14:textId="19DFC305" w:rsidR="001A73E9" w:rsidRPr="00082992" w:rsidRDefault="005928D4" w:rsidP="005928D4">
            <w:pPr>
              <w:pStyle w:val="ExhibitText"/>
              <w:jc w:val="left"/>
              <w:rPr>
                <w:sz w:val="16"/>
                <w:szCs w:val="16"/>
              </w:rPr>
            </w:pPr>
            <w:r w:rsidRPr="00082992">
              <w:rPr>
                <w:sz w:val="16"/>
                <w:szCs w:val="16"/>
              </w:rPr>
              <w:t>Current Expenditure</w:t>
            </w:r>
          </w:p>
        </w:tc>
        <w:tc>
          <w:tcPr>
            <w:tcW w:w="1890" w:type="dxa"/>
            <w:vMerge w:val="restart"/>
            <w:tcBorders>
              <w:top w:val="single" w:sz="4" w:space="0" w:color="auto"/>
              <w:left w:val="single" w:sz="4" w:space="0" w:color="auto"/>
              <w:bottom w:val="single" w:sz="4" w:space="0" w:color="auto"/>
              <w:right w:val="single" w:sz="4" w:space="0" w:color="auto"/>
            </w:tcBorders>
            <w:noWrap/>
            <w:vAlign w:val="center"/>
            <w:hideMark/>
          </w:tcPr>
          <w:p w14:paraId="42431248" w14:textId="6E3E1638" w:rsidR="001A73E9" w:rsidRPr="00082992" w:rsidRDefault="005928D4" w:rsidP="005928D4">
            <w:pPr>
              <w:pStyle w:val="ExhibitText"/>
              <w:jc w:val="left"/>
              <w:rPr>
                <w:sz w:val="16"/>
                <w:szCs w:val="16"/>
              </w:rPr>
            </w:pPr>
            <w:r w:rsidRPr="00082992">
              <w:rPr>
                <w:sz w:val="16"/>
                <w:szCs w:val="16"/>
              </w:rPr>
              <w:t>Social Payments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22125FB" w14:textId="6A3E6EC0" w:rsidR="001A73E9" w:rsidRPr="00082992" w:rsidRDefault="005928D4" w:rsidP="005928D4">
            <w:pPr>
              <w:pStyle w:val="ExhibitText"/>
              <w:jc w:val="left"/>
              <w:rPr>
                <w:sz w:val="16"/>
                <w:szCs w:val="16"/>
              </w:rPr>
            </w:pPr>
            <w:r w:rsidRPr="00082992">
              <w:rPr>
                <w:sz w:val="16"/>
                <w:szCs w:val="16"/>
              </w:rPr>
              <w:t>Old Age Pensions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CBACF25" w14:textId="77777777" w:rsidR="001A73E9" w:rsidRPr="00082992" w:rsidRDefault="001A73E9" w:rsidP="005928D4">
            <w:pPr>
              <w:pStyle w:val="ExhibitText"/>
              <w:jc w:val="right"/>
              <w:rPr>
                <w:sz w:val="16"/>
                <w:szCs w:val="16"/>
              </w:rPr>
            </w:pPr>
            <w:r w:rsidRPr="00082992">
              <w:rPr>
                <w:sz w:val="16"/>
                <w:szCs w:val="16"/>
              </w:rPr>
              <w:t>12.2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5A9AAC9" w14:textId="77777777" w:rsidR="001A73E9" w:rsidRPr="00082992" w:rsidRDefault="001A73E9" w:rsidP="005928D4">
            <w:pPr>
              <w:pStyle w:val="ExhibitText"/>
              <w:jc w:val="right"/>
              <w:rPr>
                <w:sz w:val="16"/>
                <w:szCs w:val="16"/>
              </w:rPr>
            </w:pPr>
            <w:r w:rsidRPr="00082992">
              <w:rPr>
                <w:sz w:val="16"/>
                <w:szCs w:val="16"/>
              </w:rPr>
              <w:t>13.6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909D408" w14:textId="77777777" w:rsidR="001A73E9" w:rsidRPr="00082992" w:rsidRDefault="001A73E9" w:rsidP="005928D4">
            <w:pPr>
              <w:pStyle w:val="ExhibitText"/>
              <w:jc w:val="right"/>
              <w:rPr>
                <w:sz w:val="16"/>
                <w:szCs w:val="16"/>
              </w:rPr>
            </w:pPr>
            <w:r w:rsidRPr="00082992">
              <w:rPr>
                <w:sz w:val="16"/>
                <w:szCs w:val="16"/>
              </w:rPr>
              <w:t>14.5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9183024" w14:textId="3C5514FF" w:rsidR="001A73E9" w:rsidRPr="00082992" w:rsidRDefault="001A73E9" w:rsidP="005928D4">
            <w:pPr>
              <w:pStyle w:val="ExhibitText"/>
              <w:jc w:val="right"/>
              <w:rPr>
                <w:sz w:val="16"/>
                <w:szCs w:val="16"/>
              </w:rPr>
            </w:pPr>
            <w:r w:rsidRPr="00082992">
              <w:rPr>
                <w:sz w:val="16"/>
                <w:szCs w:val="16"/>
              </w:rPr>
              <w:t>15</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FFBAADE" w14:textId="77777777" w:rsidR="001A73E9" w:rsidRPr="00082992" w:rsidRDefault="001A73E9" w:rsidP="005928D4">
            <w:pPr>
              <w:pStyle w:val="ExhibitText"/>
              <w:jc w:val="right"/>
              <w:rPr>
                <w:sz w:val="16"/>
                <w:szCs w:val="16"/>
              </w:rPr>
            </w:pPr>
            <w:r w:rsidRPr="00082992">
              <w:rPr>
                <w:sz w:val="16"/>
                <w:szCs w:val="16"/>
              </w:rPr>
              <w:t>16.4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4D70607" w14:textId="77777777" w:rsidR="001A73E9" w:rsidRPr="00082992" w:rsidRDefault="001A73E9" w:rsidP="005928D4">
            <w:pPr>
              <w:pStyle w:val="ExhibitText"/>
              <w:jc w:val="right"/>
              <w:rPr>
                <w:sz w:val="16"/>
                <w:szCs w:val="16"/>
              </w:rPr>
            </w:pPr>
            <w:r w:rsidRPr="00082992">
              <w:rPr>
                <w:sz w:val="16"/>
                <w:szCs w:val="16"/>
              </w:rPr>
              <w:t>17.5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80F0C4A" w14:textId="77777777" w:rsidR="001A73E9" w:rsidRPr="00082992" w:rsidRDefault="001A73E9" w:rsidP="005928D4">
            <w:pPr>
              <w:pStyle w:val="ExhibitText"/>
              <w:jc w:val="right"/>
              <w:rPr>
                <w:sz w:val="16"/>
                <w:szCs w:val="16"/>
              </w:rPr>
            </w:pPr>
            <w:r w:rsidRPr="00082992">
              <w:rPr>
                <w:sz w:val="16"/>
                <w:szCs w:val="16"/>
              </w:rPr>
              <w:t>16.2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457533E" w14:textId="77777777" w:rsidR="001A73E9" w:rsidRPr="00082992" w:rsidRDefault="001A73E9" w:rsidP="005928D4">
            <w:pPr>
              <w:pStyle w:val="ExhibitText"/>
              <w:jc w:val="right"/>
              <w:rPr>
                <w:sz w:val="16"/>
                <w:szCs w:val="16"/>
              </w:rPr>
            </w:pPr>
            <w:r w:rsidRPr="00082992">
              <w:rPr>
                <w:sz w:val="16"/>
                <w:szCs w:val="16"/>
              </w:rPr>
              <w:t>16.9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5213BA1" w14:textId="77777777" w:rsidR="001A73E9" w:rsidRPr="00082992" w:rsidRDefault="001A73E9" w:rsidP="005928D4">
            <w:pPr>
              <w:pStyle w:val="ExhibitText"/>
              <w:jc w:val="right"/>
              <w:rPr>
                <w:sz w:val="16"/>
                <w:szCs w:val="16"/>
              </w:rPr>
            </w:pPr>
            <w:r w:rsidRPr="00082992">
              <w:rPr>
                <w:sz w:val="16"/>
                <w:szCs w:val="16"/>
              </w:rPr>
              <w:t>17.4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6F95B9E" w14:textId="65245532" w:rsidR="001A73E9" w:rsidRPr="00082992" w:rsidRDefault="00187DCD" w:rsidP="005928D4">
            <w:pPr>
              <w:pStyle w:val="ExhibitText"/>
              <w:jc w:val="right"/>
              <w:rPr>
                <w:sz w:val="16"/>
                <w:szCs w:val="16"/>
              </w:rPr>
            </w:pPr>
            <w:r w:rsidRPr="00082992">
              <w:rPr>
                <w:sz w:val="16"/>
                <w:szCs w:val="16"/>
              </w:rPr>
              <w:t xml:space="preserve"> </w:t>
            </w:r>
          </w:p>
        </w:tc>
      </w:tr>
      <w:tr w:rsidR="00082992" w:rsidRPr="00082992" w14:paraId="18C232A6"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77C191D5"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8049522"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2DA23D3"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459D33C3" w14:textId="77777777" w:rsidR="001A73E9" w:rsidRPr="00082992" w:rsidRDefault="001A73E9" w:rsidP="005928D4">
            <w:pPr>
              <w:pStyle w:val="ExhibitText"/>
              <w:jc w:val="left"/>
              <w:rPr>
                <w:sz w:val="16"/>
                <w:szCs w:val="16"/>
              </w:rPr>
            </w:pPr>
            <w:r w:rsidRPr="00082992">
              <w:rPr>
                <w:sz w:val="16"/>
                <w:szCs w:val="16"/>
              </w:rPr>
              <w:t>Unemployment Benefits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AD79F13" w14:textId="77777777" w:rsidR="001A73E9" w:rsidRPr="00082992" w:rsidRDefault="001A73E9" w:rsidP="005928D4">
            <w:pPr>
              <w:pStyle w:val="ExhibitText"/>
              <w:jc w:val="right"/>
              <w:rPr>
                <w:sz w:val="16"/>
                <w:szCs w:val="16"/>
              </w:rPr>
            </w:pPr>
            <w:r w:rsidRPr="00082992">
              <w:rPr>
                <w:sz w:val="16"/>
                <w:szCs w:val="16"/>
              </w:rPr>
              <w:t>0.8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CFE7091" w14:textId="77777777" w:rsidR="001A73E9" w:rsidRPr="00082992" w:rsidRDefault="001A73E9" w:rsidP="005928D4">
            <w:pPr>
              <w:pStyle w:val="ExhibitText"/>
              <w:jc w:val="right"/>
              <w:rPr>
                <w:sz w:val="16"/>
                <w:szCs w:val="16"/>
              </w:rPr>
            </w:pPr>
            <w:r w:rsidRPr="00082992">
              <w:rPr>
                <w:sz w:val="16"/>
                <w:szCs w:val="16"/>
              </w:rPr>
              <w:t>0.7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831749E" w14:textId="339E9C2A" w:rsidR="001A73E9" w:rsidRPr="00082992" w:rsidRDefault="001A73E9" w:rsidP="005928D4">
            <w:pPr>
              <w:pStyle w:val="ExhibitText"/>
              <w:jc w:val="right"/>
              <w:rPr>
                <w:sz w:val="16"/>
                <w:szCs w:val="16"/>
              </w:rPr>
            </w:pPr>
            <w:r w:rsidRPr="00082992">
              <w:rPr>
                <w:sz w:val="16"/>
                <w:szCs w:val="16"/>
              </w:rPr>
              <w:t>1</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C53BAAD" w14:textId="37EA8DF7" w:rsidR="001A73E9" w:rsidRPr="00082992" w:rsidRDefault="001A73E9" w:rsidP="005928D4">
            <w:pPr>
              <w:pStyle w:val="ExhibitText"/>
              <w:jc w:val="right"/>
              <w:rPr>
                <w:sz w:val="16"/>
                <w:szCs w:val="16"/>
              </w:rPr>
            </w:pPr>
            <w:r w:rsidRPr="00082992">
              <w:rPr>
                <w:sz w:val="16"/>
                <w:szCs w:val="16"/>
              </w:rPr>
              <w:t>1</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32D3A31" w14:textId="77777777" w:rsidR="001A73E9" w:rsidRPr="00082992" w:rsidRDefault="001A73E9" w:rsidP="005928D4">
            <w:pPr>
              <w:pStyle w:val="ExhibitText"/>
              <w:jc w:val="right"/>
              <w:rPr>
                <w:sz w:val="16"/>
                <w:szCs w:val="16"/>
              </w:rPr>
            </w:pPr>
            <w:r w:rsidRPr="00082992">
              <w:rPr>
                <w:sz w:val="16"/>
                <w:szCs w:val="16"/>
              </w:rPr>
              <w:t>1.1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91E3E3F" w14:textId="77777777" w:rsidR="001A73E9" w:rsidRPr="00082992" w:rsidRDefault="001A73E9" w:rsidP="005928D4">
            <w:pPr>
              <w:pStyle w:val="ExhibitText"/>
              <w:jc w:val="right"/>
              <w:rPr>
                <w:sz w:val="16"/>
                <w:szCs w:val="16"/>
              </w:rPr>
            </w:pPr>
            <w:r w:rsidRPr="00082992">
              <w:rPr>
                <w:sz w:val="16"/>
                <w:szCs w:val="16"/>
              </w:rPr>
              <w:t>0.7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846C590" w14:textId="77777777" w:rsidR="001A73E9" w:rsidRPr="00082992" w:rsidRDefault="001A73E9" w:rsidP="005928D4">
            <w:pPr>
              <w:pStyle w:val="ExhibitText"/>
              <w:jc w:val="right"/>
              <w:rPr>
                <w:sz w:val="16"/>
                <w:szCs w:val="16"/>
              </w:rPr>
            </w:pPr>
            <w:r w:rsidRPr="00082992">
              <w:rPr>
                <w:sz w:val="16"/>
                <w:szCs w:val="16"/>
              </w:rPr>
              <w:t>0.7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E15F484" w14:textId="77777777" w:rsidR="001A73E9" w:rsidRPr="00082992" w:rsidRDefault="001A73E9" w:rsidP="005928D4">
            <w:pPr>
              <w:pStyle w:val="ExhibitText"/>
              <w:jc w:val="right"/>
              <w:rPr>
                <w:sz w:val="16"/>
                <w:szCs w:val="16"/>
              </w:rPr>
            </w:pPr>
            <w:r w:rsidRPr="00082992">
              <w:rPr>
                <w:sz w:val="16"/>
                <w:szCs w:val="16"/>
              </w:rPr>
              <w:t>0.4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B521F33" w14:textId="77777777" w:rsidR="001A73E9" w:rsidRPr="00082992" w:rsidRDefault="001A73E9" w:rsidP="005928D4">
            <w:pPr>
              <w:pStyle w:val="ExhibitText"/>
              <w:jc w:val="right"/>
              <w:rPr>
                <w:sz w:val="16"/>
                <w:szCs w:val="16"/>
              </w:rPr>
            </w:pPr>
            <w:r w:rsidRPr="00082992">
              <w:rPr>
                <w:sz w:val="16"/>
                <w:szCs w:val="16"/>
              </w:rPr>
              <w:t>0.5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883F106" w14:textId="20E7C916" w:rsidR="001A73E9" w:rsidRPr="00082992" w:rsidRDefault="00187DCD" w:rsidP="005928D4">
            <w:pPr>
              <w:pStyle w:val="ExhibitText"/>
              <w:jc w:val="right"/>
              <w:rPr>
                <w:sz w:val="16"/>
                <w:szCs w:val="16"/>
              </w:rPr>
            </w:pPr>
            <w:r w:rsidRPr="00082992">
              <w:rPr>
                <w:sz w:val="16"/>
                <w:szCs w:val="16"/>
              </w:rPr>
              <w:t xml:space="preserve"> </w:t>
            </w:r>
          </w:p>
        </w:tc>
      </w:tr>
      <w:tr w:rsidR="00082992" w:rsidRPr="00082992" w14:paraId="34BCF9CE"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D1DB802"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8291D4A" w14:textId="77777777" w:rsidR="001A73E9" w:rsidRPr="00082992" w:rsidRDefault="001A73E9" w:rsidP="005928D4">
            <w:pPr>
              <w:pStyle w:val="ExhibitText"/>
              <w:jc w:val="left"/>
              <w:rPr>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C555D66" w14:textId="77777777" w:rsidR="001A73E9" w:rsidRPr="00082992" w:rsidRDefault="001A73E9" w:rsidP="005928D4">
            <w:pPr>
              <w:pStyle w:val="ExhibitText"/>
              <w:jc w:val="left"/>
              <w:rPr>
                <w:sz w:val="16"/>
                <w:szCs w:val="1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01ECF0C5" w14:textId="77777777" w:rsidR="001A73E9" w:rsidRPr="00082992" w:rsidRDefault="001A73E9" w:rsidP="005928D4">
            <w:pPr>
              <w:pStyle w:val="ExhibitText"/>
              <w:jc w:val="left"/>
              <w:rPr>
                <w:sz w:val="16"/>
                <w:szCs w:val="16"/>
              </w:rPr>
            </w:pPr>
            <w:r w:rsidRPr="00082992">
              <w:rPr>
                <w:sz w:val="16"/>
                <w:szCs w:val="16"/>
              </w:rPr>
              <w:t>Total Social Payments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9DD5974" w14:textId="77777777" w:rsidR="001A73E9" w:rsidRPr="00082992" w:rsidRDefault="001A73E9" w:rsidP="005928D4">
            <w:pPr>
              <w:pStyle w:val="ExhibitText"/>
              <w:jc w:val="right"/>
              <w:rPr>
                <w:sz w:val="16"/>
                <w:szCs w:val="16"/>
              </w:rPr>
            </w:pPr>
            <w:r w:rsidRPr="00082992">
              <w:rPr>
                <w:sz w:val="16"/>
                <w:szCs w:val="16"/>
              </w:rPr>
              <w:t>17.2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BBDB792" w14:textId="77777777" w:rsidR="001A73E9" w:rsidRPr="00082992" w:rsidRDefault="001A73E9" w:rsidP="005928D4">
            <w:pPr>
              <w:pStyle w:val="ExhibitText"/>
              <w:jc w:val="right"/>
              <w:rPr>
                <w:sz w:val="16"/>
                <w:szCs w:val="16"/>
              </w:rPr>
            </w:pPr>
            <w:r w:rsidRPr="00082992">
              <w:rPr>
                <w:sz w:val="16"/>
                <w:szCs w:val="16"/>
              </w:rPr>
              <w:t>18.9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8383354" w14:textId="77777777" w:rsidR="001A73E9" w:rsidRPr="00082992" w:rsidRDefault="001A73E9" w:rsidP="005928D4">
            <w:pPr>
              <w:pStyle w:val="ExhibitText"/>
              <w:jc w:val="right"/>
              <w:rPr>
                <w:sz w:val="16"/>
                <w:szCs w:val="16"/>
              </w:rPr>
            </w:pPr>
            <w:r w:rsidRPr="00082992">
              <w:rPr>
                <w:sz w:val="16"/>
                <w:szCs w:val="16"/>
              </w:rPr>
              <w:t>20.6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F160ECF" w14:textId="77777777" w:rsidR="001A73E9" w:rsidRPr="00082992" w:rsidRDefault="001A73E9" w:rsidP="005928D4">
            <w:pPr>
              <w:pStyle w:val="ExhibitText"/>
              <w:jc w:val="right"/>
              <w:rPr>
                <w:sz w:val="16"/>
                <w:szCs w:val="16"/>
              </w:rPr>
            </w:pPr>
            <w:r w:rsidRPr="00082992">
              <w:rPr>
                <w:sz w:val="16"/>
                <w:szCs w:val="16"/>
              </w:rPr>
              <w:t>20.9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C42E741" w14:textId="77777777" w:rsidR="001A73E9" w:rsidRPr="00082992" w:rsidRDefault="001A73E9" w:rsidP="005928D4">
            <w:pPr>
              <w:pStyle w:val="ExhibitText"/>
              <w:jc w:val="right"/>
              <w:rPr>
                <w:sz w:val="16"/>
                <w:szCs w:val="16"/>
              </w:rPr>
            </w:pPr>
            <w:r w:rsidRPr="00082992">
              <w:rPr>
                <w:sz w:val="16"/>
                <w:szCs w:val="16"/>
              </w:rPr>
              <w:t>22.9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DAE6A1A" w14:textId="77777777" w:rsidR="001A73E9" w:rsidRPr="00082992" w:rsidRDefault="001A73E9" w:rsidP="005928D4">
            <w:pPr>
              <w:pStyle w:val="ExhibitText"/>
              <w:jc w:val="right"/>
              <w:rPr>
                <w:sz w:val="16"/>
                <w:szCs w:val="16"/>
              </w:rPr>
            </w:pPr>
            <w:r w:rsidRPr="00082992">
              <w:rPr>
                <w:sz w:val="16"/>
                <w:szCs w:val="16"/>
              </w:rPr>
              <w:t>23.2</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72937D8" w14:textId="77777777" w:rsidR="001A73E9" w:rsidRPr="00082992" w:rsidRDefault="001A73E9" w:rsidP="005928D4">
            <w:pPr>
              <w:pStyle w:val="ExhibitText"/>
              <w:jc w:val="right"/>
              <w:rPr>
                <w:sz w:val="16"/>
                <w:szCs w:val="16"/>
              </w:rPr>
            </w:pPr>
            <w:r w:rsidRPr="00082992">
              <w:rPr>
                <w:sz w:val="16"/>
                <w:szCs w:val="16"/>
              </w:rPr>
              <w:t>21.4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3502F7D" w14:textId="77777777" w:rsidR="001A73E9" w:rsidRPr="00082992" w:rsidRDefault="001A73E9" w:rsidP="005928D4">
            <w:pPr>
              <w:pStyle w:val="ExhibitText"/>
              <w:jc w:val="right"/>
              <w:rPr>
                <w:sz w:val="16"/>
                <w:szCs w:val="16"/>
              </w:rPr>
            </w:pPr>
            <w:r w:rsidRPr="00082992">
              <w:rPr>
                <w:sz w:val="16"/>
                <w:szCs w:val="16"/>
              </w:rPr>
              <w:t>21.8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63A95F8" w14:textId="77777777" w:rsidR="001A73E9" w:rsidRPr="00082992" w:rsidRDefault="001A73E9" w:rsidP="005928D4">
            <w:pPr>
              <w:pStyle w:val="ExhibitText"/>
              <w:jc w:val="right"/>
              <w:rPr>
                <w:sz w:val="16"/>
                <w:szCs w:val="16"/>
              </w:rPr>
            </w:pPr>
            <w:r w:rsidRPr="00082992">
              <w:rPr>
                <w:sz w:val="16"/>
                <w:szCs w:val="16"/>
              </w:rPr>
              <w:t>22.2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098107B" w14:textId="77777777" w:rsidR="001A73E9" w:rsidRPr="00082992" w:rsidRDefault="001A73E9" w:rsidP="005928D4">
            <w:pPr>
              <w:pStyle w:val="ExhibitText"/>
              <w:jc w:val="right"/>
              <w:rPr>
                <w:sz w:val="16"/>
                <w:szCs w:val="16"/>
              </w:rPr>
            </w:pPr>
            <w:r w:rsidRPr="00082992">
              <w:rPr>
                <w:sz w:val="16"/>
                <w:szCs w:val="16"/>
              </w:rPr>
              <w:t>22.3</w:t>
            </w:r>
          </w:p>
        </w:tc>
      </w:tr>
      <w:tr w:rsidR="00082992" w:rsidRPr="00082992" w14:paraId="6BDC14E7"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50C81360"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69C24EA"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4F40F315" w14:textId="26E7B600" w:rsidR="001A73E9" w:rsidRPr="00082992" w:rsidRDefault="0002614C" w:rsidP="005928D4">
            <w:pPr>
              <w:pStyle w:val="ExhibitText"/>
              <w:jc w:val="left"/>
              <w:rPr>
                <w:sz w:val="16"/>
                <w:szCs w:val="16"/>
              </w:rPr>
            </w:pPr>
            <w:r w:rsidRPr="00082992">
              <w:rPr>
                <w:sz w:val="16"/>
                <w:szCs w:val="16"/>
              </w:rPr>
              <w:t>Interest</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9BA50D0" w14:textId="77777777" w:rsidR="001A73E9" w:rsidRPr="00082992" w:rsidRDefault="001A73E9" w:rsidP="005928D4">
            <w:pPr>
              <w:pStyle w:val="ExhibitText"/>
              <w:jc w:val="right"/>
              <w:rPr>
                <w:sz w:val="16"/>
                <w:szCs w:val="16"/>
              </w:rPr>
            </w:pPr>
            <w:r w:rsidRPr="00082992">
              <w:rPr>
                <w:sz w:val="16"/>
                <w:szCs w:val="16"/>
              </w:rPr>
              <w:t>4.5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BBAE96B" w14:textId="77777777" w:rsidR="001A73E9" w:rsidRPr="00082992" w:rsidRDefault="001A73E9" w:rsidP="005928D4">
            <w:pPr>
              <w:pStyle w:val="ExhibitText"/>
              <w:jc w:val="right"/>
              <w:rPr>
                <w:sz w:val="16"/>
                <w:szCs w:val="16"/>
              </w:rPr>
            </w:pPr>
            <w:r w:rsidRPr="00082992">
              <w:rPr>
                <w:sz w:val="16"/>
                <w:szCs w:val="16"/>
              </w:rPr>
              <w:t>4.8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C998E01" w14:textId="66D9C3C2" w:rsidR="001A73E9" w:rsidRPr="00082992" w:rsidRDefault="001A73E9" w:rsidP="005928D4">
            <w:pPr>
              <w:pStyle w:val="ExhibitText"/>
              <w:jc w:val="right"/>
              <w:rPr>
                <w:sz w:val="16"/>
                <w:szCs w:val="16"/>
              </w:rPr>
            </w:pPr>
            <w:r w:rsidRPr="00082992">
              <w:rPr>
                <w:sz w:val="16"/>
                <w:szCs w:val="16"/>
              </w:rPr>
              <w:t>5</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9E997EE" w14:textId="77777777" w:rsidR="001A73E9" w:rsidRPr="00082992" w:rsidRDefault="001A73E9" w:rsidP="005928D4">
            <w:pPr>
              <w:pStyle w:val="ExhibitText"/>
              <w:jc w:val="right"/>
              <w:rPr>
                <w:sz w:val="16"/>
                <w:szCs w:val="16"/>
              </w:rPr>
            </w:pPr>
            <w:r w:rsidRPr="00082992">
              <w:rPr>
                <w:sz w:val="16"/>
                <w:szCs w:val="16"/>
              </w:rPr>
              <w:t>5.9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1763796" w14:textId="77777777" w:rsidR="001A73E9" w:rsidRPr="00082992" w:rsidRDefault="001A73E9" w:rsidP="005928D4">
            <w:pPr>
              <w:pStyle w:val="ExhibitText"/>
              <w:jc w:val="right"/>
              <w:rPr>
                <w:sz w:val="16"/>
                <w:szCs w:val="16"/>
              </w:rPr>
            </w:pPr>
            <w:r w:rsidRPr="00082992">
              <w:rPr>
                <w:sz w:val="16"/>
                <w:szCs w:val="16"/>
              </w:rPr>
              <w:t>7.3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F3F6331" w14:textId="77777777" w:rsidR="001A73E9" w:rsidRPr="00082992" w:rsidRDefault="001A73E9" w:rsidP="005928D4">
            <w:pPr>
              <w:pStyle w:val="ExhibitText"/>
              <w:jc w:val="right"/>
              <w:rPr>
                <w:sz w:val="16"/>
                <w:szCs w:val="16"/>
              </w:rPr>
            </w:pPr>
            <w:r w:rsidRPr="00082992">
              <w:rPr>
                <w:sz w:val="16"/>
                <w:szCs w:val="16"/>
              </w:rPr>
              <w:t>5.1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DCCFF48" w14:textId="6D6FD597" w:rsidR="001A73E9" w:rsidRPr="00082992" w:rsidRDefault="001A73E9" w:rsidP="005928D4">
            <w:pPr>
              <w:pStyle w:val="ExhibitText"/>
              <w:jc w:val="right"/>
              <w:rPr>
                <w:sz w:val="16"/>
                <w:szCs w:val="16"/>
              </w:rPr>
            </w:pPr>
            <w:r w:rsidRPr="00082992">
              <w:rPr>
                <w:sz w:val="16"/>
                <w:szCs w:val="16"/>
              </w:rPr>
              <w:t>4</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C6A34A4" w14:textId="23F9849E" w:rsidR="001A73E9" w:rsidRPr="00082992" w:rsidRDefault="001A73E9" w:rsidP="005928D4">
            <w:pPr>
              <w:pStyle w:val="ExhibitText"/>
              <w:jc w:val="right"/>
              <w:rPr>
                <w:sz w:val="16"/>
                <w:szCs w:val="16"/>
              </w:rPr>
            </w:pPr>
            <w:r w:rsidRPr="00082992">
              <w:rPr>
                <w:sz w:val="16"/>
                <w:szCs w:val="16"/>
              </w:rPr>
              <w:t>4</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17235FE" w14:textId="77777777" w:rsidR="001A73E9" w:rsidRPr="00082992" w:rsidRDefault="001A73E9" w:rsidP="005928D4">
            <w:pPr>
              <w:pStyle w:val="ExhibitText"/>
              <w:jc w:val="right"/>
              <w:rPr>
                <w:sz w:val="16"/>
                <w:szCs w:val="16"/>
              </w:rPr>
            </w:pPr>
            <w:r w:rsidRPr="00082992">
              <w:rPr>
                <w:sz w:val="16"/>
                <w:szCs w:val="16"/>
              </w:rPr>
              <w:t>3.6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58E36E0" w14:textId="77777777" w:rsidR="001A73E9" w:rsidRPr="00082992" w:rsidRDefault="001A73E9" w:rsidP="005928D4">
            <w:pPr>
              <w:pStyle w:val="ExhibitText"/>
              <w:jc w:val="right"/>
              <w:rPr>
                <w:sz w:val="16"/>
                <w:szCs w:val="16"/>
              </w:rPr>
            </w:pPr>
            <w:r w:rsidRPr="00082992">
              <w:rPr>
                <w:sz w:val="16"/>
                <w:szCs w:val="16"/>
              </w:rPr>
              <w:t>3.2</w:t>
            </w:r>
          </w:p>
        </w:tc>
      </w:tr>
      <w:tr w:rsidR="00082992" w:rsidRPr="00082992" w14:paraId="08F30E73"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751AC08D"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E59CAF3"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75CB8B24" w14:textId="223DD5AD" w:rsidR="001A73E9" w:rsidRPr="00082992" w:rsidRDefault="0002614C" w:rsidP="005928D4">
            <w:pPr>
              <w:pStyle w:val="ExhibitText"/>
              <w:jc w:val="left"/>
              <w:rPr>
                <w:sz w:val="16"/>
                <w:szCs w:val="16"/>
              </w:rPr>
            </w:pPr>
            <w:r w:rsidRPr="00082992">
              <w:rPr>
                <w:sz w:val="16"/>
                <w:szCs w:val="16"/>
              </w:rPr>
              <w:t>Compensation of Employees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CA5CD21" w14:textId="77777777" w:rsidR="001A73E9" w:rsidRPr="00082992" w:rsidRDefault="001A73E9" w:rsidP="005928D4">
            <w:pPr>
              <w:pStyle w:val="ExhibitText"/>
              <w:jc w:val="right"/>
              <w:rPr>
                <w:sz w:val="16"/>
                <w:szCs w:val="16"/>
              </w:rPr>
            </w:pPr>
            <w:r w:rsidRPr="00082992">
              <w:rPr>
                <w:sz w:val="16"/>
                <w:szCs w:val="16"/>
              </w:rPr>
              <w:t>11.1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FBB37F1" w14:textId="77777777" w:rsidR="001A73E9" w:rsidRPr="00082992" w:rsidRDefault="001A73E9" w:rsidP="005928D4">
            <w:pPr>
              <w:pStyle w:val="ExhibitText"/>
              <w:jc w:val="right"/>
              <w:rPr>
                <w:sz w:val="16"/>
                <w:szCs w:val="16"/>
              </w:rPr>
            </w:pPr>
            <w:r w:rsidRPr="00082992">
              <w:rPr>
                <w:sz w:val="16"/>
                <w:szCs w:val="16"/>
              </w:rPr>
              <w:t>11.6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C5DE0EE" w14:textId="77777777" w:rsidR="001A73E9" w:rsidRPr="00082992" w:rsidRDefault="001A73E9" w:rsidP="005928D4">
            <w:pPr>
              <w:pStyle w:val="ExhibitText"/>
              <w:jc w:val="right"/>
              <w:rPr>
                <w:sz w:val="16"/>
                <w:szCs w:val="16"/>
              </w:rPr>
            </w:pPr>
            <w:r w:rsidRPr="00082992">
              <w:rPr>
                <w:sz w:val="16"/>
                <w:szCs w:val="16"/>
              </w:rPr>
              <w:t>13.1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88AF621" w14:textId="77777777" w:rsidR="001A73E9" w:rsidRPr="00082992" w:rsidRDefault="001A73E9" w:rsidP="005928D4">
            <w:pPr>
              <w:pStyle w:val="ExhibitText"/>
              <w:jc w:val="right"/>
              <w:rPr>
                <w:sz w:val="16"/>
                <w:szCs w:val="16"/>
              </w:rPr>
            </w:pPr>
            <w:r w:rsidRPr="00082992">
              <w:rPr>
                <w:sz w:val="16"/>
                <w:szCs w:val="16"/>
              </w:rPr>
              <w:t>12.4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61150F1" w14:textId="77777777" w:rsidR="001A73E9" w:rsidRPr="00082992" w:rsidRDefault="001A73E9" w:rsidP="005928D4">
            <w:pPr>
              <w:pStyle w:val="ExhibitText"/>
              <w:jc w:val="right"/>
              <w:rPr>
                <w:sz w:val="16"/>
                <w:szCs w:val="16"/>
              </w:rPr>
            </w:pPr>
            <w:r w:rsidRPr="00082992">
              <w:rPr>
                <w:sz w:val="16"/>
                <w:szCs w:val="16"/>
              </w:rPr>
              <w:t>12.6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15AF82E" w14:textId="77777777" w:rsidR="001A73E9" w:rsidRPr="00082992" w:rsidRDefault="001A73E9" w:rsidP="005928D4">
            <w:pPr>
              <w:pStyle w:val="ExhibitText"/>
              <w:jc w:val="right"/>
              <w:rPr>
                <w:sz w:val="16"/>
                <w:szCs w:val="16"/>
              </w:rPr>
            </w:pPr>
            <w:r w:rsidRPr="00082992">
              <w:rPr>
                <w:sz w:val="16"/>
                <w:szCs w:val="16"/>
              </w:rPr>
              <w:t>12.8</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9EFD341" w14:textId="77777777" w:rsidR="001A73E9" w:rsidRPr="00082992" w:rsidRDefault="001A73E9" w:rsidP="005928D4">
            <w:pPr>
              <w:pStyle w:val="ExhibitText"/>
              <w:jc w:val="right"/>
              <w:rPr>
                <w:sz w:val="16"/>
                <w:szCs w:val="16"/>
              </w:rPr>
            </w:pPr>
            <w:r w:rsidRPr="00082992">
              <w:rPr>
                <w:sz w:val="16"/>
                <w:szCs w:val="16"/>
              </w:rPr>
              <w:t>12.2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0883695" w14:textId="77777777" w:rsidR="001A73E9" w:rsidRPr="00082992" w:rsidRDefault="001A73E9" w:rsidP="005928D4">
            <w:pPr>
              <w:pStyle w:val="ExhibitText"/>
              <w:jc w:val="right"/>
              <w:rPr>
                <w:sz w:val="16"/>
                <w:szCs w:val="16"/>
              </w:rPr>
            </w:pPr>
            <w:r w:rsidRPr="00082992">
              <w:rPr>
                <w:sz w:val="16"/>
                <w:szCs w:val="16"/>
              </w:rPr>
              <w:t>12.3</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4A2E765" w14:textId="77777777" w:rsidR="001A73E9" w:rsidRPr="00082992" w:rsidRDefault="001A73E9" w:rsidP="005928D4">
            <w:pPr>
              <w:pStyle w:val="ExhibitText"/>
              <w:jc w:val="right"/>
              <w:rPr>
                <w:sz w:val="16"/>
                <w:szCs w:val="16"/>
              </w:rPr>
            </w:pPr>
            <w:r w:rsidRPr="00082992">
              <w:rPr>
                <w:sz w:val="16"/>
                <w:szCs w:val="16"/>
              </w:rPr>
              <w:t>12.3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893CB81" w14:textId="77777777" w:rsidR="001A73E9" w:rsidRPr="00082992" w:rsidRDefault="001A73E9" w:rsidP="005928D4">
            <w:pPr>
              <w:pStyle w:val="ExhibitText"/>
              <w:jc w:val="right"/>
              <w:rPr>
                <w:sz w:val="16"/>
                <w:szCs w:val="16"/>
              </w:rPr>
            </w:pPr>
            <w:r w:rsidRPr="00082992">
              <w:rPr>
                <w:sz w:val="16"/>
                <w:szCs w:val="16"/>
              </w:rPr>
              <w:t>12.3</w:t>
            </w:r>
          </w:p>
        </w:tc>
      </w:tr>
      <w:tr w:rsidR="00082992" w:rsidRPr="00082992" w14:paraId="77E731D1"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F7E0B8B"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18DD56C"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494168E0" w14:textId="2772418B" w:rsidR="001A73E9" w:rsidRPr="00082992" w:rsidRDefault="0002614C" w:rsidP="005928D4">
            <w:pPr>
              <w:pStyle w:val="ExhibitText"/>
              <w:jc w:val="left"/>
              <w:rPr>
                <w:sz w:val="16"/>
                <w:szCs w:val="16"/>
              </w:rPr>
            </w:pPr>
            <w:r w:rsidRPr="00082992">
              <w:rPr>
                <w:sz w:val="16"/>
                <w:szCs w:val="16"/>
              </w:rPr>
              <w:t>Intermediate Consumption</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D612EA4" w14:textId="77777777" w:rsidR="001A73E9" w:rsidRPr="00082992" w:rsidRDefault="001A73E9" w:rsidP="005928D4">
            <w:pPr>
              <w:pStyle w:val="ExhibitText"/>
              <w:jc w:val="right"/>
              <w:rPr>
                <w:sz w:val="16"/>
                <w:szCs w:val="16"/>
              </w:rPr>
            </w:pPr>
            <w:r w:rsidRPr="00082992">
              <w:rPr>
                <w:sz w:val="16"/>
                <w:szCs w:val="16"/>
              </w:rPr>
              <w:t>6.7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4473E8B" w14:textId="77777777" w:rsidR="001A73E9" w:rsidRPr="00082992" w:rsidRDefault="001A73E9" w:rsidP="005928D4">
            <w:pPr>
              <w:pStyle w:val="ExhibitText"/>
              <w:jc w:val="right"/>
              <w:rPr>
                <w:sz w:val="16"/>
                <w:szCs w:val="16"/>
              </w:rPr>
            </w:pPr>
            <w:r w:rsidRPr="00082992">
              <w:rPr>
                <w:sz w:val="16"/>
                <w:szCs w:val="16"/>
              </w:rPr>
              <w:t>6.2</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C3722CC" w14:textId="77777777" w:rsidR="001A73E9" w:rsidRPr="00082992" w:rsidRDefault="001A73E9" w:rsidP="005928D4">
            <w:pPr>
              <w:pStyle w:val="ExhibitText"/>
              <w:jc w:val="right"/>
              <w:rPr>
                <w:sz w:val="16"/>
                <w:szCs w:val="16"/>
              </w:rPr>
            </w:pPr>
            <w:r w:rsidRPr="00082992">
              <w:rPr>
                <w:sz w:val="16"/>
                <w:szCs w:val="16"/>
              </w:rPr>
              <w:t>6.7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A3EF72D" w14:textId="77777777" w:rsidR="001A73E9" w:rsidRPr="00082992" w:rsidRDefault="001A73E9" w:rsidP="005928D4">
            <w:pPr>
              <w:pStyle w:val="ExhibitText"/>
              <w:jc w:val="right"/>
              <w:rPr>
                <w:sz w:val="16"/>
                <w:szCs w:val="16"/>
              </w:rPr>
            </w:pPr>
            <w:r w:rsidRPr="00082992">
              <w:rPr>
                <w:sz w:val="16"/>
                <w:szCs w:val="16"/>
              </w:rPr>
              <w:t>6.1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C9D57FC" w14:textId="77777777" w:rsidR="001A73E9" w:rsidRPr="00082992" w:rsidRDefault="001A73E9" w:rsidP="005928D4">
            <w:pPr>
              <w:pStyle w:val="ExhibitText"/>
              <w:jc w:val="right"/>
              <w:rPr>
                <w:sz w:val="16"/>
                <w:szCs w:val="16"/>
              </w:rPr>
            </w:pPr>
            <w:r w:rsidRPr="00082992">
              <w:rPr>
                <w:sz w:val="16"/>
                <w:szCs w:val="16"/>
              </w:rPr>
              <w:t>4.9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B4521D6" w14:textId="77777777" w:rsidR="001A73E9" w:rsidRPr="00082992" w:rsidRDefault="001A73E9" w:rsidP="005928D4">
            <w:pPr>
              <w:pStyle w:val="ExhibitText"/>
              <w:jc w:val="right"/>
              <w:rPr>
                <w:sz w:val="16"/>
                <w:szCs w:val="16"/>
              </w:rPr>
            </w:pPr>
            <w:r w:rsidRPr="00082992">
              <w:rPr>
                <w:sz w:val="16"/>
                <w:szCs w:val="16"/>
              </w:rPr>
              <w:t>5.1</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62FC690" w14:textId="77777777" w:rsidR="001A73E9" w:rsidRPr="00082992" w:rsidRDefault="001A73E9" w:rsidP="005928D4">
            <w:pPr>
              <w:pStyle w:val="ExhibitText"/>
              <w:jc w:val="right"/>
              <w:rPr>
                <w:sz w:val="16"/>
                <w:szCs w:val="16"/>
              </w:rPr>
            </w:pPr>
            <w:r w:rsidRPr="00082992">
              <w:rPr>
                <w:sz w:val="16"/>
                <w:szCs w:val="16"/>
              </w:rPr>
              <w:t>4.7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1E16884" w14:textId="77777777" w:rsidR="001A73E9" w:rsidRPr="00082992" w:rsidRDefault="001A73E9" w:rsidP="005928D4">
            <w:pPr>
              <w:pStyle w:val="ExhibitText"/>
              <w:jc w:val="right"/>
              <w:rPr>
                <w:sz w:val="16"/>
                <w:szCs w:val="16"/>
              </w:rPr>
            </w:pPr>
            <w:r w:rsidRPr="00082992">
              <w:rPr>
                <w:sz w:val="16"/>
                <w:szCs w:val="16"/>
              </w:rPr>
              <w:t>4.9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F736080" w14:textId="77777777" w:rsidR="001A73E9" w:rsidRPr="00082992" w:rsidRDefault="001A73E9" w:rsidP="005928D4">
            <w:pPr>
              <w:pStyle w:val="ExhibitText"/>
              <w:jc w:val="right"/>
              <w:rPr>
                <w:sz w:val="16"/>
                <w:szCs w:val="16"/>
              </w:rPr>
            </w:pPr>
            <w:r w:rsidRPr="00082992">
              <w:rPr>
                <w:sz w:val="16"/>
                <w:szCs w:val="16"/>
              </w:rPr>
              <w:t>4.9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849F274" w14:textId="77777777" w:rsidR="001A73E9" w:rsidRPr="00082992" w:rsidRDefault="001A73E9" w:rsidP="005928D4">
            <w:pPr>
              <w:pStyle w:val="ExhibitText"/>
              <w:jc w:val="right"/>
              <w:rPr>
                <w:sz w:val="16"/>
                <w:szCs w:val="16"/>
              </w:rPr>
            </w:pPr>
            <w:r w:rsidRPr="00082992">
              <w:rPr>
                <w:sz w:val="16"/>
                <w:szCs w:val="16"/>
              </w:rPr>
              <w:t>4.7</w:t>
            </w:r>
          </w:p>
        </w:tc>
      </w:tr>
      <w:tr w:rsidR="00082992" w:rsidRPr="00082992" w14:paraId="26F63CB2"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7B6F0B6B"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6E1608AC"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5E57919D" w14:textId="65492E56" w:rsidR="001A73E9" w:rsidRPr="00082992" w:rsidRDefault="0002614C" w:rsidP="005928D4">
            <w:pPr>
              <w:pStyle w:val="ExhibitText"/>
              <w:jc w:val="left"/>
              <w:rPr>
                <w:sz w:val="16"/>
                <w:szCs w:val="16"/>
              </w:rPr>
            </w:pPr>
            <w:r w:rsidRPr="00082992">
              <w:rPr>
                <w:sz w:val="16"/>
                <w:szCs w:val="16"/>
              </w:rPr>
              <w:t>Subsidies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07A19DC" w14:textId="77777777" w:rsidR="001A73E9" w:rsidRPr="00082992" w:rsidRDefault="001A73E9" w:rsidP="005928D4">
            <w:pPr>
              <w:pStyle w:val="ExhibitText"/>
              <w:jc w:val="right"/>
              <w:rPr>
                <w:sz w:val="16"/>
                <w:szCs w:val="16"/>
              </w:rPr>
            </w:pPr>
            <w:r w:rsidRPr="00082992">
              <w:rPr>
                <w:sz w:val="16"/>
                <w:szCs w:val="16"/>
              </w:rPr>
              <w:t>0.1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73F075B" w14:textId="7757B64D" w:rsidR="001A73E9" w:rsidRPr="00082992" w:rsidRDefault="001A73E9" w:rsidP="005928D4">
            <w:pPr>
              <w:pStyle w:val="ExhibitText"/>
              <w:jc w:val="right"/>
              <w:rPr>
                <w:sz w:val="16"/>
                <w:szCs w:val="16"/>
              </w:rPr>
            </w:pPr>
            <w:r w:rsidRPr="00082992">
              <w:rPr>
                <w:sz w:val="16"/>
                <w:szCs w:val="16"/>
              </w:rPr>
              <w:t>0</w:t>
            </w:r>
            <w:r w:rsidR="0002614C" w:rsidRPr="00082992">
              <w:rPr>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80A0041" w14:textId="77777777" w:rsidR="001A73E9" w:rsidRPr="00082992" w:rsidRDefault="001A73E9" w:rsidP="005928D4">
            <w:pPr>
              <w:pStyle w:val="ExhibitText"/>
              <w:jc w:val="right"/>
              <w:rPr>
                <w:sz w:val="16"/>
                <w:szCs w:val="16"/>
              </w:rPr>
            </w:pPr>
            <w:r w:rsidRPr="00082992">
              <w:rPr>
                <w:sz w:val="16"/>
                <w:szCs w:val="16"/>
              </w:rPr>
              <w:t>0.1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2B8A16C" w14:textId="77777777" w:rsidR="001A73E9" w:rsidRPr="00082992" w:rsidRDefault="001A73E9" w:rsidP="005928D4">
            <w:pPr>
              <w:pStyle w:val="ExhibitText"/>
              <w:jc w:val="right"/>
              <w:rPr>
                <w:sz w:val="16"/>
                <w:szCs w:val="16"/>
              </w:rPr>
            </w:pPr>
            <w:r w:rsidRPr="00082992">
              <w:rPr>
                <w:sz w:val="16"/>
                <w:szCs w:val="16"/>
              </w:rPr>
              <w:t>0.2</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0155D9D" w14:textId="77777777" w:rsidR="001A73E9" w:rsidRPr="00082992" w:rsidRDefault="001A73E9" w:rsidP="005928D4">
            <w:pPr>
              <w:pStyle w:val="ExhibitText"/>
              <w:jc w:val="right"/>
              <w:rPr>
                <w:sz w:val="16"/>
                <w:szCs w:val="16"/>
              </w:rPr>
            </w:pPr>
            <w:r w:rsidRPr="00082992">
              <w:rPr>
                <w:sz w:val="16"/>
                <w:szCs w:val="16"/>
              </w:rPr>
              <w:t>0.6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EB51E69" w14:textId="77777777" w:rsidR="001A73E9" w:rsidRPr="00082992" w:rsidRDefault="001A73E9" w:rsidP="005928D4">
            <w:pPr>
              <w:pStyle w:val="ExhibitText"/>
              <w:jc w:val="right"/>
              <w:rPr>
                <w:sz w:val="16"/>
                <w:szCs w:val="16"/>
              </w:rPr>
            </w:pPr>
            <w:r w:rsidRPr="00082992">
              <w:rPr>
                <w:sz w:val="16"/>
                <w:szCs w:val="16"/>
              </w:rPr>
              <w:t>0.7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55C7BD5" w14:textId="77777777" w:rsidR="001A73E9" w:rsidRPr="00082992" w:rsidRDefault="001A73E9" w:rsidP="005928D4">
            <w:pPr>
              <w:pStyle w:val="ExhibitText"/>
              <w:jc w:val="right"/>
              <w:rPr>
                <w:sz w:val="16"/>
                <w:szCs w:val="16"/>
              </w:rPr>
            </w:pPr>
            <w:r w:rsidRPr="00082992">
              <w:rPr>
                <w:sz w:val="16"/>
                <w:szCs w:val="16"/>
              </w:rPr>
              <w:t>1.1</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807847B" w14:textId="77777777" w:rsidR="001A73E9" w:rsidRPr="00082992" w:rsidRDefault="001A73E9" w:rsidP="005928D4">
            <w:pPr>
              <w:pStyle w:val="ExhibitText"/>
              <w:jc w:val="right"/>
              <w:rPr>
                <w:sz w:val="16"/>
                <w:szCs w:val="16"/>
              </w:rPr>
            </w:pPr>
            <w:r w:rsidRPr="00082992">
              <w:rPr>
                <w:sz w:val="16"/>
                <w:szCs w:val="16"/>
              </w:rPr>
              <w:t>0.9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3721DF4" w14:textId="1D5DFE02" w:rsidR="001A73E9" w:rsidRPr="00082992" w:rsidRDefault="001A73E9" w:rsidP="005928D4">
            <w:pPr>
              <w:pStyle w:val="ExhibitText"/>
              <w:jc w:val="right"/>
              <w:rPr>
                <w:sz w:val="16"/>
                <w:szCs w:val="16"/>
              </w:rPr>
            </w:pPr>
            <w:r w:rsidRPr="00082992">
              <w:rPr>
                <w:sz w:val="16"/>
                <w:szCs w:val="16"/>
              </w:rPr>
              <w:t>1</w:t>
            </w:r>
            <w:r w:rsidR="0002614C" w:rsidRPr="00082992">
              <w:rPr>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BF3E71F" w14:textId="39E64168" w:rsidR="001A73E9" w:rsidRPr="00082992" w:rsidRDefault="001A73E9" w:rsidP="005928D4">
            <w:pPr>
              <w:pStyle w:val="ExhibitText"/>
              <w:jc w:val="right"/>
              <w:rPr>
                <w:sz w:val="16"/>
                <w:szCs w:val="16"/>
              </w:rPr>
            </w:pPr>
            <w:r w:rsidRPr="00082992">
              <w:rPr>
                <w:sz w:val="16"/>
                <w:szCs w:val="16"/>
              </w:rPr>
              <w:t>1</w:t>
            </w:r>
            <w:r w:rsidR="0002614C" w:rsidRPr="00082992">
              <w:rPr>
                <w:sz w:val="16"/>
                <w:szCs w:val="16"/>
              </w:rPr>
              <w:t>.0</w:t>
            </w:r>
          </w:p>
        </w:tc>
      </w:tr>
      <w:tr w:rsidR="00082992" w:rsidRPr="00082992" w14:paraId="5653B6EF"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4F83477D"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7A5A638B"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78A9C33A" w14:textId="77777777" w:rsidR="001A73E9" w:rsidRPr="00082992" w:rsidRDefault="001A73E9" w:rsidP="005928D4">
            <w:pPr>
              <w:pStyle w:val="ExhibitText"/>
              <w:jc w:val="left"/>
              <w:rPr>
                <w:b/>
                <w:sz w:val="16"/>
                <w:szCs w:val="16"/>
              </w:rPr>
            </w:pPr>
            <w:r w:rsidRPr="00082992">
              <w:rPr>
                <w:b/>
                <w:sz w:val="16"/>
                <w:szCs w:val="16"/>
              </w:rPr>
              <w:t>TOTAL CURRENT EXPENDITURE</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3B39277" w14:textId="77777777" w:rsidR="001A73E9" w:rsidRPr="00082992" w:rsidRDefault="001A73E9" w:rsidP="005928D4">
            <w:pPr>
              <w:pStyle w:val="ExhibitText"/>
              <w:jc w:val="right"/>
              <w:rPr>
                <w:b/>
                <w:sz w:val="16"/>
                <w:szCs w:val="16"/>
              </w:rPr>
            </w:pPr>
            <w:r w:rsidRPr="00082992">
              <w:rPr>
                <w:b/>
                <w:sz w:val="16"/>
                <w:szCs w:val="16"/>
              </w:rPr>
              <w:t>41.4</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B06A597" w14:textId="77777777" w:rsidR="001A73E9" w:rsidRPr="00082992" w:rsidRDefault="001A73E9" w:rsidP="005928D4">
            <w:pPr>
              <w:pStyle w:val="ExhibitText"/>
              <w:jc w:val="right"/>
              <w:rPr>
                <w:b/>
                <w:sz w:val="16"/>
                <w:szCs w:val="16"/>
              </w:rPr>
            </w:pPr>
            <w:r w:rsidRPr="00082992">
              <w:rPr>
                <w:b/>
                <w:sz w:val="16"/>
                <w:szCs w:val="16"/>
              </w:rPr>
              <w:t>43.6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90B5AD7" w14:textId="77777777" w:rsidR="001A73E9" w:rsidRPr="00082992" w:rsidRDefault="001A73E9" w:rsidP="005928D4">
            <w:pPr>
              <w:pStyle w:val="ExhibitText"/>
              <w:jc w:val="right"/>
              <w:rPr>
                <w:b/>
                <w:sz w:val="16"/>
                <w:szCs w:val="16"/>
              </w:rPr>
            </w:pPr>
            <w:r w:rsidRPr="00082992">
              <w:rPr>
                <w:b/>
                <w:sz w:val="16"/>
                <w:szCs w:val="16"/>
              </w:rPr>
              <w:t>47.5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3A89A70" w14:textId="77777777" w:rsidR="001A73E9" w:rsidRPr="00082992" w:rsidRDefault="001A73E9" w:rsidP="005928D4">
            <w:pPr>
              <w:pStyle w:val="ExhibitText"/>
              <w:jc w:val="right"/>
              <w:rPr>
                <w:b/>
                <w:sz w:val="16"/>
                <w:szCs w:val="16"/>
              </w:rPr>
            </w:pPr>
            <w:r w:rsidRPr="00082992">
              <w:rPr>
                <w:b/>
                <w:sz w:val="16"/>
                <w:szCs w:val="16"/>
              </w:rPr>
              <w:t>47.4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639743B" w14:textId="5DEECF25" w:rsidR="001A73E9" w:rsidRPr="00082992" w:rsidRDefault="001A73E9" w:rsidP="005928D4">
            <w:pPr>
              <w:pStyle w:val="ExhibitText"/>
              <w:jc w:val="right"/>
              <w:rPr>
                <w:b/>
                <w:sz w:val="16"/>
                <w:szCs w:val="16"/>
              </w:rPr>
            </w:pPr>
            <w:r w:rsidRPr="00082992">
              <w:rPr>
                <w:b/>
                <w:sz w:val="16"/>
                <w:szCs w:val="16"/>
              </w:rPr>
              <w:t>50</w:t>
            </w:r>
            <w:r w:rsidR="0002614C" w:rsidRPr="00082992">
              <w:rPr>
                <w:b/>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52CE875" w14:textId="77777777" w:rsidR="001A73E9" w:rsidRPr="00082992" w:rsidRDefault="001A73E9" w:rsidP="005928D4">
            <w:pPr>
              <w:pStyle w:val="ExhibitText"/>
              <w:jc w:val="right"/>
              <w:rPr>
                <w:b/>
                <w:sz w:val="16"/>
                <w:szCs w:val="16"/>
              </w:rPr>
            </w:pPr>
            <w:r w:rsidRPr="00082992">
              <w:rPr>
                <w:b/>
                <w:sz w:val="16"/>
                <w:szCs w:val="16"/>
              </w:rPr>
              <w:t>48.4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6DE8EFE" w14:textId="77777777" w:rsidR="001A73E9" w:rsidRPr="00082992" w:rsidRDefault="001A73E9" w:rsidP="005928D4">
            <w:pPr>
              <w:pStyle w:val="ExhibitText"/>
              <w:jc w:val="right"/>
              <w:rPr>
                <w:b/>
                <w:sz w:val="16"/>
                <w:szCs w:val="16"/>
              </w:rPr>
            </w:pPr>
            <w:r w:rsidRPr="00082992">
              <w:rPr>
                <w:b/>
                <w:sz w:val="16"/>
                <w:szCs w:val="16"/>
              </w:rPr>
              <w:t>45.2</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32092D8" w14:textId="77777777" w:rsidR="001A73E9" w:rsidRPr="00082992" w:rsidRDefault="001A73E9" w:rsidP="005928D4">
            <w:pPr>
              <w:pStyle w:val="ExhibitText"/>
              <w:jc w:val="right"/>
              <w:rPr>
                <w:b/>
                <w:sz w:val="16"/>
                <w:szCs w:val="16"/>
              </w:rPr>
            </w:pPr>
            <w:r w:rsidRPr="00082992">
              <w:rPr>
                <w:b/>
                <w:sz w:val="16"/>
                <w:szCs w:val="16"/>
              </w:rPr>
              <w:t>45.7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3AE49DF" w14:textId="77777777" w:rsidR="001A73E9" w:rsidRPr="00082992" w:rsidRDefault="001A73E9" w:rsidP="005928D4">
            <w:pPr>
              <w:pStyle w:val="ExhibitText"/>
              <w:jc w:val="right"/>
              <w:rPr>
                <w:b/>
                <w:sz w:val="16"/>
                <w:szCs w:val="16"/>
              </w:rPr>
            </w:pPr>
            <w:r w:rsidRPr="00082992">
              <w:rPr>
                <w:b/>
                <w:sz w:val="16"/>
                <w:szCs w:val="16"/>
              </w:rPr>
              <w:t>45.6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054F550" w14:textId="77777777" w:rsidR="001A73E9" w:rsidRPr="00082992" w:rsidRDefault="001A73E9" w:rsidP="005928D4">
            <w:pPr>
              <w:pStyle w:val="ExhibitText"/>
              <w:jc w:val="right"/>
              <w:rPr>
                <w:b/>
                <w:sz w:val="16"/>
                <w:szCs w:val="16"/>
              </w:rPr>
            </w:pPr>
            <w:r w:rsidRPr="00082992">
              <w:rPr>
                <w:b/>
                <w:sz w:val="16"/>
                <w:szCs w:val="16"/>
              </w:rPr>
              <w:t>45.1</w:t>
            </w:r>
          </w:p>
        </w:tc>
      </w:tr>
      <w:tr w:rsidR="00082992" w:rsidRPr="00082992" w14:paraId="7BEE8452"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49DC37E" w14:textId="77777777" w:rsidR="001A73E9" w:rsidRPr="00082992" w:rsidRDefault="001A73E9" w:rsidP="005928D4">
            <w:pPr>
              <w:pStyle w:val="ExhibitText"/>
              <w:jc w:val="left"/>
              <w:rPr>
                <w:sz w:val="16"/>
                <w:szCs w:val="16"/>
              </w:rPr>
            </w:pP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1361AABE" w14:textId="3D5E1946" w:rsidR="001A73E9" w:rsidRPr="00082992" w:rsidRDefault="005928D4" w:rsidP="005928D4">
            <w:pPr>
              <w:pStyle w:val="ExhibitText"/>
              <w:jc w:val="left"/>
              <w:rPr>
                <w:sz w:val="16"/>
                <w:szCs w:val="16"/>
              </w:rPr>
            </w:pPr>
            <w:r w:rsidRPr="00082992">
              <w:rPr>
                <w:sz w:val="16"/>
                <w:szCs w:val="16"/>
              </w:rPr>
              <w:t>Capital Expenditure</w:t>
            </w: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24DFF911" w14:textId="38E09895" w:rsidR="001A73E9" w:rsidRPr="00082992" w:rsidRDefault="005928D4" w:rsidP="005928D4">
            <w:pPr>
              <w:pStyle w:val="ExhibitText"/>
              <w:jc w:val="left"/>
              <w:rPr>
                <w:sz w:val="16"/>
                <w:szCs w:val="16"/>
              </w:rPr>
            </w:pPr>
            <w:r w:rsidRPr="00082992">
              <w:rPr>
                <w:sz w:val="16"/>
                <w:szCs w:val="16"/>
              </w:rPr>
              <w:t>Investment</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F62C3F0" w14:textId="77777777" w:rsidR="001A73E9" w:rsidRPr="00082992" w:rsidRDefault="001A73E9" w:rsidP="005928D4">
            <w:pPr>
              <w:pStyle w:val="ExhibitText"/>
              <w:jc w:val="right"/>
              <w:rPr>
                <w:sz w:val="16"/>
                <w:szCs w:val="16"/>
              </w:rPr>
            </w:pPr>
            <w:r w:rsidRPr="00082992">
              <w:rPr>
                <w:sz w:val="16"/>
                <w:szCs w:val="16"/>
              </w:rPr>
              <w:t>4.9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B03A1F5" w14:textId="77777777" w:rsidR="001A73E9" w:rsidRPr="00082992" w:rsidRDefault="001A73E9" w:rsidP="005928D4">
            <w:pPr>
              <w:pStyle w:val="ExhibitText"/>
              <w:jc w:val="right"/>
              <w:rPr>
                <w:sz w:val="16"/>
                <w:szCs w:val="16"/>
              </w:rPr>
            </w:pPr>
            <w:r w:rsidRPr="00082992">
              <w:rPr>
                <w:sz w:val="16"/>
                <w:szCs w:val="16"/>
              </w:rPr>
              <w:t>5.6</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56910B0" w14:textId="77777777" w:rsidR="001A73E9" w:rsidRPr="00082992" w:rsidRDefault="001A73E9" w:rsidP="005928D4">
            <w:pPr>
              <w:pStyle w:val="ExhibitText"/>
              <w:jc w:val="right"/>
              <w:rPr>
                <w:sz w:val="16"/>
                <w:szCs w:val="16"/>
              </w:rPr>
            </w:pPr>
            <w:r w:rsidRPr="00082992">
              <w:rPr>
                <w:sz w:val="16"/>
                <w:szCs w:val="16"/>
              </w:rPr>
              <w:t>5.7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0AB2243B" w14:textId="77777777" w:rsidR="001A73E9" w:rsidRPr="00082992" w:rsidRDefault="001A73E9" w:rsidP="005928D4">
            <w:pPr>
              <w:pStyle w:val="ExhibitText"/>
              <w:jc w:val="right"/>
              <w:rPr>
                <w:sz w:val="16"/>
                <w:szCs w:val="16"/>
              </w:rPr>
            </w:pPr>
            <w:r w:rsidRPr="00082992">
              <w:rPr>
                <w:sz w:val="16"/>
                <w:szCs w:val="16"/>
              </w:rPr>
              <w:t>3.7</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F249B4F" w14:textId="77777777" w:rsidR="001A73E9" w:rsidRPr="00082992" w:rsidRDefault="001A73E9" w:rsidP="005928D4">
            <w:pPr>
              <w:pStyle w:val="ExhibitText"/>
              <w:jc w:val="right"/>
              <w:rPr>
                <w:sz w:val="16"/>
                <w:szCs w:val="16"/>
              </w:rPr>
            </w:pPr>
            <w:r w:rsidRPr="00082992">
              <w:rPr>
                <w:sz w:val="16"/>
                <w:szCs w:val="16"/>
              </w:rPr>
              <w:t>2.5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A672886" w14:textId="77777777" w:rsidR="001A73E9" w:rsidRPr="00082992" w:rsidRDefault="001A73E9" w:rsidP="005928D4">
            <w:pPr>
              <w:pStyle w:val="ExhibitText"/>
              <w:jc w:val="right"/>
              <w:rPr>
                <w:sz w:val="16"/>
                <w:szCs w:val="16"/>
              </w:rPr>
            </w:pPr>
            <w:r w:rsidRPr="00082992">
              <w:rPr>
                <w:sz w:val="16"/>
                <w:szCs w:val="16"/>
              </w:rPr>
              <w:t>2.5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28A7C37" w14:textId="77777777" w:rsidR="001A73E9" w:rsidRPr="00082992" w:rsidRDefault="001A73E9" w:rsidP="005928D4">
            <w:pPr>
              <w:pStyle w:val="ExhibitText"/>
              <w:jc w:val="right"/>
              <w:rPr>
                <w:sz w:val="16"/>
                <w:szCs w:val="16"/>
              </w:rPr>
            </w:pPr>
            <w:r w:rsidRPr="00082992">
              <w:rPr>
                <w:sz w:val="16"/>
                <w:szCs w:val="16"/>
              </w:rPr>
              <w:t>2.5</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5CC1428" w14:textId="77777777" w:rsidR="001A73E9" w:rsidRPr="00082992" w:rsidRDefault="001A73E9" w:rsidP="005928D4">
            <w:pPr>
              <w:pStyle w:val="ExhibitText"/>
              <w:jc w:val="right"/>
              <w:rPr>
                <w:sz w:val="16"/>
                <w:szCs w:val="16"/>
              </w:rPr>
            </w:pPr>
            <w:r w:rsidRPr="00082992">
              <w:rPr>
                <w:sz w:val="16"/>
                <w:szCs w:val="16"/>
              </w:rPr>
              <w:t>3.4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12E3BFD" w14:textId="77777777" w:rsidR="001A73E9" w:rsidRPr="00082992" w:rsidRDefault="001A73E9" w:rsidP="005928D4">
            <w:pPr>
              <w:pStyle w:val="ExhibitText"/>
              <w:jc w:val="right"/>
              <w:rPr>
                <w:sz w:val="16"/>
                <w:szCs w:val="16"/>
              </w:rPr>
            </w:pPr>
            <w:r w:rsidRPr="00082992">
              <w:rPr>
                <w:sz w:val="16"/>
                <w:szCs w:val="16"/>
              </w:rPr>
              <w:t>3.7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5C0439C" w14:textId="77777777" w:rsidR="001A73E9" w:rsidRPr="00082992" w:rsidRDefault="001A73E9" w:rsidP="005928D4">
            <w:pPr>
              <w:pStyle w:val="ExhibitText"/>
              <w:jc w:val="right"/>
              <w:rPr>
                <w:sz w:val="16"/>
                <w:szCs w:val="16"/>
              </w:rPr>
            </w:pPr>
            <w:r w:rsidRPr="00082992">
              <w:rPr>
                <w:sz w:val="16"/>
                <w:szCs w:val="16"/>
              </w:rPr>
              <w:t>3.9</w:t>
            </w:r>
          </w:p>
        </w:tc>
      </w:tr>
      <w:tr w:rsidR="00082992" w:rsidRPr="00082992" w14:paraId="009029DA"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08573707"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4E6B720"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720C0736" w14:textId="438385F7" w:rsidR="001A73E9" w:rsidRPr="00082992" w:rsidRDefault="0002614C" w:rsidP="005928D4">
            <w:pPr>
              <w:pStyle w:val="ExhibitText"/>
              <w:jc w:val="left"/>
              <w:rPr>
                <w:sz w:val="16"/>
                <w:szCs w:val="16"/>
              </w:rPr>
            </w:pPr>
            <w:r w:rsidRPr="00082992">
              <w:rPr>
                <w:sz w:val="16"/>
                <w:szCs w:val="16"/>
              </w:rPr>
              <w:t>Capital Transfers</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27D927C" w14:textId="77777777" w:rsidR="001A73E9" w:rsidRPr="00082992" w:rsidRDefault="001A73E9" w:rsidP="005928D4">
            <w:pPr>
              <w:pStyle w:val="ExhibitText"/>
              <w:jc w:val="right"/>
              <w:rPr>
                <w:sz w:val="16"/>
                <w:szCs w:val="16"/>
              </w:rPr>
            </w:pPr>
            <w:r w:rsidRPr="00082992">
              <w:rPr>
                <w:sz w:val="16"/>
                <w:szCs w:val="16"/>
              </w:rPr>
              <w:t>0.6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3669803B" w14:textId="77777777" w:rsidR="001A73E9" w:rsidRPr="00082992" w:rsidRDefault="001A73E9" w:rsidP="005928D4">
            <w:pPr>
              <w:pStyle w:val="ExhibitText"/>
              <w:jc w:val="right"/>
              <w:rPr>
                <w:sz w:val="16"/>
                <w:szCs w:val="16"/>
              </w:rPr>
            </w:pPr>
            <w:r w:rsidRPr="00082992">
              <w:rPr>
                <w:sz w:val="16"/>
                <w:szCs w:val="16"/>
              </w:rPr>
              <w:t>1.5</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08692177" w14:textId="77777777" w:rsidR="001A73E9" w:rsidRPr="00082992" w:rsidRDefault="001A73E9" w:rsidP="005928D4">
            <w:pPr>
              <w:pStyle w:val="ExhibitText"/>
              <w:jc w:val="right"/>
              <w:rPr>
                <w:sz w:val="16"/>
                <w:szCs w:val="16"/>
              </w:rPr>
            </w:pPr>
            <w:r w:rsidRPr="00082992">
              <w:rPr>
                <w:sz w:val="16"/>
                <w:szCs w:val="16"/>
              </w:rPr>
              <w:t>1.3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44359764" w14:textId="77777777" w:rsidR="001A73E9" w:rsidRPr="00082992" w:rsidRDefault="001A73E9" w:rsidP="005928D4">
            <w:pPr>
              <w:pStyle w:val="ExhibitText"/>
              <w:jc w:val="right"/>
              <w:rPr>
                <w:sz w:val="16"/>
                <w:szCs w:val="16"/>
              </w:rPr>
            </w:pPr>
            <w:r w:rsidRPr="00082992">
              <w:rPr>
                <w:sz w:val="16"/>
                <w:szCs w:val="16"/>
              </w:rPr>
              <w:t>1.3</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56FDA3E7" w14:textId="77777777" w:rsidR="001A73E9" w:rsidRPr="00082992" w:rsidRDefault="001A73E9" w:rsidP="005928D4">
            <w:pPr>
              <w:pStyle w:val="ExhibitText"/>
              <w:jc w:val="right"/>
              <w:rPr>
                <w:sz w:val="16"/>
                <w:szCs w:val="16"/>
              </w:rPr>
            </w:pPr>
            <w:r w:rsidRPr="00082992">
              <w:rPr>
                <w:sz w:val="16"/>
                <w:szCs w:val="16"/>
              </w:rPr>
              <w:t>1.8</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5B85C72F" w14:textId="77777777" w:rsidR="001A73E9" w:rsidRPr="00082992" w:rsidRDefault="001A73E9" w:rsidP="005928D4">
            <w:pPr>
              <w:pStyle w:val="ExhibitText"/>
              <w:jc w:val="right"/>
              <w:rPr>
                <w:sz w:val="16"/>
                <w:szCs w:val="16"/>
              </w:rPr>
            </w:pPr>
            <w:r w:rsidRPr="00082992">
              <w:rPr>
                <w:sz w:val="16"/>
                <w:szCs w:val="16"/>
              </w:rPr>
              <w:t>4.4</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36372FFD" w14:textId="77777777" w:rsidR="001A73E9" w:rsidRPr="00082992" w:rsidRDefault="001A73E9" w:rsidP="005928D4">
            <w:pPr>
              <w:pStyle w:val="ExhibitText"/>
              <w:jc w:val="right"/>
              <w:rPr>
                <w:sz w:val="16"/>
                <w:szCs w:val="16"/>
              </w:rPr>
            </w:pPr>
            <w:r w:rsidRPr="00082992">
              <w:rPr>
                <w:sz w:val="16"/>
                <w:szCs w:val="16"/>
              </w:rPr>
              <w:t>12.3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E38D58C" w14:textId="77777777" w:rsidR="001A73E9" w:rsidRPr="00082992" w:rsidRDefault="001A73E9" w:rsidP="005928D4">
            <w:pPr>
              <w:pStyle w:val="ExhibitText"/>
              <w:jc w:val="right"/>
              <w:rPr>
                <w:sz w:val="16"/>
                <w:szCs w:val="16"/>
              </w:rPr>
            </w:pPr>
            <w:r w:rsidRPr="00082992">
              <w:rPr>
                <w:sz w:val="16"/>
                <w:szCs w:val="16"/>
              </w:rPr>
              <w:t>0.9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565577D" w14:textId="77777777" w:rsidR="001A73E9" w:rsidRPr="00082992" w:rsidRDefault="001A73E9" w:rsidP="005928D4">
            <w:pPr>
              <w:pStyle w:val="ExhibitText"/>
              <w:jc w:val="right"/>
              <w:rPr>
                <w:sz w:val="16"/>
                <w:szCs w:val="16"/>
              </w:rPr>
            </w:pPr>
            <w:r w:rsidRPr="00082992">
              <w:rPr>
                <w:sz w:val="16"/>
                <w:szCs w:val="16"/>
              </w:rPr>
              <w:t>3.9</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BDA4B85" w14:textId="77777777" w:rsidR="001A73E9" w:rsidRPr="00082992" w:rsidRDefault="001A73E9" w:rsidP="005928D4">
            <w:pPr>
              <w:pStyle w:val="ExhibitText"/>
              <w:jc w:val="right"/>
              <w:rPr>
                <w:sz w:val="16"/>
                <w:szCs w:val="16"/>
              </w:rPr>
            </w:pPr>
            <w:r w:rsidRPr="00082992">
              <w:rPr>
                <w:sz w:val="16"/>
                <w:szCs w:val="16"/>
              </w:rPr>
              <w:t>0.4</w:t>
            </w:r>
          </w:p>
        </w:tc>
      </w:tr>
      <w:tr w:rsidR="00082992" w:rsidRPr="00082992" w14:paraId="361DEF2A" w14:textId="77777777" w:rsidTr="001D04CD">
        <w:trPr>
          <w:trHeight w:val="288"/>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35A23F7A" w14:textId="77777777" w:rsidR="001A73E9" w:rsidRPr="00082992" w:rsidRDefault="001A73E9" w:rsidP="005928D4">
            <w:pPr>
              <w:pStyle w:val="ExhibitText"/>
              <w:jc w:val="left"/>
              <w:rPr>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C69F667" w14:textId="77777777" w:rsidR="001A73E9" w:rsidRPr="00082992" w:rsidRDefault="001A73E9" w:rsidP="005928D4">
            <w:pPr>
              <w:pStyle w:val="ExhibitText"/>
              <w:jc w:val="left"/>
              <w:rPr>
                <w:sz w:val="16"/>
                <w:szCs w:val="16"/>
              </w:rPr>
            </w:pPr>
          </w:p>
        </w:tc>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781E8C81" w14:textId="77777777" w:rsidR="001A73E9" w:rsidRPr="00082992" w:rsidRDefault="001A73E9" w:rsidP="005928D4">
            <w:pPr>
              <w:pStyle w:val="ExhibitText"/>
              <w:jc w:val="left"/>
              <w:rPr>
                <w:b/>
                <w:sz w:val="16"/>
                <w:szCs w:val="16"/>
              </w:rPr>
            </w:pPr>
            <w:r w:rsidRPr="00082992">
              <w:rPr>
                <w:b/>
                <w:sz w:val="16"/>
                <w:szCs w:val="16"/>
              </w:rPr>
              <w:t>TOTAL CAPITAL EXPENDITURE</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47012ED1" w14:textId="77777777" w:rsidR="001A73E9" w:rsidRPr="00082992" w:rsidRDefault="001A73E9" w:rsidP="005928D4">
            <w:pPr>
              <w:pStyle w:val="ExhibitText"/>
              <w:jc w:val="right"/>
              <w:rPr>
                <w:b/>
                <w:sz w:val="16"/>
                <w:szCs w:val="16"/>
              </w:rPr>
            </w:pPr>
            <w:r w:rsidRPr="00082992">
              <w:rPr>
                <w:b/>
                <w:sz w:val="16"/>
                <w:szCs w:val="16"/>
              </w:rPr>
              <w:t>5.7</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136DEECE" w14:textId="77777777" w:rsidR="001A73E9" w:rsidRPr="00082992" w:rsidRDefault="001A73E9" w:rsidP="005928D4">
            <w:pPr>
              <w:pStyle w:val="ExhibitText"/>
              <w:jc w:val="right"/>
              <w:rPr>
                <w:b/>
                <w:sz w:val="16"/>
                <w:szCs w:val="16"/>
              </w:rPr>
            </w:pPr>
            <w:r w:rsidRPr="00082992">
              <w:rPr>
                <w:b/>
                <w:sz w:val="16"/>
                <w:szCs w:val="16"/>
              </w:rPr>
              <w:t>7.3</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7B6F175E" w14:textId="77777777" w:rsidR="001A73E9" w:rsidRPr="00082992" w:rsidRDefault="001A73E9" w:rsidP="005928D4">
            <w:pPr>
              <w:pStyle w:val="ExhibitText"/>
              <w:jc w:val="right"/>
              <w:rPr>
                <w:b/>
                <w:sz w:val="16"/>
                <w:szCs w:val="16"/>
              </w:rPr>
            </w:pPr>
            <w:r w:rsidRPr="00082992">
              <w:rPr>
                <w:b/>
                <w:sz w:val="16"/>
                <w:szCs w:val="16"/>
              </w:rPr>
              <w:t>6.6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FE07CBD" w14:textId="4B37D4C6" w:rsidR="001A73E9" w:rsidRPr="00082992" w:rsidRDefault="001A73E9" w:rsidP="005928D4">
            <w:pPr>
              <w:pStyle w:val="ExhibitText"/>
              <w:jc w:val="right"/>
              <w:rPr>
                <w:b/>
                <w:sz w:val="16"/>
                <w:szCs w:val="16"/>
              </w:rPr>
            </w:pPr>
            <w:r w:rsidRPr="00082992">
              <w:rPr>
                <w:b/>
                <w:sz w:val="16"/>
                <w:szCs w:val="16"/>
              </w:rPr>
              <w:t>5</w:t>
            </w:r>
            <w:r w:rsidR="0002614C" w:rsidRPr="00082992">
              <w:rPr>
                <w:b/>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121E47CA" w14:textId="77777777" w:rsidR="001A73E9" w:rsidRPr="00082992" w:rsidRDefault="001A73E9" w:rsidP="005928D4">
            <w:pPr>
              <w:pStyle w:val="ExhibitText"/>
              <w:jc w:val="right"/>
              <w:rPr>
                <w:b/>
                <w:sz w:val="16"/>
                <w:szCs w:val="16"/>
              </w:rPr>
            </w:pPr>
            <w:r w:rsidRPr="00082992">
              <w:rPr>
                <w:b/>
                <w:sz w:val="16"/>
                <w:szCs w:val="16"/>
              </w:rPr>
              <w:t>4.3</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2EB4BDDE" w14:textId="2D8D9523" w:rsidR="001A73E9" w:rsidRPr="00082992" w:rsidRDefault="001A73E9" w:rsidP="005928D4">
            <w:pPr>
              <w:pStyle w:val="ExhibitText"/>
              <w:jc w:val="right"/>
              <w:rPr>
                <w:b/>
                <w:sz w:val="16"/>
                <w:szCs w:val="16"/>
              </w:rPr>
            </w:pPr>
            <w:r w:rsidRPr="00082992">
              <w:rPr>
                <w:b/>
                <w:sz w:val="16"/>
                <w:szCs w:val="16"/>
              </w:rPr>
              <w:t>7</w:t>
            </w:r>
            <w:r w:rsidR="0002614C" w:rsidRPr="00082992">
              <w:rPr>
                <w:b/>
                <w:sz w:val="16"/>
                <w:szCs w:val="16"/>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66E4AAF0" w14:textId="7661E0C9" w:rsidR="001A73E9" w:rsidRPr="00082992" w:rsidRDefault="001A73E9" w:rsidP="005928D4">
            <w:pPr>
              <w:pStyle w:val="ExhibitText"/>
              <w:jc w:val="right"/>
              <w:rPr>
                <w:b/>
                <w:sz w:val="16"/>
                <w:szCs w:val="16"/>
              </w:rPr>
            </w:pPr>
            <w:r w:rsidRPr="00082992">
              <w:rPr>
                <w:b/>
                <w:sz w:val="16"/>
                <w:szCs w:val="16"/>
              </w:rPr>
              <w:t>17</w:t>
            </w:r>
            <w:r w:rsidR="0002614C" w:rsidRPr="00082992">
              <w:rPr>
                <w:b/>
                <w:sz w:val="16"/>
                <w:szCs w:val="16"/>
              </w:rPr>
              <w:t>.0</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6D7EA95A" w14:textId="77777777" w:rsidR="001A73E9" w:rsidRPr="00082992" w:rsidRDefault="001A73E9" w:rsidP="005928D4">
            <w:pPr>
              <w:pStyle w:val="ExhibitText"/>
              <w:jc w:val="right"/>
              <w:rPr>
                <w:b/>
                <w:sz w:val="16"/>
                <w:szCs w:val="16"/>
              </w:rPr>
            </w:pPr>
            <w:r w:rsidRPr="00082992">
              <w:rPr>
                <w:b/>
                <w:sz w:val="16"/>
                <w:szCs w:val="16"/>
              </w:rPr>
              <w:t>4.9</w:t>
            </w:r>
          </w:p>
        </w:tc>
        <w:tc>
          <w:tcPr>
            <w:tcW w:w="593" w:type="dxa"/>
            <w:tcBorders>
              <w:top w:val="single" w:sz="4" w:space="0" w:color="auto"/>
              <w:left w:val="single" w:sz="4" w:space="0" w:color="auto"/>
              <w:bottom w:val="single" w:sz="4" w:space="0" w:color="auto"/>
              <w:right w:val="single" w:sz="4" w:space="0" w:color="auto"/>
            </w:tcBorders>
            <w:noWrap/>
            <w:vAlign w:val="center"/>
            <w:hideMark/>
          </w:tcPr>
          <w:p w14:paraId="2F33DEAD" w14:textId="77777777" w:rsidR="001A73E9" w:rsidRPr="00082992" w:rsidRDefault="001A73E9" w:rsidP="005928D4">
            <w:pPr>
              <w:pStyle w:val="ExhibitText"/>
              <w:jc w:val="right"/>
              <w:rPr>
                <w:b/>
                <w:sz w:val="16"/>
                <w:szCs w:val="16"/>
              </w:rPr>
            </w:pPr>
            <w:r w:rsidRPr="00082992">
              <w:rPr>
                <w:b/>
                <w:sz w:val="16"/>
                <w:szCs w:val="16"/>
              </w:rPr>
              <w:t>8.6</w:t>
            </w:r>
          </w:p>
        </w:tc>
        <w:tc>
          <w:tcPr>
            <w:tcW w:w="594" w:type="dxa"/>
            <w:tcBorders>
              <w:top w:val="single" w:sz="4" w:space="0" w:color="auto"/>
              <w:left w:val="single" w:sz="4" w:space="0" w:color="auto"/>
              <w:bottom w:val="single" w:sz="4" w:space="0" w:color="auto"/>
              <w:right w:val="single" w:sz="4" w:space="0" w:color="auto"/>
            </w:tcBorders>
            <w:noWrap/>
            <w:vAlign w:val="center"/>
            <w:hideMark/>
          </w:tcPr>
          <w:p w14:paraId="73F26BC9" w14:textId="77777777" w:rsidR="001A73E9" w:rsidRPr="00082992" w:rsidRDefault="001A73E9" w:rsidP="005928D4">
            <w:pPr>
              <w:pStyle w:val="ExhibitText"/>
              <w:jc w:val="right"/>
              <w:rPr>
                <w:b/>
                <w:sz w:val="16"/>
                <w:szCs w:val="16"/>
              </w:rPr>
            </w:pPr>
            <w:r w:rsidRPr="00082992">
              <w:rPr>
                <w:b/>
                <w:sz w:val="16"/>
                <w:szCs w:val="16"/>
              </w:rPr>
              <w:t>3.9</w:t>
            </w:r>
          </w:p>
        </w:tc>
      </w:tr>
    </w:tbl>
    <w:p w14:paraId="573E37A6" w14:textId="77777777" w:rsidR="001D04CD" w:rsidRPr="00082992" w:rsidRDefault="001D04CD">
      <w:pPr>
        <w:spacing w:after="200" w:line="276" w:lineRule="auto"/>
        <w:rPr>
          <w:rFonts w:ascii="Arial" w:hAnsi="Arial" w:cs="Arial"/>
          <w:b/>
          <w:caps/>
        </w:rPr>
      </w:pPr>
      <w:r w:rsidRPr="00082992">
        <w:br w:type="page"/>
      </w:r>
    </w:p>
    <w:p w14:paraId="4DFC95BD" w14:textId="2475D377" w:rsidR="008D086B" w:rsidRPr="00082992" w:rsidRDefault="008D086B" w:rsidP="00187DCD">
      <w:pPr>
        <w:pStyle w:val="ExhibitHeading"/>
        <w:outlineLvl w:val="0"/>
      </w:pPr>
      <w:r w:rsidRPr="00082992">
        <w:lastRenderedPageBreak/>
        <w:t xml:space="preserve">EXHIBIT </w:t>
      </w:r>
      <w:r w:rsidR="009D6A25" w:rsidRPr="00082992">
        <w:t>6</w:t>
      </w:r>
      <w:r w:rsidRPr="00082992">
        <w:t xml:space="preserve"> (continued) </w:t>
      </w:r>
    </w:p>
    <w:p w14:paraId="11E1BC44" w14:textId="77777777" w:rsidR="00242A39" w:rsidRPr="00082992" w:rsidRDefault="00242A39"/>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1890"/>
        <w:gridCol w:w="2610"/>
        <w:gridCol w:w="629"/>
        <w:gridCol w:w="630"/>
        <w:gridCol w:w="629"/>
        <w:gridCol w:w="630"/>
        <w:gridCol w:w="632"/>
        <w:gridCol w:w="627"/>
        <w:gridCol w:w="629"/>
        <w:gridCol w:w="630"/>
        <w:gridCol w:w="629"/>
        <w:gridCol w:w="630"/>
      </w:tblGrid>
      <w:tr w:rsidR="00082992" w:rsidRPr="00082992" w14:paraId="724B299E" w14:textId="77777777" w:rsidTr="00082992">
        <w:trPr>
          <w:trHeight w:val="314"/>
          <w:jc w:val="center"/>
        </w:trPr>
        <w:tc>
          <w:tcPr>
            <w:tcW w:w="6655" w:type="dxa"/>
            <w:gridSpan w:val="3"/>
            <w:tcBorders>
              <w:top w:val="single" w:sz="4" w:space="0" w:color="auto"/>
              <w:left w:val="single" w:sz="4" w:space="0" w:color="auto"/>
              <w:bottom w:val="single" w:sz="4" w:space="0" w:color="auto"/>
              <w:right w:val="single" w:sz="4" w:space="0" w:color="auto"/>
            </w:tcBorders>
            <w:noWrap/>
            <w:vAlign w:val="center"/>
            <w:hideMark/>
          </w:tcPr>
          <w:p w14:paraId="075CD10B" w14:textId="60931770" w:rsidR="001D04CD" w:rsidRPr="00082992" w:rsidRDefault="00DB7BB2" w:rsidP="00DB7BB2">
            <w:pPr>
              <w:pStyle w:val="ExhibitText"/>
              <w:jc w:val="left"/>
              <w:rPr>
                <w:b/>
                <w:sz w:val="16"/>
                <w:szCs w:val="16"/>
              </w:rPr>
            </w:pPr>
            <w:r w:rsidRPr="00082992">
              <w:rPr>
                <w:b/>
                <w:sz w:val="16"/>
                <w:szCs w:val="16"/>
              </w:rPr>
              <w:t>CATEGORY</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ECC4E45" w14:textId="7C4A5547" w:rsidR="001D04CD" w:rsidRPr="00082992" w:rsidRDefault="00DB7BB2" w:rsidP="00DB7BB2">
            <w:pPr>
              <w:pStyle w:val="ExhibitText"/>
              <w:jc w:val="right"/>
              <w:rPr>
                <w:b/>
                <w:sz w:val="16"/>
                <w:szCs w:val="16"/>
              </w:rPr>
            </w:pPr>
            <w:r w:rsidRPr="00082992">
              <w:rPr>
                <w:b/>
                <w:sz w:val="16"/>
                <w:szCs w:val="16"/>
              </w:rPr>
              <w:t>2007</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EE3542E" w14:textId="53C90275" w:rsidR="001D04CD" w:rsidRPr="00082992" w:rsidRDefault="00DB7BB2" w:rsidP="00DB7BB2">
            <w:pPr>
              <w:pStyle w:val="ExhibitText"/>
              <w:jc w:val="right"/>
              <w:rPr>
                <w:b/>
                <w:sz w:val="16"/>
                <w:szCs w:val="16"/>
              </w:rPr>
            </w:pPr>
            <w:r w:rsidRPr="00082992">
              <w:rPr>
                <w:b/>
                <w:sz w:val="16"/>
                <w:szCs w:val="16"/>
              </w:rPr>
              <w:t>2008</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2213B83" w14:textId="28E1A0C4" w:rsidR="001D04CD" w:rsidRPr="00082992" w:rsidRDefault="00DB7BB2" w:rsidP="00DB7BB2">
            <w:pPr>
              <w:pStyle w:val="ExhibitText"/>
              <w:jc w:val="right"/>
              <w:rPr>
                <w:b/>
                <w:sz w:val="16"/>
                <w:szCs w:val="16"/>
              </w:rPr>
            </w:pPr>
            <w:r w:rsidRPr="00082992">
              <w:rPr>
                <w:b/>
                <w:sz w:val="16"/>
                <w:szCs w:val="16"/>
              </w:rPr>
              <w:t>2009</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FF4B90D" w14:textId="487B3FAE" w:rsidR="001D04CD" w:rsidRPr="00082992" w:rsidRDefault="00DB7BB2" w:rsidP="00DB7BB2">
            <w:pPr>
              <w:pStyle w:val="ExhibitText"/>
              <w:jc w:val="right"/>
              <w:rPr>
                <w:b/>
                <w:sz w:val="16"/>
                <w:szCs w:val="16"/>
              </w:rPr>
            </w:pPr>
            <w:r w:rsidRPr="00082992">
              <w:rPr>
                <w:b/>
                <w:sz w:val="16"/>
                <w:szCs w:val="16"/>
              </w:rPr>
              <w:t>2010</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7A6C04DC" w14:textId="256662E2" w:rsidR="001D04CD" w:rsidRPr="00082992" w:rsidRDefault="00DB7BB2" w:rsidP="00DB7BB2">
            <w:pPr>
              <w:pStyle w:val="ExhibitText"/>
              <w:jc w:val="right"/>
              <w:rPr>
                <w:b/>
                <w:sz w:val="16"/>
                <w:szCs w:val="16"/>
              </w:rPr>
            </w:pPr>
            <w:r w:rsidRPr="00082992">
              <w:rPr>
                <w:b/>
                <w:sz w:val="16"/>
                <w:szCs w:val="16"/>
              </w:rPr>
              <w:t>2011</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1D03544D" w14:textId="766D5D24" w:rsidR="001D04CD" w:rsidRPr="00082992" w:rsidRDefault="00DB7BB2" w:rsidP="00DB7BB2">
            <w:pPr>
              <w:pStyle w:val="ExhibitText"/>
              <w:jc w:val="right"/>
              <w:rPr>
                <w:b/>
                <w:sz w:val="16"/>
                <w:szCs w:val="16"/>
              </w:rPr>
            </w:pPr>
            <w:r w:rsidRPr="00082992">
              <w:rPr>
                <w:b/>
                <w:sz w:val="16"/>
                <w:szCs w:val="16"/>
              </w:rPr>
              <w:t>2012</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3C5C280" w14:textId="47CCD798" w:rsidR="001D04CD" w:rsidRPr="00082992" w:rsidRDefault="00DB7BB2" w:rsidP="00DB7BB2">
            <w:pPr>
              <w:pStyle w:val="ExhibitText"/>
              <w:jc w:val="right"/>
              <w:rPr>
                <w:b/>
                <w:sz w:val="16"/>
                <w:szCs w:val="16"/>
              </w:rPr>
            </w:pPr>
            <w:r w:rsidRPr="00082992">
              <w:rPr>
                <w:b/>
                <w:sz w:val="16"/>
                <w:szCs w:val="16"/>
              </w:rPr>
              <w:t>2013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74C368A3" w14:textId="43DE03FA" w:rsidR="001D04CD" w:rsidRPr="00082992" w:rsidRDefault="00DB7BB2" w:rsidP="00DB7BB2">
            <w:pPr>
              <w:pStyle w:val="ExhibitText"/>
              <w:jc w:val="right"/>
              <w:rPr>
                <w:b/>
                <w:sz w:val="16"/>
                <w:szCs w:val="16"/>
              </w:rPr>
            </w:pPr>
            <w:r w:rsidRPr="00082992">
              <w:rPr>
                <w:b/>
                <w:sz w:val="16"/>
                <w:szCs w:val="16"/>
              </w:rPr>
              <w:t>2014</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79221A4" w14:textId="61000525" w:rsidR="001D04CD" w:rsidRPr="00082992" w:rsidRDefault="00DB7BB2" w:rsidP="00DB7BB2">
            <w:pPr>
              <w:pStyle w:val="ExhibitText"/>
              <w:jc w:val="right"/>
              <w:rPr>
                <w:b/>
                <w:sz w:val="16"/>
                <w:szCs w:val="16"/>
              </w:rPr>
            </w:pPr>
            <w:r w:rsidRPr="00082992">
              <w:rPr>
                <w:b/>
                <w:sz w:val="16"/>
                <w:szCs w:val="16"/>
              </w:rPr>
              <w:t>2015</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0C213DC3" w14:textId="165638DA" w:rsidR="001D04CD" w:rsidRPr="00082992" w:rsidRDefault="00DB7BB2" w:rsidP="00DB7BB2">
            <w:pPr>
              <w:pStyle w:val="ExhibitText"/>
              <w:jc w:val="right"/>
              <w:rPr>
                <w:b/>
                <w:sz w:val="16"/>
                <w:szCs w:val="16"/>
              </w:rPr>
            </w:pPr>
            <w:r w:rsidRPr="00082992">
              <w:rPr>
                <w:b/>
                <w:sz w:val="16"/>
                <w:szCs w:val="16"/>
              </w:rPr>
              <w:t>2016</w:t>
            </w:r>
          </w:p>
        </w:tc>
      </w:tr>
      <w:tr w:rsidR="00082992" w:rsidRPr="00082992" w14:paraId="4F9CF74A" w14:textId="77777777" w:rsidTr="00082992">
        <w:trPr>
          <w:trHeight w:val="288"/>
          <w:jc w:val="center"/>
        </w:trPr>
        <w:tc>
          <w:tcPr>
            <w:tcW w:w="6655" w:type="dxa"/>
            <w:gridSpan w:val="3"/>
            <w:tcBorders>
              <w:top w:val="single" w:sz="4" w:space="0" w:color="auto"/>
              <w:left w:val="single" w:sz="4" w:space="0" w:color="auto"/>
              <w:bottom w:val="single" w:sz="4" w:space="0" w:color="auto"/>
              <w:right w:val="single" w:sz="4" w:space="0" w:color="auto"/>
            </w:tcBorders>
            <w:vAlign w:val="center"/>
            <w:hideMark/>
          </w:tcPr>
          <w:p w14:paraId="76875251" w14:textId="330C6EB7" w:rsidR="001A73E9" w:rsidRPr="00082992" w:rsidRDefault="00DB7BB2" w:rsidP="00DB7BB2">
            <w:pPr>
              <w:pStyle w:val="ExhibitText"/>
              <w:jc w:val="left"/>
              <w:rPr>
                <w:bCs/>
                <w:sz w:val="16"/>
                <w:szCs w:val="16"/>
              </w:rPr>
            </w:pPr>
            <w:r w:rsidRPr="00082992">
              <w:rPr>
                <w:bCs/>
                <w:sz w:val="16"/>
                <w:szCs w:val="16"/>
              </w:rPr>
              <w:t>Primary Expenditure</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406DD2A7" w14:textId="42A1BACE" w:rsidR="001A73E9" w:rsidRPr="00082992" w:rsidRDefault="00DB7BB2" w:rsidP="00DB7BB2">
            <w:pPr>
              <w:pStyle w:val="ExhibitText"/>
              <w:jc w:val="right"/>
              <w:rPr>
                <w:sz w:val="16"/>
                <w:szCs w:val="16"/>
              </w:rPr>
            </w:pPr>
            <w:r w:rsidRPr="00082992">
              <w:rPr>
                <w:sz w:val="16"/>
                <w:szCs w:val="16"/>
              </w:rPr>
              <w:t>42.6</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503739CB" w14:textId="514527A0" w:rsidR="001A73E9" w:rsidRPr="00082992" w:rsidRDefault="00DB7BB2" w:rsidP="00DB7BB2">
            <w:pPr>
              <w:pStyle w:val="ExhibitText"/>
              <w:jc w:val="right"/>
              <w:rPr>
                <w:sz w:val="16"/>
                <w:szCs w:val="16"/>
              </w:rPr>
            </w:pPr>
            <w:r w:rsidRPr="00082992">
              <w:rPr>
                <w:sz w:val="16"/>
                <w:szCs w:val="16"/>
              </w:rPr>
              <w:t>46</w:t>
            </w:r>
            <w:r w:rsidR="00572ADE" w:rsidRPr="00082992">
              <w:rPr>
                <w:sz w:val="16"/>
                <w:szCs w:val="16"/>
              </w:rPr>
              <w:t>.0</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71B0F483" w14:textId="650DFFC9" w:rsidR="001A73E9" w:rsidRPr="00082992" w:rsidRDefault="00DB7BB2" w:rsidP="00DB7BB2">
            <w:pPr>
              <w:pStyle w:val="ExhibitText"/>
              <w:jc w:val="right"/>
              <w:rPr>
                <w:sz w:val="16"/>
                <w:szCs w:val="16"/>
              </w:rPr>
            </w:pPr>
            <w:r w:rsidRPr="00082992">
              <w:rPr>
                <w:sz w:val="16"/>
                <w:szCs w:val="16"/>
              </w:rPr>
              <w:t>49</w:t>
            </w:r>
            <w:r w:rsidR="00572ADE" w:rsidRPr="00082992">
              <w:rPr>
                <w:sz w:val="16"/>
                <w:szCs w:val="16"/>
              </w:rPr>
              <w:t>.0</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2CA148A4" w14:textId="71F2D053" w:rsidR="001A73E9" w:rsidRPr="00082992" w:rsidRDefault="00DB7BB2" w:rsidP="00DB7BB2">
            <w:pPr>
              <w:pStyle w:val="ExhibitText"/>
              <w:jc w:val="right"/>
              <w:rPr>
                <w:sz w:val="16"/>
                <w:szCs w:val="16"/>
              </w:rPr>
            </w:pPr>
            <w:r w:rsidRPr="00082992">
              <w:rPr>
                <w:sz w:val="16"/>
                <w:szCs w:val="16"/>
              </w:rPr>
              <w:t>46.6</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426C8994" w14:textId="651AB9FA" w:rsidR="001A73E9" w:rsidRPr="00082992" w:rsidRDefault="00DB7BB2" w:rsidP="00DB7BB2">
            <w:pPr>
              <w:pStyle w:val="ExhibitText"/>
              <w:jc w:val="right"/>
              <w:rPr>
                <w:sz w:val="16"/>
                <w:szCs w:val="16"/>
              </w:rPr>
            </w:pPr>
            <w:r w:rsidRPr="00082992">
              <w:rPr>
                <w:sz w:val="16"/>
                <w:szCs w:val="16"/>
              </w:rPr>
              <w:t>47</w:t>
            </w:r>
            <w:r w:rsidR="00572ADE" w:rsidRPr="00082992">
              <w:rPr>
                <w:sz w:val="16"/>
                <w:szCs w:val="16"/>
              </w:rPr>
              <w:t>.0</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58E6CFFA" w14:textId="4A3F5FAC" w:rsidR="001A73E9" w:rsidRPr="00082992" w:rsidRDefault="00DB7BB2" w:rsidP="00DB7BB2">
            <w:pPr>
              <w:pStyle w:val="ExhibitText"/>
              <w:jc w:val="right"/>
              <w:rPr>
                <w:sz w:val="16"/>
                <w:szCs w:val="16"/>
              </w:rPr>
            </w:pPr>
            <w:r w:rsidRPr="00082992">
              <w:rPr>
                <w:sz w:val="16"/>
                <w:szCs w:val="16"/>
              </w:rPr>
              <w:t>50.3</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9C5822A" w14:textId="2C697A6F" w:rsidR="001A73E9" w:rsidRPr="00082992" w:rsidRDefault="00DB7BB2" w:rsidP="00DB7BB2">
            <w:pPr>
              <w:pStyle w:val="ExhibitText"/>
              <w:jc w:val="right"/>
              <w:rPr>
                <w:sz w:val="16"/>
                <w:szCs w:val="16"/>
              </w:rPr>
            </w:pPr>
            <w:r w:rsidRPr="00082992">
              <w:rPr>
                <w:sz w:val="16"/>
                <w:szCs w:val="16"/>
              </w:rPr>
              <w:t>58.2</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91F3EA8" w14:textId="179E43BF" w:rsidR="001A73E9" w:rsidRPr="00082992" w:rsidRDefault="00DB7BB2" w:rsidP="00DB7BB2">
            <w:pPr>
              <w:pStyle w:val="ExhibitText"/>
              <w:jc w:val="right"/>
              <w:rPr>
                <w:sz w:val="16"/>
                <w:szCs w:val="16"/>
              </w:rPr>
            </w:pPr>
            <w:r w:rsidRPr="00082992">
              <w:rPr>
                <w:sz w:val="16"/>
                <w:szCs w:val="16"/>
              </w:rPr>
              <w:t>46.6</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EB36BC0" w14:textId="7AD1580F" w:rsidR="001A73E9" w:rsidRPr="00082992" w:rsidRDefault="00DB7BB2" w:rsidP="00DB7BB2">
            <w:pPr>
              <w:pStyle w:val="ExhibitText"/>
              <w:jc w:val="right"/>
              <w:rPr>
                <w:sz w:val="16"/>
                <w:szCs w:val="16"/>
              </w:rPr>
            </w:pPr>
            <w:r w:rsidRPr="00082992">
              <w:rPr>
                <w:sz w:val="16"/>
                <w:szCs w:val="16"/>
              </w:rPr>
              <w:t>50.6</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243991D9" w14:textId="54E1B020" w:rsidR="001A73E9" w:rsidRPr="00082992" w:rsidRDefault="00DB7BB2" w:rsidP="00DB7BB2">
            <w:pPr>
              <w:pStyle w:val="ExhibitText"/>
              <w:jc w:val="right"/>
              <w:rPr>
                <w:sz w:val="16"/>
                <w:szCs w:val="16"/>
              </w:rPr>
            </w:pPr>
            <w:r w:rsidRPr="00082992">
              <w:rPr>
                <w:sz w:val="16"/>
                <w:szCs w:val="16"/>
              </w:rPr>
              <w:t>45.8</w:t>
            </w:r>
          </w:p>
        </w:tc>
      </w:tr>
      <w:tr w:rsidR="00082992" w:rsidRPr="00082992" w14:paraId="69CF9DD7" w14:textId="77777777" w:rsidTr="00082992">
        <w:trPr>
          <w:trHeight w:val="288"/>
          <w:jc w:val="center"/>
        </w:trPr>
        <w:tc>
          <w:tcPr>
            <w:tcW w:w="2155" w:type="dxa"/>
            <w:vMerge w:val="restart"/>
            <w:tcBorders>
              <w:top w:val="single" w:sz="4" w:space="0" w:color="auto"/>
              <w:left w:val="single" w:sz="4" w:space="0" w:color="auto"/>
              <w:bottom w:val="single" w:sz="4" w:space="0" w:color="auto"/>
              <w:right w:val="single" w:sz="4" w:space="0" w:color="auto"/>
            </w:tcBorders>
            <w:vAlign w:val="center"/>
            <w:hideMark/>
          </w:tcPr>
          <w:p w14:paraId="53DC5E10" w14:textId="75F1F1E6" w:rsidR="00DB7BB2" w:rsidRPr="00082992" w:rsidRDefault="00DB7BB2">
            <w:pPr>
              <w:pStyle w:val="ExhibitText"/>
              <w:jc w:val="left"/>
              <w:rPr>
                <w:bCs/>
                <w:sz w:val="16"/>
                <w:szCs w:val="16"/>
              </w:rPr>
            </w:pPr>
            <w:r w:rsidRPr="00082992">
              <w:rPr>
                <w:bCs/>
                <w:sz w:val="16"/>
                <w:szCs w:val="16"/>
              </w:rPr>
              <w:t>General Government</w:t>
            </w:r>
            <w:r w:rsidR="001A02A7">
              <w:rPr>
                <w:bCs/>
                <w:sz w:val="16"/>
                <w:szCs w:val="16"/>
              </w:rPr>
              <w:t xml:space="preserve"> D</w:t>
            </w:r>
            <w:r w:rsidRPr="00082992">
              <w:rPr>
                <w:bCs/>
                <w:sz w:val="16"/>
                <w:szCs w:val="16"/>
              </w:rPr>
              <w:t xml:space="preserve">eficit/Surplus, </w:t>
            </w:r>
          </w:p>
          <w:p w14:paraId="3230B101" w14:textId="6F14D61B" w:rsidR="00DB7BB2" w:rsidRPr="00082992" w:rsidRDefault="00DB7BB2">
            <w:pPr>
              <w:pStyle w:val="ExhibitText"/>
              <w:jc w:val="left"/>
              <w:rPr>
                <w:bCs/>
                <w:sz w:val="16"/>
                <w:szCs w:val="16"/>
              </w:rPr>
            </w:pPr>
            <w:r w:rsidRPr="00082992">
              <w:rPr>
                <w:bCs/>
                <w:sz w:val="16"/>
                <w:szCs w:val="16"/>
              </w:rPr>
              <w:t xml:space="preserve">Primary Deficit/Surplus, and Government Consumption </w:t>
            </w:r>
          </w:p>
          <w:p w14:paraId="53C7BA55" w14:textId="58DB61E3" w:rsidR="001A73E9" w:rsidRPr="00082992" w:rsidRDefault="00DB7BB2">
            <w:pPr>
              <w:pStyle w:val="ExhibitText"/>
              <w:jc w:val="left"/>
              <w:rPr>
                <w:bCs/>
                <w:sz w:val="16"/>
                <w:szCs w:val="16"/>
              </w:rPr>
            </w:pPr>
            <w:r w:rsidRPr="00082992">
              <w:rPr>
                <w:bCs/>
                <w:sz w:val="16"/>
                <w:szCs w:val="16"/>
              </w:rPr>
              <w:t>(Percentage of GDP)</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304430A9" w14:textId="0A344DE8" w:rsidR="001A73E9" w:rsidRPr="00082992" w:rsidRDefault="00DB7BB2">
            <w:pPr>
              <w:pStyle w:val="ExhibitText"/>
              <w:jc w:val="left"/>
              <w:rPr>
                <w:bCs/>
                <w:sz w:val="16"/>
                <w:szCs w:val="16"/>
              </w:rPr>
            </w:pPr>
            <w:r w:rsidRPr="00082992">
              <w:rPr>
                <w:bCs/>
                <w:sz w:val="16"/>
                <w:szCs w:val="16"/>
              </w:rPr>
              <w:t>Government Deficit (−) / Surplus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30B9ECF" w14:textId="05F70E2A" w:rsidR="001A73E9" w:rsidRPr="00082992" w:rsidRDefault="00DB7BB2" w:rsidP="00DB7BB2">
            <w:pPr>
              <w:pStyle w:val="ExhibitText"/>
              <w:jc w:val="left"/>
              <w:rPr>
                <w:bCs/>
                <w:sz w:val="16"/>
                <w:szCs w:val="16"/>
              </w:rPr>
            </w:pPr>
            <w:r w:rsidRPr="00082992">
              <w:rPr>
                <w:bCs/>
                <w:sz w:val="16"/>
                <w:szCs w:val="16"/>
              </w:rPr>
              <w:t>Central Government</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FD835C1" w14:textId="139D80A5"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7.3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492FCB1" w14:textId="1C5CF8BC"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11</w:t>
            </w:r>
            <w:r w:rsidRPr="00082992">
              <w:rPr>
                <w:sz w:val="16"/>
                <w:szCs w:val="16"/>
              </w:rPr>
              <w:t>.0</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5F4C207" w14:textId="35BF0004"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15.1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79C47B6E" w14:textId="7B706A5F"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10.7</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01C01297" w14:textId="22ADC54F"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9.3</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4095E66C" w14:textId="7F7738D8"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8.4</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1B5A696" w14:textId="1BCCABCF"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15.4</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0C4A1CF" w14:textId="15E7E910"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4.4</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2804975" w14:textId="7CE4BB83"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5.9</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E8EDD61" w14:textId="6DFA9356"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0.8</w:t>
            </w:r>
          </w:p>
        </w:tc>
      </w:tr>
      <w:tr w:rsidR="00082992" w:rsidRPr="00082992" w14:paraId="45ADC6EE"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5CE72582"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A96D55A"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7783B176" w14:textId="71E71900" w:rsidR="001A73E9" w:rsidRPr="00082992" w:rsidRDefault="00DB7BB2" w:rsidP="00DB7BB2">
            <w:pPr>
              <w:pStyle w:val="ExhibitText"/>
              <w:jc w:val="left"/>
              <w:rPr>
                <w:bCs/>
                <w:sz w:val="16"/>
                <w:szCs w:val="16"/>
              </w:rPr>
            </w:pPr>
            <w:r w:rsidRPr="00082992">
              <w:rPr>
                <w:bCs/>
                <w:sz w:val="16"/>
                <w:szCs w:val="16"/>
              </w:rPr>
              <w:t>State Government</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123BFEEB" w14:textId="54895FD9" w:rsidR="001A73E9" w:rsidRPr="00082992" w:rsidRDefault="00DB7BB2" w:rsidP="00DB7BB2">
            <w:pPr>
              <w:pStyle w:val="ExhibitText"/>
              <w:jc w:val="right"/>
              <w:rPr>
                <w:sz w:val="16"/>
                <w:szCs w:val="16"/>
              </w:rPr>
            </w:pPr>
            <w:r w:rsidRPr="00082992">
              <w:rPr>
                <w:sz w:val="16"/>
                <w:szCs w:val="16"/>
              </w:rPr>
              <w:t xml:space="preserve"> </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22AF4B60" w14:textId="6679C847" w:rsidR="001A73E9" w:rsidRPr="00082992" w:rsidRDefault="00DB7BB2" w:rsidP="00DB7BB2">
            <w:pPr>
              <w:pStyle w:val="ExhibitText"/>
              <w:jc w:val="right"/>
              <w:rPr>
                <w:sz w:val="16"/>
                <w:szCs w:val="16"/>
              </w:rPr>
            </w:pPr>
            <w:r w:rsidRPr="00082992">
              <w:rPr>
                <w:sz w:val="16"/>
                <w:szCs w:val="16"/>
              </w:rPr>
              <w:t xml:space="preserve"> </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39EB58B9" w14:textId="099ABA53" w:rsidR="001A73E9" w:rsidRPr="00082992" w:rsidRDefault="00DB7BB2" w:rsidP="00DB7BB2">
            <w:pPr>
              <w:pStyle w:val="ExhibitText"/>
              <w:jc w:val="right"/>
              <w:rPr>
                <w:sz w:val="16"/>
                <w:szCs w:val="16"/>
              </w:rPr>
            </w:pPr>
            <w:r w:rsidRPr="00082992">
              <w:rPr>
                <w:sz w:val="16"/>
                <w:szCs w:val="16"/>
              </w:rPr>
              <w:t xml:space="preserve"> </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4B7898D" w14:textId="3901E1C6" w:rsidR="001A73E9" w:rsidRPr="00082992" w:rsidRDefault="00DB7BB2" w:rsidP="00DB7BB2">
            <w:pPr>
              <w:pStyle w:val="ExhibitText"/>
              <w:jc w:val="right"/>
              <w:rPr>
                <w:sz w:val="16"/>
                <w:szCs w:val="16"/>
              </w:rPr>
            </w:pPr>
            <w:r w:rsidRPr="00082992">
              <w:rPr>
                <w:sz w:val="16"/>
                <w:szCs w:val="16"/>
              </w:rPr>
              <w:t xml:space="preserve"> </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60249F9E" w14:textId="4EAC28D5" w:rsidR="001A73E9" w:rsidRPr="00082992" w:rsidRDefault="00DB7BB2" w:rsidP="00DB7BB2">
            <w:pPr>
              <w:pStyle w:val="ExhibitText"/>
              <w:jc w:val="right"/>
              <w:rPr>
                <w:sz w:val="16"/>
                <w:szCs w:val="16"/>
              </w:rPr>
            </w:pPr>
            <w:r w:rsidRPr="00082992">
              <w:rPr>
                <w:sz w:val="16"/>
                <w:szCs w:val="16"/>
              </w:rPr>
              <w:t xml:space="preserve"> </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780C4F7B" w14:textId="5652CEA0" w:rsidR="001A73E9" w:rsidRPr="00082992" w:rsidRDefault="00DB7BB2" w:rsidP="00DB7BB2">
            <w:pPr>
              <w:pStyle w:val="ExhibitText"/>
              <w:jc w:val="right"/>
              <w:rPr>
                <w:sz w:val="16"/>
                <w:szCs w:val="16"/>
              </w:rPr>
            </w:pPr>
            <w:r w:rsidRPr="00082992">
              <w:rPr>
                <w:sz w:val="16"/>
                <w:szCs w:val="16"/>
              </w:rPr>
              <w:t xml:space="preserve"> </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B520EC8" w14:textId="0DD26E4E" w:rsidR="001A73E9" w:rsidRPr="00082992" w:rsidRDefault="00DB7BB2" w:rsidP="00DB7BB2">
            <w:pPr>
              <w:pStyle w:val="ExhibitText"/>
              <w:jc w:val="right"/>
              <w:rPr>
                <w:sz w:val="16"/>
                <w:szCs w:val="16"/>
              </w:rPr>
            </w:pPr>
            <w:r w:rsidRPr="00082992">
              <w:rPr>
                <w:sz w:val="16"/>
                <w:szCs w:val="16"/>
              </w:rPr>
              <w:t xml:space="preserve"> </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660DD41D" w14:textId="5B365A91" w:rsidR="001A73E9" w:rsidRPr="00082992" w:rsidRDefault="00DB7BB2" w:rsidP="00DB7BB2">
            <w:pPr>
              <w:pStyle w:val="ExhibitText"/>
              <w:jc w:val="right"/>
              <w:rPr>
                <w:sz w:val="16"/>
                <w:szCs w:val="16"/>
              </w:rPr>
            </w:pPr>
            <w:r w:rsidRPr="00082992">
              <w:rPr>
                <w:sz w:val="16"/>
                <w:szCs w:val="16"/>
              </w:rPr>
              <w:t xml:space="preserve"> </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3B8F44FC" w14:textId="7EACD1C4" w:rsidR="001A73E9" w:rsidRPr="00082992" w:rsidRDefault="00DB7BB2" w:rsidP="00DB7BB2">
            <w:pPr>
              <w:pStyle w:val="ExhibitText"/>
              <w:jc w:val="right"/>
              <w:rPr>
                <w:sz w:val="16"/>
                <w:szCs w:val="16"/>
              </w:rPr>
            </w:pPr>
            <w:r w:rsidRPr="00082992">
              <w:rPr>
                <w:sz w:val="16"/>
                <w:szCs w:val="16"/>
              </w:rPr>
              <w:t xml:space="preserve"> </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02565955" w14:textId="3DA3AE99" w:rsidR="001A73E9" w:rsidRPr="00082992" w:rsidRDefault="00DB7BB2" w:rsidP="00DB7BB2">
            <w:pPr>
              <w:pStyle w:val="ExhibitText"/>
              <w:jc w:val="right"/>
              <w:rPr>
                <w:sz w:val="16"/>
                <w:szCs w:val="16"/>
              </w:rPr>
            </w:pPr>
            <w:r w:rsidRPr="00082992">
              <w:rPr>
                <w:sz w:val="16"/>
                <w:szCs w:val="16"/>
              </w:rPr>
              <w:t xml:space="preserve"> </w:t>
            </w:r>
          </w:p>
        </w:tc>
      </w:tr>
      <w:tr w:rsidR="00082992" w:rsidRPr="00082992" w14:paraId="6AC3A09B"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36B56305"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7A47707"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2B773AEF" w14:textId="49B71A99" w:rsidR="001A73E9" w:rsidRPr="00082992" w:rsidRDefault="00DB7BB2" w:rsidP="00DB7BB2">
            <w:pPr>
              <w:pStyle w:val="ExhibitText"/>
              <w:jc w:val="left"/>
              <w:rPr>
                <w:bCs/>
                <w:sz w:val="16"/>
                <w:szCs w:val="16"/>
              </w:rPr>
            </w:pPr>
            <w:r w:rsidRPr="00082992">
              <w:rPr>
                <w:bCs/>
                <w:sz w:val="16"/>
                <w:szCs w:val="16"/>
              </w:rPr>
              <w:t>Local Government</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181CB22D" w14:textId="435488FA" w:rsidR="001A73E9" w:rsidRPr="00082992" w:rsidRDefault="00DB7BB2" w:rsidP="00DB7BB2">
            <w:pPr>
              <w:pStyle w:val="ExhibitText"/>
              <w:jc w:val="right"/>
              <w:rPr>
                <w:sz w:val="16"/>
                <w:szCs w:val="16"/>
              </w:rPr>
            </w:pPr>
            <w:r w:rsidRPr="00082992">
              <w:rPr>
                <w:sz w:val="16"/>
                <w:szCs w:val="16"/>
              </w:rPr>
              <w:t>0</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FEC298A" w14:textId="31D79FC9" w:rsidR="001A73E9" w:rsidRPr="00082992" w:rsidRDefault="00DB7BB2" w:rsidP="00DB7BB2">
            <w:pPr>
              <w:pStyle w:val="ExhibitText"/>
              <w:jc w:val="right"/>
              <w:rPr>
                <w:sz w:val="16"/>
                <w:szCs w:val="16"/>
              </w:rPr>
            </w:pPr>
            <w:r w:rsidRPr="00082992">
              <w:rPr>
                <w:sz w:val="16"/>
                <w:szCs w:val="16"/>
              </w:rPr>
              <w:t>0</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420247A8" w14:textId="49F04AA4" w:rsidR="001A73E9" w:rsidRPr="00082992" w:rsidRDefault="00DB7BB2" w:rsidP="00DB7BB2">
            <w:pPr>
              <w:pStyle w:val="ExhibitText"/>
              <w:jc w:val="right"/>
              <w:rPr>
                <w:sz w:val="16"/>
                <w:szCs w:val="16"/>
              </w:rPr>
            </w:pPr>
            <w:r w:rsidRPr="00082992">
              <w:rPr>
                <w:sz w:val="16"/>
                <w:szCs w:val="16"/>
              </w:rPr>
              <w:t>0</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6C83DE88" w14:textId="40F34919"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0.3</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19FCF3D5" w14:textId="4C154AE2" w:rsidR="001A73E9" w:rsidRPr="00082992" w:rsidRDefault="00DB7BB2" w:rsidP="00DB7BB2">
            <w:pPr>
              <w:pStyle w:val="ExhibitText"/>
              <w:jc w:val="right"/>
              <w:rPr>
                <w:sz w:val="16"/>
                <w:szCs w:val="16"/>
              </w:rPr>
            </w:pPr>
            <w:r w:rsidRPr="00082992">
              <w:rPr>
                <w:sz w:val="16"/>
                <w:szCs w:val="16"/>
              </w:rPr>
              <w:t>0.2</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1822DF90" w14:textId="16531137" w:rsidR="001A73E9" w:rsidRPr="00082992" w:rsidRDefault="00DB7BB2" w:rsidP="00DB7BB2">
            <w:pPr>
              <w:pStyle w:val="ExhibitText"/>
              <w:jc w:val="right"/>
              <w:rPr>
                <w:sz w:val="16"/>
                <w:szCs w:val="16"/>
              </w:rPr>
            </w:pPr>
            <w:r w:rsidRPr="00082992">
              <w:rPr>
                <w:sz w:val="16"/>
                <w:szCs w:val="16"/>
              </w:rPr>
              <w:t>0.3</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CE75F19" w14:textId="1867931E" w:rsidR="001A73E9" w:rsidRPr="00082992" w:rsidRDefault="00DB7BB2" w:rsidP="00DB7BB2">
            <w:pPr>
              <w:pStyle w:val="ExhibitText"/>
              <w:jc w:val="right"/>
              <w:rPr>
                <w:sz w:val="16"/>
                <w:szCs w:val="16"/>
              </w:rPr>
            </w:pPr>
            <w:r w:rsidRPr="00082992">
              <w:rPr>
                <w:sz w:val="16"/>
                <w:szCs w:val="16"/>
              </w:rPr>
              <w:t>0.4</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2337F602" w14:textId="4C6BE05D" w:rsidR="001A73E9" w:rsidRPr="00082992" w:rsidRDefault="00DB7BB2" w:rsidP="00DB7BB2">
            <w:pPr>
              <w:pStyle w:val="ExhibitText"/>
              <w:jc w:val="right"/>
              <w:rPr>
                <w:sz w:val="16"/>
                <w:szCs w:val="16"/>
              </w:rPr>
            </w:pPr>
            <w:r w:rsidRPr="00082992">
              <w:rPr>
                <w:sz w:val="16"/>
                <w:szCs w:val="16"/>
              </w:rPr>
              <w:t>0.3</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34E57FD9" w14:textId="34DC78DF" w:rsidR="001A73E9" w:rsidRPr="00082992" w:rsidRDefault="00DB7BB2" w:rsidP="00DB7BB2">
            <w:pPr>
              <w:pStyle w:val="ExhibitText"/>
              <w:jc w:val="right"/>
              <w:rPr>
                <w:sz w:val="16"/>
                <w:szCs w:val="16"/>
              </w:rPr>
            </w:pPr>
            <w:r w:rsidRPr="00082992">
              <w:rPr>
                <w:sz w:val="16"/>
                <w:szCs w:val="16"/>
              </w:rPr>
              <w:t>0.3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6366687E" w14:textId="2770013D" w:rsidR="001A73E9" w:rsidRPr="00082992" w:rsidRDefault="00DB7BB2" w:rsidP="00DB7BB2">
            <w:pPr>
              <w:pStyle w:val="ExhibitText"/>
              <w:jc w:val="right"/>
              <w:rPr>
                <w:sz w:val="16"/>
                <w:szCs w:val="16"/>
              </w:rPr>
            </w:pPr>
            <w:r w:rsidRPr="00082992">
              <w:rPr>
                <w:sz w:val="16"/>
                <w:szCs w:val="16"/>
              </w:rPr>
              <w:t>0.3</w:t>
            </w:r>
          </w:p>
        </w:tc>
      </w:tr>
      <w:tr w:rsidR="00082992" w:rsidRPr="00082992" w14:paraId="100AD602"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6DF55DA8"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7916DFD4"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7D95B422" w14:textId="1A6957D3" w:rsidR="001A73E9" w:rsidRPr="00082992" w:rsidRDefault="00DB7BB2" w:rsidP="00DB7BB2">
            <w:pPr>
              <w:pStyle w:val="ExhibitText"/>
              <w:jc w:val="left"/>
              <w:rPr>
                <w:bCs/>
                <w:sz w:val="16"/>
                <w:szCs w:val="16"/>
              </w:rPr>
            </w:pPr>
            <w:r w:rsidRPr="00082992">
              <w:rPr>
                <w:bCs/>
                <w:sz w:val="16"/>
                <w:szCs w:val="16"/>
              </w:rPr>
              <w:t>Social Security Funds</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732C80BF" w14:textId="7A86EE4D" w:rsidR="001A73E9" w:rsidRPr="00082992" w:rsidRDefault="00DB7BB2" w:rsidP="00DB7BB2">
            <w:pPr>
              <w:pStyle w:val="ExhibitText"/>
              <w:jc w:val="right"/>
              <w:rPr>
                <w:sz w:val="16"/>
                <w:szCs w:val="16"/>
              </w:rPr>
            </w:pPr>
            <w:r w:rsidRPr="00082992">
              <w:rPr>
                <w:sz w:val="16"/>
                <w:szCs w:val="16"/>
              </w:rPr>
              <w:t>0.6</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0D541E18" w14:textId="7B7F6BC0" w:rsidR="001A73E9" w:rsidRPr="00082992" w:rsidRDefault="00DB7BB2" w:rsidP="00DB7BB2">
            <w:pPr>
              <w:pStyle w:val="ExhibitText"/>
              <w:jc w:val="right"/>
              <w:rPr>
                <w:sz w:val="16"/>
                <w:szCs w:val="16"/>
              </w:rPr>
            </w:pPr>
            <w:r w:rsidRPr="00082992">
              <w:rPr>
                <w:sz w:val="16"/>
                <w:szCs w:val="16"/>
              </w:rPr>
              <w:t>0.9</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F133830" w14:textId="0772BB53" w:rsidR="001A73E9" w:rsidRPr="00082992" w:rsidRDefault="00DB7BB2" w:rsidP="00DB7BB2">
            <w:pPr>
              <w:pStyle w:val="ExhibitText"/>
              <w:jc w:val="right"/>
              <w:rPr>
                <w:sz w:val="16"/>
                <w:szCs w:val="16"/>
              </w:rPr>
            </w:pPr>
            <w:r w:rsidRPr="00082992">
              <w:rPr>
                <w:sz w:val="16"/>
                <w:szCs w:val="16"/>
              </w:rPr>
              <w:t>0</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F5F6F7D" w14:textId="50480B7D"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0.2</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1B44F78A" w14:textId="76ED9838"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1.2</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3FD9168A" w14:textId="13F58612"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0.8</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64288D3" w14:textId="75B0381F" w:rsidR="001A73E9" w:rsidRPr="00082992" w:rsidRDefault="00DB7BB2" w:rsidP="00DB7BB2">
            <w:pPr>
              <w:pStyle w:val="ExhibitText"/>
              <w:jc w:val="right"/>
              <w:rPr>
                <w:sz w:val="16"/>
                <w:szCs w:val="16"/>
              </w:rPr>
            </w:pPr>
            <w:r w:rsidRPr="00082992">
              <w:rPr>
                <w:sz w:val="16"/>
                <w:szCs w:val="16"/>
              </w:rPr>
              <w:t>1.9</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187AE37" w14:textId="5494B430" w:rsidR="001A73E9" w:rsidRPr="00082992" w:rsidRDefault="00DB7BB2" w:rsidP="00DB7BB2">
            <w:pPr>
              <w:pStyle w:val="ExhibitText"/>
              <w:jc w:val="right"/>
              <w:rPr>
                <w:sz w:val="16"/>
                <w:szCs w:val="16"/>
              </w:rPr>
            </w:pPr>
            <w:r w:rsidRPr="00082992">
              <w:rPr>
                <w:sz w:val="16"/>
                <w:szCs w:val="16"/>
              </w:rPr>
              <w:t>0.4</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D334A3A" w14:textId="4D251F67"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0.3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03B3492C" w14:textId="2A94A9BD" w:rsidR="001A73E9" w:rsidRPr="00082992" w:rsidRDefault="00DB7BB2" w:rsidP="00DB7BB2">
            <w:pPr>
              <w:pStyle w:val="ExhibitText"/>
              <w:jc w:val="right"/>
              <w:rPr>
                <w:sz w:val="16"/>
                <w:szCs w:val="16"/>
              </w:rPr>
            </w:pPr>
            <w:r w:rsidRPr="00082992">
              <w:rPr>
                <w:sz w:val="16"/>
                <w:szCs w:val="16"/>
              </w:rPr>
              <w:t>1.2</w:t>
            </w:r>
          </w:p>
        </w:tc>
      </w:tr>
      <w:tr w:rsidR="00082992" w:rsidRPr="00082992" w14:paraId="3A421E3D"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0AC0C6F9"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09DF36F"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6690ACE8" w14:textId="5BF54EDA" w:rsidR="001A73E9" w:rsidRPr="00082992" w:rsidRDefault="00DB7BB2" w:rsidP="00DB7BB2">
            <w:pPr>
              <w:pStyle w:val="ExhibitText"/>
              <w:jc w:val="left"/>
              <w:rPr>
                <w:bCs/>
                <w:sz w:val="16"/>
                <w:szCs w:val="16"/>
              </w:rPr>
            </w:pPr>
            <w:r w:rsidRPr="00082992">
              <w:rPr>
                <w:bCs/>
                <w:sz w:val="16"/>
                <w:szCs w:val="16"/>
              </w:rPr>
              <w:t>Total</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7463A57" w14:textId="24329B78"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6.7</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3C38F153" w14:textId="44831765"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10.2</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F8ECF32" w14:textId="74255E7F"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15.1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54AFAD65" w14:textId="58A7220D"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11.2</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729BDBD2" w14:textId="1ED22690"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10.3</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604D0937" w14:textId="7F1E33FB"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8.9</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6675BA0" w14:textId="44BD23F0"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13.1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632B808" w14:textId="27187C7D"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3.7</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2CAD982" w14:textId="716C9A21"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5.9</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5B071875" w14:textId="6AB825E0" w:rsidR="001A73E9" w:rsidRPr="00082992" w:rsidRDefault="00DB7BB2" w:rsidP="00DB7BB2">
            <w:pPr>
              <w:pStyle w:val="ExhibitText"/>
              <w:jc w:val="right"/>
              <w:rPr>
                <w:sz w:val="16"/>
                <w:szCs w:val="16"/>
              </w:rPr>
            </w:pPr>
            <w:r w:rsidRPr="00082992">
              <w:rPr>
                <w:sz w:val="16"/>
                <w:szCs w:val="16"/>
              </w:rPr>
              <w:t>0.7</w:t>
            </w:r>
          </w:p>
        </w:tc>
      </w:tr>
      <w:tr w:rsidR="00082992" w:rsidRPr="00082992" w14:paraId="45C36B25"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158EECEB" w14:textId="77777777" w:rsidR="001A73E9" w:rsidRPr="00082992" w:rsidRDefault="001A73E9" w:rsidP="00DB7BB2">
            <w:pPr>
              <w:pStyle w:val="ExhibitText"/>
              <w:jc w:val="left"/>
              <w:rPr>
                <w:bCs/>
                <w:sz w:val="16"/>
                <w:szCs w:val="16"/>
              </w:rPr>
            </w:pPr>
          </w:p>
        </w:tc>
        <w:tc>
          <w:tcPr>
            <w:tcW w:w="4500" w:type="dxa"/>
            <w:gridSpan w:val="2"/>
            <w:tcBorders>
              <w:top w:val="single" w:sz="4" w:space="0" w:color="auto"/>
              <w:left w:val="single" w:sz="4" w:space="0" w:color="auto"/>
              <w:bottom w:val="single" w:sz="4" w:space="0" w:color="auto"/>
              <w:right w:val="single" w:sz="4" w:space="0" w:color="auto"/>
            </w:tcBorders>
            <w:vAlign w:val="center"/>
            <w:hideMark/>
          </w:tcPr>
          <w:p w14:paraId="2723B649" w14:textId="6E61D235" w:rsidR="001A73E9" w:rsidRPr="00082992" w:rsidRDefault="00DB7BB2">
            <w:pPr>
              <w:pStyle w:val="ExhibitText"/>
              <w:jc w:val="left"/>
              <w:rPr>
                <w:bCs/>
                <w:sz w:val="16"/>
                <w:szCs w:val="16"/>
              </w:rPr>
            </w:pPr>
            <w:r w:rsidRPr="00082992">
              <w:rPr>
                <w:bCs/>
                <w:sz w:val="16"/>
                <w:szCs w:val="16"/>
              </w:rPr>
              <w:t>Primary Deficit (−) / Surplus (+)</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014C9DD" w14:textId="39CA1C96"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2.2</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5890F7BA" w14:textId="19B77E89"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5.4</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4C7C8F9C" w14:textId="2F7E11A8"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10.1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619E22DF" w14:textId="1278233D"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5.3</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0AAC9EA1" w14:textId="25ECA065"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3</w:t>
            </w:r>
            <w:r w:rsidRPr="00082992">
              <w:rPr>
                <w:sz w:val="16"/>
                <w:szCs w:val="16"/>
              </w:rPr>
              <w:t>.0</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1B4E4342" w14:textId="01D2163E"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3.8</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476FA5E" w14:textId="73ABE9F0"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9.1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036FB541" w14:textId="7FECA6A5" w:rsidR="001A73E9" w:rsidRPr="00082992" w:rsidRDefault="00DB7BB2" w:rsidP="00DB7BB2">
            <w:pPr>
              <w:pStyle w:val="ExhibitText"/>
              <w:jc w:val="right"/>
              <w:rPr>
                <w:sz w:val="16"/>
                <w:szCs w:val="16"/>
              </w:rPr>
            </w:pPr>
            <w:r w:rsidRPr="00082992">
              <w:rPr>
                <w:sz w:val="16"/>
                <w:szCs w:val="16"/>
              </w:rPr>
              <w:t>0.3</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F892E91" w14:textId="253A9CD8" w:rsidR="001A73E9" w:rsidRPr="00082992" w:rsidRDefault="00572ADE" w:rsidP="00DB7BB2">
            <w:pPr>
              <w:pStyle w:val="ExhibitText"/>
              <w:jc w:val="right"/>
              <w:rPr>
                <w:sz w:val="16"/>
                <w:szCs w:val="16"/>
              </w:rPr>
            </w:pPr>
            <w:r w:rsidRPr="00082992">
              <w:rPr>
                <w:sz w:val="16"/>
                <w:szCs w:val="16"/>
              </w:rPr>
              <w:t>−</w:t>
            </w:r>
            <w:r w:rsidR="00DB7BB2" w:rsidRPr="00082992">
              <w:rPr>
                <w:sz w:val="16"/>
                <w:szCs w:val="16"/>
              </w:rPr>
              <w:t>2.3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7CCC541A" w14:textId="62762FB0" w:rsidR="001A73E9" w:rsidRPr="00082992" w:rsidRDefault="00DB7BB2" w:rsidP="00DB7BB2">
            <w:pPr>
              <w:pStyle w:val="ExhibitText"/>
              <w:jc w:val="right"/>
              <w:rPr>
                <w:sz w:val="16"/>
                <w:szCs w:val="16"/>
              </w:rPr>
            </w:pPr>
            <w:r w:rsidRPr="00082992">
              <w:rPr>
                <w:sz w:val="16"/>
                <w:szCs w:val="16"/>
              </w:rPr>
              <w:t>3.9</w:t>
            </w:r>
          </w:p>
        </w:tc>
      </w:tr>
      <w:tr w:rsidR="00082992" w:rsidRPr="00082992" w14:paraId="526F583E"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74F25476" w14:textId="77777777" w:rsidR="001A73E9" w:rsidRPr="00082992" w:rsidRDefault="001A73E9" w:rsidP="00DB7BB2">
            <w:pPr>
              <w:pStyle w:val="ExhibitText"/>
              <w:jc w:val="left"/>
              <w:rPr>
                <w:bCs/>
                <w:sz w:val="16"/>
                <w:szCs w:val="16"/>
              </w:rPr>
            </w:pP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0F9F33E6" w14:textId="549FD03A" w:rsidR="001A73E9" w:rsidRPr="00082992" w:rsidRDefault="00DB7BB2">
            <w:pPr>
              <w:pStyle w:val="ExhibitText"/>
              <w:jc w:val="left"/>
              <w:rPr>
                <w:bCs/>
                <w:sz w:val="16"/>
                <w:szCs w:val="16"/>
              </w:rPr>
            </w:pPr>
            <w:r w:rsidRPr="00082992">
              <w:rPr>
                <w:bCs/>
                <w:sz w:val="16"/>
                <w:szCs w:val="16"/>
              </w:rPr>
              <w:t>Government Consumption</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996A9F0" w14:textId="12041F09" w:rsidR="001A73E9" w:rsidRPr="00082992" w:rsidRDefault="00DB7BB2" w:rsidP="00DB7BB2">
            <w:pPr>
              <w:pStyle w:val="ExhibitText"/>
              <w:jc w:val="left"/>
              <w:rPr>
                <w:bCs/>
                <w:sz w:val="16"/>
                <w:szCs w:val="16"/>
              </w:rPr>
            </w:pPr>
            <w:r w:rsidRPr="00082992">
              <w:rPr>
                <w:bCs/>
                <w:sz w:val="16"/>
                <w:szCs w:val="16"/>
              </w:rPr>
              <w:t>Compensation of Employees</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4023C8B" w14:textId="1089B76B" w:rsidR="001A73E9" w:rsidRPr="00082992" w:rsidRDefault="00DB7BB2" w:rsidP="00DB7BB2">
            <w:pPr>
              <w:pStyle w:val="ExhibitText"/>
              <w:jc w:val="right"/>
              <w:rPr>
                <w:sz w:val="16"/>
                <w:szCs w:val="16"/>
              </w:rPr>
            </w:pPr>
            <w:r w:rsidRPr="00082992">
              <w:rPr>
                <w:sz w:val="16"/>
                <w:szCs w:val="16"/>
              </w:rPr>
              <w:t>11.1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74D990F6" w14:textId="6A96F887" w:rsidR="001A73E9" w:rsidRPr="00082992" w:rsidRDefault="00DB7BB2" w:rsidP="00DB7BB2">
            <w:pPr>
              <w:pStyle w:val="ExhibitText"/>
              <w:jc w:val="right"/>
              <w:rPr>
                <w:sz w:val="16"/>
                <w:szCs w:val="16"/>
              </w:rPr>
            </w:pPr>
            <w:r w:rsidRPr="00082992">
              <w:rPr>
                <w:sz w:val="16"/>
                <w:szCs w:val="16"/>
              </w:rPr>
              <w:t>11.6</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99B1FDB" w14:textId="0E7238C4" w:rsidR="001A73E9" w:rsidRPr="00082992" w:rsidRDefault="00DB7BB2" w:rsidP="00DB7BB2">
            <w:pPr>
              <w:pStyle w:val="ExhibitText"/>
              <w:jc w:val="right"/>
              <w:rPr>
                <w:sz w:val="16"/>
                <w:szCs w:val="16"/>
              </w:rPr>
            </w:pPr>
            <w:r w:rsidRPr="00082992">
              <w:rPr>
                <w:sz w:val="16"/>
                <w:szCs w:val="16"/>
              </w:rPr>
              <w:t>13.1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2F220361" w14:textId="2C43B9D3" w:rsidR="001A73E9" w:rsidRPr="00082992" w:rsidRDefault="00DB7BB2" w:rsidP="00DB7BB2">
            <w:pPr>
              <w:pStyle w:val="ExhibitText"/>
              <w:jc w:val="right"/>
              <w:rPr>
                <w:sz w:val="16"/>
                <w:szCs w:val="16"/>
              </w:rPr>
            </w:pPr>
            <w:r w:rsidRPr="00082992">
              <w:rPr>
                <w:sz w:val="16"/>
                <w:szCs w:val="16"/>
              </w:rPr>
              <w:t>12.4</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46E86C84" w14:textId="56E4E57A" w:rsidR="001A73E9" w:rsidRPr="00082992" w:rsidRDefault="00DB7BB2" w:rsidP="00DB7BB2">
            <w:pPr>
              <w:pStyle w:val="ExhibitText"/>
              <w:jc w:val="right"/>
              <w:rPr>
                <w:sz w:val="16"/>
                <w:szCs w:val="16"/>
              </w:rPr>
            </w:pPr>
            <w:r w:rsidRPr="00082992">
              <w:rPr>
                <w:sz w:val="16"/>
                <w:szCs w:val="16"/>
              </w:rPr>
              <w:t>12.6</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5D97DA58" w14:textId="284AE5A5" w:rsidR="001A73E9" w:rsidRPr="00082992" w:rsidRDefault="00DB7BB2" w:rsidP="00DB7BB2">
            <w:pPr>
              <w:pStyle w:val="ExhibitText"/>
              <w:jc w:val="right"/>
              <w:rPr>
                <w:sz w:val="16"/>
                <w:szCs w:val="16"/>
              </w:rPr>
            </w:pPr>
            <w:r w:rsidRPr="00082992">
              <w:rPr>
                <w:sz w:val="16"/>
                <w:szCs w:val="16"/>
              </w:rPr>
              <w:t>12.8</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5A04C5E" w14:textId="4F6BD8E9" w:rsidR="001A73E9" w:rsidRPr="00082992" w:rsidRDefault="00DB7BB2" w:rsidP="00DB7BB2">
            <w:pPr>
              <w:pStyle w:val="ExhibitText"/>
              <w:jc w:val="right"/>
              <w:rPr>
                <w:sz w:val="16"/>
                <w:szCs w:val="16"/>
              </w:rPr>
            </w:pPr>
            <w:r w:rsidRPr="00082992">
              <w:rPr>
                <w:sz w:val="16"/>
                <w:szCs w:val="16"/>
              </w:rPr>
              <w:t>12.2</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19E894B" w14:textId="387367A7" w:rsidR="001A73E9" w:rsidRPr="00082992" w:rsidRDefault="00DB7BB2" w:rsidP="00DB7BB2">
            <w:pPr>
              <w:pStyle w:val="ExhibitText"/>
              <w:jc w:val="right"/>
              <w:rPr>
                <w:sz w:val="16"/>
                <w:szCs w:val="16"/>
              </w:rPr>
            </w:pPr>
            <w:r w:rsidRPr="00082992">
              <w:rPr>
                <w:sz w:val="16"/>
                <w:szCs w:val="16"/>
              </w:rPr>
              <w:t>12.3</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A05BF3E" w14:textId="770B7D69" w:rsidR="001A73E9" w:rsidRPr="00082992" w:rsidRDefault="00DB7BB2" w:rsidP="00DB7BB2">
            <w:pPr>
              <w:pStyle w:val="ExhibitText"/>
              <w:jc w:val="right"/>
              <w:rPr>
                <w:sz w:val="16"/>
                <w:szCs w:val="16"/>
              </w:rPr>
            </w:pPr>
            <w:r w:rsidRPr="00082992">
              <w:rPr>
                <w:sz w:val="16"/>
                <w:szCs w:val="16"/>
              </w:rPr>
              <w:t>12.3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9865B75" w14:textId="6E815BEC" w:rsidR="001A73E9" w:rsidRPr="00082992" w:rsidRDefault="00DB7BB2" w:rsidP="00DB7BB2">
            <w:pPr>
              <w:pStyle w:val="ExhibitText"/>
              <w:jc w:val="right"/>
              <w:rPr>
                <w:sz w:val="16"/>
                <w:szCs w:val="16"/>
              </w:rPr>
            </w:pPr>
            <w:r w:rsidRPr="00082992">
              <w:rPr>
                <w:sz w:val="16"/>
                <w:szCs w:val="16"/>
              </w:rPr>
              <w:t>12.3</w:t>
            </w:r>
          </w:p>
        </w:tc>
      </w:tr>
      <w:tr w:rsidR="00082992" w:rsidRPr="00082992" w14:paraId="37E23F0E"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149919F8"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5085F198"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3D923E65" w14:textId="4FA103C5" w:rsidR="001A73E9" w:rsidRPr="00082992" w:rsidRDefault="00DB7BB2" w:rsidP="00DB7BB2">
            <w:pPr>
              <w:pStyle w:val="ExhibitText"/>
              <w:jc w:val="left"/>
              <w:rPr>
                <w:bCs/>
                <w:sz w:val="16"/>
                <w:szCs w:val="16"/>
              </w:rPr>
            </w:pPr>
            <w:r w:rsidRPr="00082992">
              <w:rPr>
                <w:bCs/>
                <w:sz w:val="16"/>
                <w:szCs w:val="16"/>
              </w:rPr>
              <w:t>Intermediate Consumption</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E706AEE" w14:textId="634EDBB2" w:rsidR="001A73E9" w:rsidRPr="00082992" w:rsidRDefault="00DB7BB2" w:rsidP="00DB7BB2">
            <w:pPr>
              <w:pStyle w:val="ExhibitText"/>
              <w:jc w:val="right"/>
              <w:rPr>
                <w:sz w:val="16"/>
                <w:szCs w:val="16"/>
              </w:rPr>
            </w:pPr>
            <w:r w:rsidRPr="00082992">
              <w:rPr>
                <w:sz w:val="16"/>
                <w:szCs w:val="16"/>
              </w:rPr>
              <w:t>6.7</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29C2F5D1" w14:textId="6EAAA87F" w:rsidR="001A73E9" w:rsidRPr="00082992" w:rsidRDefault="00DB7BB2" w:rsidP="00DB7BB2">
            <w:pPr>
              <w:pStyle w:val="ExhibitText"/>
              <w:jc w:val="right"/>
              <w:rPr>
                <w:sz w:val="16"/>
                <w:szCs w:val="16"/>
              </w:rPr>
            </w:pPr>
            <w:r w:rsidRPr="00082992">
              <w:rPr>
                <w:sz w:val="16"/>
                <w:szCs w:val="16"/>
              </w:rPr>
              <w:t>6.2</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375D2619" w14:textId="6C639FDB" w:rsidR="001A73E9" w:rsidRPr="00082992" w:rsidRDefault="00DB7BB2" w:rsidP="00DB7BB2">
            <w:pPr>
              <w:pStyle w:val="ExhibitText"/>
              <w:jc w:val="right"/>
              <w:rPr>
                <w:sz w:val="16"/>
                <w:szCs w:val="16"/>
              </w:rPr>
            </w:pPr>
            <w:r w:rsidRPr="00082992">
              <w:rPr>
                <w:sz w:val="16"/>
                <w:szCs w:val="16"/>
              </w:rPr>
              <w:t>6.7</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0B8B5863" w14:textId="0E30BCDF" w:rsidR="001A73E9" w:rsidRPr="00082992" w:rsidRDefault="00DB7BB2" w:rsidP="00DB7BB2">
            <w:pPr>
              <w:pStyle w:val="ExhibitText"/>
              <w:jc w:val="right"/>
              <w:rPr>
                <w:sz w:val="16"/>
                <w:szCs w:val="16"/>
              </w:rPr>
            </w:pPr>
            <w:r w:rsidRPr="00082992">
              <w:rPr>
                <w:sz w:val="16"/>
                <w:szCs w:val="16"/>
              </w:rPr>
              <w:t>6.1</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7BCA967E" w14:textId="35E2B4E7" w:rsidR="001A73E9" w:rsidRPr="00082992" w:rsidRDefault="00DB7BB2" w:rsidP="00DB7BB2">
            <w:pPr>
              <w:pStyle w:val="ExhibitText"/>
              <w:jc w:val="right"/>
              <w:rPr>
                <w:sz w:val="16"/>
                <w:szCs w:val="16"/>
              </w:rPr>
            </w:pPr>
            <w:r w:rsidRPr="00082992">
              <w:rPr>
                <w:sz w:val="16"/>
                <w:szCs w:val="16"/>
              </w:rPr>
              <w:t>4.9</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25FC5962" w14:textId="7FF2BEC9" w:rsidR="001A73E9" w:rsidRPr="00082992" w:rsidRDefault="00DB7BB2" w:rsidP="00DB7BB2">
            <w:pPr>
              <w:pStyle w:val="ExhibitText"/>
              <w:jc w:val="right"/>
              <w:rPr>
                <w:sz w:val="16"/>
                <w:szCs w:val="16"/>
              </w:rPr>
            </w:pPr>
            <w:r w:rsidRPr="00082992">
              <w:rPr>
                <w:sz w:val="16"/>
                <w:szCs w:val="16"/>
              </w:rPr>
              <w:t>5.1</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CFDD6F2" w14:textId="4C3CE437" w:rsidR="001A73E9" w:rsidRPr="00082992" w:rsidRDefault="00DB7BB2" w:rsidP="00DB7BB2">
            <w:pPr>
              <w:pStyle w:val="ExhibitText"/>
              <w:jc w:val="right"/>
              <w:rPr>
                <w:sz w:val="16"/>
                <w:szCs w:val="16"/>
              </w:rPr>
            </w:pPr>
            <w:r w:rsidRPr="00082992">
              <w:rPr>
                <w:sz w:val="16"/>
                <w:szCs w:val="16"/>
              </w:rPr>
              <w:t>4.7</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12BF3A9" w14:textId="7FD2C3EA" w:rsidR="001A73E9" w:rsidRPr="00082992" w:rsidRDefault="00DB7BB2" w:rsidP="00DB7BB2">
            <w:pPr>
              <w:pStyle w:val="ExhibitText"/>
              <w:jc w:val="right"/>
              <w:rPr>
                <w:sz w:val="16"/>
                <w:szCs w:val="16"/>
              </w:rPr>
            </w:pPr>
            <w:r w:rsidRPr="00082992">
              <w:rPr>
                <w:sz w:val="16"/>
                <w:szCs w:val="16"/>
              </w:rPr>
              <w:t>4.9</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5E2F4387" w14:textId="105B1E9D" w:rsidR="001A73E9" w:rsidRPr="00082992" w:rsidRDefault="00DB7BB2" w:rsidP="00DB7BB2">
            <w:pPr>
              <w:pStyle w:val="ExhibitText"/>
              <w:jc w:val="right"/>
              <w:rPr>
                <w:sz w:val="16"/>
                <w:szCs w:val="16"/>
              </w:rPr>
            </w:pPr>
            <w:r w:rsidRPr="00082992">
              <w:rPr>
                <w:sz w:val="16"/>
                <w:szCs w:val="16"/>
              </w:rPr>
              <w:t>4.9</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563E8788" w14:textId="56E3AFC5" w:rsidR="001A73E9" w:rsidRPr="00082992" w:rsidRDefault="00DB7BB2" w:rsidP="00DB7BB2">
            <w:pPr>
              <w:pStyle w:val="ExhibitText"/>
              <w:jc w:val="right"/>
              <w:rPr>
                <w:sz w:val="16"/>
                <w:szCs w:val="16"/>
              </w:rPr>
            </w:pPr>
            <w:r w:rsidRPr="00082992">
              <w:rPr>
                <w:sz w:val="16"/>
                <w:szCs w:val="16"/>
              </w:rPr>
              <w:t>4.7</w:t>
            </w:r>
          </w:p>
        </w:tc>
      </w:tr>
      <w:tr w:rsidR="00082992" w:rsidRPr="00082992" w14:paraId="3FDC4F41"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7D99BCF8"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DF381D7"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51C8BF70" w14:textId="43274734" w:rsidR="001A73E9" w:rsidRPr="00082992" w:rsidRDefault="00DB7BB2" w:rsidP="00DB7BB2">
            <w:pPr>
              <w:pStyle w:val="ExhibitText"/>
              <w:jc w:val="left"/>
              <w:rPr>
                <w:bCs/>
                <w:sz w:val="16"/>
                <w:szCs w:val="16"/>
              </w:rPr>
            </w:pPr>
            <w:r w:rsidRPr="00082992">
              <w:rPr>
                <w:bCs/>
                <w:sz w:val="16"/>
                <w:szCs w:val="16"/>
              </w:rPr>
              <w:t>Social Transfers in Kind</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1D651D95" w14:textId="0508D25B" w:rsidR="001A73E9" w:rsidRPr="00082992" w:rsidRDefault="00DB7BB2" w:rsidP="00DB7BB2">
            <w:pPr>
              <w:pStyle w:val="ExhibitText"/>
              <w:jc w:val="right"/>
              <w:rPr>
                <w:sz w:val="16"/>
                <w:szCs w:val="16"/>
              </w:rPr>
            </w:pPr>
            <w:r w:rsidRPr="00082992">
              <w:rPr>
                <w:sz w:val="16"/>
                <w:szCs w:val="16"/>
              </w:rPr>
              <w:t>2.6</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B2C9433" w14:textId="04251A26" w:rsidR="001A73E9" w:rsidRPr="00082992" w:rsidRDefault="00DB7BB2" w:rsidP="00DB7BB2">
            <w:pPr>
              <w:pStyle w:val="ExhibitText"/>
              <w:jc w:val="right"/>
              <w:rPr>
                <w:sz w:val="16"/>
                <w:szCs w:val="16"/>
              </w:rPr>
            </w:pPr>
            <w:r w:rsidRPr="00082992">
              <w:rPr>
                <w:sz w:val="16"/>
                <w:szCs w:val="16"/>
              </w:rPr>
              <w:t>2.9</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83E55C7" w14:textId="370C3759" w:rsidR="001A73E9" w:rsidRPr="00082992" w:rsidRDefault="00DB7BB2" w:rsidP="00DB7BB2">
            <w:pPr>
              <w:pStyle w:val="ExhibitText"/>
              <w:jc w:val="right"/>
              <w:rPr>
                <w:sz w:val="16"/>
                <w:szCs w:val="16"/>
              </w:rPr>
            </w:pPr>
            <w:r w:rsidRPr="00082992">
              <w:rPr>
                <w:sz w:val="16"/>
                <w:szCs w:val="16"/>
              </w:rPr>
              <w:t>3.1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5A6D6053" w14:textId="19906F33" w:rsidR="001A73E9" w:rsidRPr="00082992" w:rsidRDefault="00DB7BB2" w:rsidP="00DB7BB2">
            <w:pPr>
              <w:pStyle w:val="ExhibitText"/>
              <w:jc w:val="right"/>
              <w:rPr>
                <w:sz w:val="16"/>
                <w:szCs w:val="16"/>
              </w:rPr>
            </w:pPr>
            <w:r w:rsidRPr="00082992">
              <w:rPr>
                <w:sz w:val="16"/>
                <w:szCs w:val="16"/>
              </w:rPr>
              <w:t>3.2</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3115305D" w14:textId="7BDB1708" w:rsidR="001A73E9" w:rsidRPr="00082992" w:rsidRDefault="00DB7BB2" w:rsidP="00DB7BB2">
            <w:pPr>
              <w:pStyle w:val="ExhibitText"/>
              <w:jc w:val="right"/>
              <w:rPr>
                <w:sz w:val="16"/>
                <w:szCs w:val="16"/>
              </w:rPr>
            </w:pPr>
            <w:r w:rsidRPr="00082992">
              <w:rPr>
                <w:sz w:val="16"/>
                <w:szCs w:val="16"/>
              </w:rPr>
              <w:t>3.4</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14ED1BF5" w14:textId="32BA5AB2" w:rsidR="001A73E9" w:rsidRPr="00082992" w:rsidRDefault="00DB7BB2" w:rsidP="00DB7BB2">
            <w:pPr>
              <w:pStyle w:val="ExhibitText"/>
              <w:jc w:val="right"/>
              <w:rPr>
                <w:sz w:val="16"/>
                <w:szCs w:val="16"/>
              </w:rPr>
            </w:pPr>
            <w:r w:rsidRPr="00082992">
              <w:rPr>
                <w:sz w:val="16"/>
                <w:szCs w:val="16"/>
              </w:rPr>
              <w:t>2.9</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7563402" w14:textId="64116AD2" w:rsidR="001A73E9" w:rsidRPr="00082992" w:rsidRDefault="00DB7BB2" w:rsidP="00DB7BB2">
            <w:pPr>
              <w:pStyle w:val="ExhibitText"/>
              <w:jc w:val="right"/>
              <w:rPr>
                <w:sz w:val="16"/>
                <w:szCs w:val="16"/>
              </w:rPr>
            </w:pPr>
            <w:r w:rsidRPr="00082992">
              <w:rPr>
                <w:sz w:val="16"/>
                <w:szCs w:val="16"/>
              </w:rPr>
              <w:t>2.4</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71161ECB" w14:textId="12625ADC" w:rsidR="001A73E9" w:rsidRPr="00082992" w:rsidRDefault="00DB7BB2" w:rsidP="00DB7BB2">
            <w:pPr>
              <w:pStyle w:val="ExhibitText"/>
              <w:jc w:val="right"/>
              <w:rPr>
                <w:sz w:val="16"/>
                <w:szCs w:val="16"/>
              </w:rPr>
            </w:pPr>
            <w:r w:rsidRPr="00082992">
              <w:rPr>
                <w:sz w:val="16"/>
                <w:szCs w:val="16"/>
              </w:rPr>
              <w:t>2.1</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78A84B6D" w14:textId="75C82C51" w:rsidR="001A73E9" w:rsidRPr="00082992" w:rsidRDefault="00DB7BB2" w:rsidP="00DB7BB2">
            <w:pPr>
              <w:pStyle w:val="ExhibitText"/>
              <w:jc w:val="right"/>
              <w:rPr>
                <w:sz w:val="16"/>
                <w:szCs w:val="16"/>
              </w:rPr>
            </w:pPr>
            <w:r w:rsidRPr="00082992">
              <w:rPr>
                <w:sz w:val="16"/>
                <w:szCs w:val="16"/>
              </w:rPr>
              <w:t>2.3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6B629433" w14:textId="42817371" w:rsidR="001A73E9" w:rsidRPr="00082992" w:rsidRDefault="00DB7BB2" w:rsidP="00DB7BB2">
            <w:pPr>
              <w:pStyle w:val="ExhibitText"/>
              <w:jc w:val="right"/>
              <w:rPr>
                <w:sz w:val="16"/>
                <w:szCs w:val="16"/>
              </w:rPr>
            </w:pPr>
            <w:r w:rsidRPr="00082992">
              <w:rPr>
                <w:sz w:val="16"/>
                <w:szCs w:val="16"/>
              </w:rPr>
              <w:t>2.4</w:t>
            </w:r>
          </w:p>
        </w:tc>
      </w:tr>
      <w:tr w:rsidR="00082992" w:rsidRPr="00082992" w14:paraId="46880228"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01D94BA8"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83813BF"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6A5A4434" w14:textId="54E372CD" w:rsidR="001A73E9" w:rsidRPr="00082992" w:rsidRDefault="00DB7BB2" w:rsidP="00DB7BB2">
            <w:pPr>
              <w:pStyle w:val="ExhibitText"/>
              <w:jc w:val="left"/>
              <w:rPr>
                <w:bCs/>
                <w:sz w:val="16"/>
                <w:szCs w:val="16"/>
              </w:rPr>
            </w:pPr>
            <w:r w:rsidRPr="00082992">
              <w:rPr>
                <w:bCs/>
                <w:sz w:val="16"/>
                <w:szCs w:val="16"/>
              </w:rPr>
              <w:t>Consumption of Fixed Capital</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23F76A1B" w14:textId="2AB8228A" w:rsidR="001A73E9" w:rsidRPr="00082992" w:rsidRDefault="00DB7BB2" w:rsidP="00DB7BB2">
            <w:pPr>
              <w:pStyle w:val="ExhibitText"/>
              <w:jc w:val="right"/>
              <w:rPr>
                <w:sz w:val="16"/>
                <w:szCs w:val="16"/>
              </w:rPr>
            </w:pPr>
            <w:r w:rsidRPr="00082992">
              <w:rPr>
                <w:sz w:val="16"/>
                <w:szCs w:val="16"/>
              </w:rPr>
              <w:t>2.9</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65AE5597" w14:textId="6EEFDF6A" w:rsidR="001A73E9" w:rsidRPr="00082992" w:rsidRDefault="00DB7BB2" w:rsidP="00DB7BB2">
            <w:pPr>
              <w:pStyle w:val="ExhibitText"/>
              <w:jc w:val="right"/>
              <w:rPr>
                <w:sz w:val="16"/>
                <w:szCs w:val="16"/>
              </w:rPr>
            </w:pPr>
            <w:r w:rsidRPr="00082992">
              <w:rPr>
                <w:sz w:val="16"/>
                <w:szCs w:val="16"/>
              </w:rPr>
              <w:t>3</w:t>
            </w:r>
            <w:r w:rsidR="00572ADE" w:rsidRPr="00082992">
              <w:rPr>
                <w:sz w:val="16"/>
                <w:szCs w:val="16"/>
              </w:rPr>
              <w:t>.0</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C165C24" w14:textId="3DCC0943" w:rsidR="001A73E9" w:rsidRPr="00082992" w:rsidRDefault="00DB7BB2" w:rsidP="00DB7BB2">
            <w:pPr>
              <w:pStyle w:val="ExhibitText"/>
              <w:jc w:val="right"/>
              <w:rPr>
                <w:sz w:val="16"/>
                <w:szCs w:val="16"/>
              </w:rPr>
            </w:pPr>
            <w:r w:rsidRPr="00082992">
              <w:rPr>
                <w:sz w:val="16"/>
                <w:szCs w:val="16"/>
              </w:rPr>
              <w:t>3.3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30D9CC90" w14:textId="34DB74FE" w:rsidR="001A73E9" w:rsidRPr="00082992" w:rsidRDefault="00DB7BB2" w:rsidP="00DB7BB2">
            <w:pPr>
              <w:pStyle w:val="ExhibitText"/>
              <w:jc w:val="right"/>
              <w:rPr>
                <w:sz w:val="16"/>
                <w:szCs w:val="16"/>
              </w:rPr>
            </w:pPr>
            <w:r w:rsidRPr="00082992">
              <w:rPr>
                <w:sz w:val="16"/>
                <w:szCs w:val="16"/>
              </w:rPr>
              <w:t>3.5</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2E8970FA" w14:textId="17F9F15B" w:rsidR="001A73E9" w:rsidRPr="00082992" w:rsidRDefault="00DB7BB2" w:rsidP="00DB7BB2">
            <w:pPr>
              <w:pStyle w:val="ExhibitText"/>
              <w:jc w:val="right"/>
              <w:rPr>
                <w:sz w:val="16"/>
                <w:szCs w:val="16"/>
              </w:rPr>
            </w:pPr>
            <w:r w:rsidRPr="00082992">
              <w:rPr>
                <w:sz w:val="16"/>
                <w:szCs w:val="16"/>
              </w:rPr>
              <w:t>3.6</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69BFF74B" w14:textId="04881D1F" w:rsidR="001A73E9" w:rsidRPr="00082992" w:rsidRDefault="00DB7BB2" w:rsidP="00DB7BB2">
            <w:pPr>
              <w:pStyle w:val="ExhibitText"/>
              <w:jc w:val="right"/>
              <w:rPr>
                <w:sz w:val="16"/>
                <w:szCs w:val="16"/>
              </w:rPr>
            </w:pPr>
            <w:r w:rsidRPr="00082992">
              <w:rPr>
                <w:sz w:val="16"/>
                <w:szCs w:val="16"/>
              </w:rPr>
              <w:t>3.7</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47ED53C" w14:textId="30050168" w:rsidR="001A73E9" w:rsidRPr="00082992" w:rsidRDefault="00DB7BB2" w:rsidP="00DB7BB2">
            <w:pPr>
              <w:pStyle w:val="ExhibitText"/>
              <w:jc w:val="right"/>
              <w:rPr>
                <w:sz w:val="16"/>
                <w:szCs w:val="16"/>
              </w:rPr>
            </w:pPr>
            <w:r w:rsidRPr="00082992">
              <w:rPr>
                <w:sz w:val="16"/>
                <w:szCs w:val="16"/>
              </w:rPr>
              <w:t>3.9</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0C7223C" w14:textId="4F8159BF" w:rsidR="001A73E9" w:rsidRPr="00082992" w:rsidRDefault="00DB7BB2" w:rsidP="00DB7BB2">
            <w:pPr>
              <w:pStyle w:val="ExhibitText"/>
              <w:jc w:val="right"/>
              <w:rPr>
                <w:sz w:val="16"/>
                <w:szCs w:val="16"/>
              </w:rPr>
            </w:pPr>
            <w:r w:rsidRPr="00082992">
              <w:rPr>
                <w:sz w:val="16"/>
                <w:szCs w:val="16"/>
              </w:rPr>
              <w:t>3.8</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42791D8E" w14:textId="746E8C95" w:rsidR="001A73E9" w:rsidRPr="00082992" w:rsidRDefault="00DB7BB2" w:rsidP="00DB7BB2">
            <w:pPr>
              <w:pStyle w:val="ExhibitText"/>
              <w:jc w:val="right"/>
              <w:rPr>
                <w:sz w:val="16"/>
                <w:szCs w:val="16"/>
              </w:rPr>
            </w:pPr>
            <w:r w:rsidRPr="00082992">
              <w:rPr>
                <w:sz w:val="16"/>
                <w:szCs w:val="16"/>
              </w:rPr>
              <w:t>3.7</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3B6FAE8C" w14:textId="30EE05DF" w:rsidR="001A73E9" w:rsidRPr="00082992" w:rsidRDefault="00DB7BB2" w:rsidP="00DB7BB2">
            <w:pPr>
              <w:pStyle w:val="ExhibitText"/>
              <w:jc w:val="right"/>
              <w:rPr>
                <w:sz w:val="16"/>
                <w:szCs w:val="16"/>
              </w:rPr>
            </w:pPr>
            <w:r w:rsidRPr="00082992">
              <w:rPr>
                <w:sz w:val="16"/>
                <w:szCs w:val="16"/>
              </w:rPr>
              <w:t>3.5</w:t>
            </w:r>
          </w:p>
        </w:tc>
      </w:tr>
      <w:tr w:rsidR="00082992" w:rsidRPr="00082992" w14:paraId="198509CD" w14:textId="77777777" w:rsidTr="00082992">
        <w:trPr>
          <w:trHeight w:val="288"/>
          <w:jc w:val="center"/>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6AC79571" w14:textId="77777777" w:rsidR="001A73E9" w:rsidRPr="00082992" w:rsidRDefault="001A73E9" w:rsidP="00DB7BB2">
            <w:pPr>
              <w:pStyle w:val="ExhibitText"/>
              <w:jc w:val="left"/>
              <w:rPr>
                <w:bCs/>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5BCF2E3" w14:textId="77777777" w:rsidR="001A73E9" w:rsidRPr="00082992" w:rsidRDefault="001A73E9" w:rsidP="00DB7BB2">
            <w:pPr>
              <w:pStyle w:val="ExhibitText"/>
              <w:jc w:val="left"/>
              <w:rPr>
                <w:bCs/>
                <w:sz w:val="16"/>
                <w:szCs w:val="16"/>
              </w:rPr>
            </w:pP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3CBE920E" w14:textId="12B04B38" w:rsidR="001A73E9" w:rsidRPr="00082992" w:rsidRDefault="00DB7BB2">
            <w:pPr>
              <w:pStyle w:val="ExhibitText"/>
              <w:jc w:val="left"/>
              <w:rPr>
                <w:bCs/>
                <w:sz w:val="16"/>
                <w:szCs w:val="16"/>
              </w:rPr>
            </w:pPr>
            <w:r w:rsidRPr="00082992">
              <w:rPr>
                <w:bCs/>
                <w:sz w:val="16"/>
                <w:szCs w:val="16"/>
              </w:rPr>
              <w:t>Total Government Consumption</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75F607A3" w14:textId="7293544D" w:rsidR="001A73E9" w:rsidRPr="00082992" w:rsidRDefault="00DB7BB2" w:rsidP="00DB7BB2">
            <w:pPr>
              <w:pStyle w:val="ExhibitText"/>
              <w:jc w:val="right"/>
              <w:rPr>
                <w:sz w:val="16"/>
                <w:szCs w:val="16"/>
              </w:rPr>
            </w:pPr>
            <w:r w:rsidRPr="00082992">
              <w:rPr>
                <w:sz w:val="16"/>
                <w:szCs w:val="16"/>
              </w:rPr>
              <w:t>20.5</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7A8FEF46" w14:textId="7DA94BFC" w:rsidR="001A73E9" w:rsidRPr="00082992" w:rsidRDefault="00DB7BB2" w:rsidP="00DB7BB2">
            <w:pPr>
              <w:pStyle w:val="ExhibitText"/>
              <w:jc w:val="right"/>
              <w:rPr>
                <w:sz w:val="16"/>
                <w:szCs w:val="16"/>
              </w:rPr>
            </w:pPr>
            <w:r w:rsidRPr="00082992">
              <w:rPr>
                <w:sz w:val="16"/>
                <w:szCs w:val="16"/>
              </w:rPr>
              <w:t>20.7</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7EDB4264" w14:textId="21E8654A" w:rsidR="001A73E9" w:rsidRPr="00082992" w:rsidRDefault="00DB7BB2" w:rsidP="00DB7BB2">
            <w:pPr>
              <w:pStyle w:val="ExhibitText"/>
              <w:jc w:val="right"/>
              <w:rPr>
                <w:sz w:val="16"/>
                <w:szCs w:val="16"/>
              </w:rPr>
            </w:pPr>
            <w:r w:rsidRPr="00082992">
              <w:rPr>
                <w:sz w:val="16"/>
                <w:szCs w:val="16"/>
              </w:rPr>
              <w:t>23.3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3C8F012C" w14:textId="089AE066" w:rsidR="001A73E9" w:rsidRPr="00082992" w:rsidRDefault="00DB7BB2" w:rsidP="00DB7BB2">
            <w:pPr>
              <w:pStyle w:val="ExhibitText"/>
              <w:jc w:val="right"/>
              <w:rPr>
                <w:sz w:val="16"/>
                <w:szCs w:val="16"/>
              </w:rPr>
            </w:pPr>
            <w:r w:rsidRPr="00082992">
              <w:rPr>
                <w:sz w:val="16"/>
                <w:szCs w:val="16"/>
              </w:rPr>
              <w:t>22.2</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552CBECA" w14:textId="544BE379" w:rsidR="001A73E9" w:rsidRPr="00082992" w:rsidRDefault="00DB7BB2" w:rsidP="00DB7BB2">
            <w:pPr>
              <w:pStyle w:val="ExhibitText"/>
              <w:jc w:val="right"/>
              <w:rPr>
                <w:sz w:val="16"/>
                <w:szCs w:val="16"/>
              </w:rPr>
            </w:pPr>
            <w:r w:rsidRPr="00082992">
              <w:rPr>
                <w:sz w:val="16"/>
                <w:szCs w:val="16"/>
              </w:rPr>
              <w:t>21.7</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30A02200" w14:textId="2589A35D" w:rsidR="001A73E9" w:rsidRPr="00082992" w:rsidRDefault="00DB7BB2" w:rsidP="00DB7BB2">
            <w:pPr>
              <w:pStyle w:val="ExhibitText"/>
              <w:jc w:val="right"/>
              <w:rPr>
                <w:sz w:val="16"/>
                <w:szCs w:val="16"/>
              </w:rPr>
            </w:pPr>
            <w:r w:rsidRPr="00082992">
              <w:rPr>
                <w:sz w:val="16"/>
                <w:szCs w:val="16"/>
              </w:rPr>
              <w:t>21.8</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A4532F2" w14:textId="1FB95BD6" w:rsidR="001A73E9" w:rsidRPr="00082992" w:rsidRDefault="00DB7BB2" w:rsidP="00DB7BB2">
            <w:pPr>
              <w:pStyle w:val="ExhibitText"/>
              <w:jc w:val="right"/>
              <w:rPr>
                <w:sz w:val="16"/>
                <w:szCs w:val="16"/>
              </w:rPr>
            </w:pPr>
            <w:r w:rsidRPr="00082992">
              <w:rPr>
                <w:sz w:val="16"/>
                <w:szCs w:val="16"/>
              </w:rPr>
              <w:t>20.5</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BC01255" w14:textId="47146595" w:rsidR="001A73E9" w:rsidRPr="00082992" w:rsidRDefault="00DB7BB2" w:rsidP="00DB7BB2">
            <w:pPr>
              <w:pStyle w:val="ExhibitText"/>
              <w:jc w:val="right"/>
              <w:rPr>
                <w:sz w:val="16"/>
                <w:szCs w:val="16"/>
              </w:rPr>
            </w:pPr>
            <w:r w:rsidRPr="00082992">
              <w:rPr>
                <w:sz w:val="16"/>
                <w:szCs w:val="16"/>
              </w:rPr>
              <w:t>20.3</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328C04FF" w14:textId="6852A0BB" w:rsidR="001A73E9" w:rsidRPr="00082992" w:rsidRDefault="00DB7BB2" w:rsidP="00DB7BB2">
            <w:pPr>
              <w:pStyle w:val="ExhibitText"/>
              <w:jc w:val="right"/>
              <w:rPr>
                <w:sz w:val="16"/>
                <w:szCs w:val="16"/>
              </w:rPr>
            </w:pPr>
            <w:r w:rsidRPr="00082992">
              <w:rPr>
                <w:sz w:val="16"/>
                <w:szCs w:val="16"/>
              </w:rPr>
              <w:t>20.3</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0A8745E" w14:textId="53E097CE" w:rsidR="001A73E9" w:rsidRPr="00082992" w:rsidRDefault="00DB7BB2" w:rsidP="00DB7BB2">
            <w:pPr>
              <w:pStyle w:val="ExhibitText"/>
              <w:jc w:val="right"/>
              <w:rPr>
                <w:sz w:val="16"/>
                <w:szCs w:val="16"/>
              </w:rPr>
            </w:pPr>
            <w:r w:rsidRPr="00082992">
              <w:rPr>
                <w:sz w:val="16"/>
                <w:szCs w:val="16"/>
              </w:rPr>
              <w:t>19.7</w:t>
            </w:r>
          </w:p>
        </w:tc>
      </w:tr>
      <w:tr w:rsidR="00082992" w:rsidRPr="00082992" w14:paraId="0E9DA81E" w14:textId="77777777" w:rsidTr="00082992">
        <w:trPr>
          <w:trHeight w:val="288"/>
          <w:jc w:val="center"/>
        </w:trPr>
        <w:tc>
          <w:tcPr>
            <w:tcW w:w="6655" w:type="dxa"/>
            <w:gridSpan w:val="3"/>
            <w:tcBorders>
              <w:top w:val="single" w:sz="4" w:space="0" w:color="auto"/>
              <w:left w:val="single" w:sz="4" w:space="0" w:color="auto"/>
              <w:bottom w:val="single" w:sz="4" w:space="0" w:color="auto"/>
              <w:right w:val="single" w:sz="4" w:space="0" w:color="auto"/>
            </w:tcBorders>
            <w:vAlign w:val="center"/>
            <w:hideMark/>
          </w:tcPr>
          <w:p w14:paraId="1FD5B42C" w14:textId="10425A92" w:rsidR="001A73E9" w:rsidRPr="00082992" w:rsidRDefault="00DB7BB2">
            <w:pPr>
              <w:pStyle w:val="ExhibitText"/>
              <w:jc w:val="left"/>
              <w:rPr>
                <w:b/>
                <w:bCs/>
                <w:sz w:val="16"/>
                <w:szCs w:val="16"/>
              </w:rPr>
            </w:pPr>
            <w:r w:rsidRPr="00082992">
              <w:rPr>
                <w:b/>
                <w:bCs/>
                <w:sz w:val="16"/>
                <w:szCs w:val="16"/>
              </w:rPr>
              <w:t>Government Debt</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46DC663" w14:textId="1257ECF3" w:rsidR="001A73E9" w:rsidRPr="00082992" w:rsidRDefault="00DB7BB2" w:rsidP="00DB7BB2">
            <w:pPr>
              <w:pStyle w:val="ExhibitText"/>
              <w:jc w:val="right"/>
              <w:rPr>
                <w:b/>
                <w:sz w:val="16"/>
                <w:szCs w:val="16"/>
              </w:rPr>
            </w:pPr>
            <w:r w:rsidRPr="00082992">
              <w:rPr>
                <w:b/>
                <w:sz w:val="16"/>
                <w:szCs w:val="16"/>
              </w:rPr>
              <w:t>103.1</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6260ABF7" w14:textId="2D7EF129" w:rsidR="001A73E9" w:rsidRPr="00082992" w:rsidRDefault="00DB7BB2" w:rsidP="00DB7BB2">
            <w:pPr>
              <w:pStyle w:val="ExhibitText"/>
              <w:jc w:val="right"/>
              <w:rPr>
                <w:b/>
                <w:sz w:val="16"/>
                <w:szCs w:val="16"/>
              </w:rPr>
            </w:pPr>
            <w:r w:rsidRPr="00082992">
              <w:rPr>
                <w:b/>
                <w:sz w:val="16"/>
                <w:szCs w:val="16"/>
              </w:rPr>
              <w:t>109.4</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31B20111" w14:textId="02B1B918" w:rsidR="001A73E9" w:rsidRPr="00082992" w:rsidRDefault="00DB7BB2" w:rsidP="00DB7BB2">
            <w:pPr>
              <w:pStyle w:val="ExhibitText"/>
              <w:jc w:val="right"/>
              <w:rPr>
                <w:b/>
                <w:sz w:val="16"/>
                <w:szCs w:val="16"/>
              </w:rPr>
            </w:pPr>
            <w:r w:rsidRPr="00082992">
              <w:rPr>
                <w:b/>
                <w:sz w:val="16"/>
                <w:szCs w:val="16"/>
              </w:rPr>
              <w:t>126.7</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4DFB6F4" w14:textId="340E3C5C" w:rsidR="001A73E9" w:rsidRPr="00082992" w:rsidRDefault="00DB7BB2" w:rsidP="00DB7BB2">
            <w:pPr>
              <w:pStyle w:val="ExhibitText"/>
              <w:jc w:val="right"/>
              <w:rPr>
                <w:b/>
                <w:sz w:val="16"/>
                <w:szCs w:val="16"/>
              </w:rPr>
            </w:pPr>
            <w:r w:rsidRPr="00082992">
              <w:rPr>
                <w:b/>
                <w:sz w:val="16"/>
                <w:szCs w:val="16"/>
              </w:rPr>
              <w:t>146.2</w:t>
            </w:r>
          </w:p>
        </w:tc>
        <w:tc>
          <w:tcPr>
            <w:tcW w:w="632" w:type="dxa"/>
            <w:tcBorders>
              <w:top w:val="single" w:sz="4" w:space="0" w:color="auto"/>
              <w:left w:val="single" w:sz="4" w:space="0" w:color="auto"/>
              <w:bottom w:val="single" w:sz="4" w:space="0" w:color="auto"/>
              <w:right w:val="single" w:sz="4" w:space="0" w:color="auto"/>
            </w:tcBorders>
            <w:noWrap/>
            <w:vAlign w:val="center"/>
            <w:hideMark/>
          </w:tcPr>
          <w:p w14:paraId="657A76F2" w14:textId="0A72916A" w:rsidR="001A73E9" w:rsidRPr="00082992" w:rsidRDefault="00DB7BB2" w:rsidP="00DB7BB2">
            <w:pPr>
              <w:pStyle w:val="ExhibitText"/>
              <w:jc w:val="right"/>
              <w:rPr>
                <w:b/>
                <w:sz w:val="16"/>
                <w:szCs w:val="16"/>
              </w:rPr>
            </w:pPr>
            <w:r w:rsidRPr="00082992">
              <w:rPr>
                <w:b/>
                <w:sz w:val="16"/>
                <w:szCs w:val="16"/>
              </w:rPr>
              <w:t>172.1</w:t>
            </w:r>
          </w:p>
        </w:tc>
        <w:tc>
          <w:tcPr>
            <w:tcW w:w="627" w:type="dxa"/>
            <w:tcBorders>
              <w:top w:val="single" w:sz="4" w:space="0" w:color="auto"/>
              <w:left w:val="single" w:sz="4" w:space="0" w:color="auto"/>
              <w:bottom w:val="single" w:sz="4" w:space="0" w:color="auto"/>
              <w:right w:val="single" w:sz="4" w:space="0" w:color="auto"/>
            </w:tcBorders>
            <w:noWrap/>
            <w:vAlign w:val="center"/>
            <w:hideMark/>
          </w:tcPr>
          <w:p w14:paraId="2632069F" w14:textId="2DEF69F9" w:rsidR="001A73E9" w:rsidRPr="00082992" w:rsidRDefault="00DB7BB2" w:rsidP="00DB7BB2">
            <w:pPr>
              <w:pStyle w:val="ExhibitText"/>
              <w:jc w:val="right"/>
              <w:rPr>
                <w:b/>
                <w:sz w:val="16"/>
                <w:szCs w:val="16"/>
              </w:rPr>
            </w:pPr>
            <w:r w:rsidRPr="00082992">
              <w:rPr>
                <w:b/>
                <w:sz w:val="16"/>
                <w:szCs w:val="16"/>
              </w:rPr>
              <w:t>159.6</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6834BA08" w14:textId="1756A4EC" w:rsidR="001A73E9" w:rsidRPr="00082992" w:rsidRDefault="00DB7BB2" w:rsidP="00DB7BB2">
            <w:pPr>
              <w:pStyle w:val="ExhibitText"/>
              <w:jc w:val="right"/>
              <w:rPr>
                <w:b/>
                <w:sz w:val="16"/>
                <w:szCs w:val="16"/>
              </w:rPr>
            </w:pPr>
            <w:r w:rsidRPr="00082992">
              <w:rPr>
                <w:b/>
                <w:sz w:val="16"/>
                <w:szCs w:val="16"/>
              </w:rPr>
              <w:t>177.4</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49D1AE8E" w14:textId="454B4D5B" w:rsidR="001A73E9" w:rsidRPr="00082992" w:rsidRDefault="00DB7BB2" w:rsidP="00DB7BB2">
            <w:pPr>
              <w:pStyle w:val="ExhibitText"/>
              <w:jc w:val="right"/>
              <w:rPr>
                <w:b/>
                <w:sz w:val="16"/>
                <w:szCs w:val="16"/>
              </w:rPr>
            </w:pPr>
            <w:r w:rsidRPr="00082992">
              <w:rPr>
                <w:b/>
                <w:sz w:val="16"/>
                <w:szCs w:val="16"/>
              </w:rPr>
              <w:t>179.7</w:t>
            </w:r>
          </w:p>
        </w:tc>
        <w:tc>
          <w:tcPr>
            <w:tcW w:w="629" w:type="dxa"/>
            <w:tcBorders>
              <w:top w:val="single" w:sz="4" w:space="0" w:color="auto"/>
              <w:left w:val="single" w:sz="4" w:space="0" w:color="auto"/>
              <w:bottom w:val="single" w:sz="4" w:space="0" w:color="auto"/>
              <w:right w:val="single" w:sz="4" w:space="0" w:color="auto"/>
            </w:tcBorders>
            <w:noWrap/>
            <w:vAlign w:val="center"/>
            <w:hideMark/>
          </w:tcPr>
          <w:p w14:paraId="0C225BC6" w14:textId="569EB9AC" w:rsidR="001A73E9" w:rsidRPr="00082992" w:rsidRDefault="00DB7BB2" w:rsidP="00DB7BB2">
            <w:pPr>
              <w:pStyle w:val="ExhibitText"/>
              <w:jc w:val="right"/>
              <w:rPr>
                <w:b/>
                <w:sz w:val="16"/>
                <w:szCs w:val="16"/>
              </w:rPr>
            </w:pPr>
            <w:r w:rsidRPr="00082992">
              <w:rPr>
                <w:b/>
                <w:sz w:val="16"/>
                <w:szCs w:val="16"/>
              </w:rPr>
              <w:t>177.4</w:t>
            </w:r>
          </w:p>
        </w:tc>
        <w:tc>
          <w:tcPr>
            <w:tcW w:w="630" w:type="dxa"/>
            <w:tcBorders>
              <w:top w:val="single" w:sz="4" w:space="0" w:color="auto"/>
              <w:left w:val="single" w:sz="4" w:space="0" w:color="auto"/>
              <w:bottom w:val="single" w:sz="4" w:space="0" w:color="auto"/>
              <w:right w:val="single" w:sz="4" w:space="0" w:color="auto"/>
            </w:tcBorders>
            <w:noWrap/>
            <w:vAlign w:val="center"/>
            <w:hideMark/>
          </w:tcPr>
          <w:p w14:paraId="1D277AC5" w14:textId="1C80A0A8" w:rsidR="001A73E9" w:rsidRPr="00082992" w:rsidRDefault="00DB7BB2" w:rsidP="00DB7BB2">
            <w:pPr>
              <w:pStyle w:val="ExhibitText"/>
              <w:jc w:val="right"/>
              <w:rPr>
                <w:b/>
                <w:sz w:val="16"/>
                <w:szCs w:val="16"/>
              </w:rPr>
            </w:pPr>
            <w:r w:rsidRPr="00082992">
              <w:rPr>
                <w:b/>
                <w:sz w:val="16"/>
                <w:szCs w:val="16"/>
              </w:rPr>
              <w:t>179</w:t>
            </w:r>
            <w:r w:rsidR="00572ADE" w:rsidRPr="00082992">
              <w:rPr>
                <w:b/>
                <w:sz w:val="16"/>
                <w:szCs w:val="16"/>
              </w:rPr>
              <w:t>.0</w:t>
            </w:r>
          </w:p>
        </w:tc>
      </w:tr>
    </w:tbl>
    <w:p w14:paraId="5147447D" w14:textId="77777777" w:rsidR="003466F8" w:rsidRPr="00082992" w:rsidRDefault="003466F8" w:rsidP="00082992">
      <w:pPr>
        <w:pStyle w:val="ExhibitText"/>
      </w:pPr>
    </w:p>
    <w:p w14:paraId="361B5517" w14:textId="6E7E3638" w:rsidR="00531061" w:rsidRPr="00082992" w:rsidRDefault="001A73E9" w:rsidP="003466F8">
      <w:pPr>
        <w:pStyle w:val="Footnote"/>
      </w:pPr>
      <w:r w:rsidRPr="00082992">
        <w:t>Source: Statistical Data Warehouse, E</w:t>
      </w:r>
      <w:r w:rsidR="00572ADE" w:rsidRPr="00082992">
        <w:t xml:space="preserve">uropean </w:t>
      </w:r>
      <w:r w:rsidRPr="00082992">
        <w:t>C</w:t>
      </w:r>
      <w:r w:rsidR="00572ADE" w:rsidRPr="00082992">
        <w:t xml:space="preserve">entral </w:t>
      </w:r>
      <w:r w:rsidRPr="00082992">
        <w:t>B</w:t>
      </w:r>
      <w:r w:rsidR="00572ADE" w:rsidRPr="00082992">
        <w:t>ank</w:t>
      </w:r>
      <w:r w:rsidRPr="00082992">
        <w:t>,</w:t>
      </w:r>
      <w:r w:rsidR="00572ADE" w:rsidRPr="00082992">
        <w:t xml:space="preserve"> accessed </w:t>
      </w:r>
      <w:r w:rsidR="001A02A7">
        <w:t>April 23, 2017,</w:t>
      </w:r>
      <w:r w:rsidR="00572ADE" w:rsidRPr="00082992">
        <w:t xml:space="preserve"> https://sdw.ecb.europa.eu/home.do</w:t>
      </w:r>
      <w:r w:rsidR="003466F8" w:rsidRPr="00082992">
        <w:t>.</w:t>
      </w:r>
    </w:p>
    <w:p w14:paraId="13287B0E" w14:textId="77777777" w:rsidR="00572ADE" w:rsidRPr="00082992" w:rsidRDefault="00572ADE" w:rsidP="003466F8">
      <w:pPr>
        <w:pStyle w:val="Footnote"/>
      </w:pPr>
    </w:p>
    <w:p w14:paraId="519C197D" w14:textId="60A77460" w:rsidR="001409B9" w:rsidRPr="00082992" w:rsidRDefault="001409B9" w:rsidP="001409B9">
      <w:pPr>
        <w:spacing w:after="200" w:line="276" w:lineRule="auto"/>
        <w:rPr>
          <w:rFonts w:ascii="Arial" w:hAnsi="Arial" w:cs="Arial"/>
          <w:b/>
          <w:caps/>
        </w:rPr>
        <w:sectPr w:rsidR="001409B9" w:rsidRPr="00082992" w:rsidSect="00531061">
          <w:headerReference w:type="default" r:id="rId15"/>
          <w:endnotePr>
            <w:numFmt w:val="decimal"/>
          </w:endnotePr>
          <w:pgSz w:w="15840" w:h="12240" w:orient="landscape"/>
          <w:pgMar w:top="1440" w:right="1440" w:bottom="1440" w:left="1440" w:header="1080" w:footer="720" w:gutter="0"/>
          <w:cols w:space="720"/>
          <w:docGrid w:linePitch="360"/>
        </w:sectPr>
      </w:pPr>
    </w:p>
    <w:p w14:paraId="6C8AAAD9" w14:textId="77777777" w:rsidR="006D5856" w:rsidRPr="00082992" w:rsidRDefault="006D5856" w:rsidP="00187DCD">
      <w:pPr>
        <w:pStyle w:val="Casehead1"/>
        <w:outlineLvl w:val="0"/>
      </w:pPr>
      <w:r w:rsidRPr="00082992">
        <w:lastRenderedPageBreak/>
        <w:t xml:space="preserve">Endnotes </w:t>
      </w:r>
    </w:p>
    <w:sectPr w:rsidR="006D5856" w:rsidRPr="00082992" w:rsidSect="001409B9">
      <w:headerReference w:type="default" r:id="rId16"/>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2C22E" w14:textId="77777777" w:rsidR="008423D5" w:rsidRDefault="008423D5" w:rsidP="00D75295">
      <w:r>
        <w:separator/>
      </w:r>
    </w:p>
  </w:endnote>
  <w:endnote w:type="continuationSeparator" w:id="0">
    <w:p w14:paraId="4A0C5B81" w14:textId="77777777" w:rsidR="008423D5" w:rsidRDefault="008423D5" w:rsidP="00D75295">
      <w:r>
        <w:continuationSeparator/>
      </w:r>
    </w:p>
  </w:endnote>
  <w:endnote w:id="1">
    <w:p w14:paraId="57927DEA" w14:textId="4EAEFE88" w:rsidR="008423D5" w:rsidRPr="004149A5" w:rsidRDefault="008423D5" w:rsidP="00082992">
      <w:pPr>
        <w:pStyle w:val="Footnote"/>
      </w:pPr>
      <w:r w:rsidRPr="00426920">
        <w:rPr>
          <w:rStyle w:val="EndnoteReference"/>
          <w:b w:val="0"/>
          <w:color w:val="auto"/>
        </w:rPr>
        <w:endnoteRef/>
      </w:r>
      <w:r w:rsidRPr="00AC414F">
        <w:rPr>
          <w:b/>
        </w:rPr>
        <w:t xml:space="preserve"> </w:t>
      </w:r>
      <w:r w:rsidRPr="004149A5">
        <w:t xml:space="preserve">This case has been written </w:t>
      </w:r>
      <w:proofErr w:type="gramStart"/>
      <w:r w:rsidRPr="004149A5">
        <w:t>on the basis of</w:t>
      </w:r>
      <w:proofErr w:type="gramEnd"/>
      <w:r w:rsidRPr="004149A5">
        <w:t xml:space="preserve"> published sources only. Consequently, the interpretation and perspectives presented in this case are not necessarily those of the Government of Greece or any of its employees.</w:t>
      </w:r>
    </w:p>
  </w:endnote>
  <w:endnote w:id="2">
    <w:p w14:paraId="46F92974" w14:textId="3B510F2D" w:rsidR="008423D5" w:rsidRPr="004149A5" w:rsidRDefault="008423D5" w:rsidP="00082992">
      <w:pPr>
        <w:pStyle w:val="Footnote"/>
      </w:pPr>
      <w:r w:rsidRPr="00426920">
        <w:rPr>
          <w:rStyle w:val="EndnoteReference"/>
          <w:b w:val="0"/>
          <w:color w:val="auto"/>
        </w:rPr>
        <w:endnoteRef/>
      </w:r>
      <w:r w:rsidRPr="00AC414F">
        <w:rPr>
          <w:b/>
        </w:rPr>
        <w:t xml:space="preserve"> </w:t>
      </w:r>
      <w:r w:rsidRPr="004149A5">
        <w:t>€ =</w:t>
      </w:r>
      <w:r>
        <w:t xml:space="preserve"> EUR =</w:t>
      </w:r>
      <w:r w:rsidR="007C03C9">
        <w:t xml:space="preserve"> euro; All currency amounts are in EUR unless otherwise specified; €1 = US$1.08 on December 31, 2016. </w:t>
      </w:r>
    </w:p>
  </w:endnote>
  <w:endnote w:id="3">
    <w:p w14:paraId="45592996" w14:textId="5E337B99" w:rsidR="008423D5" w:rsidRPr="004149A5" w:rsidRDefault="008423D5" w:rsidP="00082992">
      <w:pPr>
        <w:pStyle w:val="Footnote"/>
      </w:pPr>
      <w:r w:rsidRPr="00426920">
        <w:rPr>
          <w:rStyle w:val="EndnoteReference"/>
          <w:b w:val="0"/>
          <w:color w:val="auto"/>
        </w:rPr>
        <w:endnoteRef/>
      </w:r>
      <w:r w:rsidRPr="00AC414F">
        <w:rPr>
          <w:b/>
        </w:rPr>
        <w:t xml:space="preserve"> </w:t>
      </w:r>
      <w:r w:rsidRPr="004149A5">
        <w:t xml:space="preserve">The </w:t>
      </w:r>
      <w:r>
        <w:t>E</w:t>
      </w:r>
      <w:r w:rsidRPr="004149A5">
        <w:t xml:space="preserve">urozone was a subset of the European Union (EU), comprising 19 of the 28 EU countries that used the euro as the national currency. Phillip Thorne, “Understanding Data: European Union vs. Euro Zone,” Moody’s Analytics, accessed August 10, 2017, www.economy.com/support/blog/buffet.aspx?did=D8A2232F-AAC5-43D0-AD70-2F737DD7261D; Nicholas Economides, “How Greece’s Troubled Economy Could Turn Around in 2017,” </w:t>
      </w:r>
      <w:r w:rsidRPr="004149A5">
        <w:rPr>
          <w:i/>
        </w:rPr>
        <w:t>Fortune</w:t>
      </w:r>
      <w:r w:rsidRPr="004149A5">
        <w:t>, January 3, 2017, accessed August 10, 2017, http://fortune.com/2017/01/03/greece-euro-2017.</w:t>
      </w:r>
    </w:p>
  </w:endnote>
  <w:endnote w:id="4">
    <w:p w14:paraId="153CA611" w14:textId="7B0A1484" w:rsidR="008423D5" w:rsidRPr="004149A5" w:rsidRDefault="008423D5" w:rsidP="00082992">
      <w:pPr>
        <w:pStyle w:val="Footnote"/>
        <w:rPr>
          <w:lang w:val="en-IN"/>
        </w:rPr>
      </w:pPr>
      <w:r w:rsidRPr="00426920">
        <w:rPr>
          <w:rStyle w:val="EndnoteReference"/>
          <w:b w:val="0"/>
          <w:color w:val="auto"/>
        </w:rPr>
        <w:endnoteRef/>
      </w:r>
      <w:r w:rsidRPr="00AC414F">
        <w:rPr>
          <w:b/>
        </w:rPr>
        <w:t xml:space="preserve"> </w:t>
      </w:r>
      <w:r w:rsidRPr="004149A5">
        <w:rPr>
          <w:lang w:val="en-IN"/>
        </w:rPr>
        <w:t xml:space="preserve">Jan </w:t>
      </w:r>
      <w:proofErr w:type="spellStart"/>
      <w:r w:rsidRPr="004149A5">
        <w:rPr>
          <w:lang w:val="en-IN"/>
        </w:rPr>
        <w:t>Strupczewski</w:t>
      </w:r>
      <w:proofErr w:type="spellEnd"/>
      <w:r w:rsidRPr="004149A5">
        <w:rPr>
          <w:lang w:val="en-IN"/>
        </w:rPr>
        <w:t xml:space="preserve"> and Karolina </w:t>
      </w:r>
      <w:proofErr w:type="spellStart"/>
      <w:r w:rsidRPr="004149A5">
        <w:rPr>
          <w:lang w:val="en-IN"/>
        </w:rPr>
        <w:t>Tagaris</w:t>
      </w:r>
      <w:proofErr w:type="spellEnd"/>
      <w:r w:rsidRPr="004149A5">
        <w:rPr>
          <w:lang w:val="en-IN"/>
        </w:rPr>
        <w:t>, “Greece Snubs Lenders, Approves Christmas Bonus as Europe Divided,”</w:t>
      </w:r>
      <w:r w:rsidRPr="004149A5">
        <w:rPr>
          <w:i/>
          <w:lang w:val="en-IN"/>
        </w:rPr>
        <w:t xml:space="preserve"> Fiscal Times</w:t>
      </w:r>
      <w:r w:rsidRPr="004149A5">
        <w:rPr>
          <w:lang w:val="en-IN"/>
        </w:rPr>
        <w:t>, December 15, 2016, accessed August 10, 2017, www.thefiscaltimes.com/latestnews/2016/12/15/EU-Commission-believes-Greek-debt-relief-deal-robust-EUs-Moscovici.</w:t>
      </w:r>
    </w:p>
  </w:endnote>
  <w:endnote w:id="5">
    <w:p w14:paraId="52BBA0AF" w14:textId="256A0726" w:rsidR="008423D5" w:rsidRPr="004149A5" w:rsidRDefault="008423D5" w:rsidP="00082992">
      <w:pPr>
        <w:pStyle w:val="Footnote"/>
      </w:pPr>
      <w:r w:rsidRPr="00426920">
        <w:rPr>
          <w:rStyle w:val="EndnoteReference"/>
          <w:b w:val="0"/>
          <w:color w:val="auto"/>
        </w:rPr>
        <w:endnoteRef/>
      </w:r>
      <w:r w:rsidRPr="00AC414F">
        <w:rPr>
          <w:b/>
        </w:rPr>
        <w:t xml:space="preserve"> </w:t>
      </w:r>
      <w:r w:rsidRPr="004149A5">
        <w:t xml:space="preserve">Helena Smith, “Greek Gloom as Economy Stalls </w:t>
      </w:r>
      <w:proofErr w:type="gramStart"/>
      <w:r w:rsidRPr="004149A5">
        <w:t>Amid</w:t>
      </w:r>
      <w:proofErr w:type="gramEnd"/>
      <w:r w:rsidRPr="004149A5">
        <w:t xml:space="preserve"> Latest Bout of EU Wrangling,”</w:t>
      </w:r>
      <w:r w:rsidRPr="004149A5">
        <w:rPr>
          <w:i/>
        </w:rPr>
        <w:t xml:space="preserve"> Guardian</w:t>
      </w:r>
      <w:r w:rsidRPr="004149A5">
        <w:t>, April 8, 2017, accessed August 10, 2017, www.theguardian.com/business/2017/apr/08/greece-last-protesters-diehards-rise-up-compromise-syriza-eurozone.</w:t>
      </w:r>
    </w:p>
  </w:endnote>
  <w:endnote w:id="6">
    <w:p w14:paraId="0310307F" w14:textId="1D18B8CC" w:rsidR="008423D5" w:rsidRPr="004149A5" w:rsidRDefault="008423D5" w:rsidP="00082992">
      <w:pPr>
        <w:pStyle w:val="Footnote"/>
      </w:pPr>
      <w:r w:rsidRPr="00426920">
        <w:rPr>
          <w:rStyle w:val="EndnoteReference"/>
          <w:b w:val="0"/>
          <w:color w:val="auto"/>
        </w:rPr>
        <w:endnoteRef/>
      </w:r>
      <w:r w:rsidRPr="00AC414F">
        <w:rPr>
          <w:b/>
        </w:rPr>
        <w:t xml:space="preserve"> </w:t>
      </w:r>
      <w:proofErr w:type="spellStart"/>
      <w:r w:rsidRPr="004149A5">
        <w:rPr>
          <w:lang w:val="en-IN"/>
        </w:rPr>
        <w:t>Strupczewski</w:t>
      </w:r>
      <w:proofErr w:type="spellEnd"/>
      <w:r w:rsidRPr="004149A5">
        <w:rPr>
          <w:lang w:val="en-IN"/>
        </w:rPr>
        <w:t xml:space="preserve"> </w:t>
      </w:r>
      <w:r w:rsidR="007C03C9">
        <w:t xml:space="preserve">and </w:t>
      </w:r>
      <w:proofErr w:type="spellStart"/>
      <w:r w:rsidR="007C03C9">
        <w:t>Tagaris</w:t>
      </w:r>
      <w:proofErr w:type="spellEnd"/>
      <w:r w:rsidR="007C03C9">
        <w:t xml:space="preserve">, op. </w:t>
      </w:r>
      <w:proofErr w:type="spellStart"/>
      <w:r w:rsidR="007C03C9">
        <w:t>cit</w:t>
      </w:r>
      <w:proofErr w:type="spellEnd"/>
      <w:r w:rsidR="007C03C9">
        <w:t xml:space="preserve">; </w:t>
      </w:r>
      <w:r w:rsidRPr="004149A5">
        <w:t xml:space="preserve">George </w:t>
      </w:r>
      <w:proofErr w:type="spellStart"/>
      <w:r w:rsidRPr="004149A5">
        <w:t>Alogoskoufis</w:t>
      </w:r>
      <w:proofErr w:type="spellEnd"/>
      <w:r w:rsidRPr="004149A5">
        <w:t xml:space="preserve">, “Greece’s Sovereign Debt Crisis: Retrospect and Prospect,” </w:t>
      </w:r>
      <w:proofErr w:type="spellStart"/>
      <w:r w:rsidRPr="004149A5">
        <w:t>GreeSE</w:t>
      </w:r>
      <w:proofErr w:type="spellEnd"/>
      <w:r w:rsidRPr="004149A5">
        <w:t xml:space="preserve"> Paper No. 54 in </w:t>
      </w:r>
      <w:r w:rsidRPr="004149A5">
        <w:rPr>
          <w:i/>
        </w:rPr>
        <w:t>Hellenic Observatory Papers on Greece and Southeast Europe</w:t>
      </w:r>
      <w:r w:rsidRPr="004149A5">
        <w:t xml:space="preserve"> (London: London School of Economics and Political Science, 2012</w:t>
      </w:r>
      <w:r w:rsidR="007C03C9">
        <w:t>).</w:t>
      </w:r>
    </w:p>
  </w:endnote>
  <w:endnote w:id="7">
    <w:p w14:paraId="1F21203A" w14:textId="75B033C4" w:rsidR="008423D5" w:rsidRPr="004149A5" w:rsidRDefault="008423D5" w:rsidP="00082992">
      <w:pPr>
        <w:pStyle w:val="Footnote"/>
      </w:pPr>
      <w:r w:rsidRPr="00426920">
        <w:rPr>
          <w:rStyle w:val="EndnoteReference"/>
          <w:b w:val="0"/>
          <w:color w:val="auto"/>
        </w:rPr>
        <w:endnoteRef/>
      </w:r>
      <w:r w:rsidRPr="00AC414F">
        <w:rPr>
          <w:b/>
        </w:rPr>
        <w:t xml:space="preserve"> </w:t>
      </w:r>
      <w:r w:rsidRPr="004149A5">
        <w:t xml:space="preserve">John Mauldin, “Greece’s Debt Problem Has Reached a Dangerous Point,” </w:t>
      </w:r>
      <w:r w:rsidRPr="004149A5">
        <w:rPr>
          <w:i/>
        </w:rPr>
        <w:t>Forbes</w:t>
      </w:r>
      <w:r w:rsidRPr="004149A5">
        <w:t>, December 21, 2016, accessed August 10, 2017, www.forbes.com/sites/johnmauldin/2016/12/21/greeces-debt-problem-has-reached-a-dangerous-point.</w:t>
      </w:r>
    </w:p>
  </w:endnote>
  <w:endnote w:id="8">
    <w:p w14:paraId="54DE0B5E" w14:textId="34146372" w:rsidR="008423D5" w:rsidRPr="004149A5" w:rsidRDefault="008423D5" w:rsidP="00082992">
      <w:pPr>
        <w:pStyle w:val="Footnote"/>
      </w:pPr>
      <w:r w:rsidRPr="00426920">
        <w:rPr>
          <w:rStyle w:val="EndnoteReference"/>
          <w:b w:val="0"/>
          <w:color w:val="auto"/>
        </w:rPr>
        <w:endnoteRef/>
      </w:r>
      <w:r w:rsidRPr="00AC414F">
        <w:rPr>
          <w:b/>
        </w:rPr>
        <w:t xml:space="preserve"> </w:t>
      </w:r>
      <w:r w:rsidRPr="004149A5">
        <w:t>“Long-Term Interest Rate Statistics for EU Member States,” European Central Bank, accessed August 10, 2017, www.ecb.europa.eu/stats/financial_markets_and_interest_rates/long_term_interest_rates/html/index.en.html.</w:t>
      </w:r>
    </w:p>
  </w:endnote>
  <w:endnote w:id="9">
    <w:p w14:paraId="6566EBC3" w14:textId="5B44C7E5" w:rsidR="008423D5" w:rsidRPr="004149A5" w:rsidRDefault="008423D5" w:rsidP="00082992">
      <w:pPr>
        <w:pStyle w:val="Footnote"/>
      </w:pPr>
      <w:r w:rsidRPr="00426920">
        <w:rPr>
          <w:rStyle w:val="EndnoteReference"/>
          <w:b w:val="0"/>
          <w:color w:val="auto"/>
        </w:rPr>
        <w:endnoteRef/>
      </w:r>
      <w:r w:rsidRPr="004149A5">
        <w:t xml:space="preserve"> </w:t>
      </w:r>
      <w:proofErr w:type="spellStart"/>
      <w:r w:rsidRPr="004149A5">
        <w:t>Alogoskoufis</w:t>
      </w:r>
      <w:proofErr w:type="spellEnd"/>
      <w:r w:rsidRPr="004149A5">
        <w:t>, op.</w:t>
      </w:r>
      <w:r>
        <w:t xml:space="preserve"> </w:t>
      </w:r>
      <w:r w:rsidR="007C03C9">
        <w:t>cit.</w:t>
      </w:r>
      <w:r w:rsidRPr="004149A5">
        <w:t xml:space="preserve">; Ralph C. Bryant, </w:t>
      </w:r>
      <w:r w:rsidRPr="004149A5">
        <w:rPr>
          <w:lang w:val="en-IN"/>
        </w:rPr>
        <w:t xml:space="preserve">Nicholas C. </w:t>
      </w:r>
      <w:proofErr w:type="spellStart"/>
      <w:r w:rsidRPr="004149A5">
        <w:rPr>
          <w:lang w:val="en-IN"/>
        </w:rPr>
        <w:t>Garganas</w:t>
      </w:r>
      <w:proofErr w:type="spellEnd"/>
      <w:r w:rsidRPr="004149A5">
        <w:rPr>
          <w:lang w:val="en-IN"/>
        </w:rPr>
        <w:t xml:space="preserve">, and George S. </w:t>
      </w:r>
      <w:proofErr w:type="spellStart"/>
      <w:r w:rsidRPr="004149A5">
        <w:rPr>
          <w:lang w:val="en-IN"/>
        </w:rPr>
        <w:t>Tavlas</w:t>
      </w:r>
      <w:proofErr w:type="spellEnd"/>
      <w:r w:rsidRPr="004149A5">
        <w:rPr>
          <w:lang w:val="en-IN"/>
        </w:rPr>
        <w:t xml:space="preserve">, eds., </w:t>
      </w:r>
      <w:r w:rsidRPr="004149A5">
        <w:rPr>
          <w:i/>
          <w:lang w:val="en-IN"/>
        </w:rPr>
        <w:t>Greece’s Economic Performance and Prospects</w:t>
      </w:r>
      <w:r w:rsidRPr="004149A5">
        <w:rPr>
          <w:lang w:val="en-IN"/>
        </w:rPr>
        <w:t xml:space="preserve"> (Athens: Bank of Greece and Washington: Brookings Institution, 2001); </w:t>
      </w:r>
      <w:r w:rsidRPr="004149A5">
        <w:t xml:space="preserve">Carmen M. Reinhart and Christoph </w:t>
      </w:r>
      <w:proofErr w:type="spellStart"/>
      <w:r w:rsidRPr="004149A5">
        <w:t>Trebesch</w:t>
      </w:r>
      <w:proofErr w:type="spellEnd"/>
      <w:r w:rsidRPr="004149A5">
        <w:t>, “The Pitfalls of External Dependence: Greece, 1829-2015,” NBER Working paper 21664, National Bureau of Economic Research, 2015, accessed August 10, 2017, www.nber.org/papers/w21664.</w:t>
      </w:r>
    </w:p>
  </w:endnote>
  <w:endnote w:id="10">
    <w:p w14:paraId="386F9725" w14:textId="2447291C" w:rsidR="008423D5" w:rsidRPr="004149A5" w:rsidRDefault="008423D5" w:rsidP="00082992">
      <w:pPr>
        <w:pStyle w:val="Footnote"/>
      </w:pPr>
      <w:r w:rsidRPr="00426920">
        <w:rPr>
          <w:rStyle w:val="EndnoteReference"/>
          <w:b w:val="0"/>
          <w:color w:val="auto"/>
        </w:rPr>
        <w:endnoteRef/>
      </w:r>
      <w:r w:rsidRPr="004149A5">
        <w:t xml:space="preserve"> “History of Greece,” greeka.com, accessed August 10, 2017, www.greeka.com/greece-history.</w:t>
      </w:r>
    </w:p>
  </w:endnote>
  <w:endnote w:id="11">
    <w:p w14:paraId="0699D0A5" w14:textId="0D387679" w:rsidR="008423D5" w:rsidRPr="004149A5" w:rsidRDefault="008423D5" w:rsidP="00082992">
      <w:pPr>
        <w:pStyle w:val="Footnote"/>
      </w:pPr>
      <w:r w:rsidRPr="00426920">
        <w:rPr>
          <w:rStyle w:val="EndnoteReference"/>
          <w:b w:val="0"/>
          <w:color w:val="auto"/>
        </w:rPr>
        <w:endnoteRef/>
      </w:r>
      <w:r w:rsidRPr="004149A5">
        <w:t xml:space="preserve"> Rei</w:t>
      </w:r>
      <w:r>
        <w:t xml:space="preserve">nhart and </w:t>
      </w:r>
      <w:proofErr w:type="spellStart"/>
      <w:r>
        <w:t>Trebesch</w:t>
      </w:r>
      <w:proofErr w:type="spellEnd"/>
      <w:r>
        <w:t>, op. cit., 1</w:t>
      </w:r>
    </w:p>
  </w:endnote>
  <w:endnote w:id="12">
    <w:p w14:paraId="20FAE5C5" w14:textId="4A25B588" w:rsidR="008423D5" w:rsidRPr="00980EBD" w:rsidRDefault="008423D5" w:rsidP="00082992">
      <w:pPr>
        <w:pStyle w:val="Footnote"/>
      </w:pPr>
      <w:r w:rsidRPr="00426920">
        <w:rPr>
          <w:rStyle w:val="EndnoteReference"/>
          <w:b w:val="0"/>
          <w:color w:val="auto"/>
        </w:rPr>
        <w:endnoteRef/>
      </w:r>
      <w:r w:rsidRPr="00426920">
        <w:t xml:space="preserve"> </w:t>
      </w:r>
      <w:proofErr w:type="spellStart"/>
      <w:r w:rsidRPr="00426920">
        <w:t>Alogoskoufis</w:t>
      </w:r>
      <w:proofErr w:type="spellEnd"/>
      <w:r w:rsidRPr="00426920">
        <w:t>, op.</w:t>
      </w:r>
      <w:r>
        <w:t xml:space="preserve"> </w:t>
      </w:r>
      <w:r w:rsidRPr="00426920">
        <w:t xml:space="preserve">cit. </w:t>
      </w:r>
    </w:p>
  </w:endnote>
  <w:endnote w:id="13">
    <w:p w14:paraId="544D8457" w14:textId="7D8834D5" w:rsidR="008423D5" w:rsidRPr="000F2A6E" w:rsidRDefault="008423D5" w:rsidP="00082992">
      <w:pPr>
        <w:pStyle w:val="Footnote"/>
      </w:pPr>
      <w:r w:rsidRPr="000F2A6E">
        <w:rPr>
          <w:rStyle w:val="EndnoteReference"/>
          <w:b w:val="0"/>
          <w:color w:val="auto"/>
        </w:rPr>
        <w:endnoteRef/>
      </w:r>
      <w:r w:rsidRPr="000F2A6E">
        <w:t xml:space="preserve"> Eurostat, European Commission, accessed August 10, 2017, http://ec.europa.eu/eurostat/data/database.</w:t>
      </w:r>
    </w:p>
  </w:endnote>
  <w:endnote w:id="14">
    <w:p w14:paraId="3CDAEC46" w14:textId="2B8D1F72" w:rsidR="008423D5" w:rsidRPr="00426920" w:rsidRDefault="008423D5" w:rsidP="00082992">
      <w:pPr>
        <w:pStyle w:val="Footnote"/>
        <w:rPr>
          <w:lang w:val="en-IN"/>
        </w:rPr>
      </w:pPr>
      <w:r w:rsidRPr="00AC414F">
        <w:rPr>
          <w:rStyle w:val="EndnoteReference"/>
          <w:b w:val="0"/>
          <w:color w:val="auto"/>
        </w:rPr>
        <w:endnoteRef/>
      </w:r>
      <w:r w:rsidRPr="00426920">
        <w:t xml:space="preserve"> Bryant, </w:t>
      </w:r>
      <w:proofErr w:type="spellStart"/>
      <w:r w:rsidRPr="00426920">
        <w:rPr>
          <w:lang w:val="en-IN"/>
        </w:rPr>
        <w:t>Garganas</w:t>
      </w:r>
      <w:proofErr w:type="spellEnd"/>
      <w:r w:rsidRPr="00426920">
        <w:rPr>
          <w:lang w:val="en-IN"/>
        </w:rPr>
        <w:t xml:space="preserve">, and </w:t>
      </w:r>
      <w:proofErr w:type="spellStart"/>
      <w:r w:rsidRPr="00426920">
        <w:rPr>
          <w:lang w:val="en-IN"/>
        </w:rPr>
        <w:t>Tavlas</w:t>
      </w:r>
      <w:proofErr w:type="spellEnd"/>
      <w:r w:rsidRPr="00426920">
        <w:rPr>
          <w:lang w:val="en-IN"/>
        </w:rPr>
        <w:t xml:space="preserve">, op. cit., 8. </w:t>
      </w:r>
    </w:p>
  </w:endnote>
  <w:endnote w:id="15">
    <w:p w14:paraId="4FDE6C74" w14:textId="085EAB2E" w:rsidR="008423D5" w:rsidRPr="00426920" w:rsidRDefault="008423D5" w:rsidP="00082992">
      <w:pPr>
        <w:pStyle w:val="Footnote"/>
        <w:rPr>
          <w:lang w:val="en-IN"/>
        </w:rPr>
      </w:pPr>
      <w:r w:rsidRPr="00AC414F">
        <w:rPr>
          <w:rStyle w:val="EndnoteReference"/>
          <w:b w:val="0"/>
          <w:color w:val="auto"/>
        </w:rPr>
        <w:endnoteRef/>
      </w:r>
      <w:r w:rsidRPr="00426920">
        <w:t xml:space="preserve"> George </w:t>
      </w:r>
      <w:proofErr w:type="spellStart"/>
      <w:r w:rsidRPr="00426920">
        <w:rPr>
          <w:lang w:val="en-IN"/>
        </w:rPr>
        <w:t>Alogoskoufis</w:t>
      </w:r>
      <w:proofErr w:type="spellEnd"/>
      <w:r w:rsidRPr="00426920">
        <w:rPr>
          <w:lang w:val="en-IN"/>
        </w:rPr>
        <w:t xml:space="preserve"> and Nikos </w:t>
      </w:r>
      <w:proofErr w:type="spellStart"/>
      <w:r w:rsidRPr="00426920">
        <w:rPr>
          <w:lang w:val="en-IN"/>
        </w:rPr>
        <w:t>Christodoulakis</w:t>
      </w:r>
      <w:proofErr w:type="spellEnd"/>
      <w:r w:rsidRPr="00426920">
        <w:rPr>
          <w:lang w:val="en-IN"/>
        </w:rPr>
        <w:t xml:space="preserve">, “Fiscal Deficits, </w:t>
      </w:r>
      <w:proofErr w:type="spellStart"/>
      <w:r w:rsidRPr="00426920">
        <w:rPr>
          <w:lang w:val="en-IN"/>
        </w:rPr>
        <w:t>Seignorage</w:t>
      </w:r>
      <w:proofErr w:type="spellEnd"/>
      <w:r w:rsidRPr="00426920">
        <w:rPr>
          <w:lang w:val="en-IN"/>
        </w:rPr>
        <w:t xml:space="preserve">, and External Debt: The Case of Greece,” in </w:t>
      </w:r>
      <w:r w:rsidRPr="00426920">
        <w:rPr>
          <w:i/>
          <w:lang w:val="en-IN"/>
        </w:rPr>
        <w:t>External Constraints on Macroeconomic Policy: The European Experience</w:t>
      </w:r>
      <w:r w:rsidRPr="00426920">
        <w:rPr>
          <w:lang w:val="en-IN"/>
        </w:rPr>
        <w:t xml:space="preserve">, ed. George </w:t>
      </w:r>
      <w:proofErr w:type="spellStart"/>
      <w:r w:rsidRPr="00426920">
        <w:rPr>
          <w:lang w:val="en-IN"/>
        </w:rPr>
        <w:t>Alogoskoufis</w:t>
      </w:r>
      <w:proofErr w:type="spellEnd"/>
      <w:r w:rsidRPr="00426920">
        <w:rPr>
          <w:lang w:val="en-IN"/>
        </w:rPr>
        <w:t xml:space="preserve">, Lucas </w:t>
      </w:r>
      <w:proofErr w:type="spellStart"/>
      <w:r w:rsidRPr="00426920">
        <w:rPr>
          <w:lang w:val="en-IN"/>
        </w:rPr>
        <w:t>Papademos</w:t>
      </w:r>
      <w:proofErr w:type="spellEnd"/>
      <w:r w:rsidRPr="00426920">
        <w:rPr>
          <w:lang w:val="en-IN"/>
        </w:rPr>
        <w:t xml:space="preserve">, and Richard </w:t>
      </w:r>
      <w:proofErr w:type="spellStart"/>
      <w:r w:rsidRPr="00426920">
        <w:rPr>
          <w:lang w:val="en-IN"/>
        </w:rPr>
        <w:t>Portes</w:t>
      </w:r>
      <w:proofErr w:type="spellEnd"/>
      <w:r w:rsidRPr="00426920">
        <w:rPr>
          <w:lang w:val="en-IN"/>
        </w:rPr>
        <w:t xml:space="preserve"> (Cambridge, UK: Cambridge University Press, 1991).</w:t>
      </w:r>
    </w:p>
  </w:endnote>
  <w:endnote w:id="16">
    <w:p w14:paraId="7E999931" w14:textId="6300AA2B" w:rsidR="008423D5" w:rsidRPr="00426920" w:rsidRDefault="008423D5" w:rsidP="00082992">
      <w:pPr>
        <w:pStyle w:val="Footnote"/>
      </w:pPr>
      <w:r w:rsidRPr="00AC414F">
        <w:rPr>
          <w:rStyle w:val="EndnoteReference"/>
          <w:b w:val="0"/>
          <w:color w:val="auto"/>
        </w:rPr>
        <w:endnoteRef/>
      </w:r>
      <w:r>
        <w:t xml:space="preserve"> </w:t>
      </w:r>
      <w:proofErr w:type="spellStart"/>
      <w:r>
        <w:t>Alogoskoufis</w:t>
      </w:r>
      <w:proofErr w:type="spellEnd"/>
      <w:r>
        <w:t>, op. cit., 46.</w:t>
      </w:r>
    </w:p>
  </w:endnote>
  <w:endnote w:id="17">
    <w:p w14:paraId="4CAC3A45" w14:textId="749E17EA" w:rsidR="008423D5" w:rsidRPr="00AC414F" w:rsidRDefault="008423D5" w:rsidP="00082992">
      <w:pPr>
        <w:pStyle w:val="Footnote"/>
      </w:pPr>
      <w:r w:rsidRPr="00AC414F">
        <w:rPr>
          <w:rStyle w:val="EndnoteReference"/>
          <w:b w:val="0"/>
          <w:color w:val="auto"/>
        </w:rPr>
        <w:endnoteRef/>
      </w:r>
      <w:r w:rsidRPr="00426920">
        <w:t xml:space="preserve"> Rebecca M. Nelson, Paul Belkin, and Derek E. Mix,</w:t>
      </w:r>
      <w:r w:rsidRPr="00426920">
        <w:rPr>
          <w:i/>
        </w:rPr>
        <w:t xml:space="preserve"> </w:t>
      </w:r>
      <w:r w:rsidRPr="00426920">
        <w:t xml:space="preserve">“Greece’s Debt Crisis: Overview, Policy Responses and Implications,” Congressional Research Service No. R41167, 2011, 2, accessed August 10, 2017, https://fas.org/sgp/crs/row/R41167.pdf. </w:t>
      </w:r>
    </w:p>
  </w:endnote>
  <w:endnote w:id="18">
    <w:p w14:paraId="06444F1F" w14:textId="5BE66792" w:rsidR="008423D5" w:rsidRPr="00980EBD" w:rsidRDefault="008423D5" w:rsidP="00082992">
      <w:pPr>
        <w:pStyle w:val="Footnote"/>
        <w:rPr>
          <w:lang w:val="en-IN"/>
        </w:rPr>
      </w:pPr>
      <w:r w:rsidRPr="00426920">
        <w:rPr>
          <w:rStyle w:val="EndnoteReference"/>
          <w:b w:val="0"/>
          <w:color w:val="auto"/>
        </w:rPr>
        <w:endnoteRef/>
      </w:r>
      <w:r w:rsidRPr="00426920">
        <w:t xml:space="preserve"> Bryant, </w:t>
      </w:r>
      <w:proofErr w:type="spellStart"/>
      <w:r w:rsidRPr="00426920">
        <w:rPr>
          <w:lang w:val="en-IN"/>
        </w:rPr>
        <w:t>Gar</w:t>
      </w:r>
      <w:r>
        <w:rPr>
          <w:lang w:val="en-IN"/>
        </w:rPr>
        <w:t>ganas</w:t>
      </w:r>
      <w:proofErr w:type="spellEnd"/>
      <w:r>
        <w:rPr>
          <w:lang w:val="en-IN"/>
        </w:rPr>
        <w:t xml:space="preserve">, and </w:t>
      </w:r>
      <w:proofErr w:type="spellStart"/>
      <w:r>
        <w:rPr>
          <w:lang w:val="en-IN"/>
        </w:rPr>
        <w:t>Tavlas</w:t>
      </w:r>
      <w:proofErr w:type="spellEnd"/>
      <w:r>
        <w:rPr>
          <w:lang w:val="en-IN"/>
        </w:rPr>
        <w:t xml:space="preserve">, op. cit., 8 </w:t>
      </w:r>
    </w:p>
  </w:endnote>
  <w:endnote w:id="19">
    <w:p w14:paraId="059C1AE0" w14:textId="65DAFE24" w:rsidR="008423D5" w:rsidRPr="00426920" w:rsidRDefault="008423D5" w:rsidP="00082992">
      <w:pPr>
        <w:pStyle w:val="Footnote"/>
      </w:pPr>
      <w:r w:rsidRPr="000F2A6E">
        <w:rPr>
          <w:rStyle w:val="EndnoteReference"/>
          <w:b w:val="0"/>
          <w:color w:val="auto"/>
        </w:rPr>
        <w:endnoteRef/>
      </w:r>
      <w:r w:rsidR="007C03C9">
        <w:t xml:space="preserve"> </w:t>
      </w:r>
      <w:proofErr w:type="spellStart"/>
      <w:r w:rsidR="007C03C9">
        <w:t>Alogoskoufis</w:t>
      </w:r>
      <w:proofErr w:type="spellEnd"/>
      <w:r w:rsidR="007C03C9">
        <w:t>, op. cit., 19.</w:t>
      </w:r>
    </w:p>
  </w:endnote>
  <w:endnote w:id="20">
    <w:p w14:paraId="50BFC935" w14:textId="4720C840" w:rsidR="008423D5" w:rsidRPr="00426920" w:rsidRDefault="008423D5" w:rsidP="00082992">
      <w:pPr>
        <w:pStyle w:val="Footnote"/>
      </w:pPr>
      <w:r w:rsidRPr="00AC414F">
        <w:rPr>
          <w:rStyle w:val="EndnoteReference"/>
          <w:b w:val="0"/>
          <w:color w:val="auto"/>
        </w:rPr>
        <w:endnoteRef/>
      </w:r>
      <w:r w:rsidRPr="00426920">
        <w:t xml:space="preserve"> Susan C. Stokes, “Political </w:t>
      </w:r>
      <w:proofErr w:type="spellStart"/>
      <w:r w:rsidRPr="00426920">
        <w:t>Clientism</w:t>
      </w:r>
      <w:proofErr w:type="spellEnd"/>
      <w:r w:rsidRPr="00426920">
        <w:t xml:space="preserve">,” in </w:t>
      </w:r>
      <w:proofErr w:type="gramStart"/>
      <w:r w:rsidRPr="00426920">
        <w:rPr>
          <w:i/>
        </w:rPr>
        <w:t>The</w:t>
      </w:r>
      <w:proofErr w:type="gramEnd"/>
      <w:r w:rsidRPr="00426920">
        <w:rPr>
          <w:i/>
        </w:rPr>
        <w:t xml:space="preserve"> Oxford Handbook of Political Science</w:t>
      </w:r>
      <w:r>
        <w:t xml:space="preserve">, ed. Robert E. </w:t>
      </w:r>
      <w:proofErr w:type="spellStart"/>
      <w:r>
        <w:t>Goodin</w:t>
      </w:r>
      <w:proofErr w:type="spellEnd"/>
      <w:r w:rsidRPr="004E1E4A">
        <w:t xml:space="preserve"> </w:t>
      </w:r>
      <w:r w:rsidRPr="00426920">
        <w:t>(Oxford, UK: Oxford University Press, 2011), 649.</w:t>
      </w:r>
    </w:p>
  </w:endnote>
  <w:endnote w:id="21">
    <w:p w14:paraId="6896DB2E" w14:textId="61469592" w:rsidR="008423D5" w:rsidRPr="00426920" w:rsidRDefault="008423D5" w:rsidP="00082992">
      <w:pPr>
        <w:pStyle w:val="Footnote"/>
      </w:pPr>
      <w:r w:rsidRPr="00980EBD">
        <w:rPr>
          <w:rStyle w:val="EndnoteReference"/>
          <w:b w:val="0"/>
          <w:color w:val="auto"/>
        </w:rPr>
        <w:endnoteRef/>
      </w:r>
      <w:r w:rsidRPr="000F2A6E">
        <w:t xml:space="preserve"> Nelso</w:t>
      </w:r>
      <w:r>
        <w:t>n, Belkin, and Mix, op. cit., 2.</w:t>
      </w:r>
    </w:p>
  </w:endnote>
  <w:endnote w:id="22">
    <w:p w14:paraId="7E63673F" w14:textId="31203730" w:rsidR="008423D5" w:rsidRPr="00426920" w:rsidRDefault="008423D5" w:rsidP="00082992">
      <w:pPr>
        <w:pStyle w:val="Footnote"/>
        <w:rPr>
          <w:lang w:val="en-IN"/>
        </w:rPr>
      </w:pPr>
      <w:r w:rsidRPr="00AC414F">
        <w:rPr>
          <w:rStyle w:val="EndnoteReference"/>
          <w:b w:val="0"/>
          <w:color w:val="auto"/>
        </w:rPr>
        <w:endnoteRef/>
      </w:r>
      <w:r w:rsidRPr="00426920">
        <w:t xml:space="preserve"> Bryant, </w:t>
      </w:r>
      <w:proofErr w:type="spellStart"/>
      <w:r w:rsidRPr="00426920">
        <w:rPr>
          <w:lang w:val="en-IN"/>
        </w:rPr>
        <w:t>Garganas</w:t>
      </w:r>
      <w:proofErr w:type="spellEnd"/>
      <w:r w:rsidRPr="00426920">
        <w:rPr>
          <w:lang w:val="en-IN"/>
        </w:rPr>
        <w:t xml:space="preserve">, and </w:t>
      </w:r>
      <w:proofErr w:type="spellStart"/>
      <w:r w:rsidRPr="00426920">
        <w:rPr>
          <w:lang w:val="en-IN"/>
        </w:rPr>
        <w:t>Tavlas</w:t>
      </w:r>
      <w:proofErr w:type="spellEnd"/>
      <w:r w:rsidRPr="00426920">
        <w:rPr>
          <w:lang w:val="en-IN"/>
        </w:rPr>
        <w:t xml:space="preserve">, op. cit., 8 </w:t>
      </w:r>
    </w:p>
  </w:endnote>
  <w:endnote w:id="23">
    <w:p w14:paraId="3F986A27" w14:textId="45648875" w:rsidR="008423D5" w:rsidRPr="00426920" w:rsidRDefault="008423D5" w:rsidP="00082992">
      <w:pPr>
        <w:pStyle w:val="Footnote"/>
      </w:pPr>
      <w:r w:rsidRPr="00AC414F">
        <w:rPr>
          <w:rStyle w:val="EndnoteReference"/>
          <w:b w:val="0"/>
          <w:color w:val="auto"/>
        </w:rPr>
        <w:endnoteRef/>
      </w:r>
      <w:r w:rsidRPr="00426920">
        <w:t xml:space="preserve"> </w:t>
      </w:r>
      <w:r>
        <w:t>Ibid</w:t>
      </w:r>
      <w:proofErr w:type="gramStart"/>
      <w:r>
        <w:t>;</w:t>
      </w:r>
      <w:proofErr w:type="gramEnd"/>
      <w:r>
        <w:t xml:space="preserve"> </w:t>
      </w:r>
      <w:proofErr w:type="spellStart"/>
      <w:r>
        <w:t>Alogoskoufis</w:t>
      </w:r>
      <w:proofErr w:type="spellEnd"/>
      <w:r>
        <w:t>, op. cit., 18.</w:t>
      </w:r>
    </w:p>
  </w:endnote>
  <w:endnote w:id="24">
    <w:p w14:paraId="0D56591D" w14:textId="3329F71B" w:rsidR="008423D5" w:rsidRPr="00426920" w:rsidRDefault="008423D5" w:rsidP="00082992">
      <w:pPr>
        <w:pStyle w:val="Footnote"/>
        <w:rPr>
          <w:lang w:val="en-IN"/>
        </w:rPr>
      </w:pPr>
      <w:r w:rsidRPr="00AC414F">
        <w:rPr>
          <w:rStyle w:val="EndnoteReference"/>
          <w:b w:val="0"/>
          <w:color w:val="auto"/>
        </w:rPr>
        <w:endnoteRef/>
      </w:r>
      <w:r w:rsidRPr="00426920">
        <w:rPr>
          <w:lang w:val="en-IN"/>
        </w:rPr>
        <w:t xml:space="preserve"> Renate </w:t>
      </w:r>
      <w:proofErr w:type="spellStart"/>
      <w:r w:rsidRPr="00426920">
        <w:rPr>
          <w:lang w:val="en-IN"/>
        </w:rPr>
        <w:t>Neubäumer</w:t>
      </w:r>
      <w:proofErr w:type="spellEnd"/>
      <w:r w:rsidRPr="00426920">
        <w:rPr>
          <w:lang w:val="en-IN"/>
        </w:rPr>
        <w:t xml:space="preserve">, “The Prologue to the Greek Crisis,” </w:t>
      </w:r>
      <w:proofErr w:type="spellStart"/>
      <w:r w:rsidRPr="00426920">
        <w:rPr>
          <w:i/>
          <w:lang w:val="en-IN"/>
        </w:rPr>
        <w:t>Vierteljahrshefte</w:t>
      </w:r>
      <w:proofErr w:type="spellEnd"/>
      <w:r w:rsidRPr="00426920">
        <w:rPr>
          <w:i/>
          <w:lang w:val="en-IN"/>
        </w:rPr>
        <w:t xml:space="preserve"> </w:t>
      </w:r>
      <w:proofErr w:type="spellStart"/>
      <w:r w:rsidRPr="00426920">
        <w:rPr>
          <w:i/>
          <w:lang w:val="en-IN"/>
        </w:rPr>
        <w:t>zur</w:t>
      </w:r>
      <w:proofErr w:type="spellEnd"/>
      <w:r w:rsidRPr="00426920">
        <w:rPr>
          <w:i/>
          <w:lang w:val="en-IN"/>
        </w:rPr>
        <w:t xml:space="preserve"> </w:t>
      </w:r>
      <w:proofErr w:type="spellStart"/>
      <w:r w:rsidRPr="00426920">
        <w:rPr>
          <w:i/>
          <w:lang w:val="en-IN"/>
        </w:rPr>
        <w:t>Wirtschaftsforschung</w:t>
      </w:r>
      <w:proofErr w:type="spellEnd"/>
      <w:r w:rsidRPr="00426920">
        <w:rPr>
          <w:lang w:val="en-IN"/>
        </w:rPr>
        <w:t xml:space="preserve"> 84, no. 3 (2015): 9–28, doi:10.3790/vjh.84.3.9. </w:t>
      </w:r>
    </w:p>
  </w:endnote>
  <w:endnote w:id="25">
    <w:p w14:paraId="552D3CC6" w14:textId="5944CA3A" w:rsidR="008423D5" w:rsidRPr="00426920" w:rsidRDefault="008423D5" w:rsidP="00082992">
      <w:pPr>
        <w:pStyle w:val="Footnote"/>
      </w:pPr>
      <w:r w:rsidRPr="00AC414F">
        <w:rPr>
          <w:rStyle w:val="EndnoteReference"/>
          <w:b w:val="0"/>
          <w:color w:val="auto"/>
        </w:rPr>
        <w:endnoteRef/>
      </w:r>
      <w:r w:rsidRPr="00426920">
        <w:t xml:space="preserve"> </w:t>
      </w:r>
      <w:proofErr w:type="spellStart"/>
      <w:r w:rsidRPr="00426920">
        <w:t>Alogoskoufis</w:t>
      </w:r>
      <w:proofErr w:type="spellEnd"/>
      <w:r w:rsidRPr="00426920">
        <w:t xml:space="preserve">, op. cit., 18 </w:t>
      </w:r>
    </w:p>
  </w:endnote>
  <w:endnote w:id="26">
    <w:p w14:paraId="43815344" w14:textId="3590BBD3" w:rsidR="008423D5" w:rsidRPr="00426920" w:rsidRDefault="008423D5" w:rsidP="00082992">
      <w:pPr>
        <w:pStyle w:val="Footnote"/>
      </w:pPr>
      <w:r w:rsidRPr="00AC414F">
        <w:rPr>
          <w:rStyle w:val="EndnoteReference"/>
          <w:b w:val="0"/>
          <w:color w:val="auto"/>
        </w:rPr>
        <w:endnoteRef/>
      </w:r>
      <w:r w:rsidRPr="00426920">
        <w:t xml:space="preserve"> “General Government Gross Debt: Annual Data,” Eurostat, European Commission, accessed August 10, 2017, http://ec.europa.eu/eurostat/tgm/table.do?tab=table&amp;init=1&amp;language=en&amp;pcode=teina225&amp;plugin=1.</w:t>
      </w:r>
    </w:p>
  </w:endnote>
  <w:endnote w:id="27">
    <w:p w14:paraId="536441A7" w14:textId="6AF13834" w:rsidR="008423D5" w:rsidRPr="00426920" w:rsidRDefault="008423D5" w:rsidP="00082992">
      <w:pPr>
        <w:pStyle w:val="Footnote"/>
      </w:pPr>
      <w:r w:rsidRPr="00AC414F">
        <w:rPr>
          <w:rStyle w:val="EndnoteReference"/>
          <w:b w:val="0"/>
          <w:color w:val="auto"/>
        </w:rPr>
        <w:endnoteRef/>
      </w:r>
      <w:r w:rsidRPr="00426920">
        <w:t xml:space="preserve"> Bryant, </w:t>
      </w:r>
      <w:proofErr w:type="spellStart"/>
      <w:r w:rsidRPr="00426920">
        <w:t>Gar</w:t>
      </w:r>
      <w:r>
        <w:t>ganas</w:t>
      </w:r>
      <w:proofErr w:type="spellEnd"/>
      <w:r>
        <w:t xml:space="preserve">, and </w:t>
      </w:r>
      <w:proofErr w:type="spellStart"/>
      <w:r>
        <w:t>Tavlas</w:t>
      </w:r>
      <w:proofErr w:type="spellEnd"/>
      <w:r>
        <w:t>, op. cit., 17.</w:t>
      </w:r>
    </w:p>
  </w:endnote>
  <w:endnote w:id="28">
    <w:p w14:paraId="4837775D" w14:textId="780C5747" w:rsidR="008423D5" w:rsidRPr="00426920" w:rsidRDefault="008423D5" w:rsidP="00082992">
      <w:pPr>
        <w:pStyle w:val="Footnote"/>
      </w:pPr>
      <w:r w:rsidRPr="00AC414F">
        <w:rPr>
          <w:rStyle w:val="EndnoteReference"/>
          <w:b w:val="0"/>
          <w:color w:val="auto"/>
        </w:rPr>
        <w:endnoteRef/>
      </w:r>
      <w:r>
        <w:t xml:space="preserve"> </w:t>
      </w:r>
      <w:proofErr w:type="spellStart"/>
      <w:r>
        <w:t>Alogoskoufis</w:t>
      </w:r>
      <w:proofErr w:type="spellEnd"/>
      <w:r>
        <w:t>, op. cit., 18.</w:t>
      </w:r>
    </w:p>
  </w:endnote>
  <w:endnote w:id="29">
    <w:p w14:paraId="12EB0082" w14:textId="21B52922" w:rsidR="008423D5" w:rsidRPr="00426920" w:rsidRDefault="008423D5" w:rsidP="00082992">
      <w:pPr>
        <w:pStyle w:val="Footnote"/>
      </w:pPr>
      <w:r w:rsidRPr="00AC414F">
        <w:rPr>
          <w:rStyle w:val="EndnoteReference"/>
          <w:b w:val="0"/>
          <w:color w:val="auto"/>
        </w:rPr>
        <w:endnoteRef/>
      </w:r>
      <w:r w:rsidRPr="00426920">
        <w:t xml:space="preserve"> Bryant, </w:t>
      </w:r>
      <w:proofErr w:type="spellStart"/>
      <w:r w:rsidRPr="00426920">
        <w:t>Garganas</w:t>
      </w:r>
      <w:proofErr w:type="spellEnd"/>
      <w:r w:rsidRPr="00426920">
        <w:t xml:space="preserve">, and </w:t>
      </w:r>
      <w:proofErr w:type="spellStart"/>
      <w:r w:rsidRPr="00426920">
        <w:t>Tavlas</w:t>
      </w:r>
      <w:proofErr w:type="spellEnd"/>
      <w:r w:rsidRPr="00426920">
        <w:t>, op. c</w:t>
      </w:r>
      <w:r>
        <w:t>it., 17.</w:t>
      </w:r>
    </w:p>
  </w:endnote>
  <w:endnote w:id="30">
    <w:p w14:paraId="53FB1837" w14:textId="039CF7D7" w:rsidR="008423D5" w:rsidRPr="00426920" w:rsidRDefault="008423D5" w:rsidP="00082992">
      <w:pPr>
        <w:pStyle w:val="Footnote"/>
      </w:pPr>
      <w:r w:rsidRPr="00AC414F">
        <w:rPr>
          <w:rStyle w:val="EndnoteReference"/>
          <w:b w:val="0"/>
          <w:color w:val="auto"/>
        </w:rPr>
        <w:endnoteRef/>
      </w:r>
      <w:r>
        <w:t xml:space="preserve"> </w:t>
      </w:r>
      <w:proofErr w:type="spellStart"/>
      <w:r>
        <w:t>Alogoskoufis</w:t>
      </w:r>
      <w:proofErr w:type="spellEnd"/>
      <w:r>
        <w:t>, op. cit., 46.</w:t>
      </w:r>
    </w:p>
  </w:endnote>
  <w:endnote w:id="31">
    <w:p w14:paraId="5C7F26E9" w14:textId="60CB014B" w:rsidR="008423D5" w:rsidRPr="00426920" w:rsidRDefault="008423D5" w:rsidP="00082992">
      <w:pPr>
        <w:pStyle w:val="Footnote"/>
      </w:pPr>
      <w:r w:rsidRPr="00AC414F">
        <w:rPr>
          <w:rStyle w:val="EndnoteReference"/>
          <w:b w:val="0"/>
          <w:color w:val="auto"/>
        </w:rPr>
        <w:endnoteRef/>
      </w:r>
      <w:r w:rsidRPr="00426920">
        <w:t xml:space="preserve"> “Greece Joins Eurozone,” BBC News, January 1, 2001, accessed August 10, 2017, http://news.bbc.co.uk/2/hi/business/1095783.stm.</w:t>
      </w:r>
    </w:p>
  </w:endnote>
  <w:endnote w:id="32">
    <w:p w14:paraId="15048E84" w14:textId="79582A8A" w:rsidR="008423D5" w:rsidRPr="00426920" w:rsidRDefault="008423D5" w:rsidP="00082992">
      <w:pPr>
        <w:pStyle w:val="Footnote"/>
        <w:rPr>
          <w:rFonts w:asciiTheme="minorHAnsi" w:hAnsiTheme="minorHAnsi" w:cstheme="minorBidi"/>
          <w:sz w:val="24"/>
          <w:szCs w:val="24"/>
        </w:rPr>
      </w:pPr>
      <w:r w:rsidRPr="00AC414F">
        <w:rPr>
          <w:rStyle w:val="EndnoteReference"/>
          <w:b w:val="0"/>
          <w:color w:val="auto"/>
        </w:rPr>
        <w:endnoteRef/>
      </w:r>
      <w:r w:rsidRPr="00426920">
        <w:t xml:space="preserve"> Bryant, </w:t>
      </w:r>
      <w:proofErr w:type="spellStart"/>
      <w:r w:rsidRPr="00426920">
        <w:t>Gar</w:t>
      </w:r>
      <w:r>
        <w:t>ganas</w:t>
      </w:r>
      <w:proofErr w:type="spellEnd"/>
      <w:r>
        <w:t xml:space="preserve">, and </w:t>
      </w:r>
      <w:proofErr w:type="spellStart"/>
      <w:r>
        <w:t>Tavlas</w:t>
      </w:r>
      <w:proofErr w:type="spellEnd"/>
      <w:r>
        <w:t>, op. cit., 19.</w:t>
      </w:r>
    </w:p>
  </w:endnote>
  <w:endnote w:id="33">
    <w:p w14:paraId="18813008" w14:textId="26407B54" w:rsidR="008423D5" w:rsidRPr="00426920" w:rsidRDefault="008423D5" w:rsidP="00082992">
      <w:pPr>
        <w:pStyle w:val="Footnote"/>
      </w:pPr>
      <w:r w:rsidRPr="00AC414F">
        <w:rPr>
          <w:rStyle w:val="EndnoteReference"/>
          <w:b w:val="0"/>
          <w:color w:val="auto"/>
        </w:rPr>
        <w:endnoteRef/>
      </w:r>
      <w:r w:rsidRPr="00426920">
        <w:t xml:space="preserve"> </w:t>
      </w:r>
      <w:r>
        <w:t>Ibid,</w:t>
      </w:r>
      <w:r w:rsidRPr="00426920">
        <w:t xml:space="preserve"> 21</w:t>
      </w:r>
      <w:r>
        <w:t>.</w:t>
      </w:r>
    </w:p>
  </w:endnote>
  <w:endnote w:id="34">
    <w:p w14:paraId="2F1C5D47" w14:textId="33718A39" w:rsidR="008423D5" w:rsidRPr="00426920" w:rsidRDefault="008423D5" w:rsidP="00082992">
      <w:pPr>
        <w:pStyle w:val="Footnote"/>
        <w:rPr>
          <w:lang w:val="es-US"/>
        </w:rPr>
      </w:pPr>
      <w:r w:rsidRPr="00AC414F">
        <w:rPr>
          <w:rStyle w:val="EndnoteReference"/>
          <w:b w:val="0"/>
          <w:color w:val="auto"/>
        </w:rPr>
        <w:endnoteRef/>
      </w:r>
      <w:r>
        <w:rPr>
          <w:lang w:val="es-US"/>
        </w:rPr>
        <w:t xml:space="preserve"> </w:t>
      </w:r>
      <w:proofErr w:type="spellStart"/>
      <w:r>
        <w:rPr>
          <w:lang w:val="es-US"/>
        </w:rPr>
        <w:t>Alogoskoufis</w:t>
      </w:r>
      <w:proofErr w:type="spellEnd"/>
      <w:r>
        <w:rPr>
          <w:lang w:val="es-US"/>
        </w:rPr>
        <w:t xml:space="preserve">, </w:t>
      </w:r>
      <w:proofErr w:type="spellStart"/>
      <w:r>
        <w:rPr>
          <w:lang w:val="es-US"/>
        </w:rPr>
        <w:t>op</w:t>
      </w:r>
      <w:proofErr w:type="spellEnd"/>
      <w:r>
        <w:rPr>
          <w:lang w:val="es-US"/>
        </w:rPr>
        <w:t>. cit., 11.</w:t>
      </w:r>
    </w:p>
  </w:endnote>
  <w:endnote w:id="35">
    <w:p w14:paraId="6E33335F" w14:textId="4C68185A" w:rsidR="008423D5" w:rsidRPr="00426920" w:rsidRDefault="008423D5" w:rsidP="00082992">
      <w:pPr>
        <w:pStyle w:val="Footnote"/>
        <w:rPr>
          <w:lang w:val="es-US"/>
        </w:rPr>
      </w:pPr>
      <w:r w:rsidRPr="00AC414F">
        <w:rPr>
          <w:rStyle w:val="EndnoteReference"/>
          <w:b w:val="0"/>
          <w:color w:val="auto"/>
        </w:rPr>
        <w:endnoteRef/>
      </w:r>
      <w:r w:rsidRPr="00426920">
        <w:rPr>
          <w:lang w:val="es-US"/>
        </w:rPr>
        <w:t xml:space="preserve"> “</w:t>
      </w:r>
      <w:proofErr w:type="spellStart"/>
      <w:r w:rsidRPr="00426920">
        <w:rPr>
          <w:lang w:val="es-US"/>
        </w:rPr>
        <w:t>Greece’s</w:t>
      </w:r>
      <w:proofErr w:type="spellEnd"/>
      <w:r w:rsidRPr="00426920">
        <w:rPr>
          <w:lang w:val="es-US"/>
        </w:rPr>
        <w:t xml:space="preserve"> </w:t>
      </w:r>
      <w:proofErr w:type="spellStart"/>
      <w:r w:rsidRPr="00426920">
        <w:rPr>
          <w:lang w:val="es-US"/>
        </w:rPr>
        <w:t>Debt</w:t>
      </w:r>
      <w:proofErr w:type="spellEnd"/>
      <w:r w:rsidRPr="00426920">
        <w:rPr>
          <w:lang w:val="es-US"/>
        </w:rPr>
        <w:t xml:space="preserve">: 1974–2017,” Council </w:t>
      </w:r>
      <w:proofErr w:type="spellStart"/>
      <w:r w:rsidRPr="00426920">
        <w:rPr>
          <w:lang w:val="es-US"/>
        </w:rPr>
        <w:t>on</w:t>
      </w:r>
      <w:proofErr w:type="spellEnd"/>
      <w:r w:rsidRPr="00426920">
        <w:rPr>
          <w:lang w:val="es-US"/>
        </w:rPr>
        <w:t xml:space="preserve"> </w:t>
      </w:r>
      <w:proofErr w:type="spellStart"/>
      <w:r w:rsidRPr="00426920">
        <w:rPr>
          <w:lang w:val="es-US"/>
        </w:rPr>
        <w:t>Foreign</w:t>
      </w:r>
      <w:proofErr w:type="spellEnd"/>
      <w:r w:rsidRPr="00426920">
        <w:rPr>
          <w:lang w:val="es-US"/>
        </w:rPr>
        <w:t xml:space="preserve"> </w:t>
      </w:r>
      <w:proofErr w:type="spellStart"/>
      <w:r w:rsidRPr="00426920">
        <w:rPr>
          <w:lang w:val="es-US"/>
        </w:rPr>
        <w:t>Relations</w:t>
      </w:r>
      <w:proofErr w:type="spellEnd"/>
      <w:r w:rsidRPr="00426920">
        <w:rPr>
          <w:lang w:val="es-US"/>
        </w:rPr>
        <w:t xml:space="preserve">, </w:t>
      </w:r>
      <w:proofErr w:type="spellStart"/>
      <w:r w:rsidRPr="00426920">
        <w:rPr>
          <w:lang w:val="es-US"/>
        </w:rPr>
        <w:t>accessed</w:t>
      </w:r>
      <w:proofErr w:type="spellEnd"/>
      <w:r w:rsidRPr="00426920">
        <w:rPr>
          <w:lang w:val="es-US"/>
        </w:rPr>
        <w:t xml:space="preserve"> </w:t>
      </w:r>
      <w:proofErr w:type="spellStart"/>
      <w:r w:rsidRPr="00426920">
        <w:rPr>
          <w:lang w:val="es-US"/>
        </w:rPr>
        <w:t>August</w:t>
      </w:r>
      <w:proofErr w:type="spellEnd"/>
      <w:r w:rsidRPr="00426920">
        <w:rPr>
          <w:lang w:val="es-US"/>
        </w:rPr>
        <w:t xml:space="preserve"> 10, 2017, www.cfr.org/greece/timeline-greeces-debt-crisis.</w:t>
      </w:r>
    </w:p>
  </w:endnote>
  <w:endnote w:id="36">
    <w:p w14:paraId="3D46C7C3" w14:textId="3C4E7B97" w:rsidR="008423D5" w:rsidRPr="00426920" w:rsidRDefault="008423D5" w:rsidP="00082992">
      <w:pPr>
        <w:pStyle w:val="Footnote"/>
        <w:rPr>
          <w:lang w:val="es-US"/>
        </w:rPr>
      </w:pPr>
      <w:r w:rsidRPr="00AC414F">
        <w:rPr>
          <w:rStyle w:val="EndnoteReference"/>
          <w:b w:val="0"/>
          <w:color w:val="auto"/>
        </w:rPr>
        <w:endnoteRef/>
      </w:r>
      <w:r w:rsidRPr="00426920">
        <w:rPr>
          <w:lang w:val="es-US"/>
        </w:rPr>
        <w:t xml:space="preserve"> “</w:t>
      </w:r>
      <w:proofErr w:type="spellStart"/>
      <w:r w:rsidRPr="00426920">
        <w:rPr>
          <w:lang w:val="es-US"/>
        </w:rPr>
        <w:t>Kostas</w:t>
      </w:r>
      <w:proofErr w:type="spellEnd"/>
      <w:r w:rsidRPr="00426920">
        <w:rPr>
          <w:lang w:val="es-US"/>
        </w:rPr>
        <w:t xml:space="preserve"> </w:t>
      </w:r>
      <w:proofErr w:type="spellStart"/>
      <w:r w:rsidRPr="00426920">
        <w:rPr>
          <w:lang w:val="es-US"/>
        </w:rPr>
        <w:t>Karamanlis</w:t>
      </w:r>
      <w:proofErr w:type="spellEnd"/>
      <w:r w:rsidRPr="00426920">
        <w:rPr>
          <w:lang w:val="es-US"/>
        </w:rPr>
        <w:t xml:space="preserve">,” </w:t>
      </w:r>
      <w:proofErr w:type="spellStart"/>
      <w:r w:rsidRPr="00426920">
        <w:rPr>
          <w:lang w:val="es-US"/>
        </w:rPr>
        <w:t>Hellinca</w:t>
      </w:r>
      <w:proofErr w:type="spellEnd"/>
      <w:r w:rsidRPr="00426920">
        <w:rPr>
          <w:lang w:val="es-US"/>
        </w:rPr>
        <w:t xml:space="preserve"> </w:t>
      </w:r>
      <w:proofErr w:type="spellStart"/>
      <w:r w:rsidRPr="00426920">
        <w:rPr>
          <w:lang w:val="es-US"/>
        </w:rPr>
        <w:t>World</w:t>
      </w:r>
      <w:proofErr w:type="spellEnd"/>
      <w:r w:rsidRPr="00426920">
        <w:rPr>
          <w:lang w:val="es-US"/>
        </w:rPr>
        <w:t xml:space="preserve">, </w:t>
      </w:r>
      <w:proofErr w:type="spellStart"/>
      <w:r w:rsidRPr="00426920">
        <w:rPr>
          <w:lang w:val="es-US"/>
        </w:rPr>
        <w:t>accessed</w:t>
      </w:r>
      <w:proofErr w:type="spellEnd"/>
      <w:r w:rsidRPr="00426920">
        <w:rPr>
          <w:lang w:val="es-US"/>
        </w:rPr>
        <w:t xml:space="preserve"> </w:t>
      </w:r>
      <w:proofErr w:type="spellStart"/>
      <w:r w:rsidRPr="00426920">
        <w:rPr>
          <w:lang w:val="es-US"/>
        </w:rPr>
        <w:t>August</w:t>
      </w:r>
      <w:proofErr w:type="spellEnd"/>
      <w:r w:rsidRPr="00426920">
        <w:rPr>
          <w:lang w:val="es-US"/>
        </w:rPr>
        <w:t xml:space="preserve"> 10, 2017, www.hellenicaworld.com/Greece/Person/en/KostasKaramanlis.html.</w:t>
      </w:r>
    </w:p>
  </w:endnote>
  <w:endnote w:id="37">
    <w:p w14:paraId="5F6A4E3E" w14:textId="63A1DA15" w:rsidR="008423D5" w:rsidRPr="00426920" w:rsidRDefault="008423D5" w:rsidP="00082992">
      <w:pPr>
        <w:pStyle w:val="Footnote"/>
      </w:pPr>
      <w:r w:rsidRPr="00AC414F">
        <w:rPr>
          <w:rStyle w:val="EndnoteReference"/>
          <w:b w:val="0"/>
          <w:color w:val="auto"/>
        </w:rPr>
        <w:endnoteRef/>
      </w:r>
      <w:r w:rsidRPr="00426920">
        <w:t xml:space="preserve"> “Report by Eurostat on the Revision of the Greek Government Deficit and Debt Figures,” Eurostat, European Commission, November 22, 2004, accessed April 12, 2015, http://ec.europa.eu/eurostat/documents/4187653/5765001/GREECE-EN.PDF/2da4e4f6-f9f2-4848-b1a9-cb229fcabae3?version=1.0.</w:t>
      </w:r>
    </w:p>
  </w:endnote>
  <w:endnote w:id="38">
    <w:p w14:paraId="0C488887" w14:textId="507B0EC2" w:rsidR="008423D5" w:rsidRPr="00426920" w:rsidRDefault="008423D5" w:rsidP="00082992">
      <w:pPr>
        <w:pStyle w:val="Footnote"/>
      </w:pPr>
      <w:r w:rsidRPr="00AC414F">
        <w:rPr>
          <w:rStyle w:val="EndnoteReference"/>
          <w:b w:val="0"/>
          <w:color w:val="auto"/>
        </w:rPr>
        <w:endnoteRef/>
      </w:r>
      <w:r w:rsidRPr="00426920">
        <w:t xml:space="preserve"> “Timeline of a Crisis: How Greece's Tragedy Unfolded,” </w:t>
      </w:r>
      <w:r w:rsidRPr="00426920">
        <w:rPr>
          <w:i/>
        </w:rPr>
        <w:t>Telegraph</w:t>
      </w:r>
      <w:r w:rsidRPr="00426920">
        <w:t>, June 16, 2011, accessed August 10, 2017, www.telegraph.co.uk/finance/economics/8580720/Timeline-of-a-crisis-how-Greeces-tragedy-unfolded.html.</w:t>
      </w:r>
    </w:p>
  </w:endnote>
  <w:endnote w:id="39">
    <w:p w14:paraId="55AA5B03" w14:textId="7CBF7CE1" w:rsidR="008423D5" w:rsidRPr="00426920" w:rsidRDefault="008423D5" w:rsidP="00082992">
      <w:pPr>
        <w:pStyle w:val="Footnote"/>
      </w:pPr>
      <w:r w:rsidRPr="00AC414F">
        <w:rPr>
          <w:rStyle w:val="EndnoteReference"/>
          <w:b w:val="0"/>
          <w:color w:val="auto"/>
        </w:rPr>
        <w:endnoteRef/>
      </w:r>
      <w:r w:rsidRPr="00426920">
        <w:t xml:space="preserve"> Nick </w:t>
      </w:r>
      <w:proofErr w:type="spellStart"/>
      <w:r w:rsidRPr="00426920">
        <w:t>Malkoutzis</w:t>
      </w:r>
      <w:proofErr w:type="spellEnd"/>
      <w:r w:rsidRPr="00426920">
        <w:t>, “How the 2004 Olympics Triggered Greece’s Decline,” Bloomberg, August 2, 2012, accessed August 10, 2017, www.bloomberg.com/amp/news/articles/2012-08-02/how-the-2004-olympics-triggered-greeces-decline.</w:t>
      </w:r>
    </w:p>
  </w:endnote>
  <w:endnote w:id="40">
    <w:p w14:paraId="51B2180E" w14:textId="113C63B2" w:rsidR="007C03C9" w:rsidRDefault="008423D5" w:rsidP="00082992">
      <w:pPr>
        <w:pStyle w:val="Footnote"/>
        <w:rPr>
          <w:spacing w:val="-4"/>
          <w:kern w:val="17"/>
        </w:rPr>
      </w:pPr>
      <w:r w:rsidRPr="007C03C9">
        <w:rPr>
          <w:rStyle w:val="EndnoteReference"/>
          <w:b w:val="0"/>
          <w:color w:val="auto"/>
          <w:spacing w:val="-4"/>
          <w:kern w:val="17"/>
        </w:rPr>
        <w:endnoteRef/>
      </w:r>
      <w:r w:rsidRPr="007C03C9">
        <w:rPr>
          <w:spacing w:val="-4"/>
          <w:kern w:val="17"/>
        </w:rPr>
        <w:t xml:space="preserve"> Centre for Culture Research and Documentation, </w:t>
      </w:r>
      <w:r w:rsidRPr="007C03C9">
        <w:rPr>
          <w:i/>
          <w:spacing w:val="-4"/>
          <w:kern w:val="17"/>
        </w:rPr>
        <w:t>The Chronicle of the Great Crisis: The Bank of Greece 2008–2013</w:t>
      </w:r>
      <w:r w:rsidRPr="007C03C9">
        <w:rPr>
          <w:spacing w:val="-4"/>
          <w:kern w:val="17"/>
        </w:rPr>
        <w:t xml:space="preserve"> (Athens: Bank of Greece, 2014), accessed August 10, 2017, </w:t>
      </w:r>
      <w:r w:rsidR="007C03C9" w:rsidRPr="007C03C9">
        <w:rPr>
          <w:spacing w:val="-4"/>
          <w:kern w:val="17"/>
        </w:rPr>
        <w:t>www.bankofgreece.gr/BogEkdoseis/The%20Chronicle%20Of%20The%20Great</w:t>
      </w:r>
    </w:p>
    <w:p w14:paraId="0372763C" w14:textId="3851B51E" w:rsidR="008423D5" w:rsidRPr="007C03C9" w:rsidRDefault="008423D5" w:rsidP="00082992">
      <w:pPr>
        <w:pStyle w:val="Footnote"/>
        <w:rPr>
          <w:spacing w:val="-4"/>
          <w:kern w:val="17"/>
        </w:rPr>
      </w:pPr>
      <w:proofErr w:type="gramStart"/>
      <w:r w:rsidRPr="007C03C9">
        <w:rPr>
          <w:spacing w:val="-4"/>
          <w:kern w:val="17"/>
        </w:rPr>
        <w:t>%20Crisis.pdf</w:t>
      </w:r>
      <w:proofErr w:type="gramEnd"/>
      <w:r w:rsidRPr="007C03C9">
        <w:rPr>
          <w:spacing w:val="-4"/>
          <w:kern w:val="17"/>
        </w:rPr>
        <w:t>.</w:t>
      </w:r>
    </w:p>
  </w:endnote>
  <w:endnote w:id="41">
    <w:p w14:paraId="592E7DBD" w14:textId="250BA4C3" w:rsidR="008423D5" w:rsidRPr="00426920" w:rsidRDefault="008423D5" w:rsidP="00082992">
      <w:pPr>
        <w:pStyle w:val="Footnote"/>
      </w:pPr>
      <w:r w:rsidRPr="00AC414F">
        <w:rPr>
          <w:rStyle w:val="EndnoteReference"/>
          <w:b w:val="0"/>
          <w:color w:val="auto"/>
        </w:rPr>
        <w:endnoteRef/>
      </w:r>
      <w:r w:rsidRPr="00426920">
        <w:t xml:space="preserve"> Automatic stabilizers were economic policies and programs that worked automatically, without explicit government interventions, to counter economic cycles. They included corporate or personal taxes, which automatically decreased during a recession, and public spending on unemployment insurance, which automatically increased during recessions. Automatic stabilizers were different from discretionary fiscal measures, which were explicit government interventions to stabilize business cycles. Such discretionary measures during a recession may have included lowering tax rates or increasing public spending.</w:t>
      </w:r>
    </w:p>
  </w:endnote>
  <w:endnote w:id="42">
    <w:p w14:paraId="679AA05D" w14:textId="54A75C50" w:rsidR="008423D5" w:rsidRPr="00980EBD" w:rsidRDefault="008423D5" w:rsidP="00082992">
      <w:pPr>
        <w:pStyle w:val="Footnote"/>
      </w:pPr>
      <w:r w:rsidRPr="00AC414F">
        <w:rPr>
          <w:rStyle w:val="EndnoteReference"/>
          <w:b w:val="0"/>
          <w:color w:val="auto"/>
        </w:rPr>
        <w:endnoteRef/>
      </w:r>
      <w:r w:rsidRPr="00426920">
        <w:t xml:space="preserve"> Nelson, Belkin, and Mix,</w:t>
      </w:r>
      <w:r w:rsidRPr="00426920">
        <w:rPr>
          <w:i/>
        </w:rPr>
        <w:t xml:space="preserve"> </w:t>
      </w:r>
      <w:r w:rsidRPr="00426920">
        <w:t>op.</w:t>
      </w:r>
      <w:r>
        <w:t xml:space="preserve"> </w:t>
      </w:r>
      <w:r w:rsidRPr="00426920">
        <w:t>cit.</w:t>
      </w:r>
    </w:p>
  </w:endnote>
  <w:endnote w:id="43">
    <w:p w14:paraId="3206EE6C" w14:textId="6ADCEF51" w:rsidR="008423D5" w:rsidRPr="00C0057A" w:rsidRDefault="008423D5" w:rsidP="00082992">
      <w:pPr>
        <w:pStyle w:val="Footnote"/>
      </w:pPr>
      <w:r w:rsidRPr="000F2A6E">
        <w:rPr>
          <w:rStyle w:val="EndnoteReference"/>
          <w:b w:val="0"/>
          <w:color w:val="auto"/>
        </w:rPr>
        <w:endnoteRef/>
      </w:r>
      <w:r w:rsidRPr="000F2A6E">
        <w:t xml:space="preserve"> “Definition of ‘Sovereign Bond,’” </w:t>
      </w:r>
      <w:r w:rsidRPr="000F2A6E">
        <w:rPr>
          <w:i/>
        </w:rPr>
        <w:t>Economics Times</w:t>
      </w:r>
      <w:r w:rsidRPr="00426920">
        <w:t>, accessed August 10, 2017, http://economictimes.indiatimes.com/definition/sovereign-bond</w:t>
      </w:r>
      <w:proofErr w:type="gramStart"/>
      <w:r w:rsidRPr="00426920">
        <w:t>;</w:t>
      </w:r>
      <w:proofErr w:type="gramEnd"/>
      <w:r w:rsidRPr="00426920">
        <w:t xml:space="preserve"> “What </w:t>
      </w:r>
      <w:r>
        <w:t>A</w:t>
      </w:r>
      <w:r w:rsidRPr="002A3FEC">
        <w:t xml:space="preserve">re Sovereign Bonds?” The </w:t>
      </w:r>
      <w:proofErr w:type="gramStart"/>
      <w:r w:rsidRPr="002A3FEC">
        <w:t>Bala</w:t>
      </w:r>
      <w:r w:rsidRPr="00C0057A">
        <w:t>nce,</w:t>
      </w:r>
      <w:proofErr w:type="gramEnd"/>
      <w:r w:rsidRPr="00C0057A">
        <w:t xml:space="preserve"> accessed August 10, 2017, www.thebalance.com/what-are-sovereign-bonds-1979114.</w:t>
      </w:r>
    </w:p>
  </w:endnote>
  <w:endnote w:id="44">
    <w:p w14:paraId="4EF56885" w14:textId="611CA09C" w:rsidR="008423D5" w:rsidRPr="000F2A6E" w:rsidRDefault="008423D5" w:rsidP="00082992">
      <w:pPr>
        <w:pStyle w:val="Footnote"/>
        <w:rPr>
          <w:lang w:val="en-IN"/>
        </w:rPr>
      </w:pPr>
      <w:r w:rsidRPr="00980EBD">
        <w:rPr>
          <w:rStyle w:val="EndnoteReference"/>
          <w:b w:val="0"/>
          <w:color w:val="auto"/>
        </w:rPr>
        <w:endnoteRef/>
      </w:r>
      <w:r w:rsidRPr="000F2A6E">
        <w:t xml:space="preserve"> </w:t>
      </w:r>
      <w:r w:rsidRPr="000F2A6E">
        <w:rPr>
          <w:lang w:val="en-IN"/>
        </w:rPr>
        <w:t xml:space="preserve">Dimitri </w:t>
      </w:r>
      <w:proofErr w:type="spellStart"/>
      <w:r w:rsidRPr="000F2A6E">
        <w:rPr>
          <w:lang w:val="en-IN"/>
        </w:rPr>
        <w:t>Bellas</w:t>
      </w:r>
      <w:proofErr w:type="spellEnd"/>
      <w:r w:rsidRPr="000F2A6E">
        <w:rPr>
          <w:lang w:val="en-IN"/>
        </w:rPr>
        <w:t xml:space="preserve">, Michael G. </w:t>
      </w:r>
      <w:proofErr w:type="spellStart"/>
      <w:r w:rsidRPr="000F2A6E">
        <w:rPr>
          <w:lang w:val="en-IN"/>
        </w:rPr>
        <w:t>Papaioannou</w:t>
      </w:r>
      <w:proofErr w:type="spellEnd"/>
      <w:r w:rsidRPr="000F2A6E">
        <w:rPr>
          <w:lang w:val="en-IN"/>
        </w:rPr>
        <w:t xml:space="preserve">, and Iva </w:t>
      </w:r>
      <w:proofErr w:type="spellStart"/>
      <w:r w:rsidRPr="000F2A6E">
        <w:rPr>
          <w:lang w:val="en-IN"/>
        </w:rPr>
        <w:t>Petrova</w:t>
      </w:r>
      <w:proofErr w:type="spellEnd"/>
      <w:r w:rsidRPr="000F2A6E">
        <w:rPr>
          <w:lang w:val="en-IN"/>
        </w:rPr>
        <w:t>, “Determinants of Emerging Market Sovereign Bond Spreads: Fundamental vs Financial Stress,” IMF Working Paper WP/10/281, International Monetary Fund, 2010, accessed August 10, 2017, www.imf.org/external/pubs/ft/wp/2010/wp10281.pdf.</w:t>
      </w:r>
    </w:p>
  </w:endnote>
  <w:endnote w:id="45">
    <w:p w14:paraId="37B79481" w14:textId="338D485F" w:rsidR="008423D5" w:rsidRPr="00426920" w:rsidRDefault="008423D5" w:rsidP="00082992">
      <w:pPr>
        <w:pStyle w:val="Footnote"/>
      </w:pPr>
      <w:r w:rsidRPr="00AC414F">
        <w:rPr>
          <w:rStyle w:val="EndnoteReference"/>
          <w:b w:val="0"/>
          <w:color w:val="auto"/>
        </w:rPr>
        <w:endnoteRef/>
      </w:r>
      <w:r w:rsidRPr="00426920">
        <w:t xml:space="preserve"> External investors held 70 per cent of such debt, and domestic residents only 30 per cent. Reinhart and </w:t>
      </w:r>
      <w:proofErr w:type="spellStart"/>
      <w:r w:rsidRPr="00426920">
        <w:t>Trebesch</w:t>
      </w:r>
      <w:proofErr w:type="spellEnd"/>
      <w:r w:rsidRPr="00426920">
        <w:t xml:space="preserve">, op. cit. </w:t>
      </w:r>
    </w:p>
  </w:endnote>
  <w:endnote w:id="46">
    <w:p w14:paraId="6C2E41F0" w14:textId="216A25B6" w:rsidR="008423D5" w:rsidRPr="00426920" w:rsidRDefault="008423D5" w:rsidP="00082992">
      <w:pPr>
        <w:pStyle w:val="Footnote"/>
      </w:pPr>
      <w:r w:rsidRPr="00AC414F">
        <w:rPr>
          <w:rStyle w:val="EndnoteReference"/>
          <w:b w:val="0"/>
          <w:color w:val="auto"/>
        </w:rPr>
        <w:endnoteRef/>
      </w:r>
      <w:r w:rsidRPr="00426920">
        <w:t xml:space="preserve"> </w:t>
      </w:r>
      <w:r w:rsidR="007C03C9">
        <w:t xml:space="preserve">Reinhart and </w:t>
      </w:r>
      <w:proofErr w:type="spellStart"/>
      <w:r w:rsidR="007C03C9">
        <w:t>Trebesch</w:t>
      </w:r>
      <w:proofErr w:type="spellEnd"/>
      <w:r w:rsidR="007C03C9">
        <w:t>, op. cit.</w:t>
      </w:r>
    </w:p>
  </w:endnote>
  <w:endnote w:id="47">
    <w:p w14:paraId="45A47824" w14:textId="57B17712" w:rsidR="008423D5" w:rsidRPr="00426920" w:rsidRDefault="008423D5" w:rsidP="00082992">
      <w:pPr>
        <w:pStyle w:val="Footnote"/>
      </w:pPr>
      <w:r w:rsidRPr="00AC414F">
        <w:rPr>
          <w:rStyle w:val="EndnoteReference"/>
          <w:b w:val="0"/>
          <w:color w:val="auto"/>
        </w:rPr>
        <w:endnoteRef/>
      </w:r>
      <w:r w:rsidRPr="00426920">
        <w:t xml:space="preserve"> Matt Phillips, “The Complete History of the Greek Debt Drama in Charts,” Quartz</w:t>
      </w:r>
      <w:r w:rsidRPr="00426920">
        <w:rPr>
          <w:i/>
        </w:rPr>
        <w:t>,</w:t>
      </w:r>
      <w:r w:rsidRPr="00426920">
        <w:t xml:space="preserve"> June 30, 2015, accessed August 10, 2017, https://qz.com/440058/the-complete-history-of-the-greek-debt-drama-in-charts.</w:t>
      </w:r>
    </w:p>
  </w:endnote>
  <w:endnote w:id="48">
    <w:p w14:paraId="51A1E2E8" w14:textId="4E1E4026" w:rsidR="008423D5" w:rsidRPr="00426920" w:rsidRDefault="008423D5" w:rsidP="00082992">
      <w:pPr>
        <w:pStyle w:val="Footnote"/>
      </w:pPr>
      <w:r w:rsidRPr="00AC414F">
        <w:rPr>
          <w:rStyle w:val="EndnoteReference"/>
          <w:b w:val="0"/>
          <w:color w:val="auto"/>
        </w:rPr>
        <w:endnoteRef/>
      </w:r>
      <w:r w:rsidRPr="00426920">
        <w:t xml:space="preserve"> Nelson, Belkin, and Mix, op. cit. </w:t>
      </w:r>
    </w:p>
  </w:endnote>
  <w:endnote w:id="49">
    <w:p w14:paraId="4A8AB25A" w14:textId="798FD143" w:rsidR="008423D5" w:rsidRPr="00426920" w:rsidRDefault="008423D5" w:rsidP="00082992">
      <w:pPr>
        <w:pStyle w:val="Footnote"/>
      </w:pPr>
      <w:r w:rsidRPr="00AC414F">
        <w:rPr>
          <w:rStyle w:val="EndnoteReference"/>
          <w:b w:val="0"/>
          <w:color w:val="auto"/>
        </w:rPr>
        <w:endnoteRef/>
      </w:r>
      <w:r w:rsidRPr="00426920">
        <w:t xml:space="preserve"> Centre for Culture Research and Documentation, op. cit.</w:t>
      </w:r>
    </w:p>
  </w:endnote>
  <w:endnote w:id="50">
    <w:p w14:paraId="45E8F8E4" w14:textId="6730809B" w:rsidR="008423D5" w:rsidRPr="00426920" w:rsidRDefault="008423D5" w:rsidP="00082992">
      <w:pPr>
        <w:pStyle w:val="Footnote"/>
      </w:pPr>
      <w:r w:rsidRPr="00AC414F">
        <w:rPr>
          <w:rStyle w:val="EndnoteReference"/>
          <w:b w:val="0"/>
          <w:color w:val="auto"/>
        </w:rPr>
        <w:endnoteRef/>
      </w:r>
      <w:r w:rsidRPr="00426920">
        <w:t xml:space="preserve"> </w:t>
      </w:r>
      <w:proofErr w:type="spellStart"/>
      <w:r w:rsidRPr="00426920">
        <w:t>Chavon</w:t>
      </w:r>
      <w:proofErr w:type="spellEnd"/>
      <w:r w:rsidRPr="00426920">
        <w:t xml:space="preserve"> Sutton, “S&amp;P Downgrades Greek Debt to Junk Status,” CNN Money, April 27, 2010, accessed August 10, 2017, http://money.cnn.com/2010/04/27/news/international/Greece_debt_downgraded.</w:t>
      </w:r>
    </w:p>
  </w:endnote>
  <w:endnote w:id="51">
    <w:p w14:paraId="15A126A3" w14:textId="582E75F8" w:rsidR="008423D5" w:rsidRPr="00426920" w:rsidRDefault="008423D5" w:rsidP="00082992">
      <w:pPr>
        <w:pStyle w:val="Footnote"/>
      </w:pPr>
      <w:r w:rsidRPr="00AC414F">
        <w:rPr>
          <w:rStyle w:val="EndnoteReference"/>
          <w:b w:val="0"/>
          <w:color w:val="auto"/>
        </w:rPr>
        <w:endnoteRef/>
      </w:r>
      <w:r w:rsidRPr="00426920">
        <w:t xml:space="preserve"> Rei</w:t>
      </w:r>
      <w:r>
        <w:t xml:space="preserve">nhart and </w:t>
      </w:r>
      <w:proofErr w:type="spellStart"/>
      <w:r>
        <w:t>Trebesch</w:t>
      </w:r>
      <w:proofErr w:type="spellEnd"/>
      <w:r>
        <w:t>, op. cit., 6.</w:t>
      </w:r>
    </w:p>
  </w:endnote>
  <w:endnote w:id="52">
    <w:p w14:paraId="6253EC97" w14:textId="2915C0CF" w:rsidR="008423D5" w:rsidRPr="00426920" w:rsidRDefault="008423D5" w:rsidP="00082992">
      <w:pPr>
        <w:pStyle w:val="Footnote"/>
      </w:pPr>
      <w:r w:rsidRPr="00AC414F">
        <w:rPr>
          <w:rStyle w:val="EndnoteReference"/>
          <w:b w:val="0"/>
          <w:color w:val="auto"/>
        </w:rPr>
        <w:endnoteRef/>
      </w:r>
      <w:r w:rsidRPr="00426920">
        <w:t xml:space="preserve"> “Eurozone Approves Massive Greece Bail-Out,” May 2, 2010, accessed August 10, 2017, http://news.bbc.co.uk/2/hi/europe/8656649.stm.</w:t>
      </w:r>
    </w:p>
  </w:endnote>
  <w:endnote w:id="53">
    <w:p w14:paraId="48A85198" w14:textId="352E54F7" w:rsidR="008423D5" w:rsidRPr="00426920" w:rsidRDefault="008423D5" w:rsidP="00082992">
      <w:pPr>
        <w:pStyle w:val="Footnote"/>
      </w:pPr>
      <w:r w:rsidRPr="00AC414F">
        <w:rPr>
          <w:rStyle w:val="EndnoteReference"/>
          <w:b w:val="0"/>
          <w:color w:val="auto"/>
        </w:rPr>
        <w:endnoteRef/>
      </w:r>
      <w:r w:rsidRPr="00426920">
        <w:t xml:space="preserve"> “Timeline: Greece's Economic Crisis,” Reuters, March 11, 2010, accessed August 10, 2017, www.reuters.com/article/us-eurozone-greece-economy-timeline-idUSTRE62A1KY20100311.</w:t>
      </w:r>
    </w:p>
  </w:endnote>
  <w:endnote w:id="54">
    <w:p w14:paraId="7C4F0DE8" w14:textId="097092F3" w:rsidR="008423D5" w:rsidRPr="00426920" w:rsidRDefault="008423D5" w:rsidP="00082992">
      <w:pPr>
        <w:pStyle w:val="Footnote"/>
      </w:pPr>
      <w:r w:rsidRPr="00AC414F">
        <w:rPr>
          <w:rStyle w:val="EndnoteReference"/>
          <w:b w:val="0"/>
          <w:color w:val="auto"/>
        </w:rPr>
        <w:endnoteRef/>
      </w:r>
      <w:r w:rsidRPr="00426920">
        <w:t xml:space="preserve"> “IMF Survey: Europe and IMF Agree €110 Billion Financing Plan with Greece,” International Monetary Fund, May 2, 2010, accessed August 10, 2017, www.imf.org/external/pubs/ft/survey/so/2010/car050210a.htm; Nelson, Belkin, and Mix, op. cit. </w:t>
      </w:r>
    </w:p>
  </w:endnote>
  <w:endnote w:id="55">
    <w:p w14:paraId="7FD56760" w14:textId="5866170D" w:rsidR="008423D5" w:rsidRPr="00426920" w:rsidRDefault="008423D5" w:rsidP="00082992">
      <w:pPr>
        <w:pStyle w:val="Footnote"/>
      </w:pPr>
      <w:r w:rsidRPr="00AC414F">
        <w:rPr>
          <w:rStyle w:val="EndnoteReference"/>
          <w:b w:val="0"/>
          <w:color w:val="auto"/>
        </w:rPr>
        <w:endnoteRef/>
      </w:r>
      <w:r w:rsidRPr="00426920">
        <w:t xml:space="preserve"> Willem H. </w:t>
      </w:r>
      <w:proofErr w:type="spellStart"/>
      <w:r w:rsidRPr="00426920">
        <w:t>Buiter</w:t>
      </w:r>
      <w:proofErr w:type="spellEnd"/>
      <w:r w:rsidRPr="00426920">
        <w:t xml:space="preserve"> and </w:t>
      </w:r>
      <w:proofErr w:type="spellStart"/>
      <w:r w:rsidRPr="00426920">
        <w:t>Ebrahim</w:t>
      </w:r>
      <w:proofErr w:type="spellEnd"/>
      <w:r w:rsidRPr="00426920">
        <w:t xml:space="preserve"> </w:t>
      </w:r>
      <w:proofErr w:type="spellStart"/>
      <w:r w:rsidRPr="00426920">
        <w:t>Rahbari</w:t>
      </w:r>
      <w:proofErr w:type="spellEnd"/>
      <w:r w:rsidRPr="00426920">
        <w:t>, “Greece and the Fiscal Crisis in the EMU,” Citigroup, 2010, accessed August 10, 2017, www.willembuiter.com/Greece.pdf.</w:t>
      </w:r>
    </w:p>
  </w:endnote>
  <w:endnote w:id="56">
    <w:p w14:paraId="38EBD5DF" w14:textId="122CCE24" w:rsidR="008423D5" w:rsidRPr="00426920" w:rsidRDefault="008423D5" w:rsidP="00082992">
      <w:pPr>
        <w:pStyle w:val="Footnote"/>
      </w:pPr>
      <w:r w:rsidRPr="00AC414F">
        <w:rPr>
          <w:rStyle w:val="EndnoteReference"/>
          <w:b w:val="0"/>
          <w:color w:val="auto"/>
        </w:rPr>
        <w:endnoteRef/>
      </w:r>
      <w:r w:rsidRPr="00426920">
        <w:t xml:space="preserve"> Silvia </w:t>
      </w:r>
      <w:proofErr w:type="spellStart"/>
      <w:r w:rsidRPr="00426920">
        <w:t>Ardagna</w:t>
      </w:r>
      <w:proofErr w:type="spellEnd"/>
      <w:r w:rsidRPr="00426920">
        <w:t xml:space="preserve"> and Francesco </w:t>
      </w:r>
      <w:proofErr w:type="spellStart"/>
      <w:r w:rsidRPr="00426920">
        <w:t>Casalli</w:t>
      </w:r>
      <w:proofErr w:type="spellEnd"/>
      <w:r w:rsidRPr="00426920">
        <w:t>, “The Political Economy of the Greek Debt Crisis: A Tale of Two Bailouts,” Special Paper No. 25, Centre for Economic Performance, 2014, accessed August 10, 2017, http://cep.lse.ac.uk/pubs/download/special/cepsp25.pdf.</w:t>
      </w:r>
    </w:p>
  </w:endnote>
  <w:endnote w:id="57">
    <w:p w14:paraId="4A789990" w14:textId="7B29CC85" w:rsidR="008423D5" w:rsidRPr="00426920" w:rsidRDefault="008423D5" w:rsidP="00082992">
      <w:pPr>
        <w:pStyle w:val="Footnote"/>
      </w:pPr>
      <w:r w:rsidRPr="00AC414F">
        <w:rPr>
          <w:rStyle w:val="EndnoteReference"/>
          <w:b w:val="0"/>
          <w:color w:val="auto"/>
        </w:rPr>
        <w:endnoteRef/>
      </w:r>
      <w:r w:rsidRPr="00426920">
        <w:t xml:space="preserve"> “Merkel and Sarkozy Risk Embarrassing Defeat,” Spiegel Online, October 28, 2010, accessed August 10, 2017, www.spiegel.de/international/europe/brussels-showdown-merkel-and-sarkozy-risk-embarrassing-defeat-a-725835.html; “Behind the Smiles,” </w:t>
      </w:r>
      <w:r w:rsidRPr="00426920">
        <w:rPr>
          <w:i/>
        </w:rPr>
        <w:t>Economist</w:t>
      </w:r>
      <w:r w:rsidRPr="00426920">
        <w:t>, December 5, 2011, accessed August 10, 2017, www.economist.com/blogs/charlemagne/2011/12/germany-france-and-euro.</w:t>
      </w:r>
    </w:p>
  </w:endnote>
  <w:endnote w:id="58">
    <w:p w14:paraId="0FA80314" w14:textId="26185F21" w:rsidR="008423D5" w:rsidRPr="00426920" w:rsidRDefault="008423D5" w:rsidP="00082992">
      <w:pPr>
        <w:pStyle w:val="Footnote"/>
      </w:pPr>
      <w:r w:rsidRPr="00AC414F">
        <w:rPr>
          <w:rStyle w:val="EndnoteReference"/>
          <w:b w:val="0"/>
          <w:color w:val="auto"/>
        </w:rPr>
        <w:endnoteRef/>
      </w:r>
      <w:r w:rsidRPr="00426920">
        <w:t xml:space="preserve"> “Definition of Haircut,” </w:t>
      </w:r>
      <w:r w:rsidRPr="00426920">
        <w:rPr>
          <w:i/>
        </w:rPr>
        <w:t>Financial Times</w:t>
      </w:r>
      <w:r w:rsidRPr="00426920">
        <w:t>, accessed August 10, 2017, http://lexicon.ft.com/Term?term=haircut.</w:t>
      </w:r>
    </w:p>
  </w:endnote>
  <w:endnote w:id="59">
    <w:p w14:paraId="3B8AE0F8" w14:textId="2F2065E0" w:rsidR="008423D5" w:rsidRPr="00E644C0" w:rsidRDefault="008423D5" w:rsidP="00082992">
      <w:pPr>
        <w:pStyle w:val="Footnote"/>
        <w:rPr>
          <w:spacing w:val="-2"/>
          <w:kern w:val="17"/>
        </w:rPr>
      </w:pPr>
      <w:r w:rsidRPr="00E644C0">
        <w:rPr>
          <w:rStyle w:val="EndnoteReference"/>
          <w:b w:val="0"/>
          <w:color w:val="auto"/>
          <w:spacing w:val="-2"/>
          <w:kern w:val="17"/>
        </w:rPr>
        <w:endnoteRef/>
      </w:r>
      <w:r w:rsidRPr="00E644C0">
        <w:rPr>
          <w:spacing w:val="-2"/>
          <w:kern w:val="17"/>
        </w:rPr>
        <w:t xml:space="preserve"> Stephen Castle, “With Details Settled, a 2nd Greek Bailout Is Formally </w:t>
      </w:r>
      <w:proofErr w:type="gramStart"/>
      <w:r w:rsidRPr="00E644C0">
        <w:rPr>
          <w:spacing w:val="-2"/>
          <w:kern w:val="17"/>
        </w:rPr>
        <w:t>Approved</w:t>
      </w:r>
      <w:proofErr w:type="gramEnd"/>
      <w:r w:rsidRPr="00E644C0">
        <w:rPr>
          <w:spacing w:val="-2"/>
          <w:kern w:val="17"/>
        </w:rPr>
        <w:t xml:space="preserve">,” </w:t>
      </w:r>
      <w:r w:rsidRPr="00E644C0">
        <w:rPr>
          <w:i/>
          <w:spacing w:val="-2"/>
          <w:kern w:val="17"/>
        </w:rPr>
        <w:t>New York Times</w:t>
      </w:r>
      <w:r w:rsidRPr="00E644C0">
        <w:rPr>
          <w:spacing w:val="-2"/>
          <w:kern w:val="17"/>
        </w:rPr>
        <w:t>, March 14, 2012, accessed August 10, 2017, www.nytimes.com/2012/03/15/business/global/greece-gets-formal-approval-for-second-bailout.html.</w:t>
      </w:r>
    </w:p>
  </w:endnote>
  <w:endnote w:id="60">
    <w:p w14:paraId="59E5679A" w14:textId="3EC21E50" w:rsidR="008423D5" w:rsidRPr="00426920" w:rsidRDefault="008423D5" w:rsidP="00082992">
      <w:pPr>
        <w:pStyle w:val="Footnote"/>
      </w:pPr>
      <w:r w:rsidRPr="00AC414F">
        <w:rPr>
          <w:rStyle w:val="EndnoteReference"/>
          <w:b w:val="0"/>
          <w:color w:val="auto"/>
        </w:rPr>
        <w:endnoteRef/>
      </w:r>
      <w:r w:rsidRPr="00426920">
        <w:t xml:space="preserve"> Castle, op. cit. </w:t>
      </w:r>
    </w:p>
  </w:endnote>
  <w:endnote w:id="61">
    <w:p w14:paraId="50C47329" w14:textId="1AF62230" w:rsidR="008423D5" w:rsidRPr="00426920" w:rsidRDefault="008423D5" w:rsidP="00082992">
      <w:pPr>
        <w:pStyle w:val="Footnote"/>
      </w:pPr>
      <w:r w:rsidRPr="00AC414F">
        <w:rPr>
          <w:rStyle w:val="EndnoteReference"/>
          <w:b w:val="0"/>
          <w:color w:val="auto"/>
        </w:rPr>
        <w:endnoteRef/>
      </w:r>
      <w:r w:rsidRPr="00426920">
        <w:t xml:space="preserve"> This </w:t>
      </w:r>
      <w:proofErr w:type="gramStart"/>
      <w:r w:rsidRPr="00426920">
        <w:t>was later revised</w:t>
      </w:r>
      <w:proofErr w:type="gramEnd"/>
      <w:r w:rsidRPr="00426920">
        <w:t xml:space="preserve"> to 124 per cent by 2020 in November 2012, while Greece was also forced to commit to cutting debt-to-GDP ratios to less than 110 per cent by 2022. </w:t>
      </w:r>
      <w:r w:rsidRPr="00426920">
        <w:rPr>
          <w:lang w:val="es-US"/>
        </w:rPr>
        <w:t>“</w:t>
      </w:r>
      <w:proofErr w:type="spellStart"/>
      <w:r w:rsidRPr="00426920">
        <w:rPr>
          <w:lang w:val="es-US"/>
        </w:rPr>
        <w:t>Greece’s</w:t>
      </w:r>
      <w:proofErr w:type="spellEnd"/>
      <w:r w:rsidRPr="00426920">
        <w:rPr>
          <w:lang w:val="es-US"/>
        </w:rPr>
        <w:t xml:space="preserve"> </w:t>
      </w:r>
      <w:proofErr w:type="spellStart"/>
      <w:r w:rsidRPr="00426920">
        <w:rPr>
          <w:lang w:val="es-US"/>
        </w:rPr>
        <w:t>Debt</w:t>
      </w:r>
      <w:proofErr w:type="spellEnd"/>
      <w:r w:rsidRPr="00426920">
        <w:rPr>
          <w:lang w:val="es-US"/>
        </w:rPr>
        <w:t xml:space="preserve">: 1974–2017,” </w:t>
      </w:r>
      <w:proofErr w:type="spellStart"/>
      <w:r w:rsidRPr="00426920">
        <w:rPr>
          <w:lang w:val="es-US"/>
        </w:rPr>
        <w:t>op</w:t>
      </w:r>
      <w:proofErr w:type="spellEnd"/>
      <w:r w:rsidRPr="00426920">
        <w:rPr>
          <w:lang w:val="es-US"/>
        </w:rPr>
        <w:t xml:space="preserve">. cit. </w:t>
      </w:r>
    </w:p>
  </w:endnote>
  <w:endnote w:id="62">
    <w:p w14:paraId="1B82BB2C" w14:textId="56D546B6" w:rsidR="008423D5" w:rsidRPr="00282FAE" w:rsidRDefault="008423D5" w:rsidP="00082992">
      <w:pPr>
        <w:pStyle w:val="Footnote"/>
      </w:pPr>
      <w:r w:rsidRPr="00AC414F">
        <w:rPr>
          <w:rStyle w:val="EndnoteReference"/>
          <w:b w:val="0"/>
          <w:color w:val="auto"/>
        </w:rPr>
        <w:endnoteRef/>
      </w:r>
      <w:r w:rsidRPr="00426920">
        <w:t xml:space="preserve"> Robert </w:t>
      </w:r>
      <w:proofErr w:type="spellStart"/>
      <w:r w:rsidRPr="00426920">
        <w:t>Winnett</w:t>
      </w:r>
      <w:proofErr w:type="spellEnd"/>
      <w:r w:rsidRPr="00426920">
        <w:t xml:space="preserve">, Alex </w:t>
      </w:r>
      <w:proofErr w:type="spellStart"/>
      <w:r w:rsidRPr="00426920">
        <w:t>Spillius</w:t>
      </w:r>
      <w:proofErr w:type="spellEnd"/>
      <w:r w:rsidRPr="00426920">
        <w:t>, and Bruno Waterfield, “Greece Election Vote Leaves Euro in Balance,”</w:t>
      </w:r>
      <w:r w:rsidRPr="00426920">
        <w:rPr>
          <w:i/>
        </w:rPr>
        <w:t xml:space="preserve"> Telegraph</w:t>
      </w:r>
      <w:r w:rsidRPr="00426920">
        <w:t xml:space="preserve">, June 17, 2012, accessed August 10, 2017, www.telegraph.co.uk/news/worldnews/europe/greece/9337683/Greece-election-vote-leaves-Euro-in-balance.html. The ND won the election with </w:t>
      </w:r>
      <w:r w:rsidRPr="004E1E4A">
        <w:t>30 per cent of the vote</w:t>
      </w:r>
      <w:r w:rsidRPr="00282FAE">
        <w:t>.</w:t>
      </w:r>
    </w:p>
  </w:endnote>
  <w:endnote w:id="63">
    <w:p w14:paraId="01534135" w14:textId="59CCB824" w:rsidR="008423D5" w:rsidRPr="00426920" w:rsidRDefault="008423D5" w:rsidP="00082992">
      <w:pPr>
        <w:pStyle w:val="Footnote"/>
      </w:pPr>
      <w:r w:rsidRPr="00980EBD">
        <w:rPr>
          <w:rStyle w:val="EndnoteReference"/>
          <w:b w:val="0"/>
          <w:color w:val="auto"/>
        </w:rPr>
        <w:endnoteRef/>
      </w:r>
      <w:r w:rsidRPr="000F2A6E">
        <w:t xml:space="preserve"> Niki </w:t>
      </w:r>
      <w:proofErr w:type="spellStart"/>
      <w:r w:rsidRPr="000F2A6E">
        <w:t>Kitsantonis</w:t>
      </w:r>
      <w:proofErr w:type="spellEnd"/>
      <w:r w:rsidRPr="000F2A6E">
        <w:t xml:space="preserve">, “Greece Approves New Austerity Measures,” </w:t>
      </w:r>
      <w:r w:rsidRPr="000F2A6E">
        <w:rPr>
          <w:i/>
        </w:rPr>
        <w:t>New York Times</w:t>
      </w:r>
      <w:r w:rsidRPr="000F2A6E">
        <w:t>, July 17, 2013, acc</w:t>
      </w:r>
      <w:r w:rsidRPr="00426920">
        <w:t>essed August 11, 2017, www.nytimes.com/2013/07/18/world/europe/greece-approves-new-austerity-measures.html.</w:t>
      </w:r>
    </w:p>
  </w:endnote>
  <w:endnote w:id="64">
    <w:p w14:paraId="71F946E6" w14:textId="3811B915" w:rsidR="008423D5" w:rsidRPr="00426920" w:rsidRDefault="008423D5" w:rsidP="00082992">
      <w:pPr>
        <w:pStyle w:val="Footnote"/>
      </w:pPr>
      <w:r w:rsidRPr="00AC414F">
        <w:rPr>
          <w:rStyle w:val="EndnoteReference"/>
          <w:b w:val="0"/>
          <w:color w:val="auto"/>
        </w:rPr>
        <w:endnoteRef/>
      </w:r>
      <w:r w:rsidRPr="00426920">
        <w:t xml:space="preserve"> Economides, op. cit. </w:t>
      </w:r>
    </w:p>
  </w:endnote>
  <w:endnote w:id="65">
    <w:p w14:paraId="0321CBB0" w14:textId="5288277B" w:rsidR="008423D5" w:rsidRPr="00426920" w:rsidRDefault="008423D5" w:rsidP="00082992">
      <w:pPr>
        <w:pStyle w:val="Footnote"/>
      </w:pPr>
      <w:r w:rsidRPr="00AC414F">
        <w:rPr>
          <w:rStyle w:val="EndnoteReference"/>
          <w:b w:val="0"/>
          <w:color w:val="auto"/>
        </w:rPr>
        <w:endnoteRef/>
      </w:r>
      <w:r w:rsidRPr="00426920">
        <w:t xml:space="preserve"> Ian </w:t>
      </w:r>
      <w:proofErr w:type="spellStart"/>
      <w:r w:rsidRPr="00426920">
        <w:t>Traynor</w:t>
      </w:r>
      <w:proofErr w:type="spellEnd"/>
      <w:r w:rsidRPr="00426920">
        <w:t xml:space="preserve">, “ECB Introduces Unlimited Bond-Buying in Boldest Attempt Yet to End Euro Crisis,” </w:t>
      </w:r>
      <w:r w:rsidRPr="00426920">
        <w:rPr>
          <w:i/>
        </w:rPr>
        <w:t>Guardian,</w:t>
      </w:r>
      <w:r w:rsidRPr="00426920">
        <w:t xml:space="preserve"> September 6, 2012, accessed August 11, 2017, www.theguardian.com/business/2012/sep/06/debt-crisis-mario-draghi. Greece however, </w:t>
      </w:r>
      <w:proofErr w:type="gramStart"/>
      <w:r w:rsidRPr="00426920">
        <w:t>was later excluded</w:t>
      </w:r>
      <w:proofErr w:type="gramEnd"/>
      <w:r w:rsidRPr="00426920">
        <w:t xml:space="preserve"> from this bond-buying program because its sovereign debt was reduced to a junk status rating.</w:t>
      </w:r>
    </w:p>
  </w:endnote>
  <w:endnote w:id="66">
    <w:p w14:paraId="428FCDC5" w14:textId="4C5F765F" w:rsidR="008423D5" w:rsidRPr="00426920" w:rsidRDefault="008423D5" w:rsidP="00082992">
      <w:pPr>
        <w:pStyle w:val="Footnote"/>
      </w:pPr>
      <w:r w:rsidRPr="00AC414F">
        <w:rPr>
          <w:rStyle w:val="EndnoteReference"/>
          <w:b w:val="0"/>
          <w:color w:val="auto"/>
        </w:rPr>
        <w:endnoteRef/>
      </w:r>
      <w:r w:rsidRPr="00426920">
        <w:t xml:space="preserve"> “The Prodigal Son: Greece’s Return to the Markets,” </w:t>
      </w:r>
      <w:r w:rsidRPr="00426920">
        <w:rPr>
          <w:i/>
        </w:rPr>
        <w:t>Economist,</w:t>
      </w:r>
      <w:r w:rsidRPr="00426920">
        <w:t xml:space="preserve"> April 12, 2014, accessed August 11, 2017, www.economist.com/news/finance-and-economics/21600727-bond-issue-milestone-there-still-long-way-go-prodigal-son.</w:t>
      </w:r>
    </w:p>
  </w:endnote>
  <w:endnote w:id="67">
    <w:p w14:paraId="21D5C634" w14:textId="215C8145" w:rsidR="008423D5" w:rsidRPr="00426920" w:rsidRDefault="008423D5" w:rsidP="00082992">
      <w:pPr>
        <w:pStyle w:val="Footnote"/>
        <w:rPr>
          <w:rFonts w:eastAsiaTheme="minorEastAsia"/>
        </w:rPr>
      </w:pPr>
      <w:r w:rsidRPr="00AC414F">
        <w:rPr>
          <w:rStyle w:val="EndnoteReference"/>
          <w:b w:val="0"/>
          <w:color w:val="auto"/>
        </w:rPr>
        <w:endnoteRef/>
      </w:r>
      <w:r w:rsidRPr="00426920">
        <w:t xml:space="preserve"> “UPDATE 3: Greece Returns to Bond Markets, Says End of Bailout Nears,” Reuters, April 10, 2014, accessed August 11, 2017, www.reuters.com/article/greece-bonds-idUSL6N0N21X220140410. Much of this </w:t>
      </w:r>
      <w:proofErr w:type="gramStart"/>
      <w:r w:rsidRPr="00426920">
        <w:t>was made</w:t>
      </w:r>
      <w:proofErr w:type="gramEnd"/>
      <w:r w:rsidRPr="00426920">
        <w:t xml:space="preserve"> possible by the ultra-low interest rates at which European lenders extended their loans and the very high average maturity of these loans (17.5 years).</w:t>
      </w:r>
    </w:p>
  </w:endnote>
  <w:endnote w:id="68">
    <w:p w14:paraId="212175E2" w14:textId="1D4189FC" w:rsidR="008423D5" w:rsidRPr="00426920" w:rsidRDefault="008423D5" w:rsidP="00082992">
      <w:pPr>
        <w:pStyle w:val="Footnote"/>
      </w:pPr>
      <w:r w:rsidRPr="00AC414F">
        <w:rPr>
          <w:rStyle w:val="EndnoteReference"/>
          <w:b w:val="0"/>
          <w:color w:val="auto"/>
        </w:rPr>
        <w:endnoteRef/>
      </w:r>
      <w:r w:rsidRPr="00426920">
        <w:t xml:space="preserve"> “Explaining Greece’s Debt Crisis,” </w:t>
      </w:r>
      <w:r w:rsidRPr="00426920">
        <w:rPr>
          <w:i/>
        </w:rPr>
        <w:t>New York Times</w:t>
      </w:r>
      <w:r w:rsidRPr="00426920">
        <w:t>, June 17, 2016, accessed August 11, 2017, www.nytimes.com/interactive/2016/business/international/greece-debt-crisis-euro.html.</w:t>
      </w:r>
    </w:p>
  </w:endnote>
  <w:endnote w:id="69">
    <w:p w14:paraId="1BB43366" w14:textId="684696DF" w:rsidR="008423D5" w:rsidRPr="00426920" w:rsidRDefault="008423D5" w:rsidP="00082992">
      <w:pPr>
        <w:pStyle w:val="Footnote"/>
        <w:rPr>
          <w:rFonts w:cstheme="minorBidi"/>
        </w:rPr>
      </w:pPr>
      <w:r w:rsidRPr="00AC414F">
        <w:rPr>
          <w:rStyle w:val="EndnoteReference"/>
          <w:b w:val="0"/>
          <w:color w:val="auto"/>
        </w:rPr>
        <w:endnoteRef/>
      </w:r>
      <w:r w:rsidRPr="00426920">
        <w:t xml:space="preserve"> Lizzie </w:t>
      </w:r>
      <w:proofErr w:type="spellStart"/>
      <w:r w:rsidRPr="00426920">
        <w:t>Dearden</w:t>
      </w:r>
      <w:proofErr w:type="spellEnd"/>
      <w:r w:rsidRPr="00426920">
        <w:t xml:space="preserve">, “Greece Has a New Government as </w:t>
      </w:r>
      <w:proofErr w:type="spellStart"/>
      <w:r w:rsidRPr="00426920">
        <w:t>Syriza</w:t>
      </w:r>
      <w:proofErr w:type="spellEnd"/>
      <w:r w:rsidRPr="00426920">
        <w:t xml:space="preserve"> Forms Coalition with Right-Wing Independent Greeks,” </w:t>
      </w:r>
      <w:r w:rsidRPr="00426920">
        <w:rPr>
          <w:i/>
        </w:rPr>
        <w:t>Independent</w:t>
      </w:r>
      <w:r w:rsidRPr="00426920">
        <w:t>, January 26, 2015, accessed August 11, 2017, www.independent.co.uk/news/world/europe/greece-has-a-new-government-as-syriza-forms-coalition-with-right-wing-independent-greeks-10002368.html.</w:t>
      </w:r>
    </w:p>
  </w:endnote>
  <w:endnote w:id="70">
    <w:p w14:paraId="6B2490CA" w14:textId="388DFF7E" w:rsidR="008423D5" w:rsidRPr="00426920" w:rsidRDefault="008423D5" w:rsidP="00082992">
      <w:pPr>
        <w:pStyle w:val="Footnote"/>
      </w:pPr>
      <w:r w:rsidRPr="00AC414F">
        <w:rPr>
          <w:rStyle w:val="EndnoteReference"/>
          <w:b w:val="0"/>
          <w:color w:val="auto"/>
        </w:rPr>
        <w:endnoteRef/>
      </w:r>
      <w:r w:rsidRPr="00426920">
        <w:t xml:space="preserve"> John Henley, “Greece Elections: Anti-Austerity </w:t>
      </w:r>
      <w:proofErr w:type="spellStart"/>
      <w:r w:rsidRPr="00426920">
        <w:t>Syriza</w:t>
      </w:r>
      <w:proofErr w:type="spellEnd"/>
      <w:r w:rsidRPr="00426920">
        <w:t xml:space="preserve"> Party Sweeps to Stunning Victory,” </w:t>
      </w:r>
      <w:r w:rsidRPr="00426920">
        <w:rPr>
          <w:i/>
        </w:rPr>
        <w:t>Guardian</w:t>
      </w:r>
      <w:r w:rsidRPr="00426920">
        <w:t>, January 26, 2015, accessed August 11, 2017, www.theguardian.com/world/2015/jan/25/greece-election-vote-austerity-leftwing-syriza-eu.</w:t>
      </w:r>
    </w:p>
  </w:endnote>
  <w:endnote w:id="71">
    <w:p w14:paraId="74D3932F" w14:textId="6283DC42" w:rsidR="008423D5" w:rsidRPr="00426920" w:rsidRDefault="008423D5" w:rsidP="00082992">
      <w:pPr>
        <w:pStyle w:val="Footnote"/>
      </w:pPr>
      <w:r w:rsidRPr="00AC414F">
        <w:rPr>
          <w:rStyle w:val="EndnoteReference"/>
          <w:b w:val="0"/>
          <w:color w:val="auto"/>
        </w:rPr>
        <w:endnoteRef/>
      </w:r>
      <w:r w:rsidRPr="00426920">
        <w:t xml:space="preserve"> “Greece Debt Crisis: </w:t>
      </w:r>
      <w:proofErr w:type="spellStart"/>
      <w:r w:rsidRPr="00426920">
        <w:t>Mps</w:t>
      </w:r>
      <w:proofErr w:type="spellEnd"/>
      <w:r w:rsidRPr="00426920">
        <w:t xml:space="preserve"> Back Referendum on Bailout,”</w:t>
      </w:r>
      <w:r w:rsidRPr="00426920">
        <w:rPr>
          <w:i/>
        </w:rPr>
        <w:t xml:space="preserve"> </w:t>
      </w:r>
      <w:r w:rsidRPr="00426920">
        <w:t>BBC News, June 28, 2015, accessed August 11, 2017, www.bbc.com/news/world-europe-33302526.</w:t>
      </w:r>
    </w:p>
  </w:endnote>
  <w:endnote w:id="72">
    <w:p w14:paraId="73C27160" w14:textId="25BB0669" w:rsidR="008423D5" w:rsidRPr="00426920" w:rsidRDefault="008423D5" w:rsidP="00082992">
      <w:pPr>
        <w:pStyle w:val="Footnote"/>
      </w:pPr>
      <w:r w:rsidRPr="00AC414F">
        <w:rPr>
          <w:rStyle w:val="EndnoteReference"/>
          <w:b w:val="0"/>
          <w:color w:val="auto"/>
        </w:rPr>
        <w:endnoteRef/>
      </w:r>
      <w:r w:rsidRPr="00426920">
        <w:t xml:space="preserve"> Ian </w:t>
      </w:r>
      <w:proofErr w:type="spellStart"/>
      <w:r w:rsidRPr="00426920">
        <w:t>Traynor</w:t>
      </w:r>
      <w:proofErr w:type="spellEnd"/>
      <w:r w:rsidRPr="00426920">
        <w:t xml:space="preserve"> and John Hooper, “Greek Banks to Stay Closed on Monday,” </w:t>
      </w:r>
      <w:r w:rsidRPr="00426920">
        <w:rPr>
          <w:i/>
        </w:rPr>
        <w:t>Guardian</w:t>
      </w:r>
      <w:r w:rsidRPr="00426920">
        <w:t>, June 28, 2015, accessed August 11, 2017, www.theguardian.com/business/2015/jun/28/greek-crisis-ecb-decide-emergency-funding.</w:t>
      </w:r>
    </w:p>
  </w:endnote>
  <w:endnote w:id="73">
    <w:p w14:paraId="05846118" w14:textId="12F1C2B6" w:rsidR="008423D5" w:rsidRPr="00426920" w:rsidRDefault="008423D5" w:rsidP="00082992">
      <w:pPr>
        <w:pStyle w:val="Footnote"/>
      </w:pPr>
      <w:r w:rsidRPr="00AC414F">
        <w:rPr>
          <w:rStyle w:val="EndnoteReference"/>
          <w:b w:val="0"/>
          <w:color w:val="auto"/>
        </w:rPr>
        <w:endnoteRef/>
      </w:r>
      <w:r w:rsidRPr="00426920">
        <w:t xml:space="preserve"> Virginia Harrison and Chris </w:t>
      </w:r>
      <w:proofErr w:type="spellStart"/>
      <w:r w:rsidRPr="00426920">
        <w:t>Liakos</w:t>
      </w:r>
      <w:proofErr w:type="spellEnd"/>
      <w:r w:rsidRPr="00426920">
        <w:t>, “Greece Defaults on a $1.7 Billion IMF Payment,” CNN Money, June 30, 2015, accessed August 11, 2017, http://money.cnn.com/2015/06/30/news/economy/greece-imf-default/index.html.</w:t>
      </w:r>
    </w:p>
  </w:endnote>
  <w:endnote w:id="74">
    <w:p w14:paraId="428D9AE1" w14:textId="5B003A39" w:rsidR="008423D5" w:rsidRPr="00426920" w:rsidRDefault="008423D5" w:rsidP="00082992">
      <w:pPr>
        <w:pStyle w:val="Footnote"/>
      </w:pPr>
      <w:r w:rsidRPr="00AC414F">
        <w:rPr>
          <w:rStyle w:val="EndnoteReference"/>
          <w:b w:val="0"/>
          <w:color w:val="auto"/>
        </w:rPr>
        <w:endnoteRef/>
      </w:r>
      <w:r w:rsidRPr="00426920">
        <w:t xml:space="preserve"> </w:t>
      </w:r>
      <w:r w:rsidR="007C03C9" w:rsidRPr="00426920">
        <w:t>Under the Treaty of Lisbon (which created the EU), EU nations could not allow a memb</w:t>
      </w:r>
      <w:r w:rsidR="007C03C9">
        <w:t xml:space="preserve">er state to default on its debt; </w:t>
      </w:r>
      <w:r w:rsidRPr="00426920">
        <w:t xml:space="preserve">“Euro Summit Statement, 12 July 2015,” European Council, July 13, 2015, accessed August 11, 2017, www.consilium.europa.eu/en/press/press-releases/2015/07/12-euro-summit-statement-greece; “It’s the Final Countdown for Greece—Again!” Market Realist, July 10, 2015, accessed April 1, 2017, http://marketrealist.com/2015/07/final-countdown-for-greece. </w:t>
      </w:r>
    </w:p>
  </w:endnote>
  <w:endnote w:id="75">
    <w:p w14:paraId="4D7B7651" w14:textId="4A069B15" w:rsidR="008423D5" w:rsidRPr="00C0057A" w:rsidRDefault="008423D5" w:rsidP="00082992">
      <w:pPr>
        <w:pStyle w:val="Footnote"/>
      </w:pPr>
      <w:r w:rsidRPr="00AC414F">
        <w:rPr>
          <w:rStyle w:val="EndnoteReference"/>
          <w:b w:val="0"/>
          <w:color w:val="auto"/>
        </w:rPr>
        <w:endnoteRef/>
      </w:r>
      <w:r w:rsidRPr="00426920">
        <w:t xml:space="preserve"> “Third Greece Bailout: What </w:t>
      </w:r>
      <w:r>
        <w:t>A</w:t>
      </w:r>
      <w:r w:rsidRPr="002A3FEC">
        <w:t>re Eurozone Conditions?</w:t>
      </w:r>
      <w:r w:rsidRPr="00C0057A">
        <w:t>” BBC News, August 21, 2015, accessed August 11, 2017, www.bbc.com/news/world-europe-33905686.</w:t>
      </w:r>
    </w:p>
  </w:endnote>
  <w:endnote w:id="76">
    <w:p w14:paraId="555D30CF" w14:textId="488BB91D" w:rsidR="008423D5" w:rsidRPr="00426920" w:rsidRDefault="008423D5" w:rsidP="00082992">
      <w:pPr>
        <w:pStyle w:val="Footnote"/>
      </w:pPr>
      <w:r w:rsidRPr="00980EBD">
        <w:rPr>
          <w:rStyle w:val="EndnoteReference"/>
          <w:b w:val="0"/>
          <w:color w:val="auto"/>
        </w:rPr>
        <w:endnoteRef/>
      </w:r>
      <w:r w:rsidRPr="000F2A6E">
        <w:t xml:space="preserve"> Economides, op. cit. </w:t>
      </w:r>
    </w:p>
  </w:endnote>
  <w:endnote w:id="77">
    <w:p w14:paraId="2CAFE96E" w14:textId="7025908B" w:rsidR="008423D5" w:rsidRPr="00426920" w:rsidRDefault="008423D5" w:rsidP="00082992">
      <w:pPr>
        <w:pStyle w:val="Footnote"/>
      </w:pPr>
      <w:r w:rsidRPr="00AC414F">
        <w:rPr>
          <w:rStyle w:val="EndnoteReference"/>
          <w:b w:val="0"/>
          <w:color w:val="auto"/>
        </w:rPr>
        <w:endnoteRef/>
      </w:r>
      <w:r w:rsidRPr="00426920">
        <w:t xml:space="preserve"> Alanna </w:t>
      </w:r>
      <w:proofErr w:type="spellStart"/>
      <w:r w:rsidRPr="00426920">
        <w:t>Petroff</w:t>
      </w:r>
      <w:proofErr w:type="spellEnd"/>
      <w:r w:rsidRPr="00426920">
        <w:t>, “Greece: Third Bailout to Start Thursday,” CNN Money, August 15, 2015, accessed August 11, 2017, http://money.cnn.com/2015/08/18/news/greece-germany-bailout-vote/index.htm</w:t>
      </w:r>
      <w:r>
        <w:t xml:space="preserve">l; “The Prodigal Son,” op. </w:t>
      </w:r>
      <w:proofErr w:type="spellStart"/>
      <w:r>
        <w:t>cit</w:t>
      </w:r>
      <w:proofErr w:type="spellEnd"/>
      <w:r>
        <w:t xml:space="preserve">; </w:t>
      </w:r>
      <w:r w:rsidRPr="00426920">
        <w:t>The IMF believed that relief to the extent of 4 per cent of GDP had to be provided to Greece to put its debt on a sustainable trajectory.</w:t>
      </w:r>
    </w:p>
  </w:endnote>
  <w:endnote w:id="78">
    <w:p w14:paraId="739AF999" w14:textId="6E5CD28D" w:rsidR="008423D5" w:rsidRPr="00426920" w:rsidRDefault="008423D5" w:rsidP="00082992">
      <w:pPr>
        <w:pStyle w:val="Footnote"/>
      </w:pPr>
      <w:r w:rsidRPr="00AC414F">
        <w:rPr>
          <w:rStyle w:val="EndnoteReference"/>
          <w:b w:val="0"/>
          <w:color w:val="auto"/>
        </w:rPr>
        <w:endnoteRef/>
      </w:r>
      <w:r>
        <w:t xml:space="preserve"> Economides, op. cit. </w:t>
      </w:r>
    </w:p>
  </w:endnote>
  <w:endnote w:id="79">
    <w:p w14:paraId="1B665E37" w14:textId="5DE46358" w:rsidR="008423D5" w:rsidRPr="00426920" w:rsidRDefault="008423D5" w:rsidP="00082992">
      <w:pPr>
        <w:pStyle w:val="Footnote"/>
      </w:pPr>
      <w:r w:rsidRPr="00AC414F">
        <w:rPr>
          <w:rStyle w:val="EndnoteReference"/>
          <w:b w:val="0"/>
          <w:color w:val="auto"/>
        </w:rPr>
        <w:endnoteRef/>
      </w:r>
      <w:r w:rsidRPr="00426920">
        <w:t xml:space="preserve"> Charles </w:t>
      </w:r>
      <w:proofErr w:type="spellStart"/>
      <w:r w:rsidRPr="00426920">
        <w:t>Forelle</w:t>
      </w:r>
      <w:proofErr w:type="spellEnd"/>
      <w:r w:rsidRPr="00426920">
        <w:t xml:space="preserve">, Pat </w:t>
      </w:r>
      <w:proofErr w:type="spellStart"/>
      <w:r w:rsidRPr="00426920">
        <w:t>Minczeski</w:t>
      </w:r>
      <w:proofErr w:type="spellEnd"/>
      <w:r w:rsidRPr="00426920">
        <w:t xml:space="preserve">, and Elliot Bentley, “Greece’s Debt Due,” </w:t>
      </w:r>
      <w:r w:rsidRPr="007C03C9">
        <w:rPr>
          <w:i/>
        </w:rPr>
        <w:t>Wall Street Journal</w:t>
      </w:r>
      <w:r w:rsidRPr="00426920">
        <w:t>, February 19, 2015, accessed August 11, 2017, http://graphics.wsj.com/greece-debt-timeline.</w:t>
      </w:r>
    </w:p>
  </w:endnote>
  <w:endnote w:id="80">
    <w:p w14:paraId="413932BB" w14:textId="7A066940" w:rsidR="008423D5" w:rsidRPr="00426920" w:rsidRDefault="008423D5" w:rsidP="00082992">
      <w:pPr>
        <w:pStyle w:val="Footnote"/>
      </w:pPr>
      <w:r w:rsidRPr="00AC414F">
        <w:rPr>
          <w:rStyle w:val="EndnoteReference"/>
          <w:b w:val="0"/>
          <w:color w:val="auto"/>
        </w:rPr>
        <w:endnoteRef/>
      </w:r>
      <w:r w:rsidRPr="00426920">
        <w:t xml:space="preserve"> Mauldin, op. cit. </w:t>
      </w:r>
    </w:p>
  </w:endnote>
  <w:endnote w:id="81">
    <w:p w14:paraId="4A5C061A" w14:textId="47613B57" w:rsidR="008423D5" w:rsidRPr="00282FAE" w:rsidRDefault="008423D5" w:rsidP="00082992">
      <w:pPr>
        <w:pStyle w:val="Footnote"/>
      </w:pPr>
      <w:r w:rsidRPr="00AC414F">
        <w:rPr>
          <w:rStyle w:val="EndnoteReference"/>
          <w:b w:val="0"/>
          <w:color w:val="auto"/>
        </w:rPr>
        <w:endnoteRef/>
      </w:r>
      <w:r w:rsidRPr="00426920">
        <w:t xml:space="preserve"> Helena Smith, “A Year after the Crisis </w:t>
      </w:r>
      <w:r>
        <w:t>W</w:t>
      </w:r>
      <w:r w:rsidRPr="00282FAE">
        <w:t xml:space="preserve">as Declared </w:t>
      </w:r>
      <w:r>
        <w:t>O</w:t>
      </w:r>
      <w:r w:rsidRPr="00282FAE">
        <w:t xml:space="preserve">ver, Greece </w:t>
      </w:r>
      <w:r>
        <w:t>I</w:t>
      </w:r>
      <w:r w:rsidRPr="00282FAE">
        <w:t xml:space="preserve">s Still Spiralling Down,” </w:t>
      </w:r>
      <w:r w:rsidRPr="00282FAE">
        <w:rPr>
          <w:i/>
        </w:rPr>
        <w:t>Guardian,</w:t>
      </w:r>
      <w:r w:rsidRPr="00282FAE">
        <w:t xml:space="preserve"> August 13, 2016, accessed August 11, 2017, www.theguardian.com/business/2016/aug/13/greek-economy-still-spiralling-down-year-after-crisis-declared-over.</w:t>
      </w:r>
    </w:p>
  </w:endnote>
  <w:endnote w:id="82">
    <w:p w14:paraId="4762E8F0" w14:textId="14397462" w:rsidR="008423D5" w:rsidRPr="000F2A6E" w:rsidRDefault="008423D5" w:rsidP="00082992">
      <w:pPr>
        <w:pStyle w:val="Footnote"/>
      </w:pPr>
      <w:r w:rsidRPr="00980EBD">
        <w:rPr>
          <w:rStyle w:val="EndnoteReference"/>
          <w:b w:val="0"/>
          <w:color w:val="auto"/>
        </w:rPr>
        <w:endnoteRef/>
      </w:r>
      <w:r w:rsidRPr="000F2A6E">
        <w:t xml:space="preserve"> “Long-Term Interest Rate Statistics for EU Member States,” European Central Bank, accessed August 11, 2017, www.ecb.europa.eu/stats/financial_markets_and_interest_rates/long_term_interest_rates/html/index.en.html.</w:t>
      </w:r>
    </w:p>
  </w:endnote>
  <w:endnote w:id="83">
    <w:p w14:paraId="388F22B1" w14:textId="7B3287E6" w:rsidR="008423D5" w:rsidRPr="00426920" w:rsidRDefault="008423D5" w:rsidP="00082992">
      <w:pPr>
        <w:pStyle w:val="Footnote"/>
      </w:pPr>
      <w:r w:rsidRPr="000F2A6E">
        <w:rPr>
          <w:rStyle w:val="EndnoteReference"/>
          <w:b w:val="0"/>
          <w:color w:val="auto"/>
        </w:rPr>
        <w:endnoteRef/>
      </w:r>
      <w:r w:rsidRPr="00426920">
        <w:t xml:space="preserve"> “Germany 2-Year Bond Yield Historical Data,” Investing.com, accessed August 11, 2017, www.investing.com/rates-bonds/germany-2-year-bond-yield-historical-data.</w:t>
      </w:r>
    </w:p>
  </w:endnote>
  <w:endnote w:id="84">
    <w:p w14:paraId="6632C288" w14:textId="5C947A83" w:rsidR="008423D5" w:rsidRPr="00426920" w:rsidRDefault="008423D5" w:rsidP="00082992">
      <w:pPr>
        <w:pStyle w:val="Footnote"/>
      </w:pPr>
      <w:r w:rsidRPr="00AC414F">
        <w:rPr>
          <w:rStyle w:val="EndnoteReference"/>
          <w:b w:val="0"/>
          <w:color w:val="auto"/>
        </w:rPr>
        <w:endnoteRef/>
      </w:r>
      <w:r w:rsidRPr="00426920">
        <w:t xml:space="preserve"> Francesco </w:t>
      </w:r>
      <w:proofErr w:type="spellStart"/>
      <w:r w:rsidRPr="00426920">
        <w:t>Guarascio</w:t>
      </w:r>
      <w:proofErr w:type="spellEnd"/>
      <w:r w:rsidRPr="00426920">
        <w:t xml:space="preserve"> and Alastair Macdonald, “Euro Zone Grants Greece Short-Term Debt Relief; No Deal </w:t>
      </w:r>
      <w:proofErr w:type="gramStart"/>
      <w:r w:rsidRPr="00426920">
        <w:t>With</w:t>
      </w:r>
      <w:proofErr w:type="gramEnd"/>
      <w:r w:rsidRPr="00426920">
        <w:t xml:space="preserve"> IMF,” Reuters, December 4, 2016, accessed August 11, 2017, www.reuters.com/article/us-eurozone-greece-eurogroup-idUSKBN13T0ZN.</w:t>
      </w:r>
    </w:p>
  </w:endnote>
  <w:endnote w:id="85">
    <w:p w14:paraId="3FE86F7E" w14:textId="7A86FB7F" w:rsidR="008423D5" w:rsidRPr="00082992" w:rsidRDefault="008423D5" w:rsidP="00082992">
      <w:pPr>
        <w:pStyle w:val="Footnote"/>
        <w:rPr>
          <w:rFonts w:asciiTheme="minorHAnsi" w:hAnsiTheme="minorHAnsi" w:cstheme="minorBidi"/>
          <w:sz w:val="24"/>
          <w:szCs w:val="24"/>
        </w:rPr>
      </w:pPr>
      <w:r w:rsidRPr="00AC414F">
        <w:rPr>
          <w:rStyle w:val="EndnoteReference"/>
          <w:b w:val="0"/>
          <w:color w:val="auto"/>
        </w:rPr>
        <w:endnoteRef/>
      </w:r>
      <w:r w:rsidRPr="004149A5">
        <w:t xml:space="preserve"> Helena Smith, “</w:t>
      </w:r>
      <w:proofErr w:type="spellStart"/>
      <w:r w:rsidRPr="004149A5">
        <w:t>Grexit</w:t>
      </w:r>
      <w:proofErr w:type="spellEnd"/>
      <w:r w:rsidRPr="004149A5">
        <w:t xml:space="preserve">? Greece Again on the Brink as Debt Crisis Threatens Break with EU,” </w:t>
      </w:r>
      <w:r w:rsidRPr="004149A5">
        <w:rPr>
          <w:i/>
        </w:rPr>
        <w:t>Guardian</w:t>
      </w:r>
      <w:r w:rsidRPr="004149A5">
        <w:t>, February 3, 2017, accessed August 11, 2017, www.theguardian.com/world/2017/feb/03/grexit-greece-debt-crisis-eu-germany-us.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8FDC1" w14:textId="77777777" w:rsidR="008423D5" w:rsidRDefault="008423D5" w:rsidP="00D75295">
      <w:r>
        <w:separator/>
      </w:r>
    </w:p>
  </w:footnote>
  <w:footnote w:type="continuationSeparator" w:id="0">
    <w:p w14:paraId="1644826B" w14:textId="77777777" w:rsidR="008423D5" w:rsidRDefault="008423D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51AD" w14:textId="6244A7E3" w:rsidR="008423D5" w:rsidRDefault="008423D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03C9">
      <w:rPr>
        <w:rFonts w:ascii="Arial" w:hAnsi="Arial"/>
        <w:b/>
        <w:noProof/>
      </w:rPr>
      <w:t>9</w:t>
    </w:r>
    <w:r>
      <w:rPr>
        <w:rFonts w:ascii="Arial" w:hAnsi="Arial"/>
        <w:b/>
      </w:rPr>
      <w:fldChar w:fldCharType="end"/>
    </w:r>
    <w:r>
      <w:rPr>
        <w:rFonts w:ascii="Arial" w:hAnsi="Arial"/>
        <w:b/>
      </w:rPr>
      <w:tab/>
      <w:t>9B17M142</w:t>
    </w:r>
  </w:p>
  <w:p w14:paraId="6B754B49" w14:textId="77777777" w:rsidR="008423D5" w:rsidRPr="00C92CC4" w:rsidRDefault="008423D5">
    <w:pPr>
      <w:pStyle w:val="Header"/>
      <w:rPr>
        <w:sz w:val="18"/>
        <w:szCs w:val="18"/>
      </w:rPr>
    </w:pPr>
  </w:p>
  <w:p w14:paraId="0DD62FE0" w14:textId="77777777" w:rsidR="008423D5" w:rsidRPr="00C92CC4" w:rsidRDefault="008423D5">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24DC7" w14:textId="1F84FA8B" w:rsidR="008423D5" w:rsidRDefault="008423D5" w:rsidP="00531061">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03C9">
      <w:rPr>
        <w:rFonts w:ascii="Arial" w:hAnsi="Arial"/>
        <w:b/>
        <w:noProof/>
      </w:rPr>
      <w:t>10</w:t>
    </w:r>
    <w:r>
      <w:rPr>
        <w:rFonts w:ascii="Arial" w:hAnsi="Arial"/>
        <w:b/>
      </w:rPr>
      <w:fldChar w:fldCharType="end"/>
    </w:r>
    <w:r>
      <w:rPr>
        <w:rFonts w:ascii="Arial" w:hAnsi="Arial"/>
        <w:b/>
      </w:rPr>
      <w:tab/>
      <w:t>9B17M142</w:t>
    </w:r>
  </w:p>
  <w:p w14:paraId="66FEBC82" w14:textId="77777777" w:rsidR="008423D5" w:rsidRPr="00C92CC4" w:rsidRDefault="008423D5" w:rsidP="00531061">
    <w:pPr>
      <w:pStyle w:val="Header"/>
      <w:tabs>
        <w:tab w:val="clear" w:pos="4680"/>
        <w:tab w:val="clear" w:pos="9360"/>
        <w:tab w:val="right" w:pos="12960"/>
      </w:tabs>
      <w:rPr>
        <w:sz w:val="18"/>
        <w:szCs w:val="18"/>
      </w:rPr>
    </w:pPr>
  </w:p>
  <w:p w14:paraId="5592B2AC" w14:textId="77777777" w:rsidR="008423D5" w:rsidRPr="00C92CC4" w:rsidRDefault="008423D5" w:rsidP="00531061">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0C488" w14:textId="0B1D8CA2" w:rsidR="008423D5" w:rsidRDefault="008423D5" w:rsidP="00531061">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03C9">
      <w:rPr>
        <w:rFonts w:ascii="Arial" w:hAnsi="Arial"/>
        <w:b/>
        <w:noProof/>
      </w:rPr>
      <w:t>12</w:t>
    </w:r>
    <w:r>
      <w:rPr>
        <w:rFonts w:ascii="Arial" w:hAnsi="Arial"/>
        <w:b/>
      </w:rPr>
      <w:fldChar w:fldCharType="end"/>
    </w:r>
    <w:r>
      <w:rPr>
        <w:rFonts w:ascii="Arial" w:hAnsi="Arial"/>
        <w:b/>
      </w:rPr>
      <w:tab/>
      <w:t>9B17M142</w:t>
    </w:r>
  </w:p>
  <w:p w14:paraId="23F04896" w14:textId="77777777" w:rsidR="008423D5" w:rsidRPr="00C92CC4" w:rsidRDefault="008423D5" w:rsidP="00531061">
    <w:pPr>
      <w:pStyle w:val="Header"/>
      <w:tabs>
        <w:tab w:val="clear" w:pos="4680"/>
      </w:tabs>
      <w:rPr>
        <w:sz w:val="18"/>
        <w:szCs w:val="18"/>
      </w:rPr>
    </w:pPr>
  </w:p>
  <w:p w14:paraId="541D584B" w14:textId="77777777" w:rsidR="008423D5" w:rsidRPr="00C92CC4" w:rsidRDefault="008423D5" w:rsidP="00531061">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66F80" w14:textId="7B39DD90" w:rsidR="008423D5" w:rsidRDefault="008423D5" w:rsidP="00531061">
    <w:pPr>
      <w:pBdr>
        <w:bottom w:val="single" w:sz="18" w:space="1" w:color="auto"/>
      </w:pBdr>
      <w:tabs>
        <w:tab w:val="left" w:pos="-1440"/>
        <w:tab w:val="left" w:pos="-720"/>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03C9">
      <w:rPr>
        <w:rFonts w:ascii="Arial" w:hAnsi="Arial"/>
        <w:b/>
        <w:noProof/>
      </w:rPr>
      <w:t>14</w:t>
    </w:r>
    <w:r>
      <w:rPr>
        <w:rFonts w:ascii="Arial" w:hAnsi="Arial"/>
        <w:b/>
      </w:rPr>
      <w:fldChar w:fldCharType="end"/>
    </w:r>
    <w:r>
      <w:rPr>
        <w:rFonts w:ascii="Arial" w:hAnsi="Arial"/>
        <w:b/>
      </w:rPr>
      <w:tab/>
      <w:t>9B17M142</w:t>
    </w:r>
  </w:p>
  <w:p w14:paraId="06005C2B" w14:textId="77777777" w:rsidR="008423D5" w:rsidRPr="00C92CC4" w:rsidRDefault="008423D5" w:rsidP="00531061">
    <w:pPr>
      <w:pStyle w:val="Header"/>
      <w:tabs>
        <w:tab w:val="clear" w:pos="4680"/>
        <w:tab w:val="clear" w:pos="9360"/>
        <w:tab w:val="right" w:pos="12960"/>
      </w:tabs>
      <w:rPr>
        <w:sz w:val="18"/>
        <w:szCs w:val="18"/>
      </w:rPr>
    </w:pPr>
  </w:p>
  <w:p w14:paraId="56DC88DB" w14:textId="77777777" w:rsidR="008423D5" w:rsidRPr="00C92CC4" w:rsidRDefault="008423D5" w:rsidP="00531061">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76E88" w14:textId="0B7BD2FD" w:rsidR="008423D5" w:rsidRDefault="008423D5" w:rsidP="001409B9">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03C9">
      <w:rPr>
        <w:rFonts w:ascii="Arial" w:hAnsi="Arial"/>
        <w:b/>
        <w:noProof/>
      </w:rPr>
      <w:t>17</w:t>
    </w:r>
    <w:r>
      <w:rPr>
        <w:rFonts w:ascii="Arial" w:hAnsi="Arial"/>
        <w:b/>
      </w:rPr>
      <w:fldChar w:fldCharType="end"/>
    </w:r>
    <w:r>
      <w:rPr>
        <w:rFonts w:ascii="Arial" w:hAnsi="Arial"/>
        <w:b/>
      </w:rPr>
      <w:tab/>
      <w:t>9B17M142</w:t>
    </w:r>
  </w:p>
  <w:p w14:paraId="32A822C9" w14:textId="77777777" w:rsidR="008423D5" w:rsidRPr="00C92CC4" w:rsidRDefault="008423D5" w:rsidP="001409B9">
    <w:pPr>
      <w:pStyle w:val="Header"/>
      <w:tabs>
        <w:tab w:val="clear" w:pos="4680"/>
      </w:tabs>
      <w:rPr>
        <w:sz w:val="18"/>
        <w:szCs w:val="18"/>
      </w:rPr>
    </w:pPr>
  </w:p>
  <w:p w14:paraId="774B4884" w14:textId="77777777" w:rsidR="008423D5" w:rsidRPr="00C92CC4" w:rsidRDefault="008423D5" w:rsidP="001409B9">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17E27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CD276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92AA5A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3040F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BA8FD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CAC4C1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90E3D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6E4AB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FE0FF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EE07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182C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352ED"/>
    <w:multiLevelType w:val="hybridMultilevel"/>
    <w:tmpl w:val="63CE71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5F5466B8"/>
    <w:multiLevelType w:val="hybridMultilevel"/>
    <w:tmpl w:val="C31EF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0"/>
  </w:num>
  <w:num w:numId="13">
    <w:abstractNumId w:val="14"/>
  </w:num>
  <w:num w:numId="14">
    <w:abstractNumId w:val="21"/>
  </w:num>
  <w:num w:numId="15">
    <w:abstractNumId w:val="22"/>
  </w:num>
  <w:num w:numId="16">
    <w:abstractNumId w:val="24"/>
  </w:num>
  <w:num w:numId="17">
    <w:abstractNumId w:val="17"/>
  </w:num>
  <w:num w:numId="18">
    <w:abstractNumId w:val="25"/>
  </w:num>
  <w:num w:numId="19">
    <w:abstractNumId w:val="13"/>
  </w:num>
  <w:num w:numId="20">
    <w:abstractNumId w:val="12"/>
  </w:num>
  <w:num w:numId="21">
    <w:abstractNumId w:val="26"/>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1"/>
  </w:num>
  <w:num w:numId="29">
    <w:abstractNumId w:val="11"/>
  </w:num>
  <w:num w:numId="30">
    <w:abstractNumId w:val="2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activeWritingStyle w:appName="MSWord" w:lang="en-IN" w:vendorID="64" w:dllVersion="131078" w:nlCheck="1" w:checkStyle="1"/>
  <w:activeWritingStyle w:appName="MSWord" w:lang="es-US" w:vendorID="64" w:dllVersion="131078" w:nlCheck="1" w:checkStyle="1"/>
  <w:activeWritingStyle w:appName="MSWord" w:lang="en-US" w:vendorID="64" w:dllVersion="131078" w:nlCheck="1" w:checkStyle="0"/>
  <w:activeWritingStyle w:appName="MSWord" w:lang="en-CA"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558"/>
    <w:rsid w:val="00013360"/>
    <w:rsid w:val="00013BBD"/>
    <w:rsid w:val="0002127B"/>
    <w:rsid w:val="000216CE"/>
    <w:rsid w:val="00024192"/>
    <w:rsid w:val="00024845"/>
    <w:rsid w:val="00025DC7"/>
    <w:rsid w:val="0002614C"/>
    <w:rsid w:val="00026486"/>
    <w:rsid w:val="00044ECC"/>
    <w:rsid w:val="0005040A"/>
    <w:rsid w:val="000531D3"/>
    <w:rsid w:val="0005646B"/>
    <w:rsid w:val="0006267D"/>
    <w:rsid w:val="00064142"/>
    <w:rsid w:val="00071CFF"/>
    <w:rsid w:val="00072DC0"/>
    <w:rsid w:val="00074D02"/>
    <w:rsid w:val="0008102D"/>
    <w:rsid w:val="00082992"/>
    <w:rsid w:val="00092374"/>
    <w:rsid w:val="00094C0E"/>
    <w:rsid w:val="000C14DB"/>
    <w:rsid w:val="000D2B5E"/>
    <w:rsid w:val="000E131C"/>
    <w:rsid w:val="000E58C5"/>
    <w:rsid w:val="000F0C22"/>
    <w:rsid w:val="000F2806"/>
    <w:rsid w:val="000F2A6E"/>
    <w:rsid w:val="000F6B09"/>
    <w:rsid w:val="000F6FDC"/>
    <w:rsid w:val="00104567"/>
    <w:rsid w:val="00107834"/>
    <w:rsid w:val="00114288"/>
    <w:rsid w:val="00120338"/>
    <w:rsid w:val="00120CAB"/>
    <w:rsid w:val="0012732D"/>
    <w:rsid w:val="00134871"/>
    <w:rsid w:val="0013505B"/>
    <w:rsid w:val="001409B9"/>
    <w:rsid w:val="00150D3D"/>
    <w:rsid w:val="00152F9C"/>
    <w:rsid w:val="00154FC9"/>
    <w:rsid w:val="0016025F"/>
    <w:rsid w:val="001623C6"/>
    <w:rsid w:val="00174098"/>
    <w:rsid w:val="00177A69"/>
    <w:rsid w:val="00187DCD"/>
    <w:rsid w:val="0019241A"/>
    <w:rsid w:val="001A02A7"/>
    <w:rsid w:val="001A0314"/>
    <w:rsid w:val="001A5335"/>
    <w:rsid w:val="001A73E9"/>
    <w:rsid w:val="001A752D"/>
    <w:rsid w:val="001B052E"/>
    <w:rsid w:val="001B2553"/>
    <w:rsid w:val="001D04CD"/>
    <w:rsid w:val="001D064F"/>
    <w:rsid w:val="001D39A3"/>
    <w:rsid w:val="001E7573"/>
    <w:rsid w:val="001E7C1B"/>
    <w:rsid w:val="001F0179"/>
    <w:rsid w:val="001F667E"/>
    <w:rsid w:val="00200B2B"/>
    <w:rsid w:val="00203AA1"/>
    <w:rsid w:val="00211914"/>
    <w:rsid w:val="00213E98"/>
    <w:rsid w:val="00216450"/>
    <w:rsid w:val="00233BB1"/>
    <w:rsid w:val="00242048"/>
    <w:rsid w:val="00242A39"/>
    <w:rsid w:val="002511D1"/>
    <w:rsid w:val="002532AB"/>
    <w:rsid w:val="00262948"/>
    <w:rsid w:val="00271CFC"/>
    <w:rsid w:val="00275361"/>
    <w:rsid w:val="00281681"/>
    <w:rsid w:val="00282D76"/>
    <w:rsid w:val="00282FAE"/>
    <w:rsid w:val="00283C0D"/>
    <w:rsid w:val="00284A93"/>
    <w:rsid w:val="00297263"/>
    <w:rsid w:val="002A040A"/>
    <w:rsid w:val="002A3FEC"/>
    <w:rsid w:val="002B05FA"/>
    <w:rsid w:val="002B7315"/>
    <w:rsid w:val="002C2C7C"/>
    <w:rsid w:val="002C5C5F"/>
    <w:rsid w:val="002C67C7"/>
    <w:rsid w:val="002D4FA7"/>
    <w:rsid w:val="002D6400"/>
    <w:rsid w:val="002E0BD9"/>
    <w:rsid w:val="002E32F0"/>
    <w:rsid w:val="002E33F3"/>
    <w:rsid w:val="002F460C"/>
    <w:rsid w:val="002F48D6"/>
    <w:rsid w:val="002F66F5"/>
    <w:rsid w:val="002F6A80"/>
    <w:rsid w:val="002F6E4F"/>
    <w:rsid w:val="003025F1"/>
    <w:rsid w:val="003102A7"/>
    <w:rsid w:val="003115B3"/>
    <w:rsid w:val="00321C94"/>
    <w:rsid w:val="003238FD"/>
    <w:rsid w:val="00332E22"/>
    <w:rsid w:val="003466F8"/>
    <w:rsid w:val="00352A2D"/>
    <w:rsid w:val="00354899"/>
    <w:rsid w:val="00355FD6"/>
    <w:rsid w:val="00360297"/>
    <w:rsid w:val="003612D9"/>
    <w:rsid w:val="00361C8E"/>
    <w:rsid w:val="00363AE8"/>
    <w:rsid w:val="00364A5C"/>
    <w:rsid w:val="00372A09"/>
    <w:rsid w:val="00373FB1"/>
    <w:rsid w:val="00382858"/>
    <w:rsid w:val="003969A2"/>
    <w:rsid w:val="003A2339"/>
    <w:rsid w:val="003A2E4D"/>
    <w:rsid w:val="003A4E43"/>
    <w:rsid w:val="003B30D8"/>
    <w:rsid w:val="003B3D71"/>
    <w:rsid w:val="003B44F7"/>
    <w:rsid w:val="003B7EF2"/>
    <w:rsid w:val="003C290F"/>
    <w:rsid w:val="003C3FA4"/>
    <w:rsid w:val="003D0BEB"/>
    <w:rsid w:val="003D2146"/>
    <w:rsid w:val="003D5AB0"/>
    <w:rsid w:val="003E328B"/>
    <w:rsid w:val="003E6E2B"/>
    <w:rsid w:val="003F2B0C"/>
    <w:rsid w:val="003F3B27"/>
    <w:rsid w:val="003F3CBC"/>
    <w:rsid w:val="003F4462"/>
    <w:rsid w:val="0040448A"/>
    <w:rsid w:val="004070DE"/>
    <w:rsid w:val="004149A5"/>
    <w:rsid w:val="004221E4"/>
    <w:rsid w:val="00423367"/>
    <w:rsid w:val="00426920"/>
    <w:rsid w:val="00440234"/>
    <w:rsid w:val="00452CA2"/>
    <w:rsid w:val="00471088"/>
    <w:rsid w:val="00476489"/>
    <w:rsid w:val="004776A6"/>
    <w:rsid w:val="004778E1"/>
    <w:rsid w:val="00482296"/>
    <w:rsid w:val="00483AF9"/>
    <w:rsid w:val="0048652F"/>
    <w:rsid w:val="0049629B"/>
    <w:rsid w:val="004A3841"/>
    <w:rsid w:val="004A7D5A"/>
    <w:rsid w:val="004B1CCB"/>
    <w:rsid w:val="004C2A03"/>
    <w:rsid w:val="004C434E"/>
    <w:rsid w:val="004D593C"/>
    <w:rsid w:val="004D73A5"/>
    <w:rsid w:val="004F176F"/>
    <w:rsid w:val="004F1976"/>
    <w:rsid w:val="004F2AFF"/>
    <w:rsid w:val="004F59FC"/>
    <w:rsid w:val="00500D4D"/>
    <w:rsid w:val="005024B2"/>
    <w:rsid w:val="00502DDC"/>
    <w:rsid w:val="00510ABE"/>
    <w:rsid w:val="00531061"/>
    <w:rsid w:val="00532CF5"/>
    <w:rsid w:val="005448B3"/>
    <w:rsid w:val="00544C98"/>
    <w:rsid w:val="00545460"/>
    <w:rsid w:val="005476B6"/>
    <w:rsid w:val="005528CB"/>
    <w:rsid w:val="0055387D"/>
    <w:rsid w:val="005572ED"/>
    <w:rsid w:val="005628E6"/>
    <w:rsid w:val="00566771"/>
    <w:rsid w:val="00572ADE"/>
    <w:rsid w:val="00580120"/>
    <w:rsid w:val="00581E2E"/>
    <w:rsid w:val="00584F15"/>
    <w:rsid w:val="005928D4"/>
    <w:rsid w:val="00594785"/>
    <w:rsid w:val="0059668A"/>
    <w:rsid w:val="00596AAB"/>
    <w:rsid w:val="00597E53"/>
    <w:rsid w:val="005A5E93"/>
    <w:rsid w:val="005B287F"/>
    <w:rsid w:val="005B2C0E"/>
    <w:rsid w:val="005C7694"/>
    <w:rsid w:val="005D6A43"/>
    <w:rsid w:val="005E0F74"/>
    <w:rsid w:val="005E5762"/>
    <w:rsid w:val="005E70D0"/>
    <w:rsid w:val="005F029E"/>
    <w:rsid w:val="005F1419"/>
    <w:rsid w:val="005F4FE0"/>
    <w:rsid w:val="00602CC1"/>
    <w:rsid w:val="006038A3"/>
    <w:rsid w:val="00611DE1"/>
    <w:rsid w:val="006163F7"/>
    <w:rsid w:val="00621A89"/>
    <w:rsid w:val="00626362"/>
    <w:rsid w:val="006369AA"/>
    <w:rsid w:val="0064093A"/>
    <w:rsid w:val="00651D34"/>
    <w:rsid w:val="00652606"/>
    <w:rsid w:val="00657C9B"/>
    <w:rsid w:val="00661D86"/>
    <w:rsid w:val="00663C28"/>
    <w:rsid w:val="00670B8D"/>
    <w:rsid w:val="00671486"/>
    <w:rsid w:val="00672FBE"/>
    <w:rsid w:val="00682754"/>
    <w:rsid w:val="006A103C"/>
    <w:rsid w:val="006A194B"/>
    <w:rsid w:val="006A3E04"/>
    <w:rsid w:val="006A58A9"/>
    <w:rsid w:val="006A606D"/>
    <w:rsid w:val="006A62DC"/>
    <w:rsid w:val="006B7F7A"/>
    <w:rsid w:val="006C0371"/>
    <w:rsid w:val="006C08B6"/>
    <w:rsid w:val="006C0B1A"/>
    <w:rsid w:val="006C4384"/>
    <w:rsid w:val="006C6065"/>
    <w:rsid w:val="006C7F9F"/>
    <w:rsid w:val="006D49C9"/>
    <w:rsid w:val="006D5856"/>
    <w:rsid w:val="006D739C"/>
    <w:rsid w:val="006E2F6D"/>
    <w:rsid w:val="006E58F6"/>
    <w:rsid w:val="006E59D2"/>
    <w:rsid w:val="006E77E1"/>
    <w:rsid w:val="006F131D"/>
    <w:rsid w:val="006F1D9E"/>
    <w:rsid w:val="006F1DE2"/>
    <w:rsid w:val="006F42CB"/>
    <w:rsid w:val="007034FB"/>
    <w:rsid w:val="00703D8D"/>
    <w:rsid w:val="00704527"/>
    <w:rsid w:val="0070527E"/>
    <w:rsid w:val="00707918"/>
    <w:rsid w:val="00723DC8"/>
    <w:rsid w:val="00742733"/>
    <w:rsid w:val="007463CF"/>
    <w:rsid w:val="00752BCD"/>
    <w:rsid w:val="007540DE"/>
    <w:rsid w:val="007624A0"/>
    <w:rsid w:val="00762BEA"/>
    <w:rsid w:val="00764D75"/>
    <w:rsid w:val="00766210"/>
    <w:rsid w:val="00766DA1"/>
    <w:rsid w:val="00781A01"/>
    <w:rsid w:val="00781BEB"/>
    <w:rsid w:val="007866A6"/>
    <w:rsid w:val="007A0F53"/>
    <w:rsid w:val="007A130D"/>
    <w:rsid w:val="007B15CA"/>
    <w:rsid w:val="007B2003"/>
    <w:rsid w:val="007C03C9"/>
    <w:rsid w:val="007C5853"/>
    <w:rsid w:val="007D4102"/>
    <w:rsid w:val="007E0B31"/>
    <w:rsid w:val="007E44DE"/>
    <w:rsid w:val="007E45F0"/>
    <w:rsid w:val="007E5921"/>
    <w:rsid w:val="00801C41"/>
    <w:rsid w:val="00802C6B"/>
    <w:rsid w:val="00805A0B"/>
    <w:rsid w:val="00821FFC"/>
    <w:rsid w:val="008271CA"/>
    <w:rsid w:val="00832691"/>
    <w:rsid w:val="008346DA"/>
    <w:rsid w:val="0083548F"/>
    <w:rsid w:val="00836C6E"/>
    <w:rsid w:val="00837D8C"/>
    <w:rsid w:val="008423D5"/>
    <w:rsid w:val="008467D5"/>
    <w:rsid w:val="0085111E"/>
    <w:rsid w:val="00856D9F"/>
    <w:rsid w:val="00866F6D"/>
    <w:rsid w:val="00881523"/>
    <w:rsid w:val="00884E73"/>
    <w:rsid w:val="0088714A"/>
    <w:rsid w:val="0089791E"/>
    <w:rsid w:val="008A18D8"/>
    <w:rsid w:val="008A4CDD"/>
    <w:rsid w:val="008A4DC4"/>
    <w:rsid w:val="008A6FE8"/>
    <w:rsid w:val="008B46B3"/>
    <w:rsid w:val="008B4DAA"/>
    <w:rsid w:val="008B7931"/>
    <w:rsid w:val="008B7CC7"/>
    <w:rsid w:val="008D086B"/>
    <w:rsid w:val="008F1199"/>
    <w:rsid w:val="009015DA"/>
    <w:rsid w:val="00903FAB"/>
    <w:rsid w:val="009067A4"/>
    <w:rsid w:val="0090722E"/>
    <w:rsid w:val="009107E5"/>
    <w:rsid w:val="00912FB3"/>
    <w:rsid w:val="009171EC"/>
    <w:rsid w:val="009178CD"/>
    <w:rsid w:val="00921F77"/>
    <w:rsid w:val="00927EED"/>
    <w:rsid w:val="009340DB"/>
    <w:rsid w:val="00943753"/>
    <w:rsid w:val="00944AE5"/>
    <w:rsid w:val="00945F9E"/>
    <w:rsid w:val="00960091"/>
    <w:rsid w:val="00962B99"/>
    <w:rsid w:val="00963926"/>
    <w:rsid w:val="00966BBD"/>
    <w:rsid w:val="00972498"/>
    <w:rsid w:val="00974CC6"/>
    <w:rsid w:val="00976AD4"/>
    <w:rsid w:val="00976B24"/>
    <w:rsid w:val="00980EBD"/>
    <w:rsid w:val="009A312F"/>
    <w:rsid w:val="009A5348"/>
    <w:rsid w:val="009A67BB"/>
    <w:rsid w:val="009C1449"/>
    <w:rsid w:val="009C4F1D"/>
    <w:rsid w:val="009C67BD"/>
    <w:rsid w:val="009C697B"/>
    <w:rsid w:val="009C76D5"/>
    <w:rsid w:val="009D0162"/>
    <w:rsid w:val="009D3053"/>
    <w:rsid w:val="009D4E7F"/>
    <w:rsid w:val="009D6A25"/>
    <w:rsid w:val="009E7D1D"/>
    <w:rsid w:val="009F690C"/>
    <w:rsid w:val="009F7AA4"/>
    <w:rsid w:val="00A02671"/>
    <w:rsid w:val="00A106A0"/>
    <w:rsid w:val="00A16709"/>
    <w:rsid w:val="00A209B1"/>
    <w:rsid w:val="00A20B8E"/>
    <w:rsid w:val="00A23833"/>
    <w:rsid w:val="00A26708"/>
    <w:rsid w:val="00A33456"/>
    <w:rsid w:val="00A34DFF"/>
    <w:rsid w:val="00A45F53"/>
    <w:rsid w:val="00A50AAB"/>
    <w:rsid w:val="00A559DB"/>
    <w:rsid w:val="00A63CB0"/>
    <w:rsid w:val="00A663F2"/>
    <w:rsid w:val="00A713FE"/>
    <w:rsid w:val="00A728F2"/>
    <w:rsid w:val="00A766D1"/>
    <w:rsid w:val="00A82A3B"/>
    <w:rsid w:val="00A85D5E"/>
    <w:rsid w:val="00A93C3E"/>
    <w:rsid w:val="00AA2383"/>
    <w:rsid w:val="00AA381D"/>
    <w:rsid w:val="00AA3C9D"/>
    <w:rsid w:val="00AA5963"/>
    <w:rsid w:val="00AA6A94"/>
    <w:rsid w:val="00AB2899"/>
    <w:rsid w:val="00AC2129"/>
    <w:rsid w:val="00AC332E"/>
    <w:rsid w:val="00AC414F"/>
    <w:rsid w:val="00AC7A4E"/>
    <w:rsid w:val="00AE2598"/>
    <w:rsid w:val="00AF35FC"/>
    <w:rsid w:val="00AF5772"/>
    <w:rsid w:val="00B00C31"/>
    <w:rsid w:val="00B03639"/>
    <w:rsid w:val="00B0652A"/>
    <w:rsid w:val="00B0731C"/>
    <w:rsid w:val="00B113D2"/>
    <w:rsid w:val="00B14FD2"/>
    <w:rsid w:val="00B1784C"/>
    <w:rsid w:val="00B20D41"/>
    <w:rsid w:val="00B214EF"/>
    <w:rsid w:val="00B253F6"/>
    <w:rsid w:val="00B27052"/>
    <w:rsid w:val="00B3757D"/>
    <w:rsid w:val="00B40937"/>
    <w:rsid w:val="00B423EF"/>
    <w:rsid w:val="00B44DBB"/>
    <w:rsid w:val="00B453DE"/>
    <w:rsid w:val="00B462E9"/>
    <w:rsid w:val="00B4742F"/>
    <w:rsid w:val="00B71A60"/>
    <w:rsid w:val="00B744B7"/>
    <w:rsid w:val="00B75AC9"/>
    <w:rsid w:val="00B86B2E"/>
    <w:rsid w:val="00B87856"/>
    <w:rsid w:val="00B879E3"/>
    <w:rsid w:val="00B901F9"/>
    <w:rsid w:val="00B97C8A"/>
    <w:rsid w:val="00BA504B"/>
    <w:rsid w:val="00BA51E6"/>
    <w:rsid w:val="00BB1991"/>
    <w:rsid w:val="00BB2FD7"/>
    <w:rsid w:val="00BB6910"/>
    <w:rsid w:val="00BC1480"/>
    <w:rsid w:val="00BC31B2"/>
    <w:rsid w:val="00BD4071"/>
    <w:rsid w:val="00BD5BFE"/>
    <w:rsid w:val="00BD6EFB"/>
    <w:rsid w:val="00BF15C4"/>
    <w:rsid w:val="00C0057A"/>
    <w:rsid w:val="00C02A75"/>
    <w:rsid w:val="00C02C53"/>
    <w:rsid w:val="00C05A93"/>
    <w:rsid w:val="00C14B4A"/>
    <w:rsid w:val="00C15BE2"/>
    <w:rsid w:val="00C22104"/>
    <w:rsid w:val="00C22219"/>
    <w:rsid w:val="00C2441A"/>
    <w:rsid w:val="00C3128F"/>
    <w:rsid w:val="00C3225E"/>
    <w:rsid w:val="00C3447F"/>
    <w:rsid w:val="00C4316E"/>
    <w:rsid w:val="00C47000"/>
    <w:rsid w:val="00C6270A"/>
    <w:rsid w:val="00C62F7F"/>
    <w:rsid w:val="00C637C2"/>
    <w:rsid w:val="00C70FCE"/>
    <w:rsid w:val="00C72D7B"/>
    <w:rsid w:val="00C743CD"/>
    <w:rsid w:val="00C81491"/>
    <w:rsid w:val="00C81676"/>
    <w:rsid w:val="00C92CC4"/>
    <w:rsid w:val="00C94B14"/>
    <w:rsid w:val="00CA03F4"/>
    <w:rsid w:val="00CA0AFB"/>
    <w:rsid w:val="00CA2CE1"/>
    <w:rsid w:val="00CA3976"/>
    <w:rsid w:val="00CA514A"/>
    <w:rsid w:val="00CA757B"/>
    <w:rsid w:val="00CA7C53"/>
    <w:rsid w:val="00CB0524"/>
    <w:rsid w:val="00CB5422"/>
    <w:rsid w:val="00CB5FF5"/>
    <w:rsid w:val="00CB6B09"/>
    <w:rsid w:val="00CC1787"/>
    <w:rsid w:val="00CC182C"/>
    <w:rsid w:val="00CC5846"/>
    <w:rsid w:val="00CC59C7"/>
    <w:rsid w:val="00CD0824"/>
    <w:rsid w:val="00CD17C7"/>
    <w:rsid w:val="00CD2908"/>
    <w:rsid w:val="00CD3AF7"/>
    <w:rsid w:val="00CD6E49"/>
    <w:rsid w:val="00CF1B8B"/>
    <w:rsid w:val="00CF7831"/>
    <w:rsid w:val="00D016BB"/>
    <w:rsid w:val="00D019CB"/>
    <w:rsid w:val="00D03A82"/>
    <w:rsid w:val="00D05513"/>
    <w:rsid w:val="00D13860"/>
    <w:rsid w:val="00D15344"/>
    <w:rsid w:val="00D16418"/>
    <w:rsid w:val="00D2357F"/>
    <w:rsid w:val="00D31BEC"/>
    <w:rsid w:val="00D3349B"/>
    <w:rsid w:val="00D335A5"/>
    <w:rsid w:val="00D360A3"/>
    <w:rsid w:val="00D37AC7"/>
    <w:rsid w:val="00D43603"/>
    <w:rsid w:val="00D471FC"/>
    <w:rsid w:val="00D5016B"/>
    <w:rsid w:val="00D550FA"/>
    <w:rsid w:val="00D5539B"/>
    <w:rsid w:val="00D56A93"/>
    <w:rsid w:val="00D5795D"/>
    <w:rsid w:val="00D63150"/>
    <w:rsid w:val="00D64A32"/>
    <w:rsid w:val="00D64EFC"/>
    <w:rsid w:val="00D6538E"/>
    <w:rsid w:val="00D75295"/>
    <w:rsid w:val="00D7578F"/>
    <w:rsid w:val="00D7651B"/>
    <w:rsid w:val="00D76CE9"/>
    <w:rsid w:val="00D84046"/>
    <w:rsid w:val="00D84630"/>
    <w:rsid w:val="00D97F12"/>
    <w:rsid w:val="00DB1143"/>
    <w:rsid w:val="00DB3621"/>
    <w:rsid w:val="00DB42E7"/>
    <w:rsid w:val="00DB4359"/>
    <w:rsid w:val="00DB48E3"/>
    <w:rsid w:val="00DB588E"/>
    <w:rsid w:val="00DB6985"/>
    <w:rsid w:val="00DB7BB2"/>
    <w:rsid w:val="00DC0350"/>
    <w:rsid w:val="00DC15D4"/>
    <w:rsid w:val="00DD10EA"/>
    <w:rsid w:val="00DD46AB"/>
    <w:rsid w:val="00DE03FD"/>
    <w:rsid w:val="00DE04CB"/>
    <w:rsid w:val="00DE16EB"/>
    <w:rsid w:val="00DE51EE"/>
    <w:rsid w:val="00DF15D1"/>
    <w:rsid w:val="00DF32C2"/>
    <w:rsid w:val="00DF7913"/>
    <w:rsid w:val="00E040A4"/>
    <w:rsid w:val="00E0485E"/>
    <w:rsid w:val="00E07CC5"/>
    <w:rsid w:val="00E1493E"/>
    <w:rsid w:val="00E3677C"/>
    <w:rsid w:val="00E41300"/>
    <w:rsid w:val="00E41680"/>
    <w:rsid w:val="00E45FCF"/>
    <w:rsid w:val="00E471A7"/>
    <w:rsid w:val="00E51E3D"/>
    <w:rsid w:val="00E635CF"/>
    <w:rsid w:val="00E644C0"/>
    <w:rsid w:val="00E65C41"/>
    <w:rsid w:val="00E70547"/>
    <w:rsid w:val="00E76815"/>
    <w:rsid w:val="00E90B5A"/>
    <w:rsid w:val="00E93112"/>
    <w:rsid w:val="00EA2D19"/>
    <w:rsid w:val="00EB5410"/>
    <w:rsid w:val="00EB64AF"/>
    <w:rsid w:val="00EC2448"/>
    <w:rsid w:val="00EC3460"/>
    <w:rsid w:val="00EC45FF"/>
    <w:rsid w:val="00EC6E0A"/>
    <w:rsid w:val="00ED4E18"/>
    <w:rsid w:val="00EE1F37"/>
    <w:rsid w:val="00EE3F40"/>
    <w:rsid w:val="00EE4BA7"/>
    <w:rsid w:val="00EE4F99"/>
    <w:rsid w:val="00EE5E97"/>
    <w:rsid w:val="00F0083A"/>
    <w:rsid w:val="00F0159C"/>
    <w:rsid w:val="00F06FC7"/>
    <w:rsid w:val="00F076B0"/>
    <w:rsid w:val="00F07980"/>
    <w:rsid w:val="00F105B7"/>
    <w:rsid w:val="00F14515"/>
    <w:rsid w:val="00F14C0B"/>
    <w:rsid w:val="00F17A21"/>
    <w:rsid w:val="00F20130"/>
    <w:rsid w:val="00F2034E"/>
    <w:rsid w:val="00F27EB1"/>
    <w:rsid w:val="00F35FF4"/>
    <w:rsid w:val="00F449F9"/>
    <w:rsid w:val="00F50CB1"/>
    <w:rsid w:val="00F50E91"/>
    <w:rsid w:val="00F5354A"/>
    <w:rsid w:val="00F57024"/>
    <w:rsid w:val="00F57647"/>
    <w:rsid w:val="00F57D29"/>
    <w:rsid w:val="00F62815"/>
    <w:rsid w:val="00F67090"/>
    <w:rsid w:val="00F71653"/>
    <w:rsid w:val="00F722B4"/>
    <w:rsid w:val="00F752F3"/>
    <w:rsid w:val="00F82C80"/>
    <w:rsid w:val="00F842F5"/>
    <w:rsid w:val="00F85EED"/>
    <w:rsid w:val="00F92A99"/>
    <w:rsid w:val="00F96201"/>
    <w:rsid w:val="00F9635C"/>
    <w:rsid w:val="00F9778D"/>
    <w:rsid w:val="00FA03CF"/>
    <w:rsid w:val="00FA7D2D"/>
    <w:rsid w:val="00FC30E9"/>
    <w:rsid w:val="00FC3786"/>
    <w:rsid w:val="00FD0B18"/>
    <w:rsid w:val="00FD0F82"/>
    <w:rsid w:val="00FD39A0"/>
    <w:rsid w:val="00FD585D"/>
    <w:rsid w:val="00FE1B18"/>
    <w:rsid w:val="00FE714F"/>
    <w:rsid w:val="00FF1CEF"/>
    <w:rsid w:val="00FF6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80FB6B"/>
  <w15:docId w15:val="{A7C00B58-C0B2-4CEE-ABEF-0409E1BB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7DC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3969A2"/>
    <w:pPr>
      <w:spacing w:line="360" w:lineRule="auto"/>
    </w:pPr>
  </w:style>
  <w:style w:type="character" w:customStyle="1" w:styleId="FootnoteTextChar">
    <w:name w:val="Footnote Text Char"/>
    <w:basedOn w:val="DefaultParagraphFont"/>
    <w:link w:val="FootnoteText"/>
    <w:uiPriority w:val="99"/>
    <w:rsid w:val="003969A2"/>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qFormat/>
    <w:rsid w:val="003969A2"/>
    <w:rPr>
      <w:b/>
      <w:color w:val="FF0000"/>
      <w:vertAlign w:val="superscript"/>
    </w:rPr>
  </w:style>
  <w:style w:type="paragraph" w:customStyle="1" w:styleId="Footnote">
    <w:name w:val="Footnote"/>
    <w:basedOn w:val="FootnoteText"/>
    <w:link w:val="FootnoteChar"/>
    <w:qFormat/>
    <w:rsid w:val="0048652F"/>
    <w:pPr>
      <w:spacing w:line="240" w:lineRule="auto"/>
      <w:jc w:val="both"/>
    </w:pPr>
    <w:rPr>
      <w:rFonts w:ascii="Arial" w:hAnsi="Arial" w:cs="Arial"/>
      <w:sz w:val="17"/>
      <w:szCs w:val="17"/>
    </w:rPr>
  </w:style>
  <w:style w:type="character" w:customStyle="1" w:styleId="FootnoteChar">
    <w:name w:val="Footnote Char"/>
    <w:basedOn w:val="FootnoteTextChar"/>
    <w:link w:val="Footnote"/>
    <w:rsid w:val="0048652F"/>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unhideWhenUsed/>
    <w:qFormat/>
    <w:rsid w:val="00DE04CB"/>
    <w:pPr>
      <w:spacing w:line="360" w:lineRule="auto"/>
    </w:pPr>
    <w:rPr>
      <w:rFonts w:ascii="Arial" w:hAnsi="Arial" w:cs="Arial"/>
      <w:sz w:val="17"/>
      <w:szCs w:val="17"/>
    </w:rPr>
  </w:style>
  <w:style w:type="character" w:customStyle="1" w:styleId="EndnoteTextChar">
    <w:name w:val="Endnote Text Char"/>
    <w:basedOn w:val="DefaultParagraphFont"/>
    <w:link w:val="EndnoteText"/>
    <w:uiPriority w:val="99"/>
    <w:rsid w:val="00DE04CB"/>
    <w:rPr>
      <w:rFonts w:ascii="Arial" w:eastAsia="Times New Roman" w:hAnsi="Arial" w:cs="Arial"/>
      <w:sz w:val="17"/>
      <w:szCs w:val="17"/>
      <w:lang w:val="en-GB"/>
    </w:rPr>
  </w:style>
  <w:style w:type="character" w:styleId="EndnoteReference">
    <w:name w:val="endnote reference"/>
    <w:basedOn w:val="DefaultParagraphFont"/>
    <w:uiPriority w:val="99"/>
    <w:unhideWhenUsed/>
    <w:qFormat/>
    <w:rsid w:val="00187DCD"/>
    <w:rPr>
      <w:b/>
      <w:color w:val="FF0000"/>
      <w:vertAlign w:val="superscript"/>
    </w:rPr>
  </w:style>
  <w:style w:type="paragraph" w:customStyle="1" w:styleId="Default">
    <w:name w:val="Default"/>
    <w:rsid w:val="00D7651B"/>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6060">
      <w:bodyDiv w:val="1"/>
      <w:marLeft w:val="0"/>
      <w:marRight w:val="0"/>
      <w:marTop w:val="0"/>
      <w:marBottom w:val="0"/>
      <w:divBdr>
        <w:top w:val="none" w:sz="0" w:space="0" w:color="auto"/>
        <w:left w:val="none" w:sz="0" w:space="0" w:color="auto"/>
        <w:bottom w:val="none" w:sz="0" w:space="0" w:color="auto"/>
        <w:right w:val="none" w:sz="0" w:space="0" w:color="auto"/>
      </w:divBdr>
    </w:div>
    <w:div w:id="383602628">
      <w:bodyDiv w:val="1"/>
      <w:marLeft w:val="0"/>
      <w:marRight w:val="0"/>
      <w:marTop w:val="0"/>
      <w:marBottom w:val="0"/>
      <w:divBdr>
        <w:top w:val="none" w:sz="0" w:space="0" w:color="auto"/>
        <w:left w:val="none" w:sz="0" w:space="0" w:color="auto"/>
        <w:bottom w:val="none" w:sz="0" w:space="0" w:color="auto"/>
        <w:right w:val="none" w:sz="0" w:space="0" w:color="auto"/>
      </w:divBdr>
      <w:divsChild>
        <w:div w:id="398785">
          <w:marLeft w:val="0"/>
          <w:marRight w:val="0"/>
          <w:marTop w:val="0"/>
          <w:marBottom w:val="0"/>
          <w:divBdr>
            <w:top w:val="none" w:sz="0" w:space="0" w:color="auto"/>
            <w:left w:val="none" w:sz="0" w:space="0" w:color="auto"/>
            <w:bottom w:val="none" w:sz="0" w:space="0" w:color="auto"/>
            <w:right w:val="none" w:sz="0" w:space="0" w:color="auto"/>
          </w:divBdr>
          <w:divsChild>
            <w:div w:id="226381726">
              <w:marLeft w:val="0"/>
              <w:marRight w:val="0"/>
              <w:marTop w:val="0"/>
              <w:marBottom w:val="0"/>
              <w:divBdr>
                <w:top w:val="none" w:sz="0" w:space="0" w:color="auto"/>
                <w:left w:val="none" w:sz="0" w:space="0" w:color="auto"/>
                <w:bottom w:val="none" w:sz="0" w:space="0" w:color="auto"/>
                <w:right w:val="none" w:sz="0" w:space="0" w:color="auto"/>
              </w:divBdr>
              <w:divsChild>
                <w:div w:id="5003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02632">
      <w:bodyDiv w:val="1"/>
      <w:marLeft w:val="0"/>
      <w:marRight w:val="0"/>
      <w:marTop w:val="0"/>
      <w:marBottom w:val="0"/>
      <w:divBdr>
        <w:top w:val="none" w:sz="0" w:space="0" w:color="auto"/>
        <w:left w:val="none" w:sz="0" w:space="0" w:color="auto"/>
        <w:bottom w:val="none" w:sz="0" w:space="0" w:color="auto"/>
        <w:right w:val="none" w:sz="0" w:space="0" w:color="auto"/>
      </w:divBdr>
    </w:div>
    <w:div w:id="795216614">
      <w:bodyDiv w:val="1"/>
      <w:marLeft w:val="0"/>
      <w:marRight w:val="0"/>
      <w:marTop w:val="0"/>
      <w:marBottom w:val="0"/>
      <w:divBdr>
        <w:top w:val="none" w:sz="0" w:space="0" w:color="auto"/>
        <w:left w:val="none" w:sz="0" w:space="0" w:color="auto"/>
        <w:bottom w:val="none" w:sz="0" w:space="0" w:color="auto"/>
        <w:right w:val="none" w:sz="0" w:space="0" w:color="auto"/>
      </w:divBdr>
    </w:div>
    <w:div w:id="935485032">
      <w:bodyDiv w:val="1"/>
      <w:marLeft w:val="0"/>
      <w:marRight w:val="0"/>
      <w:marTop w:val="0"/>
      <w:marBottom w:val="0"/>
      <w:divBdr>
        <w:top w:val="none" w:sz="0" w:space="0" w:color="auto"/>
        <w:left w:val="none" w:sz="0" w:space="0" w:color="auto"/>
        <w:bottom w:val="none" w:sz="0" w:space="0" w:color="auto"/>
        <w:right w:val="none" w:sz="0" w:space="0" w:color="auto"/>
      </w:divBdr>
    </w:div>
    <w:div w:id="1052315456">
      <w:bodyDiv w:val="1"/>
      <w:marLeft w:val="0"/>
      <w:marRight w:val="0"/>
      <w:marTop w:val="0"/>
      <w:marBottom w:val="0"/>
      <w:divBdr>
        <w:top w:val="none" w:sz="0" w:space="0" w:color="auto"/>
        <w:left w:val="none" w:sz="0" w:space="0" w:color="auto"/>
        <w:bottom w:val="none" w:sz="0" w:space="0" w:color="auto"/>
        <w:right w:val="none" w:sz="0" w:space="0" w:color="auto"/>
      </w:divBdr>
    </w:div>
    <w:div w:id="1123572767">
      <w:bodyDiv w:val="1"/>
      <w:marLeft w:val="0"/>
      <w:marRight w:val="0"/>
      <w:marTop w:val="0"/>
      <w:marBottom w:val="0"/>
      <w:divBdr>
        <w:top w:val="none" w:sz="0" w:space="0" w:color="auto"/>
        <w:left w:val="none" w:sz="0" w:space="0" w:color="auto"/>
        <w:bottom w:val="none" w:sz="0" w:space="0" w:color="auto"/>
        <w:right w:val="none" w:sz="0" w:space="0" w:color="auto"/>
      </w:divBdr>
      <w:divsChild>
        <w:div w:id="2141023144">
          <w:marLeft w:val="0"/>
          <w:marRight w:val="0"/>
          <w:marTop w:val="0"/>
          <w:marBottom w:val="0"/>
          <w:divBdr>
            <w:top w:val="none" w:sz="0" w:space="0" w:color="auto"/>
            <w:left w:val="none" w:sz="0" w:space="0" w:color="auto"/>
            <w:bottom w:val="none" w:sz="0" w:space="0" w:color="auto"/>
            <w:right w:val="none" w:sz="0" w:space="0" w:color="auto"/>
          </w:divBdr>
          <w:divsChild>
            <w:div w:id="1101947624">
              <w:marLeft w:val="0"/>
              <w:marRight w:val="0"/>
              <w:marTop w:val="0"/>
              <w:marBottom w:val="0"/>
              <w:divBdr>
                <w:top w:val="none" w:sz="0" w:space="0" w:color="auto"/>
                <w:left w:val="none" w:sz="0" w:space="0" w:color="auto"/>
                <w:bottom w:val="none" w:sz="0" w:space="0" w:color="auto"/>
                <w:right w:val="none" w:sz="0" w:space="0" w:color="auto"/>
              </w:divBdr>
              <w:divsChild>
                <w:div w:id="346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70537">
      <w:bodyDiv w:val="1"/>
      <w:marLeft w:val="0"/>
      <w:marRight w:val="0"/>
      <w:marTop w:val="0"/>
      <w:marBottom w:val="0"/>
      <w:divBdr>
        <w:top w:val="none" w:sz="0" w:space="0" w:color="auto"/>
        <w:left w:val="none" w:sz="0" w:space="0" w:color="auto"/>
        <w:bottom w:val="none" w:sz="0" w:space="0" w:color="auto"/>
        <w:right w:val="none" w:sz="0" w:space="0" w:color="auto"/>
      </w:divBdr>
    </w:div>
    <w:div w:id="1267807016">
      <w:bodyDiv w:val="1"/>
      <w:marLeft w:val="0"/>
      <w:marRight w:val="0"/>
      <w:marTop w:val="0"/>
      <w:marBottom w:val="0"/>
      <w:divBdr>
        <w:top w:val="none" w:sz="0" w:space="0" w:color="auto"/>
        <w:left w:val="none" w:sz="0" w:space="0" w:color="auto"/>
        <w:bottom w:val="none" w:sz="0" w:space="0" w:color="auto"/>
        <w:right w:val="none" w:sz="0" w:space="0" w:color="auto"/>
      </w:divBdr>
      <w:divsChild>
        <w:div w:id="611131216">
          <w:marLeft w:val="0"/>
          <w:marRight w:val="0"/>
          <w:marTop w:val="0"/>
          <w:marBottom w:val="0"/>
          <w:divBdr>
            <w:top w:val="none" w:sz="0" w:space="0" w:color="auto"/>
            <w:left w:val="none" w:sz="0" w:space="0" w:color="auto"/>
            <w:bottom w:val="none" w:sz="0" w:space="0" w:color="auto"/>
            <w:right w:val="none" w:sz="0" w:space="0" w:color="auto"/>
          </w:divBdr>
          <w:divsChild>
            <w:div w:id="1045325472">
              <w:marLeft w:val="0"/>
              <w:marRight w:val="0"/>
              <w:marTop w:val="0"/>
              <w:marBottom w:val="0"/>
              <w:divBdr>
                <w:top w:val="none" w:sz="0" w:space="0" w:color="auto"/>
                <w:left w:val="none" w:sz="0" w:space="0" w:color="auto"/>
                <w:bottom w:val="none" w:sz="0" w:space="0" w:color="auto"/>
                <w:right w:val="none" w:sz="0" w:space="0" w:color="auto"/>
              </w:divBdr>
              <w:divsChild>
                <w:div w:id="19065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7494">
      <w:bodyDiv w:val="1"/>
      <w:marLeft w:val="0"/>
      <w:marRight w:val="0"/>
      <w:marTop w:val="0"/>
      <w:marBottom w:val="0"/>
      <w:divBdr>
        <w:top w:val="none" w:sz="0" w:space="0" w:color="auto"/>
        <w:left w:val="none" w:sz="0" w:space="0" w:color="auto"/>
        <w:bottom w:val="none" w:sz="0" w:space="0" w:color="auto"/>
        <w:right w:val="none" w:sz="0" w:space="0" w:color="auto"/>
      </w:divBdr>
    </w:div>
    <w:div w:id="1861432355">
      <w:bodyDiv w:val="1"/>
      <w:marLeft w:val="0"/>
      <w:marRight w:val="0"/>
      <w:marTop w:val="0"/>
      <w:marBottom w:val="0"/>
      <w:divBdr>
        <w:top w:val="none" w:sz="0" w:space="0" w:color="auto"/>
        <w:left w:val="none" w:sz="0" w:space="0" w:color="auto"/>
        <w:bottom w:val="none" w:sz="0" w:space="0" w:color="auto"/>
        <w:right w:val="none" w:sz="0" w:space="0" w:color="auto"/>
      </w:divBdr>
    </w:div>
    <w:div w:id="1873808247">
      <w:bodyDiv w:val="1"/>
      <w:marLeft w:val="0"/>
      <w:marRight w:val="0"/>
      <w:marTop w:val="0"/>
      <w:marBottom w:val="0"/>
      <w:divBdr>
        <w:top w:val="none" w:sz="0" w:space="0" w:color="auto"/>
        <w:left w:val="none" w:sz="0" w:space="0" w:color="auto"/>
        <w:bottom w:val="none" w:sz="0" w:space="0" w:color="auto"/>
        <w:right w:val="none" w:sz="0" w:space="0" w:color="auto"/>
      </w:divBdr>
    </w:div>
    <w:div w:id="1958684096">
      <w:bodyDiv w:val="1"/>
      <w:marLeft w:val="0"/>
      <w:marRight w:val="0"/>
      <w:marTop w:val="0"/>
      <w:marBottom w:val="0"/>
      <w:divBdr>
        <w:top w:val="none" w:sz="0" w:space="0" w:color="auto"/>
        <w:left w:val="none" w:sz="0" w:space="0" w:color="auto"/>
        <w:bottom w:val="none" w:sz="0" w:space="0" w:color="auto"/>
        <w:right w:val="none" w:sz="0" w:space="0" w:color="auto"/>
      </w:divBdr>
    </w:div>
    <w:div w:id="1972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580910">
          <w:marLeft w:val="0"/>
          <w:marRight w:val="0"/>
          <w:marTop w:val="0"/>
          <w:marBottom w:val="0"/>
          <w:divBdr>
            <w:top w:val="none" w:sz="0" w:space="0" w:color="auto"/>
            <w:left w:val="none" w:sz="0" w:space="0" w:color="auto"/>
            <w:bottom w:val="none" w:sz="0" w:space="0" w:color="auto"/>
            <w:right w:val="none" w:sz="0" w:space="0" w:color="auto"/>
          </w:divBdr>
          <w:divsChild>
            <w:div w:id="2056420878">
              <w:marLeft w:val="0"/>
              <w:marRight w:val="0"/>
              <w:marTop w:val="0"/>
              <w:marBottom w:val="0"/>
              <w:divBdr>
                <w:top w:val="none" w:sz="0" w:space="0" w:color="auto"/>
                <w:left w:val="none" w:sz="0" w:space="0" w:color="auto"/>
                <w:bottom w:val="none" w:sz="0" w:space="0" w:color="auto"/>
                <w:right w:val="none" w:sz="0" w:space="0" w:color="auto"/>
              </w:divBdr>
              <w:divsChild>
                <w:div w:id="3605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8390">
      <w:bodyDiv w:val="1"/>
      <w:marLeft w:val="0"/>
      <w:marRight w:val="0"/>
      <w:marTop w:val="0"/>
      <w:marBottom w:val="0"/>
      <w:divBdr>
        <w:top w:val="none" w:sz="0" w:space="0" w:color="auto"/>
        <w:left w:val="none" w:sz="0" w:space="0" w:color="auto"/>
        <w:bottom w:val="none" w:sz="0" w:space="0" w:color="auto"/>
        <w:right w:val="none" w:sz="0" w:space="0" w:color="auto"/>
      </w:divBdr>
      <w:divsChild>
        <w:div w:id="249240477">
          <w:marLeft w:val="0"/>
          <w:marRight w:val="0"/>
          <w:marTop w:val="0"/>
          <w:marBottom w:val="0"/>
          <w:divBdr>
            <w:top w:val="none" w:sz="0" w:space="0" w:color="auto"/>
            <w:left w:val="none" w:sz="0" w:space="0" w:color="auto"/>
            <w:bottom w:val="none" w:sz="0" w:space="0" w:color="auto"/>
            <w:right w:val="none" w:sz="0" w:space="0" w:color="auto"/>
          </w:divBdr>
          <w:divsChild>
            <w:div w:id="1596785127">
              <w:marLeft w:val="0"/>
              <w:marRight w:val="0"/>
              <w:marTop w:val="0"/>
              <w:marBottom w:val="0"/>
              <w:divBdr>
                <w:top w:val="none" w:sz="0" w:space="0" w:color="auto"/>
                <w:left w:val="none" w:sz="0" w:space="0" w:color="auto"/>
                <w:bottom w:val="none" w:sz="0" w:space="0" w:color="auto"/>
                <w:right w:val="none" w:sz="0" w:space="0" w:color="auto"/>
              </w:divBdr>
              <w:divsChild>
                <w:div w:id="5693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tulsi\Documents\Documents\SPJIMR%20MICRO\Teaching%20panel%20presentation\Greec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'[Greece data.xlsx]Sheet6'!$B$1</c:f>
              <c:strCache>
                <c:ptCount val="1"/>
                <c:pt idx="0">
                  <c:v>German 10 year bund yields</c:v>
                </c:pt>
              </c:strCache>
            </c:strRef>
          </c:tx>
          <c:spPr>
            <a:ln>
              <a:solidFill>
                <a:schemeClr val="tx1"/>
              </a:solidFill>
            </a:ln>
          </c:spPr>
          <c:marker>
            <c:symbol val="none"/>
          </c:marker>
          <c:xVal>
            <c:numRef>
              <c:f>'[Greece data.xlsx]Sheet6'!$A$2:$A$26</c:f>
              <c:numCache>
                <c:formatCode>General</c:formatCod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numCache>
            </c:numRef>
          </c:xVal>
          <c:yVal>
            <c:numRef>
              <c:f>'[Greece data.xlsx]Sheet6'!$B$2:$B$26</c:f>
              <c:numCache>
                <c:formatCode>General</c:formatCode>
                <c:ptCount val="25"/>
                <c:pt idx="0">
                  <c:v>6.51</c:v>
                </c:pt>
                <c:pt idx="1">
                  <c:v>6.87</c:v>
                </c:pt>
                <c:pt idx="2">
                  <c:v>6.85</c:v>
                </c:pt>
                <c:pt idx="3">
                  <c:v>6.21</c:v>
                </c:pt>
                <c:pt idx="4">
                  <c:v>5.64</c:v>
                </c:pt>
                <c:pt idx="5">
                  <c:v>4.57</c:v>
                </c:pt>
                <c:pt idx="6">
                  <c:v>4.49</c:v>
                </c:pt>
                <c:pt idx="7">
                  <c:v>5.26</c:v>
                </c:pt>
                <c:pt idx="8">
                  <c:v>4.8</c:v>
                </c:pt>
                <c:pt idx="9">
                  <c:v>4.78</c:v>
                </c:pt>
                <c:pt idx="10">
                  <c:v>4.07</c:v>
                </c:pt>
                <c:pt idx="11">
                  <c:v>4.03</c:v>
                </c:pt>
                <c:pt idx="12">
                  <c:v>3.35</c:v>
                </c:pt>
                <c:pt idx="13">
                  <c:v>3.76</c:v>
                </c:pt>
                <c:pt idx="14">
                  <c:v>4.22</c:v>
                </c:pt>
                <c:pt idx="15">
                  <c:v>3.98</c:v>
                </c:pt>
                <c:pt idx="16">
                  <c:v>3.22</c:v>
                </c:pt>
                <c:pt idx="17">
                  <c:v>2.74</c:v>
                </c:pt>
                <c:pt idx="18">
                  <c:v>2.61</c:v>
                </c:pt>
                <c:pt idx="19">
                  <c:v>1.5</c:v>
                </c:pt>
                <c:pt idx="20">
                  <c:v>1.57</c:v>
                </c:pt>
                <c:pt idx="21">
                  <c:v>1.1599999999999999</c:v>
                </c:pt>
                <c:pt idx="22">
                  <c:v>0.5</c:v>
                </c:pt>
                <c:pt idx="23">
                  <c:v>0.09</c:v>
                </c:pt>
                <c:pt idx="24">
                  <c:v>0.28999999999999998</c:v>
                </c:pt>
              </c:numCache>
            </c:numRef>
          </c:yVal>
          <c:smooth val="1"/>
        </c:ser>
        <c:ser>
          <c:idx val="1"/>
          <c:order val="1"/>
          <c:tx>
            <c:strRef>
              <c:f>'[Greece data.xlsx]Sheet6'!$C$1</c:f>
              <c:strCache>
                <c:ptCount val="1"/>
                <c:pt idx="0">
                  <c:v>Greek 10-year sovereign  bond yields</c:v>
                </c:pt>
              </c:strCache>
            </c:strRef>
          </c:tx>
          <c:spPr>
            <a:ln w="12700">
              <a:solidFill>
                <a:schemeClr val="tx1"/>
              </a:solidFill>
              <a:prstDash val="lgDash"/>
            </a:ln>
          </c:spPr>
          <c:marker>
            <c:symbol val="none"/>
          </c:marker>
          <c:xVal>
            <c:numRef>
              <c:f>'[Greece data.xlsx]Sheet6'!$A$2:$A$26</c:f>
              <c:numCache>
                <c:formatCode>General</c:formatCod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numCache>
            </c:numRef>
          </c:xVal>
          <c:yVal>
            <c:numRef>
              <c:f>'[Greece data.xlsx]Sheet6'!$C$2:$C$26</c:f>
              <c:numCache>
                <c:formatCode>General</c:formatCode>
                <c:ptCount val="25"/>
                <c:pt idx="0">
                  <c:v>23.28</c:v>
                </c:pt>
                <c:pt idx="1">
                  <c:v>20.7</c:v>
                </c:pt>
                <c:pt idx="2">
                  <c:v>16.96</c:v>
                </c:pt>
                <c:pt idx="3">
                  <c:v>14.5</c:v>
                </c:pt>
                <c:pt idx="4">
                  <c:v>9.92</c:v>
                </c:pt>
                <c:pt idx="5">
                  <c:v>8.48</c:v>
                </c:pt>
                <c:pt idx="6">
                  <c:v>6.3</c:v>
                </c:pt>
                <c:pt idx="7">
                  <c:v>6.1</c:v>
                </c:pt>
                <c:pt idx="8">
                  <c:v>5.3</c:v>
                </c:pt>
                <c:pt idx="9">
                  <c:v>5.1199999999999974</c:v>
                </c:pt>
                <c:pt idx="10">
                  <c:v>4.2699999999999996</c:v>
                </c:pt>
                <c:pt idx="11">
                  <c:v>4.25</c:v>
                </c:pt>
                <c:pt idx="12">
                  <c:v>3.58</c:v>
                </c:pt>
                <c:pt idx="13">
                  <c:v>4.07</c:v>
                </c:pt>
                <c:pt idx="14">
                  <c:v>4.5</c:v>
                </c:pt>
                <c:pt idx="15">
                  <c:v>4.8</c:v>
                </c:pt>
                <c:pt idx="16">
                  <c:v>5.17</c:v>
                </c:pt>
                <c:pt idx="17">
                  <c:v>9.09</c:v>
                </c:pt>
                <c:pt idx="18">
                  <c:v>15.75</c:v>
                </c:pt>
                <c:pt idx="19">
                  <c:v>22.5</c:v>
                </c:pt>
                <c:pt idx="20">
                  <c:v>10.050000000000001</c:v>
                </c:pt>
                <c:pt idx="21">
                  <c:v>6.93</c:v>
                </c:pt>
                <c:pt idx="22">
                  <c:v>9.67</c:v>
                </c:pt>
                <c:pt idx="23">
                  <c:v>8.36</c:v>
                </c:pt>
                <c:pt idx="24">
                  <c:v>7.24</c:v>
                </c:pt>
              </c:numCache>
            </c:numRef>
          </c:yVal>
          <c:smooth val="1"/>
        </c:ser>
        <c:dLbls>
          <c:showLegendKey val="0"/>
          <c:showVal val="0"/>
          <c:showCatName val="0"/>
          <c:showSerName val="0"/>
          <c:showPercent val="0"/>
          <c:showBubbleSize val="0"/>
        </c:dLbls>
        <c:axId val="154342088"/>
        <c:axId val="154342480"/>
      </c:scatterChart>
      <c:valAx>
        <c:axId val="154342088"/>
        <c:scaling>
          <c:orientation val="minMax"/>
        </c:scaling>
        <c:delete val="0"/>
        <c:axPos val="b"/>
        <c:numFmt formatCode="General" sourceLinked="1"/>
        <c:majorTickMark val="out"/>
        <c:minorTickMark val="none"/>
        <c:tickLblPos val="nextTo"/>
        <c:crossAx val="154342480"/>
        <c:crosses val="autoZero"/>
        <c:crossBetween val="midCat"/>
      </c:valAx>
      <c:valAx>
        <c:axId val="154342480"/>
        <c:scaling>
          <c:orientation val="minMax"/>
        </c:scaling>
        <c:delete val="0"/>
        <c:axPos val="l"/>
        <c:majorGridlines/>
        <c:title>
          <c:tx>
            <c:rich>
              <a:bodyPr/>
              <a:lstStyle/>
              <a:p>
                <a:pPr>
                  <a:defRPr/>
                </a:pPr>
                <a:r>
                  <a:rPr lang="en-US"/>
                  <a:t>Yields</a:t>
                </a:r>
              </a:p>
            </c:rich>
          </c:tx>
          <c:layout/>
          <c:overlay val="0"/>
        </c:title>
        <c:numFmt formatCode="General" sourceLinked="1"/>
        <c:majorTickMark val="out"/>
        <c:minorTickMark val="none"/>
        <c:tickLblPos val="nextTo"/>
        <c:crossAx val="154342088"/>
        <c:crosses val="autoZero"/>
        <c:crossBetween val="midCat"/>
      </c:valAx>
      <c:spPr>
        <a:solidFill>
          <a:schemeClr val="lt1"/>
        </a:solidFill>
        <a:ln w="25400" cap="flat" cmpd="sng" algn="ctr">
          <a:solidFill>
            <a:schemeClr val="dk1"/>
          </a:solidFill>
          <a:prstDash val="solid"/>
        </a:ln>
        <a:effectLst/>
      </c:spPr>
    </c:plotArea>
    <c:legend>
      <c:legendPos val="r"/>
      <c:layout>
        <c:manualLayout>
          <c:xMode val="edge"/>
          <c:yMode val="edge"/>
          <c:x val="0.64286445072032095"/>
          <c:y val="0.38657316735577257"/>
          <c:w val="0.33507131785040722"/>
          <c:h val="0.2268533692171727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632D5-16A2-40A4-970A-7DA8EBC6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6525</Words>
  <Characters>37197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2</cp:revision>
  <cp:lastPrinted>2011-06-23T13:34:00Z</cp:lastPrinted>
  <dcterms:created xsi:type="dcterms:W3CDTF">2017-09-14T18:47:00Z</dcterms:created>
  <dcterms:modified xsi:type="dcterms:W3CDTF">2017-09-14T18:47:00Z</dcterms:modified>
</cp:coreProperties>
</file>