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872839" w:rsidRPr="00872839" w14:paraId="5E482A82" w14:textId="77777777" w:rsidTr="000A0029">
        <w:tc>
          <w:tcPr>
            <w:tcW w:w="4788" w:type="dxa"/>
          </w:tcPr>
          <w:p w14:paraId="4A30F073" w14:textId="77777777" w:rsidR="00872839" w:rsidRPr="00872839" w:rsidRDefault="00872839" w:rsidP="000A0029">
            <w:pPr>
              <w:tabs>
                <w:tab w:val="left" w:pos="-1440"/>
                <w:tab w:val="left" w:pos="-720"/>
                <w:tab w:val="left" w:pos="1"/>
              </w:tabs>
              <w:jc w:val="both"/>
              <w:rPr>
                <w:rFonts w:ascii="Arial" w:hAnsi="Arial"/>
                <w:b/>
                <w:sz w:val="24"/>
              </w:rPr>
            </w:pPr>
            <w:r w:rsidRPr="00872839">
              <w:rPr>
                <w:rFonts w:ascii="Arial" w:hAnsi="Arial"/>
                <w:b/>
                <w:noProof/>
                <w:sz w:val="24"/>
                <w:lang w:val="en-GB" w:eastAsia="en-GB"/>
              </w:rPr>
              <w:drawing>
                <wp:inline distT="0" distB="0" distL="0" distR="0" wp14:anchorId="1193A53B" wp14:editId="68368067">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528548D6" w14:textId="77777777" w:rsidR="00872839" w:rsidRPr="00872839" w:rsidRDefault="00872839" w:rsidP="000A0029">
            <w:pPr>
              <w:tabs>
                <w:tab w:val="left" w:pos="-1440"/>
                <w:tab w:val="left" w:pos="-720"/>
                <w:tab w:val="left" w:pos="1"/>
              </w:tabs>
              <w:jc w:val="both"/>
              <w:rPr>
                <w:rFonts w:ascii="Arial" w:hAnsi="Arial"/>
                <w:b/>
                <w:sz w:val="24"/>
              </w:rPr>
            </w:pPr>
            <w:r w:rsidRPr="00872839">
              <w:rPr>
                <w:rFonts w:ascii="Arial" w:hAnsi="Arial"/>
                <w:b/>
                <w:noProof/>
                <w:sz w:val="24"/>
                <w:lang w:val="en-GB" w:eastAsia="en-GB"/>
              </w:rPr>
              <w:drawing>
                <wp:anchor distT="0" distB="0" distL="114300" distR="114300" simplePos="0" relativeHeight="251659264" behindDoc="1" locked="0" layoutInCell="1" allowOverlap="1" wp14:anchorId="0DE8E38F" wp14:editId="3A6EAD41">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7" name="Picture 7"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61C5DA" w14:textId="77777777" w:rsidR="00F13220" w:rsidRPr="00872839" w:rsidRDefault="00F13220" w:rsidP="008467D5">
      <w:pPr>
        <w:pBdr>
          <w:bottom w:val="single" w:sz="18" w:space="1" w:color="auto"/>
        </w:pBdr>
        <w:tabs>
          <w:tab w:val="left" w:pos="-1440"/>
          <w:tab w:val="left" w:pos="-720"/>
          <w:tab w:val="left" w:pos="1"/>
        </w:tabs>
        <w:jc w:val="both"/>
        <w:rPr>
          <w:rFonts w:ascii="Arial" w:hAnsi="Arial"/>
          <w:b/>
          <w:sz w:val="24"/>
          <w:lang w:val="en-GB"/>
        </w:rPr>
      </w:pPr>
    </w:p>
    <w:p w14:paraId="51F012BD" w14:textId="773A84C5" w:rsidR="00D75295" w:rsidRPr="00872839" w:rsidRDefault="00872839" w:rsidP="007449DD">
      <w:pPr>
        <w:pStyle w:val="ProductNumber"/>
        <w:outlineLvl w:val="0"/>
        <w:rPr>
          <w:lang w:val="en-GB"/>
        </w:rPr>
      </w:pPr>
      <w:r w:rsidRPr="00872839">
        <w:rPr>
          <w:lang w:val="en-GB"/>
        </w:rPr>
        <w:t>9B17M</w:t>
      </w:r>
      <w:r w:rsidR="00AF3E41">
        <w:rPr>
          <w:lang w:val="en-GB"/>
        </w:rPr>
        <w:t>144</w:t>
      </w:r>
    </w:p>
    <w:p w14:paraId="3E8A9EBF" w14:textId="77777777" w:rsidR="00872839" w:rsidRPr="00872839" w:rsidRDefault="00872839" w:rsidP="00872839">
      <w:pPr>
        <w:pStyle w:val="BodyTextMain"/>
      </w:pPr>
    </w:p>
    <w:p w14:paraId="0A3EB728" w14:textId="77777777" w:rsidR="00872839" w:rsidRPr="00872839" w:rsidRDefault="00872839" w:rsidP="00872839">
      <w:pPr>
        <w:pStyle w:val="BodyTextMain"/>
      </w:pPr>
    </w:p>
    <w:p w14:paraId="182EFDD1" w14:textId="37A1B60F" w:rsidR="00CA3976" w:rsidRPr="00872839" w:rsidRDefault="000B6210" w:rsidP="00872839">
      <w:pPr>
        <w:pStyle w:val="CaseTitle"/>
      </w:pPr>
      <w:r>
        <w:t xml:space="preserve">The </w:t>
      </w:r>
      <w:bookmarkStart w:id="0" w:name="_GoBack"/>
      <w:bookmarkEnd w:id="0"/>
      <w:r w:rsidR="00811D6B" w:rsidRPr="00872839">
        <w:t>AIRBNB business travel vertical in asia: the way forward</w:t>
      </w:r>
    </w:p>
    <w:p w14:paraId="73B974C2" w14:textId="3A6E4DCD" w:rsidR="00627C63" w:rsidRPr="00872839" w:rsidRDefault="00811D6B" w:rsidP="00627C63">
      <w:pPr>
        <w:pStyle w:val="StyleCopyrightStatementAfter0ptBottomSinglesolidline1"/>
        <w:rPr>
          <w:szCs w:val="16"/>
          <w:lang w:val="en-GB"/>
        </w:rPr>
      </w:pPr>
      <w:r w:rsidRPr="00872839">
        <w:rPr>
          <w:rFonts w:cs="Arial"/>
          <w:szCs w:val="16"/>
          <w:lang w:val="en-GB"/>
        </w:rPr>
        <w:t>Profes</w:t>
      </w:r>
      <w:r w:rsidR="00404FE7" w:rsidRPr="00872839">
        <w:rPr>
          <w:rFonts w:cs="Arial"/>
          <w:szCs w:val="16"/>
          <w:lang w:val="en-GB"/>
        </w:rPr>
        <w:t>s</w:t>
      </w:r>
      <w:r w:rsidRPr="00872839">
        <w:rPr>
          <w:rFonts w:cs="Arial"/>
          <w:szCs w:val="16"/>
          <w:lang w:val="en-GB"/>
        </w:rPr>
        <w:t>ors Nitin Pangarkar and Yu</w:t>
      </w:r>
      <w:r w:rsidR="009C675A">
        <w:rPr>
          <w:rFonts w:cs="Arial"/>
          <w:szCs w:val="16"/>
          <w:lang w:val="en-GB"/>
        </w:rPr>
        <w:t>a</w:t>
      </w:r>
      <w:r w:rsidRPr="00872839">
        <w:rPr>
          <w:rFonts w:cs="Arial"/>
          <w:szCs w:val="16"/>
          <w:lang w:val="en-GB"/>
        </w:rPr>
        <w:t>n Kay</w:t>
      </w:r>
      <w:r w:rsidR="009C675A">
        <w:rPr>
          <w:rFonts w:cs="Arial"/>
          <w:szCs w:val="16"/>
          <w:lang w:val="en-GB"/>
        </w:rPr>
        <w:t xml:space="preserve"> Chung</w:t>
      </w:r>
      <w:r w:rsidRPr="00872839">
        <w:rPr>
          <w:rFonts w:cs="Arial"/>
          <w:szCs w:val="16"/>
          <w:lang w:val="en-GB"/>
        </w:rPr>
        <w:t xml:space="preserve"> </w:t>
      </w:r>
      <w:r w:rsidR="004B632F" w:rsidRPr="00872839">
        <w:rPr>
          <w:szCs w:val="16"/>
          <w:lang w:val="en-GB"/>
        </w:rPr>
        <w:t xml:space="preserve">wrote this </w:t>
      </w:r>
      <w:r w:rsidR="00152682" w:rsidRPr="00872839">
        <w:rPr>
          <w:szCs w:val="16"/>
          <w:lang w:val="en-GB"/>
        </w:rPr>
        <w:t>case</w:t>
      </w:r>
      <w:r w:rsidR="004B632F" w:rsidRPr="00872839">
        <w:rPr>
          <w:szCs w:val="16"/>
          <w:lang w:val="en-GB"/>
        </w:rPr>
        <w:t xml:space="preserve"> </w:t>
      </w:r>
      <w:r w:rsidR="00152682" w:rsidRPr="00872839">
        <w:rPr>
          <w:szCs w:val="16"/>
          <w:lang w:val="en-GB"/>
        </w:rPr>
        <w:t>solely to provide material for class discussion. The</w:t>
      </w:r>
      <w:r w:rsidR="001C7777" w:rsidRPr="00872839">
        <w:rPr>
          <w:szCs w:val="16"/>
          <w:lang w:val="en-GB"/>
        </w:rPr>
        <w:t xml:space="preserve"> author</w:t>
      </w:r>
      <w:r w:rsidR="001A22D1" w:rsidRPr="00872839">
        <w:rPr>
          <w:szCs w:val="16"/>
          <w:lang w:val="en-GB"/>
        </w:rPr>
        <w:t>s</w:t>
      </w:r>
      <w:r w:rsidR="00152682" w:rsidRPr="00872839">
        <w:rPr>
          <w:szCs w:val="16"/>
          <w:lang w:val="en-GB"/>
        </w:rPr>
        <w:t xml:space="preserve"> do not intend to illustrate either effective or ineffective handling of a managerial situation. The author</w:t>
      </w:r>
      <w:r w:rsidR="001A22D1" w:rsidRPr="00872839">
        <w:rPr>
          <w:szCs w:val="16"/>
          <w:lang w:val="en-GB"/>
        </w:rPr>
        <w:t>s</w:t>
      </w:r>
      <w:r w:rsidR="00152682" w:rsidRPr="00872839">
        <w:rPr>
          <w:szCs w:val="16"/>
          <w:lang w:val="en-GB"/>
        </w:rPr>
        <w:t xml:space="preserve"> may have disguised certain names and other identifying information to protect confidentiality.</w:t>
      </w:r>
    </w:p>
    <w:p w14:paraId="2CC138C7" w14:textId="77777777" w:rsidR="00751E0B" w:rsidRPr="00872839" w:rsidRDefault="00751E0B" w:rsidP="00751E0B">
      <w:pPr>
        <w:pStyle w:val="StyleCopyrightStatementAfter0ptBottomSinglesolidline1"/>
        <w:rPr>
          <w:szCs w:val="16"/>
          <w:lang w:val="en-GB"/>
        </w:rPr>
      </w:pPr>
    </w:p>
    <w:p w14:paraId="6B2B4EB4" w14:textId="77777777" w:rsidR="00872839" w:rsidRPr="00872839" w:rsidRDefault="00872839" w:rsidP="000A0029">
      <w:pPr>
        <w:jc w:val="both"/>
        <w:rPr>
          <w:rFonts w:ascii="Arial" w:hAnsi="Arial" w:cs="Arial"/>
          <w:i/>
          <w:iCs/>
          <w:sz w:val="16"/>
          <w:szCs w:val="16"/>
          <w:lang w:val="en-CA"/>
        </w:rPr>
      </w:pPr>
      <w:r w:rsidRPr="00872839">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872839">
          <w:rPr>
            <w:rFonts w:ascii="Arial" w:hAnsi="Arial" w:cs="Arial"/>
            <w:i/>
            <w:iCs/>
            <w:sz w:val="16"/>
            <w:szCs w:val="16"/>
            <w:lang w:val="en-CA"/>
          </w:rPr>
          <w:t>cases@ivey.ca</w:t>
        </w:r>
      </w:hyperlink>
      <w:r w:rsidRPr="00872839">
        <w:rPr>
          <w:rFonts w:ascii="Arial" w:hAnsi="Arial" w:cs="Arial"/>
          <w:i/>
          <w:iCs/>
          <w:sz w:val="16"/>
          <w:szCs w:val="16"/>
          <w:lang w:val="en-CA"/>
        </w:rPr>
        <w:t xml:space="preserve">; </w:t>
      </w:r>
      <w:hyperlink r:id="rId11" w:history="1">
        <w:r w:rsidRPr="00872839">
          <w:rPr>
            <w:rFonts w:ascii="Arial" w:hAnsi="Arial" w:cs="Arial"/>
            <w:i/>
            <w:iCs/>
            <w:sz w:val="16"/>
            <w:szCs w:val="16"/>
            <w:lang w:val="en-CA"/>
          </w:rPr>
          <w:t>www.iveycases.com</w:t>
        </w:r>
      </w:hyperlink>
      <w:r w:rsidRPr="00872839">
        <w:rPr>
          <w:rFonts w:ascii="Arial" w:hAnsi="Arial" w:cs="Arial"/>
          <w:i/>
          <w:iCs/>
          <w:sz w:val="16"/>
          <w:szCs w:val="16"/>
          <w:lang w:val="en-CA"/>
        </w:rPr>
        <w:t>.</w:t>
      </w:r>
    </w:p>
    <w:p w14:paraId="77773152" w14:textId="77777777" w:rsidR="00872839" w:rsidRPr="00872839" w:rsidRDefault="00872839" w:rsidP="00872839">
      <w:pPr>
        <w:pStyle w:val="StyleCopyrightStatementAfter0ptBottomSinglesolidline1"/>
        <w:pBdr>
          <w:top w:val="none" w:sz="0" w:space="0" w:color="auto"/>
        </w:pBdr>
      </w:pPr>
    </w:p>
    <w:p w14:paraId="20B5D34A" w14:textId="50184F59" w:rsidR="00751E0B" w:rsidRPr="00872839" w:rsidRDefault="00872839" w:rsidP="00872839">
      <w:pPr>
        <w:pStyle w:val="StyleCopyrightStatementAfter0ptBottomSinglesolidline1"/>
        <w:pBdr>
          <w:top w:val="none" w:sz="0" w:space="0" w:color="auto"/>
        </w:pBdr>
        <w:rPr>
          <w:szCs w:val="16"/>
          <w:lang w:val="en-GB"/>
        </w:rPr>
      </w:pPr>
      <w:r w:rsidRPr="00872839">
        <w:t xml:space="preserve">Copyright © 2017, </w:t>
      </w:r>
      <w:r w:rsidR="00D30936">
        <w:t xml:space="preserve">National University of Singapore and </w:t>
      </w:r>
      <w:r w:rsidRPr="00872839">
        <w:t>Richard Ivey School of Business Foundation</w:t>
      </w:r>
      <w:r w:rsidR="00A569EA" w:rsidRPr="00872839">
        <w:rPr>
          <w:rFonts w:cs="Arial"/>
          <w:szCs w:val="16"/>
          <w:lang w:val="en-GB"/>
        </w:rPr>
        <w:tab/>
      </w:r>
      <w:r w:rsidR="00751E0B" w:rsidRPr="00872839">
        <w:rPr>
          <w:lang w:val="en-GB"/>
        </w:rPr>
        <w:t xml:space="preserve">Version: </w:t>
      </w:r>
      <w:r w:rsidR="00123BBF">
        <w:rPr>
          <w:lang w:val="en-GB"/>
        </w:rPr>
        <w:t>2018</w:t>
      </w:r>
      <w:r w:rsidR="00D30936">
        <w:rPr>
          <w:lang w:val="en-GB"/>
        </w:rPr>
        <w:t>-03-20</w:t>
      </w:r>
    </w:p>
    <w:p w14:paraId="7A7784D6" w14:textId="77777777" w:rsidR="00751E0B" w:rsidRPr="00872839" w:rsidRDefault="00751E0B" w:rsidP="00751E0B">
      <w:pPr>
        <w:pStyle w:val="StyleCopyrightStatementAfter0ptBottomSinglesolidline1"/>
        <w:rPr>
          <w:rFonts w:ascii="Times New Roman" w:hAnsi="Times New Roman"/>
          <w:sz w:val="20"/>
          <w:lang w:val="en-GB"/>
        </w:rPr>
      </w:pPr>
    </w:p>
    <w:p w14:paraId="669353D7" w14:textId="77777777" w:rsidR="00872839" w:rsidRPr="00872839" w:rsidRDefault="00872839" w:rsidP="00751E0B">
      <w:pPr>
        <w:pStyle w:val="StyleCopyrightStatementAfter0ptBottomSinglesolidline1"/>
        <w:rPr>
          <w:rFonts w:ascii="Times New Roman" w:hAnsi="Times New Roman"/>
          <w:sz w:val="20"/>
          <w:lang w:val="en-GB"/>
        </w:rPr>
      </w:pPr>
    </w:p>
    <w:p w14:paraId="290A3E27" w14:textId="6ED20C71" w:rsidR="005D15EC" w:rsidRPr="00872839" w:rsidRDefault="00E779B7" w:rsidP="00AC013A">
      <w:pPr>
        <w:pStyle w:val="BodyTextMain"/>
        <w:rPr>
          <w:lang w:val="en-GB"/>
        </w:rPr>
      </w:pPr>
      <w:r w:rsidRPr="00872839">
        <w:rPr>
          <w:lang w:val="en-GB"/>
        </w:rPr>
        <w:t xml:space="preserve">In March 2017, Airbnb </w:t>
      </w:r>
      <w:r w:rsidR="0094197E" w:rsidRPr="00872839">
        <w:rPr>
          <w:lang w:val="en-GB"/>
        </w:rPr>
        <w:t xml:space="preserve">needed </w:t>
      </w:r>
      <w:r w:rsidR="00CF40AB" w:rsidRPr="00872839">
        <w:rPr>
          <w:lang w:val="en-GB"/>
        </w:rPr>
        <w:t xml:space="preserve">to make some important decisions </w:t>
      </w:r>
      <w:r w:rsidR="0094197E" w:rsidRPr="00872839">
        <w:rPr>
          <w:lang w:val="en-GB"/>
        </w:rPr>
        <w:t xml:space="preserve">regarding its </w:t>
      </w:r>
      <w:r w:rsidRPr="00872839">
        <w:rPr>
          <w:lang w:val="en-GB"/>
        </w:rPr>
        <w:t xml:space="preserve">strategy for </w:t>
      </w:r>
      <w:r w:rsidR="0094197E" w:rsidRPr="00872839">
        <w:rPr>
          <w:lang w:val="en-GB"/>
        </w:rPr>
        <w:t xml:space="preserve">the </w:t>
      </w:r>
      <w:r w:rsidRPr="00872839">
        <w:rPr>
          <w:lang w:val="en-GB"/>
        </w:rPr>
        <w:t>Airbnb Business Travel Vertical</w:t>
      </w:r>
      <w:r w:rsidR="0094197E" w:rsidRPr="00872839">
        <w:rPr>
          <w:lang w:val="en-GB"/>
        </w:rPr>
        <w:t xml:space="preserve"> (ABTV</w:t>
      </w:r>
      <w:r w:rsidRPr="00872839">
        <w:rPr>
          <w:lang w:val="en-GB"/>
        </w:rPr>
        <w:t xml:space="preserve">) in Asia. Despite a short history of less than three years since </w:t>
      </w:r>
      <w:r w:rsidR="0094197E" w:rsidRPr="00872839">
        <w:rPr>
          <w:lang w:val="en-GB"/>
        </w:rPr>
        <w:t xml:space="preserve">the </w:t>
      </w:r>
      <w:r w:rsidRPr="00872839">
        <w:rPr>
          <w:lang w:val="en-GB"/>
        </w:rPr>
        <w:t xml:space="preserve">formal announcement of its launch, </w:t>
      </w:r>
      <w:r w:rsidR="006C798C" w:rsidRPr="00872839">
        <w:rPr>
          <w:lang w:val="en-GB"/>
        </w:rPr>
        <w:t xml:space="preserve">the </w:t>
      </w:r>
      <w:r w:rsidRPr="00872839">
        <w:rPr>
          <w:lang w:val="en-GB"/>
        </w:rPr>
        <w:t xml:space="preserve">ABTV had exhibited promising performance. </w:t>
      </w:r>
    </w:p>
    <w:p w14:paraId="443EE596" w14:textId="77777777" w:rsidR="00AC013A" w:rsidRPr="00872839" w:rsidRDefault="00AC013A" w:rsidP="00AC013A">
      <w:pPr>
        <w:pStyle w:val="BodyTextMain"/>
        <w:rPr>
          <w:color w:val="211F1F"/>
          <w:sz w:val="26"/>
          <w:szCs w:val="26"/>
          <w:lang w:val="en-GB"/>
        </w:rPr>
      </w:pPr>
    </w:p>
    <w:p w14:paraId="3D337E97" w14:textId="4D07B304" w:rsidR="000C1EF0" w:rsidRPr="00872839" w:rsidRDefault="0094197E" w:rsidP="006C798C">
      <w:pPr>
        <w:pStyle w:val="BodyTextMain"/>
        <w:rPr>
          <w:sz w:val="26"/>
          <w:szCs w:val="26"/>
          <w:lang w:val="en-GB"/>
        </w:rPr>
      </w:pPr>
      <w:r w:rsidRPr="00872839">
        <w:rPr>
          <w:lang w:val="en-GB"/>
        </w:rPr>
        <w:t>The business travel market offered</w:t>
      </w:r>
      <w:r w:rsidR="005D15EC" w:rsidRPr="00872839">
        <w:rPr>
          <w:lang w:val="en-GB"/>
        </w:rPr>
        <w:t xml:space="preserve"> many attractive characteristics</w:t>
      </w:r>
      <w:r w:rsidRPr="00872839">
        <w:rPr>
          <w:lang w:val="en-GB"/>
        </w:rPr>
        <w:t>,</w:t>
      </w:r>
      <w:r w:rsidR="00CF40AB" w:rsidRPr="00872839">
        <w:rPr>
          <w:lang w:val="en-GB"/>
        </w:rPr>
        <w:t xml:space="preserve"> including its large size (expected </w:t>
      </w:r>
      <w:r w:rsidR="006C798C" w:rsidRPr="00872839">
        <w:rPr>
          <w:lang w:val="en-GB"/>
        </w:rPr>
        <w:t>at</w:t>
      </w:r>
      <w:r w:rsidR="00CF40AB" w:rsidRPr="00872839">
        <w:rPr>
          <w:lang w:val="en-GB"/>
        </w:rPr>
        <w:t xml:space="preserve"> US$1.6 trillion</w:t>
      </w:r>
      <w:r w:rsidR="000C1EF0" w:rsidRPr="00872839">
        <w:rPr>
          <w:rStyle w:val="EndnoteReference"/>
          <w:lang w:val="en-GB"/>
        </w:rPr>
        <w:endnoteReference w:id="1"/>
      </w:r>
      <w:r w:rsidR="000C1EF0" w:rsidRPr="00872839">
        <w:rPr>
          <w:lang w:val="en-GB"/>
        </w:rPr>
        <w:t xml:space="preserve"> by 2020),</w:t>
      </w:r>
      <w:r w:rsidR="000C1EF0" w:rsidRPr="00872839">
        <w:rPr>
          <w:rStyle w:val="EndnoteReference"/>
          <w:lang w:val="en-GB"/>
        </w:rPr>
        <w:endnoteReference w:id="2"/>
      </w:r>
      <w:r w:rsidR="000C1EF0" w:rsidRPr="00872839">
        <w:rPr>
          <w:lang w:val="en-GB"/>
        </w:rPr>
        <w:t xml:space="preserve"> of which spending on hotels accounted for a good portion, between 13 and 24 per cent (see Exhibit 1).</w:t>
      </w:r>
      <w:r w:rsidR="000C1EF0" w:rsidRPr="00872839">
        <w:rPr>
          <w:rStyle w:val="EndnoteReference"/>
          <w:lang w:val="en-GB"/>
        </w:rPr>
        <w:endnoteReference w:id="3"/>
      </w:r>
      <w:r w:rsidR="000C1EF0" w:rsidRPr="00872839">
        <w:rPr>
          <w:sz w:val="26"/>
          <w:szCs w:val="26"/>
          <w:lang w:val="en-GB"/>
        </w:rPr>
        <w:t xml:space="preserve"> </w:t>
      </w:r>
      <w:r w:rsidR="000C1EF0" w:rsidRPr="00872839">
        <w:rPr>
          <w:lang w:val="en-GB"/>
        </w:rPr>
        <w:t>Although business travel provided a good return on investments,</w:t>
      </w:r>
      <w:r w:rsidR="000C1EF0" w:rsidRPr="00872839">
        <w:rPr>
          <w:rStyle w:val="EndnoteReference"/>
          <w:lang w:val="en-GB"/>
        </w:rPr>
        <w:endnoteReference w:id="4"/>
      </w:r>
      <w:r w:rsidR="000C1EF0" w:rsidRPr="00872839">
        <w:rPr>
          <w:lang w:val="en-GB"/>
        </w:rPr>
        <w:t xml:space="preserve"> corporate clients around the world were looking for opportunities to reduce their costs of business travel. This trend would help the competitiveness of the ABTV versus business hotels, especially in locations where the ABTV offered significantly lower prices than hotels.</w:t>
      </w:r>
      <w:r w:rsidR="000C1EF0" w:rsidRPr="00872839">
        <w:rPr>
          <w:color w:val="211F1F"/>
          <w:lang w:val="en-GB"/>
        </w:rPr>
        <w:t xml:space="preserve"> Targeting business travellers thus represented an untapped area with large market potential for Airbnb, especially since more than 30 per cent of hotel bookings were for business travellers, whereas only 10 per cent of Airbnb guests in 2015 were business travellers</w:t>
      </w:r>
      <w:r w:rsidR="000C1EF0" w:rsidRPr="00872839">
        <w:rPr>
          <w:color w:val="211F1F"/>
          <w:sz w:val="26"/>
          <w:szCs w:val="26"/>
          <w:lang w:val="en-GB"/>
        </w:rPr>
        <w:t>.</w:t>
      </w:r>
      <w:r w:rsidR="000C1EF0" w:rsidRPr="00872839">
        <w:rPr>
          <w:rStyle w:val="EndnoteReference"/>
          <w:color w:val="211F1F"/>
          <w:lang w:val="en-GB"/>
        </w:rPr>
        <w:endnoteReference w:id="5"/>
      </w:r>
      <w:r w:rsidR="000C1EF0" w:rsidRPr="00872839">
        <w:rPr>
          <w:color w:val="211F1F"/>
          <w:sz w:val="26"/>
          <w:szCs w:val="26"/>
          <w:lang w:val="en-GB"/>
        </w:rPr>
        <w:t xml:space="preserve"> </w:t>
      </w:r>
      <w:r w:rsidR="000C1EF0" w:rsidRPr="00872839">
        <w:rPr>
          <w:lang w:val="en-GB"/>
        </w:rPr>
        <w:t>In contrast to the consumer side of the business, the ABTV, which involved renting out whole apartments, was less likely to attract criticisms of cultural dilution or violation of laws, which had restricted renting out parts of dwellings for short-term accommodations</w:t>
      </w:r>
      <w:r w:rsidR="000C1EF0" w:rsidRPr="00872839">
        <w:rPr>
          <w:sz w:val="26"/>
          <w:szCs w:val="26"/>
          <w:lang w:val="en-GB"/>
        </w:rPr>
        <w:t>.</w:t>
      </w:r>
    </w:p>
    <w:p w14:paraId="39595F39" w14:textId="77777777" w:rsidR="000C1EF0" w:rsidRPr="00872839" w:rsidRDefault="000C1EF0" w:rsidP="00AC013A">
      <w:pPr>
        <w:pStyle w:val="BodyTextMain"/>
        <w:rPr>
          <w:sz w:val="26"/>
          <w:szCs w:val="26"/>
          <w:lang w:val="en-GB"/>
        </w:rPr>
      </w:pPr>
    </w:p>
    <w:p w14:paraId="54BB5EE9" w14:textId="11847BF8" w:rsidR="000C1EF0" w:rsidRPr="00872839" w:rsidRDefault="000C1EF0" w:rsidP="00AC013A">
      <w:pPr>
        <w:pStyle w:val="BodyTextMain"/>
        <w:rPr>
          <w:lang w:val="en-GB"/>
        </w:rPr>
      </w:pPr>
      <w:r w:rsidRPr="00872839">
        <w:rPr>
          <w:lang w:val="en-GB"/>
        </w:rPr>
        <w:t>Despite the attractiveness of the business travel segment and the ABTV’s promising performance, albeit over a short window, several issues remained to be addressed for the ABTV in Asia. Two issues related to the choice of countries and the choice of segments. Another key issue related to identifying the specific corporate clients to approach—whether to leverage existing relationships with multinational customers or to approach Asian corporate clients directly</w:t>
      </w:r>
      <w:r w:rsidRPr="00872839">
        <w:rPr>
          <w:sz w:val="26"/>
          <w:szCs w:val="26"/>
          <w:lang w:val="en-GB"/>
        </w:rPr>
        <w:t>.</w:t>
      </w:r>
    </w:p>
    <w:p w14:paraId="0FB58CFD" w14:textId="77777777" w:rsidR="000C1EF0" w:rsidRPr="00872839" w:rsidRDefault="000C1EF0" w:rsidP="00AC013A">
      <w:pPr>
        <w:pStyle w:val="BodyTextMain"/>
        <w:rPr>
          <w:sz w:val="16"/>
          <w:lang w:val="en-GB"/>
        </w:rPr>
      </w:pPr>
    </w:p>
    <w:p w14:paraId="4687AFEE" w14:textId="4023C178" w:rsidR="000C1EF0" w:rsidRPr="00872839" w:rsidRDefault="000C1EF0" w:rsidP="00AC013A">
      <w:pPr>
        <w:pStyle w:val="BodyTextMain"/>
        <w:rPr>
          <w:b/>
          <w:caps/>
          <w:lang w:val="en-GB"/>
        </w:rPr>
      </w:pPr>
    </w:p>
    <w:p w14:paraId="42EE8DD7" w14:textId="2D5F9299" w:rsidR="000C1EF0" w:rsidRPr="00872839" w:rsidRDefault="000C1EF0" w:rsidP="007449DD">
      <w:pPr>
        <w:pStyle w:val="Casehead1"/>
        <w:outlineLvl w:val="0"/>
        <w:rPr>
          <w:lang w:val="en-GB"/>
        </w:rPr>
      </w:pPr>
      <w:r w:rsidRPr="00872839">
        <w:rPr>
          <w:lang w:val="en-GB"/>
        </w:rPr>
        <w:t xml:space="preserve">History </w:t>
      </w:r>
    </w:p>
    <w:p w14:paraId="64C3A711" w14:textId="77777777" w:rsidR="000C1EF0" w:rsidRPr="00872839" w:rsidRDefault="000C1EF0" w:rsidP="007F1F54">
      <w:pPr>
        <w:pStyle w:val="BodyTextMain"/>
        <w:rPr>
          <w:sz w:val="18"/>
          <w:lang w:val="en-GB"/>
        </w:rPr>
      </w:pPr>
    </w:p>
    <w:p w14:paraId="4AD34623" w14:textId="56FE1E28" w:rsidR="000C1EF0" w:rsidRPr="001C2549" w:rsidRDefault="000C1EF0" w:rsidP="00E779B7">
      <w:pPr>
        <w:pStyle w:val="BodyTextMain"/>
        <w:rPr>
          <w:spacing w:val="-2"/>
          <w:kern w:val="22"/>
          <w:lang w:val="en-GB"/>
        </w:rPr>
      </w:pPr>
      <w:r w:rsidRPr="001C2549">
        <w:rPr>
          <w:spacing w:val="-2"/>
          <w:kern w:val="22"/>
          <w:lang w:val="en-GB"/>
        </w:rPr>
        <w:t>Airbnb</w:t>
      </w:r>
      <w:r w:rsidR="002D3F60" w:rsidRPr="001C2549">
        <w:rPr>
          <w:spacing w:val="-2"/>
          <w:kern w:val="22"/>
          <w:lang w:val="en-GB"/>
        </w:rPr>
        <w:t>’s inception exemplified the</w:t>
      </w:r>
      <w:r w:rsidR="00CB3774" w:rsidRPr="001C2549">
        <w:rPr>
          <w:spacing w:val="-2"/>
          <w:kern w:val="22"/>
          <w:lang w:val="en-GB"/>
        </w:rPr>
        <w:t xml:space="preserve"> well-known</w:t>
      </w:r>
      <w:r w:rsidR="002D3F60" w:rsidRPr="001C2549">
        <w:rPr>
          <w:spacing w:val="-2"/>
          <w:kern w:val="22"/>
          <w:lang w:val="en-GB"/>
        </w:rPr>
        <w:t xml:space="preserve"> phrase “necessity is the mother of invention</w:t>
      </w:r>
      <w:r w:rsidRPr="001C2549">
        <w:rPr>
          <w:spacing w:val="-2"/>
          <w:kern w:val="22"/>
          <w:lang w:val="en-GB"/>
        </w:rPr>
        <w:t>.</w:t>
      </w:r>
      <w:r w:rsidR="002D3F60" w:rsidRPr="001C2549">
        <w:rPr>
          <w:spacing w:val="-2"/>
          <w:kern w:val="22"/>
          <w:lang w:val="en-GB"/>
        </w:rPr>
        <w:t>”</w:t>
      </w:r>
      <w:r w:rsidRPr="001C2549">
        <w:rPr>
          <w:spacing w:val="-2"/>
          <w:kern w:val="22"/>
          <w:lang w:val="en-GB"/>
        </w:rPr>
        <w:t xml:space="preserve"> Brian Chesky and Joe Gebbia, two graduates of the Rhode Island School of Design, had rented a loft apartment in a trendy area in San Francisco, but they found it difficult to pay the rent. In 2007, they saw an opportunity to earn some extra money by letting attendees of a San Francisco design conference stay in their apartment. A small decision </w:t>
      </w:r>
      <w:r w:rsidRPr="001C2549">
        <w:rPr>
          <w:spacing w:val="-2"/>
          <w:kern w:val="22"/>
          <w:lang w:val="en-GB"/>
        </w:rPr>
        <w:lastRenderedPageBreak/>
        <w:t>they made at the time turned out to be a master stroke. Instead of putting up a listing on Craiglist, which would have been the typical method of renting their apartment</w:t>
      </w:r>
      <w:r w:rsidR="00CB3774" w:rsidRPr="001C2549">
        <w:rPr>
          <w:spacing w:val="-2"/>
          <w:kern w:val="22"/>
          <w:lang w:val="en-GB"/>
        </w:rPr>
        <w:t xml:space="preserve"> at the time</w:t>
      </w:r>
      <w:r w:rsidRPr="001C2549">
        <w:rPr>
          <w:spacing w:val="-2"/>
          <w:kern w:val="22"/>
          <w:lang w:val="en-GB"/>
        </w:rPr>
        <w:t xml:space="preserve">, </w:t>
      </w:r>
      <w:r w:rsidR="00CB3774" w:rsidRPr="001C2549">
        <w:rPr>
          <w:spacing w:val="-2"/>
          <w:kern w:val="22"/>
          <w:lang w:val="en-GB"/>
        </w:rPr>
        <w:t>Chesky and Gebbia</w:t>
      </w:r>
      <w:r w:rsidR="00CB3774" w:rsidRPr="001C2549" w:rsidDel="00CB3774">
        <w:rPr>
          <w:spacing w:val="-2"/>
          <w:kern w:val="22"/>
          <w:lang w:val="en-GB"/>
        </w:rPr>
        <w:t xml:space="preserve"> </w:t>
      </w:r>
      <w:r w:rsidRPr="001C2549">
        <w:rPr>
          <w:spacing w:val="-2"/>
          <w:kern w:val="22"/>
          <w:lang w:val="en-GB"/>
        </w:rPr>
        <w:t xml:space="preserve"> built their own website and included pictures of the apartment. The apartment was listed under the name </w:t>
      </w:r>
      <w:r w:rsidR="00CB3774" w:rsidRPr="001C2549">
        <w:rPr>
          <w:spacing w:val="-2"/>
          <w:kern w:val="22"/>
          <w:lang w:val="en-GB"/>
        </w:rPr>
        <w:t>“</w:t>
      </w:r>
      <w:r w:rsidRPr="001C2549">
        <w:rPr>
          <w:spacing w:val="-2"/>
          <w:kern w:val="22"/>
          <w:lang w:val="en-GB"/>
        </w:rPr>
        <w:t>Airbed and Breakfast.</w:t>
      </w:r>
      <w:r w:rsidR="00CB3774" w:rsidRPr="001C2549">
        <w:rPr>
          <w:spacing w:val="-2"/>
          <w:kern w:val="22"/>
          <w:lang w:val="en-GB"/>
        </w:rPr>
        <w:t>”</w:t>
      </w:r>
      <w:r w:rsidRPr="001C2549">
        <w:rPr>
          <w:spacing w:val="-2"/>
          <w:kern w:val="22"/>
          <w:lang w:val="en-GB"/>
        </w:rPr>
        <w:t xml:space="preserve"> In contrast to their expectation that price-sensitive students would be the main takers for their listing, the listing attracted interest from a diverse group of three renters, who paid $80 each for the privilege of sleeping on an air mattress and being served </w:t>
      </w:r>
      <w:r w:rsidR="00693580" w:rsidRPr="001C2549">
        <w:rPr>
          <w:spacing w:val="-2"/>
          <w:kern w:val="22"/>
          <w:lang w:val="en-GB"/>
        </w:rPr>
        <w:t xml:space="preserve">a </w:t>
      </w:r>
      <w:r w:rsidRPr="001C2549">
        <w:rPr>
          <w:spacing w:val="-2"/>
          <w:kern w:val="22"/>
          <w:lang w:val="en-GB"/>
        </w:rPr>
        <w:t xml:space="preserve">hot breakfast. More surprises followed after the event was over. Chesky and Gebbia began receiving emails from other cities around the world asking when the service would be available in their locales. In 2008, Chesky and Gebbia recruited Nathan Blecharczyk, an engineer friend, to join the </w:t>
      </w:r>
      <w:r w:rsidR="00693580" w:rsidRPr="001C2549">
        <w:rPr>
          <w:spacing w:val="-2"/>
          <w:kern w:val="22"/>
          <w:lang w:val="en-GB"/>
        </w:rPr>
        <w:t xml:space="preserve">fledgling </w:t>
      </w:r>
      <w:r w:rsidRPr="001C2549">
        <w:rPr>
          <w:spacing w:val="-2"/>
          <w:kern w:val="22"/>
          <w:lang w:val="en-GB"/>
        </w:rPr>
        <w:t>company.</w:t>
      </w:r>
      <w:r w:rsidRPr="001C2549">
        <w:rPr>
          <w:spacing w:val="-2"/>
          <w:kern w:val="22"/>
          <w:vertAlign w:val="superscript"/>
          <w:lang w:val="en-GB"/>
        </w:rPr>
        <w:endnoteReference w:id="6"/>
      </w:r>
      <w:r w:rsidRPr="001C2549">
        <w:rPr>
          <w:spacing w:val="-2"/>
          <w:kern w:val="22"/>
          <w:lang w:val="en-GB"/>
        </w:rPr>
        <w:t xml:space="preserve"> By 2009, the company had attracted support from Paul Graham, founder of the well-known California-based incubator Y Combinator, and changed its name to Airbnb.</w:t>
      </w:r>
      <w:r w:rsidRPr="001C2549">
        <w:rPr>
          <w:spacing w:val="-2"/>
          <w:kern w:val="22"/>
          <w:vertAlign w:val="superscript"/>
          <w:lang w:val="en-GB"/>
        </w:rPr>
        <w:endnoteReference w:id="7"/>
      </w:r>
    </w:p>
    <w:p w14:paraId="7021D63D" w14:textId="77777777" w:rsidR="000C1EF0" w:rsidRPr="00872839" w:rsidRDefault="000C1EF0" w:rsidP="007F1F54">
      <w:pPr>
        <w:pStyle w:val="BodyTextMain"/>
        <w:rPr>
          <w:lang w:val="en-GB"/>
        </w:rPr>
      </w:pPr>
    </w:p>
    <w:p w14:paraId="1B395B03" w14:textId="09306E5E" w:rsidR="000C1EF0" w:rsidRPr="00872839" w:rsidRDefault="000C1EF0" w:rsidP="00E779B7">
      <w:pPr>
        <w:pStyle w:val="BodyTextMain"/>
        <w:rPr>
          <w:lang w:val="en-GB"/>
        </w:rPr>
      </w:pPr>
      <w:r w:rsidRPr="00872839">
        <w:rPr>
          <w:lang w:val="en-GB"/>
        </w:rPr>
        <w:t>In 2010, in another master stroke (at least in hindsight), Airbnb managed to achieve integration with Craiglist by implementing a software solution.</w:t>
      </w:r>
      <w:r w:rsidRPr="00872839">
        <w:rPr>
          <w:vertAlign w:val="superscript"/>
          <w:lang w:val="en-GB"/>
        </w:rPr>
        <w:endnoteReference w:id="8"/>
      </w:r>
      <w:r w:rsidRPr="00872839">
        <w:rPr>
          <w:lang w:val="en-GB"/>
        </w:rPr>
        <w:t xml:space="preserve"> Essentially, any property listed on Airbnb would automatically be listed on Craiglist. Because of the greater visual attractiveness of Airbnb</w:t>
      </w:r>
      <w:r w:rsidR="00693580">
        <w:rPr>
          <w:lang w:val="en-GB"/>
        </w:rPr>
        <w:t>’s</w:t>
      </w:r>
      <w:r w:rsidRPr="00872839">
        <w:rPr>
          <w:lang w:val="en-GB"/>
        </w:rPr>
        <w:t xml:space="preserve"> listing</w:t>
      </w:r>
      <w:r w:rsidR="00693580">
        <w:rPr>
          <w:lang w:val="en-GB"/>
        </w:rPr>
        <w:t>s</w:t>
      </w:r>
      <w:r w:rsidRPr="00872839">
        <w:rPr>
          <w:lang w:val="en-GB"/>
        </w:rPr>
        <w:t xml:space="preserve"> versus Craiglist’s simpler</w:t>
      </w:r>
      <w:r w:rsidR="00693580">
        <w:rPr>
          <w:lang w:val="en-GB"/>
        </w:rPr>
        <w:t>-</w:t>
      </w:r>
      <w:r w:rsidRPr="00872839">
        <w:rPr>
          <w:lang w:val="en-GB"/>
        </w:rPr>
        <w:t>looking listings,</w:t>
      </w:r>
      <w:r w:rsidR="00693580" w:rsidRPr="00693580">
        <w:rPr>
          <w:lang w:val="en-GB"/>
        </w:rPr>
        <w:t xml:space="preserve"> </w:t>
      </w:r>
      <w:r w:rsidR="00693580" w:rsidRPr="00872839">
        <w:rPr>
          <w:lang w:val="en-GB"/>
        </w:rPr>
        <w:t>Airbnb users received better responses, inducing them to choose Airbnb for their next listing</w:t>
      </w:r>
      <w:r w:rsidR="00693580">
        <w:rPr>
          <w:lang w:val="en-GB"/>
        </w:rPr>
        <w:t xml:space="preserve"> </w:t>
      </w:r>
      <w:r w:rsidR="00693580" w:rsidRPr="00872839">
        <w:rPr>
          <w:lang w:val="en-GB"/>
        </w:rPr>
        <w:t>and triggering a virtuous cycle.</w:t>
      </w:r>
      <w:r w:rsidRPr="00872839">
        <w:rPr>
          <w:vertAlign w:val="superscript"/>
          <w:lang w:val="en-GB"/>
        </w:rPr>
        <w:endnoteReference w:id="9"/>
      </w:r>
      <w:r w:rsidRPr="00872839">
        <w:rPr>
          <w:lang w:val="en-GB"/>
        </w:rPr>
        <w:t xml:space="preserve"> </w:t>
      </w:r>
    </w:p>
    <w:p w14:paraId="10A311A8" w14:textId="77777777" w:rsidR="000C1EF0" w:rsidRPr="00872839" w:rsidRDefault="000C1EF0" w:rsidP="00E779B7">
      <w:pPr>
        <w:pStyle w:val="BodyTextMain"/>
        <w:rPr>
          <w:lang w:val="en-GB"/>
        </w:rPr>
      </w:pPr>
    </w:p>
    <w:p w14:paraId="02653E7C" w14:textId="71AD7116" w:rsidR="000C1EF0" w:rsidRPr="00872839" w:rsidRDefault="009C675A" w:rsidP="00E779B7">
      <w:pPr>
        <w:pStyle w:val="BodyTextMain"/>
        <w:rPr>
          <w:lang w:val="en-GB"/>
        </w:rPr>
      </w:pPr>
      <w:r>
        <w:rPr>
          <w:lang w:val="en-GB"/>
        </w:rPr>
        <w:t>Airbnb’s timing could not</w:t>
      </w:r>
      <w:r w:rsidR="000C1EF0" w:rsidRPr="00872839">
        <w:rPr>
          <w:lang w:val="en-GB"/>
        </w:rPr>
        <w:t xml:space="preserve"> have been better. Battered by the </w:t>
      </w:r>
      <w:r w:rsidR="00693580">
        <w:rPr>
          <w:lang w:val="en-GB"/>
        </w:rPr>
        <w:t>g</w:t>
      </w:r>
      <w:r w:rsidR="000C1EF0" w:rsidRPr="00872839">
        <w:rPr>
          <w:lang w:val="en-GB"/>
        </w:rPr>
        <w:t xml:space="preserve">lobal </w:t>
      </w:r>
      <w:r w:rsidR="00693580">
        <w:rPr>
          <w:lang w:val="en-GB"/>
        </w:rPr>
        <w:t>f</w:t>
      </w:r>
      <w:r w:rsidR="000C1EF0" w:rsidRPr="00872839">
        <w:rPr>
          <w:lang w:val="en-GB"/>
        </w:rPr>
        <w:t xml:space="preserve">inancial </w:t>
      </w:r>
      <w:r w:rsidR="00693580">
        <w:rPr>
          <w:lang w:val="en-GB"/>
        </w:rPr>
        <w:t>c</w:t>
      </w:r>
      <w:r w:rsidR="000C1EF0" w:rsidRPr="00872839">
        <w:rPr>
          <w:lang w:val="en-GB"/>
        </w:rPr>
        <w:t>risis</w:t>
      </w:r>
      <w:r w:rsidR="00693580">
        <w:rPr>
          <w:lang w:val="en-GB"/>
        </w:rPr>
        <w:t xml:space="preserve"> of 2007–2008</w:t>
      </w:r>
      <w:r w:rsidR="000C1EF0" w:rsidRPr="00872839">
        <w:rPr>
          <w:lang w:val="en-GB"/>
        </w:rPr>
        <w:t>, which had wiped out a good chunk of their accumulated wealth, many people from the baby boomer generation were looking to earn some money by renting out their homes (or, for that matter, anything that could generate income, including cars).</w:t>
      </w:r>
      <w:r w:rsidR="000C1EF0" w:rsidRPr="00872839">
        <w:rPr>
          <w:vertAlign w:val="superscript"/>
          <w:lang w:val="en-GB"/>
        </w:rPr>
        <w:endnoteReference w:id="10"/>
      </w:r>
      <w:r w:rsidR="000C1EF0" w:rsidRPr="00872839">
        <w:rPr>
          <w:lang w:val="en-GB"/>
        </w:rPr>
        <w:t xml:space="preserve"> On the other hand, the younger generation (specifically</w:t>
      </w:r>
      <w:r w:rsidR="00693580">
        <w:rPr>
          <w:lang w:val="en-GB"/>
        </w:rPr>
        <w:t>,</w:t>
      </w:r>
      <w:r w:rsidR="000C1EF0" w:rsidRPr="00872839">
        <w:rPr>
          <w:lang w:val="en-GB"/>
        </w:rPr>
        <w:t xml:space="preserve"> </w:t>
      </w:r>
      <w:r w:rsidR="00693580">
        <w:rPr>
          <w:lang w:val="en-GB"/>
        </w:rPr>
        <w:t>“</w:t>
      </w:r>
      <w:r w:rsidR="000C1EF0" w:rsidRPr="00872839">
        <w:rPr>
          <w:lang w:val="en-GB"/>
        </w:rPr>
        <w:t>millennials</w:t>
      </w:r>
      <w:r w:rsidR="00693580">
        <w:rPr>
          <w:lang w:val="en-GB"/>
        </w:rPr>
        <w:t xml:space="preserve">”—i.e., </w:t>
      </w:r>
      <w:r w:rsidR="000C1EF0" w:rsidRPr="00872839">
        <w:rPr>
          <w:lang w:val="en-GB"/>
        </w:rPr>
        <w:t>those born between the early 1980s and the early 2000s) exhibited a tremendous openness to renting instead of outright ownership of assets. They were also open to renting cars or houses from other people instead of businesses</w:t>
      </w:r>
      <w:r w:rsidR="00693580">
        <w:rPr>
          <w:lang w:val="en-GB"/>
        </w:rPr>
        <w:t xml:space="preserve"> like</w:t>
      </w:r>
      <w:r w:rsidR="000C1EF0" w:rsidRPr="00872839">
        <w:rPr>
          <w:lang w:val="en-GB"/>
        </w:rPr>
        <w:t xml:space="preserve"> rental car companies or business hotels.</w:t>
      </w:r>
      <w:r w:rsidR="000C1EF0" w:rsidRPr="00872839">
        <w:rPr>
          <w:vertAlign w:val="superscript"/>
          <w:lang w:val="en-GB"/>
        </w:rPr>
        <w:endnoteReference w:id="11"/>
      </w:r>
      <w:r w:rsidR="000C1EF0" w:rsidRPr="00872839">
        <w:rPr>
          <w:lang w:val="en-GB"/>
        </w:rPr>
        <w:t xml:space="preserve"> By 2016, Airbnb had exceeded its founders’ wildest expectations. By June 2016, it had achieved the milestone of 2 million listings in 191 countries and 80 million guest arrivals.</w:t>
      </w:r>
      <w:r w:rsidR="000C1EF0" w:rsidRPr="00872839">
        <w:rPr>
          <w:vertAlign w:val="superscript"/>
          <w:lang w:val="en-GB"/>
        </w:rPr>
        <w:endnoteReference w:id="12"/>
      </w:r>
      <w:r w:rsidR="000C1EF0" w:rsidRPr="00872839">
        <w:rPr>
          <w:lang w:val="en-GB"/>
        </w:rPr>
        <w:t xml:space="preserve"> In New York City alone, Airbnb could boast of 48,000 listings by October 2016.</w:t>
      </w:r>
      <w:r w:rsidR="000C1EF0" w:rsidRPr="00872839">
        <w:rPr>
          <w:vertAlign w:val="superscript"/>
          <w:lang w:val="en-GB"/>
        </w:rPr>
        <w:endnoteReference w:id="13"/>
      </w:r>
      <w:r w:rsidR="000C1EF0" w:rsidRPr="00872839">
        <w:rPr>
          <w:lang w:val="en-GB"/>
        </w:rPr>
        <w:t xml:space="preserve"> It had raised several hundred million dollars from investors and sported a market capitalization of $25 billion,</w:t>
      </w:r>
      <w:r w:rsidR="000C1EF0" w:rsidRPr="00872839">
        <w:rPr>
          <w:vertAlign w:val="superscript"/>
          <w:lang w:val="en-GB"/>
        </w:rPr>
        <w:endnoteReference w:id="14"/>
      </w:r>
      <w:r w:rsidR="000C1EF0" w:rsidRPr="00872839">
        <w:rPr>
          <w:lang w:val="en-GB"/>
        </w:rPr>
        <w:t xml:space="preserve"> greater than large and established hotel chains such as Wyndham and Hyatt.</w:t>
      </w:r>
      <w:r w:rsidR="000C1EF0" w:rsidRPr="00872839">
        <w:rPr>
          <w:vertAlign w:val="superscript"/>
          <w:lang w:val="en-GB"/>
        </w:rPr>
        <w:endnoteReference w:id="15"/>
      </w:r>
      <w:r w:rsidR="000C1EF0" w:rsidRPr="00872839">
        <w:rPr>
          <w:lang w:val="en-GB"/>
        </w:rPr>
        <w:t xml:space="preserve"> </w:t>
      </w:r>
    </w:p>
    <w:p w14:paraId="2A2B6E76" w14:textId="77777777" w:rsidR="000C1EF0" w:rsidRPr="00872839" w:rsidRDefault="000C1EF0" w:rsidP="00E779B7">
      <w:pPr>
        <w:pStyle w:val="BodyTextMain"/>
        <w:rPr>
          <w:lang w:val="en-GB"/>
        </w:rPr>
      </w:pPr>
    </w:p>
    <w:p w14:paraId="011ADDF6" w14:textId="2064F3FF" w:rsidR="000C1EF0" w:rsidRPr="00872839" w:rsidRDefault="000C1EF0" w:rsidP="00E779B7">
      <w:pPr>
        <w:pStyle w:val="BodyTextMain"/>
        <w:rPr>
          <w:lang w:val="en-GB"/>
        </w:rPr>
      </w:pPr>
      <w:r w:rsidRPr="00872839">
        <w:rPr>
          <w:lang w:val="en-GB"/>
        </w:rPr>
        <w:t xml:space="preserve">Airbnb’s ride had not been without challenges, however. </w:t>
      </w:r>
      <w:r w:rsidR="00693580">
        <w:rPr>
          <w:lang w:val="en-GB"/>
        </w:rPr>
        <w:t>The company</w:t>
      </w:r>
      <w:r w:rsidRPr="00872839">
        <w:rPr>
          <w:lang w:val="en-GB"/>
        </w:rPr>
        <w:t xml:space="preserve"> had faced regulatory scrutiny and challenges in several locations. In San Francisco, it was waging a court battle with the city authorities.</w:t>
      </w:r>
      <w:r w:rsidRPr="00872839">
        <w:rPr>
          <w:vertAlign w:val="superscript"/>
          <w:lang w:val="en-GB"/>
        </w:rPr>
        <w:endnoteReference w:id="16"/>
      </w:r>
      <w:r w:rsidRPr="00872839">
        <w:rPr>
          <w:lang w:val="en-GB"/>
        </w:rPr>
        <w:t xml:space="preserve"> New York’s governor, Andrew Cuomo, passed a law in October 2016, banning the rental of properties in New York for less than 30 days, effectively pre-empting most Airbnb hosts from listing their properties</w:t>
      </w:r>
      <w:r w:rsidR="00693580">
        <w:rPr>
          <w:lang w:val="en-GB"/>
        </w:rPr>
        <w:t xml:space="preserve"> there</w:t>
      </w:r>
      <w:r w:rsidRPr="00872839">
        <w:rPr>
          <w:lang w:val="en-GB"/>
        </w:rPr>
        <w:t>.</w:t>
      </w:r>
      <w:r w:rsidRPr="00872839">
        <w:rPr>
          <w:vertAlign w:val="superscript"/>
          <w:lang w:val="en-GB"/>
        </w:rPr>
        <w:endnoteReference w:id="17"/>
      </w:r>
      <w:r w:rsidRPr="00872839">
        <w:rPr>
          <w:lang w:val="en-GB"/>
        </w:rPr>
        <w:t xml:space="preserve"> There were also a few instances of significant damage to hosts’ properties.</w:t>
      </w:r>
      <w:r w:rsidRPr="00872839">
        <w:rPr>
          <w:vertAlign w:val="superscript"/>
          <w:lang w:val="en-GB"/>
        </w:rPr>
        <w:endnoteReference w:id="18"/>
      </w:r>
      <w:r w:rsidRPr="00872839">
        <w:rPr>
          <w:lang w:val="en-GB"/>
        </w:rPr>
        <w:t xml:space="preserve"> Other than the legal challenge, which was ongoing, Airbnb had performed admirably in terms of handling the</w:t>
      </w:r>
      <w:r w:rsidR="00693580">
        <w:rPr>
          <w:lang w:val="en-GB"/>
        </w:rPr>
        <w:t>se</w:t>
      </w:r>
      <w:r w:rsidRPr="00872839">
        <w:rPr>
          <w:lang w:val="en-GB"/>
        </w:rPr>
        <w:t xml:space="preserve"> challenges. After the incidents of extensive damage to hosts’ homes, Airbnb had offered insurance coverage of </w:t>
      </w:r>
      <w:r w:rsidR="00693580">
        <w:rPr>
          <w:lang w:val="en-GB"/>
        </w:rPr>
        <w:t>up to</w:t>
      </w:r>
      <w:r w:rsidRPr="00872839">
        <w:rPr>
          <w:lang w:val="en-GB"/>
        </w:rPr>
        <w:t xml:space="preserve"> $1 million.</w:t>
      </w:r>
      <w:r w:rsidRPr="00872839">
        <w:rPr>
          <w:vertAlign w:val="superscript"/>
          <w:lang w:val="en-GB"/>
        </w:rPr>
        <w:endnoteReference w:id="19"/>
      </w:r>
      <w:r w:rsidRPr="00872839">
        <w:rPr>
          <w:lang w:val="en-GB"/>
        </w:rPr>
        <w:t xml:space="preserve"> It also went to extra lengths to ensure that the guests’ interests were protected</w:t>
      </w:r>
      <w:r w:rsidR="00693580">
        <w:rPr>
          <w:lang w:val="en-GB"/>
        </w:rPr>
        <w:t xml:space="preserve"> as well</w:t>
      </w:r>
      <w:r w:rsidRPr="00872839">
        <w:rPr>
          <w:lang w:val="en-GB"/>
        </w:rPr>
        <w:t xml:space="preserve">. Airbnb believed that trust and safety were critical for the community to function effectively. To this end, </w:t>
      </w:r>
      <w:r w:rsidR="007449DD">
        <w:rPr>
          <w:lang w:val="en-GB"/>
        </w:rPr>
        <w:t>the firm</w:t>
      </w:r>
      <w:r w:rsidRPr="00872839">
        <w:rPr>
          <w:lang w:val="en-GB"/>
        </w:rPr>
        <w:t xml:space="preserve"> offered 24/7 customer support to Airbnb guests in cities around the world.</w:t>
      </w:r>
    </w:p>
    <w:p w14:paraId="2D4D3D28" w14:textId="77777777" w:rsidR="000C1EF0" w:rsidRPr="00872839" w:rsidRDefault="000C1EF0" w:rsidP="00AC013A">
      <w:pPr>
        <w:pStyle w:val="BodyTextMain"/>
        <w:rPr>
          <w:lang w:val="en-GB"/>
        </w:rPr>
      </w:pPr>
    </w:p>
    <w:p w14:paraId="6837A804" w14:textId="45274E24" w:rsidR="000C1EF0" w:rsidRPr="00872839" w:rsidRDefault="000C1EF0" w:rsidP="00AC013A">
      <w:pPr>
        <w:pStyle w:val="BodyTextMain"/>
        <w:rPr>
          <w:lang w:val="en-GB"/>
        </w:rPr>
      </w:pPr>
    </w:p>
    <w:p w14:paraId="072FF769" w14:textId="20608805" w:rsidR="000C1EF0" w:rsidRPr="00872839" w:rsidRDefault="000C1EF0" w:rsidP="007449DD">
      <w:pPr>
        <w:pStyle w:val="Casehead1"/>
        <w:outlineLvl w:val="0"/>
        <w:rPr>
          <w:lang w:val="en-GB"/>
        </w:rPr>
      </w:pPr>
      <w:r w:rsidRPr="00872839">
        <w:rPr>
          <w:lang w:val="en-GB"/>
        </w:rPr>
        <w:t xml:space="preserve">THE ABTV’s Strategy: Positioning versus alternatives such as business hotels </w:t>
      </w:r>
    </w:p>
    <w:p w14:paraId="137C30C0" w14:textId="77777777" w:rsidR="000C1EF0" w:rsidRPr="00872839" w:rsidRDefault="000C1EF0" w:rsidP="007F1F54">
      <w:pPr>
        <w:pStyle w:val="BodyTextMain"/>
        <w:rPr>
          <w:sz w:val="16"/>
          <w:lang w:val="en-GB"/>
        </w:rPr>
      </w:pPr>
    </w:p>
    <w:p w14:paraId="40F7ECF0" w14:textId="5BF14CD6" w:rsidR="000C1EF0" w:rsidRPr="00872839" w:rsidRDefault="000C1EF0" w:rsidP="00AC013A">
      <w:pPr>
        <w:pStyle w:val="BodyTextMain"/>
        <w:rPr>
          <w:lang w:val="en-GB"/>
        </w:rPr>
      </w:pPr>
      <w:r w:rsidRPr="00872839">
        <w:rPr>
          <w:lang w:val="en-GB"/>
        </w:rPr>
        <w:t>The ABTV had initially been launched as a corporate travel platform in July 2015. At this time, despite not yet set</w:t>
      </w:r>
      <w:r w:rsidR="007449DD">
        <w:rPr>
          <w:lang w:val="en-GB"/>
        </w:rPr>
        <w:t>ting</w:t>
      </w:r>
      <w:r w:rsidRPr="00872839">
        <w:rPr>
          <w:lang w:val="en-GB"/>
        </w:rPr>
        <w:t xml:space="preserve"> up the </w:t>
      </w:r>
      <w:r w:rsidR="007449DD">
        <w:rPr>
          <w:lang w:val="en-GB"/>
        </w:rPr>
        <w:t xml:space="preserve">requisite </w:t>
      </w:r>
      <w:r w:rsidRPr="00872839">
        <w:rPr>
          <w:lang w:val="en-GB"/>
        </w:rPr>
        <w:t>information technology (IT) and other systems</w:t>
      </w:r>
      <w:r w:rsidR="007449DD">
        <w:rPr>
          <w:lang w:val="en-GB"/>
        </w:rPr>
        <w:t>,</w:t>
      </w:r>
      <w:r w:rsidRPr="00872839">
        <w:rPr>
          <w:lang w:val="en-GB"/>
        </w:rPr>
        <w:t xml:space="preserve"> and having only a skeleton group </w:t>
      </w:r>
      <w:r w:rsidR="007449DD">
        <w:rPr>
          <w:lang w:val="en-GB"/>
        </w:rPr>
        <w:t xml:space="preserve">to </w:t>
      </w:r>
      <w:r w:rsidRPr="00872839">
        <w:rPr>
          <w:lang w:val="en-GB"/>
        </w:rPr>
        <w:t>run its corporate travel platform, the company enjoyed patronage from employees of 250 corporate customers, mostly from the technology industry, including employees of Google and Salesforce.com.</w:t>
      </w:r>
      <w:r w:rsidRPr="00872839">
        <w:rPr>
          <w:vertAlign w:val="superscript"/>
          <w:lang w:val="en-GB"/>
        </w:rPr>
        <w:endnoteReference w:id="20"/>
      </w:r>
      <w:r w:rsidRPr="00872839">
        <w:rPr>
          <w:lang w:val="en-GB"/>
        </w:rPr>
        <w:t xml:space="preserve"> The formalized </w:t>
      </w:r>
      <w:r w:rsidR="00220AAA">
        <w:rPr>
          <w:lang w:val="en-GB"/>
        </w:rPr>
        <w:t>“</w:t>
      </w:r>
      <w:r w:rsidRPr="00872839">
        <w:rPr>
          <w:lang w:val="en-GB"/>
        </w:rPr>
        <w:t>Business Travel Ready</w:t>
      </w:r>
      <w:r w:rsidR="00220AAA">
        <w:rPr>
          <w:lang w:val="en-GB"/>
        </w:rPr>
        <w:t>”</w:t>
      </w:r>
      <w:r w:rsidRPr="00872839">
        <w:rPr>
          <w:lang w:val="en-GB"/>
        </w:rPr>
        <w:t xml:space="preserve"> program, which aimed to help hosts make their properties more attractive to corporate travel managers and employees travelling on business, was launched at the annual Airbnb Open 2015 conference in Paris in November 2015.</w:t>
      </w:r>
      <w:r w:rsidRPr="00872839">
        <w:rPr>
          <w:vertAlign w:val="superscript"/>
          <w:lang w:val="en-GB"/>
        </w:rPr>
        <w:endnoteReference w:id="21"/>
      </w:r>
      <w:r w:rsidRPr="00872839">
        <w:rPr>
          <w:vertAlign w:val="superscript"/>
          <w:lang w:val="en-GB"/>
        </w:rPr>
        <w:t xml:space="preserve"> </w:t>
      </w:r>
    </w:p>
    <w:p w14:paraId="59DC80EA" w14:textId="22571D3B" w:rsidR="000C1EF0" w:rsidRPr="001C2549" w:rsidRDefault="000C1EF0" w:rsidP="00AC013A">
      <w:pPr>
        <w:pStyle w:val="BodyTextMain"/>
        <w:rPr>
          <w:spacing w:val="-4"/>
          <w:kern w:val="22"/>
          <w:lang w:val="en-GB"/>
        </w:rPr>
      </w:pPr>
      <w:r w:rsidRPr="001C2549">
        <w:rPr>
          <w:spacing w:val="-4"/>
          <w:kern w:val="22"/>
          <w:lang w:val="en-GB"/>
        </w:rPr>
        <w:lastRenderedPageBreak/>
        <w:t xml:space="preserve">With regard to positioning versus business hotels, the ABTV had identified several distinctive aspects of its service offering. </w:t>
      </w:r>
      <w:r w:rsidR="007449DD" w:rsidRPr="001C2549">
        <w:rPr>
          <w:spacing w:val="-4"/>
          <w:kern w:val="22"/>
          <w:lang w:val="en-GB"/>
        </w:rPr>
        <w:t>Its managers</w:t>
      </w:r>
      <w:r w:rsidRPr="001C2549">
        <w:rPr>
          <w:spacing w:val="-4"/>
          <w:kern w:val="22"/>
          <w:lang w:val="en-GB"/>
        </w:rPr>
        <w:t xml:space="preserve"> believed that</w:t>
      </w:r>
      <w:r w:rsidR="007449DD" w:rsidRPr="001C2549">
        <w:rPr>
          <w:spacing w:val="-4"/>
          <w:kern w:val="22"/>
          <w:lang w:val="en-GB"/>
        </w:rPr>
        <w:t xml:space="preserve"> the ABTV</w:t>
      </w:r>
      <w:r w:rsidRPr="001C2549">
        <w:rPr>
          <w:spacing w:val="-4"/>
          <w:kern w:val="22"/>
          <w:lang w:val="en-GB"/>
        </w:rPr>
        <w:t xml:space="preserve"> helped corporate teams</w:t>
      </w:r>
      <w:r w:rsidR="00D60341" w:rsidRPr="001C2549">
        <w:rPr>
          <w:spacing w:val="-4"/>
          <w:kern w:val="22"/>
          <w:lang w:val="en-GB"/>
        </w:rPr>
        <w:t xml:space="preserve"> to work better together, in a home-like setting.</w:t>
      </w:r>
      <w:r w:rsidRPr="001C2549">
        <w:rPr>
          <w:spacing w:val="-4"/>
          <w:kern w:val="22"/>
          <w:vertAlign w:val="superscript"/>
          <w:lang w:val="en-GB"/>
        </w:rPr>
        <w:endnoteReference w:id="22"/>
      </w:r>
      <w:r w:rsidRPr="001C2549">
        <w:rPr>
          <w:spacing w:val="-4"/>
          <w:kern w:val="22"/>
          <w:lang w:val="en-GB"/>
        </w:rPr>
        <w:t xml:space="preserve"> The notion of working better and together was especially important for events such as company retreats, and could lead to strengthening bonds by having groups spend more time together in an informal setting. </w:t>
      </w:r>
      <w:r w:rsidR="007449DD" w:rsidRPr="001C2549">
        <w:rPr>
          <w:spacing w:val="-4"/>
          <w:kern w:val="22"/>
          <w:lang w:val="en-GB"/>
        </w:rPr>
        <w:t>A</w:t>
      </w:r>
      <w:r w:rsidRPr="001C2549">
        <w:rPr>
          <w:spacing w:val="-4"/>
          <w:kern w:val="22"/>
          <w:lang w:val="en-GB"/>
        </w:rPr>
        <w:t xml:space="preserve"> comment made by Eric Caruthers, a business unit coordinator at Simple Global in Delaware, was particularly instructive: “Waking up and cooking breakfast together and setting up office in the dining room for a work day were just a few of the things we did that we would not have been able to do in a hotel.”</w:t>
      </w:r>
      <w:r w:rsidRPr="001C2549">
        <w:rPr>
          <w:spacing w:val="-4"/>
          <w:kern w:val="22"/>
          <w:vertAlign w:val="superscript"/>
          <w:lang w:val="en-GB"/>
        </w:rPr>
        <w:endnoteReference w:id="23"/>
      </w:r>
      <w:r w:rsidRPr="001C2549">
        <w:rPr>
          <w:spacing w:val="-4"/>
          <w:kern w:val="22"/>
          <w:lang w:val="en-GB"/>
        </w:rPr>
        <w:t> </w:t>
      </w:r>
    </w:p>
    <w:p w14:paraId="2FFE3D02" w14:textId="77777777" w:rsidR="000C1EF0" w:rsidRPr="00872839" w:rsidRDefault="000C1EF0" w:rsidP="00AC013A">
      <w:pPr>
        <w:pStyle w:val="BodyTextMain"/>
        <w:rPr>
          <w:lang w:val="en-GB"/>
        </w:rPr>
      </w:pPr>
    </w:p>
    <w:p w14:paraId="7B4A6C92" w14:textId="70FF79A1" w:rsidR="000C1EF0" w:rsidRPr="00872839" w:rsidRDefault="000C1EF0" w:rsidP="00AC013A">
      <w:pPr>
        <w:pStyle w:val="BodyTextMain"/>
        <w:rPr>
          <w:lang w:val="en-GB"/>
        </w:rPr>
      </w:pPr>
      <w:r w:rsidRPr="00872839">
        <w:rPr>
          <w:lang w:val="en-GB"/>
        </w:rPr>
        <w:t>The ABTV also offered a different, home</w:t>
      </w:r>
      <w:r w:rsidR="007449DD">
        <w:rPr>
          <w:lang w:val="en-GB"/>
        </w:rPr>
        <w:t>-</w:t>
      </w:r>
      <w:r w:rsidRPr="00872839">
        <w:rPr>
          <w:lang w:val="en-GB"/>
        </w:rPr>
        <w:t xml:space="preserve">like experience compared with staying in a hotel room. Kitchen and laundry facilities were key features that distinguished an ABTV experience </w:t>
      </w:r>
      <w:r w:rsidR="007449DD">
        <w:rPr>
          <w:lang w:val="en-GB"/>
        </w:rPr>
        <w:t>from that of</w:t>
      </w:r>
      <w:r w:rsidR="007449DD" w:rsidRPr="00872839">
        <w:rPr>
          <w:lang w:val="en-GB"/>
        </w:rPr>
        <w:t xml:space="preserve"> </w:t>
      </w:r>
      <w:r w:rsidRPr="00872839">
        <w:rPr>
          <w:lang w:val="en-GB"/>
        </w:rPr>
        <w:t xml:space="preserve">a hotel. </w:t>
      </w:r>
      <w:r w:rsidR="007449DD">
        <w:rPr>
          <w:lang w:val="en-GB"/>
        </w:rPr>
        <w:t>Further</w:t>
      </w:r>
      <w:r w:rsidRPr="00872839">
        <w:rPr>
          <w:lang w:val="en-GB"/>
        </w:rPr>
        <w:t>, Jonathan Leibtag, a business development lead at Airbnb, suggested that people on business travel were lonely because they were alone at night while away from family and friends, and they were often with people and places they were not entirely comfortable with. He added, “It’s all about the sense of care, purpose</w:t>
      </w:r>
      <w:r w:rsidR="007449DD">
        <w:rPr>
          <w:lang w:val="en-GB"/>
        </w:rPr>
        <w:t>,</w:t>
      </w:r>
      <w:r w:rsidRPr="00872839">
        <w:rPr>
          <w:lang w:val="en-GB"/>
        </w:rPr>
        <w:t xml:space="preserve"> and belonging that business travellers don’t really get at hotels.</w:t>
      </w:r>
      <w:r w:rsidR="007449DD">
        <w:rPr>
          <w:lang w:val="en-GB"/>
        </w:rPr>
        <w:t xml:space="preserve"> . . .</w:t>
      </w:r>
      <w:r w:rsidRPr="00872839">
        <w:rPr>
          <w:lang w:val="en-GB"/>
        </w:rPr>
        <w:t> There’s a higher level of hospitality with Airbnb.”</w:t>
      </w:r>
      <w:r w:rsidRPr="00872839">
        <w:rPr>
          <w:vertAlign w:val="superscript"/>
          <w:lang w:val="en-GB"/>
        </w:rPr>
        <w:endnoteReference w:id="24"/>
      </w:r>
      <w:r w:rsidRPr="00872839">
        <w:rPr>
          <w:lang w:val="en-GB"/>
        </w:rPr>
        <w:t xml:space="preserve"> </w:t>
      </w:r>
    </w:p>
    <w:p w14:paraId="477741C7" w14:textId="77777777" w:rsidR="000C1EF0" w:rsidRPr="00872839" w:rsidRDefault="000C1EF0" w:rsidP="00AC013A">
      <w:pPr>
        <w:pStyle w:val="BodyTextMain"/>
        <w:rPr>
          <w:lang w:val="en-GB"/>
        </w:rPr>
      </w:pPr>
    </w:p>
    <w:p w14:paraId="71340C88" w14:textId="13639AAD" w:rsidR="000C1EF0" w:rsidRPr="00872839" w:rsidRDefault="000C1EF0" w:rsidP="00AC013A">
      <w:pPr>
        <w:pStyle w:val="BodyTextMain"/>
        <w:rPr>
          <w:lang w:val="en-GB"/>
        </w:rPr>
      </w:pPr>
      <w:r w:rsidRPr="00872839">
        <w:rPr>
          <w:lang w:val="en-GB"/>
        </w:rPr>
        <w:t xml:space="preserve">Unlike business hotels, which were often clustered in a city’s central business district, the ABTV claimed to offer the convenience of booking accommodation in any part of a city, so that corporate managers could stay near their office, factory, warehouse, </w:t>
      </w:r>
      <w:r w:rsidR="007449DD">
        <w:rPr>
          <w:lang w:val="en-GB"/>
        </w:rPr>
        <w:t xml:space="preserve">or </w:t>
      </w:r>
      <w:r w:rsidRPr="00872839">
        <w:rPr>
          <w:lang w:val="en-GB"/>
        </w:rPr>
        <w:t>other facility, or any other part of town they wished.</w:t>
      </w:r>
      <w:r w:rsidRPr="00872839">
        <w:rPr>
          <w:vertAlign w:val="superscript"/>
          <w:lang w:val="en-GB"/>
        </w:rPr>
        <w:endnoteReference w:id="25"/>
      </w:r>
      <w:r w:rsidRPr="00872839">
        <w:rPr>
          <w:lang w:val="en-GB"/>
        </w:rPr>
        <w:t xml:space="preserve"> In this regard, Darragh Ormsby, a global travel manager at Google, commented, “Our employees appreciate the choice and flexibility that Airbnb listings provide them when they’re on the road—whether for conferences, meetings, or team off-sites.”</w:t>
      </w:r>
      <w:r w:rsidRPr="00872839">
        <w:rPr>
          <w:vertAlign w:val="superscript"/>
          <w:lang w:val="en-GB"/>
        </w:rPr>
        <w:endnoteReference w:id="26"/>
      </w:r>
    </w:p>
    <w:p w14:paraId="45235725" w14:textId="77777777" w:rsidR="000C1EF0" w:rsidRPr="00872839" w:rsidRDefault="000C1EF0" w:rsidP="00AC013A">
      <w:pPr>
        <w:pStyle w:val="BodyTextMain"/>
        <w:rPr>
          <w:lang w:val="en-GB"/>
        </w:rPr>
      </w:pPr>
    </w:p>
    <w:p w14:paraId="74D1A208" w14:textId="55DD7B2B" w:rsidR="000C1EF0" w:rsidRPr="00872839" w:rsidRDefault="000C1EF0" w:rsidP="00AC013A">
      <w:pPr>
        <w:pStyle w:val="BodyTextMain"/>
        <w:rPr>
          <w:lang w:val="en-GB"/>
        </w:rPr>
      </w:pPr>
      <w:r w:rsidRPr="00872839">
        <w:rPr>
          <w:lang w:val="en-GB"/>
        </w:rPr>
        <w:t xml:space="preserve">Using its considerable IT expertise, the ABTV offered corporate clients a dashboard that provided information on a variety of aspects, including the number of nights booked through the ABTV, total </w:t>
      </w:r>
      <w:r w:rsidR="000A0029">
        <w:rPr>
          <w:lang w:val="en-GB"/>
        </w:rPr>
        <w:t>price,</w:t>
      </w:r>
      <w:r w:rsidRPr="00872839">
        <w:rPr>
          <w:lang w:val="en-GB"/>
        </w:rPr>
        <w:t xml:space="preserve"> and</w:t>
      </w:r>
      <w:r w:rsidR="000A0029">
        <w:rPr>
          <w:lang w:val="en-GB"/>
        </w:rPr>
        <w:t xml:space="preserve"> </w:t>
      </w:r>
      <w:r w:rsidRPr="00872839">
        <w:rPr>
          <w:lang w:val="en-GB"/>
        </w:rPr>
        <w:t xml:space="preserve">average daily rate, in addition to details of individual trips. </w:t>
      </w:r>
      <w:r w:rsidR="000A0029">
        <w:rPr>
          <w:lang w:val="en-GB"/>
        </w:rPr>
        <w:t>On top of</w:t>
      </w:r>
      <w:r w:rsidRPr="00872839">
        <w:rPr>
          <w:lang w:val="en-GB"/>
        </w:rPr>
        <w:t xml:space="preserve"> facilitating the management of travel expenses, the dashboard also offered complete visibility in the form of details of active trips and upcoming trips. Finally, the dashboard provided the option of centralized billing, whereby either corporate clients were sent a periodic invoice for their employees’ stays at the ABTV properties</w:t>
      </w:r>
      <w:r w:rsidR="000A0029">
        <w:rPr>
          <w:lang w:val="en-GB"/>
        </w:rPr>
        <w:t>,</w:t>
      </w:r>
      <w:r w:rsidRPr="00872839">
        <w:rPr>
          <w:lang w:val="en-GB"/>
        </w:rPr>
        <w:t xml:space="preserve"> or corporate credit cards were linked for direct expensing, thus saving employees effort in terms of submitting claims.</w:t>
      </w:r>
      <w:r w:rsidRPr="00872839">
        <w:rPr>
          <w:vertAlign w:val="superscript"/>
          <w:lang w:val="en-GB"/>
        </w:rPr>
        <w:endnoteReference w:id="27"/>
      </w:r>
    </w:p>
    <w:p w14:paraId="77D2F6D6" w14:textId="77777777" w:rsidR="000C1EF0" w:rsidRPr="00872839" w:rsidRDefault="000C1EF0" w:rsidP="00AC013A">
      <w:pPr>
        <w:pStyle w:val="BodyTextMain"/>
        <w:rPr>
          <w:lang w:val="en-GB"/>
        </w:rPr>
      </w:pPr>
    </w:p>
    <w:p w14:paraId="29420B03" w14:textId="1C036CDA" w:rsidR="000C1EF0" w:rsidRPr="00872839" w:rsidRDefault="000A0029" w:rsidP="00AC013A">
      <w:pPr>
        <w:pStyle w:val="BodyTextMain"/>
        <w:rPr>
          <w:lang w:val="en-GB"/>
        </w:rPr>
      </w:pPr>
      <w:r>
        <w:rPr>
          <w:lang w:val="en-GB"/>
        </w:rPr>
        <w:t>In terms of costs, c</w:t>
      </w:r>
      <w:r w:rsidR="000C1EF0" w:rsidRPr="00872839">
        <w:rPr>
          <w:lang w:val="en-GB"/>
        </w:rPr>
        <w:t xml:space="preserve">orporate clients could save </w:t>
      </w:r>
      <w:r>
        <w:rPr>
          <w:lang w:val="en-GB"/>
        </w:rPr>
        <w:t>(</w:t>
      </w:r>
      <w:r w:rsidR="000C1EF0" w:rsidRPr="00872839">
        <w:rPr>
          <w:lang w:val="en-GB"/>
        </w:rPr>
        <w:t>according to Airbnb</w:t>
      </w:r>
      <w:r>
        <w:rPr>
          <w:lang w:val="en-GB"/>
        </w:rPr>
        <w:t>)</w:t>
      </w:r>
      <w:r w:rsidR="000C1EF0" w:rsidRPr="00872839">
        <w:rPr>
          <w:lang w:val="en-GB"/>
        </w:rPr>
        <w:t xml:space="preserve"> as much as 30 per cent,</w:t>
      </w:r>
      <w:r w:rsidRPr="000A0029">
        <w:rPr>
          <w:lang w:val="en-GB"/>
        </w:rPr>
        <w:t xml:space="preserve"> </w:t>
      </w:r>
      <w:r>
        <w:rPr>
          <w:lang w:val="en-GB"/>
        </w:rPr>
        <w:t>t</w:t>
      </w:r>
      <w:r w:rsidRPr="00872839">
        <w:rPr>
          <w:lang w:val="en-GB"/>
        </w:rPr>
        <w:t>hough the extent of savings depended on the location and other factors</w:t>
      </w:r>
      <w:r>
        <w:rPr>
          <w:lang w:val="en-GB"/>
        </w:rPr>
        <w:t>,</w:t>
      </w:r>
      <w:r w:rsidRPr="00872839">
        <w:rPr>
          <w:lang w:val="en-GB"/>
        </w:rPr>
        <w:t xml:space="preserve"> such as the season and the length of stay (Airbnb’s competitiveness improved for lengthier stays).</w:t>
      </w:r>
      <w:r w:rsidR="000C1EF0" w:rsidRPr="00872839">
        <w:rPr>
          <w:vertAlign w:val="superscript"/>
          <w:lang w:val="en-GB"/>
        </w:rPr>
        <w:endnoteReference w:id="28"/>
      </w:r>
      <w:r w:rsidR="000C1EF0" w:rsidRPr="00872839">
        <w:rPr>
          <w:lang w:val="en-GB"/>
        </w:rPr>
        <w:t xml:space="preserve"> According to a study of 22 U.S. cities by bus travel booking website Busbud, hotels were cheaper in southern cities, and Airbnb offered varying savings in northern cities. The savings offered by Airbnb were far more substantial in European cities (see Exhibit 2).</w:t>
      </w:r>
      <w:r w:rsidR="000C1EF0" w:rsidRPr="00872839">
        <w:rPr>
          <w:vertAlign w:val="superscript"/>
          <w:lang w:val="en-GB"/>
        </w:rPr>
        <w:endnoteReference w:id="29"/>
      </w:r>
      <w:r w:rsidR="000C1EF0" w:rsidRPr="00872839">
        <w:rPr>
          <w:lang w:val="en-GB"/>
        </w:rPr>
        <w:t xml:space="preserve"> According to another study by Rocketrip, a platform for saving business travel costs, booking on Airbnb versus hotels saved, on average, $116 per night.</w:t>
      </w:r>
      <w:r w:rsidR="000C1EF0" w:rsidRPr="00872839">
        <w:rPr>
          <w:vertAlign w:val="superscript"/>
          <w:lang w:val="en-GB"/>
        </w:rPr>
        <w:endnoteReference w:id="30"/>
      </w:r>
    </w:p>
    <w:p w14:paraId="73546C1F" w14:textId="77777777" w:rsidR="000C1EF0" w:rsidRPr="00872839" w:rsidRDefault="000C1EF0" w:rsidP="00AC013A">
      <w:pPr>
        <w:pStyle w:val="BodyTextMain"/>
        <w:rPr>
          <w:lang w:val="en-GB"/>
        </w:rPr>
      </w:pPr>
    </w:p>
    <w:p w14:paraId="24D83FF4" w14:textId="7633199E" w:rsidR="000C1EF0" w:rsidRPr="00872839" w:rsidRDefault="000C1EF0" w:rsidP="00E779B7">
      <w:pPr>
        <w:pStyle w:val="BodyTextMain"/>
        <w:rPr>
          <w:lang w:val="en-GB"/>
        </w:rPr>
      </w:pPr>
      <w:r w:rsidRPr="00872839">
        <w:rPr>
          <w:lang w:val="en-GB"/>
        </w:rPr>
        <w:t xml:space="preserve">An added attraction </w:t>
      </w:r>
      <w:r w:rsidR="00630AA0">
        <w:rPr>
          <w:lang w:val="en-GB"/>
        </w:rPr>
        <w:t>of</w:t>
      </w:r>
      <w:r w:rsidRPr="00872839">
        <w:rPr>
          <w:lang w:val="en-GB"/>
        </w:rPr>
        <w:t xml:space="preserve"> Airbnb’s platform was a review system that received contributions from more than 80 per cent of Airbnb hosts and users, as compared with approximately 30 per cent contribution to the review system for hotels.</w:t>
      </w:r>
      <w:r w:rsidRPr="00872839">
        <w:rPr>
          <w:vertAlign w:val="superscript"/>
          <w:lang w:val="en-GB"/>
        </w:rPr>
        <w:endnoteReference w:id="31"/>
      </w:r>
      <w:r w:rsidR="00630AA0">
        <w:rPr>
          <w:lang w:val="en-GB"/>
        </w:rPr>
        <w:t xml:space="preserve"> </w:t>
      </w:r>
      <w:r w:rsidRPr="00872839">
        <w:rPr>
          <w:lang w:val="en-GB"/>
        </w:rPr>
        <w:t>The ABTV also offered great convenience when business travellers wished to combine business with leisure (i.e., “bleisure”)—e.g., by extending their business trips or bringing their family members along. A recent survey by the Global Business Travel Association</w:t>
      </w:r>
      <w:r w:rsidR="00630AA0">
        <w:rPr>
          <w:lang w:val="en-GB"/>
        </w:rPr>
        <w:t xml:space="preserve"> </w:t>
      </w:r>
      <w:r w:rsidRPr="00872839">
        <w:rPr>
          <w:lang w:val="en-GB"/>
        </w:rPr>
        <w:t>and American Express had noted that during the fourth quarter of 2015, 36 per cent of business travellers had extended a business trip for leisure travel, and 67 per cent believed that having that option was important.</w:t>
      </w:r>
      <w:r w:rsidRPr="00872839">
        <w:rPr>
          <w:vertAlign w:val="superscript"/>
          <w:lang w:val="en-GB"/>
        </w:rPr>
        <w:endnoteReference w:id="32"/>
      </w:r>
      <w:r w:rsidRPr="00872839">
        <w:rPr>
          <w:lang w:val="en-GB"/>
        </w:rPr>
        <w:t xml:space="preserve"> According to Katharine Williams of Goldspring Consulting, millennials were even more comfortable than other generations about bleisure</w:t>
      </w:r>
      <w:r w:rsidR="00630AA0">
        <w:rPr>
          <w:lang w:val="en-GB"/>
        </w:rPr>
        <w:t>,</w:t>
      </w:r>
      <w:r w:rsidRPr="00872839">
        <w:rPr>
          <w:lang w:val="en-GB"/>
        </w:rPr>
        <w:t xml:space="preserve"> and so were their employers because bleisure sometimes saved them costs (i.e., employees travelled during off-peak hours) and boosted motivation levels.</w:t>
      </w:r>
      <w:r w:rsidRPr="00872839">
        <w:rPr>
          <w:vertAlign w:val="superscript"/>
          <w:lang w:val="en-GB"/>
        </w:rPr>
        <w:endnoteReference w:id="33"/>
      </w:r>
    </w:p>
    <w:p w14:paraId="4065731D" w14:textId="77777777" w:rsidR="000C1EF0" w:rsidRPr="00872839" w:rsidRDefault="000C1EF0" w:rsidP="007F1F54">
      <w:pPr>
        <w:pStyle w:val="BodyTextMain"/>
        <w:rPr>
          <w:sz w:val="16"/>
          <w:lang w:val="en-GB"/>
        </w:rPr>
      </w:pPr>
    </w:p>
    <w:p w14:paraId="0EFE0644" w14:textId="2C86A7C5" w:rsidR="000C1EF0" w:rsidRPr="00872839" w:rsidRDefault="000C1EF0" w:rsidP="007449DD">
      <w:pPr>
        <w:pStyle w:val="Casehead1"/>
        <w:outlineLvl w:val="0"/>
        <w:rPr>
          <w:lang w:val="en-GB"/>
        </w:rPr>
      </w:pPr>
      <w:r w:rsidRPr="00872839">
        <w:rPr>
          <w:lang w:val="en-GB"/>
        </w:rPr>
        <w:lastRenderedPageBreak/>
        <w:t xml:space="preserve">THE ABTV strategy: Supply-side policies </w:t>
      </w:r>
    </w:p>
    <w:p w14:paraId="4243134E" w14:textId="77777777" w:rsidR="000C1EF0" w:rsidRPr="00872839" w:rsidRDefault="000C1EF0" w:rsidP="007F1F54">
      <w:pPr>
        <w:pStyle w:val="BodyTextMain"/>
        <w:rPr>
          <w:sz w:val="16"/>
          <w:lang w:val="en-GB"/>
        </w:rPr>
      </w:pPr>
    </w:p>
    <w:p w14:paraId="5A6BF9FB" w14:textId="16E96902" w:rsidR="000C1EF0" w:rsidRPr="00872839" w:rsidRDefault="000C1EF0" w:rsidP="00E779B7">
      <w:pPr>
        <w:pStyle w:val="BodyTextMain"/>
        <w:rPr>
          <w:lang w:val="en-GB"/>
        </w:rPr>
      </w:pPr>
      <w:r w:rsidRPr="00872839">
        <w:rPr>
          <w:lang w:val="en-GB"/>
        </w:rPr>
        <w:t>To be included in Airbnb’s Business Travel Ready (BTR) listing, homeowners were required to meet a rigorous set of requirements: the listing needed to include the entire eligible property type (i.e., a house, apartment, bed and breakfast, townhouse, loft, or condo), and it needed to be both smoke</w:t>
      </w:r>
      <w:r w:rsidR="00220AAA">
        <w:rPr>
          <w:lang w:val="en-GB"/>
        </w:rPr>
        <w:t xml:space="preserve"> </w:t>
      </w:r>
      <w:r w:rsidRPr="00872839">
        <w:rPr>
          <w:lang w:val="en-GB"/>
        </w:rPr>
        <w:t>free and pet</w:t>
      </w:r>
      <w:r w:rsidR="00220AAA">
        <w:rPr>
          <w:lang w:val="en-GB"/>
        </w:rPr>
        <w:t xml:space="preserve"> </w:t>
      </w:r>
      <w:r w:rsidRPr="00872839">
        <w:rPr>
          <w:lang w:val="en-GB"/>
        </w:rPr>
        <w:t xml:space="preserve">free. If the host had a pet that would not be present during the guest’s stay, the apartment needed to be cleaned before the guest’s arrival. </w:t>
      </w:r>
    </w:p>
    <w:p w14:paraId="55BFDB7E" w14:textId="77777777" w:rsidR="000C1EF0" w:rsidRPr="00872839" w:rsidRDefault="000C1EF0" w:rsidP="00E779B7">
      <w:pPr>
        <w:pStyle w:val="BodyTextMain"/>
        <w:rPr>
          <w:lang w:val="en-GB"/>
        </w:rPr>
      </w:pPr>
    </w:p>
    <w:p w14:paraId="7AAAA5AE" w14:textId="3CA53BAF" w:rsidR="000C1EF0" w:rsidRPr="00872839" w:rsidRDefault="000C1EF0" w:rsidP="00E779B7">
      <w:pPr>
        <w:pStyle w:val="BodyTextMain"/>
        <w:rPr>
          <w:lang w:val="en-GB"/>
        </w:rPr>
      </w:pPr>
      <w:r w:rsidRPr="00872839">
        <w:rPr>
          <w:lang w:val="en-GB"/>
        </w:rPr>
        <w:t>The listing also needed to provide the following BTR amenities: wireless Internet, a laptop-friendly workspace, self</w:t>
      </w:r>
      <w:r w:rsidR="00E80054">
        <w:rPr>
          <w:lang w:val="en-GB"/>
        </w:rPr>
        <w:t>-</w:t>
      </w:r>
      <w:r w:rsidRPr="00872839">
        <w:rPr>
          <w:lang w:val="en-GB"/>
        </w:rPr>
        <w:t>check-ins (i.e., a key lockbox, door personnel, keypad, or smart</w:t>
      </w:r>
      <w:r w:rsidR="00A22E9E">
        <w:rPr>
          <w:lang w:val="en-GB"/>
        </w:rPr>
        <w:t xml:space="preserve"> </w:t>
      </w:r>
      <w:r w:rsidRPr="00872839">
        <w:rPr>
          <w:lang w:val="en-GB"/>
        </w:rPr>
        <w:t xml:space="preserve">lock) so that guests could check in whenever they wished to, a smoke detector, a carbon monoxide detector, essentials (e.g., toilet paper, clean towels, and fresh linens), an iron, </w:t>
      </w:r>
      <w:r w:rsidR="00A236AC">
        <w:rPr>
          <w:lang w:val="en-GB"/>
        </w:rPr>
        <w:t xml:space="preserve">clothes </w:t>
      </w:r>
      <w:r w:rsidRPr="00872839">
        <w:rPr>
          <w:lang w:val="en-GB"/>
        </w:rPr>
        <w:t>hangers, and a hair dryer.</w:t>
      </w:r>
      <w:r w:rsidR="00176D45">
        <w:rPr>
          <w:lang w:val="en-GB"/>
        </w:rPr>
        <w:t xml:space="preserve"> </w:t>
      </w:r>
      <w:r w:rsidRPr="00872839">
        <w:rPr>
          <w:lang w:val="en-GB"/>
        </w:rPr>
        <w:t>With regard to reviews, listings needed to have achieved at least three-star-rated reviews before they could be eligible for BTR status. To maintain BTR status, listings</w:t>
      </w:r>
      <w:r w:rsidR="006F7771">
        <w:rPr>
          <w:lang w:val="en-GB"/>
        </w:rPr>
        <w:t xml:space="preserve"> had</w:t>
      </w:r>
      <w:r w:rsidRPr="00872839">
        <w:rPr>
          <w:lang w:val="en-GB"/>
        </w:rPr>
        <w:t xml:space="preserve"> to achieve five stars for at least 60 per cent of the</w:t>
      </w:r>
      <w:r w:rsidR="006F7771">
        <w:rPr>
          <w:lang w:val="en-GB"/>
        </w:rPr>
        <w:t>ir</w:t>
      </w:r>
      <w:r w:rsidRPr="00872839">
        <w:rPr>
          <w:lang w:val="en-GB"/>
        </w:rPr>
        <w:t xml:space="preserve"> primary reviews, cleanliness reviews, and accuracy reviews.</w:t>
      </w:r>
      <w:r w:rsidRPr="00872839">
        <w:rPr>
          <w:vertAlign w:val="superscript"/>
          <w:lang w:val="en-GB"/>
        </w:rPr>
        <w:endnoteReference w:id="34"/>
      </w:r>
      <w:r w:rsidRPr="00872839">
        <w:rPr>
          <w:lang w:val="en-GB"/>
        </w:rPr>
        <w:t xml:space="preserve"> </w:t>
      </w:r>
    </w:p>
    <w:p w14:paraId="1C5A61AE" w14:textId="77777777" w:rsidR="000C1EF0" w:rsidRPr="00872839" w:rsidRDefault="000C1EF0" w:rsidP="00E779B7">
      <w:pPr>
        <w:pStyle w:val="BodyTextMain"/>
        <w:rPr>
          <w:lang w:val="en-GB"/>
        </w:rPr>
      </w:pPr>
    </w:p>
    <w:p w14:paraId="7FA2F69F" w14:textId="0B765678" w:rsidR="000C1EF0" w:rsidRPr="00872839" w:rsidRDefault="000C1EF0" w:rsidP="00E779B7">
      <w:pPr>
        <w:pStyle w:val="BodyTextMain"/>
        <w:rPr>
          <w:lang w:val="en-GB"/>
        </w:rPr>
      </w:pPr>
      <w:r w:rsidRPr="00872839">
        <w:rPr>
          <w:lang w:val="en-GB"/>
        </w:rPr>
        <w:t>Two additional conditions were imposed on hosts: they needed to respond to 90 per cent of the booking requests within 24 hours, and they could not cancel a reservation within seven days of the arrival date. If a listing had a cancellation within seven days of a confirmed check-in date, it would not be considered for a BTR listing for one year from the cancellation date.</w:t>
      </w:r>
      <w:r w:rsidRPr="00872839">
        <w:rPr>
          <w:vertAlign w:val="superscript"/>
          <w:lang w:val="en-GB"/>
        </w:rPr>
        <w:endnoteReference w:id="35"/>
      </w:r>
    </w:p>
    <w:p w14:paraId="5B72476A" w14:textId="77777777" w:rsidR="000C1EF0" w:rsidRPr="00872839" w:rsidRDefault="000C1EF0" w:rsidP="00E779B7">
      <w:pPr>
        <w:pStyle w:val="BodyTextMain"/>
        <w:rPr>
          <w:lang w:val="en-GB"/>
        </w:rPr>
      </w:pPr>
    </w:p>
    <w:p w14:paraId="29DC400D" w14:textId="73F85BB0" w:rsidR="000C1EF0" w:rsidRPr="00872839" w:rsidRDefault="000C1EF0" w:rsidP="00E779B7">
      <w:pPr>
        <w:pStyle w:val="BodyTextMain"/>
        <w:rPr>
          <w:lang w:val="en-GB"/>
        </w:rPr>
      </w:pPr>
      <w:r w:rsidRPr="00872839">
        <w:rPr>
          <w:lang w:val="en-GB"/>
        </w:rPr>
        <w:t>Airbnb also recommended that</w:t>
      </w:r>
      <w:r w:rsidR="0038037E">
        <w:rPr>
          <w:lang w:val="en-GB"/>
        </w:rPr>
        <w:t>,</w:t>
      </w:r>
      <w:r w:rsidRPr="00872839">
        <w:rPr>
          <w:lang w:val="en-GB"/>
        </w:rPr>
        <w:t xml:space="preserve"> to make their listings more attractive, BTR hosts consider offering </w:t>
      </w:r>
      <w:r w:rsidR="00DC178A">
        <w:rPr>
          <w:lang w:val="en-GB"/>
        </w:rPr>
        <w:t xml:space="preserve">other </w:t>
      </w:r>
      <w:r w:rsidRPr="00872839">
        <w:rPr>
          <w:lang w:val="en-GB"/>
        </w:rPr>
        <w:t xml:space="preserve">facilities, such as charging stations with smartphone and iPhone cables, high-speed Wi-Fi, wireless printer/scanner, high-pressure shower and adequate shaving facilities, shoe polish, clothes steamer, mini sewing kit, work desk, chair and lamps, white board, </w:t>
      </w:r>
      <w:r w:rsidR="0038037E">
        <w:rPr>
          <w:lang w:val="en-GB"/>
        </w:rPr>
        <w:t xml:space="preserve">and </w:t>
      </w:r>
      <w:r w:rsidRPr="00872839">
        <w:rPr>
          <w:lang w:val="en-GB"/>
        </w:rPr>
        <w:t>coffee machine, and possibly airport transfers and laundry (the last two for additional fees).</w:t>
      </w:r>
      <w:r w:rsidRPr="00872839">
        <w:rPr>
          <w:vertAlign w:val="superscript"/>
          <w:lang w:val="en-GB"/>
        </w:rPr>
        <w:endnoteReference w:id="36"/>
      </w:r>
    </w:p>
    <w:p w14:paraId="32D36D6E" w14:textId="77777777" w:rsidR="000C1EF0" w:rsidRPr="00872839" w:rsidRDefault="000C1EF0" w:rsidP="00E779B7">
      <w:pPr>
        <w:pStyle w:val="BodyTextMain"/>
        <w:rPr>
          <w:lang w:val="en-GB"/>
        </w:rPr>
      </w:pPr>
    </w:p>
    <w:p w14:paraId="01920A2B" w14:textId="51C60475" w:rsidR="000C1EF0" w:rsidRPr="00872839" w:rsidRDefault="000C1EF0" w:rsidP="00E779B7">
      <w:pPr>
        <w:pStyle w:val="BodyTextMain"/>
        <w:rPr>
          <w:lang w:val="en-GB"/>
        </w:rPr>
      </w:pPr>
      <w:r w:rsidRPr="00872839">
        <w:rPr>
          <w:lang w:val="en-GB"/>
        </w:rPr>
        <w:t xml:space="preserve">Airbnb pointed out several benefits to hosts </w:t>
      </w:r>
      <w:r w:rsidR="00060639">
        <w:rPr>
          <w:lang w:val="en-GB"/>
        </w:rPr>
        <w:t xml:space="preserve">of </w:t>
      </w:r>
      <w:r w:rsidRPr="00872839">
        <w:rPr>
          <w:lang w:val="en-GB"/>
        </w:rPr>
        <w:t>joining the BTR program, including longer length</w:t>
      </w:r>
      <w:r w:rsidR="00A234E6">
        <w:rPr>
          <w:lang w:val="en-GB"/>
        </w:rPr>
        <w:t>s</w:t>
      </w:r>
      <w:r w:rsidRPr="00872839">
        <w:rPr>
          <w:lang w:val="en-GB"/>
        </w:rPr>
        <w:t xml:space="preserve"> of stays (two times longer than leisure stays), higher pricing, lower seasonality, greater occupancy rates, and lower likelihood of property damage.</w:t>
      </w:r>
      <w:r w:rsidRPr="00872839">
        <w:rPr>
          <w:vertAlign w:val="superscript"/>
          <w:lang w:val="en-GB"/>
        </w:rPr>
        <w:endnoteReference w:id="37"/>
      </w:r>
      <w:r w:rsidRPr="00872839">
        <w:rPr>
          <w:lang w:val="en-GB"/>
        </w:rPr>
        <w:t xml:space="preserve"> </w:t>
      </w:r>
      <w:r w:rsidR="00A234E6">
        <w:rPr>
          <w:lang w:val="en-GB"/>
        </w:rPr>
        <w:t>The company</w:t>
      </w:r>
      <w:r w:rsidRPr="00872839">
        <w:rPr>
          <w:lang w:val="en-GB"/>
        </w:rPr>
        <w:t xml:space="preserve"> also offered BTR hosts support in several areas in exchange for conforming to the strict requirements of the program. Its assistance in terms of smart pricing</w:t>
      </w:r>
      <w:r w:rsidR="00A234E6">
        <w:rPr>
          <w:lang w:val="en-GB"/>
        </w:rPr>
        <w:t xml:space="preserve"> (</w:t>
      </w:r>
      <w:r w:rsidRPr="00872839">
        <w:rPr>
          <w:lang w:val="en-GB"/>
        </w:rPr>
        <w:t xml:space="preserve">which </w:t>
      </w:r>
      <w:r w:rsidR="00A234E6">
        <w:rPr>
          <w:lang w:val="en-GB"/>
        </w:rPr>
        <w:t>varied</w:t>
      </w:r>
      <w:r w:rsidRPr="00872839">
        <w:rPr>
          <w:lang w:val="en-GB"/>
        </w:rPr>
        <w:t xml:space="preserve"> the price of the listing within a band specified by the host</w:t>
      </w:r>
      <w:r w:rsidR="00A234E6">
        <w:rPr>
          <w:lang w:val="en-GB"/>
        </w:rPr>
        <w:t>)</w:t>
      </w:r>
      <w:r w:rsidRPr="00872839">
        <w:rPr>
          <w:lang w:val="en-GB"/>
        </w:rPr>
        <w:t xml:space="preserve"> </w:t>
      </w:r>
      <w:r w:rsidR="00A234E6">
        <w:rPr>
          <w:lang w:val="en-GB"/>
        </w:rPr>
        <w:t>was</w:t>
      </w:r>
      <w:r w:rsidRPr="00872839">
        <w:rPr>
          <w:lang w:val="en-GB"/>
        </w:rPr>
        <w:t xml:space="preserve"> particularly useful for guests who lacked the information or analytical skills to deploy smart pricing</w:t>
      </w:r>
      <w:r w:rsidR="00A234E6">
        <w:rPr>
          <w:lang w:val="en-GB"/>
        </w:rPr>
        <w:t xml:space="preserve"> themselves</w:t>
      </w:r>
      <w:r w:rsidRPr="00872839">
        <w:rPr>
          <w:lang w:val="en-GB"/>
        </w:rPr>
        <w:t>. A dashboard provided hosts with, among other features, a better view of pending requests and reviews. They could also access advice from super guests in the community section.</w:t>
      </w:r>
      <w:r w:rsidRPr="00872839">
        <w:rPr>
          <w:vertAlign w:val="superscript"/>
          <w:lang w:val="en-GB"/>
        </w:rPr>
        <w:endnoteReference w:id="38"/>
      </w:r>
    </w:p>
    <w:p w14:paraId="1E076024" w14:textId="77777777" w:rsidR="000C1EF0" w:rsidRPr="00872839" w:rsidRDefault="000C1EF0" w:rsidP="00AC013A">
      <w:pPr>
        <w:pStyle w:val="BodyTextMain"/>
        <w:rPr>
          <w:lang w:val="en-GB"/>
        </w:rPr>
      </w:pPr>
    </w:p>
    <w:p w14:paraId="0EB20554" w14:textId="77777777" w:rsidR="001C2549" w:rsidRDefault="001C2549" w:rsidP="007449DD">
      <w:pPr>
        <w:pStyle w:val="Casehead1"/>
        <w:outlineLvl w:val="0"/>
        <w:rPr>
          <w:lang w:val="en-GB"/>
        </w:rPr>
      </w:pPr>
    </w:p>
    <w:p w14:paraId="1C000AB1" w14:textId="4A330480" w:rsidR="000C1EF0" w:rsidRPr="00872839" w:rsidRDefault="000C1EF0" w:rsidP="007449DD">
      <w:pPr>
        <w:pStyle w:val="Casehead1"/>
        <w:outlineLvl w:val="0"/>
        <w:rPr>
          <w:lang w:val="en-GB"/>
        </w:rPr>
      </w:pPr>
      <w:r w:rsidRPr="00872839">
        <w:rPr>
          <w:lang w:val="en-GB"/>
        </w:rPr>
        <w:t xml:space="preserve">The ABTV: Key customer wins and partnerships </w:t>
      </w:r>
    </w:p>
    <w:p w14:paraId="573E50A4" w14:textId="77777777" w:rsidR="000C1EF0" w:rsidRPr="00872839" w:rsidRDefault="000C1EF0" w:rsidP="00AC013A">
      <w:pPr>
        <w:pStyle w:val="BodyTextMain"/>
        <w:rPr>
          <w:lang w:val="en-GB"/>
        </w:rPr>
      </w:pPr>
    </w:p>
    <w:p w14:paraId="3F32C767" w14:textId="57CC6EC5" w:rsidR="000C1EF0" w:rsidRPr="00872839" w:rsidRDefault="000C1EF0" w:rsidP="00E779B7">
      <w:pPr>
        <w:pStyle w:val="BodyTextMain"/>
        <w:rPr>
          <w:lang w:val="en-GB" w:eastAsia="en-SG"/>
        </w:rPr>
      </w:pPr>
      <w:r w:rsidRPr="00872839">
        <w:rPr>
          <w:lang w:val="en-GB" w:eastAsia="en-SG"/>
        </w:rPr>
        <w:t>The ABTV had already enjoyed some success with companies such as Google and Morgan Stanley. In fact, Morgan Stanley had included Airbnb accommodations as a travel option after some of its younger employees had expressed interest in staying in Airbnb business accommodations.</w:t>
      </w:r>
      <w:r w:rsidRPr="00872839">
        <w:rPr>
          <w:vertAlign w:val="superscript"/>
          <w:lang w:val="en-GB" w:eastAsia="en-SG"/>
        </w:rPr>
        <w:endnoteReference w:id="39"/>
      </w:r>
      <w:r w:rsidRPr="00872839">
        <w:rPr>
          <w:lang w:val="en-GB" w:eastAsia="en-SG"/>
        </w:rPr>
        <w:t xml:space="preserve"> Google was another high-profile company whose employees were allowed (and chose) to stay in Airbnb accommodations. As early as 2014</w:t>
      </w:r>
      <w:r w:rsidR="00A234E6">
        <w:rPr>
          <w:lang w:val="en-GB" w:eastAsia="en-SG"/>
        </w:rPr>
        <w:t xml:space="preserve"> (</w:t>
      </w:r>
      <w:r w:rsidRPr="00872839">
        <w:rPr>
          <w:lang w:val="en-GB" w:eastAsia="en-SG"/>
        </w:rPr>
        <w:t>even before Airbnb’s corporate travel platform was launched</w:t>
      </w:r>
      <w:r w:rsidR="00A234E6">
        <w:rPr>
          <w:lang w:val="en-GB" w:eastAsia="en-SG"/>
        </w:rPr>
        <w:t>)</w:t>
      </w:r>
      <w:r w:rsidRPr="00872839">
        <w:rPr>
          <w:lang w:val="en-GB" w:eastAsia="en-SG"/>
        </w:rPr>
        <w:t>, one estimate put the Airbnb spending by Google employees at approximately $2 million for the preceding 12 months.</w:t>
      </w:r>
      <w:r w:rsidRPr="00872839">
        <w:rPr>
          <w:vertAlign w:val="superscript"/>
          <w:lang w:val="en-GB" w:eastAsia="en-SG"/>
        </w:rPr>
        <w:endnoteReference w:id="40"/>
      </w:r>
      <w:r w:rsidRPr="00872839">
        <w:rPr>
          <w:lang w:val="en-GB" w:eastAsia="en-SG"/>
        </w:rPr>
        <w:t xml:space="preserve"> According to a study conducted by Concur, a U</w:t>
      </w:r>
      <w:r w:rsidR="00A234E6">
        <w:rPr>
          <w:lang w:val="en-GB" w:eastAsia="en-SG"/>
        </w:rPr>
        <w:t>.</w:t>
      </w:r>
      <w:r w:rsidRPr="00872839">
        <w:rPr>
          <w:lang w:val="en-GB" w:eastAsia="en-SG"/>
        </w:rPr>
        <w:t>S</w:t>
      </w:r>
      <w:r w:rsidR="00A234E6">
        <w:rPr>
          <w:lang w:val="en-GB" w:eastAsia="en-SG"/>
        </w:rPr>
        <w:t>.</w:t>
      </w:r>
      <w:r w:rsidRPr="00872839">
        <w:rPr>
          <w:lang w:val="en-GB" w:eastAsia="en-SG"/>
        </w:rPr>
        <w:t>-based expense management company, corporate spending on Airbnb properties grew 42 per cent year-on-year in the second quarter of 2016 to $77 million, well ahead of the growth for hotel chains. However, this spending was concentrated in a few major cities</w:t>
      </w:r>
      <w:r w:rsidR="00A234E6">
        <w:rPr>
          <w:lang w:val="en-GB" w:eastAsia="en-SG"/>
        </w:rPr>
        <w:t>,</w:t>
      </w:r>
      <w:r w:rsidRPr="00872839">
        <w:rPr>
          <w:lang w:val="en-GB" w:eastAsia="en-SG"/>
        </w:rPr>
        <w:t xml:space="preserve"> such as London, New York, and San Francisco. Tim MacDonald, executive vice-president of global products at Concur, </w:t>
      </w:r>
      <w:r w:rsidRPr="00872839">
        <w:rPr>
          <w:lang w:val="en-GB" w:eastAsia="en-SG"/>
        </w:rPr>
        <w:lastRenderedPageBreak/>
        <w:t xml:space="preserve">also </w:t>
      </w:r>
      <w:r w:rsidR="00A234E6">
        <w:rPr>
          <w:lang w:val="en-GB" w:eastAsia="en-SG"/>
        </w:rPr>
        <w:t xml:space="preserve">noted </w:t>
      </w:r>
      <w:r w:rsidRPr="00872839">
        <w:rPr>
          <w:lang w:val="en-GB" w:eastAsia="en-SG"/>
        </w:rPr>
        <w:t>that the momentum for spending on Airbnb was strongest among small and mid-sized business</w:t>
      </w:r>
      <w:r w:rsidR="00A234E6">
        <w:rPr>
          <w:lang w:val="en-GB" w:eastAsia="en-SG"/>
        </w:rPr>
        <w:t>es,</w:t>
      </w:r>
      <w:r w:rsidRPr="00872839">
        <w:rPr>
          <w:lang w:val="en-GB" w:eastAsia="en-SG"/>
        </w:rPr>
        <w:t xml:space="preserve"> and in the tech and higher-education sectors.</w:t>
      </w:r>
      <w:r w:rsidRPr="00872839">
        <w:rPr>
          <w:vertAlign w:val="superscript"/>
          <w:lang w:val="en-GB" w:eastAsia="en-SG"/>
        </w:rPr>
        <w:endnoteReference w:id="41"/>
      </w:r>
      <w:r w:rsidRPr="00872839">
        <w:rPr>
          <w:lang w:val="en-GB" w:eastAsia="en-SG"/>
        </w:rPr>
        <w:t xml:space="preserve"> </w:t>
      </w:r>
    </w:p>
    <w:p w14:paraId="015E2C91" w14:textId="77777777" w:rsidR="000C1EF0" w:rsidRPr="00872839" w:rsidRDefault="000C1EF0" w:rsidP="00E779B7">
      <w:pPr>
        <w:pStyle w:val="BodyTextMain"/>
        <w:rPr>
          <w:lang w:val="en-GB" w:eastAsia="en-SG"/>
        </w:rPr>
      </w:pPr>
    </w:p>
    <w:p w14:paraId="1A1895D5" w14:textId="52BB2A6E" w:rsidR="000C1EF0" w:rsidRPr="00872839" w:rsidRDefault="000C1EF0" w:rsidP="00E779B7">
      <w:pPr>
        <w:pStyle w:val="BodyTextMain"/>
        <w:rPr>
          <w:lang w:val="en-GB" w:eastAsia="en-SG"/>
        </w:rPr>
      </w:pPr>
      <w:r w:rsidRPr="00872839">
        <w:rPr>
          <w:lang w:val="en-GB" w:eastAsia="en-SG"/>
        </w:rPr>
        <w:t>With regard to partnerships, in July 2016, Airbnb announced that American Express Global Business Travel, BCD Travel, and Carlson Wagonlit Travel would integrate Airbnb for business into their platforms</w:t>
      </w:r>
      <w:r w:rsidR="00F15DA8">
        <w:rPr>
          <w:lang w:val="en-GB" w:eastAsia="en-SG"/>
        </w:rPr>
        <w:t>,</w:t>
      </w:r>
      <w:r w:rsidRPr="00872839">
        <w:rPr>
          <w:lang w:val="en-GB" w:eastAsia="en-SG"/>
        </w:rPr>
        <w:t xml:space="preserve"> and allow employees and travel managers to book stays with Airbnb. By September 2016, Airbnb had managed to convince several thousand companies to allow their employees to use Airbnb for corporate travel.</w:t>
      </w:r>
      <w:r w:rsidRPr="00872839">
        <w:rPr>
          <w:vertAlign w:val="superscript"/>
          <w:lang w:val="en-GB" w:eastAsia="en-SG"/>
        </w:rPr>
        <w:endnoteReference w:id="42"/>
      </w:r>
      <w:r w:rsidRPr="00872839">
        <w:rPr>
          <w:lang w:val="en-GB" w:eastAsia="en-SG"/>
        </w:rPr>
        <w:t xml:space="preserve"> In November 2016, Airplus </w:t>
      </w:r>
      <w:r w:rsidRPr="00872839">
        <w:rPr>
          <w:bCs/>
          <w:lang w:val="en-GB" w:eastAsia="en-SG"/>
        </w:rPr>
        <w:t>International and Airbnb said that they would introduce a new integrated solution for the booking, billing, and payment of business-related travel.</w:t>
      </w:r>
      <w:r w:rsidRPr="00872839">
        <w:rPr>
          <w:bCs/>
          <w:vertAlign w:val="superscript"/>
          <w:lang w:val="en-GB" w:eastAsia="en-SG"/>
        </w:rPr>
        <w:endnoteReference w:id="43"/>
      </w:r>
    </w:p>
    <w:p w14:paraId="33419364" w14:textId="77777777" w:rsidR="000C1EF0" w:rsidRPr="00872839" w:rsidRDefault="000C1EF0" w:rsidP="00E779B7">
      <w:pPr>
        <w:pStyle w:val="BodyTextMain"/>
        <w:rPr>
          <w:lang w:val="en-GB" w:eastAsia="en-SG"/>
        </w:rPr>
      </w:pPr>
    </w:p>
    <w:p w14:paraId="3C38D6EF" w14:textId="0473465F" w:rsidR="000C1EF0" w:rsidRPr="00872839" w:rsidRDefault="000C1EF0" w:rsidP="00E779B7">
      <w:pPr>
        <w:pStyle w:val="BodyTextMain"/>
        <w:rPr>
          <w:lang w:val="en-GB" w:eastAsia="en-SG"/>
        </w:rPr>
      </w:pPr>
      <w:r w:rsidRPr="00872839">
        <w:rPr>
          <w:lang w:val="en-GB" w:eastAsia="en-SG"/>
        </w:rPr>
        <w:t xml:space="preserve">Internally, Airbnb operated a sophisticated customer relationship management system, where all information about customer approaches, wins, key contacts, and other relevant information </w:t>
      </w:r>
      <w:r w:rsidR="00F15DA8">
        <w:rPr>
          <w:lang w:val="en-GB" w:eastAsia="en-SG"/>
        </w:rPr>
        <w:t>was</w:t>
      </w:r>
      <w:r w:rsidRPr="00872839">
        <w:rPr>
          <w:lang w:val="en-GB" w:eastAsia="en-SG"/>
        </w:rPr>
        <w:t xml:space="preserve"> available to different parts of Airbnb, including across geographies. This functionality would enable the Asian operation, for instance, to approach a multinational</w:t>
      </w:r>
      <w:r w:rsidR="00F15DA8">
        <w:rPr>
          <w:lang w:val="en-GB" w:eastAsia="en-SG"/>
        </w:rPr>
        <w:t xml:space="preserve"> </w:t>
      </w:r>
      <w:r w:rsidRPr="00872839">
        <w:rPr>
          <w:lang w:val="en-GB" w:eastAsia="en-SG"/>
        </w:rPr>
        <w:t>client with the information that the client was also using Airbnb business travel services in another country.</w:t>
      </w:r>
      <w:r w:rsidRPr="00872839">
        <w:rPr>
          <w:vertAlign w:val="superscript"/>
          <w:lang w:val="en-GB" w:eastAsia="en-SG"/>
        </w:rPr>
        <w:endnoteReference w:id="44"/>
      </w:r>
      <w:r w:rsidRPr="00872839">
        <w:rPr>
          <w:lang w:val="en-GB" w:eastAsia="en-SG"/>
        </w:rPr>
        <w:t xml:space="preserve"> </w:t>
      </w:r>
    </w:p>
    <w:p w14:paraId="3A7C2FE1" w14:textId="77777777" w:rsidR="000C1EF0" w:rsidRPr="00872839" w:rsidRDefault="000C1EF0" w:rsidP="00AC013A">
      <w:pPr>
        <w:pStyle w:val="BodyTextMain"/>
        <w:rPr>
          <w:lang w:val="en-GB"/>
        </w:rPr>
      </w:pPr>
    </w:p>
    <w:p w14:paraId="028D60DC" w14:textId="77777777" w:rsidR="000C1EF0" w:rsidRPr="00872839" w:rsidRDefault="000C1EF0" w:rsidP="00AC013A">
      <w:pPr>
        <w:pStyle w:val="BodyTextMain"/>
        <w:rPr>
          <w:lang w:val="en-GB"/>
        </w:rPr>
      </w:pPr>
    </w:p>
    <w:p w14:paraId="25EEDE1C" w14:textId="3EC8C628" w:rsidR="000C1EF0" w:rsidRPr="00872839" w:rsidRDefault="000C1EF0" w:rsidP="007449DD">
      <w:pPr>
        <w:pStyle w:val="Casehead1"/>
        <w:outlineLvl w:val="0"/>
        <w:rPr>
          <w:lang w:val="en-GB"/>
        </w:rPr>
      </w:pPr>
      <w:r w:rsidRPr="00872839">
        <w:rPr>
          <w:lang w:val="en-GB"/>
        </w:rPr>
        <w:t xml:space="preserve">The Asian Business Traveller: Country-level differences and archetypeS </w:t>
      </w:r>
    </w:p>
    <w:p w14:paraId="4945A8C6" w14:textId="77777777" w:rsidR="000C1EF0" w:rsidRPr="00872839" w:rsidRDefault="000C1EF0" w:rsidP="00AC013A">
      <w:pPr>
        <w:pStyle w:val="BodyTextMain"/>
        <w:rPr>
          <w:lang w:val="en-GB"/>
        </w:rPr>
      </w:pPr>
    </w:p>
    <w:p w14:paraId="5B55D4CF" w14:textId="0153CB6D" w:rsidR="000C1EF0" w:rsidRPr="00872839" w:rsidRDefault="000C1EF0" w:rsidP="00E779B7">
      <w:pPr>
        <w:pStyle w:val="BodyTextMain"/>
        <w:rPr>
          <w:lang w:val="en-GB"/>
        </w:rPr>
      </w:pPr>
      <w:r w:rsidRPr="00872839">
        <w:rPr>
          <w:lang w:val="en-GB"/>
        </w:rPr>
        <w:t xml:space="preserve">Asian travellers </w:t>
      </w:r>
      <w:r w:rsidR="00A04575">
        <w:rPr>
          <w:lang w:val="en-GB"/>
        </w:rPr>
        <w:t>exhibited</w:t>
      </w:r>
      <w:r w:rsidRPr="00872839">
        <w:rPr>
          <w:lang w:val="en-GB"/>
        </w:rPr>
        <w:t xml:space="preserve"> important similarities and differences </w:t>
      </w:r>
      <w:r w:rsidR="00A04575">
        <w:rPr>
          <w:lang w:val="en-GB"/>
        </w:rPr>
        <w:t xml:space="preserve">when </w:t>
      </w:r>
      <w:r w:rsidRPr="00872839">
        <w:rPr>
          <w:lang w:val="en-GB"/>
        </w:rPr>
        <w:t xml:space="preserve">compared with their U.S. and European counterparts. </w:t>
      </w:r>
      <w:r w:rsidR="002C3854">
        <w:rPr>
          <w:lang w:val="en-GB"/>
        </w:rPr>
        <w:t>Like travellers</w:t>
      </w:r>
      <w:r w:rsidRPr="00872839">
        <w:rPr>
          <w:lang w:val="en-GB"/>
        </w:rPr>
        <w:t xml:space="preserve"> in the United States and Europe,</w:t>
      </w:r>
      <w:r w:rsidR="002C3854">
        <w:rPr>
          <w:lang w:val="en-GB"/>
        </w:rPr>
        <w:t xml:space="preserve"> Asian travellers</w:t>
      </w:r>
      <w:r w:rsidRPr="00872839">
        <w:rPr>
          <w:lang w:val="en-GB"/>
        </w:rPr>
        <w:t xml:space="preserve"> seemed to be curious about the experience offered by Airbnb. This curiosity had led to explosive growth for Airbnb’s leisure business in Asia—estimated at 400 per cent between 2015 and 2016. Airbnb for business </w:t>
      </w:r>
      <w:r w:rsidR="002C3854">
        <w:rPr>
          <w:lang w:val="en-GB"/>
        </w:rPr>
        <w:t xml:space="preserve">travel </w:t>
      </w:r>
      <w:r w:rsidRPr="00872839">
        <w:rPr>
          <w:lang w:val="en-GB"/>
        </w:rPr>
        <w:t>also seemed to have gained some traction within Asia. Julian Persaud, regional director for Airbnb Asia Pacific, claimed that one in 10 bookings in Asia was for business travel.</w:t>
      </w:r>
      <w:r w:rsidRPr="00872839">
        <w:rPr>
          <w:vertAlign w:val="superscript"/>
          <w:lang w:val="en-GB"/>
        </w:rPr>
        <w:endnoteReference w:id="45"/>
      </w:r>
      <w:r w:rsidRPr="00872839">
        <w:rPr>
          <w:lang w:val="en-GB"/>
        </w:rPr>
        <w:t xml:space="preserve"> </w:t>
      </w:r>
    </w:p>
    <w:p w14:paraId="0F955D8F" w14:textId="6798C210" w:rsidR="000C1EF0" w:rsidRPr="00872839" w:rsidRDefault="000C1EF0" w:rsidP="00E779B7">
      <w:pPr>
        <w:pStyle w:val="BodyTextMain"/>
        <w:rPr>
          <w:lang w:val="en-GB"/>
        </w:rPr>
      </w:pPr>
    </w:p>
    <w:p w14:paraId="06D1EA9C" w14:textId="06F350B2" w:rsidR="000C1EF0" w:rsidRDefault="000C1EF0" w:rsidP="00E779B7">
      <w:pPr>
        <w:pStyle w:val="BodyTextMain"/>
        <w:rPr>
          <w:lang w:val="en-GB"/>
        </w:rPr>
      </w:pPr>
      <w:r w:rsidRPr="00872839">
        <w:rPr>
          <w:lang w:val="en-GB"/>
        </w:rPr>
        <w:t>In October 2015, the Singapore Tourism Board (STB) released the results of a McKinsey survey of business travellers in five countries: Singapore, India, Indonesia, Japan, and China.</w:t>
      </w:r>
      <w:r w:rsidRPr="00872839">
        <w:rPr>
          <w:vertAlign w:val="superscript"/>
          <w:lang w:val="en-GB"/>
        </w:rPr>
        <w:endnoteReference w:id="46"/>
      </w:r>
      <w:r w:rsidRPr="00872839">
        <w:rPr>
          <w:lang w:val="en-GB"/>
        </w:rPr>
        <w:t xml:space="preserve"> The primary data gathered from travellers, which represented 78.8 per cent of Asia’s business travel spend, was supplemented with booking and spending data from Amadeus and Visa, providing further insights into Asian business travellers’ behavioural patterns. While releasing the results of the survey, the STB noted the significance of the Asian business traveller market, which was the largest in the world, accounting for 38 per cent of the total business travel spend of $1 trillion. This spending had doubled between 2000 and 2014, and was expected to grow four times faster than the North American business travel market and 2.5 times faster than the European market, leading to a further market share gain of 5 per cent. Asian business travellers were also two times more likely than Europeans to include weekend extensions to their business travel; in other words, bleisure was of interest to Asian travellers, particularly Chinese and Indian business travellers.</w:t>
      </w:r>
    </w:p>
    <w:p w14:paraId="08A8A190" w14:textId="77777777" w:rsidR="002C3854" w:rsidRPr="00872839" w:rsidRDefault="002C3854" w:rsidP="00E779B7">
      <w:pPr>
        <w:pStyle w:val="BodyTextMain"/>
        <w:rPr>
          <w:lang w:val="en-GB"/>
        </w:rPr>
      </w:pPr>
    </w:p>
    <w:p w14:paraId="74596E91" w14:textId="34FCF924" w:rsidR="000C1EF0" w:rsidRPr="00872839" w:rsidRDefault="000C1EF0" w:rsidP="00E779B7">
      <w:pPr>
        <w:pStyle w:val="BodyTextMain"/>
        <w:rPr>
          <w:lang w:val="en-GB"/>
        </w:rPr>
      </w:pPr>
      <w:r w:rsidRPr="00872839">
        <w:rPr>
          <w:lang w:val="en-GB"/>
        </w:rPr>
        <w:t>Several key conclusions arrived at by the STB’s analysis were interesting and relevant for the ABTV. The survey revealed that 69 per cent of Asian business travellers had flexibility in terms of choosing their carrier (i.e., their airline). The percentage of Asian business travellers who enjoyed flexibility for booking hotel travel was even greater—74 per cent. Second, similar to their peers in other countries, when choosing their accommodations, Asian business travellers placed great value on convenience—valuing proximity to work and features that promoted efficiency</w:t>
      </w:r>
      <w:r w:rsidR="000E4759">
        <w:rPr>
          <w:lang w:val="en-GB"/>
        </w:rPr>
        <w:t>,</w:t>
      </w:r>
      <w:r w:rsidRPr="00872839">
        <w:rPr>
          <w:lang w:val="en-GB"/>
        </w:rPr>
        <w:t xml:space="preserve"> such as hi-speed Wi-Fi. Third, 56 per cent of those surveyed viewed travel as a perk of their jobs rather than an unwelcome </w:t>
      </w:r>
      <w:r w:rsidR="000E4759">
        <w:rPr>
          <w:lang w:val="en-GB"/>
        </w:rPr>
        <w:t>demand.</w:t>
      </w:r>
      <w:r w:rsidRPr="00872839">
        <w:rPr>
          <w:lang w:val="en-GB"/>
        </w:rPr>
        <w:t xml:space="preserve"> This sentiment was particularly strong among Indonesians, more so than for Indian and Chinese business travellers. A majority of Asian business travellers (70 per cent) were familiar with sharing-economy accommodations, and 40 per cent would consider it for business travel.</w:t>
      </w:r>
      <w:r w:rsidR="000E4759">
        <w:rPr>
          <w:lang w:val="en-GB"/>
        </w:rPr>
        <w:t xml:space="preserve"> </w:t>
      </w:r>
      <w:r w:rsidRPr="00872839">
        <w:rPr>
          <w:lang w:val="en-GB"/>
        </w:rPr>
        <w:t xml:space="preserve">The survey results also confirmed that the diversity of Asian countries—in </w:t>
      </w:r>
      <w:r w:rsidRPr="00872839">
        <w:rPr>
          <w:lang w:val="en-GB"/>
        </w:rPr>
        <w:lastRenderedPageBreak/>
        <w:t>terms of affluence, culture, and other factors—translated into differences in preferences and behaviours (see Exhibits 3 and 4).</w:t>
      </w:r>
    </w:p>
    <w:p w14:paraId="5958E509" w14:textId="77777777" w:rsidR="000C1EF0" w:rsidRPr="00872839" w:rsidRDefault="000C1EF0" w:rsidP="00E779B7">
      <w:pPr>
        <w:pStyle w:val="BodyTextMain"/>
        <w:rPr>
          <w:lang w:val="en-GB"/>
        </w:rPr>
      </w:pPr>
    </w:p>
    <w:p w14:paraId="04C99358" w14:textId="77777777" w:rsidR="000C1EF0" w:rsidRPr="00872839" w:rsidRDefault="000C1EF0" w:rsidP="00E779B7">
      <w:pPr>
        <w:pStyle w:val="BodyTextMain"/>
        <w:rPr>
          <w:lang w:val="en-GB"/>
        </w:rPr>
      </w:pPr>
    </w:p>
    <w:p w14:paraId="109229C1" w14:textId="50F94AE1" w:rsidR="000C1EF0" w:rsidRPr="00872839" w:rsidRDefault="000C1EF0" w:rsidP="007449DD">
      <w:pPr>
        <w:pStyle w:val="Casehead2"/>
        <w:outlineLvl w:val="0"/>
        <w:rPr>
          <w:lang w:val="en-GB"/>
        </w:rPr>
      </w:pPr>
      <w:r w:rsidRPr="00872839">
        <w:rPr>
          <w:lang w:val="en-GB"/>
        </w:rPr>
        <w:t xml:space="preserve">The ABTV Strategy in Asia </w:t>
      </w:r>
    </w:p>
    <w:p w14:paraId="32249722" w14:textId="77777777" w:rsidR="000C1EF0" w:rsidRPr="00872839" w:rsidRDefault="000C1EF0" w:rsidP="00AC013A">
      <w:pPr>
        <w:pStyle w:val="BodyTextMain"/>
        <w:rPr>
          <w:lang w:val="en-GB"/>
        </w:rPr>
      </w:pPr>
    </w:p>
    <w:p w14:paraId="3EA96C9C" w14:textId="489C1105" w:rsidR="000C1EF0" w:rsidRPr="00872839" w:rsidRDefault="000C1EF0" w:rsidP="00E779B7">
      <w:pPr>
        <w:pStyle w:val="BodyTextMain"/>
        <w:rPr>
          <w:lang w:val="en-GB"/>
        </w:rPr>
      </w:pPr>
      <w:r w:rsidRPr="00872839">
        <w:rPr>
          <w:lang w:val="en-GB"/>
        </w:rPr>
        <w:t>Some of the key aspects of the ABTV strategy were the same for Asia as for the rest of the world, including the requirements placed on the hosts and the emphasis on partnerships. For instance, in October 2016, Citibank and Airbnb launched an alliance in Singapore under which Citi cardholders would receive a S$50</w:t>
      </w:r>
      <w:r w:rsidR="000E4759" w:rsidRPr="000E4759">
        <w:rPr>
          <w:lang w:val="en-GB"/>
        </w:rPr>
        <w:t xml:space="preserve"> </w:t>
      </w:r>
      <w:r w:rsidR="000E4759" w:rsidRPr="00872839">
        <w:rPr>
          <w:lang w:val="en-GB"/>
        </w:rPr>
        <w:t>discount on their first booking (business or leisure) on a minimum spend of at least S$250</w:t>
      </w:r>
      <w:r w:rsidR="000E4759">
        <w:rPr>
          <w:lang w:val="en-GB"/>
        </w:rPr>
        <w:t>.</w:t>
      </w:r>
      <w:r w:rsidRPr="00872839">
        <w:rPr>
          <w:rStyle w:val="EndnoteReference"/>
          <w:lang w:val="en-GB"/>
        </w:rPr>
        <w:endnoteReference w:id="47"/>
      </w:r>
      <w:r w:rsidRPr="00872839">
        <w:rPr>
          <w:lang w:val="en-GB"/>
        </w:rPr>
        <w:t xml:space="preserve"> The companies planned to launch similar partnerships in Australia, Indonesia, Taiwan, Thailand, and the Philippines.</w:t>
      </w:r>
      <w:r w:rsidRPr="00872839">
        <w:rPr>
          <w:vertAlign w:val="superscript"/>
          <w:lang w:val="en-GB"/>
        </w:rPr>
        <w:endnoteReference w:id="48"/>
      </w:r>
      <w:r w:rsidRPr="00872839">
        <w:rPr>
          <w:lang w:val="en-GB"/>
        </w:rPr>
        <w:t xml:space="preserve"> </w:t>
      </w:r>
    </w:p>
    <w:p w14:paraId="4B0EA45E" w14:textId="77777777" w:rsidR="000C1EF0" w:rsidRPr="00872839" w:rsidRDefault="000C1EF0" w:rsidP="00E779B7">
      <w:pPr>
        <w:pStyle w:val="BodyTextMain"/>
        <w:rPr>
          <w:lang w:val="en-GB"/>
        </w:rPr>
      </w:pPr>
    </w:p>
    <w:p w14:paraId="04B87B3C" w14:textId="6013737C" w:rsidR="000C1EF0" w:rsidRPr="00872839" w:rsidRDefault="000C1EF0" w:rsidP="00E779B7">
      <w:pPr>
        <w:pStyle w:val="BodyTextMain"/>
        <w:rPr>
          <w:lang w:val="en-GB"/>
        </w:rPr>
      </w:pPr>
      <w:r w:rsidRPr="00872839">
        <w:rPr>
          <w:lang w:val="en-GB"/>
        </w:rPr>
        <w:t xml:space="preserve">The ABTV Asian expansion was at an early stage of development, and it needed to make several important choices to advance strategically in Asia. A broad choice related to the countries to focus on. As revealed by the </w:t>
      </w:r>
      <w:r w:rsidR="000E4759">
        <w:rPr>
          <w:lang w:val="en-GB"/>
        </w:rPr>
        <w:t>McKinsey</w:t>
      </w:r>
      <w:r w:rsidR="000E4759" w:rsidRPr="00872839">
        <w:rPr>
          <w:lang w:val="en-GB"/>
        </w:rPr>
        <w:t xml:space="preserve"> </w:t>
      </w:r>
      <w:r w:rsidRPr="00872839">
        <w:rPr>
          <w:lang w:val="en-GB"/>
        </w:rPr>
        <w:t>survey, key Asian countries differed in terms of their affluence and size, consumer preferences, and behaviour. In addition to the five countries covered in the survey, there were many other potential markets, including middle-income countries such as Malaysia, Thailand, and Taiwan, and frontier countries, such as Myanmar, Laos, and Cambodia. The ABTV’s strategic choices needed to address both demand-side aspects (e.g., getting corporate clients and/or business travellers to use Airbnb) and supply-side aspects (e.g., the availability of BTR accommodations).</w:t>
      </w:r>
    </w:p>
    <w:p w14:paraId="28EE460A" w14:textId="77777777" w:rsidR="000C1EF0" w:rsidRPr="00872839" w:rsidRDefault="000C1EF0" w:rsidP="00E779B7">
      <w:pPr>
        <w:pStyle w:val="BodyTextMain"/>
        <w:rPr>
          <w:lang w:val="en-GB"/>
        </w:rPr>
      </w:pPr>
    </w:p>
    <w:p w14:paraId="345C691D" w14:textId="65423775" w:rsidR="000C1EF0" w:rsidRPr="00872839" w:rsidRDefault="000C1EF0" w:rsidP="00E779B7">
      <w:pPr>
        <w:pStyle w:val="BodyTextMain"/>
        <w:rPr>
          <w:lang w:val="en-GB"/>
        </w:rPr>
      </w:pPr>
      <w:r w:rsidRPr="00872839">
        <w:rPr>
          <w:lang w:val="en-GB"/>
        </w:rPr>
        <w:t xml:space="preserve">The ABTV would also need to work out which Asian business traveller archetypes </w:t>
      </w:r>
      <w:r w:rsidR="000E4759">
        <w:rPr>
          <w:lang w:val="en-GB"/>
        </w:rPr>
        <w:t>(</w:t>
      </w:r>
      <w:r w:rsidRPr="00872839">
        <w:rPr>
          <w:lang w:val="en-GB"/>
        </w:rPr>
        <w:t xml:space="preserve">identified in the </w:t>
      </w:r>
      <w:r w:rsidR="000E4759">
        <w:rPr>
          <w:lang w:val="en-GB"/>
        </w:rPr>
        <w:t>McKinsey</w:t>
      </w:r>
      <w:r w:rsidRPr="00872839">
        <w:rPr>
          <w:lang w:val="en-GB"/>
        </w:rPr>
        <w:t xml:space="preserve"> survey</w:t>
      </w:r>
      <w:r w:rsidR="000E4759">
        <w:rPr>
          <w:lang w:val="en-GB"/>
        </w:rPr>
        <w:t>)</w:t>
      </w:r>
      <w:r w:rsidRPr="00872839">
        <w:rPr>
          <w:lang w:val="en-GB"/>
        </w:rPr>
        <w:t xml:space="preserve"> to target and in which countries. One possibility was to create a matrix based on countries and archetypes, and to adopt a varied approach across various countries. </w:t>
      </w:r>
    </w:p>
    <w:p w14:paraId="548F97C1" w14:textId="77777777" w:rsidR="000C1EF0" w:rsidRPr="00872839" w:rsidRDefault="000C1EF0" w:rsidP="00E779B7">
      <w:pPr>
        <w:pStyle w:val="BodyTextMain"/>
        <w:rPr>
          <w:lang w:val="en-GB"/>
        </w:rPr>
      </w:pPr>
    </w:p>
    <w:p w14:paraId="2C1EA0EF" w14:textId="5DED354A" w:rsidR="000C1EF0" w:rsidRPr="00872839" w:rsidRDefault="000C1EF0" w:rsidP="00E779B7">
      <w:pPr>
        <w:pStyle w:val="BodyTextMain"/>
        <w:rPr>
          <w:lang w:val="en-GB"/>
        </w:rPr>
      </w:pPr>
      <w:r w:rsidRPr="00872839">
        <w:rPr>
          <w:lang w:val="en-GB"/>
        </w:rPr>
        <w:t>Other considerations for determining</w:t>
      </w:r>
      <w:r w:rsidR="000E4759">
        <w:rPr>
          <w:lang w:val="en-GB"/>
        </w:rPr>
        <w:t xml:space="preserve"> the ABTV’s</w:t>
      </w:r>
      <w:r w:rsidRPr="00872839">
        <w:rPr>
          <w:lang w:val="en-GB"/>
        </w:rPr>
        <w:t xml:space="preserve"> future strategy in Asia included the success enjoyed by Airbnb in individual countries, which could serve as a proxy for both the strength of brand and the openness of a country’s people to using shared accommodations in general, and reactions from the local travel industry. In Japan, for instance, as many as 10 per cent of inbound tourists were estimated to be using Airbnb, which suggested a good supply of accommodations for leisure travel and might also imply an openness to shared accommodations and a high supply of accommodation for business travel. </w:t>
      </w:r>
    </w:p>
    <w:p w14:paraId="6FADAFF0" w14:textId="77777777" w:rsidR="000C1EF0" w:rsidRPr="00872839" w:rsidRDefault="000C1EF0" w:rsidP="00E779B7">
      <w:pPr>
        <w:pStyle w:val="BodyTextMain"/>
        <w:rPr>
          <w:lang w:val="en-GB"/>
        </w:rPr>
      </w:pPr>
    </w:p>
    <w:p w14:paraId="2E10C4E5" w14:textId="180CEC98" w:rsidR="000C1EF0" w:rsidRPr="00872839" w:rsidRDefault="000C1EF0" w:rsidP="00E779B7">
      <w:pPr>
        <w:pStyle w:val="BodyTextMain"/>
        <w:rPr>
          <w:lang w:val="en-GB"/>
        </w:rPr>
      </w:pPr>
      <w:r w:rsidRPr="00872839">
        <w:rPr>
          <w:lang w:val="en-GB"/>
        </w:rPr>
        <w:t>China provided a contrasting example, at least in terms of success enjoyed by Airbnb. One article pointed out that less than 1.5 per cent of Airbnb’s more than 2 million listings worldwide were in China. The same article also noted that Airbnb’s presence beyond Tier 1 Chinese cities was minimal</w:t>
      </w:r>
      <w:r w:rsidR="00252A78">
        <w:rPr>
          <w:lang w:val="en-GB"/>
        </w:rPr>
        <w:t>,</w:t>
      </w:r>
      <w:r w:rsidRPr="00872839">
        <w:rPr>
          <w:lang w:val="en-GB"/>
        </w:rPr>
        <w:t xml:space="preserve"> and that Airbnb faced stiff competition from local rivals such as Tujia, which was 10 per cent owned by Expedia and had started four years earlier than Airbnb (i.e., in 2011 versus 2015)</w:t>
      </w:r>
      <w:r w:rsidR="007A4693">
        <w:rPr>
          <w:lang w:val="en-GB"/>
        </w:rPr>
        <w:t>. Tujia</w:t>
      </w:r>
      <w:r w:rsidRPr="00872839">
        <w:rPr>
          <w:lang w:val="en-GB"/>
        </w:rPr>
        <w:t xml:space="preserve"> had tweaked its strategies for the cultural context (e.g., Tujia allowed guests to contact the hosts, whereas for Airbnb, the guests needed to use the Airbnb site)</w:t>
      </w:r>
      <w:r w:rsidR="007A4693">
        <w:rPr>
          <w:lang w:val="en-GB"/>
        </w:rPr>
        <w:t xml:space="preserve"> and local</w:t>
      </w:r>
      <w:r w:rsidRPr="00872839">
        <w:rPr>
          <w:lang w:val="en-GB"/>
        </w:rPr>
        <w:t xml:space="preserve"> regulatory issues (e.g., in terms of taxation) that were either not completely clear because of either</w:t>
      </w:r>
      <w:r w:rsidR="007A4693">
        <w:rPr>
          <w:lang w:val="en-GB"/>
        </w:rPr>
        <w:t xml:space="preserve"> the</w:t>
      </w:r>
      <w:r w:rsidRPr="00872839">
        <w:rPr>
          <w:lang w:val="en-GB"/>
        </w:rPr>
        <w:t xml:space="preserve"> early stage of </w:t>
      </w:r>
      <w:r w:rsidR="007A4693">
        <w:rPr>
          <w:lang w:val="en-GB"/>
        </w:rPr>
        <w:t xml:space="preserve">the industry’s </w:t>
      </w:r>
      <w:r w:rsidRPr="00872839">
        <w:rPr>
          <w:lang w:val="en-GB"/>
        </w:rPr>
        <w:t xml:space="preserve">development or security concerns </w:t>
      </w:r>
      <w:r w:rsidR="007A4693">
        <w:rPr>
          <w:lang w:val="en-GB"/>
        </w:rPr>
        <w:t>(e.g.,</w:t>
      </w:r>
      <w:r w:rsidRPr="00872839">
        <w:rPr>
          <w:lang w:val="en-GB"/>
        </w:rPr>
        <w:t xml:space="preserve"> terrorism threats</w:t>
      </w:r>
      <w:r w:rsidR="007A4693">
        <w:rPr>
          <w:lang w:val="en-GB"/>
        </w:rPr>
        <w:t>)</w:t>
      </w:r>
      <w:r w:rsidRPr="00872839">
        <w:rPr>
          <w:lang w:val="en-GB"/>
        </w:rPr>
        <w:t>.</w:t>
      </w:r>
      <w:r w:rsidRPr="00872839">
        <w:rPr>
          <w:vertAlign w:val="superscript"/>
          <w:lang w:val="en-GB"/>
        </w:rPr>
        <w:endnoteReference w:id="49"/>
      </w:r>
      <w:r w:rsidRPr="00872839">
        <w:rPr>
          <w:lang w:val="en-GB"/>
        </w:rPr>
        <w:t xml:space="preserve"> With regard to local reactions, in Thailand, hotel associations had lobbied the government to require that Airbnb hosts obtain licences.</w:t>
      </w:r>
      <w:r w:rsidRPr="00872839">
        <w:rPr>
          <w:vertAlign w:val="superscript"/>
          <w:lang w:val="en-GB"/>
        </w:rPr>
        <w:endnoteReference w:id="50"/>
      </w:r>
      <w:r w:rsidRPr="00872839">
        <w:rPr>
          <w:lang w:val="en-GB"/>
        </w:rPr>
        <w:t xml:space="preserve"> Persaud</w:t>
      </w:r>
      <w:r w:rsidR="007A4693">
        <w:rPr>
          <w:lang w:val="en-GB"/>
        </w:rPr>
        <w:t xml:space="preserve"> </w:t>
      </w:r>
      <w:r w:rsidRPr="00872839">
        <w:rPr>
          <w:lang w:val="en-GB"/>
        </w:rPr>
        <w:t>acknowledged that much work remained to be done in overcoming cultural obstacles (e.g., among Chinese customers) for further growing Airbnb’s presence in Asia.</w:t>
      </w:r>
      <w:r w:rsidRPr="00872839">
        <w:rPr>
          <w:vertAlign w:val="superscript"/>
          <w:lang w:val="en-GB"/>
        </w:rPr>
        <w:endnoteReference w:id="51"/>
      </w:r>
      <w:r w:rsidRPr="00872839">
        <w:rPr>
          <w:lang w:val="en-GB"/>
        </w:rPr>
        <w:t xml:space="preserve"> By November 2016, Airbnb had created a separate organization for China.</w:t>
      </w:r>
      <w:r w:rsidRPr="00872839">
        <w:rPr>
          <w:vertAlign w:val="superscript"/>
          <w:lang w:val="en-GB"/>
        </w:rPr>
        <w:endnoteReference w:id="52"/>
      </w:r>
    </w:p>
    <w:p w14:paraId="66BE7539" w14:textId="77777777" w:rsidR="000C1EF0" w:rsidRPr="00872839" w:rsidRDefault="000C1EF0" w:rsidP="00E779B7">
      <w:pPr>
        <w:pStyle w:val="BodyTextMain"/>
        <w:rPr>
          <w:lang w:val="en-GB"/>
        </w:rPr>
      </w:pPr>
    </w:p>
    <w:p w14:paraId="67F3161A" w14:textId="3FB84C19" w:rsidR="00B35D04" w:rsidRDefault="000C1EF0" w:rsidP="00E779B7">
      <w:pPr>
        <w:pStyle w:val="BodyTextMain"/>
        <w:rPr>
          <w:lang w:val="en-GB"/>
        </w:rPr>
      </w:pPr>
      <w:r w:rsidRPr="00872839">
        <w:rPr>
          <w:lang w:val="en-GB"/>
        </w:rPr>
        <w:t xml:space="preserve">Airbnb’s 2016 numbers </w:t>
      </w:r>
      <w:r w:rsidRPr="001C2549">
        <w:rPr>
          <w:lang w:val="en-GB"/>
        </w:rPr>
        <w:t>suggested that it continued to do well with outbound travellers from China</w:t>
      </w:r>
      <w:r w:rsidR="00B35D04" w:rsidRPr="001C2549">
        <w:rPr>
          <w:lang w:val="en-GB"/>
        </w:rPr>
        <w:t>,</w:t>
      </w:r>
      <w:r w:rsidRPr="001C2549">
        <w:rPr>
          <w:lang w:val="en-GB"/>
        </w:rPr>
        <w:t xml:space="preserve"> with growth in these tourists coming in at 142 per cent (versus 500 per cent in 2015), and</w:t>
      </w:r>
      <w:r w:rsidRPr="00872839">
        <w:rPr>
          <w:lang w:val="en-GB"/>
        </w:rPr>
        <w:t xml:space="preserve"> the total cumulative bookings by Chinese travellers reaching 5.3 million. Inside China, Airbnb</w:t>
      </w:r>
      <w:r w:rsidR="00B35D04">
        <w:rPr>
          <w:lang w:val="en-GB"/>
        </w:rPr>
        <w:t xml:space="preserve"> </w:t>
      </w:r>
      <w:r w:rsidRPr="00872839">
        <w:rPr>
          <w:lang w:val="en-GB"/>
        </w:rPr>
        <w:t xml:space="preserve">increased </w:t>
      </w:r>
      <w:r w:rsidR="00B35D04">
        <w:rPr>
          <w:lang w:val="en-GB"/>
        </w:rPr>
        <w:t xml:space="preserve">its listings </w:t>
      </w:r>
      <w:r w:rsidRPr="00872839">
        <w:rPr>
          <w:lang w:val="en-GB"/>
        </w:rPr>
        <w:t xml:space="preserve">to 80,000, and it reached nearly 1.6 million cumulative guest arrivals. One encouraging aspect was the demographic </w:t>
      </w:r>
      <w:r w:rsidRPr="00872839">
        <w:rPr>
          <w:lang w:val="en-GB"/>
        </w:rPr>
        <w:lastRenderedPageBreak/>
        <w:t>profile</w:t>
      </w:r>
      <w:r w:rsidR="00B35D04">
        <w:rPr>
          <w:lang w:val="en-GB"/>
        </w:rPr>
        <w:t xml:space="preserve">: </w:t>
      </w:r>
      <w:r w:rsidRPr="00872839">
        <w:rPr>
          <w:lang w:val="en-GB"/>
        </w:rPr>
        <w:t xml:space="preserve">more than 80 per cent of Airbnb users in China were under the age of 35, a higher proportion than any other country. </w:t>
      </w:r>
    </w:p>
    <w:p w14:paraId="6C1FE580" w14:textId="77777777" w:rsidR="00B35D04" w:rsidRDefault="00B35D04" w:rsidP="00E779B7">
      <w:pPr>
        <w:pStyle w:val="BodyTextMain"/>
        <w:rPr>
          <w:lang w:val="en-GB"/>
        </w:rPr>
      </w:pPr>
    </w:p>
    <w:p w14:paraId="545E5763" w14:textId="6D02A6EA" w:rsidR="000C1EF0" w:rsidRPr="00872839" w:rsidRDefault="000C1EF0" w:rsidP="00E779B7">
      <w:pPr>
        <w:pStyle w:val="BodyTextMain"/>
        <w:rPr>
          <w:lang w:val="en-GB"/>
        </w:rPr>
      </w:pPr>
      <w:r w:rsidRPr="00872839">
        <w:rPr>
          <w:lang w:val="en-GB"/>
        </w:rPr>
        <w:t>In March 2017, Airbnb announced several initiatives to boost its lagging performance in China: a name change to Aibiying, which was greeted with skepticism from a few quarters,</w:t>
      </w:r>
      <w:r w:rsidRPr="00872839">
        <w:rPr>
          <w:vertAlign w:val="superscript"/>
          <w:lang w:val="en-GB"/>
        </w:rPr>
        <w:endnoteReference w:id="53"/>
      </w:r>
      <w:r w:rsidRPr="00872839">
        <w:rPr>
          <w:lang w:val="en-GB"/>
        </w:rPr>
        <w:t xml:space="preserve"> the doubling of investments, and the launch of</w:t>
      </w:r>
      <w:r w:rsidR="00B35D04">
        <w:rPr>
          <w:lang w:val="en-GB"/>
        </w:rPr>
        <w:t xml:space="preserve"> a service called “</w:t>
      </w:r>
      <w:r w:rsidRPr="00872839">
        <w:rPr>
          <w:lang w:val="en-GB"/>
        </w:rPr>
        <w:t>Trips</w:t>
      </w:r>
      <w:r w:rsidR="00B35D04">
        <w:rPr>
          <w:lang w:val="en-GB"/>
        </w:rPr>
        <w:t>,”</w:t>
      </w:r>
      <w:r w:rsidR="00F56FBA" w:rsidRPr="00872839">
        <w:rPr>
          <w:lang w:val="en-GB"/>
        </w:rPr>
        <w:t xml:space="preserve"> under which users could get closer to the local culture and have an experience beyond staying with the host. </w:t>
      </w:r>
      <w:r w:rsidR="00F94D6F" w:rsidRPr="00872839">
        <w:rPr>
          <w:lang w:val="en-GB"/>
        </w:rPr>
        <w:t>For instance, i</w:t>
      </w:r>
      <w:r w:rsidR="00F56FBA" w:rsidRPr="00872839">
        <w:rPr>
          <w:lang w:val="en-GB"/>
        </w:rPr>
        <w:t>n Singapore, the experiences offered under Trips ranged from learning how to cook local dishes to</w:t>
      </w:r>
      <w:r w:rsidR="00B35D04">
        <w:rPr>
          <w:lang w:val="en-GB"/>
        </w:rPr>
        <w:t xml:space="preserve"> making </w:t>
      </w:r>
      <w:r w:rsidR="00F56FBA" w:rsidRPr="00872839">
        <w:rPr>
          <w:lang w:val="en-GB"/>
        </w:rPr>
        <w:t>pottery using traditional dragon kilns</w:t>
      </w:r>
      <w:r w:rsidRPr="00872839">
        <w:rPr>
          <w:lang w:val="en-GB"/>
        </w:rPr>
        <w:t>.</w:t>
      </w:r>
      <w:r w:rsidRPr="00872839">
        <w:rPr>
          <w:vertAlign w:val="superscript"/>
          <w:lang w:val="en-GB"/>
        </w:rPr>
        <w:endnoteReference w:id="54"/>
      </w:r>
      <w:r w:rsidRPr="00872839">
        <w:rPr>
          <w:lang w:val="en-GB"/>
        </w:rPr>
        <w:t xml:space="preserve"> </w:t>
      </w:r>
      <w:r w:rsidR="00B35D04">
        <w:rPr>
          <w:lang w:val="en-GB"/>
        </w:rPr>
        <w:t>The company</w:t>
      </w:r>
      <w:r w:rsidRPr="00872839">
        <w:rPr>
          <w:lang w:val="en-GB"/>
        </w:rPr>
        <w:t xml:space="preserve"> also started cultivating relationships with Chinese industry and government officials, integrated local payment methods such as Alipay, offered sign-up options using WeChat, and provided 24/7 customer support in Mandarin.</w:t>
      </w:r>
      <w:r w:rsidRPr="00872839">
        <w:rPr>
          <w:vertAlign w:val="superscript"/>
          <w:lang w:val="en-GB"/>
        </w:rPr>
        <w:endnoteReference w:id="55"/>
      </w:r>
      <w:r w:rsidRPr="00872839">
        <w:rPr>
          <w:lang w:val="en-GB"/>
        </w:rPr>
        <w:t> Despite the new initiatives, Travis Katz, founder and chief executive officer of U</w:t>
      </w:r>
      <w:r w:rsidR="00B35D04">
        <w:rPr>
          <w:lang w:val="en-GB"/>
        </w:rPr>
        <w:t>.</w:t>
      </w:r>
      <w:r w:rsidRPr="00872839">
        <w:rPr>
          <w:lang w:val="en-GB"/>
        </w:rPr>
        <w:t>S</w:t>
      </w:r>
      <w:r w:rsidR="00B35D04">
        <w:rPr>
          <w:lang w:val="en-GB"/>
        </w:rPr>
        <w:t>.</w:t>
      </w:r>
      <w:r w:rsidRPr="00872839">
        <w:rPr>
          <w:lang w:val="en-GB"/>
        </w:rPr>
        <w:t>-based Trip.com, who had prior experience leading multinational companies in China</w:t>
      </w:r>
      <w:r w:rsidR="00B35D04">
        <w:rPr>
          <w:lang w:val="en-GB"/>
        </w:rPr>
        <w:t>,</w:t>
      </w:r>
      <w:r w:rsidRPr="00872839">
        <w:rPr>
          <w:lang w:val="en-GB"/>
        </w:rPr>
        <w:t xml:space="preserve"> observed, “I don’t see this as a quick win here. It will take a lot of time and investment to really serve this market well. Even then, if you’re essentially going up against </w:t>
      </w:r>
      <w:r w:rsidR="00B35D04">
        <w:rPr>
          <w:lang w:val="en-GB"/>
        </w:rPr>
        <w:t>. . .</w:t>
      </w:r>
      <w:r w:rsidRPr="00872839">
        <w:rPr>
          <w:lang w:val="en-GB"/>
        </w:rPr>
        <w:t xml:space="preserve"> the Chinese market, I think it’s going to be a tough run.”</w:t>
      </w:r>
      <w:r w:rsidRPr="00872839">
        <w:rPr>
          <w:vertAlign w:val="superscript"/>
          <w:lang w:val="en-GB"/>
        </w:rPr>
        <w:endnoteReference w:id="56"/>
      </w:r>
    </w:p>
    <w:p w14:paraId="7F72A802" w14:textId="77777777" w:rsidR="00BC3B64" w:rsidRPr="00872839" w:rsidRDefault="00BC3B64" w:rsidP="00E779B7">
      <w:pPr>
        <w:pStyle w:val="BodyTextMain"/>
        <w:rPr>
          <w:lang w:val="en-GB"/>
        </w:rPr>
      </w:pPr>
    </w:p>
    <w:p w14:paraId="0E6FAE98" w14:textId="03B08C92" w:rsidR="00CF7BDE" w:rsidRDefault="007D4BA2" w:rsidP="00E779B7">
      <w:pPr>
        <w:pStyle w:val="BodyTextMain"/>
        <w:rPr>
          <w:lang w:val="en-GB"/>
        </w:rPr>
      </w:pPr>
      <w:r w:rsidRPr="00872839">
        <w:rPr>
          <w:lang w:val="en-GB"/>
        </w:rPr>
        <w:t xml:space="preserve">The </w:t>
      </w:r>
      <w:r w:rsidR="00E779B7" w:rsidRPr="00872839">
        <w:rPr>
          <w:lang w:val="en-GB"/>
        </w:rPr>
        <w:t>ABTV also needed to decide whether</w:t>
      </w:r>
      <w:r w:rsidR="00B35D04">
        <w:rPr>
          <w:lang w:val="en-GB"/>
        </w:rPr>
        <w:t>/how</w:t>
      </w:r>
      <w:r w:rsidR="00E779B7" w:rsidRPr="00872839">
        <w:rPr>
          <w:lang w:val="en-GB"/>
        </w:rPr>
        <w:t xml:space="preserve"> to leverage </w:t>
      </w:r>
      <w:r w:rsidR="00517498" w:rsidRPr="00872839">
        <w:rPr>
          <w:lang w:val="en-GB"/>
        </w:rPr>
        <w:t xml:space="preserve">its </w:t>
      </w:r>
      <w:r w:rsidR="00E779B7" w:rsidRPr="00872839">
        <w:rPr>
          <w:lang w:val="en-GB"/>
        </w:rPr>
        <w:t xml:space="preserve">existing </w:t>
      </w:r>
      <w:r w:rsidR="00517498" w:rsidRPr="00872839">
        <w:rPr>
          <w:lang w:val="en-GB"/>
        </w:rPr>
        <w:t xml:space="preserve">corporate </w:t>
      </w:r>
      <w:r w:rsidR="00E779B7" w:rsidRPr="00872839">
        <w:rPr>
          <w:lang w:val="en-GB"/>
        </w:rPr>
        <w:t>relationships that had been established in other parts of the world</w:t>
      </w:r>
      <w:r w:rsidR="00B35D04">
        <w:rPr>
          <w:lang w:val="en-GB"/>
        </w:rPr>
        <w:t xml:space="preserve"> (</w:t>
      </w:r>
      <w:r w:rsidR="00E779B7" w:rsidRPr="00872839">
        <w:rPr>
          <w:lang w:val="en-GB"/>
        </w:rPr>
        <w:t xml:space="preserve">e.g., with Google </w:t>
      </w:r>
      <w:r w:rsidR="00517498" w:rsidRPr="00872839">
        <w:rPr>
          <w:lang w:val="en-GB"/>
        </w:rPr>
        <w:t xml:space="preserve">and </w:t>
      </w:r>
      <w:r w:rsidR="00E779B7" w:rsidRPr="00872839">
        <w:rPr>
          <w:lang w:val="en-GB"/>
        </w:rPr>
        <w:t>Morgan Stanley</w:t>
      </w:r>
      <w:r w:rsidR="00B35D04">
        <w:rPr>
          <w:lang w:val="en-GB"/>
        </w:rPr>
        <w:t>)</w:t>
      </w:r>
      <w:r w:rsidR="00E779B7" w:rsidRPr="00872839">
        <w:rPr>
          <w:lang w:val="en-GB"/>
        </w:rPr>
        <w:t xml:space="preserve">. One challenge </w:t>
      </w:r>
      <w:r w:rsidR="00B35D04">
        <w:rPr>
          <w:lang w:val="en-GB"/>
        </w:rPr>
        <w:t>in this regard</w:t>
      </w:r>
      <w:r w:rsidR="00E779B7" w:rsidRPr="00872839">
        <w:rPr>
          <w:lang w:val="en-GB"/>
        </w:rPr>
        <w:t xml:space="preserve"> was that some of the</w:t>
      </w:r>
      <w:r w:rsidR="00B35D04">
        <w:rPr>
          <w:lang w:val="en-GB"/>
        </w:rPr>
        <w:t>se</w:t>
      </w:r>
      <w:r w:rsidR="00E779B7" w:rsidRPr="00872839">
        <w:rPr>
          <w:lang w:val="en-GB"/>
        </w:rPr>
        <w:t xml:space="preserve"> global companies might not have a strong presence in Asia. </w:t>
      </w:r>
      <w:r w:rsidR="00517498" w:rsidRPr="00872839">
        <w:rPr>
          <w:lang w:val="en-GB"/>
        </w:rPr>
        <w:t xml:space="preserve">For example, </w:t>
      </w:r>
      <w:r w:rsidR="00E779B7" w:rsidRPr="00872839">
        <w:rPr>
          <w:lang w:val="en-GB"/>
        </w:rPr>
        <w:t xml:space="preserve">Google had a limited presence in China. </w:t>
      </w:r>
    </w:p>
    <w:p w14:paraId="59ECE490" w14:textId="77777777" w:rsidR="00CF7BDE" w:rsidRDefault="00CF7BDE" w:rsidP="00E779B7">
      <w:pPr>
        <w:pStyle w:val="BodyTextMain"/>
        <w:rPr>
          <w:lang w:val="en-GB"/>
        </w:rPr>
      </w:pPr>
    </w:p>
    <w:p w14:paraId="424B54C5" w14:textId="57057A38" w:rsidR="00E779B7" w:rsidRPr="00872839" w:rsidRDefault="00E779B7" w:rsidP="00E779B7">
      <w:pPr>
        <w:pStyle w:val="BodyTextMain"/>
        <w:rPr>
          <w:lang w:val="en-GB"/>
        </w:rPr>
      </w:pPr>
      <w:r w:rsidRPr="00872839">
        <w:rPr>
          <w:lang w:val="en-GB"/>
        </w:rPr>
        <w:t>Another, more challenging approach</w:t>
      </w:r>
      <w:r w:rsidR="00B35D04">
        <w:rPr>
          <w:lang w:val="en-GB"/>
        </w:rPr>
        <w:t>—</w:t>
      </w:r>
      <w:r w:rsidRPr="00872839">
        <w:rPr>
          <w:lang w:val="en-GB"/>
        </w:rPr>
        <w:t>because of the absence of any relationships that could be leveraged</w:t>
      </w:r>
      <w:r w:rsidR="00B35D04">
        <w:rPr>
          <w:lang w:val="en-GB"/>
        </w:rPr>
        <w:t>—</w:t>
      </w:r>
      <w:r w:rsidRPr="00872839">
        <w:rPr>
          <w:lang w:val="en-GB"/>
        </w:rPr>
        <w:t>involved targeting Asian corporate</w:t>
      </w:r>
      <w:r w:rsidR="00511753" w:rsidRPr="00872839">
        <w:rPr>
          <w:lang w:val="en-GB"/>
        </w:rPr>
        <w:t xml:space="preserve"> clients</w:t>
      </w:r>
      <w:r w:rsidRPr="00872839">
        <w:rPr>
          <w:lang w:val="en-GB"/>
        </w:rPr>
        <w:t>. This approach had become more attractive with the increasing prominence of Asian firms</w:t>
      </w:r>
      <w:r w:rsidR="00841733" w:rsidRPr="00872839">
        <w:rPr>
          <w:lang w:val="en-GB"/>
        </w:rPr>
        <w:t xml:space="preserve">, including </w:t>
      </w:r>
      <w:r w:rsidR="00517498" w:rsidRPr="00872839">
        <w:rPr>
          <w:lang w:val="en-GB"/>
        </w:rPr>
        <w:t xml:space="preserve">the </w:t>
      </w:r>
      <w:r w:rsidR="00841733" w:rsidRPr="00872839">
        <w:rPr>
          <w:lang w:val="en-GB"/>
        </w:rPr>
        <w:t xml:space="preserve">globalization of </w:t>
      </w:r>
      <w:r w:rsidRPr="00872839">
        <w:rPr>
          <w:lang w:val="en-GB"/>
        </w:rPr>
        <w:t>many Asian firms</w:t>
      </w:r>
      <w:r w:rsidR="00CF7BDE">
        <w:rPr>
          <w:lang w:val="en-GB"/>
        </w:rPr>
        <w:t>,</w:t>
      </w:r>
      <w:r w:rsidRPr="00872839">
        <w:rPr>
          <w:lang w:val="en-GB"/>
        </w:rPr>
        <w:t xml:space="preserve"> such as Lenovo and the Tata </w:t>
      </w:r>
      <w:r w:rsidR="00517498" w:rsidRPr="00872839">
        <w:rPr>
          <w:lang w:val="en-GB"/>
        </w:rPr>
        <w:t>G</w:t>
      </w:r>
      <w:r w:rsidRPr="00872839">
        <w:rPr>
          <w:lang w:val="en-GB"/>
        </w:rPr>
        <w:t xml:space="preserve">roup. For </w:t>
      </w:r>
      <w:r w:rsidR="00CF7BDE">
        <w:rPr>
          <w:lang w:val="en-GB"/>
        </w:rPr>
        <w:t>this</w:t>
      </w:r>
      <w:r w:rsidRPr="00872839">
        <w:rPr>
          <w:lang w:val="en-GB"/>
        </w:rPr>
        <w:t xml:space="preserve"> approach</w:t>
      </w:r>
      <w:r w:rsidR="00CF7BDE">
        <w:rPr>
          <w:lang w:val="en-GB"/>
        </w:rPr>
        <w:t xml:space="preserve"> to work</w:t>
      </w:r>
      <w:r w:rsidRPr="00872839">
        <w:rPr>
          <w:lang w:val="en-GB"/>
        </w:rPr>
        <w:t xml:space="preserve">, </w:t>
      </w:r>
      <w:r w:rsidR="00511753" w:rsidRPr="00872839">
        <w:rPr>
          <w:lang w:val="en-GB"/>
        </w:rPr>
        <w:t xml:space="preserve">the </w:t>
      </w:r>
      <w:r w:rsidRPr="00872839">
        <w:rPr>
          <w:lang w:val="en-GB"/>
        </w:rPr>
        <w:t xml:space="preserve">ABTV would </w:t>
      </w:r>
      <w:r w:rsidR="00517498" w:rsidRPr="00872839">
        <w:rPr>
          <w:lang w:val="en-GB"/>
        </w:rPr>
        <w:t xml:space="preserve">need </w:t>
      </w:r>
      <w:r w:rsidRPr="00872839">
        <w:rPr>
          <w:lang w:val="en-GB"/>
        </w:rPr>
        <w:t>to gain a deeper understanding of customer behaviour</w:t>
      </w:r>
      <w:r w:rsidR="00517498" w:rsidRPr="00872839">
        <w:rPr>
          <w:lang w:val="en-GB"/>
        </w:rPr>
        <w:t>,</w:t>
      </w:r>
      <w:r w:rsidRPr="00872839">
        <w:rPr>
          <w:lang w:val="en-GB"/>
        </w:rPr>
        <w:t xml:space="preserve"> including any </w:t>
      </w:r>
      <w:r w:rsidR="00517498" w:rsidRPr="00872839">
        <w:rPr>
          <w:lang w:val="en-GB"/>
        </w:rPr>
        <w:t xml:space="preserve">concerns </w:t>
      </w:r>
      <w:r w:rsidRPr="00872839">
        <w:rPr>
          <w:lang w:val="en-GB"/>
        </w:rPr>
        <w:t xml:space="preserve">about the value offered by </w:t>
      </w:r>
      <w:r w:rsidR="00511753" w:rsidRPr="00872839">
        <w:rPr>
          <w:lang w:val="en-GB"/>
        </w:rPr>
        <w:t xml:space="preserve">the </w:t>
      </w:r>
      <w:r w:rsidRPr="00872839">
        <w:rPr>
          <w:lang w:val="en-GB"/>
        </w:rPr>
        <w:t>ABTV</w:t>
      </w:r>
      <w:r w:rsidR="00517498" w:rsidRPr="00872839">
        <w:rPr>
          <w:lang w:val="en-GB"/>
        </w:rPr>
        <w:t>,</w:t>
      </w:r>
      <w:r w:rsidRPr="00872839">
        <w:rPr>
          <w:lang w:val="en-GB"/>
        </w:rPr>
        <w:t xml:space="preserve"> and</w:t>
      </w:r>
      <w:r w:rsidR="00517498" w:rsidRPr="00872839">
        <w:rPr>
          <w:lang w:val="en-GB"/>
        </w:rPr>
        <w:t xml:space="preserve"> </w:t>
      </w:r>
      <w:r w:rsidRPr="00872839">
        <w:rPr>
          <w:lang w:val="en-GB"/>
        </w:rPr>
        <w:t>devise a proposition that it could offer to Asian corporate</w:t>
      </w:r>
      <w:r w:rsidR="001B70F3" w:rsidRPr="00872839">
        <w:rPr>
          <w:lang w:val="en-GB"/>
        </w:rPr>
        <w:t xml:space="preserve"> clients</w:t>
      </w:r>
      <w:r w:rsidRPr="00872839">
        <w:rPr>
          <w:lang w:val="en-GB"/>
        </w:rPr>
        <w:t>.</w:t>
      </w:r>
      <w:r w:rsidR="00404166" w:rsidRPr="00872839">
        <w:rPr>
          <w:lang w:val="en-GB"/>
        </w:rPr>
        <w:t xml:space="preserve"> </w:t>
      </w:r>
    </w:p>
    <w:p w14:paraId="1457EF83" w14:textId="77777777" w:rsidR="00BC3B64" w:rsidRPr="00872839" w:rsidRDefault="00BC3B64" w:rsidP="00E779B7">
      <w:pPr>
        <w:pStyle w:val="BodyTextMain"/>
        <w:rPr>
          <w:lang w:val="en-GB"/>
        </w:rPr>
      </w:pPr>
    </w:p>
    <w:p w14:paraId="5EFFE14E" w14:textId="4B98D9EE" w:rsidR="00E779B7" w:rsidRPr="00872839" w:rsidRDefault="00E779B7" w:rsidP="00E779B7">
      <w:pPr>
        <w:pStyle w:val="BodyTextMain"/>
        <w:rPr>
          <w:lang w:val="en-GB"/>
        </w:rPr>
      </w:pPr>
      <w:r w:rsidRPr="00872839">
        <w:rPr>
          <w:lang w:val="en-GB"/>
        </w:rPr>
        <w:t xml:space="preserve">In summary, Asia offered exciting opportunities </w:t>
      </w:r>
      <w:r w:rsidR="00517498" w:rsidRPr="00872839">
        <w:rPr>
          <w:lang w:val="en-GB"/>
        </w:rPr>
        <w:t>and</w:t>
      </w:r>
      <w:r w:rsidRPr="00872839">
        <w:rPr>
          <w:lang w:val="en-GB"/>
        </w:rPr>
        <w:t xml:space="preserve"> numerous challenges to </w:t>
      </w:r>
      <w:r w:rsidR="00511753" w:rsidRPr="00872839">
        <w:rPr>
          <w:lang w:val="en-GB"/>
        </w:rPr>
        <w:t xml:space="preserve">the </w:t>
      </w:r>
      <w:r w:rsidRPr="00872839">
        <w:rPr>
          <w:lang w:val="en-GB"/>
        </w:rPr>
        <w:t>ABTV</w:t>
      </w:r>
      <w:r w:rsidR="00517498" w:rsidRPr="00872839">
        <w:rPr>
          <w:lang w:val="en-GB"/>
        </w:rPr>
        <w:t>.</w:t>
      </w:r>
      <w:r w:rsidRPr="00872839">
        <w:rPr>
          <w:lang w:val="en-GB"/>
        </w:rPr>
        <w:t xml:space="preserve"> </w:t>
      </w:r>
      <w:r w:rsidR="006E6391">
        <w:rPr>
          <w:lang w:val="en-GB"/>
        </w:rPr>
        <w:t>However, t</w:t>
      </w:r>
      <w:r w:rsidR="00CF7BDE">
        <w:rPr>
          <w:lang w:val="en-GB"/>
        </w:rPr>
        <w:t xml:space="preserve">he </w:t>
      </w:r>
      <w:r w:rsidR="006E6391">
        <w:rPr>
          <w:lang w:val="en-GB"/>
        </w:rPr>
        <w:t>platform’s</w:t>
      </w:r>
      <w:r w:rsidRPr="00872839">
        <w:rPr>
          <w:lang w:val="en-GB"/>
        </w:rPr>
        <w:t xml:space="preserve"> success depended on making the correct strategic choices </w:t>
      </w:r>
      <w:r w:rsidR="00517498" w:rsidRPr="00872839">
        <w:rPr>
          <w:lang w:val="en-GB"/>
        </w:rPr>
        <w:t xml:space="preserve">and </w:t>
      </w:r>
      <w:r w:rsidRPr="00872839">
        <w:rPr>
          <w:lang w:val="en-GB"/>
        </w:rPr>
        <w:t>overcom</w:t>
      </w:r>
      <w:r w:rsidR="00517498" w:rsidRPr="00872839">
        <w:rPr>
          <w:lang w:val="en-GB"/>
        </w:rPr>
        <w:t>ing</w:t>
      </w:r>
      <w:r w:rsidRPr="00872839">
        <w:rPr>
          <w:lang w:val="en-GB"/>
        </w:rPr>
        <w:t xml:space="preserve"> the challenges posed </w:t>
      </w:r>
      <w:r w:rsidR="00517498" w:rsidRPr="00872839">
        <w:rPr>
          <w:lang w:val="en-GB"/>
        </w:rPr>
        <w:t>by</w:t>
      </w:r>
      <w:r w:rsidRPr="00872839">
        <w:rPr>
          <w:lang w:val="en-GB"/>
        </w:rPr>
        <w:t xml:space="preserve"> significant </w:t>
      </w:r>
      <w:r w:rsidR="00517498" w:rsidRPr="00872839">
        <w:rPr>
          <w:lang w:val="en-GB"/>
        </w:rPr>
        <w:t xml:space="preserve">environmental </w:t>
      </w:r>
      <w:r w:rsidRPr="00872839">
        <w:rPr>
          <w:lang w:val="en-GB"/>
        </w:rPr>
        <w:t>differences</w:t>
      </w:r>
      <w:r w:rsidR="00517498" w:rsidRPr="00872839">
        <w:rPr>
          <w:lang w:val="en-GB"/>
        </w:rPr>
        <w:t>,</w:t>
      </w:r>
      <w:r w:rsidRPr="00872839">
        <w:rPr>
          <w:lang w:val="en-GB"/>
        </w:rPr>
        <w:t xml:space="preserve"> including issues related to national culture.</w:t>
      </w:r>
    </w:p>
    <w:p w14:paraId="45877E83" w14:textId="77777777" w:rsidR="00BC3B64" w:rsidRPr="00872839" w:rsidRDefault="00BC3B64" w:rsidP="007F1F54">
      <w:pPr>
        <w:pStyle w:val="BodyTextMain"/>
        <w:rPr>
          <w:lang w:val="en-GB"/>
        </w:rPr>
      </w:pPr>
    </w:p>
    <w:p w14:paraId="33056CCB" w14:textId="2937908C" w:rsidR="007F1F54" w:rsidRPr="00872839" w:rsidRDefault="007F1F54" w:rsidP="00DC0B12">
      <w:pPr>
        <w:pStyle w:val="Casehead1"/>
        <w:jc w:val="center"/>
        <w:rPr>
          <w:lang w:val="en-GB"/>
        </w:rPr>
      </w:pPr>
      <w:r w:rsidRPr="00872839">
        <w:rPr>
          <w:sz w:val="24"/>
          <w:szCs w:val="24"/>
          <w:lang w:val="en-GB"/>
        </w:rPr>
        <w:br w:type="page"/>
      </w:r>
      <w:r w:rsidRPr="00872839">
        <w:rPr>
          <w:lang w:val="en-GB"/>
        </w:rPr>
        <w:lastRenderedPageBreak/>
        <w:t xml:space="preserve">Exhibit 1: </w:t>
      </w:r>
      <w:r w:rsidR="00BC3B64" w:rsidRPr="00872839">
        <w:rPr>
          <w:lang w:val="en-GB"/>
        </w:rPr>
        <w:t xml:space="preserve">size and growth of the business travel market in </w:t>
      </w:r>
      <w:r w:rsidR="00E43D64" w:rsidRPr="00872839">
        <w:rPr>
          <w:lang w:val="en-GB"/>
        </w:rPr>
        <w:t xml:space="preserve">selected </w:t>
      </w:r>
      <w:r w:rsidR="00BC3B64" w:rsidRPr="00872839">
        <w:rPr>
          <w:lang w:val="en-GB"/>
        </w:rPr>
        <w:t>countries</w:t>
      </w:r>
      <w:r w:rsidR="00E43D64" w:rsidRPr="00872839">
        <w:rPr>
          <w:lang w:val="en-GB"/>
        </w:rPr>
        <w:t>, 2015</w:t>
      </w:r>
      <w:r w:rsidR="00BC3B64" w:rsidRPr="00872839">
        <w:rPr>
          <w:lang w:val="en-GB"/>
        </w:rPr>
        <w:t xml:space="preserve"> </w:t>
      </w:r>
      <w:r w:rsidR="00E43D64" w:rsidRPr="00872839">
        <w:rPr>
          <w:lang w:val="en-GB"/>
        </w:rPr>
        <w:t>(In US$ BILLIONS)</w:t>
      </w:r>
    </w:p>
    <w:p w14:paraId="4B9B739B" w14:textId="77777777" w:rsidR="00C96D33" w:rsidRPr="00872839" w:rsidRDefault="00C96D33" w:rsidP="007F1F54">
      <w:pPr>
        <w:pStyle w:val="Casehead1"/>
        <w:jc w:val="center"/>
        <w:rPr>
          <w:lang w:val="en-GB"/>
        </w:rPr>
      </w:pPr>
    </w:p>
    <w:p w14:paraId="30DBB01B" w14:textId="2C45BA3D" w:rsidR="00C96D33" w:rsidRPr="00872839" w:rsidRDefault="00BC3B64" w:rsidP="00872839">
      <w:pPr>
        <w:jc w:val="center"/>
        <w:rPr>
          <w:rFonts w:ascii="Arial" w:hAnsi="Arial" w:cs="Arial"/>
          <w:sz w:val="16"/>
          <w:lang w:val="en-GB"/>
        </w:rPr>
      </w:pPr>
      <w:r w:rsidRPr="00872839">
        <w:rPr>
          <w:noProof/>
          <w:color w:val="3691CE"/>
          <w:lang w:val="en-GB" w:eastAsia="en-GB"/>
        </w:rPr>
        <w:drawing>
          <wp:inline distT="0" distB="0" distL="0" distR="0" wp14:anchorId="0A0674BB" wp14:editId="69DD16C8">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B301B6" w14:textId="77777777" w:rsidR="00BC3B64" w:rsidRPr="00872839" w:rsidRDefault="00BC3B64" w:rsidP="007F1F54">
      <w:pPr>
        <w:rPr>
          <w:rFonts w:ascii="Arial" w:hAnsi="Arial" w:cs="Arial"/>
          <w:sz w:val="16"/>
          <w:lang w:val="en-GB"/>
        </w:rPr>
      </w:pPr>
    </w:p>
    <w:p w14:paraId="414B0729" w14:textId="5A061C6C" w:rsidR="00BC3B64" w:rsidRPr="00872839" w:rsidRDefault="00BC3B64" w:rsidP="007449DD">
      <w:pPr>
        <w:pStyle w:val="Footnote"/>
        <w:outlineLvl w:val="0"/>
        <w:rPr>
          <w:lang w:val="en-GB"/>
        </w:rPr>
      </w:pPr>
      <w:r w:rsidRPr="00872839">
        <w:rPr>
          <w:lang w:val="en-GB"/>
        </w:rPr>
        <w:t>Note: Global total</w:t>
      </w:r>
      <w:r w:rsidR="00E43D64" w:rsidRPr="00872839">
        <w:rPr>
          <w:lang w:val="en-GB"/>
        </w:rPr>
        <w:t xml:space="preserve"> </w:t>
      </w:r>
      <w:r w:rsidRPr="00872839">
        <w:rPr>
          <w:lang w:val="en-GB"/>
        </w:rPr>
        <w:t>= US$1</w:t>
      </w:r>
      <w:r w:rsidR="005202EF">
        <w:rPr>
          <w:lang w:val="en-GB"/>
        </w:rPr>
        <w:t>,</w:t>
      </w:r>
      <w:r w:rsidRPr="00872839">
        <w:rPr>
          <w:lang w:val="en-GB"/>
        </w:rPr>
        <w:t>2</w:t>
      </w:r>
      <w:r w:rsidR="00E50CA8" w:rsidRPr="00872839">
        <w:rPr>
          <w:lang w:val="en-GB"/>
        </w:rPr>
        <w:t>36</w:t>
      </w:r>
      <w:r w:rsidRPr="00872839">
        <w:rPr>
          <w:lang w:val="en-GB"/>
        </w:rPr>
        <w:t xml:space="preserve"> billion</w:t>
      </w:r>
      <w:r w:rsidR="00E43D64" w:rsidRPr="00872839">
        <w:rPr>
          <w:lang w:val="en-GB"/>
        </w:rPr>
        <w:t>; global</w:t>
      </w:r>
      <w:r w:rsidRPr="00872839">
        <w:rPr>
          <w:lang w:val="en-GB"/>
        </w:rPr>
        <w:t xml:space="preserve"> growth</w:t>
      </w:r>
      <w:r w:rsidR="00E43D64" w:rsidRPr="00872839">
        <w:rPr>
          <w:lang w:val="en-GB"/>
        </w:rPr>
        <w:t xml:space="preserve"> </w:t>
      </w:r>
      <w:r w:rsidRPr="00872839">
        <w:rPr>
          <w:lang w:val="en-GB"/>
        </w:rPr>
        <w:t>=</w:t>
      </w:r>
      <w:r w:rsidR="00E43D64" w:rsidRPr="00872839">
        <w:rPr>
          <w:lang w:val="en-GB"/>
        </w:rPr>
        <w:t xml:space="preserve"> </w:t>
      </w:r>
      <w:r w:rsidRPr="00872839">
        <w:rPr>
          <w:lang w:val="en-GB"/>
        </w:rPr>
        <w:t>5%</w:t>
      </w:r>
      <w:r w:rsidR="00E43D64" w:rsidRPr="00872839">
        <w:rPr>
          <w:lang w:val="en-GB"/>
        </w:rPr>
        <w:t xml:space="preserve"> over the previous year</w:t>
      </w:r>
    </w:p>
    <w:p w14:paraId="57AAB0E8" w14:textId="37BD3E05" w:rsidR="007F1F54" w:rsidRPr="00872839" w:rsidRDefault="007F1F54" w:rsidP="00AC013A">
      <w:pPr>
        <w:pStyle w:val="Footnote"/>
        <w:rPr>
          <w:b/>
          <w:lang w:val="en-GB"/>
        </w:rPr>
      </w:pPr>
      <w:r w:rsidRPr="00872839">
        <w:rPr>
          <w:lang w:val="en-GB"/>
        </w:rPr>
        <w:t xml:space="preserve">Source: </w:t>
      </w:r>
      <w:r w:rsidR="003D78BC" w:rsidRPr="00872839">
        <w:rPr>
          <w:lang w:val="en-GB"/>
        </w:rPr>
        <w:t>G</w:t>
      </w:r>
      <w:r w:rsidR="00E43D64" w:rsidRPr="00872839">
        <w:rPr>
          <w:lang w:val="en-GB"/>
        </w:rPr>
        <w:t xml:space="preserve">lobal </w:t>
      </w:r>
      <w:r w:rsidR="003D78BC" w:rsidRPr="00872839">
        <w:rPr>
          <w:lang w:val="en-GB"/>
        </w:rPr>
        <w:t>B</w:t>
      </w:r>
      <w:r w:rsidR="00E43D64" w:rsidRPr="00872839">
        <w:rPr>
          <w:lang w:val="en-GB"/>
        </w:rPr>
        <w:t xml:space="preserve">usiness </w:t>
      </w:r>
      <w:r w:rsidR="003D78BC" w:rsidRPr="00872839">
        <w:rPr>
          <w:lang w:val="en-GB"/>
        </w:rPr>
        <w:t>T</w:t>
      </w:r>
      <w:r w:rsidR="00E43D64" w:rsidRPr="00872839">
        <w:rPr>
          <w:lang w:val="en-GB"/>
        </w:rPr>
        <w:t xml:space="preserve">ravel </w:t>
      </w:r>
      <w:r w:rsidR="003D78BC" w:rsidRPr="00872839">
        <w:rPr>
          <w:lang w:val="en-GB"/>
        </w:rPr>
        <w:t>A</w:t>
      </w:r>
      <w:r w:rsidR="00E43D64" w:rsidRPr="00872839">
        <w:rPr>
          <w:lang w:val="en-GB"/>
        </w:rPr>
        <w:t>ssociation</w:t>
      </w:r>
      <w:r w:rsidR="003D78BC" w:rsidRPr="00872839">
        <w:rPr>
          <w:lang w:val="en-GB"/>
        </w:rPr>
        <w:t xml:space="preserve"> Foundation, “Global </w:t>
      </w:r>
      <w:r w:rsidR="00E43D64" w:rsidRPr="00872839">
        <w:rPr>
          <w:lang w:val="en-GB"/>
        </w:rPr>
        <w:t>B</w:t>
      </w:r>
      <w:r w:rsidR="003D78BC" w:rsidRPr="00872839">
        <w:rPr>
          <w:lang w:val="en-GB"/>
        </w:rPr>
        <w:t xml:space="preserve">usiness </w:t>
      </w:r>
      <w:r w:rsidR="00E43D64" w:rsidRPr="00872839">
        <w:rPr>
          <w:lang w:val="en-GB"/>
        </w:rPr>
        <w:t>T</w:t>
      </w:r>
      <w:r w:rsidR="003D78BC" w:rsidRPr="00872839">
        <w:rPr>
          <w:lang w:val="en-GB"/>
        </w:rPr>
        <w:t xml:space="preserve">ravel </w:t>
      </w:r>
      <w:r w:rsidR="00E43D64" w:rsidRPr="00872839">
        <w:rPr>
          <w:lang w:val="en-GB"/>
        </w:rPr>
        <w:t>S</w:t>
      </w:r>
      <w:r w:rsidR="003D78BC" w:rsidRPr="00872839">
        <w:rPr>
          <w:lang w:val="en-GB"/>
        </w:rPr>
        <w:t xml:space="preserve">pend </w:t>
      </w:r>
      <w:r w:rsidR="00E43D64" w:rsidRPr="00872839">
        <w:rPr>
          <w:lang w:val="en-GB"/>
        </w:rPr>
        <w:t>T</w:t>
      </w:r>
      <w:r w:rsidR="003D78BC" w:rsidRPr="00872839">
        <w:rPr>
          <w:lang w:val="en-GB"/>
        </w:rPr>
        <w:t xml:space="preserve">opped </w:t>
      </w:r>
      <w:r w:rsidR="00E43D64" w:rsidRPr="00872839">
        <w:rPr>
          <w:lang w:val="en-GB"/>
        </w:rPr>
        <w:t>R</w:t>
      </w:r>
      <w:r w:rsidR="003D78BC" w:rsidRPr="00872839">
        <w:rPr>
          <w:lang w:val="en-GB"/>
        </w:rPr>
        <w:t>ecord-</w:t>
      </w:r>
      <w:r w:rsidR="00E43D64" w:rsidRPr="00872839">
        <w:rPr>
          <w:lang w:val="en-GB"/>
        </w:rPr>
        <w:t>B</w:t>
      </w:r>
      <w:r w:rsidR="003D78BC" w:rsidRPr="00872839">
        <w:rPr>
          <w:lang w:val="en-GB"/>
        </w:rPr>
        <w:t xml:space="preserve">reaking $1.2 </w:t>
      </w:r>
      <w:r w:rsidR="00E43D64" w:rsidRPr="00872839">
        <w:rPr>
          <w:lang w:val="en-GB"/>
        </w:rPr>
        <w:t>T</w:t>
      </w:r>
      <w:r w:rsidR="003D78BC" w:rsidRPr="00872839">
        <w:rPr>
          <w:lang w:val="en-GB"/>
        </w:rPr>
        <w:t xml:space="preserve">rillion USD in 2015, </w:t>
      </w:r>
      <w:r w:rsidR="00E43D64" w:rsidRPr="00872839">
        <w:rPr>
          <w:lang w:val="en-GB"/>
        </w:rPr>
        <w:t>W</w:t>
      </w:r>
      <w:r w:rsidR="003D78BC" w:rsidRPr="00872839">
        <w:rPr>
          <w:lang w:val="en-GB"/>
        </w:rPr>
        <w:t xml:space="preserve">ill </w:t>
      </w:r>
      <w:r w:rsidR="00E43D64" w:rsidRPr="00872839">
        <w:rPr>
          <w:lang w:val="en-GB"/>
        </w:rPr>
        <w:t>R</w:t>
      </w:r>
      <w:r w:rsidR="003D78BC" w:rsidRPr="00872839">
        <w:rPr>
          <w:lang w:val="en-GB"/>
        </w:rPr>
        <w:t xml:space="preserve">each $1.6 </w:t>
      </w:r>
      <w:r w:rsidR="00E43D64" w:rsidRPr="00872839">
        <w:rPr>
          <w:lang w:val="en-GB"/>
        </w:rPr>
        <w:t>T</w:t>
      </w:r>
      <w:r w:rsidR="003D78BC" w:rsidRPr="00872839">
        <w:rPr>
          <w:lang w:val="en-GB"/>
        </w:rPr>
        <w:t xml:space="preserve">rillion USD in 2016,” </w:t>
      </w:r>
      <w:r w:rsidR="00E43D64" w:rsidRPr="00872839">
        <w:rPr>
          <w:lang w:val="en-GB"/>
        </w:rPr>
        <w:t xml:space="preserve">press release, </w:t>
      </w:r>
      <w:r w:rsidR="003D78BC" w:rsidRPr="00872839">
        <w:rPr>
          <w:lang w:val="en-GB"/>
        </w:rPr>
        <w:t>July 11, 2016, accessed July 24, 2017,</w:t>
      </w:r>
      <w:r w:rsidR="00404166" w:rsidRPr="00872839">
        <w:rPr>
          <w:lang w:val="en-GB"/>
        </w:rPr>
        <w:t xml:space="preserve"> </w:t>
      </w:r>
      <w:r w:rsidR="003D78BC" w:rsidRPr="00872839">
        <w:rPr>
          <w:lang w:val="en-GB"/>
        </w:rPr>
        <w:t>www.gbta.org/foundation/pressreleases/Pages/rls_0711162.aspx</w:t>
      </w:r>
      <w:r w:rsidR="00E43D64" w:rsidRPr="00872839">
        <w:rPr>
          <w:lang w:val="en-GB"/>
        </w:rPr>
        <w:t>.</w:t>
      </w:r>
      <w:r w:rsidRPr="00872839">
        <w:rPr>
          <w:b/>
          <w:lang w:val="en-GB"/>
        </w:rPr>
        <w:br w:type="page"/>
      </w:r>
    </w:p>
    <w:p w14:paraId="4FCB55BE" w14:textId="61BFD4B1" w:rsidR="007F1F54" w:rsidRPr="00872839" w:rsidRDefault="007F1F54" w:rsidP="007310FB">
      <w:pPr>
        <w:pStyle w:val="Casehead1"/>
        <w:jc w:val="center"/>
        <w:rPr>
          <w:lang w:val="en-GB"/>
        </w:rPr>
      </w:pPr>
      <w:r w:rsidRPr="00872839">
        <w:rPr>
          <w:lang w:val="en-GB"/>
        </w:rPr>
        <w:lastRenderedPageBreak/>
        <w:t>Exhibit 2</w:t>
      </w:r>
      <w:r w:rsidR="007310FB" w:rsidRPr="00872839">
        <w:rPr>
          <w:lang w:val="en-GB"/>
        </w:rPr>
        <w:t xml:space="preserve">: </w:t>
      </w:r>
      <w:r w:rsidR="00BC3B64" w:rsidRPr="00872839">
        <w:rPr>
          <w:lang w:val="en-GB"/>
        </w:rPr>
        <w:t xml:space="preserve">pricing of </w:t>
      </w:r>
      <w:r w:rsidR="009939D2" w:rsidRPr="00872839">
        <w:rPr>
          <w:lang w:val="en-GB"/>
        </w:rPr>
        <w:t xml:space="preserve">airbnb accommodation </w:t>
      </w:r>
      <w:r w:rsidR="00BC3B64" w:rsidRPr="00872839">
        <w:rPr>
          <w:lang w:val="en-GB"/>
        </w:rPr>
        <w:t>versus business hotels: selected cities</w:t>
      </w:r>
      <w:r w:rsidR="007C31F5" w:rsidRPr="00872839">
        <w:rPr>
          <w:lang w:val="en-GB"/>
        </w:rPr>
        <w:t xml:space="preserve">, </w:t>
      </w:r>
      <w:r w:rsidR="009D74E4" w:rsidRPr="00872839">
        <w:rPr>
          <w:lang w:val="en-GB"/>
        </w:rPr>
        <w:t>2015</w:t>
      </w:r>
      <w:r w:rsidR="00BC3B64" w:rsidRPr="00872839">
        <w:rPr>
          <w:lang w:val="en-GB"/>
        </w:rPr>
        <w:t xml:space="preserve"> </w:t>
      </w:r>
    </w:p>
    <w:p w14:paraId="3F7CF428" w14:textId="40E6853A" w:rsidR="007310FB" w:rsidRPr="00872839" w:rsidRDefault="007310FB" w:rsidP="007310FB">
      <w:pPr>
        <w:pStyle w:val="Casehead1"/>
        <w:jc w:val="center"/>
        <w:rPr>
          <w:sz w:val="14"/>
          <w:lang w:val="en-GB"/>
        </w:rPr>
      </w:pPr>
    </w:p>
    <w:p w14:paraId="25D0925D" w14:textId="223C664A" w:rsidR="00BC3B64" w:rsidRPr="00872839" w:rsidRDefault="00BC3B64" w:rsidP="007310FB">
      <w:pPr>
        <w:pStyle w:val="Casehead1"/>
        <w:jc w:val="center"/>
        <w:rPr>
          <w:sz w:val="14"/>
          <w:lang w:val="en-GB"/>
        </w:rPr>
      </w:pPr>
    </w:p>
    <w:tbl>
      <w:tblPr>
        <w:tblStyle w:val="TableGrid"/>
        <w:tblW w:w="0" w:type="auto"/>
        <w:jc w:val="center"/>
        <w:tblLook w:val="04A0" w:firstRow="1" w:lastRow="0" w:firstColumn="1" w:lastColumn="0" w:noHBand="0" w:noVBand="1"/>
      </w:tblPr>
      <w:tblGrid>
        <w:gridCol w:w="1838"/>
        <w:gridCol w:w="1276"/>
        <w:gridCol w:w="1417"/>
      </w:tblGrid>
      <w:tr w:rsidR="00BC3B64" w:rsidRPr="00872839" w14:paraId="6328AD31" w14:textId="77777777" w:rsidTr="00AC013A">
        <w:trPr>
          <w:jc w:val="center"/>
        </w:trPr>
        <w:tc>
          <w:tcPr>
            <w:tcW w:w="1838" w:type="dxa"/>
          </w:tcPr>
          <w:p w14:paraId="73F4FB89" w14:textId="065AEA44" w:rsidR="00BC3B64" w:rsidRPr="00872839" w:rsidRDefault="007C31F5" w:rsidP="004646C2">
            <w:pPr>
              <w:pStyle w:val="ExhibitText"/>
              <w:jc w:val="center"/>
              <w:rPr>
                <w:b/>
                <w:lang w:val="en-GB"/>
              </w:rPr>
            </w:pPr>
            <w:r w:rsidRPr="00872839">
              <w:rPr>
                <w:b/>
                <w:lang w:val="en-GB"/>
              </w:rPr>
              <w:t>City</w:t>
            </w:r>
          </w:p>
        </w:tc>
        <w:tc>
          <w:tcPr>
            <w:tcW w:w="1276" w:type="dxa"/>
          </w:tcPr>
          <w:p w14:paraId="1862A12C" w14:textId="2C4E4E10" w:rsidR="00BC3B64" w:rsidRPr="00872839" w:rsidRDefault="00BC3B64" w:rsidP="004646C2">
            <w:pPr>
              <w:pStyle w:val="ExhibitText"/>
              <w:jc w:val="center"/>
              <w:rPr>
                <w:b/>
                <w:bCs/>
                <w:color w:val="4F81BD"/>
                <w:lang w:val="en-GB" w:eastAsia="x-none"/>
              </w:rPr>
            </w:pPr>
            <w:r w:rsidRPr="00872839">
              <w:rPr>
                <w:b/>
                <w:lang w:val="en-GB"/>
              </w:rPr>
              <w:t xml:space="preserve">Hotel </w:t>
            </w:r>
            <w:r w:rsidR="007C31F5" w:rsidRPr="00872839">
              <w:rPr>
                <w:b/>
                <w:lang w:val="en-GB"/>
              </w:rPr>
              <w:t>P</w:t>
            </w:r>
            <w:r w:rsidRPr="00872839">
              <w:rPr>
                <w:b/>
                <w:lang w:val="en-GB"/>
              </w:rPr>
              <w:t>rice</w:t>
            </w:r>
          </w:p>
        </w:tc>
        <w:tc>
          <w:tcPr>
            <w:tcW w:w="1417" w:type="dxa"/>
          </w:tcPr>
          <w:p w14:paraId="1ACDC5C4" w14:textId="53158F5B" w:rsidR="00BC3B64" w:rsidRPr="00872839" w:rsidRDefault="00BC3B64" w:rsidP="004646C2">
            <w:pPr>
              <w:pStyle w:val="ExhibitText"/>
              <w:jc w:val="center"/>
              <w:rPr>
                <w:b/>
                <w:bCs/>
                <w:color w:val="4F81BD"/>
                <w:lang w:val="en-GB" w:eastAsia="x-none"/>
              </w:rPr>
            </w:pPr>
            <w:r w:rsidRPr="00872839">
              <w:rPr>
                <w:b/>
                <w:lang w:val="en-GB"/>
              </w:rPr>
              <w:t xml:space="preserve">Airbnb </w:t>
            </w:r>
            <w:r w:rsidR="007C31F5" w:rsidRPr="00872839">
              <w:rPr>
                <w:b/>
                <w:lang w:val="en-GB"/>
              </w:rPr>
              <w:t>P</w:t>
            </w:r>
            <w:r w:rsidRPr="00872839">
              <w:rPr>
                <w:b/>
                <w:lang w:val="en-GB"/>
              </w:rPr>
              <w:t>rice</w:t>
            </w:r>
          </w:p>
        </w:tc>
      </w:tr>
      <w:tr w:rsidR="00BC3B64" w:rsidRPr="00872839" w14:paraId="54E7C9B0" w14:textId="77777777" w:rsidTr="00AC013A">
        <w:trPr>
          <w:jc w:val="center"/>
        </w:trPr>
        <w:tc>
          <w:tcPr>
            <w:tcW w:w="1838" w:type="dxa"/>
          </w:tcPr>
          <w:p w14:paraId="2A892B76" w14:textId="77777777" w:rsidR="00BC3B64" w:rsidRPr="00872839" w:rsidRDefault="00BC3B64" w:rsidP="00AC013A">
            <w:pPr>
              <w:pStyle w:val="ExhibitText"/>
              <w:rPr>
                <w:lang w:val="en-GB"/>
              </w:rPr>
            </w:pPr>
            <w:r w:rsidRPr="00872839">
              <w:rPr>
                <w:lang w:val="en-GB"/>
              </w:rPr>
              <w:t>Austin</w:t>
            </w:r>
          </w:p>
        </w:tc>
        <w:tc>
          <w:tcPr>
            <w:tcW w:w="1276" w:type="dxa"/>
          </w:tcPr>
          <w:p w14:paraId="6B550E9A" w14:textId="77777777" w:rsidR="00BC3B64" w:rsidRPr="00872839" w:rsidRDefault="00BC3B64" w:rsidP="004646C2">
            <w:pPr>
              <w:pStyle w:val="ExhibitText"/>
              <w:jc w:val="center"/>
              <w:rPr>
                <w:b/>
                <w:bCs/>
                <w:color w:val="4F81BD"/>
                <w:lang w:val="en-GB" w:eastAsia="x-none"/>
              </w:rPr>
            </w:pPr>
            <w:r w:rsidRPr="00872839">
              <w:rPr>
                <w:lang w:val="en-GB"/>
              </w:rPr>
              <w:t>160</w:t>
            </w:r>
          </w:p>
        </w:tc>
        <w:tc>
          <w:tcPr>
            <w:tcW w:w="1417" w:type="dxa"/>
          </w:tcPr>
          <w:p w14:paraId="391E27C0" w14:textId="77777777" w:rsidR="00BC3B64" w:rsidRPr="00872839" w:rsidRDefault="00BC3B64" w:rsidP="004646C2">
            <w:pPr>
              <w:pStyle w:val="ExhibitText"/>
              <w:tabs>
                <w:tab w:val="decimal" w:pos="885"/>
              </w:tabs>
              <w:rPr>
                <w:b/>
                <w:bCs/>
                <w:color w:val="4F81BD"/>
                <w:lang w:val="en-GB" w:eastAsia="x-none"/>
              </w:rPr>
            </w:pPr>
            <w:r w:rsidRPr="00872839">
              <w:rPr>
                <w:lang w:val="en-GB"/>
              </w:rPr>
              <w:t>286</w:t>
            </w:r>
          </w:p>
        </w:tc>
      </w:tr>
      <w:tr w:rsidR="00BC3B64" w:rsidRPr="00872839" w14:paraId="2AE95C8D" w14:textId="77777777" w:rsidTr="00AC013A">
        <w:trPr>
          <w:jc w:val="center"/>
        </w:trPr>
        <w:tc>
          <w:tcPr>
            <w:tcW w:w="1838" w:type="dxa"/>
          </w:tcPr>
          <w:p w14:paraId="5B315614" w14:textId="77777777" w:rsidR="00BC3B64" w:rsidRPr="00872839" w:rsidRDefault="00BC3B64" w:rsidP="00AC013A">
            <w:pPr>
              <w:pStyle w:val="ExhibitText"/>
              <w:rPr>
                <w:lang w:val="en-GB"/>
              </w:rPr>
            </w:pPr>
            <w:r w:rsidRPr="00872839">
              <w:rPr>
                <w:lang w:val="en-GB"/>
              </w:rPr>
              <w:t>Boston</w:t>
            </w:r>
          </w:p>
        </w:tc>
        <w:tc>
          <w:tcPr>
            <w:tcW w:w="1276" w:type="dxa"/>
          </w:tcPr>
          <w:p w14:paraId="0EC021BF" w14:textId="77777777" w:rsidR="00BC3B64" w:rsidRPr="00872839" w:rsidRDefault="00BC3B64" w:rsidP="004646C2">
            <w:pPr>
              <w:pStyle w:val="ExhibitText"/>
              <w:jc w:val="center"/>
              <w:rPr>
                <w:lang w:val="en-GB"/>
              </w:rPr>
            </w:pPr>
            <w:r w:rsidRPr="00872839">
              <w:rPr>
                <w:lang w:val="en-GB"/>
              </w:rPr>
              <w:t>213</w:t>
            </w:r>
          </w:p>
        </w:tc>
        <w:tc>
          <w:tcPr>
            <w:tcW w:w="1417" w:type="dxa"/>
          </w:tcPr>
          <w:p w14:paraId="7BDB661D" w14:textId="77777777" w:rsidR="00BC3B64" w:rsidRPr="00872839" w:rsidRDefault="00BC3B64" w:rsidP="004646C2">
            <w:pPr>
              <w:pStyle w:val="ExhibitText"/>
              <w:tabs>
                <w:tab w:val="decimal" w:pos="885"/>
              </w:tabs>
              <w:rPr>
                <w:b/>
                <w:bCs/>
                <w:color w:val="4F81BD"/>
                <w:lang w:val="en-GB" w:eastAsia="x-none"/>
              </w:rPr>
            </w:pPr>
            <w:r w:rsidRPr="00872839">
              <w:rPr>
                <w:lang w:val="en-GB"/>
              </w:rPr>
              <w:t>181</w:t>
            </w:r>
          </w:p>
        </w:tc>
      </w:tr>
      <w:tr w:rsidR="00BC3B64" w:rsidRPr="00872839" w14:paraId="7D312004" w14:textId="77777777" w:rsidTr="00AC013A">
        <w:trPr>
          <w:jc w:val="center"/>
        </w:trPr>
        <w:tc>
          <w:tcPr>
            <w:tcW w:w="1838" w:type="dxa"/>
          </w:tcPr>
          <w:p w14:paraId="559043FF" w14:textId="77777777" w:rsidR="00BC3B64" w:rsidRPr="00872839" w:rsidRDefault="00BC3B64" w:rsidP="00AC013A">
            <w:pPr>
              <w:pStyle w:val="ExhibitText"/>
              <w:rPr>
                <w:lang w:val="en-GB"/>
              </w:rPr>
            </w:pPr>
            <w:r w:rsidRPr="00872839">
              <w:rPr>
                <w:lang w:val="en-GB"/>
              </w:rPr>
              <w:t>Chicago</w:t>
            </w:r>
          </w:p>
        </w:tc>
        <w:tc>
          <w:tcPr>
            <w:tcW w:w="1276" w:type="dxa"/>
          </w:tcPr>
          <w:p w14:paraId="1A8D5F03" w14:textId="77777777" w:rsidR="00BC3B64" w:rsidRPr="00872839" w:rsidRDefault="00BC3B64" w:rsidP="004646C2">
            <w:pPr>
              <w:pStyle w:val="ExhibitText"/>
              <w:jc w:val="center"/>
              <w:rPr>
                <w:b/>
                <w:bCs/>
                <w:color w:val="4F81BD"/>
                <w:lang w:val="en-GB" w:eastAsia="x-none"/>
              </w:rPr>
            </w:pPr>
            <w:r w:rsidRPr="00872839">
              <w:rPr>
                <w:lang w:val="en-GB"/>
              </w:rPr>
              <w:t>179</w:t>
            </w:r>
          </w:p>
        </w:tc>
        <w:tc>
          <w:tcPr>
            <w:tcW w:w="1417" w:type="dxa"/>
          </w:tcPr>
          <w:p w14:paraId="3C82B39B" w14:textId="77777777" w:rsidR="00BC3B64" w:rsidRPr="00872839" w:rsidRDefault="00BC3B64" w:rsidP="004646C2">
            <w:pPr>
              <w:pStyle w:val="ExhibitText"/>
              <w:tabs>
                <w:tab w:val="decimal" w:pos="885"/>
              </w:tabs>
              <w:rPr>
                <w:b/>
                <w:bCs/>
                <w:color w:val="4F81BD"/>
                <w:lang w:val="en-GB" w:eastAsia="x-none"/>
              </w:rPr>
            </w:pPr>
            <w:r w:rsidRPr="00872839">
              <w:rPr>
                <w:lang w:val="en-GB"/>
              </w:rPr>
              <w:t>150</w:t>
            </w:r>
          </w:p>
        </w:tc>
      </w:tr>
      <w:tr w:rsidR="00BC3B64" w:rsidRPr="00872839" w14:paraId="3C34DB99" w14:textId="77777777" w:rsidTr="00AC013A">
        <w:trPr>
          <w:jc w:val="center"/>
        </w:trPr>
        <w:tc>
          <w:tcPr>
            <w:tcW w:w="1838" w:type="dxa"/>
          </w:tcPr>
          <w:p w14:paraId="60A62A12" w14:textId="77777777" w:rsidR="00BC3B64" w:rsidRPr="00872839" w:rsidRDefault="00BC3B64" w:rsidP="00AC013A">
            <w:pPr>
              <w:pStyle w:val="ExhibitText"/>
              <w:rPr>
                <w:lang w:val="en-GB"/>
              </w:rPr>
            </w:pPr>
            <w:r w:rsidRPr="00872839">
              <w:rPr>
                <w:lang w:val="en-GB"/>
              </w:rPr>
              <w:t>Los Angeles</w:t>
            </w:r>
          </w:p>
        </w:tc>
        <w:tc>
          <w:tcPr>
            <w:tcW w:w="1276" w:type="dxa"/>
          </w:tcPr>
          <w:p w14:paraId="61A8CEAD" w14:textId="77777777" w:rsidR="00BC3B64" w:rsidRPr="00872839" w:rsidRDefault="00BC3B64" w:rsidP="004646C2">
            <w:pPr>
              <w:pStyle w:val="ExhibitText"/>
              <w:jc w:val="center"/>
              <w:rPr>
                <w:b/>
                <w:bCs/>
                <w:color w:val="4F81BD"/>
                <w:lang w:val="en-GB" w:eastAsia="x-none"/>
              </w:rPr>
            </w:pPr>
            <w:r w:rsidRPr="00872839">
              <w:rPr>
                <w:lang w:val="en-GB"/>
              </w:rPr>
              <w:t>175</w:t>
            </w:r>
          </w:p>
        </w:tc>
        <w:tc>
          <w:tcPr>
            <w:tcW w:w="1417" w:type="dxa"/>
          </w:tcPr>
          <w:p w14:paraId="240DB065" w14:textId="77777777" w:rsidR="00BC3B64" w:rsidRPr="00872839" w:rsidRDefault="00BC3B64" w:rsidP="004646C2">
            <w:pPr>
              <w:pStyle w:val="ExhibitText"/>
              <w:tabs>
                <w:tab w:val="decimal" w:pos="885"/>
              </w:tabs>
              <w:rPr>
                <w:b/>
                <w:bCs/>
                <w:color w:val="4F81BD"/>
                <w:lang w:val="en-GB" w:eastAsia="x-none"/>
              </w:rPr>
            </w:pPr>
            <w:r w:rsidRPr="00872839">
              <w:rPr>
                <w:lang w:val="en-GB"/>
              </w:rPr>
              <w:t>170</w:t>
            </w:r>
          </w:p>
        </w:tc>
      </w:tr>
      <w:tr w:rsidR="00BC3B64" w:rsidRPr="00872839" w14:paraId="4DB6007C" w14:textId="77777777" w:rsidTr="00AC013A">
        <w:trPr>
          <w:jc w:val="center"/>
        </w:trPr>
        <w:tc>
          <w:tcPr>
            <w:tcW w:w="1838" w:type="dxa"/>
          </w:tcPr>
          <w:p w14:paraId="52D94C4E" w14:textId="77777777" w:rsidR="00BC3B64" w:rsidRPr="00872839" w:rsidRDefault="00BC3B64" w:rsidP="00AC013A">
            <w:pPr>
              <w:pStyle w:val="ExhibitText"/>
              <w:rPr>
                <w:lang w:val="en-GB"/>
              </w:rPr>
            </w:pPr>
            <w:r w:rsidRPr="00872839">
              <w:rPr>
                <w:lang w:val="en-GB"/>
              </w:rPr>
              <w:t>Nashville</w:t>
            </w:r>
          </w:p>
        </w:tc>
        <w:tc>
          <w:tcPr>
            <w:tcW w:w="1276" w:type="dxa"/>
          </w:tcPr>
          <w:p w14:paraId="7551305D" w14:textId="77777777" w:rsidR="00BC3B64" w:rsidRPr="00872839" w:rsidRDefault="00BC3B64" w:rsidP="004646C2">
            <w:pPr>
              <w:pStyle w:val="ExhibitText"/>
              <w:jc w:val="center"/>
              <w:rPr>
                <w:b/>
                <w:bCs/>
                <w:color w:val="4F81BD"/>
                <w:lang w:val="en-GB" w:eastAsia="x-none"/>
              </w:rPr>
            </w:pPr>
            <w:r w:rsidRPr="00872839">
              <w:rPr>
                <w:lang w:val="en-GB"/>
              </w:rPr>
              <w:t>178</w:t>
            </w:r>
          </w:p>
        </w:tc>
        <w:tc>
          <w:tcPr>
            <w:tcW w:w="1417" w:type="dxa"/>
          </w:tcPr>
          <w:p w14:paraId="46B94C6E" w14:textId="77777777" w:rsidR="00BC3B64" w:rsidRPr="00872839" w:rsidRDefault="00BC3B64" w:rsidP="004646C2">
            <w:pPr>
              <w:pStyle w:val="ExhibitText"/>
              <w:tabs>
                <w:tab w:val="decimal" w:pos="885"/>
              </w:tabs>
              <w:rPr>
                <w:b/>
                <w:bCs/>
                <w:color w:val="4F81BD"/>
                <w:lang w:val="en-GB" w:eastAsia="x-none"/>
              </w:rPr>
            </w:pPr>
            <w:r w:rsidRPr="00872839">
              <w:rPr>
                <w:lang w:val="en-GB"/>
              </w:rPr>
              <w:t>201</w:t>
            </w:r>
          </w:p>
        </w:tc>
      </w:tr>
      <w:tr w:rsidR="00BC3B64" w:rsidRPr="00872839" w14:paraId="316D1663" w14:textId="77777777" w:rsidTr="00AC013A">
        <w:trPr>
          <w:jc w:val="center"/>
        </w:trPr>
        <w:tc>
          <w:tcPr>
            <w:tcW w:w="1838" w:type="dxa"/>
          </w:tcPr>
          <w:p w14:paraId="5A3D7DCC" w14:textId="77777777" w:rsidR="00BC3B64" w:rsidRPr="00872839" w:rsidRDefault="00BC3B64" w:rsidP="00AC013A">
            <w:pPr>
              <w:pStyle w:val="ExhibitText"/>
              <w:rPr>
                <w:lang w:val="en-GB"/>
              </w:rPr>
            </w:pPr>
            <w:r w:rsidRPr="00872839">
              <w:rPr>
                <w:lang w:val="en-GB"/>
              </w:rPr>
              <w:t xml:space="preserve">New Orleans </w:t>
            </w:r>
          </w:p>
        </w:tc>
        <w:tc>
          <w:tcPr>
            <w:tcW w:w="1276" w:type="dxa"/>
          </w:tcPr>
          <w:p w14:paraId="040FD268" w14:textId="77777777" w:rsidR="00BC3B64" w:rsidRPr="00872839" w:rsidRDefault="00BC3B64" w:rsidP="004646C2">
            <w:pPr>
              <w:pStyle w:val="ExhibitText"/>
              <w:jc w:val="center"/>
              <w:rPr>
                <w:b/>
                <w:bCs/>
                <w:color w:val="4F81BD"/>
                <w:lang w:val="en-GB" w:eastAsia="x-none"/>
              </w:rPr>
            </w:pPr>
            <w:r w:rsidRPr="00872839">
              <w:rPr>
                <w:lang w:val="en-GB"/>
              </w:rPr>
              <w:t>191</w:t>
            </w:r>
          </w:p>
        </w:tc>
        <w:tc>
          <w:tcPr>
            <w:tcW w:w="1417" w:type="dxa"/>
          </w:tcPr>
          <w:p w14:paraId="6E078458" w14:textId="77777777" w:rsidR="00BC3B64" w:rsidRPr="00872839" w:rsidRDefault="00BC3B64" w:rsidP="004646C2">
            <w:pPr>
              <w:pStyle w:val="ExhibitText"/>
              <w:tabs>
                <w:tab w:val="decimal" w:pos="885"/>
              </w:tabs>
              <w:rPr>
                <w:b/>
                <w:bCs/>
                <w:color w:val="4F81BD"/>
                <w:lang w:val="en-GB" w:eastAsia="x-none"/>
              </w:rPr>
            </w:pPr>
            <w:r w:rsidRPr="00872839">
              <w:rPr>
                <w:lang w:val="en-GB"/>
              </w:rPr>
              <w:t>201</w:t>
            </w:r>
          </w:p>
        </w:tc>
      </w:tr>
      <w:tr w:rsidR="00BC3B64" w:rsidRPr="00872839" w14:paraId="5F2E0EED" w14:textId="77777777" w:rsidTr="00AC013A">
        <w:trPr>
          <w:jc w:val="center"/>
        </w:trPr>
        <w:tc>
          <w:tcPr>
            <w:tcW w:w="1838" w:type="dxa"/>
          </w:tcPr>
          <w:p w14:paraId="41009587" w14:textId="77777777" w:rsidR="00BC3B64" w:rsidRPr="00872839" w:rsidRDefault="00BC3B64" w:rsidP="00AC013A">
            <w:pPr>
              <w:pStyle w:val="ExhibitText"/>
              <w:rPr>
                <w:lang w:val="en-GB"/>
              </w:rPr>
            </w:pPr>
            <w:r w:rsidRPr="00872839">
              <w:rPr>
                <w:lang w:val="en-GB"/>
              </w:rPr>
              <w:t xml:space="preserve">New York City </w:t>
            </w:r>
          </w:p>
        </w:tc>
        <w:tc>
          <w:tcPr>
            <w:tcW w:w="1276" w:type="dxa"/>
          </w:tcPr>
          <w:p w14:paraId="4E753369" w14:textId="77777777" w:rsidR="00BC3B64" w:rsidRPr="00872839" w:rsidRDefault="00BC3B64" w:rsidP="004646C2">
            <w:pPr>
              <w:pStyle w:val="ExhibitText"/>
              <w:jc w:val="center"/>
              <w:rPr>
                <w:b/>
                <w:bCs/>
                <w:color w:val="4F81BD"/>
                <w:lang w:val="en-GB" w:eastAsia="x-none"/>
              </w:rPr>
            </w:pPr>
            <w:r w:rsidRPr="00872839">
              <w:rPr>
                <w:lang w:val="en-GB"/>
              </w:rPr>
              <w:t>245</w:t>
            </w:r>
          </w:p>
        </w:tc>
        <w:tc>
          <w:tcPr>
            <w:tcW w:w="1417" w:type="dxa"/>
          </w:tcPr>
          <w:p w14:paraId="0142150C" w14:textId="77777777" w:rsidR="00BC3B64" w:rsidRPr="00872839" w:rsidRDefault="00BC3B64" w:rsidP="004646C2">
            <w:pPr>
              <w:pStyle w:val="ExhibitText"/>
              <w:tabs>
                <w:tab w:val="decimal" w:pos="885"/>
              </w:tabs>
              <w:rPr>
                <w:b/>
                <w:bCs/>
                <w:color w:val="4F81BD"/>
                <w:lang w:val="en-GB" w:eastAsia="x-none"/>
              </w:rPr>
            </w:pPr>
            <w:r w:rsidRPr="00872839">
              <w:rPr>
                <w:lang w:val="en-GB"/>
              </w:rPr>
              <w:t>164</w:t>
            </w:r>
          </w:p>
        </w:tc>
      </w:tr>
      <w:tr w:rsidR="00BC3B64" w:rsidRPr="00872839" w14:paraId="31DF6F7E" w14:textId="77777777" w:rsidTr="00AC013A">
        <w:trPr>
          <w:jc w:val="center"/>
        </w:trPr>
        <w:tc>
          <w:tcPr>
            <w:tcW w:w="1838" w:type="dxa"/>
          </w:tcPr>
          <w:p w14:paraId="04FF8254" w14:textId="77777777" w:rsidR="00BC3B64" w:rsidRPr="00872839" w:rsidRDefault="00BC3B64" w:rsidP="00AC013A">
            <w:pPr>
              <w:pStyle w:val="ExhibitText"/>
              <w:rPr>
                <w:lang w:val="en-GB"/>
              </w:rPr>
            </w:pPr>
            <w:r w:rsidRPr="00872839">
              <w:rPr>
                <w:lang w:val="en-GB"/>
              </w:rPr>
              <w:t xml:space="preserve">Portland </w:t>
            </w:r>
          </w:p>
        </w:tc>
        <w:tc>
          <w:tcPr>
            <w:tcW w:w="1276" w:type="dxa"/>
          </w:tcPr>
          <w:p w14:paraId="5937827E" w14:textId="77777777" w:rsidR="00BC3B64" w:rsidRPr="00872839" w:rsidRDefault="00BC3B64" w:rsidP="004646C2">
            <w:pPr>
              <w:pStyle w:val="ExhibitText"/>
              <w:jc w:val="center"/>
              <w:rPr>
                <w:b/>
                <w:bCs/>
                <w:color w:val="4F81BD"/>
                <w:lang w:val="en-GB" w:eastAsia="x-none"/>
              </w:rPr>
            </w:pPr>
            <w:r w:rsidRPr="00872839">
              <w:rPr>
                <w:lang w:val="en-GB"/>
              </w:rPr>
              <w:t>149</w:t>
            </w:r>
          </w:p>
        </w:tc>
        <w:tc>
          <w:tcPr>
            <w:tcW w:w="1417" w:type="dxa"/>
          </w:tcPr>
          <w:p w14:paraId="4195FB88" w14:textId="77777777" w:rsidR="00BC3B64" w:rsidRPr="00872839" w:rsidRDefault="00BC3B64" w:rsidP="004646C2">
            <w:pPr>
              <w:pStyle w:val="ExhibitText"/>
              <w:tabs>
                <w:tab w:val="decimal" w:pos="885"/>
              </w:tabs>
              <w:rPr>
                <w:b/>
                <w:bCs/>
                <w:color w:val="4F81BD"/>
                <w:lang w:val="en-GB" w:eastAsia="x-none"/>
              </w:rPr>
            </w:pPr>
            <w:r w:rsidRPr="00872839">
              <w:rPr>
                <w:lang w:val="en-GB"/>
              </w:rPr>
              <w:t>118</w:t>
            </w:r>
          </w:p>
        </w:tc>
      </w:tr>
      <w:tr w:rsidR="00BC3B64" w:rsidRPr="00872839" w14:paraId="5AD448F6" w14:textId="77777777" w:rsidTr="00AC013A">
        <w:trPr>
          <w:jc w:val="center"/>
        </w:trPr>
        <w:tc>
          <w:tcPr>
            <w:tcW w:w="1838" w:type="dxa"/>
          </w:tcPr>
          <w:p w14:paraId="63C4FB81" w14:textId="77777777" w:rsidR="00BC3B64" w:rsidRPr="00872839" w:rsidRDefault="00BC3B64" w:rsidP="00AC013A">
            <w:pPr>
              <w:pStyle w:val="ExhibitText"/>
              <w:rPr>
                <w:lang w:val="en-GB"/>
              </w:rPr>
            </w:pPr>
            <w:r w:rsidRPr="00872839">
              <w:rPr>
                <w:lang w:val="en-GB"/>
              </w:rPr>
              <w:t>San Diego</w:t>
            </w:r>
          </w:p>
        </w:tc>
        <w:tc>
          <w:tcPr>
            <w:tcW w:w="1276" w:type="dxa"/>
          </w:tcPr>
          <w:p w14:paraId="16F16FB0" w14:textId="77777777" w:rsidR="00BC3B64" w:rsidRPr="00872839" w:rsidRDefault="00BC3B64" w:rsidP="004646C2">
            <w:pPr>
              <w:pStyle w:val="ExhibitText"/>
              <w:jc w:val="center"/>
              <w:rPr>
                <w:b/>
                <w:bCs/>
                <w:color w:val="4F81BD"/>
                <w:lang w:val="en-GB" w:eastAsia="x-none"/>
              </w:rPr>
            </w:pPr>
            <w:r w:rsidRPr="00872839">
              <w:rPr>
                <w:lang w:val="en-GB"/>
              </w:rPr>
              <w:t>152</w:t>
            </w:r>
          </w:p>
        </w:tc>
        <w:tc>
          <w:tcPr>
            <w:tcW w:w="1417" w:type="dxa"/>
          </w:tcPr>
          <w:p w14:paraId="47567506" w14:textId="77777777" w:rsidR="00BC3B64" w:rsidRPr="00872839" w:rsidRDefault="00BC3B64" w:rsidP="004646C2">
            <w:pPr>
              <w:pStyle w:val="ExhibitText"/>
              <w:tabs>
                <w:tab w:val="decimal" w:pos="885"/>
              </w:tabs>
              <w:rPr>
                <w:b/>
                <w:bCs/>
                <w:color w:val="4F81BD"/>
                <w:lang w:val="en-GB" w:eastAsia="x-none"/>
              </w:rPr>
            </w:pPr>
            <w:r w:rsidRPr="00872839">
              <w:rPr>
                <w:lang w:val="en-GB"/>
              </w:rPr>
              <w:t>214</w:t>
            </w:r>
          </w:p>
        </w:tc>
      </w:tr>
      <w:tr w:rsidR="00BC3B64" w:rsidRPr="00872839" w14:paraId="077F93E6" w14:textId="77777777" w:rsidTr="00AC013A">
        <w:trPr>
          <w:jc w:val="center"/>
        </w:trPr>
        <w:tc>
          <w:tcPr>
            <w:tcW w:w="1838" w:type="dxa"/>
          </w:tcPr>
          <w:p w14:paraId="1CFFE0C8" w14:textId="77777777" w:rsidR="00BC3B64" w:rsidRPr="00872839" w:rsidRDefault="00BC3B64" w:rsidP="00AC013A">
            <w:pPr>
              <w:pStyle w:val="ExhibitText"/>
              <w:rPr>
                <w:lang w:val="en-GB"/>
              </w:rPr>
            </w:pPr>
            <w:r w:rsidRPr="00872839">
              <w:rPr>
                <w:lang w:val="en-GB"/>
              </w:rPr>
              <w:t>San Francisco</w:t>
            </w:r>
          </w:p>
        </w:tc>
        <w:tc>
          <w:tcPr>
            <w:tcW w:w="1276" w:type="dxa"/>
          </w:tcPr>
          <w:p w14:paraId="1F5F2336" w14:textId="77777777" w:rsidR="00BC3B64" w:rsidRPr="00872839" w:rsidRDefault="00BC3B64" w:rsidP="004646C2">
            <w:pPr>
              <w:pStyle w:val="ExhibitText"/>
              <w:jc w:val="center"/>
              <w:rPr>
                <w:b/>
                <w:bCs/>
                <w:color w:val="4F81BD"/>
                <w:lang w:val="en-GB" w:eastAsia="x-none"/>
              </w:rPr>
            </w:pPr>
            <w:r w:rsidRPr="00872839">
              <w:rPr>
                <w:lang w:val="en-GB"/>
              </w:rPr>
              <w:t>217</w:t>
            </w:r>
          </w:p>
        </w:tc>
        <w:tc>
          <w:tcPr>
            <w:tcW w:w="1417" w:type="dxa"/>
          </w:tcPr>
          <w:p w14:paraId="1FD69E31" w14:textId="77777777" w:rsidR="00BC3B64" w:rsidRPr="00872839" w:rsidRDefault="00BC3B64" w:rsidP="004646C2">
            <w:pPr>
              <w:pStyle w:val="ExhibitText"/>
              <w:tabs>
                <w:tab w:val="decimal" w:pos="885"/>
              </w:tabs>
              <w:rPr>
                <w:b/>
                <w:bCs/>
                <w:color w:val="4F81BD"/>
                <w:lang w:val="en-GB" w:eastAsia="x-none"/>
              </w:rPr>
            </w:pPr>
            <w:r w:rsidRPr="00872839">
              <w:rPr>
                <w:lang w:val="en-GB"/>
              </w:rPr>
              <w:t>221</w:t>
            </w:r>
          </w:p>
        </w:tc>
      </w:tr>
      <w:tr w:rsidR="00BC3B64" w:rsidRPr="00872839" w14:paraId="70980723" w14:textId="77777777" w:rsidTr="00AC013A">
        <w:trPr>
          <w:jc w:val="center"/>
        </w:trPr>
        <w:tc>
          <w:tcPr>
            <w:tcW w:w="1838" w:type="dxa"/>
          </w:tcPr>
          <w:p w14:paraId="445986B7" w14:textId="77777777" w:rsidR="00BC3B64" w:rsidRPr="00872839" w:rsidRDefault="00BC3B64" w:rsidP="00AC013A">
            <w:pPr>
              <w:pStyle w:val="ExhibitText"/>
              <w:rPr>
                <w:lang w:val="en-GB"/>
              </w:rPr>
            </w:pPr>
            <w:r w:rsidRPr="00872839">
              <w:rPr>
                <w:lang w:val="en-GB"/>
              </w:rPr>
              <w:t xml:space="preserve">Seattle </w:t>
            </w:r>
          </w:p>
        </w:tc>
        <w:tc>
          <w:tcPr>
            <w:tcW w:w="1276" w:type="dxa"/>
          </w:tcPr>
          <w:p w14:paraId="3992021B" w14:textId="77777777" w:rsidR="00BC3B64" w:rsidRPr="00872839" w:rsidRDefault="00BC3B64" w:rsidP="004646C2">
            <w:pPr>
              <w:pStyle w:val="ExhibitText"/>
              <w:jc w:val="center"/>
              <w:rPr>
                <w:b/>
                <w:bCs/>
                <w:color w:val="4F81BD"/>
                <w:lang w:val="en-GB" w:eastAsia="x-none"/>
              </w:rPr>
            </w:pPr>
            <w:r w:rsidRPr="00872839">
              <w:rPr>
                <w:lang w:val="en-GB"/>
              </w:rPr>
              <w:t>195</w:t>
            </w:r>
          </w:p>
        </w:tc>
        <w:tc>
          <w:tcPr>
            <w:tcW w:w="1417" w:type="dxa"/>
          </w:tcPr>
          <w:p w14:paraId="3167A7AB" w14:textId="77777777" w:rsidR="00BC3B64" w:rsidRPr="00872839" w:rsidRDefault="00BC3B64" w:rsidP="004646C2">
            <w:pPr>
              <w:pStyle w:val="ExhibitText"/>
              <w:tabs>
                <w:tab w:val="decimal" w:pos="885"/>
              </w:tabs>
              <w:rPr>
                <w:b/>
                <w:bCs/>
                <w:color w:val="4F81BD"/>
                <w:lang w:val="en-GB" w:eastAsia="x-none"/>
              </w:rPr>
            </w:pPr>
            <w:r w:rsidRPr="00872839">
              <w:rPr>
                <w:lang w:val="en-GB"/>
              </w:rPr>
              <w:t>145</w:t>
            </w:r>
          </w:p>
        </w:tc>
      </w:tr>
      <w:tr w:rsidR="00BC3B64" w:rsidRPr="00872839" w14:paraId="1F1AA0AD" w14:textId="77777777" w:rsidTr="00AC013A">
        <w:trPr>
          <w:jc w:val="center"/>
        </w:trPr>
        <w:tc>
          <w:tcPr>
            <w:tcW w:w="1838" w:type="dxa"/>
          </w:tcPr>
          <w:p w14:paraId="1356B684" w14:textId="77777777" w:rsidR="00BC3B64" w:rsidRPr="00872839" w:rsidRDefault="00BC3B64" w:rsidP="00AC013A">
            <w:pPr>
              <w:pStyle w:val="ExhibitText"/>
              <w:rPr>
                <w:lang w:val="en-GB"/>
              </w:rPr>
            </w:pPr>
            <w:r w:rsidRPr="00872839">
              <w:rPr>
                <w:lang w:val="en-GB"/>
              </w:rPr>
              <w:t xml:space="preserve">Toronto </w:t>
            </w:r>
          </w:p>
        </w:tc>
        <w:tc>
          <w:tcPr>
            <w:tcW w:w="1276" w:type="dxa"/>
          </w:tcPr>
          <w:p w14:paraId="00A48F8B" w14:textId="77777777" w:rsidR="00BC3B64" w:rsidRPr="00872839" w:rsidRDefault="00BC3B64" w:rsidP="004646C2">
            <w:pPr>
              <w:pStyle w:val="ExhibitText"/>
              <w:jc w:val="center"/>
              <w:rPr>
                <w:b/>
                <w:bCs/>
                <w:color w:val="4F81BD"/>
                <w:lang w:val="en-GB" w:eastAsia="x-none"/>
              </w:rPr>
            </w:pPr>
            <w:r w:rsidRPr="00872839">
              <w:rPr>
                <w:lang w:val="en-GB"/>
              </w:rPr>
              <w:t>148</w:t>
            </w:r>
          </w:p>
        </w:tc>
        <w:tc>
          <w:tcPr>
            <w:tcW w:w="1417" w:type="dxa"/>
          </w:tcPr>
          <w:p w14:paraId="442373B4" w14:textId="77777777" w:rsidR="00BC3B64" w:rsidRPr="00872839" w:rsidRDefault="00BC3B64" w:rsidP="004646C2">
            <w:pPr>
              <w:pStyle w:val="ExhibitText"/>
              <w:tabs>
                <w:tab w:val="decimal" w:pos="885"/>
              </w:tabs>
              <w:rPr>
                <w:b/>
                <w:bCs/>
                <w:color w:val="4F81BD"/>
                <w:lang w:val="en-GB" w:eastAsia="x-none"/>
              </w:rPr>
            </w:pPr>
            <w:r w:rsidRPr="00872839">
              <w:rPr>
                <w:lang w:val="en-GB"/>
              </w:rPr>
              <w:t>89</w:t>
            </w:r>
          </w:p>
        </w:tc>
      </w:tr>
      <w:tr w:rsidR="00BC3B64" w:rsidRPr="00872839" w14:paraId="589E3E9F" w14:textId="77777777" w:rsidTr="00AC013A">
        <w:trPr>
          <w:jc w:val="center"/>
        </w:trPr>
        <w:tc>
          <w:tcPr>
            <w:tcW w:w="1838" w:type="dxa"/>
          </w:tcPr>
          <w:p w14:paraId="5B92DB72" w14:textId="33D0A808" w:rsidR="00BC3B64" w:rsidRPr="00872839" w:rsidRDefault="00BC3B64" w:rsidP="00AC013A">
            <w:pPr>
              <w:pStyle w:val="ExhibitText"/>
              <w:rPr>
                <w:lang w:val="en-GB"/>
              </w:rPr>
            </w:pPr>
            <w:r w:rsidRPr="00872839">
              <w:rPr>
                <w:lang w:val="en-GB"/>
              </w:rPr>
              <w:t>Washington</w:t>
            </w:r>
            <w:r w:rsidR="007C31F5" w:rsidRPr="00872839">
              <w:rPr>
                <w:lang w:val="en-GB"/>
              </w:rPr>
              <w:t>,</w:t>
            </w:r>
            <w:r w:rsidRPr="00872839">
              <w:rPr>
                <w:lang w:val="en-GB"/>
              </w:rPr>
              <w:t xml:space="preserve"> DC </w:t>
            </w:r>
          </w:p>
        </w:tc>
        <w:tc>
          <w:tcPr>
            <w:tcW w:w="1276" w:type="dxa"/>
          </w:tcPr>
          <w:p w14:paraId="2BF99303" w14:textId="77777777" w:rsidR="00BC3B64" w:rsidRPr="00872839" w:rsidRDefault="00BC3B64" w:rsidP="004646C2">
            <w:pPr>
              <w:pStyle w:val="ExhibitText"/>
              <w:jc w:val="center"/>
              <w:rPr>
                <w:b/>
                <w:bCs/>
                <w:color w:val="4F81BD"/>
                <w:lang w:val="en-GB" w:eastAsia="x-none"/>
              </w:rPr>
            </w:pPr>
            <w:r w:rsidRPr="00872839">
              <w:rPr>
                <w:lang w:val="en-GB"/>
              </w:rPr>
              <w:t>173</w:t>
            </w:r>
          </w:p>
        </w:tc>
        <w:tc>
          <w:tcPr>
            <w:tcW w:w="1417" w:type="dxa"/>
          </w:tcPr>
          <w:p w14:paraId="20899177" w14:textId="77777777" w:rsidR="00BC3B64" w:rsidRPr="00872839" w:rsidRDefault="00BC3B64" w:rsidP="004646C2">
            <w:pPr>
              <w:pStyle w:val="ExhibitText"/>
              <w:tabs>
                <w:tab w:val="decimal" w:pos="885"/>
              </w:tabs>
              <w:rPr>
                <w:b/>
                <w:bCs/>
                <w:color w:val="4F81BD"/>
                <w:lang w:val="en-GB" w:eastAsia="x-none"/>
              </w:rPr>
            </w:pPr>
            <w:r w:rsidRPr="00872839">
              <w:rPr>
                <w:lang w:val="en-GB"/>
              </w:rPr>
              <w:t>149</w:t>
            </w:r>
          </w:p>
        </w:tc>
      </w:tr>
      <w:tr w:rsidR="00BC3B64" w:rsidRPr="00872839" w14:paraId="3EFE1761" w14:textId="77777777" w:rsidTr="00AC013A">
        <w:trPr>
          <w:jc w:val="center"/>
        </w:trPr>
        <w:tc>
          <w:tcPr>
            <w:tcW w:w="1838" w:type="dxa"/>
          </w:tcPr>
          <w:p w14:paraId="49D54309" w14:textId="77777777" w:rsidR="00BC3B64" w:rsidRPr="00872839" w:rsidRDefault="00BC3B64" w:rsidP="00AC013A">
            <w:pPr>
              <w:pStyle w:val="ExhibitText"/>
              <w:rPr>
                <w:lang w:val="en-GB"/>
              </w:rPr>
            </w:pPr>
          </w:p>
        </w:tc>
        <w:tc>
          <w:tcPr>
            <w:tcW w:w="1276" w:type="dxa"/>
          </w:tcPr>
          <w:p w14:paraId="157991FB" w14:textId="77777777" w:rsidR="00BC3B64" w:rsidRPr="00872839" w:rsidRDefault="00BC3B64" w:rsidP="004646C2">
            <w:pPr>
              <w:pStyle w:val="ExhibitText"/>
              <w:jc w:val="center"/>
              <w:rPr>
                <w:lang w:val="en-GB"/>
              </w:rPr>
            </w:pPr>
          </w:p>
        </w:tc>
        <w:tc>
          <w:tcPr>
            <w:tcW w:w="1417" w:type="dxa"/>
          </w:tcPr>
          <w:p w14:paraId="73E1F843" w14:textId="77777777" w:rsidR="00BC3B64" w:rsidRPr="00872839" w:rsidRDefault="00BC3B64" w:rsidP="004646C2">
            <w:pPr>
              <w:pStyle w:val="ExhibitText"/>
              <w:tabs>
                <w:tab w:val="decimal" w:pos="885"/>
              </w:tabs>
              <w:jc w:val="right"/>
              <w:rPr>
                <w:lang w:val="en-GB"/>
              </w:rPr>
            </w:pPr>
          </w:p>
        </w:tc>
      </w:tr>
      <w:tr w:rsidR="00BC3B64" w:rsidRPr="00872839" w14:paraId="178FB59B" w14:textId="77777777" w:rsidTr="00AC013A">
        <w:trPr>
          <w:jc w:val="center"/>
        </w:trPr>
        <w:tc>
          <w:tcPr>
            <w:tcW w:w="1838" w:type="dxa"/>
          </w:tcPr>
          <w:p w14:paraId="34D3B397" w14:textId="77777777" w:rsidR="00BC3B64" w:rsidRPr="00872839" w:rsidRDefault="00BC3B64" w:rsidP="00AC013A">
            <w:pPr>
              <w:pStyle w:val="ExhibitText"/>
              <w:rPr>
                <w:lang w:val="en-GB"/>
              </w:rPr>
            </w:pPr>
            <w:r w:rsidRPr="00872839">
              <w:rPr>
                <w:lang w:val="en-GB"/>
              </w:rPr>
              <w:t>Amsterdam</w:t>
            </w:r>
          </w:p>
        </w:tc>
        <w:tc>
          <w:tcPr>
            <w:tcW w:w="1276" w:type="dxa"/>
          </w:tcPr>
          <w:p w14:paraId="389D690B" w14:textId="77777777" w:rsidR="00BC3B64" w:rsidRPr="00872839" w:rsidRDefault="00BC3B64" w:rsidP="004646C2">
            <w:pPr>
              <w:pStyle w:val="ExhibitText"/>
              <w:jc w:val="center"/>
              <w:rPr>
                <w:b/>
                <w:bCs/>
                <w:color w:val="4F81BD"/>
                <w:lang w:val="en-GB" w:eastAsia="x-none"/>
              </w:rPr>
            </w:pPr>
            <w:r w:rsidRPr="00872839">
              <w:rPr>
                <w:lang w:val="en-GB"/>
              </w:rPr>
              <w:t>191</w:t>
            </w:r>
          </w:p>
        </w:tc>
        <w:tc>
          <w:tcPr>
            <w:tcW w:w="1417" w:type="dxa"/>
          </w:tcPr>
          <w:p w14:paraId="09D3A5E3" w14:textId="77777777" w:rsidR="00BC3B64" w:rsidRPr="00872839" w:rsidRDefault="00BC3B64" w:rsidP="004646C2">
            <w:pPr>
              <w:pStyle w:val="ExhibitText"/>
              <w:tabs>
                <w:tab w:val="decimal" w:pos="885"/>
              </w:tabs>
              <w:rPr>
                <w:b/>
                <w:bCs/>
                <w:color w:val="4F81BD"/>
                <w:lang w:val="en-GB" w:eastAsia="x-none"/>
              </w:rPr>
            </w:pPr>
            <w:r w:rsidRPr="00872839">
              <w:rPr>
                <w:lang w:val="en-GB"/>
              </w:rPr>
              <w:t>146</w:t>
            </w:r>
          </w:p>
        </w:tc>
      </w:tr>
      <w:tr w:rsidR="00BC3B64" w:rsidRPr="00872839" w14:paraId="386A1FA1" w14:textId="77777777" w:rsidTr="00AC013A">
        <w:trPr>
          <w:jc w:val="center"/>
        </w:trPr>
        <w:tc>
          <w:tcPr>
            <w:tcW w:w="1838" w:type="dxa"/>
          </w:tcPr>
          <w:p w14:paraId="7F36C15D" w14:textId="77777777" w:rsidR="00BC3B64" w:rsidRPr="00872839" w:rsidRDefault="00BC3B64" w:rsidP="00AC013A">
            <w:pPr>
              <w:pStyle w:val="ExhibitText"/>
              <w:rPr>
                <w:lang w:val="en-GB"/>
              </w:rPr>
            </w:pPr>
            <w:r w:rsidRPr="00872839">
              <w:rPr>
                <w:lang w:val="en-GB"/>
              </w:rPr>
              <w:t>Barcelona</w:t>
            </w:r>
          </w:p>
        </w:tc>
        <w:tc>
          <w:tcPr>
            <w:tcW w:w="1276" w:type="dxa"/>
          </w:tcPr>
          <w:p w14:paraId="72A5069E" w14:textId="77777777" w:rsidR="00BC3B64" w:rsidRPr="00872839" w:rsidRDefault="00BC3B64" w:rsidP="004646C2">
            <w:pPr>
              <w:pStyle w:val="ExhibitText"/>
              <w:jc w:val="center"/>
              <w:rPr>
                <w:b/>
                <w:bCs/>
                <w:color w:val="4F81BD"/>
                <w:lang w:val="en-GB" w:eastAsia="x-none"/>
              </w:rPr>
            </w:pPr>
            <w:r w:rsidRPr="00872839">
              <w:rPr>
                <w:lang w:val="en-GB"/>
              </w:rPr>
              <w:t>172</w:t>
            </w:r>
          </w:p>
        </w:tc>
        <w:tc>
          <w:tcPr>
            <w:tcW w:w="1417" w:type="dxa"/>
          </w:tcPr>
          <w:p w14:paraId="3FFBC2BA" w14:textId="77777777" w:rsidR="00BC3B64" w:rsidRPr="00872839" w:rsidRDefault="00BC3B64" w:rsidP="004646C2">
            <w:pPr>
              <w:pStyle w:val="ExhibitText"/>
              <w:tabs>
                <w:tab w:val="decimal" w:pos="885"/>
              </w:tabs>
              <w:rPr>
                <w:b/>
                <w:bCs/>
                <w:color w:val="4F81BD"/>
                <w:lang w:val="en-GB" w:eastAsia="x-none"/>
              </w:rPr>
            </w:pPr>
            <w:r w:rsidRPr="00872839">
              <w:rPr>
                <w:lang w:val="en-GB"/>
              </w:rPr>
              <w:t>312</w:t>
            </w:r>
          </w:p>
        </w:tc>
      </w:tr>
      <w:tr w:rsidR="00BC3B64" w:rsidRPr="00872839" w14:paraId="0D796D02" w14:textId="77777777" w:rsidTr="00AC013A">
        <w:trPr>
          <w:jc w:val="center"/>
        </w:trPr>
        <w:tc>
          <w:tcPr>
            <w:tcW w:w="1838" w:type="dxa"/>
          </w:tcPr>
          <w:p w14:paraId="5A4C36F5" w14:textId="77777777" w:rsidR="00BC3B64" w:rsidRPr="00872839" w:rsidRDefault="00BC3B64" w:rsidP="00AC013A">
            <w:pPr>
              <w:pStyle w:val="ExhibitText"/>
              <w:rPr>
                <w:lang w:val="en-GB"/>
              </w:rPr>
            </w:pPr>
            <w:r w:rsidRPr="00872839">
              <w:rPr>
                <w:lang w:val="en-GB"/>
              </w:rPr>
              <w:t>Berlin</w:t>
            </w:r>
          </w:p>
        </w:tc>
        <w:tc>
          <w:tcPr>
            <w:tcW w:w="1276" w:type="dxa"/>
          </w:tcPr>
          <w:p w14:paraId="38E53C2E" w14:textId="77777777" w:rsidR="00BC3B64" w:rsidRPr="00872839" w:rsidRDefault="00BC3B64" w:rsidP="004646C2">
            <w:pPr>
              <w:pStyle w:val="ExhibitText"/>
              <w:jc w:val="center"/>
              <w:rPr>
                <w:b/>
                <w:bCs/>
                <w:color w:val="4F81BD"/>
                <w:lang w:val="en-GB" w:eastAsia="x-none"/>
              </w:rPr>
            </w:pPr>
            <w:r w:rsidRPr="00872839">
              <w:rPr>
                <w:lang w:val="en-GB"/>
              </w:rPr>
              <w:t>128</w:t>
            </w:r>
          </w:p>
        </w:tc>
        <w:tc>
          <w:tcPr>
            <w:tcW w:w="1417" w:type="dxa"/>
          </w:tcPr>
          <w:p w14:paraId="4D428F1F" w14:textId="77777777" w:rsidR="00BC3B64" w:rsidRPr="00872839" w:rsidRDefault="00BC3B64" w:rsidP="004646C2">
            <w:pPr>
              <w:pStyle w:val="ExhibitText"/>
              <w:tabs>
                <w:tab w:val="decimal" w:pos="885"/>
              </w:tabs>
              <w:rPr>
                <w:b/>
                <w:bCs/>
                <w:color w:val="4F81BD"/>
                <w:lang w:val="en-GB" w:eastAsia="x-none"/>
              </w:rPr>
            </w:pPr>
            <w:r w:rsidRPr="00872839">
              <w:rPr>
                <w:lang w:val="en-GB"/>
              </w:rPr>
              <w:t>65</w:t>
            </w:r>
          </w:p>
        </w:tc>
      </w:tr>
      <w:tr w:rsidR="00BC3B64" w:rsidRPr="00872839" w14:paraId="7AE9B6D4" w14:textId="77777777" w:rsidTr="00AC013A">
        <w:trPr>
          <w:jc w:val="center"/>
        </w:trPr>
        <w:tc>
          <w:tcPr>
            <w:tcW w:w="1838" w:type="dxa"/>
          </w:tcPr>
          <w:p w14:paraId="0657A9EA" w14:textId="77777777" w:rsidR="00BC3B64" w:rsidRPr="00872839" w:rsidRDefault="00BC3B64" w:rsidP="00AC013A">
            <w:pPr>
              <w:pStyle w:val="ExhibitText"/>
              <w:rPr>
                <w:lang w:val="en-GB"/>
              </w:rPr>
            </w:pPr>
            <w:r w:rsidRPr="00872839">
              <w:rPr>
                <w:lang w:val="en-GB"/>
              </w:rPr>
              <w:t>London</w:t>
            </w:r>
          </w:p>
        </w:tc>
        <w:tc>
          <w:tcPr>
            <w:tcW w:w="1276" w:type="dxa"/>
          </w:tcPr>
          <w:p w14:paraId="6C1E34B8" w14:textId="77777777" w:rsidR="00BC3B64" w:rsidRPr="00872839" w:rsidRDefault="00BC3B64" w:rsidP="004646C2">
            <w:pPr>
              <w:pStyle w:val="ExhibitText"/>
              <w:jc w:val="center"/>
              <w:rPr>
                <w:b/>
                <w:bCs/>
                <w:color w:val="4F81BD"/>
                <w:lang w:val="en-GB" w:eastAsia="x-none"/>
              </w:rPr>
            </w:pPr>
            <w:r w:rsidRPr="00872839">
              <w:rPr>
                <w:lang w:val="en-GB"/>
              </w:rPr>
              <w:t>252</w:t>
            </w:r>
          </w:p>
        </w:tc>
        <w:tc>
          <w:tcPr>
            <w:tcW w:w="1417" w:type="dxa"/>
          </w:tcPr>
          <w:p w14:paraId="5DD97851" w14:textId="77777777" w:rsidR="00BC3B64" w:rsidRPr="00872839" w:rsidRDefault="00BC3B64" w:rsidP="004646C2">
            <w:pPr>
              <w:pStyle w:val="ExhibitText"/>
              <w:tabs>
                <w:tab w:val="decimal" w:pos="885"/>
              </w:tabs>
              <w:rPr>
                <w:b/>
                <w:bCs/>
                <w:color w:val="4F81BD"/>
                <w:lang w:val="en-GB" w:eastAsia="x-none"/>
              </w:rPr>
            </w:pPr>
            <w:r w:rsidRPr="00872839">
              <w:rPr>
                <w:lang w:val="en-GB"/>
              </w:rPr>
              <w:t>144</w:t>
            </w:r>
          </w:p>
        </w:tc>
      </w:tr>
      <w:tr w:rsidR="00BC3B64" w:rsidRPr="00872839" w14:paraId="149E2041" w14:textId="77777777" w:rsidTr="00AC013A">
        <w:trPr>
          <w:jc w:val="center"/>
        </w:trPr>
        <w:tc>
          <w:tcPr>
            <w:tcW w:w="1838" w:type="dxa"/>
          </w:tcPr>
          <w:p w14:paraId="7317E96F" w14:textId="77777777" w:rsidR="00BC3B64" w:rsidRPr="00872839" w:rsidRDefault="00BC3B64" w:rsidP="00AC013A">
            <w:pPr>
              <w:pStyle w:val="ExhibitText"/>
              <w:rPr>
                <w:lang w:val="en-GB"/>
              </w:rPr>
            </w:pPr>
            <w:r w:rsidRPr="00872839">
              <w:rPr>
                <w:lang w:val="en-GB"/>
              </w:rPr>
              <w:t xml:space="preserve">Madrid </w:t>
            </w:r>
          </w:p>
        </w:tc>
        <w:tc>
          <w:tcPr>
            <w:tcW w:w="1276" w:type="dxa"/>
          </w:tcPr>
          <w:p w14:paraId="7763426E" w14:textId="77777777" w:rsidR="00BC3B64" w:rsidRPr="00872839" w:rsidRDefault="00BC3B64" w:rsidP="004646C2">
            <w:pPr>
              <w:pStyle w:val="ExhibitText"/>
              <w:jc w:val="center"/>
              <w:rPr>
                <w:b/>
                <w:bCs/>
                <w:color w:val="4F81BD"/>
                <w:lang w:val="en-GB" w:eastAsia="x-none"/>
              </w:rPr>
            </w:pPr>
            <w:r w:rsidRPr="00872839">
              <w:rPr>
                <w:lang w:val="en-GB"/>
              </w:rPr>
              <w:t>132</w:t>
            </w:r>
          </w:p>
        </w:tc>
        <w:tc>
          <w:tcPr>
            <w:tcW w:w="1417" w:type="dxa"/>
          </w:tcPr>
          <w:p w14:paraId="35F86096" w14:textId="77777777" w:rsidR="00BC3B64" w:rsidRPr="00872839" w:rsidRDefault="00BC3B64" w:rsidP="004646C2">
            <w:pPr>
              <w:pStyle w:val="ExhibitText"/>
              <w:tabs>
                <w:tab w:val="decimal" w:pos="885"/>
              </w:tabs>
              <w:rPr>
                <w:b/>
                <w:bCs/>
                <w:color w:val="4F81BD"/>
                <w:lang w:val="en-GB" w:eastAsia="x-none"/>
              </w:rPr>
            </w:pPr>
            <w:r w:rsidRPr="00872839">
              <w:rPr>
                <w:lang w:val="en-GB"/>
              </w:rPr>
              <w:t>73</w:t>
            </w:r>
          </w:p>
        </w:tc>
      </w:tr>
      <w:tr w:rsidR="00BC3B64" w:rsidRPr="00872839" w14:paraId="5949C433" w14:textId="77777777" w:rsidTr="00AC013A">
        <w:trPr>
          <w:jc w:val="center"/>
        </w:trPr>
        <w:tc>
          <w:tcPr>
            <w:tcW w:w="1838" w:type="dxa"/>
          </w:tcPr>
          <w:p w14:paraId="11481537" w14:textId="77777777" w:rsidR="00BC3B64" w:rsidRPr="00872839" w:rsidRDefault="00BC3B64" w:rsidP="00AC013A">
            <w:pPr>
              <w:pStyle w:val="ExhibitText"/>
              <w:rPr>
                <w:lang w:val="en-GB"/>
              </w:rPr>
            </w:pPr>
            <w:r w:rsidRPr="00872839">
              <w:rPr>
                <w:lang w:val="en-GB"/>
              </w:rPr>
              <w:t xml:space="preserve">Paris </w:t>
            </w:r>
          </w:p>
        </w:tc>
        <w:tc>
          <w:tcPr>
            <w:tcW w:w="1276" w:type="dxa"/>
          </w:tcPr>
          <w:p w14:paraId="156289EB" w14:textId="77777777" w:rsidR="00BC3B64" w:rsidRPr="00872839" w:rsidRDefault="00BC3B64" w:rsidP="004646C2">
            <w:pPr>
              <w:pStyle w:val="ExhibitText"/>
              <w:jc w:val="center"/>
              <w:rPr>
                <w:b/>
                <w:bCs/>
                <w:color w:val="4F81BD"/>
                <w:lang w:val="en-GB" w:eastAsia="x-none"/>
              </w:rPr>
            </w:pPr>
            <w:r w:rsidRPr="00872839">
              <w:rPr>
                <w:lang w:val="en-GB"/>
              </w:rPr>
              <w:t>214</w:t>
            </w:r>
          </w:p>
        </w:tc>
        <w:tc>
          <w:tcPr>
            <w:tcW w:w="1417" w:type="dxa"/>
          </w:tcPr>
          <w:p w14:paraId="0051B2EC" w14:textId="77777777" w:rsidR="00BC3B64" w:rsidRPr="00872839" w:rsidRDefault="00BC3B64" w:rsidP="004646C2">
            <w:pPr>
              <w:pStyle w:val="ExhibitText"/>
              <w:tabs>
                <w:tab w:val="decimal" w:pos="885"/>
              </w:tabs>
              <w:rPr>
                <w:b/>
                <w:bCs/>
                <w:color w:val="4F81BD"/>
                <w:lang w:val="en-GB" w:eastAsia="x-none"/>
              </w:rPr>
            </w:pPr>
            <w:r w:rsidRPr="00872839">
              <w:rPr>
                <w:lang w:val="en-GB"/>
              </w:rPr>
              <w:t>110</w:t>
            </w:r>
          </w:p>
        </w:tc>
      </w:tr>
      <w:tr w:rsidR="00BC3B64" w:rsidRPr="00872839" w14:paraId="11D01EF2" w14:textId="77777777" w:rsidTr="00AC013A">
        <w:trPr>
          <w:jc w:val="center"/>
        </w:trPr>
        <w:tc>
          <w:tcPr>
            <w:tcW w:w="1838" w:type="dxa"/>
          </w:tcPr>
          <w:p w14:paraId="7DF8C8C5" w14:textId="77777777" w:rsidR="00BC3B64" w:rsidRPr="00872839" w:rsidRDefault="00BC3B64" w:rsidP="00AC013A">
            <w:pPr>
              <w:pStyle w:val="ExhibitText"/>
              <w:rPr>
                <w:lang w:val="en-GB"/>
              </w:rPr>
            </w:pPr>
            <w:r w:rsidRPr="00872839">
              <w:rPr>
                <w:lang w:val="en-GB"/>
              </w:rPr>
              <w:t>Sydney</w:t>
            </w:r>
          </w:p>
        </w:tc>
        <w:tc>
          <w:tcPr>
            <w:tcW w:w="1276" w:type="dxa"/>
          </w:tcPr>
          <w:p w14:paraId="4C3B198A" w14:textId="77777777" w:rsidR="00BC3B64" w:rsidRPr="00872839" w:rsidRDefault="00BC3B64" w:rsidP="004646C2">
            <w:pPr>
              <w:pStyle w:val="ExhibitText"/>
              <w:jc w:val="center"/>
              <w:rPr>
                <w:b/>
                <w:bCs/>
                <w:color w:val="4F81BD"/>
                <w:lang w:val="en-GB" w:eastAsia="x-none"/>
              </w:rPr>
            </w:pPr>
            <w:r w:rsidRPr="00872839">
              <w:rPr>
                <w:lang w:val="en-GB"/>
              </w:rPr>
              <w:t>185</w:t>
            </w:r>
          </w:p>
        </w:tc>
        <w:tc>
          <w:tcPr>
            <w:tcW w:w="1417" w:type="dxa"/>
          </w:tcPr>
          <w:p w14:paraId="124F933C" w14:textId="77777777" w:rsidR="00BC3B64" w:rsidRPr="00872839" w:rsidRDefault="00BC3B64" w:rsidP="004646C2">
            <w:pPr>
              <w:pStyle w:val="ExhibitText"/>
              <w:tabs>
                <w:tab w:val="decimal" w:pos="885"/>
              </w:tabs>
              <w:rPr>
                <w:b/>
                <w:bCs/>
                <w:color w:val="4F81BD"/>
                <w:lang w:val="en-GB" w:eastAsia="x-none"/>
              </w:rPr>
            </w:pPr>
            <w:r w:rsidRPr="00872839">
              <w:rPr>
                <w:lang w:val="en-GB"/>
              </w:rPr>
              <w:t>140</w:t>
            </w:r>
          </w:p>
        </w:tc>
      </w:tr>
      <w:tr w:rsidR="00BC3B64" w:rsidRPr="00872839" w14:paraId="6EACE96D" w14:textId="77777777" w:rsidTr="00AC013A">
        <w:trPr>
          <w:jc w:val="center"/>
        </w:trPr>
        <w:tc>
          <w:tcPr>
            <w:tcW w:w="1838" w:type="dxa"/>
          </w:tcPr>
          <w:p w14:paraId="783FDB97" w14:textId="77777777" w:rsidR="00BC3B64" w:rsidRPr="00872839" w:rsidRDefault="00BC3B64" w:rsidP="00AC013A">
            <w:pPr>
              <w:pStyle w:val="ExhibitText"/>
              <w:rPr>
                <w:lang w:val="en-GB"/>
              </w:rPr>
            </w:pPr>
            <w:r w:rsidRPr="00872839">
              <w:rPr>
                <w:lang w:val="en-GB"/>
              </w:rPr>
              <w:t xml:space="preserve">Venice </w:t>
            </w:r>
          </w:p>
        </w:tc>
        <w:tc>
          <w:tcPr>
            <w:tcW w:w="1276" w:type="dxa"/>
          </w:tcPr>
          <w:p w14:paraId="44D81A1B" w14:textId="77777777" w:rsidR="00BC3B64" w:rsidRPr="00872839" w:rsidRDefault="00BC3B64" w:rsidP="004646C2">
            <w:pPr>
              <w:pStyle w:val="ExhibitText"/>
              <w:jc w:val="center"/>
              <w:rPr>
                <w:b/>
                <w:bCs/>
                <w:color w:val="4F81BD"/>
                <w:lang w:val="en-GB" w:eastAsia="x-none"/>
              </w:rPr>
            </w:pPr>
            <w:r w:rsidRPr="00872839">
              <w:rPr>
                <w:lang w:val="en-GB"/>
              </w:rPr>
              <w:t>233</w:t>
            </w:r>
          </w:p>
        </w:tc>
        <w:tc>
          <w:tcPr>
            <w:tcW w:w="1417" w:type="dxa"/>
          </w:tcPr>
          <w:p w14:paraId="316E472A" w14:textId="77777777" w:rsidR="00BC3B64" w:rsidRPr="00872839" w:rsidRDefault="00BC3B64" w:rsidP="004646C2">
            <w:pPr>
              <w:pStyle w:val="ExhibitText"/>
              <w:tabs>
                <w:tab w:val="decimal" w:pos="885"/>
              </w:tabs>
              <w:rPr>
                <w:b/>
                <w:bCs/>
                <w:color w:val="4F81BD"/>
                <w:lang w:val="en-GB" w:eastAsia="x-none"/>
              </w:rPr>
            </w:pPr>
            <w:r w:rsidRPr="00872839">
              <w:rPr>
                <w:lang w:val="en-GB"/>
              </w:rPr>
              <w:t>147</w:t>
            </w:r>
          </w:p>
        </w:tc>
      </w:tr>
      <w:tr w:rsidR="00BC3B64" w:rsidRPr="00872839" w14:paraId="181CCC08" w14:textId="77777777" w:rsidTr="00AC013A">
        <w:trPr>
          <w:jc w:val="center"/>
        </w:trPr>
        <w:tc>
          <w:tcPr>
            <w:tcW w:w="1838" w:type="dxa"/>
          </w:tcPr>
          <w:p w14:paraId="7A83EC43" w14:textId="77777777" w:rsidR="00BC3B64" w:rsidRPr="00872839" w:rsidRDefault="00BC3B64" w:rsidP="00AC013A">
            <w:pPr>
              <w:pStyle w:val="ExhibitText"/>
              <w:rPr>
                <w:lang w:val="en-GB"/>
              </w:rPr>
            </w:pPr>
            <w:r w:rsidRPr="00872839">
              <w:rPr>
                <w:lang w:val="en-GB"/>
              </w:rPr>
              <w:t xml:space="preserve">Vienna </w:t>
            </w:r>
          </w:p>
        </w:tc>
        <w:tc>
          <w:tcPr>
            <w:tcW w:w="1276" w:type="dxa"/>
          </w:tcPr>
          <w:p w14:paraId="320BB54F" w14:textId="77777777" w:rsidR="00BC3B64" w:rsidRPr="00872839" w:rsidRDefault="00BC3B64" w:rsidP="004646C2">
            <w:pPr>
              <w:pStyle w:val="ExhibitText"/>
              <w:jc w:val="center"/>
              <w:rPr>
                <w:b/>
                <w:bCs/>
                <w:color w:val="4F81BD"/>
                <w:lang w:val="en-GB" w:eastAsia="x-none"/>
              </w:rPr>
            </w:pPr>
            <w:r w:rsidRPr="00872839">
              <w:rPr>
                <w:lang w:val="en-GB"/>
              </w:rPr>
              <w:t>147</w:t>
            </w:r>
          </w:p>
        </w:tc>
        <w:tc>
          <w:tcPr>
            <w:tcW w:w="1417" w:type="dxa"/>
          </w:tcPr>
          <w:p w14:paraId="063771FE" w14:textId="77777777" w:rsidR="00BC3B64" w:rsidRPr="00872839" w:rsidRDefault="00BC3B64" w:rsidP="004646C2">
            <w:pPr>
              <w:pStyle w:val="ExhibitText"/>
              <w:tabs>
                <w:tab w:val="decimal" w:pos="885"/>
              </w:tabs>
              <w:rPr>
                <w:b/>
                <w:bCs/>
                <w:color w:val="4F81BD"/>
                <w:lang w:val="en-GB" w:eastAsia="x-none"/>
              </w:rPr>
            </w:pPr>
            <w:r w:rsidRPr="00872839">
              <w:rPr>
                <w:lang w:val="en-GB"/>
              </w:rPr>
              <w:t>75</w:t>
            </w:r>
          </w:p>
        </w:tc>
      </w:tr>
      <w:tr w:rsidR="00BC3B64" w:rsidRPr="00872839" w14:paraId="3E42FB34" w14:textId="77777777" w:rsidTr="00AC013A">
        <w:trPr>
          <w:jc w:val="center"/>
        </w:trPr>
        <w:tc>
          <w:tcPr>
            <w:tcW w:w="1838" w:type="dxa"/>
          </w:tcPr>
          <w:p w14:paraId="23CC0F92" w14:textId="77777777" w:rsidR="00BC3B64" w:rsidRPr="00872839" w:rsidRDefault="00BC3B64" w:rsidP="00AC013A">
            <w:pPr>
              <w:pStyle w:val="ExhibitText"/>
              <w:rPr>
                <w:lang w:val="en-GB"/>
              </w:rPr>
            </w:pPr>
          </w:p>
        </w:tc>
        <w:tc>
          <w:tcPr>
            <w:tcW w:w="1276" w:type="dxa"/>
          </w:tcPr>
          <w:p w14:paraId="667E2483" w14:textId="77777777" w:rsidR="00BC3B64" w:rsidRPr="00872839" w:rsidRDefault="00BC3B64" w:rsidP="00AC013A">
            <w:pPr>
              <w:pStyle w:val="ExhibitText"/>
              <w:rPr>
                <w:lang w:val="en-GB"/>
              </w:rPr>
            </w:pPr>
          </w:p>
        </w:tc>
        <w:tc>
          <w:tcPr>
            <w:tcW w:w="1417" w:type="dxa"/>
          </w:tcPr>
          <w:p w14:paraId="104B9294" w14:textId="77777777" w:rsidR="00BC3B64" w:rsidRPr="00872839" w:rsidRDefault="00BC3B64" w:rsidP="00AC013A">
            <w:pPr>
              <w:pStyle w:val="ExhibitText"/>
              <w:rPr>
                <w:lang w:val="en-GB"/>
              </w:rPr>
            </w:pPr>
          </w:p>
        </w:tc>
      </w:tr>
    </w:tbl>
    <w:p w14:paraId="022CF9C8" w14:textId="3AF19902" w:rsidR="00BC3B64" w:rsidRPr="00872839" w:rsidRDefault="00BC3B64" w:rsidP="007310FB">
      <w:pPr>
        <w:pStyle w:val="Casehead1"/>
        <w:jc w:val="center"/>
        <w:rPr>
          <w:sz w:val="14"/>
          <w:lang w:val="en-GB"/>
        </w:rPr>
      </w:pPr>
    </w:p>
    <w:p w14:paraId="16EEA501" w14:textId="7FFFD184" w:rsidR="00BC3B64" w:rsidRPr="001C2549" w:rsidRDefault="007F1F54" w:rsidP="00AC013A">
      <w:pPr>
        <w:pStyle w:val="Footnote"/>
        <w:rPr>
          <w:spacing w:val="-2"/>
          <w:kern w:val="17"/>
          <w:lang w:val="en-GB"/>
        </w:rPr>
      </w:pPr>
      <w:r w:rsidRPr="001C2549">
        <w:rPr>
          <w:spacing w:val="-2"/>
          <w:kern w:val="17"/>
          <w:lang w:val="en-GB"/>
        </w:rPr>
        <w:t xml:space="preserve">Source: </w:t>
      </w:r>
      <w:r w:rsidR="00BC3B64" w:rsidRPr="001C2549">
        <w:rPr>
          <w:spacing w:val="-2"/>
          <w:kern w:val="17"/>
          <w:lang w:val="en-GB"/>
        </w:rPr>
        <w:t xml:space="preserve">Talia Avakian, </w:t>
      </w:r>
      <w:r w:rsidR="007C31F5" w:rsidRPr="001C2549">
        <w:rPr>
          <w:spacing w:val="-2"/>
          <w:kern w:val="17"/>
          <w:lang w:val="en-GB"/>
        </w:rPr>
        <w:t>“</w:t>
      </w:r>
      <w:r w:rsidR="00BC3B64" w:rsidRPr="001C2549">
        <w:rPr>
          <w:spacing w:val="-2"/>
          <w:kern w:val="17"/>
          <w:lang w:val="en-GB"/>
        </w:rPr>
        <w:t xml:space="preserve">Here’s </w:t>
      </w:r>
      <w:r w:rsidR="007C31F5" w:rsidRPr="001C2549">
        <w:rPr>
          <w:spacing w:val="-2"/>
          <w:kern w:val="17"/>
          <w:lang w:val="en-GB"/>
        </w:rPr>
        <w:t>W</w:t>
      </w:r>
      <w:r w:rsidR="00BC3B64" w:rsidRPr="001C2549">
        <w:rPr>
          <w:spacing w:val="-2"/>
          <w:kern w:val="17"/>
          <w:lang w:val="en-GB"/>
        </w:rPr>
        <w:t xml:space="preserve">here </w:t>
      </w:r>
      <w:r w:rsidR="007C31F5" w:rsidRPr="001C2549">
        <w:rPr>
          <w:spacing w:val="-2"/>
          <w:kern w:val="17"/>
          <w:lang w:val="en-GB"/>
        </w:rPr>
        <w:t>I</w:t>
      </w:r>
      <w:r w:rsidR="00BC3B64" w:rsidRPr="001C2549">
        <w:rPr>
          <w:spacing w:val="-2"/>
          <w:kern w:val="17"/>
          <w:lang w:val="en-GB"/>
        </w:rPr>
        <w:t xml:space="preserve">t’s </w:t>
      </w:r>
      <w:r w:rsidR="007C31F5" w:rsidRPr="001C2549">
        <w:rPr>
          <w:spacing w:val="-2"/>
          <w:kern w:val="17"/>
          <w:lang w:val="en-GB"/>
        </w:rPr>
        <w:t>C</w:t>
      </w:r>
      <w:r w:rsidR="00BC3B64" w:rsidRPr="001C2549">
        <w:rPr>
          <w:spacing w:val="-2"/>
          <w:kern w:val="17"/>
          <w:lang w:val="en-GB"/>
        </w:rPr>
        <w:t xml:space="preserve">heaper to </w:t>
      </w:r>
      <w:r w:rsidR="007C31F5" w:rsidRPr="001C2549">
        <w:rPr>
          <w:spacing w:val="-2"/>
          <w:kern w:val="17"/>
          <w:lang w:val="en-GB"/>
        </w:rPr>
        <w:t>B</w:t>
      </w:r>
      <w:r w:rsidR="00BC3B64" w:rsidRPr="001C2549">
        <w:rPr>
          <w:spacing w:val="-2"/>
          <w:kern w:val="17"/>
          <w:lang w:val="en-GB"/>
        </w:rPr>
        <w:t xml:space="preserve">ook an Airbnb over a </w:t>
      </w:r>
      <w:r w:rsidR="007C31F5" w:rsidRPr="001C2549">
        <w:rPr>
          <w:spacing w:val="-2"/>
          <w:kern w:val="17"/>
          <w:lang w:val="en-GB"/>
        </w:rPr>
        <w:t>H</w:t>
      </w:r>
      <w:r w:rsidR="00BC3B64" w:rsidRPr="001C2549">
        <w:rPr>
          <w:spacing w:val="-2"/>
          <w:kern w:val="17"/>
          <w:lang w:val="en-GB"/>
        </w:rPr>
        <w:t xml:space="preserve">otel </w:t>
      </w:r>
      <w:r w:rsidR="007C31F5" w:rsidRPr="001C2549">
        <w:rPr>
          <w:spacing w:val="-2"/>
          <w:kern w:val="17"/>
          <w:lang w:val="en-GB"/>
        </w:rPr>
        <w:t>R</w:t>
      </w:r>
      <w:r w:rsidR="00BC3B64" w:rsidRPr="001C2549">
        <w:rPr>
          <w:spacing w:val="-2"/>
          <w:kern w:val="17"/>
          <w:lang w:val="en-GB"/>
        </w:rPr>
        <w:t>oom,</w:t>
      </w:r>
      <w:r w:rsidR="007C31F5" w:rsidRPr="001C2549">
        <w:rPr>
          <w:spacing w:val="-2"/>
          <w:kern w:val="17"/>
          <w:lang w:val="en-GB"/>
        </w:rPr>
        <w:t>”</w:t>
      </w:r>
      <w:r w:rsidR="00BC3B64" w:rsidRPr="001C2549">
        <w:rPr>
          <w:spacing w:val="-2"/>
          <w:kern w:val="17"/>
          <w:lang w:val="en-GB"/>
        </w:rPr>
        <w:t xml:space="preserve"> </w:t>
      </w:r>
      <w:r w:rsidR="007C31F5" w:rsidRPr="001C2549">
        <w:rPr>
          <w:i/>
          <w:spacing w:val="-2"/>
          <w:kern w:val="17"/>
          <w:lang w:val="en-GB"/>
        </w:rPr>
        <w:t>Business Insider</w:t>
      </w:r>
      <w:r w:rsidR="007C31F5" w:rsidRPr="001C2549">
        <w:rPr>
          <w:spacing w:val="-2"/>
          <w:kern w:val="17"/>
          <w:lang w:val="en-GB"/>
        </w:rPr>
        <w:t xml:space="preserve">, February 18, 2016, accessed July 24, 2017, </w:t>
      </w:r>
      <w:r w:rsidR="007C31F5" w:rsidRPr="001C2549">
        <w:rPr>
          <w:spacing w:val="-2"/>
          <w:kern w:val="17"/>
        </w:rPr>
        <w:t>www.businessinsider.sg/is-it-cheaper-to-airbnb-or-get-a-hotel-2016-2/#kvP6OgKpdZVlfswc.97</w:t>
      </w:r>
      <w:r w:rsidR="007C31F5" w:rsidRPr="001C2549">
        <w:rPr>
          <w:spacing w:val="-2"/>
          <w:kern w:val="17"/>
          <w:lang w:val="en-GB"/>
        </w:rPr>
        <w:t>.</w:t>
      </w:r>
    </w:p>
    <w:p w14:paraId="5EC44793" w14:textId="4AA8F084" w:rsidR="007F1F54" w:rsidRPr="00872839" w:rsidRDefault="007F1F54" w:rsidP="007310FB">
      <w:pPr>
        <w:pStyle w:val="BodyTextMain"/>
        <w:rPr>
          <w:sz w:val="14"/>
          <w:lang w:val="en-GB"/>
        </w:rPr>
      </w:pPr>
    </w:p>
    <w:p w14:paraId="4E1FDD08" w14:textId="673701FC" w:rsidR="00BC3B64" w:rsidRPr="00872839" w:rsidRDefault="00BC3B64">
      <w:pPr>
        <w:spacing w:after="200" w:line="276" w:lineRule="auto"/>
        <w:rPr>
          <w:sz w:val="12"/>
          <w:szCs w:val="22"/>
          <w:lang w:val="en-GB"/>
        </w:rPr>
      </w:pPr>
      <w:r w:rsidRPr="00872839">
        <w:rPr>
          <w:sz w:val="12"/>
          <w:lang w:val="en-GB"/>
        </w:rPr>
        <w:br w:type="page"/>
      </w:r>
    </w:p>
    <w:p w14:paraId="0FC30B8A" w14:textId="556B72DE" w:rsidR="00BC3B64" w:rsidRPr="00872839" w:rsidRDefault="007F1F54" w:rsidP="007449DD">
      <w:pPr>
        <w:pStyle w:val="ExhibitHeading"/>
        <w:outlineLvl w:val="0"/>
        <w:rPr>
          <w:lang w:val="en-GB"/>
        </w:rPr>
      </w:pPr>
      <w:r w:rsidRPr="00872839">
        <w:rPr>
          <w:lang w:val="en-GB"/>
        </w:rPr>
        <w:lastRenderedPageBreak/>
        <w:t>Exhibit 3</w:t>
      </w:r>
      <w:r w:rsidR="007310FB" w:rsidRPr="00872839">
        <w:rPr>
          <w:lang w:val="en-GB"/>
        </w:rPr>
        <w:t xml:space="preserve">: </w:t>
      </w:r>
      <w:r w:rsidR="00D54D95" w:rsidRPr="00872839">
        <w:rPr>
          <w:lang w:val="en-GB"/>
        </w:rPr>
        <w:t>profiles of</w:t>
      </w:r>
      <w:r w:rsidR="007C31F5" w:rsidRPr="00872839">
        <w:rPr>
          <w:lang w:val="en-GB"/>
        </w:rPr>
        <w:t xml:space="preserve"> </w:t>
      </w:r>
      <w:r w:rsidR="00BC3B64" w:rsidRPr="00872839">
        <w:rPr>
          <w:lang w:val="en-GB"/>
        </w:rPr>
        <w:t>Business Traveller</w:t>
      </w:r>
      <w:r w:rsidR="007C31F5" w:rsidRPr="00872839">
        <w:rPr>
          <w:lang w:val="en-GB"/>
        </w:rPr>
        <w:t>s</w:t>
      </w:r>
      <w:r w:rsidR="006861AC" w:rsidRPr="00872839">
        <w:rPr>
          <w:lang w:val="en-GB"/>
        </w:rPr>
        <w:t xml:space="preserve"> from five </w:t>
      </w:r>
      <w:r w:rsidR="00D54D95" w:rsidRPr="00872839">
        <w:rPr>
          <w:lang w:val="en-GB"/>
        </w:rPr>
        <w:t xml:space="preserve">asian </w:t>
      </w:r>
      <w:r w:rsidR="006861AC" w:rsidRPr="00872839">
        <w:rPr>
          <w:lang w:val="en-GB"/>
        </w:rPr>
        <w:t>countries</w:t>
      </w:r>
    </w:p>
    <w:p w14:paraId="48B81529" w14:textId="4C4BE655" w:rsidR="00811D6B" w:rsidRPr="00872839" w:rsidRDefault="00811D6B" w:rsidP="00BC3B64">
      <w:pPr>
        <w:pStyle w:val="Casehead1"/>
        <w:rPr>
          <w:lang w:val="en-GB"/>
        </w:rPr>
      </w:pPr>
    </w:p>
    <w:p w14:paraId="16D03308" w14:textId="77777777" w:rsidR="00811D6B" w:rsidRPr="00872839" w:rsidRDefault="00811D6B" w:rsidP="00BC3B64">
      <w:pPr>
        <w:pStyle w:val="Casehead1"/>
        <w:rPr>
          <w:lang w:val="en-GB"/>
        </w:rPr>
      </w:pPr>
    </w:p>
    <w:tbl>
      <w:tblPr>
        <w:tblStyle w:val="TableGrid"/>
        <w:tblpPr w:leftFromText="180" w:rightFromText="180" w:vertAnchor="text" w:horzAnchor="margin" w:tblpXSpec="center" w:tblpY="4"/>
        <w:tblW w:w="0" w:type="auto"/>
        <w:tblCellMar>
          <w:left w:w="28" w:type="dxa"/>
          <w:right w:w="28" w:type="dxa"/>
        </w:tblCellMar>
        <w:tblLook w:val="04A0" w:firstRow="1" w:lastRow="0" w:firstColumn="1" w:lastColumn="0" w:noHBand="0" w:noVBand="1"/>
      </w:tblPr>
      <w:tblGrid>
        <w:gridCol w:w="2004"/>
        <w:gridCol w:w="1446"/>
        <w:gridCol w:w="1507"/>
        <w:gridCol w:w="1417"/>
        <w:gridCol w:w="1418"/>
        <w:gridCol w:w="1275"/>
      </w:tblGrid>
      <w:tr w:rsidR="00811D6B" w:rsidRPr="00872839" w14:paraId="700CA413" w14:textId="77777777" w:rsidTr="001C2549">
        <w:tc>
          <w:tcPr>
            <w:tcW w:w="2004" w:type="dxa"/>
            <w:shd w:val="clear" w:color="auto" w:fill="auto"/>
            <w:vAlign w:val="center"/>
          </w:tcPr>
          <w:p w14:paraId="63637EDD" w14:textId="100F7411" w:rsidR="00811D6B" w:rsidRPr="00872839" w:rsidRDefault="00811D6B" w:rsidP="004646C2">
            <w:pPr>
              <w:pStyle w:val="ExhibitText"/>
              <w:jc w:val="center"/>
              <w:rPr>
                <w:b/>
                <w:shd w:val="clear" w:color="auto" w:fill="FFFFFF"/>
                <w:lang w:val="en-GB"/>
              </w:rPr>
            </w:pPr>
            <w:r w:rsidRPr="00872839">
              <w:rPr>
                <w:b/>
                <w:shd w:val="clear" w:color="auto" w:fill="FFFFFF"/>
                <w:lang w:val="en-GB"/>
              </w:rPr>
              <w:t>Criteria</w:t>
            </w:r>
          </w:p>
        </w:tc>
        <w:tc>
          <w:tcPr>
            <w:tcW w:w="1446" w:type="dxa"/>
            <w:shd w:val="clear" w:color="auto" w:fill="auto"/>
            <w:vAlign w:val="center"/>
          </w:tcPr>
          <w:p w14:paraId="7B06CEE8" w14:textId="77777777" w:rsidR="00811D6B" w:rsidRPr="00872839" w:rsidRDefault="00811D6B" w:rsidP="004646C2">
            <w:pPr>
              <w:pStyle w:val="ExhibitText"/>
              <w:jc w:val="center"/>
              <w:rPr>
                <w:b/>
                <w:shd w:val="clear" w:color="auto" w:fill="FFFFFF"/>
                <w:lang w:val="en-GB"/>
              </w:rPr>
            </w:pPr>
            <w:r w:rsidRPr="00872839">
              <w:rPr>
                <w:b/>
                <w:shd w:val="clear" w:color="auto" w:fill="FFFFFF"/>
                <w:lang w:val="en-GB"/>
              </w:rPr>
              <w:t>India</w:t>
            </w:r>
          </w:p>
        </w:tc>
        <w:tc>
          <w:tcPr>
            <w:tcW w:w="1507" w:type="dxa"/>
            <w:shd w:val="clear" w:color="auto" w:fill="auto"/>
            <w:vAlign w:val="center"/>
          </w:tcPr>
          <w:p w14:paraId="4F3C8654" w14:textId="77777777" w:rsidR="00811D6B" w:rsidRPr="00872839" w:rsidRDefault="00811D6B" w:rsidP="004646C2">
            <w:pPr>
              <w:pStyle w:val="ExhibitText"/>
              <w:jc w:val="center"/>
              <w:rPr>
                <w:b/>
                <w:shd w:val="clear" w:color="auto" w:fill="FFFFFF"/>
                <w:lang w:val="en-GB"/>
              </w:rPr>
            </w:pPr>
            <w:r w:rsidRPr="00872839">
              <w:rPr>
                <w:b/>
                <w:shd w:val="clear" w:color="auto" w:fill="FFFFFF"/>
                <w:lang w:val="en-GB"/>
              </w:rPr>
              <w:t>Singapore</w:t>
            </w:r>
          </w:p>
        </w:tc>
        <w:tc>
          <w:tcPr>
            <w:tcW w:w="1417" w:type="dxa"/>
            <w:shd w:val="clear" w:color="auto" w:fill="auto"/>
            <w:vAlign w:val="center"/>
          </w:tcPr>
          <w:p w14:paraId="5FFA1BA8" w14:textId="77777777" w:rsidR="00811D6B" w:rsidRPr="00872839" w:rsidRDefault="00811D6B" w:rsidP="004646C2">
            <w:pPr>
              <w:pStyle w:val="ExhibitText"/>
              <w:jc w:val="center"/>
              <w:rPr>
                <w:b/>
                <w:shd w:val="clear" w:color="auto" w:fill="FFFFFF"/>
                <w:lang w:val="en-GB"/>
              </w:rPr>
            </w:pPr>
            <w:r w:rsidRPr="00872839">
              <w:rPr>
                <w:b/>
                <w:shd w:val="clear" w:color="auto" w:fill="FFFFFF"/>
                <w:lang w:val="en-GB"/>
              </w:rPr>
              <w:t>China</w:t>
            </w:r>
          </w:p>
        </w:tc>
        <w:tc>
          <w:tcPr>
            <w:tcW w:w="1418" w:type="dxa"/>
            <w:shd w:val="clear" w:color="auto" w:fill="auto"/>
            <w:vAlign w:val="center"/>
          </w:tcPr>
          <w:p w14:paraId="1903DF64" w14:textId="77777777" w:rsidR="00811D6B" w:rsidRPr="00872839" w:rsidRDefault="00811D6B" w:rsidP="004646C2">
            <w:pPr>
              <w:pStyle w:val="ExhibitText"/>
              <w:jc w:val="center"/>
              <w:rPr>
                <w:b/>
                <w:shd w:val="clear" w:color="auto" w:fill="FFFFFF"/>
                <w:lang w:val="en-GB"/>
              </w:rPr>
            </w:pPr>
            <w:r w:rsidRPr="00872839">
              <w:rPr>
                <w:b/>
                <w:shd w:val="clear" w:color="auto" w:fill="FFFFFF"/>
                <w:lang w:val="en-GB"/>
              </w:rPr>
              <w:t>Indonesia</w:t>
            </w:r>
          </w:p>
        </w:tc>
        <w:tc>
          <w:tcPr>
            <w:tcW w:w="1275" w:type="dxa"/>
            <w:shd w:val="clear" w:color="auto" w:fill="auto"/>
            <w:vAlign w:val="center"/>
          </w:tcPr>
          <w:p w14:paraId="449DAD42" w14:textId="77777777" w:rsidR="00811D6B" w:rsidRPr="00872839" w:rsidRDefault="00811D6B" w:rsidP="004646C2">
            <w:pPr>
              <w:pStyle w:val="ExhibitText"/>
              <w:jc w:val="center"/>
              <w:rPr>
                <w:b/>
                <w:shd w:val="clear" w:color="auto" w:fill="FFFFFF"/>
                <w:lang w:val="en-GB"/>
              </w:rPr>
            </w:pPr>
            <w:r w:rsidRPr="00872839">
              <w:rPr>
                <w:b/>
                <w:shd w:val="clear" w:color="auto" w:fill="FFFFFF"/>
                <w:lang w:val="en-GB"/>
              </w:rPr>
              <w:t>Japan</w:t>
            </w:r>
          </w:p>
        </w:tc>
      </w:tr>
      <w:tr w:rsidR="00811D6B" w:rsidRPr="00872839" w14:paraId="03D87E55" w14:textId="77777777" w:rsidTr="001C2549">
        <w:tc>
          <w:tcPr>
            <w:tcW w:w="2004" w:type="dxa"/>
            <w:shd w:val="clear" w:color="auto" w:fill="auto"/>
            <w:vAlign w:val="center"/>
          </w:tcPr>
          <w:p w14:paraId="2FFF6AB5" w14:textId="1E824A39" w:rsidR="00811D6B" w:rsidRPr="00872839" w:rsidRDefault="00811D6B" w:rsidP="004646C2">
            <w:pPr>
              <w:pStyle w:val="ExhibitText"/>
              <w:jc w:val="left"/>
              <w:rPr>
                <w:shd w:val="clear" w:color="auto" w:fill="FFFFFF"/>
                <w:lang w:val="en-GB"/>
              </w:rPr>
            </w:pPr>
            <w:r w:rsidRPr="00872839">
              <w:rPr>
                <w:shd w:val="clear" w:color="auto" w:fill="FFFFFF"/>
                <w:lang w:val="en-GB"/>
              </w:rPr>
              <w:t xml:space="preserve">Business travel </w:t>
            </w:r>
            <w:r w:rsidR="00F62E72" w:rsidRPr="00872839">
              <w:rPr>
                <w:shd w:val="clear" w:color="auto" w:fill="FFFFFF"/>
                <w:lang w:val="en-GB"/>
              </w:rPr>
              <w:t xml:space="preserve">is considered </w:t>
            </w:r>
            <w:r w:rsidRPr="00872839">
              <w:rPr>
                <w:shd w:val="clear" w:color="auto" w:fill="FFFFFF"/>
                <w:lang w:val="en-GB"/>
              </w:rPr>
              <w:t>a job perk</w:t>
            </w:r>
          </w:p>
        </w:tc>
        <w:tc>
          <w:tcPr>
            <w:tcW w:w="1446" w:type="dxa"/>
            <w:shd w:val="clear" w:color="auto" w:fill="auto"/>
            <w:vAlign w:val="center"/>
          </w:tcPr>
          <w:p w14:paraId="74AD7AB1" w14:textId="77777777" w:rsidR="00811D6B" w:rsidRPr="00872839" w:rsidRDefault="00811D6B" w:rsidP="004646C2">
            <w:pPr>
              <w:pStyle w:val="ExhibitText"/>
              <w:jc w:val="center"/>
              <w:rPr>
                <w:shd w:val="clear" w:color="auto" w:fill="FFFFFF"/>
                <w:lang w:val="en-GB"/>
              </w:rPr>
            </w:pPr>
            <w:r w:rsidRPr="00872839">
              <w:rPr>
                <w:shd w:val="clear" w:color="auto" w:fill="FFFFFF"/>
                <w:lang w:val="en-GB"/>
              </w:rPr>
              <w:t>61%</w:t>
            </w:r>
          </w:p>
        </w:tc>
        <w:tc>
          <w:tcPr>
            <w:tcW w:w="1507" w:type="dxa"/>
            <w:shd w:val="clear" w:color="auto" w:fill="auto"/>
            <w:vAlign w:val="center"/>
          </w:tcPr>
          <w:p w14:paraId="3E48C971" w14:textId="3BE47B68" w:rsidR="00811D6B" w:rsidRPr="00872839" w:rsidRDefault="0034764D" w:rsidP="004646C2">
            <w:pPr>
              <w:pStyle w:val="ExhibitText"/>
              <w:jc w:val="center"/>
              <w:rPr>
                <w:shd w:val="clear" w:color="auto" w:fill="FFFFFF"/>
                <w:lang w:val="en-GB"/>
              </w:rPr>
            </w:pPr>
            <w:r w:rsidRPr="00872839">
              <w:rPr>
                <w:shd w:val="clear" w:color="auto" w:fill="FFFFFF"/>
                <w:lang w:val="en-GB"/>
              </w:rPr>
              <w:t>–</w:t>
            </w:r>
          </w:p>
        </w:tc>
        <w:tc>
          <w:tcPr>
            <w:tcW w:w="1417" w:type="dxa"/>
            <w:shd w:val="clear" w:color="auto" w:fill="auto"/>
            <w:vAlign w:val="center"/>
          </w:tcPr>
          <w:p w14:paraId="0964D8AF" w14:textId="77777777" w:rsidR="00811D6B" w:rsidRPr="00872839" w:rsidRDefault="00811D6B" w:rsidP="004646C2">
            <w:pPr>
              <w:pStyle w:val="ExhibitText"/>
              <w:jc w:val="center"/>
              <w:rPr>
                <w:shd w:val="clear" w:color="auto" w:fill="FFFFFF"/>
                <w:lang w:val="en-GB"/>
              </w:rPr>
            </w:pPr>
            <w:r w:rsidRPr="00872839">
              <w:rPr>
                <w:shd w:val="clear" w:color="auto" w:fill="FFFFFF"/>
                <w:lang w:val="en-GB"/>
              </w:rPr>
              <w:t>59%</w:t>
            </w:r>
          </w:p>
        </w:tc>
        <w:tc>
          <w:tcPr>
            <w:tcW w:w="1418" w:type="dxa"/>
            <w:shd w:val="clear" w:color="auto" w:fill="auto"/>
            <w:vAlign w:val="center"/>
          </w:tcPr>
          <w:p w14:paraId="7CD962E0" w14:textId="77777777" w:rsidR="00811D6B" w:rsidRPr="00872839" w:rsidRDefault="00811D6B" w:rsidP="004646C2">
            <w:pPr>
              <w:pStyle w:val="ExhibitText"/>
              <w:jc w:val="center"/>
              <w:rPr>
                <w:shd w:val="clear" w:color="auto" w:fill="FFFFFF"/>
                <w:lang w:val="en-GB"/>
              </w:rPr>
            </w:pPr>
            <w:r w:rsidRPr="00872839">
              <w:rPr>
                <w:shd w:val="clear" w:color="auto" w:fill="FFFFFF"/>
                <w:lang w:val="en-GB"/>
              </w:rPr>
              <w:t>76%</w:t>
            </w:r>
          </w:p>
        </w:tc>
        <w:tc>
          <w:tcPr>
            <w:tcW w:w="1275" w:type="dxa"/>
            <w:shd w:val="clear" w:color="auto" w:fill="auto"/>
            <w:vAlign w:val="center"/>
          </w:tcPr>
          <w:p w14:paraId="3AB31925" w14:textId="475F0658" w:rsidR="00811D6B" w:rsidRPr="00872839" w:rsidRDefault="0034764D" w:rsidP="004646C2">
            <w:pPr>
              <w:pStyle w:val="ExhibitText"/>
              <w:jc w:val="center"/>
              <w:rPr>
                <w:shd w:val="clear" w:color="auto" w:fill="FFFFFF"/>
                <w:lang w:val="en-GB"/>
              </w:rPr>
            </w:pPr>
            <w:r w:rsidRPr="00872839">
              <w:rPr>
                <w:shd w:val="clear" w:color="auto" w:fill="FFFFFF"/>
                <w:lang w:val="en-GB"/>
              </w:rPr>
              <w:t>–</w:t>
            </w:r>
          </w:p>
        </w:tc>
      </w:tr>
      <w:tr w:rsidR="00811D6B" w:rsidRPr="00872839" w14:paraId="4E217D70" w14:textId="77777777" w:rsidTr="001C2549">
        <w:tc>
          <w:tcPr>
            <w:tcW w:w="2004" w:type="dxa"/>
            <w:shd w:val="clear" w:color="auto" w:fill="auto"/>
            <w:vAlign w:val="center"/>
          </w:tcPr>
          <w:p w14:paraId="237326D9" w14:textId="77777777" w:rsidR="00811D6B" w:rsidRPr="00872839" w:rsidRDefault="00811D6B" w:rsidP="00AC013A">
            <w:pPr>
              <w:pStyle w:val="ExhibitText"/>
              <w:rPr>
                <w:shd w:val="clear" w:color="auto" w:fill="FFFFFF"/>
                <w:lang w:val="en-GB"/>
              </w:rPr>
            </w:pPr>
            <w:r w:rsidRPr="00872839">
              <w:rPr>
                <w:shd w:val="clear" w:color="auto" w:fill="FFFFFF"/>
                <w:lang w:val="en-GB"/>
              </w:rPr>
              <w:t xml:space="preserve">Top three criteria </w:t>
            </w:r>
          </w:p>
          <w:p w14:paraId="13A60D81" w14:textId="07662F52" w:rsidR="00811D6B" w:rsidRPr="00872839" w:rsidRDefault="0034764D" w:rsidP="004646C2">
            <w:pPr>
              <w:pStyle w:val="ExhibitText"/>
              <w:jc w:val="left"/>
              <w:rPr>
                <w:shd w:val="clear" w:color="auto" w:fill="FFFFFF"/>
                <w:lang w:val="en-GB"/>
              </w:rPr>
            </w:pPr>
            <w:r w:rsidRPr="00872839">
              <w:rPr>
                <w:shd w:val="clear" w:color="auto" w:fill="FFFFFF"/>
                <w:lang w:val="en-GB"/>
              </w:rPr>
              <w:t>f</w:t>
            </w:r>
            <w:r w:rsidR="00811D6B" w:rsidRPr="00872839">
              <w:rPr>
                <w:shd w:val="clear" w:color="auto" w:fill="FFFFFF"/>
                <w:lang w:val="en-GB"/>
              </w:rPr>
              <w:t>or hotel selection (in order of importance)</w:t>
            </w:r>
          </w:p>
          <w:p w14:paraId="4D1A019E" w14:textId="5C0B034D" w:rsidR="00811D6B" w:rsidRPr="00872839" w:rsidRDefault="00811D6B" w:rsidP="004646C2">
            <w:pPr>
              <w:pStyle w:val="ExhibitText"/>
              <w:jc w:val="left"/>
              <w:rPr>
                <w:shd w:val="clear" w:color="auto" w:fill="FFFFFF"/>
                <w:lang w:val="en-GB"/>
              </w:rPr>
            </w:pPr>
          </w:p>
        </w:tc>
        <w:tc>
          <w:tcPr>
            <w:tcW w:w="1446" w:type="dxa"/>
            <w:shd w:val="clear" w:color="auto" w:fill="auto"/>
            <w:vAlign w:val="center"/>
          </w:tcPr>
          <w:p w14:paraId="79BCE728" w14:textId="48200571" w:rsidR="00811D6B" w:rsidRPr="00872839" w:rsidRDefault="001862A1" w:rsidP="004646C2">
            <w:pPr>
              <w:pStyle w:val="ExhibitText"/>
              <w:jc w:val="left"/>
              <w:rPr>
                <w:shd w:val="clear" w:color="auto" w:fill="FFFFFF"/>
                <w:lang w:val="en-GB"/>
              </w:rPr>
            </w:pPr>
            <w:r w:rsidRPr="00872839">
              <w:rPr>
                <w:shd w:val="clear" w:color="auto" w:fill="FFFFFF"/>
                <w:lang w:val="en-GB"/>
              </w:rPr>
              <w:t>1)</w:t>
            </w:r>
            <w:r w:rsidR="0034764D" w:rsidRPr="00872839">
              <w:rPr>
                <w:shd w:val="clear" w:color="auto" w:fill="FFFFFF"/>
                <w:lang w:val="en-GB"/>
              </w:rPr>
              <w:t xml:space="preserve"> </w:t>
            </w:r>
            <w:r w:rsidR="00811D6B" w:rsidRPr="00872839">
              <w:rPr>
                <w:shd w:val="clear" w:color="auto" w:fill="FFFFFF"/>
                <w:lang w:val="en-GB"/>
              </w:rPr>
              <w:t xml:space="preserve">Facilities that allow me to work effectively </w:t>
            </w:r>
          </w:p>
          <w:p w14:paraId="5EFCE4C9" w14:textId="612F29DE" w:rsidR="00811D6B" w:rsidRPr="00872839" w:rsidRDefault="001862A1" w:rsidP="004646C2">
            <w:pPr>
              <w:pStyle w:val="ExhibitText"/>
              <w:jc w:val="left"/>
              <w:rPr>
                <w:shd w:val="clear" w:color="auto" w:fill="FFFFFF"/>
                <w:lang w:val="en-GB"/>
              </w:rPr>
            </w:pPr>
            <w:r w:rsidRPr="00872839">
              <w:rPr>
                <w:shd w:val="clear" w:color="auto" w:fill="FFFFFF"/>
                <w:lang w:val="en-GB"/>
              </w:rPr>
              <w:t>2)</w:t>
            </w:r>
            <w:r w:rsidR="0034764D" w:rsidRPr="00872839">
              <w:rPr>
                <w:shd w:val="clear" w:color="auto" w:fill="FFFFFF"/>
                <w:lang w:val="en-GB"/>
              </w:rPr>
              <w:t xml:space="preserve"> </w:t>
            </w:r>
            <w:r w:rsidR="00811D6B" w:rsidRPr="00872839">
              <w:rPr>
                <w:shd w:val="clear" w:color="auto" w:fill="FFFFFF"/>
                <w:lang w:val="en-GB"/>
              </w:rPr>
              <w:t>Location near work</w:t>
            </w:r>
          </w:p>
          <w:p w14:paraId="26E1EB95" w14:textId="0D5DD905" w:rsidR="00811D6B" w:rsidRPr="00872839" w:rsidRDefault="001862A1" w:rsidP="004646C2">
            <w:pPr>
              <w:pStyle w:val="ExhibitText"/>
              <w:jc w:val="left"/>
              <w:rPr>
                <w:shd w:val="clear" w:color="auto" w:fill="FFFFFF"/>
                <w:lang w:val="en-GB"/>
              </w:rPr>
            </w:pPr>
            <w:r w:rsidRPr="00872839">
              <w:rPr>
                <w:shd w:val="clear" w:color="auto" w:fill="FFFFFF"/>
                <w:lang w:val="en-GB"/>
              </w:rPr>
              <w:t>3)</w:t>
            </w:r>
            <w:r w:rsidR="0034764D" w:rsidRPr="00872839">
              <w:rPr>
                <w:shd w:val="clear" w:color="auto" w:fill="FFFFFF"/>
                <w:lang w:val="en-GB"/>
              </w:rPr>
              <w:t xml:space="preserve"> </w:t>
            </w:r>
            <w:r w:rsidR="00811D6B" w:rsidRPr="00872839">
              <w:rPr>
                <w:shd w:val="clear" w:color="auto" w:fill="FFFFFF"/>
                <w:lang w:val="en-GB"/>
              </w:rPr>
              <w:t>Value for money</w:t>
            </w:r>
          </w:p>
        </w:tc>
        <w:tc>
          <w:tcPr>
            <w:tcW w:w="1507" w:type="dxa"/>
            <w:shd w:val="clear" w:color="auto" w:fill="auto"/>
            <w:vAlign w:val="center"/>
          </w:tcPr>
          <w:p w14:paraId="44177092" w14:textId="1E304891" w:rsidR="00811D6B" w:rsidRPr="00872839" w:rsidRDefault="001862A1" w:rsidP="004646C2">
            <w:pPr>
              <w:pStyle w:val="ExhibitText"/>
              <w:jc w:val="left"/>
              <w:rPr>
                <w:shd w:val="clear" w:color="auto" w:fill="FFFFFF"/>
                <w:lang w:val="en-GB"/>
              </w:rPr>
            </w:pPr>
            <w:r w:rsidRPr="00872839">
              <w:rPr>
                <w:shd w:val="clear" w:color="auto" w:fill="FFFFFF"/>
                <w:lang w:val="en-GB"/>
              </w:rPr>
              <w:t>1)</w:t>
            </w:r>
            <w:r w:rsidR="0034764D" w:rsidRPr="00872839">
              <w:rPr>
                <w:shd w:val="clear" w:color="auto" w:fill="FFFFFF"/>
                <w:lang w:val="en-GB"/>
              </w:rPr>
              <w:t xml:space="preserve"> </w:t>
            </w:r>
            <w:r w:rsidR="00811D6B" w:rsidRPr="00872839">
              <w:rPr>
                <w:shd w:val="clear" w:color="auto" w:fill="FFFFFF"/>
                <w:lang w:val="en-GB"/>
              </w:rPr>
              <w:t>Location near work</w:t>
            </w:r>
          </w:p>
          <w:p w14:paraId="15BF0C1F" w14:textId="5BAA92F6" w:rsidR="009939D2" w:rsidRPr="00872839" w:rsidRDefault="009939D2" w:rsidP="004646C2">
            <w:pPr>
              <w:pStyle w:val="ExhibitText"/>
              <w:jc w:val="left"/>
              <w:rPr>
                <w:shd w:val="clear" w:color="auto" w:fill="FFFFFF"/>
                <w:lang w:val="en-GB"/>
              </w:rPr>
            </w:pPr>
            <w:r w:rsidRPr="00872839">
              <w:rPr>
                <w:shd w:val="clear" w:color="auto" w:fill="FFFFFF"/>
                <w:lang w:val="en-GB"/>
              </w:rPr>
              <w:t>1) Value for money</w:t>
            </w:r>
          </w:p>
          <w:p w14:paraId="524668C8" w14:textId="24580393" w:rsidR="00811D6B" w:rsidRPr="00872839" w:rsidRDefault="001862A1" w:rsidP="004646C2">
            <w:pPr>
              <w:pStyle w:val="ExhibitText"/>
              <w:jc w:val="left"/>
              <w:rPr>
                <w:shd w:val="clear" w:color="auto" w:fill="FFFFFF"/>
                <w:lang w:val="en-GB"/>
              </w:rPr>
            </w:pPr>
            <w:r w:rsidRPr="00872839">
              <w:rPr>
                <w:shd w:val="clear" w:color="auto" w:fill="FFFFFF"/>
                <w:lang w:val="en-GB"/>
              </w:rPr>
              <w:t>2)</w:t>
            </w:r>
            <w:r w:rsidR="0034764D" w:rsidRPr="00872839">
              <w:rPr>
                <w:shd w:val="clear" w:color="auto" w:fill="FFFFFF"/>
                <w:lang w:val="en-GB"/>
              </w:rPr>
              <w:t xml:space="preserve"> </w:t>
            </w:r>
            <w:r w:rsidR="00811D6B" w:rsidRPr="00872839">
              <w:rPr>
                <w:shd w:val="clear" w:color="auto" w:fill="FFFFFF"/>
                <w:lang w:val="en-GB"/>
              </w:rPr>
              <w:t xml:space="preserve">Facilities that allow me to work effectively </w:t>
            </w:r>
          </w:p>
          <w:p w14:paraId="722E8F07" w14:textId="6145F90D" w:rsidR="00811D6B" w:rsidRPr="00872839" w:rsidRDefault="001862A1" w:rsidP="004646C2">
            <w:pPr>
              <w:pStyle w:val="ExhibitText"/>
              <w:jc w:val="left"/>
              <w:rPr>
                <w:shd w:val="clear" w:color="auto" w:fill="FFFFFF"/>
                <w:lang w:val="en-GB"/>
              </w:rPr>
            </w:pPr>
            <w:r w:rsidRPr="00872839">
              <w:rPr>
                <w:shd w:val="clear" w:color="auto" w:fill="FFFFFF"/>
                <w:lang w:val="en-GB"/>
              </w:rPr>
              <w:t>3)</w:t>
            </w:r>
            <w:r w:rsidR="0034764D" w:rsidRPr="00872839">
              <w:rPr>
                <w:shd w:val="clear" w:color="auto" w:fill="FFFFFF"/>
                <w:lang w:val="en-GB"/>
              </w:rPr>
              <w:t xml:space="preserve"> </w:t>
            </w:r>
            <w:r w:rsidR="00811D6B" w:rsidRPr="00872839">
              <w:rPr>
                <w:shd w:val="clear" w:color="auto" w:fill="FFFFFF"/>
                <w:lang w:val="en-GB"/>
              </w:rPr>
              <w:t>Value for money</w:t>
            </w:r>
          </w:p>
        </w:tc>
        <w:tc>
          <w:tcPr>
            <w:tcW w:w="1417" w:type="dxa"/>
            <w:shd w:val="clear" w:color="auto" w:fill="auto"/>
            <w:vAlign w:val="center"/>
          </w:tcPr>
          <w:p w14:paraId="7D9C5C4E" w14:textId="77777777" w:rsidR="009A2986" w:rsidRPr="00872839" w:rsidRDefault="001862A1" w:rsidP="004646C2">
            <w:pPr>
              <w:pStyle w:val="ExhibitText"/>
              <w:jc w:val="left"/>
              <w:rPr>
                <w:shd w:val="clear" w:color="auto" w:fill="FFFFFF"/>
                <w:lang w:val="en-GB"/>
              </w:rPr>
            </w:pPr>
            <w:r w:rsidRPr="00872839">
              <w:rPr>
                <w:shd w:val="clear" w:color="auto" w:fill="FFFFFF"/>
                <w:lang w:val="en-GB"/>
              </w:rPr>
              <w:t>1)</w:t>
            </w:r>
            <w:r w:rsidR="0034764D" w:rsidRPr="00872839">
              <w:rPr>
                <w:shd w:val="clear" w:color="auto" w:fill="FFFFFF"/>
                <w:lang w:val="en-GB"/>
              </w:rPr>
              <w:t xml:space="preserve"> </w:t>
            </w:r>
            <w:r w:rsidR="00811D6B" w:rsidRPr="00872839">
              <w:rPr>
                <w:shd w:val="clear" w:color="auto" w:fill="FFFFFF"/>
                <w:lang w:val="en-GB"/>
              </w:rPr>
              <w:t>Location near work</w:t>
            </w:r>
          </w:p>
          <w:p w14:paraId="4BDD6901" w14:textId="728E09A7" w:rsidR="00811D6B" w:rsidRPr="00872839" w:rsidRDefault="001862A1" w:rsidP="004646C2">
            <w:pPr>
              <w:pStyle w:val="ExhibitText"/>
              <w:jc w:val="left"/>
              <w:rPr>
                <w:shd w:val="clear" w:color="auto" w:fill="FFFFFF"/>
                <w:lang w:val="en-GB"/>
              </w:rPr>
            </w:pPr>
            <w:r w:rsidRPr="00872839">
              <w:rPr>
                <w:shd w:val="clear" w:color="auto" w:fill="FFFFFF"/>
                <w:lang w:val="en-GB"/>
              </w:rPr>
              <w:t xml:space="preserve">2) </w:t>
            </w:r>
            <w:r w:rsidR="00811D6B" w:rsidRPr="00872839">
              <w:rPr>
                <w:shd w:val="clear" w:color="auto" w:fill="FFFFFF"/>
                <w:lang w:val="en-GB"/>
              </w:rPr>
              <w:t>Award</w:t>
            </w:r>
            <w:r w:rsidR="0034764D" w:rsidRPr="00872839">
              <w:rPr>
                <w:shd w:val="clear" w:color="auto" w:fill="FFFFFF"/>
                <w:lang w:val="en-GB"/>
              </w:rPr>
              <w:t>-</w:t>
            </w:r>
            <w:r w:rsidR="00811D6B" w:rsidRPr="00872839">
              <w:rPr>
                <w:shd w:val="clear" w:color="auto" w:fill="FFFFFF"/>
                <w:lang w:val="en-GB"/>
              </w:rPr>
              <w:t xml:space="preserve">winning service </w:t>
            </w:r>
            <w:r w:rsidRPr="00872839">
              <w:rPr>
                <w:shd w:val="clear" w:color="auto" w:fill="FFFFFF"/>
                <w:lang w:val="en-GB"/>
              </w:rPr>
              <w:t xml:space="preserve">3) </w:t>
            </w:r>
            <w:r w:rsidR="00811D6B" w:rsidRPr="00872839">
              <w:rPr>
                <w:shd w:val="clear" w:color="auto" w:fill="FFFFFF"/>
                <w:lang w:val="en-GB"/>
              </w:rPr>
              <w:t>Value for money</w:t>
            </w:r>
          </w:p>
        </w:tc>
        <w:tc>
          <w:tcPr>
            <w:tcW w:w="1418" w:type="dxa"/>
            <w:shd w:val="clear" w:color="auto" w:fill="auto"/>
            <w:vAlign w:val="center"/>
          </w:tcPr>
          <w:p w14:paraId="08121BB1" w14:textId="2D312984" w:rsidR="00811D6B" w:rsidRPr="00872839" w:rsidRDefault="001862A1" w:rsidP="004646C2">
            <w:pPr>
              <w:pStyle w:val="ExhibitText"/>
              <w:jc w:val="left"/>
              <w:rPr>
                <w:shd w:val="clear" w:color="auto" w:fill="FFFFFF"/>
                <w:lang w:val="en-GB"/>
              </w:rPr>
            </w:pPr>
            <w:r w:rsidRPr="00872839">
              <w:rPr>
                <w:shd w:val="clear" w:color="auto" w:fill="FFFFFF"/>
                <w:lang w:val="en-GB"/>
              </w:rPr>
              <w:t xml:space="preserve">1) </w:t>
            </w:r>
            <w:r w:rsidR="00811D6B" w:rsidRPr="00872839">
              <w:rPr>
                <w:shd w:val="clear" w:color="auto" w:fill="FFFFFF"/>
                <w:lang w:val="en-GB"/>
              </w:rPr>
              <w:t xml:space="preserve">Facilities that allow me to work effectively </w:t>
            </w:r>
          </w:p>
          <w:p w14:paraId="4E154C78" w14:textId="77777777" w:rsidR="009A2986" w:rsidRPr="00872839" w:rsidRDefault="001862A1" w:rsidP="004646C2">
            <w:pPr>
              <w:pStyle w:val="ExhibitText"/>
              <w:jc w:val="left"/>
              <w:rPr>
                <w:shd w:val="clear" w:color="auto" w:fill="FFFFFF"/>
                <w:lang w:val="en-GB"/>
              </w:rPr>
            </w:pPr>
            <w:r w:rsidRPr="00872839">
              <w:rPr>
                <w:shd w:val="clear" w:color="auto" w:fill="FFFFFF"/>
                <w:lang w:val="en-GB"/>
              </w:rPr>
              <w:t xml:space="preserve">2) </w:t>
            </w:r>
            <w:r w:rsidR="00811D6B" w:rsidRPr="00872839">
              <w:rPr>
                <w:shd w:val="clear" w:color="auto" w:fill="FFFFFF"/>
                <w:lang w:val="en-GB"/>
              </w:rPr>
              <w:t>Location near work</w:t>
            </w:r>
          </w:p>
          <w:p w14:paraId="22689E97" w14:textId="22237ABA" w:rsidR="00811D6B" w:rsidRPr="00872839" w:rsidRDefault="001862A1" w:rsidP="004646C2">
            <w:pPr>
              <w:pStyle w:val="ExhibitText"/>
              <w:jc w:val="left"/>
              <w:rPr>
                <w:shd w:val="clear" w:color="auto" w:fill="FFFFFF"/>
                <w:lang w:val="en-GB"/>
              </w:rPr>
            </w:pPr>
            <w:r w:rsidRPr="00872839">
              <w:rPr>
                <w:shd w:val="clear" w:color="auto" w:fill="FFFFFF"/>
                <w:lang w:val="en-GB"/>
              </w:rPr>
              <w:t xml:space="preserve">3) </w:t>
            </w:r>
            <w:r w:rsidR="00811D6B" w:rsidRPr="00872839">
              <w:rPr>
                <w:shd w:val="clear" w:color="auto" w:fill="FFFFFF"/>
                <w:lang w:val="en-GB"/>
              </w:rPr>
              <w:t>Value for money</w:t>
            </w:r>
          </w:p>
        </w:tc>
        <w:tc>
          <w:tcPr>
            <w:tcW w:w="1275" w:type="dxa"/>
            <w:shd w:val="clear" w:color="auto" w:fill="auto"/>
            <w:vAlign w:val="center"/>
          </w:tcPr>
          <w:p w14:paraId="2298CBDE" w14:textId="3C69DFA0" w:rsidR="00811D6B" w:rsidRPr="00872839" w:rsidRDefault="001862A1" w:rsidP="004646C2">
            <w:pPr>
              <w:pStyle w:val="ExhibitText"/>
              <w:jc w:val="left"/>
              <w:rPr>
                <w:shd w:val="clear" w:color="auto" w:fill="FFFFFF"/>
                <w:lang w:val="en-GB"/>
              </w:rPr>
            </w:pPr>
            <w:r w:rsidRPr="00872839">
              <w:rPr>
                <w:shd w:val="clear" w:color="auto" w:fill="FFFFFF"/>
                <w:lang w:val="en-GB"/>
              </w:rPr>
              <w:t xml:space="preserve">1) </w:t>
            </w:r>
            <w:r w:rsidR="00811D6B" w:rsidRPr="00872839">
              <w:rPr>
                <w:shd w:val="clear" w:color="auto" w:fill="FFFFFF"/>
                <w:lang w:val="en-GB"/>
              </w:rPr>
              <w:t>Value for money</w:t>
            </w:r>
          </w:p>
          <w:p w14:paraId="5AD1C24A" w14:textId="196890D1" w:rsidR="00811D6B" w:rsidRPr="00872839" w:rsidRDefault="001862A1" w:rsidP="004646C2">
            <w:pPr>
              <w:pStyle w:val="ExhibitText"/>
              <w:jc w:val="left"/>
              <w:rPr>
                <w:shd w:val="clear" w:color="auto" w:fill="FFFFFF"/>
                <w:lang w:val="en-GB"/>
              </w:rPr>
            </w:pPr>
            <w:r w:rsidRPr="00872839">
              <w:rPr>
                <w:shd w:val="clear" w:color="auto" w:fill="FFFFFF"/>
                <w:lang w:val="en-GB"/>
              </w:rPr>
              <w:t xml:space="preserve">2) </w:t>
            </w:r>
            <w:r w:rsidR="00811D6B" w:rsidRPr="00872839">
              <w:rPr>
                <w:shd w:val="clear" w:color="auto" w:fill="FFFFFF"/>
                <w:lang w:val="en-GB"/>
              </w:rPr>
              <w:t>Location near work</w:t>
            </w:r>
          </w:p>
          <w:p w14:paraId="3C176507" w14:textId="7509F826" w:rsidR="00811D6B" w:rsidRPr="00872839" w:rsidRDefault="001862A1" w:rsidP="004646C2">
            <w:pPr>
              <w:pStyle w:val="ExhibitText"/>
              <w:jc w:val="left"/>
              <w:rPr>
                <w:shd w:val="clear" w:color="auto" w:fill="FFFFFF"/>
                <w:lang w:val="en-GB"/>
              </w:rPr>
            </w:pPr>
            <w:r w:rsidRPr="00872839">
              <w:rPr>
                <w:shd w:val="clear" w:color="auto" w:fill="FFFFFF"/>
                <w:lang w:val="en-GB"/>
              </w:rPr>
              <w:t xml:space="preserve">3) </w:t>
            </w:r>
            <w:r w:rsidR="00811D6B" w:rsidRPr="00872839">
              <w:rPr>
                <w:shd w:val="clear" w:color="auto" w:fill="FFFFFF"/>
                <w:lang w:val="en-GB"/>
              </w:rPr>
              <w:t xml:space="preserve">Facilities that allow me to work effectively </w:t>
            </w:r>
          </w:p>
          <w:p w14:paraId="688B96B5" w14:textId="77777777" w:rsidR="00811D6B" w:rsidRPr="00872839" w:rsidRDefault="00811D6B" w:rsidP="004646C2">
            <w:pPr>
              <w:pStyle w:val="ExhibitText"/>
              <w:jc w:val="left"/>
              <w:rPr>
                <w:shd w:val="clear" w:color="auto" w:fill="FFFFFF"/>
                <w:lang w:val="en-GB"/>
              </w:rPr>
            </w:pPr>
          </w:p>
        </w:tc>
      </w:tr>
      <w:tr w:rsidR="00811D6B" w:rsidRPr="00872839" w14:paraId="0A0AF632" w14:textId="77777777" w:rsidTr="009C675A">
        <w:tc>
          <w:tcPr>
            <w:tcW w:w="2004" w:type="dxa"/>
            <w:shd w:val="clear" w:color="auto" w:fill="auto"/>
            <w:vAlign w:val="center"/>
          </w:tcPr>
          <w:p w14:paraId="47136DE3" w14:textId="77777777" w:rsidR="00811D6B" w:rsidRPr="00872839" w:rsidRDefault="00811D6B" w:rsidP="00AC013A">
            <w:pPr>
              <w:pStyle w:val="ExhibitText"/>
              <w:rPr>
                <w:shd w:val="clear" w:color="auto" w:fill="FFFFFF"/>
                <w:lang w:val="en-GB"/>
              </w:rPr>
            </w:pPr>
            <w:r w:rsidRPr="00872839">
              <w:rPr>
                <w:shd w:val="clear" w:color="auto" w:fill="FFFFFF"/>
                <w:lang w:val="en-GB"/>
              </w:rPr>
              <w:t>Others</w:t>
            </w:r>
          </w:p>
        </w:tc>
        <w:tc>
          <w:tcPr>
            <w:tcW w:w="1446" w:type="dxa"/>
            <w:shd w:val="clear" w:color="auto" w:fill="auto"/>
          </w:tcPr>
          <w:p w14:paraId="4F6B816B" w14:textId="37CBF07E"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Strong appetite for digital processes</w:t>
            </w:r>
          </w:p>
          <w:p w14:paraId="6A50CB8C" w14:textId="25D5DBBB"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Willingness to spend on ancillary services and digital processes (even personally)</w:t>
            </w:r>
          </w:p>
        </w:tc>
        <w:tc>
          <w:tcPr>
            <w:tcW w:w="1507" w:type="dxa"/>
            <w:shd w:val="clear" w:color="auto" w:fill="auto"/>
          </w:tcPr>
          <w:p w14:paraId="389DA65B" w14:textId="185B5320"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Make premium bookings (52%)</w:t>
            </w:r>
          </w:p>
          <w:p w14:paraId="1303CB80" w14:textId="0290C354"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 xml:space="preserve">Not willing to pay personally for premium services </w:t>
            </w:r>
          </w:p>
          <w:p w14:paraId="13A2AA32" w14:textId="06A212AF"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Prefer face-to-face (rather than digital) processes</w:t>
            </w:r>
          </w:p>
          <w:p w14:paraId="6267F895" w14:textId="77777777" w:rsidR="00811D6B" w:rsidRPr="00872839" w:rsidRDefault="00811D6B" w:rsidP="009C675A">
            <w:pPr>
              <w:pStyle w:val="ExhibitText"/>
              <w:jc w:val="left"/>
              <w:rPr>
                <w:shd w:val="clear" w:color="auto" w:fill="FFFFFF"/>
                <w:lang w:val="en-GB"/>
              </w:rPr>
            </w:pPr>
          </w:p>
          <w:p w14:paraId="49B863B7" w14:textId="77777777" w:rsidR="00811D6B" w:rsidRPr="00872839" w:rsidRDefault="00811D6B" w:rsidP="009C675A">
            <w:pPr>
              <w:pStyle w:val="ExhibitText"/>
              <w:jc w:val="left"/>
              <w:rPr>
                <w:shd w:val="clear" w:color="auto" w:fill="FFFFFF"/>
                <w:lang w:val="en-GB"/>
              </w:rPr>
            </w:pPr>
            <w:r w:rsidRPr="00872839">
              <w:rPr>
                <w:shd w:val="clear" w:color="auto" w:fill="FFFFFF"/>
                <w:lang w:val="en-GB"/>
              </w:rPr>
              <w:t xml:space="preserve"> </w:t>
            </w:r>
          </w:p>
        </w:tc>
        <w:tc>
          <w:tcPr>
            <w:tcW w:w="1417" w:type="dxa"/>
            <w:shd w:val="clear" w:color="auto" w:fill="auto"/>
          </w:tcPr>
          <w:p w14:paraId="41D6396C" w14:textId="12B37AA7"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Price less important</w:t>
            </w:r>
          </w:p>
          <w:p w14:paraId="5265CB2F" w14:textId="34D4C543"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Preference for award</w:t>
            </w:r>
            <w:r w:rsidRPr="00872839">
              <w:rPr>
                <w:shd w:val="clear" w:color="auto" w:fill="FFFFFF"/>
                <w:lang w:val="en-GB"/>
              </w:rPr>
              <w:t>-</w:t>
            </w:r>
            <w:r w:rsidR="00811D6B" w:rsidRPr="00872839">
              <w:rPr>
                <w:shd w:val="clear" w:color="auto" w:fill="FFFFFF"/>
                <w:lang w:val="en-GB"/>
              </w:rPr>
              <w:t>winning service</w:t>
            </w:r>
          </w:p>
          <w:p w14:paraId="2630B9F2" w14:textId="47FA9628" w:rsidR="00811D6B" w:rsidRPr="00872839" w:rsidRDefault="0034764D" w:rsidP="009C675A">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Mobile savvy</w:t>
            </w:r>
            <w:r w:rsidR="00404166" w:rsidRPr="00872839">
              <w:rPr>
                <w:shd w:val="clear" w:color="auto" w:fill="FFFFFF"/>
                <w:lang w:val="en-GB"/>
              </w:rPr>
              <w:t xml:space="preserve"> </w:t>
            </w:r>
          </w:p>
          <w:p w14:paraId="365A33A9" w14:textId="77777777" w:rsidR="00811D6B" w:rsidRPr="00872839" w:rsidRDefault="00811D6B" w:rsidP="009C675A">
            <w:pPr>
              <w:pStyle w:val="ExhibitText"/>
              <w:jc w:val="left"/>
              <w:rPr>
                <w:shd w:val="clear" w:color="auto" w:fill="FFFFFF"/>
                <w:lang w:val="en-GB"/>
              </w:rPr>
            </w:pPr>
          </w:p>
          <w:p w14:paraId="3D7C9D75" w14:textId="77777777" w:rsidR="00811D6B" w:rsidRPr="00872839" w:rsidRDefault="00811D6B" w:rsidP="009C675A">
            <w:pPr>
              <w:pStyle w:val="ExhibitText"/>
              <w:jc w:val="left"/>
              <w:rPr>
                <w:shd w:val="clear" w:color="auto" w:fill="FFFFFF"/>
                <w:lang w:val="en-GB"/>
              </w:rPr>
            </w:pPr>
            <w:r w:rsidRPr="00872839">
              <w:rPr>
                <w:shd w:val="clear" w:color="auto" w:fill="FFFFFF"/>
                <w:lang w:val="en-GB"/>
              </w:rPr>
              <w:t xml:space="preserve"> </w:t>
            </w:r>
          </w:p>
        </w:tc>
        <w:tc>
          <w:tcPr>
            <w:tcW w:w="1418" w:type="dxa"/>
            <w:shd w:val="clear" w:color="auto" w:fill="auto"/>
            <w:vAlign w:val="center"/>
          </w:tcPr>
          <w:p w14:paraId="70B15AC8" w14:textId="6C325A9A"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Enthusiastic about business travel (a perk for 76%)</w:t>
            </w:r>
          </w:p>
          <w:p w14:paraId="5EF49D38" w14:textId="11174835"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 xml:space="preserve">Interested in </w:t>
            </w:r>
            <w:r w:rsidR="00667E61">
              <w:rPr>
                <w:shd w:val="clear" w:color="auto" w:fill="FFFFFF"/>
                <w:lang w:val="en-GB"/>
              </w:rPr>
              <w:t>“</w:t>
            </w:r>
            <w:r w:rsidRPr="00872839">
              <w:rPr>
                <w:shd w:val="clear" w:color="auto" w:fill="FFFFFF"/>
                <w:lang w:val="en-GB"/>
              </w:rPr>
              <w:t>b</w:t>
            </w:r>
            <w:r w:rsidR="00811D6B" w:rsidRPr="00872839">
              <w:rPr>
                <w:shd w:val="clear" w:color="auto" w:fill="FFFFFF"/>
                <w:lang w:val="en-GB"/>
              </w:rPr>
              <w:t>leisure</w:t>
            </w:r>
            <w:r w:rsidR="00667E61">
              <w:rPr>
                <w:shd w:val="clear" w:color="auto" w:fill="FFFFFF"/>
                <w:lang w:val="en-GB"/>
              </w:rPr>
              <w:t>”</w:t>
            </w:r>
            <w:r w:rsidR="00811D6B" w:rsidRPr="00872839">
              <w:rPr>
                <w:shd w:val="clear" w:color="auto" w:fill="FFFFFF"/>
                <w:lang w:val="en-GB"/>
              </w:rPr>
              <w:t xml:space="preserve"> </w:t>
            </w:r>
          </w:p>
          <w:p w14:paraId="69406334" w14:textId="0B63C5BD"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 xml:space="preserve">“Being valued” is important </w:t>
            </w:r>
          </w:p>
          <w:p w14:paraId="662AB760" w14:textId="607A9CE3"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Willing to p</w:t>
            </w:r>
            <w:r w:rsidR="00811D6B" w:rsidRPr="00872839">
              <w:rPr>
                <w:shd w:val="clear" w:color="auto" w:fill="FFFFFF"/>
                <w:lang w:val="en-GB"/>
              </w:rPr>
              <w:t xml:space="preserve">ay for luxe services such as spa or in-room massages in hotels </w:t>
            </w:r>
          </w:p>
          <w:p w14:paraId="0FC9D6E3" w14:textId="2713AF53"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Brand important</w:t>
            </w:r>
          </w:p>
        </w:tc>
        <w:tc>
          <w:tcPr>
            <w:tcW w:w="1275" w:type="dxa"/>
            <w:shd w:val="clear" w:color="auto" w:fill="auto"/>
            <w:vAlign w:val="center"/>
          </w:tcPr>
          <w:p w14:paraId="4D45835A" w14:textId="41ED58DA"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Policy</w:t>
            </w:r>
            <w:r w:rsidR="00667E61">
              <w:rPr>
                <w:shd w:val="clear" w:color="auto" w:fill="FFFFFF"/>
                <w:lang w:val="en-GB"/>
              </w:rPr>
              <w:t xml:space="preserve"> </w:t>
            </w:r>
            <w:r w:rsidR="00811D6B" w:rsidRPr="00872839">
              <w:rPr>
                <w:shd w:val="clear" w:color="auto" w:fill="FFFFFF"/>
                <w:lang w:val="en-GB"/>
              </w:rPr>
              <w:t xml:space="preserve">conscious </w:t>
            </w:r>
          </w:p>
          <w:p w14:paraId="7ECCF912" w14:textId="299E2391"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Loyal to local brands</w:t>
            </w:r>
          </w:p>
          <w:p w14:paraId="187C1E87" w14:textId="49767CE2"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Either budget</w:t>
            </w:r>
            <w:r w:rsidR="00667E61">
              <w:rPr>
                <w:shd w:val="clear" w:color="auto" w:fill="FFFFFF"/>
                <w:lang w:val="en-GB"/>
              </w:rPr>
              <w:t xml:space="preserve"> </w:t>
            </w:r>
            <w:r w:rsidR="00811D6B" w:rsidRPr="00872839">
              <w:rPr>
                <w:shd w:val="clear" w:color="auto" w:fill="FFFFFF"/>
                <w:lang w:val="en-GB"/>
              </w:rPr>
              <w:t xml:space="preserve">conscious or collecting loyalty points </w:t>
            </w:r>
          </w:p>
          <w:p w14:paraId="6CABE59A" w14:textId="46DBAB01"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 xml:space="preserve">Unwilling to pay for additional services </w:t>
            </w:r>
          </w:p>
          <w:p w14:paraId="19942681" w14:textId="743C14B6" w:rsidR="00811D6B" w:rsidRPr="00872839" w:rsidRDefault="0034764D" w:rsidP="004646C2">
            <w:pPr>
              <w:pStyle w:val="ExhibitText"/>
              <w:jc w:val="left"/>
              <w:rPr>
                <w:shd w:val="clear" w:color="auto" w:fill="FFFFFF"/>
                <w:lang w:val="en-GB"/>
              </w:rPr>
            </w:pPr>
            <w:r w:rsidRPr="00872839">
              <w:rPr>
                <w:rFonts w:ascii="Wingdings" w:hAnsi="Wingdings"/>
                <w:shd w:val="clear" w:color="auto" w:fill="FFFFFF"/>
                <w:lang w:val="en-GB"/>
              </w:rPr>
              <w:t></w:t>
            </w:r>
            <w:r w:rsidRPr="00872839">
              <w:rPr>
                <w:shd w:val="clear" w:color="auto" w:fill="FFFFFF"/>
                <w:lang w:val="en-GB"/>
              </w:rPr>
              <w:t xml:space="preserve"> </w:t>
            </w:r>
            <w:r w:rsidR="00811D6B" w:rsidRPr="00872839">
              <w:rPr>
                <w:shd w:val="clear" w:color="auto" w:fill="FFFFFF"/>
                <w:lang w:val="en-GB"/>
              </w:rPr>
              <w:t>Value for money important</w:t>
            </w:r>
          </w:p>
          <w:p w14:paraId="6395E985" w14:textId="77777777" w:rsidR="00811D6B" w:rsidRPr="00872839" w:rsidRDefault="00811D6B" w:rsidP="004646C2">
            <w:pPr>
              <w:pStyle w:val="ExhibitText"/>
              <w:jc w:val="left"/>
              <w:rPr>
                <w:shd w:val="clear" w:color="auto" w:fill="FFFFFF"/>
                <w:lang w:val="en-GB"/>
              </w:rPr>
            </w:pPr>
          </w:p>
          <w:p w14:paraId="092C782C" w14:textId="77777777" w:rsidR="00811D6B" w:rsidRPr="00872839" w:rsidRDefault="00811D6B" w:rsidP="004646C2">
            <w:pPr>
              <w:pStyle w:val="ExhibitText"/>
              <w:jc w:val="left"/>
              <w:rPr>
                <w:shd w:val="clear" w:color="auto" w:fill="FFFFFF"/>
                <w:lang w:val="en-GB"/>
              </w:rPr>
            </w:pPr>
          </w:p>
        </w:tc>
      </w:tr>
    </w:tbl>
    <w:p w14:paraId="65E8DD71" w14:textId="77777777" w:rsidR="00AC013A" w:rsidRPr="00872839" w:rsidRDefault="00AC013A" w:rsidP="00AC013A">
      <w:pPr>
        <w:pStyle w:val="Footnote"/>
        <w:rPr>
          <w:lang w:val="en-GB"/>
        </w:rPr>
      </w:pPr>
    </w:p>
    <w:p w14:paraId="0B9E21B0" w14:textId="54DD6C84" w:rsidR="00E50CA8" w:rsidRPr="00872839" w:rsidRDefault="003C4170" w:rsidP="00AC013A">
      <w:pPr>
        <w:pStyle w:val="Footnote"/>
        <w:rPr>
          <w:lang w:val="en-GB"/>
        </w:rPr>
      </w:pPr>
      <w:r w:rsidRPr="00872839">
        <w:rPr>
          <w:lang w:val="en-GB"/>
        </w:rPr>
        <w:t>Note</w:t>
      </w:r>
      <w:r w:rsidR="00667E61">
        <w:rPr>
          <w:lang w:val="en-GB"/>
        </w:rPr>
        <w:t>s</w:t>
      </w:r>
      <w:r w:rsidRPr="00872839">
        <w:rPr>
          <w:lang w:val="en-GB"/>
        </w:rPr>
        <w:t xml:space="preserve">: In terms of the top three criteria for hotel selection, the overall three priorities were “Location near work,” then “Facilities that allow me to work effectively,” then “Value for </w:t>
      </w:r>
      <w:r w:rsidR="00667E61">
        <w:rPr>
          <w:lang w:val="en-GB"/>
        </w:rPr>
        <w:t>m</w:t>
      </w:r>
      <w:r w:rsidRPr="00872839">
        <w:rPr>
          <w:lang w:val="en-GB"/>
        </w:rPr>
        <w:t xml:space="preserve">oney.” </w:t>
      </w:r>
      <w:r w:rsidR="009939D2" w:rsidRPr="00872839">
        <w:rPr>
          <w:lang w:val="en-GB"/>
        </w:rPr>
        <w:t xml:space="preserve">In Singapore, two priorities tied for first priority. </w:t>
      </w:r>
      <w:r w:rsidRPr="00872839">
        <w:rPr>
          <w:lang w:val="en-GB"/>
        </w:rPr>
        <w:t>In terms of percentage of business trips including a weekend, the overall percentage was 12</w:t>
      </w:r>
      <w:r w:rsidR="00667E61">
        <w:rPr>
          <w:lang w:val="en-GB"/>
        </w:rPr>
        <w:t>%</w:t>
      </w:r>
      <w:r w:rsidRPr="00872839">
        <w:rPr>
          <w:lang w:val="en-GB"/>
        </w:rPr>
        <w:t>, versus 6.5</w:t>
      </w:r>
      <w:r w:rsidR="00667E61">
        <w:rPr>
          <w:lang w:val="en-GB"/>
        </w:rPr>
        <w:t>%</w:t>
      </w:r>
      <w:r w:rsidRPr="00872839">
        <w:rPr>
          <w:lang w:val="en-GB"/>
        </w:rPr>
        <w:t>for Europe and 12.2</w:t>
      </w:r>
      <w:r w:rsidR="00667E61">
        <w:rPr>
          <w:lang w:val="en-GB"/>
        </w:rPr>
        <w:t xml:space="preserve">% </w:t>
      </w:r>
      <w:r w:rsidRPr="00872839">
        <w:rPr>
          <w:lang w:val="en-GB"/>
        </w:rPr>
        <w:t>for North America</w:t>
      </w:r>
      <w:r w:rsidR="00E60FDB" w:rsidRPr="00872839">
        <w:rPr>
          <w:lang w:val="en-GB"/>
        </w:rPr>
        <w:t xml:space="preserve">; </w:t>
      </w:r>
      <w:r w:rsidR="00667E61">
        <w:rPr>
          <w:lang w:val="en-GB"/>
        </w:rPr>
        <w:t>“b</w:t>
      </w:r>
      <w:r w:rsidR="00E60FDB" w:rsidRPr="00872839">
        <w:rPr>
          <w:lang w:val="en-GB"/>
        </w:rPr>
        <w:t>leisure</w:t>
      </w:r>
      <w:r w:rsidR="00667E61">
        <w:rPr>
          <w:lang w:val="en-GB"/>
        </w:rPr>
        <w:t>”</w:t>
      </w:r>
      <w:r w:rsidR="00E60FDB" w:rsidRPr="00872839">
        <w:rPr>
          <w:lang w:val="en-GB"/>
        </w:rPr>
        <w:t xml:space="preserve"> refers to the mix of business travel with leisure travel</w:t>
      </w:r>
      <w:r w:rsidRPr="00872839">
        <w:rPr>
          <w:lang w:val="en-GB"/>
        </w:rPr>
        <w:t>.</w:t>
      </w:r>
      <w:r w:rsidR="00667E61">
        <w:rPr>
          <w:lang w:val="en-GB"/>
        </w:rPr>
        <w:t xml:space="preserve"> </w:t>
      </w:r>
      <w:r w:rsidR="00E50CA8" w:rsidRPr="00872839">
        <w:rPr>
          <w:lang w:val="en-GB"/>
        </w:rPr>
        <w:t xml:space="preserve">The percentage of business trips including a weekend varied across the </w:t>
      </w:r>
      <w:r w:rsidR="00D54D95" w:rsidRPr="00872839">
        <w:rPr>
          <w:lang w:val="en-GB"/>
        </w:rPr>
        <w:t xml:space="preserve">five </w:t>
      </w:r>
      <w:r w:rsidR="00E50CA8" w:rsidRPr="00872839">
        <w:rPr>
          <w:lang w:val="en-GB"/>
        </w:rPr>
        <w:t>countries: India (17%), Singapore (7%), China (19%), Indonesia (14%)</w:t>
      </w:r>
      <w:r w:rsidR="00667E61">
        <w:rPr>
          <w:lang w:val="en-GB"/>
        </w:rPr>
        <w:t>,</w:t>
      </w:r>
      <w:r w:rsidR="00E50CA8" w:rsidRPr="00872839">
        <w:rPr>
          <w:lang w:val="en-GB"/>
        </w:rPr>
        <w:t xml:space="preserve"> and Japan (12%).</w:t>
      </w:r>
      <w:r w:rsidR="00667E61">
        <w:rPr>
          <w:lang w:val="en-GB"/>
        </w:rPr>
        <w:t xml:space="preserve"> Similarly, t</w:t>
      </w:r>
      <w:r w:rsidR="00E50CA8" w:rsidRPr="00872839">
        <w:rPr>
          <w:lang w:val="en-GB"/>
        </w:rPr>
        <w:t>he percentage of business travellers who did not always strict to the company policy, varied across the five countries: India (41%), Singapore (32%), China (33%), Indonesia (35%)</w:t>
      </w:r>
      <w:r w:rsidR="00667E61">
        <w:rPr>
          <w:lang w:val="en-GB"/>
        </w:rPr>
        <w:t>,</w:t>
      </w:r>
      <w:r w:rsidR="00E50CA8" w:rsidRPr="00872839">
        <w:rPr>
          <w:lang w:val="en-GB"/>
        </w:rPr>
        <w:t xml:space="preserve"> and Japan (32%).</w:t>
      </w:r>
    </w:p>
    <w:p w14:paraId="0760BCBA" w14:textId="3D69AD81" w:rsidR="00131543" w:rsidRPr="00872839" w:rsidRDefault="00736177" w:rsidP="00AC013A">
      <w:pPr>
        <w:pStyle w:val="Footnote"/>
        <w:rPr>
          <w:i/>
          <w:iCs/>
          <w:lang w:val="en-GB"/>
        </w:rPr>
      </w:pPr>
      <w:r w:rsidRPr="00872839">
        <w:rPr>
          <w:lang w:val="en-GB"/>
        </w:rPr>
        <w:t xml:space="preserve">Source: </w:t>
      </w:r>
      <w:r w:rsidR="0034764D" w:rsidRPr="00872839">
        <w:rPr>
          <w:lang w:val="en-GB"/>
        </w:rPr>
        <w:t xml:space="preserve">Singapore Tourism Board, </w:t>
      </w:r>
      <w:r w:rsidRPr="00872839">
        <w:rPr>
          <w:i/>
          <w:lang w:val="en-GB"/>
        </w:rPr>
        <w:t>Asian Business Travellers</w:t>
      </w:r>
      <w:r w:rsidR="00F62E72" w:rsidRPr="00872839">
        <w:rPr>
          <w:i/>
          <w:lang w:val="en-GB"/>
        </w:rPr>
        <w:t>:</w:t>
      </w:r>
      <w:r w:rsidRPr="00872839">
        <w:rPr>
          <w:i/>
          <w:lang w:val="en-GB"/>
        </w:rPr>
        <w:t xml:space="preserve"> Five </w:t>
      </w:r>
      <w:r w:rsidR="0034764D" w:rsidRPr="00872839">
        <w:rPr>
          <w:i/>
          <w:lang w:val="en-GB"/>
        </w:rPr>
        <w:t>T</w:t>
      </w:r>
      <w:r w:rsidRPr="00872839">
        <w:rPr>
          <w:i/>
          <w:lang w:val="en-GB"/>
        </w:rPr>
        <w:t xml:space="preserve">hings </w:t>
      </w:r>
      <w:r w:rsidR="0034764D" w:rsidRPr="00872839">
        <w:rPr>
          <w:i/>
          <w:lang w:val="en-GB"/>
        </w:rPr>
        <w:t>Y</w:t>
      </w:r>
      <w:r w:rsidRPr="00872839">
        <w:rPr>
          <w:i/>
          <w:lang w:val="en-GB"/>
        </w:rPr>
        <w:t xml:space="preserve">ou </w:t>
      </w:r>
      <w:r w:rsidR="0034764D" w:rsidRPr="00872839">
        <w:rPr>
          <w:i/>
          <w:lang w:val="en-GB"/>
        </w:rPr>
        <w:t>N</w:t>
      </w:r>
      <w:r w:rsidRPr="00872839">
        <w:rPr>
          <w:i/>
          <w:lang w:val="en-GB"/>
        </w:rPr>
        <w:t xml:space="preserve">eed to </w:t>
      </w:r>
      <w:r w:rsidR="0034764D" w:rsidRPr="00872839">
        <w:rPr>
          <w:i/>
          <w:lang w:val="en-GB"/>
        </w:rPr>
        <w:t>K</w:t>
      </w:r>
      <w:r w:rsidRPr="00872839">
        <w:rPr>
          <w:i/>
          <w:lang w:val="en-GB"/>
        </w:rPr>
        <w:t>now</w:t>
      </w:r>
      <w:r w:rsidRPr="00872839">
        <w:rPr>
          <w:lang w:val="en-GB"/>
        </w:rPr>
        <w:t xml:space="preserve">, </w:t>
      </w:r>
      <w:r w:rsidR="00BA3A21" w:rsidRPr="00872839">
        <w:rPr>
          <w:lang w:val="en-GB"/>
        </w:rPr>
        <w:t>9, 12, 13,</w:t>
      </w:r>
      <w:r w:rsidR="009A2986" w:rsidRPr="00872839">
        <w:rPr>
          <w:lang w:val="en-GB"/>
        </w:rPr>
        <w:t xml:space="preserve"> 16, 17</w:t>
      </w:r>
      <w:r w:rsidR="00667E61">
        <w:rPr>
          <w:lang w:val="en-GB"/>
        </w:rPr>
        <w:t>,</w:t>
      </w:r>
      <w:r w:rsidR="009A2986" w:rsidRPr="00872839">
        <w:rPr>
          <w:lang w:val="en-GB"/>
        </w:rPr>
        <w:t xml:space="preserve"> and 18,</w:t>
      </w:r>
      <w:r w:rsidR="00BA3A21" w:rsidRPr="00872839">
        <w:rPr>
          <w:lang w:val="en-GB"/>
        </w:rPr>
        <w:t xml:space="preserve"> </w:t>
      </w:r>
      <w:r w:rsidR="0034764D" w:rsidRPr="00872839">
        <w:rPr>
          <w:lang w:val="en-GB"/>
        </w:rPr>
        <w:t>r</w:t>
      </w:r>
      <w:r w:rsidRPr="00872839">
        <w:rPr>
          <w:lang w:val="en-GB"/>
        </w:rPr>
        <w:t>eport commissioned by the Singapore Tourism Board</w:t>
      </w:r>
      <w:r w:rsidR="0034764D" w:rsidRPr="00872839">
        <w:rPr>
          <w:lang w:val="en-GB"/>
        </w:rPr>
        <w:t>,</w:t>
      </w:r>
      <w:r w:rsidRPr="00872839">
        <w:rPr>
          <w:lang w:val="en-GB"/>
        </w:rPr>
        <w:t xml:space="preserve"> 2015, </w:t>
      </w:r>
      <w:r w:rsidR="0034764D" w:rsidRPr="00872839">
        <w:rPr>
          <w:lang w:val="en-GB"/>
        </w:rPr>
        <w:t xml:space="preserve">accessed </w:t>
      </w:r>
      <w:r w:rsidR="00E50CA8" w:rsidRPr="00872839">
        <w:rPr>
          <w:lang w:val="en-GB"/>
        </w:rPr>
        <w:t>August 14</w:t>
      </w:r>
      <w:r w:rsidR="0034764D" w:rsidRPr="00872839">
        <w:rPr>
          <w:lang w:val="en-GB"/>
        </w:rPr>
        <w:t>,</w:t>
      </w:r>
      <w:r w:rsidR="00E50CA8" w:rsidRPr="00872839">
        <w:rPr>
          <w:lang w:val="en-GB"/>
        </w:rPr>
        <w:t xml:space="preserve"> 2017</w:t>
      </w:r>
      <w:r w:rsidR="00667E61">
        <w:rPr>
          <w:lang w:val="en-GB"/>
        </w:rPr>
        <w:t>,</w:t>
      </w:r>
      <w:r w:rsidR="0034764D" w:rsidRPr="00872839">
        <w:rPr>
          <w:lang w:val="en-GB"/>
        </w:rPr>
        <w:t xml:space="preserve"> </w:t>
      </w:r>
      <w:r w:rsidRPr="00872839">
        <w:rPr>
          <w:lang w:val="en-GB"/>
        </w:rPr>
        <w:t>http://capturingconversations.economist.com/stb-singapore-asian-business-travellers/</w:t>
      </w:r>
      <w:r w:rsidR="0034764D" w:rsidRPr="00872839">
        <w:rPr>
          <w:lang w:val="en-GB"/>
        </w:rPr>
        <w:t>.</w:t>
      </w:r>
      <w:r w:rsidR="00131543" w:rsidRPr="00872839">
        <w:rPr>
          <w:lang w:val="en-GB"/>
        </w:rPr>
        <w:br w:type="page"/>
      </w:r>
    </w:p>
    <w:p w14:paraId="57DE9310" w14:textId="728CE018" w:rsidR="007F1F54" w:rsidRPr="00872839" w:rsidRDefault="00131543" w:rsidP="007449DD">
      <w:pPr>
        <w:pStyle w:val="Casehead1"/>
        <w:jc w:val="center"/>
        <w:outlineLvl w:val="0"/>
        <w:rPr>
          <w:lang w:val="en-GB"/>
        </w:rPr>
      </w:pPr>
      <w:r w:rsidRPr="00872839">
        <w:rPr>
          <w:lang w:val="en-GB"/>
        </w:rPr>
        <w:lastRenderedPageBreak/>
        <w:t>E</w:t>
      </w:r>
      <w:r w:rsidR="007F1F54" w:rsidRPr="00872839">
        <w:rPr>
          <w:lang w:val="en-GB"/>
        </w:rPr>
        <w:t>xhibit 4</w:t>
      </w:r>
      <w:r w:rsidR="007310FB" w:rsidRPr="00872839">
        <w:rPr>
          <w:lang w:val="en-GB"/>
        </w:rPr>
        <w:t xml:space="preserve">: </w:t>
      </w:r>
      <w:r w:rsidR="009A2986" w:rsidRPr="00872839">
        <w:rPr>
          <w:lang w:val="en-GB"/>
        </w:rPr>
        <w:t>asian business traveller archetypes</w:t>
      </w:r>
    </w:p>
    <w:p w14:paraId="7668FBD7" w14:textId="77777777" w:rsidR="005D682B" w:rsidRPr="00872839" w:rsidRDefault="005D682B" w:rsidP="005D682B">
      <w:pPr>
        <w:pStyle w:val="BodyTextMain"/>
        <w:rPr>
          <w:sz w:val="14"/>
          <w:lang w:val="en-GB"/>
        </w:rPr>
      </w:pPr>
    </w:p>
    <w:tbl>
      <w:tblPr>
        <w:tblStyle w:val="TableGrid"/>
        <w:tblW w:w="9269" w:type="dxa"/>
        <w:jc w:val="center"/>
        <w:tblLayout w:type="fixed"/>
        <w:tblCellMar>
          <w:left w:w="28" w:type="dxa"/>
          <w:right w:w="28" w:type="dxa"/>
        </w:tblCellMar>
        <w:tblLook w:val="04A0" w:firstRow="1" w:lastRow="0" w:firstColumn="1" w:lastColumn="0" w:noHBand="0" w:noVBand="1"/>
      </w:tblPr>
      <w:tblGrid>
        <w:gridCol w:w="1276"/>
        <w:gridCol w:w="709"/>
        <w:gridCol w:w="2551"/>
        <w:gridCol w:w="1076"/>
        <w:gridCol w:w="822"/>
        <w:gridCol w:w="850"/>
        <w:gridCol w:w="1134"/>
        <w:gridCol w:w="851"/>
      </w:tblGrid>
      <w:tr w:rsidR="00F62E72" w:rsidRPr="00872839" w14:paraId="07434409" w14:textId="77777777" w:rsidTr="001C2549">
        <w:trPr>
          <w:jc w:val="center"/>
        </w:trPr>
        <w:tc>
          <w:tcPr>
            <w:tcW w:w="1276" w:type="dxa"/>
          </w:tcPr>
          <w:p w14:paraId="7F9F2878" w14:textId="77777777" w:rsidR="00BC3B64" w:rsidRPr="00872839" w:rsidRDefault="00BC3B64" w:rsidP="004646C2">
            <w:pPr>
              <w:pStyle w:val="ExhibitText"/>
              <w:jc w:val="center"/>
              <w:rPr>
                <w:lang w:val="en-GB"/>
              </w:rPr>
            </w:pPr>
            <w:r w:rsidRPr="00872839">
              <w:rPr>
                <w:lang w:val="en-GB"/>
              </w:rPr>
              <w:t>Archetype</w:t>
            </w:r>
          </w:p>
        </w:tc>
        <w:tc>
          <w:tcPr>
            <w:tcW w:w="709" w:type="dxa"/>
          </w:tcPr>
          <w:p w14:paraId="17E07D81" w14:textId="77777777" w:rsidR="00BC3B64" w:rsidRPr="00872839" w:rsidRDefault="00BC3B64" w:rsidP="004646C2">
            <w:pPr>
              <w:pStyle w:val="ExhibitText"/>
              <w:jc w:val="center"/>
              <w:rPr>
                <w:lang w:val="en-GB"/>
              </w:rPr>
            </w:pPr>
            <w:r w:rsidRPr="00872839">
              <w:rPr>
                <w:lang w:val="en-GB"/>
              </w:rPr>
              <w:t>% of total</w:t>
            </w:r>
          </w:p>
        </w:tc>
        <w:tc>
          <w:tcPr>
            <w:tcW w:w="2551" w:type="dxa"/>
          </w:tcPr>
          <w:p w14:paraId="1A3B85B9" w14:textId="339B6675" w:rsidR="00BC3B64" w:rsidRPr="00872839" w:rsidRDefault="00451E25" w:rsidP="004646C2">
            <w:pPr>
              <w:pStyle w:val="ExhibitText"/>
              <w:jc w:val="center"/>
              <w:rPr>
                <w:lang w:val="en-GB"/>
              </w:rPr>
            </w:pPr>
            <w:r w:rsidRPr="00872839">
              <w:rPr>
                <w:lang w:val="en-GB"/>
              </w:rPr>
              <w:t>Characteristics</w:t>
            </w:r>
          </w:p>
        </w:tc>
        <w:tc>
          <w:tcPr>
            <w:tcW w:w="1076" w:type="dxa"/>
          </w:tcPr>
          <w:p w14:paraId="46890536" w14:textId="77777777" w:rsidR="00BC3B64" w:rsidRPr="00872839" w:rsidRDefault="00BC3B64" w:rsidP="004646C2">
            <w:pPr>
              <w:pStyle w:val="ExhibitText"/>
              <w:jc w:val="center"/>
              <w:rPr>
                <w:lang w:val="en-GB"/>
              </w:rPr>
            </w:pPr>
            <w:r w:rsidRPr="00872839">
              <w:rPr>
                <w:lang w:val="en-GB"/>
              </w:rPr>
              <w:t>Singapore</w:t>
            </w:r>
          </w:p>
          <w:p w14:paraId="7885C519" w14:textId="0D83CBBF" w:rsidR="00BA3A21" w:rsidRPr="00872839" w:rsidRDefault="00BA3A21" w:rsidP="004646C2">
            <w:pPr>
              <w:pStyle w:val="ExhibitText"/>
              <w:jc w:val="center"/>
              <w:rPr>
                <w:lang w:val="en-GB"/>
              </w:rPr>
            </w:pPr>
            <w:r w:rsidRPr="00872839">
              <w:rPr>
                <w:lang w:val="en-GB"/>
              </w:rPr>
              <w:t>(%)</w:t>
            </w:r>
          </w:p>
        </w:tc>
        <w:tc>
          <w:tcPr>
            <w:tcW w:w="822" w:type="dxa"/>
          </w:tcPr>
          <w:p w14:paraId="472BA870" w14:textId="77777777" w:rsidR="00BC3B64" w:rsidRPr="00872839" w:rsidRDefault="00BC3B64" w:rsidP="004646C2">
            <w:pPr>
              <w:pStyle w:val="ExhibitText"/>
              <w:jc w:val="center"/>
              <w:rPr>
                <w:lang w:val="en-GB"/>
              </w:rPr>
            </w:pPr>
            <w:r w:rsidRPr="00872839">
              <w:rPr>
                <w:lang w:val="en-GB"/>
              </w:rPr>
              <w:t>India</w:t>
            </w:r>
          </w:p>
          <w:p w14:paraId="3EE74771" w14:textId="7C3FBFBA" w:rsidR="00BA3A21" w:rsidRPr="00872839" w:rsidRDefault="00BA3A21" w:rsidP="004646C2">
            <w:pPr>
              <w:pStyle w:val="ExhibitText"/>
              <w:jc w:val="center"/>
              <w:rPr>
                <w:lang w:val="en-GB"/>
              </w:rPr>
            </w:pPr>
            <w:r w:rsidRPr="00872839">
              <w:rPr>
                <w:lang w:val="en-GB"/>
              </w:rPr>
              <w:t>(%)</w:t>
            </w:r>
          </w:p>
        </w:tc>
        <w:tc>
          <w:tcPr>
            <w:tcW w:w="850" w:type="dxa"/>
          </w:tcPr>
          <w:p w14:paraId="7B60019F" w14:textId="77777777" w:rsidR="00BC3B64" w:rsidRPr="00872839" w:rsidRDefault="00BC3B64" w:rsidP="004646C2">
            <w:pPr>
              <w:pStyle w:val="ExhibitText"/>
              <w:jc w:val="center"/>
              <w:rPr>
                <w:lang w:val="en-GB"/>
              </w:rPr>
            </w:pPr>
            <w:r w:rsidRPr="00872839">
              <w:rPr>
                <w:lang w:val="en-GB"/>
              </w:rPr>
              <w:t>China</w:t>
            </w:r>
          </w:p>
          <w:p w14:paraId="49ACA187" w14:textId="27840AD2" w:rsidR="00BA3A21" w:rsidRPr="00872839" w:rsidRDefault="00BA3A21" w:rsidP="004646C2">
            <w:pPr>
              <w:pStyle w:val="ExhibitText"/>
              <w:jc w:val="center"/>
              <w:rPr>
                <w:lang w:val="en-GB"/>
              </w:rPr>
            </w:pPr>
            <w:r w:rsidRPr="00872839">
              <w:rPr>
                <w:lang w:val="en-GB"/>
              </w:rPr>
              <w:t>(%)</w:t>
            </w:r>
          </w:p>
        </w:tc>
        <w:tc>
          <w:tcPr>
            <w:tcW w:w="1134" w:type="dxa"/>
          </w:tcPr>
          <w:p w14:paraId="38231C59" w14:textId="77777777" w:rsidR="00BC3B64" w:rsidRPr="00872839" w:rsidRDefault="00BC3B64" w:rsidP="004646C2">
            <w:pPr>
              <w:pStyle w:val="ExhibitText"/>
              <w:jc w:val="center"/>
              <w:rPr>
                <w:lang w:val="en-GB"/>
              </w:rPr>
            </w:pPr>
            <w:r w:rsidRPr="00872839">
              <w:rPr>
                <w:lang w:val="en-GB"/>
              </w:rPr>
              <w:t>Indonesia</w:t>
            </w:r>
          </w:p>
          <w:p w14:paraId="7EBD8BF6" w14:textId="010A455A" w:rsidR="00BA3A21" w:rsidRPr="00872839" w:rsidRDefault="00BA3A21" w:rsidP="004646C2">
            <w:pPr>
              <w:pStyle w:val="ExhibitText"/>
              <w:jc w:val="center"/>
              <w:rPr>
                <w:lang w:val="en-GB"/>
              </w:rPr>
            </w:pPr>
            <w:r w:rsidRPr="00872839">
              <w:rPr>
                <w:lang w:val="en-GB"/>
              </w:rPr>
              <w:t>(%)</w:t>
            </w:r>
          </w:p>
        </w:tc>
        <w:tc>
          <w:tcPr>
            <w:tcW w:w="851" w:type="dxa"/>
          </w:tcPr>
          <w:p w14:paraId="3A023503" w14:textId="77777777" w:rsidR="00BC3B64" w:rsidRPr="00872839" w:rsidRDefault="00BC3B64" w:rsidP="004646C2">
            <w:pPr>
              <w:pStyle w:val="ExhibitText"/>
              <w:jc w:val="center"/>
              <w:rPr>
                <w:lang w:val="en-GB"/>
              </w:rPr>
            </w:pPr>
            <w:r w:rsidRPr="00872839">
              <w:rPr>
                <w:lang w:val="en-GB"/>
              </w:rPr>
              <w:t>Japan</w:t>
            </w:r>
          </w:p>
          <w:p w14:paraId="48AF46FD" w14:textId="39085787" w:rsidR="00BA3A21" w:rsidRPr="00872839" w:rsidRDefault="00BA3A21" w:rsidP="004646C2">
            <w:pPr>
              <w:pStyle w:val="ExhibitText"/>
              <w:jc w:val="center"/>
              <w:rPr>
                <w:lang w:val="en-GB"/>
              </w:rPr>
            </w:pPr>
            <w:r w:rsidRPr="00872839">
              <w:rPr>
                <w:lang w:val="en-GB"/>
              </w:rPr>
              <w:t>(%)</w:t>
            </w:r>
          </w:p>
        </w:tc>
      </w:tr>
      <w:tr w:rsidR="00F62E72" w:rsidRPr="00872839" w14:paraId="3E3E8576" w14:textId="77777777" w:rsidTr="001C2549">
        <w:trPr>
          <w:jc w:val="center"/>
        </w:trPr>
        <w:tc>
          <w:tcPr>
            <w:tcW w:w="1276" w:type="dxa"/>
          </w:tcPr>
          <w:p w14:paraId="3A95C4DE" w14:textId="77777777" w:rsidR="00BC3B64" w:rsidRPr="00872839" w:rsidRDefault="00BC3B64" w:rsidP="00AC013A">
            <w:pPr>
              <w:pStyle w:val="ExhibitText"/>
              <w:rPr>
                <w:lang w:val="en-GB"/>
              </w:rPr>
            </w:pPr>
            <w:r w:rsidRPr="00872839">
              <w:rPr>
                <w:lang w:val="en-GB"/>
              </w:rPr>
              <w:t>Stereotypical suit</w:t>
            </w:r>
          </w:p>
        </w:tc>
        <w:tc>
          <w:tcPr>
            <w:tcW w:w="709" w:type="dxa"/>
          </w:tcPr>
          <w:p w14:paraId="1EAE49F3" w14:textId="77777777" w:rsidR="00BC3B64" w:rsidRPr="00872839" w:rsidRDefault="00BC3B64" w:rsidP="00AC013A">
            <w:pPr>
              <w:pStyle w:val="ExhibitText"/>
              <w:rPr>
                <w:lang w:val="en-GB"/>
              </w:rPr>
            </w:pPr>
            <w:r w:rsidRPr="00872839">
              <w:rPr>
                <w:lang w:val="en-GB"/>
              </w:rPr>
              <w:t>32</w:t>
            </w:r>
          </w:p>
        </w:tc>
        <w:tc>
          <w:tcPr>
            <w:tcW w:w="2551" w:type="dxa"/>
          </w:tcPr>
          <w:p w14:paraId="1F57A5D4" w14:textId="2EDBD46C" w:rsidR="00BC3B64" w:rsidRPr="009C675A" w:rsidRDefault="00BC3B64" w:rsidP="009C675A">
            <w:pPr>
              <w:pStyle w:val="ExhibitText"/>
              <w:numPr>
                <w:ilvl w:val="0"/>
                <w:numId w:val="28"/>
              </w:numPr>
              <w:jc w:val="left"/>
            </w:pPr>
            <w:r w:rsidRPr="009C675A">
              <w:t xml:space="preserve">Prizes convenience </w:t>
            </w:r>
          </w:p>
          <w:p w14:paraId="0081727D" w14:textId="0388A0AD" w:rsidR="00BC3B64" w:rsidRPr="009C675A" w:rsidRDefault="00BC3B64" w:rsidP="009C675A">
            <w:pPr>
              <w:pStyle w:val="ExhibitText"/>
              <w:numPr>
                <w:ilvl w:val="0"/>
                <w:numId w:val="28"/>
              </w:numPr>
              <w:jc w:val="left"/>
            </w:pPr>
            <w:r w:rsidRPr="009C675A">
              <w:t>61% over the age of 35</w:t>
            </w:r>
          </w:p>
          <w:p w14:paraId="0111C8EE" w14:textId="392FD759" w:rsidR="00BC3B64" w:rsidRPr="009C675A" w:rsidRDefault="00BC3B64" w:rsidP="009C675A">
            <w:pPr>
              <w:pStyle w:val="ExhibitText"/>
              <w:numPr>
                <w:ilvl w:val="0"/>
                <w:numId w:val="28"/>
              </w:numPr>
              <w:jc w:val="left"/>
            </w:pPr>
            <w:r w:rsidRPr="009C675A">
              <w:t>Key preferences: direct flights, convenient arrival/ departure times, convenient hotel location</w:t>
            </w:r>
          </w:p>
        </w:tc>
        <w:tc>
          <w:tcPr>
            <w:tcW w:w="1076" w:type="dxa"/>
          </w:tcPr>
          <w:p w14:paraId="225609B0" w14:textId="77777777" w:rsidR="00BC3B64" w:rsidRPr="00872839" w:rsidRDefault="00BC3B64" w:rsidP="004646C2">
            <w:pPr>
              <w:pStyle w:val="ExhibitText"/>
              <w:jc w:val="center"/>
              <w:rPr>
                <w:lang w:val="en-GB"/>
              </w:rPr>
            </w:pPr>
            <w:r w:rsidRPr="00872839">
              <w:rPr>
                <w:lang w:val="en-GB"/>
              </w:rPr>
              <w:t>34</w:t>
            </w:r>
          </w:p>
        </w:tc>
        <w:tc>
          <w:tcPr>
            <w:tcW w:w="822" w:type="dxa"/>
          </w:tcPr>
          <w:p w14:paraId="59BE5EE4" w14:textId="77777777" w:rsidR="00BC3B64" w:rsidRPr="00872839" w:rsidRDefault="00BC3B64" w:rsidP="004646C2">
            <w:pPr>
              <w:pStyle w:val="ExhibitText"/>
              <w:jc w:val="center"/>
              <w:rPr>
                <w:lang w:val="en-GB"/>
              </w:rPr>
            </w:pPr>
            <w:r w:rsidRPr="00872839">
              <w:rPr>
                <w:lang w:val="en-GB"/>
              </w:rPr>
              <w:t>38</w:t>
            </w:r>
          </w:p>
        </w:tc>
        <w:tc>
          <w:tcPr>
            <w:tcW w:w="850" w:type="dxa"/>
          </w:tcPr>
          <w:p w14:paraId="774B39FD" w14:textId="77777777" w:rsidR="00BC3B64" w:rsidRPr="00872839" w:rsidRDefault="00BC3B64" w:rsidP="004646C2">
            <w:pPr>
              <w:pStyle w:val="ExhibitText"/>
              <w:jc w:val="center"/>
              <w:rPr>
                <w:lang w:val="en-GB"/>
              </w:rPr>
            </w:pPr>
            <w:r w:rsidRPr="00872839">
              <w:rPr>
                <w:lang w:val="en-GB"/>
              </w:rPr>
              <w:t>32</w:t>
            </w:r>
          </w:p>
        </w:tc>
        <w:tc>
          <w:tcPr>
            <w:tcW w:w="1134" w:type="dxa"/>
          </w:tcPr>
          <w:p w14:paraId="1BFC8950" w14:textId="77777777" w:rsidR="00BC3B64" w:rsidRPr="00872839" w:rsidRDefault="00BC3B64" w:rsidP="004646C2">
            <w:pPr>
              <w:pStyle w:val="ExhibitText"/>
              <w:tabs>
                <w:tab w:val="decimal" w:pos="317"/>
              </w:tabs>
              <w:jc w:val="center"/>
              <w:rPr>
                <w:lang w:val="en-GB"/>
              </w:rPr>
            </w:pPr>
            <w:r w:rsidRPr="00872839">
              <w:rPr>
                <w:lang w:val="en-GB"/>
              </w:rPr>
              <w:t>29</w:t>
            </w:r>
          </w:p>
        </w:tc>
        <w:tc>
          <w:tcPr>
            <w:tcW w:w="851" w:type="dxa"/>
          </w:tcPr>
          <w:p w14:paraId="422C72D7" w14:textId="77777777" w:rsidR="00BC3B64" w:rsidRPr="00872839" w:rsidRDefault="00BC3B64" w:rsidP="004646C2">
            <w:pPr>
              <w:pStyle w:val="ExhibitText"/>
              <w:jc w:val="center"/>
              <w:rPr>
                <w:lang w:val="en-GB"/>
              </w:rPr>
            </w:pPr>
            <w:r w:rsidRPr="00872839">
              <w:rPr>
                <w:lang w:val="en-GB"/>
              </w:rPr>
              <w:t>28</w:t>
            </w:r>
          </w:p>
        </w:tc>
      </w:tr>
      <w:tr w:rsidR="00F62E72" w:rsidRPr="00872839" w14:paraId="0BC2969F" w14:textId="77777777" w:rsidTr="001C2549">
        <w:trPr>
          <w:jc w:val="center"/>
        </w:trPr>
        <w:tc>
          <w:tcPr>
            <w:tcW w:w="1276" w:type="dxa"/>
          </w:tcPr>
          <w:p w14:paraId="7F92D428" w14:textId="77777777" w:rsidR="00BC3B64" w:rsidRPr="00872839" w:rsidRDefault="00BC3B64" w:rsidP="00AC013A">
            <w:pPr>
              <w:pStyle w:val="ExhibitText"/>
              <w:rPr>
                <w:lang w:val="en-GB"/>
              </w:rPr>
            </w:pPr>
            <w:r w:rsidRPr="00872839">
              <w:rPr>
                <w:lang w:val="en-GB"/>
              </w:rPr>
              <w:t xml:space="preserve">Service seeker </w:t>
            </w:r>
          </w:p>
        </w:tc>
        <w:tc>
          <w:tcPr>
            <w:tcW w:w="709" w:type="dxa"/>
          </w:tcPr>
          <w:p w14:paraId="3EE20FFF" w14:textId="77777777" w:rsidR="00BC3B64" w:rsidRPr="00872839" w:rsidRDefault="00BC3B64" w:rsidP="00AC013A">
            <w:pPr>
              <w:pStyle w:val="ExhibitText"/>
              <w:rPr>
                <w:lang w:val="en-GB"/>
              </w:rPr>
            </w:pPr>
            <w:r w:rsidRPr="00872839">
              <w:rPr>
                <w:lang w:val="en-GB"/>
              </w:rPr>
              <w:t>34</w:t>
            </w:r>
          </w:p>
        </w:tc>
        <w:tc>
          <w:tcPr>
            <w:tcW w:w="2551" w:type="dxa"/>
          </w:tcPr>
          <w:p w14:paraId="018C8115" w14:textId="79A835A4" w:rsidR="00BC3B64" w:rsidRPr="009C675A" w:rsidRDefault="00BC3B64" w:rsidP="009C675A">
            <w:pPr>
              <w:pStyle w:val="ExhibitText"/>
              <w:numPr>
                <w:ilvl w:val="0"/>
                <w:numId w:val="28"/>
              </w:numPr>
              <w:jc w:val="left"/>
            </w:pPr>
            <w:r w:rsidRPr="009C675A">
              <w:t>Values service, brand</w:t>
            </w:r>
            <w:r w:rsidR="00451E25" w:rsidRPr="009C675A">
              <w:t>,</w:t>
            </w:r>
            <w:r w:rsidRPr="009C675A">
              <w:t xml:space="preserve"> and facilities</w:t>
            </w:r>
          </w:p>
          <w:p w14:paraId="0640B522" w14:textId="4BFB0136" w:rsidR="00BC3B64" w:rsidRPr="009C675A" w:rsidRDefault="00BC3B64" w:rsidP="009C675A">
            <w:pPr>
              <w:pStyle w:val="ExhibitText"/>
              <w:numPr>
                <w:ilvl w:val="0"/>
                <w:numId w:val="28"/>
              </w:numPr>
              <w:jc w:val="left"/>
            </w:pPr>
            <w:r w:rsidRPr="009C675A">
              <w:t>52% under the age of 35</w:t>
            </w:r>
          </w:p>
          <w:p w14:paraId="7B719D29" w14:textId="458A0214" w:rsidR="00BC3B64" w:rsidRPr="009C675A" w:rsidRDefault="00BC3B64" w:rsidP="009C675A">
            <w:pPr>
              <w:pStyle w:val="ExhibitText"/>
              <w:numPr>
                <w:ilvl w:val="0"/>
                <w:numId w:val="28"/>
              </w:numPr>
              <w:jc w:val="left"/>
            </w:pPr>
            <w:r w:rsidRPr="009C675A">
              <w:t xml:space="preserve">59% are Indonesian or Chinese </w:t>
            </w:r>
          </w:p>
          <w:p w14:paraId="50A721FE" w14:textId="467C31DC" w:rsidR="00BC3B64" w:rsidRPr="009C675A" w:rsidRDefault="00BC3B64" w:rsidP="009C675A">
            <w:pPr>
              <w:pStyle w:val="ExhibitText"/>
              <w:numPr>
                <w:ilvl w:val="0"/>
                <w:numId w:val="28"/>
              </w:numPr>
              <w:jc w:val="left"/>
            </w:pPr>
            <w:r w:rsidRPr="009C675A">
              <w:t>94% willing to pay ancillary services or hotel</w:t>
            </w:r>
          </w:p>
          <w:p w14:paraId="36CFDDAC" w14:textId="5BC15053" w:rsidR="00BC3B64" w:rsidRPr="009C675A" w:rsidRDefault="00BC3B64" w:rsidP="009C675A">
            <w:pPr>
              <w:pStyle w:val="ExhibitText"/>
              <w:numPr>
                <w:ilvl w:val="0"/>
                <w:numId w:val="28"/>
              </w:numPr>
              <w:jc w:val="left"/>
            </w:pPr>
            <w:r w:rsidRPr="009C675A">
              <w:t>Key preferences:</w:t>
            </w:r>
            <w:r w:rsidR="00404166" w:rsidRPr="009C675A">
              <w:t xml:space="preserve"> </w:t>
            </w:r>
            <w:r w:rsidRPr="009C675A">
              <w:t>Award</w:t>
            </w:r>
            <w:r w:rsidR="00451E25" w:rsidRPr="009C675A">
              <w:t>-</w:t>
            </w:r>
            <w:r w:rsidRPr="009C675A">
              <w:t xml:space="preserve">winning services, work and leisure facilities, feeling valued as a customer </w:t>
            </w:r>
          </w:p>
        </w:tc>
        <w:tc>
          <w:tcPr>
            <w:tcW w:w="1076" w:type="dxa"/>
          </w:tcPr>
          <w:p w14:paraId="5F77E580" w14:textId="77777777" w:rsidR="00BC3B64" w:rsidRPr="00872839" w:rsidRDefault="00BC3B64" w:rsidP="004646C2">
            <w:pPr>
              <w:pStyle w:val="ExhibitText"/>
              <w:jc w:val="center"/>
              <w:rPr>
                <w:lang w:val="en-GB"/>
              </w:rPr>
            </w:pPr>
            <w:r w:rsidRPr="00872839">
              <w:rPr>
                <w:lang w:val="en-GB"/>
              </w:rPr>
              <w:t>21</w:t>
            </w:r>
          </w:p>
        </w:tc>
        <w:tc>
          <w:tcPr>
            <w:tcW w:w="822" w:type="dxa"/>
          </w:tcPr>
          <w:p w14:paraId="15AC4D6C" w14:textId="77777777" w:rsidR="00BC3B64" w:rsidRPr="00872839" w:rsidRDefault="00BC3B64" w:rsidP="004646C2">
            <w:pPr>
              <w:pStyle w:val="ExhibitText"/>
              <w:jc w:val="center"/>
              <w:rPr>
                <w:lang w:val="en-GB"/>
              </w:rPr>
            </w:pPr>
            <w:r w:rsidRPr="00872839">
              <w:rPr>
                <w:lang w:val="en-GB"/>
              </w:rPr>
              <w:t>31</w:t>
            </w:r>
          </w:p>
        </w:tc>
        <w:tc>
          <w:tcPr>
            <w:tcW w:w="850" w:type="dxa"/>
          </w:tcPr>
          <w:p w14:paraId="0E22ED9F" w14:textId="77777777" w:rsidR="00BC3B64" w:rsidRPr="00872839" w:rsidRDefault="00BC3B64" w:rsidP="004646C2">
            <w:pPr>
              <w:pStyle w:val="ExhibitText"/>
              <w:jc w:val="center"/>
              <w:rPr>
                <w:lang w:val="en-GB"/>
              </w:rPr>
            </w:pPr>
            <w:r w:rsidRPr="00872839">
              <w:rPr>
                <w:lang w:val="en-GB"/>
              </w:rPr>
              <w:t>47</w:t>
            </w:r>
          </w:p>
        </w:tc>
        <w:tc>
          <w:tcPr>
            <w:tcW w:w="1134" w:type="dxa"/>
          </w:tcPr>
          <w:p w14:paraId="6D02A7E1" w14:textId="77777777" w:rsidR="00BC3B64" w:rsidRPr="00872839" w:rsidRDefault="00BC3B64" w:rsidP="004646C2">
            <w:pPr>
              <w:pStyle w:val="ExhibitText"/>
              <w:tabs>
                <w:tab w:val="decimal" w:pos="317"/>
              </w:tabs>
              <w:jc w:val="center"/>
              <w:rPr>
                <w:lang w:val="en-GB"/>
              </w:rPr>
            </w:pPr>
            <w:r w:rsidRPr="00872839">
              <w:rPr>
                <w:lang w:val="en-GB"/>
              </w:rPr>
              <w:t>52</w:t>
            </w:r>
          </w:p>
        </w:tc>
        <w:tc>
          <w:tcPr>
            <w:tcW w:w="851" w:type="dxa"/>
          </w:tcPr>
          <w:p w14:paraId="19EF48A5" w14:textId="77777777" w:rsidR="00BC3B64" w:rsidRPr="00872839" w:rsidRDefault="00BC3B64" w:rsidP="004646C2">
            <w:pPr>
              <w:pStyle w:val="ExhibitText"/>
              <w:jc w:val="center"/>
              <w:rPr>
                <w:lang w:val="en-GB"/>
              </w:rPr>
            </w:pPr>
            <w:r w:rsidRPr="00872839">
              <w:rPr>
                <w:lang w:val="en-GB"/>
              </w:rPr>
              <w:t>17</w:t>
            </w:r>
          </w:p>
        </w:tc>
      </w:tr>
      <w:tr w:rsidR="00F62E72" w:rsidRPr="00872839" w14:paraId="3F4677DF" w14:textId="77777777" w:rsidTr="001C2549">
        <w:trPr>
          <w:jc w:val="center"/>
        </w:trPr>
        <w:tc>
          <w:tcPr>
            <w:tcW w:w="1276" w:type="dxa"/>
          </w:tcPr>
          <w:p w14:paraId="4318F979" w14:textId="77777777" w:rsidR="00BC3B64" w:rsidRPr="00872839" w:rsidRDefault="00BC3B64" w:rsidP="00AC013A">
            <w:pPr>
              <w:pStyle w:val="ExhibitText"/>
              <w:rPr>
                <w:lang w:val="en-GB"/>
              </w:rPr>
            </w:pPr>
            <w:r w:rsidRPr="00872839">
              <w:rPr>
                <w:lang w:val="en-GB"/>
              </w:rPr>
              <w:t>Belt tightener</w:t>
            </w:r>
          </w:p>
        </w:tc>
        <w:tc>
          <w:tcPr>
            <w:tcW w:w="709" w:type="dxa"/>
          </w:tcPr>
          <w:p w14:paraId="30277B23" w14:textId="77777777" w:rsidR="00BC3B64" w:rsidRPr="00872839" w:rsidRDefault="00BC3B64" w:rsidP="00AC013A">
            <w:pPr>
              <w:pStyle w:val="ExhibitText"/>
              <w:rPr>
                <w:lang w:val="en-GB"/>
              </w:rPr>
            </w:pPr>
            <w:r w:rsidRPr="00872839">
              <w:rPr>
                <w:lang w:val="en-GB"/>
              </w:rPr>
              <w:t>17</w:t>
            </w:r>
          </w:p>
        </w:tc>
        <w:tc>
          <w:tcPr>
            <w:tcW w:w="2551" w:type="dxa"/>
          </w:tcPr>
          <w:p w14:paraId="75ABC1EE" w14:textId="29719B88" w:rsidR="00BC3B64" w:rsidRPr="009C675A" w:rsidRDefault="00BC3B64" w:rsidP="009C675A">
            <w:pPr>
              <w:pStyle w:val="ExhibitText"/>
              <w:numPr>
                <w:ilvl w:val="0"/>
                <w:numId w:val="28"/>
              </w:numPr>
              <w:jc w:val="left"/>
            </w:pPr>
            <w:r w:rsidRPr="009C675A">
              <w:t>Acutely price</w:t>
            </w:r>
            <w:r w:rsidR="00667E61" w:rsidRPr="009C675A">
              <w:t xml:space="preserve"> </w:t>
            </w:r>
            <w:r w:rsidRPr="009C675A">
              <w:t>sensitive and value</w:t>
            </w:r>
            <w:r w:rsidR="00667E61" w:rsidRPr="009C675A">
              <w:t xml:space="preserve"> </w:t>
            </w:r>
            <w:r w:rsidRPr="009C675A">
              <w:t xml:space="preserve">seeking </w:t>
            </w:r>
          </w:p>
          <w:p w14:paraId="593BCDF5" w14:textId="6F08D88C" w:rsidR="00BC3B64" w:rsidRPr="009C675A" w:rsidRDefault="00BC3B64" w:rsidP="009C675A">
            <w:pPr>
              <w:pStyle w:val="ExhibitText"/>
              <w:numPr>
                <w:ilvl w:val="0"/>
                <w:numId w:val="28"/>
              </w:numPr>
              <w:jc w:val="left"/>
            </w:pPr>
            <w:r w:rsidRPr="009C675A">
              <w:t xml:space="preserve">55% in junior positions </w:t>
            </w:r>
          </w:p>
          <w:p w14:paraId="66590BA4" w14:textId="5A503564" w:rsidR="00BC3B64" w:rsidRPr="009C675A" w:rsidRDefault="00BC3B64" w:rsidP="009C675A">
            <w:pPr>
              <w:pStyle w:val="ExhibitText"/>
              <w:numPr>
                <w:ilvl w:val="0"/>
                <w:numId w:val="28"/>
              </w:numPr>
              <w:jc w:val="left"/>
            </w:pPr>
            <w:r w:rsidRPr="009C675A">
              <w:t xml:space="preserve">53% are from </w:t>
            </w:r>
            <w:r w:rsidR="00667E61" w:rsidRPr="009C675A">
              <w:t>small and medium-sized enterprises</w:t>
            </w:r>
          </w:p>
          <w:p w14:paraId="0120720A" w14:textId="452D8ED5" w:rsidR="00BC3B64" w:rsidRPr="009C675A" w:rsidRDefault="00BC3B64" w:rsidP="009C675A">
            <w:pPr>
              <w:pStyle w:val="ExhibitText"/>
              <w:numPr>
                <w:ilvl w:val="0"/>
                <w:numId w:val="28"/>
              </w:numPr>
              <w:jc w:val="left"/>
            </w:pPr>
            <w:r w:rsidRPr="009C675A">
              <w:t>73% travel mostly domestically</w:t>
            </w:r>
          </w:p>
          <w:p w14:paraId="54C3ACD8" w14:textId="01B041DC" w:rsidR="00BC3B64" w:rsidRPr="009C675A" w:rsidRDefault="00BC3B64" w:rsidP="009C675A">
            <w:pPr>
              <w:pStyle w:val="ExhibitText"/>
              <w:numPr>
                <w:ilvl w:val="0"/>
                <w:numId w:val="28"/>
              </w:numPr>
              <w:jc w:val="left"/>
            </w:pPr>
            <w:r w:rsidRPr="009C675A">
              <w:t>Key preferences: lowest fare, value</w:t>
            </w:r>
            <w:r w:rsidR="00271160" w:rsidRPr="009C675A">
              <w:t xml:space="preserve"> </w:t>
            </w:r>
            <w:r w:rsidRPr="009C675A">
              <w:t xml:space="preserve">seeker </w:t>
            </w:r>
          </w:p>
        </w:tc>
        <w:tc>
          <w:tcPr>
            <w:tcW w:w="1076" w:type="dxa"/>
          </w:tcPr>
          <w:p w14:paraId="71CAB1AF" w14:textId="77777777" w:rsidR="00BC3B64" w:rsidRPr="00872839" w:rsidRDefault="00BC3B64" w:rsidP="004646C2">
            <w:pPr>
              <w:pStyle w:val="ExhibitText"/>
              <w:jc w:val="center"/>
              <w:rPr>
                <w:lang w:val="en-GB"/>
              </w:rPr>
            </w:pPr>
            <w:r w:rsidRPr="00872839">
              <w:rPr>
                <w:lang w:val="en-GB"/>
              </w:rPr>
              <w:t>17</w:t>
            </w:r>
          </w:p>
        </w:tc>
        <w:tc>
          <w:tcPr>
            <w:tcW w:w="822" w:type="dxa"/>
          </w:tcPr>
          <w:p w14:paraId="080F7C5D" w14:textId="77777777" w:rsidR="00BC3B64" w:rsidRPr="00872839" w:rsidRDefault="00BC3B64" w:rsidP="004646C2">
            <w:pPr>
              <w:pStyle w:val="ExhibitText"/>
              <w:jc w:val="center"/>
              <w:rPr>
                <w:lang w:val="en-GB"/>
              </w:rPr>
            </w:pPr>
            <w:r w:rsidRPr="00872839">
              <w:rPr>
                <w:lang w:val="en-GB"/>
              </w:rPr>
              <w:t>20</w:t>
            </w:r>
          </w:p>
        </w:tc>
        <w:tc>
          <w:tcPr>
            <w:tcW w:w="850" w:type="dxa"/>
          </w:tcPr>
          <w:p w14:paraId="5522C3F1" w14:textId="77777777" w:rsidR="00BC3B64" w:rsidRPr="00872839" w:rsidRDefault="00BC3B64" w:rsidP="004646C2">
            <w:pPr>
              <w:pStyle w:val="ExhibitText"/>
              <w:jc w:val="center"/>
              <w:rPr>
                <w:lang w:val="en-GB"/>
              </w:rPr>
            </w:pPr>
            <w:r w:rsidRPr="00872839">
              <w:rPr>
                <w:lang w:val="en-GB"/>
              </w:rPr>
              <w:t>11</w:t>
            </w:r>
          </w:p>
        </w:tc>
        <w:tc>
          <w:tcPr>
            <w:tcW w:w="1134" w:type="dxa"/>
          </w:tcPr>
          <w:p w14:paraId="31C3CB52" w14:textId="77777777" w:rsidR="00BC3B64" w:rsidRPr="00872839" w:rsidRDefault="00BC3B64" w:rsidP="004646C2">
            <w:pPr>
              <w:pStyle w:val="ExhibitText"/>
              <w:tabs>
                <w:tab w:val="decimal" w:pos="317"/>
              </w:tabs>
              <w:jc w:val="center"/>
              <w:rPr>
                <w:lang w:val="en-GB"/>
              </w:rPr>
            </w:pPr>
            <w:r w:rsidRPr="00872839">
              <w:rPr>
                <w:lang w:val="en-GB"/>
              </w:rPr>
              <w:t>13</w:t>
            </w:r>
          </w:p>
        </w:tc>
        <w:tc>
          <w:tcPr>
            <w:tcW w:w="851" w:type="dxa"/>
          </w:tcPr>
          <w:p w14:paraId="3F5BC94D" w14:textId="77777777" w:rsidR="00BC3B64" w:rsidRPr="00872839" w:rsidRDefault="00BC3B64" w:rsidP="004646C2">
            <w:pPr>
              <w:pStyle w:val="ExhibitText"/>
              <w:jc w:val="center"/>
              <w:rPr>
                <w:lang w:val="en-GB"/>
              </w:rPr>
            </w:pPr>
            <w:r w:rsidRPr="00872839">
              <w:rPr>
                <w:lang w:val="en-GB"/>
              </w:rPr>
              <w:t>24</w:t>
            </w:r>
          </w:p>
        </w:tc>
      </w:tr>
      <w:tr w:rsidR="00F62E72" w:rsidRPr="00872839" w14:paraId="2A89E3D4" w14:textId="77777777" w:rsidTr="001C2549">
        <w:trPr>
          <w:jc w:val="center"/>
        </w:trPr>
        <w:tc>
          <w:tcPr>
            <w:tcW w:w="1276" w:type="dxa"/>
          </w:tcPr>
          <w:p w14:paraId="0D718B3E" w14:textId="77777777" w:rsidR="00BC3B64" w:rsidRPr="00872839" w:rsidRDefault="00BC3B64" w:rsidP="00AC013A">
            <w:pPr>
              <w:pStyle w:val="ExhibitText"/>
              <w:rPr>
                <w:lang w:val="en-GB"/>
              </w:rPr>
            </w:pPr>
            <w:r w:rsidRPr="00872839">
              <w:rPr>
                <w:lang w:val="en-GB"/>
              </w:rPr>
              <w:t>Points maximizer</w:t>
            </w:r>
          </w:p>
        </w:tc>
        <w:tc>
          <w:tcPr>
            <w:tcW w:w="709" w:type="dxa"/>
          </w:tcPr>
          <w:p w14:paraId="57F78C35" w14:textId="77777777" w:rsidR="00BC3B64" w:rsidRPr="00872839" w:rsidRDefault="00BC3B64" w:rsidP="00AC013A">
            <w:pPr>
              <w:pStyle w:val="ExhibitText"/>
              <w:rPr>
                <w:lang w:val="en-GB"/>
              </w:rPr>
            </w:pPr>
            <w:r w:rsidRPr="00872839">
              <w:rPr>
                <w:lang w:val="en-GB"/>
              </w:rPr>
              <w:t>17</w:t>
            </w:r>
          </w:p>
        </w:tc>
        <w:tc>
          <w:tcPr>
            <w:tcW w:w="2551" w:type="dxa"/>
          </w:tcPr>
          <w:p w14:paraId="4ECAC06B" w14:textId="3424C65A" w:rsidR="00BC3B64" w:rsidRPr="009C675A" w:rsidRDefault="00BC3B64" w:rsidP="009C675A">
            <w:pPr>
              <w:pStyle w:val="ExhibitText"/>
              <w:numPr>
                <w:ilvl w:val="0"/>
                <w:numId w:val="28"/>
              </w:numPr>
              <w:jc w:val="left"/>
            </w:pPr>
            <w:r w:rsidRPr="009C675A">
              <w:t>25% willing to fly low</w:t>
            </w:r>
            <w:r w:rsidR="00BA3A21" w:rsidRPr="009C675A">
              <w:t>-</w:t>
            </w:r>
            <w:r w:rsidRPr="009C675A">
              <w:t xml:space="preserve">cost airlines </w:t>
            </w:r>
          </w:p>
          <w:p w14:paraId="5344A9AD" w14:textId="2B310837" w:rsidR="00BC3B64" w:rsidRPr="009C675A" w:rsidRDefault="00BC3B64" w:rsidP="009C675A">
            <w:pPr>
              <w:pStyle w:val="ExhibitText"/>
              <w:numPr>
                <w:ilvl w:val="0"/>
                <w:numId w:val="28"/>
              </w:numPr>
              <w:jc w:val="left"/>
            </w:pPr>
            <w:r w:rsidRPr="009C675A">
              <w:t xml:space="preserve">67% are Singaporean or Japanese </w:t>
            </w:r>
          </w:p>
          <w:p w14:paraId="0C2E45C4" w14:textId="2331D74F" w:rsidR="00BC3B64" w:rsidRPr="009C675A" w:rsidRDefault="00BC3B64" w:rsidP="009C675A">
            <w:pPr>
              <w:pStyle w:val="ExhibitText"/>
              <w:numPr>
                <w:ilvl w:val="0"/>
                <w:numId w:val="28"/>
              </w:numPr>
              <w:jc w:val="left"/>
            </w:pPr>
            <w:r w:rsidRPr="009C675A">
              <w:t xml:space="preserve">65% are frequent </w:t>
            </w:r>
            <w:r w:rsidR="005D15EC" w:rsidRPr="009C675A">
              <w:t>travel</w:t>
            </w:r>
            <w:r w:rsidR="003D78BC" w:rsidRPr="009C675A">
              <w:t>l</w:t>
            </w:r>
            <w:r w:rsidR="005D15EC" w:rsidRPr="009C675A">
              <w:t>ers</w:t>
            </w:r>
          </w:p>
          <w:p w14:paraId="6637239A" w14:textId="70A0E6A2" w:rsidR="00BC3B64" w:rsidRPr="009C675A" w:rsidRDefault="00BC3B64" w:rsidP="009C675A">
            <w:pPr>
              <w:pStyle w:val="ExhibitText"/>
              <w:numPr>
                <w:ilvl w:val="0"/>
                <w:numId w:val="28"/>
              </w:numPr>
              <w:jc w:val="left"/>
            </w:pPr>
            <w:r w:rsidRPr="009C675A">
              <w:t xml:space="preserve">Key preferences: loyalty and reward programs, comfortable seats, luxurious rooms </w:t>
            </w:r>
          </w:p>
        </w:tc>
        <w:tc>
          <w:tcPr>
            <w:tcW w:w="1076" w:type="dxa"/>
          </w:tcPr>
          <w:p w14:paraId="6C5DBC02" w14:textId="77777777" w:rsidR="00BC3B64" w:rsidRPr="00872839" w:rsidRDefault="00BC3B64" w:rsidP="004646C2">
            <w:pPr>
              <w:pStyle w:val="ExhibitText"/>
              <w:jc w:val="center"/>
              <w:rPr>
                <w:lang w:val="en-GB"/>
              </w:rPr>
            </w:pPr>
            <w:r w:rsidRPr="00872839">
              <w:rPr>
                <w:lang w:val="en-GB"/>
              </w:rPr>
              <w:t>27</w:t>
            </w:r>
          </w:p>
        </w:tc>
        <w:tc>
          <w:tcPr>
            <w:tcW w:w="822" w:type="dxa"/>
          </w:tcPr>
          <w:p w14:paraId="63029C99" w14:textId="77777777" w:rsidR="00BC3B64" w:rsidRPr="00872839" w:rsidRDefault="00BC3B64" w:rsidP="004646C2">
            <w:pPr>
              <w:pStyle w:val="ExhibitText"/>
              <w:jc w:val="center"/>
              <w:rPr>
                <w:lang w:val="en-GB"/>
              </w:rPr>
            </w:pPr>
            <w:r w:rsidRPr="00872839">
              <w:rPr>
                <w:lang w:val="en-GB"/>
              </w:rPr>
              <w:t>11</w:t>
            </w:r>
          </w:p>
        </w:tc>
        <w:tc>
          <w:tcPr>
            <w:tcW w:w="850" w:type="dxa"/>
          </w:tcPr>
          <w:p w14:paraId="763E8DCB" w14:textId="77777777" w:rsidR="00BC3B64" w:rsidRPr="00872839" w:rsidRDefault="00BC3B64" w:rsidP="004646C2">
            <w:pPr>
              <w:pStyle w:val="ExhibitText"/>
              <w:jc w:val="center"/>
              <w:rPr>
                <w:lang w:val="en-GB"/>
              </w:rPr>
            </w:pPr>
            <w:r w:rsidRPr="00872839">
              <w:rPr>
                <w:lang w:val="en-GB"/>
              </w:rPr>
              <w:t>11</w:t>
            </w:r>
          </w:p>
        </w:tc>
        <w:tc>
          <w:tcPr>
            <w:tcW w:w="1134" w:type="dxa"/>
          </w:tcPr>
          <w:p w14:paraId="58D29A62" w14:textId="77777777" w:rsidR="00BC3B64" w:rsidRPr="00872839" w:rsidRDefault="00BC3B64" w:rsidP="004646C2">
            <w:pPr>
              <w:pStyle w:val="ExhibitText"/>
              <w:tabs>
                <w:tab w:val="decimal" w:pos="317"/>
              </w:tabs>
              <w:jc w:val="center"/>
              <w:rPr>
                <w:lang w:val="en-GB"/>
              </w:rPr>
            </w:pPr>
            <w:r w:rsidRPr="00872839">
              <w:rPr>
                <w:lang w:val="en-GB"/>
              </w:rPr>
              <w:t>6</w:t>
            </w:r>
          </w:p>
        </w:tc>
        <w:tc>
          <w:tcPr>
            <w:tcW w:w="851" w:type="dxa"/>
          </w:tcPr>
          <w:p w14:paraId="22798256" w14:textId="77777777" w:rsidR="00BC3B64" w:rsidRPr="00872839" w:rsidRDefault="00BC3B64" w:rsidP="004646C2">
            <w:pPr>
              <w:pStyle w:val="ExhibitText"/>
              <w:jc w:val="center"/>
              <w:rPr>
                <w:lang w:val="en-GB"/>
              </w:rPr>
            </w:pPr>
            <w:r w:rsidRPr="00872839">
              <w:rPr>
                <w:lang w:val="en-GB"/>
              </w:rPr>
              <w:t>31</w:t>
            </w:r>
          </w:p>
        </w:tc>
      </w:tr>
    </w:tbl>
    <w:p w14:paraId="41208475" w14:textId="77777777" w:rsidR="007F1F54" w:rsidRPr="00872839" w:rsidRDefault="007F1F54" w:rsidP="005D682B">
      <w:pPr>
        <w:pStyle w:val="BodyTextMain"/>
        <w:rPr>
          <w:sz w:val="18"/>
          <w:lang w:val="en-GB"/>
        </w:rPr>
      </w:pPr>
    </w:p>
    <w:p w14:paraId="304FF73A" w14:textId="217DE8D0" w:rsidR="000C1EF0" w:rsidRPr="00872839" w:rsidRDefault="00736177" w:rsidP="00AC013A">
      <w:pPr>
        <w:pStyle w:val="Footnote"/>
        <w:rPr>
          <w:lang w:val="en-GB"/>
        </w:rPr>
      </w:pPr>
      <w:r w:rsidRPr="00872839">
        <w:rPr>
          <w:lang w:val="en-GB"/>
        </w:rPr>
        <w:t xml:space="preserve">Source: </w:t>
      </w:r>
      <w:r w:rsidR="00F62E72" w:rsidRPr="00872839">
        <w:rPr>
          <w:lang w:val="en-GB"/>
        </w:rPr>
        <w:t xml:space="preserve">Singapore Tourism Board, </w:t>
      </w:r>
      <w:r w:rsidRPr="00872839">
        <w:rPr>
          <w:i/>
          <w:lang w:val="en-GB"/>
        </w:rPr>
        <w:t>Asian Business Travellers</w:t>
      </w:r>
      <w:r w:rsidR="00F62E72" w:rsidRPr="00872839">
        <w:rPr>
          <w:i/>
          <w:lang w:val="en-GB"/>
        </w:rPr>
        <w:t>:</w:t>
      </w:r>
      <w:r w:rsidRPr="00872839">
        <w:rPr>
          <w:i/>
          <w:lang w:val="en-GB"/>
        </w:rPr>
        <w:t xml:space="preserve"> Five </w:t>
      </w:r>
      <w:r w:rsidR="00F62E72" w:rsidRPr="00872839">
        <w:rPr>
          <w:i/>
          <w:lang w:val="en-GB"/>
        </w:rPr>
        <w:t>T</w:t>
      </w:r>
      <w:r w:rsidRPr="00872839">
        <w:rPr>
          <w:i/>
          <w:lang w:val="en-GB"/>
        </w:rPr>
        <w:t xml:space="preserve">hings </w:t>
      </w:r>
      <w:r w:rsidR="00F62E72" w:rsidRPr="00872839">
        <w:rPr>
          <w:i/>
          <w:lang w:val="en-GB"/>
        </w:rPr>
        <w:t>Y</w:t>
      </w:r>
      <w:r w:rsidRPr="00872839">
        <w:rPr>
          <w:i/>
          <w:lang w:val="en-GB"/>
        </w:rPr>
        <w:t xml:space="preserve">ou </w:t>
      </w:r>
      <w:r w:rsidR="00F62E72" w:rsidRPr="00872839">
        <w:rPr>
          <w:i/>
          <w:lang w:val="en-GB"/>
        </w:rPr>
        <w:t>N</w:t>
      </w:r>
      <w:r w:rsidRPr="00872839">
        <w:rPr>
          <w:i/>
          <w:lang w:val="en-GB"/>
        </w:rPr>
        <w:t xml:space="preserve">eed to </w:t>
      </w:r>
      <w:r w:rsidR="00F62E72" w:rsidRPr="00872839">
        <w:rPr>
          <w:i/>
          <w:lang w:val="en-GB"/>
        </w:rPr>
        <w:t>K</w:t>
      </w:r>
      <w:r w:rsidRPr="00872839">
        <w:rPr>
          <w:i/>
          <w:lang w:val="en-GB"/>
        </w:rPr>
        <w:t>now</w:t>
      </w:r>
      <w:r w:rsidRPr="00872839">
        <w:rPr>
          <w:lang w:val="en-GB"/>
        </w:rPr>
        <w:t xml:space="preserve">, </w:t>
      </w:r>
      <w:r w:rsidR="00451E25" w:rsidRPr="00872839">
        <w:rPr>
          <w:lang w:val="en-GB"/>
        </w:rPr>
        <w:t xml:space="preserve">22, </w:t>
      </w:r>
      <w:r w:rsidR="00F62E72" w:rsidRPr="00872839">
        <w:rPr>
          <w:lang w:val="en-GB"/>
        </w:rPr>
        <w:t>r</w:t>
      </w:r>
      <w:r w:rsidRPr="00872839">
        <w:rPr>
          <w:lang w:val="en-GB"/>
        </w:rPr>
        <w:t>eport commissioned by the Singapore Tourism Board</w:t>
      </w:r>
      <w:r w:rsidR="00F62E72" w:rsidRPr="00872839">
        <w:rPr>
          <w:lang w:val="en-GB"/>
        </w:rPr>
        <w:t>,</w:t>
      </w:r>
      <w:r w:rsidRPr="00872839">
        <w:rPr>
          <w:lang w:val="en-GB"/>
        </w:rPr>
        <w:t xml:space="preserve"> 2015, </w:t>
      </w:r>
      <w:r w:rsidR="00F62E72" w:rsidRPr="00872839">
        <w:rPr>
          <w:lang w:val="en-GB"/>
        </w:rPr>
        <w:t xml:space="preserve">accessed </w:t>
      </w:r>
      <w:r w:rsidR="009A2986" w:rsidRPr="00872839">
        <w:rPr>
          <w:lang w:val="en-GB"/>
        </w:rPr>
        <w:t>August 14, 2017</w:t>
      </w:r>
      <w:r w:rsidR="00F62E72" w:rsidRPr="00872839">
        <w:rPr>
          <w:lang w:val="en-GB"/>
        </w:rPr>
        <w:t xml:space="preserve">, </w:t>
      </w:r>
      <w:r w:rsidRPr="00872839">
        <w:rPr>
          <w:lang w:val="en-GB"/>
        </w:rPr>
        <w:t>http://capturingconversations.economist.com/stb-singapore-asian-business-travellers/</w:t>
      </w:r>
      <w:r w:rsidR="00F62E72" w:rsidRPr="00872839">
        <w:rPr>
          <w:lang w:val="en-GB"/>
        </w:rPr>
        <w:t>.</w:t>
      </w:r>
    </w:p>
    <w:p w14:paraId="0D45A2EC" w14:textId="77777777" w:rsidR="000C1EF0" w:rsidRPr="00872839" w:rsidRDefault="000C1EF0">
      <w:pPr>
        <w:spacing w:after="200" w:line="276" w:lineRule="auto"/>
        <w:rPr>
          <w:rFonts w:ascii="Arial" w:hAnsi="Arial" w:cs="Arial"/>
          <w:sz w:val="17"/>
          <w:szCs w:val="17"/>
          <w:lang w:val="en-GB"/>
        </w:rPr>
      </w:pPr>
      <w:r w:rsidRPr="00872839">
        <w:rPr>
          <w:lang w:val="en-GB"/>
        </w:rPr>
        <w:br w:type="page"/>
      </w:r>
    </w:p>
    <w:p w14:paraId="50E3AA92" w14:textId="05921943" w:rsidR="007F1F54" w:rsidRPr="00404166" w:rsidRDefault="000C1EF0" w:rsidP="007449DD">
      <w:pPr>
        <w:pStyle w:val="Casehead1"/>
        <w:outlineLvl w:val="0"/>
        <w:rPr>
          <w:lang w:val="en-GB"/>
        </w:rPr>
      </w:pPr>
      <w:r w:rsidRPr="00872839">
        <w:rPr>
          <w:lang w:val="en-GB"/>
        </w:rPr>
        <w:lastRenderedPageBreak/>
        <w:t>ENDNOTES</w:t>
      </w:r>
    </w:p>
    <w:sectPr w:rsidR="007F1F54" w:rsidRPr="00404166" w:rsidSect="003A20A1">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16CBBA" w16cid:durableId="1D234C44"/>
  <w16cid:commentId w16cid:paraId="4B6E0CB5" w16cid:durableId="1D234C4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62F636" w14:textId="77777777" w:rsidR="00AF3E41" w:rsidRDefault="00AF3E41" w:rsidP="00D75295">
      <w:r>
        <w:separator/>
      </w:r>
    </w:p>
  </w:endnote>
  <w:endnote w:type="continuationSeparator" w:id="0">
    <w:p w14:paraId="69AA7E5C" w14:textId="77777777" w:rsidR="00AF3E41" w:rsidRDefault="00AF3E41" w:rsidP="00D75295">
      <w:r>
        <w:continuationSeparator/>
      </w:r>
    </w:p>
  </w:endnote>
  <w:endnote w:id="1">
    <w:p w14:paraId="02A3C132" w14:textId="6E0B7815" w:rsidR="00AF3E41" w:rsidRDefault="00AF3E41" w:rsidP="004646C2">
      <w:pPr>
        <w:pStyle w:val="Footnote"/>
      </w:pPr>
      <w:r>
        <w:rPr>
          <w:rStyle w:val="EndnoteReference"/>
        </w:rPr>
        <w:endnoteRef/>
      </w:r>
      <w:r>
        <w:t xml:space="preserve"> All currency amounts are in US$ unless otherwise specified; All currency amounts are in USD unless otherwise specified; US$1 = SG$1.40 on March 31, 2017. </w:t>
      </w:r>
    </w:p>
  </w:endnote>
  <w:endnote w:id="2">
    <w:p w14:paraId="4B5223FD" w14:textId="0ADDD2A3" w:rsidR="00AF3E41" w:rsidRPr="00D94C50" w:rsidRDefault="00AF3E41" w:rsidP="00AC013A">
      <w:pPr>
        <w:pStyle w:val="Footnote"/>
      </w:pPr>
      <w:r>
        <w:rPr>
          <w:rStyle w:val="EndnoteReference"/>
        </w:rPr>
        <w:endnoteRef/>
      </w:r>
      <w:r>
        <w:t xml:space="preserve"> Global Business Travel Foundation, “Global Business Travel Spend Topped Record-Breaking $1.2 Trillion USD in 2015, Will Reach $1.6 Trillion USD in 2016,” press release, July 11, 2016, accessed July 24, 2017, </w:t>
      </w:r>
      <w:r w:rsidRPr="004F3F33">
        <w:t>www.gbta.org/foundation/pressreleases/Pages/rls_0711162.aspx</w:t>
      </w:r>
      <w:r>
        <w:t>.</w:t>
      </w:r>
    </w:p>
  </w:endnote>
  <w:endnote w:id="3">
    <w:p w14:paraId="770F5E62" w14:textId="1830A25A" w:rsidR="00AF3E41" w:rsidRDefault="00AF3E41" w:rsidP="00AC013A">
      <w:pPr>
        <w:pStyle w:val="Footnote"/>
        <w:rPr>
          <w:spacing w:val="-4"/>
          <w:kern w:val="17"/>
        </w:rPr>
      </w:pPr>
      <w:r w:rsidRPr="00AF3E41">
        <w:rPr>
          <w:rStyle w:val="EndnoteReference"/>
          <w:spacing w:val="-4"/>
          <w:kern w:val="17"/>
        </w:rPr>
        <w:endnoteRef/>
      </w:r>
      <w:r w:rsidRPr="00AF3E41">
        <w:rPr>
          <w:spacing w:val="-4"/>
          <w:kern w:val="17"/>
        </w:rPr>
        <w:t xml:space="preserve"> In its survey of corporate travel and entertainment (T&amp;E) spending, JP Morgan estimated the spend on hotels to range from 20–24%, depending on the size of the company Certify, Inc., </w:t>
      </w:r>
      <w:r>
        <w:rPr>
          <w:spacing w:val="-4"/>
          <w:kern w:val="17"/>
        </w:rPr>
        <w:t>“</w:t>
      </w:r>
      <w:r w:rsidRPr="00AF3E41">
        <w:rPr>
          <w:spacing w:val="-4"/>
          <w:kern w:val="17"/>
        </w:rPr>
        <w:t>Understanding the Average Cost of Business Travel,</w:t>
      </w:r>
      <w:r>
        <w:rPr>
          <w:spacing w:val="-4"/>
          <w:kern w:val="17"/>
        </w:rPr>
        <w:t>”</w:t>
      </w:r>
      <w:r w:rsidRPr="00AF3E41">
        <w:rPr>
          <w:spacing w:val="-4"/>
          <w:kern w:val="17"/>
        </w:rPr>
        <w:t xml:space="preserve"> n.d., accessed July 24, 2017, https://www.certify.com/Infographic-TheAverageCostOfBusinessTravel.aspx</w:t>
      </w:r>
      <w:r w:rsidRPr="00AF3E41">
        <w:rPr>
          <w:rStyle w:val="Hyperlink"/>
          <w:color w:val="auto"/>
          <w:spacing w:val="-4"/>
          <w:kern w:val="17"/>
          <w:u w:val="none"/>
        </w:rPr>
        <w:t>;</w:t>
      </w:r>
      <w:r w:rsidRPr="00AF3E41">
        <w:rPr>
          <w:spacing w:val="-4"/>
          <w:kern w:val="17"/>
        </w:rPr>
        <w:t xml:space="preserve"> JP Morgan, </w:t>
      </w:r>
      <w:r w:rsidRPr="00AF3E41">
        <w:rPr>
          <w:i/>
          <w:spacing w:val="-4"/>
          <w:kern w:val="17"/>
        </w:rPr>
        <w:t>Corporate T&amp;E Spend Benchmarks</w:t>
      </w:r>
      <w:r w:rsidRPr="00AF3E41">
        <w:rPr>
          <w:spacing w:val="-4"/>
          <w:kern w:val="17"/>
        </w:rPr>
        <w:t>, 2010, accessed July 24, 2017, https://www.jpmorgan.com/cm/BlobServer/Corporate_T_E_Spend_Benchmarks.pdf</w:t>
      </w:r>
    </w:p>
    <w:p w14:paraId="36837005" w14:textId="77777777" w:rsidR="00AF3E41" w:rsidRPr="00AF3E41" w:rsidRDefault="00AF3E41" w:rsidP="00AC013A">
      <w:pPr>
        <w:pStyle w:val="Footnote"/>
        <w:rPr>
          <w:spacing w:val="-2"/>
          <w:kern w:val="17"/>
        </w:rPr>
      </w:pPr>
      <w:r w:rsidRPr="00AF3E41">
        <w:rPr>
          <w:spacing w:val="-2"/>
          <w:kern w:val="17"/>
        </w:rPr>
        <w:t>?blobkey=id&amp;blobwhere=1320626471111&amp;blobheader=application/pdf&amp;blobheadername1=Cache-Control&amp;blobheadervalue1</w:t>
      </w:r>
    </w:p>
    <w:p w14:paraId="197DBC71" w14:textId="6B6D351F" w:rsidR="00AF3E41" w:rsidRPr="00AF3E41" w:rsidRDefault="00AF3E41" w:rsidP="00AC013A">
      <w:pPr>
        <w:pStyle w:val="Footnote"/>
        <w:rPr>
          <w:spacing w:val="-4"/>
          <w:kern w:val="17"/>
        </w:rPr>
      </w:pPr>
      <w:r w:rsidRPr="00AF3E41">
        <w:rPr>
          <w:spacing w:val="-4"/>
          <w:kern w:val="17"/>
        </w:rPr>
        <w:t>=private&amp;blobcol=urldata&amp;blobtable=MungoBlobs.</w:t>
      </w:r>
    </w:p>
  </w:endnote>
  <w:endnote w:id="4">
    <w:p w14:paraId="095DD02B" w14:textId="30F21697" w:rsidR="00AF3E41" w:rsidRPr="00736177" w:rsidRDefault="00AF3E41" w:rsidP="00AC013A">
      <w:pPr>
        <w:pStyle w:val="Footnote"/>
      </w:pPr>
      <w:r w:rsidRPr="00961DEB">
        <w:rPr>
          <w:rStyle w:val="EndnoteReference"/>
        </w:rPr>
        <w:endnoteRef/>
      </w:r>
      <w:r w:rsidRPr="00961DEB">
        <w:t xml:space="preserve"> </w:t>
      </w:r>
      <w:r>
        <w:t>Certify Inc., “</w:t>
      </w:r>
      <w:r w:rsidRPr="00AC013A">
        <w:t xml:space="preserve">Understanding the </w:t>
      </w:r>
      <w:r>
        <w:t>A</w:t>
      </w:r>
      <w:r w:rsidRPr="00AC013A">
        <w:t xml:space="preserve">verage </w:t>
      </w:r>
      <w:r>
        <w:t>C</w:t>
      </w:r>
      <w:r w:rsidRPr="00AC013A">
        <w:t xml:space="preserve">ost of </w:t>
      </w:r>
      <w:r>
        <w:t>B</w:t>
      </w:r>
      <w:r w:rsidRPr="00AC013A">
        <w:t xml:space="preserve">usiness </w:t>
      </w:r>
      <w:r>
        <w:t>T</w:t>
      </w:r>
      <w:r w:rsidRPr="00AC013A">
        <w:t>ravel</w:t>
      </w:r>
      <w:r w:rsidRPr="00961DEB">
        <w:t>,</w:t>
      </w:r>
      <w:r>
        <w:t>”</w:t>
      </w:r>
      <w:r w:rsidRPr="00961DEB">
        <w:t xml:space="preserve"> </w:t>
      </w:r>
      <w:r>
        <w:t>op. cit.</w:t>
      </w:r>
    </w:p>
  </w:endnote>
  <w:endnote w:id="5">
    <w:p w14:paraId="6F07C7FA" w14:textId="259240F8" w:rsidR="00AF3E41" w:rsidRPr="00386275" w:rsidRDefault="00AF3E41" w:rsidP="00AC013A">
      <w:pPr>
        <w:pStyle w:val="Footnote"/>
        <w:rPr>
          <w:spacing w:val="-4"/>
          <w:kern w:val="17"/>
        </w:rPr>
      </w:pPr>
      <w:r w:rsidRPr="00386275">
        <w:rPr>
          <w:rStyle w:val="EndnoteReference"/>
          <w:spacing w:val="-4"/>
          <w:kern w:val="17"/>
        </w:rPr>
        <w:endnoteRef/>
      </w:r>
      <w:r w:rsidRPr="00386275">
        <w:rPr>
          <w:spacing w:val="-4"/>
          <w:kern w:val="17"/>
        </w:rPr>
        <w:t xml:space="preserve"> Greg Oates, “Understanding How Airbnb Empowers Hosts with New Business Travel Strategy,” </w:t>
      </w:r>
      <w:r w:rsidRPr="00386275">
        <w:rPr>
          <w:i/>
          <w:spacing w:val="-4"/>
          <w:kern w:val="17"/>
        </w:rPr>
        <w:t>Skift</w:t>
      </w:r>
      <w:r w:rsidRPr="00386275">
        <w:rPr>
          <w:spacing w:val="-4"/>
          <w:kern w:val="17"/>
        </w:rPr>
        <w:t>, November 16, 2015, accessed July 24, 2017, https://skift.com/2015/11/16/understanding-how-airbnb-empowers-hosts-with-new-business-travel-strategy/.</w:t>
      </w:r>
    </w:p>
  </w:endnote>
  <w:endnote w:id="6">
    <w:p w14:paraId="26368D60" w14:textId="67044DCF" w:rsidR="00AF3E41" w:rsidRPr="00961DEB" w:rsidRDefault="00AF3E41" w:rsidP="00AC013A">
      <w:pPr>
        <w:pStyle w:val="Footnote"/>
      </w:pPr>
      <w:r w:rsidRPr="00961DEB">
        <w:rPr>
          <w:rStyle w:val="EndnoteReference"/>
        </w:rPr>
        <w:endnoteRef/>
      </w:r>
      <w:r>
        <w:t xml:space="preserve"> </w:t>
      </w:r>
      <w:r w:rsidRPr="004B377C">
        <w:t>Thales S. Teixeira and Morgan Brown</w:t>
      </w:r>
      <w:r>
        <w:t xml:space="preserve">, </w:t>
      </w:r>
      <w:r w:rsidRPr="004646C2">
        <w:rPr>
          <w:i/>
        </w:rPr>
        <w:t>Airbnb, Etsy, Uber: Acquiring the First Thousand Customers</w:t>
      </w:r>
      <w:r w:rsidRPr="00961DEB">
        <w:t xml:space="preserve"> </w:t>
      </w:r>
      <w:r>
        <w:t>(Boston, MA: Harvard Business School Publishing, 2016). Available from Ivey Publishing, product no. 516094.</w:t>
      </w:r>
    </w:p>
  </w:endnote>
  <w:endnote w:id="7">
    <w:p w14:paraId="15DA5B7E" w14:textId="53FCDFF6" w:rsidR="00AF3E41" w:rsidRPr="00961DEB" w:rsidRDefault="00AF3E41" w:rsidP="00AC013A">
      <w:pPr>
        <w:pStyle w:val="Footnote"/>
      </w:pPr>
      <w:r w:rsidRPr="00961DEB">
        <w:rPr>
          <w:rStyle w:val="EndnoteReference"/>
        </w:rPr>
        <w:endnoteRef/>
      </w:r>
      <w:r w:rsidRPr="00961DEB">
        <w:t xml:space="preserve"> Cynthia A</w:t>
      </w:r>
      <w:r>
        <w:t>.</w:t>
      </w:r>
      <w:r w:rsidRPr="00961DEB">
        <w:t xml:space="preserve"> Montgomery, James Weber</w:t>
      </w:r>
      <w:r>
        <w:t>,</w:t>
      </w:r>
      <w:r w:rsidRPr="00961DEB">
        <w:t xml:space="preserve"> and Elizabeth Anne Wat</w:t>
      </w:r>
      <w:r>
        <w:t>k</w:t>
      </w:r>
      <w:r w:rsidRPr="00961DEB">
        <w:t xml:space="preserve">ins, </w:t>
      </w:r>
      <w:r w:rsidRPr="004646C2">
        <w:rPr>
          <w:i/>
        </w:rPr>
        <w:t>The On-Demand Economy</w:t>
      </w:r>
      <w:r w:rsidRPr="00961DEB">
        <w:t xml:space="preserve"> </w:t>
      </w:r>
      <w:r>
        <w:t>(Boston, MA: Harvard Business School Publishing, 2015). Available from Ivey Publishing, product no. 716405.</w:t>
      </w:r>
    </w:p>
  </w:endnote>
  <w:endnote w:id="8">
    <w:p w14:paraId="7EC1E1B6" w14:textId="6329D872" w:rsidR="00AF3E41" w:rsidRPr="00961DEB" w:rsidRDefault="00AF3E41" w:rsidP="00AC013A">
      <w:pPr>
        <w:pStyle w:val="Footnote"/>
      </w:pPr>
      <w:r w:rsidRPr="00961DEB">
        <w:rPr>
          <w:rStyle w:val="EndnoteReference"/>
        </w:rPr>
        <w:endnoteRef/>
      </w:r>
      <w:r>
        <w:t xml:space="preserve"> Full Stack Marketing,</w:t>
      </w:r>
      <w:r w:rsidRPr="00961DEB">
        <w:t xml:space="preserve"> </w:t>
      </w:r>
      <w:r>
        <w:t xml:space="preserve">“#hacktic: </w:t>
      </w:r>
      <w:r w:rsidRPr="00961DEB">
        <w:t xml:space="preserve">Airbnb’s Craiglist </w:t>
      </w:r>
      <w:r>
        <w:t>P</w:t>
      </w:r>
      <w:r w:rsidRPr="00961DEB">
        <w:t>latform integration,</w:t>
      </w:r>
      <w:r>
        <w:t xml:space="preserve">” September 9, 2013, accessed July 24, 2017, </w:t>
      </w:r>
      <w:r w:rsidRPr="008C0E62">
        <w:t>http://fullstack.it/blog/growth/airbnb-craigslist-growth-hack/</w:t>
      </w:r>
      <w:r>
        <w:t>.</w:t>
      </w:r>
    </w:p>
  </w:endnote>
  <w:endnote w:id="9">
    <w:p w14:paraId="6EFCEE8E" w14:textId="648950D4" w:rsidR="00AF3E41" w:rsidRPr="00961DEB" w:rsidRDefault="00AF3E41" w:rsidP="00AC013A">
      <w:pPr>
        <w:pStyle w:val="Footnote"/>
        <w:rPr>
          <w:vertAlign w:val="superscript"/>
        </w:rPr>
      </w:pPr>
      <w:r w:rsidRPr="00961DEB">
        <w:rPr>
          <w:rStyle w:val="EndnoteReference"/>
        </w:rPr>
        <w:endnoteRef/>
      </w:r>
      <w:r w:rsidRPr="00961DEB">
        <w:t xml:space="preserve"> </w:t>
      </w:r>
      <w:r>
        <w:t>Morgan Brown, “</w:t>
      </w:r>
      <w:r w:rsidRPr="00AC013A">
        <w:t xml:space="preserve">Airbnb: The </w:t>
      </w:r>
      <w:r>
        <w:t>G</w:t>
      </w:r>
      <w:r w:rsidRPr="00AC013A">
        <w:t xml:space="preserve">rowth </w:t>
      </w:r>
      <w:r>
        <w:t>S</w:t>
      </w:r>
      <w:r w:rsidRPr="00AC013A">
        <w:t xml:space="preserve">tory </w:t>
      </w:r>
      <w:r>
        <w:t>Y</w:t>
      </w:r>
      <w:r w:rsidRPr="00AC013A">
        <w:t xml:space="preserve">ou </w:t>
      </w:r>
      <w:r>
        <w:t>D</w:t>
      </w:r>
      <w:r w:rsidRPr="00AC013A">
        <w:t xml:space="preserve">idn’t </w:t>
      </w:r>
      <w:r>
        <w:t>K</w:t>
      </w:r>
      <w:r w:rsidRPr="00AC013A">
        <w:t>now</w:t>
      </w:r>
      <w:r w:rsidRPr="00961DEB">
        <w:t>,</w:t>
      </w:r>
      <w:r>
        <w:t xml:space="preserve">” Growth Hackers, n.d., accessed July 24, 2017, </w:t>
      </w:r>
      <w:r w:rsidRPr="00736177">
        <w:t>https://growthhackers.com/growth-studies/airbnb</w:t>
      </w:r>
      <w:r>
        <w:t>.</w:t>
      </w:r>
    </w:p>
  </w:endnote>
  <w:endnote w:id="10">
    <w:p w14:paraId="7858BCE3" w14:textId="57A93E35" w:rsidR="00AF3E41" w:rsidRPr="00961DEB" w:rsidRDefault="00AF3E41" w:rsidP="00AC013A">
      <w:pPr>
        <w:pStyle w:val="Footnote"/>
        <w:rPr>
          <w:vertAlign w:val="superscript"/>
        </w:rPr>
      </w:pPr>
      <w:r w:rsidRPr="00961DEB">
        <w:rPr>
          <w:rStyle w:val="EndnoteReference"/>
        </w:rPr>
        <w:endnoteRef/>
      </w:r>
      <w:r w:rsidRPr="00961DEB">
        <w:t xml:space="preserve"> Kristen V</w:t>
      </w:r>
      <w:r>
        <w:t>.</w:t>
      </w:r>
      <w:r w:rsidRPr="00961DEB">
        <w:t xml:space="preserve"> Brown, </w:t>
      </w:r>
      <w:r>
        <w:t>“</w:t>
      </w:r>
      <w:r w:rsidRPr="00961DEB">
        <w:t xml:space="preserve">Airbnb </w:t>
      </w:r>
      <w:r>
        <w:t>H</w:t>
      </w:r>
      <w:r w:rsidRPr="00961DEB">
        <w:t xml:space="preserve">as </w:t>
      </w:r>
      <w:r>
        <w:t>M</w:t>
      </w:r>
      <w:r w:rsidRPr="00961DEB">
        <w:t xml:space="preserve">ade </w:t>
      </w:r>
      <w:r>
        <w:t>I</w:t>
      </w:r>
      <w:r w:rsidRPr="00961DEB">
        <w:t xml:space="preserve">t </w:t>
      </w:r>
      <w:r>
        <w:t>N</w:t>
      </w:r>
      <w:r w:rsidRPr="00961DEB">
        <w:t xml:space="preserve">early </w:t>
      </w:r>
      <w:r>
        <w:t>I</w:t>
      </w:r>
      <w:r w:rsidRPr="00961DEB">
        <w:t xml:space="preserve">mpossible to </w:t>
      </w:r>
      <w:r>
        <w:t>F</w:t>
      </w:r>
      <w:r w:rsidRPr="00961DEB">
        <w:t xml:space="preserve">ind a </w:t>
      </w:r>
      <w:r>
        <w:t>P</w:t>
      </w:r>
      <w:r w:rsidRPr="00961DEB">
        <w:t xml:space="preserve">lace to </w:t>
      </w:r>
      <w:r>
        <w:t>L</w:t>
      </w:r>
      <w:r w:rsidRPr="00961DEB">
        <w:t xml:space="preserve">ive in </w:t>
      </w:r>
      <w:r>
        <w:t>T</w:t>
      </w:r>
      <w:r w:rsidRPr="00961DEB">
        <w:t xml:space="preserve">his </w:t>
      </w:r>
      <w:r>
        <w:t>C</w:t>
      </w:r>
      <w:r w:rsidRPr="00961DEB">
        <w:t>ity,</w:t>
      </w:r>
      <w:r>
        <w:t>” Splinter, May 24</w:t>
      </w:r>
      <w:r w:rsidRPr="00961DEB">
        <w:t>, 2016,</w:t>
      </w:r>
      <w:r>
        <w:t xml:space="preserve"> accessed July 24, 2017,</w:t>
      </w:r>
      <w:r w:rsidRPr="00961DEB">
        <w:t xml:space="preserve"> http://fusion.net/story/305584/airbnb-reykjavik/</w:t>
      </w:r>
      <w:r>
        <w:t>.</w:t>
      </w:r>
    </w:p>
  </w:endnote>
  <w:endnote w:id="11">
    <w:p w14:paraId="7F5341AE" w14:textId="2FAD731E" w:rsidR="00AF3E41" w:rsidRPr="009C675A" w:rsidRDefault="00AF3E41" w:rsidP="00AC013A">
      <w:pPr>
        <w:pStyle w:val="Footnote"/>
        <w:rPr>
          <w:spacing w:val="-6"/>
          <w:kern w:val="17"/>
        </w:rPr>
      </w:pPr>
      <w:r w:rsidRPr="009C675A">
        <w:rPr>
          <w:rStyle w:val="EndnoteReference"/>
          <w:spacing w:val="-6"/>
          <w:kern w:val="17"/>
        </w:rPr>
        <w:endnoteRef/>
      </w:r>
      <w:r w:rsidRPr="009C675A">
        <w:rPr>
          <w:spacing w:val="-6"/>
          <w:kern w:val="17"/>
        </w:rPr>
        <w:t xml:space="preserve"> “All Eyes on the Sharing Economy,” </w:t>
      </w:r>
      <w:r w:rsidRPr="009C675A">
        <w:rPr>
          <w:i/>
          <w:spacing w:val="-6"/>
          <w:kern w:val="17"/>
        </w:rPr>
        <w:t>Economist</w:t>
      </w:r>
      <w:r w:rsidRPr="009C675A">
        <w:rPr>
          <w:spacing w:val="-6"/>
          <w:kern w:val="17"/>
        </w:rPr>
        <w:t xml:space="preserve">, March 9, 2013, accessed July 24, 2017, https://www.economist.com/news/technology-quarterly/21572914-collaborative-consumption-technology-makes-it-easier-people-rent-items. </w:t>
      </w:r>
    </w:p>
  </w:endnote>
  <w:endnote w:id="12">
    <w:p w14:paraId="380B9BBC" w14:textId="75845A87" w:rsidR="00AF3E41" w:rsidRPr="00961DEB" w:rsidRDefault="00AF3E41" w:rsidP="00AC013A">
      <w:pPr>
        <w:pStyle w:val="Footnote"/>
        <w:rPr>
          <w:lang w:val="en-IN"/>
        </w:rPr>
      </w:pPr>
      <w:r w:rsidRPr="00961DEB">
        <w:rPr>
          <w:rStyle w:val="EndnoteReference"/>
        </w:rPr>
        <w:endnoteRef/>
      </w:r>
      <w:r w:rsidRPr="00961DEB">
        <w:t xml:space="preserve"> Nathan Blecharczyk, </w:t>
      </w:r>
      <w:r>
        <w:t>“</w:t>
      </w:r>
      <w:r w:rsidRPr="00AC013A">
        <w:t>Airbnb and Chinese Travellers</w:t>
      </w:r>
      <w:r w:rsidRPr="00961DEB">
        <w:t>,</w:t>
      </w:r>
      <w:r>
        <w:t>”</w:t>
      </w:r>
      <w:r w:rsidRPr="00961DEB">
        <w:t xml:space="preserve"> </w:t>
      </w:r>
      <w:r>
        <w:t>Airbnb Blog, June 20, 2016, accessed July 24, 2017,</w:t>
      </w:r>
      <w:r w:rsidRPr="00961DEB">
        <w:t xml:space="preserve"> </w:t>
      </w:r>
      <w:r w:rsidRPr="00736177">
        <w:t>http://blog.atairbnb.com/airbnbandchina/</w:t>
      </w:r>
      <w:r>
        <w:t>.</w:t>
      </w:r>
    </w:p>
  </w:endnote>
  <w:endnote w:id="13">
    <w:p w14:paraId="306247F3" w14:textId="3E8838ED" w:rsidR="00AF3E41" w:rsidRPr="00961DEB" w:rsidRDefault="00AF3E41" w:rsidP="00AC013A">
      <w:pPr>
        <w:pStyle w:val="Footnote"/>
        <w:rPr>
          <w:vertAlign w:val="superscript"/>
        </w:rPr>
      </w:pPr>
      <w:r w:rsidRPr="00961DEB">
        <w:rPr>
          <w:rStyle w:val="EndnoteReference"/>
        </w:rPr>
        <w:endnoteRef/>
      </w:r>
      <w:r w:rsidRPr="00961DEB">
        <w:t xml:space="preserve"> Deanna Ting</w:t>
      </w:r>
      <w:r>
        <w:t>,</w:t>
      </w:r>
      <w:r w:rsidRPr="00961DEB">
        <w:t xml:space="preserve"> </w:t>
      </w:r>
      <w:r>
        <w:t>“</w:t>
      </w:r>
      <w:r w:rsidRPr="00AC013A">
        <w:t>Airbnb, New York City, and Hosts: What Happens Now?</w:t>
      </w:r>
      <w:r>
        <w:t>”</w:t>
      </w:r>
      <w:r w:rsidRPr="00961DEB">
        <w:t xml:space="preserve"> </w:t>
      </w:r>
      <w:r w:rsidRPr="00DC0B12">
        <w:rPr>
          <w:i/>
        </w:rPr>
        <w:t>Skift</w:t>
      </w:r>
      <w:r w:rsidRPr="00961DEB">
        <w:t>, Dec</w:t>
      </w:r>
      <w:r>
        <w:t>ember</w:t>
      </w:r>
      <w:r w:rsidRPr="00961DEB">
        <w:t xml:space="preserve"> 6, 2016,</w:t>
      </w:r>
      <w:r w:rsidRPr="008C0E62">
        <w:t xml:space="preserve"> </w:t>
      </w:r>
      <w:r w:rsidRPr="00961DEB">
        <w:t>accessed Feb</w:t>
      </w:r>
      <w:r>
        <w:t>ruary</w:t>
      </w:r>
      <w:r w:rsidRPr="00961DEB">
        <w:t xml:space="preserve"> 27, 2017</w:t>
      </w:r>
      <w:r>
        <w:t xml:space="preserve">, </w:t>
      </w:r>
      <w:r w:rsidRPr="00AC013A">
        <w:t>https://skift.com/2016/12/06/airbnb-new-york-city-and-hosts-what-happens-now/</w:t>
      </w:r>
      <w:r w:rsidRPr="00961DEB">
        <w:t>.</w:t>
      </w:r>
    </w:p>
  </w:endnote>
  <w:endnote w:id="14">
    <w:p w14:paraId="456F0826" w14:textId="3929C953" w:rsidR="00AF3E41" w:rsidRPr="00961DEB" w:rsidRDefault="00AF3E41" w:rsidP="00AC013A">
      <w:pPr>
        <w:pStyle w:val="Footnote"/>
      </w:pPr>
      <w:r w:rsidRPr="00961DEB">
        <w:rPr>
          <w:rStyle w:val="EndnoteReference"/>
        </w:rPr>
        <w:endnoteRef/>
      </w:r>
      <w:r w:rsidRPr="00961DEB">
        <w:t xml:space="preserve"> </w:t>
      </w:r>
      <w:r>
        <w:t>DMR, “</w:t>
      </w:r>
      <w:r w:rsidRPr="00AC013A">
        <w:t xml:space="preserve">Airbnb </w:t>
      </w:r>
      <w:r>
        <w:t>S</w:t>
      </w:r>
      <w:r w:rsidRPr="00AC013A">
        <w:t xml:space="preserve">tatistics and </w:t>
      </w:r>
      <w:r>
        <w:t>F</w:t>
      </w:r>
      <w:r w:rsidRPr="00AC013A">
        <w:t>acts</w:t>
      </w:r>
      <w:r w:rsidRPr="00961DEB">
        <w:t>,</w:t>
      </w:r>
      <w:r>
        <w:t xml:space="preserve">” expandedramblings.com, July 2, 2017, accessed July 24, 2017, </w:t>
      </w:r>
      <w:r w:rsidRPr="00175588">
        <w:t>http://expandedramblings.com/index.php/airbnb-statistics/</w:t>
      </w:r>
      <w:r>
        <w:t>.</w:t>
      </w:r>
    </w:p>
  </w:endnote>
  <w:endnote w:id="15">
    <w:p w14:paraId="4F986F99" w14:textId="752E3171" w:rsidR="00AF3E41" w:rsidRPr="00961DEB" w:rsidRDefault="00AF3E41" w:rsidP="00AC013A">
      <w:pPr>
        <w:pStyle w:val="Footnote"/>
      </w:pPr>
      <w:r w:rsidRPr="00961DEB">
        <w:rPr>
          <w:rStyle w:val="EndnoteReference"/>
        </w:rPr>
        <w:endnoteRef/>
      </w:r>
      <w:r w:rsidRPr="00961DEB">
        <w:t xml:space="preserve"> The market capitalization was calculated based on a very large round of private funding raised by Airbnb, as discussed in Cynthia A</w:t>
      </w:r>
      <w:r>
        <w:t>.</w:t>
      </w:r>
      <w:r w:rsidRPr="00961DEB">
        <w:t xml:space="preserve"> Montgomery, </w:t>
      </w:r>
      <w:r>
        <w:t xml:space="preserve">James </w:t>
      </w:r>
      <w:r w:rsidRPr="00961DEB">
        <w:t>Weber</w:t>
      </w:r>
      <w:r>
        <w:t>,</w:t>
      </w:r>
      <w:r w:rsidRPr="00961DEB">
        <w:t xml:space="preserve"> and </w:t>
      </w:r>
      <w:r>
        <w:t xml:space="preserve">Elizabeth Anne </w:t>
      </w:r>
      <w:r w:rsidRPr="00961DEB">
        <w:t>Watkins</w:t>
      </w:r>
      <w:r>
        <w:t xml:space="preserve">, </w:t>
      </w:r>
      <w:r w:rsidRPr="004646C2">
        <w:rPr>
          <w:i/>
        </w:rPr>
        <w:t>The On-</w:t>
      </w:r>
      <w:r>
        <w:rPr>
          <w:i/>
        </w:rPr>
        <w:t>D</w:t>
      </w:r>
      <w:r w:rsidRPr="004646C2">
        <w:rPr>
          <w:i/>
        </w:rPr>
        <w:t xml:space="preserve">emand </w:t>
      </w:r>
      <w:r>
        <w:rPr>
          <w:i/>
        </w:rPr>
        <w:t>E</w:t>
      </w:r>
      <w:r w:rsidRPr="004646C2">
        <w:rPr>
          <w:i/>
        </w:rPr>
        <w:t>conomy</w:t>
      </w:r>
      <w:r>
        <w:t xml:space="preserve">, op. cit. </w:t>
      </w:r>
    </w:p>
  </w:endnote>
  <w:endnote w:id="16">
    <w:p w14:paraId="25FE1999" w14:textId="6729EF68" w:rsidR="00AF3E41" w:rsidRPr="00961DEB" w:rsidRDefault="00AF3E41" w:rsidP="00AC013A">
      <w:pPr>
        <w:pStyle w:val="Footnote"/>
      </w:pPr>
      <w:r w:rsidRPr="00961DEB">
        <w:rPr>
          <w:rStyle w:val="EndnoteReference"/>
        </w:rPr>
        <w:endnoteRef/>
      </w:r>
      <w:r w:rsidRPr="00961DEB">
        <w:t xml:space="preserve"> Tom Slee, </w:t>
      </w:r>
      <w:r>
        <w:t>“</w:t>
      </w:r>
      <w:r w:rsidRPr="00AC013A">
        <w:t xml:space="preserve">Airbnb </w:t>
      </w:r>
      <w:r>
        <w:t>Is F</w:t>
      </w:r>
      <w:r w:rsidRPr="00AC013A">
        <w:t xml:space="preserve">acing an </w:t>
      </w:r>
      <w:r>
        <w:t>E</w:t>
      </w:r>
      <w:r w:rsidRPr="00AC013A">
        <w:t xml:space="preserve">xistential </w:t>
      </w:r>
      <w:r>
        <w:t>E</w:t>
      </w:r>
      <w:r w:rsidRPr="00AC013A">
        <w:t xml:space="preserve">xpansion </w:t>
      </w:r>
      <w:r>
        <w:t>P</w:t>
      </w:r>
      <w:r w:rsidRPr="00AC013A">
        <w:t>roblem</w:t>
      </w:r>
      <w:r w:rsidRPr="00961DEB">
        <w:t>,</w:t>
      </w:r>
      <w:r>
        <w:t>”</w:t>
      </w:r>
      <w:r w:rsidRPr="00961DEB">
        <w:t xml:space="preserve"> </w:t>
      </w:r>
      <w:r w:rsidRPr="004B377C">
        <w:rPr>
          <w:i/>
        </w:rPr>
        <w:t>Harvard Business Review</w:t>
      </w:r>
      <w:r w:rsidRPr="00961DEB">
        <w:t>, July 11, 2016</w:t>
      </w:r>
      <w:r>
        <w:t xml:space="preserve">, accessed July 24, 2017, </w:t>
      </w:r>
      <w:r w:rsidRPr="008C0E62">
        <w:t>https://hbr.org/2016/07/airbnb-is-facing-an-existential-expansion-problem</w:t>
      </w:r>
      <w:r>
        <w:t>.</w:t>
      </w:r>
    </w:p>
  </w:endnote>
  <w:endnote w:id="17">
    <w:p w14:paraId="2028D455" w14:textId="63529546" w:rsidR="00AF3E41" w:rsidRPr="00961DEB" w:rsidRDefault="00AF3E41" w:rsidP="00AC013A">
      <w:pPr>
        <w:pStyle w:val="Footnote"/>
      </w:pPr>
      <w:r w:rsidRPr="00961DEB">
        <w:rPr>
          <w:rStyle w:val="EndnoteReference"/>
        </w:rPr>
        <w:endnoteRef/>
      </w:r>
      <w:r w:rsidRPr="00961DEB">
        <w:t xml:space="preserve"> </w:t>
      </w:r>
      <w:r>
        <w:t>Andrew J Hawkins, “A</w:t>
      </w:r>
      <w:r w:rsidRPr="00961DEB">
        <w:t>i</w:t>
      </w:r>
      <w:r>
        <w:t>r</w:t>
      </w:r>
      <w:r w:rsidRPr="00961DEB">
        <w:t xml:space="preserve">bnb </w:t>
      </w:r>
      <w:r>
        <w:t>I</w:t>
      </w:r>
      <w:r w:rsidRPr="00961DEB">
        <w:t xml:space="preserve">s </w:t>
      </w:r>
      <w:r>
        <w:t>N</w:t>
      </w:r>
      <w:r w:rsidRPr="00961DEB">
        <w:t xml:space="preserve">ow </w:t>
      </w:r>
      <w:r>
        <w:t>B</w:t>
      </w:r>
      <w:r w:rsidRPr="00961DEB">
        <w:t xml:space="preserve">anned from </w:t>
      </w:r>
      <w:r>
        <w:t>L</w:t>
      </w:r>
      <w:r w:rsidRPr="00961DEB">
        <w:t xml:space="preserve">isting </w:t>
      </w:r>
      <w:r>
        <w:t>S</w:t>
      </w:r>
      <w:r w:rsidRPr="00961DEB">
        <w:t>hort</w:t>
      </w:r>
      <w:r>
        <w:t>-T</w:t>
      </w:r>
      <w:r w:rsidRPr="00961DEB">
        <w:t xml:space="preserve">erm </w:t>
      </w:r>
      <w:r>
        <w:t>R</w:t>
      </w:r>
      <w:r w:rsidRPr="00961DEB">
        <w:t>ental</w:t>
      </w:r>
      <w:r>
        <w:t>s</w:t>
      </w:r>
      <w:r w:rsidRPr="00961DEB">
        <w:t xml:space="preserve"> in New York,</w:t>
      </w:r>
      <w:r>
        <w:t>”</w:t>
      </w:r>
      <w:r w:rsidRPr="00961DEB">
        <w:t xml:space="preserve"> </w:t>
      </w:r>
      <w:r w:rsidRPr="004646C2">
        <w:rPr>
          <w:i/>
        </w:rPr>
        <w:t>Verge</w:t>
      </w:r>
      <w:r>
        <w:t xml:space="preserve">, </w:t>
      </w:r>
      <w:r w:rsidRPr="00961DEB">
        <w:t>Oct</w:t>
      </w:r>
      <w:r>
        <w:t>ober</w:t>
      </w:r>
      <w:r w:rsidRPr="00961DEB">
        <w:t xml:space="preserve"> 21, 2016, accessed </w:t>
      </w:r>
      <w:r>
        <w:t>July</w:t>
      </w:r>
      <w:r w:rsidRPr="00961DEB">
        <w:t xml:space="preserve"> 24, 2017</w:t>
      </w:r>
      <w:r>
        <w:t xml:space="preserve">, </w:t>
      </w:r>
      <w:r w:rsidRPr="00AC013A">
        <w:t>www.theverge.com/2016/10/21/13361536/airbnb-new-york-cuomo-bill-ban-short-term</w:t>
      </w:r>
      <w:r>
        <w:t>.</w:t>
      </w:r>
    </w:p>
  </w:endnote>
  <w:endnote w:id="18">
    <w:p w14:paraId="59667ADF" w14:textId="5053862A" w:rsidR="00AF3E41" w:rsidRPr="00961DEB" w:rsidRDefault="00AF3E41" w:rsidP="00AC013A">
      <w:pPr>
        <w:pStyle w:val="Footnote"/>
      </w:pPr>
      <w:r w:rsidRPr="00961DEB">
        <w:rPr>
          <w:rStyle w:val="EndnoteReference"/>
        </w:rPr>
        <w:endnoteRef/>
      </w:r>
      <w:r>
        <w:t xml:space="preserve"> </w:t>
      </w:r>
      <w:r w:rsidRPr="004646C2">
        <w:t>Alan Yuhas</w:t>
      </w:r>
      <w:r>
        <w:t>,</w:t>
      </w:r>
      <w:r w:rsidRPr="00961DEB">
        <w:t xml:space="preserve"> </w:t>
      </w:r>
      <w:r>
        <w:t>“</w:t>
      </w:r>
      <w:r w:rsidRPr="00AC013A">
        <w:t xml:space="preserve">Airbnb </w:t>
      </w:r>
      <w:r>
        <w:t>H</w:t>
      </w:r>
      <w:r w:rsidRPr="00AC013A">
        <w:t xml:space="preserve">osts </w:t>
      </w:r>
      <w:r>
        <w:t>R</w:t>
      </w:r>
      <w:r w:rsidRPr="00AC013A">
        <w:t xml:space="preserve">eturn to </w:t>
      </w:r>
      <w:r>
        <w:t>F</w:t>
      </w:r>
      <w:r w:rsidRPr="00AC013A">
        <w:t xml:space="preserve">ind </w:t>
      </w:r>
      <w:r>
        <w:t>H</w:t>
      </w:r>
      <w:r w:rsidRPr="00AC013A">
        <w:t xml:space="preserve">ome </w:t>
      </w:r>
      <w:r>
        <w:t>T</w:t>
      </w:r>
      <w:r w:rsidRPr="00AC013A">
        <w:t xml:space="preserve">rashed after </w:t>
      </w:r>
      <w:r>
        <w:t>‘D</w:t>
      </w:r>
      <w:r w:rsidRPr="00AC013A">
        <w:t>rug-</w:t>
      </w:r>
      <w:r>
        <w:t>I</w:t>
      </w:r>
      <w:r w:rsidRPr="00AC013A">
        <w:t xml:space="preserve">nduced </w:t>
      </w:r>
      <w:r>
        <w:t>O</w:t>
      </w:r>
      <w:r w:rsidRPr="00AC013A">
        <w:t>rgy</w:t>
      </w:r>
      <w:r>
        <w:t>’</w:t>
      </w:r>
      <w:r w:rsidRPr="00AC013A">
        <w:t>,</w:t>
      </w:r>
      <w:r>
        <w:rPr>
          <w:rStyle w:val="Hyperlink"/>
          <w:color w:val="auto"/>
          <w:u w:val="none"/>
        </w:rPr>
        <w:t>”</w:t>
      </w:r>
      <w:r w:rsidRPr="00961DEB">
        <w:t xml:space="preserve"> </w:t>
      </w:r>
      <w:r w:rsidRPr="00B5399D">
        <w:rPr>
          <w:i/>
        </w:rPr>
        <w:t>Guardian</w:t>
      </w:r>
      <w:r>
        <w:t xml:space="preserve">, </w:t>
      </w:r>
      <w:r w:rsidRPr="00B5399D">
        <w:t>April</w:t>
      </w:r>
      <w:r w:rsidRPr="00961DEB">
        <w:t xml:space="preserve"> 30, </w:t>
      </w:r>
      <w:r>
        <w:t>2015, accessed July 24, 2017,</w:t>
      </w:r>
      <w:r w:rsidRPr="00961DEB">
        <w:t xml:space="preserve"> </w:t>
      </w:r>
      <w:r w:rsidRPr="00AC013A">
        <w:t>https://www.theguardian.com/technology/2015/apr/30/airbnb-calgary-home-trashed-drug-induced-orgy</w:t>
      </w:r>
      <w:r w:rsidRPr="00B5399D">
        <w:rPr>
          <w:rStyle w:val="Hyperlink"/>
          <w:color w:val="auto"/>
          <w:u w:val="none"/>
        </w:rPr>
        <w:t>.</w:t>
      </w:r>
    </w:p>
  </w:endnote>
  <w:endnote w:id="19">
    <w:p w14:paraId="4B84AD7B" w14:textId="56FE086F" w:rsidR="00AF3E41" w:rsidRPr="00961DEB" w:rsidRDefault="00AF3E41" w:rsidP="00AC013A">
      <w:pPr>
        <w:pStyle w:val="Footnote"/>
      </w:pPr>
      <w:r w:rsidRPr="00961DEB">
        <w:rPr>
          <w:rStyle w:val="EndnoteReference"/>
        </w:rPr>
        <w:endnoteRef/>
      </w:r>
      <w:r w:rsidRPr="00DC0B12">
        <w:rPr>
          <w:i/>
        </w:rPr>
        <w:t xml:space="preserve"> </w:t>
      </w:r>
      <w:r>
        <w:t>“</w:t>
      </w:r>
      <w:r w:rsidRPr="00961DEB">
        <w:t xml:space="preserve">All </w:t>
      </w:r>
      <w:r>
        <w:t>E</w:t>
      </w:r>
      <w:r w:rsidRPr="00961DEB">
        <w:t xml:space="preserve">yes on the </w:t>
      </w:r>
      <w:r>
        <w:t>S</w:t>
      </w:r>
      <w:r w:rsidRPr="00961DEB">
        <w:t xml:space="preserve">haring </w:t>
      </w:r>
      <w:r>
        <w:t>E</w:t>
      </w:r>
      <w:r w:rsidRPr="00961DEB">
        <w:t>conomy,</w:t>
      </w:r>
      <w:r>
        <w:t>”</w:t>
      </w:r>
      <w:r w:rsidRPr="00961DEB">
        <w:t xml:space="preserve"> </w:t>
      </w:r>
      <w:r w:rsidRPr="00DC0B12">
        <w:rPr>
          <w:i/>
        </w:rPr>
        <w:t>Economist</w:t>
      </w:r>
      <w:r>
        <w:t xml:space="preserve">, </w:t>
      </w:r>
      <w:r w:rsidRPr="00961DEB">
        <w:t>Ma</w:t>
      </w:r>
      <w:r>
        <w:t>rch</w:t>
      </w:r>
      <w:r w:rsidRPr="00961DEB">
        <w:t xml:space="preserve"> 9, 2013,</w:t>
      </w:r>
      <w:r>
        <w:t xml:space="preserve"> </w:t>
      </w:r>
      <w:r w:rsidRPr="00961DEB">
        <w:t xml:space="preserve">accessed </w:t>
      </w:r>
      <w:r>
        <w:t>July 24,</w:t>
      </w:r>
      <w:r w:rsidRPr="00961DEB">
        <w:t xml:space="preserve"> 2017</w:t>
      </w:r>
      <w:r>
        <w:t>,</w:t>
      </w:r>
      <w:r w:rsidRPr="00961DEB">
        <w:t xml:space="preserve"> </w:t>
      </w:r>
      <w:r w:rsidRPr="00AC013A">
        <w:t>https://www.economist.com/news/technology-quarterly/21572914-collaborative-consumption-technology-makes-it-easier-people-rent-items</w:t>
      </w:r>
      <w:r>
        <w:t>.</w:t>
      </w:r>
    </w:p>
  </w:endnote>
  <w:endnote w:id="20">
    <w:p w14:paraId="6EB7015C" w14:textId="42449CD4" w:rsidR="00AF3E41" w:rsidRPr="00961DEB" w:rsidRDefault="00AF3E41" w:rsidP="00AC013A">
      <w:pPr>
        <w:pStyle w:val="Footnote"/>
      </w:pPr>
      <w:r w:rsidRPr="00961DEB">
        <w:rPr>
          <w:rStyle w:val="EndnoteReference"/>
        </w:rPr>
        <w:endnoteRef/>
      </w:r>
      <w:r w:rsidRPr="00961DEB">
        <w:t xml:space="preserve"> Eric Newcomer, </w:t>
      </w:r>
      <w:r>
        <w:t>“</w:t>
      </w:r>
      <w:r w:rsidRPr="00AC013A">
        <w:t>Airbnb Overhauls Service for Business Travelers</w:t>
      </w:r>
      <w:r w:rsidRPr="00961DEB">
        <w:t>,</w:t>
      </w:r>
      <w:r>
        <w:t>”</w:t>
      </w:r>
      <w:r w:rsidRPr="00961DEB">
        <w:t xml:space="preserve"> </w:t>
      </w:r>
      <w:r w:rsidRPr="004B377C">
        <w:rPr>
          <w:i/>
        </w:rPr>
        <w:t>Bloomberg Technology</w:t>
      </w:r>
      <w:r w:rsidRPr="00961DEB">
        <w:t>, July 20, 2015, accessed Feb</w:t>
      </w:r>
      <w:r>
        <w:t>ruary</w:t>
      </w:r>
      <w:r w:rsidRPr="00961DEB">
        <w:t xml:space="preserve"> 24, 2017</w:t>
      </w:r>
      <w:r>
        <w:t xml:space="preserve">, </w:t>
      </w:r>
      <w:r w:rsidRPr="00AC013A">
        <w:t>https://www.bloomberg.com/news/articles/2015-07-20/airbnb-overhauls-service-for-business-travelers</w:t>
      </w:r>
      <w:r w:rsidRPr="00961DEB">
        <w:t>.</w:t>
      </w:r>
    </w:p>
  </w:endnote>
  <w:endnote w:id="21">
    <w:p w14:paraId="7DBC086D" w14:textId="09E49938" w:rsidR="00AF3E41" w:rsidRPr="00961DEB" w:rsidRDefault="00AF3E41" w:rsidP="00AC013A">
      <w:pPr>
        <w:pStyle w:val="Footnote"/>
        <w:rPr>
          <w:lang w:val="en-IN"/>
        </w:rPr>
      </w:pPr>
      <w:r w:rsidRPr="00961DEB">
        <w:rPr>
          <w:rStyle w:val="EndnoteReference"/>
        </w:rPr>
        <w:endnoteRef/>
      </w:r>
      <w:r w:rsidRPr="00961DEB">
        <w:t xml:space="preserve"> Roma</w:t>
      </w:r>
      <w:r>
        <w:t>i</w:t>
      </w:r>
      <w:r w:rsidRPr="00961DEB">
        <w:t xml:space="preserve">n Dillet, </w:t>
      </w:r>
      <w:r>
        <w:t>“</w:t>
      </w:r>
      <w:r w:rsidRPr="00AC013A">
        <w:t xml:space="preserve">Airbnb Announces New </w:t>
      </w:r>
      <w:r>
        <w:t>‘</w:t>
      </w:r>
      <w:r w:rsidRPr="00AC013A">
        <w:t>Business Travel Ready</w:t>
      </w:r>
      <w:r>
        <w:t>’</w:t>
      </w:r>
      <w:r w:rsidRPr="00AC013A">
        <w:t xml:space="preserve"> Badge, Host Tools</w:t>
      </w:r>
      <w:r w:rsidRPr="00961DEB">
        <w:t>,</w:t>
      </w:r>
      <w:r>
        <w:t>”</w:t>
      </w:r>
      <w:r w:rsidRPr="00961DEB">
        <w:t xml:space="preserve"> </w:t>
      </w:r>
      <w:r w:rsidRPr="004B377C">
        <w:rPr>
          <w:i/>
        </w:rPr>
        <w:t>Techcrunch</w:t>
      </w:r>
      <w:r w:rsidRPr="00961DEB">
        <w:t>, Nov</w:t>
      </w:r>
      <w:r>
        <w:t>ember</w:t>
      </w:r>
      <w:r w:rsidRPr="00961DEB">
        <w:t xml:space="preserve"> 12, 2015</w:t>
      </w:r>
      <w:r>
        <w:t xml:space="preserve">, accessed July 24, 2017, </w:t>
      </w:r>
      <w:r w:rsidRPr="008C0E62">
        <w:t>https://techcrunch.com/2015/11/12/airbnb-announces-new-business-travel-ready-badge-host-tools/</w:t>
      </w:r>
      <w:r>
        <w:t>.</w:t>
      </w:r>
    </w:p>
  </w:endnote>
  <w:endnote w:id="22">
    <w:p w14:paraId="261A7DFC" w14:textId="36F640C8" w:rsidR="00AF3E41" w:rsidRPr="004646C2" w:rsidRDefault="00AF3E41" w:rsidP="00AC013A">
      <w:pPr>
        <w:pStyle w:val="Footnote"/>
        <w:rPr>
          <w:b/>
        </w:rPr>
      </w:pPr>
      <w:r w:rsidRPr="00961DEB">
        <w:rPr>
          <w:rStyle w:val="EndnoteReference"/>
        </w:rPr>
        <w:endnoteRef/>
      </w:r>
      <w:r w:rsidRPr="00961DEB">
        <w:t xml:space="preserve"> </w:t>
      </w:r>
      <w:r>
        <w:t>Airbnb, “The Simplest Way to Manage Travel</w:t>
      </w:r>
      <w:r w:rsidRPr="00961DEB">
        <w:t>,</w:t>
      </w:r>
      <w:r>
        <w:t>” Airbnb.com</w:t>
      </w:r>
      <w:r w:rsidRPr="00961DEB">
        <w:t xml:space="preserve"> </w:t>
      </w:r>
      <w:r>
        <w:t xml:space="preserve">accessed August 14, 2017, </w:t>
      </w:r>
      <w:r w:rsidRPr="00AC013A">
        <w:t>https://www.airbnb.com.sg/business/signup?af=43720035&amp;c=A_TC%3D9jabmpa9w4%26G_MT%3De%26G_CR%3D164650988124%26G_N%3Dg%26G_K%3Dairbnb%20business%20travel%26G_P%3D%26G_D%3Dc&amp;atlastest5=true&amp;gclid=CJ3R5JDRpdICFdaHaAodrgAF8A</w:t>
      </w:r>
      <w:r w:rsidR="009C675A">
        <w:t>.</w:t>
      </w:r>
    </w:p>
  </w:endnote>
  <w:endnote w:id="23">
    <w:p w14:paraId="4F9A4EA3" w14:textId="4C9A9D40" w:rsidR="00AF3E41" w:rsidRPr="00961DEB" w:rsidRDefault="00AF3E41" w:rsidP="00AC013A">
      <w:pPr>
        <w:pStyle w:val="Footnote"/>
      </w:pPr>
      <w:r w:rsidRPr="00961DEB">
        <w:rPr>
          <w:rStyle w:val="EndnoteReference"/>
        </w:rPr>
        <w:endnoteRef/>
      </w:r>
      <w:r w:rsidRPr="00961DEB">
        <w:t xml:space="preserve"> Uptin Saiidi, </w:t>
      </w:r>
      <w:r>
        <w:t>“</w:t>
      </w:r>
      <w:r w:rsidRPr="00961DEB">
        <w:t xml:space="preserve">Airbnb </w:t>
      </w:r>
      <w:r>
        <w:t>G</w:t>
      </w:r>
      <w:r w:rsidRPr="00961DEB">
        <w:t xml:space="preserve">oes </w:t>
      </w:r>
      <w:r>
        <w:t>B</w:t>
      </w:r>
      <w:r w:rsidRPr="00961DEB">
        <w:t xml:space="preserve">ack to </w:t>
      </w:r>
      <w:r>
        <w:t>I</w:t>
      </w:r>
      <w:r w:rsidRPr="00961DEB">
        <w:t xml:space="preserve">ts </w:t>
      </w:r>
      <w:r>
        <w:t>R</w:t>
      </w:r>
      <w:r w:rsidRPr="00961DEB">
        <w:t xml:space="preserve">oots, </w:t>
      </w:r>
      <w:r>
        <w:t>P</w:t>
      </w:r>
      <w:r w:rsidRPr="00961DEB">
        <w:t xml:space="preserve">ushes </w:t>
      </w:r>
      <w:r>
        <w:t>C</w:t>
      </w:r>
      <w:r w:rsidRPr="00961DEB">
        <w:t xml:space="preserve">orporate </w:t>
      </w:r>
      <w:r>
        <w:t>T</w:t>
      </w:r>
      <w:r w:rsidRPr="00961DEB">
        <w:t>ravel,</w:t>
      </w:r>
      <w:r>
        <w:t>”</w:t>
      </w:r>
      <w:r w:rsidRPr="00961DEB">
        <w:t xml:space="preserve"> </w:t>
      </w:r>
      <w:r w:rsidRPr="00AF3E41">
        <w:t>CNBC</w:t>
      </w:r>
      <w:r w:rsidRPr="00246238">
        <w:t>,</w:t>
      </w:r>
      <w:r>
        <w:t xml:space="preserve"> </w:t>
      </w:r>
      <w:r w:rsidRPr="00961DEB">
        <w:t>Sep</w:t>
      </w:r>
      <w:r>
        <w:t>tember</w:t>
      </w:r>
      <w:r w:rsidRPr="00961DEB">
        <w:t xml:space="preserve"> 14, 2016, </w:t>
      </w:r>
      <w:r>
        <w:t xml:space="preserve">accessed July 24, 2017, </w:t>
      </w:r>
      <w:r w:rsidRPr="00AC013A">
        <w:t>www.cnbc.com/2016/09/14/airbnb-pushes-corporate-travel-as-google-and-morgan-stanley-allow-employees-to-use-platform.html</w:t>
      </w:r>
      <w:r>
        <w:t>.</w:t>
      </w:r>
    </w:p>
  </w:endnote>
  <w:endnote w:id="24">
    <w:p w14:paraId="6DC79AE1" w14:textId="04E1A60A" w:rsidR="00AF3E41" w:rsidRDefault="00AF3E41" w:rsidP="00AC013A">
      <w:pPr>
        <w:pStyle w:val="Footnote"/>
      </w:pPr>
      <w:r>
        <w:rPr>
          <w:rStyle w:val="EndnoteReference"/>
        </w:rPr>
        <w:endnoteRef/>
      </w:r>
      <w:r>
        <w:t xml:space="preserve"> Greg Oates, “Understanding How Airbnb Empowers Hosts with New Business Travel Strategy,” </w:t>
      </w:r>
      <w:r w:rsidR="00386275" w:rsidRPr="00386275">
        <w:t>op. cit.</w:t>
      </w:r>
      <w:r w:rsidR="00386275">
        <w:rPr>
          <w:i/>
        </w:rPr>
        <w:t xml:space="preserve"> </w:t>
      </w:r>
    </w:p>
  </w:endnote>
  <w:endnote w:id="25">
    <w:p w14:paraId="1D8D9783" w14:textId="20B1B309" w:rsidR="00AF3E41" w:rsidRPr="00961DEB" w:rsidRDefault="00AF3E41" w:rsidP="00AC013A">
      <w:pPr>
        <w:pStyle w:val="Footnote"/>
      </w:pPr>
      <w:r w:rsidRPr="00961DEB">
        <w:rPr>
          <w:rStyle w:val="EndnoteReference"/>
        </w:rPr>
        <w:endnoteRef/>
      </w:r>
      <w:r w:rsidRPr="00961DEB">
        <w:t xml:space="preserve"> </w:t>
      </w:r>
      <w:r>
        <w:t xml:space="preserve">Airbnb, “Airbnb Launches Global Product Suite for Business,” press release, July 20, 2015, accessed July 24, 2017, </w:t>
      </w:r>
      <w:r w:rsidRPr="00175588">
        <w:t>www.businesswire.com/news/home/20150720006003/en/Airbnb-Launches-Global-Product-Suite-Businesses</w:t>
      </w:r>
      <w:r>
        <w:t>.</w:t>
      </w:r>
    </w:p>
  </w:endnote>
  <w:endnote w:id="26">
    <w:p w14:paraId="5BFA341C" w14:textId="6A41846B" w:rsidR="00AF3E41" w:rsidRPr="00961DEB" w:rsidRDefault="00AF3E41" w:rsidP="00AC013A">
      <w:pPr>
        <w:pStyle w:val="Footnote"/>
      </w:pPr>
      <w:r w:rsidRPr="00961DEB">
        <w:rPr>
          <w:rStyle w:val="EndnoteReference"/>
        </w:rPr>
        <w:endnoteRef/>
      </w:r>
      <w:r w:rsidRPr="00961DEB">
        <w:t xml:space="preserve"> </w:t>
      </w:r>
      <w:r>
        <w:t xml:space="preserve">Ibid. </w:t>
      </w:r>
    </w:p>
  </w:endnote>
  <w:endnote w:id="27">
    <w:p w14:paraId="28AE06DE" w14:textId="6C09090E" w:rsidR="00AF3E41" w:rsidRPr="00961DEB" w:rsidRDefault="00AF3E41" w:rsidP="00AC013A">
      <w:pPr>
        <w:pStyle w:val="Footnote"/>
      </w:pPr>
      <w:r w:rsidRPr="00961DEB">
        <w:rPr>
          <w:rStyle w:val="EndnoteReference"/>
        </w:rPr>
        <w:endnoteRef/>
      </w:r>
      <w:r w:rsidRPr="00961DEB">
        <w:t xml:space="preserve"> </w:t>
      </w:r>
      <w:r>
        <w:t>Ibid.</w:t>
      </w:r>
    </w:p>
  </w:endnote>
  <w:endnote w:id="28">
    <w:p w14:paraId="374A2D51" w14:textId="2187DF98" w:rsidR="00AF3E41" w:rsidRPr="00961DEB" w:rsidRDefault="00AF3E41" w:rsidP="00AC013A">
      <w:pPr>
        <w:pStyle w:val="Footnote"/>
      </w:pPr>
      <w:r w:rsidRPr="00961DEB">
        <w:rPr>
          <w:rStyle w:val="EndnoteReference"/>
        </w:rPr>
        <w:endnoteRef/>
      </w:r>
      <w:r w:rsidRPr="00961DEB">
        <w:t xml:space="preserve"> Bret Conkin, </w:t>
      </w:r>
      <w:r>
        <w:t>“</w:t>
      </w:r>
      <w:r w:rsidRPr="00961DEB">
        <w:t xml:space="preserve">Turn </w:t>
      </w:r>
      <w:r>
        <w:t>B</w:t>
      </w:r>
      <w:r w:rsidRPr="00961DEB">
        <w:t xml:space="preserve">usiness </w:t>
      </w:r>
      <w:r>
        <w:t>T</w:t>
      </w:r>
      <w:r w:rsidRPr="00961DEB">
        <w:t xml:space="preserve">ravel into a </w:t>
      </w:r>
      <w:r>
        <w:t>V</w:t>
      </w:r>
      <w:r w:rsidRPr="00961DEB">
        <w:t>acation with Ai</w:t>
      </w:r>
      <w:r>
        <w:t>r</w:t>
      </w:r>
      <w:r w:rsidRPr="00961DEB">
        <w:t>bnb</w:t>
      </w:r>
      <w:r w:rsidRPr="00325359">
        <w:t>,</w:t>
      </w:r>
      <w:r>
        <w:t>”</w:t>
      </w:r>
      <w:r w:rsidRPr="00325359">
        <w:t xml:space="preserve"> </w:t>
      </w:r>
      <w:r w:rsidRPr="00AF3E41">
        <w:t>Investopedia</w:t>
      </w:r>
      <w:r w:rsidRPr="00325359">
        <w:t>,</w:t>
      </w:r>
      <w:r>
        <w:t xml:space="preserve"> </w:t>
      </w:r>
      <w:r w:rsidRPr="00961DEB">
        <w:t>Feb</w:t>
      </w:r>
      <w:r>
        <w:t>ruary</w:t>
      </w:r>
      <w:r w:rsidRPr="00961DEB">
        <w:t xml:space="preserve"> 26, 2016, </w:t>
      </w:r>
      <w:r>
        <w:t xml:space="preserve">accessed July 24, 2017, </w:t>
      </w:r>
      <w:r w:rsidRPr="00961DEB">
        <w:t>www.investopedia.com/articles/personal-finance/022616/turn-business-travel-vacation-airbnb.asp</w:t>
      </w:r>
      <w:r>
        <w:t>.</w:t>
      </w:r>
    </w:p>
  </w:endnote>
  <w:endnote w:id="29">
    <w:p w14:paraId="33B95EE2" w14:textId="5C7F0546" w:rsidR="00AF3E41" w:rsidRPr="00961DEB" w:rsidRDefault="00AF3E41" w:rsidP="00AC013A">
      <w:pPr>
        <w:pStyle w:val="Footnote"/>
      </w:pPr>
      <w:r w:rsidRPr="00961DEB">
        <w:rPr>
          <w:rStyle w:val="EndnoteReference"/>
        </w:rPr>
        <w:endnoteRef/>
      </w:r>
      <w:r w:rsidRPr="00961DEB">
        <w:t xml:space="preserve"> </w:t>
      </w:r>
      <w:r>
        <w:t>Talia Avakian, “</w:t>
      </w:r>
      <w:r w:rsidRPr="00961DEB">
        <w:t xml:space="preserve">Here’s </w:t>
      </w:r>
      <w:r>
        <w:t>W</w:t>
      </w:r>
      <w:r w:rsidRPr="00961DEB">
        <w:t xml:space="preserve">here </w:t>
      </w:r>
      <w:r>
        <w:t>I</w:t>
      </w:r>
      <w:r w:rsidRPr="00961DEB">
        <w:t xml:space="preserve">t’s </w:t>
      </w:r>
      <w:r>
        <w:t>C</w:t>
      </w:r>
      <w:r w:rsidRPr="00961DEB">
        <w:t xml:space="preserve">heaper to </w:t>
      </w:r>
      <w:r>
        <w:t>B</w:t>
      </w:r>
      <w:r w:rsidRPr="00961DEB">
        <w:t xml:space="preserve">ook an Airbnb over a </w:t>
      </w:r>
      <w:r>
        <w:t>H</w:t>
      </w:r>
      <w:r w:rsidRPr="00961DEB">
        <w:t>otel,</w:t>
      </w:r>
      <w:r>
        <w:t xml:space="preserve">” </w:t>
      </w:r>
      <w:r w:rsidRPr="00DC0B12">
        <w:rPr>
          <w:i/>
        </w:rPr>
        <w:t>Business Insider</w:t>
      </w:r>
      <w:r>
        <w:t xml:space="preserve">, February 18, 2016, accessed July 24, 2017, </w:t>
      </w:r>
      <w:r w:rsidRPr="00961DEB">
        <w:t>www.businessinsider.sg/is-it-cheaper-to-airbnb-or-get-a-hotel-2016-2/#kvP6OgKpdZVlfswc.97</w:t>
      </w:r>
      <w:r>
        <w:t>.</w:t>
      </w:r>
    </w:p>
  </w:endnote>
  <w:endnote w:id="30">
    <w:p w14:paraId="6979D180" w14:textId="08D254B2" w:rsidR="00AF3E41" w:rsidRPr="00D94C50" w:rsidRDefault="00AF3E41" w:rsidP="00AC013A">
      <w:pPr>
        <w:pStyle w:val="Footnote"/>
      </w:pPr>
      <w:r>
        <w:rPr>
          <w:rStyle w:val="EndnoteReference"/>
        </w:rPr>
        <w:endnoteRef/>
      </w:r>
      <w:r>
        <w:t xml:space="preserve"> </w:t>
      </w:r>
      <w:r w:rsidRPr="00D94C50">
        <w:t xml:space="preserve">Dan Ruch, </w:t>
      </w:r>
      <w:r>
        <w:t>“</w:t>
      </w:r>
      <w:r w:rsidRPr="00D94C50">
        <w:t xml:space="preserve">Airbnb and the $300 </w:t>
      </w:r>
      <w:r>
        <w:t>B</w:t>
      </w:r>
      <w:r w:rsidRPr="00D94C50">
        <w:t xml:space="preserve">illion </w:t>
      </w:r>
      <w:r>
        <w:t>T</w:t>
      </w:r>
      <w:r w:rsidRPr="00D94C50">
        <w:t xml:space="preserve">ravel </w:t>
      </w:r>
      <w:r>
        <w:t>I</w:t>
      </w:r>
      <w:r w:rsidRPr="00D94C50">
        <w:t>ndustry,</w:t>
      </w:r>
      <w:r>
        <w:t>”</w:t>
      </w:r>
      <w:r w:rsidRPr="00D94C50">
        <w:t xml:space="preserve"> </w:t>
      </w:r>
      <w:r>
        <w:t xml:space="preserve">Rocketrip, </w:t>
      </w:r>
      <w:r w:rsidRPr="00D94C50">
        <w:t>May 20, 2016,</w:t>
      </w:r>
      <w:r>
        <w:t xml:space="preserve"> accessed July 24, 2017,</w:t>
      </w:r>
      <w:r w:rsidRPr="00D94C50">
        <w:t xml:space="preserve"> </w:t>
      </w:r>
      <w:r w:rsidRPr="00D94C50">
        <w:rPr>
          <w:rFonts w:eastAsiaTheme="minorHAnsi"/>
        </w:rPr>
        <w:t>http://blog.rocketrip.com/airbnb-and-the-300-billion-business-travel-industry</w:t>
      </w:r>
      <w:r>
        <w:rPr>
          <w:rFonts w:eastAsiaTheme="minorHAnsi"/>
        </w:rPr>
        <w:t>.</w:t>
      </w:r>
    </w:p>
  </w:endnote>
  <w:endnote w:id="31">
    <w:p w14:paraId="01670DB2" w14:textId="13E8043A" w:rsidR="00AF3E41" w:rsidRPr="000127B4" w:rsidRDefault="00AF3E41" w:rsidP="00AC013A">
      <w:pPr>
        <w:pStyle w:val="Footnote"/>
      </w:pPr>
      <w:r w:rsidRPr="00961DEB">
        <w:rPr>
          <w:rStyle w:val="EndnoteReference"/>
        </w:rPr>
        <w:endnoteRef/>
      </w:r>
      <w:r w:rsidRPr="00961DEB">
        <w:t xml:space="preserve"> </w:t>
      </w:r>
      <w:r>
        <w:t xml:space="preserve">Greg Oates, “Understanding How Airbnb Empowers Hosts with New Business Travel Strategy,” </w:t>
      </w:r>
      <w:r w:rsidR="00386275" w:rsidRPr="00386275">
        <w:t>op. cit.</w:t>
      </w:r>
      <w:r w:rsidR="00386275">
        <w:rPr>
          <w:i/>
        </w:rPr>
        <w:t xml:space="preserve"> </w:t>
      </w:r>
    </w:p>
  </w:endnote>
  <w:endnote w:id="32">
    <w:p w14:paraId="6985123F" w14:textId="54B8B682" w:rsidR="00AF3E41" w:rsidRPr="00961DEB" w:rsidRDefault="00AF3E41" w:rsidP="00AC013A">
      <w:pPr>
        <w:pStyle w:val="Footnote"/>
      </w:pPr>
      <w:r w:rsidRPr="00961DEB">
        <w:rPr>
          <w:rStyle w:val="EndnoteReference"/>
        </w:rPr>
        <w:endnoteRef/>
      </w:r>
      <w:r w:rsidRPr="00961DEB">
        <w:t xml:space="preserve"> </w:t>
      </w:r>
      <w:r>
        <w:t>American Express, “</w:t>
      </w:r>
      <w:r w:rsidRPr="00AC013A">
        <w:t xml:space="preserve">GBTA </w:t>
      </w:r>
      <w:r>
        <w:t>B</w:t>
      </w:r>
      <w:r w:rsidRPr="00AC013A">
        <w:t xml:space="preserve">usiness </w:t>
      </w:r>
      <w:r>
        <w:t>T</w:t>
      </w:r>
      <w:r w:rsidRPr="00AC013A">
        <w:t xml:space="preserve">raveller </w:t>
      </w:r>
      <w:r>
        <w:t>S</w:t>
      </w:r>
      <w:r w:rsidRPr="00AC013A">
        <w:t xml:space="preserve">entiment </w:t>
      </w:r>
      <w:r>
        <w:t>I</w:t>
      </w:r>
      <w:r w:rsidRPr="00AC013A">
        <w:t>ndex</w:t>
      </w:r>
      <w:r w:rsidRPr="00961DEB">
        <w:t xml:space="preserve"> Jan</w:t>
      </w:r>
      <w:r>
        <w:t>uary</w:t>
      </w:r>
      <w:r w:rsidRPr="00961DEB">
        <w:t xml:space="preserve"> 2016</w:t>
      </w:r>
      <w:r>
        <w:t xml:space="preserve">,” Americanexpress.com, January 26, 2016, accessed July 24, 2017, </w:t>
      </w:r>
      <w:r w:rsidRPr="00D83C46">
        <w:t>https://business.americanexpress.com/us/business-trends-and-insights/business-traveler/gbta-business-traveler-sentiment-index-jan-2016</w:t>
      </w:r>
      <w:r>
        <w:t>.</w:t>
      </w:r>
    </w:p>
  </w:endnote>
  <w:endnote w:id="33">
    <w:p w14:paraId="3119D7A6" w14:textId="7A12C640" w:rsidR="00AF3E41" w:rsidRPr="00961DEB" w:rsidRDefault="00AF3E41" w:rsidP="00AC013A">
      <w:pPr>
        <w:pStyle w:val="Footnote"/>
      </w:pPr>
      <w:r w:rsidRPr="00961DEB">
        <w:rPr>
          <w:rStyle w:val="EndnoteReference"/>
        </w:rPr>
        <w:endnoteRef/>
      </w:r>
      <w:r w:rsidRPr="00961DEB">
        <w:t xml:space="preserve"> Kath</w:t>
      </w:r>
      <w:r>
        <w:t>a</w:t>
      </w:r>
      <w:r w:rsidRPr="00961DEB">
        <w:t xml:space="preserve">rine Williams, </w:t>
      </w:r>
      <w:r>
        <w:t>“</w:t>
      </w:r>
      <w:r w:rsidRPr="00AC013A">
        <w:t xml:space="preserve">The </w:t>
      </w:r>
      <w:r>
        <w:t>M</w:t>
      </w:r>
      <w:r w:rsidRPr="00AC013A">
        <w:t xml:space="preserve">illennial </w:t>
      </w:r>
      <w:r>
        <w:t>B</w:t>
      </w:r>
      <w:r w:rsidRPr="00AC013A">
        <w:t xml:space="preserve">usiness </w:t>
      </w:r>
      <w:r>
        <w:t>T</w:t>
      </w:r>
      <w:r w:rsidRPr="00AC013A">
        <w:t xml:space="preserve">raveler: Preferences and </w:t>
      </w:r>
      <w:r>
        <w:t>T</w:t>
      </w:r>
      <w:r w:rsidRPr="00AC013A">
        <w:t>rends,</w:t>
      </w:r>
      <w:r>
        <w:rPr>
          <w:rStyle w:val="Hyperlink"/>
          <w:u w:val="none"/>
        </w:rPr>
        <w:t>”</w:t>
      </w:r>
      <w:r>
        <w:t xml:space="preserve"> GoldSpring Consulting, January 5, 2016, accessed July 24, 2017, </w:t>
      </w:r>
      <w:r w:rsidRPr="00D83C46">
        <w:t>www.goldspringconsulting.com/2016/01/05/millennial-business-traveler/</w:t>
      </w:r>
      <w:r>
        <w:t>.</w:t>
      </w:r>
    </w:p>
  </w:endnote>
  <w:endnote w:id="34">
    <w:p w14:paraId="333B60AB" w14:textId="069564CA" w:rsidR="00AF3E41" w:rsidRPr="00961DEB" w:rsidRDefault="00AF3E41" w:rsidP="00AC013A">
      <w:pPr>
        <w:pStyle w:val="Footnote"/>
      </w:pPr>
      <w:r w:rsidRPr="00961DEB">
        <w:rPr>
          <w:rStyle w:val="EndnoteReference"/>
        </w:rPr>
        <w:endnoteRef/>
      </w:r>
      <w:r w:rsidRPr="00961DEB">
        <w:t xml:space="preserve"> The conditions for becoming an Airbnb Business Travel Ready host </w:t>
      </w:r>
      <w:r>
        <w:t xml:space="preserve">were </w:t>
      </w:r>
      <w:r w:rsidRPr="00961DEB">
        <w:t xml:space="preserve">extracted from </w:t>
      </w:r>
      <w:r>
        <w:t>Bret Conkin, “</w:t>
      </w:r>
      <w:r w:rsidRPr="00961DEB">
        <w:t xml:space="preserve">Turn </w:t>
      </w:r>
      <w:r>
        <w:t>B</w:t>
      </w:r>
      <w:r w:rsidRPr="00961DEB">
        <w:t xml:space="preserve">usiness </w:t>
      </w:r>
      <w:r>
        <w:t>T</w:t>
      </w:r>
      <w:r w:rsidRPr="00961DEB">
        <w:t xml:space="preserve">ravel into a </w:t>
      </w:r>
      <w:r>
        <w:t>V</w:t>
      </w:r>
      <w:r w:rsidRPr="00961DEB">
        <w:t>acation with Ai</w:t>
      </w:r>
      <w:r>
        <w:t>r</w:t>
      </w:r>
      <w:r w:rsidRPr="00961DEB">
        <w:t>bnb,</w:t>
      </w:r>
      <w:r>
        <w:t>”</w:t>
      </w:r>
      <w:r w:rsidRPr="00961DEB">
        <w:t xml:space="preserve"> </w:t>
      </w:r>
      <w:r w:rsidRPr="003D78BC">
        <w:rPr>
          <w:i/>
        </w:rPr>
        <w:t>Investopedia</w:t>
      </w:r>
      <w:r>
        <w:t xml:space="preserve">, </w:t>
      </w:r>
      <w:r w:rsidRPr="00961DEB">
        <w:t>Feb</w:t>
      </w:r>
      <w:r>
        <w:t>ruary</w:t>
      </w:r>
      <w:r w:rsidRPr="00961DEB">
        <w:t xml:space="preserve"> 26, 2016, </w:t>
      </w:r>
      <w:r>
        <w:t xml:space="preserve">accessed July 24, 2017, </w:t>
      </w:r>
      <w:r w:rsidRPr="00961DEB">
        <w:t>www.investopedia.com/articles/personal-finance/022616/turn-business-travel-vacation-airbnb.asp</w:t>
      </w:r>
      <w:r w:rsidR="009C675A">
        <w:t>.</w:t>
      </w:r>
    </w:p>
  </w:endnote>
  <w:endnote w:id="35">
    <w:p w14:paraId="07F84296" w14:textId="04755CC7" w:rsidR="00AF3E41" w:rsidRPr="00961DEB" w:rsidRDefault="00AF3E41" w:rsidP="00AC013A">
      <w:pPr>
        <w:pStyle w:val="Footnote"/>
      </w:pPr>
      <w:r w:rsidRPr="00961DEB">
        <w:rPr>
          <w:rStyle w:val="EndnoteReference"/>
        </w:rPr>
        <w:endnoteRef/>
      </w:r>
      <w:r w:rsidRPr="00961DEB">
        <w:t xml:space="preserve"> </w:t>
      </w:r>
      <w:r>
        <w:t>Airbnb, “</w:t>
      </w:r>
      <w:r w:rsidRPr="00961DEB">
        <w:t xml:space="preserve">What </w:t>
      </w:r>
      <w:r>
        <w:t>M</w:t>
      </w:r>
      <w:r w:rsidRPr="00961DEB">
        <w:t xml:space="preserve">akes a </w:t>
      </w:r>
      <w:r>
        <w:t>L</w:t>
      </w:r>
      <w:r w:rsidRPr="00961DEB">
        <w:t>isting Business Travel Ready</w:t>
      </w:r>
      <w:r>
        <w:t>?” n.d., accessed July 24, 2017,</w:t>
      </w:r>
      <w:r w:rsidRPr="00961DEB">
        <w:t xml:space="preserve"> https://www.airbnb.com.sg/help/article/1185/what-makes-a-listing-business-travel-ready</w:t>
      </w:r>
      <w:r>
        <w:t>.</w:t>
      </w:r>
    </w:p>
  </w:endnote>
  <w:endnote w:id="36">
    <w:p w14:paraId="5A1F2C63" w14:textId="07420D1E" w:rsidR="00AF3E41" w:rsidRPr="00961DEB" w:rsidRDefault="00AF3E41" w:rsidP="00AC013A">
      <w:pPr>
        <w:pStyle w:val="Footnote"/>
      </w:pPr>
      <w:r w:rsidRPr="00961DEB">
        <w:rPr>
          <w:rStyle w:val="EndnoteReference"/>
        </w:rPr>
        <w:endnoteRef/>
      </w:r>
      <w:r w:rsidRPr="00961DEB">
        <w:t xml:space="preserve"> </w:t>
      </w:r>
      <w:r>
        <w:t>Guesthoo, “</w:t>
      </w:r>
      <w:r w:rsidRPr="00961DEB">
        <w:t xml:space="preserve">Your Airbnb </w:t>
      </w:r>
      <w:r>
        <w:t>I</w:t>
      </w:r>
      <w:r w:rsidRPr="00961DEB">
        <w:t xml:space="preserve">s </w:t>
      </w:r>
      <w:r>
        <w:t>L</w:t>
      </w:r>
      <w:r w:rsidRPr="00961DEB">
        <w:t xml:space="preserve">osing </w:t>
      </w:r>
      <w:r>
        <w:t>M</w:t>
      </w:r>
      <w:r w:rsidRPr="00961DEB">
        <w:t xml:space="preserve">oney by </w:t>
      </w:r>
      <w:r>
        <w:t>N</w:t>
      </w:r>
      <w:r w:rsidRPr="00961DEB">
        <w:t xml:space="preserve">ot </w:t>
      </w:r>
      <w:r>
        <w:t>B</w:t>
      </w:r>
      <w:r w:rsidRPr="00961DEB">
        <w:t>eing Business Travel Ready,</w:t>
      </w:r>
      <w:r>
        <w:t xml:space="preserve">” Guesthoo.com, n.d., accessed July 24, 2017, </w:t>
      </w:r>
      <w:r w:rsidRPr="00961DEB">
        <w:t>https://guesthoo.com/2016/08/29/airbnb-business-travel-ready-guide/</w:t>
      </w:r>
      <w:r>
        <w:t>.</w:t>
      </w:r>
    </w:p>
  </w:endnote>
  <w:endnote w:id="37">
    <w:p w14:paraId="28FDFF64" w14:textId="70E94FF7" w:rsidR="00AF3E41" w:rsidRPr="002549D8" w:rsidRDefault="00AF3E41" w:rsidP="00AC013A">
      <w:pPr>
        <w:pStyle w:val="Footnote"/>
      </w:pPr>
      <w:r>
        <w:rPr>
          <w:rStyle w:val="EndnoteReference"/>
        </w:rPr>
        <w:endnoteRef/>
      </w:r>
      <w:r>
        <w:t xml:space="preserve"> Airbnb, “</w:t>
      </w:r>
      <w:r w:rsidRPr="00961DEB">
        <w:t xml:space="preserve">In 2016, </w:t>
      </w:r>
      <w:r>
        <w:t>E</w:t>
      </w:r>
      <w:r w:rsidRPr="00961DEB">
        <w:t xml:space="preserve">xtend </w:t>
      </w:r>
      <w:r>
        <w:t>Y</w:t>
      </w:r>
      <w:r w:rsidRPr="00961DEB">
        <w:t xml:space="preserve">our </w:t>
      </w:r>
      <w:r>
        <w:t>B</w:t>
      </w:r>
      <w:r w:rsidRPr="00961DEB">
        <w:t xml:space="preserve">usiness </w:t>
      </w:r>
      <w:r>
        <w:t>T</w:t>
      </w:r>
      <w:r w:rsidRPr="00961DEB">
        <w:t xml:space="preserve">rip to </w:t>
      </w:r>
      <w:r>
        <w:t>M</w:t>
      </w:r>
      <w:r w:rsidRPr="00961DEB">
        <w:t xml:space="preserve">ake </w:t>
      </w:r>
      <w:r>
        <w:t>I</w:t>
      </w:r>
      <w:r w:rsidRPr="00961DEB">
        <w:t xml:space="preserve">t </w:t>
      </w:r>
      <w:r>
        <w:t>M</w:t>
      </w:r>
      <w:r w:rsidRPr="00961DEB">
        <w:t xml:space="preserve">ore </w:t>
      </w:r>
      <w:r>
        <w:t>L</w:t>
      </w:r>
      <w:r w:rsidRPr="00961DEB">
        <w:t xml:space="preserve">ike a </w:t>
      </w:r>
      <w:r>
        <w:t>V</w:t>
      </w:r>
      <w:r w:rsidRPr="00961DEB">
        <w:t>acation with Airbnb,</w:t>
      </w:r>
      <w:r>
        <w:t xml:space="preserve">” press release, January 21, 2016, accessed July 24, 2017, </w:t>
      </w:r>
      <w:r w:rsidRPr="00961DEB">
        <w:t>https://www.airbnb.com.sg/press/news/in-2016-extend-your-business-trip-to-make-it-more-like-a-vacation-with-airbnb</w:t>
      </w:r>
      <w:r>
        <w:t>;</w:t>
      </w:r>
      <w:r w:rsidRPr="00A234E6">
        <w:t xml:space="preserve"> </w:t>
      </w:r>
      <w:r>
        <w:t>Guesthoo, “</w:t>
      </w:r>
      <w:r w:rsidRPr="00961DEB">
        <w:t xml:space="preserve">Your Airbnb </w:t>
      </w:r>
      <w:r>
        <w:t>I</w:t>
      </w:r>
      <w:r w:rsidRPr="00961DEB">
        <w:t xml:space="preserve">s </w:t>
      </w:r>
      <w:r>
        <w:t>L</w:t>
      </w:r>
      <w:r w:rsidRPr="00961DEB">
        <w:t xml:space="preserve">osing </w:t>
      </w:r>
      <w:r>
        <w:t>M</w:t>
      </w:r>
      <w:r w:rsidRPr="00961DEB">
        <w:t xml:space="preserve">oney by </w:t>
      </w:r>
      <w:r>
        <w:t>N</w:t>
      </w:r>
      <w:r w:rsidRPr="00961DEB">
        <w:t xml:space="preserve">ot </w:t>
      </w:r>
      <w:r>
        <w:t>B</w:t>
      </w:r>
      <w:r w:rsidRPr="00961DEB">
        <w:t>eing Business Travel Ready,</w:t>
      </w:r>
      <w:r>
        <w:t xml:space="preserve">” n.d., accessed July 24, 2017, </w:t>
      </w:r>
      <w:r w:rsidRPr="00961DEB">
        <w:t>https://guesthoo.com/2016/08/29/airbnb-business-travel-ready-guide/</w:t>
      </w:r>
      <w:r>
        <w:t>.</w:t>
      </w:r>
    </w:p>
  </w:endnote>
  <w:endnote w:id="38">
    <w:p w14:paraId="2D0F6E25" w14:textId="040142F1" w:rsidR="00AF3E41" w:rsidRPr="00961DEB" w:rsidRDefault="00AF3E41" w:rsidP="00AC013A">
      <w:pPr>
        <w:pStyle w:val="Footnote"/>
      </w:pPr>
      <w:r w:rsidRPr="00961DEB">
        <w:rPr>
          <w:rStyle w:val="EndnoteReference"/>
        </w:rPr>
        <w:endnoteRef/>
      </w:r>
      <w:r>
        <w:t xml:space="preserve"> Romain Dillet, “A</w:t>
      </w:r>
      <w:r w:rsidRPr="00961DEB">
        <w:t>i</w:t>
      </w:r>
      <w:r>
        <w:t>r</w:t>
      </w:r>
      <w:r w:rsidRPr="00961DEB">
        <w:t xml:space="preserve">bnb </w:t>
      </w:r>
      <w:r>
        <w:t>A</w:t>
      </w:r>
      <w:r w:rsidRPr="00961DEB">
        <w:t xml:space="preserve">nnounces </w:t>
      </w:r>
      <w:r>
        <w:t>N</w:t>
      </w:r>
      <w:r w:rsidRPr="00961DEB">
        <w:t xml:space="preserve">ew </w:t>
      </w:r>
      <w:r>
        <w:t>‘</w:t>
      </w:r>
      <w:r w:rsidRPr="00961DEB">
        <w:t>Business Travel Ready</w:t>
      </w:r>
      <w:r>
        <w:t>’</w:t>
      </w:r>
      <w:r w:rsidRPr="00961DEB">
        <w:t xml:space="preserve"> </w:t>
      </w:r>
      <w:r>
        <w:t>B</w:t>
      </w:r>
      <w:r w:rsidRPr="00961DEB">
        <w:t xml:space="preserve">adge, </w:t>
      </w:r>
      <w:r>
        <w:t>H</w:t>
      </w:r>
      <w:r w:rsidRPr="00961DEB">
        <w:t xml:space="preserve">ost </w:t>
      </w:r>
      <w:r>
        <w:t>T</w:t>
      </w:r>
      <w:r w:rsidRPr="00961DEB">
        <w:t>ools,</w:t>
      </w:r>
      <w:r>
        <w:t>”</w:t>
      </w:r>
      <w:r w:rsidRPr="00961DEB">
        <w:t xml:space="preserve"> </w:t>
      </w:r>
      <w:r>
        <w:t xml:space="preserve">op. cit. </w:t>
      </w:r>
    </w:p>
  </w:endnote>
  <w:endnote w:id="39">
    <w:p w14:paraId="6B9A5E65" w14:textId="616FD698" w:rsidR="00AF3E41" w:rsidRPr="00961DEB" w:rsidRDefault="00AF3E41" w:rsidP="00AC013A">
      <w:pPr>
        <w:pStyle w:val="Footnote"/>
      </w:pPr>
      <w:r w:rsidRPr="00961DEB">
        <w:rPr>
          <w:rStyle w:val="EndnoteReference"/>
        </w:rPr>
        <w:endnoteRef/>
      </w:r>
      <w:r w:rsidRPr="00961DEB">
        <w:t xml:space="preserve"> Portia Crowe, </w:t>
      </w:r>
      <w:r>
        <w:t>“</w:t>
      </w:r>
      <w:r w:rsidRPr="00961DEB">
        <w:t xml:space="preserve">Morgan Stanley </w:t>
      </w:r>
      <w:r>
        <w:t>A</w:t>
      </w:r>
      <w:r w:rsidRPr="00961DEB">
        <w:t xml:space="preserve">llowed </w:t>
      </w:r>
      <w:r>
        <w:t>I</w:t>
      </w:r>
      <w:r w:rsidRPr="00961DEB">
        <w:t xml:space="preserve">ts </w:t>
      </w:r>
      <w:r>
        <w:t>S</w:t>
      </w:r>
      <w:r w:rsidRPr="00961DEB">
        <w:t xml:space="preserve">taff to </w:t>
      </w:r>
      <w:r>
        <w:t>U</w:t>
      </w:r>
      <w:r w:rsidRPr="00961DEB">
        <w:t xml:space="preserve">se Airbnb after a </w:t>
      </w:r>
      <w:r>
        <w:t>B</w:t>
      </w:r>
      <w:r w:rsidRPr="00961DEB">
        <w:t xml:space="preserve">unch of </w:t>
      </w:r>
      <w:r>
        <w:t>Y</w:t>
      </w:r>
      <w:r w:rsidRPr="00961DEB">
        <w:t xml:space="preserve">oung </w:t>
      </w:r>
      <w:r>
        <w:t>E</w:t>
      </w:r>
      <w:r w:rsidRPr="00961DEB">
        <w:t xml:space="preserve">mployees </w:t>
      </w:r>
      <w:r>
        <w:t>A</w:t>
      </w:r>
      <w:r w:rsidRPr="00961DEB">
        <w:t>sked,</w:t>
      </w:r>
      <w:r>
        <w:t>”</w:t>
      </w:r>
      <w:r w:rsidRPr="00961DEB">
        <w:t xml:space="preserve"> </w:t>
      </w:r>
      <w:r w:rsidRPr="003D78BC">
        <w:rPr>
          <w:i/>
        </w:rPr>
        <w:t>Business Insider India</w:t>
      </w:r>
      <w:r>
        <w:t xml:space="preserve">, </w:t>
      </w:r>
      <w:r w:rsidRPr="00961DEB">
        <w:t>Jan</w:t>
      </w:r>
      <w:r>
        <w:t>uary</w:t>
      </w:r>
      <w:r w:rsidRPr="00961DEB">
        <w:t xml:space="preserve"> 12, 2016, </w:t>
      </w:r>
      <w:r>
        <w:t xml:space="preserve">accessed July 24, 2017, </w:t>
      </w:r>
      <w:r w:rsidRPr="00961DEB">
        <w:t>www.businessinsider.in/Morgan-Stanley-allowed-its-staff-to-use-Airbnb-after-a-bunch-of-young-employees-asked/articleshow/50550384.cms</w:t>
      </w:r>
      <w:r>
        <w:t>.</w:t>
      </w:r>
    </w:p>
  </w:endnote>
  <w:endnote w:id="40">
    <w:p w14:paraId="1C244526" w14:textId="0CDA5098" w:rsidR="00AF3E41" w:rsidRPr="00961DEB" w:rsidRDefault="00AF3E41" w:rsidP="00AC013A">
      <w:pPr>
        <w:pStyle w:val="Footnote"/>
      </w:pPr>
      <w:r w:rsidRPr="00961DEB">
        <w:rPr>
          <w:rStyle w:val="EndnoteReference"/>
        </w:rPr>
        <w:endnoteRef/>
      </w:r>
      <w:r w:rsidRPr="00961DEB">
        <w:t xml:space="preserve"> Kevin May, </w:t>
      </w:r>
      <w:r>
        <w:t>“</w:t>
      </w:r>
      <w:r w:rsidRPr="00961DEB">
        <w:t xml:space="preserve">Sharing </w:t>
      </w:r>
      <w:r>
        <w:t>M</w:t>
      </w:r>
      <w:r w:rsidRPr="00961DEB">
        <w:t xml:space="preserve">anaged </w:t>
      </w:r>
      <w:r>
        <w:t>T</w:t>
      </w:r>
      <w:r w:rsidRPr="00961DEB">
        <w:t xml:space="preserve">ravel: How </w:t>
      </w:r>
      <w:r>
        <w:t>M</w:t>
      </w:r>
      <w:r w:rsidRPr="00961DEB">
        <w:t xml:space="preserve">uch </w:t>
      </w:r>
      <w:r>
        <w:t>A</w:t>
      </w:r>
      <w:r w:rsidRPr="00961DEB">
        <w:t xml:space="preserve">re Google </w:t>
      </w:r>
      <w:r>
        <w:t>E</w:t>
      </w:r>
      <w:r w:rsidRPr="00961DEB">
        <w:t xml:space="preserve">mployees </w:t>
      </w:r>
      <w:r>
        <w:t>S</w:t>
      </w:r>
      <w:r w:rsidRPr="00961DEB">
        <w:t>pending at Airbnb</w:t>
      </w:r>
      <w:r>
        <w:t>?”</w:t>
      </w:r>
      <w:r w:rsidRPr="00961DEB">
        <w:t xml:space="preserve"> </w:t>
      </w:r>
      <w:r>
        <w:t xml:space="preserve">Tnooz, </w:t>
      </w:r>
      <w:r w:rsidRPr="00961DEB">
        <w:t xml:space="preserve">May 23, 2014, </w:t>
      </w:r>
      <w:r>
        <w:t xml:space="preserve">accessed July 24, 2017, </w:t>
      </w:r>
      <w:r w:rsidRPr="00961DEB">
        <w:t>https://www.tnooz.com/article/google-airbnb-spend-2-million/</w:t>
      </w:r>
      <w:r>
        <w:t>.</w:t>
      </w:r>
    </w:p>
  </w:endnote>
  <w:endnote w:id="41">
    <w:p w14:paraId="367D9168" w14:textId="6E44B515" w:rsidR="00AF3E41" w:rsidRDefault="00AF3E41" w:rsidP="00AC013A">
      <w:pPr>
        <w:pStyle w:val="Footnote"/>
      </w:pPr>
      <w:r>
        <w:rPr>
          <w:rStyle w:val="EndnoteReference"/>
        </w:rPr>
        <w:endnoteRef/>
      </w:r>
      <w:r>
        <w:t xml:space="preserve"> TTG Asia, “Business Travel Spend on Airbnb Growing Faster </w:t>
      </w:r>
      <w:r w:rsidR="00386275">
        <w:t>than</w:t>
      </w:r>
      <w:r>
        <w:t xml:space="preserve"> Hotels,” ttgasia.com, November 8, 2016, accessed July 24, 2017, </w:t>
      </w:r>
      <w:r w:rsidRPr="00CB4EF6">
        <w:t>www.ttgasia.com/article.php?article_id=28288</w:t>
      </w:r>
      <w:r>
        <w:t>.</w:t>
      </w:r>
    </w:p>
  </w:endnote>
  <w:endnote w:id="42">
    <w:p w14:paraId="0A400B04" w14:textId="1BF9DCDE" w:rsidR="00AF3E41" w:rsidRPr="00AF3E41" w:rsidRDefault="00AF3E41" w:rsidP="00AC013A">
      <w:pPr>
        <w:pStyle w:val="Footnote"/>
        <w:rPr>
          <w:spacing w:val="-4"/>
          <w:kern w:val="17"/>
        </w:rPr>
      </w:pPr>
      <w:r w:rsidRPr="00AF3E41">
        <w:rPr>
          <w:rStyle w:val="EndnoteReference"/>
          <w:spacing w:val="-4"/>
          <w:kern w:val="17"/>
        </w:rPr>
        <w:endnoteRef/>
      </w:r>
      <w:r w:rsidRPr="00AF3E41">
        <w:rPr>
          <w:spacing w:val="-4"/>
          <w:kern w:val="17"/>
        </w:rPr>
        <w:t xml:space="preserve"> Uptin Saiidi, “Airbnb Goes Back to Its Roots, Pushes Corporate Travel,” CNBC, September 14, 2016, accessed July 24, 2017, www.cnbc.com/2016/09/14/airbnb-pushes-corporate-travel-as-google-and-morgan-stanley-allow-employees-to-use-platform.html</w:t>
      </w:r>
      <w:r w:rsidRPr="00AF3E41">
        <w:rPr>
          <w:rStyle w:val="Hyperlink"/>
          <w:color w:val="auto"/>
          <w:spacing w:val="-4"/>
          <w:kern w:val="17"/>
          <w:u w:val="none"/>
        </w:rPr>
        <w:t xml:space="preserve">; </w:t>
      </w:r>
      <w:r w:rsidRPr="00AF3E41">
        <w:rPr>
          <w:spacing w:val="-4"/>
          <w:kern w:val="17"/>
        </w:rPr>
        <w:t>“Airbnb for Business Signs AMEX, BCD and Calson Wagonlit,” Hotelmarketing.com, July 13, 2016, accessed July 24, 2017, http://hotelmarketing.com/index.php/content/article/airbnb_for_business_signs_amex_bcd_and_carlson_wagonlit.</w:t>
      </w:r>
    </w:p>
  </w:endnote>
  <w:endnote w:id="43">
    <w:p w14:paraId="724A3468" w14:textId="6647036C" w:rsidR="00AF3E41" w:rsidRPr="004646C2" w:rsidRDefault="00AF3E41" w:rsidP="00AC013A">
      <w:pPr>
        <w:pStyle w:val="Footnote"/>
        <w:rPr>
          <w:b/>
        </w:rPr>
      </w:pPr>
      <w:r>
        <w:rPr>
          <w:rStyle w:val="EndnoteReference"/>
        </w:rPr>
        <w:endnoteRef/>
      </w:r>
      <w:r>
        <w:t xml:space="preserve"> “Airbnb for Business Travelers,” Finews.asia, November 22, 2016, accessed August 14, 2017, </w:t>
      </w:r>
      <w:r w:rsidRPr="00137DD1">
        <w:t>www.finews.asia/high-end/23462-airplus-airbnb-business-travel-management</w:t>
      </w:r>
      <w:r>
        <w:t xml:space="preserve">. </w:t>
      </w:r>
    </w:p>
  </w:endnote>
  <w:endnote w:id="44">
    <w:p w14:paraId="23C9630F" w14:textId="484BF19D" w:rsidR="00AF3E41" w:rsidRPr="007768FB" w:rsidRDefault="00AF3E41" w:rsidP="00AC013A">
      <w:pPr>
        <w:pStyle w:val="Footnote"/>
      </w:pPr>
      <w:r>
        <w:rPr>
          <w:rStyle w:val="EndnoteReference"/>
        </w:rPr>
        <w:endnoteRef/>
      </w:r>
      <w:r>
        <w:t xml:space="preserve"> Akshay Dave, “Customer Relationship Management—Airbnb,” Akshay Dave (Blog), October 30, 2014, accessed July 24, 2017, </w:t>
      </w:r>
      <w:r w:rsidRPr="007768FB">
        <w:t>https://daveakshay.wordpress.com/2014/10/30/customer-relationship-management/</w:t>
      </w:r>
      <w:r>
        <w:t>.</w:t>
      </w:r>
    </w:p>
  </w:endnote>
  <w:endnote w:id="45">
    <w:p w14:paraId="58001F46" w14:textId="086D04AB" w:rsidR="00AF3E41" w:rsidRDefault="00AF3E41" w:rsidP="00AC013A">
      <w:pPr>
        <w:pStyle w:val="Footnote"/>
      </w:pPr>
      <w:r>
        <w:rPr>
          <w:rStyle w:val="EndnoteReference"/>
        </w:rPr>
        <w:endnoteRef/>
      </w:r>
      <w:r>
        <w:t xml:space="preserve"> Kevin May, “Airbnb Wants to Capitalise on Early GrowthSspurt in Asia,” Tnooz, October 21, 2015, accessed July 24, 2017, </w:t>
      </w:r>
      <w:r w:rsidRPr="009338ED">
        <w:t>https://www.tnooz.com/article/airbnb-wants-to-capitalise-on-early-growth-spurt-in-asia/</w:t>
      </w:r>
      <w:r>
        <w:t>.</w:t>
      </w:r>
    </w:p>
  </w:endnote>
  <w:endnote w:id="46">
    <w:p w14:paraId="17BCA822" w14:textId="0660FE09" w:rsidR="00AF3E41" w:rsidRPr="004646C2" w:rsidRDefault="00AF3E41" w:rsidP="00AC013A">
      <w:pPr>
        <w:pStyle w:val="Footnote"/>
        <w:rPr>
          <w:b/>
          <w:lang w:val="en-IN"/>
        </w:rPr>
      </w:pPr>
      <w:r w:rsidRPr="00961DEB">
        <w:rPr>
          <w:rStyle w:val="EndnoteReference"/>
        </w:rPr>
        <w:endnoteRef/>
      </w:r>
      <w:r w:rsidRPr="00961DEB">
        <w:t xml:space="preserve"> </w:t>
      </w:r>
      <w:r>
        <w:t xml:space="preserve">Singapore Tourism Board, </w:t>
      </w:r>
      <w:r w:rsidRPr="004646C2">
        <w:rPr>
          <w:i/>
        </w:rPr>
        <w:t>Asian Business Travellers: Five Things You Need to Know</w:t>
      </w:r>
      <w:r w:rsidRPr="007F101F">
        <w:rPr>
          <w:rStyle w:val="Hyperlink"/>
          <w:color w:val="auto"/>
          <w:u w:val="none"/>
        </w:rPr>
        <w:t>,</w:t>
      </w:r>
      <w:r w:rsidRPr="00164F74">
        <w:t xml:space="preserve"> </w:t>
      </w:r>
      <w:r>
        <w:t xml:space="preserve">report commissioned by the Singapore Tourism Board, 2015, accessed August, 21, 2017, </w:t>
      </w:r>
      <w:r w:rsidRPr="00404166">
        <w:rPr>
          <w:lang w:val="en-GB"/>
        </w:rPr>
        <w:t>http://capturingconversations.economist.com/stb-singapore-asian-business-travellers/</w:t>
      </w:r>
      <w:r>
        <w:t xml:space="preserve">. </w:t>
      </w:r>
    </w:p>
  </w:endnote>
  <w:endnote w:id="47">
    <w:p w14:paraId="52272F05" w14:textId="6F3FF897" w:rsidR="00AF3E41" w:rsidRPr="004646C2" w:rsidRDefault="00AF3E41" w:rsidP="004646C2">
      <w:pPr>
        <w:pStyle w:val="Footnote"/>
        <w:rPr>
          <w:b/>
        </w:rPr>
      </w:pPr>
      <w:r w:rsidRPr="00AF3E41">
        <w:rPr>
          <w:rStyle w:val="EndnoteReference"/>
        </w:rPr>
        <w:endnoteRef/>
      </w:r>
      <w:r w:rsidRPr="00AF3E41">
        <w:t xml:space="preserve"> SG$1 = US$0.72 on October 31, 2016. </w:t>
      </w:r>
    </w:p>
  </w:endnote>
  <w:endnote w:id="48">
    <w:p w14:paraId="19736214" w14:textId="6BFA16EA" w:rsidR="00AF3E41" w:rsidRPr="004646C2" w:rsidRDefault="00AF3E41" w:rsidP="00AC013A">
      <w:pPr>
        <w:pStyle w:val="Footnote"/>
        <w:rPr>
          <w:b/>
        </w:rPr>
      </w:pPr>
      <w:r>
        <w:rPr>
          <w:rStyle w:val="EndnoteReference"/>
        </w:rPr>
        <w:endnoteRef/>
      </w:r>
      <w:r>
        <w:t xml:space="preserve"> Charlton Media Group, “Citi Launches Partnership with Airbnb in Singapore,” Asian Banking &amp; Finance, November 7, 2016, accessed August 14, 2017, </w:t>
      </w:r>
      <w:r w:rsidRPr="004646C2">
        <w:t>http://asianbankingandfinance.net/retail-banking/more-news/citi-launches-partnership-airbnb-in-singapore#sthash.S8fm9Li2.dpuf</w:t>
      </w:r>
      <w:r>
        <w:t xml:space="preserve">. </w:t>
      </w:r>
    </w:p>
  </w:endnote>
  <w:endnote w:id="49">
    <w:p w14:paraId="7A864C97" w14:textId="3DDB220D" w:rsidR="00AF3E41" w:rsidRDefault="00AF3E41" w:rsidP="00AC013A">
      <w:pPr>
        <w:pStyle w:val="Footnote"/>
      </w:pPr>
      <w:r>
        <w:rPr>
          <w:rStyle w:val="EndnoteReference"/>
        </w:rPr>
        <w:endnoteRef/>
      </w:r>
      <w:r>
        <w:t xml:space="preserve"> C. Custer, “Why Airbnb Is Struggling in China,” Tech in Asia, July 10, 2016, accessed July 24, 2017, </w:t>
      </w:r>
      <w:r w:rsidRPr="00180632">
        <w:t>https://www.techinasia.com/airbnb-struggling-china</w:t>
      </w:r>
      <w:r>
        <w:t>.</w:t>
      </w:r>
    </w:p>
  </w:endnote>
  <w:endnote w:id="50">
    <w:p w14:paraId="0D3526F5" w14:textId="7C5BD0B0" w:rsidR="00AF3E41" w:rsidRDefault="00AF3E41" w:rsidP="00AC013A">
      <w:pPr>
        <w:pStyle w:val="Footnote"/>
      </w:pPr>
      <w:r>
        <w:rPr>
          <w:rStyle w:val="EndnoteReference"/>
        </w:rPr>
        <w:endnoteRef/>
      </w:r>
      <w:r>
        <w:t xml:space="preserve"> Nikkei Inc., “Airbnb Use Soars While Japan Juggles Legal Conundrum,”</w:t>
      </w:r>
      <w:r w:rsidRPr="00246238">
        <w:t xml:space="preserve"> </w:t>
      </w:r>
      <w:r>
        <w:t xml:space="preserve">Nikkei Asian Review, November 16, 2016, accessed July 24, 2017, </w:t>
      </w:r>
      <w:r w:rsidRPr="00180632">
        <w:t>http://asia.nikkei.com/Business/Consumers/Airbnb-use-soars-while-Japan-juggles-legal-conundrum</w:t>
      </w:r>
      <w:r>
        <w:t>.</w:t>
      </w:r>
    </w:p>
  </w:endnote>
  <w:endnote w:id="51">
    <w:p w14:paraId="48C28AE8" w14:textId="592DBD6B" w:rsidR="00AF3E41" w:rsidRDefault="00AF3E41" w:rsidP="00AC013A">
      <w:pPr>
        <w:pStyle w:val="Footnote"/>
      </w:pPr>
      <w:r>
        <w:rPr>
          <w:rStyle w:val="EndnoteReference"/>
        </w:rPr>
        <w:endnoteRef/>
      </w:r>
      <w:r>
        <w:t xml:space="preserve"> Kevin May, “Airbnb Wants to Capitalise on Early Growth Spurt in Asia,” Tnooz, October 21, 2015, accessed July 24, 2017, </w:t>
      </w:r>
      <w:r w:rsidRPr="009338ED">
        <w:t>https://www.tnooz.com/article/airbnb-wants-to-capitalise-on-early-growth-spurt-in-asia/</w:t>
      </w:r>
      <w:r>
        <w:t>.</w:t>
      </w:r>
    </w:p>
  </w:endnote>
  <w:endnote w:id="52">
    <w:p w14:paraId="6A57B913" w14:textId="70039A0B" w:rsidR="00AF3E41" w:rsidRDefault="00AF3E41" w:rsidP="00AC013A">
      <w:pPr>
        <w:pStyle w:val="Footnote"/>
      </w:pPr>
      <w:r>
        <w:rPr>
          <w:rStyle w:val="EndnoteReference"/>
        </w:rPr>
        <w:endnoteRef/>
      </w:r>
      <w:r>
        <w:t xml:space="preserve"> Kia Kokalitcheva, “Airbnb Forms Separate China Business Unit as Local Business Grows,” </w:t>
      </w:r>
      <w:r w:rsidRPr="00DC0B12">
        <w:rPr>
          <w:i/>
        </w:rPr>
        <w:t>Fortune</w:t>
      </w:r>
      <w:r>
        <w:t xml:space="preserve">, October 31, 2016, accessed July 24, 2017, </w:t>
      </w:r>
      <w:r w:rsidRPr="001C5279">
        <w:t>http://fortune.com/2016/10/31/airbnb-china-business/</w:t>
      </w:r>
      <w:r>
        <w:t>.</w:t>
      </w:r>
    </w:p>
  </w:endnote>
  <w:endnote w:id="53">
    <w:p w14:paraId="42640317" w14:textId="46575CBA" w:rsidR="00AF3E41" w:rsidRPr="00050135" w:rsidRDefault="00AF3E41" w:rsidP="00AC013A">
      <w:pPr>
        <w:pStyle w:val="Footnote"/>
      </w:pPr>
      <w:r>
        <w:rPr>
          <w:rStyle w:val="EndnoteReference"/>
        </w:rPr>
        <w:endnoteRef/>
      </w:r>
      <w:r>
        <w:t xml:space="preserve"> Jenny Chan, “China to Airbnb: New Chinese Name Is ‘Ugly-Sounding,’ Like ‘a Filthy Love Hotel,’” Campaign Asia, March 23, 2017, accessed July 24, 2017, </w:t>
      </w:r>
      <w:r w:rsidRPr="00050135">
        <w:t>www.campaignasia.com/video/china-to-airbnb-new-chinese-name-is-ugly-sounding-like-a-filthy-love-hotel/434914</w:t>
      </w:r>
      <w:r>
        <w:t>.</w:t>
      </w:r>
    </w:p>
  </w:endnote>
  <w:endnote w:id="54">
    <w:p w14:paraId="11D7667F" w14:textId="2C485B79" w:rsidR="00AF3E41" w:rsidRPr="003A1371" w:rsidRDefault="00AF3E41" w:rsidP="00AC013A">
      <w:pPr>
        <w:pStyle w:val="Footnote"/>
      </w:pPr>
      <w:r>
        <w:rPr>
          <w:rStyle w:val="EndnoteReference"/>
        </w:rPr>
        <w:endnoteRef/>
      </w:r>
      <w:r>
        <w:t xml:space="preserve"> Brian Solomon, “Airbnb Doubles Down in China, Where Uber Failed,” </w:t>
      </w:r>
      <w:r w:rsidRPr="00DC0B12">
        <w:rPr>
          <w:i/>
        </w:rPr>
        <w:t>Forbes</w:t>
      </w:r>
      <w:r>
        <w:t xml:space="preserve">, March 22, 2017, accessed July 24, 2017, </w:t>
      </w:r>
      <w:r w:rsidRPr="00872839">
        <w:t>https://www.forbes.com/sites/briansolomon/2017/03/22/airbnb-doubles-down-in-china-where-uber-failed/#6ee0b7781f99</w:t>
      </w:r>
      <w:r>
        <w:t>;</w:t>
      </w:r>
      <w:r w:rsidRPr="00F94D6F">
        <w:t xml:space="preserve"> </w:t>
      </w:r>
      <w:r>
        <w:t xml:space="preserve">Mediacorp Press Ltd., “Airbnb Trips Enters Singapore Market,” March 13, 2017, </w:t>
      </w:r>
      <w:r w:rsidR="001C2549">
        <w:t>September 15, 2017,</w:t>
      </w:r>
      <w:r>
        <w:t xml:space="preserve"> </w:t>
      </w:r>
      <w:r w:rsidRPr="00F94D6F">
        <w:t>www.todayonline.com/lifestyle/travel/airbnb-trips-enters-singapore-market</w:t>
      </w:r>
      <w:r w:rsidR="009C675A">
        <w:t>.</w:t>
      </w:r>
      <w:r>
        <w:t xml:space="preserve"> </w:t>
      </w:r>
    </w:p>
  </w:endnote>
  <w:endnote w:id="55">
    <w:p w14:paraId="0F83C126" w14:textId="6865563C" w:rsidR="00AF3E41" w:rsidRPr="003A1371" w:rsidRDefault="00AF3E41" w:rsidP="00AC013A">
      <w:pPr>
        <w:pStyle w:val="Footnote"/>
      </w:pPr>
      <w:r>
        <w:rPr>
          <w:rStyle w:val="EndnoteReference"/>
        </w:rPr>
        <w:endnoteRef/>
      </w:r>
      <w:r>
        <w:t xml:space="preserve"> Deanna Ting, “Airbnb Rebrands in China to Better Compete with Local Rivals,” </w:t>
      </w:r>
      <w:r w:rsidRPr="00DC0B12">
        <w:rPr>
          <w:i/>
        </w:rPr>
        <w:t>Skift</w:t>
      </w:r>
      <w:r>
        <w:t xml:space="preserve">, March 22, 2017, accessed July 24, 2017, </w:t>
      </w:r>
      <w:r w:rsidRPr="003A1371">
        <w:t>https://skift.com/2017/03/22/airbnb-rebrands-in-china-to-better-compete-with-local-rivals/</w:t>
      </w:r>
      <w:r>
        <w:t>.</w:t>
      </w:r>
    </w:p>
  </w:endnote>
  <w:endnote w:id="56">
    <w:p w14:paraId="6EE9EC5F" w14:textId="1F1DFA4A" w:rsidR="009C675A" w:rsidRPr="00914E09" w:rsidRDefault="00AF3E41" w:rsidP="00AC013A">
      <w:pPr>
        <w:pStyle w:val="Footnote"/>
      </w:pPr>
      <w:r>
        <w:rPr>
          <w:rStyle w:val="EndnoteReference"/>
        </w:rPr>
        <w:endnoteRef/>
      </w:r>
      <w:r>
        <w:t xml:space="preserve"> </w:t>
      </w:r>
      <w:r w:rsidR="001C2549">
        <w:t xml:space="preserve">Ibid.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A29A5" w14:textId="77777777" w:rsidR="00AF3E41" w:rsidRDefault="00AF3E41" w:rsidP="00D75295">
      <w:r>
        <w:separator/>
      </w:r>
    </w:p>
  </w:footnote>
  <w:footnote w:type="continuationSeparator" w:id="0">
    <w:p w14:paraId="62A4CBF8" w14:textId="77777777" w:rsidR="00AF3E41" w:rsidRDefault="00AF3E41"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5A68B" w14:textId="683A1324" w:rsidR="00AF3E41" w:rsidRPr="00C92CC4" w:rsidRDefault="00AF3E41" w:rsidP="00C966C3">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B6210">
      <w:rPr>
        <w:rFonts w:ascii="Arial" w:hAnsi="Arial"/>
        <w:b/>
        <w:noProof/>
      </w:rPr>
      <w:t>13</w:t>
    </w:r>
    <w:r>
      <w:rPr>
        <w:rFonts w:ascii="Arial" w:hAnsi="Arial"/>
        <w:b/>
      </w:rPr>
      <w:fldChar w:fldCharType="end"/>
    </w:r>
    <w:r>
      <w:rPr>
        <w:rFonts w:ascii="Arial" w:hAnsi="Arial"/>
        <w:b/>
      </w:rPr>
      <w:tab/>
      <w:t>9B17M</w:t>
    </w:r>
    <w:r w:rsidR="001C2549">
      <w:rPr>
        <w:rFonts w:ascii="Arial" w:hAnsi="Arial"/>
        <w:b/>
      </w:rPr>
      <w:t>144</w:t>
    </w:r>
  </w:p>
  <w:p w14:paraId="71632BFD" w14:textId="77777777" w:rsidR="00AF3E41" w:rsidRDefault="00AF3E41" w:rsidP="00C966C3">
    <w:pPr>
      <w:pStyle w:val="Header"/>
      <w:tabs>
        <w:tab w:val="clear" w:pos="4680"/>
      </w:tabs>
      <w:rPr>
        <w:sz w:val="18"/>
        <w:szCs w:val="18"/>
      </w:rPr>
    </w:pPr>
  </w:p>
  <w:p w14:paraId="2131F0DE" w14:textId="77777777" w:rsidR="00AF3E41" w:rsidRDefault="00AF3E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C52BC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28CE9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2FC45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B6462D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BEECD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1AA086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952CDB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7E0AC37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11AE55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D346E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4F097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B13C44"/>
    <w:multiLevelType w:val="hybridMultilevel"/>
    <w:tmpl w:val="94F8879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07DA5F0B"/>
    <w:multiLevelType w:val="hybridMultilevel"/>
    <w:tmpl w:val="95184E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132A64CA"/>
    <w:multiLevelType w:val="hybridMultilevel"/>
    <w:tmpl w:val="94F8879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171E00D4"/>
    <w:multiLevelType w:val="hybridMultilevel"/>
    <w:tmpl w:val="E64CA49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188A08AC"/>
    <w:multiLevelType w:val="hybridMultilevel"/>
    <w:tmpl w:val="9C5012B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1BCE61CD"/>
    <w:multiLevelType w:val="hybridMultilevel"/>
    <w:tmpl w:val="8E328E1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1D255360"/>
    <w:multiLevelType w:val="hybridMultilevel"/>
    <w:tmpl w:val="95184E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256B3444"/>
    <w:multiLevelType w:val="hybridMultilevel"/>
    <w:tmpl w:val="CAE66A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29AF6A26"/>
    <w:multiLevelType w:val="hybridMultilevel"/>
    <w:tmpl w:val="E64CA49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0" w15:restartNumberingAfterBreak="0">
    <w:nsid w:val="41186CAC"/>
    <w:multiLevelType w:val="hybridMultilevel"/>
    <w:tmpl w:val="BDE20AB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45910158"/>
    <w:multiLevelType w:val="hybridMultilevel"/>
    <w:tmpl w:val="922ADD4E"/>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51D22557"/>
    <w:multiLevelType w:val="hybridMultilevel"/>
    <w:tmpl w:val="498A93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5DBB10DD"/>
    <w:multiLevelType w:val="hybridMultilevel"/>
    <w:tmpl w:val="498A933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4" w15:restartNumberingAfterBreak="0">
    <w:nsid w:val="65F23372"/>
    <w:multiLevelType w:val="hybridMultilevel"/>
    <w:tmpl w:val="780CD17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7BC52B2"/>
    <w:multiLevelType w:val="hybridMultilevel"/>
    <w:tmpl w:val="989622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5D4EC7"/>
    <w:multiLevelType w:val="hybridMultilevel"/>
    <w:tmpl w:val="24645E9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798831E9"/>
    <w:multiLevelType w:val="hybridMultilevel"/>
    <w:tmpl w:val="F6BE624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13"/>
  </w:num>
  <w:num w:numId="14">
    <w:abstractNumId w:val="11"/>
  </w:num>
  <w:num w:numId="15">
    <w:abstractNumId w:val="21"/>
  </w:num>
  <w:num w:numId="16">
    <w:abstractNumId w:val="16"/>
  </w:num>
  <w:num w:numId="17">
    <w:abstractNumId w:val="23"/>
  </w:num>
  <w:num w:numId="18">
    <w:abstractNumId w:val="22"/>
  </w:num>
  <w:num w:numId="19">
    <w:abstractNumId w:val="26"/>
  </w:num>
  <w:num w:numId="20">
    <w:abstractNumId w:val="14"/>
  </w:num>
  <w:num w:numId="21">
    <w:abstractNumId w:val="19"/>
  </w:num>
  <w:num w:numId="22">
    <w:abstractNumId w:val="12"/>
  </w:num>
  <w:num w:numId="23">
    <w:abstractNumId w:val="17"/>
  </w:num>
  <w:num w:numId="24">
    <w:abstractNumId w:val="20"/>
  </w:num>
  <w:num w:numId="25">
    <w:abstractNumId w:val="27"/>
  </w:num>
  <w:num w:numId="26">
    <w:abstractNumId w:val="15"/>
  </w:num>
  <w:num w:numId="27">
    <w:abstractNumId w:val="18"/>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401"/>
    <w:rsid w:val="000127B4"/>
    <w:rsid w:val="00013360"/>
    <w:rsid w:val="00016759"/>
    <w:rsid w:val="000216CE"/>
    <w:rsid w:val="00025DC7"/>
    <w:rsid w:val="00035F09"/>
    <w:rsid w:val="00041894"/>
    <w:rsid w:val="00044ECC"/>
    <w:rsid w:val="000531D3"/>
    <w:rsid w:val="0005646B"/>
    <w:rsid w:val="00060639"/>
    <w:rsid w:val="000633C5"/>
    <w:rsid w:val="00067F59"/>
    <w:rsid w:val="00072152"/>
    <w:rsid w:val="0008102D"/>
    <w:rsid w:val="00094C0E"/>
    <w:rsid w:val="000A0029"/>
    <w:rsid w:val="000A1D15"/>
    <w:rsid w:val="000B6210"/>
    <w:rsid w:val="000C0E40"/>
    <w:rsid w:val="000C1EF0"/>
    <w:rsid w:val="000D7091"/>
    <w:rsid w:val="000E4759"/>
    <w:rsid w:val="000F0C22"/>
    <w:rsid w:val="000F6B09"/>
    <w:rsid w:val="000F6FDC"/>
    <w:rsid w:val="00104567"/>
    <w:rsid w:val="00104916"/>
    <w:rsid w:val="00104AA7"/>
    <w:rsid w:val="00120797"/>
    <w:rsid w:val="00123BBF"/>
    <w:rsid w:val="0012408A"/>
    <w:rsid w:val="00125F51"/>
    <w:rsid w:val="0012732D"/>
    <w:rsid w:val="00131543"/>
    <w:rsid w:val="001328F8"/>
    <w:rsid w:val="00142E86"/>
    <w:rsid w:val="00143F25"/>
    <w:rsid w:val="001451D0"/>
    <w:rsid w:val="00152682"/>
    <w:rsid w:val="00154FC9"/>
    <w:rsid w:val="00163586"/>
    <w:rsid w:val="00164F74"/>
    <w:rsid w:val="00166EB1"/>
    <w:rsid w:val="0017108F"/>
    <w:rsid w:val="00175588"/>
    <w:rsid w:val="00176D45"/>
    <w:rsid w:val="001862A1"/>
    <w:rsid w:val="0019241A"/>
    <w:rsid w:val="00193E81"/>
    <w:rsid w:val="001A22D1"/>
    <w:rsid w:val="001A752D"/>
    <w:rsid w:val="001A757E"/>
    <w:rsid w:val="001B5032"/>
    <w:rsid w:val="001B70F3"/>
    <w:rsid w:val="001C2549"/>
    <w:rsid w:val="001C7777"/>
    <w:rsid w:val="001E364F"/>
    <w:rsid w:val="001F4203"/>
    <w:rsid w:val="00203AA1"/>
    <w:rsid w:val="00213E98"/>
    <w:rsid w:val="002159EF"/>
    <w:rsid w:val="002160FB"/>
    <w:rsid w:val="00220AAA"/>
    <w:rsid w:val="00223B41"/>
    <w:rsid w:val="0023081A"/>
    <w:rsid w:val="0023697F"/>
    <w:rsid w:val="002427F0"/>
    <w:rsid w:val="00246238"/>
    <w:rsid w:val="00247AB2"/>
    <w:rsid w:val="00252A78"/>
    <w:rsid w:val="00271160"/>
    <w:rsid w:val="00273365"/>
    <w:rsid w:val="002851E0"/>
    <w:rsid w:val="002900EE"/>
    <w:rsid w:val="002944C9"/>
    <w:rsid w:val="002C3854"/>
    <w:rsid w:val="002D3F60"/>
    <w:rsid w:val="002D3F83"/>
    <w:rsid w:val="002F1EB1"/>
    <w:rsid w:val="002F460C"/>
    <w:rsid w:val="002F48D6"/>
    <w:rsid w:val="002F7685"/>
    <w:rsid w:val="0030132F"/>
    <w:rsid w:val="00317105"/>
    <w:rsid w:val="00317391"/>
    <w:rsid w:val="00325359"/>
    <w:rsid w:val="00326216"/>
    <w:rsid w:val="00336580"/>
    <w:rsid w:val="0034764D"/>
    <w:rsid w:val="00354899"/>
    <w:rsid w:val="00355FD6"/>
    <w:rsid w:val="00364A5C"/>
    <w:rsid w:val="00373FB1"/>
    <w:rsid w:val="0038037E"/>
    <w:rsid w:val="00386275"/>
    <w:rsid w:val="003951EB"/>
    <w:rsid w:val="00396C76"/>
    <w:rsid w:val="003A20A1"/>
    <w:rsid w:val="003B2BD9"/>
    <w:rsid w:val="003B30D8"/>
    <w:rsid w:val="003B3F69"/>
    <w:rsid w:val="003B7EF2"/>
    <w:rsid w:val="003C3FA4"/>
    <w:rsid w:val="003C4170"/>
    <w:rsid w:val="003C7DF5"/>
    <w:rsid w:val="003D78BC"/>
    <w:rsid w:val="003F2B0C"/>
    <w:rsid w:val="003F4230"/>
    <w:rsid w:val="00403E1D"/>
    <w:rsid w:val="00404166"/>
    <w:rsid w:val="00404FE7"/>
    <w:rsid w:val="00407C7B"/>
    <w:rsid w:val="004105B2"/>
    <w:rsid w:val="004221E4"/>
    <w:rsid w:val="004273F8"/>
    <w:rsid w:val="004355A3"/>
    <w:rsid w:val="00446546"/>
    <w:rsid w:val="00451E25"/>
    <w:rsid w:val="00452769"/>
    <w:rsid w:val="004604CF"/>
    <w:rsid w:val="004646C2"/>
    <w:rsid w:val="00465348"/>
    <w:rsid w:val="004773F0"/>
    <w:rsid w:val="00495FD4"/>
    <w:rsid w:val="004A0418"/>
    <w:rsid w:val="004A5A74"/>
    <w:rsid w:val="004A5DDB"/>
    <w:rsid w:val="004B0F4D"/>
    <w:rsid w:val="004B1061"/>
    <w:rsid w:val="004B1CCB"/>
    <w:rsid w:val="004B377C"/>
    <w:rsid w:val="004B5E4D"/>
    <w:rsid w:val="004B632F"/>
    <w:rsid w:val="004C03E8"/>
    <w:rsid w:val="004C0C5A"/>
    <w:rsid w:val="004C33AF"/>
    <w:rsid w:val="004D3FB1"/>
    <w:rsid w:val="004D6F21"/>
    <w:rsid w:val="004D73A5"/>
    <w:rsid w:val="0050072A"/>
    <w:rsid w:val="00503D5C"/>
    <w:rsid w:val="005107EF"/>
    <w:rsid w:val="00511753"/>
    <w:rsid w:val="005160F1"/>
    <w:rsid w:val="00517498"/>
    <w:rsid w:val="005202EF"/>
    <w:rsid w:val="0052286C"/>
    <w:rsid w:val="00523B4F"/>
    <w:rsid w:val="00524AB5"/>
    <w:rsid w:val="00524F2F"/>
    <w:rsid w:val="00526A12"/>
    <w:rsid w:val="00527E5C"/>
    <w:rsid w:val="00532CF5"/>
    <w:rsid w:val="00535973"/>
    <w:rsid w:val="00547176"/>
    <w:rsid w:val="005528CB"/>
    <w:rsid w:val="00556028"/>
    <w:rsid w:val="00564FDD"/>
    <w:rsid w:val="00566771"/>
    <w:rsid w:val="00571107"/>
    <w:rsid w:val="00581E2E"/>
    <w:rsid w:val="00584F15"/>
    <w:rsid w:val="005860A7"/>
    <w:rsid w:val="0059514B"/>
    <w:rsid w:val="005C7DF1"/>
    <w:rsid w:val="005D15EC"/>
    <w:rsid w:val="005D682B"/>
    <w:rsid w:val="005F7BE0"/>
    <w:rsid w:val="00613014"/>
    <w:rsid w:val="006157CD"/>
    <w:rsid w:val="006163F7"/>
    <w:rsid w:val="006259BE"/>
    <w:rsid w:val="00627C63"/>
    <w:rsid w:val="00630AA0"/>
    <w:rsid w:val="00632ADE"/>
    <w:rsid w:val="0063350B"/>
    <w:rsid w:val="006426A6"/>
    <w:rsid w:val="0065077B"/>
    <w:rsid w:val="00652606"/>
    <w:rsid w:val="00661246"/>
    <w:rsid w:val="00667E61"/>
    <w:rsid w:val="00670AA4"/>
    <w:rsid w:val="006854B4"/>
    <w:rsid w:val="006861AC"/>
    <w:rsid w:val="006908E3"/>
    <w:rsid w:val="00693580"/>
    <w:rsid w:val="006946EE"/>
    <w:rsid w:val="006A58A9"/>
    <w:rsid w:val="006A606D"/>
    <w:rsid w:val="006C0371"/>
    <w:rsid w:val="006C08B6"/>
    <w:rsid w:val="006C0B1A"/>
    <w:rsid w:val="006C6065"/>
    <w:rsid w:val="006C798C"/>
    <w:rsid w:val="006C7F9F"/>
    <w:rsid w:val="006E1630"/>
    <w:rsid w:val="006E1716"/>
    <w:rsid w:val="006E2F6D"/>
    <w:rsid w:val="006E4903"/>
    <w:rsid w:val="006E58F6"/>
    <w:rsid w:val="006E6391"/>
    <w:rsid w:val="006E72FD"/>
    <w:rsid w:val="006E77E1"/>
    <w:rsid w:val="006F131D"/>
    <w:rsid w:val="006F7771"/>
    <w:rsid w:val="00702BE7"/>
    <w:rsid w:val="00711642"/>
    <w:rsid w:val="00723AB1"/>
    <w:rsid w:val="00726EE0"/>
    <w:rsid w:val="007310FB"/>
    <w:rsid w:val="00736177"/>
    <w:rsid w:val="007449DD"/>
    <w:rsid w:val="007507C6"/>
    <w:rsid w:val="00751E0B"/>
    <w:rsid w:val="00752BCD"/>
    <w:rsid w:val="00766DA1"/>
    <w:rsid w:val="00767259"/>
    <w:rsid w:val="007866A6"/>
    <w:rsid w:val="00792210"/>
    <w:rsid w:val="007A130D"/>
    <w:rsid w:val="007A4693"/>
    <w:rsid w:val="007B306F"/>
    <w:rsid w:val="007C31F5"/>
    <w:rsid w:val="007D1A2D"/>
    <w:rsid w:val="007D1C5A"/>
    <w:rsid w:val="007D4102"/>
    <w:rsid w:val="007D4BA2"/>
    <w:rsid w:val="007E52A2"/>
    <w:rsid w:val="007F101F"/>
    <w:rsid w:val="007F1F54"/>
    <w:rsid w:val="007F4078"/>
    <w:rsid w:val="007F43B7"/>
    <w:rsid w:val="00811D6B"/>
    <w:rsid w:val="0081631D"/>
    <w:rsid w:val="00820277"/>
    <w:rsid w:val="00821FFC"/>
    <w:rsid w:val="00822568"/>
    <w:rsid w:val="008271CA"/>
    <w:rsid w:val="00832B04"/>
    <w:rsid w:val="00841733"/>
    <w:rsid w:val="008467D5"/>
    <w:rsid w:val="00846B3D"/>
    <w:rsid w:val="008471A4"/>
    <w:rsid w:val="0085430B"/>
    <w:rsid w:val="00862997"/>
    <w:rsid w:val="00872839"/>
    <w:rsid w:val="008A3314"/>
    <w:rsid w:val="008A4DC4"/>
    <w:rsid w:val="008A729C"/>
    <w:rsid w:val="008B438C"/>
    <w:rsid w:val="008C0E62"/>
    <w:rsid w:val="008D3A06"/>
    <w:rsid w:val="008D3A46"/>
    <w:rsid w:val="008D439D"/>
    <w:rsid w:val="008E52AB"/>
    <w:rsid w:val="009067A4"/>
    <w:rsid w:val="00926C32"/>
    <w:rsid w:val="00933D68"/>
    <w:rsid w:val="009340DB"/>
    <w:rsid w:val="00936E2E"/>
    <w:rsid w:val="0094197E"/>
    <w:rsid w:val="0094618C"/>
    <w:rsid w:val="00946CB1"/>
    <w:rsid w:val="009509A6"/>
    <w:rsid w:val="0095269A"/>
    <w:rsid w:val="0095684B"/>
    <w:rsid w:val="009628C3"/>
    <w:rsid w:val="009661B8"/>
    <w:rsid w:val="00972498"/>
    <w:rsid w:val="0097481F"/>
    <w:rsid w:val="00974CC6"/>
    <w:rsid w:val="00976AD4"/>
    <w:rsid w:val="00976BAA"/>
    <w:rsid w:val="009939D2"/>
    <w:rsid w:val="00995547"/>
    <w:rsid w:val="009A2986"/>
    <w:rsid w:val="009A312F"/>
    <w:rsid w:val="009A5348"/>
    <w:rsid w:val="009A5715"/>
    <w:rsid w:val="009B0AB7"/>
    <w:rsid w:val="009B7FD2"/>
    <w:rsid w:val="009C675A"/>
    <w:rsid w:val="009C76D5"/>
    <w:rsid w:val="009D74E4"/>
    <w:rsid w:val="009E45D7"/>
    <w:rsid w:val="009F7AA4"/>
    <w:rsid w:val="00A025E1"/>
    <w:rsid w:val="00A04575"/>
    <w:rsid w:val="00A04CDA"/>
    <w:rsid w:val="00A10AD7"/>
    <w:rsid w:val="00A22E9E"/>
    <w:rsid w:val="00A234E6"/>
    <w:rsid w:val="00A236AC"/>
    <w:rsid w:val="00A44C10"/>
    <w:rsid w:val="00A5092F"/>
    <w:rsid w:val="00A5172C"/>
    <w:rsid w:val="00A53F4E"/>
    <w:rsid w:val="00A559DB"/>
    <w:rsid w:val="00A569EA"/>
    <w:rsid w:val="00A61EB8"/>
    <w:rsid w:val="00A739A5"/>
    <w:rsid w:val="00A8314B"/>
    <w:rsid w:val="00AC013A"/>
    <w:rsid w:val="00AD49C9"/>
    <w:rsid w:val="00AF35FC"/>
    <w:rsid w:val="00AF3E41"/>
    <w:rsid w:val="00AF5556"/>
    <w:rsid w:val="00B03639"/>
    <w:rsid w:val="00B0652A"/>
    <w:rsid w:val="00B1086F"/>
    <w:rsid w:val="00B22F88"/>
    <w:rsid w:val="00B35D04"/>
    <w:rsid w:val="00B405AB"/>
    <w:rsid w:val="00B40937"/>
    <w:rsid w:val="00B423EF"/>
    <w:rsid w:val="00B453DE"/>
    <w:rsid w:val="00B466EC"/>
    <w:rsid w:val="00B470DE"/>
    <w:rsid w:val="00B5399D"/>
    <w:rsid w:val="00B72597"/>
    <w:rsid w:val="00B752A1"/>
    <w:rsid w:val="00B81593"/>
    <w:rsid w:val="00B901F9"/>
    <w:rsid w:val="00BA3A21"/>
    <w:rsid w:val="00BA4083"/>
    <w:rsid w:val="00BB0C60"/>
    <w:rsid w:val="00BB61E1"/>
    <w:rsid w:val="00BC3B64"/>
    <w:rsid w:val="00BD1E08"/>
    <w:rsid w:val="00BD6EFB"/>
    <w:rsid w:val="00BE0BA9"/>
    <w:rsid w:val="00BE36E7"/>
    <w:rsid w:val="00BF0D75"/>
    <w:rsid w:val="00C03E99"/>
    <w:rsid w:val="00C04420"/>
    <w:rsid w:val="00C1584D"/>
    <w:rsid w:val="00C15BE2"/>
    <w:rsid w:val="00C2460C"/>
    <w:rsid w:val="00C3447F"/>
    <w:rsid w:val="00C43433"/>
    <w:rsid w:val="00C63843"/>
    <w:rsid w:val="00C67102"/>
    <w:rsid w:val="00C81491"/>
    <w:rsid w:val="00C81676"/>
    <w:rsid w:val="00C85C5D"/>
    <w:rsid w:val="00C90607"/>
    <w:rsid w:val="00C92CC4"/>
    <w:rsid w:val="00C966C3"/>
    <w:rsid w:val="00C96D33"/>
    <w:rsid w:val="00CA0AFB"/>
    <w:rsid w:val="00CA2CE1"/>
    <w:rsid w:val="00CA3976"/>
    <w:rsid w:val="00CA43E0"/>
    <w:rsid w:val="00CA50E3"/>
    <w:rsid w:val="00CA757B"/>
    <w:rsid w:val="00CB3774"/>
    <w:rsid w:val="00CC1787"/>
    <w:rsid w:val="00CC182C"/>
    <w:rsid w:val="00CC4ABB"/>
    <w:rsid w:val="00CD0824"/>
    <w:rsid w:val="00CD2908"/>
    <w:rsid w:val="00CF40AB"/>
    <w:rsid w:val="00CF7626"/>
    <w:rsid w:val="00CF7BDE"/>
    <w:rsid w:val="00D00D8F"/>
    <w:rsid w:val="00D02589"/>
    <w:rsid w:val="00D03A82"/>
    <w:rsid w:val="00D07727"/>
    <w:rsid w:val="00D1200D"/>
    <w:rsid w:val="00D13667"/>
    <w:rsid w:val="00D15344"/>
    <w:rsid w:val="00D23F57"/>
    <w:rsid w:val="00D30936"/>
    <w:rsid w:val="00D31BEC"/>
    <w:rsid w:val="00D47907"/>
    <w:rsid w:val="00D54D95"/>
    <w:rsid w:val="00D5648B"/>
    <w:rsid w:val="00D60341"/>
    <w:rsid w:val="00D63150"/>
    <w:rsid w:val="00D636BA"/>
    <w:rsid w:val="00D6439A"/>
    <w:rsid w:val="00D64A32"/>
    <w:rsid w:val="00D64EFC"/>
    <w:rsid w:val="00D67BB1"/>
    <w:rsid w:val="00D75295"/>
    <w:rsid w:val="00D75DA4"/>
    <w:rsid w:val="00D76CE9"/>
    <w:rsid w:val="00D77370"/>
    <w:rsid w:val="00D80330"/>
    <w:rsid w:val="00D83C46"/>
    <w:rsid w:val="00D858E3"/>
    <w:rsid w:val="00D96366"/>
    <w:rsid w:val="00D97F12"/>
    <w:rsid w:val="00DA6095"/>
    <w:rsid w:val="00DB42E7"/>
    <w:rsid w:val="00DB5143"/>
    <w:rsid w:val="00DC0B12"/>
    <w:rsid w:val="00DC0FE9"/>
    <w:rsid w:val="00DC178A"/>
    <w:rsid w:val="00DC26DC"/>
    <w:rsid w:val="00DE0077"/>
    <w:rsid w:val="00DE01A6"/>
    <w:rsid w:val="00DE0F13"/>
    <w:rsid w:val="00DE2386"/>
    <w:rsid w:val="00DE6158"/>
    <w:rsid w:val="00DE7A98"/>
    <w:rsid w:val="00DF32C2"/>
    <w:rsid w:val="00E044AF"/>
    <w:rsid w:val="00E43D64"/>
    <w:rsid w:val="00E471A7"/>
    <w:rsid w:val="00E50CA8"/>
    <w:rsid w:val="00E60FDB"/>
    <w:rsid w:val="00E635CF"/>
    <w:rsid w:val="00E779B7"/>
    <w:rsid w:val="00E80054"/>
    <w:rsid w:val="00E9582D"/>
    <w:rsid w:val="00EA26AA"/>
    <w:rsid w:val="00EA5A3D"/>
    <w:rsid w:val="00EC0778"/>
    <w:rsid w:val="00EC6E0A"/>
    <w:rsid w:val="00ED4E18"/>
    <w:rsid w:val="00ED503B"/>
    <w:rsid w:val="00EE1F37"/>
    <w:rsid w:val="00F0159C"/>
    <w:rsid w:val="00F105B7"/>
    <w:rsid w:val="00F13220"/>
    <w:rsid w:val="00F15DA8"/>
    <w:rsid w:val="00F17A21"/>
    <w:rsid w:val="00F2054A"/>
    <w:rsid w:val="00F2447B"/>
    <w:rsid w:val="00F3060D"/>
    <w:rsid w:val="00F37B27"/>
    <w:rsid w:val="00F46556"/>
    <w:rsid w:val="00F50E91"/>
    <w:rsid w:val="00F56FBA"/>
    <w:rsid w:val="00F57D29"/>
    <w:rsid w:val="00F624BF"/>
    <w:rsid w:val="00F62E72"/>
    <w:rsid w:val="00F662FD"/>
    <w:rsid w:val="00F82CF1"/>
    <w:rsid w:val="00F94D6F"/>
    <w:rsid w:val="00F96201"/>
    <w:rsid w:val="00FA61E7"/>
    <w:rsid w:val="00FA65BD"/>
    <w:rsid w:val="00FC7774"/>
    <w:rsid w:val="00FD0B18"/>
    <w:rsid w:val="00FD2FAD"/>
    <w:rsid w:val="00FE159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7BCE224"/>
  <w15:docId w15:val="{598266FF-4E1C-48DA-AECA-E3CF7226C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C013A"/>
    <w:pPr>
      <w:jc w:val="both"/>
    </w:pPr>
    <w:rPr>
      <w:rFonts w:ascii="Arial" w:hAnsi="Arial" w:cs="Arial"/>
      <w:sz w:val="17"/>
      <w:szCs w:val="17"/>
    </w:rPr>
  </w:style>
  <w:style w:type="character" w:customStyle="1" w:styleId="FootnoteChar">
    <w:name w:val="Footnote Char"/>
    <w:basedOn w:val="FootnoteTextChar"/>
    <w:link w:val="Footnote"/>
    <w:rsid w:val="00AC013A"/>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link w:val="NormalWebChar"/>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862997"/>
  </w:style>
  <w:style w:type="paragraph" w:styleId="PlainText">
    <w:name w:val="Plain Text"/>
    <w:basedOn w:val="Normal"/>
    <w:link w:val="PlainTextChar"/>
    <w:uiPriority w:val="99"/>
    <w:rsid w:val="00862997"/>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862997"/>
    <w:rPr>
      <w:rFonts w:ascii="Consolas" w:eastAsiaTheme="minorEastAsia" w:hAnsi="Consolas" w:cs="Consolas"/>
      <w:sz w:val="21"/>
      <w:szCs w:val="21"/>
      <w:lang w:eastAsia="zh-CN"/>
    </w:rPr>
  </w:style>
  <w:style w:type="character" w:customStyle="1" w:styleId="Title1">
    <w:name w:val="Title1"/>
    <w:basedOn w:val="DefaultParagraphFont"/>
    <w:uiPriority w:val="99"/>
    <w:rsid w:val="00862997"/>
  </w:style>
  <w:style w:type="paragraph" w:styleId="Caption">
    <w:name w:val="caption"/>
    <w:basedOn w:val="Normal"/>
    <w:next w:val="Normal"/>
    <w:uiPriority w:val="35"/>
    <w:unhideWhenUsed/>
    <w:qFormat/>
    <w:rsid w:val="00862997"/>
    <w:pPr>
      <w:spacing w:after="200"/>
      <w:jc w:val="center"/>
    </w:pPr>
    <w:rPr>
      <w:rFonts w:ascii="Arial" w:eastAsiaTheme="minorHAnsi" w:hAnsi="Arial" w:cs="Arial"/>
      <w:b/>
      <w:iCs/>
      <w:color w:val="000000" w:themeColor="text1"/>
    </w:rPr>
  </w:style>
  <w:style w:type="character" w:customStyle="1" w:styleId="NormalWebChar">
    <w:name w:val="Normal (Web) Char"/>
    <w:link w:val="NormalWeb"/>
    <w:rsid w:val="00862997"/>
    <w:rPr>
      <w:rFonts w:ascii="Times New Roman" w:eastAsia="Times New Roman" w:hAnsi="Times New Roman" w:cs="Times New Roman"/>
      <w:sz w:val="24"/>
      <w:szCs w:val="24"/>
      <w:lang w:val="en-IN" w:eastAsia="en-IN"/>
    </w:rPr>
  </w:style>
  <w:style w:type="paragraph" w:customStyle="1" w:styleId="Default">
    <w:name w:val="Default"/>
    <w:rsid w:val="00862997"/>
    <w:pPr>
      <w:autoSpaceDE w:val="0"/>
      <w:autoSpaceDN w:val="0"/>
      <w:adjustRightInd w:val="0"/>
      <w:spacing w:after="0" w:line="240" w:lineRule="auto"/>
    </w:pPr>
    <w:rPr>
      <w:rFonts w:ascii="TimesNewRoman" w:eastAsia="Times New Roman" w:hAnsi="TimesNewRoman" w:cs="TimesNewRoman"/>
      <w:sz w:val="20"/>
      <w:szCs w:val="20"/>
      <w:lang w:bidi="hi-IN"/>
    </w:rPr>
  </w:style>
  <w:style w:type="paragraph" w:customStyle="1" w:styleId="indentedquotation">
    <w:name w:val="indented quotation"/>
    <w:basedOn w:val="NormalWeb"/>
    <w:link w:val="indentedquotationChar"/>
    <w:qFormat/>
    <w:rsid w:val="00862997"/>
    <w:pPr>
      <w:ind w:left="720"/>
      <w:jc w:val="both"/>
    </w:pPr>
    <w:rPr>
      <w:rFonts w:ascii="Arial" w:hAnsi="Arial" w:cs="Arial"/>
      <w:color w:val="000000"/>
      <w:szCs w:val="20"/>
      <w:lang w:eastAsia="zh-TW" w:bidi="hi-IN"/>
    </w:rPr>
  </w:style>
  <w:style w:type="character" w:customStyle="1" w:styleId="indentedquotationChar">
    <w:name w:val="indented quotation Char"/>
    <w:basedOn w:val="NormalWebChar"/>
    <w:link w:val="indentedquotation"/>
    <w:rsid w:val="00862997"/>
    <w:rPr>
      <w:rFonts w:ascii="Arial" w:eastAsia="Times New Roman" w:hAnsi="Arial" w:cs="Arial"/>
      <w:color w:val="000000"/>
      <w:sz w:val="24"/>
      <w:szCs w:val="20"/>
      <w:lang w:val="en-IN" w:eastAsia="zh-TW" w:bidi="hi-IN"/>
    </w:rPr>
  </w:style>
  <w:style w:type="paragraph" w:customStyle="1" w:styleId="blabktxt">
    <w:name w:val="blabktxt"/>
    <w:basedOn w:val="Normal"/>
    <w:rsid w:val="00862997"/>
    <w:pPr>
      <w:spacing w:before="100" w:beforeAutospacing="1" w:after="100" w:afterAutospacing="1"/>
      <w:jc w:val="both"/>
    </w:pPr>
    <w:rPr>
      <w:rFonts w:ascii="Verdana" w:hAnsi="Verdana"/>
      <w:color w:val="000000"/>
      <w:sz w:val="18"/>
      <w:szCs w:val="18"/>
      <w:lang w:bidi="hi-IN"/>
    </w:rPr>
  </w:style>
  <w:style w:type="character" w:customStyle="1" w:styleId="Mention1">
    <w:name w:val="Mention1"/>
    <w:basedOn w:val="DefaultParagraphFont"/>
    <w:uiPriority w:val="99"/>
    <w:semiHidden/>
    <w:unhideWhenUsed/>
    <w:rsid w:val="00E779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Size (in US$ billions)</c:v>
                </c:pt>
              </c:strCache>
            </c:strRef>
          </c:tx>
          <c:spPr>
            <a:solidFill>
              <a:schemeClr val="dk1">
                <a:tint val="88500"/>
              </a:schemeClr>
            </a:solidFill>
            <a:ln>
              <a:noFill/>
            </a:ln>
            <a:effectLst/>
          </c:spPr>
          <c:invertIfNegative val="0"/>
          <c:dLbls>
            <c:dLbl>
              <c:idx val="0"/>
              <c:layout>
                <c:manualLayout>
                  <c:x val="-9.2592592592592605E-3"/>
                  <c:y val="-7.7243157105361906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0-5299-41CE-9E50-F52663541823}"/>
                </c:ext>
              </c:extLst>
            </c:dLbl>
            <c:dLbl>
              <c:idx val="1"/>
              <c:layout>
                <c:manualLayout>
                  <c:x val="3.2407407407407399E-2"/>
                  <c:y val="-6.6272965879265094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1-5299-41CE-9E50-F52663541823}"/>
                </c:ext>
              </c:extLst>
            </c:dLbl>
            <c:dLbl>
              <c:idx val="2"/>
              <c:layout>
                <c:manualLayout>
                  <c:x val="-4.2437781360066697E-17"/>
                  <c:y val="6.1039245094363899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2-5299-41CE-9E50-F52663541823}"/>
                </c:ext>
              </c:extLst>
            </c:dLbl>
            <c:dLbl>
              <c:idx val="3"/>
              <c:layout>
                <c:manualLayout>
                  <c:x val="0"/>
                  <c:y val="6.3332708411448597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3-5299-41CE-9E50-F52663541823}"/>
                </c:ext>
              </c:extLst>
            </c:dLbl>
            <c:dLbl>
              <c:idx val="4"/>
              <c:layout>
                <c:manualLayout>
                  <c:x val="-4.2437781360066697E-17"/>
                  <c:y val="4.2179102612173499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4-5299-41CE-9E50-F52663541823}"/>
                </c:ext>
              </c:extLst>
            </c:dLbl>
            <c:dLbl>
              <c:idx val="5"/>
              <c:layout>
                <c:manualLayout>
                  <c:x val="4.2437781360066697E-17"/>
                  <c:y val="1.7063492063491301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5-5299-41CE-9E50-F52663541823}"/>
                </c:ext>
              </c:extLst>
            </c:dLbl>
            <c:dLbl>
              <c:idx val="6"/>
              <c:layout>
                <c:manualLayout>
                  <c:x val="0"/>
                  <c:y val="6.1336082989626303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6-5299-41CE-9E50-F52663541823}"/>
                </c:ext>
              </c:extLst>
            </c:dLbl>
            <c:dLbl>
              <c:idx val="7"/>
              <c:layout>
                <c:manualLayout>
                  <c:x val="0"/>
                  <c:y val="8.2324084489438093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7-5299-41CE-9E50-F52663541823}"/>
                </c:ext>
              </c:extLst>
            </c:dLbl>
            <c:dLbl>
              <c:idx val="8"/>
              <c:layout>
                <c:manualLayout>
                  <c:x val="0"/>
                  <c:y val="2.3947006624172001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8-5299-41CE-9E50-F52663541823}"/>
                </c:ext>
              </c:extLst>
            </c:dLbl>
            <c:dLbl>
              <c:idx val="9"/>
              <c:layout>
                <c:manualLayout>
                  <c:x val="0"/>
                  <c:y val="1.24303212098487E-2"/>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9-5299-41CE-9E50-F52663541823}"/>
                </c:ext>
              </c:extLst>
            </c:dLbl>
            <c:dLbl>
              <c:idx val="10"/>
              <c:layout>
                <c:manualLayout>
                  <c:x val="2.3148148148149001E-3"/>
                  <c:y val="-8.8488938882646899E-4"/>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A-5299-41CE-9E50-F52663541823}"/>
                </c:ext>
              </c:extLst>
            </c:dLbl>
            <c:dLbl>
              <c:idx val="11"/>
              <c:layout>
                <c:manualLayout>
                  <c:x val="4.62962962962954E-3"/>
                  <c:y val="5.4118235220597397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B-5299-41CE-9E50-F52663541823}"/>
                </c:ext>
              </c:extLst>
            </c:dLbl>
            <c:dLbl>
              <c:idx val="13"/>
              <c:layout>
                <c:manualLayout>
                  <c:x val="2.3148148148148099E-3"/>
                  <c:y val="-2.0656792900887399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C-5299-41CE-9E50-F52663541823}"/>
                </c:ext>
              </c:extLst>
            </c:dLbl>
            <c:dLbl>
              <c:idx val="14"/>
              <c:layout>
                <c:manualLayout>
                  <c:x val="6.9444444444444397E-3"/>
                  <c:y val="4.0013748281464796E-3"/>
                </c:manualLayout>
              </c:layout>
              <c:dLblPos val="outEnd"/>
              <c:showLegendKey val="0"/>
              <c:showVal val="1"/>
              <c:showCatName val="0"/>
              <c:showSerName val="0"/>
              <c:showPercent val="0"/>
              <c:showBubbleSize val="0"/>
              <c:extLst>
                <c:ext xmlns:c15="http://schemas.microsoft.com/office/drawing/2012/chart" uri="{CE6537A1-D6FC-4f65-9D91-7224C49458BB}">
                  <c15:layout/>
                </c:ext>
                <c:ext xmlns:c16="http://schemas.microsoft.com/office/drawing/2014/chart" uri="{C3380CC4-5D6E-409C-BE32-E72D297353CC}">
                  <c16:uniqueId val="{0000000D-5299-41CE-9E50-F5266354182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Sheet1!$A$2:$A$16</c:f>
              <c:strCache>
                <c:ptCount val="15"/>
                <c:pt idx="0">
                  <c:v>China</c:v>
                </c:pt>
                <c:pt idx="1">
                  <c:v>United States </c:v>
                </c:pt>
                <c:pt idx="2">
                  <c:v>Germany </c:v>
                </c:pt>
                <c:pt idx="3">
                  <c:v>Japan </c:v>
                </c:pt>
                <c:pt idx="4">
                  <c:v>United Kingdon</c:v>
                </c:pt>
                <c:pt idx="5">
                  <c:v>France </c:v>
                </c:pt>
                <c:pt idx="6">
                  <c:v>South Korea </c:v>
                </c:pt>
                <c:pt idx="7">
                  <c:v>Italy</c:v>
                </c:pt>
                <c:pt idx="8">
                  <c:v>Brazil</c:v>
                </c:pt>
                <c:pt idx="9">
                  <c:v>India</c:v>
                </c:pt>
                <c:pt idx="10">
                  <c:v>Canada</c:v>
                </c:pt>
                <c:pt idx="11">
                  <c:v>Australia </c:v>
                </c:pt>
                <c:pt idx="12">
                  <c:v>Spain</c:v>
                </c:pt>
                <c:pt idx="13">
                  <c:v>Netherlands </c:v>
                </c:pt>
                <c:pt idx="14">
                  <c:v>Russia </c:v>
                </c:pt>
              </c:strCache>
            </c:strRef>
          </c:cat>
          <c:val>
            <c:numRef>
              <c:f>Sheet1!$B$2:$B$16</c:f>
              <c:numCache>
                <c:formatCode>General</c:formatCode>
                <c:ptCount val="15"/>
                <c:pt idx="0">
                  <c:v>291</c:v>
                </c:pt>
                <c:pt idx="1">
                  <c:v>290</c:v>
                </c:pt>
                <c:pt idx="2">
                  <c:v>66</c:v>
                </c:pt>
                <c:pt idx="3">
                  <c:v>62</c:v>
                </c:pt>
                <c:pt idx="4">
                  <c:v>47</c:v>
                </c:pt>
                <c:pt idx="5">
                  <c:v>37</c:v>
                </c:pt>
                <c:pt idx="6">
                  <c:v>33</c:v>
                </c:pt>
                <c:pt idx="7">
                  <c:v>32</c:v>
                </c:pt>
                <c:pt idx="8">
                  <c:v>31</c:v>
                </c:pt>
                <c:pt idx="9">
                  <c:v>30</c:v>
                </c:pt>
                <c:pt idx="10">
                  <c:v>25</c:v>
                </c:pt>
                <c:pt idx="11">
                  <c:v>22</c:v>
                </c:pt>
                <c:pt idx="12">
                  <c:v>9</c:v>
                </c:pt>
                <c:pt idx="13">
                  <c:v>18</c:v>
                </c:pt>
                <c:pt idx="14">
                  <c:v>17</c:v>
                </c:pt>
              </c:numCache>
            </c:numRef>
          </c:val>
          <c:extLst>
            <c:ext xmlns:c16="http://schemas.microsoft.com/office/drawing/2014/chart" uri="{C3380CC4-5D6E-409C-BE32-E72D297353CC}">
              <c16:uniqueId val="{00000000-876A-4A3F-BAF7-64CDF3A96EE8}"/>
            </c:ext>
          </c:extLst>
        </c:ser>
        <c:dLbls>
          <c:showLegendKey val="0"/>
          <c:showVal val="0"/>
          <c:showCatName val="0"/>
          <c:showSerName val="0"/>
          <c:showPercent val="0"/>
          <c:showBubbleSize val="0"/>
        </c:dLbls>
        <c:gapWidth val="219"/>
        <c:overlap val="-27"/>
        <c:axId val="188496816"/>
        <c:axId val="187380344"/>
      </c:barChart>
      <c:lineChart>
        <c:grouping val="standard"/>
        <c:varyColors val="0"/>
        <c:ser>
          <c:idx val="1"/>
          <c:order val="1"/>
          <c:tx>
            <c:strRef>
              <c:f>Sheet1!$C$1</c:f>
              <c:strCache>
                <c:ptCount val="1"/>
                <c:pt idx="0">
                  <c:v>Growth (%)</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Sheet1!$A$2:$A$16</c:f>
              <c:strCache>
                <c:ptCount val="15"/>
                <c:pt idx="0">
                  <c:v>China</c:v>
                </c:pt>
                <c:pt idx="1">
                  <c:v>United States </c:v>
                </c:pt>
                <c:pt idx="2">
                  <c:v>Germany </c:v>
                </c:pt>
                <c:pt idx="3">
                  <c:v>Japan </c:v>
                </c:pt>
                <c:pt idx="4">
                  <c:v>United Kingdon</c:v>
                </c:pt>
                <c:pt idx="5">
                  <c:v>France </c:v>
                </c:pt>
                <c:pt idx="6">
                  <c:v>South Korea </c:v>
                </c:pt>
                <c:pt idx="7">
                  <c:v>Italy</c:v>
                </c:pt>
                <c:pt idx="8">
                  <c:v>Brazil</c:v>
                </c:pt>
                <c:pt idx="9">
                  <c:v>India</c:v>
                </c:pt>
                <c:pt idx="10">
                  <c:v>Canada</c:v>
                </c:pt>
                <c:pt idx="11">
                  <c:v>Australia </c:v>
                </c:pt>
                <c:pt idx="12">
                  <c:v>Spain</c:v>
                </c:pt>
                <c:pt idx="13">
                  <c:v>Netherlands </c:v>
                </c:pt>
                <c:pt idx="14">
                  <c:v>Russia </c:v>
                </c:pt>
              </c:strCache>
            </c:strRef>
          </c:cat>
          <c:val>
            <c:numRef>
              <c:f>Sheet1!$C$2:$C$16</c:f>
              <c:numCache>
                <c:formatCode>General</c:formatCode>
                <c:ptCount val="15"/>
                <c:pt idx="0">
                  <c:v>11.4</c:v>
                </c:pt>
                <c:pt idx="1">
                  <c:v>2.2000000000000002</c:v>
                </c:pt>
                <c:pt idx="2">
                  <c:v>9.8000000000000007</c:v>
                </c:pt>
                <c:pt idx="3">
                  <c:v>1</c:v>
                </c:pt>
                <c:pt idx="4">
                  <c:v>8.3000000000000007</c:v>
                </c:pt>
                <c:pt idx="5">
                  <c:v>3</c:v>
                </c:pt>
                <c:pt idx="6">
                  <c:v>1.5</c:v>
                </c:pt>
                <c:pt idx="7">
                  <c:v>2.2000000000000002</c:v>
                </c:pt>
                <c:pt idx="8">
                  <c:v>-4.0999999999999996</c:v>
                </c:pt>
                <c:pt idx="9">
                  <c:v>11</c:v>
                </c:pt>
                <c:pt idx="10">
                  <c:v>2.7</c:v>
                </c:pt>
                <c:pt idx="11">
                  <c:v>6.4</c:v>
                </c:pt>
                <c:pt idx="12">
                  <c:v>7.8</c:v>
                </c:pt>
                <c:pt idx="13">
                  <c:v>2</c:v>
                </c:pt>
                <c:pt idx="14">
                  <c:v>-18.2</c:v>
                </c:pt>
              </c:numCache>
            </c:numRef>
          </c:val>
          <c:smooth val="0"/>
          <c:extLst>
            <c:ext xmlns:c16="http://schemas.microsoft.com/office/drawing/2014/chart" uri="{C3380CC4-5D6E-409C-BE32-E72D297353CC}">
              <c16:uniqueId val="{00000001-876A-4A3F-BAF7-64CDF3A96EE8}"/>
            </c:ext>
          </c:extLst>
        </c:ser>
        <c:dLbls>
          <c:showLegendKey val="0"/>
          <c:showVal val="0"/>
          <c:showCatName val="0"/>
          <c:showSerName val="0"/>
          <c:showPercent val="0"/>
          <c:showBubbleSize val="0"/>
        </c:dLbls>
        <c:marker val="1"/>
        <c:smooth val="0"/>
        <c:axId val="156071848"/>
        <c:axId val="187380728"/>
      </c:lineChart>
      <c:catAx>
        <c:axId val="18849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380344"/>
        <c:crosses val="autoZero"/>
        <c:auto val="1"/>
        <c:lblAlgn val="ctr"/>
        <c:lblOffset val="100"/>
        <c:noMultiLvlLbl val="0"/>
      </c:catAx>
      <c:valAx>
        <c:axId val="187380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496816"/>
        <c:crosses val="autoZero"/>
        <c:crossBetween val="between"/>
      </c:valAx>
      <c:valAx>
        <c:axId val="18738072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71848"/>
        <c:crosses val="max"/>
        <c:crossBetween val="between"/>
      </c:valAx>
      <c:catAx>
        <c:axId val="156071848"/>
        <c:scaling>
          <c:orientation val="minMax"/>
        </c:scaling>
        <c:delete val="1"/>
        <c:axPos val="b"/>
        <c:numFmt formatCode="General" sourceLinked="1"/>
        <c:majorTickMark val="out"/>
        <c:minorTickMark val="none"/>
        <c:tickLblPos val="nextTo"/>
        <c:crossAx val="187380728"/>
        <c:crosses val="autoZero"/>
        <c:auto val="1"/>
        <c:lblAlgn val="ctr"/>
        <c:lblOffset val="100"/>
        <c:noMultiLvlLbl val="0"/>
      </c:cat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5910D-4FE7-497B-AA8C-4776D95F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13</Pages>
  <Words>4760</Words>
  <Characters>27133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8</cp:revision>
  <cp:lastPrinted>2018-03-20T12:36:00Z</cp:lastPrinted>
  <dcterms:created xsi:type="dcterms:W3CDTF">2017-09-15T16:00:00Z</dcterms:created>
  <dcterms:modified xsi:type="dcterms:W3CDTF">2018-03-20T13:56:00Z</dcterms:modified>
</cp:coreProperties>
</file>