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88DD30" w14:textId="77777777" w:rsidR="009D3F56" w:rsidRPr="00CE4C4E" w:rsidRDefault="009D3F56" w:rsidP="00B65245">
      <w:pPr>
        <w:tabs>
          <w:tab w:val="right" w:pos="9360"/>
        </w:tabs>
        <w:autoSpaceDE w:val="0"/>
        <w:autoSpaceDN w:val="0"/>
        <w:adjustRightInd w:val="0"/>
        <w:jc w:val="both"/>
        <w:textAlignment w:val="center"/>
        <w:rPr>
          <w:rFonts w:ascii="Arial" w:hAnsi="Arial"/>
          <w:i/>
          <w:iCs/>
          <w:color w:val="000000"/>
          <w:sz w:val="16"/>
          <w:lang w:val="en-GB"/>
        </w:rPr>
      </w:pPr>
      <w:r w:rsidRPr="00CE4C4E">
        <w:rPr>
          <w:rFonts w:ascii="Arial" w:hAnsi="Arial" w:cs="Arial"/>
          <w:b/>
          <w:noProof/>
          <w:sz w:val="24"/>
          <w:szCs w:val="16"/>
          <w:lang w:val="en-CA" w:eastAsia="en-CA"/>
        </w:rPr>
        <w:drawing>
          <wp:inline distT="0" distB="0" distL="0" distR="0" wp14:anchorId="429A6642" wp14:editId="3851DA6D">
            <wp:extent cx="2613804" cy="551245"/>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4C39BB5B" w14:textId="77777777" w:rsidR="008467D5" w:rsidRPr="00CE4C4E" w:rsidRDefault="008467D5" w:rsidP="008467D5">
      <w:pPr>
        <w:pBdr>
          <w:bottom w:val="single" w:sz="18" w:space="1" w:color="auto"/>
        </w:pBdr>
        <w:tabs>
          <w:tab w:val="left" w:pos="-1440"/>
          <w:tab w:val="left" w:pos="-720"/>
          <w:tab w:val="left" w:pos="1"/>
        </w:tabs>
        <w:jc w:val="both"/>
        <w:rPr>
          <w:rFonts w:ascii="Arial" w:hAnsi="Arial"/>
          <w:b/>
          <w:sz w:val="24"/>
          <w:lang w:val="en-GB"/>
        </w:rPr>
      </w:pPr>
    </w:p>
    <w:p w14:paraId="5DD56F0B" w14:textId="26B0DBF7" w:rsidR="00D75295" w:rsidRPr="00CE4C4E" w:rsidRDefault="005D1F60" w:rsidP="00F105B7">
      <w:pPr>
        <w:pStyle w:val="ProductNumber"/>
        <w:rPr>
          <w:lang w:val="en-GB"/>
        </w:rPr>
      </w:pPr>
      <w:r>
        <w:rPr>
          <w:lang w:val="en-GB"/>
        </w:rPr>
        <w:t>9B17M145</w:t>
      </w:r>
    </w:p>
    <w:p w14:paraId="6011E2CB" w14:textId="77777777" w:rsidR="00D75295" w:rsidRPr="00CE4C4E" w:rsidRDefault="00D75295" w:rsidP="00D75295">
      <w:pPr>
        <w:jc w:val="right"/>
        <w:rPr>
          <w:rFonts w:ascii="Arial" w:hAnsi="Arial"/>
          <w:b/>
          <w:sz w:val="28"/>
          <w:szCs w:val="28"/>
          <w:lang w:val="en-GB"/>
        </w:rPr>
      </w:pPr>
    </w:p>
    <w:p w14:paraId="293671DF" w14:textId="77777777" w:rsidR="00866F6D" w:rsidRPr="00CE4C4E" w:rsidRDefault="00866F6D" w:rsidP="00D75295">
      <w:pPr>
        <w:jc w:val="right"/>
        <w:rPr>
          <w:rFonts w:ascii="Arial" w:hAnsi="Arial"/>
          <w:b/>
          <w:sz w:val="28"/>
          <w:szCs w:val="28"/>
          <w:lang w:val="en-GB"/>
        </w:rPr>
      </w:pPr>
    </w:p>
    <w:p w14:paraId="28BB2F9C" w14:textId="1EF6CC93" w:rsidR="00013360" w:rsidRPr="00CE4C4E" w:rsidRDefault="00B71E44" w:rsidP="00013360">
      <w:pPr>
        <w:pStyle w:val="CaseTitle"/>
        <w:spacing w:after="0" w:line="240" w:lineRule="auto"/>
        <w:rPr>
          <w:lang w:val="en-GB"/>
        </w:rPr>
      </w:pPr>
      <w:r w:rsidRPr="00CE4C4E">
        <w:rPr>
          <w:lang w:val="en-GB"/>
        </w:rPr>
        <w:t>the humane society</w:t>
      </w:r>
      <w:r w:rsidR="0059216B">
        <w:rPr>
          <w:lang w:val="en-GB"/>
        </w:rPr>
        <w:t xml:space="preserve"> </w:t>
      </w:r>
      <w:r w:rsidRPr="00CE4C4E">
        <w:rPr>
          <w:lang w:val="en-GB"/>
        </w:rPr>
        <w:t>and seaworld: orca obstacle</w:t>
      </w:r>
    </w:p>
    <w:p w14:paraId="301E44F8" w14:textId="77777777" w:rsidR="00013360" w:rsidRPr="00CE4C4E" w:rsidRDefault="00013360" w:rsidP="00013360">
      <w:pPr>
        <w:pStyle w:val="CaseTitle"/>
        <w:spacing w:after="0" w:line="240" w:lineRule="auto"/>
        <w:rPr>
          <w:sz w:val="20"/>
          <w:szCs w:val="20"/>
          <w:lang w:val="en-GB"/>
        </w:rPr>
      </w:pPr>
    </w:p>
    <w:p w14:paraId="1448BB02" w14:textId="77777777" w:rsidR="00CA3976" w:rsidRPr="00CE4C4E" w:rsidRDefault="00CA3976" w:rsidP="00013360">
      <w:pPr>
        <w:pStyle w:val="CaseTitle"/>
        <w:spacing w:after="0" w:line="240" w:lineRule="auto"/>
        <w:rPr>
          <w:sz w:val="20"/>
          <w:szCs w:val="20"/>
          <w:lang w:val="en-GB"/>
        </w:rPr>
      </w:pPr>
    </w:p>
    <w:p w14:paraId="453AF832" w14:textId="77777777" w:rsidR="00013360" w:rsidRPr="00CE4C4E" w:rsidRDefault="00013360" w:rsidP="00013360">
      <w:pPr>
        <w:pStyle w:val="CaseTitle"/>
        <w:spacing w:after="0" w:line="240" w:lineRule="auto"/>
        <w:rPr>
          <w:sz w:val="20"/>
          <w:szCs w:val="20"/>
          <w:lang w:val="en-GB"/>
        </w:rPr>
      </w:pPr>
    </w:p>
    <w:p w14:paraId="0250600C" w14:textId="77777777" w:rsidR="00013360" w:rsidRPr="00CE4C4E" w:rsidRDefault="00AD2340" w:rsidP="00104567">
      <w:pPr>
        <w:pStyle w:val="StyleCopyrightStatementAfter0ptBottomSinglesolidline1"/>
        <w:rPr>
          <w:lang w:val="en-GB"/>
        </w:rPr>
      </w:pPr>
      <w:r w:rsidRPr="00CE4C4E">
        <w:rPr>
          <w:lang w:val="en-GB"/>
        </w:rPr>
        <w:t>Tara Ceranic Salinas and Marc Lampe</w:t>
      </w:r>
      <w:r w:rsidR="007E5921" w:rsidRPr="00CE4C4E">
        <w:rPr>
          <w:lang w:val="en-GB"/>
        </w:rPr>
        <w:t xml:space="preserve"> wrote this case sol</w:t>
      </w:r>
      <w:r w:rsidR="00D75295" w:rsidRPr="00CE4C4E">
        <w:rPr>
          <w:lang w:val="en-GB"/>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60816394" w14:textId="77777777" w:rsidR="00013360" w:rsidRPr="00CE4C4E" w:rsidRDefault="00013360" w:rsidP="00104567">
      <w:pPr>
        <w:pStyle w:val="StyleCopyrightStatementAfter0ptBottomSinglesolidline1"/>
        <w:rPr>
          <w:lang w:val="en-GB"/>
        </w:rPr>
      </w:pPr>
    </w:p>
    <w:p w14:paraId="37356961" w14:textId="6DF4642B" w:rsidR="009D3F56" w:rsidRPr="00CE4C4E" w:rsidRDefault="009D3F56" w:rsidP="00B65245">
      <w:pPr>
        <w:tabs>
          <w:tab w:val="right" w:pos="9360"/>
        </w:tabs>
        <w:autoSpaceDE w:val="0"/>
        <w:autoSpaceDN w:val="0"/>
        <w:adjustRightInd w:val="0"/>
        <w:jc w:val="both"/>
        <w:textAlignment w:val="center"/>
        <w:rPr>
          <w:rFonts w:ascii="Arial" w:hAnsi="Arial"/>
          <w:i/>
          <w:iCs/>
          <w:color w:val="000000"/>
          <w:sz w:val="16"/>
          <w:lang w:val="en-GB"/>
        </w:rPr>
      </w:pPr>
      <w:r w:rsidRPr="00CE4C4E">
        <w:rPr>
          <w:rFonts w:ascii="Arial" w:hAnsi="Arial"/>
          <w:i/>
          <w:iCs/>
          <w:color w:val="000000"/>
          <w:sz w:val="16"/>
          <w:lang w:val="en-GB"/>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CE4C4E">
          <w:rPr>
            <w:rFonts w:ascii="Arial" w:hAnsi="Arial"/>
            <w:i/>
            <w:iCs/>
            <w:color w:val="000000"/>
            <w:sz w:val="16"/>
            <w:lang w:val="en-GB"/>
          </w:rPr>
          <w:t>cases@ivey.ca</w:t>
        </w:r>
      </w:hyperlink>
      <w:r w:rsidRPr="00CE4C4E">
        <w:rPr>
          <w:rFonts w:ascii="Arial" w:hAnsi="Arial"/>
          <w:i/>
          <w:iCs/>
          <w:color w:val="000000"/>
          <w:sz w:val="16"/>
          <w:lang w:val="en-GB"/>
        </w:rPr>
        <w:t xml:space="preserve">; </w:t>
      </w:r>
      <w:hyperlink r:id="rId10" w:history="1">
        <w:r w:rsidRPr="00CE4C4E">
          <w:rPr>
            <w:rFonts w:ascii="Arial" w:hAnsi="Arial"/>
            <w:i/>
            <w:iCs/>
            <w:color w:val="000000"/>
            <w:sz w:val="16"/>
            <w:lang w:val="en-GB"/>
          </w:rPr>
          <w:t>www.iveycases.com</w:t>
        </w:r>
      </w:hyperlink>
      <w:r w:rsidRPr="00CE4C4E">
        <w:rPr>
          <w:rFonts w:ascii="Arial" w:hAnsi="Arial"/>
          <w:i/>
          <w:iCs/>
          <w:color w:val="000000"/>
          <w:sz w:val="16"/>
          <w:lang w:val="en-GB"/>
        </w:rPr>
        <w:t>.</w:t>
      </w:r>
    </w:p>
    <w:p w14:paraId="171889A7" w14:textId="77777777" w:rsidR="009D3F56" w:rsidRPr="00CE4C4E" w:rsidRDefault="009D3F56" w:rsidP="00B65245">
      <w:pPr>
        <w:tabs>
          <w:tab w:val="right" w:pos="9360"/>
        </w:tabs>
        <w:autoSpaceDE w:val="0"/>
        <w:autoSpaceDN w:val="0"/>
        <w:adjustRightInd w:val="0"/>
        <w:jc w:val="both"/>
        <w:textAlignment w:val="center"/>
        <w:rPr>
          <w:rFonts w:ascii="Arial" w:hAnsi="Arial"/>
          <w:i/>
          <w:iCs/>
          <w:color w:val="000000"/>
          <w:sz w:val="16"/>
          <w:lang w:val="en-GB"/>
        </w:rPr>
      </w:pPr>
    </w:p>
    <w:p w14:paraId="0571123A" w14:textId="54E4EF1A" w:rsidR="003B7EF2" w:rsidRPr="00CE4C4E" w:rsidRDefault="009D3F56" w:rsidP="009D3F56">
      <w:pPr>
        <w:tabs>
          <w:tab w:val="right" w:pos="9360"/>
        </w:tabs>
        <w:autoSpaceDE w:val="0"/>
        <w:autoSpaceDN w:val="0"/>
        <w:adjustRightInd w:val="0"/>
        <w:jc w:val="both"/>
        <w:textAlignment w:val="center"/>
        <w:rPr>
          <w:rFonts w:ascii="Arial" w:hAnsi="Arial" w:cs="Arial"/>
          <w:i/>
          <w:iCs/>
          <w:color w:val="000000"/>
          <w:sz w:val="12"/>
          <w:lang w:val="en-GB"/>
        </w:rPr>
      </w:pPr>
      <w:r w:rsidRPr="00CE4C4E">
        <w:rPr>
          <w:rFonts w:ascii="Arial" w:hAnsi="Arial"/>
          <w:i/>
          <w:iCs/>
          <w:color w:val="000000"/>
          <w:sz w:val="16"/>
          <w:lang w:val="en-GB"/>
        </w:rPr>
        <w:t>Copyright © 2017, Richard Ivey School of Business Foundation</w:t>
      </w:r>
      <w:r w:rsidRPr="00CE4C4E">
        <w:rPr>
          <w:rFonts w:ascii="Arial" w:hAnsi="Arial"/>
          <w:i/>
          <w:iCs/>
          <w:color w:val="000000"/>
          <w:sz w:val="16"/>
          <w:lang w:val="en-GB"/>
        </w:rPr>
        <w:tab/>
      </w:r>
      <w:r w:rsidR="003B7EF2" w:rsidRPr="00CE4C4E">
        <w:rPr>
          <w:rFonts w:ascii="Arial" w:hAnsi="Arial" w:cs="Arial"/>
          <w:i/>
          <w:sz w:val="16"/>
          <w:lang w:val="en-GB"/>
        </w:rPr>
        <w:t xml:space="preserve">Version: </w:t>
      </w:r>
      <w:r w:rsidR="00361C8E" w:rsidRPr="00CE4C4E">
        <w:rPr>
          <w:rFonts w:ascii="Arial" w:hAnsi="Arial" w:cs="Arial"/>
          <w:i/>
          <w:sz w:val="16"/>
          <w:lang w:val="en-GB"/>
        </w:rPr>
        <w:t>201</w:t>
      </w:r>
      <w:r w:rsidR="00250B15">
        <w:rPr>
          <w:rFonts w:ascii="Arial" w:hAnsi="Arial" w:cs="Arial"/>
          <w:i/>
          <w:sz w:val="16"/>
          <w:lang w:val="en-GB"/>
        </w:rPr>
        <w:t>7</w:t>
      </w:r>
      <w:bookmarkStart w:id="0" w:name="_GoBack"/>
      <w:bookmarkEnd w:id="0"/>
      <w:r w:rsidR="00361C8E" w:rsidRPr="00CE4C4E">
        <w:rPr>
          <w:rFonts w:ascii="Arial" w:hAnsi="Arial" w:cs="Arial"/>
          <w:i/>
          <w:sz w:val="16"/>
          <w:lang w:val="en-GB"/>
        </w:rPr>
        <w:t>-</w:t>
      </w:r>
      <w:r w:rsidR="00B71E44" w:rsidRPr="00CE4C4E">
        <w:rPr>
          <w:rFonts w:ascii="Arial" w:hAnsi="Arial" w:cs="Arial"/>
          <w:i/>
          <w:sz w:val="16"/>
          <w:lang w:val="en-GB"/>
        </w:rPr>
        <w:t>0</w:t>
      </w:r>
      <w:r w:rsidR="00E97C02">
        <w:rPr>
          <w:rFonts w:ascii="Arial" w:hAnsi="Arial" w:cs="Arial"/>
          <w:i/>
          <w:sz w:val="16"/>
          <w:lang w:val="en-GB"/>
        </w:rPr>
        <w:t>9</w:t>
      </w:r>
      <w:r w:rsidR="00361C8E" w:rsidRPr="00CE4C4E">
        <w:rPr>
          <w:rFonts w:ascii="Arial" w:hAnsi="Arial" w:cs="Arial"/>
          <w:i/>
          <w:sz w:val="16"/>
          <w:lang w:val="en-GB"/>
        </w:rPr>
        <w:t>-</w:t>
      </w:r>
      <w:r w:rsidR="005D1F60">
        <w:rPr>
          <w:rFonts w:ascii="Arial" w:hAnsi="Arial" w:cs="Arial"/>
          <w:i/>
          <w:sz w:val="16"/>
          <w:lang w:val="en-GB"/>
        </w:rPr>
        <w:t>2</w:t>
      </w:r>
      <w:r w:rsidR="00A12F4D">
        <w:rPr>
          <w:rFonts w:ascii="Arial" w:hAnsi="Arial" w:cs="Arial"/>
          <w:i/>
          <w:sz w:val="16"/>
          <w:lang w:val="en-GB"/>
        </w:rPr>
        <w:t>7</w:t>
      </w:r>
    </w:p>
    <w:p w14:paraId="5DD4F643" w14:textId="77777777" w:rsidR="003B7EF2" w:rsidRPr="00CE4C4E" w:rsidRDefault="003B7EF2" w:rsidP="00104567">
      <w:pPr>
        <w:pStyle w:val="StyleCopyrightStatementAfter0ptBottomSinglesolidline1"/>
        <w:rPr>
          <w:rFonts w:ascii="Times New Roman" w:hAnsi="Times New Roman"/>
          <w:sz w:val="20"/>
          <w:lang w:val="en-GB"/>
        </w:rPr>
      </w:pPr>
    </w:p>
    <w:p w14:paraId="4DF85536" w14:textId="77777777" w:rsidR="00B71E44" w:rsidRPr="00CE4C4E" w:rsidRDefault="00B71E44" w:rsidP="00104567">
      <w:pPr>
        <w:pStyle w:val="StyleCopyrightStatementAfter0ptBottomSinglesolidline1"/>
        <w:rPr>
          <w:rFonts w:ascii="Times New Roman" w:hAnsi="Times New Roman"/>
          <w:sz w:val="20"/>
          <w:lang w:val="en-GB"/>
        </w:rPr>
      </w:pPr>
    </w:p>
    <w:p w14:paraId="4AE9CF89" w14:textId="5C2449A7" w:rsidR="00B71E44" w:rsidRPr="002779CD" w:rsidRDefault="00B71E44" w:rsidP="002779CD">
      <w:pPr>
        <w:pStyle w:val="BodyTextMain"/>
      </w:pPr>
      <w:r w:rsidRPr="002779CD">
        <w:t>Imagine a carnivorous sea mammal the size of a school bus that weighs six tons (5,443 k</w:t>
      </w:r>
      <w:r w:rsidR="00CE4C4E" w:rsidRPr="002779CD">
        <w:t>ilo</w:t>
      </w:r>
      <w:r w:rsidRPr="002779CD">
        <w:t>g</w:t>
      </w:r>
      <w:r w:rsidR="00ED6D90" w:rsidRPr="002779CD">
        <w:t>rams</w:t>
      </w:r>
      <w:r w:rsidRPr="002779CD">
        <w:t xml:space="preserve">) and has </w:t>
      </w:r>
      <w:r w:rsidR="00FB0C18" w:rsidRPr="002779CD">
        <w:t>52</w:t>
      </w:r>
      <w:r w:rsidRPr="002779CD">
        <w:t xml:space="preserve"> teeth. It spends each day socializing with its large family, swimming over </w:t>
      </w:r>
      <w:r w:rsidR="0017666D" w:rsidRPr="002779CD">
        <w:t>100</w:t>
      </w:r>
      <w:r w:rsidRPr="002779CD">
        <w:t xml:space="preserve"> miles (160 k</w:t>
      </w:r>
      <w:r w:rsidR="00ED6D90" w:rsidRPr="002779CD">
        <w:t>ilo</w:t>
      </w:r>
      <w:r w:rsidRPr="002779CD">
        <w:t>m</w:t>
      </w:r>
      <w:r w:rsidR="00ED6D90" w:rsidRPr="002779CD">
        <w:t>etres</w:t>
      </w:r>
      <w:r w:rsidRPr="002779CD">
        <w:t>)</w:t>
      </w:r>
      <w:r w:rsidR="0017666D" w:rsidRPr="002779CD">
        <w:t>,</w:t>
      </w:r>
      <w:r w:rsidRPr="002779CD">
        <w:t xml:space="preserve"> and diving to depths of 850 feet (259 m</w:t>
      </w:r>
      <w:r w:rsidR="00ED6D90" w:rsidRPr="002779CD">
        <w:t>etres</w:t>
      </w:r>
      <w:r w:rsidRPr="002779CD">
        <w:t xml:space="preserve">) for food and exercise. Once every three to </w:t>
      </w:r>
      <w:r w:rsidR="00ED6D90" w:rsidRPr="002779CD">
        <w:t>10</w:t>
      </w:r>
      <w:r w:rsidRPr="002779CD">
        <w:t xml:space="preserve"> years, after an </w:t>
      </w:r>
      <w:r w:rsidR="00FB0C18" w:rsidRPr="002779CD">
        <w:t>18</w:t>
      </w:r>
      <w:r w:rsidRPr="002779CD">
        <w:t>-month pregnancy, females give birth to babies weighing 265</w:t>
      </w:r>
      <w:r w:rsidR="00FB0C18" w:rsidRPr="002779CD">
        <w:t>–</w:t>
      </w:r>
      <w:r w:rsidRPr="002779CD">
        <w:t>353 pounds (120</w:t>
      </w:r>
      <w:r w:rsidR="00FB0C18" w:rsidRPr="002779CD">
        <w:t>–</w:t>
      </w:r>
      <w:r w:rsidRPr="002779CD">
        <w:t>160 k</w:t>
      </w:r>
      <w:r w:rsidR="00ED6D90" w:rsidRPr="002779CD">
        <w:t>ilo</w:t>
      </w:r>
      <w:r w:rsidRPr="002779CD">
        <w:t>g</w:t>
      </w:r>
      <w:r w:rsidR="00ED6D90" w:rsidRPr="002779CD">
        <w:t>rams</w:t>
      </w:r>
      <w:r w:rsidRPr="002779CD">
        <w:t>) and measuring over 8.5 feet (2.6 m</w:t>
      </w:r>
      <w:r w:rsidR="00ED6D90" w:rsidRPr="002779CD">
        <w:t>etres</w:t>
      </w:r>
      <w:r w:rsidRPr="002779CD">
        <w:t>) long. This colossus is not a fictional behemoth</w:t>
      </w:r>
      <w:r w:rsidR="002A08DE" w:rsidRPr="002779CD">
        <w:t xml:space="preserve">; </w:t>
      </w:r>
      <w:r w:rsidRPr="002779CD">
        <w:t>it</w:t>
      </w:r>
      <w:r w:rsidR="00C456C5" w:rsidRPr="002779CD">
        <w:t xml:space="preserve"> is</w:t>
      </w:r>
      <w:r w:rsidRPr="002779CD">
        <w:t xml:space="preserve"> an orca whale. Also known more commonly as killer whales, these magnificent creatures were at the </w:t>
      </w:r>
      <w:r w:rsidR="002A08DE" w:rsidRPr="002779CD">
        <w:t xml:space="preserve">centre </w:t>
      </w:r>
      <w:r w:rsidRPr="002779CD">
        <w:t xml:space="preserve">of much debate between two individuals: Wayne Pacelle and Joel Manby. </w:t>
      </w:r>
      <w:r w:rsidR="00B277BA">
        <w:t>In 2016, e</w:t>
      </w:r>
      <w:r w:rsidRPr="002779CD">
        <w:t xml:space="preserve">ach man served as president and chief executive officer (CEO) of </w:t>
      </w:r>
      <w:r w:rsidR="001E3E4B" w:rsidRPr="002779CD">
        <w:t xml:space="preserve">a </w:t>
      </w:r>
      <w:r w:rsidRPr="002779CD">
        <w:t>large organization embroiled in a dialogue surrounding orcas. Pacelle headed the non-profit Humane Society of the United States (HSUS)</w:t>
      </w:r>
      <w:r w:rsidR="00E00E44" w:rsidRPr="002779CD">
        <w:t>,</w:t>
      </w:r>
      <w:r w:rsidRPr="002779CD">
        <w:t xml:space="preserve"> while Manby led SeaWorld Parks &amp; Entertainment, Inc. (SeaWorld). These men shared a great deal in common: Ivy League educations, hugely successful careers, and both were authors of popular books. For almost a year they had been negotiating some very large differences of opinion in a long-standing dispute. </w:t>
      </w:r>
      <w:r w:rsidR="00FB0C18" w:rsidRPr="002779CD">
        <w:t xml:space="preserve"> </w:t>
      </w:r>
    </w:p>
    <w:p w14:paraId="06CB8939" w14:textId="77777777" w:rsidR="00B71E44" w:rsidRPr="002779CD" w:rsidRDefault="00B71E44" w:rsidP="002779CD">
      <w:pPr>
        <w:pStyle w:val="BodyTextMain"/>
      </w:pPr>
    </w:p>
    <w:p w14:paraId="495C0A00" w14:textId="61DC8BE1" w:rsidR="00B71E44" w:rsidRPr="002779CD" w:rsidRDefault="00B71E44" w:rsidP="002779CD">
      <w:pPr>
        <w:pStyle w:val="BodyTextMain"/>
      </w:pPr>
      <w:r w:rsidRPr="002779CD">
        <w:t xml:space="preserve">Manby, Pacelle, and their organizations were at a crossroads and each had a lot </w:t>
      </w:r>
      <w:r w:rsidR="003D6BF7" w:rsidRPr="002779CD">
        <w:t>at stake</w:t>
      </w:r>
      <w:r w:rsidRPr="002779CD">
        <w:t>. SeaWorld was facing growing negative publicity and a decline in park attendance and revenues. Pacelle had a book about to be released that was a call to business leaders to join the animal protection movement and incorporate its values into their strategic plans. At the crux of their dispute was SeaWorld’s captive orca program. This program involved orcas that lived in large tanks at SeaWorld parks</w:t>
      </w:r>
      <w:r w:rsidR="00C24FC9" w:rsidRPr="002779CD">
        <w:t>,</w:t>
      </w:r>
      <w:r w:rsidRPr="002779CD">
        <w:t xml:space="preserve"> where they performed and were bred, thereby providing future generations of orcas for SeaWorld. In order to move forward in a way that benefited them all, Manby and Pacelle needed to work together. Therefore, in March 2016, Pacelle visited a SeaWorld park for the first time in his life</w:t>
      </w:r>
      <w:r w:rsidR="00C24FC9" w:rsidRPr="002779CD">
        <w:t>,</w:t>
      </w:r>
      <w:r w:rsidRPr="002779CD">
        <w:t xml:space="preserve"> with Manby as his guide, and the two men started a conversation to determine how to proceed.</w:t>
      </w:r>
      <w:r w:rsidRPr="002779CD">
        <w:rPr>
          <w:rStyle w:val="EndnoteReference"/>
        </w:rPr>
        <w:endnoteReference w:id="1"/>
      </w:r>
      <w:r w:rsidRPr="002779CD">
        <w:t xml:space="preserve"> Was it possible for these organizations to find common ground, considering their complicated relationship? </w:t>
      </w:r>
    </w:p>
    <w:p w14:paraId="6AF887FA" w14:textId="77777777" w:rsidR="00B71E44" w:rsidRPr="00CE4C4E" w:rsidRDefault="00B71E44" w:rsidP="00B71E44">
      <w:pPr>
        <w:pStyle w:val="BodyTextMain"/>
        <w:rPr>
          <w:b/>
          <w:lang w:val="en-GB"/>
        </w:rPr>
      </w:pPr>
    </w:p>
    <w:p w14:paraId="5B8563D3" w14:textId="77777777" w:rsidR="00B71E44" w:rsidRPr="00CE4C4E" w:rsidRDefault="00B71E44" w:rsidP="00B71E44">
      <w:pPr>
        <w:pStyle w:val="BodyTextMain"/>
        <w:rPr>
          <w:b/>
          <w:lang w:val="en-GB"/>
        </w:rPr>
      </w:pPr>
    </w:p>
    <w:p w14:paraId="275385F9" w14:textId="77777777" w:rsidR="00B71E44" w:rsidRPr="00CE4C4E" w:rsidRDefault="00B71E44" w:rsidP="00B71E44">
      <w:pPr>
        <w:pStyle w:val="Casehead1"/>
        <w:rPr>
          <w:lang w:val="en-GB"/>
        </w:rPr>
      </w:pPr>
      <w:r w:rsidRPr="00CE4C4E">
        <w:rPr>
          <w:lang w:val="en-GB"/>
        </w:rPr>
        <w:t xml:space="preserve">SeaWorld History </w:t>
      </w:r>
    </w:p>
    <w:p w14:paraId="4A475FA6" w14:textId="77777777" w:rsidR="00B71E44" w:rsidRPr="00CE4C4E" w:rsidRDefault="00B71E44" w:rsidP="00B71E44">
      <w:pPr>
        <w:pStyle w:val="BodyTextMain"/>
        <w:rPr>
          <w:lang w:val="en-GB"/>
        </w:rPr>
      </w:pPr>
    </w:p>
    <w:p w14:paraId="2F2D3401" w14:textId="772A8426" w:rsidR="00B71E44" w:rsidRPr="002779CD" w:rsidRDefault="00B71E44" w:rsidP="002779CD">
      <w:pPr>
        <w:pStyle w:val="BodyTextMain"/>
      </w:pPr>
      <w:r w:rsidRPr="002779CD">
        <w:t xml:space="preserve">SeaWorld was founded on </w:t>
      </w:r>
      <w:r w:rsidR="005447CA" w:rsidRPr="002779CD">
        <w:t>21</w:t>
      </w:r>
      <w:r w:rsidRPr="002779CD">
        <w:t xml:space="preserve"> acres along the Mission Bay waterfront in San Diego, California</w:t>
      </w:r>
      <w:r w:rsidR="005447CA" w:rsidRPr="002779CD">
        <w:t>,</w:t>
      </w:r>
      <w:r w:rsidRPr="002779CD">
        <w:t xml:space="preserve"> in 1964 by Milton C. Shedd, Ken Norris, David De</w:t>
      </w:r>
      <w:r w:rsidR="001E3E4B" w:rsidRPr="002779CD">
        <w:t>M</w:t>
      </w:r>
      <w:r w:rsidRPr="002779CD">
        <w:t>ott, and</w:t>
      </w:r>
      <w:r w:rsidRPr="002779CD">
        <w:rPr>
          <w:rStyle w:val="apple-converted-space"/>
        </w:rPr>
        <w:t> </w:t>
      </w:r>
      <w:r w:rsidRPr="002779CD">
        <w:t>George Millay</w:t>
      </w:r>
      <w:r w:rsidR="005447CA" w:rsidRPr="002779CD">
        <w:t>—</w:t>
      </w:r>
      <w:r w:rsidRPr="002779CD">
        <w:t>four graduates of</w:t>
      </w:r>
      <w:r w:rsidRPr="002779CD">
        <w:rPr>
          <w:rStyle w:val="apple-converted-space"/>
        </w:rPr>
        <w:t> </w:t>
      </w:r>
      <w:r w:rsidR="00B277BA">
        <w:rPr>
          <w:rStyle w:val="apple-converted-space"/>
        </w:rPr>
        <w:t xml:space="preserve">the </w:t>
      </w:r>
      <w:r w:rsidRPr="002779CD">
        <w:t>U</w:t>
      </w:r>
      <w:r w:rsidR="00ED6D90" w:rsidRPr="002779CD">
        <w:t xml:space="preserve">niversity of </w:t>
      </w:r>
      <w:r w:rsidRPr="002779CD">
        <w:t>C</w:t>
      </w:r>
      <w:r w:rsidR="00ED6D90" w:rsidRPr="002779CD">
        <w:t xml:space="preserve">alifornia, </w:t>
      </w:r>
      <w:r w:rsidRPr="002779CD">
        <w:t>L</w:t>
      </w:r>
      <w:r w:rsidR="00ED6D90" w:rsidRPr="002779CD">
        <w:t xml:space="preserve">os </w:t>
      </w:r>
      <w:r w:rsidRPr="002779CD">
        <w:t>A</w:t>
      </w:r>
      <w:r w:rsidR="00ED6D90" w:rsidRPr="002779CD">
        <w:t>ngeles</w:t>
      </w:r>
      <w:r w:rsidRPr="002779CD">
        <w:t>.</w:t>
      </w:r>
      <w:r w:rsidRPr="002779CD">
        <w:rPr>
          <w:rStyle w:val="apple-converted-space"/>
        </w:rPr>
        <w:t> </w:t>
      </w:r>
      <w:r w:rsidRPr="002779CD">
        <w:t xml:space="preserve">Initially designed as an underwater restaurant, it developed into a marine </w:t>
      </w:r>
      <w:r w:rsidRPr="002779CD">
        <w:lastRenderedPageBreak/>
        <w:t>zoological park featuring dolphins, sea lions</w:t>
      </w:r>
      <w:r w:rsidR="005447CA" w:rsidRPr="002779CD">
        <w:t>,</w:t>
      </w:r>
      <w:r w:rsidRPr="002779CD">
        <w:t xml:space="preserve"> and a saltwater aquarium that drew over 400,000 visitors in its inaugural year.</w:t>
      </w:r>
      <w:r w:rsidRPr="002779CD">
        <w:rPr>
          <w:rStyle w:val="EndnoteReference"/>
        </w:rPr>
        <w:endnoteReference w:id="2"/>
      </w:r>
    </w:p>
    <w:p w14:paraId="7430D5E3" w14:textId="77777777" w:rsidR="00B71E44" w:rsidRPr="002779CD" w:rsidRDefault="00B71E44" w:rsidP="002779CD">
      <w:pPr>
        <w:pStyle w:val="BodyTextMain"/>
      </w:pPr>
    </w:p>
    <w:p w14:paraId="108A6944" w14:textId="10F82B1E" w:rsidR="00B71E44" w:rsidRPr="002779CD" w:rsidRDefault="00B71E44" w:rsidP="002779CD">
      <w:pPr>
        <w:pStyle w:val="BodyTextMain"/>
      </w:pPr>
      <w:r w:rsidRPr="002779CD">
        <w:t>With its popularity in San Diego, a second location was opened in Aurora, Ohio</w:t>
      </w:r>
      <w:r w:rsidR="005447CA" w:rsidRPr="002779CD">
        <w:t>,</w:t>
      </w:r>
      <w:r w:rsidRPr="002779CD">
        <w:t xml:space="preserve"> in 1970 and a third in Orlando, Florida</w:t>
      </w:r>
      <w:r w:rsidR="005447CA" w:rsidRPr="002779CD">
        <w:t>,</w:t>
      </w:r>
      <w:r w:rsidRPr="002779CD">
        <w:t xml:space="preserve"> in 1973. The friends maintained financial control of the parks until 1979</w:t>
      </w:r>
      <w:r w:rsidR="00C24FC9" w:rsidRPr="002779CD">
        <w:t>,</w:t>
      </w:r>
      <w:r w:rsidRPr="002779CD">
        <w:t xml:space="preserve"> when they sold </w:t>
      </w:r>
      <w:r w:rsidR="00C24FC9" w:rsidRPr="002779CD">
        <w:t xml:space="preserve">them </w:t>
      </w:r>
      <w:r w:rsidRPr="002779CD">
        <w:t>to Harcourt Brace Jovanovich</w:t>
      </w:r>
      <w:r w:rsidR="004F68BD" w:rsidRPr="002779CD">
        <w:t xml:space="preserve"> (Harcourt)</w:t>
      </w:r>
      <w:r w:rsidRPr="002779CD">
        <w:t>, the largest publisher of medical, educational</w:t>
      </w:r>
      <w:r w:rsidR="005447CA" w:rsidRPr="002779CD">
        <w:t>,</w:t>
      </w:r>
      <w:r w:rsidRPr="002779CD">
        <w:t xml:space="preserve"> and scientific textbooks</w:t>
      </w:r>
      <w:r w:rsidR="00C24FC9" w:rsidRPr="002779CD">
        <w:t>,</w:t>
      </w:r>
      <w:r w:rsidRPr="002779CD">
        <w:t xml:space="preserve"> </w:t>
      </w:r>
      <w:r w:rsidR="00C24FC9" w:rsidRPr="002779CD">
        <w:t xml:space="preserve">which </w:t>
      </w:r>
      <w:r w:rsidRPr="002779CD">
        <w:t xml:space="preserve">was looking to diversify </w:t>
      </w:r>
      <w:r w:rsidR="00C24FC9" w:rsidRPr="002779CD">
        <w:t xml:space="preserve">its </w:t>
      </w:r>
      <w:r w:rsidRPr="002779CD">
        <w:t>investments. Harcourt expanded the brand by purchasing Cypress Gardens a</w:t>
      </w:r>
      <w:r w:rsidR="004F68BD" w:rsidRPr="002779CD">
        <w:t>s well as</w:t>
      </w:r>
      <w:r w:rsidRPr="002779CD">
        <w:t xml:space="preserve"> the Boardwalk and Baseball </w:t>
      </w:r>
      <w:r w:rsidR="001E3E4B" w:rsidRPr="002779CD">
        <w:t>theme p</w:t>
      </w:r>
      <w:r w:rsidRPr="002779CD">
        <w:t>ark in central Florida in 1985</w:t>
      </w:r>
      <w:r w:rsidR="005563FE" w:rsidRPr="002779CD">
        <w:t>,</w:t>
      </w:r>
      <w:r w:rsidRPr="002779CD">
        <w:t xml:space="preserve"> and by opening a fourth SeaWorld location in San Antonio, Texas</w:t>
      </w:r>
      <w:r w:rsidR="005447CA" w:rsidRPr="002779CD">
        <w:t>,</w:t>
      </w:r>
      <w:r w:rsidRPr="002779CD">
        <w:t xml:space="preserve"> in 1988. Harcourt took on a large debt in 1987, but even with the newest SeaWorld, </w:t>
      </w:r>
      <w:r w:rsidR="00C24FC9" w:rsidRPr="002779CD">
        <w:t>it was</w:t>
      </w:r>
      <w:r w:rsidRPr="002779CD">
        <w:t xml:space="preserve"> under too much financial pressure and </w:t>
      </w:r>
      <w:r w:rsidR="00C24FC9" w:rsidRPr="002779CD">
        <w:t xml:space="preserve">was </w:t>
      </w:r>
      <w:r w:rsidRPr="002779CD">
        <w:t xml:space="preserve">forced to sell all of </w:t>
      </w:r>
      <w:r w:rsidR="00C24FC9" w:rsidRPr="002779CD">
        <w:t xml:space="preserve">its </w:t>
      </w:r>
      <w:r w:rsidRPr="002779CD">
        <w:t xml:space="preserve">theme park holdings to Busch Entertainment Corporation in 1989. </w:t>
      </w:r>
    </w:p>
    <w:p w14:paraId="28F51CA9" w14:textId="77777777" w:rsidR="00B71E44" w:rsidRPr="002779CD" w:rsidRDefault="00B71E44" w:rsidP="002779CD">
      <w:pPr>
        <w:pStyle w:val="BodyTextMain"/>
      </w:pPr>
    </w:p>
    <w:p w14:paraId="5E5959C2" w14:textId="51985CD8" w:rsidR="00B71E44" w:rsidRPr="002779CD" w:rsidRDefault="00B71E44" w:rsidP="002779CD">
      <w:pPr>
        <w:pStyle w:val="BodyTextMain"/>
      </w:pPr>
      <w:r w:rsidRPr="002779CD">
        <w:t>Busch Entertainment Corporation was a subsidiary of</w:t>
      </w:r>
      <w:r w:rsidRPr="002779CD">
        <w:rPr>
          <w:rStyle w:val="apple-converted-space"/>
        </w:rPr>
        <w:t> </w:t>
      </w:r>
      <w:r w:rsidRPr="002779CD">
        <w:t xml:space="preserve">Anheuser-Busch InBev, famous for </w:t>
      </w:r>
      <w:r w:rsidR="005447CA" w:rsidRPr="002779CD">
        <w:t xml:space="preserve">its </w:t>
      </w:r>
      <w:r w:rsidRPr="002779CD">
        <w:t>beer and Clydesdale horses. Anheuser-Busch maintained control of the SeaWorld family of parks until October of 2009</w:t>
      </w:r>
      <w:r w:rsidR="005447CA" w:rsidRPr="002779CD">
        <w:t>,</w:t>
      </w:r>
      <w:r w:rsidRPr="002779CD">
        <w:t xml:space="preserve"> when </w:t>
      </w:r>
      <w:r w:rsidR="005447CA" w:rsidRPr="002779CD">
        <w:t xml:space="preserve">it </w:t>
      </w:r>
      <w:r w:rsidRPr="002779CD">
        <w:t xml:space="preserve">sold </w:t>
      </w:r>
      <w:r w:rsidR="00C24FC9" w:rsidRPr="002779CD">
        <w:t xml:space="preserve">them </w:t>
      </w:r>
      <w:r w:rsidRPr="002779CD">
        <w:t>to the Blackstone Group.</w:t>
      </w:r>
      <w:r w:rsidRPr="002779CD">
        <w:rPr>
          <w:rStyle w:val="EndnoteReference"/>
        </w:rPr>
        <w:endnoteReference w:id="3"/>
      </w:r>
      <w:r w:rsidRPr="002779CD">
        <w:t xml:space="preserve"> Blackstone paid </w:t>
      </w:r>
      <w:r w:rsidR="00B277BA">
        <w:t>US</w:t>
      </w:r>
      <w:r w:rsidRPr="002779CD">
        <w:t>$2.3 billion</w:t>
      </w:r>
      <w:r w:rsidRPr="002779CD">
        <w:rPr>
          <w:rStyle w:val="EndnoteReference"/>
        </w:rPr>
        <w:endnoteReference w:id="4"/>
      </w:r>
      <w:r w:rsidRPr="002779CD">
        <w:t xml:space="preserve"> in cash</w:t>
      </w:r>
      <w:r w:rsidR="00C24FC9" w:rsidRPr="002779CD">
        <w:t>,</w:t>
      </w:r>
      <w:r w:rsidRPr="002779CD">
        <w:t xml:space="preserve"> along with $400 million in additional considerations</w:t>
      </w:r>
      <w:r w:rsidR="00C24FC9" w:rsidRPr="002779CD">
        <w:t>,</w:t>
      </w:r>
      <w:r w:rsidR="006A7966">
        <w:t xml:space="preserve"> changing</w:t>
      </w:r>
      <w:r w:rsidRPr="002779CD">
        <w:t xml:space="preserve"> the company’s name to SeaWorld Entertainment, Inc. </w:t>
      </w:r>
    </w:p>
    <w:p w14:paraId="24D54391" w14:textId="77777777" w:rsidR="00B71E44" w:rsidRPr="002779CD" w:rsidRDefault="00B71E44" w:rsidP="002779CD">
      <w:pPr>
        <w:pStyle w:val="BodyTextMain"/>
      </w:pPr>
    </w:p>
    <w:p w14:paraId="248DCE38" w14:textId="6E46D189" w:rsidR="00B71E44" w:rsidRPr="002779CD" w:rsidRDefault="00B71E44" w:rsidP="002779CD">
      <w:pPr>
        <w:pStyle w:val="BodyTextMain"/>
      </w:pPr>
      <w:r w:rsidRPr="002779CD">
        <w:t>In April 2013</w:t>
      </w:r>
      <w:r w:rsidR="005447CA" w:rsidRPr="002779CD">
        <w:t>,</w:t>
      </w:r>
      <w:r w:rsidRPr="002779CD">
        <w:t xml:space="preserve"> Blackstone took the company public (NYSE: SEAS)</w:t>
      </w:r>
      <w:r w:rsidRPr="002779CD">
        <w:rPr>
          <w:rStyle w:val="EndnoteReference"/>
        </w:rPr>
        <w:endnoteReference w:id="5"/>
      </w:r>
      <w:r w:rsidRPr="002779CD">
        <w:t xml:space="preserve"> and the initial public offering priced shares at $27, which valued the company at $2.5 billion.</w:t>
      </w:r>
      <w:r w:rsidRPr="002779CD">
        <w:rPr>
          <w:rStyle w:val="EndnoteReference"/>
        </w:rPr>
        <w:endnoteReference w:id="6"/>
      </w:r>
      <w:r w:rsidRPr="002779CD">
        <w:t xml:space="preserve"> As of 2016, SeaWorld Entertainment, Inc. </w:t>
      </w:r>
      <w:r w:rsidR="005447CA" w:rsidRPr="002779CD">
        <w:t xml:space="preserve">was </w:t>
      </w:r>
      <w:r w:rsidRPr="002779CD">
        <w:t>the parent company of SeaWorld Parks &amp; Entertainment</w:t>
      </w:r>
      <w:r w:rsidR="005447CA" w:rsidRPr="002779CD">
        <w:t>,</w:t>
      </w:r>
      <w:r w:rsidRPr="002779CD">
        <w:t xml:space="preserve"> located in Orlando, Florida. The organization </w:t>
      </w:r>
      <w:r w:rsidR="006A7966">
        <w:t xml:space="preserve">operated </w:t>
      </w:r>
      <w:r w:rsidR="00C24FC9" w:rsidRPr="002779CD">
        <w:t xml:space="preserve">11 </w:t>
      </w:r>
      <w:r w:rsidRPr="002779CD">
        <w:t>theme parks and attractions</w:t>
      </w:r>
      <w:r w:rsidR="005447CA" w:rsidRPr="002779CD">
        <w:t>,</w:t>
      </w:r>
      <w:r w:rsidRPr="002779CD">
        <w:t xml:space="preserve"> including SeaWorld, Busch Gardens, Discovery Cove, Aquatica, Sesame Place, Adventure Island</w:t>
      </w:r>
      <w:r w:rsidR="00DB2029" w:rsidRPr="002779CD">
        <w:t>,</w:t>
      </w:r>
      <w:r w:rsidRPr="002779CD">
        <w:t xml:space="preserve"> and Water Country USA.</w:t>
      </w:r>
      <w:r w:rsidR="00D23076" w:rsidRPr="002779CD">
        <w:t xml:space="preserve"> </w:t>
      </w:r>
      <w:r w:rsidR="005447CA" w:rsidRPr="002779CD">
        <w:t xml:space="preserve">Its </w:t>
      </w:r>
      <w:r w:rsidRPr="002779CD">
        <w:t xml:space="preserve">parks and attractions </w:t>
      </w:r>
      <w:r w:rsidR="005447CA" w:rsidRPr="002779CD">
        <w:t xml:space="preserve">were </w:t>
      </w:r>
      <w:r w:rsidRPr="002779CD">
        <w:t>located across the United States in Orlando and Tampa, Florida, San Antonio, Texas, San Diego, California, Williamsburg, Virginia</w:t>
      </w:r>
      <w:r w:rsidR="005447CA" w:rsidRPr="002779CD">
        <w:t>,</w:t>
      </w:r>
      <w:r w:rsidRPr="002779CD">
        <w:t xml:space="preserve"> and Langhorne, Pennsylvania</w:t>
      </w:r>
      <w:r w:rsidR="005563FE" w:rsidRPr="002779CD">
        <w:t>,</w:t>
      </w:r>
      <w:r w:rsidRPr="002779CD">
        <w:t xml:space="preserve"> </w:t>
      </w:r>
      <w:r w:rsidR="005563FE" w:rsidRPr="002779CD">
        <w:t xml:space="preserve">earning </w:t>
      </w:r>
      <w:r w:rsidR="000636C0" w:rsidRPr="002779CD">
        <w:t>$1.37 billion in revenue in 2015</w:t>
      </w:r>
      <w:r w:rsidR="005563FE" w:rsidRPr="002779CD">
        <w:t xml:space="preserve"> (s</w:t>
      </w:r>
      <w:r w:rsidRPr="002779CD">
        <w:t>ee Exhibit 1</w:t>
      </w:r>
      <w:r w:rsidR="005563FE" w:rsidRPr="002779CD">
        <w:t>)</w:t>
      </w:r>
      <w:r w:rsidRPr="002779CD">
        <w:t>.</w:t>
      </w:r>
    </w:p>
    <w:p w14:paraId="6F2D0B30" w14:textId="77777777" w:rsidR="00B71E44" w:rsidRPr="00CE4C4E" w:rsidRDefault="00B71E44" w:rsidP="00B71E44">
      <w:pPr>
        <w:pStyle w:val="BodyTextMain"/>
        <w:rPr>
          <w:lang w:val="en-GB"/>
        </w:rPr>
      </w:pPr>
    </w:p>
    <w:p w14:paraId="2E133044" w14:textId="77777777" w:rsidR="00B71E44" w:rsidRPr="00CE4C4E" w:rsidRDefault="00B71E44" w:rsidP="00B71E44">
      <w:pPr>
        <w:pStyle w:val="BodyTextMain"/>
        <w:rPr>
          <w:lang w:val="en-GB"/>
        </w:rPr>
      </w:pPr>
    </w:p>
    <w:p w14:paraId="312F760C" w14:textId="468E52A2" w:rsidR="00B71E44" w:rsidRPr="00CE4C4E" w:rsidRDefault="00B71E44" w:rsidP="00B71E44">
      <w:pPr>
        <w:pStyle w:val="Casehead1"/>
        <w:rPr>
          <w:lang w:val="en-GB"/>
        </w:rPr>
      </w:pPr>
      <w:r w:rsidRPr="00CE4C4E">
        <w:rPr>
          <w:lang w:val="en-GB"/>
        </w:rPr>
        <w:t>SeaWorld</w:t>
      </w:r>
      <w:r w:rsidR="00814C53">
        <w:rPr>
          <w:lang w:val="en-GB"/>
        </w:rPr>
        <w:t>’s</w:t>
      </w:r>
      <w:r w:rsidRPr="00CE4C4E">
        <w:rPr>
          <w:lang w:val="en-GB"/>
        </w:rPr>
        <w:t xml:space="preserve"> Mission</w:t>
      </w:r>
    </w:p>
    <w:p w14:paraId="04D07FEE" w14:textId="77777777" w:rsidR="00B71E44" w:rsidRPr="002779CD" w:rsidRDefault="00B71E44" w:rsidP="002779CD">
      <w:pPr>
        <w:pStyle w:val="BodyTextMain"/>
      </w:pPr>
    </w:p>
    <w:p w14:paraId="4DC89192" w14:textId="3C0F54B0" w:rsidR="00B71E44" w:rsidRPr="002779CD" w:rsidRDefault="00814C53" w:rsidP="002779CD">
      <w:pPr>
        <w:pStyle w:val="BodyTextMain"/>
      </w:pPr>
      <w:r>
        <w:t xml:space="preserve">In 2016, </w:t>
      </w:r>
      <w:r w:rsidR="00B71E44" w:rsidRPr="002779CD">
        <w:t xml:space="preserve">SeaWorld described itself as </w:t>
      </w:r>
      <w:r w:rsidR="00AE3053" w:rsidRPr="002779CD">
        <w:t>“</w:t>
      </w:r>
      <w:r w:rsidR="00B71E44" w:rsidRPr="002779CD">
        <w:t>one of the world’s foremost zoological organizations and a worldwide leader in animal welfare, training, husbandry and veterinary care.</w:t>
      </w:r>
      <w:r w:rsidR="00AE3053" w:rsidRPr="002779CD">
        <w:t>”</w:t>
      </w:r>
      <w:r w:rsidR="00B71E44" w:rsidRPr="002779CD">
        <w:t xml:space="preserve"> SeaWorld viewed </w:t>
      </w:r>
      <w:r w:rsidR="005447CA" w:rsidRPr="002779CD">
        <w:t xml:space="preserve">its </w:t>
      </w:r>
      <w:r w:rsidR="00B71E44" w:rsidRPr="002779CD">
        <w:t xml:space="preserve">culture as consumer-oriented and an integral part of </w:t>
      </w:r>
      <w:r w:rsidR="005447CA" w:rsidRPr="002779CD">
        <w:t xml:space="preserve">its </w:t>
      </w:r>
      <w:r w:rsidR="00B71E44" w:rsidRPr="002779CD">
        <w:t xml:space="preserve">success. It was </w:t>
      </w:r>
      <w:r w:rsidR="00AE3053" w:rsidRPr="002779CD">
        <w:t>“</w:t>
      </w:r>
      <w:r w:rsidR="00B71E44" w:rsidRPr="002779CD">
        <w:t>built upon our mission to deliver personal, interactive and educational experiences that enable our customers to celebrate, connect with</w:t>
      </w:r>
      <w:r>
        <w:t>,</w:t>
      </w:r>
      <w:r w:rsidR="00B71E44" w:rsidRPr="002779CD">
        <w:t xml:space="preserve"> and care for the natural world we share.</w:t>
      </w:r>
      <w:r w:rsidR="00AE3053" w:rsidRPr="002779CD">
        <w:t>”</w:t>
      </w:r>
      <w:r w:rsidR="00B71E44" w:rsidRPr="002779CD">
        <w:t xml:space="preserve"> The parks focused on six major areas: rescue, care, research, education, communities, and conservation. </w:t>
      </w:r>
    </w:p>
    <w:p w14:paraId="22856C27" w14:textId="77777777" w:rsidR="00B71E44" w:rsidRPr="002779CD" w:rsidRDefault="00B71E44" w:rsidP="002779CD">
      <w:pPr>
        <w:pStyle w:val="BodyTextMain"/>
      </w:pPr>
    </w:p>
    <w:p w14:paraId="7392CD09" w14:textId="7690F62B" w:rsidR="00B71E44" w:rsidRPr="002779CD" w:rsidRDefault="00B71E44" w:rsidP="002779CD">
      <w:pPr>
        <w:pStyle w:val="BodyTextMain"/>
      </w:pPr>
      <w:r w:rsidRPr="002779CD">
        <w:t xml:space="preserve">Since the founding of the first SeaWorld, the organization </w:t>
      </w:r>
      <w:r w:rsidR="005447CA" w:rsidRPr="002779CD">
        <w:t xml:space="preserve">had </w:t>
      </w:r>
      <w:r w:rsidRPr="002779CD">
        <w:t>saved over 28,000 animals. Birds were the most common rescue, but SeaWorld worked to save seals, sea lions, otters, manatees, turtles, whales, dolphins</w:t>
      </w:r>
      <w:r w:rsidR="005447CA" w:rsidRPr="002779CD">
        <w:t>,</w:t>
      </w:r>
      <w:r w:rsidRPr="002779CD">
        <w:t xml:space="preserve"> and other mammals. Additionally, the parks were home to over 200 endangered, threatened</w:t>
      </w:r>
      <w:r w:rsidR="00C71D71" w:rsidRPr="002779CD">
        <w:t>,</w:t>
      </w:r>
      <w:r w:rsidRPr="002779CD">
        <w:t xml:space="preserve"> </w:t>
      </w:r>
      <w:r w:rsidR="00E01134" w:rsidRPr="002779CD">
        <w:t>or</w:t>
      </w:r>
      <w:r w:rsidRPr="002779CD">
        <w:t xml:space="preserve"> at-risk animal populations such as lemurs, orangutans, polar bears, and sea otters.</w:t>
      </w:r>
      <w:r w:rsidRPr="002779CD">
        <w:rPr>
          <w:rStyle w:val="EndnoteReference"/>
        </w:rPr>
        <w:endnoteReference w:id="7"/>
      </w:r>
      <w:r w:rsidRPr="002779CD">
        <w:t xml:space="preserve"> The SeaWorld rescue teams worked with state, local</w:t>
      </w:r>
      <w:r w:rsidR="00C71D71" w:rsidRPr="002779CD">
        <w:t>,</w:t>
      </w:r>
      <w:r w:rsidRPr="002779CD">
        <w:t xml:space="preserve"> and federal agencies and were on call </w:t>
      </w:r>
      <w:r w:rsidR="00486820" w:rsidRPr="002779CD">
        <w:t>around the clock</w:t>
      </w:r>
      <w:r w:rsidRPr="002779CD">
        <w:t>. Their goal was the rehabilitation of animals and their return to the wild, but in cases where the animals were deemed unable to be returned, they were given homes at a SeaWorld location or another accredited facility.</w:t>
      </w:r>
    </w:p>
    <w:p w14:paraId="61D0CD4D" w14:textId="77777777" w:rsidR="00B71E44" w:rsidRPr="002779CD" w:rsidRDefault="00B71E44" w:rsidP="002779CD">
      <w:pPr>
        <w:pStyle w:val="BodyTextMain"/>
      </w:pPr>
    </w:p>
    <w:p w14:paraId="2260E6B4" w14:textId="77895067" w:rsidR="00B71E44" w:rsidRPr="002779CD" w:rsidRDefault="00B71E44" w:rsidP="002779CD">
      <w:pPr>
        <w:pStyle w:val="BodyTextMain"/>
      </w:pPr>
      <w:r w:rsidRPr="002779CD">
        <w:t xml:space="preserve">SeaWorld cared for over 86,000 animals, making it home to one of the largest animal collections in North America. With 8,000 marine and terrestrial animals and 78,000 fish, it was imperative that SeaWorld offered </w:t>
      </w:r>
      <w:r w:rsidR="00C71D71" w:rsidRPr="002779CD">
        <w:t>state-of-the-</w:t>
      </w:r>
      <w:r w:rsidRPr="002779CD">
        <w:t>art medical care and facilities. In order to assure the he</w:t>
      </w:r>
      <w:r w:rsidR="00814C53">
        <w:t>alth of all of its animals, Sea</w:t>
      </w:r>
      <w:r w:rsidRPr="002779CD">
        <w:t xml:space="preserve">World was a member of both The Association of Zoos and Aquariums and the Alliance of Marine Mammal Parks </w:t>
      </w:r>
      <w:r w:rsidR="00DB2029" w:rsidRPr="002779CD">
        <w:t xml:space="preserve">and </w:t>
      </w:r>
      <w:r w:rsidRPr="002779CD">
        <w:t xml:space="preserve">Aquariums, organizations that </w:t>
      </w:r>
      <w:r w:rsidR="00C71D71" w:rsidRPr="002779CD">
        <w:t xml:space="preserve">held </w:t>
      </w:r>
      <w:r w:rsidRPr="002779CD">
        <w:t xml:space="preserve">members to particular </w:t>
      </w:r>
      <w:r w:rsidR="005349F1" w:rsidRPr="002779CD">
        <w:t xml:space="preserve">guidelines for animal care. </w:t>
      </w:r>
      <w:r w:rsidR="005349F1" w:rsidRPr="002779CD">
        <w:lastRenderedPageBreak/>
        <w:t>SeaWorld</w:t>
      </w:r>
      <w:r w:rsidRPr="00CE4C4E">
        <w:rPr>
          <w:lang w:val="en-GB"/>
        </w:rPr>
        <w:t xml:space="preserve"> </w:t>
      </w:r>
      <w:r w:rsidRPr="002779CD">
        <w:t>also followed the protocols of federal and state regulations</w:t>
      </w:r>
      <w:r w:rsidR="002A08DE" w:rsidRPr="002779CD">
        <w:t>,</w:t>
      </w:r>
      <w:r w:rsidRPr="002779CD">
        <w:t xml:space="preserve"> as well as the </w:t>
      </w:r>
      <w:r w:rsidRPr="00814C53">
        <w:t xml:space="preserve">Animal Welfare Act, Endangered Species Act, </w:t>
      </w:r>
      <w:r w:rsidR="00CF2C8E" w:rsidRPr="00814C53">
        <w:t xml:space="preserve">and </w:t>
      </w:r>
      <w:r w:rsidRPr="00814C53">
        <w:t>Marine Mammal Protection Act.</w:t>
      </w:r>
      <w:r w:rsidRPr="002779CD">
        <w:rPr>
          <w:vertAlign w:val="superscript"/>
        </w:rPr>
        <w:t xml:space="preserve"> </w:t>
      </w:r>
    </w:p>
    <w:p w14:paraId="7A7F5829" w14:textId="77777777" w:rsidR="00B71E44" w:rsidRPr="002779CD" w:rsidRDefault="00B71E44" w:rsidP="002779CD">
      <w:pPr>
        <w:pStyle w:val="BodyTextMain"/>
      </w:pPr>
    </w:p>
    <w:p w14:paraId="026615C2" w14:textId="21510762" w:rsidR="00B71E44" w:rsidRPr="002779CD" w:rsidRDefault="00B71E44" w:rsidP="002779CD">
      <w:pPr>
        <w:pStyle w:val="BodyTextMain"/>
      </w:pPr>
      <w:r w:rsidRPr="002779CD">
        <w:t xml:space="preserve">The research conducted at SeaWorld spanned a variety of topics and was a key priority set by the founders. Over </w:t>
      </w:r>
      <w:r w:rsidR="00C71D71" w:rsidRPr="002779CD">
        <w:t>300</w:t>
      </w:r>
      <w:r w:rsidRPr="002779CD">
        <w:t xml:space="preserve"> peer-reviewed articles, books</w:t>
      </w:r>
      <w:r w:rsidR="00C71D71" w:rsidRPr="002779CD">
        <w:t>,</w:t>
      </w:r>
      <w:r w:rsidRPr="002779CD">
        <w:t xml:space="preserve"> and book chapters </w:t>
      </w:r>
      <w:r w:rsidR="00C71D71" w:rsidRPr="002779CD">
        <w:t xml:space="preserve">had been </w:t>
      </w:r>
      <w:r w:rsidR="00814C53">
        <w:t>published</w:t>
      </w:r>
      <w:r w:rsidRPr="002779CD">
        <w:t>. Recent publications addressed killer whale lifespans, sustainability for marine ornamental fish, killer whale metabolism</w:t>
      </w:r>
      <w:r w:rsidR="00C71D71" w:rsidRPr="002779CD">
        <w:t>,</w:t>
      </w:r>
      <w:r w:rsidRPr="002779CD">
        <w:t xml:space="preserve"> and understanding the life history of killer whales. SeaWorld also funded and supported field research and worked with universities and research organizations to strengthen research efforts. </w:t>
      </w:r>
      <w:r w:rsidR="002A08DE" w:rsidRPr="002779CD">
        <w:t xml:space="preserve"> </w:t>
      </w:r>
    </w:p>
    <w:p w14:paraId="215D6681" w14:textId="77777777" w:rsidR="00B71E44" w:rsidRPr="002779CD" w:rsidRDefault="00B71E44" w:rsidP="002779CD">
      <w:pPr>
        <w:pStyle w:val="BodyTextMain"/>
      </w:pPr>
    </w:p>
    <w:p w14:paraId="17323118" w14:textId="385BC87D" w:rsidR="00B71E44" w:rsidRPr="002779CD" w:rsidRDefault="00B71E44" w:rsidP="002779CD">
      <w:pPr>
        <w:pStyle w:val="BodyTextMain"/>
      </w:pPr>
      <w:r w:rsidRPr="002779CD">
        <w:t>SeaWorld provided a variety of educational programs through its parks</w:t>
      </w:r>
      <w:r w:rsidR="00C71D71" w:rsidRPr="002779CD">
        <w:t>,</w:t>
      </w:r>
      <w:r w:rsidRPr="002779CD">
        <w:t xml:space="preserve"> including school tours, sleepovers, day camps</w:t>
      </w:r>
      <w:r w:rsidR="00C71D71" w:rsidRPr="002779CD">
        <w:t>,</w:t>
      </w:r>
      <w:r w:rsidRPr="002779CD">
        <w:t xml:space="preserve"> and teacher resources. </w:t>
      </w:r>
      <w:r w:rsidR="00C71D71" w:rsidRPr="002779CD">
        <w:t xml:space="preserve">It </w:t>
      </w:r>
      <w:r w:rsidRPr="002779CD">
        <w:t>also created the myActions program, a social media platform that encouraged individuals to share the daily actions they undertook to protect the environment and challenge friends and family to do the same. Through the platform, students chose their favo</w:t>
      </w:r>
      <w:r w:rsidR="002A08DE" w:rsidRPr="002779CD">
        <w:t>u</w:t>
      </w:r>
      <w:r w:rsidRPr="002779CD">
        <w:t xml:space="preserve">rite animal or habitat conservation and earned money for the cause through the actions they took and </w:t>
      </w:r>
      <w:r w:rsidR="005349F1" w:rsidRPr="002779CD">
        <w:t>donated the money</w:t>
      </w:r>
      <w:r w:rsidRPr="002779CD">
        <w:t>.</w:t>
      </w:r>
      <w:r w:rsidRPr="002779CD">
        <w:rPr>
          <w:vertAlign w:val="superscript"/>
        </w:rPr>
        <w:t xml:space="preserve"> </w:t>
      </w:r>
      <w:r w:rsidRPr="002779CD">
        <w:t xml:space="preserve"> </w:t>
      </w:r>
    </w:p>
    <w:p w14:paraId="7B92221C" w14:textId="77777777" w:rsidR="00B71E44" w:rsidRPr="002779CD" w:rsidRDefault="00B71E44" w:rsidP="002779CD">
      <w:pPr>
        <w:pStyle w:val="BodyTextMain"/>
      </w:pPr>
    </w:p>
    <w:p w14:paraId="30337573" w14:textId="61FDBF8E" w:rsidR="00B71E44" w:rsidRPr="002779CD" w:rsidRDefault="00B71E44" w:rsidP="002779CD">
      <w:pPr>
        <w:pStyle w:val="BodyTextMain"/>
      </w:pPr>
      <w:r w:rsidRPr="002779CD">
        <w:t>There were a variety of ways SeaWorld engaged with its local communit</w:t>
      </w:r>
      <w:r w:rsidR="005349F1" w:rsidRPr="002779CD">
        <w:t>ies</w:t>
      </w:r>
      <w:r w:rsidRPr="002779CD">
        <w:t xml:space="preserve">. </w:t>
      </w:r>
      <w:r w:rsidR="00C71D71" w:rsidRPr="002779CD">
        <w:t xml:space="preserve">It </w:t>
      </w:r>
      <w:r w:rsidRPr="002779CD">
        <w:t xml:space="preserve">partnered with hospitals, animal shelters, and organizations that served children with disabilities and provided both monetary resources and volunteers whenever possible. SeaWorld worked with the animal adoption organization Happy Tails and provided two free single-day park passes when a dog or cat was adopted. The parks also adopted neglected and abandoned animals and trained them to be part of their pet shows, ensuring </w:t>
      </w:r>
      <w:r w:rsidR="00770991" w:rsidRPr="002779CD">
        <w:t xml:space="preserve">a </w:t>
      </w:r>
      <w:r w:rsidRPr="002779CD">
        <w:t xml:space="preserve">second chance for many animals. In 2015, the SeaWorld </w:t>
      </w:r>
      <w:r w:rsidR="00770991" w:rsidRPr="002779CD">
        <w:t xml:space="preserve">&amp; </w:t>
      </w:r>
      <w:r w:rsidRPr="002779CD">
        <w:t>Busch Gardens Youth Advisory Council was launched in order to garner suggestions for conservation efforts, education, and youth outreach.</w:t>
      </w:r>
    </w:p>
    <w:p w14:paraId="412D7832" w14:textId="77777777" w:rsidR="00B71E44" w:rsidRPr="002779CD" w:rsidRDefault="00B71E44" w:rsidP="002779CD">
      <w:pPr>
        <w:pStyle w:val="BodyTextMain"/>
      </w:pPr>
    </w:p>
    <w:p w14:paraId="0868F195" w14:textId="68445E7B" w:rsidR="00B71E44" w:rsidRPr="002779CD" w:rsidRDefault="00B71E44" w:rsidP="002779CD">
      <w:pPr>
        <w:pStyle w:val="BodyTextMain"/>
      </w:pPr>
      <w:r w:rsidRPr="002779CD">
        <w:t>Conservation at SeaWorld focused on several pillars. First and foremost was the rescue of orphaned, ill</w:t>
      </w:r>
      <w:r w:rsidR="00C71D71" w:rsidRPr="002779CD">
        <w:t>,</w:t>
      </w:r>
      <w:r w:rsidRPr="002779CD">
        <w:t xml:space="preserve"> or injured animals. Next was </w:t>
      </w:r>
      <w:r w:rsidR="00770991" w:rsidRPr="002779CD">
        <w:t xml:space="preserve">the </w:t>
      </w:r>
      <w:r w:rsidRPr="002779CD">
        <w:t xml:space="preserve">support of research through </w:t>
      </w:r>
      <w:r w:rsidR="00C71D71" w:rsidRPr="002779CD">
        <w:t xml:space="preserve">SeaWorld’s </w:t>
      </w:r>
      <w:r w:rsidRPr="002779CD">
        <w:t xml:space="preserve">own work as well as offering </w:t>
      </w:r>
      <w:r w:rsidR="00770991" w:rsidRPr="002779CD">
        <w:t xml:space="preserve">its </w:t>
      </w:r>
      <w:r w:rsidRPr="002779CD">
        <w:t xml:space="preserve">parks as controlled environments for research. </w:t>
      </w:r>
      <w:r w:rsidR="00770991" w:rsidRPr="002779CD">
        <w:t xml:space="preserve">It </w:t>
      </w:r>
      <w:r w:rsidRPr="002779CD">
        <w:t xml:space="preserve">also funded the conservation of wild places and wild animals and worked with organizations such as </w:t>
      </w:r>
      <w:r w:rsidR="00DB2029" w:rsidRPr="002779CD">
        <w:t xml:space="preserve">the </w:t>
      </w:r>
      <w:r w:rsidRPr="002779CD">
        <w:t xml:space="preserve">National Wildlife Federation, </w:t>
      </w:r>
      <w:r w:rsidR="00DB2029" w:rsidRPr="002779CD">
        <w:t xml:space="preserve">the </w:t>
      </w:r>
      <w:r w:rsidRPr="002779CD">
        <w:t>World Wildlife Fund, and The Nature Conservancy.</w:t>
      </w:r>
      <w:r w:rsidRPr="002779CD">
        <w:rPr>
          <w:rStyle w:val="EndnoteReference"/>
        </w:rPr>
        <w:endnoteReference w:id="8"/>
      </w:r>
      <w:r w:rsidRPr="002779CD">
        <w:t xml:space="preserve"> Finally, SeaWorld educated its guests on the plights of animals through close-up animal encounters and educational exhibits. </w:t>
      </w:r>
    </w:p>
    <w:p w14:paraId="3D088552" w14:textId="77777777" w:rsidR="00B71E44" w:rsidRPr="00CE4C4E" w:rsidRDefault="00B71E44" w:rsidP="00B71E44">
      <w:pPr>
        <w:pStyle w:val="BodyTextMain"/>
        <w:rPr>
          <w:b/>
          <w:lang w:val="en-GB"/>
        </w:rPr>
      </w:pPr>
    </w:p>
    <w:p w14:paraId="0AEF6A5E" w14:textId="77777777" w:rsidR="00B71E44" w:rsidRPr="00CE4C4E" w:rsidRDefault="00B71E44" w:rsidP="00B71E44">
      <w:pPr>
        <w:pStyle w:val="BodyTextMain"/>
        <w:rPr>
          <w:b/>
          <w:lang w:val="en-GB"/>
        </w:rPr>
      </w:pPr>
    </w:p>
    <w:p w14:paraId="1DD047E1" w14:textId="77777777" w:rsidR="00B71E44" w:rsidRPr="00CE4C4E" w:rsidRDefault="00B71E44" w:rsidP="00B71E44">
      <w:pPr>
        <w:pStyle w:val="Casehead1"/>
        <w:rPr>
          <w:lang w:val="en-GB"/>
        </w:rPr>
      </w:pPr>
      <w:r w:rsidRPr="00CE4C4E">
        <w:rPr>
          <w:lang w:val="en-GB"/>
        </w:rPr>
        <w:t xml:space="preserve">Joel Manby </w:t>
      </w:r>
    </w:p>
    <w:p w14:paraId="5A625143" w14:textId="77777777" w:rsidR="00B71E44" w:rsidRPr="00CE4C4E" w:rsidRDefault="00B71E44" w:rsidP="00B71E44">
      <w:pPr>
        <w:pStyle w:val="BodyTextMain"/>
        <w:rPr>
          <w:lang w:val="en-GB"/>
        </w:rPr>
      </w:pPr>
    </w:p>
    <w:p w14:paraId="3E655BE0" w14:textId="21E991E4" w:rsidR="00B71E44" w:rsidRPr="002779CD" w:rsidRDefault="00B71E44" w:rsidP="00814C53">
      <w:pPr>
        <w:pStyle w:val="BodyTextMain"/>
      </w:pPr>
      <w:r w:rsidRPr="002779CD">
        <w:t xml:space="preserve">Manby joined SeaWorld as </w:t>
      </w:r>
      <w:r w:rsidR="00C71D71" w:rsidRPr="002779CD">
        <w:t>president</w:t>
      </w:r>
      <w:r w:rsidRPr="002779CD">
        <w:t xml:space="preserve">, CEO, and </w:t>
      </w:r>
      <w:r w:rsidR="00C71D71" w:rsidRPr="002779CD">
        <w:t xml:space="preserve">director </w:t>
      </w:r>
      <w:r w:rsidRPr="002779CD">
        <w:t xml:space="preserve">in April 2015. After an extensive search by the </w:t>
      </w:r>
      <w:r w:rsidR="00C71D71" w:rsidRPr="002779CD">
        <w:t xml:space="preserve">board </w:t>
      </w:r>
      <w:r w:rsidRPr="002779CD">
        <w:t xml:space="preserve">of </w:t>
      </w:r>
      <w:r w:rsidR="00C71D71" w:rsidRPr="002779CD">
        <w:t>directors</w:t>
      </w:r>
      <w:r w:rsidRPr="002779CD">
        <w:t xml:space="preserve">, Manby was chosen for his experience with business models similar to SeaWorld’s and his impressive previous track record. The </w:t>
      </w:r>
      <w:r w:rsidR="00C71D71" w:rsidRPr="002779CD">
        <w:t xml:space="preserve">board </w:t>
      </w:r>
      <w:r w:rsidRPr="002779CD">
        <w:t>pointed to his previous experience as a major reason he was selected for the position:</w:t>
      </w:r>
      <w:r w:rsidR="00814C53">
        <w:t xml:space="preserve"> “</w:t>
      </w:r>
      <w:r w:rsidRPr="002779CD">
        <w:t>Even in the most challenging business environments, Joel has consistently enhanced the performance of the companies he has led for customers, investors and employees alike. He has the experience and qualifications to lead our Company into the future.</w:t>
      </w:r>
      <w:r w:rsidR="00814C53">
        <w:t>”</w:t>
      </w:r>
      <w:r w:rsidRPr="002779CD">
        <w:rPr>
          <w:vertAlign w:val="superscript"/>
        </w:rPr>
        <w:t xml:space="preserve"> </w:t>
      </w:r>
    </w:p>
    <w:p w14:paraId="518266CF" w14:textId="77777777" w:rsidR="00B71E44" w:rsidRPr="00CE4C4E" w:rsidRDefault="00B71E44" w:rsidP="00B71E44">
      <w:pPr>
        <w:pStyle w:val="BodyTextMain"/>
        <w:rPr>
          <w:lang w:val="en-GB"/>
        </w:rPr>
      </w:pPr>
    </w:p>
    <w:p w14:paraId="12AEE327" w14:textId="188E9F50" w:rsidR="00B71E44" w:rsidRPr="002779CD" w:rsidRDefault="00B71E44" w:rsidP="00B71E44">
      <w:pPr>
        <w:pStyle w:val="BodyTextMain"/>
      </w:pPr>
      <w:r w:rsidRPr="002779CD">
        <w:t>From 2003</w:t>
      </w:r>
      <w:r w:rsidR="00A07406" w:rsidRPr="002779CD">
        <w:t xml:space="preserve"> to </w:t>
      </w:r>
      <w:r w:rsidRPr="002779CD">
        <w:t>2015</w:t>
      </w:r>
      <w:r w:rsidR="00C71D71" w:rsidRPr="002779CD">
        <w:t>,</w:t>
      </w:r>
      <w:r w:rsidRPr="002779CD">
        <w:t xml:space="preserve"> Manby served as CEO of Herschend Family Entertainment (HFE), the largest family-owned theme park and entertainment company in the United States. HFE operated Dollywood, Silver Dollar City</w:t>
      </w:r>
      <w:r w:rsidR="00C71D71" w:rsidRPr="002779CD">
        <w:t>,</w:t>
      </w:r>
      <w:r w:rsidRPr="002779CD">
        <w:t xml:space="preserve"> and a variety of other popular waterparks, aquariums, and attractions, as well as the Harlem Globetrotters.</w:t>
      </w:r>
      <w:r w:rsidRPr="002779CD">
        <w:rPr>
          <w:vertAlign w:val="superscript"/>
        </w:rPr>
        <w:endnoteReference w:id="9"/>
      </w:r>
      <w:r w:rsidRPr="002779CD">
        <w:t xml:space="preserve"> While CEO of HFE, Manby appeared on the television show </w:t>
      </w:r>
      <w:r w:rsidR="0071642A" w:rsidRPr="002779CD">
        <w:t>“</w:t>
      </w:r>
      <w:r w:rsidRPr="002779CD">
        <w:t>Undercover Boss.</w:t>
      </w:r>
      <w:r w:rsidR="0071642A" w:rsidRPr="002779CD">
        <w:t>”</w:t>
      </w:r>
      <w:r w:rsidRPr="002779CD">
        <w:t xml:space="preserve"> His posit</w:t>
      </w:r>
      <w:r w:rsidR="00814C53">
        <w:t>ive interaction with employees</w:t>
      </w:r>
      <w:r w:rsidRPr="002779CD">
        <w:t xml:space="preserve"> led to the show being seen by over 18 million viewers, its second-highest</w:t>
      </w:r>
      <w:r w:rsidR="00C52124" w:rsidRPr="002779CD">
        <w:t>-</w:t>
      </w:r>
      <w:r w:rsidRPr="002779CD">
        <w:t>rated episode ever.</w:t>
      </w:r>
      <w:r w:rsidRPr="002779CD">
        <w:rPr>
          <w:vertAlign w:val="superscript"/>
        </w:rPr>
        <w:endnoteReference w:id="10"/>
      </w:r>
      <w:r w:rsidRPr="002779CD">
        <w:t xml:space="preserve"> Viewers were taken with how genuinely Manby seemed to care for his employees and their well-being, and this positive response led to him writ</w:t>
      </w:r>
      <w:r w:rsidR="00A07406" w:rsidRPr="002779CD">
        <w:t>e</w:t>
      </w:r>
      <w:r w:rsidRPr="002779CD">
        <w:t xml:space="preserve"> a book</w:t>
      </w:r>
      <w:r w:rsidRPr="00CE4C4E">
        <w:rPr>
          <w:shd w:val="clear" w:color="auto" w:fill="FFFFFF"/>
          <w:lang w:val="en-GB"/>
        </w:rPr>
        <w:t xml:space="preserve"> </w:t>
      </w:r>
      <w:r w:rsidR="0099074D" w:rsidRPr="002779CD">
        <w:t>en</w:t>
      </w:r>
      <w:r w:rsidRPr="002779CD">
        <w:t xml:space="preserve">titled </w:t>
      </w:r>
      <w:r w:rsidRPr="002779CD">
        <w:rPr>
          <w:i/>
        </w:rPr>
        <w:t>Love Works: Seven Timeless Principles for Effective Leaders</w:t>
      </w:r>
      <w:r w:rsidRPr="002779CD">
        <w:t>.</w:t>
      </w:r>
      <w:r w:rsidR="008A2CA0">
        <w:rPr>
          <w:rStyle w:val="EndnoteReference"/>
        </w:rPr>
        <w:endnoteReference w:id="11"/>
      </w:r>
      <w:r w:rsidRPr="002779CD">
        <w:t xml:space="preserve"> Based on the principles he set up as guidelines at HFE </w:t>
      </w:r>
      <w:r w:rsidRPr="002779CD">
        <w:lastRenderedPageBreak/>
        <w:t xml:space="preserve">and </w:t>
      </w:r>
      <w:r w:rsidR="005349F1" w:rsidRPr="002779CD">
        <w:t xml:space="preserve">a </w:t>
      </w:r>
      <w:r w:rsidRPr="002779CD">
        <w:t xml:space="preserve">Biblical description of </w:t>
      </w:r>
      <w:r w:rsidR="00814C53">
        <w:t>love</w:t>
      </w:r>
      <w:r w:rsidRPr="002779CD">
        <w:t>, Manby wanted to create a leadership style that saw love as a behavio</w:t>
      </w:r>
      <w:r w:rsidR="0071642A" w:rsidRPr="002779CD">
        <w:t>u</w:t>
      </w:r>
      <w:r w:rsidRPr="002779CD">
        <w:t>r, not an emotion</w:t>
      </w:r>
      <w:r w:rsidR="0071642A" w:rsidRPr="002779CD">
        <w:t xml:space="preserve">: </w:t>
      </w:r>
    </w:p>
    <w:p w14:paraId="37F349F7" w14:textId="77777777" w:rsidR="00C52124" w:rsidRPr="00CE4C4E" w:rsidRDefault="00C52124" w:rsidP="00B71E44">
      <w:pPr>
        <w:pStyle w:val="BodyTextMain"/>
        <w:rPr>
          <w:shd w:val="clear" w:color="auto" w:fill="FFFFFF"/>
          <w:lang w:val="en-GB"/>
        </w:rPr>
      </w:pPr>
    </w:p>
    <w:p w14:paraId="5A4CFB60" w14:textId="24119B2E" w:rsidR="00B71E44" w:rsidRPr="002779CD" w:rsidRDefault="00B71E44" w:rsidP="002779CD">
      <w:pPr>
        <w:pStyle w:val="BodyTextMain"/>
        <w:ind w:left="720"/>
      </w:pPr>
      <w:r w:rsidRPr="002779CD">
        <w:t>Leading with love is too important to be left to chance. It takes effort to lead with the principles of love</w:t>
      </w:r>
      <w:r w:rsidR="00C52124" w:rsidRPr="002779CD">
        <w:t>—</w:t>
      </w:r>
      <w:r w:rsidRPr="002779CD">
        <w:t>to be patient, kind, trustful, unselfish, truthful, forgiving, and dedicated . . . leading with love is worth it. On every level it is more difficult, and on every level it is more rewarding, more fulfilling, more</w:t>
      </w:r>
      <w:r w:rsidRPr="002779CD">
        <w:rPr>
          <w:rStyle w:val="apple-converted-space"/>
        </w:rPr>
        <w:t> </w:t>
      </w:r>
      <w:r w:rsidRPr="002779CD">
        <w:rPr>
          <w:rStyle w:val="Emphasis"/>
          <w:i w:val="0"/>
          <w:iCs w:val="0"/>
        </w:rPr>
        <w:t>right</w:t>
      </w:r>
      <w:r w:rsidRPr="002779CD">
        <w:rPr>
          <w:rStyle w:val="apple-converted-space"/>
        </w:rPr>
        <w:t> </w:t>
      </w:r>
      <w:r w:rsidRPr="002779CD">
        <w:t>than you can imagine.</w:t>
      </w:r>
      <w:r w:rsidRPr="002779CD">
        <w:rPr>
          <w:rStyle w:val="EndnoteReference"/>
        </w:rPr>
        <w:endnoteReference w:id="12"/>
      </w:r>
    </w:p>
    <w:p w14:paraId="56547228" w14:textId="77777777" w:rsidR="00B71E44" w:rsidRPr="00CE4C4E" w:rsidRDefault="00B71E44" w:rsidP="00B71E44">
      <w:pPr>
        <w:pStyle w:val="BodyTextMain"/>
        <w:rPr>
          <w:shd w:val="clear" w:color="auto" w:fill="FFFFFF"/>
          <w:lang w:val="en-GB"/>
        </w:rPr>
      </w:pPr>
    </w:p>
    <w:p w14:paraId="00AC5209" w14:textId="37C6B9BA" w:rsidR="00B71E44" w:rsidRPr="002779CD" w:rsidRDefault="00B71E44" w:rsidP="002779CD">
      <w:pPr>
        <w:pStyle w:val="BodyTextMain"/>
      </w:pPr>
      <w:r w:rsidRPr="002779CD">
        <w:t xml:space="preserve">Prior to joining HFE, Manby had spent </w:t>
      </w:r>
      <w:r w:rsidR="00C52124" w:rsidRPr="002779CD">
        <w:t xml:space="preserve">20 </w:t>
      </w:r>
      <w:r w:rsidRPr="002779CD">
        <w:t>years in the auto industry as part of General Motor</w:t>
      </w:r>
      <w:r w:rsidR="00C12E76" w:rsidRPr="002779CD">
        <w:t>s</w:t>
      </w:r>
      <w:r w:rsidR="00814C53">
        <w:t>’</w:t>
      </w:r>
      <w:r w:rsidRPr="002779CD">
        <w:t xml:space="preserve"> Saab and Saturn divisions. He entered the position at SeaWorld facing many challenges, but his previous experience had equipped him well for these issues. </w:t>
      </w:r>
    </w:p>
    <w:p w14:paraId="6DD3CD27" w14:textId="77777777" w:rsidR="00B71E44" w:rsidRPr="00CE4C4E" w:rsidRDefault="00B71E44" w:rsidP="00B71E44">
      <w:pPr>
        <w:pStyle w:val="BodyTextMain"/>
        <w:rPr>
          <w:b/>
          <w:lang w:val="en-GB"/>
        </w:rPr>
      </w:pPr>
    </w:p>
    <w:p w14:paraId="71723F9C" w14:textId="77777777" w:rsidR="00B71E44" w:rsidRPr="00CE4C4E" w:rsidRDefault="00B71E44" w:rsidP="00B71E44">
      <w:pPr>
        <w:pStyle w:val="BodyTextMain"/>
        <w:rPr>
          <w:b/>
          <w:lang w:val="en-GB"/>
        </w:rPr>
      </w:pPr>
    </w:p>
    <w:p w14:paraId="46FF455F" w14:textId="4A1BC274" w:rsidR="00B71E44" w:rsidRPr="00CE4C4E" w:rsidRDefault="00B71E44" w:rsidP="00B71E44">
      <w:pPr>
        <w:pStyle w:val="Casehead1"/>
        <w:rPr>
          <w:lang w:val="en-GB"/>
        </w:rPr>
      </w:pPr>
      <w:r w:rsidRPr="00CE4C4E">
        <w:rPr>
          <w:lang w:val="en-GB"/>
        </w:rPr>
        <w:t>SeaWorld</w:t>
      </w:r>
      <w:r w:rsidR="0071642A" w:rsidRPr="00CE4C4E">
        <w:rPr>
          <w:lang w:val="en-GB"/>
        </w:rPr>
        <w:t>’s</w:t>
      </w:r>
      <w:r w:rsidRPr="00CE4C4E">
        <w:rPr>
          <w:lang w:val="en-GB"/>
        </w:rPr>
        <w:t xml:space="preserve"> Public Relations</w:t>
      </w:r>
    </w:p>
    <w:p w14:paraId="4A153789" w14:textId="77777777" w:rsidR="00B71E44" w:rsidRPr="00CE4C4E" w:rsidRDefault="00B71E44" w:rsidP="00B71E44">
      <w:pPr>
        <w:pStyle w:val="BodyTextMain"/>
        <w:rPr>
          <w:lang w:val="en-GB"/>
        </w:rPr>
      </w:pPr>
    </w:p>
    <w:p w14:paraId="2B005D6F" w14:textId="022A0F71" w:rsidR="00B71E44" w:rsidRPr="002779CD" w:rsidRDefault="00B71E44" w:rsidP="002779CD">
      <w:pPr>
        <w:pStyle w:val="BodyTextMain"/>
      </w:pPr>
      <w:r w:rsidRPr="002779CD">
        <w:t xml:space="preserve">As with any organization that exhibited animals, SeaWorld faced issues with animal rights organizations such as People for the Ethical Treatment of Animals (PETA) and the Orca Project. Activists frequently protested outside of </w:t>
      </w:r>
      <w:r w:rsidR="00C52124" w:rsidRPr="002779CD">
        <w:t xml:space="preserve">SeaWorld’s </w:t>
      </w:r>
      <w:r w:rsidRPr="002779CD">
        <w:t>parks and many celebrities chastised the organization on social media for continuing captive breeding</w:t>
      </w:r>
      <w:r w:rsidR="008A2CA0">
        <w:t xml:space="preserve"> programs</w:t>
      </w:r>
      <w:r w:rsidRPr="002779CD">
        <w:t xml:space="preserve"> and performances by animals.</w:t>
      </w:r>
      <w:r w:rsidRPr="002779CD">
        <w:rPr>
          <w:rStyle w:val="EndnoteReference"/>
        </w:rPr>
        <w:endnoteReference w:id="13"/>
      </w:r>
      <w:r w:rsidRPr="002779CD">
        <w:rPr>
          <w:vertAlign w:val="superscript"/>
        </w:rPr>
        <w:t xml:space="preserve"> </w:t>
      </w:r>
    </w:p>
    <w:p w14:paraId="480D3CEC" w14:textId="77777777" w:rsidR="00B71E44" w:rsidRPr="002779CD" w:rsidRDefault="00B71E44" w:rsidP="002779CD">
      <w:pPr>
        <w:pStyle w:val="BodyTextMain"/>
      </w:pPr>
    </w:p>
    <w:p w14:paraId="3EE6FC28" w14:textId="32827E7B" w:rsidR="00B71E44" w:rsidRPr="002779CD" w:rsidRDefault="00B71E44" w:rsidP="002779CD">
      <w:pPr>
        <w:pStyle w:val="BodyTextMain"/>
      </w:pPr>
      <w:r w:rsidRPr="002779CD">
        <w:t xml:space="preserve">In 1993, </w:t>
      </w:r>
      <w:r w:rsidR="00A07406" w:rsidRPr="002779CD">
        <w:t>t</w:t>
      </w:r>
      <w:r w:rsidR="00C52124" w:rsidRPr="002779CD">
        <w:t xml:space="preserve">he </w:t>
      </w:r>
      <w:r w:rsidRPr="002779CD">
        <w:t xml:space="preserve">HSUS began a campaign specifically to protect captive marine mammals. At SeaWorld’s invitation, a group from the HSUS visited and toured </w:t>
      </w:r>
      <w:r w:rsidR="00C52124" w:rsidRPr="002779CD">
        <w:t>SeaWorld’s</w:t>
      </w:r>
      <w:r w:rsidR="00C52124" w:rsidRPr="002779CD" w:rsidDel="00C52124">
        <w:t xml:space="preserve"> </w:t>
      </w:r>
      <w:r w:rsidRPr="002779CD">
        <w:t xml:space="preserve">Orlando park. This visit led to </w:t>
      </w:r>
      <w:r w:rsidR="00AE3053" w:rsidRPr="002779CD">
        <w:t>“</w:t>
      </w:r>
      <w:r w:rsidRPr="002779CD">
        <w:t>two decades of protests, research, and public education by the HSUS to stop SeaWorld from bringing more killer whales into captivity.</w:t>
      </w:r>
      <w:r w:rsidR="00AE3053" w:rsidRPr="002779CD">
        <w:t>”</w:t>
      </w:r>
      <w:r w:rsidRPr="002779CD">
        <w:rPr>
          <w:vertAlign w:val="superscript"/>
        </w:rPr>
        <w:t xml:space="preserve"> </w:t>
      </w:r>
      <w:r w:rsidRPr="002779CD">
        <w:t xml:space="preserve">This campaign included the release of </w:t>
      </w:r>
      <w:r w:rsidR="00A07406" w:rsidRPr="002779CD">
        <w:t>the HSUS</w:t>
      </w:r>
      <w:r w:rsidRPr="002779CD">
        <w:t xml:space="preserve"> research paper </w:t>
      </w:r>
      <w:r w:rsidRPr="002779CD">
        <w:rPr>
          <w:i/>
        </w:rPr>
        <w:t xml:space="preserve">Killer Controversy: Why </w:t>
      </w:r>
      <w:r w:rsidR="00C12E76" w:rsidRPr="002779CD">
        <w:rPr>
          <w:i/>
        </w:rPr>
        <w:t xml:space="preserve">Orcas Should No Longer Be Kept </w:t>
      </w:r>
      <w:r w:rsidRPr="002779CD">
        <w:rPr>
          <w:i/>
        </w:rPr>
        <w:t xml:space="preserve">in </w:t>
      </w:r>
      <w:r w:rsidR="00C12E76" w:rsidRPr="002779CD">
        <w:rPr>
          <w:i/>
        </w:rPr>
        <w:t>Captivity</w:t>
      </w:r>
      <w:r w:rsidRPr="002779CD">
        <w:t>.</w:t>
      </w:r>
      <w:r w:rsidRPr="002779CD">
        <w:rPr>
          <w:rStyle w:val="EndnoteReference"/>
        </w:rPr>
        <w:endnoteReference w:id="14"/>
      </w:r>
      <w:r w:rsidR="00C52124" w:rsidRPr="002779CD">
        <w:rPr>
          <w:vertAlign w:val="superscript"/>
        </w:rPr>
        <w:t xml:space="preserve"> </w:t>
      </w:r>
    </w:p>
    <w:p w14:paraId="3E645CE1" w14:textId="77777777" w:rsidR="00B71E44" w:rsidRPr="002779CD" w:rsidRDefault="00B71E44" w:rsidP="002779CD">
      <w:pPr>
        <w:pStyle w:val="BodyTextMain"/>
      </w:pPr>
    </w:p>
    <w:p w14:paraId="2B4BEF1E" w14:textId="533AF3EC" w:rsidR="00B71E44" w:rsidRPr="002779CD" w:rsidRDefault="00B71E44" w:rsidP="002779CD">
      <w:pPr>
        <w:pStyle w:val="BodyTextMain"/>
      </w:pPr>
      <w:r w:rsidRPr="002779CD">
        <w:t xml:space="preserve">In July 2013, SeaWorld faced a great deal of criticism linked to the release of the documentary </w:t>
      </w:r>
      <w:r w:rsidRPr="008A2CA0">
        <w:rPr>
          <w:i/>
        </w:rPr>
        <w:t>Blackfish</w:t>
      </w:r>
      <w:r w:rsidRPr="002779CD">
        <w:t xml:space="preserve">. </w:t>
      </w:r>
      <w:r w:rsidRPr="008A2CA0">
        <w:rPr>
          <w:i/>
        </w:rPr>
        <w:t>Blackfish</w:t>
      </w:r>
      <w:r w:rsidRPr="002779CD">
        <w:t xml:space="preserve"> detailed the life of Tilikum, the orca responsible for the deaths of several individuals while in captivity, most notably Orlando SeaWorld trainer Dawn Brancheau. It also considered the difficulties orcas faced in confinement and the dangers for both humans and whales. SeaWorld responded to the film with a post on </w:t>
      </w:r>
      <w:r w:rsidR="00C52124" w:rsidRPr="002779CD">
        <w:t xml:space="preserve">its </w:t>
      </w:r>
      <w:r w:rsidRPr="002779CD">
        <w:t xml:space="preserve">site calling it </w:t>
      </w:r>
      <w:r w:rsidR="00AE3053" w:rsidRPr="002779CD">
        <w:t>“</w:t>
      </w:r>
      <w:r w:rsidRPr="002779CD">
        <w:t>propaganda</w:t>
      </w:r>
      <w:r w:rsidR="00AE3053" w:rsidRPr="002779CD">
        <w:t>”</w:t>
      </w:r>
      <w:r w:rsidRPr="002779CD">
        <w:t xml:space="preserve"> and not a documentary; however, public opinion on the issue had an impact on SeaWorld’s stock price and attendance figures. Following the release of </w:t>
      </w:r>
      <w:r w:rsidRPr="008A2CA0">
        <w:rPr>
          <w:i/>
        </w:rPr>
        <w:t>Blackfish</w:t>
      </w:r>
      <w:r w:rsidRPr="002779CD">
        <w:t xml:space="preserve">, SeaWorld was accused of, and later admitted to, infiltrating PETA protests with employees posing as activists in order to </w:t>
      </w:r>
      <w:r w:rsidR="00AE3053" w:rsidRPr="002779CD">
        <w:t>“</w:t>
      </w:r>
      <w:r w:rsidRPr="002779CD">
        <w:t>maintain the safety and security of employees, customers, and animals in the face of credible threats.</w:t>
      </w:r>
      <w:r w:rsidR="00AE3053" w:rsidRPr="002779CD">
        <w:t>”</w:t>
      </w:r>
      <w:r w:rsidRPr="002779CD">
        <w:rPr>
          <w:rStyle w:val="EndnoteReference"/>
        </w:rPr>
        <w:endnoteReference w:id="15"/>
      </w:r>
      <w:r w:rsidRPr="002779CD">
        <w:rPr>
          <w:vertAlign w:val="superscript"/>
        </w:rPr>
        <w:t xml:space="preserve"> </w:t>
      </w:r>
    </w:p>
    <w:p w14:paraId="1B212166" w14:textId="77777777" w:rsidR="00B71E44" w:rsidRPr="00CE4C4E" w:rsidRDefault="00B71E44" w:rsidP="00B71E44">
      <w:pPr>
        <w:pStyle w:val="BodyTextMain"/>
        <w:rPr>
          <w:b/>
          <w:lang w:val="en-GB"/>
        </w:rPr>
      </w:pPr>
    </w:p>
    <w:p w14:paraId="610B152D" w14:textId="77777777" w:rsidR="00B71E44" w:rsidRPr="00CE4C4E" w:rsidRDefault="00B71E44" w:rsidP="00B71E44">
      <w:pPr>
        <w:pStyle w:val="BodyTextMain"/>
        <w:rPr>
          <w:b/>
          <w:lang w:val="en-GB"/>
        </w:rPr>
      </w:pPr>
    </w:p>
    <w:p w14:paraId="0138585C" w14:textId="77777777" w:rsidR="00B71E44" w:rsidRPr="00CE4C4E" w:rsidRDefault="00B71E44" w:rsidP="00B71E44">
      <w:pPr>
        <w:pStyle w:val="Casehead1"/>
        <w:rPr>
          <w:lang w:val="en-GB"/>
        </w:rPr>
      </w:pPr>
      <w:r w:rsidRPr="00CE4C4E">
        <w:rPr>
          <w:lang w:val="en-GB"/>
        </w:rPr>
        <w:t>The Humane Society of the United States</w:t>
      </w:r>
      <w:r w:rsidR="002529F6" w:rsidRPr="00CE4C4E">
        <w:rPr>
          <w:lang w:val="en-GB"/>
        </w:rPr>
        <w:t>:</w:t>
      </w:r>
      <w:r w:rsidRPr="00CE4C4E">
        <w:rPr>
          <w:lang w:val="en-GB"/>
        </w:rPr>
        <w:t xml:space="preserve"> History </w:t>
      </w:r>
    </w:p>
    <w:p w14:paraId="69A2824F" w14:textId="77777777" w:rsidR="00B71E44" w:rsidRPr="00CE4C4E" w:rsidRDefault="00B71E44" w:rsidP="00B71E44">
      <w:pPr>
        <w:pStyle w:val="BodyTextMain"/>
        <w:rPr>
          <w:lang w:val="en-GB"/>
        </w:rPr>
      </w:pPr>
    </w:p>
    <w:p w14:paraId="1A6DF615" w14:textId="17AC8A44" w:rsidR="00B71E44" w:rsidRPr="002779CD" w:rsidRDefault="009B5CE5" w:rsidP="002779CD">
      <w:pPr>
        <w:pStyle w:val="BodyTextMain"/>
      </w:pPr>
      <w:r w:rsidRPr="002779CD">
        <w:t xml:space="preserve">The </w:t>
      </w:r>
      <w:r w:rsidR="00B71E44" w:rsidRPr="002779CD">
        <w:t>HSUS was a non-profit organization founded in 1954 by journalist Fred Myers along with Helen Jones, Larry Andrews</w:t>
      </w:r>
      <w:r w:rsidRPr="002779CD">
        <w:t>,</w:t>
      </w:r>
      <w:r w:rsidR="00B71E44" w:rsidRPr="002779CD">
        <w:t xml:space="preserve"> and Marcia Glaser as the National Humane Society. Their goal was to address America’s nationwide issues of animal cruelty and welfare. The organization was an attempt to tackle such issues with strategies and resources on a scale that was not possible for local groups. The organization was headquartered in Washington, D.</w:t>
      </w:r>
      <w:r w:rsidR="008A2CA0">
        <w:t xml:space="preserve"> </w:t>
      </w:r>
      <w:r w:rsidR="00B71E44" w:rsidRPr="002779CD">
        <w:t>C.</w:t>
      </w:r>
      <w:r w:rsidR="00C52124" w:rsidRPr="002779CD">
        <w:t>,</w:t>
      </w:r>
      <w:r w:rsidR="00B71E44" w:rsidRPr="002779CD">
        <w:t xml:space="preserve"> and was affiliated with several organizations</w:t>
      </w:r>
      <w:r w:rsidR="0071642A" w:rsidRPr="002779CD">
        <w:t>,</w:t>
      </w:r>
      <w:r w:rsidR="00B71E44" w:rsidRPr="002779CD">
        <w:t xml:space="preserve"> including Humane Society International and the Fund for Animals.</w:t>
      </w:r>
      <w:r w:rsidR="00B71E44" w:rsidRPr="002779CD">
        <w:rPr>
          <w:vertAlign w:val="superscript"/>
        </w:rPr>
        <w:t xml:space="preserve"> </w:t>
      </w:r>
      <w:r w:rsidR="00B71E44" w:rsidRPr="002779CD">
        <w:t xml:space="preserve">In 2013, the Chronicle of Philanthropy ranked the HSUS the </w:t>
      </w:r>
      <w:r w:rsidR="00D31B08" w:rsidRPr="002779CD">
        <w:t>136th-</w:t>
      </w:r>
      <w:r w:rsidR="00B71E44" w:rsidRPr="002779CD">
        <w:t>largest U.S. charity.</w:t>
      </w:r>
    </w:p>
    <w:p w14:paraId="0786395B" w14:textId="77777777" w:rsidR="00B71E44" w:rsidRPr="002779CD" w:rsidRDefault="00B71E44" w:rsidP="002779CD">
      <w:pPr>
        <w:pStyle w:val="BodyTextMain"/>
      </w:pPr>
    </w:p>
    <w:p w14:paraId="4353149A" w14:textId="51410AE6" w:rsidR="00B71E44" w:rsidRPr="00CE4C4E" w:rsidRDefault="00B71E44" w:rsidP="002779CD">
      <w:pPr>
        <w:pStyle w:val="BodyTextMain"/>
        <w:rPr>
          <w:lang w:val="en-GB"/>
        </w:rPr>
      </w:pPr>
      <w:r w:rsidRPr="002779CD">
        <w:t>The HSUS did not run local animal shelters such as local humane societies. Instead, it educated the public on animal overpopulation and promoted best practices for handling animals in shelters</w:t>
      </w:r>
      <w:r w:rsidR="0071642A" w:rsidRPr="002779CD">
        <w:t>,</w:t>
      </w:r>
      <w:r w:rsidRPr="002779CD">
        <w:t xml:space="preserve"> including those used for euthanizing animals. The HSUS had a long track record </w:t>
      </w:r>
      <w:r w:rsidR="0071642A" w:rsidRPr="002779CD">
        <w:t xml:space="preserve">of </w:t>
      </w:r>
      <w:r w:rsidRPr="002779CD">
        <w:t>working against cruelty to dogs</w:t>
      </w:r>
      <w:r w:rsidR="00C52124" w:rsidRPr="002779CD">
        <w:t>,</w:t>
      </w:r>
      <w:r w:rsidRPr="00CE4C4E">
        <w:rPr>
          <w:lang w:val="en-GB"/>
        </w:rPr>
        <w:t xml:space="preserve"> </w:t>
      </w:r>
      <w:r w:rsidRPr="00CE4C4E">
        <w:rPr>
          <w:lang w:val="en-GB"/>
        </w:rPr>
        <w:lastRenderedPageBreak/>
        <w:t xml:space="preserve">including </w:t>
      </w:r>
      <w:r w:rsidR="007B0ECA">
        <w:rPr>
          <w:lang w:val="en-GB"/>
        </w:rPr>
        <w:t>activities</w:t>
      </w:r>
      <w:r w:rsidRPr="00CE4C4E">
        <w:rPr>
          <w:lang w:val="en-GB"/>
        </w:rPr>
        <w:t xml:space="preserve"> carried out in puppy mills. In 2016, the organization operated five animal sanctuaries in conjunction with the Fund for Animals.</w:t>
      </w:r>
    </w:p>
    <w:p w14:paraId="654A28CA" w14:textId="77777777" w:rsidR="00B71E44" w:rsidRPr="00CE4C4E" w:rsidRDefault="00B71E44" w:rsidP="00B71E44">
      <w:pPr>
        <w:pStyle w:val="BodyTextMain"/>
        <w:rPr>
          <w:lang w:val="en-GB"/>
        </w:rPr>
      </w:pPr>
    </w:p>
    <w:p w14:paraId="690BCD35" w14:textId="17D946CB" w:rsidR="00B71E44" w:rsidRPr="00CE4C4E" w:rsidRDefault="00B71E44" w:rsidP="00B71E44">
      <w:pPr>
        <w:pStyle w:val="BodyTextMain"/>
        <w:rPr>
          <w:lang w:val="en-GB"/>
        </w:rPr>
      </w:pPr>
      <w:r w:rsidRPr="00CE4C4E">
        <w:rPr>
          <w:lang w:val="en-GB"/>
        </w:rPr>
        <w:t xml:space="preserve">The HSUS was involved in numerous campaigns over the years </w:t>
      </w:r>
      <w:r w:rsidR="0071642A" w:rsidRPr="00CE4C4E">
        <w:rPr>
          <w:lang w:val="en-GB"/>
        </w:rPr>
        <w:t xml:space="preserve">that </w:t>
      </w:r>
      <w:r w:rsidRPr="00CE4C4E">
        <w:rPr>
          <w:lang w:val="en-GB"/>
        </w:rPr>
        <w:t xml:space="preserve">led to successful improvements in the treatment of animals. </w:t>
      </w:r>
      <w:r w:rsidR="00C52124" w:rsidRPr="00CE4C4E">
        <w:rPr>
          <w:lang w:val="en-GB"/>
        </w:rPr>
        <w:t xml:space="preserve">Its </w:t>
      </w:r>
      <w:r w:rsidR="00E82622">
        <w:rPr>
          <w:lang w:val="en-GB"/>
        </w:rPr>
        <w:t xml:space="preserve">efforts in </w:t>
      </w:r>
      <w:r w:rsidRPr="00CE4C4E">
        <w:rPr>
          <w:lang w:val="en-GB"/>
        </w:rPr>
        <w:t>p</w:t>
      </w:r>
      <w:r w:rsidR="00E82622">
        <w:rPr>
          <w:lang w:val="en-GB"/>
        </w:rPr>
        <w:t>ublic education for example,</w:t>
      </w:r>
      <w:r w:rsidRPr="00CE4C4E">
        <w:rPr>
          <w:lang w:val="en-GB"/>
        </w:rPr>
        <w:t xml:space="preserve"> led to consumers voting with their </w:t>
      </w:r>
      <w:r w:rsidR="00AE3053" w:rsidRPr="00CE4C4E">
        <w:rPr>
          <w:lang w:val="en-GB"/>
        </w:rPr>
        <w:t>“</w:t>
      </w:r>
      <w:r w:rsidRPr="00CE4C4E">
        <w:rPr>
          <w:lang w:val="en-GB"/>
        </w:rPr>
        <w:t>pocketbooks</w:t>
      </w:r>
      <w:r w:rsidR="00AE3053" w:rsidRPr="00CE4C4E">
        <w:rPr>
          <w:lang w:val="en-GB"/>
        </w:rPr>
        <w:t>”</w:t>
      </w:r>
      <w:r w:rsidRPr="00CE4C4E">
        <w:rPr>
          <w:lang w:val="en-GB"/>
        </w:rPr>
        <w:t xml:space="preserve"> and at the ballot box for a change</w:t>
      </w:r>
      <w:r w:rsidR="00E82622">
        <w:rPr>
          <w:lang w:val="en-GB"/>
        </w:rPr>
        <w:t xml:space="preserve"> in animal treatment</w:t>
      </w:r>
      <w:r w:rsidRPr="00CE4C4E">
        <w:rPr>
          <w:lang w:val="en-GB"/>
        </w:rPr>
        <w:t xml:space="preserve">. </w:t>
      </w:r>
      <w:r w:rsidR="00C52124" w:rsidRPr="00CE4C4E">
        <w:rPr>
          <w:lang w:val="en-GB"/>
        </w:rPr>
        <w:t xml:space="preserve">It </w:t>
      </w:r>
      <w:r w:rsidRPr="00CE4C4E">
        <w:rPr>
          <w:lang w:val="en-GB"/>
        </w:rPr>
        <w:t xml:space="preserve">also lobbied government at all levels to pass laws that improved the lives of animals and took actions to ensure that such laws were being enforced. For example, the HSUS worked with the federal government to regulate experimentation on animals and, in 1958, </w:t>
      </w:r>
      <w:r w:rsidR="00C52124" w:rsidRPr="00CE4C4E">
        <w:rPr>
          <w:lang w:val="en-GB"/>
        </w:rPr>
        <w:t xml:space="preserve">it </w:t>
      </w:r>
      <w:r w:rsidRPr="00CE4C4E">
        <w:rPr>
          <w:lang w:val="en-GB"/>
        </w:rPr>
        <w:t xml:space="preserve">played an important role in the passage of </w:t>
      </w:r>
      <w:r w:rsidRPr="00E97C02">
        <w:rPr>
          <w:i/>
          <w:lang w:val="en-GB"/>
        </w:rPr>
        <w:t>The Humane Slaughter Act</w:t>
      </w:r>
      <w:r w:rsidRPr="00CE4C4E">
        <w:rPr>
          <w:lang w:val="en-GB"/>
        </w:rPr>
        <w:t>.</w:t>
      </w:r>
      <w:r w:rsidRPr="00CE4C4E">
        <w:rPr>
          <w:rStyle w:val="EndnoteReference"/>
          <w:bCs/>
          <w:lang w:val="en-GB"/>
        </w:rPr>
        <w:endnoteReference w:id="16"/>
      </w:r>
      <w:r w:rsidRPr="00CE4C4E">
        <w:rPr>
          <w:lang w:val="en-GB"/>
        </w:rPr>
        <w:t xml:space="preserve"> </w:t>
      </w:r>
    </w:p>
    <w:p w14:paraId="04CC65D1" w14:textId="77777777" w:rsidR="00B71E44" w:rsidRPr="00CE4C4E" w:rsidRDefault="00B71E44" w:rsidP="00B71E44">
      <w:pPr>
        <w:pStyle w:val="BodyTextMain"/>
        <w:rPr>
          <w:lang w:val="en-GB"/>
        </w:rPr>
      </w:pPr>
    </w:p>
    <w:p w14:paraId="306AA432" w14:textId="48F80746" w:rsidR="00B71E44" w:rsidRPr="00CE4C4E" w:rsidRDefault="00E82622" w:rsidP="00B71E44">
      <w:pPr>
        <w:pStyle w:val="BodyTextMain"/>
        <w:rPr>
          <w:lang w:val="en-GB"/>
        </w:rPr>
      </w:pPr>
      <w:r>
        <w:rPr>
          <w:lang w:val="en-GB"/>
        </w:rPr>
        <w:t>I</w:t>
      </w:r>
      <w:r w:rsidR="00B71E44" w:rsidRPr="00CE4C4E">
        <w:rPr>
          <w:lang w:val="en-GB"/>
        </w:rPr>
        <w:t>n 2008, the HSUS fought successfully to pass Proposition 2 in California, a ballot initiative that ended tight confinement of hens, pigs, and calves</w:t>
      </w:r>
      <w:r w:rsidR="00C52124" w:rsidRPr="00CE4C4E">
        <w:rPr>
          <w:lang w:val="en-GB"/>
        </w:rPr>
        <w:t>,</w:t>
      </w:r>
      <w:r w:rsidR="00B71E44" w:rsidRPr="00CE4C4E">
        <w:rPr>
          <w:lang w:val="en-GB"/>
        </w:rPr>
        <w:t xml:space="preserve"> affecting 20 million animals on factory farms. Businesses desiring to continue the practice spent nearly $10 million to oppose the passage of the measure. This HSUS campaign against factory farming continued</w:t>
      </w:r>
      <w:r w:rsidR="00C52124" w:rsidRPr="00CE4C4E">
        <w:rPr>
          <w:lang w:val="en-GB"/>
        </w:rPr>
        <w:t>,</w:t>
      </w:r>
      <w:r>
        <w:rPr>
          <w:lang w:val="en-GB"/>
        </w:rPr>
        <w:t xml:space="preserve"> eventually leading to food providers,</w:t>
      </w:r>
      <w:r w:rsidR="00B71E44" w:rsidRPr="00CE4C4E">
        <w:rPr>
          <w:lang w:val="en-GB"/>
        </w:rPr>
        <w:t xml:space="preserve"> such as McDonald</w:t>
      </w:r>
      <w:r w:rsidR="0071642A" w:rsidRPr="00CE4C4E">
        <w:rPr>
          <w:lang w:val="en-GB"/>
        </w:rPr>
        <w:t>’</w:t>
      </w:r>
      <w:r>
        <w:rPr>
          <w:lang w:val="en-GB"/>
        </w:rPr>
        <w:t>s and Costco, ending their use of</w:t>
      </w:r>
      <w:r w:rsidR="00B71E44" w:rsidRPr="00CE4C4E">
        <w:rPr>
          <w:lang w:val="en-GB"/>
        </w:rPr>
        <w:t xml:space="preserve"> factory farm products. The HSUS along with its affiliate, Humane Society International, worked to protect sea life </w:t>
      </w:r>
      <w:r w:rsidR="00C52124" w:rsidRPr="00CE4C4E">
        <w:rPr>
          <w:lang w:val="en-GB"/>
        </w:rPr>
        <w:t xml:space="preserve">by </w:t>
      </w:r>
      <w:r w:rsidR="00B71E44" w:rsidRPr="00CE4C4E">
        <w:rPr>
          <w:lang w:val="en-GB"/>
        </w:rPr>
        <w:t>tackling issues such as whaling, shark finning</w:t>
      </w:r>
      <w:r w:rsidR="00C52124" w:rsidRPr="00CE4C4E">
        <w:rPr>
          <w:lang w:val="en-GB"/>
        </w:rPr>
        <w:t>,</w:t>
      </w:r>
      <w:r w:rsidR="00B71E44" w:rsidRPr="00CE4C4E">
        <w:rPr>
          <w:lang w:val="en-GB"/>
        </w:rPr>
        <w:t xml:space="preserve"> and a declining ocean population resulting from overfishing. The HSUS played an important part in Ringling Bro</w:t>
      </w:r>
      <w:r w:rsidR="006C50B5" w:rsidRPr="00CE4C4E">
        <w:rPr>
          <w:lang w:val="en-GB"/>
        </w:rPr>
        <w:t xml:space="preserve">s. Circus </w:t>
      </w:r>
      <w:r w:rsidR="00B71E44" w:rsidRPr="00CE4C4E">
        <w:rPr>
          <w:lang w:val="en-GB"/>
        </w:rPr>
        <w:t>retiring elephants from its trave</w:t>
      </w:r>
      <w:r w:rsidR="0071642A" w:rsidRPr="00CE4C4E">
        <w:rPr>
          <w:lang w:val="en-GB"/>
        </w:rPr>
        <w:t>l</w:t>
      </w:r>
      <w:r w:rsidR="00B71E44" w:rsidRPr="00CE4C4E">
        <w:rPr>
          <w:lang w:val="en-GB"/>
        </w:rPr>
        <w:t>ling circus acts.</w:t>
      </w:r>
      <w:r w:rsidR="00B71E44" w:rsidRPr="00CE4C4E">
        <w:rPr>
          <w:rStyle w:val="EndnoteReference"/>
          <w:bCs/>
          <w:lang w:val="en-GB"/>
        </w:rPr>
        <w:endnoteReference w:id="17"/>
      </w:r>
    </w:p>
    <w:p w14:paraId="0629DE85" w14:textId="77777777" w:rsidR="00B71E44" w:rsidRPr="00CE4C4E" w:rsidRDefault="00B71E44" w:rsidP="00B71E44">
      <w:pPr>
        <w:pStyle w:val="BodyTextMain"/>
        <w:rPr>
          <w:lang w:val="en-GB"/>
        </w:rPr>
      </w:pPr>
    </w:p>
    <w:p w14:paraId="0F4A4B51" w14:textId="0FA8751D" w:rsidR="00B71E44" w:rsidRPr="00CE4C4E" w:rsidRDefault="00B71E44" w:rsidP="00B71E44">
      <w:pPr>
        <w:pStyle w:val="BodyTextMain"/>
        <w:rPr>
          <w:lang w:val="en-GB"/>
        </w:rPr>
      </w:pPr>
      <w:r w:rsidRPr="00CE4C4E">
        <w:rPr>
          <w:lang w:val="en-GB"/>
        </w:rPr>
        <w:t xml:space="preserve">The HSUS claimed to be America’s largest and most effective animal rights organization. Along with </w:t>
      </w:r>
      <w:r w:rsidR="00C52124" w:rsidRPr="00CE4C4E">
        <w:rPr>
          <w:lang w:val="en-GB"/>
        </w:rPr>
        <w:t xml:space="preserve">its </w:t>
      </w:r>
      <w:r w:rsidRPr="00CE4C4E">
        <w:rPr>
          <w:lang w:val="en-GB"/>
        </w:rPr>
        <w:t xml:space="preserve">affiliates, </w:t>
      </w:r>
      <w:r w:rsidR="00C52124" w:rsidRPr="00CE4C4E">
        <w:rPr>
          <w:lang w:val="en-GB"/>
        </w:rPr>
        <w:t xml:space="preserve">it </w:t>
      </w:r>
      <w:r w:rsidRPr="00CE4C4E">
        <w:rPr>
          <w:lang w:val="en-GB"/>
        </w:rPr>
        <w:t xml:space="preserve">provided care and services to well over 100,000 animals annually. According to </w:t>
      </w:r>
      <w:r w:rsidR="00C52124" w:rsidRPr="00CE4C4E">
        <w:rPr>
          <w:lang w:val="en-GB"/>
        </w:rPr>
        <w:t xml:space="preserve">its </w:t>
      </w:r>
      <w:r w:rsidRPr="00CE4C4E">
        <w:rPr>
          <w:lang w:val="en-GB"/>
        </w:rPr>
        <w:t xml:space="preserve">2015 </w:t>
      </w:r>
      <w:r w:rsidR="009E1B80" w:rsidRPr="00CE4C4E">
        <w:rPr>
          <w:lang w:val="en-GB"/>
        </w:rPr>
        <w:t>annual report</w:t>
      </w:r>
      <w:r w:rsidRPr="00CE4C4E">
        <w:rPr>
          <w:lang w:val="en-GB"/>
        </w:rPr>
        <w:t xml:space="preserve">, net assets were over $232,366,766 and </w:t>
      </w:r>
      <w:r w:rsidR="00C52124" w:rsidRPr="00CE4C4E">
        <w:rPr>
          <w:lang w:val="en-GB"/>
        </w:rPr>
        <w:t xml:space="preserve">its </w:t>
      </w:r>
      <w:r w:rsidRPr="00CE4C4E">
        <w:rPr>
          <w:lang w:val="en-GB"/>
        </w:rPr>
        <w:t>total support and revenue for 2015 were $191,138,740. Seventy-nine per</w:t>
      </w:r>
      <w:r w:rsidR="00C52124" w:rsidRPr="00CE4C4E">
        <w:rPr>
          <w:lang w:val="en-GB"/>
        </w:rPr>
        <w:t xml:space="preserve"> </w:t>
      </w:r>
      <w:r w:rsidRPr="00CE4C4E">
        <w:rPr>
          <w:lang w:val="en-GB"/>
        </w:rPr>
        <w:t xml:space="preserve">cent of </w:t>
      </w:r>
      <w:r w:rsidR="00C52124" w:rsidRPr="00CE4C4E">
        <w:rPr>
          <w:lang w:val="en-GB"/>
        </w:rPr>
        <w:t xml:space="preserve">its </w:t>
      </w:r>
      <w:r w:rsidRPr="00CE4C4E">
        <w:rPr>
          <w:lang w:val="en-GB"/>
        </w:rPr>
        <w:t>operating expenses went to animal protection.</w:t>
      </w:r>
    </w:p>
    <w:p w14:paraId="30382257" w14:textId="77777777" w:rsidR="00B71E44" w:rsidRPr="00CE4C4E" w:rsidRDefault="00B71E44" w:rsidP="00B71E44">
      <w:pPr>
        <w:pStyle w:val="BodyTextMain"/>
        <w:rPr>
          <w:lang w:val="en-GB"/>
        </w:rPr>
      </w:pPr>
    </w:p>
    <w:p w14:paraId="748A3B1E" w14:textId="77777777" w:rsidR="00B71E44" w:rsidRPr="00CE4C4E" w:rsidRDefault="00B71E44" w:rsidP="00B71E44">
      <w:pPr>
        <w:pStyle w:val="BodyTextMain"/>
        <w:rPr>
          <w:lang w:val="en-GB"/>
        </w:rPr>
      </w:pPr>
    </w:p>
    <w:p w14:paraId="760AF418" w14:textId="3EF94D12" w:rsidR="00B71E44" w:rsidRPr="00CE4C4E" w:rsidRDefault="00B71E44" w:rsidP="00B71E44">
      <w:pPr>
        <w:pStyle w:val="Casehead1"/>
        <w:rPr>
          <w:bCs/>
          <w:lang w:val="en-GB"/>
        </w:rPr>
      </w:pPr>
      <w:r w:rsidRPr="00CE4C4E">
        <w:rPr>
          <w:lang w:val="en-GB"/>
        </w:rPr>
        <w:t xml:space="preserve">The Humane Society of </w:t>
      </w:r>
      <w:r w:rsidR="002438B7" w:rsidRPr="00CE4C4E">
        <w:rPr>
          <w:lang w:val="en-GB"/>
        </w:rPr>
        <w:t xml:space="preserve">the </w:t>
      </w:r>
      <w:r w:rsidRPr="00CE4C4E">
        <w:rPr>
          <w:lang w:val="en-GB"/>
        </w:rPr>
        <w:t>United States</w:t>
      </w:r>
      <w:r w:rsidR="002438B7" w:rsidRPr="00CE4C4E">
        <w:rPr>
          <w:lang w:val="en-GB"/>
        </w:rPr>
        <w:t>’s</w:t>
      </w:r>
      <w:r w:rsidRPr="00CE4C4E">
        <w:rPr>
          <w:lang w:val="en-GB"/>
        </w:rPr>
        <w:t xml:space="preserve"> Mission</w:t>
      </w:r>
    </w:p>
    <w:p w14:paraId="1D4322D9" w14:textId="77777777" w:rsidR="009B5CE5" w:rsidRPr="00CE4C4E" w:rsidRDefault="009B5CE5" w:rsidP="00B71E44">
      <w:pPr>
        <w:pStyle w:val="BodyTextMain"/>
        <w:rPr>
          <w:lang w:val="en-GB"/>
        </w:rPr>
      </w:pPr>
    </w:p>
    <w:p w14:paraId="339CA87D" w14:textId="0C69CEBB" w:rsidR="00B71E44" w:rsidRPr="00CE4C4E" w:rsidRDefault="00B71E44" w:rsidP="00B71E44">
      <w:pPr>
        <w:pStyle w:val="BodyTextMain"/>
        <w:rPr>
          <w:lang w:val="en-GB"/>
        </w:rPr>
      </w:pPr>
      <w:r w:rsidRPr="00CE4C4E">
        <w:rPr>
          <w:lang w:val="en-GB"/>
        </w:rPr>
        <w:t>The mission of the HSUS was to provide direct care to animals through</w:t>
      </w:r>
      <w:r w:rsidR="00E82622">
        <w:rPr>
          <w:lang w:val="en-GB"/>
        </w:rPr>
        <w:t xml:space="preserve"> the provision of</w:t>
      </w:r>
      <w:r w:rsidRPr="00CE4C4E">
        <w:rPr>
          <w:lang w:val="en-GB"/>
        </w:rPr>
        <w:t xml:space="preserve"> sanctuaries, veterinary</w:t>
      </w:r>
      <w:r w:rsidR="0071642A" w:rsidRPr="00CE4C4E">
        <w:rPr>
          <w:lang w:val="en-GB"/>
        </w:rPr>
        <w:t xml:space="preserve"> care</w:t>
      </w:r>
      <w:r w:rsidRPr="00CE4C4E">
        <w:rPr>
          <w:lang w:val="en-GB"/>
        </w:rPr>
        <w:t>, emergency shelter</w:t>
      </w:r>
      <w:r w:rsidR="00C52124" w:rsidRPr="00CE4C4E">
        <w:rPr>
          <w:lang w:val="en-GB"/>
        </w:rPr>
        <w:t>s</w:t>
      </w:r>
      <w:r w:rsidRPr="00CE4C4E">
        <w:rPr>
          <w:lang w:val="en-GB"/>
        </w:rPr>
        <w:t xml:space="preserve">, and rescue programs. </w:t>
      </w:r>
      <w:r w:rsidR="00C52124" w:rsidRPr="00CE4C4E">
        <w:rPr>
          <w:lang w:val="en-GB"/>
        </w:rPr>
        <w:t xml:space="preserve">It </w:t>
      </w:r>
      <w:r w:rsidRPr="00CE4C4E">
        <w:rPr>
          <w:lang w:val="en-GB"/>
        </w:rPr>
        <w:t xml:space="preserve">addressed national and international animal issues such as </w:t>
      </w:r>
      <w:r w:rsidR="009B5CE5" w:rsidRPr="00CE4C4E">
        <w:rPr>
          <w:lang w:val="en-GB"/>
        </w:rPr>
        <w:t xml:space="preserve">the </w:t>
      </w:r>
      <w:r w:rsidRPr="00CE4C4E">
        <w:rPr>
          <w:lang w:val="en-GB"/>
        </w:rPr>
        <w:t xml:space="preserve">protection of marine animals, </w:t>
      </w:r>
      <w:r w:rsidR="00560C2F" w:rsidRPr="00CE4C4E">
        <w:rPr>
          <w:lang w:val="en-GB"/>
        </w:rPr>
        <w:t xml:space="preserve">the </w:t>
      </w:r>
      <w:r w:rsidRPr="00CE4C4E">
        <w:rPr>
          <w:lang w:val="en-GB"/>
        </w:rPr>
        <w:t>wildlife trade (e.g., elephant poaching)</w:t>
      </w:r>
      <w:r w:rsidR="00C52124" w:rsidRPr="00CE4C4E">
        <w:rPr>
          <w:lang w:val="en-GB"/>
        </w:rPr>
        <w:t>,</w:t>
      </w:r>
      <w:r w:rsidRPr="00CE4C4E">
        <w:rPr>
          <w:lang w:val="en-GB"/>
        </w:rPr>
        <w:t xml:space="preserve"> and factory farming, along with </w:t>
      </w:r>
      <w:r w:rsidR="00C52124" w:rsidRPr="00CE4C4E">
        <w:rPr>
          <w:lang w:val="en-GB"/>
        </w:rPr>
        <w:t xml:space="preserve">its </w:t>
      </w:r>
      <w:r w:rsidRPr="00CE4C4E">
        <w:rPr>
          <w:lang w:val="en-GB"/>
        </w:rPr>
        <w:t xml:space="preserve">affiliate, Humane Society International. </w:t>
      </w:r>
      <w:r w:rsidR="00C52124" w:rsidRPr="00CE4C4E">
        <w:rPr>
          <w:lang w:val="en-GB"/>
        </w:rPr>
        <w:t xml:space="preserve">Its </w:t>
      </w:r>
      <w:r w:rsidRPr="00CE4C4E">
        <w:rPr>
          <w:lang w:val="en-GB"/>
        </w:rPr>
        <w:t xml:space="preserve">most important goal was </w:t>
      </w:r>
      <w:r w:rsidR="00AE3053" w:rsidRPr="00CE4C4E">
        <w:rPr>
          <w:lang w:val="en-GB"/>
        </w:rPr>
        <w:t>“</w:t>
      </w:r>
      <w:r w:rsidRPr="00CE4C4E">
        <w:rPr>
          <w:lang w:val="en-GB"/>
        </w:rPr>
        <w:t>to prevent animals from getting into situations of distress in the first place</w:t>
      </w:r>
      <w:r w:rsidR="00E82622">
        <w:rPr>
          <w:lang w:val="en-GB"/>
        </w:rPr>
        <w:t>,</w:t>
      </w:r>
      <w:r w:rsidR="00836EA5">
        <w:rPr>
          <w:lang w:val="en-GB"/>
        </w:rPr>
        <w:t>”</w:t>
      </w:r>
      <w:r w:rsidRPr="00CE4C4E">
        <w:rPr>
          <w:lang w:val="en-GB"/>
        </w:rPr>
        <w:t xml:space="preserve"> and </w:t>
      </w:r>
      <w:r w:rsidR="00C52124" w:rsidRPr="00CE4C4E">
        <w:rPr>
          <w:lang w:val="en-GB"/>
        </w:rPr>
        <w:t xml:space="preserve">it </w:t>
      </w:r>
      <w:r w:rsidRPr="00CE4C4E">
        <w:rPr>
          <w:lang w:val="en-GB"/>
        </w:rPr>
        <w:t xml:space="preserve">used a variety of tools to drive </w:t>
      </w:r>
      <w:r w:rsidR="00AE3053" w:rsidRPr="00CE4C4E">
        <w:rPr>
          <w:lang w:val="en-GB"/>
        </w:rPr>
        <w:t>“</w:t>
      </w:r>
      <w:r w:rsidRPr="00CE4C4E">
        <w:rPr>
          <w:lang w:val="en-GB"/>
        </w:rPr>
        <w:t>transformational change.</w:t>
      </w:r>
      <w:r w:rsidR="00AE3053" w:rsidRPr="00CE4C4E">
        <w:rPr>
          <w:lang w:val="en-GB"/>
        </w:rPr>
        <w:t>”</w:t>
      </w:r>
      <w:bookmarkStart w:id="1" w:name="Zoos_and_aquariums"/>
      <w:bookmarkEnd w:id="1"/>
      <w:r w:rsidRPr="00CE4C4E">
        <w:rPr>
          <w:lang w:val="en-GB"/>
        </w:rPr>
        <w:t xml:space="preserve"> The HSUS</w:t>
      </w:r>
      <w:r w:rsidR="00C52124" w:rsidRPr="00CE4C4E">
        <w:rPr>
          <w:lang w:val="en-GB"/>
        </w:rPr>
        <w:t>’s</w:t>
      </w:r>
      <w:r w:rsidRPr="00CE4C4E">
        <w:rPr>
          <w:lang w:val="en-GB"/>
        </w:rPr>
        <w:t xml:space="preserve"> position on zoos and aquariums was</w:t>
      </w:r>
      <w:r w:rsidR="00DD2F17">
        <w:rPr>
          <w:lang w:val="en-GB"/>
        </w:rPr>
        <w:t xml:space="preserve"> detailed as follows</w:t>
      </w:r>
      <w:r w:rsidRPr="00CE4C4E">
        <w:rPr>
          <w:lang w:val="en-GB"/>
        </w:rPr>
        <w:t xml:space="preserve">: </w:t>
      </w:r>
    </w:p>
    <w:p w14:paraId="1BF88C18" w14:textId="77777777" w:rsidR="00B71E44" w:rsidRPr="00CE4C4E" w:rsidRDefault="00B71E44" w:rsidP="00B71E44">
      <w:pPr>
        <w:pStyle w:val="BodyTextMain"/>
        <w:rPr>
          <w:lang w:val="en-GB"/>
        </w:rPr>
      </w:pPr>
    </w:p>
    <w:p w14:paraId="29232F8A" w14:textId="74A4BAEF" w:rsidR="00B71E44" w:rsidRPr="00CE4C4E" w:rsidRDefault="00B71E44" w:rsidP="00B71E44">
      <w:pPr>
        <w:pStyle w:val="BodyTextMain"/>
        <w:ind w:left="720"/>
        <w:rPr>
          <w:lang w:val="en-GB"/>
        </w:rPr>
      </w:pPr>
      <w:r w:rsidRPr="00CE4C4E">
        <w:rPr>
          <w:lang w:val="en-GB"/>
        </w:rPr>
        <w:t>Wild animals should ideally be permitted to exist undisturbed in their natural environments. Zoos and aquariums are, however, a currently e</w:t>
      </w:r>
      <w:r w:rsidR="00E82622">
        <w:rPr>
          <w:lang w:val="en-GB"/>
        </w:rPr>
        <w:t>stablished part of our society. Additionally, s</w:t>
      </w:r>
      <w:r w:rsidRPr="00CE4C4E">
        <w:rPr>
          <w:lang w:val="en-GB"/>
        </w:rPr>
        <w:t>ome of them provide benefits for animals such as financially supp</w:t>
      </w:r>
      <w:r w:rsidR="00E82622">
        <w:rPr>
          <w:lang w:val="en-GB"/>
        </w:rPr>
        <w:t xml:space="preserve">orting conservation programs, preserving and restoring </w:t>
      </w:r>
      <w:r w:rsidRPr="00CE4C4E">
        <w:rPr>
          <w:lang w:val="en-GB"/>
        </w:rPr>
        <w:t>threatened and endangered species</w:t>
      </w:r>
      <w:r w:rsidR="00E82622">
        <w:rPr>
          <w:lang w:val="en-GB"/>
        </w:rPr>
        <w:t>,</w:t>
      </w:r>
      <w:r w:rsidRPr="00CE4C4E">
        <w:rPr>
          <w:lang w:val="en-GB"/>
        </w:rPr>
        <w:t xml:space="preserve"> and p</w:t>
      </w:r>
      <w:r w:rsidR="00E82622">
        <w:rPr>
          <w:lang w:val="en-GB"/>
        </w:rPr>
        <w:t xml:space="preserve">romoting public education regarding </w:t>
      </w:r>
      <w:r w:rsidRPr="00CE4C4E">
        <w:rPr>
          <w:lang w:val="en-GB"/>
        </w:rPr>
        <w:t>the needs of wild animals and their roles in the ecosystem.</w:t>
      </w:r>
    </w:p>
    <w:p w14:paraId="45E38B29" w14:textId="77777777" w:rsidR="00B71E44" w:rsidRPr="00CE4C4E" w:rsidRDefault="00B71E44" w:rsidP="00B71E44">
      <w:pPr>
        <w:pStyle w:val="BodyTextMain"/>
        <w:ind w:left="720"/>
        <w:rPr>
          <w:b/>
          <w:bCs/>
          <w:lang w:val="en-GB"/>
        </w:rPr>
      </w:pPr>
    </w:p>
    <w:p w14:paraId="455E8F6B" w14:textId="39D54DA9" w:rsidR="00B71E44" w:rsidRPr="00CE4C4E" w:rsidRDefault="00B71E44" w:rsidP="00B71E44">
      <w:pPr>
        <w:pStyle w:val="BodyTextMain"/>
        <w:ind w:left="720"/>
        <w:rPr>
          <w:lang w:val="en-GB"/>
        </w:rPr>
      </w:pPr>
      <w:r w:rsidRPr="00CE4C4E">
        <w:rPr>
          <w:lang w:val="en-GB"/>
        </w:rPr>
        <w:t>Zoos and other facilities that house captive wildlife must not be set up solely for profit or for entertainment. Such facilities must be organized around a core mission that educates the public about the needs of wild animals and the threats to which they are exposed, and that supports humane conservation programs. In addition, such zoos must maintain animals in conditions simulating their natural habitats as closely as possible and must treat them with the highest degree of humaneness, care, and professionalism. Ach</w:t>
      </w:r>
      <w:r w:rsidR="00E82622">
        <w:rPr>
          <w:lang w:val="en-GB"/>
        </w:rPr>
        <w:t xml:space="preserve">ieving these requirements is </w:t>
      </w:r>
      <w:r w:rsidRPr="00CE4C4E">
        <w:rPr>
          <w:lang w:val="en-GB"/>
        </w:rPr>
        <w:t>imperative</w:t>
      </w:r>
      <w:r w:rsidR="00E82622">
        <w:rPr>
          <w:lang w:val="en-GB"/>
        </w:rPr>
        <w:t xml:space="preserve"> to improving </w:t>
      </w:r>
      <w:r w:rsidRPr="00CE4C4E">
        <w:rPr>
          <w:lang w:val="en-GB"/>
        </w:rPr>
        <w:t>the welfare of the animals</w:t>
      </w:r>
      <w:r w:rsidR="00E82622">
        <w:rPr>
          <w:lang w:val="en-GB"/>
        </w:rPr>
        <w:t>. These requirements would also stop</w:t>
      </w:r>
      <w:r w:rsidRPr="00CE4C4E">
        <w:rPr>
          <w:lang w:val="en-GB"/>
        </w:rPr>
        <w:t xml:space="preserve"> inhumane or</w:t>
      </w:r>
      <w:r w:rsidR="00E82622">
        <w:rPr>
          <w:lang w:val="en-GB"/>
        </w:rPr>
        <w:t xml:space="preserve"> inappropriate conditions from being</w:t>
      </w:r>
      <w:r w:rsidRPr="00CE4C4E">
        <w:rPr>
          <w:lang w:val="en-GB"/>
        </w:rPr>
        <w:t xml:space="preserve"> </w:t>
      </w:r>
      <w:r w:rsidR="00777873">
        <w:rPr>
          <w:lang w:val="en-GB"/>
        </w:rPr>
        <w:t xml:space="preserve">seen </w:t>
      </w:r>
      <w:r w:rsidRPr="00CE4C4E">
        <w:rPr>
          <w:lang w:val="en-GB"/>
        </w:rPr>
        <w:t xml:space="preserve">by </w:t>
      </w:r>
      <w:r w:rsidR="00E82622">
        <w:rPr>
          <w:lang w:val="en-GB"/>
        </w:rPr>
        <w:t>an impr</w:t>
      </w:r>
      <w:r w:rsidR="00777873">
        <w:rPr>
          <w:lang w:val="en-GB"/>
        </w:rPr>
        <w:t>essionable public, who might otherwise think that these facilities</w:t>
      </w:r>
      <w:r w:rsidRPr="00CE4C4E">
        <w:rPr>
          <w:lang w:val="en-GB"/>
        </w:rPr>
        <w:t xml:space="preserve"> condone indifference or cruelty</w:t>
      </w:r>
      <w:r w:rsidR="00777873">
        <w:rPr>
          <w:lang w:val="en-GB"/>
        </w:rPr>
        <w:t xml:space="preserve"> towards animals</w:t>
      </w:r>
      <w:r w:rsidRPr="00CE4C4E">
        <w:rPr>
          <w:lang w:val="en-GB"/>
        </w:rPr>
        <w:t>.</w:t>
      </w:r>
    </w:p>
    <w:p w14:paraId="57B0C872" w14:textId="77777777" w:rsidR="00B71E44" w:rsidRPr="00CE4C4E" w:rsidRDefault="00B71E44" w:rsidP="00B71E44">
      <w:pPr>
        <w:pStyle w:val="BodyTextMain"/>
        <w:ind w:left="720"/>
        <w:rPr>
          <w:b/>
          <w:bCs/>
          <w:lang w:val="en-GB"/>
        </w:rPr>
      </w:pPr>
    </w:p>
    <w:p w14:paraId="3406AFAE" w14:textId="522C8B10" w:rsidR="00B71E44" w:rsidRPr="00CE4C4E" w:rsidRDefault="00B71E44" w:rsidP="00B71E44">
      <w:pPr>
        <w:pStyle w:val="BodyTextMain"/>
        <w:ind w:left="720"/>
        <w:rPr>
          <w:lang w:val="en-GB"/>
        </w:rPr>
      </w:pPr>
      <w:r w:rsidRPr="00CE4C4E">
        <w:rPr>
          <w:lang w:val="en-GB"/>
        </w:rPr>
        <w:t>The HSUS pledges to work with those zoological parks and other zoos and aquariums desiring to improve and having the capability to do so. At the same time, we are committed to the elimination of those institutions that will not</w:t>
      </w:r>
      <w:r w:rsidR="00777873">
        <w:rPr>
          <w:lang w:val="en-GB"/>
        </w:rPr>
        <w:t>,</w:t>
      </w:r>
      <w:r w:rsidRPr="00CE4C4E">
        <w:rPr>
          <w:lang w:val="en-GB"/>
        </w:rPr>
        <w:t xml:space="preserve"> or cannot</w:t>
      </w:r>
      <w:r w:rsidR="00777873">
        <w:rPr>
          <w:lang w:val="en-GB"/>
        </w:rPr>
        <w:t>,</w:t>
      </w:r>
      <w:r w:rsidRPr="00CE4C4E">
        <w:rPr>
          <w:lang w:val="en-GB"/>
        </w:rPr>
        <w:t xml:space="preserve"> improve and meet these standards. The HSUS urges zoos to act as sanctuaries for non-domesticated animals, providing facilities for animals in need</w:t>
      </w:r>
      <w:r w:rsidR="00777873">
        <w:rPr>
          <w:lang w:val="en-GB"/>
        </w:rPr>
        <w:t>,</w:t>
      </w:r>
      <w:r w:rsidRPr="00CE4C4E">
        <w:rPr>
          <w:lang w:val="en-GB"/>
        </w:rPr>
        <w:t xml:space="preserve"> rather than breeding them for exhibition purposes or acquiring them from the wild or from exotic animal dealers.</w:t>
      </w:r>
    </w:p>
    <w:p w14:paraId="7F8E801F" w14:textId="77777777" w:rsidR="00B71E44" w:rsidRPr="00CE4C4E" w:rsidRDefault="00B71E44" w:rsidP="00B71E44">
      <w:pPr>
        <w:pStyle w:val="BodyTextMain"/>
        <w:ind w:left="720"/>
        <w:rPr>
          <w:lang w:val="en-GB"/>
        </w:rPr>
      </w:pPr>
    </w:p>
    <w:p w14:paraId="18D62445" w14:textId="11DFC852" w:rsidR="00B71E44" w:rsidRPr="00CE4C4E" w:rsidRDefault="00B71E44" w:rsidP="00B71E44">
      <w:pPr>
        <w:pStyle w:val="BodyTextMain"/>
        <w:rPr>
          <w:lang w:val="en-GB"/>
        </w:rPr>
      </w:pPr>
      <w:r w:rsidRPr="00CE4C4E">
        <w:rPr>
          <w:lang w:val="en-GB"/>
        </w:rPr>
        <w:t>More specifically with respect to marine mammals, the HSUS was opposed to</w:t>
      </w:r>
      <w:bookmarkStart w:id="2" w:name="Marine_mammals"/>
      <w:bookmarkEnd w:id="2"/>
      <w:r w:rsidRPr="00CE4C4E">
        <w:rPr>
          <w:lang w:val="en-GB"/>
        </w:rPr>
        <w:t xml:space="preserve"> </w:t>
      </w:r>
      <w:r w:rsidR="00AE3053" w:rsidRPr="00CE4C4E">
        <w:rPr>
          <w:lang w:val="en-GB"/>
        </w:rPr>
        <w:t>“</w:t>
      </w:r>
      <w:r w:rsidRPr="00CE4C4E">
        <w:rPr>
          <w:lang w:val="en-GB"/>
        </w:rPr>
        <w:t>the chase, capture, and confinement of wild marine mammals in marine parks and aquariums because such activities result in considerable animal suffering.</w:t>
      </w:r>
      <w:r w:rsidR="00AE3053" w:rsidRPr="00CE4C4E">
        <w:rPr>
          <w:lang w:val="en-GB"/>
        </w:rPr>
        <w:t>”</w:t>
      </w:r>
      <w:r w:rsidRPr="00CE4C4E">
        <w:rPr>
          <w:lang w:val="en-GB"/>
        </w:rPr>
        <w:t xml:space="preserve"> Furthermore, </w:t>
      </w:r>
      <w:r w:rsidR="00064537" w:rsidRPr="00CE4C4E">
        <w:rPr>
          <w:lang w:val="en-GB"/>
        </w:rPr>
        <w:t xml:space="preserve">the </w:t>
      </w:r>
      <w:r w:rsidRPr="00CE4C4E">
        <w:rPr>
          <w:lang w:val="en-GB"/>
        </w:rPr>
        <w:t xml:space="preserve">HSUS supported measures that sought </w:t>
      </w:r>
      <w:r w:rsidR="00AE3053" w:rsidRPr="00CE4C4E">
        <w:rPr>
          <w:lang w:val="en-GB"/>
        </w:rPr>
        <w:t>“</w:t>
      </w:r>
      <w:r w:rsidRPr="00CE4C4E">
        <w:rPr>
          <w:lang w:val="en-GB"/>
        </w:rPr>
        <w:t>an end to the capture of wild marine mammals for the purpose of public display in the United States and abroad.</w:t>
      </w:r>
      <w:r w:rsidR="00AE3053" w:rsidRPr="00CE4C4E">
        <w:rPr>
          <w:lang w:val="en-GB"/>
        </w:rPr>
        <w:t>”</w:t>
      </w:r>
    </w:p>
    <w:p w14:paraId="6A3A1A0B" w14:textId="77777777" w:rsidR="00B71E44" w:rsidRPr="00CE4C4E" w:rsidRDefault="00B71E44" w:rsidP="00B71E44">
      <w:pPr>
        <w:pStyle w:val="BodyTextMain"/>
        <w:rPr>
          <w:lang w:val="en-GB"/>
        </w:rPr>
      </w:pPr>
    </w:p>
    <w:p w14:paraId="520613ED" w14:textId="77777777" w:rsidR="00B71E44" w:rsidRPr="00CE4C4E" w:rsidRDefault="00B71E44" w:rsidP="00B71E44">
      <w:pPr>
        <w:pStyle w:val="BodyTextMain"/>
        <w:rPr>
          <w:lang w:val="en-GB"/>
        </w:rPr>
      </w:pPr>
    </w:p>
    <w:p w14:paraId="4E375592" w14:textId="77777777" w:rsidR="00B71E44" w:rsidRPr="00CE4C4E" w:rsidRDefault="00B71E44" w:rsidP="00B71E44">
      <w:pPr>
        <w:pStyle w:val="Casehead1"/>
        <w:rPr>
          <w:lang w:val="en-GB"/>
        </w:rPr>
      </w:pPr>
      <w:r w:rsidRPr="00CE4C4E">
        <w:rPr>
          <w:lang w:val="en-GB"/>
        </w:rPr>
        <w:t>Wayne Pacelle</w:t>
      </w:r>
    </w:p>
    <w:p w14:paraId="3BDAA026" w14:textId="77777777" w:rsidR="00B71E44" w:rsidRPr="00CE4C4E" w:rsidRDefault="00B71E44" w:rsidP="00B71E44">
      <w:pPr>
        <w:pStyle w:val="BodyTextMain"/>
        <w:rPr>
          <w:lang w:val="en-GB"/>
        </w:rPr>
      </w:pPr>
    </w:p>
    <w:p w14:paraId="4D3EB10A" w14:textId="7718D448" w:rsidR="00B71E44" w:rsidRPr="00CE4C4E" w:rsidRDefault="00B71E44" w:rsidP="00B71E44">
      <w:pPr>
        <w:pStyle w:val="BodyTextMain"/>
        <w:rPr>
          <w:lang w:val="en-GB"/>
        </w:rPr>
      </w:pPr>
      <w:r w:rsidRPr="00CE4C4E">
        <w:rPr>
          <w:lang w:val="en-GB"/>
        </w:rPr>
        <w:t xml:space="preserve">Pacelle joined </w:t>
      </w:r>
      <w:r w:rsidR="00064537" w:rsidRPr="00CE4C4E">
        <w:rPr>
          <w:lang w:val="en-GB"/>
        </w:rPr>
        <w:t xml:space="preserve">the </w:t>
      </w:r>
      <w:r w:rsidRPr="00CE4C4E">
        <w:rPr>
          <w:lang w:val="en-GB"/>
        </w:rPr>
        <w:t xml:space="preserve">HSUS in 1994 and became its </w:t>
      </w:r>
      <w:r w:rsidR="00064537" w:rsidRPr="00CE4C4E">
        <w:rPr>
          <w:lang w:val="en-GB"/>
        </w:rPr>
        <w:t xml:space="preserve">president </w:t>
      </w:r>
      <w:r w:rsidRPr="00CE4C4E">
        <w:rPr>
          <w:lang w:val="en-GB"/>
        </w:rPr>
        <w:t>and CEO in 2004. His passion for animals began during his studies at Yale</w:t>
      </w:r>
      <w:r w:rsidR="00777873">
        <w:rPr>
          <w:lang w:val="en-GB"/>
        </w:rPr>
        <w:t xml:space="preserve"> University</w:t>
      </w:r>
      <w:r w:rsidRPr="00CE4C4E">
        <w:rPr>
          <w:lang w:val="en-GB"/>
        </w:rPr>
        <w:t xml:space="preserve">. Through an internship, he </w:t>
      </w:r>
      <w:r w:rsidR="00AE3053" w:rsidRPr="00CE4C4E">
        <w:rPr>
          <w:lang w:val="en-GB"/>
        </w:rPr>
        <w:t>“</w:t>
      </w:r>
      <w:r w:rsidRPr="00CE4C4E">
        <w:rPr>
          <w:lang w:val="en-GB"/>
        </w:rPr>
        <w:t>saw that a destructive attitude toward animals in the natural world, along with innovations in technology, could produce colossal damage to animals and ecosystems.</w:t>
      </w:r>
      <w:r w:rsidR="00AE3053" w:rsidRPr="00CE4C4E">
        <w:rPr>
          <w:lang w:val="en-GB"/>
        </w:rPr>
        <w:t>”</w:t>
      </w:r>
      <w:r w:rsidRPr="00CE4C4E">
        <w:rPr>
          <w:rStyle w:val="EndnoteReference"/>
          <w:lang w:val="en-GB"/>
        </w:rPr>
        <w:endnoteReference w:id="18"/>
      </w:r>
      <w:r w:rsidRPr="00CE4C4E">
        <w:rPr>
          <w:lang w:val="en-GB"/>
        </w:rPr>
        <w:t xml:space="preserve"> At that time</w:t>
      </w:r>
      <w:r w:rsidR="00064537" w:rsidRPr="00CE4C4E">
        <w:rPr>
          <w:lang w:val="en-GB"/>
        </w:rPr>
        <w:t>,</w:t>
      </w:r>
      <w:r w:rsidRPr="00CE4C4E">
        <w:rPr>
          <w:lang w:val="en-GB"/>
        </w:rPr>
        <w:t xml:space="preserve"> he started lobbying for animal rights.</w:t>
      </w:r>
      <w:r w:rsidRPr="00CE4C4E">
        <w:rPr>
          <w:rStyle w:val="EndnoteReference"/>
          <w:lang w:val="en-GB"/>
        </w:rPr>
        <w:endnoteReference w:id="19"/>
      </w:r>
    </w:p>
    <w:p w14:paraId="791AA14C" w14:textId="77777777" w:rsidR="00B71E44" w:rsidRPr="00CE4C4E" w:rsidRDefault="00B71E44" w:rsidP="00B71E44">
      <w:pPr>
        <w:pStyle w:val="BodyTextMain"/>
        <w:rPr>
          <w:lang w:val="en-GB"/>
        </w:rPr>
      </w:pPr>
    </w:p>
    <w:p w14:paraId="03ED45D9" w14:textId="1DB598F8" w:rsidR="00B71E44" w:rsidRPr="00CE4C4E" w:rsidRDefault="00B71E44" w:rsidP="00D23076">
      <w:pPr>
        <w:pStyle w:val="BodyTextMain"/>
        <w:rPr>
          <w:lang w:val="en-GB"/>
        </w:rPr>
      </w:pPr>
      <w:r w:rsidRPr="00CE4C4E">
        <w:rPr>
          <w:lang w:val="en-GB"/>
        </w:rPr>
        <w:t>Pacelle played a role in the passage of over 25 federal statutes, was associated with 26 successful state ballot initiat</w:t>
      </w:r>
      <w:r w:rsidR="002529F6" w:rsidRPr="00CE4C4E">
        <w:rPr>
          <w:lang w:val="en-GB"/>
        </w:rPr>
        <w:t>iv</w:t>
      </w:r>
      <w:r w:rsidRPr="00CE4C4E">
        <w:rPr>
          <w:lang w:val="en-GB"/>
        </w:rPr>
        <w:t>es</w:t>
      </w:r>
      <w:r w:rsidR="002529F6" w:rsidRPr="00CE4C4E">
        <w:rPr>
          <w:lang w:val="en-GB"/>
        </w:rPr>
        <w:t>,</w:t>
      </w:r>
      <w:r w:rsidRPr="00CE4C4E">
        <w:rPr>
          <w:lang w:val="en-GB"/>
        </w:rPr>
        <w:t xml:space="preserve"> and had hundreds of universities and corporations promise that their egg purchases would be from </w:t>
      </w:r>
      <w:r w:rsidR="00AE3053" w:rsidRPr="00CE4C4E">
        <w:rPr>
          <w:lang w:val="en-GB"/>
        </w:rPr>
        <w:t>“</w:t>
      </w:r>
      <w:r w:rsidRPr="00CE4C4E">
        <w:rPr>
          <w:lang w:val="en-GB"/>
        </w:rPr>
        <w:t>cage-free</w:t>
      </w:r>
      <w:r w:rsidR="00AE3053" w:rsidRPr="00CE4C4E">
        <w:rPr>
          <w:lang w:val="en-GB"/>
        </w:rPr>
        <w:t>”</w:t>
      </w:r>
      <w:r w:rsidRPr="00CE4C4E">
        <w:rPr>
          <w:lang w:val="en-GB"/>
        </w:rPr>
        <w:t xml:space="preserve"> producers.</w:t>
      </w:r>
      <w:r w:rsidRPr="00CE4C4E">
        <w:rPr>
          <w:rStyle w:val="EndnoteReference"/>
          <w:lang w:val="en-GB"/>
        </w:rPr>
        <w:endnoteReference w:id="20"/>
      </w:r>
      <w:r w:rsidRPr="00CE4C4E">
        <w:rPr>
          <w:lang w:val="en-GB"/>
        </w:rPr>
        <w:t xml:space="preserve"> In respect to his advocacy style, Pacelle stated: </w:t>
      </w:r>
      <w:r w:rsidR="00D23076">
        <w:rPr>
          <w:lang w:val="en-GB"/>
        </w:rPr>
        <w:t>“</w:t>
      </w:r>
      <w:r w:rsidRPr="00CE4C4E">
        <w:rPr>
          <w:lang w:val="en-GB"/>
        </w:rPr>
        <w:t>I don’t personalize conflict. When you’re dealing with issues that have a formidable opposition, you can’t expect reason and logic alone to carry the day. You have to apply pressure in a careful and determined way to get lawmakers or corporate chieftains to do the right thing.</w:t>
      </w:r>
      <w:r w:rsidR="00D23076">
        <w:rPr>
          <w:lang w:val="en-GB"/>
        </w:rPr>
        <w:t>”</w:t>
      </w:r>
      <w:r w:rsidRPr="00CE4C4E">
        <w:rPr>
          <w:rStyle w:val="EndnoteReference"/>
          <w:lang w:val="en-GB"/>
        </w:rPr>
        <w:endnoteReference w:id="21"/>
      </w:r>
    </w:p>
    <w:p w14:paraId="409D43EA" w14:textId="77777777" w:rsidR="00B71E44" w:rsidRPr="00CE4C4E" w:rsidRDefault="00B71E44" w:rsidP="00B71E44">
      <w:pPr>
        <w:pStyle w:val="BodyTextMain"/>
        <w:ind w:left="720"/>
        <w:rPr>
          <w:lang w:val="en-GB"/>
        </w:rPr>
      </w:pPr>
    </w:p>
    <w:p w14:paraId="6C4336AE" w14:textId="318C602F" w:rsidR="00B71E44" w:rsidRPr="00CE4C4E" w:rsidRDefault="00B71E44" w:rsidP="00B71E44">
      <w:pPr>
        <w:pStyle w:val="BodyTextMain"/>
        <w:rPr>
          <w:lang w:val="en-GB"/>
        </w:rPr>
      </w:pPr>
      <w:r w:rsidRPr="00CE4C4E">
        <w:rPr>
          <w:lang w:val="en-GB"/>
        </w:rPr>
        <w:t xml:space="preserve">After his arrival at HSUS, Pacelle was described as having </w:t>
      </w:r>
      <w:r w:rsidR="00AE3053" w:rsidRPr="00CE4C4E">
        <w:rPr>
          <w:lang w:val="en-GB"/>
        </w:rPr>
        <w:t>“</w:t>
      </w:r>
      <w:r w:rsidRPr="00CE4C4E">
        <w:rPr>
          <w:lang w:val="en-GB"/>
        </w:rPr>
        <w:t>turbo-charged</w:t>
      </w:r>
      <w:r w:rsidR="00AE3053" w:rsidRPr="00CE4C4E">
        <w:rPr>
          <w:lang w:val="en-GB"/>
        </w:rPr>
        <w:t>”</w:t>
      </w:r>
      <w:r w:rsidRPr="00CE4C4E">
        <w:rPr>
          <w:lang w:val="en-GB"/>
        </w:rPr>
        <w:t xml:space="preserve"> the farm animal welfare movement while providing additional respectability.</w:t>
      </w:r>
      <w:r w:rsidRPr="00CE4C4E">
        <w:rPr>
          <w:rStyle w:val="EndnoteReference"/>
          <w:lang w:val="en-GB"/>
        </w:rPr>
        <w:endnoteReference w:id="22"/>
      </w:r>
      <w:r w:rsidRPr="00CE4C4E">
        <w:rPr>
          <w:lang w:val="en-GB"/>
        </w:rPr>
        <w:t xml:space="preserve"> He was also credited as having </w:t>
      </w:r>
      <w:r w:rsidR="00AE3053" w:rsidRPr="00CE4C4E">
        <w:rPr>
          <w:lang w:val="en-GB"/>
        </w:rPr>
        <w:t>“</w:t>
      </w:r>
      <w:r w:rsidRPr="00CE4C4E">
        <w:rPr>
          <w:lang w:val="en-GB"/>
        </w:rPr>
        <w:t xml:space="preserve">retooled a venerable organization </w:t>
      </w:r>
      <w:r w:rsidR="00D23076">
        <w:rPr>
          <w:lang w:val="en-GB"/>
        </w:rPr>
        <w:t xml:space="preserve">that was </w:t>
      </w:r>
      <w:r w:rsidRPr="00CE4C4E">
        <w:rPr>
          <w:lang w:val="en-GB"/>
        </w:rPr>
        <w:t>seen as a mild-mannered protector of dogs and cats into an aggressive interest group</w:t>
      </w:r>
      <w:r w:rsidR="00D23076">
        <w:rPr>
          <w:lang w:val="en-GB"/>
        </w:rPr>
        <w:t xml:space="preserve"> that was</w:t>
      </w:r>
      <w:r w:rsidRPr="00CE4C4E">
        <w:rPr>
          <w:lang w:val="en-GB"/>
        </w:rPr>
        <w:t xml:space="preserve"> flexing muscle in state legislatures and courtrooms.</w:t>
      </w:r>
      <w:r w:rsidR="00831498" w:rsidRPr="00CE4C4E">
        <w:rPr>
          <w:lang w:val="en-GB"/>
        </w:rPr>
        <w:t>”</w:t>
      </w:r>
      <w:r w:rsidRPr="00CE4C4E">
        <w:rPr>
          <w:rStyle w:val="EndnoteReference"/>
          <w:lang w:val="en-GB"/>
        </w:rPr>
        <w:endnoteReference w:id="23"/>
      </w:r>
      <w:r w:rsidRPr="00CE4C4E">
        <w:rPr>
          <w:lang w:val="en-GB"/>
        </w:rPr>
        <w:t xml:space="preserve"> </w:t>
      </w:r>
    </w:p>
    <w:p w14:paraId="6995A6C5" w14:textId="77777777" w:rsidR="00B71E44" w:rsidRPr="00CE4C4E" w:rsidRDefault="00B71E44" w:rsidP="00B71E44">
      <w:pPr>
        <w:pStyle w:val="BodyTextMain"/>
        <w:rPr>
          <w:lang w:val="en-GB"/>
        </w:rPr>
      </w:pPr>
    </w:p>
    <w:p w14:paraId="2D2BD39F" w14:textId="77777777" w:rsidR="00B71E44" w:rsidRPr="00CE4C4E" w:rsidRDefault="00B71E44" w:rsidP="00B71E44">
      <w:pPr>
        <w:pStyle w:val="BodyTextMain"/>
        <w:rPr>
          <w:lang w:val="en-GB"/>
        </w:rPr>
      </w:pPr>
    </w:p>
    <w:p w14:paraId="05623E80" w14:textId="7A6DD498" w:rsidR="00B71E44" w:rsidRPr="00CE4C4E" w:rsidRDefault="00B71E44" w:rsidP="00B71E44">
      <w:pPr>
        <w:pStyle w:val="Casehead1"/>
        <w:rPr>
          <w:lang w:val="en-GB"/>
        </w:rPr>
      </w:pPr>
      <w:r w:rsidRPr="00CE4C4E">
        <w:rPr>
          <w:lang w:val="en-GB"/>
        </w:rPr>
        <w:t>HSUS</w:t>
      </w:r>
      <w:r w:rsidR="00064537" w:rsidRPr="00CE4C4E">
        <w:rPr>
          <w:lang w:val="en-GB"/>
        </w:rPr>
        <w:t>’s</w:t>
      </w:r>
      <w:r w:rsidRPr="00CE4C4E">
        <w:rPr>
          <w:lang w:val="en-GB"/>
        </w:rPr>
        <w:t xml:space="preserve"> Public Relations</w:t>
      </w:r>
    </w:p>
    <w:p w14:paraId="25046FC5" w14:textId="77777777" w:rsidR="00B71E44" w:rsidRPr="00CE4C4E" w:rsidRDefault="00B71E44" w:rsidP="00B71E44">
      <w:pPr>
        <w:pStyle w:val="BodyTextMain"/>
        <w:rPr>
          <w:lang w:val="en-GB"/>
        </w:rPr>
      </w:pPr>
    </w:p>
    <w:p w14:paraId="3640A60B" w14:textId="7152BBFE" w:rsidR="00B71E44" w:rsidRPr="00CE4C4E" w:rsidRDefault="00B71E44" w:rsidP="00B71E44">
      <w:pPr>
        <w:pStyle w:val="BodyTextMain"/>
        <w:rPr>
          <w:lang w:val="en-GB"/>
        </w:rPr>
      </w:pPr>
      <w:r w:rsidRPr="00CE4C4E">
        <w:rPr>
          <w:lang w:val="en-GB"/>
        </w:rPr>
        <w:t xml:space="preserve">As the </w:t>
      </w:r>
      <w:r w:rsidR="00064537" w:rsidRPr="00CE4C4E">
        <w:rPr>
          <w:lang w:val="en-GB"/>
        </w:rPr>
        <w:t xml:space="preserve">country’s </w:t>
      </w:r>
      <w:r w:rsidRPr="00CE4C4E">
        <w:rPr>
          <w:lang w:val="en-GB"/>
        </w:rPr>
        <w:t>largest, richest</w:t>
      </w:r>
      <w:r w:rsidR="00064537" w:rsidRPr="00CE4C4E">
        <w:rPr>
          <w:lang w:val="en-GB"/>
        </w:rPr>
        <w:t>,</w:t>
      </w:r>
      <w:r w:rsidRPr="00CE4C4E">
        <w:rPr>
          <w:lang w:val="en-GB"/>
        </w:rPr>
        <w:t xml:space="preserve"> and most powerful animal welfare organization, the HSUS was a big target and </w:t>
      </w:r>
      <w:r w:rsidR="00D23076">
        <w:rPr>
          <w:lang w:val="en-GB"/>
        </w:rPr>
        <w:t xml:space="preserve">was </w:t>
      </w:r>
      <w:r w:rsidRPr="00CE4C4E">
        <w:rPr>
          <w:lang w:val="en-GB"/>
        </w:rPr>
        <w:t>accustomed to criticism.</w:t>
      </w:r>
      <w:r w:rsidRPr="00CE4C4E">
        <w:rPr>
          <w:rStyle w:val="EndnoteReference"/>
          <w:lang w:val="en-GB"/>
        </w:rPr>
        <w:endnoteReference w:id="24"/>
      </w:r>
      <w:r w:rsidRPr="00CE4C4E">
        <w:rPr>
          <w:lang w:val="en-GB"/>
        </w:rPr>
        <w:t xml:space="preserve"> Critics included business groups whose practices the HSUS campaigned agains</w:t>
      </w:r>
      <w:r w:rsidR="006C50B5" w:rsidRPr="00CE4C4E">
        <w:rPr>
          <w:lang w:val="en-GB"/>
        </w:rPr>
        <w:t>t. Others argued that there had been</w:t>
      </w:r>
      <w:r w:rsidRPr="00CE4C4E">
        <w:rPr>
          <w:lang w:val="en-GB"/>
        </w:rPr>
        <w:t xml:space="preserve"> instances when the HSUS should have advocated for more drastic action regarding the abolition of eating animals, as they believed that working to </w:t>
      </w:r>
      <w:r w:rsidR="00C226F2" w:rsidRPr="00CE4C4E">
        <w:rPr>
          <w:lang w:val="en-GB"/>
        </w:rPr>
        <w:t xml:space="preserve">improve </w:t>
      </w:r>
      <w:r w:rsidRPr="00CE4C4E">
        <w:rPr>
          <w:lang w:val="en-GB"/>
        </w:rPr>
        <w:t>living conditions at factory farms just perpetuated the existence of such places.</w:t>
      </w:r>
      <w:r w:rsidRPr="00CE4C4E">
        <w:rPr>
          <w:rStyle w:val="EndnoteReference"/>
          <w:lang w:val="en-GB"/>
        </w:rPr>
        <w:endnoteReference w:id="25"/>
      </w:r>
    </w:p>
    <w:p w14:paraId="692EC6CA" w14:textId="77777777" w:rsidR="00B71E44" w:rsidRPr="00CE4C4E" w:rsidRDefault="00B71E44" w:rsidP="00B71E44">
      <w:pPr>
        <w:pStyle w:val="BodyTextMain"/>
        <w:rPr>
          <w:lang w:val="en-GB"/>
        </w:rPr>
      </w:pPr>
    </w:p>
    <w:p w14:paraId="428D2892" w14:textId="1276C7F6" w:rsidR="00B71E44" w:rsidRPr="00CE4C4E" w:rsidRDefault="00B71E44" w:rsidP="00B71E44">
      <w:pPr>
        <w:pStyle w:val="BodyTextMain"/>
        <w:rPr>
          <w:lang w:val="en-GB"/>
        </w:rPr>
      </w:pPr>
      <w:r w:rsidRPr="00CE4C4E">
        <w:rPr>
          <w:lang w:val="en-GB"/>
        </w:rPr>
        <w:t>The organization that was the most relentless and critical of the HSUS was the Center for Consumer Freedom</w:t>
      </w:r>
      <w:r w:rsidR="00DD2F17">
        <w:rPr>
          <w:lang w:val="en-GB"/>
        </w:rPr>
        <w:t>, which ran the</w:t>
      </w:r>
      <w:r w:rsidRPr="00CE4C4E">
        <w:rPr>
          <w:lang w:val="en-GB"/>
        </w:rPr>
        <w:t xml:space="preserve"> website HumaneWatch.org and was funded by food companies, restaurants</w:t>
      </w:r>
      <w:r w:rsidR="00064537" w:rsidRPr="00CE4C4E">
        <w:rPr>
          <w:lang w:val="en-GB"/>
        </w:rPr>
        <w:t>,</w:t>
      </w:r>
      <w:r w:rsidRPr="00CE4C4E">
        <w:rPr>
          <w:lang w:val="en-GB"/>
        </w:rPr>
        <w:t xml:space="preserve"> and others who were concerned about HSUS campaigns </w:t>
      </w:r>
      <w:r w:rsidR="00DD2F17">
        <w:rPr>
          <w:lang w:val="en-GB"/>
        </w:rPr>
        <w:t>that</w:t>
      </w:r>
      <w:r w:rsidRPr="00CE4C4E">
        <w:rPr>
          <w:lang w:val="en-GB"/>
        </w:rPr>
        <w:t xml:space="preserve"> could be harmful to them financially.</w:t>
      </w:r>
      <w:r w:rsidRPr="00CE4C4E">
        <w:rPr>
          <w:rStyle w:val="EndnoteReference"/>
          <w:lang w:val="en-GB"/>
        </w:rPr>
        <w:endnoteReference w:id="26"/>
      </w:r>
      <w:r w:rsidRPr="00CE4C4E">
        <w:rPr>
          <w:lang w:val="en-GB"/>
        </w:rPr>
        <w:t xml:space="preserve"> In addition to the website, </w:t>
      </w:r>
      <w:r w:rsidR="00064537" w:rsidRPr="00CE4C4E">
        <w:rPr>
          <w:lang w:val="en-GB"/>
        </w:rPr>
        <w:t xml:space="preserve">it </w:t>
      </w:r>
      <w:r w:rsidR="00D23076">
        <w:rPr>
          <w:lang w:val="en-GB"/>
        </w:rPr>
        <w:t>ran advertisements in major newspapers and</w:t>
      </w:r>
      <w:r w:rsidR="000D44FE" w:rsidRPr="00CE4C4E">
        <w:rPr>
          <w:lang w:val="en-GB"/>
        </w:rPr>
        <w:t xml:space="preserve"> </w:t>
      </w:r>
      <w:r w:rsidRPr="00CE4C4E">
        <w:rPr>
          <w:lang w:val="en-GB"/>
        </w:rPr>
        <w:t xml:space="preserve">funded a billboard in New York City’s Times Square </w:t>
      </w:r>
      <w:r w:rsidR="00D23076">
        <w:rPr>
          <w:lang w:val="en-GB"/>
        </w:rPr>
        <w:t xml:space="preserve">that critical </w:t>
      </w:r>
      <w:r w:rsidRPr="00CE4C4E">
        <w:rPr>
          <w:lang w:val="en-GB"/>
        </w:rPr>
        <w:t xml:space="preserve">critical of </w:t>
      </w:r>
      <w:r w:rsidR="00064537" w:rsidRPr="00CE4C4E">
        <w:rPr>
          <w:lang w:val="en-GB"/>
        </w:rPr>
        <w:t xml:space="preserve">the </w:t>
      </w:r>
      <w:r w:rsidRPr="00CE4C4E">
        <w:rPr>
          <w:lang w:val="en-GB"/>
        </w:rPr>
        <w:t>HSUS.</w:t>
      </w:r>
      <w:r w:rsidRPr="00CE4C4E">
        <w:rPr>
          <w:rStyle w:val="EndnoteReference"/>
          <w:lang w:val="en-GB"/>
        </w:rPr>
        <w:endnoteReference w:id="27"/>
      </w:r>
    </w:p>
    <w:p w14:paraId="3C5A462D" w14:textId="77777777" w:rsidR="00B71E44" w:rsidRPr="00CE4C4E" w:rsidRDefault="00B71E44" w:rsidP="00B71E44">
      <w:pPr>
        <w:pStyle w:val="BodyTextMain"/>
        <w:rPr>
          <w:lang w:val="en-GB"/>
        </w:rPr>
      </w:pPr>
    </w:p>
    <w:p w14:paraId="6E42FDB8" w14:textId="77777777" w:rsidR="00B71E44" w:rsidRPr="00CE4C4E" w:rsidRDefault="00B71E44" w:rsidP="00B71E44">
      <w:pPr>
        <w:pStyle w:val="BodyTextMain"/>
        <w:rPr>
          <w:lang w:val="en-GB"/>
        </w:rPr>
      </w:pPr>
    </w:p>
    <w:p w14:paraId="7D4B50FD" w14:textId="77777777" w:rsidR="009D3F56" w:rsidRPr="00CE4C4E" w:rsidRDefault="009D3F56" w:rsidP="00B71E44">
      <w:pPr>
        <w:pStyle w:val="BodyTextMain"/>
        <w:rPr>
          <w:lang w:val="en-GB"/>
        </w:rPr>
      </w:pPr>
    </w:p>
    <w:p w14:paraId="1B0C5FBA" w14:textId="77777777" w:rsidR="00B71E44" w:rsidRPr="00CE4C4E" w:rsidRDefault="00B71E44" w:rsidP="00B71E44">
      <w:pPr>
        <w:pStyle w:val="Casehead1"/>
        <w:rPr>
          <w:lang w:val="en-GB"/>
        </w:rPr>
      </w:pPr>
      <w:r w:rsidRPr="00CE4C4E">
        <w:rPr>
          <w:lang w:val="en-GB"/>
        </w:rPr>
        <w:lastRenderedPageBreak/>
        <w:t>A Meeting of the Minds?</w:t>
      </w:r>
    </w:p>
    <w:p w14:paraId="44C11AFE" w14:textId="77777777" w:rsidR="00B71E44" w:rsidRPr="00CE4C4E" w:rsidRDefault="00B71E44" w:rsidP="00B71E44">
      <w:pPr>
        <w:pStyle w:val="BodyTextMain"/>
        <w:rPr>
          <w:lang w:val="en-GB"/>
        </w:rPr>
      </w:pPr>
    </w:p>
    <w:p w14:paraId="3F35537F" w14:textId="4FF5BAB3" w:rsidR="00B71E44" w:rsidRPr="00CE4C4E" w:rsidRDefault="00B71E44" w:rsidP="00B71E44">
      <w:pPr>
        <w:pStyle w:val="BodyTextMain"/>
        <w:rPr>
          <w:lang w:val="en-GB"/>
        </w:rPr>
      </w:pPr>
      <w:r w:rsidRPr="00CE4C4E">
        <w:rPr>
          <w:lang w:val="en-GB"/>
        </w:rPr>
        <w:t xml:space="preserve">Pacelle’s </w:t>
      </w:r>
      <w:r w:rsidR="00C226F2" w:rsidRPr="00CE4C4E">
        <w:rPr>
          <w:lang w:val="en-GB"/>
        </w:rPr>
        <w:t>first-</w:t>
      </w:r>
      <w:r w:rsidRPr="00CE4C4E">
        <w:rPr>
          <w:lang w:val="en-GB"/>
        </w:rPr>
        <w:t>ever visit to a SeaWorld park took place in Orlando in early March of 2016. He was accompanied by Manby and several other top SeaWorld executives.</w:t>
      </w:r>
      <w:r w:rsidRPr="00CE4C4E">
        <w:rPr>
          <w:rStyle w:val="EndnoteReference"/>
          <w:lang w:val="en-GB"/>
        </w:rPr>
        <w:endnoteReference w:id="28"/>
      </w:r>
      <w:r w:rsidR="00D23076">
        <w:rPr>
          <w:lang w:val="en-GB"/>
        </w:rPr>
        <w:t xml:space="preserve"> This visit was an attempt by</w:t>
      </w:r>
      <w:r w:rsidRPr="00CE4C4E">
        <w:rPr>
          <w:lang w:val="en-GB"/>
        </w:rPr>
        <w:t xml:space="preserve"> Pacelle to better understand how SeaWorld operated</w:t>
      </w:r>
      <w:r w:rsidR="00D23076">
        <w:rPr>
          <w:lang w:val="en-GB"/>
        </w:rPr>
        <w:t>,</w:t>
      </w:r>
      <w:r w:rsidRPr="00CE4C4E">
        <w:rPr>
          <w:lang w:val="en-GB"/>
        </w:rPr>
        <w:t xml:space="preserve"> and for the two men to discuss their options for working together; a tricky prospect considering the reluctance from both sides. Manby said that there </w:t>
      </w:r>
      <w:r w:rsidR="000D44FE" w:rsidRPr="00CE4C4E">
        <w:rPr>
          <w:lang w:val="en-GB"/>
        </w:rPr>
        <w:t xml:space="preserve">had been </w:t>
      </w:r>
      <w:r w:rsidRPr="00CE4C4E">
        <w:rPr>
          <w:lang w:val="en-GB"/>
        </w:rPr>
        <w:t xml:space="preserve">hesitation on both sides </w:t>
      </w:r>
      <w:r w:rsidR="00234274">
        <w:rPr>
          <w:lang w:val="en-GB"/>
        </w:rPr>
        <w:t xml:space="preserve">regarding </w:t>
      </w:r>
      <w:r w:rsidRPr="00CE4C4E">
        <w:rPr>
          <w:lang w:val="en-GB"/>
        </w:rPr>
        <w:t xml:space="preserve">whether to even meet, adding: </w:t>
      </w:r>
      <w:r w:rsidR="00AE3053" w:rsidRPr="00CE4C4E">
        <w:rPr>
          <w:lang w:val="en-GB"/>
        </w:rPr>
        <w:t>“</w:t>
      </w:r>
      <w:r w:rsidRPr="00CE4C4E">
        <w:rPr>
          <w:lang w:val="en-GB"/>
        </w:rPr>
        <w:t xml:space="preserve">We have been complete adversaries for at least 25 years, with </w:t>
      </w:r>
      <w:r w:rsidR="00D23076">
        <w:rPr>
          <w:lang w:val="en-GB"/>
        </w:rPr>
        <w:t xml:space="preserve">a </w:t>
      </w:r>
      <w:r w:rsidRPr="00CE4C4E">
        <w:rPr>
          <w:lang w:val="en-GB"/>
        </w:rPr>
        <w:t>completely negative monolog</w:t>
      </w:r>
      <w:r w:rsidR="00D23076">
        <w:rPr>
          <w:lang w:val="en-GB"/>
        </w:rPr>
        <w:t>ue</w:t>
      </w:r>
      <w:r w:rsidRPr="00CE4C4E">
        <w:rPr>
          <w:lang w:val="en-GB"/>
        </w:rPr>
        <w:t xml:space="preserve"> about them from us, and from them about us.</w:t>
      </w:r>
      <w:r w:rsidR="00AE3053" w:rsidRPr="00CE4C4E">
        <w:rPr>
          <w:lang w:val="en-GB"/>
        </w:rPr>
        <w:t>”</w:t>
      </w:r>
      <w:r w:rsidRPr="00CE4C4E">
        <w:rPr>
          <w:rStyle w:val="EndnoteReference"/>
          <w:lang w:val="en-GB"/>
        </w:rPr>
        <w:endnoteReference w:id="29"/>
      </w:r>
      <w:r w:rsidRPr="00CE4C4E">
        <w:rPr>
          <w:lang w:val="en-GB"/>
        </w:rPr>
        <w:t xml:space="preserve"> Manby and Pacelle realized they had to figure out where the interests of both of their organizations aligned in order to move forward together. </w:t>
      </w:r>
    </w:p>
    <w:p w14:paraId="7BD10513" w14:textId="77777777" w:rsidR="00B71E44" w:rsidRPr="00CE4C4E" w:rsidRDefault="00B71E44" w:rsidP="00B71E44">
      <w:pPr>
        <w:pStyle w:val="BodyTextMain"/>
        <w:rPr>
          <w:lang w:val="en-GB"/>
        </w:rPr>
      </w:pPr>
    </w:p>
    <w:p w14:paraId="1CBCB738" w14:textId="7A0709D9" w:rsidR="00B71E44" w:rsidRPr="00CE4C4E" w:rsidRDefault="00B71E44" w:rsidP="00B71E44">
      <w:pPr>
        <w:pStyle w:val="BodyTextMain"/>
        <w:rPr>
          <w:lang w:val="en-GB"/>
        </w:rPr>
      </w:pPr>
      <w:r w:rsidRPr="00CE4C4E">
        <w:rPr>
          <w:shd w:val="clear" w:color="auto" w:fill="FFFFFF"/>
          <w:lang w:val="en-GB"/>
        </w:rPr>
        <w:t xml:space="preserve">How could </w:t>
      </w:r>
      <w:r w:rsidRPr="00CE4C4E">
        <w:rPr>
          <w:lang w:val="en-GB"/>
        </w:rPr>
        <w:t>these two CEOs find common ground that would allow SeaWorld to continue operating in a way that was financially beneficial for the parks, entertaining to guests</w:t>
      </w:r>
      <w:r w:rsidR="0012305E" w:rsidRPr="00CE4C4E">
        <w:rPr>
          <w:lang w:val="en-GB"/>
        </w:rPr>
        <w:t>,</w:t>
      </w:r>
      <w:r w:rsidRPr="00CE4C4E">
        <w:rPr>
          <w:lang w:val="en-GB"/>
        </w:rPr>
        <w:t xml:space="preserve"> and respectful of the welfare of the orca whales in </w:t>
      </w:r>
      <w:r w:rsidR="004113FD" w:rsidRPr="00CE4C4E">
        <w:rPr>
          <w:lang w:val="en-GB"/>
        </w:rPr>
        <w:t xml:space="preserve">SeaWorld’s </w:t>
      </w:r>
      <w:r w:rsidRPr="00CE4C4E">
        <w:rPr>
          <w:lang w:val="en-GB"/>
        </w:rPr>
        <w:t>care</w:t>
      </w:r>
      <w:r w:rsidR="00076B06" w:rsidRPr="00CE4C4E">
        <w:rPr>
          <w:lang w:val="en-GB"/>
        </w:rPr>
        <w:t>,</w:t>
      </w:r>
      <w:r w:rsidRPr="00CE4C4E">
        <w:rPr>
          <w:lang w:val="en-GB"/>
        </w:rPr>
        <w:t xml:space="preserve"> while meeting </w:t>
      </w:r>
      <w:r w:rsidR="0012305E" w:rsidRPr="00CE4C4E">
        <w:rPr>
          <w:lang w:val="en-GB"/>
        </w:rPr>
        <w:t xml:space="preserve">the </w:t>
      </w:r>
      <w:r w:rsidRPr="00CE4C4E">
        <w:rPr>
          <w:lang w:val="en-GB"/>
        </w:rPr>
        <w:t>HSUS</w:t>
      </w:r>
      <w:r w:rsidR="009176FA" w:rsidRPr="00CE4C4E">
        <w:rPr>
          <w:lang w:val="en-GB"/>
        </w:rPr>
        <w:t>’s</w:t>
      </w:r>
      <w:r w:rsidRPr="00CE4C4E">
        <w:rPr>
          <w:lang w:val="en-GB"/>
        </w:rPr>
        <w:t xml:space="preserve"> goals of animal protection? </w:t>
      </w:r>
    </w:p>
    <w:p w14:paraId="0ECDA900" w14:textId="77777777" w:rsidR="00B71E44" w:rsidRPr="00CE4C4E" w:rsidRDefault="00B71E44">
      <w:pPr>
        <w:spacing w:after="200" w:line="276" w:lineRule="auto"/>
        <w:rPr>
          <w:iCs/>
          <w:color w:val="000000"/>
          <w:sz w:val="22"/>
          <w:szCs w:val="22"/>
          <w:lang w:val="en-GB"/>
        </w:rPr>
      </w:pPr>
      <w:r w:rsidRPr="00CE4C4E">
        <w:rPr>
          <w:i/>
          <w:sz w:val="22"/>
          <w:szCs w:val="22"/>
          <w:lang w:val="en-GB"/>
        </w:rPr>
        <w:br w:type="page"/>
      </w:r>
    </w:p>
    <w:p w14:paraId="02D92DAF" w14:textId="77777777" w:rsidR="00B71E44" w:rsidRPr="00CE4C4E" w:rsidRDefault="00B71E44" w:rsidP="00B71E44">
      <w:pPr>
        <w:pStyle w:val="ExhibitHeading"/>
        <w:rPr>
          <w:lang w:val="en-GB"/>
        </w:rPr>
      </w:pPr>
      <w:r w:rsidRPr="00CE4C4E">
        <w:rPr>
          <w:lang w:val="en-GB"/>
        </w:rPr>
        <w:lastRenderedPageBreak/>
        <w:t xml:space="preserve">Exhibit 1: SeaWorld Financials (includes </w:t>
      </w:r>
      <w:r w:rsidRPr="00CE4C4E">
        <w:rPr>
          <w:i/>
          <w:lang w:val="en-GB"/>
        </w:rPr>
        <w:t xml:space="preserve">all </w:t>
      </w:r>
      <w:r w:rsidRPr="00CE4C4E">
        <w:rPr>
          <w:lang w:val="en-GB"/>
        </w:rPr>
        <w:t>holdings)</w:t>
      </w:r>
    </w:p>
    <w:p w14:paraId="60BA4D64" w14:textId="77777777" w:rsidR="00B71E44" w:rsidRPr="00CE4C4E" w:rsidRDefault="00B71E44" w:rsidP="00B71E44">
      <w:pPr>
        <w:pStyle w:val="ExhibitHeading"/>
        <w:rPr>
          <w:lang w:val="en-GB"/>
        </w:rPr>
      </w:pPr>
    </w:p>
    <w:tbl>
      <w:tblPr>
        <w:tblStyle w:val="TableGrid"/>
        <w:tblW w:w="9020" w:type="dxa"/>
        <w:jc w:val="center"/>
        <w:tblLayout w:type="fixed"/>
        <w:tblLook w:val="04A0" w:firstRow="1" w:lastRow="0" w:firstColumn="1" w:lastColumn="0" w:noHBand="0" w:noVBand="1"/>
      </w:tblPr>
      <w:tblGrid>
        <w:gridCol w:w="810"/>
        <w:gridCol w:w="1800"/>
        <w:gridCol w:w="1260"/>
        <w:gridCol w:w="1260"/>
        <w:gridCol w:w="1350"/>
        <w:gridCol w:w="1178"/>
        <w:gridCol w:w="1362"/>
      </w:tblGrid>
      <w:tr w:rsidR="0012305E" w:rsidRPr="00CE4C4E" w14:paraId="49433235" w14:textId="77777777" w:rsidTr="000A0656">
        <w:trPr>
          <w:jc w:val="center"/>
        </w:trPr>
        <w:tc>
          <w:tcPr>
            <w:tcW w:w="810" w:type="dxa"/>
            <w:vAlign w:val="center"/>
          </w:tcPr>
          <w:p w14:paraId="6637E5B9" w14:textId="77777777" w:rsidR="0012305E" w:rsidRPr="00CE4C4E" w:rsidRDefault="0012305E" w:rsidP="0012305E">
            <w:pPr>
              <w:pStyle w:val="ExhibitText"/>
              <w:jc w:val="center"/>
              <w:rPr>
                <w:b/>
                <w:lang w:val="en-GB"/>
              </w:rPr>
            </w:pPr>
            <w:r w:rsidRPr="00CE4C4E">
              <w:rPr>
                <w:b/>
                <w:lang w:val="en-GB"/>
              </w:rPr>
              <w:t>Year</w:t>
            </w:r>
          </w:p>
        </w:tc>
        <w:tc>
          <w:tcPr>
            <w:tcW w:w="1800" w:type="dxa"/>
            <w:vAlign w:val="center"/>
          </w:tcPr>
          <w:p w14:paraId="0974C65F" w14:textId="77777777" w:rsidR="0012305E" w:rsidRPr="00CE4C4E" w:rsidRDefault="0012305E" w:rsidP="0012305E">
            <w:pPr>
              <w:pStyle w:val="ExhibitText"/>
              <w:jc w:val="center"/>
              <w:rPr>
                <w:b/>
                <w:lang w:val="en-GB"/>
              </w:rPr>
            </w:pPr>
            <w:r w:rsidRPr="00CE4C4E">
              <w:rPr>
                <w:b/>
                <w:lang w:val="en-GB"/>
              </w:rPr>
              <w:t>Attendance (number of people</w:t>
            </w:r>
            <w:r w:rsidR="002529F6" w:rsidRPr="00CE4C4E">
              <w:rPr>
                <w:b/>
                <w:lang w:val="en-GB"/>
              </w:rPr>
              <w:t>, million</w:t>
            </w:r>
            <w:r w:rsidR="005707C0" w:rsidRPr="00CE4C4E">
              <w:rPr>
                <w:b/>
                <w:lang w:val="en-GB"/>
              </w:rPr>
              <w:t>s</w:t>
            </w:r>
            <w:r w:rsidRPr="00CE4C4E">
              <w:rPr>
                <w:b/>
                <w:lang w:val="en-GB"/>
              </w:rPr>
              <w:t>)</w:t>
            </w:r>
          </w:p>
        </w:tc>
        <w:tc>
          <w:tcPr>
            <w:tcW w:w="1260" w:type="dxa"/>
            <w:vAlign w:val="center"/>
          </w:tcPr>
          <w:p w14:paraId="5FEAEE05" w14:textId="7B11BE7E" w:rsidR="0012305E" w:rsidRPr="00CE4C4E" w:rsidRDefault="0012305E" w:rsidP="002529F6">
            <w:pPr>
              <w:pStyle w:val="ExhibitText"/>
              <w:jc w:val="center"/>
              <w:rPr>
                <w:b/>
                <w:lang w:val="en-GB"/>
              </w:rPr>
            </w:pPr>
            <w:r w:rsidRPr="00CE4C4E">
              <w:rPr>
                <w:b/>
                <w:lang w:val="en-GB"/>
              </w:rPr>
              <w:t>Revenue</w:t>
            </w:r>
            <w:r w:rsidR="002529F6" w:rsidRPr="00CE4C4E">
              <w:rPr>
                <w:b/>
                <w:lang w:val="en-GB"/>
              </w:rPr>
              <w:t xml:space="preserve"> (billion</w:t>
            </w:r>
            <w:r w:rsidR="00064537" w:rsidRPr="00CE4C4E">
              <w:rPr>
                <w:b/>
                <w:lang w:val="en-GB"/>
              </w:rPr>
              <w:t xml:space="preserve"> $</w:t>
            </w:r>
            <w:r w:rsidR="002529F6" w:rsidRPr="00CE4C4E">
              <w:rPr>
                <w:b/>
                <w:lang w:val="en-GB"/>
              </w:rPr>
              <w:t>)</w:t>
            </w:r>
          </w:p>
        </w:tc>
        <w:tc>
          <w:tcPr>
            <w:tcW w:w="1260" w:type="dxa"/>
            <w:vAlign w:val="center"/>
          </w:tcPr>
          <w:p w14:paraId="52BA28E8" w14:textId="07294064" w:rsidR="0012305E" w:rsidRPr="00CE4C4E" w:rsidRDefault="0012305E" w:rsidP="002529F6">
            <w:pPr>
              <w:pStyle w:val="ExhibitText"/>
              <w:jc w:val="center"/>
              <w:rPr>
                <w:b/>
                <w:lang w:val="en-GB"/>
              </w:rPr>
            </w:pPr>
            <w:r w:rsidRPr="00CE4C4E">
              <w:rPr>
                <w:b/>
                <w:lang w:val="en-GB"/>
              </w:rPr>
              <w:t xml:space="preserve">Net </w:t>
            </w:r>
            <w:r w:rsidR="00C226F2" w:rsidRPr="00CE4C4E">
              <w:rPr>
                <w:b/>
                <w:lang w:val="en-GB"/>
              </w:rPr>
              <w:t xml:space="preserve">income </w:t>
            </w:r>
            <w:r w:rsidR="002529F6" w:rsidRPr="00CE4C4E">
              <w:rPr>
                <w:b/>
                <w:lang w:val="en-GB"/>
              </w:rPr>
              <w:t>(million</w:t>
            </w:r>
            <w:r w:rsidR="00064537" w:rsidRPr="00CE4C4E">
              <w:rPr>
                <w:b/>
                <w:lang w:val="en-GB"/>
              </w:rPr>
              <w:t xml:space="preserve"> $</w:t>
            </w:r>
            <w:r w:rsidR="002529F6" w:rsidRPr="00CE4C4E">
              <w:rPr>
                <w:b/>
                <w:lang w:val="en-GB"/>
              </w:rPr>
              <w:t>)</w:t>
            </w:r>
          </w:p>
        </w:tc>
        <w:tc>
          <w:tcPr>
            <w:tcW w:w="1350" w:type="dxa"/>
            <w:vAlign w:val="center"/>
          </w:tcPr>
          <w:p w14:paraId="4AC0261F" w14:textId="07EC5B6B" w:rsidR="0012305E" w:rsidRPr="00CE4C4E" w:rsidRDefault="0012305E" w:rsidP="00064537">
            <w:pPr>
              <w:pStyle w:val="ExhibitText"/>
              <w:jc w:val="center"/>
              <w:rPr>
                <w:b/>
                <w:lang w:val="en-GB"/>
              </w:rPr>
            </w:pPr>
            <w:r w:rsidRPr="00CE4C4E">
              <w:rPr>
                <w:b/>
                <w:lang w:val="en-GB"/>
              </w:rPr>
              <w:t xml:space="preserve">Adjusted </w:t>
            </w:r>
            <w:r w:rsidR="00C226F2" w:rsidRPr="00CE4C4E">
              <w:rPr>
                <w:b/>
                <w:lang w:val="en-GB"/>
              </w:rPr>
              <w:t xml:space="preserve">net income </w:t>
            </w:r>
            <w:r w:rsidR="002529F6" w:rsidRPr="00CE4C4E">
              <w:rPr>
                <w:b/>
                <w:lang w:val="en-GB"/>
              </w:rPr>
              <w:t>(</w:t>
            </w:r>
            <w:r w:rsidR="00064537" w:rsidRPr="00CE4C4E">
              <w:rPr>
                <w:b/>
                <w:lang w:val="en-GB"/>
              </w:rPr>
              <w:t>million $</w:t>
            </w:r>
            <w:r w:rsidR="002529F6" w:rsidRPr="00CE4C4E">
              <w:rPr>
                <w:b/>
                <w:lang w:val="en-GB"/>
              </w:rPr>
              <w:t>)</w:t>
            </w:r>
          </w:p>
        </w:tc>
        <w:tc>
          <w:tcPr>
            <w:tcW w:w="1178" w:type="dxa"/>
            <w:vAlign w:val="center"/>
          </w:tcPr>
          <w:p w14:paraId="488344EF" w14:textId="107287C8" w:rsidR="0012305E" w:rsidRPr="00CE4C4E" w:rsidRDefault="0012305E" w:rsidP="00064537">
            <w:pPr>
              <w:pStyle w:val="ExhibitText"/>
              <w:jc w:val="center"/>
              <w:rPr>
                <w:b/>
                <w:lang w:val="en-GB"/>
              </w:rPr>
            </w:pPr>
            <w:r w:rsidRPr="00CE4C4E">
              <w:rPr>
                <w:b/>
                <w:lang w:val="en-GB"/>
              </w:rPr>
              <w:t xml:space="preserve">Net </w:t>
            </w:r>
            <w:r w:rsidR="00C226F2" w:rsidRPr="00CE4C4E">
              <w:rPr>
                <w:b/>
                <w:lang w:val="en-GB"/>
              </w:rPr>
              <w:t xml:space="preserve">cash </w:t>
            </w:r>
            <w:r w:rsidR="002529F6" w:rsidRPr="00CE4C4E">
              <w:rPr>
                <w:b/>
                <w:lang w:val="en-GB"/>
              </w:rPr>
              <w:t>(</w:t>
            </w:r>
            <w:r w:rsidR="00064537" w:rsidRPr="00CE4C4E">
              <w:rPr>
                <w:b/>
                <w:lang w:val="en-GB"/>
              </w:rPr>
              <w:t>million $</w:t>
            </w:r>
            <w:r w:rsidR="002529F6" w:rsidRPr="00CE4C4E">
              <w:rPr>
                <w:b/>
                <w:lang w:val="en-GB"/>
              </w:rPr>
              <w:t>)</w:t>
            </w:r>
          </w:p>
        </w:tc>
        <w:tc>
          <w:tcPr>
            <w:tcW w:w="1362" w:type="dxa"/>
            <w:vAlign w:val="center"/>
          </w:tcPr>
          <w:p w14:paraId="6EF85E36" w14:textId="6FDA1CDE" w:rsidR="0012305E" w:rsidRPr="00CE4C4E" w:rsidRDefault="0012305E" w:rsidP="0012305E">
            <w:pPr>
              <w:pStyle w:val="ExhibitText"/>
              <w:jc w:val="center"/>
              <w:rPr>
                <w:b/>
                <w:lang w:val="en-GB"/>
              </w:rPr>
            </w:pPr>
            <w:r w:rsidRPr="00CE4C4E">
              <w:rPr>
                <w:b/>
                <w:lang w:val="en-GB"/>
              </w:rPr>
              <w:t xml:space="preserve">Total </w:t>
            </w:r>
            <w:r w:rsidR="00C226F2" w:rsidRPr="00CE4C4E">
              <w:rPr>
                <w:b/>
                <w:lang w:val="en-GB"/>
              </w:rPr>
              <w:t xml:space="preserve">revenue per capita </w:t>
            </w:r>
            <w:r w:rsidR="00064537" w:rsidRPr="00CE4C4E">
              <w:rPr>
                <w:b/>
                <w:lang w:val="en-GB"/>
              </w:rPr>
              <w:t>($)</w:t>
            </w:r>
          </w:p>
        </w:tc>
      </w:tr>
      <w:tr w:rsidR="0012305E" w:rsidRPr="00CE4C4E" w14:paraId="6FE18A33" w14:textId="77777777" w:rsidTr="000A0656">
        <w:trPr>
          <w:jc w:val="center"/>
        </w:trPr>
        <w:tc>
          <w:tcPr>
            <w:tcW w:w="810" w:type="dxa"/>
          </w:tcPr>
          <w:p w14:paraId="31E9E702" w14:textId="77777777" w:rsidR="0012305E" w:rsidRPr="00CE4C4E" w:rsidRDefault="0012305E" w:rsidP="0012305E">
            <w:pPr>
              <w:pStyle w:val="ExhibitText"/>
              <w:jc w:val="left"/>
              <w:rPr>
                <w:lang w:val="en-GB"/>
              </w:rPr>
            </w:pPr>
            <w:r w:rsidRPr="00CE4C4E">
              <w:rPr>
                <w:lang w:val="en-GB"/>
              </w:rPr>
              <w:t>2012</w:t>
            </w:r>
          </w:p>
        </w:tc>
        <w:tc>
          <w:tcPr>
            <w:tcW w:w="1800" w:type="dxa"/>
          </w:tcPr>
          <w:p w14:paraId="755003B3" w14:textId="77777777" w:rsidR="0012305E" w:rsidRPr="00CE4C4E" w:rsidRDefault="002529F6" w:rsidP="002529F6">
            <w:pPr>
              <w:pStyle w:val="ExhibitText"/>
              <w:jc w:val="right"/>
              <w:rPr>
                <w:lang w:val="en-GB"/>
              </w:rPr>
            </w:pPr>
            <w:r w:rsidRPr="00CE4C4E">
              <w:rPr>
                <w:lang w:val="en-GB"/>
              </w:rPr>
              <w:t>24.4</w:t>
            </w:r>
          </w:p>
        </w:tc>
        <w:tc>
          <w:tcPr>
            <w:tcW w:w="1260" w:type="dxa"/>
          </w:tcPr>
          <w:p w14:paraId="19AAF147" w14:textId="1D925ECC" w:rsidR="0012305E" w:rsidRPr="00CE4C4E" w:rsidRDefault="0012305E" w:rsidP="002529F6">
            <w:pPr>
              <w:pStyle w:val="ExhibitText"/>
              <w:jc w:val="right"/>
              <w:rPr>
                <w:lang w:val="en-GB"/>
              </w:rPr>
            </w:pPr>
            <w:r w:rsidRPr="00CE4C4E">
              <w:rPr>
                <w:lang w:val="en-GB"/>
              </w:rPr>
              <w:t>1.50</w:t>
            </w:r>
          </w:p>
        </w:tc>
        <w:tc>
          <w:tcPr>
            <w:tcW w:w="1260" w:type="dxa"/>
          </w:tcPr>
          <w:p w14:paraId="4DF6DF06" w14:textId="134B6C30" w:rsidR="0012305E" w:rsidRPr="00CE4C4E" w:rsidRDefault="002529F6" w:rsidP="002529F6">
            <w:pPr>
              <w:pStyle w:val="ExhibitText"/>
              <w:jc w:val="right"/>
              <w:rPr>
                <w:lang w:val="en-GB"/>
              </w:rPr>
            </w:pPr>
            <w:r w:rsidRPr="00CE4C4E">
              <w:rPr>
                <w:lang w:val="en-GB"/>
              </w:rPr>
              <w:t>77.4</w:t>
            </w:r>
          </w:p>
        </w:tc>
        <w:tc>
          <w:tcPr>
            <w:tcW w:w="1350" w:type="dxa"/>
          </w:tcPr>
          <w:p w14:paraId="12D6C5CB" w14:textId="4F822A21" w:rsidR="0012305E" w:rsidRPr="00CE4C4E" w:rsidRDefault="002529F6" w:rsidP="002529F6">
            <w:pPr>
              <w:pStyle w:val="ExhibitText"/>
              <w:jc w:val="right"/>
              <w:rPr>
                <w:lang w:val="en-GB"/>
              </w:rPr>
            </w:pPr>
            <w:r w:rsidRPr="00CE4C4E">
              <w:rPr>
                <w:lang w:val="en-GB"/>
              </w:rPr>
              <w:t>77.4</w:t>
            </w:r>
          </w:p>
        </w:tc>
        <w:tc>
          <w:tcPr>
            <w:tcW w:w="1178" w:type="dxa"/>
          </w:tcPr>
          <w:p w14:paraId="546EC3B4" w14:textId="4F9712C6" w:rsidR="0012305E" w:rsidRPr="00CE4C4E" w:rsidRDefault="0012305E" w:rsidP="002529F6">
            <w:pPr>
              <w:pStyle w:val="ExhibitText"/>
              <w:jc w:val="right"/>
              <w:rPr>
                <w:lang w:val="en-GB"/>
              </w:rPr>
            </w:pPr>
            <w:r w:rsidRPr="00CE4C4E">
              <w:rPr>
                <w:lang w:val="en-GB"/>
              </w:rPr>
              <w:t>227.9</w:t>
            </w:r>
          </w:p>
        </w:tc>
        <w:tc>
          <w:tcPr>
            <w:tcW w:w="1362" w:type="dxa"/>
          </w:tcPr>
          <w:p w14:paraId="3856AAC1" w14:textId="71B80726" w:rsidR="0012305E" w:rsidRPr="00CE4C4E" w:rsidRDefault="0012305E" w:rsidP="0012305E">
            <w:pPr>
              <w:pStyle w:val="ExhibitText"/>
              <w:jc w:val="right"/>
              <w:rPr>
                <w:lang w:val="en-GB"/>
              </w:rPr>
            </w:pPr>
            <w:r w:rsidRPr="00CE4C4E">
              <w:rPr>
                <w:lang w:val="en-GB"/>
              </w:rPr>
              <w:t>58.37</w:t>
            </w:r>
          </w:p>
        </w:tc>
      </w:tr>
      <w:tr w:rsidR="0012305E" w:rsidRPr="00CE4C4E" w14:paraId="404E12D0" w14:textId="77777777" w:rsidTr="000A0656">
        <w:trPr>
          <w:jc w:val="center"/>
        </w:trPr>
        <w:tc>
          <w:tcPr>
            <w:tcW w:w="810" w:type="dxa"/>
          </w:tcPr>
          <w:p w14:paraId="3A7FA96F" w14:textId="77777777" w:rsidR="0012305E" w:rsidRPr="00CE4C4E" w:rsidRDefault="0012305E" w:rsidP="0012305E">
            <w:pPr>
              <w:pStyle w:val="ExhibitText"/>
              <w:jc w:val="left"/>
              <w:rPr>
                <w:lang w:val="en-GB"/>
              </w:rPr>
            </w:pPr>
            <w:r w:rsidRPr="00CE4C4E">
              <w:rPr>
                <w:lang w:val="en-GB"/>
              </w:rPr>
              <w:t>2013</w:t>
            </w:r>
          </w:p>
        </w:tc>
        <w:tc>
          <w:tcPr>
            <w:tcW w:w="1800" w:type="dxa"/>
          </w:tcPr>
          <w:p w14:paraId="4E93D82C" w14:textId="77777777" w:rsidR="0012305E" w:rsidRPr="00CE4C4E" w:rsidRDefault="002529F6" w:rsidP="0012305E">
            <w:pPr>
              <w:pStyle w:val="ExhibitText"/>
              <w:jc w:val="right"/>
              <w:rPr>
                <w:lang w:val="en-GB"/>
              </w:rPr>
            </w:pPr>
            <w:r w:rsidRPr="00CE4C4E">
              <w:rPr>
                <w:lang w:val="en-GB"/>
              </w:rPr>
              <w:t>23.4</w:t>
            </w:r>
          </w:p>
        </w:tc>
        <w:tc>
          <w:tcPr>
            <w:tcW w:w="1260" w:type="dxa"/>
          </w:tcPr>
          <w:p w14:paraId="18D8E974" w14:textId="3BF7391C" w:rsidR="0012305E" w:rsidRPr="00CE4C4E" w:rsidRDefault="0012305E" w:rsidP="002529F6">
            <w:pPr>
              <w:pStyle w:val="ExhibitText"/>
              <w:jc w:val="right"/>
              <w:rPr>
                <w:lang w:val="en-GB"/>
              </w:rPr>
            </w:pPr>
            <w:r w:rsidRPr="00CE4C4E">
              <w:rPr>
                <w:lang w:val="en-GB"/>
              </w:rPr>
              <w:t>1.46</w:t>
            </w:r>
          </w:p>
        </w:tc>
        <w:tc>
          <w:tcPr>
            <w:tcW w:w="1260" w:type="dxa"/>
          </w:tcPr>
          <w:p w14:paraId="5480B5F8" w14:textId="1656CE33" w:rsidR="0012305E" w:rsidRPr="00CE4C4E" w:rsidRDefault="0012305E" w:rsidP="002529F6">
            <w:pPr>
              <w:pStyle w:val="ExhibitText"/>
              <w:jc w:val="right"/>
              <w:rPr>
                <w:lang w:val="en-GB"/>
              </w:rPr>
            </w:pPr>
            <w:r w:rsidRPr="00CE4C4E">
              <w:rPr>
                <w:lang w:val="en-GB"/>
              </w:rPr>
              <w:t>50.5</w:t>
            </w:r>
          </w:p>
        </w:tc>
        <w:tc>
          <w:tcPr>
            <w:tcW w:w="1350" w:type="dxa"/>
          </w:tcPr>
          <w:p w14:paraId="68D1D916" w14:textId="1B314B01" w:rsidR="0012305E" w:rsidRPr="00CE4C4E" w:rsidRDefault="0012305E" w:rsidP="002529F6">
            <w:pPr>
              <w:pStyle w:val="ExhibitText"/>
              <w:jc w:val="right"/>
              <w:rPr>
                <w:lang w:val="en-GB"/>
              </w:rPr>
            </w:pPr>
            <w:r w:rsidRPr="00CE4C4E">
              <w:rPr>
                <w:lang w:val="en-GB"/>
              </w:rPr>
              <w:t>101.4</w:t>
            </w:r>
          </w:p>
        </w:tc>
        <w:tc>
          <w:tcPr>
            <w:tcW w:w="1178" w:type="dxa"/>
          </w:tcPr>
          <w:p w14:paraId="558213B5" w14:textId="4D171BFC" w:rsidR="0012305E" w:rsidRPr="00CE4C4E" w:rsidRDefault="0012305E" w:rsidP="002529F6">
            <w:pPr>
              <w:pStyle w:val="ExhibitText"/>
              <w:jc w:val="right"/>
              <w:rPr>
                <w:lang w:val="en-GB"/>
              </w:rPr>
            </w:pPr>
            <w:r w:rsidRPr="00CE4C4E">
              <w:rPr>
                <w:lang w:val="en-GB"/>
              </w:rPr>
              <w:t>169.8</w:t>
            </w:r>
          </w:p>
        </w:tc>
        <w:tc>
          <w:tcPr>
            <w:tcW w:w="1362" w:type="dxa"/>
          </w:tcPr>
          <w:p w14:paraId="7A3AE41D" w14:textId="0A997C59" w:rsidR="0012305E" w:rsidRPr="00CE4C4E" w:rsidRDefault="0012305E" w:rsidP="0012305E">
            <w:pPr>
              <w:pStyle w:val="ExhibitText"/>
              <w:jc w:val="right"/>
              <w:rPr>
                <w:lang w:val="en-GB"/>
              </w:rPr>
            </w:pPr>
            <w:r w:rsidRPr="00CE4C4E">
              <w:rPr>
                <w:lang w:val="en-GB"/>
              </w:rPr>
              <w:t>62.43</w:t>
            </w:r>
          </w:p>
        </w:tc>
      </w:tr>
      <w:tr w:rsidR="0012305E" w:rsidRPr="00CE4C4E" w14:paraId="232A762A" w14:textId="77777777" w:rsidTr="000A0656">
        <w:trPr>
          <w:jc w:val="center"/>
        </w:trPr>
        <w:tc>
          <w:tcPr>
            <w:tcW w:w="810" w:type="dxa"/>
          </w:tcPr>
          <w:p w14:paraId="0E348D28" w14:textId="77777777" w:rsidR="0012305E" w:rsidRPr="00CE4C4E" w:rsidRDefault="0012305E" w:rsidP="0012305E">
            <w:pPr>
              <w:pStyle w:val="ExhibitText"/>
              <w:jc w:val="left"/>
              <w:rPr>
                <w:lang w:val="en-GB"/>
              </w:rPr>
            </w:pPr>
            <w:r w:rsidRPr="00CE4C4E">
              <w:rPr>
                <w:lang w:val="en-GB"/>
              </w:rPr>
              <w:t>2014</w:t>
            </w:r>
          </w:p>
        </w:tc>
        <w:tc>
          <w:tcPr>
            <w:tcW w:w="1800" w:type="dxa"/>
          </w:tcPr>
          <w:p w14:paraId="1117F7F9" w14:textId="77777777" w:rsidR="0012305E" w:rsidRPr="00CE4C4E" w:rsidRDefault="002529F6" w:rsidP="002529F6">
            <w:pPr>
              <w:pStyle w:val="ExhibitText"/>
              <w:jc w:val="right"/>
              <w:rPr>
                <w:lang w:val="en-GB"/>
              </w:rPr>
            </w:pPr>
            <w:r w:rsidRPr="00CE4C4E">
              <w:rPr>
                <w:lang w:val="en-GB"/>
              </w:rPr>
              <w:t>22.4</w:t>
            </w:r>
          </w:p>
        </w:tc>
        <w:tc>
          <w:tcPr>
            <w:tcW w:w="1260" w:type="dxa"/>
          </w:tcPr>
          <w:p w14:paraId="5F90C706" w14:textId="3D442817" w:rsidR="0012305E" w:rsidRPr="00CE4C4E" w:rsidRDefault="0012305E" w:rsidP="002529F6">
            <w:pPr>
              <w:pStyle w:val="ExhibitText"/>
              <w:jc w:val="right"/>
              <w:rPr>
                <w:lang w:val="en-GB"/>
              </w:rPr>
            </w:pPr>
            <w:r w:rsidRPr="00CE4C4E">
              <w:rPr>
                <w:lang w:val="en-GB"/>
              </w:rPr>
              <w:t>1.38</w:t>
            </w:r>
          </w:p>
        </w:tc>
        <w:tc>
          <w:tcPr>
            <w:tcW w:w="1260" w:type="dxa"/>
          </w:tcPr>
          <w:p w14:paraId="50301A87" w14:textId="7AC2D850" w:rsidR="0012305E" w:rsidRPr="00CE4C4E" w:rsidRDefault="0012305E" w:rsidP="002529F6">
            <w:pPr>
              <w:pStyle w:val="ExhibitText"/>
              <w:jc w:val="right"/>
              <w:rPr>
                <w:lang w:val="en-GB"/>
              </w:rPr>
            </w:pPr>
            <w:r w:rsidRPr="00CE4C4E">
              <w:rPr>
                <w:lang w:val="en-GB"/>
              </w:rPr>
              <w:t>49.9</w:t>
            </w:r>
          </w:p>
        </w:tc>
        <w:tc>
          <w:tcPr>
            <w:tcW w:w="1350" w:type="dxa"/>
          </w:tcPr>
          <w:p w14:paraId="607695B7" w14:textId="1FF16CBA" w:rsidR="0012305E" w:rsidRPr="00CE4C4E" w:rsidRDefault="0012305E" w:rsidP="002529F6">
            <w:pPr>
              <w:pStyle w:val="ExhibitText"/>
              <w:jc w:val="right"/>
              <w:rPr>
                <w:lang w:val="en-GB"/>
              </w:rPr>
            </w:pPr>
            <w:r w:rsidRPr="00CE4C4E">
              <w:rPr>
                <w:lang w:val="en-GB"/>
              </w:rPr>
              <w:t>59.4</w:t>
            </w:r>
          </w:p>
        </w:tc>
        <w:tc>
          <w:tcPr>
            <w:tcW w:w="1178" w:type="dxa"/>
          </w:tcPr>
          <w:p w14:paraId="405A842B" w14:textId="0BE4D232" w:rsidR="0012305E" w:rsidRPr="00CE4C4E" w:rsidRDefault="0012305E" w:rsidP="002529F6">
            <w:pPr>
              <w:pStyle w:val="ExhibitText"/>
              <w:jc w:val="right"/>
              <w:rPr>
                <w:lang w:val="en-GB"/>
              </w:rPr>
            </w:pPr>
            <w:r w:rsidRPr="00CE4C4E">
              <w:rPr>
                <w:lang w:val="en-GB"/>
              </w:rPr>
              <w:t>261.5</w:t>
            </w:r>
          </w:p>
        </w:tc>
        <w:tc>
          <w:tcPr>
            <w:tcW w:w="1362" w:type="dxa"/>
          </w:tcPr>
          <w:p w14:paraId="6B8D34AB" w14:textId="64608B99" w:rsidR="0012305E" w:rsidRPr="00CE4C4E" w:rsidRDefault="0012305E" w:rsidP="0012305E">
            <w:pPr>
              <w:pStyle w:val="ExhibitText"/>
              <w:jc w:val="right"/>
              <w:rPr>
                <w:lang w:val="en-GB"/>
              </w:rPr>
            </w:pPr>
            <w:r w:rsidRPr="00CE4C4E">
              <w:rPr>
                <w:lang w:val="en-GB"/>
              </w:rPr>
              <w:t>61.51</w:t>
            </w:r>
          </w:p>
        </w:tc>
      </w:tr>
      <w:tr w:rsidR="0012305E" w:rsidRPr="00CE4C4E" w14:paraId="12D2B6AF" w14:textId="77777777" w:rsidTr="000A0656">
        <w:trPr>
          <w:jc w:val="center"/>
        </w:trPr>
        <w:tc>
          <w:tcPr>
            <w:tcW w:w="810" w:type="dxa"/>
          </w:tcPr>
          <w:p w14:paraId="2F03EE6B" w14:textId="77777777" w:rsidR="0012305E" w:rsidRPr="00CE4C4E" w:rsidRDefault="0012305E" w:rsidP="0012305E">
            <w:pPr>
              <w:pStyle w:val="ExhibitText"/>
              <w:jc w:val="left"/>
              <w:rPr>
                <w:lang w:val="en-GB"/>
              </w:rPr>
            </w:pPr>
            <w:r w:rsidRPr="00CE4C4E">
              <w:rPr>
                <w:lang w:val="en-GB"/>
              </w:rPr>
              <w:t>2015</w:t>
            </w:r>
          </w:p>
        </w:tc>
        <w:tc>
          <w:tcPr>
            <w:tcW w:w="1800" w:type="dxa"/>
          </w:tcPr>
          <w:p w14:paraId="44DE4B73" w14:textId="77777777" w:rsidR="0012305E" w:rsidRPr="00CE4C4E" w:rsidRDefault="002529F6" w:rsidP="0012305E">
            <w:pPr>
              <w:pStyle w:val="ExhibitText"/>
              <w:jc w:val="right"/>
              <w:rPr>
                <w:lang w:val="en-GB"/>
              </w:rPr>
            </w:pPr>
            <w:r w:rsidRPr="00CE4C4E">
              <w:rPr>
                <w:lang w:val="en-GB"/>
              </w:rPr>
              <w:t>22.5</w:t>
            </w:r>
          </w:p>
        </w:tc>
        <w:tc>
          <w:tcPr>
            <w:tcW w:w="1260" w:type="dxa"/>
          </w:tcPr>
          <w:p w14:paraId="1F0146AF" w14:textId="66D858B4" w:rsidR="0012305E" w:rsidRPr="00CE4C4E" w:rsidRDefault="0012305E" w:rsidP="002529F6">
            <w:pPr>
              <w:pStyle w:val="ExhibitText"/>
              <w:jc w:val="right"/>
              <w:rPr>
                <w:lang w:val="en-GB"/>
              </w:rPr>
            </w:pPr>
            <w:r w:rsidRPr="00CE4C4E">
              <w:rPr>
                <w:lang w:val="en-GB"/>
              </w:rPr>
              <w:t>1.37</w:t>
            </w:r>
          </w:p>
        </w:tc>
        <w:tc>
          <w:tcPr>
            <w:tcW w:w="1260" w:type="dxa"/>
          </w:tcPr>
          <w:p w14:paraId="0F015B21" w14:textId="14CFCF5B" w:rsidR="0012305E" w:rsidRPr="00CE4C4E" w:rsidRDefault="0012305E" w:rsidP="002529F6">
            <w:pPr>
              <w:pStyle w:val="ExhibitText"/>
              <w:jc w:val="right"/>
              <w:rPr>
                <w:lang w:val="en-GB"/>
              </w:rPr>
            </w:pPr>
            <w:r w:rsidRPr="00CE4C4E">
              <w:rPr>
                <w:lang w:val="en-GB"/>
              </w:rPr>
              <w:t>49.1</w:t>
            </w:r>
          </w:p>
        </w:tc>
        <w:tc>
          <w:tcPr>
            <w:tcW w:w="1350" w:type="dxa"/>
          </w:tcPr>
          <w:p w14:paraId="4211B344" w14:textId="035280FF" w:rsidR="0012305E" w:rsidRPr="00CE4C4E" w:rsidRDefault="0012305E" w:rsidP="002529F6">
            <w:pPr>
              <w:pStyle w:val="ExhibitText"/>
              <w:jc w:val="right"/>
              <w:rPr>
                <w:lang w:val="en-GB"/>
              </w:rPr>
            </w:pPr>
            <w:r w:rsidRPr="00CE4C4E">
              <w:rPr>
                <w:lang w:val="en-GB"/>
              </w:rPr>
              <w:t>63.9</w:t>
            </w:r>
          </w:p>
        </w:tc>
        <w:tc>
          <w:tcPr>
            <w:tcW w:w="1178" w:type="dxa"/>
          </w:tcPr>
          <w:p w14:paraId="3C170CF9" w14:textId="0F2B6D30" w:rsidR="0012305E" w:rsidRPr="00CE4C4E" w:rsidRDefault="0012305E" w:rsidP="002529F6">
            <w:pPr>
              <w:pStyle w:val="ExhibitText"/>
              <w:jc w:val="right"/>
              <w:rPr>
                <w:lang w:val="en-GB"/>
              </w:rPr>
            </w:pPr>
            <w:r w:rsidRPr="00CE4C4E">
              <w:rPr>
                <w:lang w:val="en-GB"/>
              </w:rPr>
              <w:t>286.3</w:t>
            </w:r>
          </w:p>
        </w:tc>
        <w:tc>
          <w:tcPr>
            <w:tcW w:w="1362" w:type="dxa"/>
          </w:tcPr>
          <w:p w14:paraId="5B597B0E" w14:textId="100886E9" w:rsidR="0012305E" w:rsidRPr="00CE4C4E" w:rsidRDefault="0012305E" w:rsidP="0012305E">
            <w:pPr>
              <w:pStyle w:val="ExhibitText"/>
              <w:jc w:val="right"/>
              <w:rPr>
                <w:lang w:val="en-GB"/>
              </w:rPr>
            </w:pPr>
            <w:r w:rsidRPr="00CE4C4E">
              <w:rPr>
                <w:lang w:val="en-GB"/>
              </w:rPr>
              <w:t>61.01</w:t>
            </w:r>
          </w:p>
        </w:tc>
      </w:tr>
    </w:tbl>
    <w:p w14:paraId="38B70EF2" w14:textId="77777777" w:rsidR="0012305E" w:rsidRPr="00CE4C4E" w:rsidRDefault="0012305E" w:rsidP="00B71E44">
      <w:pPr>
        <w:pStyle w:val="ExhibitHeading"/>
        <w:rPr>
          <w:lang w:val="en-GB"/>
        </w:rPr>
      </w:pPr>
    </w:p>
    <w:p w14:paraId="61C53CAB" w14:textId="1196E10F" w:rsidR="002529F6" w:rsidRPr="00CE4C4E" w:rsidRDefault="002529F6" w:rsidP="00B71E44">
      <w:pPr>
        <w:pStyle w:val="Footnote"/>
        <w:rPr>
          <w:i w:val="0"/>
          <w:lang w:val="en-GB"/>
        </w:rPr>
      </w:pPr>
      <w:r w:rsidRPr="00CE4C4E">
        <w:rPr>
          <w:i w:val="0"/>
          <w:lang w:val="en-GB"/>
        </w:rPr>
        <w:t xml:space="preserve">Note: </w:t>
      </w:r>
      <w:r w:rsidR="005255A5" w:rsidRPr="00CE4C4E">
        <w:rPr>
          <w:i w:val="0"/>
          <w:lang w:val="en-GB"/>
        </w:rPr>
        <w:t xml:space="preserve">All </w:t>
      </w:r>
      <w:r w:rsidR="00234274">
        <w:rPr>
          <w:i w:val="0"/>
          <w:lang w:val="en-GB"/>
        </w:rPr>
        <w:t xml:space="preserve">currency </w:t>
      </w:r>
      <w:r w:rsidRPr="00CE4C4E">
        <w:rPr>
          <w:i w:val="0"/>
          <w:lang w:val="en-GB"/>
        </w:rPr>
        <w:t>amounts are in U.S. dollars</w:t>
      </w:r>
      <w:r w:rsidR="005255A5" w:rsidRPr="00CE4C4E">
        <w:rPr>
          <w:i w:val="0"/>
          <w:lang w:val="en-GB"/>
        </w:rPr>
        <w:t>.</w:t>
      </w:r>
    </w:p>
    <w:p w14:paraId="66B55565" w14:textId="5E977DC4" w:rsidR="00B71E44" w:rsidRPr="00CE4C4E" w:rsidRDefault="0012305E" w:rsidP="00B71E44">
      <w:pPr>
        <w:pStyle w:val="Footnote"/>
        <w:rPr>
          <w:i w:val="0"/>
          <w:lang w:val="en-GB"/>
        </w:rPr>
      </w:pPr>
      <w:r w:rsidRPr="00CE4C4E">
        <w:rPr>
          <w:i w:val="0"/>
          <w:lang w:val="en-GB"/>
        </w:rPr>
        <w:t xml:space="preserve">Source: </w:t>
      </w:r>
      <w:r w:rsidR="00D23076">
        <w:rPr>
          <w:i w:val="0"/>
          <w:lang w:val="en-GB"/>
        </w:rPr>
        <w:t xml:space="preserve">Company documents. </w:t>
      </w:r>
    </w:p>
    <w:p w14:paraId="5599E566" w14:textId="77777777" w:rsidR="00B71E44" w:rsidRPr="00CE4C4E" w:rsidRDefault="00B71E44">
      <w:pPr>
        <w:spacing w:after="200" w:line="276" w:lineRule="auto"/>
        <w:rPr>
          <w:iCs/>
          <w:color w:val="000000"/>
          <w:sz w:val="22"/>
          <w:szCs w:val="22"/>
          <w:lang w:val="en-GB"/>
        </w:rPr>
      </w:pPr>
      <w:r w:rsidRPr="00CE4C4E">
        <w:rPr>
          <w:i/>
          <w:sz w:val="22"/>
          <w:szCs w:val="22"/>
          <w:lang w:val="en-GB"/>
        </w:rPr>
        <w:br w:type="page"/>
      </w:r>
    </w:p>
    <w:p w14:paraId="0C024E81" w14:textId="77777777" w:rsidR="003B7EF2" w:rsidRPr="00CE4C4E" w:rsidRDefault="00B71E44" w:rsidP="00B71E44">
      <w:pPr>
        <w:pStyle w:val="Casehead1"/>
        <w:rPr>
          <w:lang w:val="en-GB"/>
        </w:rPr>
      </w:pPr>
      <w:r w:rsidRPr="00CE4C4E">
        <w:rPr>
          <w:lang w:val="en-GB"/>
        </w:rPr>
        <w:lastRenderedPageBreak/>
        <w:t>endnotes</w:t>
      </w:r>
    </w:p>
    <w:sectPr w:rsidR="003B7EF2" w:rsidRPr="00CE4C4E" w:rsidSect="00EB5410">
      <w:headerReference w:type="default" r:id="rId11"/>
      <w:endnotePr>
        <w:numFmt w:val="decimal"/>
      </w:endnotePr>
      <w:pgSz w:w="12240" w:h="15840"/>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D4B66E" w16cid:durableId="1D64F9CD"/>
  <w16cid:commentId w16cid:paraId="73DFAF4B" w16cid:durableId="1D64F9E0"/>
  <w16cid:commentId w16cid:paraId="107049D2" w16cid:durableId="1D64FBC2"/>
  <w16cid:commentId w16cid:paraId="6E094536" w16cid:durableId="1D652B3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2F9D0A" w14:textId="77777777" w:rsidR="00EA5D2F" w:rsidRDefault="00EA5D2F" w:rsidP="00D75295">
      <w:r>
        <w:separator/>
      </w:r>
    </w:p>
  </w:endnote>
  <w:endnote w:type="continuationSeparator" w:id="0">
    <w:p w14:paraId="2E1726DD" w14:textId="77777777" w:rsidR="00EA5D2F" w:rsidRDefault="00EA5D2F" w:rsidP="00D75295">
      <w:r>
        <w:continuationSeparator/>
      </w:r>
    </w:p>
  </w:endnote>
  <w:endnote w:id="1">
    <w:p w14:paraId="74D22E4F" w14:textId="06042CEC" w:rsidR="00A276A0" w:rsidRPr="00E478BE" w:rsidRDefault="00A276A0" w:rsidP="00E478BE">
      <w:pPr>
        <w:pStyle w:val="Footnote"/>
      </w:pPr>
      <w:r w:rsidRPr="00E478BE">
        <w:rPr>
          <w:rStyle w:val="EndnoteReference"/>
          <w:i w:val="0"/>
        </w:rPr>
        <w:endnoteRef/>
      </w:r>
      <w:r w:rsidRPr="00E478BE">
        <w:t xml:space="preserve"> </w:t>
      </w:r>
      <w:r w:rsidRPr="00E478BE">
        <w:rPr>
          <w:i w:val="0"/>
        </w:rPr>
        <w:t xml:space="preserve">Benjamin Wallace, </w:t>
      </w:r>
      <w:r>
        <w:rPr>
          <w:i w:val="0"/>
        </w:rPr>
        <w:t>“</w:t>
      </w:r>
      <w:r w:rsidRPr="00AE3053">
        <w:rPr>
          <w:i w:val="0"/>
        </w:rPr>
        <w:t>SeaWorld, Breached</w:t>
      </w:r>
      <w:r>
        <w:rPr>
          <w:i w:val="0"/>
        </w:rPr>
        <w:t>,”</w:t>
      </w:r>
      <w:r w:rsidRPr="00E478BE">
        <w:rPr>
          <w:i w:val="0"/>
        </w:rPr>
        <w:t xml:space="preserve"> </w:t>
      </w:r>
      <w:r w:rsidRPr="00E01134">
        <w:t>nymag</w:t>
      </w:r>
      <w:r w:rsidRPr="00E478BE">
        <w:rPr>
          <w:i w:val="0"/>
        </w:rPr>
        <w:t>, May 4, 2016, accessed March 27, 2017, http://nymag.com/daily/intelligencer/2016/04/seaworld-tilikum-orcas.html.</w:t>
      </w:r>
    </w:p>
  </w:endnote>
  <w:endnote w:id="2">
    <w:p w14:paraId="3E477839" w14:textId="40C5176D" w:rsidR="00A276A0" w:rsidRPr="00E478BE" w:rsidRDefault="00A276A0" w:rsidP="00E478BE">
      <w:pPr>
        <w:pStyle w:val="Footnote"/>
        <w:rPr>
          <w:i w:val="0"/>
        </w:rPr>
      </w:pPr>
      <w:r w:rsidRPr="00E478BE">
        <w:rPr>
          <w:rStyle w:val="EndnoteReference"/>
          <w:i w:val="0"/>
        </w:rPr>
        <w:endnoteRef/>
      </w:r>
      <w:r w:rsidRPr="00E478BE">
        <w:rPr>
          <w:i w:val="0"/>
        </w:rPr>
        <w:t xml:space="preserve"> </w:t>
      </w:r>
      <w:r>
        <w:rPr>
          <w:i w:val="0"/>
        </w:rPr>
        <w:t>“</w:t>
      </w:r>
      <w:r w:rsidRPr="00E478BE">
        <w:rPr>
          <w:i w:val="0"/>
        </w:rPr>
        <w:t>History,</w:t>
      </w:r>
      <w:r>
        <w:rPr>
          <w:i w:val="0"/>
        </w:rPr>
        <w:t>”</w:t>
      </w:r>
      <w:r w:rsidRPr="00E478BE">
        <w:rPr>
          <w:i w:val="0"/>
        </w:rPr>
        <w:t xml:space="preserve"> SeaWorld Parks &amp; Entertainment, accessed March 27, 2017, </w:t>
      </w:r>
      <w:hyperlink r:id="rId1" w:history="1">
        <w:r w:rsidRPr="00E478BE">
          <w:rPr>
            <w:i w:val="0"/>
          </w:rPr>
          <w:t>https://seaworldentertainment.com/en/who-we-are/history</w:t>
        </w:r>
      </w:hyperlink>
      <w:r w:rsidRPr="00E478BE">
        <w:rPr>
          <w:i w:val="0"/>
        </w:rPr>
        <w:t>.</w:t>
      </w:r>
    </w:p>
  </w:endnote>
  <w:endnote w:id="3">
    <w:p w14:paraId="56DBEF5C" w14:textId="32327CC8" w:rsidR="00A276A0" w:rsidRPr="00E478BE" w:rsidRDefault="00A276A0" w:rsidP="00E478BE">
      <w:pPr>
        <w:pStyle w:val="Footnote"/>
        <w:rPr>
          <w:i w:val="0"/>
        </w:rPr>
      </w:pPr>
      <w:r w:rsidRPr="00E478BE">
        <w:rPr>
          <w:rStyle w:val="EndnoteReference"/>
          <w:i w:val="0"/>
        </w:rPr>
        <w:endnoteRef/>
      </w:r>
      <w:r w:rsidRPr="00E478BE">
        <w:rPr>
          <w:i w:val="0"/>
        </w:rPr>
        <w:t xml:space="preserve"> Robert Niles, </w:t>
      </w:r>
      <w:r>
        <w:rPr>
          <w:i w:val="0"/>
        </w:rPr>
        <w:t>“</w:t>
      </w:r>
      <w:r w:rsidRPr="00E478BE">
        <w:rPr>
          <w:i w:val="0"/>
        </w:rPr>
        <w:t xml:space="preserve">Blackstone Group Buys the SeaWorld and Busch Gardens Theme Park Chain for $2.3 </w:t>
      </w:r>
      <w:r>
        <w:rPr>
          <w:i w:val="0"/>
        </w:rPr>
        <w:t>B</w:t>
      </w:r>
      <w:r w:rsidRPr="00E478BE">
        <w:rPr>
          <w:i w:val="0"/>
        </w:rPr>
        <w:t>illion,</w:t>
      </w:r>
      <w:r>
        <w:rPr>
          <w:i w:val="0"/>
        </w:rPr>
        <w:t>”</w:t>
      </w:r>
      <w:r w:rsidRPr="00E478BE">
        <w:rPr>
          <w:i w:val="0"/>
        </w:rPr>
        <w:t xml:space="preserve"> Theme Park Insider, October </w:t>
      </w:r>
      <w:r>
        <w:rPr>
          <w:i w:val="0"/>
        </w:rPr>
        <w:t xml:space="preserve">7, </w:t>
      </w:r>
      <w:r w:rsidRPr="00E478BE">
        <w:rPr>
          <w:i w:val="0"/>
        </w:rPr>
        <w:t xml:space="preserve">2009, accessed March 27, 2017, </w:t>
      </w:r>
      <w:hyperlink r:id="rId2" w:history="1">
        <w:r w:rsidRPr="00E478BE">
          <w:rPr>
            <w:i w:val="0"/>
          </w:rPr>
          <w:t>www.themeparkinsider.com/flume/200910/1455</w:t>
        </w:r>
      </w:hyperlink>
      <w:r w:rsidRPr="00E478BE">
        <w:rPr>
          <w:i w:val="0"/>
        </w:rPr>
        <w:t>.</w:t>
      </w:r>
    </w:p>
  </w:endnote>
  <w:endnote w:id="4">
    <w:p w14:paraId="4E7A6F4B" w14:textId="77777777" w:rsidR="00A276A0" w:rsidRPr="00B71E44" w:rsidRDefault="00A276A0" w:rsidP="00E478BE">
      <w:pPr>
        <w:pStyle w:val="Footnote"/>
      </w:pPr>
      <w:r w:rsidRPr="00E478BE">
        <w:rPr>
          <w:rStyle w:val="EndnoteReference"/>
          <w:i w:val="0"/>
        </w:rPr>
        <w:endnoteRef/>
      </w:r>
      <w:r w:rsidRPr="00E478BE">
        <w:rPr>
          <w:i w:val="0"/>
          <w:vertAlign w:val="superscript"/>
        </w:rPr>
        <w:t xml:space="preserve"> </w:t>
      </w:r>
      <w:r w:rsidRPr="00E478BE">
        <w:rPr>
          <w:i w:val="0"/>
        </w:rPr>
        <w:t>All currency amounts are in U.S. dollars unless otherwise specified.</w:t>
      </w:r>
    </w:p>
  </w:endnote>
  <w:endnote w:id="5">
    <w:p w14:paraId="4A0C660A" w14:textId="05493F7F" w:rsidR="00A276A0" w:rsidRPr="00865E71" w:rsidRDefault="00A276A0" w:rsidP="00865E71">
      <w:pPr>
        <w:pStyle w:val="Footnote"/>
        <w:rPr>
          <w:i w:val="0"/>
        </w:rPr>
      </w:pPr>
      <w:r w:rsidRPr="00865E71">
        <w:rPr>
          <w:rStyle w:val="EndnoteReference"/>
          <w:i w:val="0"/>
        </w:rPr>
        <w:endnoteRef/>
      </w:r>
      <w:r w:rsidRPr="00865E71">
        <w:rPr>
          <w:i w:val="0"/>
        </w:rPr>
        <w:t xml:space="preserve"> Ben Rooney, </w:t>
      </w:r>
      <w:r>
        <w:rPr>
          <w:i w:val="0"/>
        </w:rPr>
        <w:t>“</w:t>
      </w:r>
      <w:r w:rsidRPr="00865E71">
        <w:rPr>
          <w:i w:val="0"/>
        </w:rPr>
        <w:t xml:space="preserve">Sea World, Busch Gardens Sold for $2.7 </w:t>
      </w:r>
      <w:r w:rsidR="006E286B">
        <w:rPr>
          <w:i w:val="0"/>
        </w:rPr>
        <w:t>B</w:t>
      </w:r>
      <w:r w:rsidR="006E286B" w:rsidRPr="00865E71">
        <w:rPr>
          <w:i w:val="0"/>
        </w:rPr>
        <w:t>illion</w:t>
      </w:r>
      <w:r w:rsidRPr="00865E71">
        <w:rPr>
          <w:i w:val="0"/>
        </w:rPr>
        <w:t>,</w:t>
      </w:r>
      <w:r>
        <w:rPr>
          <w:i w:val="0"/>
        </w:rPr>
        <w:t>”</w:t>
      </w:r>
      <w:r w:rsidRPr="00865E71">
        <w:rPr>
          <w:i w:val="0"/>
        </w:rPr>
        <w:t xml:space="preserve"> </w:t>
      </w:r>
      <w:r w:rsidRPr="00E01134">
        <w:t>CNNMoney</w:t>
      </w:r>
      <w:r w:rsidRPr="00865E71">
        <w:rPr>
          <w:i w:val="0"/>
        </w:rPr>
        <w:t xml:space="preserve">, October 7, 2009, accessed March 27, 2017, http://money.cnn.com/2009/10/07/news/companies/blackstone_anheuser_busch_inbev. </w:t>
      </w:r>
    </w:p>
  </w:endnote>
  <w:endnote w:id="6">
    <w:p w14:paraId="58B366A5" w14:textId="0F74D248" w:rsidR="00A276A0" w:rsidRPr="00865E71" w:rsidRDefault="00A276A0" w:rsidP="00865E71">
      <w:pPr>
        <w:pStyle w:val="Footnote"/>
        <w:rPr>
          <w:i w:val="0"/>
        </w:rPr>
      </w:pPr>
      <w:r w:rsidRPr="00865E71">
        <w:rPr>
          <w:rStyle w:val="EndnoteReference"/>
          <w:i w:val="0"/>
        </w:rPr>
        <w:endnoteRef/>
      </w:r>
      <w:r w:rsidRPr="00865E71">
        <w:rPr>
          <w:i w:val="0"/>
        </w:rPr>
        <w:t xml:space="preserve"> William Alden, </w:t>
      </w:r>
      <w:r>
        <w:rPr>
          <w:i w:val="0"/>
        </w:rPr>
        <w:t>“</w:t>
      </w:r>
      <w:r w:rsidRPr="00865E71">
        <w:rPr>
          <w:i w:val="0"/>
        </w:rPr>
        <w:t>Public Offering Values SeaWorld at $2.5 Billion,</w:t>
      </w:r>
      <w:r>
        <w:rPr>
          <w:i w:val="0"/>
        </w:rPr>
        <w:t>”</w:t>
      </w:r>
      <w:r w:rsidRPr="00865E71">
        <w:rPr>
          <w:i w:val="0"/>
        </w:rPr>
        <w:t xml:space="preserve"> </w:t>
      </w:r>
      <w:r w:rsidRPr="00E01134">
        <w:t>The New York Times</w:t>
      </w:r>
      <w:r w:rsidRPr="00865E71">
        <w:rPr>
          <w:i w:val="0"/>
        </w:rPr>
        <w:t>, April 18, 2013, accessed March 27, 2017, http://dealbook.nytimes.com/2013/04/18/seaworld-prices-i-p-o-at-top-of-range/?_r=0.</w:t>
      </w:r>
    </w:p>
  </w:endnote>
  <w:endnote w:id="7">
    <w:p w14:paraId="08D58FD7" w14:textId="7FE22959" w:rsidR="00A276A0" w:rsidRPr="00865E71" w:rsidRDefault="00A276A0" w:rsidP="00865E71">
      <w:pPr>
        <w:pStyle w:val="Footnote"/>
        <w:rPr>
          <w:i w:val="0"/>
        </w:rPr>
      </w:pPr>
      <w:r w:rsidRPr="00865E71">
        <w:rPr>
          <w:rStyle w:val="EndnoteReference"/>
          <w:i w:val="0"/>
        </w:rPr>
        <w:endnoteRef/>
      </w:r>
      <w:r w:rsidRPr="00865E71">
        <w:rPr>
          <w:i w:val="0"/>
        </w:rPr>
        <w:t xml:space="preserve"> Jessica Volk, </w:t>
      </w:r>
      <w:r>
        <w:rPr>
          <w:i w:val="0"/>
        </w:rPr>
        <w:t>“</w:t>
      </w:r>
      <w:r w:rsidRPr="00865E71">
        <w:rPr>
          <w:i w:val="0"/>
        </w:rPr>
        <w:t>By Land, Sea and Air, SeaWorld Helps Save Endangered Species,</w:t>
      </w:r>
      <w:r>
        <w:rPr>
          <w:i w:val="0"/>
        </w:rPr>
        <w:t>”</w:t>
      </w:r>
      <w:r w:rsidRPr="00865E71">
        <w:rPr>
          <w:i w:val="0"/>
        </w:rPr>
        <w:t xml:space="preserve"> SeaWorld Parks &amp; Entertainment, accessed March 27, 2017, www.insideconservation.com/land-sea-and-air-seaworld-helps-save-endangered-species.</w:t>
      </w:r>
    </w:p>
  </w:endnote>
  <w:endnote w:id="8">
    <w:p w14:paraId="0160818F" w14:textId="61F75352" w:rsidR="00A276A0" w:rsidRPr="00865E71" w:rsidRDefault="00A276A0" w:rsidP="00865E71">
      <w:pPr>
        <w:pStyle w:val="Footnote"/>
        <w:rPr>
          <w:i w:val="0"/>
        </w:rPr>
      </w:pPr>
      <w:r w:rsidRPr="00865E71">
        <w:rPr>
          <w:rStyle w:val="EndnoteReference"/>
          <w:i w:val="0"/>
        </w:rPr>
        <w:endnoteRef/>
      </w:r>
      <w:r w:rsidRPr="00865E71">
        <w:rPr>
          <w:i w:val="0"/>
        </w:rPr>
        <w:t xml:space="preserve"> </w:t>
      </w:r>
      <w:r w:rsidR="00123DA6">
        <w:rPr>
          <w:i w:val="0"/>
        </w:rPr>
        <w:t>F</w:t>
      </w:r>
      <w:r w:rsidR="00123DA6" w:rsidRPr="00865E71">
        <w:rPr>
          <w:i w:val="0"/>
        </w:rPr>
        <w:t xml:space="preserve">or a map of where conservation efforts have </w:t>
      </w:r>
      <w:r w:rsidR="00234274">
        <w:rPr>
          <w:i w:val="0"/>
        </w:rPr>
        <w:t xml:space="preserve">been </w:t>
      </w:r>
      <w:r w:rsidR="00123DA6" w:rsidRPr="00865E71">
        <w:rPr>
          <w:i w:val="0"/>
        </w:rPr>
        <w:t>focused</w:t>
      </w:r>
      <w:r w:rsidR="00123DA6">
        <w:rPr>
          <w:i w:val="0"/>
        </w:rPr>
        <w:t>, see</w:t>
      </w:r>
      <w:r w:rsidR="00123DA6" w:rsidRPr="00865E71" w:rsidDel="00831498">
        <w:rPr>
          <w:i w:val="0"/>
        </w:rPr>
        <w:t xml:space="preserve"> </w:t>
      </w:r>
      <w:r w:rsidRPr="00865E71">
        <w:rPr>
          <w:i w:val="0"/>
        </w:rPr>
        <w:t xml:space="preserve">SeaWorld Cares, accessed March 28, 2017, </w:t>
      </w:r>
      <w:r w:rsidR="007A71BD" w:rsidRPr="007A71BD">
        <w:rPr>
          <w:i w:val="0"/>
        </w:rPr>
        <w:t>https://seaworldcares.com/buschgardens-williamsburg/</w:t>
      </w:r>
      <w:r w:rsidRPr="00865E71">
        <w:rPr>
          <w:i w:val="0"/>
        </w:rPr>
        <w:t>.</w:t>
      </w:r>
    </w:p>
  </w:endnote>
  <w:endnote w:id="9">
    <w:p w14:paraId="7CFFE88D" w14:textId="0F618516" w:rsidR="00A276A0" w:rsidRPr="00865E71" w:rsidRDefault="00A276A0" w:rsidP="00865E71">
      <w:pPr>
        <w:pStyle w:val="Footnote"/>
        <w:rPr>
          <w:i w:val="0"/>
        </w:rPr>
      </w:pPr>
      <w:r w:rsidRPr="00865E71">
        <w:rPr>
          <w:rStyle w:val="EndnoteReference"/>
          <w:i w:val="0"/>
        </w:rPr>
        <w:endnoteRef/>
      </w:r>
      <w:r w:rsidRPr="00865E71">
        <w:rPr>
          <w:i w:val="0"/>
        </w:rPr>
        <w:t xml:space="preserve"> </w:t>
      </w:r>
      <w:r>
        <w:rPr>
          <w:i w:val="0"/>
        </w:rPr>
        <w:t>“</w:t>
      </w:r>
      <w:r w:rsidRPr="00865E71">
        <w:rPr>
          <w:i w:val="0"/>
        </w:rPr>
        <w:t>Our Businesses,</w:t>
      </w:r>
      <w:r>
        <w:rPr>
          <w:i w:val="0"/>
        </w:rPr>
        <w:t>”</w:t>
      </w:r>
      <w:r w:rsidRPr="00865E71">
        <w:rPr>
          <w:i w:val="0"/>
        </w:rPr>
        <w:t xml:space="preserve"> Herschend Family Entertainment, accessed March 28, 2017, www.hfecorp.com/our-businesses.</w:t>
      </w:r>
    </w:p>
  </w:endnote>
  <w:endnote w:id="10">
    <w:p w14:paraId="00896CE0" w14:textId="35D451DE" w:rsidR="00A276A0" w:rsidRPr="00865E71" w:rsidRDefault="00A276A0" w:rsidP="00865E71">
      <w:pPr>
        <w:pStyle w:val="Footnote"/>
        <w:rPr>
          <w:i w:val="0"/>
        </w:rPr>
      </w:pPr>
      <w:r w:rsidRPr="00865E71">
        <w:rPr>
          <w:rStyle w:val="EndnoteReference"/>
          <w:i w:val="0"/>
        </w:rPr>
        <w:endnoteRef/>
      </w:r>
      <w:r w:rsidRPr="00865E71">
        <w:rPr>
          <w:i w:val="0"/>
          <w:vertAlign w:val="superscript"/>
        </w:rPr>
        <w:t xml:space="preserve"> </w:t>
      </w:r>
      <w:r>
        <w:rPr>
          <w:i w:val="0"/>
        </w:rPr>
        <w:t>“</w:t>
      </w:r>
      <w:r w:rsidRPr="00865E71">
        <w:rPr>
          <w:i w:val="0"/>
        </w:rPr>
        <w:t>Joel Manby: Love Works,</w:t>
      </w:r>
      <w:r>
        <w:rPr>
          <w:i w:val="0"/>
        </w:rPr>
        <w:t>”</w:t>
      </w:r>
      <w:r w:rsidRPr="00865E71">
        <w:rPr>
          <w:i w:val="0"/>
        </w:rPr>
        <w:t xml:space="preserve"> </w:t>
      </w:r>
      <w:r w:rsidRPr="00E01134">
        <w:t>CBN</w:t>
      </w:r>
      <w:r w:rsidRPr="00865E71">
        <w:rPr>
          <w:i w:val="0"/>
        </w:rPr>
        <w:t>, September 17, 2013, accessed March 28, 2017, www1.cbn.com/700club/joel-manby-love-works.</w:t>
      </w:r>
    </w:p>
  </w:endnote>
  <w:endnote w:id="11">
    <w:p w14:paraId="750B6B9D" w14:textId="53EA1539" w:rsidR="008A2CA0" w:rsidRDefault="008A2CA0" w:rsidP="008A2CA0">
      <w:pPr>
        <w:pStyle w:val="Footnote"/>
      </w:pPr>
      <w:r>
        <w:rPr>
          <w:rStyle w:val="EndnoteReference"/>
        </w:rPr>
        <w:endnoteRef/>
      </w:r>
      <w:r>
        <w:t xml:space="preserve"> </w:t>
      </w:r>
      <w:r w:rsidRPr="008A2CA0">
        <w:rPr>
          <w:i w:val="0"/>
        </w:rPr>
        <w:t>Joel Manby</w:t>
      </w:r>
      <w:r>
        <w:t xml:space="preserve">, </w:t>
      </w:r>
      <w:r w:rsidRPr="008A2CA0">
        <w:t>Love Works</w:t>
      </w:r>
      <w:r>
        <w:t xml:space="preserve"> </w:t>
      </w:r>
      <w:r w:rsidRPr="008A2CA0">
        <w:rPr>
          <w:i w:val="0"/>
        </w:rPr>
        <w:t>(Zondervan, 2012).</w:t>
      </w:r>
    </w:p>
  </w:endnote>
  <w:endnote w:id="12">
    <w:p w14:paraId="33228666" w14:textId="50DE5CE5" w:rsidR="00A276A0" w:rsidRPr="00865E71" w:rsidRDefault="00A276A0" w:rsidP="00865E71">
      <w:pPr>
        <w:pStyle w:val="Footnote"/>
        <w:rPr>
          <w:i w:val="0"/>
        </w:rPr>
      </w:pPr>
      <w:r w:rsidRPr="00865E71">
        <w:rPr>
          <w:rStyle w:val="EndnoteReference"/>
          <w:i w:val="0"/>
        </w:rPr>
        <w:endnoteRef/>
      </w:r>
      <w:r w:rsidRPr="00865E71">
        <w:rPr>
          <w:i w:val="0"/>
        </w:rPr>
        <w:t xml:space="preserve"> </w:t>
      </w:r>
      <w:r w:rsidR="00811DDC">
        <w:rPr>
          <w:i w:val="0"/>
        </w:rPr>
        <w:t>Ibid</w:t>
      </w:r>
      <w:r w:rsidRPr="00865E71">
        <w:rPr>
          <w:i w:val="0"/>
        </w:rPr>
        <w:t>.</w:t>
      </w:r>
      <w:r>
        <w:rPr>
          <w:i w:val="0"/>
        </w:rPr>
        <w:t xml:space="preserve"> </w:t>
      </w:r>
    </w:p>
  </w:endnote>
  <w:endnote w:id="13">
    <w:p w14:paraId="4E8AB34C" w14:textId="5E51238D" w:rsidR="00A276A0" w:rsidRPr="00B71E44" w:rsidRDefault="00A276A0" w:rsidP="00865E71">
      <w:pPr>
        <w:pStyle w:val="Footnote"/>
      </w:pPr>
      <w:r w:rsidRPr="00865E71">
        <w:rPr>
          <w:rStyle w:val="EndnoteReference"/>
          <w:i w:val="0"/>
        </w:rPr>
        <w:endnoteRef/>
      </w:r>
      <w:r w:rsidRPr="00865E71">
        <w:rPr>
          <w:i w:val="0"/>
        </w:rPr>
        <w:t xml:space="preserve"> </w:t>
      </w:r>
      <w:r w:rsidR="001A42A9">
        <w:rPr>
          <w:i w:val="0"/>
        </w:rPr>
        <w:t>“</w:t>
      </w:r>
      <w:r w:rsidRPr="00865E71">
        <w:rPr>
          <w:i w:val="0"/>
        </w:rPr>
        <w:t>13 Celebrities Speaking Out Against SeaWorld,</w:t>
      </w:r>
      <w:r>
        <w:rPr>
          <w:i w:val="0"/>
        </w:rPr>
        <w:t>”</w:t>
      </w:r>
      <w:r w:rsidRPr="00865E71">
        <w:rPr>
          <w:i w:val="0"/>
        </w:rPr>
        <w:t xml:space="preserve"> SeaWorld of Hurt, accessed March 28, 2017, www.seaworldofhurt.com/features/13-celebrities-speaking-seaworld.</w:t>
      </w:r>
    </w:p>
  </w:endnote>
  <w:endnote w:id="14">
    <w:p w14:paraId="2BFA7B0D" w14:textId="063CCA38" w:rsidR="00A276A0" w:rsidRPr="00865E71" w:rsidRDefault="00A276A0" w:rsidP="00865E71">
      <w:pPr>
        <w:pStyle w:val="Footnote"/>
        <w:rPr>
          <w:i w:val="0"/>
        </w:rPr>
      </w:pPr>
      <w:r w:rsidRPr="00865E71">
        <w:rPr>
          <w:rStyle w:val="EndnoteReference"/>
          <w:i w:val="0"/>
        </w:rPr>
        <w:endnoteRef/>
      </w:r>
      <w:r w:rsidRPr="00865E71">
        <w:rPr>
          <w:i w:val="0"/>
        </w:rPr>
        <w:t xml:space="preserve"> Naomi A. Rose, </w:t>
      </w:r>
      <w:r w:rsidRPr="00E01134">
        <w:t xml:space="preserve">Killer Controversy: Why Orcas Should </w:t>
      </w:r>
      <w:r>
        <w:t>N</w:t>
      </w:r>
      <w:r w:rsidRPr="00E01134">
        <w:t xml:space="preserve">o Longer </w:t>
      </w:r>
      <w:r>
        <w:t>B</w:t>
      </w:r>
      <w:r w:rsidRPr="00E01134">
        <w:t>e Kept in Captivity</w:t>
      </w:r>
      <w:r w:rsidRPr="00865E71">
        <w:rPr>
          <w:i w:val="0"/>
        </w:rPr>
        <w:t xml:space="preserve"> </w:t>
      </w:r>
      <w:r>
        <w:rPr>
          <w:i w:val="0"/>
        </w:rPr>
        <w:t>(</w:t>
      </w:r>
      <w:r w:rsidRPr="00865E71">
        <w:rPr>
          <w:i w:val="0"/>
        </w:rPr>
        <w:t xml:space="preserve">Humane Society International </w:t>
      </w:r>
      <w:r w:rsidRPr="00A276A0">
        <w:rPr>
          <w:i w:val="0"/>
        </w:rPr>
        <w:t>and Humane Society U.S.</w:t>
      </w:r>
      <w:r>
        <w:rPr>
          <w:i w:val="0"/>
        </w:rPr>
        <w:t>,</w:t>
      </w:r>
      <w:r w:rsidRPr="00A276A0" w:rsidDel="00A276A0">
        <w:rPr>
          <w:i w:val="0"/>
        </w:rPr>
        <w:t xml:space="preserve"> </w:t>
      </w:r>
      <w:r w:rsidRPr="00865E71">
        <w:rPr>
          <w:i w:val="0"/>
        </w:rPr>
        <w:t>September 2011</w:t>
      </w:r>
      <w:r>
        <w:rPr>
          <w:i w:val="0"/>
        </w:rPr>
        <w:t>)</w:t>
      </w:r>
      <w:r w:rsidRPr="00865E71">
        <w:rPr>
          <w:i w:val="0"/>
        </w:rPr>
        <w:t>, accessed April 1, 2017, www.hsi.org/assets/pdfs/orca_white_paper.pdf</w:t>
      </w:r>
      <w:r>
        <w:rPr>
          <w:i w:val="0"/>
        </w:rPr>
        <w:t>.</w:t>
      </w:r>
      <w:r w:rsidRPr="00865E71">
        <w:rPr>
          <w:i w:val="0"/>
        </w:rPr>
        <w:t xml:space="preserve"> </w:t>
      </w:r>
    </w:p>
  </w:endnote>
  <w:endnote w:id="15">
    <w:p w14:paraId="580DF9F8" w14:textId="35D5CD48" w:rsidR="00A276A0" w:rsidRPr="00865E71" w:rsidRDefault="00A276A0" w:rsidP="00865E71">
      <w:pPr>
        <w:pStyle w:val="Footnote"/>
        <w:rPr>
          <w:i w:val="0"/>
        </w:rPr>
      </w:pPr>
      <w:r w:rsidRPr="00865E71">
        <w:rPr>
          <w:rStyle w:val="EndnoteReference"/>
          <w:i w:val="0"/>
        </w:rPr>
        <w:endnoteRef/>
      </w:r>
      <w:r w:rsidRPr="00865E71">
        <w:rPr>
          <w:i w:val="0"/>
          <w:vertAlign w:val="superscript"/>
        </w:rPr>
        <w:t xml:space="preserve"> </w:t>
      </w:r>
      <w:r w:rsidRPr="00865E71">
        <w:rPr>
          <w:i w:val="0"/>
        </w:rPr>
        <w:t>Rupert</w:t>
      </w:r>
      <w:r w:rsidR="00D57BFF" w:rsidRPr="00D57BFF">
        <w:rPr>
          <w:i w:val="0"/>
        </w:rPr>
        <w:t xml:space="preserve"> </w:t>
      </w:r>
      <w:r w:rsidR="00D57BFF">
        <w:rPr>
          <w:i w:val="0"/>
        </w:rPr>
        <w:t>Neate</w:t>
      </w:r>
      <w:r>
        <w:rPr>
          <w:i w:val="0"/>
        </w:rPr>
        <w:t>,</w:t>
      </w:r>
      <w:r w:rsidRPr="00865E71">
        <w:rPr>
          <w:i w:val="0"/>
        </w:rPr>
        <w:t xml:space="preserve"> </w:t>
      </w:r>
      <w:r>
        <w:rPr>
          <w:i w:val="0"/>
        </w:rPr>
        <w:t>“</w:t>
      </w:r>
      <w:r w:rsidRPr="00865E71">
        <w:rPr>
          <w:i w:val="0"/>
        </w:rPr>
        <w:t xml:space="preserve">SeaWorld CEO </w:t>
      </w:r>
      <w:r w:rsidR="00D57BFF">
        <w:rPr>
          <w:i w:val="0"/>
        </w:rPr>
        <w:t>A</w:t>
      </w:r>
      <w:r w:rsidR="00D57BFF" w:rsidRPr="00865E71">
        <w:rPr>
          <w:i w:val="0"/>
        </w:rPr>
        <w:t xml:space="preserve">dmits </w:t>
      </w:r>
      <w:r w:rsidR="00D57BFF">
        <w:rPr>
          <w:i w:val="0"/>
        </w:rPr>
        <w:t>E</w:t>
      </w:r>
      <w:r w:rsidR="00D57BFF" w:rsidRPr="00865E71">
        <w:rPr>
          <w:i w:val="0"/>
        </w:rPr>
        <w:t xml:space="preserve">mployees </w:t>
      </w:r>
      <w:r w:rsidR="00D57BFF">
        <w:rPr>
          <w:i w:val="0"/>
        </w:rPr>
        <w:t>W</w:t>
      </w:r>
      <w:r w:rsidR="00D57BFF" w:rsidRPr="00865E71">
        <w:rPr>
          <w:i w:val="0"/>
        </w:rPr>
        <w:t xml:space="preserve">ere </w:t>
      </w:r>
      <w:r w:rsidR="00D57BFF">
        <w:rPr>
          <w:i w:val="0"/>
        </w:rPr>
        <w:t>A</w:t>
      </w:r>
      <w:r w:rsidR="00D57BFF" w:rsidRPr="00865E71">
        <w:rPr>
          <w:i w:val="0"/>
        </w:rPr>
        <w:t xml:space="preserve">sked </w:t>
      </w:r>
      <w:r w:rsidRPr="00865E71">
        <w:rPr>
          <w:i w:val="0"/>
        </w:rPr>
        <w:t xml:space="preserve">to </w:t>
      </w:r>
      <w:r w:rsidR="00D57BFF">
        <w:rPr>
          <w:i w:val="0"/>
        </w:rPr>
        <w:t>P</w:t>
      </w:r>
      <w:r w:rsidR="00D57BFF" w:rsidRPr="00865E71">
        <w:rPr>
          <w:i w:val="0"/>
        </w:rPr>
        <w:t xml:space="preserve">ose </w:t>
      </w:r>
      <w:r w:rsidRPr="00865E71">
        <w:rPr>
          <w:i w:val="0"/>
        </w:rPr>
        <w:t xml:space="preserve">as </w:t>
      </w:r>
      <w:r w:rsidR="00D57BFF">
        <w:rPr>
          <w:i w:val="0"/>
        </w:rPr>
        <w:t>A</w:t>
      </w:r>
      <w:r w:rsidR="00D57BFF" w:rsidRPr="00865E71">
        <w:rPr>
          <w:i w:val="0"/>
        </w:rPr>
        <w:t xml:space="preserve">nimal </w:t>
      </w:r>
      <w:r w:rsidR="00D57BFF">
        <w:rPr>
          <w:i w:val="0"/>
        </w:rPr>
        <w:t>R</w:t>
      </w:r>
      <w:r w:rsidR="00D57BFF" w:rsidRPr="00865E71">
        <w:rPr>
          <w:i w:val="0"/>
        </w:rPr>
        <w:t xml:space="preserve">ights </w:t>
      </w:r>
      <w:r w:rsidR="00D57BFF">
        <w:rPr>
          <w:i w:val="0"/>
        </w:rPr>
        <w:t>A</w:t>
      </w:r>
      <w:r w:rsidR="00D57BFF" w:rsidRPr="00865E71">
        <w:rPr>
          <w:i w:val="0"/>
        </w:rPr>
        <w:t>ctivists</w:t>
      </w:r>
      <w:r w:rsidRPr="00865E71">
        <w:rPr>
          <w:i w:val="0"/>
        </w:rPr>
        <w:t>,</w:t>
      </w:r>
      <w:r>
        <w:rPr>
          <w:i w:val="0"/>
        </w:rPr>
        <w:t>”</w:t>
      </w:r>
      <w:r w:rsidRPr="00865E71">
        <w:rPr>
          <w:i w:val="0"/>
        </w:rPr>
        <w:t xml:space="preserve"> </w:t>
      </w:r>
      <w:r w:rsidRPr="00E01134">
        <w:t>The Guardian</w:t>
      </w:r>
      <w:r w:rsidRPr="00865E71">
        <w:rPr>
          <w:i w:val="0"/>
        </w:rPr>
        <w:t>, February 25, 2016, accessed March 27, 2017, https://www.theguardian.com/us-news/2016/feb/25/seaworld-ceo-admits-employees-infiltrated-peta-animal-rights-activists.</w:t>
      </w:r>
    </w:p>
  </w:endnote>
  <w:endnote w:id="16">
    <w:p w14:paraId="613E83BA" w14:textId="79ADF1C7" w:rsidR="00A276A0" w:rsidRPr="00865E71" w:rsidRDefault="00A276A0" w:rsidP="00865E71">
      <w:pPr>
        <w:pStyle w:val="Footnote"/>
        <w:rPr>
          <w:i w:val="0"/>
        </w:rPr>
      </w:pPr>
      <w:r w:rsidRPr="00865E71">
        <w:rPr>
          <w:rStyle w:val="EndnoteReference"/>
          <w:i w:val="0"/>
        </w:rPr>
        <w:endnoteRef/>
      </w:r>
      <w:r w:rsidRPr="00865E71">
        <w:rPr>
          <w:i w:val="0"/>
        </w:rPr>
        <w:t xml:space="preserve"> </w:t>
      </w:r>
      <w:r>
        <w:rPr>
          <w:i w:val="0"/>
        </w:rPr>
        <w:t>“</w:t>
      </w:r>
      <w:r w:rsidRPr="00865E71">
        <w:rPr>
          <w:i w:val="0"/>
        </w:rPr>
        <w:t>Humane Methods of Slaughter Act,</w:t>
      </w:r>
      <w:r>
        <w:rPr>
          <w:i w:val="0"/>
        </w:rPr>
        <w:t>”</w:t>
      </w:r>
      <w:r w:rsidRPr="00865E71">
        <w:rPr>
          <w:i w:val="0"/>
        </w:rPr>
        <w:t xml:space="preserve"> Animal Welfare Institute, accessed March 27, 2017, https://awionline.org/content/humane-methods-slaughter-act.</w:t>
      </w:r>
    </w:p>
  </w:endnote>
  <w:endnote w:id="17">
    <w:p w14:paraId="00903FD0" w14:textId="17AF72E1" w:rsidR="00A276A0" w:rsidRPr="00865E71" w:rsidRDefault="00A276A0" w:rsidP="00865E71">
      <w:pPr>
        <w:pStyle w:val="Footnote"/>
        <w:rPr>
          <w:i w:val="0"/>
        </w:rPr>
      </w:pPr>
      <w:r w:rsidRPr="00865E71">
        <w:rPr>
          <w:rStyle w:val="EndnoteReference"/>
          <w:i w:val="0"/>
        </w:rPr>
        <w:endnoteRef/>
      </w:r>
      <w:r w:rsidRPr="00865E71">
        <w:rPr>
          <w:i w:val="0"/>
        </w:rPr>
        <w:t xml:space="preserve"> </w:t>
      </w:r>
      <w:r w:rsidR="009F68A0">
        <w:rPr>
          <w:i w:val="0"/>
        </w:rPr>
        <w:t xml:space="preserve">Wayne Pacelle, </w:t>
      </w:r>
      <w:r>
        <w:rPr>
          <w:i w:val="0"/>
        </w:rPr>
        <w:t>“</w:t>
      </w:r>
      <w:r w:rsidR="000A0656">
        <w:rPr>
          <w:i w:val="0"/>
        </w:rPr>
        <w:t>A Berlin Wall Moment for Animal Protection</w:t>
      </w:r>
      <w:r w:rsidR="005B4CF6">
        <w:rPr>
          <w:i w:val="0"/>
        </w:rPr>
        <w:t>,”</w:t>
      </w:r>
      <w:r w:rsidR="005B4CF6" w:rsidRPr="00865E71">
        <w:rPr>
          <w:i w:val="0"/>
        </w:rPr>
        <w:t xml:space="preserve"> </w:t>
      </w:r>
      <w:r w:rsidR="000A0656">
        <w:rPr>
          <w:i w:val="0"/>
        </w:rPr>
        <w:t>A Humane Nation, March 5</w:t>
      </w:r>
      <w:r w:rsidRPr="00865E71">
        <w:rPr>
          <w:i w:val="0"/>
        </w:rPr>
        <w:t xml:space="preserve">, 2015, </w:t>
      </w:r>
      <w:r w:rsidR="009F68A0">
        <w:rPr>
          <w:i w:val="0"/>
        </w:rPr>
        <w:t>a</w:t>
      </w:r>
      <w:r w:rsidR="009F68A0" w:rsidRPr="00865E71">
        <w:rPr>
          <w:i w:val="0"/>
        </w:rPr>
        <w:t xml:space="preserve">ccessed </w:t>
      </w:r>
      <w:r w:rsidRPr="00865E71">
        <w:rPr>
          <w:i w:val="0"/>
        </w:rPr>
        <w:t>April 7, 2017</w:t>
      </w:r>
      <w:r w:rsidR="00ED4D60">
        <w:rPr>
          <w:i w:val="0"/>
        </w:rPr>
        <w:t>,</w:t>
      </w:r>
      <w:r w:rsidR="00ED4D60" w:rsidRPr="00865E71">
        <w:rPr>
          <w:i w:val="0"/>
        </w:rPr>
        <w:t xml:space="preserve"> </w:t>
      </w:r>
      <w:r w:rsidRPr="00865E71">
        <w:rPr>
          <w:i w:val="0"/>
        </w:rPr>
        <w:t>http://blog.humanesociety.org/wayne/2015/03/ringling-bros-ends-elephant-acts.html.</w:t>
      </w:r>
    </w:p>
  </w:endnote>
  <w:endnote w:id="18">
    <w:p w14:paraId="67929218" w14:textId="3CAEC10B" w:rsidR="00A276A0" w:rsidRPr="00865E71" w:rsidRDefault="00A276A0" w:rsidP="00865E71">
      <w:pPr>
        <w:pStyle w:val="Footnote"/>
        <w:rPr>
          <w:i w:val="0"/>
        </w:rPr>
      </w:pPr>
      <w:r w:rsidRPr="00865E71">
        <w:rPr>
          <w:rStyle w:val="EndnoteReference"/>
          <w:i w:val="0"/>
        </w:rPr>
        <w:endnoteRef/>
      </w:r>
      <w:r w:rsidRPr="00865E71">
        <w:rPr>
          <w:i w:val="0"/>
          <w:vertAlign w:val="superscript"/>
        </w:rPr>
        <w:t xml:space="preserve"> </w:t>
      </w:r>
      <w:r w:rsidRPr="00865E71">
        <w:rPr>
          <w:i w:val="0"/>
        </w:rPr>
        <w:t xml:space="preserve">Patricia R. Olsen, </w:t>
      </w:r>
      <w:r>
        <w:rPr>
          <w:i w:val="0"/>
        </w:rPr>
        <w:t>“</w:t>
      </w:r>
      <w:r w:rsidRPr="00865E71">
        <w:rPr>
          <w:i w:val="0"/>
        </w:rPr>
        <w:t>After ‘Wild Kingdom,’</w:t>
      </w:r>
      <w:r>
        <w:rPr>
          <w:i w:val="0"/>
        </w:rPr>
        <w:t>”</w:t>
      </w:r>
      <w:r w:rsidRPr="00865E71">
        <w:rPr>
          <w:i w:val="0"/>
        </w:rPr>
        <w:t xml:space="preserve"> </w:t>
      </w:r>
      <w:r w:rsidRPr="00E01134">
        <w:t>The New York Times</w:t>
      </w:r>
      <w:r w:rsidRPr="00865E71">
        <w:rPr>
          <w:i w:val="0"/>
        </w:rPr>
        <w:t xml:space="preserve">, December </w:t>
      </w:r>
      <w:r w:rsidR="00AB5AB2" w:rsidRPr="00865E71">
        <w:rPr>
          <w:i w:val="0"/>
        </w:rPr>
        <w:t>2</w:t>
      </w:r>
      <w:r w:rsidR="00AB5AB2">
        <w:rPr>
          <w:i w:val="0"/>
        </w:rPr>
        <w:t>4</w:t>
      </w:r>
      <w:r w:rsidRPr="00865E71">
        <w:rPr>
          <w:i w:val="0"/>
        </w:rPr>
        <w:t>, 2006, accessed March 27, 2017, www.nytimes.com/2006/12/24/jobs/24boss.html?pagewanted=print&amp;_r=0.</w:t>
      </w:r>
    </w:p>
  </w:endnote>
  <w:endnote w:id="19">
    <w:p w14:paraId="7CFB8F70" w14:textId="1262D5AD" w:rsidR="00A276A0" w:rsidRPr="00865E71" w:rsidRDefault="00A276A0" w:rsidP="00865E71">
      <w:pPr>
        <w:pStyle w:val="Footnote"/>
        <w:rPr>
          <w:i w:val="0"/>
        </w:rPr>
      </w:pPr>
      <w:r w:rsidRPr="00865E71">
        <w:rPr>
          <w:rStyle w:val="EndnoteReference"/>
          <w:i w:val="0"/>
        </w:rPr>
        <w:endnoteRef/>
      </w:r>
      <w:r w:rsidRPr="00865E71">
        <w:rPr>
          <w:i w:val="0"/>
        </w:rPr>
        <w:t xml:space="preserve"> </w:t>
      </w:r>
      <w:r w:rsidR="00811DDC">
        <w:rPr>
          <w:i w:val="0"/>
        </w:rPr>
        <w:t>Ibid</w:t>
      </w:r>
      <w:r w:rsidR="00AB5AB2" w:rsidRPr="00865E71">
        <w:rPr>
          <w:i w:val="0"/>
        </w:rPr>
        <w:t>.</w:t>
      </w:r>
    </w:p>
  </w:endnote>
  <w:endnote w:id="20">
    <w:p w14:paraId="59BAAB08" w14:textId="4DEAD76D" w:rsidR="00A276A0" w:rsidRPr="00865E71" w:rsidRDefault="00A276A0" w:rsidP="00865E71">
      <w:pPr>
        <w:pStyle w:val="Footnote"/>
        <w:rPr>
          <w:i w:val="0"/>
        </w:rPr>
      </w:pPr>
      <w:r w:rsidRPr="00865E71">
        <w:rPr>
          <w:rStyle w:val="EndnoteReference"/>
          <w:i w:val="0"/>
        </w:rPr>
        <w:endnoteRef/>
      </w:r>
      <w:r w:rsidRPr="00865E71">
        <w:rPr>
          <w:i w:val="0"/>
        </w:rPr>
        <w:t xml:space="preserve"> Karin Brulliard, </w:t>
      </w:r>
      <w:r>
        <w:rPr>
          <w:i w:val="0"/>
        </w:rPr>
        <w:t>“</w:t>
      </w:r>
      <w:r w:rsidRPr="00865E71">
        <w:rPr>
          <w:i w:val="0"/>
        </w:rPr>
        <w:t xml:space="preserve">How </w:t>
      </w:r>
      <w:r>
        <w:rPr>
          <w:i w:val="0"/>
        </w:rPr>
        <w:t>E</w:t>
      </w:r>
      <w:r w:rsidRPr="00865E71">
        <w:rPr>
          <w:i w:val="0"/>
        </w:rPr>
        <w:t xml:space="preserve">ggs </w:t>
      </w:r>
      <w:r>
        <w:rPr>
          <w:i w:val="0"/>
        </w:rPr>
        <w:t>B</w:t>
      </w:r>
      <w:r w:rsidRPr="00865E71">
        <w:rPr>
          <w:i w:val="0"/>
        </w:rPr>
        <w:t xml:space="preserve">ecame a </w:t>
      </w:r>
      <w:r>
        <w:rPr>
          <w:i w:val="0"/>
        </w:rPr>
        <w:t>V</w:t>
      </w:r>
      <w:r w:rsidRPr="00865E71">
        <w:rPr>
          <w:i w:val="0"/>
        </w:rPr>
        <w:t xml:space="preserve">ictory for the </w:t>
      </w:r>
      <w:r>
        <w:rPr>
          <w:i w:val="0"/>
        </w:rPr>
        <w:t>A</w:t>
      </w:r>
      <w:r w:rsidRPr="00865E71">
        <w:rPr>
          <w:i w:val="0"/>
        </w:rPr>
        <w:t xml:space="preserve">nimal </w:t>
      </w:r>
      <w:r>
        <w:rPr>
          <w:i w:val="0"/>
        </w:rPr>
        <w:t>W</w:t>
      </w:r>
      <w:r w:rsidRPr="00865E71">
        <w:rPr>
          <w:i w:val="0"/>
        </w:rPr>
        <w:t xml:space="preserve">elfare </w:t>
      </w:r>
      <w:r>
        <w:rPr>
          <w:i w:val="0"/>
        </w:rPr>
        <w:t>M</w:t>
      </w:r>
      <w:r w:rsidRPr="00865E71">
        <w:rPr>
          <w:i w:val="0"/>
        </w:rPr>
        <w:t>ovement</w:t>
      </w:r>
      <w:r w:rsidR="00F541D1">
        <w:rPr>
          <w:i w:val="0"/>
        </w:rPr>
        <w:t>,</w:t>
      </w:r>
      <w:r>
        <w:rPr>
          <w:i w:val="0"/>
        </w:rPr>
        <w:t>”</w:t>
      </w:r>
      <w:r w:rsidRPr="00865E71">
        <w:rPr>
          <w:i w:val="0"/>
        </w:rPr>
        <w:t xml:space="preserve"> </w:t>
      </w:r>
      <w:r w:rsidRPr="00E01134">
        <w:t>The Washington Post</w:t>
      </w:r>
      <w:r w:rsidRPr="00865E71">
        <w:rPr>
          <w:i w:val="0"/>
        </w:rPr>
        <w:t>, August 6, 2016, accessed March 27, 2017, https://www.washingtonpost.com/news/animalia/wp/2016/08/06/how-eggs-became-a-victory-for-the-animal-welfare-movement-if-not-necessarily-for-hens/?utm_term=.dffdd4f4876f.</w:t>
      </w:r>
    </w:p>
  </w:endnote>
  <w:endnote w:id="21">
    <w:p w14:paraId="545846CF" w14:textId="7E4BA07A" w:rsidR="009766C0" w:rsidRPr="00865E71" w:rsidRDefault="00A276A0" w:rsidP="00865E71">
      <w:pPr>
        <w:pStyle w:val="Footnote"/>
        <w:rPr>
          <w:i w:val="0"/>
        </w:rPr>
      </w:pPr>
      <w:r w:rsidRPr="00865E71">
        <w:rPr>
          <w:rStyle w:val="EndnoteReference"/>
          <w:i w:val="0"/>
        </w:rPr>
        <w:endnoteRef/>
      </w:r>
      <w:r w:rsidRPr="00865E71">
        <w:rPr>
          <w:i w:val="0"/>
        </w:rPr>
        <w:t xml:space="preserve"> </w:t>
      </w:r>
      <w:r w:rsidR="005C425C" w:rsidRPr="00865E71">
        <w:rPr>
          <w:i w:val="0"/>
        </w:rPr>
        <w:t xml:space="preserve">Patricia R. Olsen, </w:t>
      </w:r>
      <w:r w:rsidR="00811DDC">
        <w:rPr>
          <w:i w:val="0"/>
        </w:rPr>
        <w:t>op. cit.</w:t>
      </w:r>
    </w:p>
  </w:endnote>
  <w:endnote w:id="22">
    <w:p w14:paraId="4CEDA495" w14:textId="4F964EC2" w:rsidR="009766C0" w:rsidRPr="00865E71" w:rsidRDefault="00A276A0" w:rsidP="00865E71">
      <w:pPr>
        <w:pStyle w:val="Footnote"/>
        <w:rPr>
          <w:i w:val="0"/>
        </w:rPr>
      </w:pPr>
      <w:r w:rsidRPr="00865E71">
        <w:rPr>
          <w:rStyle w:val="EndnoteReference"/>
          <w:i w:val="0"/>
        </w:rPr>
        <w:endnoteRef/>
      </w:r>
      <w:r w:rsidRPr="00865E71">
        <w:rPr>
          <w:i w:val="0"/>
          <w:vertAlign w:val="superscript"/>
        </w:rPr>
        <w:t xml:space="preserve"> </w:t>
      </w:r>
      <w:r w:rsidRPr="00865E71">
        <w:rPr>
          <w:i w:val="0"/>
        </w:rPr>
        <w:t xml:space="preserve">Kim Severson, </w:t>
      </w:r>
      <w:r>
        <w:rPr>
          <w:i w:val="0"/>
        </w:rPr>
        <w:t>“</w:t>
      </w:r>
      <w:r w:rsidRPr="00865E71">
        <w:rPr>
          <w:i w:val="0"/>
        </w:rPr>
        <w:t>Bringing Moos and Oinks into the Food Debate</w:t>
      </w:r>
      <w:r>
        <w:rPr>
          <w:i w:val="0"/>
        </w:rPr>
        <w:t>,”</w:t>
      </w:r>
      <w:r w:rsidRPr="00865E71">
        <w:rPr>
          <w:i w:val="0"/>
        </w:rPr>
        <w:t xml:space="preserve"> </w:t>
      </w:r>
      <w:r w:rsidRPr="00E01134">
        <w:t>The New York Times</w:t>
      </w:r>
      <w:r w:rsidRPr="00865E71">
        <w:rPr>
          <w:i w:val="0"/>
        </w:rPr>
        <w:t xml:space="preserve">, July </w:t>
      </w:r>
      <w:r w:rsidR="005C425C" w:rsidRPr="00865E71">
        <w:rPr>
          <w:i w:val="0"/>
        </w:rPr>
        <w:t>2</w:t>
      </w:r>
      <w:r w:rsidR="005C425C">
        <w:rPr>
          <w:i w:val="0"/>
        </w:rPr>
        <w:t>5</w:t>
      </w:r>
      <w:r w:rsidRPr="00865E71">
        <w:rPr>
          <w:i w:val="0"/>
        </w:rPr>
        <w:t xml:space="preserve">, 2007, accessed March 27, 2017, </w:t>
      </w:r>
      <w:r w:rsidR="009766C0" w:rsidRPr="009766C0">
        <w:rPr>
          <w:i w:val="0"/>
        </w:rPr>
        <w:t>www.nytimes.com/2007/07/25/dining/25sanc.html</w:t>
      </w:r>
      <w:r w:rsidR="009766C0">
        <w:rPr>
          <w:i w:val="0"/>
        </w:rPr>
        <w:t>.</w:t>
      </w:r>
    </w:p>
  </w:endnote>
  <w:endnote w:id="23">
    <w:p w14:paraId="7D035D35" w14:textId="3C7D5F5F" w:rsidR="00A276A0" w:rsidRPr="00BD70FA" w:rsidRDefault="009766C0" w:rsidP="00865E71">
      <w:pPr>
        <w:pStyle w:val="Footnote"/>
        <w:rPr>
          <w:i w:val="0"/>
        </w:rPr>
      </w:pPr>
      <w:r w:rsidRPr="00BD70FA">
        <w:rPr>
          <w:rStyle w:val="EndnoteReference"/>
          <w:i w:val="0"/>
        </w:rPr>
        <w:endnoteRef/>
      </w:r>
      <w:r w:rsidR="00836EA5">
        <w:rPr>
          <w:i w:val="0"/>
        </w:rPr>
        <w:t xml:space="preserve"> Carla Hall, “</w:t>
      </w:r>
      <w:r w:rsidRPr="00BD70FA">
        <w:rPr>
          <w:i w:val="0"/>
        </w:rPr>
        <w:t xml:space="preserve">Wayne Pacelle </w:t>
      </w:r>
      <w:r w:rsidR="00811DDC">
        <w:rPr>
          <w:i w:val="0"/>
        </w:rPr>
        <w:t>W</w:t>
      </w:r>
      <w:r w:rsidRPr="00BD70FA">
        <w:rPr>
          <w:i w:val="0"/>
        </w:rPr>
        <w:t xml:space="preserve">orks for the </w:t>
      </w:r>
      <w:r w:rsidR="00811DDC">
        <w:rPr>
          <w:i w:val="0"/>
        </w:rPr>
        <w:t>W</w:t>
      </w:r>
      <w:r w:rsidRPr="00BD70FA">
        <w:rPr>
          <w:i w:val="0"/>
        </w:rPr>
        <w:t xml:space="preserve">inged, </w:t>
      </w:r>
      <w:r w:rsidR="00811DDC">
        <w:rPr>
          <w:i w:val="0"/>
        </w:rPr>
        <w:t>F</w:t>
      </w:r>
      <w:r w:rsidRPr="00BD70FA">
        <w:rPr>
          <w:i w:val="0"/>
        </w:rPr>
        <w:t xml:space="preserve">inned and </w:t>
      </w:r>
      <w:r w:rsidR="00811DDC">
        <w:rPr>
          <w:i w:val="0"/>
        </w:rPr>
        <w:t>F</w:t>
      </w:r>
      <w:r w:rsidR="00836EA5">
        <w:rPr>
          <w:i w:val="0"/>
        </w:rPr>
        <w:t>urry,”</w:t>
      </w:r>
      <w:r w:rsidRPr="00BD70FA">
        <w:rPr>
          <w:i w:val="0"/>
        </w:rPr>
        <w:t xml:space="preserve"> </w:t>
      </w:r>
      <w:r w:rsidRPr="00BD70FA">
        <w:t>Los Angeles Times</w:t>
      </w:r>
      <w:r w:rsidRPr="00BD70FA">
        <w:rPr>
          <w:i w:val="0"/>
        </w:rPr>
        <w:t>, accessed March 27, 2017, www.latimes.com/local/la-me-pacelle19-2008jul19-story.html.</w:t>
      </w:r>
    </w:p>
  </w:endnote>
  <w:endnote w:id="24">
    <w:p w14:paraId="051BC639" w14:textId="30C09D8C" w:rsidR="00A276A0" w:rsidRPr="00865E71" w:rsidRDefault="00A276A0" w:rsidP="00865E71">
      <w:pPr>
        <w:pStyle w:val="Footnote"/>
        <w:rPr>
          <w:i w:val="0"/>
        </w:rPr>
      </w:pPr>
      <w:r w:rsidRPr="00865E71">
        <w:rPr>
          <w:rStyle w:val="EndnoteReference"/>
          <w:i w:val="0"/>
        </w:rPr>
        <w:endnoteRef/>
      </w:r>
      <w:r w:rsidRPr="00865E71">
        <w:rPr>
          <w:i w:val="0"/>
          <w:vertAlign w:val="superscript"/>
        </w:rPr>
        <w:t xml:space="preserve"> </w:t>
      </w:r>
      <w:r>
        <w:rPr>
          <w:i w:val="0"/>
        </w:rPr>
        <w:t>“</w:t>
      </w:r>
      <w:r w:rsidRPr="00865E71">
        <w:rPr>
          <w:i w:val="0"/>
        </w:rPr>
        <w:t>Hounding the Humane Society of the U.S,</w:t>
      </w:r>
      <w:r>
        <w:rPr>
          <w:i w:val="0"/>
        </w:rPr>
        <w:t>”</w:t>
      </w:r>
      <w:r w:rsidRPr="00865E71">
        <w:rPr>
          <w:i w:val="0"/>
        </w:rPr>
        <w:t xml:space="preserve"> </w:t>
      </w:r>
      <w:r w:rsidRPr="00E01134">
        <w:t>Los Angeles Times</w:t>
      </w:r>
      <w:r w:rsidRPr="00865E71">
        <w:rPr>
          <w:i w:val="0"/>
        </w:rPr>
        <w:t>, June 12, 2011, accessed March 27, 2017, http://articles.latimes.com/2011/jun/12/opinion/la-ed-humane-20110612.</w:t>
      </w:r>
    </w:p>
  </w:endnote>
  <w:endnote w:id="25">
    <w:p w14:paraId="159037E0" w14:textId="265FBA61" w:rsidR="00A276A0" w:rsidRPr="00865E71" w:rsidRDefault="00A276A0" w:rsidP="00E01134">
      <w:pPr>
        <w:pStyle w:val="Footnote"/>
        <w:jc w:val="left"/>
        <w:rPr>
          <w:i w:val="0"/>
        </w:rPr>
      </w:pPr>
      <w:r w:rsidRPr="00865E71">
        <w:rPr>
          <w:rStyle w:val="EndnoteReference"/>
          <w:i w:val="0"/>
        </w:rPr>
        <w:endnoteRef/>
      </w:r>
      <w:r>
        <w:rPr>
          <w:i w:val="0"/>
        </w:rPr>
        <w:t xml:space="preserve"> </w:t>
      </w:r>
      <w:r w:rsidRPr="00865E71">
        <w:rPr>
          <w:i w:val="0"/>
        </w:rPr>
        <w:t xml:space="preserve">James E. McWilliams, </w:t>
      </w:r>
      <w:r>
        <w:rPr>
          <w:i w:val="0"/>
        </w:rPr>
        <w:t>“</w:t>
      </w:r>
      <w:r w:rsidR="000A0656">
        <w:rPr>
          <w:i w:val="0"/>
        </w:rPr>
        <w:t>Vegan Feud</w:t>
      </w:r>
      <w:r w:rsidRPr="00865E71">
        <w:rPr>
          <w:i w:val="0"/>
        </w:rPr>
        <w:t>,</w:t>
      </w:r>
      <w:r>
        <w:rPr>
          <w:i w:val="0"/>
        </w:rPr>
        <w:t>”</w:t>
      </w:r>
      <w:r w:rsidRPr="00865E71">
        <w:rPr>
          <w:i w:val="0"/>
        </w:rPr>
        <w:t xml:space="preserve"> </w:t>
      </w:r>
      <w:r w:rsidRPr="00E01134">
        <w:t>Slate</w:t>
      </w:r>
      <w:r w:rsidRPr="00865E71">
        <w:rPr>
          <w:i w:val="0"/>
        </w:rPr>
        <w:t xml:space="preserve">, September 7, 2012, accessed March 27, </w:t>
      </w:r>
      <w:r w:rsidR="000A0656">
        <w:rPr>
          <w:i w:val="0"/>
        </w:rPr>
        <w:t xml:space="preserve">2017, </w:t>
      </w:r>
      <w:r w:rsidR="009766C0" w:rsidRPr="009766C0">
        <w:rPr>
          <w:i w:val="0"/>
        </w:rPr>
        <w:t>www.slate.com/articles</w:t>
      </w:r>
      <w:r w:rsidR="009766C0">
        <w:rPr>
          <w:i w:val="0"/>
        </w:rPr>
        <w:t xml:space="preserve"> </w:t>
      </w:r>
      <w:r w:rsidR="000A0656" w:rsidRPr="000A0656">
        <w:rPr>
          <w:i w:val="0"/>
        </w:rPr>
        <w:t>/life/food/2012/09/hsus_vs_abolitionists_vs_the_meat_industry_why_the_infighting_should_stop_.html</w:t>
      </w:r>
    </w:p>
  </w:endnote>
  <w:endnote w:id="26">
    <w:p w14:paraId="58BC4492" w14:textId="1A28D521" w:rsidR="00A276A0" w:rsidRPr="00B71E44" w:rsidRDefault="00A276A0" w:rsidP="00865E71">
      <w:pPr>
        <w:pStyle w:val="Footnote"/>
      </w:pPr>
      <w:r w:rsidRPr="00865E71">
        <w:rPr>
          <w:rStyle w:val="EndnoteReference"/>
          <w:i w:val="0"/>
        </w:rPr>
        <w:endnoteRef/>
      </w:r>
      <w:r w:rsidRPr="00865E71">
        <w:rPr>
          <w:i w:val="0"/>
        </w:rPr>
        <w:t xml:space="preserve"> </w:t>
      </w:r>
      <w:r w:rsidR="00836EA5">
        <w:rPr>
          <w:i w:val="0"/>
        </w:rPr>
        <w:t>“</w:t>
      </w:r>
      <w:r w:rsidRPr="00865E71">
        <w:rPr>
          <w:i w:val="0"/>
        </w:rPr>
        <w:t>HumaneWatch</w:t>
      </w:r>
      <w:r w:rsidR="00836EA5">
        <w:rPr>
          <w:i w:val="0"/>
        </w:rPr>
        <w:t>”</w:t>
      </w:r>
      <w:r w:rsidRPr="00865E71">
        <w:rPr>
          <w:i w:val="0"/>
        </w:rPr>
        <w:t>, accessed March 27, 2017</w:t>
      </w:r>
      <w:r w:rsidR="002F7EE3">
        <w:rPr>
          <w:i w:val="0"/>
        </w:rPr>
        <w:t>,</w:t>
      </w:r>
      <w:r w:rsidR="002F7EE3" w:rsidRPr="00865E71">
        <w:rPr>
          <w:i w:val="0"/>
        </w:rPr>
        <w:t xml:space="preserve"> </w:t>
      </w:r>
      <w:r w:rsidRPr="00865E71">
        <w:rPr>
          <w:i w:val="0"/>
        </w:rPr>
        <w:t>https://www.humanewatch.org.</w:t>
      </w:r>
    </w:p>
  </w:endnote>
  <w:endnote w:id="27">
    <w:p w14:paraId="499F77B8" w14:textId="5BD2A816" w:rsidR="00A276A0" w:rsidRPr="00865E71" w:rsidRDefault="00A276A0" w:rsidP="00865E71">
      <w:pPr>
        <w:pStyle w:val="Footnote"/>
        <w:rPr>
          <w:i w:val="0"/>
        </w:rPr>
      </w:pPr>
      <w:r w:rsidRPr="00865E71">
        <w:rPr>
          <w:rStyle w:val="EndnoteReference"/>
          <w:i w:val="0"/>
        </w:rPr>
        <w:endnoteRef/>
      </w:r>
      <w:r w:rsidRPr="00836EA5">
        <w:rPr>
          <w:i w:val="0"/>
        </w:rPr>
        <w:t xml:space="preserve"> </w:t>
      </w:r>
      <w:r w:rsidR="00836EA5">
        <w:rPr>
          <w:i w:val="0"/>
        </w:rPr>
        <w:t>“</w:t>
      </w:r>
      <w:r w:rsidRPr="00865E71">
        <w:rPr>
          <w:i w:val="0"/>
        </w:rPr>
        <w:t>Hounding the Humane Society of the U.S,</w:t>
      </w:r>
      <w:r>
        <w:rPr>
          <w:i w:val="0"/>
        </w:rPr>
        <w:t>”</w:t>
      </w:r>
      <w:r w:rsidRPr="00865E71">
        <w:rPr>
          <w:i w:val="0"/>
        </w:rPr>
        <w:t xml:space="preserve"> </w:t>
      </w:r>
      <w:r w:rsidR="002F7EE3" w:rsidRPr="00165546">
        <w:t>Los Angeles Times</w:t>
      </w:r>
      <w:r w:rsidR="002F7EE3" w:rsidRPr="00E01134">
        <w:rPr>
          <w:i w:val="0"/>
        </w:rPr>
        <w:t>,</w:t>
      </w:r>
      <w:r w:rsidR="002F7EE3" w:rsidRPr="002F7EE3">
        <w:rPr>
          <w:i w:val="0"/>
        </w:rPr>
        <w:t xml:space="preserve"> </w:t>
      </w:r>
      <w:r>
        <w:rPr>
          <w:i w:val="0"/>
        </w:rPr>
        <w:t>op. cit.</w:t>
      </w:r>
    </w:p>
  </w:endnote>
  <w:endnote w:id="28">
    <w:p w14:paraId="05C0B027" w14:textId="08165FFC" w:rsidR="00A276A0" w:rsidRPr="00865E71" w:rsidRDefault="00A276A0" w:rsidP="00865E71">
      <w:pPr>
        <w:pStyle w:val="Footnote"/>
        <w:rPr>
          <w:i w:val="0"/>
        </w:rPr>
      </w:pPr>
      <w:r w:rsidRPr="00865E71">
        <w:rPr>
          <w:rStyle w:val="EndnoteReference"/>
          <w:i w:val="0"/>
        </w:rPr>
        <w:endnoteRef/>
      </w:r>
      <w:r w:rsidRPr="00865E71">
        <w:rPr>
          <w:i w:val="0"/>
        </w:rPr>
        <w:t xml:space="preserve"> Benjamin Wallace, </w:t>
      </w:r>
      <w:r w:rsidR="00D85488">
        <w:rPr>
          <w:i w:val="0"/>
        </w:rPr>
        <w:t>“</w:t>
      </w:r>
      <w:r w:rsidR="00D85488" w:rsidRPr="00AE3053">
        <w:rPr>
          <w:i w:val="0"/>
        </w:rPr>
        <w:t>SeaWorld, Breached</w:t>
      </w:r>
      <w:r w:rsidR="00D85488">
        <w:rPr>
          <w:i w:val="0"/>
        </w:rPr>
        <w:t xml:space="preserve">,” </w:t>
      </w:r>
      <w:r>
        <w:rPr>
          <w:i w:val="0"/>
        </w:rPr>
        <w:t>op. cit.</w:t>
      </w:r>
    </w:p>
  </w:endnote>
  <w:endnote w:id="29">
    <w:p w14:paraId="4C3287A2" w14:textId="4491F5E3" w:rsidR="00A276A0" w:rsidRPr="00865E71" w:rsidRDefault="00A276A0" w:rsidP="00865E71">
      <w:pPr>
        <w:pStyle w:val="Footnote"/>
        <w:rPr>
          <w:i w:val="0"/>
        </w:rPr>
      </w:pPr>
      <w:r w:rsidRPr="00865E71">
        <w:rPr>
          <w:rStyle w:val="EndnoteReference"/>
          <w:i w:val="0"/>
        </w:rPr>
        <w:endnoteRef/>
      </w:r>
      <w:r w:rsidRPr="00865E71">
        <w:rPr>
          <w:i w:val="0"/>
        </w:rPr>
        <w:t xml:space="preserve"> </w:t>
      </w:r>
      <w:r w:rsidR="00811DDC">
        <w:rPr>
          <w:i w:val="0"/>
        </w:rPr>
        <w:t>Ibid</w:t>
      </w:r>
      <w:r w:rsidR="002F7EE3">
        <w:rPr>
          <w:i w:val="0"/>
        </w:rPr>
        <w:t>.</w:t>
      </w:r>
    </w:p>
    <w:p w14:paraId="498A25EC" w14:textId="77777777" w:rsidR="00A276A0" w:rsidRPr="000071BD" w:rsidRDefault="00A276A0" w:rsidP="00B71E44">
      <w:pPr>
        <w:pStyle w:val="EndnoteText"/>
        <w:rPr>
          <w:sz w:val="22"/>
          <w:szCs w:val="22"/>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48C013" w14:textId="77777777" w:rsidR="00EA5D2F" w:rsidRDefault="00EA5D2F" w:rsidP="00D75295">
      <w:r>
        <w:separator/>
      </w:r>
    </w:p>
  </w:footnote>
  <w:footnote w:type="continuationSeparator" w:id="0">
    <w:p w14:paraId="2028B9C2" w14:textId="77777777" w:rsidR="00EA5D2F" w:rsidRDefault="00EA5D2F"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AD606" w14:textId="2500DBBD" w:rsidR="00A276A0" w:rsidRDefault="00A276A0"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250B15">
      <w:rPr>
        <w:rFonts w:ascii="Arial" w:hAnsi="Arial"/>
        <w:b/>
        <w:noProof/>
      </w:rPr>
      <w:t>9</w:t>
    </w:r>
    <w:r>
      <w:rPr>
        <w:rFonts w:ascii="Arial" w:hAnsi="Arial"/>
        <w:b/>
      </w:rPr>
      <w:fldChar w:fldCharType="end"/>
    </w:r>
    <w:r>
      <w:rPr>
        <w:rFonts w:ascii="Arial" w:hAnsi="Arial"/>
        <w:b/>
      </w:rPr>
      <w:tab/>
    </w:r>
    <w:r w:rsidR="00C312FE">
      <w:rPr>
        <w:rFonts w:ascii="Arial" w:hAnsi="Arial"/>
        <w:b/>
      </w:rPr>
      <w:t>9B17M145</w:t>
    </w:r>
  </w:p>
  <w:p w14:paraId="2A01631F" w14:textId="77777777" w:rsidR="00A276A0" w:rsidRPr="00C92CC4" w:rsidRDefault="00A276A0">
    <w:pPr>
      <w:pStyle w:val="Header"/>
      <w:rPr>
        <w:sz w:val="18"/>
        <w:szCs w:val="18"/>
      </w:rPr>
    </w:pPr>
  </w:p>
  <w:p w14:paraId="124465EB" w14:textId="77777777" w:rsidR="00A276A0" w:rsidRPr="00C92CC4" w:rsidRDefault="00A276A0">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9"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1"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3"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2"/>
  </w:num>
  <w:num w:numId="14">
    <w:abstractNumId w:val="19"/>
  </w:num>
  <w:num w:numId="15">
    <w:abstractNumId w:val="20"/>
  </w:num>
  <w:num w:numId="16">
    <w:abstractNumId w:val="21"/>
  </w:num>
  <w:num w:numId="17">
    <w:abstractNumId w:val="15"/>
  </w:num>
  <w:num w:numId="18">
    <w:abstractNumId w:val="22"/>
  </w:num>
  <w:num w:numId="19">
    <w:abstractNumId w:val="11"/>
  </w:num>
  <w:num w:numId="20">
    <w:abstractNumId w:val="10"/>
  </w:num>
  <w:num w:numId="21">
    <w:abstractNumId w:val="23"/>
  </w:num>
  <w:num w:numId="22">
    <w:abstractNumId w:val="17"/>
  </w:num>
  <w:num w:numId="23">
    <w:abstractNumId w:val="24"/>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4"/>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4"/>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removeDateAndTime/>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20481"/>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216CE"/>
    <w:rsid w:val="00025DC7"/>
    <w:rsid w:val="00026486"/>
    <w:rsid w:val="00044ECC"/>
    <w:rsid w:val="000531D3"/>
    <w:rsid w:val="0005646B"/>
    <w:rsid w:val="000636C0"/>
    <w:rsid w:val="00064537"/>
    <w:rsid w:val="00072FB8"/>
    <w:rsid w:val="00076B06"/>
    <w:rsid w:val="0008102D"/>
    <w:rsid w:val="00091E74"/>
    <w:rsid w:val="00094C0E"/>
    <w:rsid w:val="000A0656"/>
    <w:rsid w:val="000A5622"/>
    <w:rsid w:val="000D44FE"/>
    <w:rsid w:val="000F0C22"/>
    <w:rsid w:val="000F693E"/>
    <w:rsid w:val="000F6B09"/>
    <w:rsid w:val="000F6FDC"/>
    <w:rsid w:val="00104567"/>
    <w:rsid w:val="00115082"/>
    <w:rsid w:val="001216C4"/>
    <w:rsid w:val="001225C3"/>
    <w:rsid w:val="0012305E"/>
    <w:rsid w:val="00123DA6"/>
    <w:rsid w:val="0012732D"/>
    <w:rsid w:val="00154FC9"/>
    <w:rsid w:val="0017666D"/>
    <w:rsid w:val="0019241A"/>
    <w:rsid w:val="001A03B1"/>
    <w:rsid w:val="001A158E"/>
    <w:rsid w:val="001A42A9"/>
    <w:rsid w:val="001A5335"/>
    <w:rsid w:val="001A752D"/>
    <w:rsid w:val="001E3E4B"/>
    <w:rsid w:val="00203AA1"/>
    <w:rsid w:val="00213E98"/>
    <w:rsid w:val="00221BA0"/>
    <w:rsid w:val="00234274"/>
    <w:rsid w:val="002438B7"/>
    <w:rsid w:val="00250B15"/>
    <w:rsid w:val="002529F6"/>
    <w:rsid w:val="00257D8E"/>
    <w:rsid w:val="002779CD"/>
    <w:rsid w:val="002A08DE"/>
    <w:rsid w:val="002F460C"/>
    <w:rsid w:val="002F48D6"/>
    <w:rsid w:val="002F7EE3"/>
    <w:rsid w:val="00354899"/>
    <w:rsid w:val="00355FD6"/>
    <w:rsid w:val="00357757"/>
    <w:rsid w:val="00361C8E"/>
    <w:rsid w:val="00364A5C"/>
    <w:rsid w:val="00373FB1"/>
    <w:rsid w:val="00377749"/>
    <w:rsid w:val="003A137C"/>
    <w:rsid w:val="003B30D8"/>
    <w:rsid w:val="003B45A8"/>
    <w:rsid w:val="003B7EF2"/>
    <w:rsid w:val="003C3FA4"/>
    <w:rsid w:val="003D6BF7"/>
    <w:rsid w:val="003F2B0C"/>
    <w:rsid w:val="003F3318"/>
    <w:rsid w:val="004113FD"/>
    <w:rsid w:val="004221E4"/>
    <w:rsid w:val="00451518"/>
    <w:rsid w:val="00454E93"/>
    <w:rsid w:val="00471088"/>
    <w:rsid w:val="00481C03"/>
    <w:rsid w:val="00483AF9"/>
    <w:rsid w:val="00486820"/>
    <w:rsid w:val="004B1CCB"/>
    <w:rsid w:val="004D73A5"/>
    <w:rsid w:val="004E398C"/>
    <w:rsid w:val="004F68BD"/>
    <w:rsid w:val="005255A5"/>
    <w:rsid w:val="00532CF5"/>
    <w:rsid w:val="005349F1"/>
    <w:rsid w:val="005447CA"/>
    <w:rsid w:val="005528CB"/>
    <w:rsid w:val="005563FE"/>
    <w:rsid w:val="00560C2F"/>
    <w:rsid w:val="00566771"/>
    <w:rsid w:val="005707C0"/>
    <w:rsid w:val="0057482A"/>
    <w:rsid w:val="00581E2E"/>
    <w:rsid w:val="00584F15"/>
    <w:rsid w:val="00586A97"/>
    <w:rsid w:val="0059216B"/>
    <w:rsid w:val="005B2704"/>
    <w:rsid w:val="005B4CF6"/>
    <w:rsid w:val="005C425C"/>
    <w:rsid w:val="005D1F60"/>
    <w:rsid w:val="005D34C8"/>
    <w:rsid w:val="005F06C9"/>
    <w:rsid w:val="006163F7"/>
    <w:rsid w:val="006347EA"/>
    <w:rsid w:val="00652606"/>
    <w:rsid w:val="0067200B"/>
    <w:rsid w:val="00682754"/>
    <w:rsid w:val="0068679D"/>
    <w:rsid w:val="006A58A9"/>
    <w:rsid w:val="006A606D"/>
    <w:rsid w:val="006A7966"/>
    <w:rsid w:val="006C0371"/>
    <w:rsid w:val="006C08B6"/>
    <w:rsid w:val="006C0B1A"/>
    <w:rsid w:val="006C4384"/>
    <w:rsid w:val="006C50B5"/>
    <w:rsid w:val="006C6065"/>
    <w:rsid w:val="006C7F9F"/>
    <w:rsid w:val="006E286B"/>
    <w:rsid w:val="006E2F6D"/>
    <w:rsid w:val="006E58F6"/>
    <w:rsid w:val="006E77E1"/>
    <w:rsid w:val="006F131D"/>
    <w:rsid w:val="0071642A"/>
    <w:rsid w:val="00716BC8"/>
    <w:rsid w:val="00752BCD"/>
    <w:rsid w:val="007616F0"/>
    <w:rsid w:val="00766DA1"/>
    <w:rsid w:val="00770991"/>
    <w:rsid w:val="00777873"/>
    <w:rsid w:val="007866A6"/>
    <w:rsid w:val="007A130D"/>
    <w:rsid w:val="007A1CD1"/>
    <w:rsid w:val="007A5819"/>
    <w:rsid w:val="007A71BD"/>
    <w:rsid w:val="007B0ECA"/>
    <w:rsid w:val="007D4102"/>
    <w:rsid w:val="007E5921"/>
    <w:rsid w:val="007F435A"/>
    <w:rsid w:val="00811DDC"/>
    <w:rsid w:val="00814C53"/>
    <w:rsid w:val="00821FFC"/>
    <w:rsid w:val="008271CA"/>
    <w:rsid w:val="00831498"/>
    <w:rsid w:val="00836EA5"/>
    <w:rsid w:val="008467D5"/>
    <w:rsid w:val="008558D9"/>
    <w:rsid w:val="00856D9F"/>
    <w:rsid w:val="00865477"/>
    <w:rsid w:val="00865E71"/>
    <w:rsid w:val="00866F6D"/>
    <w:rsid w:val="0089652C"/>
    <w:rsid w:val="008A2CA0"/>
    <w:rsid w:val="008A2E79"/>
    <w:rsid w:val="008A4DC4"/>
    <w:rsid w:val="008B72DF"/>
    <w:rsid w:val="009067A4"/>
    <w:rsid w:val="0090722E"/>
    <w:rsid w:val="009176FA"/>
    <w:rsid w:val="00925682"/>
    <w:rsid w:val="009313ED"/>
    <w:rsid w:val="009340DB"/>
    <w:rsid w:val="00945144"/>
    <w:rsid w:val="00972498"/>
    <w:rsid w:val="00974CC6"/>
    <w:rsid w:val="009766C0"/>
    <w:rsid w:val="00976AD4"/>
    <w:rsid w:val="00983F69"/>
    <w:rsid w:val="0099074D"/>
    <w:rsid w:val="00993C72"/>
    <w:rsid w:val="009A312F"/>
    <w:rsid w:val="009A5348"/>
    <w:rsid w:val="009A67BB"/>
    <w:rsid w:val="009B187B"/>
    <w:rsid w:val="009B5CE5"/>
    <w:rsid w:val="009C76D5"/>
    <w:rsid w:val="009D3F56"/>
    <w:rsid w:val="009E1B80"/>
    <w:rsid w:val="009F68A0"/>
    <w:rsid w:val="009F7AA4"/>
    <w:rsid w:val="00A07406"/>
    <w:rsid w:val="00A12F4D"/>
    <w:rsid w:val="00A276A0"/>
    <w:rsid w:val="00A33660"/>
    <w:rsid w:val="00A559DB"/>
    <w:rsid w:val="00A63C33"/>
    <w:rsid w:val="00AB5AB2"/>
    <w:rsid w:val="00AD2340"/>
    <w:rsid w:val="00AD70D8"/>
    <w:rsid w:val="00AE3053"/>
    <w:rsid w:val="00AF35FC"/>
    <w:rsid w:val="00AF703D"/>
    <w:rsid w:val="00B03639"/>
    <w:rsid w:val="00B0652A"/>
    <w:rsid w:val="00B277BA"/>
    <w:rsid w:val="00B3630F"/>
    <w:rsid w:val="00B3757D"/>
    <w:rsid w:val="00B40937"/>
    <w:rsid w:val="00B423EF"/>
    <w:rsid w:val="00B453DE"/>
    <w:rsid w:val="00B4742F"/>
    <w:rsid w:val="00B50960"/>
    <w:rsid w:val="00B7075A"/>
    <w:rsid w:val="00B71E44"/>
    <w:rsid w:val="00B901F9"/>
    <w:rsid w:val="00BB017E"/>
    <w:rsid w:val="00BD6EFB"/>
    <w:rsid w:val="00BD70FA"/>
    <w:rsid w:val="00BE7822"/>
    <w:rsid w:val="00C10D81"/>
    <w:rsid w:val="00C12E76"/>
    <w:rsid w:val="00C15BE2"/>
    <w:rsid w:val="00C2182A"/>
    <w:rsid w:val="00C22219"/>
    <w:rsid w:val="00C226F2"/>
    <w:rsid w:val="00C24FC9"/>
    <w:rsid w:val="00C312FE"/>
    <w:rsid w:val="00C3447F"/>
    <w:rsid w:val="00C456C5"/>
    <w:rsid w:val="00C4715C"/>
    <w:rsid w:val="00C52124"/>
    <w:rsid w:val="00C67D7C"/>
    <w:rsid w:val="00C71D71"/>
    <w:rsid w:val="00C81491"/>
    <w:rsid w:val="00C81676"/>
    <w:rsid w:val="00C92CC4"/>
    <w:rsid w:val="00CA0AFB"/>
    <w:rsid w:val="00CA2CE1"/>
    <w:rsid w:val="00CA3976"/>
    <w:rsid w:val="00CA757B"/>
    <w:rsid w:val="00CC1787"/>
    <w:rsid w:val="00CC182C"/>
    <w:rsid w:val="00CD0824"/>
    <w:rsid w:val="00CD2908"/>
    <w:rsid w:val="00CE26D6"/>
    <w:rsid w:val="00CE4C4E"/>
    <w:rsid w:val="00CF2C8E"/>
    <w:rsid w:val="00D03A82"/>
    <w:rsid w:val="00D15344"/>
    <w:rsid w:val="00D23076"/>
    <w:rsid w:val="00D31B08"/>
    <w:rsid w:val="00D31BEC"/>
    <w:rsid w:val="00D57BFF"/>
    <w:rsid w:val="00D63150"/>
    <w:rsid w:val="00D64A32"/>
    <w:rsid w:val="00D64EFC"/>
    <w:rsid w:val="00D75295"/>
    <w:rsid w:val="00D76CE9"/>
    <w:rsid w:val="00D85488"/>
    <w:rsid w:val="00D97F12"/>
    <w:rsid w:val="00DA5326"/>
    <w:rsid w:val="00DA5FC2"/>
    <w:rsid w:val="00DB2029"/>
    <w:rsid w:val="00DB42E7"/>
    <w:rsid w:val="00DD2F17"/>
    <w:rsid w:val="00DF32C2"/>
    <w:rsid w:val="00E00E44"/>
    <w:rsid w:val="00E01134"/>
    <w:rsid w:val="00E22F58"/>
    <w:rsid w:val="00E4346F"/>
    <w:rsid w:val="00E471A7"/>
    <w:rsid w:val="00E478BE"/>
    <w:rsid w:val="00E5394E"/>
    <w:rsid w:val="00E60535"/>
    <w:rsid w:val="00E635CF"/>
    <w:rsid w:val="00E82622"/>
    <w:rsid w:val="00E97C02"/>
    <w:rsid w:val="00EA5D2F"/>
    <w:rsid w:val="00EB5410"/>
    <w:rsid w:val="00EC5374"/>
    <w:rsid w:val="00EC6E0A"/>
    <w:rsid w:val="00ED4D60"/>
    <w:rsid w:val="00ED4E18"/>
    <w:rsid w:val="00ED6D90"/>
    <w:rsid w:val="00EE1F37"/>
    <w:rsid w:val="00F0159C"/>
    <w:rsid w:val="00F105B7"/>
    <w:rsid w:val="00F17A21"/>
    <w:rsid w:val="00F50E91"/>
    <w:rsid w:val="00F541D1"/>
    <w:rsid w:val="00F57D29"/>
    <w:rsid w:val="00F92A99"/>
    <w:rsid w:val="00F944C6"/>
    <w:rsid w:val="00F96201"/>
    <w:rsid w:val="00FB0C18"/>
    <w:rsid w:val="00FC30E9"/>
    <w:rsid w:val="00FC4281"/>
    <w:rsid w:val="00FD0B18"/>
    <w:rsid w:val="00FD0F82"/>
    <w:rsid w:val="00FE7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08F13E73"/>
  <w15:docId w15:val="{6820A1F1-763F-426F-BC4F-6641ACE18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20"/>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character" w:customStyle="1" w:styleId="UnresolvedMention1">
    <w:name w:val="Unresolved Mention1"/>
    <w:basedOn w:val="DefaultParagraphFont"/>
    <w:uiPriority w:val="99"/>
    <w:semiHidden/>
    <w:unhideWhenUsed/>
    <w:rsid w:val="00AF703D"/>
    <w:rPr>
      <w:color w:val="808080"/>
      <w:shd w:val="clear" w:color="auto" w:fill="E6E6E6"/>
    </w:rPr>
  </w:style>
  <w:style w:type="character" w:styleId="FollowedHyperlink">
    <w:name w:val="FollowedHyperlink"/>
    <w:basedOn w:val="DefaultParagraphFont"/>
    <w:uiPriority w:val="99"/>
    <w:semiHidden/>
    <w:unhideWhenUsed/>
    <w:rsid w:val="008A2E7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microsoft.com/office/2016/09/relationships/commentsIds" Target="commentsIds.xml"/></Relationships>
</file>

<file path=word/_rels/endnotes.xml.rels><?xml version="1.0" encoding="UTF-8" standalone="yes"?>
<Relationships xmlns="http://schemas.openxmlformats.org/package/2006/relationships"><Relationship Id="rId2" Type="http://schemas.openxmlformats.org/officeDocument/2006/relationships/hyperlink" Target="http://www.themeparkinsider.com/flume/200910/1455/" TargetMode="External"/><Relationship Id="rId1" Type="http://schemas.openxmlformats.org/officeDocument/2006/relationships/hyperlink" Target="https://seaworldentertainment.com/en/who-we-are/hi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F41BB0-AC93-4BF9-936C-E7602BF44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9</Pages>
  <Words>3492</Words>
  <Characters>19911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 Chiera</dc:creator>
  <cp:lastModifiedBy>Schaeken, Charlotte</cp:lastModifiedBy>
  <cp:revision>11</cp:revision>
  <dcterms:created xsi:type="dcterms:W3CDTF">2017-09-25T18:35:00Z</dcterms:created>
  <dcterms:modified xsi:type="dcterms:W3CDTF">2017-10-10T16:25:00Z</dcterms:modified>
</cp:coreProperties>
</file>