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DC4779" w:rsidRPr="00DC50A0" w14:paraId="4704A5AB" w14:textId="77777777" w:rsidTr="00C21C52">
        <w:tc>
          <w:tcPr>
            <w:tcW w:w="4320" w:type="dxa"/>
            <w:tcBorders>
              <w:top w:val="nil"/>
              <w:left w:val="nil"/>
              <w:bottom w:val="nil"/>
              <w:right w:val="nil"/>
            </w:tcBorders>
            <w:vAlign w:val="center"/>
          </w:tcPr>
          <w:p w14:paraId="273E8183" w14:textId="77777777" w:rsidR="00DC4779" w:rsidRPr="00DC50A0" w:rsidRDefault="00DC4779" w:rsidP="00C21C52">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eastAsia="en-GB"/>
              </w:rPr>
              <w:drawing>
                <wp:inline distT="0" distB="0" distL="0" distR="0" wp14:anchorId="1854711B" wp14:editId="7A83E66E">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23FB44F3" w14:textId="77777777" w:rsidR="00DC4779" w:rsidRPr="00DC50A0" w:rsidRDefault="00DC4779" w:rsidP="00C21C52">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7990E741" w14:textId="77777777" w:rsidR="00DC4779" w:rsidRPr="00DC50A0" w:rsidRDefault="00DC4779" w:rsidP="00C21C52">
            <w:pPr>
              <w:tabs>
                <w:tab w:val="left" w:pos="0"/>
                <w:tab w:val="right" w:pos="9360"/>
              </w:tabs>
              <w:jc w:val="right"/>
              <w:rPr>
                <w:rFonts w:ascii="IveyVHWLogos" w:eastAsia="SimSun" w:hAnsi="IveyVHWLogos" w:cs="Vrinda"/>
                <w:sz w:val="44"/>
                <w:szCs w:val="44"/>
                <w:lang w:eastAsia="ja-JP"/>
              </w:rPr>
            </w:pPr>
            <w:r w:rsidRPr="00BD512F">
              <w:rPr>
                <w:noProof/>
                <w:lang w:eastAsia="en-GB"/>
              </w:rPr>
              <w:drawing>
                <wp:inline distT="0" distB="0" distL="0" distR="0" wp14:anchorId="312C110F" wp14:editId="0297331C">
                  <wp:extent cx="1605915" cy="668020"/>
                  <wp:effectExtent l="0" t="0" r="0" b="0"/>
                  <wp:docPr id="8" name="Picture 8"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3C2244BE"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09B40D3C" w14:textId="04E1F471" w:rsidR="00D75295" w:rsidRPr="00CB6B09" w:rsidRDefault="00DC4779" w:rsidP="002E6591">
      <w:pPr>
        <w:pStyle w:val="ProductNumber"/>
        <w:outlineLvl w:val="0"/>
      </w:pPr>
      <w:r>
        <w:t>9B17M</w:t>
      </w:r>
      <w:r w:rsidR="00E16CBE">
        <w:t>149</w:t>
      </w:r>
    </w:p>
    <w:p w14:paraId="5B6C72F7" w14:textId="77777777" w:rsidR="00D75295" w:rsidRPr="00CB6B09" w:rsidRDefault="00D75295" w:rsidP="00D75295">
      <w:pPr>
        <w:jc w:val="right"/>
        <w:rPr>
          <w:rFonts w:ascii="Arial" w:hAnsi="Arial"/>
          <w:b/>
          <w:sz w:val="28"/>
          <w:szCs w:val="28"/>
        </w:rPr>
      </w:pPr>
    </w:p>
    <w:p w14:paraId="6A834219" w14:textId="77777777" w:rsidR="00866F6D" w:rsidRPr="00CB6B09" w:rsidRDefault="00866F6D" w:rsidP="00D75295">
      <w:pPr>
        <w:jc w:val="right"/>
        <w:rPr>
          <w:rFonts w:ascii="Arial" w:hAnsi="Arial"/>
          <w:b/>
          <w:sz w:val="28"/>
          <w:szCs w:val="28"/>
        </w:rPr>
      </w:pPr>
    </w:p>
    <w:p w14:paraId="488BA727" w14:textId="77777777" w:rsidR="00013360" w:rsidRPr="00CB6B09" w:rsidRDefault="009C004B" w:rsidP="002E6591">
      <w:pPr>
        <w:pStyle w:val="CaseTitle"/>
        <w:spacing w:after="0" w:line="240" w:lineRule="auto"/>
        <w:outlineLvl w:val="0"/>
      </w:pPr>
      <w:r>
        <w:t>Bossard AG: Enabling Industry 4.0 logistics, worldwide</w:t>
      </w:r>
    </w:p>
    <w:p w14:paraId="3098567D" w14:textId="77777777" w:rsidR="00013360" w:rsidRPr="00CB6B09" w:rsidRDefault="00013360" w:rsidP="00013360">
      <w:pPr>
        <w:pStyle w:val="CaseTitle"/>
        <w:spacing w:after="0" w:line="240" w:lineRule="auto"/>
        <w:rPr>
          <w:sz w:val="20"/>
          <w:szCs w:val="20"/>
        </w:rPr>
      </w:pPr>
    </w:p>
    <w:p w14:paraId="5F3AD2A6" w14:textId="77777777" w:rsidR="00CA3976" w:rsidRPr="00CB6B09" w:rsidRDefault="00CA3976" w:rsidP="00013360">
      <w:pPr>
        <w:pStyle w:val="CaseTitle"/>
        <w:spacing w:after="0" w:line="240" w:lineRule="auto"/>
        <w:rPr>
          <w:sz w:val="20"/>
          <w:szCs w:val="20"/>
        </w:rPr>
      </w:pPr>
    </w:p>
    <w:p w14:paraId="6EB010F4" w14:textId="77777777" w:rsidR="00013360" w:rsidRPr="00CB6B09" w:rsidRDefault="00013360" w:rsidP="00013360">
      <w:pPr>
        <w:pStyle w:val="CaseTitle"/>
        <w:spacing w:after="0" w:line="240" w:lineRule="auto"/>
        <w:rPr>
          <w:sz w:val="20"/>
          <w:szCs w:val="20"/>
        </w:rPr>
      </w:pPr>
    </w:p>
    <w:p w14:paraId="73875AFF" w14:textId="2EBF8605" w:rsidR="00013360" w:rsidRPr="00CB6B09" w:rsidRDefault="009C004B" w:rsidP="00104567">
      <w:pPr>
        <w:pStyle w:val="StyleCopyrightStatementAfter0ptBottomSinglesolidline1"/>
      </w:pPr>
      <w:r>
        <w:t xml:space="preserve">Klaus Meyer and Alexandra Han </w:t>
      </w:r>
      <w:r w:rsidR="007E5921" w:rsidRPr="00CB6B09">
        <w:t>wrote this case sol</w:t>
      </w:r>
      <w:r w:rsidR="00D75295" w:rsidRPr="00CB6B09">
        <w:t>ely to provide material f</w:t>
      </w:r>
      <w:r w:rsidR="001A04F0">
        <w:t>or class discussion. The author</w:t>
      </w:r>
      <w:r w:rsidR="004A4D18">
        <w:t>s</w:t>
      </w:r>
      <w:r w:rsidR="00D75295" w:rsidRPr="00CB6B09">
        <w:t xml:space="preserve"> do not intend to illustrate either effective or ineffective handling of a managerial situation. The authors may have disguised certain names and other identifying information to protect confidentiality.</w:t>
      </w:r>
    </w:p>
    <w:p w14:paraId="2ABADA4E" w14:textId="77777777" w:rsidR="00013360" w:rsidRPr="00CB6B09" w:rsidRDefault="00013360" w:rsidP="00104567">
      <w:pPr>
        <w:pStyle w:val="StyleCopyrightStatementAfter0ptBottomSinglesolidline1"/>
      </w:pPr>
    </w:p>
    <w:p w14:paraId="7D9077A9" w14:textId="77777777" w:rsidR="00DC4779" w:rsidRDefault="00DC4779"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A4B7AF8" w14:textId="77777777" w:rsidR="00DC4779" w:rsidRDefault="00DC4779" w:rsidP="003C25FF">
      <w:pPr>
        <w:pStyle w:val="StyleCopyrightStatementAfter0ptBottomSinglesolidline1"/>
        <w:pBdr>
          <w:top w:val="none" w:sz="0" w:space="0" w:color="auto"/>
        </w:pBdr>
      </w:pPr>
    </w:p>
    <w:p w14:paraId="03A21A30" w14:textId="0C1BD5DA" w:rsidR="003B7EF2" w:rsidRPr="00CB6B09" w:rsidRDefault="00DC4779" w:rsidP="00DC4779">
      <w:pPr>
        <w:pStyle w:val="StyleStyleCopyrightStatementAfter0ptBottomSinglesolid"/>
      </w:pPr>
      <w:r>
        <w:t>Copyright © 2017, Richard Ivey School of Business Foundation</w:t>
      </w:r>
      <w:r w:rsidR="003B7EF2" w:rsidRPr="00CB6B09">
        <w:tab/>
        <w:t xml:space="preserve">Version: </w:t>
      </w:r>
      <w:r w:rsidR="00361C8E" w:rsidRPr="00CB6B09">
        <w:t>201</w:t>
      </w:r>
      <w:r w:rsidR="001A04F0">
        <w:t>7</w:t>
      </w:r>
      <w:r w:rsidR="00361C8E" w:rsidRPr="00CB6B09">
        <w:t>-</w:t>
      </w:r>
      <w:r w:rsidR="00E16CBE">
        <w:t>09</w:t>
      </w:r>
      <w:r w:rsidR="00361C8E" w:rsidRPr="00CB6B09">
        <w:t>-</w:t>
      </w:r>
      <w:r w:rsidR="004A4D18">
        <w:t>29</w:t>
      </w:r>
    </w:p>
    <w:p w14:paraId="7CD3551D" w14:textId="77777777" w:rsidR="003B7EF2" w:rsidRPr="00CB6B09" w:rsidRDefault="003B7EF2" w:rsidP="00104567">
      <w:pPr>
        <w:pStyle w:val="StyleCopyrightStatementAfter0ptBottomSinglesolidline1"/>
        <w:rPr>
          <w:rFonts w:ascii="Times New Roman" w:hAnsi="Times New Roman"/>
          <w:sz w:val="20"/>
        </w:rPr>
      </w:pPr>
    </w:p>
    <w:p w14:paraId="527523C8" w14:textId="77777777" w:rsidR="003B7EF2" w:rsidRDefault="003B7EF2" w:rsidP="006F1D9E">
      <w:pPr>
        <w:pStyle w:val="Footnote"/>
      </w:pPr>
    </w:p>
    <w:p w14:paraId="72EA9F5F" w14:textId="1004C31A" w:rsidR="009C004B" w:rsidRPr="00E16CBE" w:rsidRDefault="009C004B" w:rsidP="009C004B">
      <w:pPr>
        <w:pStyle w:val="BodyTextMain"/>
        <w:rPr>
          <w:spacing w:val="-2"/>
          <w:kern w:val="22"/>
        </w:rPr>
      </w:pPr>
      <w:proofErr w:type="spellStart"/>
      <w:r w:rsidRPr="00E16CBE">
        <w:rPr>
          <w:spacing w:val="-2"/>
          <w:kern w:val="22"/>
        </w:rPr>
        <w:t>Bossard</w:t>
      </w:r>
      <w:proofErr w:type="spellEnd"/>
      <w:r w:rsidRPr="00E16CBE">
        <w:rPr>
          <w:spacing w:val="-2"/>
          <w:kern w:val="22"/>
        </w:rPr>
        <w:t xml:space="preserve"> AG</w:t>
      </w:r>
      <w:r w:rsidR="00DC4779" w:rsidRPr="00E16CBE">
        <w:rPr>
          <w:spacing w:val="-2"/>
          <w:kern w:val="22"/>
        </w:rPr>
        <w:t xml:space="preserve"> (</w:t>
      </w:r>
      <w:proofErr w:type="spellStart"/>
      <w:r w:rsidR="00DC4779" w:rsidRPr="00E16CBE">
        <w:rPr>
          <w:spacing w:val="-2"/>
          <w:kern w:val="22"/>
        </w:rPr>
        <w:t>Bossard</w:t>
      </w:r>
      <w:proofErr w:type="spellEnd"/>
      <w:r w:rsidR="00DC4779" w:rsidRPr="00E16CBE">
        <w:rPr>
          <w:spacing w:val="-2"/>
          <w:kern w:val="22"/>
        </w:rPr>
        <w:t>)</w:t>
      </w:r>
      <w:r w:rsidRPr="00E16CBE">
        <w:rPr>
          <w:spacing w:val="-2"/>
          <w:kern w:val="22"/>
        </w:rPr>
        <w:t xml:space="preserve"> </w:t>
      </w:r>
      <w:r w:rsidR="004A4D18">
        <w:rPr>
          <w:spacing w:val="-2"/>
          <w:kern w:val="22"/>
        </w:rPr>
        <w:t>based in</w:t>
      </w:r>
      <w:r w:rsidRPr="00E16CBE">
        <w:rPr>
          <w:spacing w:val="-2"/>
          <w:kern w:val="22"/>
        </w:rPr>
        <w:t xml:space="preserve"> Zug</w:t>
      </w:r>
      <w:r w:rsidR="002E6591" w:rsidRPr="00E16CBE">
        <w:rPr>
          <w:spacing w:val="-2"/>
          <w:kern w:val="22"/>
        </w:rPr>
        <w:t>,</w:t>
      </w:r>
      <w:r w:rsidRPr="00E16CBE">
        <w:rPr>
          <w:spacing w:val="-2"/>
          <w:kern w:val="22"/>
        </w:rPr>
        <w:t xml:space="preserve"> Switzerland</w:t>
      </w:r>
      <w:r w:rsidR="002E6591" w:rsidRPr="00E16CBE">
        <w:rPr>
          <w:spacing w:val="-2"/>
          <w:kern w:val="22"/>
        </w:rPr>
        <w:t>,</w:t>
      </w:r>
      <w:r w:rsidRPr="00E16CBE">
        <w:rPr>
          <w:spacing w:val="-2"/>
          <w:kern w:val="22"/>
        </w:rPr>
        <w:t xml:space="preserve"> was a leading supply chain service provider helping manufacturing businesses take advantage of new opportunities arising in the digital economy, a trend popularly known as “</w:t>
      </w:r>
      <w:r w:rsidR="00E672E1" w:rsidRPr="00E16CBE">
        <w:rPr>
          <w:spacing w:val="-2"/>
          <w:kern w:val="22"/>
        </w:rPr>
        <w:t>I</w:t>
      </w:r>
      <w:r w:rsidRPr="00E16CBE">
        <w:rPr>
          <w:spacing w:val="-2"/>
          <w:kern w:val="22"/>
        </w:rPr>
        <w:t>ndustry 4.0</w:t>
      </w:r>
      <w:r w:rsidR="002E6591" w:rsidRPr="00E16CBE">
        <w:rPr>
          <w:spacing w:val="-2"/>
          <w:kern w:val="22"/>
        </w:rPr>
        <w:t>.</w:t>
      </w:r>
      <w:r w:rsidRPr="00E16CBE">
        <w:rPr>
          <w:spacing w:val="-2"/>
          <w:kern w:val="22"/>
        </w:rPr>
        <w:t xml:space="preserve">” </w:t>
      </w:r>
      <w:proofErr w:type="spellStart"/>
      <w:r w:rsidR="002E6591" w:rsidRPr="00E16CBE">
        <w:rPr>
          <w:spacing w:val="-2"/>
          <w:kern w:val="22"/>
        </w:rPr>
        <w:t>Bossard</w:t>
      </w:r>
      <w:proofErr w:type="spellEnd"/>
      <w:r w:rsidR="002E6591" w:rsidRPr="00E16CBE">
        <w:rPr>
          <w:spacing w:val="-2"/>
          <w:kern w:val="22"/>
        </w:rPr>
        <w:t xml:space="preserve"> </w:t>
      </w:r>
      <w:r w:rsidRPr="00E16CBE">
        <w:rPr>
          <w:spacing w:val="-2"/>
          <w:kern w:val="22"/>
        </w:rPr>
        <w:t>purchased large volumes of basic components</w:t>
      </w:r>
      <w:r w:rsidR="002E6591" w:rsidRPr="00E16CBE">
        <w:rPr>
          <w:spacing w:val="-2"/>
          <w:kern w:val="22"/>
        </w:rPr>
        <w:t>—</w:t>
      </w:r>
      <w:r w:rsidRPr="00E16CBE">
        <w:rPr>
          <w:spacing w:val="-2"/>
          <w:kern w:val="22"/>
        </w:rPr>
        <w:t>screws, nuts</w:t>
      </w:r>
      <w:r w:rsidR="002E6591" w:rsidRPr="00E16CBE">
        <w:rPr>
          <w:spacing w:val="-2"/>
          <w:kern w:val="22"/>
        </w:rPr>
        <w:t>,</w:t>
      </w:r>
      <w:r w:rsidRPr="00E16CBE">
        <w:rPr>
          <w:spacing w:val="-2"/>
          <w:kern w:val="22"/>
        </w:rPr>
        <w:t xml:space="preserve"> and bolts</w:t>
      </w:r>
      <w:r w:rsidR="002E6591" w:rsidRPr="00E16CBE">
        <w:rPr>
          <w:spacing w:val="-2"/>
          <w:kern w:val="22"/>
        </w:rPr>
        <w:t>—</w:t>
      </w:r>
      <w:r w:rsidRPr="00E16CBE">
        <w:rPr>
          <w:spacing w:val="-2"/>
          <w:kern w:val="22"/>
        </w:rPr>
        <w:t xml:space="preserve">from a variety of suppliers, conducted extensive quality control, branded and repackaged </w:t>
      </w:r>
      <w:r w:rsidR="002E6591" w:rsidRPr="00E16CBE">
        <w:rPr>
          <w:spacing w:val="-2"/>
          <w:kern w:val="22"/>
        </w:rPr>
        <w:t xml:space="preserve">the items </w:t>
      </w:r>
      <w:r w:rsidRPr="00E16CBE">
        <w:rPr>
          <w:spacing w:val="-2"/>
          <w:kern w:val="22"/>
        </w:rPr>
        <w:t xml:space="preserve">for its customers, and delivered </w:t>
      </w:r>
      <w:r w:rsidR="004A4D18">
        <w:rPr>
          <w:spacing w:val="-2"/>
          <w:kern w:val="22"/>
        </w:rPr>
        <w:t xml:space="preserve">them </w:t>
      </w:r>
      <w:r w:rsidRPr="00E16CBE">
        <w:rPr>
          <w:spacing w:val="-2"/>
          <w:kern w:val="22"/>
        </w:rPr>
        <w:t xml:space="preserve">just in time and on short notice to manufacturing sites worldwide. </w:t>
      </w:r>
      <w:proofErr w:type="spellStart"/>
      <w:r w:rsidRPr="00E16CBE">
        <w:rPr>
          <w:spacing w:val="-2"/>
          <w:kern w:val="22"/>
        </w:rPr>
        <w:t>Bossard</w:t>
      </w:r>
      <w:proofErr w:type="spellEnd"/>
      <w:r w:rsidRPr="00E16CBE">
        <w:rPr>
          <w:spacing w:val="-2"/>
          <w:kern w:val="22"/>
        </w:rPr>
        <w:t xml:space="preserve"> integrated the delivery of products with logistics solutions, advising customers on product selection, and participating in customers’ product development. </w:t>
      </w:r>
      <w:proofErr w:type="spellStart"/>
      <w:r w:rsidRPr="00E16CBE">
        <w:rPr>
          <w:spacing w:val="-2"/>
          <w:kern w:val="22"/>
        </w:rPr>
        <w:t>Bossard’s</w:t>
      </w:r>
      <w:proofErr w:type="spellEnd"/>
      <w:r w:rsidRPr="00E16CBE">
        <w:rPr>
          <w:spacing w:val="-2"/>
          <w:kern w:val="22"/>
        </w:rPr>
        <w:t xml:space="preserve"> blue “</w:t>
      </w:r>
      <w:proofErr w:type="spellStart"/>
      <w:r w:rsidR="008E7098" w:rsidRPr="00E16CBE">
        <w:rPr>
          <w:spacing w:val="-2"/>
          <w:kern w:val="22"/>
        </w:rPr>
        <w:t>S</w:t>
      </w:r>
      <w:r w:rsidRPr="00E16CBE">
        <w:rPr>
          <w:spacing w:val="-2"/>
          <w:kern w:val="22"/>
        </w:rPr>
        <w:t>mart</w:t>
      </w:r>
      <w:r w:rsidR="008E7098" w:rsidRPr="00E16CBE">
        <w:rPr>
          <w:spacing w:val="-2"/>
          <w:kern w:val="22"/>
        </w:rPr>
        <w:t>B</w:t>
      </w:r>
      <w:r w:rsidRPr="00E16CBE">
        <w:rPr>
          <w:spacing w:val="-2"/>
          <w:kern w:val="22"/>
        </w:rPr>
        <w:t>ins</w:t>
      </w:r>
      <w:proofErr w:type="spellEnd"/>
      <w:r w:rsidRPr="00E16CBE">
        <w:rPr>
          <w:spacing w:val="-2"/>
          <w:kern w:val="22"/>
        </w:rPr>
        <w:t xml:space="preserve">” had become a common sight in factories across Europe, and increasingly also in </w:t>
      </w:r>
      <w:r w:rsidR="00DC69CE" w:rsidRPr="00E16CBE">
        <w:rPr>
          <w:spacing w:val="-2"/>
          <w:kern w:val="22"/>
        </w:rPr>
        <w:t xml:space="preserve">North </w:t>
      </w:r>
      <w:r w:rsidRPr="00E16CBE">
        <w:rPr>
          <w:spacing w:val="-2"/>
          <w:kern w:val="22"/>
        </w:rPr>
        <w:t xml:space="preserve">America and in Asia. </w:t>
      </w:r>
      <w:proofErr w:type="spellStart"/>
      <w:r w:rsidR="00DC69CE" w:rsidRPr="00E16CBE">
        <w:rPr>
          <w:spacing w:val="-2"/>
          <w:kern w:val="22"/>
        </w:rPr>
        <w:t>Bossard</w:t>
      </w:r>
      <w:proofErr w:type="spellEnd"/>
      <w:r w:rsidRPr="00E16CBE">
        <w:rPr>
          <w:spacing w:val="-2"/>
          <w:kern w:val="22"/>
        </w:rPr>
        <w:t xml:space="preserve"> enabled manufacturers to enhance the productivity of their operations through real time data collection and analytics. </w:t>
      </w:r>
    </w:p>
    <w:p w14:paraId="2DF0F90C" w14:textId="77777777" w:rsidR="009C004B" w:rsidRDefault="009C004B" w:rsidP="009C004B">
      <w:pPr>
        <w:pStyle w:val="BodyTextMain"/>
      </w:pPr>
    </w:p>
    <w:p w14:paraId="108F0CD1" w14:textId="5250282B" w:rsidR="009C004B" w:rsidRDefault="009C004B" w:rsidP="009C004B">
      <w:pPr>
        <w:pStyle w:val="BodyTextMain"/>
      </w:pPr>
      <w:r>
        <w:t xml:space="preserve">In Switzerland, </w:t>
      </w:r>
      <w:r w:rsidR="008E7098">
        <w:t xml:space="preserve">the </w:t>
      </w:r>
      <w:r>
        <w:t>high cost of manual labo</w:t>
      </w:r>
      <w:r w:rsidR="008E7098">
        <w:t>u</w:t>
      </w:r>
      <w:r>
        <w:t>r had</w:t>
      </w:r>
      <w:r w:rsidR="006C7A1A">
        <w:t>,</w:t>
      </w:r>
      <w:r>
        <w:t xml:space="preserve"> for several decades</w:t>
      </w:r>
      <w:r w:rsidR="006C7A1A">
        <w:t>,</w:t>
      </w:r>
      <w:r>
        <w:t xml:space="preserve"> put pressure on manufacturers to reduce the use of low</w:t>
      </w:r>
      <w:r w:rsidR="006C7A1A">
        <w:t>-</w:t>
      </w:r>
      <w:r>
        <w:t xml:space="preserve">skilled </w:t>
      </w:r>
      <w:r w:rsidRPr="006C7A1A">
        <w:t>labo</w:t>
      </w:r>
      <w:r w:rsidR="006C7A1A">
        <w:t>u</w:t>
      </w:r>
      <w:r w:rsidRPr="006C7A1A">
        <w:t>r</w:t>
      </w:r>
      <w:r>
        <w:t xml:space="preserve"> </w:t>
      </w:r>
      <w:r w:rsidR="00FB3FAC">
        <w:t xml:space="preserve">and </w:t>
      </w:r>
      <w:r>
        <w:t>enhanc</w:t>
      </w:r>
      <w:r w:rsidR="00FB3FAC">
        <w:t>e</w:t>
      </w:r>
      <w:r>
        <w:t xml:space="preserve"> operational efficiency. </w:t>
      </w:r>
      <w:proofErr w:type="spellStart"/>
      <w:r>
        <w:t>Bossard’s</w:t>
      </w:r>
      <w:proofErr w:type="spellEnd"/>
      <w:r>
        <w:t xml:space="preserve"> logistics solutions were </w:t>
      </w:r>
      <w:r w:rsidR="006C7A1A">
        <w:t xml:space="preserve">thus </w:t>
      </w:r>
      <w:r>
        <w:t>in high demand, first in Switzerland and later throughout Europe, North America</w:t>
      </w:r>
      <w:r w:rsidR="006C7A1A">
        <w:t>,</w:t>
      </w:r>
      <w:r>
        <w:t xml:space="preserve"> and some parts of Asia. However, the business model had to be adjusted to fit local client needs, especially in emerging economies. Specifically, </w:t>
      </w:r>
      <w:proofErr w:type="spellStart"/>
      <w:r>
        <w:t>Bossard</w:t>
      </w:r>
      <w:proofErr w:type="spellEnd"/>
      <w:r>
        <w:t xml:space="preserve"> was looking for </w:t>
      </w:r>
      <w:r w:rsidR="00F02F41">
        <w:t xml:space="preserve">more </w:t>
      </w:r>
      <w:r>
        <w:t xml:space="preserve">ways to participate in upgrading Chinese manufacturing. </w:t>
      </w:r>
    </w:p>
    <w:p w14:paraId="5AEB5E07" w14:textId="77777777" w:rsidR="009C004B" w:rsidRDefault="009C004B" w:rsidP="009C004B">
      <w:pPr>
        <w:pStyle w:val="BodyTextMain"/>
      </w:pPr>
    </w:p>
    <w:p w14:paraId="128323EA" w14:textId="77777777" w:rsidR="009C004B" w:rsidRDefault="009C004B" w:rsidP="009C004B">
      <w:pPr>
        <w:pStyle w:val="BodyTextMain"/>
      </w:pPr>
    </w:p>
    <w:p w14:paraId="4C0574AA" w14:textId="77777777" w:rsidR="009C004B" w:rsidRDefault="009C004B" w:rsidP="002E6591">
      <w:pPr>
        <w:pStyle w:val="Casehead1"/>
        <w:outlineLvl w:val="0"/>
      </w:pPr>
      <w:r w:rsidRPr="00486205">
        <w:t xml:space="preserve">From Family Store </w:t>
      </w:r>
      <w:r>
        <w:t>to</w:t>
      </w:r>
      <w:r w:rsidRPr="00486205">
        <w:t xml:space="preserve"> Global Champion</w:t>
      </w:r>
    </w:p>
    <w:p w14:paraId="0859817E" w14:textId="77777777" w:rsidR="009C004B" w:rsidRPr="00486205" w:rsidRDefault="009C004B" w:rsidP="00D64AE1">
      <w:pPr>
        <w:pStyle w:val="BodyTextMain"/>
      </w:pPr>
    </w:p>
    <w:p w14:paraId="6CC9692E" w14:textId="63D40894" w:rsidR="009C004B" w:rsidRDefault="009C004B" w:rsidP="009C004B">
      <w:pPr>
        <w:pStyle w:val="BodyTextMain"/>
      </w:pPr>
      <w:proofErr w:type="spellStart"/>
      <w:r w:rsidRPr="00CD2B03">
        <w:t>Bossard</w:t>
      </w:r>
      <w:proofErr w:type="spellEnd"/>
      <w:r w:rsidRPr="00CD2B03">
        <w:t xml:space="preserve"> was founded </w:t>
      </w:r>
      <w:r w:rsidR="00353AE2" w:rsidRPr="00CD2B03">
        <w:t>in 1831</w:t>
      </w:r>
      <w:r w:rsidR="004B4116">
        <w:t xml:space="preserve"> </w:t>
      </w:r>
      <w:r w:rsidRPr="00CD2B03">
        <w:t xml:space="preserve">as a hardware store. </w:t>
      </w:r>
      <w:r>
        <w:t xml:space="preserve">Since the 1950s, it had grown </w:t>
      </w:r>
      <w:r w:rsidR="004A4D18">
        <w:t>due to</w:t>
      </w:r>
      <w:r>
        <w:t xml:space="preserve"> rising </w:t>
      </w:r>
      <w:r w:rsidRPr="00CD2B03">
        <w:t>industrial demand for high quality screws, nuts</w:t>
      </w:r>
      <w:r w:rsidR="004B4116">
        <w:t>,</w:t>
      </w:r>
      <w:r w:rsidRPr="00CD2B03">
        <w:t xml:space="preserve"> and bolts</w:t>
      </w:r>
      <w:r w:rsidR="004B4116">
        <w:t>—</w:t>
      </w:r>
      <w:r w:rsidRPr="00CD2B03">
        <w:t xml:space="preserve">also known as </w:t>
      </w:r>
      <w:r w:rsidR="004B4116">
        <w:t>“</w:t>
      </w:r>
      <w:r w:rsidRPr="00CD2B03">
        <w:t>fasteners</w:t>
      </w:r>
      <w:r w:rsidR="004B4116">
        <w:t>”—</w:t>
      </w:r>
      <w:r>
        <w:t>in</w:t>
      </w:r>
      <w:r w:rsidRPr="00CD2B03">
        <w:t xml:space="preserve"> the manufacturing industry</w:t>
      </w:r>
      <w:r>
        <w:t>. F</w:t>
      </w:r>
      <w:r w:rsidRPr="00CD2B03">
        <w:t>rom the 1970s onward</w:t>
      </w:r>
      <w:r>
        <w:t xml:space="preserve">, </w:t>
      </w:r>
      <w:proofErr w:type="spellStart"/>
      <w:r>
        <w:t>Bossard</w:t>
      </w:r>
      <w:proofErr w:type="spellEnd"/>
      <w:r>
        <w:t xml:space="preserve"> spread beyond Switzerland to serve clients </w:t>
      </w:r>
      <w:r w:rsidRPr="00CD2B03">
        <w:t xml:space="preserve">across Europe and later </w:t>
      </w:r>
      <w:r>
        <w:t xml:space="preserve">in </w:t>
      </w:r>
      <w:r w:rsidR="00DC69CE">
        <w:t xml:space="preserve">North </w:t>
      </w:r>
      <w:r w:rsidRPr="00CD2B03">
        <w:t xml:space="preserve">America and </w:t>
      </w:r>
      <w:r>
        <w:t xml:space="preserve">in </w:t>
      </w:r>
      <w:r w:rsidRPr="00CD2B03">
        <w:t>Asia, often following existing customers</w:t>
      </w:r>
      <w:r>
        <w:t xml:space="preserve"> that established factories abroad</w:t>
      </w:r>
      <w:r w:rsidRPr="00CD2B03">
        <w:t xml:space="preserve">. Turnover reached CHF </w:t>
      </w:r>
      <w:r>
        <w:t>695</w:t>
      </w:r>
      <w:r w:rsidRPr="00CD2B03">
        <w:t xml:space="preserve"> million in 201</w:t>
      </w:r>
      <w:r>
        <w:t>6</w:t>
      </w:r>
      <w:r w:rsidRPr="00CD2B03">
        <w:t>, up from CHF 48</w:t>
      </w:r>
      <w:r>
        <w:t>5</w:t>
      </w:r>
      <w:r w:rsidRPr="00CD2B03">
        <w:t xml:space="preserve"> million in 201</w:t>
      </w:r>
      <w:r>
        <w:t>2</w:t>
      </w:r>
      <w:r w:rsidR="004B4116">
        <w:t>,</w:t>
      </w:r>
      <w:r w:rsidRPr="00CD2B03">
        <w:t xml:space="preserve"> with solid profitability of EBITDA margins between 12 and 14 </w:t>
      </w:r>
      <w:r>
        <w:t>per cent</w:t>
      </w:r>
      <w:r w:rsidRPr="00CD2B03">
        <w:t xml:space="preserve"> in recent years.</w:t>
      </w:r>
      <w:r w:rsidRPr="00CD2B03">
        <w:rPr>
          <w:rStyle w:val="FootnoteReference"/>
          <w:rFonts w:asciiTheme="minorHAnsi" w:hAnsiTheme="minorHAnsi"/>
        </w:rPr>
        <w:footnoteReference w:id="1"/>
      </w:r>
      <w:r w:rsidRPr="00CD2B03">
        <w:t xml:space="preserve"> </w:t>
      </w:r>
      <w:proofErr w:type="spellStart"/>
      <w:r w:rsidRPr="00CD2B03">
        <w:t>Bossard</w:t>
      </w:r>
      <w:proofErr w:type="spellEnd"/>
      <w:r w:rsidRPr="00CD2B03">
        <w:t xml:space="preserve"> employed </w:t>
      </w:r>
      <w:r w:rsidR="00DC69CE">
        <w:t xml:space="preserve">over </w:t>
      </w:r>
      <w:r>
        <w:t>2</w:t>
      </w:r>
      <w:r w:rsidR="002E33DD">
        <w:t>,</w:t>
      </w:r>
      <w:r>
        <w:t>0</w:t>
      </w:r>
      <w:r w:rsidR="00DC69CE">
        <w:t>00</w:t>
      </w:r>
      <w:r w:rsidRPr="00CD2B03">
        <w:t xml:space="preserve"> employees </w:t>
      </w:r>
      <w:r>
        <w:t>around</w:t>
      </w:r>
      <w:r w:rsidRPr="00CD2B03">
        <w:t xml:space="preserve"> the world </w:t>
      </w:r>
      <w:r w:rsidRPr="00F82705">
        <w:t>(</w:t>
      </w:r>
      <w:r>
        <w:t xml:space="preserve">see </w:t>
      </w:r>
      <w:r w:rsidRPr="00F82705">
        <w:t>Exhibit</w:t>
      </w:r>
      <w:r>
        <w:t>s</w:t>
      </w:r>
      <w:r w:rsidRPr="00F82705">
        <w:t xml:space="preserve"> 1</w:t>
      </w:r>
      <w:r>
        <w:t xml:space="preserve"> and 2</w:t>
      </w:r>
      <w:r w:rsidRPr="00F82705">
        <w:t>).</w:t>
      </w:r>
    </w:p>
    <w:p w14:paraId="57D0746D" w14:textId="4C446790" w:rsidR="009C004B" w:rsidRDefault="009C004B" w:rsidP="009C004B">
      <w:pPr>
        <w:pStyle w:val="BodyTextMain"/>
      </w:pPr>
      <w:r>
        <w:lastRenderedPageBreak/>
        <w:t>Since</w:t>
      </w:r>
      <w:r w:rsidRPr="00CD2B03">
        <w:t xml:space="preserve"> 1987, </w:t>
      </w:r>
      <w:proofErr w:type="spellStart"/>
      <w:r w:rsidRPr="00CD2B03">
        <w:t>Bossard</w:t>
      </w:r>
      <w:proofErr w:type="spellEnd"/>
      <w:r w:rsidRPr="00CD2B03">
        <w:t xml:space="preserve"> had </w:t>
      </w:r>
      <w:r>
        <w:t xml:space="preserve">been listed </w:t>
      </w:r>
      <w:r w:rsidRPr="00CD2B03">
        <w:t>on the Swiss Stock Exchange</w:t>
      </w:r>
      <w:r>
        <w:t xml:space="preserve">, with a </w:t>
      </w:r>
      <w:r w:rsidRPr="00CD2B03">
        <w:t xml:space="preserve">market capitalization </w:t>
      </w:r>
      <w:r>
        <w:t>of</w:t>
      </w:r>
      <w:r w:rsidRPr="00CD2B03">
        <w:t xml:space="preserve"> CHF</w:t>
      </w:r>
      <w:r w:rsidR="002E33DD">
        <w:t> </w:t>
      </w:r>
      <w:r>
        <w:t>1.09</w:t>
      </w:r>
      <w:r w:rsidR="002E33DD">
        <w:t> </w:t>
      </w:r>
      <w:r>
        <w:t>b</w:t>
      </w:r>
      <w:r w:rsidRPr="00CD2B03">
        <w:t xml:space="preserve">illion </w:t>
      </w:r>
      <w:r>
        <w:t>i</w:t>
      </w:r>
      <w:r w:rsidRPr="00CD2B03">
        <w:t>n December 2015.</w:t>
      </w:r>
      <w:r>
        <w:t xml:space="preserve"> T</w:t>
      </w:r>
      <w:r w:rsidRPr="00CD2B03">
        <w:t xml:space="preserve">he </w:t>
      </w:r>
      <w:proofErr w:type="spellStart"/>
      <w:r>
        <w:t>Bossard</w:t>
      </w:r>
      <w:proofErr w:type="spellEnd"/>
      <w:r>
        <w:t xml:space="preserve"> </w:t>
      </w:r>
      <w:r w:rsidRPr="00CD2B03">
        <w:t xml:space="preserve">family remained in control </w:t>
      </w:r>
      <w:r w:rsidR="002E33DD">
        <w:t>to</w:t>
      </w:r>
      <w:r w:rsidR="002E33DD" w:rsidRPr="00CD2B03">
        <w:t xml:space="preserve"> </w:t>
      </w:r>
      <w:r w:rsidRPr="00CD2B03">
        <w:t xml:space="preserve">the </w:t>
      </w:r>
      <w:r w:rsidR="002E33DD">
        <w:t>seven</w:t>
      </w:r>
      <w:r w:rsidRPr="009C004B">
        <w:t>th</w:t>
      </w:r>
      <w:r w:rsidRPr="00CD2B03">
        <w:t xml:space="preserve"> generation through ownership of voting shares (B shares), whereas dividend bearing but non-voting shares (A shares) were traded on the stock exchange. </w:t>
      </w:r>
      <w:r>
        <w:t>The</w:t>
      </w:r>
      <w:r w:rsidRPr="00CD2B03">
        <w:t xml:space="preserve"> family holding company owned 56.1</w:t>
      </w:r>
      <w:r>
        <w:t xml:space="preserve"> per cent</w:t>
      </w:r>
      <w:r w:rsidRPr="00CD2B03">
        <w:t xml:space="preserve"> of voting rights and 27.9</w:t>
      </w:r>
      <w:r>
        <w:t xml:space="preserve"> per cent</w:t>
      </w:r>
      <w:r w:rsidRPr="00CD2B03">
        <w:t xml:space="preserve"> of the dividend bearing capital, thereby securing the continu</w:t>
      </w:r>
      <w:r w:rsidR="00AE5F69">
        <w:t>ed</w:t>
      </w:r>
      <w:r w:rsidRPr="00CD2B03">
        <w:t xml:space="preserve"> family control of the company. David Dean had been running the company as a professional (non-family member) </w:t>
      </w:r>
      <w:r w:rsidR="00AE5F69">
        <w:t>chief executive officer (</w:t>
      </w:r>
      <w:r w:rsidRPr="00CD2B03">
        <w:t>CEO</w:t>
      </w:r>
      <w:r w:rsidR="00AE5F69">
        <w:t>)</w:t>
      </w:r>
      <w:r w:rsidRPr="00CD2B03">
        <w:t xml:space="preserve"> since 2005; he report</w:t>
      </w:r>
      <w:r w:rsidR="00AE5F69">
        <w:t>ed to</w:t>
      </w:r>
      <w:r w:rsidRPr="00CD2B03">
        <w:t xml:space="preserve"> the supervisory board</w:t>
      </w:r>
      <w:r w:rsidR="00AE5F69">
        <w:t>,</w:t>
      </w:r>
      <w:r w:rsidRPr="00CD2B03">
        <w:t xml:space="preserve"> chaired by </w:t>
      </w:r>
      <w:proofErr w:type="spellStart"/>
      <w:r w:rsidRPr="00CD2B03">
        <w:t>Dr</w:t>
      </w:r>
      <w:r w:rsidR="00AE5F69">
        <w:t>.</w:t>
      </w:r>
      <w:proofErr w:type="spellEnd"/>
      <w:r w:rsidRPr="00CD2B03">
        <w:t xml:space="preserve"> Thomas </w:t>
      </w:r>
      <w:proofErr w:type="spellStart"/>
      <w:r w:rsidRPr="00CD2B03">
        <w:t>Schmuckli</w:t>
      </w:r>
      <w:proofErr w:type="spellEnd"/>
      <w:r w:rsidRPr="00CD2B03">
        <w:t>, a family member who</w:t>
      </w:r>
      <w:r w:rsidR="00AE5F69">
        <w:t>se primary occupation</w:t>
      </w:r>
      <w:r w:rsidRPr="00CD2B03">
        <w:t xml:space="preserve"> was </w:t>
      </w:r>
      <w:r w:rsidR="00AE5F69">
        <w:t>m</w:t>
      </w:r>
      <w:r w:rsidRPr="00CD2B03">
        <w:t xml:space="preserve">anaging </w:t>
      </w:r>
      <w:r w:rsidR="00AE5F69">
        <w:t>d</w:t>
      </w:r>
      <w:r w:rsidRPr="00CD2B03">
        <w:t xml:space="preserve">irector at </w:t>
      </w:r>
      <w:r>
        <w:t>C</w:t>
      </w:r>
      <w:r w:rsidRPr="00CD2B03">
        <w:t xml:space="preserve">redit Suisse. </w:t>
      </w:r>
    </w:p>
    <w:p w14:paraId="730F6E2F" w14:textId="77777777" w:rsidR="009C004B" w:rsidRPr="00CD2B03" w:rsidRDefault="009C004B" w:rsidP="009C004B">
      <w:pPr>
        <w:pStyle w:val="BodyTextMain"/>
      </w:pPr>
    </w:p>
    <w:p w14:paraId="3202F331" w14:textId="1F093247" w:rsidR="009C004B" w:rsidRPr="009C004B" w:rsidRDefault="009C004B" w:rsidP="009C004B">
      <w:pPr>
        <w:pStyle w:val="BodyTextMain"/>
      </w:pPr>
      <w:proofErr w:type="spellStart"/>
      <w:r w:rsidRPr="009C004B">
        <w:t>Bossard’s</w:t>
      </w:r>
      <w:proofErr w:type="spellEnd"/>
      <w:r w:rsidRPr="009C004B">
        <w:t xml:space="preserve"> traditional core business was trading in screws, nuts</w:t>
      </w:r>
      <w:r w:rsidR="00AE5F69">
        <w:t>,</w:t>
      </w:r>
      <w:r w:rsidRPr="009C004B">
        <w:t xml:space="preserve"> and bolts, which </w:t>
      </w:r>
      <w:r w:rsidR="00AE5F69">
        <w:t>were</w:t>
      </w:r>
      <w:r w:rsidR="00AE5F69" w:rsidRPr="009C004B">
        <w:t xml:space="preserve"> </w:t>
      </w:r>
      <w:r w:rsidRPr="009C004B">
        <w:t xml:space="preserve">basic consumable products (“C-parts”) for manufacturing. These C-parts </w:t>
      </w:r>
      <w:r w:rsidR="00AE5F69">
        <w:t>were</w:t>
      </w:r>
      <w:r w:rsidR="00AE5F69" w:rsidRPr="009C004B">
        <w:t xml:space="preserve"> </w:t>
      </w:r>
      <w:r w:rsidRPr="009C004B">
        <w:t xml:space="preserve">mostly standardized mass-produced items, </w:t>
      </w:r>
      <w:r w:rsidR="008E28FD">
        <w:t>but</w:t>
      </w:r>
      <w:r w:rsidR="008E28FD" w:rsidRPr="009C004B">
        <w:t xml:space="preserve"> </w:t>
      </w:r>
      <w:r w:rsidRPr="009C004B">
        <w:t>their quality could be critical for quality and reliability of downstream products</w:t>
      </w:r>
      <w:r w:rsidR="00AE5F69">
        <w:t xml:space="preserve">. </w:t>
      </w:r>
      <w:r w:rsidR="00D26F6C">
        <w:t>As described by</w:t>
      </w:r>
      <w:r w:rsidR="00AF2F4B">
        <w:t xml:space="preserve"> </w:t>
      </w:r>
      <w:proofErr w:type="spellStart"/>
      <w:r w:rsidR="00AF2F4B">
        <w:t>Bossard</w:t>
      </w:r>
      <w:proofErr w:type="spellEnd"/>
      <w:r w:rsidRPr="009C004B">
        <w:t xml:space="preserve">: </w:t>
      </w:r>
    </w:p>
    <w:p w14:paraId="36386ADB" w14:textId="77777777" w:rsidR="009C004B" w:rsidRPr="009C004B" w:rsidRDefault="009C004B" w:rsidP="009C004B">
      <w:pPr>
        <w:pStyle w:val="BodyTextMain"/>
      </w:pPr>
    </w:p>
    <w:p w14:paraId="2D68150C" w14:textId="0DEAD7BE" w:rsidR="009C004B" w:rsidRDefault="009C004B" w:rsidP="009C004B">
      <w:pPr>
        <w:pStyle w:val="BodyTextMain"/>
        <w:ind w:left="720"/>
      </w:pPr>
      <w:r w:rsidRPr="009C004B">
        <w:t>Fasteners may not be everything, but almost nothing works without fasteners: electric razors, lawn mowers, tractors, trains, computers</w:t>
      </w:r>
      <w:r w:rsidR="00D26F6C">
        <w:t>,</w:t>
      </w:r>
      <w:r w:rsidRPr="009C004B">
        <w:t xml:space="preserve"> and printers</w:t>
      </w:r>
      <w:r w:rsidR="00AE5F69">
        <w:t>—</w:t>
      </w:r>
      <w:r w:rsidR="004A4D18">
        <w:t>all of the</w:t>
      </w:r>
      <w:r w:rsidRPr="009C004B">
        <w:t xml:space="preserve"> products </w:t>
      </w:r>
      <w:r w:rsidR="00AE5F69">
        <w:t>that</w:t>
      </w:r>
      <w:r w:rsidR="00AE5F69" w:rsidRPr="009C004B">
        <w:t xml:space="preserve"> </w:t>
      </w:r>
      <w:r w:rsidRPr="009C004B">
        <w:t xml:space="preserve">we take for granted in our everyday lives. </w:t>
      </w:r>
      <w:r w:rsidR="00AE5F69">
        <w:t>[The products]</w:t>
      </w:r>
      <w:r w:rsidRPr="009C004B">
        <w:t xml:space="preserve"> work as well as their fasteners allow them to. Fasteners usually work in the background so that one hardly notices them</w:t>
      </w:r>
      <w:r w:rsidR="00AE5F69">
        <w:t xml:space="preserve">. . . . </w:t>
      </w:r>
      <w:r w:rsidRPr="009C004B">
        <w:t>The most expensive fastener is the one that’s missing. Only a steady flow of high-quality fasteners that never dries up guarantees efficient production and maintenance</w:t>
      </w:r>
      <w:r>
        <w:t>.</w:t>
      </w:r>
      <w:r w:rsidRPr="009C004B">
        <w:t xml:space="preserve"> </w:t>
      </w:r>
    </w:p>
    <w:p w14:paraId="0CFC3DC3" w14:textId="77777777" w:rsidR="009C004B" w:rsidRPr="009C004B" w:rsidRDefault="009C004B" w:rsidP="009C004B">
      <w:pPr>
        <w:pStyle w:val="BodyTextMain"/>
        <w:ind w:left="720"/>
      </w:pPr>
    </w:p>
    <w:p w14:paraId="43DA117F" w14:textId="05634674" w:rsidR="009C004B" w:rsidRDefault="009C004B" w:rsidP="009C004B">
      <w:pPr>
        <w:pStyle w:val="BodyTextMain"/>
      </w:pPr>
      <w:r>
        <w:t xml:space="preserve">Moreover, the quality of fasteners was often critical for the overall safety and reliability of products. </w:t>
      </w:r>
      <w:proofErr w:type="spellStart"/>
      <w:r w:rsidRPr="00CD2B03">
        <w:t>Bossard</w:t>
      </w:r>
      <w:proofErr w:type="spellEnd"/>
      <w:r>
        <w:t xml:space="preserve"> thus conducted e</w:t>
      </w:r>
      <w:r w:rsidRPr="00854E56">
        <w:t xml:space="preserve">xtensive testing of </w:t>
      </w:r>
      <w:r>
        <w:t>the</w:t>
      </w:r>
      <w:r w:rsidRPr="00854E56">
        <w:t xml:space="preserve"> properties of its </w:t>
      </w:r>
      <w:r>
        <w:t>C-parts</w:t>
      </w:r>
      <w:r w:rsidRPr="00854E56">
        <w:t xml:space="preserve">, including precise size, </w:t>
      </w:r>
      <w:r>
        <w:t xml:space="preserve">push and </w:t>
      </w:r>
      <w:r w:rsidRPr="00854E56">
        <w:t>pull pressures, corrosion protection, surface</w:t>
      </w:r>
      <w:r w:rsidR="004A4D18">
        <w:t>s</w:t>
      </w:r>
      <w:r w:rsidR="00AE5F69">
        <w:t>,</w:t>
      </w:r>
      <w:r w:rsidRPr="00854E56">
        <w:t xml:space="preserve"> and coatings</w:t>
      </w:r>
      <w:r>
        <w:t>. The quality of the</w:t>
      </w:r>
      <w:r w:rsidRPr="00CD2B03">
        <w:t xml:space="preserve"> product portfolio</w:t>
      </w:r>
      <w:r>
        <w:t xml:space="preserve"> along with its integrated logistics solutions were </w:t>
      </w:r>
      <w:proofErr w:type="spellStart"/>
      <w:r w:rsidRPr="00CD2B03">
        <w:t>Bossard</w:t>
      </w:r>
      <w:r>
        <w:t>’s</w:t>
      </w:r>
      <w:proofErr w:type="spellEnd"/>
      <w:r>
        <w:t xml:space="preserve"> selling points</w:t>
      </w:r>
      <w:r w:rsidRPr="00CD2B03">
        <w:t xml:space="preserve">. </w:t>
      </w:r>
    </w:p>
    <w:p w14:paraId="1FDDFCB2" w14:textId="77777777" w:rsidR="009C004B" w:rsidRDefault="009C004B" w:rsidP="009C004B">
      <w:pPr>
        <w:pStyle w:val="BodyTextMain"/>
      </w:pPr>
    </w:p>
    <w:p w14:paraId="2233FE0D" w14:textId="4C928CFB" w:rsidR="009C004B" w:rsidRDefault="009C004B" w:rsidP="009C004B">
      <w:pPr>
        <w:pStyle w:val="BodyTextMain"/>
      </w:pPr>
      <w:proofErr w:type="spellStart"/>
      <w:r>
        <w:t>Bossard</w:t>
      </w:r>
      <w:proofErr w:type="spellEnd"/>
      <w:r>
        <w:t xml:space="preserve"> initially grew organically but </w:t>
      </w:r>
      <w:r w:rsidR="004A4D18">
        <w:t xml:space="preserve">it </w:t>
      </w:r>
      <w:r>
        <w:t xml:space="preserve">made a few major acquisitions in the 2010s to strengthen its global footprint, </w:t>
      </w:r>
      <w:proofErr w:type="spellStart"/>
      <w:r>
        <w:t>through</w:t>
      </w:r>
      <w:proofErr w:type="spellEnd"/>
      <w:r w:rsidR="004C1DD0">
        <w:t>,</w:t>
      </w:r>
      <w:r>
        <w:t xml:space="preserve"> notably</w:t>
      </w:r>
      <w:r w:rsidR="004C1DD0">
        <w:t>,</w:t>
      </w:r>
      <w:r>
        <w:t xml:space="preserve"> the acquisition of </w:t>
      </w:r>
      <w:r w:rsidRPr="00CD2B03">
        <w:t>KVT</w:t>
      </w:r>
      <w:r w:rsidR="00AB08E1">
        <w:t>-</w:t>
      </w:r>
      <w:r w:rsidRPr="00CD2B03">
        <w:t>Fastening in Germany in 2013.</w:t>
      </w:r>
      <w:r w:rsidR="002E6591">
        <w:t xml:space="preserve"> </w:t>
      </w:r>
      <w:r>
        <w:t xml:space="preserve">By 2015, </w:t>
      </w:r>
      <w:proofErr w:type="spellStart"/>
      <w:r>
        <w:t>Bossard</w:t>
      </w:r>
      <w:proofErr w:type="spellEnd"/>
      <w:r>
        <w:t xml:space="preserve"> had become a leading international player, the biggest of its kind in Europe, operating in 27 countries worldwide. Its central warehouse in Zug stored 50,000 </w:t>
      </w:r>
      <w:r w:rsidRPr="004C1DD0">
        <w:t>catalog</w:t>
      </w:r>
      <w:r w:rsidR="004C1DD0">
        <w:t>ue</w:t>
      </w:r>
      <w:r>
        <w:t xml:space="preserve"> items with 380,000 stock</w:t>
      </w:r>
      <w:r w:rsidR="000002D5">
        <w:t>-</w:t>
      </w:r>
      <w:r>
        <w:t>keeping units with a total weight of 8,000 ton</w:t>
      </w:r>
      <w:r w:rsidR="00573ED9">
        <w:t>ne</w:t>
      </w:r>
      <w:r>
        <w:t xml:space="preserve">s. </w:t>
      </w:r>
      <w:proofErr w:type="spellStart"/>
      <w:r>
        <w:t>Bossard</w:t>
      </w:r>
      <w:proofErr w:type="spellEnd"/>
      <w:r>
        <w:t xml:space="preserve"> was operating 2</w:t>
      </w:r>
      <w:r w:rsidR="004C1DD0">
        <w:t>,</w:t>
      </w:r>
      <w:r>
        <w:t xml:space="preserve">500 logistics systems for customers and sourcing from over 500 suppliers worldwide. </w:t>
      </w:r>
    </w:p>
    <w:p w14:paraId="3FA5F3D7" w14:textId="77777777" w:rsidR="009C004B" w:rsidRDefault="009C004B" w:rsidP="009C004B">
      <w:pPr>
        <w:pStyle w:val="BodyTextMain"/>
      </w:pPr>
    </w:p>
    <w:p w14:paraId="5C886502" w14:textId="4B5A6708" w:rsidR="009C004B" w:rsidRDefault="009C004B" w:rsidP="009C004B">
      <w:pPr>
        <w:pStyle w:val="BodyTextMain"/>
      </w:pPr>
      <w:proofErr w:type="spellStart"/>
      <w:r w:rsidRPr="00CD2B03">
        <w:t>Bossard’s</w:t>
      </w:r>
      <w:proofErr w:type="spellEnd"/>
      <w:r w:rsidRPr="00CD2B03">
        <w:t xml:space="preserve"> customers included the leaders of Swiss manufacturing, many household names from across Europe, and</w:t>
      </w:r>
      <w:r w:rsidR="004C1DD0">
        <w:t>,</w:t>
      </w:r>
      <w:r w:rsidRPr="00CD2B03">
        <w:t xml:space="preserve"> increasingly</w:t>
      </w:r>
      <w:r w:rsidR="004C1DD0">
        <w:t>,</w:t>
      </w:r>
      <w:r w:rsidRPr="00CD2B03">
        <w:t xml:space="preserve"> customers from North America and Asia</w:t>
      </w:r>
      <w:r>
        <w:t>.</w:t>
      </w:r>
      <w:r w:rsidRPr="00CD2B03">
        <w:t xml:space="preserve"> </w:t>
      </w:r>
      <w:r>
        <w:t xml:space="preserve">Key customers included Swiss industrial companies such as </w:t>
      </w:r>
      <w:proofErr w:type="spellStart"/>
      <w:r>
        <w:t>Stadler</w:t>
      </w:r>
      <w:proofErr w:type="spellEnd"/>
      <w:r>
        <w:t xml:space="preserve"> Rail (see Exhibit 3) </w:t>
      </w:r>
      <w:r w:rsidR="004615CD">
        <w:t>and</w:t>
      </w:r>
      <w:r>
        <w:t xml:space="preserve"> global leaders </w:t>
      </w:r>
      <w:r w:rsidR="004615CD">
        <w:t xml:space="preserve">that were </w:t>
      </w:r>
      <w:r>
        <w:t>manufacturing at multiple sites around the world (see Exhibit 4). W</w:t>
      </w:r>
      <w:r w:rsidRPr="00AD76E4">
        <w:t xml:space="preserve">hen electrical car pioneer </w:t>
      </w:r>
      <w:r w:rsidRPr="009C004B">
        <w:t>Tesla</w:t>
      </w:r>
      <w:r w:rsidR="00844621">
        <w:t>, Inc.</w:t>
      </w:r>
      <w:r w:rsidRPr="00AD76E4">
        <w:t xml:space="preserve"> established its new production facility in California in 2011, the</w:t>
      </w:r>
      <w:r w:rsidR="00E660FF">
        <w:t xml:space="preserve"> compan</w:t>
      </w:r>
      <w:r w:rsidRPr="00AD76E4">
        <w:t>y w</w:t>
      </w:r>
      <w:r w:rsidR="00E660FF">
        <w:t>as</w:t>
      </w:r>
      <w:r w:rsidRPr="00AD76E4">
        <w:t xml:space="preserve"> looking not only for the latest technology to put in the cars, but </w:t>
      </w:r>
      <w:r w:rsidR="004615CD">
        <w:t xml:space="preserve">also </w:t>
      </w:r>
      <w:r w:rsidRPr="00AD76E4">
        <w:t xml:space="preserve">for the latest technology </w:t>
      </w:r>
      <w:r>
        <w:t>for</w:t>
      </w:r>
      <w:r w:rsidRPr="00AD76E4">
        <w:t xml:space="preserve"> building cars.</w:t>
      </w:r>
      <w:r w:rsidR="002E6591">
        <w:t xml:space="preserve"> </w:t>
      </w:r>
      <w:r w:rsidRPr="00AD76E4">
        <w:t xml:space="preserve">So, </w:t>
      </w:r>
      <w:r w:rsidR="00EC2064">
        <w:t>i</w:t>
      </w:r>
      <w:r w:rsidRPr="00AD76E4">
        <w:t xml:space="preserve">t turned to </w:t>
      </w:r>
      <w:proofErr w:type="spellStart"/>
      <w:r w:rsidRPr="00AD76E4">
        <w:t>Bossard</w:t>
      </w:r>
      <w:proofErr w:type="spellEnd"/>
      <w:r w:rsidRPr="00AD76E4">
        <w:t xml:space="preserve"> </w:t>
      </w:r>
      <w:r>
        <w:t xml:space="preserve">to optimize </w:t>
      </w:r>
      <w:r w:rsidR="004615CD">
        <w:t xml:space="preserve">Tesla’s </w:t>
      </w:r>
      <w:r>
        <w:t xml:space="preserve">C-parts management. </w:t>
      </w:r>
      <w:proofErr w:type="spellStart"/>
      <w:r>
        <w:t>Bossard</w:t>
      </w:r>
      <w:proofErr w:type="spellEnd"/>
      <w:r>
        <w:t xml:space="preserve"> thus </w:t>
      </w:r>
      <w:r w:rsidR="004A4D18">
        <w:t>began</w:t>
      </w:r>
      <w:r>
        <w:t xml:space="preserve"> running intra-factory logistics for Tesla, regularly refilling 1</w:t>
      </w:r>
      <w:r w:rsidR="004615CD">
        <w:t>,</w:t>
      </w:r>
      <w:r>
        <w:t xml:space="preserve">500 bins in 91 locations across the plant. </w:t>
      </w:r>
      <w:r w:rsidRPr="00AD76E4">
        <w:t>Ad</w:t>
      </w:r>
      <w:r>
        <w:t>a</w:t>
      </w:r>
      <w:r w:rsidRPr="00AD76E4">
        <w:t xml:space="preserve">pting to </w:t>
      </w:r>
      <w:r>
        <w:t>its</w:t>
      </w:r>
      <w:r w:rsidRPr="00AD76E4">
        <w:t xml:space="preserve"> client</w:t>
      </w:r>
      <w:r>
        <w:t>’</w:t>
      </w:r>
      <w:r w:rsidRPr="00AD76E4">
        <w:t xml:space="preserve">s corporate image, </w:t>
      </w:r>
      <w:r>
        <w:t xml:space="preserve">bins in the Tesla plant </w:t>
      </w:r>
      <w:r w:rsidR="004615CD">
        <w:t xml:space="preserve">were </w:t>
      </w:r>
      <w:r>
        <w:t>re</w:t>
      </w:r>
      <w:r w:rsidRPr="00AD76E4">
        <w:t xml:space="preserve">d, rather than </w:t>
      </w:r>
      <w:proofErr w:type="spellStart"/>
      <w:r>
        <w:t>Bossard’s</w:t>
      </w:r>
      <w:proofErr w:type="spellEnd"/>
      <w:r w:rsidRPr="00AD76E4">
        <w:t xml:space="preserve"> traditional light blue.</w:t>
      </w:r>
      <w:r>
        <w:t xml:space="preserve"> To bring the pioneering spirit of Tesla to </w:t>
      </w:r>
      <w:proofErr w:type="spellStart"/>
      <w:r w:rsidR="007E4D3A">
        <w:t>Bossard</w:t>
      </w:r>
      <w:proofErr w:type="spellEnd"/>
      <w:r>
        <w:t xml:space="preserve">, a Tesla car with </w:t>
      </w:r>
      <w:r w:rsidR="004615CD">
        <w:t xml:space="preserve">the </w:t>
      </w:r>
      <w:proofErr w:type="spellStart"/>
      <w:r>
        <w:t>Bossard</w:t>
      </w:r>
      <w:proofErr w:type="spellEnd"/>
      <w:r>
        <w:t xml:space="preserve"> logo was parked right by the entrance </w:t>
      </w:r>
      <w:r w:rsidR="004615CD">
        <w:t xml:space="preserve">to </w:t>
      </w:r>
      <w:proofErr w:type="spellStart"/>
      <w:r>
        <w:t>Bossard’s</w:t>
      </w:r>
      <w:proofErr w:type="spellEnd"/>
      <w:r>
        <w:t xml:space="preserve"> warehouse in Zug. </w:t>
      </w:r>
    </w:p>
    <w:p w14:paraId="787CF9DE" w14:textId="6D8ABA99" w:rsidR="0058093A" w:rsidRDefault="0058093A">
      <w:pPr>
        <w:spacing w:after="200" w:line="276" w:lineRule="auto"/>
        <w:rPr>
          <w:rFonts w:ascii="Arial" w:hAnsi="Arial" w:cs="Arial"/>
          <w:b/>
          <w:caps/>
        </w:rPr>
      </w:pPr>
      <w:r>
        <w:br w:type="page"/>
      </w:r>
    </w:p>
    <w:p w14:paraId="64C8791F" w14:textId="77777777" w:rsidR="009C004B" w:rsidRDefault="009C004B" w:rsidP="002E6591">
      <w:pPr>
        <w:pStyle w:val="Casehead1"/>
        <w:outlineLvl w:val="0"/>
      </w:pPr>
      <w:r w:rsidRPr="00CA3EAE">
        <w:lastRenderedPageBreak/>
        <w:t>Industrial Services in the Age of Industry 4.0</w:t>
      </w:r>
    </w:p>
    <w:p w14:paraId="79DB7C6A" w14:textId="77777777" w:rsidR="009C004B" w:rsidRPr="009C004B" w:rsidRDefault="009C004B" w:rsidP="009C004B">
      <w:pPr>
        <w:pStyle w:val="BodyTextMain"/>
      </w:pPr>
    </w:p>
    <w:p w14:paraId="7440ECC2" w14:textId="6E4E6F83" w:rsidR="009C004B" w:rsidRDefault="009C004B" w:rsidP="009C004B">
      <w:pPr>
        <w:pStyle w:val="BodyTextMain"/>
      </w:pPr>
      <w:r w:rsidRPr="009C004B">
        <w:t>Manufacturing was facing a fourth industrial revolution</w:t>
      </w:r>
      <w:r w:rsidR="004615CD">
        <w:t>—</w:t>
      </w:r>
      <w:r w:rsidRPr="009C004B">
        <w:t xml:space="preserve">popularly known as </w:t>
      </w:r>
      <w:r w:rsidR="007E4D3A">
        <w:t>I</w:t>
      </w:r>
      <w:r w:rsidRPr="009C004B">
        <w:t>ndustry 4.0</w:t>
      </w:r>
      <w:r w:rsidR="004615CD">
        <w:t>—</w:t>
      </w:r>
      <w:r w:rsidR="005D59AF">
        <w:t>as</w:t>
      </w:r>
      <w:r w:rsidRPr="009C004B">
        <w:t xml:space="preserve"> manufacturing </w:t>
      </w:r>
      <w:r w:rsidR="005D59AF">
        <w:t xml:space="preserve">converged </w:t>
      </w:r>
      <w:r w:rsidRPr="009C004B">
        <w:t xml:space="preserve">with the digital economy, specifically </w:t>
      </w:r>
      <w:r w:rsidR="005D59AF">
        <w:t xml:space="preserve">with </w:t>
      </w:r>
      <w:r w:rsidRPr="009C004B">
        <w:t>emerg</w:t>
      </w:r>
      <w:r w:rsidR="00F24DF9">
        <w:t>ing</w:t>
      </w:r>
      <w:r w:rsidRPr="009C004B">
        <w:t xml:space="preserve"> big data collection systems and analytics.</w:t>
      </w:r>
      <w:r w:rsidR="002E6591">
        <w:t xml:space="preserve"> </w:t>
      </w:r>
      <w:r w:rsidRPr="009C004B">
        <w:t xml:space="preserve">Similar ideas were discussed in the </w:t>
      </w:r>
      <w:r w:rsidR="00086129">
        <w:t>United States</w:t>
      </w:r>
      <w:r w:rsidR="00086129" w:rsidRPr="009C004B">
        <w:t xml:space="preserve"> </w:t>
      </w:r>
      <w:r w:rsidRPr="009C004B">
        <w:t xml:space="preserve">as </w:t>
      </w:r>
      <w:r w:rsidR="00F24DF9">
        <w:t xml:space="preserve">the </w:t>
      </w:r>
      <w:r w:rsidRPr="009C004B">
        <w:t>“Industrial Internet of Things” (</w:t>
      </w:r>
      <w:proofErr w:type="spellStart"/>
      <w:r w:rsidRPr="009C004B">
        <w:t>IIoT</w:t>
      </w:r>
      <w:proofErr w:type="spellEnd"/>
      <w:r w:rsidRPr="009C004B">
        <w:t>) and in academic circles as “cyber-physical systems</w:t>
      </w:r>
      <w:r w:rsidR="00F24DF9">
        <w:t>.</w:t>
      </w:r>
      <w:r w:rsidRPr="009C004B">
        <w:t>” It was still primarily a vision for future manufacturing rather than a clearly defined set of techniques</w:t>
      </w:r>
      <w:r w:rsidR="00F24DF9">
        <w:t>, but e</w:t>
      </w:r>
      <w:r w:rsidRPr="009C004B">
        <w:t xml:space="preserve">xperts were discussing how to create profitable business models employing big data analytics. One popular idea was to replicate entire factories and production processes in digital space, optimize the system through simulations in cyberspace, and then implement insights from that analysis in the real world. A more hands-on approach was to identify bottlenecks, ask what real time data </w:t>
      </w:r>
      <w:r w:rsidR="006D419E">
        <w:t>was</w:t>
      </w:r>
      <w:r w:rsidR="006D419E" w:rsidRPr="009C004B">
        <w:t xml:space="preserve"> </w:t>
      </w:r>
      <w:r w:rsidRPr="009C004B">
        <w:t xml:space="preserve">needed to overcome this bottleneck, </w:t>
      </w:r>
      <w:r w:rsidR="00CC4115">
        <w:t xml:space="preserve">and </w:t>
      </w:r>
      <w:r w:rsidRPr="009C004B">
        <w:t>develop appropriate sensors, wireless connections</w:t>
      </w:r>
      <w:r w:rsidR="00CC4115">
        <w:t>,</w:t>
      </w:r>
      <w:r w:rsidRPr="009C004B">
        <w:t xml:space="preserve"> and analytics to collect, transfer</w:t>
      </w:r>
      <w:r w:rsidR="00CC4115">
        <w:t>,</w:t>
      </w:r>
      <w:r w:rsidRPr="009C004B">
        <w:t xml:space="preserve"> and </w:t>
      </w:r>
      <w:proofErr w:type="spellStart"/>
      <w:r w:rsidRPr="009C004B">
        <w:t>analyze</w:t>
      </w:r>
      <w:proofErr w:type="spellEnd"/>
      <w:r w:rsidRPr="009C004B">
        <w:t xml:space="preserve"> </w:t>
      </w:r>
      <w:r w:rsidR="006D419E" w:rsidRPr="009C004B">
        <w:t>th</w:t>
      </w:r>
      <w:r w:rsidR="006D419E">
        <w:t>is</w:t>
      </w:r>
      <w:r w:rsidR="006D419E" w:rsidRPr="009C004B">
        <w:t xml:space="preserve"> </w:t>
      </w:r>
      <w:r w:rsidRPr="009C004B">
        <w:t>data</w:t>
      </w:r>
      <w:r w:rsidR="00CC4115">
        <w:t>. O</w:t>
      </w:r>
      <w:r w:rsidRPr="009C004B">
        <w:t>n that basis</w:t>
      </w:r>
      <w:r w:rsidR="00CC4115">
        <w:t>,</w:t>
      </w:r>
      <w:r w:rsidRPr="009C004B">
        <w:t xml:space="preserve"> real time data visualizations </w:t>
      </w:r>
      <w:r w:rsidR="00CC4115">
        <w:t xml:space="preserve">could be </w:t>
      </w:r>
      <w:r w:rsidR="00CC4115" w:rsidRPr="009C004B">
        <w:t>provide</w:t>
      </w:r>
      <w:r w:rsidR="00CC4115">
        <w:t>d</w:t>
      </w:r>
      <w:r w:rsidR="00CC4115" w:rsidRPr="009C004B">
        <w:t xml:space="preserve"> </w:t>
      </w:r>
      <w:r w:rsidRPr="009C004B">
        <w:t>to decision</w:t>
      </w:r>
      <w:r w:rsidR="006D419E">
        <w:t>-</w:t>
      </w:r>
      <w:r w:rsidRPr="009C004B">
        <w:t xml:space="preserve">makers, or even </w:t>
      </w:r>
      <w:r w:rsidR="00CC4115">
        <w:t xml:space="preserve">used </w:t>
      </w:r>
      <w:r w:rsidRPr="009C004B">
        <w:t>to create decision algorithms that would automatically decide what action should be taken.</w:t>
      </w:r>
      <w:r w:rsidR="002E6591">
        <w:t xml:space="preserve"> </w:t>
      </w:r>
    </w:p>
    <w:p w14:paraId="79C7D139" w14:textId="77777777" w:rsidR="009C004B" w:rsidRPr="009C004B" w:rsidRDefault="009C004B" w:rsidP="009C004B">
      <w:pPr>
        <w:pStyle w:val="BodyTextMain"/>
      </w:pPr>
    </w:p>
    <w:p w14:paraId="6C183703" w14:textId="272E60D0" w:rsidR="00CC4115" w:rsidRDefault="009C004B" w:rsidP="009C004B">
      <w:pPr>
        <w:pStyle w:val="BodyTextMain"/>
      </w:pPr>
      <w:proofErr w:type="spellStart"/>
      <w:r w:rsidRPr="009C004B">
        <w:t>Bossard</w:t>
      </w:r>
      <w:proofErr w:type="spellEnd"/>
      <w:r w:rsidRPr="009C004B">
        <w:t xml:space="preserve"> aimed to be at the forefront of this impending revolution of manufacturing, not only by optimizing its own logistics, but </w:t>
      </w:r>
      <w:r w:rsidR="00CC4115">
        <w:t xml:space="preserve">also </w:t>
      </w:r>
      <w:r w:rsidRPr="009C004B">
        <w:t xml:space="preserve">by becoming the preferred supplier for manufacturing firms that wanted to upgrade their operations to </w:t>
      </w:r>
      <w:r w:rsidR="003C78EC">
        <w:t>I</w:t>
      </w:r>
      <w:r w:rsidRPr="009C004B">
        <w:t xml:space="preserve">ndustry 4.0. Specifically, </w:t>
      </w:r>
      <w:proofErr w:type="spellStart"/>
      <w:r w:rsidRPr="009C004B">
        <w:t>Bossard</w:t>
      </w:r>
      <w:proofErr w:type="spellEnd"/>
      <w:r w:rsidRPr="009C004B">
        <w:t xml:space="preserve"> innovated logistics systems by incorporating real time data analytics with algorithms to optimize C-parts flows and order processing. In this way, </w:t>
      </w:r>
      <w:proofErr w:type="spellStart"/>
      <w:r w:rsidRPr="009C004B">
        <w:t>Bossard</w:t>
      </w:r>
      <w:proofErr w:type="spellEnd"/>
      <w:r w:rsidRPr="009C004B">
        <w:t xml:space="preserve"> was helping industrial customers enhance their productivity</w:t>
      </w:r>
      <w:r w:rsidR="00CC4115">
        <w:t>,</w:t>
      </w:r>
      <w:r w:rsidRPr="009C004B">
        <w:t xml:space="preserve"> as expressed in </w:t>
      </w:r>
      <w:proofErr w:type="spellStart"/>
      <w:r w:rsidR="00CC4115">
        <w:t>Bossard’s</w:t>
      </w:r>
      <w:proofErr w:type="spellEnd"/>
      <w:r w:rsidR="00CC4115" w:rsidRPr="009C004B">
        <w:t xml:space="preserve"> </w:t>
      </w:r>
      <w:r w:rsidRPr="009C004B">
        <w:t>corporate slogan</w:t>
      </w:r>
      <w:r w:rsidR="00CC4115">
        <w:t>,</w:t>
      </w:r>
      <w:r w:rsidRPr="009C004B">
        <w:t xml:space="preserve"> “</w:t>
      </w:r>
      <w:r w:rsidR="00B04914">
        <w:t>P</w:t>
      </w:r>
      <w:r w:rsidRPr="009C004B">
        <w:t xml:space="preserve">roven </w:t>
      </w:r>
      <w:r w:rsidR="00B04914">
        <w:t>P</w:t>
      </w:r>
      <w:r w:rsidRPr="009C004B">
        <w:t>roductivity</w:t>
      </w:r>
      <w:r w:rsidR="00CC4115">
        <w:t>.</w:t>
      </w:r>
      <w:r w:rsidRPr="009C004B">
        <w:t xml:space="preserve">” </w:t>
      </w:r>
    </w:p>
    <w:p w14:paraId="3704210F" w14:textId="77777777" w:rsidR="00CC4115" w:rsidRDefault="00CC4115" w:rsidP="009C004B">
      <w:pPr>
        <w:pStyle w:val="BodyTextMain"/>
      </w:pPr>
    </w:p>
    <w:p w14:paraId="01B27691" w14:textId="425F04F8" w:rsidR="009C004B" w:rsidRDefault="009C004B" w:rsidP="009C004B">
      <w:pPr>
        <w:pStyle w:val="BodyTextMain"/>
      </w:pPr>
      <w:proofErr w:type="spellStart"/>
      <w:r w:rsidRPr="009C004B">
        <w:t>Bossard</w:t>
      </w:r>
      <w:proofErr w:type="spellEnd"/>
      <w:r w:rsidRPr="009C004B">
        <w:t xml:space="preserve"> offered three types of services:</w:t>
      </w:r>
      <w:r w:rsidR="00DB2D84">
        <w:t xml:space="preserve"> product solutions, application engineering, and factory logistics.</w:t>
      </w:r>
    </w:p>
    <w:p w14:paraId="367B39B8" w14:textId="77777777" w:rsidR="009C004B" w:rsidRPr="009C004B" w:rsidRDefault="009C004B" w:rsidP="009C004B">
      <w:pPr>
        <w:pStyle w:val="BodyTextMain"/>
      </w:pPr>
    </w:p>
    <w:p w14:paraId="306225A8" w14:textId="46FA8195" w:rsidR="009C004B" w:rsidRPr="00E16CBE" w:rsidRDefault="009C004B" w:rsidP="009C004B">
      <w:pPr>
        <w:pStyle w:val="BodyTextMain"/>
        <w:rPr>
          <w:spacing w:val="-2"/>
          <w:kern w:val="22"/>
        </w:rPr>
      </w:pPr>
      <w:r w:rsidRPr="00E16CBE">
        <w:rPr>
          <w:i/>
          <w:spacing w:val="-2"/>
          <w:kern w:val="22"/>
        </w:rPr>
        <w:t>Product Solutions</w:t>
      </w:r>
      <w:r w:rsidR="004A4D18">
        <w:rPr>
          <w:spacing w:val="-2"/>
          <w:kern w:val="22"/>
        </w:rPr>
        <w:t>:</w:t>
      </w:r>
      <w:r w:rsidR="00CC4115" w:rsidRPr="00E16CBE">
        <w:rPr>
          <w:spacing w:val="-2"/>
          <w:kern w:val="22"/>
        </w:rPr>
        <w:t xml:space="preserve"> </w:t>
      </w:r>
      <w:proofErr w:type="spellStart"/>
      <w:r w:rsidRPr="00E16CBE">
        <w:rPr>
          <w:spacing w:val="-2"/>
          <w:kern w:val="22"/>
        </w:rPr>
        <w:t>Bossard</w:t>
      </w:r>
      <w:proofErr w:type="spellEnd"/>
      <w:r w:rsidRPr="00E16CBE">
        <w:rPr>
          <w:spacing w:val="-2"/>
          <w:kern w:val="22"/>
        </w:rPr>
        <w:t xml:space="preserve"> evaluated customers’ products and production processes to provide the best fastening products </w:t>
      </w:r>
      <w:r w:rsidR="00D319B5" w:rsidRPr="00E16CBE">
        <w:rPr>
          <w:spacing w:val="-2"/>
          <w:kern w:val="22"/>
        </w:rPr>
        <w:t>for the situation</w:t>
      </w:r>
      <w:r w:rsidRPr="00E16CBE">
        <w:rPr>
          <w:spacing w:val="-2"/>
          <w:kern w:val="22"/>
        </w:rPr>
        <w:t xml:space="preserve">. Specifically, </w:t>
      </w:r>
      <w:proofErr w:type="spellStart"/>
      <w:r w:rsidRPr="00E16CBE">
        <w:rPr>
          <w:spacing w:val="-2"/>
          <w:kern w:val="22"/>
        </w:rPr>
        <w:t>Bossard</w:t>
      </w:r>
      <w:proofErr w:type="spellEnd"/>
      <w:r w:rsidRPr="00E16CBE">
        <w:rPr>
          <w:spacing w:val="-2"/>
          <w:kern w:val="22"/>
        </w:rPr>
        <w:t xml:space="preserve"> could advise which specification</w:t>
      </w:r>
      <w:r w:rsidR="00D319B5" w:rsidRPr="00E16CBE">
        <w:rPr>
          <w:spacing w:val="-2"/>
          <w:kern w:val="22"/>
        </w:rPr>
        <w:t>s</w:t>
      </w:r>
      <w:r w:rsidRPr="00E16CBE">
        <w:rPr>
          <w:spacing w:val="-2"/>
          <w:kern w:val="22"/>
        </w:rPr>
        <w:t xml:space="preserve"> would best deliver the safety and reliability standards required by </w:t>
      </w:r>
      <w:r w:rsidR="00D319B5" w:rsidRPr="00E16CBE">
        <w:rPr>
          <w:spacing w:val="-2"/>
          <w:kern w:val="22"/>
        </w:rPr>
        <w:t xml:space="preserve">each </w:t>
      </w:r>
      <w:r w:rsidRPr="00E16CBE">
        <w:rPr>
          <w:spacing w:val="-2"/>
          <w:kern w:val="22"/>
        </w:rPr>
        <w:t>customer</w:t>
      </w:r>
      <w:r w:rsidR="00D319B5" w:rsidRPr="00E16CBE">
        <w:rPr>
          <w:spacing w:val="-2"/>
          <w:kern w:val="22"/>
        </w:rPr>
        <w:t>’</w:t>
      </w:r>
      <w:r w:rsidRPr="00E16CBE">
        <w:rPr>
          <w:spacing w:val="-2"/>
          <w:kern w:val="22"/>
        </w:rPr>
        <w:t>s product</w:t>
      </w:r>
      <w:r w:rsidR="00D319B5" w:rsidRPr="00E16CBE">
        <w:rPr>
          <w:spacing w:val="-2"/>
          <w:kern w:val="22"/>
        </w:rPr>
        <w:t>s</w:t>
      </w:r>
      <w:r w:rsidRPr="00E16CBE">
        <w:rPr>
          <w:spacing w:val="-2"/>
          <w:kern w:val="22"/>
        </w:rPr>
        <w:t>. In some cases, this advice extended to modifying a product to reduce the number of different C-parts, and thus</w:t>
      </w:r>
      <w:r w:rsidR="00D319B5" w:rsidRPr="00E16CBE">
        <w:rPr>
          <w:spacing w:val="-2"/>
          <w:kern w:val="22"/>
        </w:rPr>
        <w:t>,</w:t>
      </w:r>
      <w:r w:rsidRPr="00E16CBE">
        <w:rPr>
          <w:spacing w:val="-2"/>
          <w:kern w:val="22"/>
        </w:rPr>
        <w:t xml:space="preserve"> to reduce the complexity of </w:t>
      </w:r>
      <w:r w:rsidR="00D319B5" w:rsidRPr="00E16CBE">
        <w:rPr>
          <w:spacing w:val="-2"/>
          <w:kern w:val="22"/>
        </w:rPr>
        <w:t xml:space="preserve">the </w:t>
      </w:r>
      <w:r w:rsidRPr="00E16CBE">
        <w:rPr>
          <w:spacing w:val="-2"/>
          <w:kern w:val="22"/>
        </w:rPr>
        <w:t>client</w:t>
      </w:r>
      <w:r w:rsidR="00D319B5" w:rsidRPr="00E16CBE">
        <w:rPr>
          <w:spacing w:val="-2"/>
          <w:kern w:val="22"/>
        </w:rPr>
        <w:t>’</w:t>
      </w:r>
      <w:r w:rsidRPr="00E16CBE">
        <w:rPr>
          <w:spacing w:val="-2"/>
          <w:kern w:val="22"/>
        </w:rPr>
        <w:t>s operations. Such changes in operations could enhance clients’ productivity</w:t>
      </w:r>
      <w:r w:rsidR="00D319B5" w:rsidRPr="00E16CBE">
        <w:rPr>
          <w:spacing w:val="-2"/>
          <w:kern w:val="22"/>
        </w:rPr>
        <w:t xml:space="preserve"> and improve </w:t>
      </w:r>
      <w:r w:rsidRPr="00E16CBE">
        <w:rPr>
          <w:spacing w:val="-2"/>
          <w:kern w:val="22"/>
        </w:rPr>
        <w:t xml:space="preserve">the reliability </w:t>
      </w:r>
      <w:r w:rsidR="00D40A91" w:rsidRPr="00E16CBE">
        <w:rPr>
          <w:spacing w:val="-2"/>
          <w:kern w:val="22"/>
        </w:rPr>
        <w:t xml:space="preserve">of </w:t>
      </w:r>
      <w:r w:rsidR="00170CF1" w:rsidRPr="00E16CBE">
        <w:rPr>
          <w:spacing w:val="-2"/>
          <w:kern w:val="22"/>
        </w:rPr>
        <w:t>their</w:t>
      </w:r>
      <w:r w:rsidRPr="00E16CBE">
        <w:rPr>
          <w:spacing w:val="-2"/>
          <w:kern w:val="22"/>
        </w:rPr>
        <w:t xml:space="preserve"> final products. About half of </w:t>
      </w:r>
      <w:proofErr w:type="spellStart"/>
      <w:r w:rsidRPr="00E16CBE">
        <w:rPr>
          <w:spacing w:val="-2"/>
          <w:kern w:val="22"/>
        </w:rPr>
        <w:t>Bossard’s</w:t>
      </w:r>
      <w:proofErr w:type="spellEnd"/>
      <w:r w:rsidRPr="00E16CBE">
        <w:rPr>
          <w:spacing w:val="-2"/>
          <w:kern w:val="22"/>
        </w:rPr>
        <w:t xml:space="preserve"> product sales were in customized products. </w:t>
      </w:r>
    </w:p>
    <w:p w14:paraId="404B7865" w14:textId="77777777" w:rsidR="009C004B" w:rsidRPr="00491C1B" w:rsidRDefault="009C004B" w:rsidP="009C004B">
      <w:pPr>
        <w:pStyle w:val="BodyTextMain"/>
      </w:pPr>
    </w:p>
    <w:p w14:paraId="2A5696C8" w14:textId="1C3A2AC2" w:rsidR="009C004B" w:rsidRDefault="009C004B" w:rsidP="009C004B">
      <w:pPr>
        <w:pStyle w:val="BodyTextMain"/>
      </w:pPr>
      <w:r w:rsidRPr="00D64AE1">
        <w:rPr>
          <w:i/>
        </w:rPr>
        <w:t>Application Engineering</w:t>
      </w:r>
      <w:r w:rsidR="004A4D18">
        <w:t>:</w:t>
      </w:r>
      <w:r w:rsidRPr="00CD2B03">
        <w:t xml:space="preserve"> </w:t>
      </w:r>
      <w:proofErr w:type="spellStart"/>
      <w:r w:rsidRPr="00CD2B03">
        <w:t>Bossard</w:t>
      </w:r>
      <w:proofErr w:type="spellEnd"/>
      <w:r w:rsidRPr="00CD2B03">
        <w:t xml:space="preserve"> participate</w:t>
      </w:r>
      <w:r>
        <w:t>d</w:t>
      </w:r>
      <w:r w:rsidRPr="00CD2B03">
        <w:t xml:space="preserve"> in </w:t>
      </w:r>
      <w:r>
        <w:t xml:space="preserve">some </w:t>
      </w:r>
      <w:r w:rsidRPr="00CD2B03">
        <w:t>customers’ product innovation to develop solutions for next generation products</w:t>
      </w:r>
      <w:r>
        <w:t xml:space="preserve">. By </w:t>
      </w:r>
      <w:r w:rsidRPr="00CD2B03">
        <w:t xml:space="preserve">applying </w:t>
      </w:r>
      <w:proofErr w:type="spellStart"/>
      <w:r>
        <w:t>Bossard’s</w:t>
      </w:r>
      <w:proofErr w:type="spellEnd"/>
      <w:r>
        <w:t xml:space="preserve"> expertise </w:t>
      </w:r>
      <w:r w:rsidR="007A431E">
        <w:t xml:space="preserve">in </w:t>
      </w:r>
      <w:r w:rsidR="007A431E" w:rsidRPr="00CD2B03">
        <w:t>technology</w:t>
      </w:r>
      <w:r w:rsidR="007A431E">
        <w:t xml:space="preserve"> </w:t>
      </w:r>
      <w:r>
        <w:t>and logistics, clients</w:t>
      </w:r>
      <w:r w:rsidRPr="00CD2B03">
        <w:t xml:space="preserve"> </w:t>
      </w:r>
      <w:r>
        <w:t>could</w:t>
      </w:r>
      <w:r w:rsidRPr="00CD2B03">
        <w:t xml:space="preserve"> bring their products to market faster</w:t>
      </w:r>
      <w:r>
        <w:t>. Customers would</w:t>
      </w:r>
      <w:r w:rsidR="00170CF1">
        <w:t>,</w:t>
      </w:r>
      <w:r>
        <w:t xml:space="preserve"> for example</w:t>
      </w:r>
      <w:r w:rsidR="00170CF1">
        <w:t>,</w:t>
      </w:r>
      <w:r>
        <w:t xml:space="preserve"> send work pieces to </w:t>
      </w:r>
      <w:proofErr w:type="spellStart"/>
      <w:r>
        <w:t>Bossard</w:t>
      </w:r>
      <w:proofErr w:type="spellEnd"/>
      <w:r>
        <w:t xml:space="preserve"> for tests of product properties with alternative fastening solutions</w:t>
      </w:r>
      <w:r>
        <w:rPr>
          <w:rFonts w:hint="eastAsia"/>
        </w:rPr>
        <w:t>. B</w:t>
      </w:r>
      <w:r w:rsidR="00170CF1">
        <w:t xml:space="preserve">eing </w:t>
      </w:r>
      <w:r>
        <w:rPr>
          <w:rFonts w:hint="eastAsia"/>
        </w:rPr>
        <w:t>involv</w:t>
      </w:r>
      <w:r>
        <w:t>e</w:t>
      </w:r>
      <w:r w:rsidR="00170CF1">
        <w:t>d</w:t>
      </w:r>
      <w:r>
        <w:rPr>
          <w:rFonts w:hint="eastAsia"/>
        </w:rPr>
        <w:t xml:space="preserve"> in the development </w:t>
      </w:r>
      <w:r>
        <w:t xml:space="preserve">stage </w:t>
      </w:r>
      <w:r>
        <w:rPr>
          <w:rFonts w:hint="eastAsia"/>
        </w:rPr>
        <w:t>of new product</w:t>
      </w:r>
      <w:r>
        <w:t>s</w:t>
      </w:r>
      <w:r w:rsidR="00170CF1">
        <w:t xml:space="preserve"> allowed</w:t>
      </w:r>
      <w:r>
        <w:rPr>
          <w:rFonts w:hint="eastAsia"/>
        </w:rPr>
        <w:t xml:space="preserve"> </w:t>
      </w:r>
      <w:proofErr w:type="spellStart"/>
      <w:r>
        <w:rPr>
          <w:rFonts w:hint="eastAsia"/>
        </w:rPr>
        <w:t>Bossard</w:t>
      </w:r>
      <w:proofErr w:type="spellEnd"/>
      <w:r>
        <w:rPr>
          <w:rFonts w:hint="eastAsia"/>
        </w:rPr>
        <w:t xml:space="preserve"> </w:t>
      </w:r>
      <w:r w:rsidR="00170CF1">
        <w:t xml:space="preserve">to </w:t>
      </w:r>
      <w:r>
        <w:rPr>
          <w:rFonts w:hint="eastAsia"/>
        </w:rPr>
        <w:t>help customers choos</w:t>
      </w:r>
      <w:r>
        <w:t>e</w:t>
      </w:r>
      <w:r>
        <w:rPr>
          <w:rFonts w:hint="eastAsia"/>
        </w:rPr>
        <w:t xml:space="preserve"> </w:t>
      </w:r>
      <w:r>
        <w:t xml:space="preserve">an appropriate </w:t>
      </w:r>
      <w:r>
        <w:rPr>
          <w:rFonts w:hint="eastAsia"/>
        </w:rPr>
        <w:t>fastening solution</w:t>
      </w:r>
      <w:r>
        <w:t xml:space="preserve"> that enhanced product properties</w:t>
      </w:r>
      <w:r w:rsidR="00170CF1">
        <w:t xml:space="preserve"> and </w:t>
      </w:r>
      <w:r>
        <w:t>facilitated the logistics and assembly</w:t>
      </w:r>
      <w:r>
        <w:rPr>
          <w:rFonts w:hint="eastAsia"/>
        </w:rPr>
        <w:t xml:space="preserve"> process</w:t>
      </w:r>
      <w:r>
        <w:t>es</w:t>
      </w:r>
      <w:r>
        <w:rPr>
          <w:rFonts w:hint="eastAsia"/>
        </w:rPr>
        <w:t>.</w:t>
      </w:r>
      <w:r>
        <w:t xml:space="preserve"> </w:t>
      </w:r>
    </w:p>
    <w:p w14:paraId="56E33332" w14:textId="77777777" w:rsidR="009C004B" w:rsidRPr="00CD2B03" w:rsidRDefault="009C004B" w:rsidP="009C004B">
      <w:pPr>
        <w:pStyle w:val="BodyTextMain"/>
      </w:pPr>
    </w:p>
    <w:p w14:paraId="652FFC5F" w14:textId="1E6B4041" w:rsidR="009C004B" w:rsidRDefault="009C004B" w:rsidP="009C004B">
      <w:pPr>
        <w:pStyle w:val="BodyTextMain"/>
      </w:pPr>
      <w:r w:rsidRPr="00D64AE1">
        <w:rPr>
          <w:i/>
        </w:rPr>
        <w:t>Factory Logistics</w:t>
      </w:r>
      <w:r w:rsidR="004A4D18">
        <w:t>:</w:t>
      </w:r>
      <w:r>
        <w:t xml:space="preserve"> </w:t>
      </w:r>
      <w:proofErr w:type="spellStart"/>
      <w:r>
        <w:t>Bossard</w:t>
      </w:r>
      <w:proofErr w:type="spellEnd"/>
      <w:r>
        <w:t xml:space="preserve"> supplied products to customer warehouses, </w:t>
      </w:r>
      <w:r w:rsidR="007A431E">
        <w:t>and</w:t>
      </w:r>
      <w:r w:rsidR="00C50466">
        <w:t xml:space="preserve"> </w:t>
      </w:r>
      <w:r>
        <w:t xml:space="preserve">directly to specific sites within clients’ factories where and when they </w:t>
      </w:r>
      <w:r w:rsidR="00C50466">
        <w:t>we</w:t>
      </w:r>
      <w:r>
        <w:t>re needed (see Exhibit 5). Its “Smart Factory Logistics” enabled intelligent interaction between production and supply chain</w:t>
      </w:r>
      <w:r w:rsidR="00D6208E">
        <w:t>s</w:t>
      </w:r>
      <w:r>
        <w:t xml:space="preserve"> in real time.</w:t>
      </w:r>
      <w:r w:rsidRPr="00F30004">
        <w:rPr>
          <w:rStyle w:val="FootnoteReference"/>
        </w:rPr>
        <w:t xml:space="preserve"> </w:t>
      </w:r>
      <w:r>
        <w:t xml:space="preserve">Embedded sensors and </w:t>
      </w:r>
      <w:r w:rsidR="007A431E">
        <w:t>I</w:t>
      </w:r>
      <w:r>
        <w:t>nternet connectivity enabled signals to be sent from the point of use to the point of supply. Real time data enabled clients to reduce inventory and procurement costs along their entire value chain, enhancing predictability and enabling faster throughput.</w:t>
      </w:r>
      <w:r w:rsidR="002E6591">
        <w:t xml:space="preserve"> </w:t>
      </w:r>
      <w:r>
        <w:t xml:space="preserve">Thereby, </w:t>
      </w:r>
      <w:proofErr w:type="spellStart"/>
      <w:r>
        <w:t>Bossard</w:t>
      </w:r>
      <w:proofErr w:type="spellEnd"/>
      <w:r>
        <w:t xml:space="preserve"> enabled its clients to optimize operations concepts such as lean management, smart manufacturing, agile production, </w:t>
      </w:r>
      <w:r w:rsidR="00D6208E">
        <w:t xml:space="preserve">and </w:t>
      </w:r>
      <w:r>
        <w:t>mass customization.</w:t>
      </w:r>
    </w:p>
    <w:p w14:paraId="7CF1C856" w14:textId="77777777" w:rsidR="009C004B" w:rsidRDefault="009C004B" w:rsidP="00D64AE1">
      <w:pPr>
        <w:pStyle w:val="BodyTextMain"/>
      </w:pPr>
    </w:p>
    <w:p w14:paraId="629F86CC" w14:textId="0DF2D900" w:rsidR="00DC4779" w:rsidRDefault="00DC4779">
      <w:pPr>
        <w:spacing w:after="200" w:line="276" w:lineRule="auto"/>
        <w:rPr>
          <w:sz w:val="22"/>
          <w:szCs w:val="22"/>
        </w:rPr>
      </w:pPr>
      <w:r>
        <w:br w:type="page"/>
      </w:r>
    </w:p>
    <w:p w14:paraId="1D032E2E" w14:textId="77777777" w:rsidR="009C004B" w:rsidRDefault="009C004B" w:rsidP="002E6591">
      <w:pPr>
        <w:pStyle w:val="Casehead1"/>
        <w:outlineLvl w:val="0"/>
      </w:pPr>
      <w:r>
        <w:lastRenderedPageBreak/>
        <w:t>C</w:t>
      </w:r>
      <w:r w:rsidRPr="008A247E">
        <w:t>ustomized Solutions</w:t>
      </w:r>
    </w:p>
    <w:p w14:paraId="1E0F6E09" w14:textId="77777777" w:rsidR="009C004B" w:rsidRPr="008A247E" w:rsidRDefault="009C004B" w:rsidP="00D64AE1">
      <w:pPr>
        <w:pStyle w:val="BodyTextMain"/>
      </w:pPr>
    </w:p>
    <w:p w14:paraId="50FD0225" w14:textId="72EC5C3E" w:rsidR="009C004B" w:rsidRDefault="009C004B" w:rsidP="009C004B">
      <w:pPr>
        <w:pStyle w:val="BodyTextMain"/>
      </w:pPr>
      <w:r w:rsidRPr="009C004B">
        <w:t>Customers could choose from a range of different logistics systems with varying degrees of data-intensity and service quality (</w:t>
      </w:r>
      <w:r>
        <w:t xml:space="preserve">see </w:t>
      </w:r>
      <w:r w:rsidRPr="009C004B">
        <w:t>Exhibit 6). In particular, orders for C-parts could be triggered in alternative ways</w:t>
      </w:r>
      <w:r w:rsidR="00D6208E">
        <w:t>,</w:t>
      </w:r>
      <w:r w:rsidRPr="009C004B">
        <w:t xml:space="preserve"> depending on the needs of the customer. </w:t>
      </w:r>
      <w:proofErr w:type="spellStart"/>
      <w:r w:rsidRPr="009C004B">
        <w:t>Bossard’s</w:t>
      </w:r>
      <w:proofErr w:type="spellEnd"/>
      <w:r w:rsidRPr="009C004B">
        <w:t xml:space="preserve"> full service logistics could even </w:t>
      </w:r>
      <w:r w:rsidR="00E20AF4">
        <w:t>use</w:t>
      </w:r>
      <w:r w:rsidR="00E20AF4" w:rsidRPr="009C004B">
        <w:t xml:space="preserve"> </w:t>
      </w:r>
      <w:proofErr w:type="spellStart"/>
      <w:r w:rsidR="00230F44">
        <w:t>Bossard’s</w:t>
      </w:r>
      <w:proofErr w:type="spellEnd"/>
      <w:r w:rsidR="00230F44" w:rsidRPr="009C004B">
        <w:t xml:space="preserve"> </w:t>
      </w:r>
      <w:r w:rsidR="00230F44">
        <w:t xml:space="preserve">own </w:t>
      </w:r>
      <w:r w:rsidRPr="009C004B">
        <w:t xml:space="preserve">internal factory logistics </w:t>
      </w:r>
      <w:r w:rsidR="00E20AF4">
        <w:t>to</w:t>
      </w:r>
      <w:r w:rsidR="00E20AF4" w:rsidRPr="009C004B">
        <w:t xml:space="preserve"> </w:t>
      </w:r>
      <w:r w:rsidRPr="009C004B">
        <w:t xml:space="preserve">eliminate customers’ </w:t>
      </w:r>
      <w:r w:rsidR="00E20AF4">
        <w:t xml:space="preserve">needs for their </w:t>
      </w:r>
      <w:r w:rsidRPr="009C004B">
        <w:t xml:space="preserve">warehouses. </w:t>
      </w:r>
    </w:p>
    <w:p w14:paraId="15482C19" w14:textId="77777777" w:rsidR="009C004B" w:rsidRPr="009C004B" w:rsidRDefault="009C004B" w:rsidP="009C004B">
      <w:pPr>
        <w:pStyle w:val="BodyTextMain"/>
      </w:pPr>
    </w:p>
    <w:p w14:paraId="0CD068B8" w14:textId="531E2AB3" w:rsidR="009C004B" w:rsidRDefault="009C004B" w:rsidP="009C004B">
      <w:pPr>
        <w:pStyle w:val="BodyTextMain"/>
      </w:pPr>
      <w:r w:rsidRPr="009C004B">
        <w:t xml:space="preserve">The most traditional service model was known as </w:t>
      </w:r>
      <w:r w:rsidR="00E20AF4">
        <w:t>“</w:t>
      </w:r>
      <w:proofErr w:type="spellStart"/>
      <w:r w:rsidRPr="009C004B">
        <w:t>Bossard</w:t>
      </w:r>
      <w:proofErr w:type="spellEnd"/>
      <w:r w:rsidRPr="009C004B">
        <w:t xml:space="preserve"> 2</w:t>
      </w:r>
      <w:r w:rsidR="00D85B28">
        <w:t>B</w:t>
      </w:r>
      <w:r w:rsidRPr="009C004B">
        <w:t>in.</w:t>
      </w:r>
      <w:r w:rsidR="00E20AF4">
        <w:t>”</w:t>
      </w:r>
      <w:r w:rsidRPr="009C004B">
        <w:t xml:space="preserve"> This system used two or more of </w:t>
      </w:r>
      <w:proofErr w:type="spellStart"/>
      <w:r w:rsidRPr="009C004B">
        <w:t>Bossard’s</w:t>
      </w:r>
      <w:proofErr w:type="spellEnd"/>
      <w:r w:rsidRPr="009C004B">
        <w:t xml:space="preserve"> light blue bins</w:t>
      </w:r>
      <w:r w:rsidR="00E20AF4" w:rsidRPr="00E20AF4">
        <w:t xml:space="preserve"> </w:t>
      </w:r>
      <w:r w:rsidR="00E20AF4" w:rsidRPr="009C004B">
        <w:t>for each C-part</w:t>
      </w:r>
      <w:r w:rsidRPr="009C004B">
        <w:t xml:space="preserve">, </w:t>
      </w:r>
      <w:r w:rsidR="00E20AF4">
        <w:t>one bin</w:t>
      </w:r>
      <w:r w:rsidR="00E20AF4" w:rsidRPr="009C004B">
        <w:t xml:space="preserve"> </w:t>
      </w:r>
      <w:r w:rsidRPr="009C004B">
        <w:t>arranged on a shelf behind the other. When the first bin was empty, the customer used the second bin and moved the empt</w:t>
      </w:r>
      <w:r w:rsidR="00E20AF4">
        <w:t>ied bin</w:t>
      </w:r>
      <w:r w:rsidRPr="009C004B">
        <w:t xml:space="preserve"> to an agreed location. </w:t>
      </w:r>
      <w:proofErr w:type="spellStart"/>
      <w:r w:rsidRPr="009C004B">
        <w:t>Bossard</w:t>
      </w:r>
      <w:proofErr w:type="spellEnd"/>
      <w:r w:rsidRPr="009C004B">
        <w:t xml:space="preserve"> collected empty bins at regular intervals, filled them, and returned each bin to its specific spot on the production line. This traditional model could be enhanced </w:t>
      </w:r>
      <w:r w:rsidR="00E20AF4">
        <w:t>with</w:t>
      </w:r>
      <w:r w:rsidR="00E20AF4" w:rsidRPr="009C004B">
        <w:t xml:space="preserve"> </w:t>
      </w:r>
      <w:r w:rsidRPr="009C004B">
        <w:t xml:space="preserve">the </w:t>
      </w:r>
      <w:r w:rsidR="00E20AF4">
        <w:t>“</w:t>
      </w:r>
      <w:proofErr w:type="spellStart"/>
      <w:r w:rsidRPr="009C004B">
        <w:t>Bossard</w:t>
      </w:r>
      <w:proofErr w:type="spellEnd"/>
      <w:r w:rsidRPr="009C004B">
        <w:t xml:space="preserve"> Code,</w:t>
      </w:r>
      <w:r w:rsidR="00E20AF4">
        <w:t>”</w:t>
      </w:r>
      <w:r w:rsidRPr="009C004B">
        <w:t xml:space="preserve"> a barcode with product information on each bin that could be read by a handheld device or with </w:t>
      </w:r>
      <w:r w:rsidR="00E20AF4">
        <w:rPr>
          <w:lang w:val="en-US"/>
        </w:rPr>
        <w:t>r</w:t>
      </w:r>
      <w:r w:rsidR="00E20AF4" w:rsidRPr="00E20AF4">
        <w:rPr>
          <w:lang w:val="en-US"/>
        </w:rPr>
        <w:t>adio-frequency identification</w:t>
      </w:r>
      <w:r w:rsidR="00DB2D84">
        <w:t xml:space="preserve"> </w:t>
      </w:r>
      <w:r w:rsidR="00E20AF4">
        <w:t>(</w:t>
      </w:r>
      <w:r w:rsidRPr="009C004B">
        <w:t>RFID</w:t>
      </w:r>
      <w:r w:rsidR="00E20AF4">
        <w:t>)</w:t>
      </w:r>
      <w:r w:rsidRPr="009C004B">
        <w:t xml:space="preserve"> smartcards inserted into an RFID reader. When the minimum stock level was reached, the </w:t>
      </w:r>
      <w:r w:rsidR="006D419E">
        <w:t>information</w:t>
      </w:r>
      <w:r w:rsidR="006D419E" w:rsidRPr="009C004B">
        <w:t xml:space="preserve"> </w:t>
      </w:r>
      <w:r w:rsidR="006D419E">
        <w:t>was</w:t>
      </w:r>
      <w:r w:rsidR="006D419E" w:rsidRPr="009C004B">
        <w:t xml:space="preserve"> </w:t>
      </w:r>
      <w:r w:rsidRPr="009C004B">
        <w:t xml:space="preserve">sent to </w:t>
      </w:r>
      <w:proofErr w:type="spellStart"/>
      <w:r w:rsidRPr="009C004B">
        <w:t>Bossard</w:t>
      </w:r>
      <w:proofErr w:type="spellEnd"/>
      <w:r w:rsidRPr="009C004B">
        <w:t>, who would then initiate the replenishment.</w:t>
      </w:r>
    </w:p>
    <w:p w14:paraId="324DFFB6" w14:textId="77777777" w:rsidR="009C004B" w:rsidRPr="009C004B" w:rsidRDefault="009C004B" w:rsidP="009C004B">
      <w:pPr>
        <w:pStyle w:val="BodyTextMain"/>
      </w:pPr>
    </w:p>
    <w:p w14:paraId="7557AAAD" w14:textId="5661325E" w:rsidR="009C004B" w:rsidRDefault="009C004B" w:rsidP="009C004B">
      <w:pPr>
        <w:pStyle w:val="BodyTextMain"/>
      </w:pPr>
      <w:r w:rsidRPr="009C004B">
        <w:t xml:space="preserve">Bins could further be equipped with </w:t>
      </w:r>
      <w:r w:rsidR="00E20AF4">
        <w:t>“</w:t>
      </w:r>
      <w:proofErr w:type="spellStart"/>
      <w:r w:rsidRPr="009C004B">
        <w:t>SmartLabels</w:t>
      </w:r>
      <w:proofErr w:type="spellEnd"/>
      <w:r w:rsidR="00E20AF4">
        <w:t>”</w:t>
      </w:r>
      <w:r w:rsidRPr="009C004B">
        <w:t xml:space="preserve"> connected </w:t>
      </w:r>
      <w:r w:rsidR="00E20AF4">
        <w:t>by</w:t>
      </w:r>
      <w:r w:rsidR="0044351E">
        <w:t xml:space="preserve"> wireless networks</w:t>
      </w:r>
      <w:r w:rsidR="00E20AF4" w:rsidRPr="009C004B">
        <w:t xml:space="preserve"> </w:t>
      </w:r>
      <w:r w:rsidR="0044351E">
        <w:t>(</w:t>
      </w:r>
      <w:r w:rsidRPr="009C004B">
        <w:t>Wi-Fi</w:t>
      </w:r>
      <w:r w:rsidR="0044351E">
        <w:t>)</w:t>
      </w:r>
      <w:r w:rsidRPr="009C004B">
        <w:t xml:space="preserve"> to the client</w:t>
      </w:r>
      <w:r w:rsidR="00E76DE4">
        <w:t>’</w:t>
      </w:r>
      <w:r w:rsidRPr="009C004B">
        <w:t xml:space="preserve">s </w:t>
      </w:r>
      <w:r w:rsidR="00E76DE4">
        <w:t>information technology (</w:t>
      </w:r>
      <w:r w:rsidRPr="009C004B">
        <w:t>IT</w:t>
      </w:r>
      <w:r w:rsidR="00E76DE4">
        <w:t>)</w:t>
      </w:r>
      <w:r w:rsidRPr="009C004B">
        <w:t xml:space="preserve"> systems or directly to </w:t>
      </w:r>
      <w:proofErr w:type="spellStart"/>
      <w:r w:rsidRPr="009C004B">
        <w:t>Bossard</w:t>
      </w:r>
      <w:proofErr w:type="spellEnd"/>
      <w:r w:rsidRPr="009C004B">
        <w:t xml:space="preserve">. The </w:t>
      </w:r>
      <w:proofErr w:type="spellStart"/>
      <w:r w:rsidRPr="009C004B">
        <w:t>SmartLabel</w:t>
      </w:r>
      <w:proofErr w:type="spellEnd"/>
      <w:r w:rsidRPr="009C004B">
        <w:t xml:space="preserve"> would give shop</w:t>
      </w:r>
      <w:r w:rsidR="0044351E">
        <w:t>-</w:t>
      </w:r>
      <w:r w:rsidRPr="009C004B">
        <w:t xml:space="preserve">floor workers exact information </w:t>
      </w:r>
      <w:r w:rsidR="00E76DE4">
        <w:t>about</w:t>
      </w:r>
      <w:r w:rsidR="00E76DE4" w:rsidRPr="009C004B">
        <w:t xml:space="preserve"> </w:t>
      </w:r>
      <w:r w:rsidRPr="009C004B">
        <w:t>the content of the boxes, and provide signals when a new order was required. Staff on the shop</w:t>
      </w:r>
      <w:r w:rsidR="0044351E">
        <w:t xml:space="preserve"> </w:t>
      </w:r>
      <w:r w:rsidRPr="009C004B">
        <w:t xml:space="preserve">floor could initiate a refill by pressing a button on the label. </w:t>
      </w:r>
      <w:proofErr w:type="spellStart"/>
      <w:r w:rsidRPr="009C004B">
        <w:t>SmartLabels</w:t>
      </w:r>
      <w:proofErr w:type="spellEnd"/>
      <w:r w:rsidRPr="009C004B">
        <w:t xml:space="preserve"> could be applied to any box at any storage site, using the existing infrastructure</w:t>
      </w:r>
      <w:r w:rsidR="00260666">
        <w:t xml:space="preserve"> </w:t>
      </w:r>
      <w:r w:rsidRPr="009C004B">
        <w:t xml:space="preserve">without the need for a costly conversion. Users could easily order replacements from the site where they </w:t>
      </w:r>
      <w:r w:rsidR="00E76DE4">
        <w:t>were</w:t>
      </w:r>
      <w:r w:rsidR="00E76DE4" w:rsidRPr="009C004B">
        <w:t xml:space="preserve"> </w:t>
      </w:r>
      <w:r w:rsidRPr="009C004B">
        <w:t>needed, thereby keeping the process under their control. The display showed an image of the product and product information</w:t>
      </w:r>
      <w:r w:rsidR="002E6591">
        <w:t xml:space="preserve"> </w:t>
      </w:r>
      <w:r w:rsidRPr="009C004B">
        <w:t>together with the item number, order status, order quantity</w:t>
      </w:r>
      <w:r w:rsidR="00E76DE4">
        <w:t>,</w:t>
      </w:r>
      <w:r w:rsidR="002E6591">
        <w:t xml:space="preserve"> </w:t>
      </w:r>
      <w:r w:rsidRPr="009C004B">
        <w:t xml:space="preserve">and delivery date. The ready availability of </w:t>
      </w:r>
      <w:r w:rsidR="006D419E" w:rsidRPr="009C004B">
        <w:t>th</w:t>
      </w:r>
      <w:r w:rsidR="006D419E">
        <w:t>is</w:t>
      </w:r>
      <w:r w:rsidR="006D419E" w:rsidRPr="009C004B">
        <w:t xml:space="preserve"> </w:t>
      </w:r>
      <w:r w:rsidRPr="009C004B">
        <w:t>data reduced possibilities of confusion in the supply chain, and enhanced transparency of material flows.</w:t>
      </w:r>
    </w:p>
    <w:p w14:paraId="3F3BAC94" w14:textId="77777777" w:rsidR="009C004B" w:rsidRPr="009C004B" w:rsidRDefault="009C004B" w:rsidP="009C004B">
      <w:pPr>
        <w:pStyle w:val="BodyTextMain"/>
      </w:pPr>
    </w:p>
    <w:p w14:paraId="6F587BCF" w14:textId="184187B8" w:rsidR="009C004B" w:rsidRDefault="004A4D18" w:rsidP="009C004B">
      <w:pPr>
        <w:pStyle w:val="BodyTextMain"/>
      </w:pPr>
      <w:r>
        <w:t>The more</w:t>
      </w:r>
      <w:r w:rsidR="009C004B" w:rsidRPr="009C004B">
        <w:t xml:space="preserve"> sophisticated technology was an integrated logistics solution called </w:t>
      </w:r>
      <w:r w:rsidR="00E76DE4">
        <w:t>“</w:t>
      </w:r>
      <w:proofErr w:type="spellStart"/>
      <w:r w:rsidR="009C004B" w:rsidRPr="009C004B">
        <w:t>SmartBins</w:t>
      </w:r>
      <w:proofErr w:type="spellEnd"/>
      <w:r w:rsidR="009C004B" w:rsidRPr="009C004B">
        <w:t>.</w:t>
      </w:r>
      <w:r w:rsidR="00E76DE4">
        <w:t>”</w:t>
      </w:r>
      <w:r w:rsidR="009C004B" w:rsidRPr="009C004B">
        <w:t xml:space="preserve"> These blue boxes had built-in scales that would weigh the content at any time</w:t>
      </w:r>
      <w:r w:rsidR="00E76DE4">
        <w:t xml:space="preserve"> </w:t>
      </w:r>
      <w:r w:rsidR="009C004B" w:rsidRPr="009C004B">
        <w:t xml:space="preserve">and infer the quantity of items still in the box. </w:t>
      </w:r>
      <w:proofErr w:type="spellStart"/>
      <w:r w:rsidR="009C004B" w:rsidRPr="009C004B">
        <w:t>SmartBins</w:t>
      </w:r>
      <w:proofErr w:type="spellEnd"/>
      <w:r w:rsidR="009C004B" w:rsidRPr="009C004B">
        <w:t xml:space="preserve"> consisted of three major components: integrated weight sensors that met highest standards for precision, long-term stability</w:t>
      </w:r>
      <w:r w:rsidR="00E76DE4">
        <w:t>,</w:t>
      </w:r>
      <w:r w:rsidR="009C004B" w:rsidRPr="009C004B">
        <w:t xml:space="preserve"> and robustness</w:t>
      </w:r>
      <w:r w:rsidR="00E76DE4">
        <w:t>;</w:t>
      </w:r>
      <w:r w:rsidR="009C004B" w:rsidRPr="009C004B">
        <w:t xml:space="preserve"> a Wi-Fi connection with wireless sensor network technology</w:t>
      </w:r>
      <w:r w:rsidR="00E76DE4">
        <w:t>;</w:t>
      </w:r>
      <w:r w:rsidR="009C004B" w:rsidRPr="009C004B">
        <w:t xml:space="preserve"> and </w:t>
      </w:r>
      <w:r w:rsidR="005C09E1">
        <w:t>a</w:t>
      </w:r>
      <w:r w:rsidR="005C09E1" w:rsidRPr="009C004B">
        <w:t xml:space="preserve"> </w:t>
      </w:r>
      <w:r w:rsidR="009C004B" w:rsidRPr="009C004B">
        <w:t>software package</w:t>
      </w:r>
      <w:r w:rsidR="00E76DE4">
        <w:t>,</w:t>
      </w:r>
      <w:r w:rsidR="009C004B" w:rsidRPr="009C004B">
        <w:t xml:space="preserve"> </w:t>
      </w:r>
      <w:proofErr w:type="gramStart"/>
      <w:r w:rsidR="009C004B" w:rsidRPr="009C004B">
        <w:t>ARIMS</w:t>
      </w:r>
      <w:r w:rsidR="007C5033">
        <w:t>,</w:t>
      </w:r>
      <w:r w:rsidR="009C004B" w:rsidRPr="009C004B">
        <w:t xml:space="preserve"> that</w:t>
      </w:r>
      <w:proofErr w:type="gramEnd"/>
      <w:r w:rsidR="009C004B" w:rsidRPr="009C004B">
        <w:t xml:space="preserve"> enabled remote monitoring of all bins. Dat</w:t>
      </w:r>
      <w:r w:rsidR="00E76DE4">
        <w:t>a</w:t>
      </w:r>
      <w:r w:rsidR="009C004B" w:rsidRPr="009C004B">
        <w:t xml:space="preserve"> from </w:t>
      </w:r>
      <w:proofErr w:type="spellStart"/>
      <w:r w:rsidR="009C004B" w:rsidRPr="009C004B">
        <w:t>SmartBins</w:t>
      </w:r>
      <w:proofErr w:type="spellEnd"/>
      <w:r w:rsidR="009C004B" w:rsidRPr="009C004B">
        <w:t xml:space="preserve"> along the production line would automatically be shared with a central data centr</w:t>
      </w:r>
      <w:r w:rsidR="00E76DE4">
        <w:t>e</w:t>
      </w:r>
      <w:r w:rsidR="009C004B" w:rsidRPr="009C004B">
        <w:t xml:space="preserve"> where the</w:t>
      </w:r>
      <w:r w:rsidR="00E76DE4">
        <w:t xml:space="preserve"> information</w:t>
      </w:r>
      <w:r w:rsidR="009C004B" w:rsidRPr="009C004B">
        <w:t xml:space="preserve"> </w:t>
      </w:r>
      <w:r w:rsidR="00E76DE4">
        <w:t>was</w:t>
      </w:r>
      <w:r w:rsidR="00E76DE4" w:rsidRPr="009C004B">
        <w:t xml:space="preserve"> </w:t>
      </w:r>
      <w:r w:rsidR="009C004B" w:rsidRPr="009C004B">
        <w:t xml:space="preserve">aggregated and monitored. If customers </w:t>
      </w:r>
      <w:r w:rsidR="00E76DE4">
        <w:t>wanted</w:t>
      </w:r>
      <w:r w:rsidR="00E76DE4" w:rsidRPr="009C004B">
        <w:t xml:space="preserve"> </w:t>
      </w:r>
      <w:r w:rsidR="009C004B" w:rsidRPr="009C004B">
        <w:t>full integration of their logistics, an algori</w:t>
      </w:r>
      <w:r w:rsidR="00E76DE4">
        <w:t>th</w:t>
      </w:r>
      <w:r w:rsidR="009C004B" w:rsidRPr="009C004B">
        <w:t>m in the software could automatically trigger new orders based on benchmark values for stock</w:t>
      </w:r>
      <w:r w:rsidR="00E76DE4">
        <w:t>;</w:t>
      </w:r>
      <w:r w:rsidR="009C004B" w:rsidRPr="009C004B">
        <w:t xml:space="preserve"> </w:t>
      </w:r>
      <w:r w:rsidR="005007A5">
        <w:t xml:space="preserve">the predefined order quantity of </w:t>
      </w:r>
      <w:r w:rsidR="009C004B" w:rsidRPr="009C004B">
        <w:t xml:space="preserve">new C-parts </w:t>
      </w:r>
      <w:r w:rsidR="005007A5">
        <w:t xml:space="preserve">was shipped automatically or </w:t>
      </w:r>
      <w:r w:rsidR="009C004B" w:rsidRPr="009C004B">
        <w:t xml:space="preserve">delivered by </w:t>
      </w:r>
      <w:proofErr w:type="spellStart"/>
      <w:r w:rsidR="009C004B" w:rsidRPr="009C004B">
        <w:t>Bossard</w:t>
      </w:r>
      <w:proofErr w:type="spellEnd"/>
      <w:r w:rsidR="009C004B" w:rsidRPr="009C004B">
        <w:t xml:space="preserve"> service staff</w:t>
      </w:r>
      <w:r w:rsidR="005007A5">
        <w:t>. T</w:t>
      </w:r>
      <w:r w:rsidR="009C004B" w:rsidRPr="009C004B">
        <w:t>he client’s staff</w:t>
      </w:r>
      <w:r w:rsidR="005007A5">
        <w:t xml:space="preserve"> did</w:t>
      </w:r>
      <w:r w:rsidR="00F02F41">
        <w:t xml:space="preserve"> </w:t>
      </w:r>
      <w:r w:rsidR="005007A5">
        <w:t>n</w:t>
      </w:r>
      <w:r w:rsidR="00F02F41">
        <w:t>o</w:t>
      </w:r>
      <w:r w:rsidR="005007A5">
        <w:t>t need to be involved</w:t>
      </w:r>
      <w:r w:rsidR="009C004B" w:rsidRPr="009C004B">
        <w:t>. This eliminated waiting times and enabled smooth movement of C-parts, thus reducing the need for human intervention and enhancing the reliability of supply.</w:t>
      </w:r>
    </w:p>
    <w:p w14:paraId="3092B06E" w14:textId="77777777" w:rsidR="009C004B" w:rsidRPr="009C004B" w:rsidRDefault="009C004B" w:rsidP="009C004B">
      <w:pPr>
        <w:pStyle w:val="BodyTextMain"/>
      </w:pPr>
    </w:p>
    <w:p w14:paraId="06874C19" w14:textId="1CB1957D" w:rsidR="009C004B" w:rsidRPr="00E16CBE" w:rsidRDefault="009C004B" w:rsidP="009C004B">
      <w:pPr>
        <w:pStyle w:val="BodyTextMain"/>
        <w:rPr>
          <w:spacing w:val="-2"/>
          <w:kern w:val="22"/>
        </w:rPr>
      </w:pPr>
      <w:r w:rsidRPr="00E16CBE">
        <w:rPr>
          <w:spacing w:val="-2"/>
          <w:kern w:val="22"/>
        </w:rPr>
        <w:t xml:space="preserve">The data collected by </w:t>
      </w:r>
      <w:proofErr w:type="spellStart"/>
      <w:r w:rsidRPr="00E16CBE">
        <w:rPr>
          <w:spacing w:val="-2"/>
          <w:kern w:val="22"/>
        </w:rPr>
        <w:t>Bossard</w:t>
      </w:r>
      <w:r w:rsidR="005C09E1" w:rsidRPr="00E16CBE">
        <w:rPr>
          <w:spacing w:val="-2"/>
          <w:kern w:val="22"/>
        </w:rPr>
        <w:t>’s</w:t>
      </w:r>
      <w:proofErr w:type="spellEnd"/>
      <w:r w:rsidRPr="00E16CBE">
        <w:rPr>
          <w:spacing w:val="-2"/>
          <w:kern w:val="22"/>
        </w:rPr>
        <w:t xml:space="preserve"> devices </w:t>
      </w:r>
      <w:r w:rsidR="006D419E" w:rsidRPr="00E16CBE">
        <w:rPr>
          <w:spacing w:val="-2"/>
          <w:kern w:val="22"/>
        </w:rPr>
        <w:t xml:space="preserve">was </w:t>
      </w:r>
      <w:r w:rsidRPr="00E16CBE">
        <w:rPr>
          <w:spacing w:val="-2"/>
          <w:kern w:val="22"/>
        </w:rPr>
        <w:t>processed in its ARIMS software</w:t>
      </w:r>
      <w:r w:rsidR="005007A5" w:rsidRPr="00E16CBE">
        <w:rPr>
          <w:spacing w:val="-2"/>
          <w:kern w:val="22"/>
        </w:rPr>
        <w:t>,</w:t>
      </w:r>
      <w:r w:rsidRPr="00E16CBE">
        <w:rPr>
          <w:spacing w:val="-2"/>
          <w:kern w:val="22"/>
        </w:rPr>
        <w:t xml:space="preserve"> </w:t>
      </w:r>
      <w:r w:rsidR="005007A5" w:rsidRPr="00E16CBE">
        <w:rPr>
          <w:spacing w:val="-2"/>
          <w:kern w:val="22"/>
        </w:rPr>
        <w:t xml:space="preserve">which showed </w:t>
      </w:r>
      <w:r w:rsidRPr="00E16CBE">
        <w:rPr>
          <w:spacing w:val="-2"/>
          <w:kern w:val="22"/>
        </w:rPr>
        <w:t>the</w:t>
      </w:r>
      <w:r w:rsidR="005007A5" w:rsidRPr="00E16CBE">
        <w:rPr>
          <w:spacing w:val="-2"/>
          <w:kern w:val="22"/>
        </w:rPr>
        <w:t xml:space="preserve"> information</w:t>
      </w:r>
      <w:r w:rsidRPr="00E16CBE">
        <w:rPr>
          <w:spacing w:val="-2"/>
          <w:kern w:val="22"/>
        </w:rPr>
        <w:t xml:space="preserve"> on a customer dashboard or mobile app for decision</w:t>
      </w:r>
      <w:r w:rsidR="005007A5" w:rsidRPr="00E16CBE">
        <w:rPr>
          <w:spacing w:val="-2"/>
          <w:kern w:val="22"/>
        </w:rPr>
        <w:t>-</w:t>
      </w:r>
      <w:r w:rsidRPr="00E16CBE">
        <w:rPr>
          <w:spacing w:val="-2"/>
          <w:kern w:val="22"/>
        </w:rPr>
        <w:t>makers, and</w:t>
      </w:r>
      <w:r w:rsidR="005007A5" w:rsidRPr="00E16CBE">
        <w:rPr>
          <w:spacing w:val="-2"/>
          <w:kern w:val="22"/>
        </w:rPr>
        <w:t>,</w:t>
      </w:r>
      <w:r w:rsidRPr="00E16CBE">
        <w:rPr>
          <w:spacing w:val="-2"/>
          <w:kern w:val="22"/>
        </w:rPr>
        <w:t xml:space="preserve"> if customers </w:t>
      </w:r>
      <w:r w:rsidR="005007A5" w:rsidRPr="00E16CBE">
        <w:rPr>
          <w:spacing w:val="-2"/>
          <w:kern w:val="22"/>
        </w:rPr>
        <w:t>wanted,</w:t>
      </w:r>
      <w:r w:rsidRPr="00E16CBE">
        <w:rPr>
          <w:spacing w:val="-2"/>
          <w:kern w:val="22"/>
        </w:rPr>
        <w:t xml:space="preserve"> use</w:t>
      </w:r>
      <w:r w:rsidR="005007A5" w:rsidRPr="00E16CBE">
        <w:rPr>
          <w:spacing w:val="-2"/>
          <w:kern w:val="22"/>
        </w:rPr>
        <w:t>d</w:t>
      </w:r>
      <w:r w:rsidRPr="00E16CBE">
        <w:rPr>
          <w:spacing w:val="-2"/>
          <w:kern w:val="22"/>
        </w:rPr>
        <w:t xml:space="preserve"> algorithms to trigger product orders. These solutions enabled optimization of interim storage, with full visibility and transparency for the customer </w:t>
      </w:r>
      <w:r w:rsidR="005007A5" w:rsidRPr="00E16CBE">
        <w:rPr>
          <w:spacing w:val="-2"/>
          <w:kern w:val="22"/>
        </w:rPr>
        <w:t xml:space="preserve">generally and also specifically </w:t>
      </w:r>
      <w:r w:rsidRPr="00E16CBE">
        <w:rPr>
          <w:spacing w:val="-2"/>
          <w:kern w:val="22"/>
        </w:rPr>
        <w:t xml:space="preserve">for </w:t>
      </w:r>
      <w:r w:rsidR="005007A5" w:rsidRPr="00E16CBE">
        <w:rPr>
          <w:spacing w:val="-2"/>
          <w:kern w:val="22"/>
        </w:rPr>
        <w:t xml:space="preserve">the </w:t>
      </w:r>
      <w:r w:rsidRPr="00E16CBE">
        <w:rPr>
          <w:spacing w:val="-2"/>
          <w:kern w:val="22"/>
        </w:rPr>
        <w:t>machine operators using the C-part. Detailed historical and real time data informed forecasts that</w:t>
      </w:r>
      <w:r w:rsidR="00384D2D" w:rsidRPr="00E16CBE">
        <w:rPr>
          <w:spacing w:val="-2"/>
          <w:kern w:val="22"/>
        </w:rPr>
        <w:t>,</w:t>
      </w:r>
      <w:r w:rsidRPr="00E16CBE">
        <w:rPr>
          <w:spacing w:val="-2"/>
          <w:kern w:val="22"/>
        </w:rPr>
        <w:t xml:space="preserve"> in turn</w:t>
      </w:r>
      <w:r w:rsidR="00384D2D" w:rsidRPr="00E16CBE">
        <w:rPr>
          <w:spacing w:val="-2"/>
          <w:kern w:val="22"/>
        </w:rPr>
        <w:t>,</w:t>
      </w:r>
      <w:r w:rsidRPr="00E16CBE">
        <w:rPr>
          <w:spacing w:val="-2"/>
          <w:kern w:val="22"/>
        </w:rPr>
        <w:t xml:space="preserve"> inform</w:t>
      </w:r>
      <w:r w:rsidR="00384D2D" w:rsidRPr="00E16CBE">
        <w:rPr>
          <w:spacing w:val="-2"/>
          <w:kern w:val="22"/>
        </w:rPr>
        <w:t>ed</w:t>
      </w:r>
      <w:r w:rsidRPr="00E16CBE">
        <w:rPr>
          <w:spacing w:val="-2"/>
          <w:kern w:val="22"/>
        </w:rPr>
        <w:t xml:space="preserve"> sourcing and inventory optimization. For example, if a customer planned to increase output by 10 per cent, </w:t>
      </w:r>
      <w:proofErr w:type="spellStart"/>
      <w:r w:rsidRPr="00E16CBE">
        <w:rPr>
          <w:spacing w:val="-2"/>
          <w:kern w:val="22"/>
        </w:rPr>
        <w:t>Bossard</w:t>
      </w:r>
      <w:proofErr w:type="spellEnd"/>
      <w:r w:rsidRPr="00E16CBE">
        <w:rPr>
          <w:spacing w:val="-2"/>
          <w:kern w:val="22"/>
        </w:rPr>
        <w:t xml:space="preserve"> could predict the need for C-parts through ARIMS, often more accurately than </w:t>
      </w:r>
      <w:r w:rsidR="00384D2D" w:rsidRPr="00E16CBE">
        <w:rPr>
          <w:spacing w:val="-2"/>
          <w:kern w:val="22"/>
        </w:rPr>
        <w:t xml:space="preserve">the </w:t>
      </w:r>
      <w:r w:rsidRPr="00E16CBE">
        <w:rPr>
          <w:spacing w:val="-2"/>
          <w:kern w:val="22"/>
        </w:rPr>
        <w:t>customer</w:t>
      </w:r>
      <w:r w:rsidR="00384D2D" w:rsidRPr="00E16CBE">
        <w:rPr>
          <w:spacing w:val="-2"/>
          <w:kern w:val="22"/>
        </w:rPr>
        <w:t>’</w:t>
      </w:r>
      <w:r w:rsidRPr="00E16CBE">
        <w:rPr>
          <w:spacing w:val="-2"/>
          <w:kern w:val="22"/>
        </w:rPr>
        <w:t xml:space="preserve">s own predictions. Customers could integrate data generated by ARIMS with their own </w:t>
      </w:r>
      <w:r w:rsidR="005D04A7" w:rsidRPr="00E16CBE">
        <w:rPr>
          <w:spacing w:val="-2"/>
          <w:kern w:val="22"/>
        </w:rPr>
        <w:t>enterprise resource planning (</w:t>
      </w:r>
      <w:r w:rsidRPr="00E16CBE">
        <w:rPr>
          <w:spacing w:val="-2"/>
          <w:kern w:val="22"/>
        </w:rPr>
        <w:t>ERP</w:t>
      </w:r>
      <w:r w:rsidR="005D04A7" w:rsidRPr="00E16CBE">
        <w:rPr>
          <w:spacing w:val="-2"/>
          <w:kern w:val="22"/>
        </w:rPr>
        <w:t>)</w:t>
      </w:r>
      <w:r w:rsidRPr="00E16CBE">
        <w:rPr>
          <w:spacing w:val="-2"/>
          <w:kern w:val="22"/>
        </w:rPr>
        <w:t xml:space="preserve"> system.</w:t>
      </w:r>
    </w:p>
    <w:p w14:paraId="0F7F1049" w14:textId="77777777" w:rsidR="009C004B" w:rsidRPr="009C004B" w:rsidRDefault="009C004B" w:rsidP="009C004B">
      <w:pPr>
        <w:pStyle w:val="BodyTextMain"/>
      </w:pPr>
    </w:p>
    <w:p w14:paraId="18A072A6" w14:textId="0793DD06" w:rsidR="009C004B" w:rsidRPr="009C004B" w:rsidRDefault="009C004B" w:rsidP="009C004B">
      <w:pPr>
        <w:pStyle w:val="BodyTextMain"/>
      </w:pPr>
      <w:r w:rsidRPr="009C004B">
        <w:t xml:space="preserve">ARIMS was operating with a single server platform that was accessible </w:t>
      </w:r>
      <w:r w:rsidR="00B02313" w:rsidRPr="009C004B">
        <w:t xml:space="preserve">worldwide </w:t>
      </w:r>
      <w:r w:rsidRPr="009C004B">
        <w:t xml:space="preserve">from a mobile app. </w:t>
      </w:r>
      <w:r w:rsidR="00B02313">
        <w:t>Thus, f</w:t>
      </w:r>
      <w:r w:rsidRPr="009C004B">
        <w:t>actory supervisors or top management could</w:t>
      </w:r>
      <w:r w:rsidR="00B02313">
        <w:t>,</w:t>
      </w:r>
      <w:r w:rsidRPr="009C004B">
        <w:t xml:space="preserve"> from a mobile phone or tablet</w:t>
      </w:r>
      <w:r w:rsidR="00B02313">
        <w:t>,</w:t>
      </w:r>
      <w:r w:rsidRPr="009C004B">
        <w:t xml:space="preserve"> monitor the stock in </w:t>
      </w:r>
      <w:r w:rsidRPr="009C004B">
        <w:lastRenderedPageBreak/>
        <w:t xml:space="preserve">every bin along with usage data and </w:t>
      </w:r>
      <w:r w:rsidR="000E41E7">
        <w:t xml:space="preserve">the </w:t>
      </w:r>
      <w:r w:rsidRPr="009C004B">
        <w:t>refill schedule. In factories that did not allow mobile phones or tablets on the shop floor, wall mounted monitors provide</w:t>
      </w:r>
      <w:r w:rsidR="00815B08">
        <w:t>d</w:t>
      </w:r>
      <w:r w:rsidRPr="009C004B">
        <w:t xml:space="preserve"> this function while protecting confidential data on the shop floor. ARIMS provided customers with real time data of (</w:t>
      </w:r>
      <w:r w:rsidR="008E75B7">
        <w:t>1</w:t>
      </w:r>
      <w:r w:rsidRPr="009C004B">
        <w:t>) item description and measurements, (</w:t>
      </w:r>
      <w:r w:rsidR="008E75B7">
        <w:t>2</w:t>
      </w:r>
      <w:r w:rsidRPr="009C004B">
        <w:t>) refills for the past year for each bin, (</w:t>
      </w:r>
      <w:r w:rsidR="008E75B7">
        <w:t>3</w:t>
      </w:r>
      <w:r w:rsidRPr="009C004B">
        <w:t>) stock in each bin in real time</w:t>
      </w:r>
      <w:r w:rsidR="000E41E7">
        <w:t xml:space="preserve">, </w:t>
      </w:r>
      <w:r w:rsidRPr="009C004B">
        <w:t xml:space="preserve">enabling quick inventory, </w:t>
      </w:r>
      <w:r w:rsidR="000E41E7">
        <w:t xml:space="preserve">and </w:t>
      </w:r>
      <w:r w:rsidRPr="009C004B">
        <w:t>(</w:t>
      </w:r>
      <w:r w:rsidR="008E75B7">
        <w:t>4</w:t>
      </w:r>
      <w:r w:rsidRPr="009C004B">
        <w:t>) orders in process with projected delivery times.</w:t>
      </w:r>
    </w:p>
    <w:p w14:paraId="5E5B11A3" w14:textId="77777777" w:rsidR="009C004B" w:rsidRPr="009C004B" w:rsidRDefault="009C004B" w:rsidP="009C004B">
      <w:pPr>
        <w:pStyle w:val="BodyTextMain"/>
      </w:pPr>
    </w:p>
    <w:p w14:paraId="66C0710E" w14:textId="4E92EEF1" w:rsidR="009C004B" w:rsidRPr="009C004B" w:rsidRDefault="009C004B" w:rsidP="009C004B">
      <w:pPr>
        <w:pStyle w:val="BodyTextMain"/>
      </w:pPr>
      <w:r w:rsidRPr="009C004B">
        <w:t xml:space="preserve">Security was essential for customers to trust the system. ARIMS thus employed state of the art security features. Special interface software could safely bridge ARIMS </w:t>
      </w:r>
      <w:r w:rsidR="00E96AD6">
        <w:t>with</w:t>
      </w:r>
      <w:r w:rsidRPr="009C004B">
        <w:t xml:space="preserve"> </w:t>
      </w:r>
      <w:r w:rsidR="00020A5A">
        <w:t xml:space="preserve">a </w:t>
      </w:r>
      <w:r w:rsidRPr="009C004B">
        <w:t>customer</w:t>
      </w:r>
      <w:r w:rsidR="00020A5A">
        <w:t>’</w:t>
      </w:r>
      <w:r w:rsidRPr="009C004B">
        <w:t xml:space="preserve">s own ERP systems. Data </w:t>
      </w:r>
      <w:r w:rsidR="006D419E">
        <w:t>was</w:t>
      </w:r>
      <w:r w:rsidR="006D419E" w:rsidRPr="009C004B">
        <w:t xml:space="preserve"> </w:t>
      </w:r>
      <w:r w:rsidRPr="009C004B">
        <w:t>encrypted and converted into the appropriate format</w:t>
      </w:r>
      <w:r w:rsidR="00020A5A">
        <w:t>—</w:t>
      </w:r>
      <w:r w:rsidRPr="009C004B">
        <w:t>for example</w:t>
      </w:r>
      <w:r w:rsidR="00020A5A">
        <w:t>,</w:t>
      </w:r>
      <w:r w:rsidRPr="009C004B">
        <w:t xml:space="preserve"> a mirror archive</w:t>
      </w:r>
      <w:r w:rsidR="00020A5A">
        <w:t>—</w:t>
      </w:r>
      <w:r w:rsidRPr="009C004B">
        <w:t xml:space="preserve">and then sent to </w:t>
      </w:r>
      <w:r w:rsidR="00020A5A">
        <w:t xml:space="preserve">the </w:t>
      </w:r>
      <w:r w:rsidRPr="009C004B">
        <w:t>customer. The customer’s firewall identif</w:t>
      </w:r>
      <w:r w:rsidR="00E96AD6">
        <w:t>ied</w:t>
      </w:r>
      <w:r w:rsidRPr="009C004B">
        <w:t xml:space="preserve"> </w:t>
      </w:r>
      <w:r w:rsidR="00020A5A">
        <w:t>the Internet Protocol (</w:t>
      </w:r>
      <w:r w:rsidRPr="009C004B">
        <w:t>IP</w:t>
      </w:r>
      <w:r w:rsidR="00020A5A">
        <w:t xml:space="preserve">) </w:t>
      </w:r>
      <w:r w:rsidRPr="009C004B">
        <w:t>address and then scan</w:t>
      </w:r>
      <w:r w:rsidR="0091743E">
        <w:t>ned</w:t>
      </w:r>
      <w:r w:rsidRPr="009C004B">
        <w:t xml:space="preserve"> documents to import data into the ERP system. </w:t>
      </w:r>
      <w:proofErr w:type="spellStart"/>
      <w:r w:rsidRPr="009C004B">
        <w:t>Bossard</w:t>
      </w:r>
      <w:proofErr w:type="spellEnd"/>
      <w:r w:rsidRPr="009C004B">
        <w:t xml:space="preserve"> emphasized the security features of its systems: </w:t>
      </w:r>
    </w:p>
    <w:p w14:paraId="7FBE13ED" w14:textId="77777777" w:rsidR="009C004B" w:rsidRDefault="009C004B" w:rsidP="00D85B28">
      <w:pPr>
        <w:pStyle w:val="BodyTextMain"/>
      </w:pPr>
    </w:p>
    <w:p w14:paraId="3A0F763D" w14:textId="02E14499" w:rsidR="009C004B" w:rsidRDefault="009C004B" w:rsidP="00D85B28">
      <w:pPr>
        <w:pStyle w:val="BodyTextMain"/>
        <w:ind w:left="720"/>
      </w:pPr>
      <w:r w:rsidRPr="000C6514">
        <w:t>Unauthorized data access, data abuse</w:t>
      </w:r>
      <w:r w:rsidR="00C36B32">
        <w:t>,</w:t>
      </w:r>
      <w:r w:rsidRPr="000C6514">
        <w:t xml:space="preserve"> and system failure can seriously disrupt operating process</w:t>
      </w:r>
      <w:r w:rsidR="00C36B32">
        <w:t>es</w:t>
      </w:r>
      <w:r w:rsidRPr="000C6514">
        <w:t>. To prevent this, we use technical measures such as access authorization, virus scanners, firewalls</w:t>
      </w:r>
      <w:r w:rsidR="00C36B32">
        <w:t>,</w:t>
      </w:r>
      <w:r w:rsidRPr="000C6514">
        <w:t xml:space="preserve"> and backup systems. Our IT systems are continuously monitored and updated in order to meet the latest requirements. We have an emergency concept that includes daily backups and data mirroring. Detailed internal policies govern how we use hardware and software</w:t>
      </w:r>
      <w:r>
        <w:rPr>
          <w:rFonts w:hint="eastAsia"/>
        </w:rPr>
        <w:t xml:space="preserve">. </w:t>
      </w:r>
    </w:p>
    <w:p w14:paraId="7E37E7D6" w14:textId="77777777" w:rsidR="009C004B" w:rsidRDefault="009C004B" w:rsidP="009C004B">
      <w:pPr>
        <w:pStyle w:val="BodyTextMain"/>
      </w:pPr>
    </w:p>
    <w:p w14:paraId="41C5E93D" w14:textId="77777777" w:rsidR="009C004B" w:rsidRPr="00CD2B03" w:rsidRDefault="009C004B" w:rsidP="00D85B28">
      <w:pPr>
        <w:pStyle w:val="BodyTextMain"/>
      </w:pPr>
    </w:p>
    <w:p w14:paraId="6091A399" w14:textId="77777777" w:rsidR="009C004B" w:rsidRDefault="009C004B" w:rsidP="002E6591">
      <w:pPr>
        <w:pStyle w:val="Casehead1"/>
        <w:outlineLvl w:val="0"/>
      </w:pPr>
      <w:r w:rsidRPr="00780A7F">
        <w:t>Value for Customer, and Pricing</w:t>
      </w:r>
    </w:p>
    <w:p w14:paraId="4E3E07A3" w14:textId="77777777" w:rsidR="009C004B" w:rsidRPr="00780A7F" w:rsidRDefault="009C004B" w:rsidP="00D64AE1">
      <w:pPr>
        <w:pStyle w:val="BodyTextMain"/>
      </w:pPr>
    </w:p>
    <w:p w14:paraId="3CB7D700" w14:textId="75E5837E" w:rsidR="009C004B" w:rsidRDefault="009C004B">
      <w:pPr>
        <w:pStyle w:val="BodyTextMain"/>
      </w:pPr>
      <w:proofErr w:type="spellStart"/>
      <w:r>
        <w:t>Bossard’s</w:t>
      </w:r>
      <w:proofErr w:type="spellEnd"/>
      <w:r>
        <w:t xml:space="preserve"> main sales pitch focused on the concept of total cost of ownership (TCO), which refer</w:t>
      </w:r>
      <w:r w:rsidR="003A75E1">
        <w:t>r</w:t>
      </w:r>
      <w:r w:rsidR="00C36B32">
        <w:t>ed</w:t>
      </w:r>
      <w:r>
        <w:t xml:space="preserve"> to the total cost incurred to secure </w:t>
      </w:r>
      <w:r w:rsidR="00C36B32">
        <w:t xml:space="preserve">a </w:t>
      </w:r>
      <w:r>
        <w:t xml:space="preserve">specific C-part, such as a screw, at the specified quality </w:t>
      </w:r>
      <w:r w:rsidR="00C36B32">
        <w:t xml:space="preserve">and </w:t>
      </w:r>
      <w:r>
        <w:t xml:space="preserve">available at the right place at the right time in a manufacturer’s plant. </w:t>
      </w:r>
      <w:proofErr w:type="spellStart"/>
      <w:r>
        <w:t>Bossard</w:t>
      </w:r>
      <w:proofErr w:type="spellEnd"/>
      <w:r>
        <w:t xml:space="preserve"> estimated that 85 per</w:t>
      </w:r>
      <w:r w:rsidR="00C36B32">
        <w:t xml:space="preserve"> </w:t>
      </w:r>
      <w:r>
        <w:t xml:space="preserve">cent of TCO </w:t>
      </w:r>
      <w:r w:rsidR="00C36B32">
        <w:t xml:space="preserve">was </w:t>
      </w:r>
      <w:r>
        <w:t>typically operating costs related to purchasing, order processing, quality control</w:t>
      </w:r>
      <w:r w:rsidR="00C36B32">
        <w:t>,</w:t>
      </w:r>
      <w:r>
        <w:t xml:space="preserve"> and internal logistics, while only 15 per</w:t>
      </w:r>
      <w:r w:rsidR="00C36B32">
        <w:t xml:space="preserve"> </w:t>
      </w:r>
      <w:r>
        <w:t xml:space="preserve">cent </w:t>
      </w:r>
      <w:r w:rsidR="00C36B32">
        <w:t xml:space="preserve">was </w:t>
      </w:r>
      <w:r>
        <w:t xml:space="preserve">the actual cost of the C-part. </w:t>
      </w:r>
      <w:proofErr w:type="spellStart"/>
      <w:r w:rsidR="007B6297">
        <w:rPr>
          <w:rFonts w:hint="eastAsia"/>
        </w:rPr>
        <w:t>Bossard</w:t>
      </w:r>
      <w:proofErr w:type="spellEnd"/>
      <w:r w:rsidR="007B6297">
        <w:rPr>
          <w:rFonts w:hint="eastAsia"/>
        </w:rPr>
        <w:t xml:space="preserve"> </w:t>
      </w:r>
      <w:r>
        <w:t xml:space="preserve">proposed that </w:t>
      </w:r>
      <w:r w:rsidR="00657380">
        <w:t>i</w:t>
      </w:r>
      <w:r>
        <w:t>t</w:t>
      </w:r>
      <w:r w:rsidR="00657380">
        <w:t>s</w:t>
      </w:r>
      <w:r>
        <w:t xml:space="preserve"> service solution enable</w:t>
      </w:r>
      <w:r w:rsidR="003A75E1">
        <w:t>d</w:t>
      </w:r>
      <w:r>
        <w:t xml:space="preserve"> manufacturers </w:t>
      </w:r>
      <w:r w:rsidR="00C36B32">
        <w:t xml:space="preserve">to </w:t>
      </w:r>
      <w:r>
        <w:t xml:space="preserve">reduce </w:t>
      </w:r>
      <w:r w:rsidR="00C36B32">
        <w:t xml:space="preserve">the </w:t>
      </w:r>
      <w:r>
        <w:t>85 per</w:t>
      </w:r>
      <w:r w:rsidR="00C36B32">
        <w:t xml:space="preserve"> </w:t>
      </w:r>
      <w:r>
        <w:t>cent, hence achiev</w:t>
      </w:r>
      <w:r w:rsidR="00C36B32">
        <w:t>ing</w:t>
      </w:r>
      <w:r>
        <w:t xml:space="preserve"> savings far </w:t>
      </w:r>
      <w:r w:rsidR="00C36B32">
        <w:t xml:space="preserve">greater </w:t>
      </w:r>
      <w:r>
        <w:t xml:space="preserve">than the cost of the C-part. </w:t>
      </w:r>
    </w:p>
    <w:p w14:paraId="73BFEC38" w14:textId="77777777" w:rsidR="009C004B" w:rsidRDefault="009C004B" w:rsidP="009C004B">
      <w:pPr>
        <w:pStyle w:val="BodyTextMain"/>
      </w:pPr>
    </w:p>
    <w:p w14:paraId="24D61CA7" w14:textId="07466E5E" w:rsidR="009C004B" w:rsidRDefault="007B6297" w:rsidP="009C004B">
      <w:pPr>
        <w:pStyle w:val="BodyTextMain"/>
      </w:pPr>
      <w:proofErr w:type="spellStart"/>
      <w:r>
        <w:rPr>
          <w:rFonts w:hint="eastAsia"/>
        </w:rPr>
        <w:t>Bossard</w:t>
      </w:r>
      <w:proofErr w:type="spellEnd"/>
      <w:r>
        <w:rPr>
          <w:rFonts w:hint="eastAsia"/>
        </w:rPr>
        <w:t xml:space="preserve"> </w:t>
      </w:r>
      <w:r w:rsidR="009C004B">
        <w:t>develop</w:t>
      </w:r>
      <w:r w:rsidR="009C004B">
        <w:rPr>
          <w:rFonts w:hint="eastAsia"/>
        </w:rPr>
        <w:t xml:space="preserve">ed a standard cost calculation and process analysis method. </w:t>
      </w:r>
      <w:r w:rsidR="009C004B">
        <w:t>The</w:t>
      </w:r>
      <w:r>
        <w:t xml:space="preserve"> compan</w:t>
      </w:r>
      <w:r w:rsidR="009C004B">
        <w:t>y</w:t>
      </w:r>
      <w:r w:rsidR="009C004B">
        <w:rPr>
          <w:rFonts w:hint="eastAsia"/>
        </w:rPr>
        <w:t xml:space="preserve"> conduct</w:t>
      </w:r>
      <w:r w:rsidR="003A75E1">
        <w:t>ed</w:t>
      </w:r>
      <w:r w:rsidR="009C004B">
        <w:rPr>
          <w:rFonts w:hint="eastAsia"/>
        </w:rPr>
        <w:t xml:space="preserve"> a value stream</w:t>
      </w:r>
      <w:r w:rsidR="009C004B">
        <w:t xml:space="preserve"> analysis of </w:t>
      </w:r>
      <w:r w:rsidR="00C36B32">
        <w:t xml:space="preserve">the </w:t>
      </w:r>
      <w:r w:rsidR="009C004B">
        <w:t>customer</w:t>
      </w:r>
      <w:r w:rsidR="00C36B32">
        <w:t>’</w:t>
      </w:r>
      <w:r w:rsidR="009C004B">
        <w:t>s operations and C-part logistics</w:t>
      </w:r>
      <w:r w:rsidR="003A75E1">
        <w:t>,</w:t>
      </w:r>
      <w:r w:rsidR="009C004B">
        <w:t xml:space="preserve"> </w:t>
      </w:r>
      <w:r w:rsidR="009C004B">
        <w:rPr>
          <w:rFonts w:hint="eastAsia"/>
        </w:rPr>
        <w:t>and identif</w:t>
      </w:r>
      <w:r w:rsidR="003A75E1">
        <w:t>ied</w:t>
      </w:r>
      <w:r w:rsidR="009C004B">
        <w:rPr>
          <w:rFonts w:hint="eastAsia"/>
        </w:rPr>
        <w:t xml:space="preserve"> optimization potential in design and production process</w:t>
      </w:r>
      <w:r w:rsidR="009C004B">
        <w:t>es</w:t>
      </w:r>
      <w:r w:rsidR="009C004B">
        <w:rPr>
          <w:rFonts w:hint="eastAsia"/>
        </w:rPr>
        <w:t xml:space="preserve">. </w:t>
      </w:r>
      <w:r w:rsidR="009C004B">
        <w:t xml:space="preserve">Using a set of key indicators, </w:t>
      </w:r>
      <w:proofErr w:type="spellStart"/>
      <w:r w:rsidR="009C004B">
        <w:t>Bossard</w:t>
      </w:r>
      <w:proofErr w:type="spellEnd"/>
      <w:r w:rsidR="009C004B">
        <w:t xml:space="preserve"> </w:t>
      </w:r>
      <w:r w:rsidR="009C004B">
        <w:rPr>
          <w:rFonts w:hint="eastAsia"/>
        </w:rPr>
        <w:t xml:space="preserve">experts could calculate how much money </w:t>
      </w:r>
      <w:r w:rsidR="00C36B32">
        <w:t>the customer</w:t>
      </w:r>
      <w:r w:rsidR="00C36B32">
        <w:rPr>
          <w:rFonts w:hint="eastAsia"/>
        </w:rPr>
        <w:t xml:space="preserve"> </w:t>
      </w:r>
      <w:r w:rsidR="009C004B">
        <w:t>could</w:t>
      </w:r>
      <w:r w:rsidR="009C004B">
        <w:rPr>
          <w:rFonts w:hint="eastAsia"/>
        </w:rPr>
        <w:t xml:space="preserve"> save </w:t>
      </w:r>
      <w:r w:rsidR="009C004B">
        <w:t>b</w:t>
      </w:r>
      <w:r w:rsidR="009C004B">
        <w:rPr>
          <w:rFonts w:hint="eastAsia"/>
        </w:rPr>
        <w:t>y us</w:t>
      </w:r>
      <w:r w:rsidR="009C004B">
        <w:t>ing</w:t>
      </w:r>
      <w:r w:rsidR="009C004B">
        <w:rPr>
          <w:rFonts w:hint="eastAsia"/>
        </w:rPr>
        <w:t xml:space="preserve"> </w:t>
      </w:r>
      <w:proofErr w:type="spellStart"/>
      <w:r w:rsidR="009C004B">
        <w:rPr>
          <w:rFonts w:hint="eastAsia"/>
        </w:rPr>
        <w:t>Bossard</w:t>
      </w:r>
      <w:r w:rsidR="003A75E1">
        <w:t>’s</w:t>
      </w:r>
      <w:proofErr w:type="spellEnd"/>
      <w:r w:rsidR="009C004B">
        <w:rPr>
          <w:rFonts w:hint="eastAsia"/>
        </w:rPr>
        <w:t xml:space="preserve"> logistic</w:t>
      </w:r>
      <w:r w:rsidR="009C004B">
        <w:t>s</w:t>
      </w:r>
      <w:r w:rsidR="009C004B">
        <w:rPr>
          <w:rFonts w:hint="eastAsia"/>
        </w:rPr>
        <w:t xml:space="preserve"> systems. </w:t>
      </w:r>
    </w:p>
    <w:p w14:paraId="4515F355" w14:textId="77777777" w:rsidR="009C004B" w:rsidRDefault="009C004B" w:rsidP="009C004B">
      <w:pPr>
        <w:pStyle w:val="BodyTextMain"/>
      </w:pPr>
    </w:p>
    <w:p w14:paraId="7624D459" w14:textId="3F623485" w:rsidR="009C004B" w:rsidRPr="00E16CBE" w:rsidRDefault="009C004B" w:rsidP="009C004B">
      <w:pPr>
        <w:pStyle w:val="BodyTextMain"/>
        <w:rPr>
          <w:spacing w:val="-2"/>
          <w:kern w:val="22"/>
        </w:rPr>
      </w:pPr>
      <w:proofErr w:type="spellStart"/>
      <w:r w:rsidRPr="00E16CBE">
        <w:rPr>
          <w:spacing w:val="-2"/>
          <w:kern w:val="22"/>
        </w:rPr>
        <w:t>Bossard</w:t>
      </w:r>
      <w:proofErr w:type="spellEnd"/>
      <w:r w:rsidRPr="00E16CBE">
        <w:rPr>
          <w:spacing w:val="-2"/>
          <w:kern w:val="22"/>
        </w:rPr>
        <w:t xml:space="preserve"> priced different aspects of its services separately, thus providing different service packages to different clients. For example, </w:t>
      </w:r>
      <w:proofErr w:type="spellStart"/>
      <w:r w:rsidRPr="00E16CBE">
        <w:rPr>
          <w:spacing w:val="-2"/>
          <w:kern w:val="22"/>
        </w:rPr>
        <w:t>Bossard</w:t>
      </w:r>
      <w:proofErr w:type="spellEnd"/>
      <w:r w:rsidRPr="00E16CBE">
        <w:rPr>
          <w:spacing w:val="-2"/>
          <w:kern w:val="22"/>
        </w:rPr>
        <w:t xml:space="preserve"> rent</w:t>
      </w:r>
      <w:r w:rsidR="00D33A41" w:rsidRPr="00E16CBE">
        <w:rPr>
          <w:spacing w:val="-2"/>
          <w:kern w:val="22"/>
        </w:rPr>
        <w:t>ed</w:t>
      </w:r>
      <w:r w:rsidRPr="00E16CBE">
        <w:rPr>
          <w:spacing w:val="-2"/>
          <w:kern w:val="22"/>
        </w:rPr>
        <w:t xml:space="preserve"> the bins along with its logistics system and the associated software. Customers opting for a frequent or automated delivery schedule pa</w:t>
      </w:r>
      <w:r w:rsidR="003A75E1" w:rsidRPr="00E16CBE">
        <w:rPr>
          <w:spacing w:val="-2"/>
          <w:kern w:val="22"/>
        </w:rPr>
        <w:t>id</w:t>
      </w:r>
      <w:r w:rsidRPr="00E16CBE">
        <w:rPr>
          <w:spacing w:val="-2"/>
          <w:kern w:val="22"/>
        </w:rPr>
        <w:t xml:space="preserve"> a flat fee for the service plus the price of each C-part delivered through the system. Consulting services were available separately, notably to clients aiming to develop logistics systems that did not involve C-parts from </w:t>
      </w:r>
      <w:proofErr w:type="spellStart"/>
      <w:r w:rsidRPr="00E16CBE">
        <w:rPr>
          <w:spacing w:val="-2"/>
          <w:kern w:val="22"/>
        </w:rPr>
        <w:t>Bossard</w:t>
      </w:r>
      <w:r w:rsidR="00D33A41" w:rsidRPr="00E16CBE">
        <w:rPr>
          <w:spacing w:val="-2"/>
          <w:kern w:val="22"/>
        </w:rPr>
        <w:t>’</w:t>
      </w:r>
      <w:r w:rsidRPr="00E16CBE">
        <w:rPr>
          <w:spacing w:val="-2"/>
          <w:kern w:val="22"/>
        </w:rPr>
        <w:t>s</w:t>
      </w:r>
      <w:proofErr w:type="spellEnd"/>
      <w:r w:rsidRPr="00E16CBE">
        <w:rPr>
          <w:spacing w:val="-2"/>
          <w:kern w:val="22"/>
        </w:rPr>
        <w:t xml:space="preserve"> product portfolio.</w:t>
      </w:r>
      <w:r w:rsidR="002E6591" w:rsidRPr="00E16CBE">
        <w:rPr>
          <w:spacing w:val="-2"/>
          <w:kern w:val="22"/>
        </w:rPr>
        <w:t xml:space="preserve"> </w:t>
      </w:r>
    </w:p>
    <w:p w14:paraId="7DF35DAE" w14:textId="77777777" w:rsidR="009C004B" w:rsidRDefault="009C004B" w:rsidP="009C004B">
      <w:pPr>
        <w:pStyle w:val="BodyTextMain"/>
      </w:pPr>
    </w:p>
    <w:p w14:paraId="5E772825" w14:textId="77777777" w:rsidR="00E16CBE" w:rsidRDefault="00E16CBE" w:rsidP="002E6591">
      <w:pPr>
        <w:pStyle w:val="Casehead1"/>
        <w:outlineLvl w:val="0"/>
      </w:pPr>
    </w:p>
    <w:p w14:paraId="348506CB" w14:textId="77777777" w:rsidR="009C004B" w:rsidRDefault="009C004B" w:rsidP="002E6591">
      <w:pPr>
        <w:pStyle w:val="Casehead1"/>
        <w:outlineLvl w:val="0"/>
      </w:pPr>
      <w:r w:rsidRPr="002E5BD5">
        <w:t>International Growth</w:t>
      </w:r>
    </w:p>
    <w:p w14:paraId="6E627AA0" w14:textId="77777777" w:rsidR="009C004B" w:rsidRPr="002E5BD5" w:rsidRDefault="009C004B" w:rsidP="009C004B">
      <w:pPr>
        <w:pStyle w:val="BodyTextMain"/>
      </w:pPr>
    </w:p>
    <w:p w14:paraId="53074702" w14:textId="00F260DA" w:rsidR="009C004B" w:rsidRDefault="009C004B" w:rsidP="009C004B">
      <w:pPr>
        <w:pStyle w:val="BodyTextMain"/>
      </w:pPr>
      <w:r>
        <w:t xml:space="preserve">Since the 1980s, </w:t>
      </w:r>
      <w:proofErr w:type="spellStart"/>
      <w:r>
        <w:t>Bossard</w:t>
      </w:r>
      <w:proofErr w:type="spellEnd"/>
      <w:r>
        <w:t xml:space="preserve"> had been growing its international operations, and by 2015</w:t>
      </w:r>
      <w:r w:rsidR="00D33A41">
        <w:t>,</w:t>
      </w:r>
      <w:r>
        <w:t xml:space="preserve"> was operating worldwide</w:t>
      </w:r>
      <w:r w:rsidRPr="0089349E">
        <w:t xml:space="preserve"> </w:t>
      </w:r>
      <w:r>
        <w:t xml:space="preserve">in 26 countries with </w:t>
      </w:r>
      <w:r w:rsidRPr="0089349E">
        <w:t>more than 60 service locations, 35 logistic cent</w:t>
      </w:r>
      <w:r w:rsidR="00CE1BC6">
        <w:t>r</w:t>
      </w:r>
      <w:r w:rsidRPr="0089349E">
        <w:t>es, and 1</w:t>
      </w:r>
      <w:r>
        <w:t>2</w:t>
      </w:r>
      <w:r w:rsidRPr="0089349E">
        <w:t xml:space="preserve"> application engineering laboratories</w:t>
      </w:r>
      <w:r>
        <w:t xml:space="preserve">. In Europe, </w:t>
      </w:r>
      <w:proofErr w:type="spellStart"/>
      <w:r>
        <w:t>Bossard</w:t>
      </w:r>
      <w:proofErr w:type="spellEnd"/>
      <w:r>
        <w:t xml:space="preserve"> was serving clients primarily from its central warehouse in Zug, with additional warehouses in Denmark and France. With border controls removed within the European Economic Area, </w:t>
      </w:r>
      <w:proofErr w:type="spellStart"/>
      <w:r>
        <w:t>Bossard</w:t>
      </w:r>
      <w:proofErr w:type="spellEnd"/>
      <w:r>
        <w:t xml:space="preserve"> trucks could smoothly travel across the continent and secure timely and reliable delivery. Outside Europe, </w:t>
      </w:r>
      <w:proofErr w:type="spellStart"/>
      <w:r>
        <w:t>Bossard</w:t>
      </w:r>
      <w:proofErr w:type="spellEnd"/>
      <w:r>
        <w:t xml:space="preserve"> needed to establish a local distribution infrastructure to be able to deliver the same level of service. Thus, in Asia, </w:t>
      </w:r>
      <w:proofErr w:type="spellStart"/>
      <w:r>
        <w:t>Bossard</w:t>
      </w:r>
      <w:proofErr w:type="spellEnd"/>
      <w:r>
        <w:t xml:space="preserve"> had 14 logistics centr</w:t>
      </w:r>
      <w:r w:rsidR="00D33A41">
        <w:t>e</w:t>
      </w:r>
      <w:r>
        <w:t>s</w:t>
      </w:r>
      <w:r w:rsidR="00ED35B6">
        <w:t>,</w:t>
      </w:r>
      <w:r>
        <w:t xml:space="preserve"> including </w:t>
      </w:r>
      <w:r w:rsidR="00D33A41">
        <w:t xml:space="preserve">four </w:t>
      </w:r>
      <w:r>
        <w:t xml:space="preserve">each in </w:t>
      </w:r>
      <w:r>
        <w:lastRenderedPageBreak/>
        <w:t>China and India. These regional warehouses provide</w:t>
      </w:r>
      <w:r w:rsidR="00D33A41">
        <w:t>d</w:t>
      </w:r>
      <w:r>
        <w:t xml:space="preserve"> all parts commonly used in their region</w:t>
      </w:r>
      <w:r w:rsidR="00D33A41">
        <w:t>;</w:t>
      </w:r>
      <w:r>
        <w:t xml:space="preserve"> orders </w:t>
      </w:r>
      <w:r w:rsidR="00573ED9">
        <w:t xml:space="preserve">for less common parts </w:t>
      </w:r>
      <w:r w:rsidR="00D33A41">
        <w:t xml:space="preserve">were </w:t>
      </w:r>
      <w:r>
        <w:t>sen</w:t>
      </w:r>
      <w:r w:rsidR="00D33A41">
        <w:t>t</w:t>
      </w:r>
      <w:r>
        <w:t xml:space="preserve"> directly from Zug</w:t>
      </w:r>
      <w:r w:rsidR="00D33A41">
        <w:t xml:space="preserve">, </w:t>
      </w:r>
      <w:r>
        <w:t>by air freight</w:t>
      </w:r>
      <w:r w:rsidR="00D33A41">
        <w:t xml:space="preserve"> if necessary</w:t>
      </w:r>
      <w:r>
        <w:t>.</w:t>
      </w:r>
    </w:p>
    <w:p w14:paraId="593BED5E" w14:textId="77777777" w:rsidR="009C004B" w:rsidRDefault="009C004B" w:rsidP="009C004B">
      <w:pPr>
        <w:pStyle w:val="BodyTextMain"/>
      </w:pPr>
    </w:p>
    <w:p w14:paraId="6B0E2096" w14:textId="6D7A4A35" w:rsidR="009C004B" w:rsidRDefault="009C004B" w:rsidP="009C004B">
      <w:pPr>
        <w:pStyle w:val="BodyTextMain"/>
      </w:pPr>
      <w:proofErr w:type="spellStart"/>
      <w:r w:rsidRPr="00CD2B03">
        <w:t>Bossard</w:t>
      </w:r>
      <w:r>
        <w:t>’s</w:t>
      </w:r>
      <w:proofErr w:type="spellEnd"/>
      <w:r>
        <w:t xml:space="preserve"> global footprint had been growing </w:t>
      </w:r>
      <w:r w:rsidR="009E02FD">
        <w:t xml:space="preserve">gradually </w:t>
      </w:r>
      <w:r>
        <w:t>at similar pace</w:t>
      </w:r>
      <w:r w:rsidR="009E02FD">
        <w:t>s</w:t>
      </w:r>
      <w:r>
        <w:t xml:space="preserve"> around the world (see Exhibit 2)</w:t>
      </w:r>
      <w:r w:rsidRPr="00CD2B03">
        <w:t>. Europe accounted for 58</w:t>
      </w:r>
      <w:r>
        <w:t xml:space="preserve"> per cent</w:t>
      </w:r>
      <w:r w:rsidRPr="00CD2B03">
        <w:t xml:space="preserve"> of sales in 2015, compared to 59</w:t>
      </w:r>
      <w:r>
        <w:t xml:space="preserve"> per cent</w:t>
      </w:r>
      <w:r w:rsidRPr="00CD2B03">
        <w:t xml:space="preserve"> before the financial crisis in 2008. North America accounted for 25</w:t>
      </w:r>
      <w:r>
        <w:t xml:space="preserve"> per cent</w:t>
      </w:r>
      <w:r w:rsidRPr="00CD2B03">
        <w:t xml:space="preserve"> (28</w:t>
      </w:r>
      <w:r>
        <w:t xml:space="preserve"> per cent</w:t>
      </w:r>
      <w:r w:rsidR="005D453F">
        <w:t xml:space="preserve"> before 2008</w:t>
      </w:r>
      <w:r w:rsidRPr="00CD2B03">
        <w:t xml:space="preserve">) while Asia </w:t>
      </w:r>
      <w:r>
        <w:t xml:space="preserve">Pacific </w:t>
      </w:r>
      <w:r w:rsidRPr="00CD2B03">
        <w:t>accounted for 16</w:t>
      </w:r>
      <w:r>
        <w:t xml:space="preserve"> per cent</w:t>
      </w:r>
      <w:r w:rsidRPr="00CD2B03">
        <w:t xml:space="preserve"> (14</w:t>
      </w:r>
      <w:r>
        <w:t xml:space="preserve"> per cent</w:t>
      </w:r>
      <w:r w:rsidR="005D453F">
        <w:t xml:space="preserve"> before 2008</w:t>
      </w:r>
      <w:r w:rsidRPr="00CD2B03">
        <w:t>) (</w:t>
      </w:r>
      <w:r>
        <w:t>see</w:t>
      </w:r>
      <w:r w:rsidRPr="00CD2B03">
        <w:t xml:space="preserve"> Exhibit 5). Over the years, there had been some volatility, </w:t>
      </w:r>
      <w:r>
        <w:t xml:space="preserve">as </w:t>
      </w:r>
      <w:r w:rsidRPr="00CD2B03">
        <w:t>all markets had been affected by the financial crisis in 200</w:t>
      </w:r>
      <w:r w:rsidR="00221117">
        <w:t>8</w:t>
      </w:r>
      <w:r w:rsidRPr="00CD2B03">
        <w:t xml:space="preserve">, but Asia </w:t>
      </w:r>
      <w:r>
        <w:t xml:space="preserve">Pacific </w:t>
      </w:r>
      <w:r w:rsidRPr="00CD2B03">
        <w:t xml:space="preserve">had recovered faster </w:t>
      </w:r>
      <w:r w:rsidR="005D453F">
        <w:t>than</w:t>
      </w:r>
      <w:r w:rsidR="005D453F" w:rsidRPr="00CD2B03">
        <w:t xml:space="preserve"> </w:t>
      </w:r>
      <w:r w:rsidRPr="00CD2B03">
        <w:t xml:space="preserve">either Europe (2013) or North America (2015). </w:t>
      </w:r>
      <w:r>
        <w:t>P</w:t>
      </w:r>
      <w:r w:rsidRPr="00CD2B03">
        <w:t xml:space="preserve">roducts </w:t>
      </w:r>
      <w:r>
        <w:t>we</w:t>
      </w:r>
      <w:r w:rsidRPr="00CD2B03">
        <w:t>re sourced from long</w:t>
      </w:r>
      <w:r w:rsidR="005D453F">
        <w:t>-</w:t>
      </w:r>
      <w:r w:rsidRPr="00CD2B03">
        <w:t>term suppliers around the world in</w:t>
      </w:r>
      <w:r>
        <w:t>cluding</w:t>
      </w:r>
      <w:r w:rsidRPr="00CD2B03">
        <w:t xml:space="preserve"> India</w:t>
      </w:r>
      <w:r>
        <w:t>,</w:t>
      </w:r>
      <w:r w:rsidRPr="00CD2B03">
        <w:t xml:space="preserve"> Brazil, </w:t>
      </w:r>
      <w:r>
        <w:t>and other emerging economies</w:t>
      </w:r>
      <w:r w:rsidRPr="00CD2B03">
        <w:t xml:space="preserve">. </w:t>
      </w:r>
      <w:r>
        <w:t xml:space="preserve">While </w:t>
      </w:r>
      <w:proofErr w:type="spellStart"/>
      <w:r>
        <w:t>Bossard’s</w:t>
      </w:r>
      <w:proofErr w:type="spellEnd"/>
      <w:r>
        <w:t xml:space="preserve"> market share was lower in Asia Pacific than in Europe, the operation in the region was highly profitable. </w:t>
      </w:r>
    </w:p>
    <w:p w14:paraId="18051AD9" w14:textId="77777777" w:rsidR="009C004B" w:rsidRPr="00CD2B03" w:rsidRDefault="009C004B" w:rsidP="009C004B">
      <w:pPr>
        <w:pStyle w:val="BodyTextMain"/>
      </w:pPr>
    </w:p>
    <w:p w14:paraId="16E3B028" w14:textId="789BDDA0" w:rsidR="009C004B" w:rsidRDefault="009C004B" w:rsidP="009C004B">
      <w:pPr>
        <w:pStyle w:val="BodyTextMain"/>
      </w:pPr>
      <w:proofErr w:type="spellStart"/>
      <w:r w:rsidRPr="00CD2B03">
        <w:t>Bossard’s</w:t>
      </w:r>
      <w:proofErr w:type="spellEnd"/>
      <w:r w:rsidRPr="00CD2B03">
        <w:t xml:space="preserve"> international growth was </w:t>
      </w:r>
      <w:r>
        <w:t>accelerated</w:t>
      </w:r>
      <w:r w:rsidRPr="00CD2B03">
        <w:t xml:space="preserve"> by acquisitions </w:t>
      </w:r>
      <w:r>
        <w:t>that</w:t>
      </w:r>
      <w:r w:rsidRPr="00CD2B03">
        <w:t xml:space="preserve"> strengthen</w:t>
      </w:r>
      <w:r>
        <w:t>ed</w:t>
      </w:r>
      <w:r w:rsidRPr="00CD2B03">
        <w:t xml:space="preserve"> its positions in key markets</w:t>
      </w:r>
      <w:r>
        <w:t xml:space="preserve">. </w:t>
      </w:r>
      <w:r w:rsidRPr="00CD2B03">
        <w:t xml:space="preserve">The </w:t>
      </w:r>
      <w:r>
        <w:t>largest</w:t>
      </w:r>
      <w:r w:rsidRPr="00CD2B03">
        <w:t xml:space="preserve"> acquisition was KVT-Fastening</w:t>
      </w:r>
      <w:r w:rsidR="00D06D79">
        <w:t>, acquired in 2012</w:t>
      </w:r>
      <w:r w:rsidRPr="00CD2B03">
        <w:t xml:space="preserve"> from the KVT Koenig Group </w:t>
      </w:r>
      <w:r>
        <w:t xml:space="preserve">in Germany </w:t>
      </w:r>
      <w:r w:rsidRPr="00CD2B03">
        <w:t>for CHF</w:t>
      </w:r>
      <w:r w:rsidR="00D06D79">
        <w:t> </w:t>
      </w:r>
      <w:r w:rsidRPr="00CD2B03">
        <w:t>200</w:t>
      </w:r>
      <w:r w:rsidR="00D06D79">
        <w:t> </w:t>
      </w:r>
      <w:r w:rsidRPr="00CD2B03">
        <w:t xml:space="preserve">million. </w:t>
      </w:r>
      <w:r w:rsidR="00D06D79">
        <w:t>KVT-Fastening produced</w:t>
      </w:r>
      <w:r>
        <w:t xml:space="preserve"> </w:t>
      </w:r>
      <w:r w:rsidRPr="00CD2B03">
        <w:t>high-quality special</w:t>
      </w:r>
      <w:r>
        <w:t>ist</w:t>
      </w:r>
      <w:r w:rsidRPr="00CD2B03">
        <w:t xml:space="preserve"> fastening and sealing applications</w:t>
      </w:r>
      <w:r w:rsidR="00D06D79">
        <w:t>,</w:t>
      </w:r>
      <w:r>
        <w:t xml:space="preserve"> had 230 employees</w:t>
      </w:r>
      <w:r w:rsidR="00D06D79">
        <w:t>,</w:t>
      </w:r>
      <w:r>
        <w:t xml:space="preserve"> and generated</w:t>
      </w:r>
      <w:r w:rsidRPr="00CD2B03">
        <w:t xml:space="preserve"> a turnover of </w:t>
      </w:r>
      <w:r>
        <w:t>about</w:t>
      </w:r>
      <w:r w:rsidRPr="00CD2B03">
        <w:t xml:space="preserve"> CHF 120 million </w:t>
      </w:r>
      <w:r w:rsidR="00D06D79">
        <w:t xml:space="preserve">with businesses </w:t>
      </w:r>
      <w:r>
        <w:t xml:space="preserve">mainly in </w:t>
      </w:r>
      <w:r w:rsidRPr="00CD2B03">
        <w:t>Germany, Switzerland, Austria</w:t>
      </w:r>
      <w:r w:rsidR="00D06D79">
        <w:t>,</w:t>
      </w:r>
      <w:r w:rsidRPr="00CD2B03">
        <w:t xml:space="preserve"> and Central Eastern Europe</w:t>
      </w:r>
      <w:r>
        <w:t>.</w:t>
      </w:r>
      <w:r w:rsidRPr="007460D6">
        <w:rPr>
          <w:rStyle w:val="FootnoteReference"/>
        </w:rPr>
        <w:t xml:space="preserve"> </w:t>
      </w:r>
      <w:r w:rsidRPr="00CD2B03">
        <w:t xml:space="preserve">In 2015, </w:t>
      </w:r>
      <w:proofErr w:type="spellStart"/>
      <w:r w:rsidRPr="00CD2B03">
        <w:t>Bossard</w:t>
      </w:r>
      <w:proofErr w:type="spellEnd"/>
      <w:r w:rsidRPr="00CD2B03">
        <w:t xml:space="preserve"> completed three smaller acquisitions of fastening </w:t>
      </w:r>
      <w:r>
        <w:t>product providers</w:t>
      </w:r>
      <w:r w:rsidRPr="00CD2B03">
        <w:t xml:space="preserve">: (1): Aero-Space Southwest in the </w:t>
      </w:r>
      <w:r w:rsidR="00D06D79">
        <w:t>United States</w:t>
      </w:r>
      <w:r w:rsidRPr="00CD2B03">
        <w:t xml:space="preserve">, (2) the fastening solutions division of </w:t>
      </w:r>
      <w:proofErr w:type="spellStart"/>
      <w:r w:rsidRPr="00CD2B03">
        <w:t>Avio</w:t>
      </w:r>
      <w:proofErr w:type="spellEnd"/>
      <w:r w:rsidRPr="00CD2B03">
        <w:t xml:space="preserve"> </w:t>
      </w:r>
      <w:proofErr w:type="spellStart"/>
      <w:r w:rsidRPr="00CD2B03">
        <w:t>Elettronica</w:t>
      </w:r>
      <w:proofErr w:type="spellEnd"/>
      <w:r w:rsidRPr="00CD2B03">
        <w:t xml:space="preserve"> in Italy, and (3) a 60</w:t>
      </w:r>
      <w:r>
        <w:t xml:space="preserve"> per cent</w:t>
      </w:r>
      <w:r w:rsidRPr="00CD2B03">
        <w:t xml:space="preserve"> equity stake in </w:t>
      </w:r>
      <w:proofErr w:type="spellStart"/>
      <w:r w:rsidRPr="00CD2B03">
        <w:t>Torp</w:t>
      </w:r>
      <w:proofErr w:type="spellEnd"/>
      <w:r w:rsidRPr="00CD2B03">
        <w:t xml:space="preserve"> Fasteners in Norway</w:t>
      </w:r>
      <w:r>
        <w:t>,</w:t>
      </w:r>
      <w:r w:rsidRPr="00CD2B03">
        <w:t xml:space="preserve"> </w:t>
      </w:r>
      <w:r>
        <w:t xml:space="preserve">a market leader in </w:t>
      </w:r>
      <w:r w:rsidRPr="00CD2B03">
        <w:t xml:space="preserve">Scandinavia. </w:t>
      </w:r>
      <w:r>
        <w:t>The target companies operated in geographies or product segments with minimal overlap, and thus could be smoothly integrated in</w:t>
      </w:r>
      <w:r w:rsidR="00D06D79">
        <w:t>to</w:t>
      </w:r>
      <w:r>
        <w:t xml:space="preserve"> the </w:t>
      </w:r>
      <w:proofErr w:type="spellStart"/>
      <w:r>
        <w:t>Bossard</w:t>
      </w:r>
      <w:proofErr w:type="spellEnd"/>
      <w:r>
        <w:t xml:space="preserve"> organization. In the post-acquisition integration, </w:t>
      </w:r>
      <w:proofErr w:type="spellStart"/>
      <w:r>
        <w:t>Bossard</w:t>
      </w:r>
      <w:proofErr w:type="spellEnd"/>
      <w:r>
        <w:t xml:space="preserve"> shared its logistics methodology to enhance the competitive position of the target companies</w:t>
      </w:r>
      <w:r w:rsidRPr="00CD2B03">
        <w:t xml:space="preserve">. </w:t>
      </w:r>
    </w:p>
    <w:p w14:paraId="37E9A049" w14:textId="77777777" w:rsidR="009C004B" w:rsidRPr="00CD2B03" w:rsidRDefault="009C004B" w:rsidP="009C004B">
      <w:pPr>
        <w:pStyle w:val="BodyTextMain"/>
      </w:pPr>
    </w:p>
    <w:p w14:paraId="18B6DB60" w14:textId="25005B10" w:rsidR="009C004B" w:rsidRDefault="009C004B" w:rsidP="009C004B">
      <w:pPr>
        <w:pStyle w:val="BodyTextMain"/>
      </w:pPr>
      <w:proofErr w:type="spellStart"/>
      <w:r w:rsidRPr="00CD2B03">
        <w:t>Bossard’s</w:t>
      </w:r>
      <w:proofErr w:type="spellEnd"/>
      <w:r w:rsidRPr="00CD2B03">
        <w:t xml:space="preserve"> business model had been developed in Switzerland and neighbo</w:t>
      </w:r>
      <w:r w:rsidR="00157411">
        <w:t>u</w:t>
      </w:r>
      <w:r w:rsidRPr="00CD2B03">
        <w:t>ring countries where costs of manual labo</w:t>
      </w:r>
      <w:r w:rsidR="00157411">
        <w:t>u</w:t>
      </w:r>
      <w:r w:rsidRPr="00CD2B03">
        <w:t xml:space="preserve">r were high, </w:t>
      </w:r>
      <w:r w:rsidR="00D06D79">
        <w:t>so</w:t>
      </w:r>
      <w:r w:rsidR="00D06D79" w:rsidRPr="00CD2B03">
        <w:t xml:space="preserve"> </w:t>
      </w:r>
      <w:r w:rsidRPr="00CD2B03">
        <w:t xml:space="preserve">saving time </w:t>
      </w:r>
      <w:r w:rsidR="00D06D79" w:rsidRPr="00CD2B03">
        <w:t>spen</w:t>
      </w:r>
      <w:r w:rsidR="00D06D79">
        <w:t>t</w:t>
      </w:r>
      <w:r w:rsidR="00D06D79" w:rsidRPr="00CD2B03">
        <w:t xml:space="preserve"> </w:t>
      </w:r>
      <w:r w:rsidRPr="00CD2B03">
        <w:t>by employees on routine tasks translate</w:t>
      </w:r>
      <w:r w:rsidR="00D06D79">
        <w:t>d</w:t>
      </w:r>
      <w:r w:rsidRPr="00CD2B03">
        <w:t xml:space="preserve"> </w:t>
      </w:r>
      <w:r w:rsidR="00D06D79">
        <w:t>to</w:t>
      </w:r>
      <w:r w:rsidR="00D06D79" w:rsidRPr="00CD2B03">
        <w:t xml:space="preserve"> </w:t>
      </w:r>
      <w:r w:rsidRPr="00CD2B03">
        <w:t>substantive cost savings</w:t>
      </w:r>
      <w:r>
        <w:t xml:space="preserve">. </w:t>
      </w:r>
      <w:r w:rsidR="00D06D79">
        <w:t>S</w:t>
      </w:r>
      <w:r w:rsidRPr="00CD2B03">
        <w:t xml:space="preserve">elling </w:t>
      </w:r>
      <w:proofErr w:type="spellStart"/>
      <w:r w:rsidR="00D06D79">
        <w:t>Bossard’s</w:t>
      </w:r>
      <w:proofErr w:type="spellEnd"/>
      <w:r w:rsidR="00D06D79" w:rsidRPr="00CD2B03">
        <w:t xml:space="preserve"> </w:t>
      </w:r>
      <w:r w:rsidRPr="00CD2B03">
        <w:t xml:space="preserve">full service solution was more challenging in </w:t>
      </w:r>
      <w:r>
        <w:t xml:space="preserve">contexts where </w:t>
      </w:r>
      <w:r w:rsidRPr="00D06D79">
        <w:t>labo</w:t>
      </w:r>
      <w:r w:rsidR="00D06D79">
        <w:t>u</w:t>
      </w:r>
      <w:r w:rsidRPr="00D06D79">
        <w:t>r</w:t>
      </w:r>
      <w:r w:rsidRPr="00CD2B03">
        <w:t xml:space="preserve"> costs </w:t>
      </w:r>
      <w:r>
        <w:t xml:space="preserve">were lower or where </w:t>
      </w:r>
      <w:r w:rsidRPr="00CD2B03">
        <w:t xml:space="preserve">precision </w:t>
      </w:r>
      <w:r>
        <w:t xml:space="preserve">and reliability were less important </w:t>
      </w:r>
      <w:r w:rsidRPr="00CD2B03">
        <w:t>because additional staff could easily perform</w:t>
      </w:r>
      <w:r>
        <w:t xml:space="preserve"> deliveries and adjustments. Many of </w:t>
      </w:r>
      <w:proofErr w:type="spellStart"/>
      <w:r>
        <w:t>Bossard’s</w:t>
      </w:r>
      <w:proofErr w:type="spellEnd"/>
      <w:r>
        <w:t xml:space="preserve"> customers we</w:t>
      </w:r>
      <w:r w:rsidRPr="00CD2B03">
        <w:t>re themselves internationally operating industrial enterprises</w:t>
      </w:r>
      <w:r w:rsidR="00D06D79">
        <w:t>,</w:t>
      </w:r>
      <w:r w:rsidRPr="00CD2B03">
        <w:t xml:space="preserve"> </w:t>
      </w:r>
      <w:r>
        <w:t>such as ABB</w:t>
      </w:r>
      <w:r w:rsidR="00D06D79">
        <w:t xml:space="preserve"> Group</w:t>
      </w:r>
      <w:r>
        <w:t xml:space="preserve"> </w:t>
      </w:r>
      <w:r w:rsidR="00D06D79">
        <w:t xml:space="preserve">and </w:t>
      </w:r>
      <w:proofErr w:type="spellStart"/>
      <w:r>
        <w:t>Bühler</w:t>
      </w:r>
      <w:proofErr w:type="spellEnd"/>
      <w:r w:rsidR="00D06D79">
        <w:t>,</w:t>
      </w:r>
      <w:r>
        <w:t xml:space="preserve"> </w:t>
      </w:r>
      <w:r w:rsidRPr="00CD2B03">
        <w:t>with global supply chains and global procurement network</w:t>
      </w:r>
      <w:r w:rsidR="00D06D79">
        <w:t>s</w:t>
      </w:r>
      <w:r w:rsidRPr="00CD2B03">
        <w:t xml:space="preserve">. The ability to deliver consistent quality and reliable local service at multiple locations </w:t>
      </w:r>
      <w:r>
        <w:t>was</w:t>
      </w:r>
      <w:r w:rsidRPr="00CD2B03">
        <w:t xml:space="preserve"> a key </w:t>
      </w:r>
      <w:r>
        <w:t xml:space="preserve">supplier </w:t>
      </w:r>
      <w:r w:rsidRPr="00CD2B03">
        <w:t>selection criterion</w:t>
      </w:r>
      <w:r>
        <w:t xml:space="preserve"> for </w:t>
      </w:r>
      <w:r w:rsidR="00F82EFD">
        <w:t xml:space="preserve">these </w:t>
      </w:r>
      <w:r>
        <w:t xml:space="preserve">global customers. </w:t>
      </w:r>
      <w:proofErr w:type="spellStart"/>
      <w:r>
        <w:t>Bossard</w:t>
      </w:r>
      <w:proofErr w:type="spellEnd"/>
      <w:r>
        <w:t xml:space="preserve"> promised to deliver </w:t>
      </w:r>
      <w:r w:rsidR="004A4D18">
        <w:t xml:space="preserve">to </w:t>
      </w:r>
      <w:r w:rsidR="00F82EFD">
        <w:t xml:space="preserve">its customers </w:t>
      </w:r>
      <w:r>
        <w:t xml:space="preserve">the same quality of service in each of the 27 countries where it </w:t>
      </w:r>
      <w:r w:rsidR="00F82EFD">
        <w:t xml:space="preserve">was </w:t>
      </w:r>
      <w:r>
        <w:t xml:space="preserve">operating. </w:t>
      </w:r>
    </w:p>
    <w:p w14:paraId="3A0AB6F6" w14:textId="77777777" w:rsidR="009C004B" w:rsidRPr="00CD2B03" w:rsidRDefault="009C004B" w:rsidP="009C004B">
      <w:pPr>
        <w:pStyle w:val="BodyTextMain"/>
      </w:pPr>
    </w:p>
    <w:p w14:paraId="0DB37B19" w14:textId="24B7FB06" w:rsidR="006A7E9C" w:rsidRPr="00E16CBE" w:rsidRDefault="009C004B" w:rsidP="009C004B">
      <w:pPr>
        <w:pStyle w:val="BodyTextMain"/>
        <w:rPr>
          <w:spacing w:val="-2"/>
          <w:kern w:val="22"/>
        </w:rPr>
      </w:pPr>
      <w:r w:rsidRPr="00E16CBE">
        <w:rPr>
          <w:spacing w:val="-2"/>
          <w:kern w:val="22"/>
        </w:rPr>
        <w:t xml:space="preserve">In 2015, the sharp appreciation of the Swiss </w:t>
      </w:r>
      <w:r w:rsidR="00F82EFD" w:rsidRPr="00E16CBE">
        <w:rPr>
          <w:spacing w:val="-2"/>
          <w:kern w:val="22"/>
        </w:rPr>
        <w:t>f</w:t>
      </w:r>
      <w:r w:rsidRPr="00E16CBE">
        <w:rPr>
          <w:spacing w:val="-2"/>
          <w:kern w:val="22"/>
        </w:rPr>
        <w:t>ranc</w:t>
      </w:r>
      <w:r w:rsidR="00CD5F9D" w:rsidRPr="00E16CBE">
        <w:rPr>
          <w:spacing w:val="-2"/>
          <w:kern w:val="22"/>
        </w:rPr>
        <w:t>,</w:t>
      </w:r>
      <w:r w:rsidRPr="00E16CBE">
        <w:rPr>
          <w:spacing w:val="-2"/>
          <w:kern w:val="22"/>
        </w:rPr>
        <w:t xml:space="preserve"> </w:t>
      </w:r>
      <w:r w:rsidR="00F82EFD" w:rsidRPr="00E16CBE">
        <w:rPr>
          <w:spacing w:val="-2"/>
          <w:kern w:val="22"/>
        </w:rPr>
        <w:t>caused by</w:t>
      </w:r>
      <w:r w:rsidRPr="00E16CBE">
        <w:rPr>
          <w:spacing w:val="-2"/>
          <w:kern w:val="22"/>
        </w:rPr>
        <w:t xml:space="preserve"> the </w:t>
      </w:r>
      <w:r w:rsidR="00F82EFD" w:rsidRPr="00E16CBE">
        <w:rPr>
          <w:spacing w:val="-2"/>
          <w:kern w:val="22"/>
        </w:rPr>
        <w:t xml:space="preserve">Swiss National Bank’s decision to </w:t>
      </w:r>
      <w:r w:rsidRPr="00E16CBE">
        <w:rPr>
          <w:spacing w:val="-2"/>
          <w:kern w:val="22"/>
        </w:rPr>
        <w:t xml:space="preserve">abandon the currency peg </w:t>
      </w:r>
      <w:r w:rsidR="00F82EFD" w:rsidRPr="00E16CBE">
        <w:rPr>
          <w:spacing w:val="-2"/>
          <w:kern w:val="22"/>
        </w:rPr>
        <w:t>against the euro</w:t>
      </w:r>
      <w:r w:rsidR="00CD5F9D" w:rsidRPr="00E16CBE">
        <w:rPr>
          <w:spacing w:val="-2"/>
          <w:kern w:val="22"/>
        </w:rPr>
        <w:t>,</w:t>
      </w:r>
      <w:r w:rsidR="00F82EFD" w:rsidRPr="00E16CBE">
        <w:rPr>
          <w:spacing w:val="-2"/>
          <w:kern w:val="22"/>
        </w:rPr>
        <w:t xml:space="preserve"> </w:t>
      </w:r>
      <w:r w:rsidRPr="00E16CBE">
        <w:rPr>
          <w:spacing w:val="-2"/>
          <w:kern w:val="22"/>
        </w:rPr>
        <w:t xml:space="preserve">created new challenges and opportunities for </w:t>
      </w:r>
      <w:proofErr w:type="spellStart"/>
      <w:r w:rsidRPr="00E16CBE">
        <w:rPr>
          <w:spacing w:val="-2"/>
          <w:kern w:val="22"/>
        </w:rPr>
        <w:t>Bossard</w:t>
      </w:r>
      <w:proofErr w:type="spellEnd"/>
      <w:r w:rsidRPr="00E16CBE">
        <w:rPr>
          <w:spacing w:val="-2"/>
          <w:kern w:val="22"/>
        </w:rPr>
        <w:t xml:space="preserve">. The value of the Swiss </w:t>
      </w:r>
      <w:r w:rsidR="00F82EFD" w:rsidRPr="00E16CBE">
        <w:rPr>
          <w:spacing w:val="-2"/>
          <w:kern w:val="22"/>
        </w:rPr>
        <w:t>f</w:t>
      </w:r>
      <w:r w:rsidRPr="00E16CBE">
        <w:rPr>
          <w:spacing w:val="-2"/>
          <w:kern w:val="22"/>
        </w:rPr>
        <w:t xml:space="preserve">ranc increased from </w:t>
      </w:r>
      <w:r w:rsidR="00F82EFD" w:rsidRPr="00E16CBE">
        <w:rPr>
          <w:spacing w:val="-2"/>
          <w:kern w:val="22"/>
        </w:rPr>
        <w:t>€</w:t>
      </w:r>
      <w:r w:rsidRPr="00E16CBE">
        <w:rPr>
          <w:spacing w:val="-2"/>
          <w:kern w:val="22"/>
        </w:rPr>
        <w:t xml:space="preserve">0.83 at the end of December 2014 to </w:t>
      </w:r>
      <w:r w:rsidR="00F82EFD" w:rsidRPr="00E16CBE">
        <w:rPr>
          <w:spacing w:val="-2"/>
          <w:kern w:val="22"/>
        </w:rPr>
        <w:t>€</w:t>
      </w:r>
      <w:r w:rsidRPr="00E16CBE">
        <w:rPr>
          <w:spacing w:val="-2"/>
          <w:kern w:val="22"/>
        </w:rPr>
        <w:t xml:space="preserve">0.96 at the end of January 2015, before settling down a little to </w:t>
      </w:r>
      <w:r w:rsidR="00F82EFD" w:rsidRPr="00E16CBE">
        <w:rPr>
          <w:spacing w:val="-2"/>
          <w:kern w:val="22"/>
        </w:rPr>
        <w:t>€</w:t>
      </w:r>
      <w:r w:rsidRPr="00E16CBE">
        <w:rPr>
          <w:spacing w:val="-2"/>
          <w:kern w:val="22"/>
        </w:rPr>
        <w:t>0.92 by the end of 2015 (see Exhibit 1).</w:t>
      </w:r>
      <w:r w:rsidR="00F82EFD" w:rsidRPr="00E16CBE">
        <w:rPr>
          <w:rStyle w:val="FootnoteReference"/>
          <w:spacing w:val="-2"/>
          <w:kern w:val="22"/>
        </w:rPr>
        <w:footnoteReference w:id="2"/>
      </w:r>
      <w:r w:rsidRPr="00E16CBE">
        <w:rPr>
          <w:spacing w:val="-2"/>
          <w:kern w:val="22"/>
        </w:rPr>
        <w:t xml:space="preserve"> The consequences of the strong Swiss </w:t>
      </w:r>
      <w:r w:rsidR="00F82EFD" w:rsidRPr="00E16CBE">
        <w:rPr>
          <w:spacing w:val="-2"/>
          <w:kern w:val="22"/>
        </w:rPr>
        <w:t>f</w:t>
      </w:r>
      <w:r w:rsidRPr="00E16CBE">
        <w:rPr>
          <w:spacing w:val="-2"/>
          <w:kern w:val="22"/>
        </w:rPr>
        <w:t xml:space="preserve">ranc were threefold. First, some key clients moved their production overseas and </w:t>
      </w:r>
      <w:r w:rsidR="00F82EFD" w:rsidRPr="00E16CBE">
        <w:rPr>
          <w:spacing w:val="-2"/>
          <w:kern w:val="22"/>
        </w:rPr>
        <w:t xml:space="preserve">wanted </w:t>
      </w:r>
      <w:r w:rsidRPr="00E16CBE">
        <w:rPr>
          <w:spacing w:val="-2"/>
          <w:kern w:val="22"/>
        </w:rPr>
        <w:t>to take their logistics service provider with them; in many cases</w:t>
      </w:r>
      <w:r w:rsidR="00F82EFD" w:rsidRPr="00E16CBE">
        <w:rPr>
          <w:spacing w:val="-2"/>
          <w:kern w:val="22"/>
        </w:rPr>
        <w:t>,</w:t>
      </w:r>
      <w:r w:rsidRPr="00E16CBE">
        <w:rPr>
          <w:spacing w:val="-2"/>
          <w:kern w:val="22"/>
        </w:rPr>
        <w:t xml:space="preserve"> </w:t>
      </w:r>
      <w:proofErr w:type="spellStart"/>
      <w:r w:rsidRPr="00E16CBE">
        <w:rPr>
          <w:spacing w:val="-2"/>
          <w:kern w:val="22"/>
        </w:rPr>
        <w:t>Bossard’s</w:t>
      </w:r>
      <w:proofErr w:type="spellEnd"/>
      <w:r w:rsidRPr="00E16CBE">
        <w:rPr>
          <w:spacing w:val="-2"/>
          <w:kern w:val="22"/>
        </w:rPr>
        <w:t xml:space="preserve"> existing overseas subsidiaries or partners could serve these clients. Second, </w:t>
      </w:r>
      <w:proofErr w:type="spellStart"/>
      <w:r w:rsidRPr="00E16CBE">
        <w:rPr>
          <w:spacing w:val="-2"/>
          <w:kern w:val="22"/>
        </w:rPr>
        <w:t>Bossard’s</w:t>
      </w:r>
      <w:proofErr w:type="spellEnd"/>
      <w:r w:rsidRPr="00E16CBE">
        <w:rPr>
          <w:spacing w:val="-2"/>
          <w:kern w:val="22"/>
        </w:rPr>
        <w:t xml:space="preserve"> own operations in Switzerland became less price-competitive in segments where it was competing with service providers based in the </w:t>
      </w:r>
      <w:r w:rsidR="00F82EFD" w:rsidRPr="00E16CBE">
        <w:rPr>
          <w:spacing w:val="-2"/>
          <w:kern w:val="22"/>
        </w:rPr>
        <w:t>E</w:t>
      </w:r>
      <w:r w:rsidRPr="00E16CBE">
        <w:rPr>
          <w:spacing w:val="-2"/>
          <w:kern w:val="22"/>
        </w:rPr>
        <w:t xml:space="preserve">urozone. Third, the profit contribution of overseas operations was lower after conversion to Swiss </w:t>
      </w:r>
      <w:r w:rsidR="006A7E9C" w:rsidRPr="00E16CBE">
        <w:rPr>
          <w:spacing w:val="-2"/>
          <w:kern w:val="22"/>
        </w:rPr>
        <w:t>f</w:t>
      </w:r>
      <w:r w:rsidRPr="00E16CBE">
        <w:rPr>
          <w:spacing w:val="-2"/>
          <w:kern w:val="22"/>
        </w:rPr>
        <w:t xml:space="preserve">rancs, </w:t>
      </w:r>
      <w:proofErr w:type="spellStart"/>
      <w:r w:rsidRPr="00E16CBE">
        <w:rPr>
          <w:spacing w:val="-2"/>
          <w:kern w:val="22"/>
        </w:rPr>
        <w:t>Bossard</w:t>
      </w:r>
      <w:r w:rsidR="006A7E9C" w:rsidRPr="00E16CBE">
        <w:rPr>
          <w:spacing w:val="-2"/>
          <w:kern w:val="22"/>
        </w:rPr>
        <w:t>’</w:t>
      </w:r>
      <w:r w:rsidRPr="00E16CBE">
        <w:rPr>
          <w:spacing w:val="-2"/>
          <w:kern w:val="22"/>
        </w:rPr>
        <w:t>s</w:t>
      </w:r>
      <w:proofErr w:type="spellEnd"/>
      <w:r w:rsidRPr="00E16CBE">
        <w:rPr>
          <w:spacing w:val="-2"/>
          <w:kern w:val="22"/>
        </w:rPr>
        <w:t xml:space="preserve"> accounting currency.</w:t>
      </w:r>
    </w:p>
    <w:p w14:paraId="6A40B6EE" w14:textId="77777777" w:rsidR="006A7E9C" w:rsidRDefault="006A7E9C" w:rsidP="009C004B">
      <w:pPr>
        <w:pStyle w:val="BodyTextMain"/>
      </w:pPr>
    </w:p>
    <w:p w14:paraId="4819C0FA" w14:textId="4125D2EC" w:rsidR="009C004B" w:rsidRPr="00CD2B03" w:rsidRDefault="009C004B" w:rsidP="009C004B">
      <w:pPr>
        <w:pStyle w:val="BodyTextMain"/>
      </w:pPr>
    </w:p>
    <w:p w14:paraId="1F0D06D9" w14:textId="62A9CBCD" w:rsidR="009C004B" w:rsidRDefault="006A7E9C" w:rsidP="00D64AE1">
      <w:pPr>
        <w:pStyle w:val="Casehead2"/>
        <w:keepNext/>
      </w:pPr>
      <w:r>
        <w:lastRenderedPageBreak/>
        <w:t>Operations in</w:t>
      </w:r>
      <w:r w:rsidR="009C004B" w:rsidRPr="002E5BD5">
        <w:t xml:space="preserve"> China </w:t>
      </w:r>
    </w:p>
    <w:p w14:paraId="51CC6602" w14:textId="77777777" w:rsidR="009C004B" w:rsidRPr="002E5BD5" w:rsidRDefault="009C004B" w:rsidP="00D64AE1">
      <w:pPr>
        <w:pStyle w:val="BodyTextMain"/>
        <w:keepNext/>
      </w:pPr>
    </w:p>
    <w:p w14:paraId="2A4E02E9" w14:textId="077DCA3F" w:rsidR="006A7E9C" w:rsidRDefault="009C004B" w:rsidP="009C004B">
      <w:pPr>
        <w:pStyle w:val="BodyTextMain"/>
      </w:pPr>
      <w:proofErr w:type="spellStart"/>
      <w:r>
        <w:t>Bossard</w:t>
      </w:r>
      <w:proofErr w:type="spellEnd"/>
      <w:r>
        <w:t xml:space="preserve"> first entered the Chinese market in 1999, establishing </w:t>
      </w:r>
      <w:proofErr w:type="spellStart"/>
      <w:r>
        <w:t>Bossard</w:t>
      </w:r>
      <w:proofErr w:type="spellEnd"/>
      <w:r>
        <w:t xml:space="preserve"> Industrial Fasteners </w:t>
      </w:r>
      <w:r w:rsidRPr="00387597">
        <w:t>International Trading (Shanghai)</w:t>
      </w:r>
      <w:r>
        <w:t>, and opening offices in Beijing, Tianjin, Suzhou, Nanjing, Xiamen</w:t>
      </w:r>
      <w:r w:rsidR="006A7E9C">
        <w:t>,</w:t>
      </w:r>
      <w:r>
        <w:t xml:space="preserve"> and Shenzhen. By 2005, China had become the </w:t>
      </w:r>
      <w:r w:rsidR="006A7E9C">
        <w:t>fifth</w:t>
      </w:r>
      <w:r w:rsidR="00FA6F04">
        <w:t>-</w:t>
      </w:r>
      <w:r>
        <w:t xml:space="preserve">largest market for </w:t>
      </w:r>
      <w:proofErr w:type="spellStart"/>
      <w:r>
        <w:t>Bossard</w:t>
      </w:r>
      <w:proofErr w:type="spellEnd"/>
      <w:r>
        <w:t xml:space="preserve">, but profit margins remained low compared to European markets. Over the next years, </w:t>
      </w:r>
      <w:proofErr w:type="spellStart"/>
      <w:r>
        <w:t>Bossard</w:t>
      </w:r>
      <w:proofErr w:type="spellEnd"/>
      <w:r>
        <w:t xml:space="preserve"> continued </w:t>
      </w:r>
      <w:r w:rsidR="006A7E9C">
        <w:t xml:space="preserve">to </w:t>
      </w:r>
      <w:r>
        <w:t>invest in its infrastructure in China, including</w:t>
      </w:r>
      <w:r w:rsidR="006A7E9C">
        <w:t>,</w:t>
      </w:r>
      <w:r>
        <w:t xml:space="preserve"> for example</w:t>
      </w:r>
      <w:r w:rsidR="006A7E9C">
        <w:t>, investments</w:t>
      </w:r>
      <w:r>
        <w:t xml:space="preserve"> in its internal ERP system</w:t>
      </w:r>
      <w:r w:rsidR="006A7E9C">
        <w:t xml:space="preserve"> in 2007</w:t>
      </w:r>
      <w:r>
        <w:t>.</w:t>
      </w:r>
      <w:r w:rsidRPr="00C15B05">
        <w:rPr>
          <w:rStyle w:val="FootnoteReference"/>
        </w:rPr>
        <w:t xml:space="preserve"> </w:t>
      </w:r>
    </w:p>
    <w:p w14:paraId="5B267C70" w14:textId="77777777" w:rsidR="006A7E9C" w:rsidRDefault="006A7E9C" w:rsidP="009C004B">
      <w:pPr>
        <w:pStyle w:val="BodyTextMain"/>
      </w:pPr>
    </w:p>
    <w:p w14:paraId="638A702F" w14:textId="573C0E9D" w:rsidR="006A7E9C" w:rsidRDefault="009C004B" w:rsidP="009C004B">
      <w:pPr>
        <w:pStyle w:val="BodyTextMain"/>
      </w:pPr>
      <w:r>
        <w:t>The Chinese market was more resilient than Europe</w:t>
      </w:r>
      <w:r w:rsidR="006A7E9C">
        <w:t>’s</w:t>
      </w:r>
      <w:r>
        <w:t xml:space="preserve"> or </w:t>
      </w:r>
      <w:r w:rsidR="00573ED9">
        <w:t xml:space="preserve">North </w:t>
      </w:r>
      <w:r>
        <w:t>America</w:t>
      </w:r>
      <w:r w:rsidR="006A7E9C">
        <w:t>’s</w:t>
      </w:r>
      <w:r>
        <w:t xml:space="preserve"> during the </w:t>
      </w:r>
      <w:r w:rsidR="006A7E9C">
        <w:t xml:space="preserve">fiscal year </w:t>
      </w:r>
      <w:r>
        <w:t xml:space="preserve">2008/09, but in the early 2010s, growth slowed </w:t>
      </w:r>
      <w:r w:rsidR="006A7E9C">
        <w:t>as</w:t>
      </w:r>
      <w:r>
        <w:t xml:space="preserve"> Chinese export growth</w:t>
      </w:r>
      <w:r w:rsidR="006A7E9C">
        <w:t xml:space="preserve"> slowed.</w:t>
      </w:r>
      <w:r>
        <w:t xml:space="preserve"> </w:t>
      </w:r>
      <w:r w:rsidR="006A7E9C">
        <w:t>(M</w:t>
      </w:r>
      <w:r>
        <w:t xml:space="preserve">any of </w:t>
      </w:r>
      <w:proofErr w:type="spellStart"/>
      <w:r>
        <w:t>Bossard’s</w:t>
      </w:r>
      <w:proofErr w:type="spellEnd"/>
      <w:r>
        <w:t xml:space="preserve"> </w:t>
      </w:r>
      <w:r w:rsidR="006A7E9C">
        <w:t xml:space="preserve">Chinese </w:t>
      </w:r>
      <w:r>
        <w:t>customers were producing in China for global markets.</w:t>
      </w:r>
      <w:r w:rsidR="006A7E9C">
        <w:t>)</w:t>
      </w:r>
      <w:r w:rsidRPr="00C15B05">
        <w:rPr>
          <w:rStyle w:val="FootnoteReference"/>
        </w:rPr>
        <w:t xml:space="preserve"> </w:t>
      </w:r>
      <w:r>
        <w:t xml:space="preserve">Nevertheless, </w:t>
      </w:r>
      <w:proofErr w:type="spellStart"/>
      <w:r>
        <w:t>Bossard</w:t>
      </w:r>
      <w:proofErr w:type="spellEnd"/>
      <w:r>
        <w:t xml:space="preserve"> continued to build its infrastructure to offer </w:t>
      </w:r>
      <w:r w:rsidR="006A7E9C">
        <w:t xml:space="preserve">services to </w:t>
      </w:r>
      <w:r>
        <w:t xml:space="preserve">customers in China at the same level as </w:t>
      </w:r>
      <w:r w:rsidR="006A7E9C">
        <w:t xml:space="preserve">provided </w:t>
      </w:r>
      <w:r>
        <w:t xml:space="preserve">in Europe. By 2016, </w:t>
      </w:r>
      <w:proofErr w:type="spellStart"/>
      <w:r>
        <w:t>Bossard</w:t>
      </w:r>
      <w:proofErr w:type="spellEnd"/>
      <w:r>
        <w:t xml:space="preserve"> had full logistics hubs with </w:t>
      </w:r>
      <w:r w:rsidR="004A4D18">
        <w:t xml:space="preserve">an </w:t>
      </w:r>
      <w:r>
        <w:t xml:space="preserve">office, </w:t>
      </w:r>
      <w:r w:rsidR="004A4D18">
        <w:t xml:space="preserve">a </w:t>
      </w:r>
      <w:r>
        <w:t>warehouse</w:t>
      </w:r>
      <w:r w:rsidR="006A7E9C">
        <w:t>,</w:t>
      </w:r>
      <w:r>
        <w:t xml:space="preserve"> and </w:t>
      </w:r>
      <w:r w:rsidR="004A4D18">
        <w:t xml:space="preserve">a </w:t>
      </w:r>
      <w:r>
        <w:t>lab</w:t>
      </w:r>
      <w:r w:rsidR="004A4D18">
        <w:t>oratory</w:t>
      </w:r>
      <w:r>
        <w:t xml:space="preserve"> in Beijing, Shanghai, and Shenzhen, plus </w:t>
      </w:r>
      <w:r w:rsidR="006A34E4">
        <w:t>10</w:t>
      </w:r>
      <w:r>
        <w:t xml:space="preserve"> further regional offices across </w:t>
      </w:r>
      <w:r w:rsidR="006A7E9C">
        <w:t>the country</w:t>
      </w:r>
      <w:r>
        <w:t xml:space="preserve">. </w:t>
      </w:r>
    </w:p>
    <w:p w14:paraId="5321F57A" w14:textId="77777777" w:rsidR="006A7E9C" w:rsidRDefault="006A7E9C" w:rsidP="009C004B">
      <w:pPr>
        <w:pStyle w:val="BodyTextMain"/>
      </w:pPr>
    </w:p>
    <w:p w14:paraId="1DB08C57" w14:textId="39F51132" w:rsidR="009C004B" w:rsidRDefault="009C004B" w:rsidP="009C004B">
      <w:pPr>
        <w:pStyle w:val="BodyTextMain"/>
      </w:pPr>
      <w:r>
        <w:t xml:space="preserve">China was </w:t>
      </w:r>
      <w:proofErr w:type="spellStart"/>
      <w:r>
        <w:t>Bossard’s</w:t>
      </w:r>
      <w:proofErr w:type="spellEnd"/>
      <w:r>
        <w:t xml:space="preserve"> most important market in Asia Pacific, contributing almost half of the revenues in the Asia Pacific region. Despite these investments, </w:t>
      </w:r>
      <w:r w:rsidR="006A7E9C">
        <w:t xml:space="preserve">however, </w:t>
      </w:r>
      <w:r>
        <w:t xml:space="preserve">the Chinese market continued to be seen as challenging, as </w:t>
      </w:r>
      <w:r w:rsidRPr="00CD2B03">
        <w:t xml:space="preserve">summarized in the letter to shareholders in 2015: </w:t>
      </w:r>
    </w:p>
    <w:p w14:paraId="3B009F24" w14:textId="77777777" w:rsidR="006A7E9C" w:rsidRDefault="006A7E9C" w:rsidP="009C004B">
      <w:pPr>
        <w:pStyle w:val="BodyTextMain"/>
      </w:pPr>
    </w:p>
    <w:p w14:paraId="1904B256" w14:textId="11F18623" w:rsidR="009C004B" w:rsidRDefault="009C004B" w:rsidP="009C004B">
      <w:pPr>
        <w:pStyle w:val="BodyTextMain"/>
        <w:ind w:left="720"/>
      </w:pPr>
      <w:r w:rsidRPr="00CD2B03">
        <w:t>Our investment policy is also paying off in the Asian markets. We have again made visible progress</w:t>
      </w:r>
      <w:r w:rsidR="006A7E9C">
        <w:t>,</w:t>
      </w:r>
      <w:r w:rsidRPr="00CD2B03">
        <w:t xml:space="preserve"> which is reflected in our excellent sales performance. This is particularly the case for India and Korea where we posted double-digit growth rates. By contrast, business in China is proving more challenging, an experience we are sharing with other suppliers of industrial products and services</w:t>
      </w:r>
      <w:r w:rsidR="006A7E9C">
        <w:t>. . . . [A]</w:t>
      </w:r>
      <w:r w:rsidRPr="00CD2B03">
        <w:t xml:space="preserve"> </w:t>
      </w:r>
      <w:proofErr w:type="gramStart"/>
      <w:r w:rsidRPr="00CD2B03">
        <w:t>question</w:t>
      </w:r>
      <w:proofErr w:type="gramEnd"/>
      <w:r w:rsidRPr="00CD2B03">
        <w:t xml:space="preserve"> mark will remain over the development of the key Chinese market</w:t>
      </w:r>
      <w:r>
        <w:t>.</w:t>
      </w:r>
    </w:p>
    <w:p w14:paraId="643A40B7" w14:textId="77777777" w:rsidR="009C004B" w:rsidRPr="00CD2B03" w:rsidRDefault="009C004B" w:rsidP="009C004B">
      <w:pPr>
        <w:pStyle w:val="BodyTextMain"/>
      </w:pPr>
    </w:p>
    <w:p w14:paraId="29D1A484" w14:textId="2FEDC045" w:rsidR="009C004B" w:rsidRDefault="009C004B" w:rsidP="009C004B">
      <w:pPr>
        <w:pStyle w:val="BodyTextMain"/>
      </w:pPr>
      <w:r>
        <w:t xml:space="preserve">Underlying the slower than projected growth were several operational challenges. First, Chinese manufacturing had traditionally been very </w:t>
      </w:r>
      <w:r w:rsidRPr="006A7E9C">
        <w:t>labo</w:t>
      </w:r>
      <w:r w:rsidR="006A7E9C">
        <w:t>u</w:t>
      </w:r>
      <w:r w:rsidRPr="006A7E9C">
        <w:t>r</w:t>
      </w:r>
      <w:r>
        <w:t xml:space="preserve"> intensive</w:t>
      </w:r>
      <w:r w:rsidR="006A7E9C">
        <w:t>,</w:t>
      </w:r>
      <w:r>
        <w:t xml:space="preserve"> </w:t>
      </w:r>
      <w:r w:rsidR="006A7E9C">
        <w:t xml:space="preserve">so </w:t>
      </w:r>
      <w:r>
        <w:t xml:space="preserve">modern logistics </w:t>
      </w:r>
      <w:r w:rsidR="006A7E9C">
        <w:t xml:space="preserve">that </w:t>
      </w:r>
      <w:r>
        <w:t>reduc</w:t>
      </w:r>
      <w:r w:rsidR="006A7E9C">
        <w:t>ed</w:t>
      </w:r>
      <w:r>
        <w:t xml:space="preserve"> labo</w:t>
      </w:r>
      <w:r w:rsidR="006A7E9C">
        <w:t>u</w:t>
      </w:r>
      <w:r>
        <w:t xml:space="preserve">r input were not as appealing to factory owners </w:t>
      </w:r>
      <w:r w:rsidR="006A7E9C">
        <w:t xml:space="preserve">in China </w:t>
      </w:r>
      <w:r>
        <w:t xml:space="preserve">as they were </w:t>
      </w:r>
      <w:r w:rsidR="00843498">
        <w:t xml:space="preserve">to owners </w:t>
      </w:r>
      <w:r>
        <w:t xml:space="preserve">in Europe. Foreign-owned companies often introduced the same logistics systems across their operations worldwide, and thus partnered with </w:t>
      </w:r>
      <w:proofErr w:type="spellStart"/>
      <w:r>
        <w:t>Bossard</w:t>
      </w:r>
      <w:proofErr w:type="spellEnd"/>
      <w:r w:rsidR="00843498">
        <w:t>; h</w:t>
      </w:r>
      <w:r>
        <w:t>owever, local businesses were growing faster than foreign</w:t>
      </w:r>
      <w:r w:rsidR="00BF7B0D">
        <w:t>-</w:t>
      </w:r>
      <w:r>
        <w:t xml:space="preserve">owned, </w:t>
      </w:r>
      <w:r w:rsidR="00843498">
        <w:t xml:space="preserve">and were </w:t>
      </w:r>
      <w:r>
        <w:t>increasingly aiming for middle and upper market segments where product durability and reliability were more important. At the same time, wages for skilled workers were increasing faster than productivity, especially in manufacturing hubs such as the Shanghai</w:t>
      </w:r>
      <w:r w:rsidR="00843498">
        <w:t>–</w:t>
      </w:r>
      <w:r>
        <w:t xml:space="preserve">Suzhou area. These structural changes in Chinese manufacturing created opportunities for </w:t>
      </w:r>
      <w:proofErr w:type="spellStart"/>
      <w:r>
        <w:t>Bossard</w:t>
      </w:r>
      <w:proofErr w:type="spellEnd"/>
      <w:r>
        <w:t>, provided it was able to convince local entrepreneurs of the value th</w:t>
      </w:r>
      <w:r w:rsidR="0091743E">
        <w:t>at its</w:t>
      </w:r>
      <w:r>
        <w:t xml:space="preserve"> services</w:t>
      </w:r>
      <w:r w:rsidR="00843498" w:rsidRPr="00843498">
        <w:t xml:space="preserve"> </w:t>
      </w:r>
      <w:r w:rsidR="00843498">
        <w:t>added</w:t>
      </w:r>
      <w:r>
        <w:t>.</w:t>
      </w:r>
      <w:r w:rsidR="002E6591">
        <w:t xml:space="preserve"> </w:t>
      </w:r>
    </w:p>
    <w:p w14:paraId="6AA13557" w14:textId="77777777" w:rsidR="009C004B" w:rsidRDefault="009C004B" w:rsidP="009C004B">
      <w:pPr>
        <w:pStyle w:val="BodyTextMain"/>
      </w:pPr>
    </w:p>
    <w:p w14:paraId="45883F32" w14:textId="0A5DFA11" w:rsidR="009C004B" w:rsidRDefault="009C004B" w:rsidP="009C004B">
      <w:pPr>
        <w:pStyle w:val="BodyTextMain"/>
      </w:pPr>
      <w:r>
        <w:t xml:space="preserve">Second, </w:t>
      </w:r>
      <w:proofErr w:type="spellStart"/>
      <w:r>
        <w:t>Bossard</w:t>
      </w:r>
      <w:proofErr w:type="spellEnd"/>
      <w:r>
        <w:t xml:space="preserve"> provided C-part management to its clients, and its sales pitch focused on the concept of TCO</w:t>
      </w:r>
      <w:r w:rsidR="00843498">
        <w:t>, but</w:t>
      </w:r>
      <w:r>
        <w:t xml:space="preserve"> the concepts of C-part management and TCO were not yet well appreciated by many local businesses. They tended to be very price focused</w:t>
      </w:r>
      <w:r w:rsidR="00843498">
        <w:t>, being accustomed</w:t>
      </w:r>
      <w:r>
        <w:t xml:space="preserve"> to operating with narrow margins and readily available low</w:t>
      </w:r>
      <w:r w:rsidR="00843498">
        <w:t>-</w:t>
      </w:r>
      <w:r>
        <w:t>skilled labo</w:t>
      </w:r>
      <w:r w:rsidR="00843498">
        <w:t>u</w:t>
      </w:r>
      <w:r>
        <w:t>r.</w:t>
      </w:r>
      <w:r w:rsidR="002E6591">
        <w:t xml:space="preserve"> </w:t>
      </w:r>
      <w:r>
        <w:t xml:space="preserve">Thus, </w:t>
      </w:r>
      <w:proofErr w:type="spellStart"/>
      <w:r>
        <w:t>Bossard</w:t>
      </w:r>
      <w:proofErr w:type="spellEnd"/>
      <w:r>
        <w:t xml:space="preserve"> needed to find an appropriate marketing strategy to convince clients in China to purchase its more expensive fasteners while paying for add-on services. A critical element of the marketing strategy had to be the establishment of trust</w:t>
      </w:r>
      <w:r w:rsidR="00843498">
        <w:t>;</w:t>
      </w:r>
      <w:r>
        <w:t xml:space="preserve"> only clients </w:t>
      </w:r>
      <w:r w:rsidR="00843498">
        <w:t xml:space="preserve">that </w:t>
      </w:r>
      <w:r>
        <w:t>trust</w:t>
      </w:r>
      <w:r w:rsidR="00843498">
        <w:t>ed</w:t>
      </w:r>
      <w:r>
        <w:t xml:space="preserve"> </w:t>
      </w:r>
      <w:proofErr w:type="spellStart"/>
      <w:r>
        <w:t>Bossard</w:t>
      </w:r>
      <w:proofErr w:type="spellEnd"/>
      <w:r>
        <w:t xml:space="preserve"> to deliver exactly what they promised would be willing to share sensitive data and, eventually, place critical elements of their logistics into the hands of an external partner.</w:t>
      </w:r>
    </w:p>
    <w:p w14:paraId="16ED2CEB" w14:textId="77777777" w:rsidR="009C004B" w:rsidRDefault="009C004B" w:rsidP="009C004B">
      <w:pPr>
        <w:pStyle w:val="BodyTextMain"/>
      </w:pPr>
    </w:p>
    <w:p w14:paraId="23E0FF5A" w14:textId="28B7EC2F" w:rsidR="009C004B" w:rsidRDefault="009C004B" w:rsidP="009C004B">
      <w:pPr>
        <w:pStyle w:val="BodyTextMain"/>
      </w:pPr>
      <w:r>
        <w:t xml:space="preserve">Third, </w:t>
      </w:r>
      <w:proofErr w:type="spellStart"/>
      <w:r w:rsidRPr="00CD2B03">
        <w:t>Bossard</w:t>
      </w:r>
      <w:proofErr w:type="spellEnd"/>
      <w:r w:rsidRPr="00CD2B03">
        <w:t xml:space="preserve"> needed to convince </w:t>
      </w:r>
      <w:r>
        <w:t xml:space="preserve">potential </w:t>
      </w:r>
      <w:r w:rsidRPr="00CD2B03">
        <w:t>clients to change their entire logistics system</w:t>
      </w:r>
      <w:r w:rsidR="00843498">
        <w:t>;</w:t>
      </w:r>
      <w:r w:rsidRPr="00CD2B03">
        <w:t xml:space="preserve"> hence</w:t>
      </w:r>
      <w:r w:rsidR="00843498">
        <w:t>, they</w:t>
      </w:r>
      <w:r w:rsidRPr="00CD2B03">
        <w:t xml:space="preserve"> needed to negotiate directly </w:t>
      </w:r>
      <w:r w:rsidR="00843498">
        <w:t xml:space="preserve">with </w:t>
      </w:r>
      <w:r>
        <w:t xml:space="preserve">the relevant </w:t>
      </w:r>
      <w:r w:rsidR="00843498">
        <w:t>c</w:t>
      </w:r>
      <w:r>
        <w:t xml:space="preserve">hief </w:t>
      </w:r>
      <w:r w:rsidR="00843498">
        <w:t>o</w:t>
      </w:r>
      <w:r>
        <w:t xml:space="preserve">perating </w:t>
      </w:r>
      <w:r w:rsidR="00843498">
        <w:t>o</w:t>
      </w:r>
      <w:r>
        <w:t>fficer. S</w:t>
      </w:r>
      <w:r w:rsidRPr="00CD2B03">
        <w:t xml:space="preserve">ourcing managers </w:t>
      </w:r>
      <w:r>
        <w:t xml:space="preserve">in charge of specific C-parts </w:t>
      </w:r>
      <w:r w:rsidRPr="00CD2B03">
        <w:t xml:space="preserve">would rarely be effective </w:t>
      </w:r>
      <w:r>
        <w:t xml:space="preserve">intermediaries </w:t>
      </w:r>
      <w:r w:rsidR="00843498">
        <w:t xml:space="preserve">because </w:t>
      </w:r>
      <w:r>
        <w:t xml:space="preserve">they </w:t>
      </w:r>
      <w:r w:rsidRPr="00CD2B03">
        <w:t>were neither authorized to make such big decisions no</w:t>
      </w:r>
      <w:r>
        <w:t>r</w:t>
      </w:r>
      <w:r w:rsidRPr="00CD2B03">
        <w:t xml:space="preserve"> motivated to adopt more automated systems</w:t>
      </w:r>
      <w:r w:rsidR="00843498">
        <w:t>.</w:t>
      </w:r>
      <w:r w:rsidRPr="00CD2B03">
        <w:t xml:space="preserve"> A fully integrated, data-driven system would </w:t>
      </w:r>
      <w:r w:rsidRPr="00CD2B03">
        <w:lastRenderedPageBreak/>
        <w:t xml:space="preserve">not </w:t>
      </w:r>
      <w:r>
        <w:t xml:space="preserve">only change the job requirement for in-house sourcing </w:t>
      </w:r>
      <w:r w:rsidR="00B670BE">
        <w:t xml:space="preserve">managers </w:t>
      </w:r>
      <w:r>
        <w:t xml:space="preserve">but </w:t>
      </w:r>
      <w:r w:rsidR="00843498">
        <w:t xml:space="preserve">would </w:t>
      </w:r>
      <w:r>
        <w:t xml:space="preserve">also </w:t>
      </w:r>
      <w:r w:rsidRPr="00CD2B03">
        <w:t xml:space="preserve">make some work in traditional sourcing functions redundant. </w:t>
      </w:r>
    </w:p>
    <w:p w14:paraId="09B0DA38" w14:textId="77777777" w:rsidR="009C004B" w:rsidRPr="00CD2B03" w:rsidRDefault="009C004B" w:rsidP="009C004B">
      <w:pPr>
        <w:pStyle w:val="BodyTextMain"/>
      </w:pPr>
    </w:p>
    <w:p w14:paraId="60B0447F" w14:textId="36C60670" w:rsidR="009C004B" w:rsidRDefault="009C004B" w:rsidP="009C004B">
      <w:pPr>
        <w:pStyle w:val="BodyTextMain"/>
      </w:pPr>
      <w:r>
        <w:t xml:space="preserve">Finally, especially when opening new operations, </w:t>
      </w:r>
      <w:proofErr w:type="spellStart"/>
      <w:r>
        <w:t>Bossard</w:t>
      </w:r>
      <w:proofErr w:type="spellEnd"/>
      <w:r>
        <w:t xml:space="preserve"> experienced the challenge </w:t>
      </w:r>
      <w:r w:rsidR="00B670BE">
        <w:t xml:space="preserve">of </w:t>
      </w:r>
      <w:r>
        <w:t>recruit</w:t>
      </w:r>
      <w:r w:rsidR="00B670BE">
        <w:t>ing</w:t>
      </w:r>
      <w:r>
        <w:t xml:space="preserve"> and retain</w:t>
      </w:r>
      <w:r w:rsidR="00B670BE">
        <w:t>ing</w:t>
      </w:r>
      <w:r>
        <w:t xml:space="preserve"> appropriate staff </w:t>
      </w:r>
      <w:r w:rsidR="00B670BE">
        <w:t>and</w:t>
      </w:r>
      <w:r>
        <w:t xml:space="preserve"> service partners, </w:t>
      </w:r>
      <w:r w:rsidR="00B670BE">
        <w:t>such as</w:t>
      </w:r>
      <w:r>
        <w:t xml:space="preserve"> distributors that would deliver the C-parts to clients. It was difficult to find people who shared </w:t>
      </w:r>
      <w:proofErr w:type="spellStart"/>
      <w:r>
        <w:t>Bossard’s</w:t>
      </w:r>
      <w:proofErr w:type="spellEnd"/>
      <w:r>
        <w:t xml:space="preserve"> intrinsic appreciation of quality of products and service</w:t>
      </w:r>
      <w:r w:rsidR="00B670BE">
        <w:t>;</w:t>
      </w:r>
      <w:r>
        <w:t xml:space="preserve"> </w:t>
      </w:r>
      <w:proofErr w:type="spellStart"/>
      <w:r>
        <w:t>Bossard</w:t>
      </w:r>
      <w:proofErr w:type="spellEnd"/>
      <w:r>
        <w:t xml:space="preserve"> needed to invest substantial training to develop a service</w:t>
      </w:r>
      <w:r w:rsidR="00B670BE">
        <w:t xml:space="preserve"> </w:t>
      </w:r>
      <w:proofErr w:type="spellStart"/>
      <w:r>
        <w:t>mindset</w:t>
      </w:r>
      <w:proofErr w:type="spellEnd"/>
      <w:r>
        <w:t xml:space="preserve"> among its employees. Moreover, when recruiting staff, </w:t>
      </w:r>
      <w:proofErr w:type="spellStart"/>
      <w:r>
        <w:t>Bossard</w:t>
      </w:r>
      <w:proofErr w:type="spellEnd"/>
      <w:r>
        <w:t xml:space="preserve"> did not benefit from the same name recognition of well-known multinationals in consumer brands. Fluctuation of staff after initial training was high, though with adaptation of management practices, including participation plans and performance</w:t>
      </w:r>
      <w:r w:rsidR="00B670BE">
        <w:t>-</w:t>
      </w:r>
      <w:r>
        <w:t>based pay, this improved.</w:t>
      </w:r>
      <w:r w:rsidR="002E6591">
        <w:t xml:space="preserve"> </w:t>
      </w:r>
    </w:p>
    <w:p w14:paraId="6540B824" w14:textId="77777777" w:rsidR="009C004B" w:rsidRDefault="009C004B" w:rsidP="009C004B">
      <w:pPr>
        <w:pStyle w:val="BodyTextMain"/>
      </w:pPr>
    </w:p>
    <w:p w14:paraId="7EE52E84" w14:textId="77777777" w:rsidR="009C004B" w:rsidRDefault="009C004B" w:rsidP="009C004B">
      <w:pPr>
        <w:pStyle w:val="BodyTextMain"/>
      </w:pPr>
    </w:p>
    <w:p w14:paraId="39367E4E" w14:textId="77777777" w:rsidR="009C004B" w:rsidRDefault="009C004B" w:rsidP="002E6591">
      <w:pPr>
        <w:pStyle w:val="Casehead1"/>
        <w:outlineLvl w:val="0"/>
      </w:pPr>
      <w:r w:rsidRPr="009C004B">
        <w:t xml:space="preserve">Outlook </w:t>
      </w:r>
    </w:p>
    <w:p w14:paraId="7A985604" w14:textId="77777777" w:rsidR="009C004B" w:rsidRPr="009C004B" w:rsidRDefault="009C004B" w:rsidP="00D64AE1">
      <w:pPr>
        <w:pStyle w:val="BodyTextMain"/>
      </w:pPr>
    </w:p>
    <w:p w14:paraId="4128D5EF" w14:textId="4EF5EF1B" w:rsidR="009C004B" w:rsidRPr="007223F6" w:rsidRDefault="009C004B" w:rsidP="009C004B">
      <w:pPr>
        <w:pStyle w:val="BodyTextMain"/>
      </w:pPr>
      <w:r>
        <w:t xml:space="preserve">As </w:t>
      </w:r>
      <w:proofErr w:type="spellStart"/>
      <w:r>
        <w:t>Bossard</w:t>
      </w:r>
      <w:proofErr w:type="spellEnd"/>
      <w:r>
        <w:t xml:space="preserve"> was considering its long</w:t>
      </w:r>
      <w:r w:rsidR="00061A87">
        <w:t>-</w:t>
      </w:r>
      <w:r>
        <w:t xml:space="preserve">term growth strategy, it was clear that China-based manufacturers would play a central role in its future growth. </w:t>
      </w:r>
      <w:proofErr w:type="spellStart"/>
      <w:r>
        <w:t>Bossard</w:t>
      </w:r>
      <w:proofErr w:type="spellEnd"/>
      <w:r>
        <w:t xml:space="preserve"> had a solid foothold in China, along with a local physical infrastructure, a network of partners, and solid client relationships with some of the world’s leading manufacturers</w:t>
      </w:r>
      <w:r w:rsidR="00B670BE">
        <w:t xml:space="preserve">, such as those </w:t>
      </w:r>
      <w:r>
        <w:t xml:space="preserve">in the machine tool sector. However, sustained and profitable growth would require growing its client network to </w:t>
      </w:r>
      <w:r w:rsidR="00B670BE">
        <w:t xml:space="preserve">also </w:t>
      </w:r>
      <w:r>
        <w:t xml:space="preserve">include local companies. An action plan was </w:t>
      </w:r>
      <w:r w:rsidR="00B670BE">
        <w:t>needed</w:t>
      </w:r>
      <w:r>
        <w:t xml:space="preserve">. </w:t>
      </w:r>
    </w:p>
    <w:p w14:paraId="56A3FCAD" w14:textId="77777777" w:rsidR="008642D0" w:rsidRDefault="008642D0">
      <w:pPr>
        <w:spacing w:after="200" w:line="276" w:lineRule="auto"/>
        <w:rPr>
          <w:sz w:val="22"/>
          <w:szCs w:val="22"/>
        </w:rPr>
      </w:pPr>
      <w:r>
        <w:br w:type="page"/>
      </w:r>
    </w:p>
    <w:p w14:paraId="6C21644B" w14:textId="34AF524B" w:rsidR="008642D0" w:rsidRDefault="008642D0" w:rsidP="00DC4779">
      <w:pPr>
        <w:pStyle w:val="ExhibitHeading"/>
      </w:pPr>
      <w:r>
        <w:lastRenderedPageBreak/>
        <w:t xml:space="preserve">Exhibit 1: </w:t>
      </w:r>
      <w:r w:rsidR="009E46DB">
        <w:t>Bossard Group—</w:t>
      </w:r>
      <w:r>
        <w:t xml:space="preserve">Key Financials </w:t>
      </w:r>
      <w:r w:rsidR="00C625D3">
        <w:t>(</w:t>
      </w:r>
      <w:r w:rsidRPr="00856442">
        <w:t>In C</w:t>
      </w:r>
      <w:r>
        <w:t>H</w:t>
      </w:r>
      <w:r w:rsidRPr="00856442">
        <w:t>F</w:t>
      </w:r>
      <w:r w:rsidR="00C625D3">
        <w:t xml:space="preserve"> ‘000</w:t>
      </w:r>
      <w:r w:rsidRPr="00856442">
        <w:t>, unless otherwise indicated</w:t>
      </w:r>
      <w:r w:rsidR="00C625D3">
        <w:t>)</w:t>
      </w:r>
    </w:p>
    <w:p w14:paraId="58117D37" w14:textId="77777777" w:rsidR="008642D0" w:rsidRPr="008642D0" w:rsidRDefault="008642D0" w:rsidP="00D64AE1">
      <w:pPr>
        <w:pStyle w:val="ExhibitText"/>
      </w:pPr>
    </w:p>
    <w:tbl>
      <w:tblPr>
        <w:tblStyle w:val="TableGrid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1"/>
        <w:gridCol w:w="1085"/>
        <w:gridCol w:w="1086"/>
        <w:gridCol w:w="1086"/>
        <w:gridCol w:w="1086"/>
        <w:gridCol w:w="1086"/>
      </w:tblGrid>
      <w:tr w:rsidR="008642D0" w:rsidRPr="008642D0" w14:paraId="77C2700D" w14:textId="77777777" w:rsidTr="00B92428">
        <w:trPr>
          <w:trHeight w:val="270"/>
          <w:jc w:val="center"/>
        </w:trPr>
        <w:tc>
          <w:tcPr>
            <w:tcW w:w="3931" w:type="dxa"/>
            <w:tcBorders>
              <w:bottom w:val="single" w:sz="4" w:space="0" w:color="auto"/>
            </w:tcBorders>
            <w:noWrap/>
            <w:vAlign w:val="center"/>
            <w:hideMark/>
          </w:tcPr>
          <w:p w14:paraId="31FD9D71" w14:textId="77777777" w:rsidR="008642D0" w:rsidRPr="00C625D3" w:rsidRDefault="008642D0" w:rsidP="00C625D3">
            <w:pPr>
              <w:pStyle w:val="ExhibitText"/>
              <w:jc w:val="left"/>
            </w:pPr>
          </w:p>
        </w:tc>
        <w:tc>
          <w:tcPr>
            <w:tcW w:w="1085" w:type="dxa"/>
            <w:tcBorders>
              <w:bottom w:val="single" w:sz="4" w:space="0" w:color="auto"/>
            </w:tcBorders>
            <w:vAlign w:val="center"/>
          </w:tcPr>
          <w:p w14:paraId="698DD88E" w14:textId="77777777" w:rsidR="008642D0" w:rsidRPr="008642D0" w:rsidRDefault="008642D0" w:rsidP="00C625D3">
            <w:pPr>
              <w:pStyle w:val="ExhibitText"/>
              <w:jc w:val="right"/>
              <w:rPr>
                <w:b/>
                <w:bCs/>
              </w:rPr>
            </w:pPr>
            <w:r w:rsidRPr="008642D0">
              <w:rPr>
                <w:b/>
                <w:bCs/>
              </w:rPr>
              <w:t>2012</w:t>
            </w:r>
          </w:p>
        </w:tc>
        <w:tc>
          <w:tcPr>
            <w:tcW w:w="1086" w:type="dxa"/>
            <w:tcBorders>
              <w:bottom w:val="single" w:sz="4" w:space="0" w:color="auto"/>
            </w:tcBorders>
            <w:vAlign w:val="center"/>
          </w:tcPr>
          <w:p w14:paraId="01B9BDFE" w14:textId="77777777" w:rsidR="008642D0" w:rsidRPr="008642D0" w:rsidRDefault="008642D0" w:rsidP="00C625D3">
            <w:pPr>
              <w:pStyle w:val="ExhibitText"/>
              <w:jc w:val="right"/>
              <w:rPr>
                <w:b/>
                <w:bCs/>
              </w:rPr>
            </w:pPr>
            <w:r w:rsidRPr="008642D0">
              <w:rPr>
                <w:b/>
                <w:bCs/>
              </w:rPr>
              <w:t>2013</w:t>
            </w:r>
          </w:p>
        </w:tc>
        <w:tc>
          <w:tcPr>
            <w:tcW w:w="1086" w:type="dxa"/>
            <w:tcBorders>
              <w:bottom w:val="single" w:sz="4" w:space="0" w:color="auto"/>
            </w:tcBorders>
            <w:vAlign w:val="center"/>
          </w:tcPr>
          <w:p w14:paraId="4DBA7D28" w14:textId="77777777" w:rsidR="008642D0" w:rsidRPr="008642D0" w:rsidRDefault="008642D0" w:rsidP="00C625D3">
            <w:pPr>
              <w:pStyle w:val="ExhibitText"/>
              <w:jc w:val="right"/>
              <w:rPr>
                <w:b/>
                <w:bCs/>
              </w:rPr>
            </w:pPr>
            <w:r w:rsidRPr="008642D0">
              <w:rPr>
                <w:b/>
                <w:bCs/>
              </w:rPr>
              <w:t>2014</w:t>
            </w:r>
          </w:p>
        </w:tc>
        <w:tc>
          <w:tcPr>
            <w:tcW w:w="1086" w:type="dxa"/>
            <w:tcBorders>
              <w:bottom w:val="single" w:sz="4" w:space="0" w:color="auto"/>
            </w:tcBorders>
            <w:noWrap/>
            <w:vAlign w:val="center"/>
            <w:hideMark/>
          </w:tcPr>
          <w:p w14:paraId="0660571B" w14:textId="77777777" w:rsidR="008642D0" w:rsidRPr="008642D0" w:rsidRDefault="008642D0" w:rsidP="00C625D3">
            <w:pPr>
              <w:pStyle w:val="ExhibitText"/>
              <w:jc w:val="right"/>
              <w:rPr>
                <w:b/>
                <w:bCs/>
              </w:rPr>
            </w:pPr>
            <w:r w:rsidRPr="008642D0">
              <w:rPr>
                <w:b/>
                <w:bCs/>
              </w:rPr>
              <w:t>2015</w:t>
            </w:r>
          </w:p>
        </w:tc>
        <w:tc>
          <w:tcPr>
            <w:tcW w:w="1086" w:type="dxa"/>
            <w:tcBorders>
              <w:bottom w:val="single" w:sz="4" w:space="0" w:color="auto"/>
            </w:tcBorders>
            <w:vAlign w:val="center"/>
          </w:tcPr>
          <w:p w14:paraId="38FA5CAF" w14:textId="77777777" w:rsidR="008642D0" w:rsidRPr="008642D0" w:rsidRDefault="008642D0" w:rsidP="00C625D3">
            <w:pPr>
              <w:pStyle w:val="ExhibitText"/>
              <w:jc w:val="right"/>
              <w:rPr>
                <w:b/>
                <w:bCs/>
              </w:rPr>
            </w:pPr>
            <w:r w:rsidRPr="008642D0">
              <w:rPr>
                <w:b/>
                <w:bCs/>
              </w:rPr>
              <w:t>2016</w:t>
            </w:r>
          </w:p>
        </w:tc>
      </w:tr>
      <w:tr w:rsidR="008642D0" w:rsidRPr="008642D0" w14:paraId="14AFF825" w14:textId="77777777" w:rsidTr="00B92428">
        <w:trPr>
          <w:trHeight w:val="270"/>
          <w:jc w:val="center"/>
        </w:trPr>
        <w:tc>
          <w:tcPr>
            <w:tcW w:w="3931" w:type="dxa"/>
            <w:tcBorders>
              <w:top w:val="single" w:sz="4" w:space="0" w:color="auto"/>
              <w:bottom w:val="nil"/>
            </w:tcBorders>
            <w:noWrap/>
            <w:vAlign w:val="center"/>
            <w:hideMark/>
          </w:tcPr>
          <w:p w14:paraId="795191B0" w14:textId="77777777" w:rsidR="008642D0" w:rsidRPr="00C625D3" w:rsidRDefault="008642D0" w:rsidP="00C625D3">
            <w:pPr>
              <w:pStyle w:val="ExhibitText"/>
              <w:jc w:val="left"/>
              <w:rPr>
                <w:bCs/>
                <w:szCs w:val="16"/>
              </w:rPr>
            </w:pPr>
            <w:r w:rsidRPr="00C625D3">
              <w:rPr>
                <w:bCs/>
                <w:szCs w:val="16"/>
              </w:rPr>
              <w:t>Net sales</w:t>
            </w:r>
          </w:p>
        </w:tc>
        <w:tc>
          <w:tcPr>
            <w:tcW w:w="1085" w:type="dxa"/>
            <w:tcBorders>
              <w:top w:val="single" w:sz="4" w:space="0" w:color="auto"/>
              <w:bottom w:val="nil"/>
            </w:tcBorders>
            <w:vAlign w:val="center"/>
          </w:tcPr>
          <w:p w14:paraId="494F0D97" w14:textId="77777777" w:rsidR="008642D0" w:rsidRPr="008642D0" w:rsidRDefault="008642D0" w:rsidP="00C625D3">
            <w:pPr>
              <w:pStyle w:val="ExhibitText"/>
              <w:jc w:val="right"/>
              <w:rPr>
                <w:szCs w:val="16"/>
              </w:rPr>
            </w:pPr>
            <w:r w:rsidRPr="008642D0">
              <w:rPr>
                <w:szCs w:val="16"/>
              </w:rPr>
              <w:t xml:space="preserve">485,224 </w:t>
            </w:r>
          </w:p>
        </w:tc>
        <w:tc>
          <w:tcPr>
            <w:tcW w:w="1086" w:type="dxa"/>
            <w:tcBorders>
              <w:top w:val="single" w:sz="4" w:space="0" w:color="auto"/>
              <w:bottom w:val="nil"/>
            </w:tcBorders>
            <w:vAlign w:val="center"/>
          </w:tcPr>
          <w:p w14:paraId="78C92F0C" w14:textId="77777777" w:rsidR="008642D0" w:rsidRPr="008642D0" w:rsidRDefault="008642D0" w:rsidP="00C625D3">
            <w:pPr>
              <w:pStyle w:val="ExhibitText"/>
              <w:jc w:val="right"/>
              <w:rPr>
                <w:szCs w:val="16"/>
              </w:rPr>
            </w:pPr>
            <w:r w:rsidRPr="008642D0">
              <w:rPr>
                <w:szCs w:val="16"/>
              </w:rPr>
              <w:t xml:space="preserve">605,716 </w:t>
            </w:r>
          </w:p>
        </w:tc>
        <w:tc>
          <w:tcPr>
            <w:tcW w:w="1086" w:type="dxa"/>
            <w:tcBorders>
              <w:top w:val="single" w:sz="4" w:space="0" w:color="auto"/>
              <w:bottom w:val="nil"/>
            </w:tcBorders>
            <w:vAlign w:val="center"/>
          </w:tcPr>
          <w:p w14:paraId="591ECD5A" w14:textId="77777777" w:rsidR="008642D0" w:rsidRPr="008642D0" w:rsidRDefault="008642D0" w:rsidP="00C625D3">
            <w:pPr>
              <w:pStyle w:val="ExhibitText"/>
              <w:jc w:val="right"/>
              <w:rPr>
                <w:szCs w:val="16"/>
              </w:rPr>
            </w:pPr>
            <w:r w:rsidRPr="008642D0">
              <w:rPr>
                <w:szCs w:val="16"/>
              </w:rPr>
              <w:t xml:space="preserve">617,764 </w:t>
            </w:r>
          </w:p>
        </w:tc>
        <w:tc>
          <w:tcPr>
            <w:tcW w:w="1086" w:type="dxa"/>
            <w:tcBorders>
              <w:top w:val="single" w:sz="4" w:space="0" w:color="auto"/>
              <w:bottom w:val="nil"/>
            </w:tcBorders>
            <w:noWrap/>
            <w:vAlign w:val="center"/>
            <w:hideMark/>
          </w:tcPr>
          <w:p w14:paraId="0DB8E86A" w14:textId="77777777" w:rsidR="008642D0" w:rsidRPr="008642D0" w:rsidRDefault="008642D0" w:rsidP="00C625D3">
            <w:pPr>
              <w:pStyle w:val="ExhibitText"/>
              <w:jc w:val="right"/>
              <w:rPr>
                <w:szCs w:val="16"/>
              </w:rPr>
            </w:pPr>
            <w:r w:rsidRPr="008642D0">
              <w:rPr>
                <w:szCs w:val="16"/>
              </w:rPr>
              <w:t>656,314</w:t>
            </w:r>
          </w:p>
        </w:tc>
        <w:tc>
          <w:tcPr>
            <w:tcW w:w="1086" w:type="dxa"/>
            <w:tcBorders>
              <w:top w:val="single" w:sz="4" w:space="0" w:color="auto"/>
              <w:bottom w:val="nil"/>
            </w:tcBorders>
            <w:vAlign w:val="center"/>
          </w:tcPr>
          <w:p w14:paraId="09B8E182" w14:textId="77777777" w:rsidR="008642D0" w:rsidRPr="008642D0" w:rsidRDefault="008642D0" w:rsidP="00C625D3">
            <w:pPr>
              <w:pStyle w:val="ExhibitText"/>
              <w:jc w:val="right"/>
              <w:rPr>
                <w:szCs w:val="16"/>
              </w:rPr>
            </w:pPr>
            <w:r w:rsidRPr="008642D0">
              <w:rPr>
                <w:szCs w:val="16"/>
              </w:rPr>
              <w:t>695,015</w:t>
            </w:r>
          </w:p>
        </w:tc>
      </w:tr>
      <w:tr w:rsidR="008642D0" w:rsidRPr="008642D0" w14:paraId="30453068" w14:textId="77777777" w:rsidTr="00B92428">
        <w:trPr>
          <w:trHeight w:val="270"/>
          <w:jc w:val="center"/>
        </w:trPr>
        <w:tc>
          <w:tcPr>
            <w:tcW w:w="3931" w:type="dxa"/>
            <w:tcBorders>
              <w:top w:val="nil"/>
              <w:bottom w:val="nil"/>
            </w:tcBorders>
            <w:noWrap/>
            <w:vAlign w:val="center"/>
            <w:hideMark/>
          </w:tcPr>
          <w:p w14:paraId="3DCF5498" w14:textId="77777777" w:rsidR="008642D0" w:rsidRPr="00C625D3" w:rsidRDefault="008642D0" w:rsidP="00C625D3">
            <w:pPr>
              <w:pStyle w:val="ExhibitText"/>
              <w:jc w:val="left"/>
              <w:rPr>
                <w:bCs/>
                <w:szCs w:val="16"/>
              </w:rPr>
            </w:pPr>
            <w:r w:rsidRPr="00C625D3">
              <w:rPr>
                <w:bCs/>
                <w:szCs w:val="16"/>
              </w:rPr>
              <w:t>Gross profit</w:t>
            </w:r>
          </w:p>
        </w:tc>
        <w:tc>
          <w:tcPr>
            <w:tcW w:w="1085" w:type="dxa"/>
            <w:tcBorders>
              <w:top w:val="nil"/>
              <w:bottom w:val="nil"/>
            </w:tcBorders>
            <w:vAlign w:val="center"/>
          </w:tcPr>
          <w:p w14:paraId="55ED2B0D" w14:textId="77777777" w:rsidR="008642D0" w:rsidRPr="008642D0" w:rsidRDefault="008642D0" w:rsidP="00C625D3">
            <w:pPr>
              <w:pStyle w:val="ExhibitText"/>
              <w:jc w:val="right"/>
              <w:rPr>
                <w:szCs w:val="16"/>
              </w:rPr>
            </w:pPr>
            <w:r w:rsidRPr="008642D0">
              <w:rPr>
                <w:szCs w:val="16"/>
              </w:rPr>
              <w:t>151,390</w:t>
            </w:r>
          </w:p>
        </w:tc>
        <w:tc>
          <w:tcPr>
            <w:tcW w:w="1086" w:type="dxa"/>
            <w:tcBorders>
              <w:top w:val="nil"/>
              <w:bottom w:val="nil"/>
            </w:tcBorders>
            <w:vAlign w:val="center"/>
          </w:tcPr>
          <w:p w14:paraId="069977C7" w14:textId="77777777" w:rsidR="008642D0" w:rsidRPr="008642D0" w:rsidRDefault="008642D0" w:rsidP="00C625D3">
            <w:pPr>
              <w:pStyle w:val="ExhibitText"/>
              <w:jc w:val="right"/>
              <w:rPr>
                <w:szCs w:val="16"/>
              </w:rPr>
            </w:pPr>
            <w:r w:rsidRPr="008642D0">
              <w:rPr>
                <w:szCs w:val="16"/>
              </w:rPr>
              <w:t>188,807</w:t>
            </w:r>
          </w:p>
        </w:tc>
        <w:tc>
          <w:tcPr>
            <w:tcW w:w="1086" w:type="dxa"/>
            <w:tcBorders>
              <w:top w:val="nil"/>
              <w:bottom w:val="nil"/>
            </w:tcBorders>
            <w:vAlign w:val="center"/>
          </w:tcPr>
          <w:p w14:paraId="4894CFE7" w14:textId="77777777" w:rsidR="008642D0" w:rsidRPr="008642D0" w:rsidRDefault="008642D0" w:rsidP="00C625D3">
            <w:pPr>
              <w:pStyle w:val="ExhibitText"/>
              <w:jc w:val="right"/>
              <w:rPr>
                <w:szCs w:val="16"/>
              </w:rPr>
            </w:pPr>
            <w:r w:rsidRPr="008642D0">
              <w:rPr>
                <w:szCs w:val="16"/>
              </w:rPr>
              <w:t>197,131</w:t>
            </w:r>
          </w:p>
        </w:tc>
        <w:tc>
          <w:tcPr>
            <w:tcW w:w="1086" w:type="dxa"/>
            <w:tcBorders>
              <w:top w:val="nil"/>
              <w:bottom w:val="nil"/>
            </w:tcBorders>
            <w:noWrap/>
            <w:vAlign w:val="center"/>
            <w:hideMark/>
          </w:tcPr>
          <w:p w14:paraId="0FF8BD1E" w14:textId="77777777" w:rsidR="008642D0" w:rsidRPr="008642D0" w:rsidRDefault="008642D0" w:rsidP="00C625D3">
            <w:pPr>
              <w:pStyle w:val="ExhibitText"/>
              <w:jc w:val="right"/>
              <w:rPr>
                <w:szCs w:val="16"/>
              </w:rPr>
            </w:pPr>
            <w:r w:rsidRPr="008642D0">
              <w:rPr>
                <w:szCs w:val="16"/>
              </w:rPr>
              <w:t>202,704</w:t>
            </w:r>
          </w:p>
        </w:tc>
        <w:tc>
          <w:tcPr>
            <w:tcW w:w="1086" w:type="dxa"/>
            <w:tcBorders>
              <w:top w:val="nil"/>
              <w:bottom w:val="nil"/>
            </w:tcBorders>
            <w:vAlign w:val="center"/>
          </w:tcPr>
          <w:p w14:paraId="547BE676" w14:textId="77777777" w:rsidR="008642D0" w:rsidRPr="008642D0" w:rsidRDefault="008642D0" w:rsidP="00C625D3">
            <w:pPr>
              <w:pStyle w:val="ExhibitText"/>
              <w:jc w:val="right"/>
              <w:rPr>
                <w:szCs w:val="16"/>
              </w:rPr>
            </w:pPr>
            <w:r w:rsidRPr="008642D0">
              <w:rPr>
                <w:szCs w:val="16"/>
              </w:rPr>
              <w:t>219,649</w:t>
            </w:r>
          </w:p>
        </w:tc>
      </w:tr>
      <w:tr w:rsidR="008642D0" w:rsidRPr="008642D0" w14:paraId="0E69E616" w14:textId="77777777" w:rsidTr="00B92428">
        <w:trPr>
          <w:trHeight w:val="270"/>
          <w:jc w:val="center"/>
        </w:trPr>
        <w:tc>
          <w:tcPr>
            <w:tcW w:w="3931" w:type="dxa"/>
            <w:tcBorders>
              <w:top w:val="nil"/>
              <w:bottom w:val="nil"/>
            </w:tcBorders>
            <w:noWrap/>
            <w:vAlign w:val="center"/>
            <w:hideMark/>
          </w:tcPr>
          <w:p w14:paraId="695EE311" w14:textId="77777777" w:rsidR="008642D0" w:rsidRPr="00C625D3" w:rsidRDefault="008642D0" w:rsidP="00C625D3">
            <w:pPr>
              <w:pStyle w:val="ExhibitText"/>
              <w:jc w:val="left"/>
              <w:rPr>
                <w:bCs/>
                <w:szCs w:val="16"/>
              </w:rPr>
            </w:pPr>
            <w:r w:rsidRPr="00C625D3">
              <w:rPr>
                <w:bCs/>
                <w:szCs w:val="16"/>
              </w:rPr>
              <w:t>Personnel expenses</w:t>
            </w:r>
          </w:p>
        </w:tc>
        <w:tc>
          <w:tcPr>
            <w:tcW w:w="1085" w:type="dxa"/>
            <w:tcBorders>
              <w:top w:val="nil"/>
              <w:bottom w:val="nil"/>
            </w:tcBorders>
            <w:vAlign w:val="center"/>
          </w:tcPr>
          <w:p w14:paraId="7839E27B" w14:textId="77777777" w:rsidR="008642D0" w:rsidRPr="008642D0" w:rsidRDefault="008642D0" w:rsidP="00C625D3">
            <w:pPr>
              <w:pStyle w:val="ExhibitText"/>
              <w:jc w:val="right"/>
              <w:rPr>
                <w:szCs w:val="16"/>
              </w:rPr>
            </w:pPr>
            <w:r w:rsidRPr="008642D0">
              <w:rPr>
                <w:szCs w:val="16"/>
              </w:rPr>
              <w:t>98,885</w:t>
            </w:r>
          </w:p>
        </w:tc>
        <w:tc>
          <w:tcPr>
            <w:tcW w:w="1086" w:type="dxa"/>
            <w:tcBorders>
              <w:top w:val="nil"/>
              <w:bottom w:val="nil"/>
            </w:tcBorders>
            <w:vAlign w:val="center"/>
          </w:tcPr>
          <w:p w14:paraId="5FB28AAF" w14:textId="77777777" w:rsidR="008642D0" w:rsidRPr="008642D0" w:rsidRDefault="008642D0" w:rsidP="00C625D3">
            <w:pPr>
              <w:pStyle w:val="ExhibitText"/>
              <w:jc w:val="right"/>
              <w:rPr>
                <w:szCs w:val="16"/>
              </w:rPr>
            </w:pPr>
            <w:r w:rsidRPr="008642D0">
              <w:rPr>
                <w:szCs w:val="16"/>
              </w:rPr>
              <w:t xml:space="preserve">123,388 </w:t>
            </w:r>
          </w:p>
        </w:tc>
        <w:tc>
          <w:tcPr>
            <w:tcW w:w="1086" w:type="dxa"/>
            <w:tcBorders>
              <w:top w:val="nil"/>
              <w:bottom w:val="nil"/>
            </w:tcBorders>
            <w:vAlign w:val="center"/>
          </w:tcPr>
          <w:p w14:paraId="5F7F3B1B" w14:textId="77777777" w:rsidR="008642D0" w:rsidRPr="008642D0" w:rsidRDefault="008642D0" w:rsidP="00C625D3">
            <w:pPr>
              <w:pStyle w:val="ExhibitText"/>
              <w:jc w:val="right"/>
              <w:rPr>
                <w:szCs w:val="16"/>
              </w:rPr>
            </w:pPr>
            <w:r w:rsidRPr="008642D0">
              <w:rPr>
                <w:szCs w:val="16"/>
              </w:rPr>
              <w:t>129,401</w:t>
            </w:r>
          </w:p>
        </w:tc>
        <w:tc>
          <w:tcPr>
            <w:tcW w:w="1086" w:type="dxa"/>
            <w:tcBorders>
              <w:top w:val="nil"/>
              <w:bottom w:val="nil"/>
            </w:tcBorders>
            <w:noWrap/>
            <w:vAlign w:val="center"/>
            <w:hideMark/>
          </w:tcPr>
          <w:p w14:paraId="2F0B6B5A" w14:textId="77777777" w:rsidR="008642D0" w:rsidRPr="008642D0" w:rsidRDefault="008642D0" w:rsidP="00C625D3">
            <w:pPr>
              <w:pStyle w:val="ExhibitText"/>
              <w:jc w:val="right"/>
              <w:rPr>
                <w:szCs w:val="16"/>
              </w:rPr>
            </w:pPr>
            <w:r w:rsidRPr="008642D0">
              <w:rPr>
                <w:szCs w:val="16"/>
              </w:rPr>
              <w:t>135,903</w:t>
            </w:r>
          </w:p>
        </w:tc>
        <w:tc>
          <w:tcPr>
            <w:tcW w:w="1086" w:type="dxa"/>
            <w:tcBorders>
              <w:top w:val="nil"/>
              <w:bottom w:val="nil"/>
            </w:tcBorders>
            <w:vAlign w:val="center"/>
          </w:tcPr>
          <w:p w14:paraId="64222ECA" w14:textId="77777777" w:rsidR="008642D0" w:rsidRPr="008642D0" w:rsidRDefault="008642D0" w:rsidP="00C625D3">
            <w:pPr>
              <w:pStyle w:val="ExhibitText"/>
              <w:jc w:val="right"/>
              <w:rPr>
                <w:szCs w:val="16"/>
              </w:rPr>
            </w:pPr>
            <w:r w:rsidRPr="008642D0">
              <w:rPr>
                <w:szCs w:val="16"/>
              </w:rPr>
              <w:t>145,668</w:t>
            </w:r>
          </w:p>
        </w:tc>
      </w:tr>
      <w:tr w:rsidR="008642D0" w:rsidRPr="008642D0" w14:paraId="67B23DED" w14:textId="77777777" w:rsidTr="00B92428">
        <w:trPr>
          <w:trHeight w:val="270"/>
          <w:jc w:val="center"/>
        </w:trPr>
        <w:tc>
          <w:tcPr>
            <w:tcW w:w="3931" w:type="dxa"/>
            <w:tcBorders>
              <w:top w:val="nil"/>
              <w:bottom w:val="nil"/>
            </w:tcBorders>
            <w:noWrap/>
            <w:vAlign w:val="center"/>
            <w:hideMark/>
          </w:tcPr>
          <w:p w14:paraId="0FAC8049" w14:textId="77777777" w:rsidR="008642D0" w:rsidRPr="00C625D3" w:rsidRDefault="008642D0" w:rsidP="00C625D3">
            <w:pPr>
              <w:pStyle w:val="ExhibitText"/>
              <w:jc w:val="left"/>
              <w:rPr>
                <w:bCs/>
                <w:szCs w:val="16"/>
              </w:rPr>
            </w:pPr>
            <w:r w:rsidRPr="00C625D3">
              <w:rPr>
                <w:bCs/>
                <w:szCs w:val="16"/>
              </w:rPr>
              <w:t>EBITDA</w:t>
            </w:r>
          </w:p>
        </w:tc>
        <w:tc>
          <w:tcPr>
            <w:tcW w:w="1085" w:type="dxa"/>
            <w:tcBorders>
              <w:top w:val="nil"/>
              <w:bottom w:val="nil"/>
            </w:tcBorders>
            <w:vAlign w:val="center"/>
          </w:tcPr>
          <w:p w14:paraId="67C21D06" w14:textId="77777777" w:rsidR="008642D0" w:rsidRPr="008642D0" w:rsidRDefault="008642D0" w:rsidP="00C625D3">
            <w:pPr>
              <w:pStyle w:val="ExhibitText"/>
              <w:jc w:val="right"/>
              <w:rPr>
                <w:szCs w:val="16"/>
              </w:rPr>
            </w:pPr>
            <w:r w:rsidRPr="008642D0">
              <w:rPr>
                <w:szCs w:val="16"/>
              </w:rPr>
              <w:t xml:space="preserve">58,820 </w:t>
            </w:r>
          </w:p>
        </w:tc>
        <w:tc>
          <w:tcPr>
            <w:tcW w:w="1086" w:type="dxa"/>
            <w:tcBorders>
              <w:top w:val="nil"/>
              <w:bottom w:val="nil"/>
            </w:tcBorders>
            <w:vAlign w:val="center"/>
          </w:tcPr>
          <w:p w14:paraId="1CE06B57" w14:textId="77777777" w:rsidR="008642D0" w:rsidRPr="008642D0" w:rsidRDefault="008642D0" w:rsidP="00C625D3">
            <w:pPr>
              <w:pStyle w:val="ExhibitText"/>
              <w:jc w:val="right"/>
              <w:rPr>
                <w:szCs w:val="16"/>
              </w:rPr>
            </w:pPr>
            <w:r w:rsidRPr="008642D0">
              <w:rPr>
                <w:szCs w:val="16"/>
              </w:rPr>
              <w:t>82,098</w:t>
            </w:r>
          </w:p>
        </w:tc>
        <w:tc>
          <w:tcPr>
            <w:tcW w:w="1086" w:type="dxa"/>
            <w:tcBorders>
              <w:top w:val="nil"/>
              <w:bottom w:val="nil"/>
            </w:tcBorders>
            <w:vAlign w:val="center"/>
          </w:tcPr>
          <w:p w14:paraId="68829B41" w14:textId="77777777" w:rsidR="008642D0" w:rsidRPr="008642D0" w:rsidRDefault="008642D0" w:rsidP="00C625D3">
            <w:pPr>
              <w:pStyle w:val="ExhibitText"/>
              <w:jc w:val="right"/>
              <w:rPr>
                <w:szCs w:val="16"/>
              </w:rPr>
            </w:pPr>
            <w:r w:rsidRPr="008642D0">
              <w:rPr>
                <w:szCs w:val="16"/>
              </w:rPr>
              <w:t>85,252</w:t>
            </w:r>
          </w:p>
        </w:tc>
        <w:tc>
          <w:tcPr>
            <w:tcW w:w="1086" w:type="dxa"/>
            <w:tcBorders>
              <w:top w:val="nil"/>
              <w:bottom w:val="nil"/>
            </w:tcBorders>
            <w:noWrap/>
            <w:vAlign w:val="center"/>
            <w:hideMark/>
          </w:tcPr>
          <w:p w14:paraId="758B04B8" w14:textId="77777777" w:rsidR="008642D0" w:rsidRPr="008642D0" w:rsidRDefault="008642D0" w:rsidP="00C625D3">
            <w:pPr>
              <w:pStyle w:val="ExhibitText"/>
              <w:jc w:val="right"/>
              <w:rPr>
                <w:szCs w:val="16"/>
              </w:rPr>
            </w:pPr>
            <w:r w:rsidRPr="008642D0">
              <w:rPr>
                <w:szCs w:val="16"/>
              </w:rPr>
              <w:t xml:space="preserve">81,922 </w:t>
            </w:r>
          </w:p>
        </w:tc>
        <w:tc>
          <w:tcPr>
            <w:tcW w:w="1086" w:type="dxa"/>
            <w:tcBorders>
              <w:top w:val="nil"/>
              <w:bottom w:val="nil"/>
            </w:tcBorders>
            <w:vAlign w:val="center"/>
          </w:tcPr>
          <w:p w14:paraId="71410D90" w14:textId="77777777" w:rsidR="008642D0" w:rsidRPr="008642D0" w:rsidRDefault="008642D0" w:rsidP="00C625D3">
            <w:pPr>
              <w:pStyle w:val="ExhibitText"/>
              <w:jc w:val="right"/>
              <w:rPr>
                <w:szCs w:val="16"/>
              </w:rPr>
            </w:pPr>
            <w:r w:rsidRPr="008642D0">
              <w:rPr>
                <w:szCs w:val="16"/>
              </w:rPr>
              <w:t>91,114</w:t>
            </w:r>
          </w:p>
        </w:tc>
      </w:tr>
      <w:tr w:rsidR="008642D0" w:rsidRPr="008642D0" w14:paraId="45D76541" w14:textId="77777777" w:rsidTr="00B92428">
        <w:trPr>
          <w:trHeight w:val="270"/>
          <w:jc w:val="center"/>
        </w:trPr>
        <w:tc>
          <w:tcPr>
            <w:tcW w:w="3931" w:type="dxa"/>
            <w:tcBorders>
              <w:top w:val="nil"/>
              <w:bottom w:val="nil"/>
            </w:tcBorders>
            <w:noWrap/>
            <w:vAlign w:val="center"/>
            <w:hideMark/>
          </w:tcPr>
          <w:p w14:paraId="3BFEAD9A" w14:textId="77777777" w:rsidR="008642D0" w:rsidRPr="00C625D3" w:rsidRDefault="008642D0" w:rsidP="00C625D3">
            <w:pPr>
              <w:pStyle w:val="ExhibitText"/>
              <w:jc w:val="left"/>
              <w:rPr>
                <w:bCs/>
                <w:szCs w:val="16"/>
              </w:rPr>
            </w:pPr>
            <w:r w:rsidRPr="00C625D3">
              <w:rPr>
                <w:bCs/>
                <w:szCs w:val="16"/>
              </w:rPr>
              <w:t>Net income</w:t>
            </w:r>
          </w:p>
        </w:tc>
        <w:tc>
          <w:tcPr>
            <w:tcW w:w="1085" w:type="dxa"/>
            <w:tcBorders>
              <w:top w:val="nil"/>
              <w:bottom w:val="nil"/>
            </w:tcBorders>
            <w:vAlign w:val="center"/>
          </w:tcPr>
          <w:p w14:paraId="3456B421" w14:textId="77777777" w:rsidR="008642D0" w:rsidRPr="008642D0" w:rsidRDefault="008642D0" w:rsidP="00C625D3">
            <w:pPr>
              <w:pStyle w:val="ExhibitText"/>
              <w:jc w:val="right"/>
              <w:rPr>
                <w:szCs w:val="16"/>
              </w:rPr>
            </w:pPr>
            <w:r w:rsidRPr="008642D0">
              <w:rPr>
                <w:szCs w:val="16"/>
              </w:rPr>
              <w:t>43,505</w:t>
            </w:r>
          </w:p>
        </w:tc>
        <w:tc>
          <w:tcPr>
            <w:tcW w:w="1086" w:type="dxa"/>
            <w:tcBorders>
              <w:top w:val="nil"/>
              <w:bottom w:val="nil"/>
            </w:tcBorders>
            <w:vAlign w:val="center"/>
          </w:tcPr>
          <w:p w14:paraId="7D491EE4" w14:textId="77777777" w:rsidR="008642D0" w:rsidRPr="008642D0" w:rsidRDefault="008642D0" w:rsidP="00C625D3">
            <w:pPr>
              <w:pStyle w:val="ExhibitText"/>
              <w:jc w:val="right"/>
              <w:rPr>
                <w:szCs w:val="16"/>
              </w:rPr>
            </w:pPr>
            <w:r w:rsidRPr="008642D0">
              <w:rPr>
                <w:szCs w:val="16"/>
              </w:rPr>
              <w:t>56,001</w:t>
            </w:r>
          </w:p>
        </w:tc>
        <w:tc>
          <w:tcPr>
            <w:tcW w:w="1086" w:type="dxa"/>
            <w:tcBorders>
              <w:top w:val="nil"/>
              <w:bottom w:val="nil"/>
            </w:tcBorders>
            <w:vAlign w:val="center"/>
          </w:tcPr>
          <w:p w14:paraId="793306E9" w14:textId="77777777" w:rsidR="008642D0" w:rsidRPr="008642D0" w:rsidRDefault="008642D0" w:rsidP="00C625D3">
            <w:pPr>
              <w:pStyle w:val="ExhibitText"/>
              <w:jc w:val="right"/>
              <w:rPr>
                <w:szCs w:val="16"/>
              </w:rPr>
            </w:pPr>
            <w:r w:rsidRPr="008642D0">
              <w:rPr>
                <w:szCs w:val="16"/>
              </w:rPr>
              <w:t>57,128</w:t>
            </w:r>
          </w:p>
        </w:tc>
        <w:tc>
          <w:tcPr>
            <w:tcW w:w="1086" w:type="dxa"/>
            <w:tcBorders>
              <w:top w:val="nil"/>
              <w:bottom w:val="nil"/>
            </w:tcBorders>
            <w:noWrap/>
            <w:vAlign w:val="center"/>
            <w:hideMark/>
          </w:tcPr>
          <w:p w14:paraId="359D230A" w14:textId="77777777" w:rsidR="008642D0" w:rsidRPr="008642D0" w:rsidRDefault="008642D0" w:rsidP="00C625D3">
            <w:pPr>
              <w:pStyle w:val="ExhibitText"/>
              <w:jc w:val="right"/>
              <w:rPr>
                <w:szCs w:val="16"/>
              </w:rPr>
            </w:pPr>
            <w:r w:rsidRPr="008642D0">
              <w:rPr>
                <w:szCs w:val="16"/>
              </w:rPr>
              <w:t>54,490</w:t>
            </w:r>
          </w:p>
        </w:tc>
        <w:tc>
          <w:tcPr>
            <w:tcW w:w="1086" w:type="dxa"/>
            <w:tcBorders>
              <w:top w:val="nil"/>
              <w:bottom w:val="nil"/>
            </w:tcBorders>
            <w:vAlign w:val="center"/>
          </w:tcPr>
          <w:p w14:paraId="6855FCFD" w14:textId="77777777" w:rsidR="008642D0" w:rsidRPr="008642D0" w:rsidRDefault="008642D0" w:rsidP="00C625D3">
            <w:pPr>
              <w:pStyle w:val="ExhibitText"/>
              <w:jc w:val="right"/>
              <w:rPr>
                <w:szCs w:val="16"/>
              </w:rPr>
            </w:pPr>
            <w:r w:rsidRPr="008642D0">
              <w:rPr>
                <w:szCs w:val="16"/>
              </w:rPr>
              <w:t>62,434</w:t>
            </w:r>
          </w:p>
        </w:tc>
      </w:tr>
      <w:tr w:rsidR="008642D0" w:rsidRPr="008642D0" w14:paraId="0B39D186" w14:textId="77777777" w:rsidTr="00B92428">
        <w:trPr>
          <w:trHeight w:val="270"/>
          <w:jc w:val="center"/>
        </w:trPr>
        <w:tc>
          <w:tcPr>
            <w:tcW w:w="3931" w:type="dxa"/>
            <w:tcBorders>
              <w:top w:val="nil"/>
              <w:bottom w:val="nil"/>
            </w:tcBorders>
            <w:noWrap/>
            <w:vAlign w:val="center"/>
            <w:hideMark/>
          </w:tcPr>
          <w:p w14:paraId="7354454D" w14:textId="77777777" w:rsidR="008642D0" w:rsidRPr="00C625D3" w:rsidRDefault="008642D0" w:rsidP="00C625D3">
            <w:pPr>
              <w:pStyle w:val="ExhibitText"/>
              <w:jc w:val="left"/>
              <w:rPr>
                <w:bCs/>
                <w:szCs w:val="16"/>
              </w:rPr>
            </w:pPr>
            <w:r w:rsidRPr="00C625D3">
              <w:rPr>
                <w:bCs/>
                <w:szCs w:val="16"/>
              </w:rPr>
              <w:t>Capital expenditures</w:t>
            </w:r>
          </w:p>
        </w:tc>
        <w:tc>
          <w:tcPr>
            <w:tcW w:w="1085" w:type="dxa"/>
            <w:tcBorders>
              <w:top w:val="nil"/>
              <w:bottom w:val="nil"/>
            </w:tcBorders>
            <w:vAlign w:val="center"/>
          </w:tcPr>
          <w:p w14:paraId="02F3A140" w14:textId="77777777" w:rsidR="008642D0" w:rsidRPr="008642D0" w:rsidRDefault="008642D0" w:rsidP="00C625D3">
            <w:pPr>
              <w:pStyle w:val="ExhibitText"/>
              <w:jc w:val="right"/>
              <w:rPr>
                <w:szCs w:val="16"/>
              </w:rPr>
            </w:pPr>
            <w:r w:rsidRPr="008642D0">
              <w:rPr>
                <w:szCs w:val="16"/>
              </w:rPr>
              <w:t>24,983</w:t>
            </w:r>
          </w:p>
        </w:tc>
        <w:tc>
          <w:tcPr>
            <w:tcW w:w="1086" w:type="dxa"/>
            <w:tcBorders>
              <w:top w:val="nil"/>
              <w:bottom w:val="nil"/>
            </w:tcBorders>
            <w:vAlign w:val="center"/>
          </w:tcPr>
          <w:p w14:paraId="577DB48B" w14:textId="77777777" w:rsidR="008642D0" w:rsidRPr="008642D0" w:rsidRDefault="008642D0" w:rsidP="00C625D3">
            <w:pPr>
              <w:pStyle w:val="ExhibitText"/>
              <w:jc w:val="right"/>
              <w:rPr>
                <w:szCs w:val="16"/>
              </w:rPr>
            </w:pPr>
            <w:r w:rsidRPr="008642D0">
              <w:rPr>
                <w:szCs w:val="16"/>
              </w:rPr>
              <w:t>14,901</w:t>
            </w:r>
          </w:p>
        </w:tc>
        <w:tc>
          <w:tcPr>
            <w:tcW w:w="1086" w:type="dxa"/>
            <w:tcBorders>
              <w:top w:val="nil"/>
              <w:bottom w:val="nil"/>
            </w:tcBorders>
            <w:vAlign w:val="center"/>
          </w:tcPr>
          <w:p w14:paraId="0C841D5B" w14:textId="77777777" w:rsidR="008642D0" w:rsidRPr="008642D0" w:rsidRDefault="008642D0" w:rsidP="00C625D3">
            <w:pPr>
              <w:pStyle w:val="ExhibitText"/>
              <w:jc w:val="right"/>
              <w:rPr>
                <w:szCs w:val="16"/>
              </w:rPr>
            </w:pPr>
            <w:r w:rsidRPr="008642D0">
              <w:rPr>
                <w:szCs w:val="16"/>
              </w:rPr>
              <w:t xml:space="preserve">11,536 </w:t>
            </w:r>
          </w:p>
        </w:tc>
        <w:tc>
          <w:tcPr>
            <w:tcW w:w="1086" w:type="dxa"/>
            <w:tcBorders>
              <w:top w:val="nil"/>
              <w:bottom w:val="nil"/>
            </w:tcBorders>
            <w:noWrap/>
            <w:vAlign w:val="center"/>
            <w:hideMark/>
          </w:tcPr>
          <w:p w14:paraId="4366E2E8" w14:textId="77777777" w:rsidR="008642D0" w:rsidRPr="008642D0" w:rsidRDefault="008642D0" w:rsidP="00C625D3">
            <w:pPr>
              <w:pStyle w:val="ExhibitText"/>
              <w:jc w:val="right"/>
              <w:rPr>
                <w:szCs w:val="16"/>
              </w:rPr>
            </w:pPr>
            <w:r w:rsidRPr="008642D0">
              <w:rPr>
                <w:szCs w:val="16"/>
              </w:rPr>
              <w:t>22,128</w:t>
            </w:r>
          </w:p>
        </w:tc>
        <w:tc>
          <w:tcPr>
            <w:tcW w:w="1086" w:type="dxa"/>
            <w:tcBorders>
              <w:top w:val="nil"/>
              <w:bottom w:val="nil"/>
            </w:tcBorders>
            <w:vAlign w:val="center"/>
          </w:tcPr>
          <w:p w14:paraId="5D1BB69F" w14:textId="77777777" w:rsidR="008642D0" w:rsidRPr="008642D0" w:rsidRDefault="008642D0" w:rsidP="00C625D3">
            <w:pPr>
              <w:pStyle w:val="ExhibitText"/>
              <w:jc w:val="right"/>
              <w:rPr>
                <w:szCs w:val="16"/>
              </w:rPr>
            </w:pPr>
            <w:r w:rsidRPr="008642D0">
              <w:rPr>
                <w:szCs w:val="16"/>
              </w:rPr>
              <w:t>40,021</w:t>
            </w:r>
          </w:p>
        </w:tc>
      </w:tr>
      <w:tr w:rsidR="008642D0" w:rsidRPr="008642D0" w14:paraId="3C58C3F7" w14:textId="77777777" w:rsidTr="00B92428">
        <w:trPr>
          <w:trHeight w:val="270"/>
          <w:jc w:val="center"/>
        </w:trPr>
        <w:tc>
          <w:tcPr>
            <w:tcW w:w="3931" w:type="dxa"/>
            <w:tcBorders>
              <w:top w:val="nil"/>
              <w:bottom w:val="nil"/>
            </w:tcBorders>
            <w:noWrap/>
            <w:vAlign w:val="center"/>
            <w:hideMark/>
          </w:tcPr>
          <w:p w14:paraId="4427BA67" w14:textId="77777777" w:rsidR="008642D0" w:rsidRPr="00C625D3" w:rsidRDefault="008642D0" w:rsidP="00C625D3">
            <w:pPr>
              <w:pStyle w:val="ExhibitText"/>
              <w:jc w:val="left"/>
              <w:rPr>
                <w:bCs/>
                <w:szCs w:val="16"/>
              </w:rPr>
            </w:pPr>
            <w:r w:rsidRPr="00C625D3">
              <w:rPr>
                <w:bCs/>
                <w:szCs w:val="16"/>
              </w:rPr>
              <w:t xml:space="preserve">Operating net working capital </w:t>
            </w:r>
          </w:p>
        </w:tc>
        <w:tc>
          <w:tcPr>
            <w:tcW w:w="1085" w:type="dxa"/>
            <w:tcBorders>
              <w:top w:val="nil"/>
              <w:bottom w:val="nil"/>
            </w:tcBorders>
            <w:vAlign w:val="center"/>
          </w:tcPr>
          <w:p w14:paraId="4326C827" w14:textId="77777777" w:rsidR="008642D0" w:rsidRPr="008642D0" w:rsidRDefault="008642D0" w:rsidP="00C625D3">
            <w:pPr>
              <w:pStyle w:val="ExhibitText"/>
              <w:jc w:val="right"/>
              <w:rPr>
                <w:szCs w:val="16"/>
              </w:rPr>
            </w:pPr>
            <w:r w:rsidRPr="008642D0">
              <w:rPr>
                <w:szCs w:val="16"/>
              </w:rPr>
              <w:t xml:space="preserve">202,225 </w:t>
            </w:r>
          </w:p>
        </w:tc>
        <w:tc>
          <w:tcPr>
            <w:tcW w:w="1086" w:type="dxa"/>
            <w:tcBorders>
              <w:top w:val="nil"/>
              <w:bottom w:val="nil"/>
            </w:tcBorders>
            <w:vAlign w:val="center"/>
          </w:tcPr>
          <w:p w14:paraId="41D945A0" w14:textId="77777777" w:rsidR="008642D0" w:rsidRPr="008642D0" w:rsidRDefault="008642D0" w:rsidP="00C625D3">
            <w:pPr>
              <w:pStyle w:val="ExhibitText"/>
              <w:jc w:val="right"/>
              <w:rPr>
                <w:szCs w:val="16"/>
              </w:rPr>
            </w:pPr>
            <w:r w:rsidRPr="008642D0">
              <w:rPr>
                <w:szCs w:val="16"/>
              </w:rPr>
              <w:t>211,472</w:t>
            </w:r>
          </w:p>
        </w:tc>
        <w:tc>
          <w:tcPr>
            <w:tcW w:w="1086" w:type="dxa"/>
            <w:tcBorders>
              <w:top w:val="nil"/>
              <w:bottom w:val="nil"/>
            </w:tcBorders>
            <w:vAlign w:val="center"/>
          </w:tcPr>
          <w:p w14:paraId="4750F393" w14:textId="77777777" w:rsidR="008642D0" w:rsidRPr="008642D0" w:rsidRDefault="008642D0" w:rsidP="00C625D3">
            <w:pPr>
              <w:pStyle w:val="ExhibitText"/>
              <w:jc w:val="right"/>
              <w:rPr>
                <w:szCs w:val="16"/>
              </w:rPr>
            </w:pPr>
            <w:r w:rsidRPr="008642D0">
              <w:rPr>
                <w:szCs w:val="16"/>
              </w:rPr>
              <w:t>242,282</w:t>
            </w:r>
          </w:p>
        </w:tc>
        <w:tc>
          <w:tcPr>
            <w:tcW w:w="1086" w:type="dxa"/>
            <w:tcBorders>
              <w:top w:val="nil"/>
              <w:bottom w:val="nil"/>
            </w:tcBorders>
            <w:noWrap/>
            <w:vAlign w:val="center"/>
            <w:hideMark/>
          </w:tcPr>
          <w:p w14:paraId="079D3030" w14:textId="77777777" w:rsidR="008642D0" w:rsidRPr="008642D0" w:rsidRDefault="008642D0" w:rsidP="00C625D3">
            <w:pPr>
              <w:pStyle w:val="ExhibitText"/>
              <w:jc w:val="right"/>
              <w:rPr>
                <w:szCs w:val="16"/>
              </w:rPr>
            </w:pPr>
            <w:r w:rsidRPr="008642D0">
              <w:rPr>
                <w:szCs w:val="16"/>
              </w:rPr>
              <w:t>256,321</w:t>
            </w:r>
          </w:p>
        </w:tc>
        <w:tc>
          <w:tcPr>
            <w:tcW w:w="1086" w:type="dxa"/>
            <w:tcBorders>
              <w:top w:val="nil"/>
              <w:bottom w:val="nil"/>
            </w:tcBorders>
            <w:vAlign w:val="center"/>
          </w:tcPr>
          <w:p w14:paraId="344E567D" w14:textId="77777777" w:rsidR="008642D0" w:rsidRPr="008642D0" w:rsidRDefault="008642D0" w:rsidP="00C625D3">
            <w:pPr>
              <w:pStyle w:val="ExhibitText"/>
              <w:jc w:val="right"/>
              <w:rPr>
                <w:szCs w:val="16"/>
              </w:rPr>
            </w:pPr>
            <w:r w:rsidRPr="008642D0">
              <w:rPr>
                <w:szCs w:val="16"/>
              </w:rPr>
              <w:t>264,557</w:t>
            </w:r>
          </w:p>
        </w:tc>
      </w:tr>
      <w:tr w:rsidR="008642D0" w:rsidRPr="008642D0" w14:paraId="45EC7558" w14:textId="77777777" w:rsidTr="00B92428">
        <w:trPr>
          <w:trHeight w:val="270"/>
          <w:jc w:val="center"/>
        </w:trPr>
        <w:tc>
          <w:tcPr>
            <w:tcW w:w="3931" w:type="dxa"/>
            <w:tcBorders>
              <w:top w:val="nil"/>
              <w:bottom w:val="nil"/>
            </w:tcBorders>
            <w:noWrap/>
            <w:vAlign w:val="center"/>
            <w:hideMark/>
          </w:tcPr>
          <w:p w14:paraId="3462AA4E" w14:textId="77777777" w:rsidR="008642D0" w:rsidRPr="00C625D3" w:rsidRDefault="008642D0" w:rsidP="00C625D3">
            <w:pPr>
              <w:pStyle w:val="ExhibitText"/>
              <w:jc w:val="left"/>
              <w:rPr>
                <w:bCs/>
                <w:szCs w:val="16"/>
              </w:rPr>
            </w:pPr>
            <w:r w:rsidRPr="00C625D3">
              <w:rPr>
                <w:bCs/>
                <w:szCs w:val="16"/>
              </w:rPr>
              <w:t>Net debt</w:t>
            </w:r>
          </w:p>
        </w:tc>
        <w:tc>
          <w:tcPr>
            <w:tcW w:w="1085" w:type="dxa"/>
            <w:tcBorders>
              <w:top w:val="nil"/>
              <w:bottom w:val="nil"/>
            </w:tcBorders>
            <w:vAlign w:val="center"/>
          </w:tcPr>
          <w:p w14:paraId="482C486E" w14:textId="77777777" w:rsidR="008642D0" w:rsidRPr="008642D0" w:rsidRDefault="008642D0" w:rsidP="00C625D3">
            <w:pPr>
              <w:pStyle w:val="ExhibitText"/>
              <w:jc w:val="right"/>
              <w:rPr>
                <w:szCs w:val="16"/>
              </w:rPr>
            </w:pPr>
            <w:r w:rsidRPr="008642D0">
              <w:rPr>
                <w:szCs w:val="16"/>
              </w:rPr>
              <w:t xml:space="preserve">202,185 </w:t>
            </w:r>
          </w:p>
        </w:tc>
        <w:tc>
          <w:tcPr>
            <w:tcW w:w="1086" w:type="dxa"/>
            <w:tcBorders>
              <w:top w:val="nil"/>
              <w:bottom w:val="nil"/>
            </w:tcBorders>
            <w:vAlign w:val="center"/>
          </w:tcPr>
          <w:p w14:paraId="65E3727C" w14:textId="77777777" w:rsidR="008642D0" w:rsidRPr="008642D0" w:rsidRDefault="008642D0" w:rsidP="00C625D3">
            <w:pPr>
              <w:pStyle w:val="ExhibitText"/>
              <w:jc w:val="right"/>
              <w:rPr>
                <w:szCs w:val="16"/>
              </w:rPr>
            </w:pPr>
            <w:r w:rsidRPr="008642D0">
              <w:rPr>
                <w:szCs w:val="16"/>
              </w:rPr>
              <w:t xml:space="preserve">101,163 </w:t>
            </w:r>
          </w:p>
        </w:tc>
        <w:tc>
          <w:tcPr>
            <w:tcW w:w="1086" w:type="dxa"/>
            <w:tcBorders>
              <w:top w:val="nil"/>
              <w:bottom w:val="nil"/>
            </w:tcBorders>
            <w:vAlign w:val="center"/>
          </w:tcPr>
          <w:p w14:paraId="61ABE6AC" w14:textId="77777777" w:rsidR="008642D0" w:rsidRPr="008642D0" w:rsidRDefault="008642D0" w:rsidP="00C625D3">
            <w:pPr>
              <w:pStyle w:val="ExhibitText"/>
              <w:jc w:val="right"/>
              <w:rPr>
                <w:szCs w:val="16"/>
              </w:rPr>
            </w:pPr>
            <w:r w:rsidRPr="008642D0">
              <w:rPr>
                <w:szCs w:val="16"/>
              </w:rPr>
              <w:t xml:space="preserve">97,875 </w:t>
            </w:r>
          </w:p>
        </w:tc>
        <w:tc>
          <w:tcPr>
            <w:tcW w:w="1086" w:type="dxa"/>
            <w:tcBorders>
              <w:top w:val="nil"/>
              <w:bottom w:val="nil"/>
            </w:tcBorders>
            <w:noWrap/>
            <w:vAlign w:val="center"/>
            <w:hideMark/>
          </w:tcPr>
          <w:p w14:paraId="1ABD3658" w14:textId="77777777" w:rsidR="008642D0" w:rsidRPr="008642D0" w:rsidRDefault="008642D0" w:rsidP="00C625D3">
            <w:pPr>
              <w:pStyle w:val="ExhibitText"/>
              <w:jc w:val="right"/>
              <w:rPr>
                <w:szCs w:val="16"/>
              </w:rPr>
            </w:pPr>
            <w:r w:rsidRPr="008642D0">
              <w:rPr>
                <w:szCs w:val="16"/>
              </w:rPr>
              <w:t>147,858</w:t>
            </w:r>
          </w:p>
        </w:tc>
        <w:tc>
          <w:tcPr>
            <w:tcW w:w="1086" w:type="dxa"/>
            <w:tcBorders>
              <w:top w:val="nil"/>
              <w:bottom w:val="nil"/>
            </w:tcBorders>
            <w:vAlign w:val="center"/>
          </w:tcPr>
          <w:p w14:paraId="67DA89FC" w14:textId="77777777" w:rsidR="008642D0" w:rsidRPr="008642D0" w:rsidRDefault="008642D0" w:rsidP="00C625D3">
            <w:pPr>
              <w:pStyle w:val="ExhibitText"/>
              <w:jc w:val="right"/>
              <w:rPr>
                <w:szCs w:val="16"/>
              </w:rPr>
            </w:pPr>
            <w:r w:rsidRPr="008642D0">
              <w:rPr>
                <w:szCs w:val="16"/>
              </w:rPr>
              <w:t>158,767</w:t>
            </w:r>
          </w:p>
        </w:tc>
      </w:tr>
      <w:tr w:rsidR="008642D0" w:rsidRPr="008642D0" w14:paraId="43AEB212" w14:textId="77777777" w:rsidTr="00B92428">
        <w:trPr>
          <w:trHeight w:val="270"/>
          <w:jc w:val="center"/>
        </w:trPr>
        <w:tc>
          <w:tcPr>
            <w:tcW w:w="3931" w:type="dxa"/>
            <w:tcBorders>
              <w:top w:val="nil"/>
              <w:bottom w:val="nil"/>
            </w:tcBorders>
            <w:noWrap/>
            <w:vAlign w:val="center"/>
            <w:hideMark/>
          </w:tcPr>
          <w:p w14:paraId="1B5E80EB" w14:textId="4A72E3AB" w:rsidR="008642D0" w:rsidRPr="00C625D3" w:rsidRDefault="008642D0" w:rsidP="00C625D3">
            <w:pPr>
              <w:pStyle w:val="ExhibitText"/>
              <w:jc w:val="left"/>
              <w:rPr>
                <w:bCs/>
                <w:szCs w:val="16"/>
              </w:rPr>
            </w:pPr>
            <w:r w:rsidRPr="00C625D3">
              <w:rPr>
                <w:bCs/>
                <w:szCs w:val="16"/>
              </w:rPr>
              <w:t>Shareholder</w:t>
            </w:r>
            <w:r w:rsidR="00C625D3" w:rsidRPr="00C625D3">
              <w:rPr>
                <w:bCs/>
                <w:szCs w:val="16"/>
              </w:rPr>
              <w:t>s</w:t>
            </w:r>
            <w:r w:rsidRPr="00C625D3">
              <w:rPr>
                <w:bCs/>
                <w:szCs w:val="16"/>
              </w:rPr>
              <w:t>' equity</w:t>
            </w:r>
          </w:p>
        </w:tc>
        <w:tc>
          <w:tcPr>
            <w:tcW w:w="1085" w:type="dxa"/>
            <w:tcBorders>
              <w:top w:val="nil"/>
              <w:bottom w:val="nil"/>
            </w:tcBorders>
            <w:vAlign w:val="center"/>
          </w:tcPr>
          <w:p w14:paraId="138489F2" w14:textId="77777777" w:rsidR="008642D0" w:rsidRPr="008642D0" w:rsidRDefault="008642D0" w:rsidP="00C625D3">
            <w:pPr>
              <w:pStyle w:val="ExhibitText"/>
              <w:jc w:val="right"/>
              <w:rPr>
                <w:szCs w:val="16"/>
              </w:rPr>
            </w:pPr>
            <w:r w:rsidRPr="008642D0">
              <w:rPr>
                <w:szCs w:val="16"/>
              </w:rPr>
              <w:t>51,861</w:t>
            </w:r>
          </w:p>
        </w:tc>
        <w:tc>
          <w:tcPr>
            <w:tcW w:w="1086" w:type="dxa"/>
            <w:tcBorders>
              <w:top w:val="nil"/>
              <w:bottom w:val="nil"/>
            </w:tcBorders>
            <w:vAlign w:val="center"/>
          </w:tcPr>
          <w:p w14:paraId="5EACC2D5" w14:textId="77777777" w:rsidR="008642D0" w:rsidRPr="008642D0" w:rsidRDefault="008642D0" w:rsidP="00C625D3">
            <w:pPr>
              <w:pStyle w:val="ExhibitText"/>
              <w:jc w:val="right"/>
              <w:rPr>
                <w:szCs w:val="16"/>
              </w:rPr>
            </w:pPr>
            <w:r w:rsidRPr="008642D0">
              <w:rPr>
                <w:szCs w:val="16"/>
              </w:rPr>
              <w:t xml:space="preserve">167,298 </w:t>
            </w:r>
          </w:p>
        </w:tc>
        <w:tc>
          <w:tcPr>
            <w:tcW w:w="1086" w:type="dxa"/>
            <w:tcBorders>
              <w:top w:val="nil"/>
              <w:bottom w:val="nil"/>
            </w:tcBorders>
            <w:vAlign w:val="center"/>
          </w:tcPr>
          <w:p w14:paraId="24BB4EE1" w14:textId="77777777" w:rsidR="008642D0" w:rsidRPr="008642D0" w:rsidRDefault="008642D0" w:rsidP="00C625D3">
            <w:pPr>
              <w:pStyle w:val="ExhibitText"/>
              <w:jc w:val="right"/>
              <w:rPr>
                <w:szCs w:val="16"/>
              </w:rPr>
            </w:pPr>
            <w:r w:rsidRPr="008642D0">
              <w:rPr>
                <w:szCs w:val="16"/>
              </w:rPr>
              <w:t>210,603</w:t>
            </w:r>
          </w:p>
        </w:tc>
        <w:tc>
          <w:tcPr>
            <w:tcW w:w="1086" w:type="dxa"/>
            <w:tcBorders>
              <w:top w:val="nil"/>
              <w:bottom w:val="nil"/>
            </w:tcBorders>
            <w:noWrap/>
            <w:vAlign w:val="center"/>
            <w:hideMark/>
          </w:tcPr>
          <w:p w14:paraId="40CDDDFD" w14:textId="77777777" w:rsidR="008642D0" w:rsidRPr="008642D0" w:rsidRDefault="008642D0" w:rsidP="00C625D3">
            <w:pPr>
              <w:pStyle w:val="ExhibitText"/>
              <w:jc w:val="right"/>
              <w:rPr>
                <w:szCs w:val="16"/>
              </w:rPr>
            </w:pPr>
            <w:r w:rsidRPr="008642D0">
              <w:rPr>
                <w:szCs w:val="16"/>
              </w:rPr>
              <w:t>186,186</w:t>
            </w:r>
          </w:p>
        </w:tc>
        <w:tc>
          <w:tcPr>
            <w:tcW w:w="1086" w:type="dxa"/>
            <w:tcBorders>
              <w:top w:val="nil"/>
              <w:bottom w:val="nil"/>
            </w:tcBorders>
            <w:vAlign w:val="center"/>
          </w:tcPr>
          <w:p w14:paraId="34C9FAFE" w14:textId="77777777" w:rsidR="008642D0" w:rsidRPr="008642D0" w:rsidRDefault="008642D0" w:rsidP="00C625D3">
            <w:pPr>
              <w:pStyle w:val="ExhibitText"/>
              <w:jc w:val="right"/>
              <w:rPr>
                <w:szCs w:val="16"/>
              </w:rPr>
            </w:pPr>
            <w:r w:rsidRPr="008642D0">
              <w:rPr>
                <w:szCs w:val="16"/>
              </w:rPr>
              <w:t>207,644</w:t>
            </w:r>
          </w:p>
        </w:tc>
      </w:tr>
      <w:tr w:rsidR="008642D0" w:rsidRPr="008642D0" w14:paraId="3C9E1697" w14:textId="77777777" w:rsidTr="00B92428">
        <w:trPr>
          <w:trHeight w:val="270"/>
          <w:jc w:val="center"/>
        </w:trPr>
        <w:tc>
          <w:tcPr>
            <w:tcW w:w="3931" w:type="dxa"/>
            <w:tcBorders>
              <w:top w:val="nil"/>
              <w:bottom w:val="single" w:sz="4" w:space="0" w:color="auto"/>
            </w:tcBorders>
            <w:noWrap/>
            <w:vAlign w:val="center"/>
            <w:hideMark/>
          </w:tcPr>
          <w:p w14:paraId="1FF2478A" w14:textId="77777777" w:rsidR="008642D0" w:rsidRPr="00C625D3" w:rsidRDefault="008642D0" w:rsidP="00C625D3">
            <w:pPr>
              <w:pStyle w:val="ExhibitText"/>
              <w:jc w:val="left"/>
              <w:rPr>
                <w:bCs/>
                <w:szCs w:val="16"/>
              </w:rPr>
            </w:pPr>
            <w:r w:rsidRPr="00C625D3">
              <w:rPr>
                <w:bCs/>
                <w:szCs w:val="16"/>
              </w:rPr>
              <w:t>Total assets</w:t>
            </w:r>
          </w:p>
        </w:tc>
        <w:tc>
          <w:tcPr>
            <w:tcW w:w="1085" w:type="dxa"/>
            <w:tcBorders>
              <w:top w:val="nil"/>
              <w:bottom w:val="single" w:sz="4" w:space="0" w:color="auto"/>
            </w:tcBorders>
            <w:vAlign w:val="center"/>
          </w:tcPr>
          <w:p w14:paraId="2CAF3B4C" w14:textId="77777777" w:rsidR="008642D0" w:rsidRPr="008642D0" w:rsidRDefault="008642D0" w:rsidP="00C625D3">
            <w:pPr>
              <w:pStyle w:val="ExhibitText"/>
              <w:jc w:val="right"/>
              <w:rPr>
                <w:szCs w:val="16"/>
              </w:rPr>
            </w:pPr>
            <w:r w:rsidRPr="008642D0">
              <w:rPr>
                <w:szCs w:val="16"/>
              </w:rPr>
              <w:t xml:space="preserve">376,217 </w:t>
            </w:r>
          </w:p>
        </w:tc>
        <w:tc>
          <w:tcPr>
            <w:tcW w:w="1086" w:type="dxa"/>
            <w:tcBorders>
              <w:top w:val="nil"/>
              <w:bottom w:val="single" w:sz="4" w:space="0" w:color="auto"/>
            </w:tcBorders>
            <w:vAlign w:val="center"/>
          </w:tcPr>
          <w:p w14:paraId="598294FF" w14:textId="77777777" w:rsidR="008642D0" w:rsidRPr="008642D0" w:rsidRDefault="008642D0" w:rsidP="00C625D3">
            <w:pPr>
              <w:pStyle w:val="ExhibitText"/>
              <w:jc w:val="right"/>
              <w:rPr>
                <w:szCs w:val="16"/>
              </w:rPr>
            </w:pPr>
            <w:r w:rsidRPr="008642D0">
              <w:rPr>
                <w:szCs w:val="16"/>
              </w:rPr>
              <w:t xml:space="preserve">386,951 </w:t>
            </w:r>
          </w:p>
        </w:tc>
        <w:tc>
          <w:tcPr>
            <w:tcW w:w="1086" w:type="dxa"/>
            <w:tcBorders>
              <w:top w:val="nil"/>
              <w:bottom w:val="single" w:sz="4" w:space="0" w:color="auto"/>
            </w:tcBorders>
            <w:vAlign w:val="center"/>
          </w:tcPr>
          <w:p w14:paraId="019AD1EF" w14:textId="77777777" w:rsidR="008642D0" w:rsidRPr="008642D0" w:rsidRDefault="008642D0" w:rsidP="00C625D3">
            <w:pPr>
              <w:pStyle w:val="ExhibitText"/>
              <w:jc w:val="right"/>
              <w:rPr>
                <w:szCs w:val="16"/>
              </w:rPr>
            </w:pPr>
            <w:r w:rsidRPr="008642D0">
              <w:rPr>
                <w:szCs w:val="16"/>
              </w:rPr>
              <w:t>434,380</w:t>
            </w:r>
          </w:p>
        </w:tc>
        <w:tc>
          <w:tcPr>
            <w:tcW w:w="1086" w:type="dxa"/>
            <w:tcBorders>
              <w:top w:val="nil"/>
              <w:bottom w:val="single" w:sz="4" w:space="0" w:color="auto"/>
            </w:tcBorders>
            <w:noWrap/>
            <w:vAlign w:val="center"/>
            <w:hideMark/>
          </w:tcPr>
          <w:p w14:paraId="2B746264" w14:textId="77777777" w:rsidR="008642D0" w:rsidRPr="008642D0" w:rsidRDefault="008642D0" w:rsidP="00C625D3">
            <w:pPr>
              <w:pStyle w:val="ExhibitText"/>
              <w:jc w:val="right"/>
              <w:rPr>
                <w:szCs w:val="16"/>
              </w:rPr>
            </w:pPr>
            <w:r w:rsidRPr="008642D0">
              <w:rPr>
                <w:szCs w:val="16"/>
              </w:rPr>
              <w:t>462,602</w:t>
            </w:r>
          </w:p>
        </w:tc>
        <w:tc>
          <w:tcPr>
            <w:tcW w:w="1086" w:type="dxa"/>
            <w:tcBorders>
              <w:top w:val="nil"/>
              <w:bottom w:val="single" w:sz="4" w:space="0" w:color="auto"/>
            </w:tcBorders>
            <w:vAlign w:val="center"/>
          </w:tcPr>
          <w:p w14:paraId="2AEF6262" w14:textId="77777777" w:rsidR="008642D0" w:rsidRPr="008642D0" w:rsidRDefault="008642D0" w:rsidP="00C625D3">
            <w:pPr>
              <w:pStyle w:val="ExhibitText"/>
              <w:jc w:val="right"/>
              <w:rPr>
                <w:szCs w:val="16"/>
              </w:rPr>
            </w:pPr>
            <w:r w:rsidRPr="008642D0">
              <w:rPr>
                <w:szCs w:val="16"/>
              </w:rPr>
              <w:t>495,769</w:t>
            </w:r>
          </w:p>
        </w:tc>
      </w:tr>
      <w:tr w:rsidR="008642D0" w:rsidRPr="00C625D3" w14:paraId="0FD80E06" w14:textId="77777777" w:rsidTr="00B92428">
        <w:trPr>
          <w:trHeight w:val="270"/>
          <w:jc w:val="center"/>
        </w:trPr>
        <w:tc>
          <w:tcPr>
            <w:tcW w:w="3931" w:type="dxa"/>
            <w:tcBorders>
              <w:top w:val="nil"/>
              <w:bottom w:val="nil"/>
            </w:tcBorders>
            <w:noWrap/>
            <w:vAlign w:val="center"/>
            <w:hideMark/>
          </w:tcPr>
          <w:p w14:paraId="17D57DE8" w14:textId="2BC1E629" w:rsidR="008642D0" w:rsidRPr="00C625D3" w:rsidRDefault="008642D0" w:rsidP="00C625D3">
            <w:pPr>
              <w:pStyle w:val="ExhibitText"/>
              <w:jc w:val="left"/>
              <w:rPr>
                <w:bCs/>
                <w:szCs w:val="16"/>
              </w:rPr>
            </w:pPr>
            <w:r w:rsidRPr="00C625D3">
              <w:rPr>
                <w:bCs/>
                <w:szCs w:val="16"/>
              </w:rPr>
              <w:t xml:space="preserve">EBITA </w:t>
            </w:r>
            <w:r w:rsidR="00C625D3">
              <w:rPr>
                <w:bCs/>
                <w:szCs w:val="16"/>
              </w:rPr>
              <w:t>(</w:t>
            </w:r>
            <w:r w:rsidRPr="00C625D3">
              <w:rPr>
                <w:bCs/>
                <w:szCs w:val="16"/>
              </w:rPr>
              <w:t>% of net sales</w:t>
            </w:r>
            <w:r w:rsidR="00C625D3">
              <w:rPr>
                <w:bCs/>
                <w:szCs w:val="16"/>
              </w:rPr>
              <w:t>)</w:t>
            </w:r>
          </w:p>
        </w:tc>
        <w:tc>
          <w:tcPr>
            <w:tcW w:w="1085" w:type="dxa"/>
            <w:tcBorders>
              <w:top w:val="nil"/>
              <w:bottom w:val="nil"/>
            </w:tcBorders>
            <w:vAlign w:val="center"/>
          </w:tcPr>
          <w:p w14:paraId="744BDD62" w14:textId="77777777" w:rsidR="008642D0" w:rsidRPr="00C625D3" w:rsidRDefault="008642D0" w:rsidP="00C625D3">
            <w:pPr>
              <w:pStyle w:val="ExhibitText"/>
              <w:jc w:val="right"/>
              <w:rPr>
                <w:szCs w:val="16"/>
              </w:rPr>
            </w:pPr>
            <w:r w:rsidRPr="00C625D3">
              <w:rPr>
                <w:szCs w:val="16"/>
              </w:rPr>
              <w:t xml:space="preserve">12.1 </w:t>
            </w:r>
          </w:p>
        </w:tc>
        <w:tc>
          <w:tcPr>
            <w:tcW w:w="1086" w:type="dxa"/>
            <w:tcBorders>
              <w:top w:val="nil"/>
              <w:bottom w:val="nil"/>
            </w:tcBorders>
            <w:vAlign w:val="center"/>
          </w:tcPr>
          <w:p w14:paraId="1D78E9F8" w14:textId="77777777" w:rsidR="008642D0" w:rsidRPr="00C625D3" w:rsidRDefault="008642D0" w:rsidP="00C625D3">
            <w:pPr>
              <w:pStyle w:val="ExhibitText"/>
              <w:jc w:val="right"/>
              <w:rPr>
                <w:szCs w:val="16"/>
              </w:rPr>
            </w:pPr>
            <w:r w:rsidRPr="00C625D3">
              <w:rPr>
                <w:szCs w:val="16"/>
              </w:rPr>
              <w:t xml:space="preserve">13.6 </w:t>
            </w:r>
          </w:p>
        </w:tc>
        <w:tc>
          <w:tcPr>
            <w:tcW w:w="1086" w:type="dxa"/>
            <w:tcBorders>
              <w:top w:val="nil"/>
              <w:bottom w:val="nil"/>
            </w:tcBorders>
            <w:vAlign w:val="center"/>
          </w:tcPr>
          <w:p w14:paraId="42B4A230" w14:textId="77777777" w:rsidR="008642D0" w:rsidRPr="00C625D3" w:rsidRDefault="008642D0" w:rsidP="00C625D3">
            <w:pPr>
              <w:pStyle w:val="ExhibitText"/>
              <w:jc w:val="right"/>
              <w:rPr>
                <w:szCs w:val="16"/>
              </w:rPr>
            </w:pPr>
            <w:r w:rsidRPr="00C625D3">
              <w:rPr>
                <w:szCs w:val="16"/>
              </w:rPr>
              <w:t xml:space="preserve">13.8 </w:t>
            </w:r>
          </w:p>
        </w:tc>
        <w:tc>
          <w:tcPr>
            <w:tcW w:w="1086" w:type="dxa"/>
            <w:tcBorders>
              <w:top w:val="nil"/>
              <w:bottom w:val="nil"/>
            </w:tcBorders>
            <w:noWrap/>
            <w:vAlign w:val="center"/>
            <w:hideMark/>
          </w:tcPr>
          <w:p w14:paraId="26BEF623" w14:textId="77777777" w:rsidR="008642D0" w:rsidRPr="00C625D3" w:rsidRDefault="008642D0" w:rsidP="00C625D3">
            <w:pPr>
              <w:pStyle w:val="ExhibitText"/>
              <w:jc w:val="right"/>
              <w:rPr>
                <w:szCs w:val="16"/>
              </w:rPr>
            </w:pPr>
            <w:r w:rsidRPr="00C625D3">
              <w:rPr>
                <w:szCs w:val="16"/>
              </w:rPr>
              <w:t xml:space="preserve">12.5 </w:t>
            </w:r>
          </w:p>
        </w:tc>
        <w:tc>
          <w:tcPr>
            <w:tcW w:w="1086" w:type="dxa"/>
            <w:tcBorders>
              <w:top w:val="nil"/>
              <w:bottom w:val="nil"/>
            </w:tcBorders>
            <w:vAlign w:val="center"/>
          </w:tcPr>
          <w:p w14:paraId="06F5695F" w14:textId="77777777" w:rsidR="008642D0" w:rsidRPr="00C625D3" w:rsidRDefault="008642D0" w:rsidP="00C625D3">
            <w:pPr>
              <w:pStyle w:val="ExhibitText"/>
              <w:jc w:val="right"/>
              <w:rPr>
                <w:szCs w:val="16"/>
              </w:rPr>
            </w:pPr>
            <w:r w:rsidRPr="00C625D3">
              <w:rPr>
                <w:szCs w:val="16"/>
              </w:rPr>
              <w:t>13.1</w:t>
            </w:r>
          </w:p>
        </w:tc>
      </w:tr>
      <w:tr w:rsidR="008642D0" w:rsidRPr="00C625D3" w14:paraId="7081DB09" w14:textId="77777777" w:rsidTr="00B92428">
        <w:trPr>
          <w:trHeight w:val="270"/>
          <w:jc w:val="center"/>
        </w:trPr>
        <w:tc>
          <w:tcPr>
            <w:tcW w:w="3931" w:type="dxa"/>
            <w:tcBorders>
              <w:top w:val="nil"/>
              <w:bottom w:val="nil"/>
            </w:tcBorders>
            <w:noWrap/>
            <w:vAlign w:val="center"/>
            <w:hideMark/>
          </w:tcPr>
          <w:p w14:paraId="6E9EAB9B" w14:textId="48A78B3C" w:rsidR="008642D0" w:rsidRPr="00C625D3" w:rsidRDefault="008642D0" w:rsidP="00C625D3">
            <w:pPr>
              <w:pStyle w:val="ExhibitText"/>
              <w:jc w:val="left"/>
              <w:rPr>
                <w:bCs/>
                <w:szCs w:val="16"/>
              </w:rPr>
            </w:pPr>
            <w:r w:rsidRPr="00C625D3">
              <w:rPr>
                <w:bCs/>
                <w:szCs w:val="16"/>
              </w:rPr>
              <w:t xml:space="preserve">Net income </w:t>
            </w:r>
            <w:r w:rsidR="00C625D3">
              <w:rPr>
                <w:bCs/>
                <w:szCs w:val="16"/>
              </w:rPr>
              <w:t>(</w:t>
            </w:r>
            <w:r w:rsidRPr="00C625D3">
              <w:rPr>
                <w:bCs/>
                <w:szCs w:val="16"/>
              </w:rPr>
              <w:t>% of net sales</w:t>
            </w:r>
            <w:r w:rsidR="00C625D3">
              <w:rPr>
                <w:bCs/>
                <w:szCs w:val="16"/>
              </w:rPr>
              <w:t>)</w:t>
            </w:r>
          </w:p>
        </w:tc>
        <w:tc>
          <w:tcPr>
            <w:tcW w:w="1085" w:type="dxa"/>
            <w:tcBorders>
              <w:top w:val="nil"/>
              <w:bottom w:val="nil"/>
            </w:tcBorders>
            <w:vAlign w:val="center"/>
          </w:tcPr>
          <w:p w14:paraId="582A58AF" w14:textId="77777777" w:rsidR="008642D0" w:rsidRPr="00C625D3" w:rsidRDefault="008642D0" w:rsidP="00C625D3">
            <w:pPr>
              <w:pStyle w:val="ExhibitText"/>
              <w:jc w:val="right"/>
              <w:rPr>
                <w:szCs w:val="16"/>
              </w:rPr>
            </w:pPr>
            <w:r w:rsidRPr="00C625D3">
              <w:rPr>
                <w:szCs w:val="16"/>
              </w:rPr>
              <w:t xml:space="preserve">9.0 </w:t>
            </w:r>
          </w:p>
        </w:tc>
        <w:tc>
          <w:tcPr>
            <w:tcW w:w="1086" w:type="dxa"/>
            <w:tcBorders>
              <w:top w:val="nil"/>
              <w:bottom w:val="nil"/>
            </w:tcBorders>
            <w:vAlign w:val="center"/>
          </w:tcPr>
          <w:p w14:paraId="6B9929AF" w14:textId="77777777" w:rsidR="008642D0" w:rsidRPr="00C625D3" w:rsidRDefault="008642D0" w:rsidP="00C625D3">
            <w:pPr>
              <w:pStyle w:val="ExhibitText"/>
              <w:jc w:val="right"/>
              <w:rPr>
                <w:szCs w:val="16"/>
              </w:rPr>
            </w:pPr>
            <w:r w:rsidRPr="00C625D3">
              <w:rPr>
                <w:szCs w:val="16"/>
              </w:rPr>
              <w:t xml:space="preserve">9.2 </w:t>
            </w:r>
          </w:p>
        </w:tc>
        <w:tc>
          <w:tcPr>
            <w:tcW w:w="1086" w:type="dxa"/>
            <w:tcBorders>
              <w:top w:val="nil"/>
              <w:bottom w:val="nil"/>
            </w:tcBorders>
            <w:vAlign w:val="center"/>
          </w:tcPr>
          <w:p w14:paraId="6DE0FEEE" w14:textId="77777777" w:rsidR="008642D0" w:rsidRPr="00C625D3" w:rsidRDefault="008642D0" w:rsidP="00C625D3">
            <w:pPr>
              <w:pStyle w:val="ExhibitText"/>
              <w:jc w:val="right"/>
              <w:rPr>
                <w:szCs w:val="16"/>
              </w:rPr>
            </w:pPr>
            <w:r w:rsidRPr="00C625D3">
              <w:rPr>
                <w:szCs w:val="16"/>
              </w:rPr>
              <w:t xml:space="preserve">9.2 </w:t>
            </w:r>
          </w:p>
        </w:tc>
        <w:tc>
          <w:tcPr>
            <w:tcW w:w="1086" w:type="dxa"/>
            <w:tcBorders>
              <w:top w:val="nil"/>
              <w:bottom w:val="nil"/>
            </w:tcBorders>
            <w:noWrap/>
            <w:vAlign w:val="center"/>
            <w:hideMark/>
          </w:tcPr>
          <w:p w14:paraId="6BA0E113" w14:textId="77777777" w:rsidR="008642D0" w:rsidRPr="00C625D3" w:rsidRDefault="008642D0" w:rsidP="00C625D3">
            <w:pPr>
              <w:pStyle w:val="ExhibitText"/>
              <w:jc w:val="right"/>
              <w:rPr>
                <w:szCs w:val="16"/>
              </w:rPr>
            </w:pPr>
            <w:r w:rsidRPr="00C625D3">
              <w:rPr>
                <w:szCs w:val="16"/>
              </w:rPr>
              <w:t xml:space="preserve">8.3 </w:t>
            </w:r>
          </w:p>
        </w:tc>
        <w:tc>
          <w:tcPr>
            <w:tcW w:w="1086" w:type="dxa"/>
            <w:tcBorders>
              <w:top w:val="nil"/>
              <w:bottom w:val="nil"/>
            </w:tcBorders>
            <w:vAlign w:val="center"/>
          </w:tcPr>
          <w:p w14:paraId="15E79668" w14:textId="77777777" w:rsidR="008642D0" w:rsidRPr="00C625D3" w:rsidRDefault="008642D0" w:rsidP="00C625D3">
            <w:pPr>
              <w:pStyle w:val="ExhibitText"/>
              <w:jc w:val="right"/>
              <w:rPr>
                <w:szCs w:val="16"/>
              </w:rPr>
            </w:pPr>
            <w:r w:rsidRPr="00C625D3">
              <w:rPr>
                <w:szCs w:val="16"/>
              </w:rPr>
              <w:t>9.0</w:t>
            </w:r>
          </w:p>
        </w:tc>
      </w:tr>
      <w:tr w:rsidR="008642D0" w:rsidRPr="00C625D3" w14:paraId="4D09BD55" w14:textId="77777777" w:rsidTr="00B92428">
        <w:trPr>
          <w:trHeight w:val="270"/>
          <w:jc w:val="center"/>
        </w:trPr>
        <w:tc>
          <w:tcPr>
            <w:tcW w:w="3931" w:type="dxa"/>
            <w:tcBorders>
              <w:top w:val="nil"/>
              <w:bottom w:val="nil"/>
            </w:tcBorders>
            <w:noWrap/>
            <w:vAlign w:val="center"/>
            <w:hideMark/>
          </w:tcPr>
          <w:p w14:paraId="40BCDE82" w14:textId="679E14EC" w:rsidR="008642D0" w:rsidRPr="00C625D3" w:rsidRDefault="008642D0" w:rsidP="00C625D3">
            <w:pPr>
              <w:pStyle w:val="ExhibitText"/>
              <w:jc w:val="left"/>
              <w:rPr>
                <w:bCs/>
                <w:szCs w:val="16"/>
              </w:rPr>
            </w:pPr>
            <w:r w:rsidRPr="00C625D3">
              <w:rPr>
                <w:bCs/>
                <w:szCs w:val="16"/>
              </w:rPr>
              <w:t xml:space="preserve">ROE </w:t>
            </w:r>
            <w:r w:rsidR="00C625D3" w:rsidRPr="00C625D3">
              <w:rPr>
                <w:bCs/>
                <w:szCs w:val="16"/>
              </w:rPr>
              <w:t>(</w:t>
            </w:r>
            <w:r w:rsidRPr="00C625D3">
              <w:rPr>
                <w:bCs/>
                <w:szCs w:val="16"/>
              </w:rPr>
              <w:t>%</w:t>
            </w:r>
            <w:r w:rsidR="00C625D3" w:rsidRPr="00C625D3">
              <w:rPr>
                <w:bCs/>
                <w:szCs w:val="16"/>
              </w:rPr>
              <w:t>)</w:t>
            </w:r>
          </w:p>
        </w:tc>
        <w:tc>
          <w:tcPr>
            <w:tcW w:w="1085" w:type="dxa"/>
            <w:tcBorders>
              <w:top w:val="nil"/>
              <w:bottom w:val="nil"/>
            </w:tcBorders>
            <w:vAlign w:val="center"/>
          </w:tcPr>
          <w:p w14:paraId="28B0ECFB" w14:textId="77777777" w:rsidR="008642D0" w:rsidRPr="00C625D3" w:rsidRDefault="008642D0" w:rsidP="00C625D3">
            <w:pPr>
              <w:pStyle w:val="ExhibitText"/>
              <w:jc w:val="right"/>
              <w:rPr>
                <w:szCs w:val="16"/>
              </w:rPr>
            </w:pPr>
            <w:r w:rsidRPr="00C625D3">
              <w:rPr>
                <w:szCs w:val="16"/>
              </w:rPr>
              <w:t>33.6</w:t>
            </w:r>
          </w:p>
        </w:tc>
        <w:tc>
          <w:tcPr>
            <w:tcW w:w="1086" w:type="dxa"/>
            <w:tcBorders>
              <w:top w:val="nil"/>
              <w:bottom w:val="nil"/>
            </w:tcBorders>
            <w:vAlign w:val="center"/>
          </w:tcPr>
          <w:p w14:paraId="2680252A" w14:textId="77777777" w:rsidR="008642D0" w:rsidRPr="00C625D3" w:rsidRDefault="008642D0" w:rsidP="00C625D3">
            <w:pPr>
              <w:pStyle w:val="ExhibitText"/>
              <w:jc w:val="right"/>
              <w:rPr>
                <w:szCs w:val="16"/>
              </w:rPr>
            </w:pPr>
            <w:r w:rsidRPr="00C625D3">
              <w:rPr>
                <w:szCs w:val="16"/>
              </w:rPr>
              <w:t xml:space="preserve">51.1 </w:t>
            </w:r>
          </w:p>
        </w:tc>
        <w:tc>
          <w:tcPr>
            <w:tcW w:w="1086" w:type="dxa"/>
            <w:tcBorders>
              <w:top w:val="nil"/>
              <w:bottom w:val="nil"/>
            </w:tcBorders>
            <w:vAlign w:val="center"/>
          </w:tcPr>
          <w:p w14:paraId="1D1E76C7" w14:textId="77777777" w:rsidR="008642D0" w:rsidRPr="00C625D3" w:rsidRDefault="008642D0" w:rsidP="00C625D3">
            <w:pPr>
              <w:pStyle w:val="ExhibitText"/>
              <w:jc w:val="right"/>
              <w:rPr>
                <w:szCs w:val="16"/>
              </w:rPr>
            </w:pPr>
            <w:r w:rsidRPr="00C625D3">
              <w:rPr>
                <w:szCs w:val="16"/>
              </w:rPr>
              <w:t xml:space="preserve">30.2 </w:t>
            </w:r>
          </w:p>
        </w:tc>
        <w:tc>
          <w:tcPr>
            <w:tcW w:w="1086" w:type="dxa"/>
            <w:tcBorders>
              <w:top w:val="nil"/>
              <w:bottom w:val="nil"/>
            </w:tcBorders>
            <w:noWrap/>
            <w:vAlign w:val="center"/>
            <w:hideMark/>
          </w:tcPr>
          <w:p w14:paraId="34BF84D0" w14:textId="77777777" w:rsidR="008642D0" w:rsidRPr="00C625D3" w:rsidRDefault="008642D0" w:rsidP="00C625D3">
            <w:pPr>
              <w:pStyle w:val="ExhibitText"/>
              <w:jc w:val="right"/>
              <w:rPr>
                <w:szCs w:val="16"/>
              </w:rPr>
            </w:pPr>
            <w:r w:rsidRPr="00C625D3">
              <w:rPr>
                <w:szCs w:val="16"/>
              </w:rPr>
              <w:t xml:space="preserve">27.5 </w:t>
            </w:r>
          </w:p>
        </w:tc>
        <w:tc>
          <w:tcPr>
            <w:tcW w:w="1086" w:type="dxa"/>
            <w:tcBorders>
              <w:top w:val="nil"/>
              <w:bottom w:val="nil"/>
            </w:tcBorders>
            <w:vAlign w:val="center"/>
          </w:tcPr>
          <w:p w14:paraId="3256F535" w14:textId="77777777" w:rsidR="008642D0" w:rsidRPr="00C625D3" w:rsidRDefault="008642D0" w:rsidP="00C625D3">
            <w:pPr>
              <w:pStyle w:val="ExhibitText"/>
              <w:jc w:val="right"/>
              <w:rPr>
                <w:szCs w:val="16"/>
              </w:rPr>
            </w:pPr>
            <w:r w:rsidRPr="00C625D3">
              <w:rPr>
                <w:szCs w:val="16"/>
              </w:rPr>
              <w:t>31.7</w:t>
            </w:r>
          </w:p>
        </w:tc>
      </w:tr>
      <w:tr w:rsidR="008642D0" w:rsidRPr="00C625D3" w14:paraId="55F591CD" w14:textId="77777777" w:rsidTr="00D64AE1">
        <w:trPr>
          <w:trHeight w:val="270"/>
          <w:jc w:val="center"/>
        </w:trPr>
        <w:tc>
          <w:tcPr>
            <w:tcW w:w="3931" w:type="dxa"/>
            <w:tcBorders>
              <w:top w:val="nil"/>
              <w:bottom w:val="single" w:sz="4" w:space="0" w:color="auto"/>
            </w:tcBorders>
            <w:noWrap/>
            <w:vAlign w:val="center"/>
            <w:hideMark/>
          </w:tcPr>
          <w:p w14:paraId="09B13FDF" w14:textId="51FE535F" w:rsidR="008642D0" w:rsidRPr="00C625D3" w:rsidRDefault="008642D0" w:rsidP="00C625D3">
            <w:pPr>
              <w:pStyle w:val="ExhibitText"/>
              <w:jc w:val="left"/>
              <w:rPr>
                <w:bCs/>
                <w:szCs w:val="16"/>
              </w:rPr>
            </w:pPr>
            <w:r w:rsidRPr="00C625D3">
              <w:rPr>
                <w:bCs/>
                <w:szCs w:val="16"/>
              </w:rPr>
              <w:t>ROCE</w:t>
            </w:r>
            <w:r w:rsidR="00C625D3" w:rsidRPr="00C625D3">
              <w:rPr>
                <w:bCs/>
                <w:szCs w:val="16"/>
              </w:rPr>
              <w:t xml:space="preserve"> (</w:t>
            </w:r>
            <w:r w:rsidRPr="00C625D3">
              <w:rPr>
                <w:bCs/>
                <w:szCs w:val="16"/>
              </w:rPr>
              <w:t>%</w:t>
            </w:r>
            <w:r w:rsidR="00C625D3" w:rsidRPr="00C625D3">
              <w:rPr>
                <w:bCs/>
                <w:szCs w:val="16"/>
              </w:rPr>
              <w:t>)</w:t>
            </w:r>
          </w:p>
        </w:tc>
        <w:tc>
          <w:tcPr>
            <w:tcW w:w="1085" w:type="dxa"/>
            <w:tcBorders>
              <w:top w:val="nil"/>
              <w:bottom w:val="single" w:sz="4" w:space="0" w:color="auto"/>
            </w:tcBorders>
            <w:vAlign w:val="center"/>
          </w:tcPr>
          <w:p w14:paraId="6FEC0741" w14:textId="77777777" w:rsidR="008642D0" w:rsidRPr="00C625D3" w:rsidRDefault="008642D0" w:rsidP="00C625D3">
            <w:pPr>
              <w:pStyle w:val="ExhibitText"/>
              <w:jc w:val="right"/>
              <w:rPr>
                <w:szCs w:val="16"/>
              </w:rPr>
            </w:pPr>
            <w:r w:rsidRPr="00C625D3">
              <w:rPr>
                <w:szCs w:val="16"/>
              </w:rPr>
              <w:t xml:space="preserve">17.2 </w:t>
            </w:r>
          </w:p>
        </w:tc>
        <w:tc>
          <w:tcPr>
            <w:tcW w:w="1086" w:type="dxa"/>
            <w:tcBorders>
              <w:top w:val="nil"/>
              <w:bottom w:val="single" w:sz="4" w:space="0" w:color="auto"/>
            </w:tcBorders>
            <w:vAlign w:val="center"/>
          </w:tcPr>
          <w:p w14:paraId="4CDF4020" w14:textId="77777777" w:rsidR="008642D0" w:rsidRPr="00C625D3" w:rsidRDefault="008642D0" w:rsidP="00C625D3">
            <w:pPr>
              <w:pStyle w:val="ExhibitText"/>
              <w:jc w:val="right"/>
              <w:rPr>
                <w:szCs w:val="16"/>
              </w:rPr>
            </w:pPr>
            <w:r w:rsidRPr="00C625D3">
              <w:rPr>
                <w:szCs w:val="16"/>
              </w:rPr>
              <w:t xml:space="preserve">22.8 </w:t>
            </w:r>
          </w:p>
        </w:tc>
        <w:tc>
          <w:tcPr>
            <w:tcW w:w="1086" w:type="dxa"/>
            <w:tcBorders>
              <w:top w:val="nil"/>
              <w:bottom w:val="single" w:sz="4" w:space="0" w:color="auto"/>
            </w:tcBorders>
            <w:vAlign w:val="center"/>
          </w:tcPr>
          <w:p w14:paraId="2BABDAAD" w14:textId="77777777" w:rsidR="008642D0" w:rsidRPr="00C625D3" w:rsidRDefault="008642D0" w:rsidP="00C625D3">
            <w:pPr>
              <w:pStyle w:val="ExhibitText"/>
              <w:jc w:val="right"/>
              <w:rPr>
                <w:szCs w:val="16"/>
              </w:rPr>
            </w:pPr>
            <w:r w:rsidRPr="00C625D3">
              <w:rPr>
                <w:szCs w:val="16"/>
              </w:rPr>
              <w:t xml:space="preserve">20.7 </w:t>
            </w:r>
          </w:p>
        </w:tc>
        <w:tc>
          <w:tcPr>
            <w:tcW w:w="1086" w:type="dxa"/>
            <w:tcBorders>
              <w:top w:val="nil"/>
              <w:bottom w:val="single" w:sz="4" w:space="0" w:color="auto"/>
            </w:tcBorders>
            <w:noWrap/>
            <w:vAlign w:val="center"/>
            <w:hideMark/>
          </w:tcPr>
          <w:p w14:paraId="7AF0EA86" w14:textId="77777777" w:rsidR="008642D0" w:rsidRPr="00C625D3" w:rsidRDefault="008642D0" w:rsidP="00C625D3">
            <w:pPr>
              <w:pStyle w:val="ExhibitText"/>
              <w:jc w:val="right"/>
              <w:rPr>
                <w:szCs w:val="16"/>
              </w:rPr>
            </w:pPr>
            <w:r w:rsidRPr="00C625D3">
              <w:rPr>
                <w:szCs w:val="16"/>
              </w:rPr>
              <w:t xml:space="preserve">17.6 </w:t>
            </w:r>
          </w:p>
        </w:tc>
        <w:tc>
          <w:tcPr>
            <w:tcW w:w="1086" w:type="dxa"/>
            <w:tcBorders>
              <w:top w:val="nil"/>
              <w:bottom w:val="single" w:sz="4" w:space="0" w:color="auto"/>
            </w:tcBorders>
            <w:vAlign w:val="center"/>
          </w:tcPr>
          <w:p w14:paraId="0762020E" w14:textId="77777777" w:rsidR="008642D0" w:rsidRPr="00C625D3" w:rsidRDefault="008642D0" w:rsidP="00C625D3">
            <w:pPr>
              <w:pStyle w:val="ExhibitText"/>
              <w:jc w:val="right"/>
              <w:rPr>
                <w:szCs w:val="16"/>
              </w:rPr>
            </w:pPr>
            <w:r w:rsidRPr="00C625D3">
              <w:rPr>
                <w:szCs w:val="16"/>
              </w:rPr>
              <w:t>18.5</w:t>
            </w:r>
          </w:p>
        </w:tc>
      </w:tr>
      <w:tr w:rsidR="008642D0" w:rsidRPr="00C625D3" w14:paraId="6D106392" w14:textId="77777777" w:rsidTr="00D64AE1">
        <w:trPr>
          <w:trHeight w:val="270"/>
          <w:jc w:val="center"/>
        </w:trPr>
        <w:tc>
          <w:tcPr>
            <w:tcW w:w="3931" w:type="dxa"/>
            <w:tcBorders>
              <w:top w:val="single" w:sz="4" w:space="0" w:color="auto"/>
              <w:bottom w:val="nil"/>
            </w:tcBorders>
            <w:noWrap/>
            <w:vAlign w:val="center"/>
            <w:hideMark/>
          </w:tcPr>
          <w:p w14:paraId="48E74096" w14:textId="3CF72340" w:rsidR="008642D0" w:rsidRPr="00C625D3" w:rsidRDefault="00C625D3" w:rsidP="00C625D3">
            <w:pPr>
              <w:pStyle w:val="ExhibitText"/>
              <w:jc w:val="left"/>
              <w:rPr>
                <w:bCs/>
                <w:szCs w:val="16"/>
              </w:rPr>
            </w:pPr>
            <w:r w:rsidRPr="00C625D3">
              <w:rPr>
                <w:bCs/>
                <w:szCs w:val="16"/>
              </w:rPr>
              <w:t>E</w:t>
            </w:r>
            <w:r w:rsidR="008642D0" w:rsidRPr="00C625D3">
              <w:rPr>
                <w:bCs/>
                <w:szCs w:val="16"/>
              </w:rPr>
              <w:t>arnings per share (A-shares)</w:t>
            </w:r>
          </w:p>
        </w:tc>
        <w:tc>
          <w:tcPr>
            <w:tcW w:w="1085" w:type="dxa"/>
            <w:tcBorders>
              <w:top w:val="single" w:sz="4" w:space="0" w:color="auto"/>
              <w:bottom w:val="nil"/>
            </w:tcBorders>
            <w:vAlign w:val="center"/>
          </w:tcPr>
          <w:p w14:paraId="6AA58F89" w14:textId="77777777" w:rsidR="008642D0" w:rsidRPr="00C625D3" w:rsidRDefault="008642D0" w:rsidP="00C625D3">
            <w:pPr>
              <w:pStyle w:val="ExhibitText"/>
              <w:jc w:val="right"/>
              <w:rPr>
                <w:szCs w:val="16"/>
              </w:rPr>
            </w:pPr>
            <w:r w:rsidRPr="00C625D3">
              <w:rPr>
                <w:szCs w:val="16"/>
              </w:rPr>
              <w:t xml:space="preserve">7.29 </w:t>
            </w:r>
          </w:p>
        </w:tc>
        <w:tc>
          <w:tcPr>
            <w:tcW w:w="1086" w:type="dxa"/>
            <w:tcBorders>
              <w:top w:val="single" w:sz="4" w:space="0" w:color="auto"/>
              <w:bottom w:val="nil"/>
            </w:tcBorders>
            <w:vAlign w:val="center"/>
          </w:tcPr>
          <w:p w14:paraId="6C805AD3" w14:textId="77777777" w:rsidR="008642D0" w:rsidRPr="00C625D3" w:rsidRDefault="008642D0" w:rsidP="00C625D3">
            <w:pPr>
              <w:pStyle w:val="ExhibitText"/>
              <w:jc w:val="right"/>
              <w:rPr>
                <w:szCs w:val="16"/>
              </w:rPr>
            </w:pPr>
            <w:r w:rsidRPr="00C625D3">
              <w:rPr>
                <w:szCs w:val="16"/>
              </w:rPr>
              <w:t xml:space="preserve">7.40 </w:t>
            </w:r>
          </w:p>
        </w:tc>
        <w:tc>
          <w:tcPr>
            <w:tcW w:w="1086" w:type="dxa"/>
            <w:tcBorders>
              <w:top w:val="single" w:sz="4" w:space="0" w:color="auto"/>
              <w:bottom w:val="nil"/>
            </w:tcBorders>
            <w:vAlign w:val="center"/>
          </w:tcPr>
          <w:p w14:paraId="13294B9D" w14:textId="77777777" w:rsidR="008642D0" w:rsidRPr="00C625D3" w:rsidRDefault="008642D0" w:rsidP="00C625D3">
            <w:pPr>
              <w:pStyle w:val="ExhibitText"/>
              <w:jc w:val="right"/>
              <w:rPr>
                <w:szCs w:val="16"/>
              </w:rPr>
            </w:pPr>
            <w:r w:rsidRPr="00C625D3">
              <w:rPr>
                <w:szCs w:val="16"/>
              </w:rPr>
              <w:t xml:space="preserve">7.49 </w:t>
            </w:r>
          </w:p>
        </w:tc>
        <w:tc>
          <w:tcPr>
            <w:tcW w:w="1086" w:type="dxa"/>
            <w:tcBorders>
              <w:top w:val="single" w:sz="4" w:space="0" w:color="auto"/>
              <w:bottom w:val="nil"/>
            </w:tcBorders>
            <w:noWrap/>
            <w:vAlign w:val="center"/>
            <w:hideMark/>
          </w:tcPr>
          <w:p w14:paraId="32467C5C" w14:textId="77777777" w:rsidR="008642D0" w:rsidRPr="00C625D3" w:rsidRDefault="008642D0" w:rsidP="00C625D3">
            <w:pPr>
              <w:pStyle w:val="ExhibitText"/>
              <w:jc w:val="right"/>
              <w:rPr>
                <w:szCs w:val="16"/>
              </w:rPr>
            </w:pPr>
            <w:r w:rsidRPr="00C625D3">
              <w:rPr>
                <w:szCs w:val="16"/>
              </w:rPr>
              <w:t xml:space="preserve">7.01 </w:t>
            </w:r>
          </w:p>
        </w:tc>
        <w:tc>
          <w:tcPr>
            <w:tcW w:w="1086" w:type="dxa"/>
            <w:tcBorders>
              <w:top w:val="single" w:sz="4" w:space="0" w:color="auto"/>
              <w:bottom w:val="nil"/>
            </w:tcBorders>
            <w:vAlign w:val="center"/>
          </w:tcPr>
          <w:p w14:paraId="551DA359" w14:textId="77777777" w:rsidR="008642D0" w:rsidRPr="00C625D3" w:rsidRDefault="008642D0" w:rsidP="00C625D3">
            <w:pPr>
              <w:pStyle w:val="ExhibitText"/>
              <w:jc w:val="right"/>
              <w:rPr>
                <w:szCs w:val="16"/>
              </w:rPr>
            </w:pPr>
            <w:r w:rsidRPr="00C625D3">
              <w:rPr>
                <w:szCs w:val="16"/>
              </w:rPr>
              <w:t>8.04</w:t>
            </w:r>
          </w:p>
        </w:tc>
      </w:tr>
      <w:tr w:rsidR="008642D0" w:rsidRPr="00C625D3" w14:paraId="7BFB5184" w14:textId="77777777" w:rsidTr="00B92428">
        <w:trPr>
          <w:trHeight w:val="270"/>
          <w:jc w:val="center"/>
        </w:trPr>
        <w:tc>
          <w:tcPr>
            <w:tcW w:w="3931" w:type="dxa"/>
            <w:tcBorders>
              <w:top w:val="nil"/>
              <w:bottom w:val="single" w:sz="4" w:space="0" w:color="auto"/>
            </w:tcBorders>
            <w:noWrap/>
            <w:vAlign w:val="center"/>
            <w:hideMark/>
          </w:tcPr>
          <w:p w14:paraId="28C8DADE" w14:textId="70101607" w:rsidR="008642D0" w:rsidRPr="00C625D3" w:rsidRDefault="008642D0" w:rsidP="00C625D3">
            <w:pPr>
              <w:pStyle w:val="ExhibitText"/>
              <w:jc w:val="left"/>
              <w:rPr>
                <w:bCs/>
                <w:szCs w:val="16"/>
              </w:rPr>
            </w:pPr>
            <w:r w:rsidRPr="00C625D3">
              <w:rPr>
                <w:bCs/>
                <w:szCs w:val="16"/>
              </w:rPr>
              <w:t>Price/earnings ratio (on Dec. 31)</w:t>
            </w:r>
          </w:p>
        </w:tc>
        <w:tc>
          <w:tcPr>
            <w:tcW w:w="1085" w:type="dxa"/>
            <w:tcBorders>
              <w:top w:val="nil"/>
              <w:bottom w:val="single" w:sz="4" w:space="0" w:color="auto"/>
            </w:tcBorders>
            <w:vAlign w:val="center"/>
          </w:tcPr>
          <w:p w14:paraId="3C812FD2" w14:textId="77777777" w:rsidR="008642D0" w:rsidRPr="00C625D3" w:rsidRDefault="008642D0" w:rsidP="00C625D3">
            <w:pPr>
              <w:pStyle w:val="ExhibitText"/>
              <w:jc w:val="right"/>
              <w:rPr>
                <w:szCs w:val="16"/>
              </w:rPr>
            </w:pPr>
            <w:r w:rsidRPr="00C625D3">
              <w:rPr>
                <w:szCs w:val="16"/>
              </w:rPr>
              <w:t xml:space="preserve">9.20 </w:t>
            </w:r>
          </w:p>
        </w:tc>
        <w:tc>
          <w:tcPr>
            <w:tcW w:w="1086" w:type="dxa"/>
            <w:tcBorders>
              <w:top w:val="nil"/>
              <w:bottom w:val="single" w:sz="4" w:space="0" w:color="auto"/>
            </w:tcBorders>
            <w:vAlign w:val="center"/>
          </w:tcPr>
          <w:p w14:paraId="43145578" w14:textId="77777777" w:rsidR="008642D0" w:rsidRPr="00C625D3" w:rsidRDefault="008642D0" w:rsidP="00C625D3">
            <w:pPr>
              <w:pStyle w:val="ExhibitText"/>
              <w:jc w:val="right"/>
              <w:rPr>
                <w:szCs w:val="16"/>
              </w:rPr>
            </w:pPr>
            <w:r w:rsidRPr="00C625D3">
              <w:rPr>
                <w:szCs w:val="16"/>
              </w:rPr>
              <w:t xml:space="preserve">14.00 </w:t>
            </w:r>
          </w:p>
        </w:tc>
        <w:tc>
          <w:tcPr>
            <w:tcW w:w="1086" w:type="dxa"/>
            <w:tcBorders>
              <w:top w:val="nil"/>
              <w:bottom w:val="single" w:sz="4" w:space="0" w:color="auto"/>
            </w:tcBorders>
            <w:vAlign w:val="center"/>
          </w:tcPr>
          <w:p w14:paraId="7E1FAFB0" w14:textId="77777777" w:rsidR="008642D0" w:rsidRPr="00C625D3" w:rsidRDefault="008642D0" w:rsidP="00C625D3">
            <w:pPr>
              <w:pStyle w:val="ExhibitText"/>
              <w:jc w:val="right"/>
              <w:rPr>
                <w:szCs w:val="16"/>
              </w:rPr>
            </w:pPr>
            <w:r w:rsidRPr="00C625D3">
              <w:rPr>
                <w:szCs w:val="16"/>
              </w:rPr>
              <w:t xml:space="preserve">14.60 </w:t>
            </w:r>
          </w:p>
        </w:tc>
        <w:tc>
          <w:tcPr>
            <w:tcW w:w="1086" w:type="dxa"/>
            <w:tcBorders>
              <w:top w:val="nil"/>
              <w:bottom w:val="single" w:sz="4" w:space="0" w:color="auto"/>
            </w:tcBorders>
            <w:noWrap/>
            <w:vAlign w:val="center"/>
            <w:hideMark/>
          </w:tcPr>
          <w:p w14:paraId="20A3DDA3" w14:textId="77777777" w:rsidR="008642D0" w:rsidRPr="00C625D3" w:rsidRDefault="008642D0" w:rsidP="00C625D3">
            <w:pPr>
              <w:pStyle w:val="ExhibitText"/>
              <w:jc w:val="right"/>
              <w:rPr>
                <w:szCs w:val="16"/>
              </w:rPr>
            </w:pPr>
            <w:r w:rsidRPr="00C625D3">
              <w:rPr>
                <w:szCs w:val="16"/>
              </w:rPr>
              <w:t xml:space="preserve">15.60 </w:t>
            </w:r>
          </w:p>
        </w:tc>
        <w:tc>
          <w:tcPr>
            <w:tcW w:w="1086" w:type="dxa"/>
            <w:tcBorders>
              <w:top w:val="nil"/>
              <w:bottom w:val="single" w:sz="4" w:space="0" w:color="auto"/>
            </w:tcBorders>
            <w:vAlign w:val="center"/>
          </w:tcPr>
          <w:p w14:paraId="497A82DE" w14:textId="4AD58E1F" w:rsidR="008642D0" w:rsidRPr="00C625D3" w:rsidRDefault="008642D0" w:rsidP="00C625D3">
            <w:pPr>
              <w:pStyle w:val="ExhibitText"/>
              <w:jc w:val="right"/>
              <w:rPr>
                <w:szCs w:val="16"/>
              </w:rPr>
            </w:pPr>
            <w:r w:rsidRPr="00C625D3">
              <w:rPr>
                <w:szCs w:val="16"/>
              </w:rPr>
              <w:t>17.8</w:t>
            </w:r>
            <w:r w:rsidR="00C625D3">
              <w:rPr>
                <w:szCs w:val="16"/>
              </w:rPr>
              <w:t>0</w:t>
            </w:r>
          </w:p>
        </w:tc>
      </w:tr>
      <w:tr w:rsidR="008642D0" w:rsidRPr="00C625D3" w14:paraId="63B24B16" w14:textId="77777777" w:rsidTr="00B92428">
        <w:trPr>
          <w:trHeight w:val="270"/>
          <w:jc w:val="center"/>
        </w:trPr>
        <w:tc>
          <w:tcPr>
            <w:tcW w:w="3931" w:type="dxa"/>
            <w:tcBorders>
              <w:top w:val="single" w:sz="4" w:space="0" w:color="auto"/>
              <w:bottom w:val="single" w:sz="4" w:space="0" w:color="auto"/>
            </w:tcBorders>
            <w:noWrap/>
            <w:vAlign w:val="center"/>
            <w:hideMark/>
          </w:tcPr>
          <w:p w14:paraId="7373311B" w14:textId="7472A128" w:rsidR="008642D0" w:rsidRPr="00C625D3" w:rsidRDefault="00C625D3" w:rsidP="00C625D3">
            <w:pPr>
              <w:pStyle w:val="ExhibitText"/>
              <w:jc w:val="left"/>
              <w:rPr>
                <w:bCs/>
              </w:rPr>
            </w:pPr>
            <w:r w:rsidRPr="00C625D3">
              <w:rPr>
                <w:bCs/>
              </w:rPr>
              <w:t>A</w:t>
            </w:r>
            <w:r w:rsidR="008642D0" w:rsidRPr="00C625D3">
              <w:rPr>
                <w:bCs/>
              </w:rPr>
              <w:t>verage employees (</w:t>
            </w:r>
            <w:r w:rsidRPr="00C625D3">
              <w:rPr>
                <w:bCs/>
              </w:rPr>
              <w:t>#</w:t>
            </w:r>
            <w:r w:rsidR="008642D0" w:rsidRPr="00C625D3">
              <w:rPr>
                <w:bCs/>
              </w:rPr>
              <w:t>)</w:t>
            </w:r>
          </w:p>
        </w:tc>
        <w:tc>
          <w:tcPr>
            <w:tcW w:w="1085" w:type="dxa"/>
            <w:tcBorders>
              <w:top w:val="single" w:sz="4" w:space="0" w:color="auto"/>
              <w:bottom w:val="single" w:sz="4" w:space="0" w:color="auto"/>
            </w:tcBorders>
            <w:vAlign w:val="center"/>
          </w:tcPr>
          <w:p w14:paraId="252FD843" w14:textId="77777777" w:rsidR="008642D0" w:rsidRPr="00C625D3" w:rsidRDefault="008642D0" w:rsidP="00C625D3">
            <w:pPr>
              <w:pStyle w:val="ExhibitText"/>
              <w:jc w:val="right"/>
            </w:pPr>
            <w:r w:rsidRPr="00C625D3">
              <w:t>1,551</w:t>
            </w:r>
          </w:p>
        </w:tc>
        <w:tc>
          <w:tcPr>
            <w:tcW w:w="1086" w:type="dxa"/>
            <w:tcBorders>
              <w:top w:val="single" w:sz="4" w:space="0" w:color="auto"/>
              <w:bottom w:val="single" w:sz="4" w:space="0" w:color="auto"/>
            </w:tcBorders>
            <w:vAlign w:val="center"/>
          </w:tcPr>
          <w:p w14:paraId="37885B21" w14:textId="77777777" w:rsidR="008642D0" w:rsidRPr="00C625D3" w:rsidRDefault="008642D0" w:rsidP="00C625D3">
            <w:pPr>
              <w:pStyle w:val="ExhibitText"/>
              <w:jc w:val="right"/>
            </w:pPr>
            <w:r w:rsidRPr="00C625D3">
              <w:t>1,767</w:t>
            </w:r>
          </w:p>
        </w:tc>
        <w:tc>
          <w:tcPr>
            <w:tcW w:w="1086" w:type="dxa"/>
            <w:tcBorders>
              <w:top w:val="single" w:sz="4" w:space="0" w:color="auto"/>
              <w:bottom w:val="single" w:sz="4" w:space="0" w:color="auto"/>
            </w:tcBorders>
            <w:vAlign w:val="center"/>
          </w:tcPr>
          <w:p w14:paraId="051CE432" w14:textId="77777777" w:rsidR="008642D0" w:rsidRPr="00C625D3" w:rsidRDefault="008642D0" w:rsidP="00C625D3">
            <w:pPr>
              <w:pStyle w:val="ExhibitText"/>
              <w:jc w:val="right"/>
            </w:pPr>
            <w:r w:rsidRPr="00C625D3">
              <w:t>1,806</w:t>
            </w:r>
          </w:p>
        </w:tc>
        <w:tc>
          <w:tcPr>
            <w:tcW w:w="1086" w:type="dxa"/>
            <w:tcBorders>
              <w:top w:val="single" w:sz="4" w:space="0" w:color="auto"/>
              <w:bottom w:val="single" w:sz="4" w:space="0" w:color="auto"/>
            </w:tcBorders>
            <w:noWrap/>
            <w:vAlign w:val="center"/>
            <w:hideMark/>
          </w:tcPr>
          <w:p w14:paraId="406B1886" w14:textId="77777777" w:rsidR="008642D0" w:rsidRPr="00C625D3" w:rsidRDefault="008642D0" w:rsidP="00C625D3">
            <w:pPr>
              <w:pStyle w:val="ExhibitText"/>
              <w:jc w:val="right"/>
            </w:pPr>
            <w:r w:rsidRPr="00C625D3">
              <w:t>1,950</w:t>
            </w:r>
          </w:p>
        </w:tc>
        <w:tc>
          <w:tcPr>
            <w:tcW w:w="1086" w:type="dxa"/>
            <w:tcBorders>
              <w:top w:val="single" w:sz="4" w:space="0" w:color="auto"/>
              <w:bottom w:val="single" w:sz="4" w:space="0" w:color="auto"/>
            </w:tcBorders>
            <w:vAlign w:val="center"/>
          </w:tcPr>
          <w:p w14:paraId="679895A8" w14:textId="7A257371" w:rsidR="008642D0" w:rsidRPr="00C625D3" w:rsidRDefault="008642D0" w:rsidP="00C625D3">
            <w:pPr>
              <w:pStyle w:val="ExhibitText"/>
              <w:jc w:val="right"/>
            </w:pPr>
            <w:r w:rsidRPr="00C625D3">
              <w:t>2</w:t>
            </w:r>
            <w:r w:rsidR="002E33DD" w:rsidRPr="00C625D3">
              <w:t>,</w:t>
            </w:r>
            <w:r w:rsidRPr="00C625D3">
              <w:t>012</w:t>
            </w:r>
          </w:p>
        </w:tc>
      </w:tr>
      <w:tr w:rsidR="008642D0" w:rsidRPr="008642D0" w14:paraId="7722BD8E" w14:textId="77777777" w:rsidTr="00B92428">
        <w:trPr>
          <w:trHeight w:val="270"/>
          <w:jc w:val="center"/>
        </w:trPr>
        <w:tc>
          <w:tcPr>
            <w:tcW w:w="3931" w:type="dxa"/>
            <w:tcBorders>
              <w:top w:val="single" w:sz="4" w:space="0" w:color="auto"/>
            </w:tcBorders>
            <w:noWrap/>
            <w:vAlign w:val="center"/>
          </w:tcPr>
          <w:p w14:paraId="49F76AE6" w14:textId="77777777" w:rsidR="008642D0" w:rsidRPr="00C625D3" w:rsidRDefault="008642D0" w:rsidP="00C625D3">
            <w:pPr>
              <w:pStyle w:val="ExhibitText"/>
              <w:jc w:val="left"/>
              <w:rPr>
                <w:bCs/>
                <w:sz w:val="16"/>
                <w:szCs w:val="16"/>
              </w:rPr>
            </w:pPr>
            <w:r w:rsidRPr="00C625D3">
              <w:t>Exchange rates at year end:</w:t>
            </w:r>
          </w:p>
        </w:tc>
        <w:tc>
          <w:tcPr>
            <w:tcW w:w="1085" w:type="dxa"/>
            <w:tcBorders>
              <w:top w:val="single" w:sz="4" w:space="0" w:color="auto"/>
            </w:tcBorders>
            <w:vAlign w:val="center"/>
          </w:tcPr>
          <w:p w14:paraId="33CCE694" w14:textId="77777777" w:rsidR="008642D0" w:rsidRPr="008642D0" w:rsidRDefault="008642D0" w:rsidP="00C625D3">
            <w:pPr>
              <w:pStyle w:val="ExhibitText"/>
              <w:jc w:val="right"/>
              <w:rPr>
                <w:sz w:val="16"/>
                <w:szCs w:val="16"/>
              </w:rPr>
            </w:pPr>
          </w:p>
        </w:tc>
        <w:tc>
          <w:tcPr>
            <w:tcW w:w="1086" w:type="dxa"/>
            <w:tcBorders>
              <w:top w:val="single" w:sz="4" w:space="0" w:color="auto"/>
            </w:tcBorders>
            <w:vAlign w:val="center"/>
          </w:tcPr>
          <w:p w14:paraId="56B67A41" w14:textId="77777777" w:rsidR="008642D0" w:rsidRPr="008642D0" w:rsidRDefault="008642D0" w:rsidP="00C625D3">
            <w:pPr>
              <w:pStyle w:val="ExhibitText"/>
              <w:jc w:val="right"/>
              <w:rPr>
                <w:sz w:val="16"/>
                <w:szCs w:val="16"/>
              </w:rPr>
            </w:pPr>
          </w:p>
        </w:tc>
        <w:tc>
          <w:tcPr>
            <w:tcW w:w="1086" w:type="dxa"/>
            <w:tcBorders>
              <w:top w:val="single" w:sz="4" w:space="0" w:color="auto"/>
            </w:tcBorders>
            <w:vAlign w:val="center"/>
          </w:tcPr>
          <w:p w14:paraId="317CFC30" w14:textId="77777777" w:rsidR="008642D0" w:rsidRPr="008642D0" w:rsidRDefault="008642D0" w:rsidP="00C625D3">
            <w:pPr>
              <w:pStyle w:val="ExhibitText"/>
              <w:jc w:val="right"/>
              <w:rPr>
                <w:sz w:val="16"/>
                <w:szCs w:val="16"/>
              </w:rPr>
            </w:pPr>
          </w:p>
        </w:tc>
        <w:tc>
          <w:tcPr>
            <w:tcW w:w="1086" w:type="dxa"/>
            <w:tcBorders>
              <w:top w:val="single" w:sz="4" w:space="0" w:color="auto"/>
            </w:tcBorders>
            <w:noWrap/>
            <w:vAlign w:val="center"/>
          </w:tcPr>
          <w:p w14:paraId="22E3787C" w14:textId="77777777" w:rsidR="008642D0" w:rsidRPr="008642D0" w:rsidRDefault="008642D0" w:rsidP="00C625D3">
            <w:pPr>
              <w:pStyle w:val="ExhibitText"/>
              <w:jc w:val="right"/>
              <w:rPr>
                <w:sz w:val="16"/>
                <w:szCs w:val="16"/>
              </w:rPr>
            </w:pPr>
          </w:p>
        </w:tc>
        <w:tc>
          <w:tcPr>
            <w:tcW w:w="1086" w:type="dxa"/>
            <w:tcBorders>
              <w:top w:val="single" w:sz="4" w:space="0" w:color="auto"/>
            </w:tcBorders>
            <w:vAlign w:val="center"/>
          </w:tcPr>
          <w:p w14:paraId="0B91E59F" w14:textId="77777777" w:rsidR="008642D0" w:rsidRPr="008642D0" w:rsidRDefault="008642D0" w:rsidP="00C625D3">
            <w:pPr>
              <w:pStyle w:val="ExhibitText"/>
              <w:jc w:val="right"/>
              <w:rPr>
                <w:sz w:val="16"/>
                <w:szCs w:val="16"/>
              </w:rPr>
            </w:pPr>
          </w:p>
        </w:tc>
      </w:tr>
      <w:tr w:rsidR="008642D0" w:rsidRPr="008642D0" w14:paraId="02C2343F" w14:textId="77777777" w:rsidTr="00B92428">
        <w:trPr>
          <w:trHeight w:val="270"/>
          <w:jc w:val="center"/>
        </w:trPr>
        <w:tc>
          <w:tcPr>
            <w:tcW w:w="3931" w:type="dxa"/>
            <w:noWrap/>
            <w:vAlign w:val="center"/>
          </w:tcPr>
          <w:p w14:paraId="0ACEE4A7" w14:textId="6C9D7609" w:rsidR="008642D0" w:rsidRPr="00C625D3" w:rsidRDefault="00C625D3" w:rsidP="00D64AE1">
            <w:pPr>
              <w:pStyle w:val="ExhibitText"/>
              <w:ind w:left="720"/>
              <w:jc w:val="left"/>
            </w:pPr>
            <w:r w:rsidRPr="00C625D3">
              <w:t>CHF</w:t>
            </w:r>
            <w:r w:rsidR="008642D0" w:rsidRPr="00C625D3">
              <w:t>/USD</w:t>
            </w:r>
          </w:p>
          <w:p w14:paraId="3E269C15" w14:textId="6FC636DF" w:rsidR="008642D0" w:rsidRPr="00C625D3" w:rsidRDefault="00C625D3" w:rsidP="00D64AE1">
            <w:pPr>
              <w:pStyle w:val="ExhibitText"/>
              <w:ind w:left="720"/>
              <w:jc w:val="left"/>
            </w:pPr>
            <w:r w:rsidRPr="00C625D3">
              <w:t>CHF</w:t>
            </w:r>
            <w:r w:rsidR="008642D0" w:rsidRPr="00C625D3">
              <w:t>/EUR</w:t>
            </w:r>
          </w:p>
        </w:tc>
        <w:tc>
          <w:tcPr>
            <w:tcW w:w="1085" w:type="dxa"/>
            <w:vAlign w:val="center"/>
          </w:tcPr>
          <w:p w14:paraId="6A3E9B0E" w14:textId="77777777" w:rsidR="008642D0" w:rsidRPr="008642D0" w:rsidRDefault="008642D0" w:rsidP="00C625D3">
            <w:pPr>
              <w:pStyle w:val="ExhibitText"/>
              <w:jc w:val="right"/>
            </w:pPr>
            <w:r w:rsidRPr="008642D0">
              <w:t>1.09</w:t>
            </w:r>
          </w:p>
          <w:p w14:paraId="7ECF6896" w14:textId="77777777" w:rsidR="008642D0" w:rsidRPr="008642D0" w:rsidRDefault="008642D0" w:rsidP="00C625D3">
            <w:pPr>
              <w:pStyle w:val="ExhibitText"/>
              <w:jc w:val="right"/>
            </w:pPr>
            <w:r w:rsidRPr="008642D0">
              <w:t>0.83</w:t>
            </w:r>
          </w:p>
        </w:tc>
        <w:tc>
          <w:tcPr>
            <w:tcW w:w="1086" w:type="dxa"/>
            <w:vAlign w:val="center"/>
          </w:tcPr>
          <w:p w14:paraId="75EC3009" w14:textId="77777777" w:rsidR="008642D0" w:rsidRPr="008642D0" w:rsidRDefault="008642D0" w:rsidP="00C625D3">
            <w:pPr>
              <w:pStyle w:val="ExhibitText"/>
              <w:jc w:val="right"/>
            </w:pPr>
            <w:r w:rsidRPr="008642D0">
              <w:t>1.12</w:t>
            </w:r>
          </w:p>
          <w:p w14:paraId="00FBB8B1" w14:textId="77777777" w:rsidR="008642D0" w:rsidRPr="008642D0" w:rsidRDefault="008642D0" w:rsidP="00C625D3">
            <w:pPr>
              <w:pStyle w:val="ExhibitText"/>
              <w:jc w:val="right"/>
            </w:pPr>
            <w:r w:rsidRPr="008642D0">
              <w:t>0.82</w:t>
            </w:r>
          </w:p>
        </w:tc>
        <w:tc>
          <w:tcPr>
            <w:tcW w:w="1086" w:type="dxa"/>
            <w:vAlign w:val="center"/>
          </w:tcPr>
          <w:p w14:paraId="53E915AC" w14:textId="77777777" w:rsidR="008642D0" w:rsidRPr="008642D0" w:rsidRDefault="008642D0" w:rsidP="00C625D3">
            <w:pPr>
              <w:pStyle w:val="ExhibitText"/>
              <w:jc w:val="right"/>
            </w:pPr>
            <w:r w:rsidRPr="008642D0">
              <w:t>1.01</w:t>
            </w:r>
          </w:p>
          <w:p w14:paraId="2FF14A3E" w14:textId="77777777" w:rsidR="008642D0" w:rsidRPr="008642D0" w:rsidRDefault="008642D0" w:rsidP="00C625D3">
            <w:pPr>
              <w:pStyle w:val="ExhibitText"/>
              <w:jc w:val="right"/>
            </w:pPr>
            <w:r w:rsidRPr="008642D0">
              <w:t>0.83</w:t>
            </w:r>
          </w:p>
        </w:tc>
        <w:tc>
          <w:tcPr>
            <w:tcW w:w="1086" w:type="dxa"/>
            <w:noWrap/>
            <w:vAlign w:val="center"/>
          </w:tcPr>
          <w:p w14:paraId="56B9FAE6" w14:textId="77777777" w:rsidR="008642D0" w:rsidRPr="008642D0" w:rsidRDefault="008642D0" w:rsidP="00C625D3">
            <w:pPr>
              <w:pStyle w:val="ExhibitText"/>
              <w:jc w:val="right"/>
            </w:pPr>
            <w:r w:rsidRPr="008642D0">
              <w:t>1.01</w:t>
            </w:r>
          </w:p>
          <w:p w14:paraId="37DB233F" w14:textId="77777777" w:rsidR="008642D0" w:rsidRPr="008642D0" w:rsidRDefault="008642D0" w:rsidP="00C625D3">
            <w:pPr>
              <w:pStyle w:val="ExhibitText"/>
              <w:jc w:val="right"/>
            </w:pPr>
            <w:r w:rsidRPr="008642D0">
              <w:t>0.92</w:t>
            </w:r>
          </w:p>
        </w:tc>
        <w:tc>
          <w:tcPr>
            <w:tcW w:w="1086" w:type="dxa"/>
            <w:vAlign w:val="center"/>
          </w:tcPr>
          <w:p w14:paraId="6CE3EB9F" w14:textId="77777777" w:rsidR="008642D0" w:rsidRPr="008642D0" w:rsidRDefault="008642D0" w:rsidP="00C625D3">
            <w:pPr>
              <w:pStyle w:val="ExhibitText"/>
              <w:jc w:val="right"/>
            </w:pPr>
            <w:r w:rsidRPr="008642D0">
              <w:t>0.98</w:t>
            </w:r>
          </w:p>
          <w:p w14:paraId="7ED31464" w14:textId="77777777" w:rsidR="008642D0" w:rsidRPr="008642D0" w:rsidRDefault="008642D0" w:rsidP="00C625D3">
            <w:pPr>
              <w:pStyle w:val="ExhibitText"/>
              <w:jc w:val="right"/>
            </w:pPr>
            <w:r w:rsidRPr="008642D0">
              <w:t>0.93</w:t>
            </w:r>
          </w:p>
        </w:tc>
      </w:tr>
    </w:tbl>
    <w:p w14:paraId="6F5B085C" w14:textId="77777777" w:rsidR="008642D0" w:rsidRDefault="008642D0" w:rsidP="00D64AE1">
      <w:pPr>
        <w:pStyle w:val="ExhibitText"/>
      </w:pPr>
    </w:p>
    <w:p w14:paraId="5F78DBC6" w14:textId="44C071CA" w:rsidR="00C625D3" w:rsidRDefault="00C625D3" w:rsidP="002E6591">
      <w:pPr>
        <w:pStyle w:val="Footnote"/>
        <w:outlineLvl w:val="0"/>
      </w:pPr>
      <w:r>
        <w:t>Note: CHF = Swiss franc</w:t>
      </w:r>
      <w:r w:rsidR="00B92428">
        <w:t>s</w:t>
      </w:r>
      <w:r>
        <w:t xml:space="preserve">; EBITDA = earnings before interest, taxes, depreciation, and amortization; EBITA = earnings before interest, taxes, and amortization; ROE = </w:t>
      </w:r>
      <w:r>
        <w:rPr>
          <w:bCs/>
        </w:rPr>
        <w:t>return on equity; ROCE = r</w:t>
      </w:r>
      <w:r w:rsidR="008642D0" w:rsidRPr="00C625D3">
        <w:rPr>
          <w:bCs/>
        </w:rPr>
        <w:t>eturn on average capital employed</w:t>
      </w:r>
      <w:r>
        <w:t>.</w:t>
      </w:r>
    </w:p>
    <w:p w14:paraId="125CA976" w14:textId="2994E216" w:rsidR="008642D0" w:rsidRPr="008642D0" w:rsidRDefault="008642D0" w:rsidP="002E6591">
      <w:pPr>
        <w:pStyle w:val="Footnote"/>
        <w:outlineLvl w:val="0"/>
      </w:pPr>
      <w:r w:rsidRPr="008642D0">
        <w:t xml:space="preserve">Source: </w:t>
      </w:r>
      <w:r w:rsidR="004A4D18">
        <w:t>Company documents.</w:t>
      </w:r>
    </w:p>
    <w:p w14:paraId="07DDDDFA" w14:textId="77777777" w:rsidR="008642D0" w:rsidRDefault="008642D0" w:rsidP="00D64AE1">
      <w:pPr>
        <w:pStyle w:val="ExhibitText"/>
      </w:pPr>
    </w:p>
    <w:p w14:paraId="65996595" w14:textId="77777777" w:rsidR="008642D0" w:rsidRDefault="008642D0" w:rsidP="00D64AE1">
      <w:pPr>
        <w:pStyle w:val="ExhibitText"/>
      </w:pPr>
    </w:p>
    <w:p w14:paraId="48DAF3F3" w14:textId="77777777" w:rsidR="008642D0" w:rsidRDefault="008642D0" w:rsidP="002E6591">
      <w:pPr>
        <w:pStyle w:val="ExhibitHeading"/>
        <w:outlineLvl w:val="0"/>
      </w:pPr>
      <w:r w:rsidRPr="00294F13">
        <w:t xml:space="preserve">Exhibit </w:t>
      </w:r>
      <w:r>
        <w:t>2</w:t>
      </w:r>
      <w:r w:rsidRPr="00294F13">
        <w:t>: International Sales Profile</w:t>
      </w:r>
      <w:r>
        <w:t xml:space="preserve"> (in CHF)</w:t>
      </w:r>
    </w:p>
    <w:p w14:paraId="12CD7D8F" w14:textId="77777777" w:rsidR="008642D0" w:rsidRPr="00294F13" w:rsidRDefault="008642D0" w:rsidP="00D64AE1">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878"/>
        <w:gridCol w:w="878"/>
        <w:gridCol w:w="878"/>
        <w:gridCol w:w="878"/>
        <w:gridCol w:w="878"/>
        <w:gridCol w:w="878"/>
        <w:gridCol w:w="878"/>
        <w:gridCol w:w="878"/>
        <w:gridCol w:w="879"/>
      </w:tblGrid>
      <w:tr w:rsidR="008642D0" w:rsidRPr="00B92428" w14:paraId="26086A22" w14:textId="77777777" w:rsidTr="00B92428">
        <w:trPr>
          <w:trHeight w:val="288"/>
          <w:jc w:val="center"/>
        </w:trPr>
        <w:tc>
          <w:tcPr>
            <w:tcW w:w="1457" w:type="dxa"/>
            <w:tcBorders>
              <w:top w:val="single" w:sz="4" w:space="0" w:color="auto"/>
              <w:bottom w:val="single" w:sz="4" w:space="0" w:color="auto"/>
            </w:tcBorders>
            <w:vAlign w:val="center"/>
          </w:tcPr>
          <w:p w14:paraId="705686FA" w14:textId="77777777" w:rsidR="008642D0" w:rsidRPr="00B92428" w:rsidRDefault="008642D0" w:rsidP="00B92428">
            <w:pPr>
              <w:pStyle w:val="ExhibitText"/>
              <w:jc w:val="left"/>
              <w:rPr>
                <w:b/>
              </w:rPr>
            </w:pPr>
          </w:p>
        </w:tc>
        <w:tc>
          <w:tcPr>
            <w:tcW w:w="878" w:type="dxa"/>
            <w:tcBorders>
              <w:top w:val="single" w:sz="4" w:space="0" w:color="auto"/>
              <w:bottom w:val="single" w:sz="4" w:space="0" w:color="auto"/>
            </w:tcBorders>
            <w:vAlign w:val="center"/>
          </w:tcPr>
          <w:p w14:paraId="42850F38" w14:textId="77777777" w:rsidR="008642D0" w:rsidRPr="00B92428" w:rsidRDefault="008642D0" w:rsidP="00B92428">
            <w:pPr>
              <w:pStyle w:val="ExhibitText"/>
              <w:jc w:val="right"/>
              <w:rPr>
                <w:b/>
              </w:rPr>
            </w:pPr>
            <w:r w:rsidRPr="00B92428">
              <w:rPr>
                <w:b/>
              </w:rPr>
              <w:t>2008</w:t>
            </w:r>
          </w:p>
        </w:tc>
        <w:tc>
          <w:tcPr>
            <w:tcW w:w="878" w:type="dxa"/>
            <w:tcBorders>
              <w:top w:val="single" w:sz="4" w:space="0" w:color="auto"/>
              <w:bottom w:val="single" w:sz="4" w:space="0" w:color="auto"/>
            </w:tcBorders>
            <w:vAlign w:val="center"/>
          </w:tcPr>
          <w:p w14:paraId="05A5AE7D" w14:textId="77777777" w:rsidR="008642D0" w:rsidRPr="00B92428" w:rsidRDefault="008642D0" w:rsidP="00B92428">
            <w:pPr>
              <w:pStyle w:val="ExhibitText"/>
              <w:jc w:val="right"/>
              <w:rPr>
                <w:b/>
              </w:rPr>
            </w:pPr>
            <w:r w:rsidRPr="00B92428">
              <w:rPr>
                <w:b/>
              </w:rPr>
              <w:t>2009</w:t>
            </w:r>
          </w:p>
        </w:tc>
        <w:tc>
          <w:tcPr>
            <w:tcW w:w="878" w:type="dxa"/>
            <w:tcBorders>
              <w:top w:val="single" w:sz="4" w:space="0" w:color="auto"/>
              <w:bottom w:val="single" w:sz="4" w:space="0" w:color="auto"/>
            </w:tcBorders>
            <w:vAlign w:val="center"/>
          </w:tcPr>
          <w:p w14:paraId="4023AE67" w14:textId="77777777" w:rsidR="008642D0" w:rsidRPr="00B92428" w:rsidRDefault="008642D0" w:rsidP="00B92428">
            <w:pPr>
              <w:pStyle w:val="ExhibitText"/>
              <w:jc w:val="right"/>
              <w:rPr>
                <w:b/>
              </w:rPr>
            </w:pPr>
            <w:r w:rsidRPr="00B92428">
              <w:rPr>
                <w:b/>
              </w:rPr>
              <w:t>2010</w:t>
            </w:r>
          </w:p>
        </w:tc>
        <w:tc>
          <w:tcPr>
            <w:tcW w:w="878" w:type="dxa"/>
            <w:tcBorders>
              <w:top w:val="single" w:sz="4" w:space="0" w:color="auto"/>
              <w:bottom w:val="single" w:sz="4" w:space="0" w:color="auto"/>
            </w:tcBorders>
            <w:vAlign w:val="center"/>
          </w:tcPr>
          <w:p w14:paraId="33E679B7" w14:textId="77777777" w:rsidR="008642D0" w:rsidRPr="00B92428" w:rsidRDefault="008642D0" w:rsidP="00B92428">
            <w:pPr>
              <w:pStyle w:val="ExhibitText"/>
              <w:jc w:val="right"/>
              <w:rPr>
                <w:b/>
              </w:rPr>
            </w:pPr>
            <w:r w:rsidRPr="00B92428">
              <w:rPr>
                <w:b/>
              </w:rPr>
              <w:t>2011</w:t>
            </w:r>
          </w:p>
        </w:tc>
        <w:tc>
          <w:tcPr>
            <w:tcW w:w="878" w:type="dxa"/>
            <w:tcBorders>
              <w:top w:val="single" w:sz="4" w:space="0" w:color="auto"/>
              <w:bottom w:val="single" w:sz="4" w:space="0" w:color="auto"/>
            </w:tcBorders>
            <w:vAlign w:val="center"/>
          </w:tcPr>
          <w:p w14:paraId="2BD82238" w14:textId="77777777" w:rsidR="008642D0" w:rsidRPr="00B92428" w:rsidRDefault="008642D0" w:rsidP="00B92428">
            <w:pPr>
              <w:pStyle w:val="ExhibitText"/>
              <w:jc w:val="right"/>
              <w:rPr>
                <w:b/>
              </w:rPr>
            </w:pPr>
            <w:r w:rsidRPr="00B92428">
              <w:rPr>
                <w:b/>
              </w:rPr>
              <w:t>2012</w:t>
            </w:r>
          </w:p>
        </w:tc>
        <w:tc>
          <w:tcPr>
            <w:tcW w:w="878" w:type="dxa"/>
            <w:tcBorders>
              <w:top w:val="single" w:sz="4" w:space="0" w:color="auto"/>
              <w:bottom w:val="single" w:sz="4" w:space="0" w:color="auto"/>
            </w:tcBorders>
            <w:vAlign w:val="center"/>
          </w:tcPr>
          <w:p w14:paraId="1DA595CA" w14:textId="77777777" w:rsidR="008642D0" w:rsidRPr="00B92428" w:rsidRDefault="008642D0" w:rsidP="00B92428">
            <w:pPr>
              <w:pStyle w:val="ExhibitText"/>
              <w:jc w:val="right"/>
              <w:rPr>
                <w:b/>
              </w:rPr>
            </w:pPr>
            <w:r w:rsidRPr="00B92428">
              <w:rPr>
                <w:b/>
              </w:rPr>
              <w:t>2013</w:t>
            </w:r>
          </w:p>
        </w:tc>
        <w:tc>
          <w:tcPr>
            <w:tcW w:w="878" w:type="dxa"/>
            <w:tcBorders>
              <w:top w:val="single" w:sz="4" w:space="0" w:color="auto"/>
              <w:bottom w:val="single" w:sz="4" w:space="0" w:color="auto"/>
            </w:tcBorders>
            <w:vAlign w:val="center"/>
          </w:tcPr>
          <w:p w14:paraId="747018E2" w14:textId="77777777" w:rsidR="008642D0" w:rsidRPr="00B92428" w:rsidRDefault="008642D0" w:rsidP="00B92428">
            <w:pPr>
              <w:pStyle w:val="ExhibitText"/>
              <w:jc w:val="right"/>
              <w:rPr>
                <w:b/>
              </w:rPr>
            </w:pPr>
            <w:r w:rsidRPr="00B92428">
              <w:rPr>
                <w:b/>
              </w:rPr>
              <w:t>2014</w:t>
            </w:r>
          </w:p>
        </w:tc>
        <w:tc>
          <w:tcPr>
            <w:tcW w:w="878" w:type="dxa"/>
            <w:tcBorders>
              <w:top w:val="single" w:sz="4" w:space="0" w:color="auto"/>
              <w:bottom w:val="single" w:sz="4" w:space="0" w:color="auto"/>
            </w:tcBorders>
            <w:vAlign w:val="center"/>
          </w:tcPr>
          <w:p w14:paraId="0B778047" w14:textId="77777777" w:rsidR="008642D0" w:rsidRPr="00B92428" w:rsidRDefault="008642D0" w:rsidP="00B92428">
            <w:pPr>
              <w:pStyle w:val="ExhibitText"/>
              <w:jc w:val="right"/>
              <w:rPr>
                <w:b/>
              </w:rPr>
            </w:pPr>
            <w:r w:rsidRPr="00B92428">
              <w:rPr>
                <w:b/>
              </w:rPr>
              <w:t>2015</w:t>
            </w:r>
          </w:p>
        </w:tc>
        <w:tc>
          <w:tcPr>
            <w:tcW w:w="879" w:type="dxa"/>
            <w:tcBorders>
              <w:top w:val="single" w:sz="4" w:space="0" w:color="auto"/>
              <w:bottom w:val="single" w:sz="4" w:space="0" w:color="auto"/>
            </w:tcBorders>
            <w:vAlign w:val="center"/>
          </w:tcPr>
          <w:p w14:paraId="0280E61C" w14:textId="77777777" w:rsidR="008642D0" w:rsidRPr="00B92428" w:rsidRDefault="008642D0" w:rsidP="00B92428">
            <w:pPr>
              <w:pStyle w:val="ExhibitText"/>
              <w:jc w:val="right"/>
              <w:rPr>
                <w:b/>
              </w:rPr>
            </w:pPr>
            <w:r w:rsidRPr="00B92428">
              <w:rPr>
                <w:b/>
              </w:rPr>
              <w:t xml:space="preserve">2016 </w:t>
            </w:r>
          </w:p>
        </w:tc>
      </w:tr>
      <w:tr w:rsidR="008642D0" w14:paraId="335CA949" w14:textId="77777777" w:rsidTr="00B92428">
        <w:trPr>
          <w:trHeight w:val="288"/>
          <w:jc w:val="center"/>
        </w:trPr>
        <w:tc>
          <w:tcPr>
            <w:tcW w:w="1457" w:type="dxa"/>
            <w:tcBorders>
              <w:top w:val="single" w:sz="4" w:space="0" w:color="auto"/>
            </w:tcBorders>
            <w:vAlign w:val="center"/>
          </w:tcPr>
          <w:p w14:paraId="2BDC6968" w14:textId="77777777" w:rsidR="008642D0" w:rsidRDefault="008642D0" w:rsidP="00B92428">
            <w:pPr>
              <w:pStyle w:val="ExhibitText"/>
              <w:jc w:val="left"/>
            </w:pPr>
            <w:r>
              <w:t>Europe</w:t>
            </w:r>
          </w:p>
        </w:tc>
        <w:tc>
          <w:tcPr>
            <w:tcW w:w="878" w:type="dxa"/>
            <w:tcBorders>
              <w:top w:val="single" w:sz="4" w:space="0" w:color="auto"/>
            </w:tcBorders>
            <w:vAlign w:val="center"/>
          </w:tcPr>
          <w:p w14:paraId="41C47719" w14:textId="77777777" w:rsidR="008642D0" w:rsidRDefault="008642D0" w:rsidP="00B92428">
            <w:pPr>
              <w:pStyle w:val="ExhibitText"/>
              <w:jc w:val="right"/>
            </w:pPr>
            <w:r>
              <w:t>322.4</w:t>
            </w:r>
          </w:p>
        </w:tc>
        <w:tc>
          <w:tcPr>
            <w:tcW w:w="878" w:type="dxa"/>
            <w:tcBorders>
              <w:top w:val="single" w:sz="4" w:space="0" w:color="auto"/>
            </w:tcBorders>
            <w:vAlign w:val="center"/>
          </w:tcPr>
          <w:p w14:paraId="2919DC64" w14:textId="77777777" w:rsidR="008642D0" w:rsidRDefault="008642D0" w:rsidP="00B92428">
            <w:pPr>
              <w:pStyle w:val="ExhibitText"/>
              <w:jc w:val="right"/>
            </w:pPr>
            <w:r>
              <w:t>216.4</w:t>
            </w:r>
          </w:p>
        </w:tc>
        <w:tc>
          <w:tcPr>
            <w:tcW w:w="878" w:type="dxa"/>
            <w:tcBorders>
              <w:top w:val="single" w:sz="4" w:space="0" w:color="auto"/>
            </w:tcBorders>
            <w:vAlign w:val="center"/>
          </w:tcPr>
          <w:p w14:paraId="6028A7CA" w14:textId="77777777" w:rsidR="008642D0" w:rsidRDefault="008642D0" w:rsidP="00B92428">
            <w:pPr>
              <w:pStyle w:val="ExhibitText"/>
              <w:jc w:val="right"/>
            </w:pPr>
            <w:r>
              <w:t>252.3</w:t>
            </w:r>
          </w:p>
        </w:tc>
        <w:tc>
          <w:tcPr>
            <w:tcW w:w="878" w:type="dxa"/>
            <w:tcBorders>
              <w:top w:val="single" w:sz="4" w:space="0" w:color="auto"/>
            </w:tcBorders>
            <w:vAlign w:val="center"/>
          </w:tcPr>
          <w:p w14:paraId="12B9EAD2" w14:textId="77777777" w:rsidR="008642D0" w:rsidRDefault="008642D0" w:rsidP="00B92428">
            <w:pPr>
              <w:pStyle w:val="ExhibitText"/>
              <w:jc w:val="right"/>
            </w:pPr>
            <w:r>
              <w:t>261.2</w:t>
            </w:r>
          </w:p>
        </w:tc>
        <w:tc>
          <w:tcPr>
            <w:tcW w:w="878" w:type="dxa"/>
            <w:tcBorders>
              <w:top w:val="single" w:sz="4" w:space="0" w:color="auto"/>
            </w:tcBorders>
            <w:vAlign w:val="center"/>
          </w:tcPr>
          <w:p w14:paraId="01722620" w14:textId="77777777" w:rsidR="008642D0" w:rsidRDefault="008642D0" w:rsidP="00B92428">
            <w:pPr>
              <w:pStyle w:val="ExhibitText"/>
              <w:jc w:val="right"/>
            </w:pPr>
            <w:r>
              <w:t>251.7</w:t>
            </w:r>
          </w:p>
        </w:tc>
        <w:tc>
          <w:tcPr>
            <w:tcW w:w="878" w:type="dxa"/>
            <w:tcBorders>
              <w:top w:val="single" w:sz="4" w:space="0" w:color="auto"/>
            </w:tcBorders>
            <w:vAlign w:val="center"/>
          </w:tcPr>
          <w:p w14:paraId="132D5712" w14:textId="77777777" w:rsidR="008642D0" w:rsidRDefault="008642D0" w:rsidP="00B92428">
            <w:pPr>
              <w:pStyle w:val="ExhibitText"/>
              <w:jc w:val="right"/>
            </w:pPr>
            <w:r>
              <w:t>369.3</w:t>
            </w:r>
          </w:p>
        </w:tc>
        <w:tc>
          <w:tcPr>
            <w:tcW w:w="878" w:type="dxa"/>
            <w:tcBorders>
              <w:top w:val="single" w:sz="4" w:space="0" w:color="auto"/>
            </w:tcBorders>
            <w:vAlign w:val="center"/>
          </w:tcPr>
          <w:p w14:paraId="4D71FEEB" w14:textId="77777777" w:rsidR="008642D0" w:rsidRDefault="008642D0" w:rsidP="00B92428">
            <w:pPr>
              <w:pStyle w:val="ExhibitText"/>
              <w:jc w:val="right"/>
            </w:pPr>
            <w:r>
              <w:t>394.7</w:t>
            </w:r>
          </w:p>
        </w:tc>
        <w:tc>
          <w:tcPr>
            <w:tcW w:w="878" w:type="dxa"/>
            <w:tcBorders>
              <w:top w:val="single" w:sz="4" w:space="0" w:color="auto"/>
            </w:tcBorders>
            <w:vAlign w:val="center"/>
          </w:tcPr>
          <w:p w14:paraId="294D5740" w14:textId="77777777" w:rsidR="008642D0" w:rsidRDefault="008642D0" w:rsidP="00B92428">
            <w:pPr>
              <w:pStyle w:val="ExhibitText"/>
              <w:jc w:val="right"/>
            </w:pPr>
            <w:r>
              <w:t>383.4</w:t>
            </w:r>
          </w:p>
        </w:tc>
        <w:tc>
          <w:tcPr>
            <w:tcW w:w="879" w:type="dxa"/>
            <w:tcBorders>
              <w:top w:val="single" w:sz="4" w:space="0" w:color="auto"/>
            </w:tcBorders>
            <w:vAlign w:val="center"/>
          </w:tcPr>
          <w:p w14:paraId="1718F431" w14:textId="77777777" w:rsidR="008642D0" w:rsidRDefault="008642D0" w:rsidP="00B92428">
            <w:pPr>
              <w:pStyle w:val="ExhibitText"/>
              <w:jc w:val="right"/>
            </w:pPr>
            <w:r>
              <w:t>401.6</w:t>
            </w:r>
          </w:p>
        </w:tc>
      </w:tr>
      <w:tr w:rsidR="008642D0" w14:paraId="36DB1A0B" w14:textId="77777777" w:rsidTr="00B92428">
        <w:trPr>
          <w:trHeight w:val="288"/>
          <w:jc w:val="center"/>
        </w:trPr>
        <w:tc>
          <w:tcPr>
            <w:tcW w:w="1457" w:type="dxa"/>
            <w:vAlign w:val="center"/>
          </w:tcPr>
          <w:p w14:paraId="04D712D1" w14:textId="5A53BAB5" w:rsidR="008642D0" w:rsidRDefault="00B92428" w:rsidP="00B92428">
            <w:pPr>
              <w:pStyle w:val="ExhibitText"/>
              <w:jc w:val="left"/>
            </w:pPr>
            <w:r>
              <w:t xml:space="preserve">The </w:t>
            </w:r>
            <w:r w:rsidR="008642D0">
              <w:t>Americas</w:t>
            </w:r>
          </w:p>
        </w:tc>
        <w:tc>
          <w:tcPr>
            <w:tcW w:w="878" w:type="dxa"/>
            <w:vAlign w:val="center"/>
          </w:tcPr>
          <w:p w14:paraId="49F97F5E" w14:textId="77777777" w:rsidR="008642D0" w:rsidRDefault="008642D0" w:rsidP="00B92428">
            <w:pPr>
              <w:pStyle w:val="ExhibitText"/>
              <w:jc w:val="right"/>
            </w:pPr>
            <w:r>
              <w:t>153.2</w:t>
            </w:r>
          </w:p>
        </w:tc>
        <w:tc>
          <w:tcPr>
            <w:tcW w:w="878" w:type="dxa"/>
            <w:vAlign w:val="center"/>
          </w:tcPr>
          <w:p w14:paraId="03980FC5" w14:textId="77777777" w:rsidR="008642D0" w:rsidRDefault="008642D0" w:rsidP="00B92428">
            <w:pPr>
              <w:pStyle w:val="ExhibitText"/>
              <w:jc w:val="right"/>
            </w:pPr>
            <w:r>
              <w:t>109.0</w:t>
            </w:r>
          </w:p>
        </w:tc>
        <w:tc>
          <w:tcPr>
            <w:tcW w:w="878" w:type="dxa"/>
            <w:vAlign w:val="center"/>
          </w:tcPr>
          <w:p w14:paraId="7BA1AB24" w14:textId="77777777" w:rsidR="008642D0" w:rsidRDefault="008642D0" w:rsidP="00B92428">
            <w:pPr>
              <w:pStyle w:val="ExhibitText"/>
              <w:jc w:val="right"/>
            </w:pPr>
            <w:r>
              <w:t>127.0</w:t>
            </w:r>
          </w:p>
        </w:tc>
        <w:tc>
          <w:tcPr>
            <w:tcW w:w="878" w:type="dxa"/>
            <w:vAlign w:val="center"/>
          </w:tcPr>
          <w:p w14:paraId="042F7539" w14:textId="77777777" w:rsidR="008642D0" w:rsidRDefault="008642D0" w:rsidP="00B92428">
            <w:pPr>
              <w:pStyle w:val="ExhibitText"/>
              <w:jc w:val="right"/>
            </w:pPr>
            <w:r>
              <w:t>122.8</w:t>
            </w:r>
          </w:p>
        </w:tc>
        <w:tc>
          <w:tcPr>
            <w:tcW w:w="878" w:type="dxa"/>
            <w:vAlign w:val="center"/>
          </w:tcPr>
          <w:p w14:paraId="2BB0C9F9" w14:textId="77777777" w:rsidR="008642D0" w:rsidRDefault="008642D0" w:rsidP="00B92428">
            <w:pPr>
              <w:pStyle w:val="ExhibitText"/>
              <w:jc w:val="right"/>
            </w:pPr>
            <w:r>
              <w:t>140.7</w:t>
            </w:r>
          </w:p>
        </w:tc>
        <w:tc>
          <w:tcPr>
            <w:tcW w:w="878" w:type="dxa"/>
            <w:vAlign w:val="center"/>
          </w:tcPr>
          <w:p w14:paraId="38412D20" w14:textId="77777777" w:rsidR="008642D0" w:rsidRDefault="008642D0" w:rsidP="00B92428">
            <w:pPr>
              <w:pStyle w:val="ExhibitText"/>
              <w:jc w:val="right"/>
            </w:pPr>
            <w:r>
              <w:t>133.0</w:t>
            </w:r>
          </w:p>
        </w:tc>
        <w:tc>
          <w:tcPr>
            <w:tcW w:w="878" w:type="dxa"/>
            <w:vAlign w:val="center"/>
          </w:tcPr>
          <w:p w14:paraId="376CEC08" w14:textId="77777777" w:rsidR="008642D0" w:rsidRDefault="008642D0" w:rsidP="00B92428">
            <w:pPr>
              <w:pStyle w:val="ExhibitText"/>
              <w:jc w:val="right"/>
            </w:pPr>
            <w:r>
              <w:t>122.0</w:t>
            </w:r>
          </w:p>
        </w:tc>
        <w:tc>
          <w:tcPr>
            <w:tcW w:w="878" w:type="dxa"/>
            <w:vAlign w:val="center"/>
          </w:tcPr>
          <w:p w14:paraId="68A7CCB7" w14:textId="77777777" w:rsidR="008642D0" w:rsidRDefault="008642D0" w:rsidP="00B92428">
            <w:pPr>
              <w:pStyle w:val="ExhibitText"/>
              <w:jc w:val="right"/>
            </w:pPr>
            <w:r>
              <w:t>166.2</w:t>
            </w:r>
          </w:p>
        </w:tc>
        <w:tc>
          <w:tcPr>
            <w:tcW w:w="879" w:type="dxa"/>
            <w:vAlign w:val="center"/>
          </w:tcPr>
          <w:p w14:paraId="08657235" w14:textId="77777777" w:rsidR="008642D0" w:rsidRDefault="008642D0" w:rsidP="00B92428">
            <w:pPr>
              <w:pStyle w:val="ExhibitText"/>
              <w:jc w:val="right"/>
            </w:pPr>
            <w:r>
              <w:t>186.1</w:t>
            </w:r>
          </w:p>
        </w:tc>
      </w:tr>
      <w:tr w:rsidR="008642D0" w14:paraId="0506DC4A" w14:textId="77777777" w:rsidTr="00B92428">
        <w:trPr>
          <w:trHeight w:val="288"/>
          <w:jc w:val="center"/>
        </w:trPr>
        <w:tc>
          <w:tcPr>
            <w:tcW w:w="1457" w:type="dxa"/>
            <w:tcBorders>
              <w:bottom w:val="single" w:sz="4" w:space="0" w:color="auto"/>
            </w:tcBorders>
            <w:vAlign w:val="center"/>
          </w:tcPr>
          <w:p w14:paraId="0E82FA15" w14:textId="77777777" w:rsidR="008642D0" w:rsidRDefault="008642D0" w:rsidP="00B92428">
            <w:pPr>
              <w:pStyle w:val="ExhibitText"/>
              <w:jc w:val="left"/>
            </w:pPr>
            <w:r>
              <w:t>Asia Pacific</w:t>
            </w:r>
          </w:p>
        </w:tc>
        <w:tc>
          <w:tcPr>
            <w:tcW w:w="878" w:type="dxa"/>
            <w:tcBorders>
              <w:bottom w:val="single" w:sz="4" w:space="0" w:color="auto"/>
            </w:tcBorders>
            <w:vAlign w:val="center"/>
          </w:tcPr>
          <w:p w14:paraId="51C0A230" w14:textId="77777777" w:rsidR="008642D0" w:rsidRDefault="008642D0" w:rsidP="00B92428">
            <w:pPr>
              <w:pStyle w:val="ExhibitText"/>
              <w:jc w:val="right"/>
            </w:pPr>
            <w:r>
              <w:t>73.7</w:t>
            </w:r>
          </w:p>
        </w:tc>
        <w:tc>
          <w:tcPr>
            <w:tcW w:w="878" w:type="dxa"/>
            <w:tcBorders>
              <w:bottom w:val="single" w:sz="4" w:space="0" w:color="auto"/>
            </w:tcBorders>
            <w:vAlign w:val="center"/>
          </w:tcPr>
          <w:p w14:paraId="661AEBDE" w14:textId="77777777" w:rsidR="008642D0" w:rsidRDefault="008642D0" w:rsidP="00B92428">
            <w:pPr>
              <w:pStyle w:val="ExhibitText"/>
              <w:jc w:val="right"/>
            </w:pPr>
            <w:r>
              <w:t>58.3</w:t>
            </w:r>
          </w:p>
        </w:tc>
        <w:tc>
          <w:tcPr>
            <w:tcW w:w="878" w:type="dxa"/>
            <w:tcBorders>
              <w:bottom w:val="single" w:sz="4" w:space="0" w:color="auto"/>
            </w:tcBorders>
            <w:vAlign w:val="center"/>
          </w:tcPr>
          <w:p w14:paraId="31D79B16" w14:textId="77777777" w:rsidR="008642D0" w:rsidRDefault="008642D0" w:rsidP="00B92428">
            <w:pPr>
              <w:pStyle w:val="ExhibitText"/>
              <w:jc w:val="right"/>
            </w:pPr>
            <w:r>
              <w:t>85.1</w:t>
            </w:r>
          </w:p>
        </w:tc>
        <w:tc>
          <w:tcPr>
            <w:tcW w:w="878" w:type="dxa"/>
            <w:tcBorders>
              <w:bottom w:val="single" w:sz="4" w:space="0" w:color="auto"/>
            </w:tcBorders>
            <w:vAlign w:val="center"/>
          </w:tcPr>
          <w:p w14:paraId="37656300" w14:textId="77777777" w:rsidR="008642D0" w:rsidRDefault="008642D0" w:rsidP="00B92428">
            <w:pPr>
              <w:pStyle w:val="ExhibitText"/>
              <w:jc w:val="right"/>
            </w:pPr>
            <w:r>
              <w:t>78.7</w:t>
            </w:r>
          </w:p>
        </w:tc>
        <w:tc>
          <w:tcPr>
            <w:tcW w:w="878" w:type="dxa"/>
            <w:tcBorders>
              <w:bottom w:val="single" w:sz="4" w:space="0" w:color="auto"/>
            </w:tcBorders>
            <w:vAlign w:val="center"/>
          </w:tcPr>
          <w:p w14:paraId="4793BFD5" w14:textId="77777777" w:rsidR="008642D0" w:rsidRDefault="008642D0" w:rsidP="00B92428">
            <w:pPr>
              <w:pStyle w:val="ExhibitText"/>
              <w:jc w:val="right"/>
            </w:pPr>
            <w:r>
              <w:t>78.8</w:t>
            </w:r>
          </w:p>
        </w:tc>
        <w:tc>
          <w:tcPr>
            <w:tcW w:w="878" w:type="dxa"/>
            <w:tcBorders>
              <w:bottom w:val="single" w:sz="4" w:space="0" w:color="auto"/>
            </w:tcBorders>
            <w:vAlign w:val="center"/>
          </w:tcPr>
          <w:p w14:paraId="0A331723" w14:textId="77777777" w:rsidR="008642D0" w:rsidRDefault="008642D0" w:rsidP="00B92428">
            <w:pPr>
              <w:pStyle w:val="ExhibitText"/>
              <w:jc w:val="right"/>
            </w:pPr>
            <w:r>
              <w:t>87.9</w:t>
            </w:r>
          </w:p>
        </w:tc>
        <w:tc>
          <w:tcPr>
            <w:tcW w:w="878" w:type="dxa"/>
            <w:tcBorders>
              <w:bottom w:val="single" w:sz="4" w:space="0" w:color="auto"/>
            </w:tcBorders>
            <w:vAlign w:val="center"/>
          </w:tcPr>
          <w:p w14:paraId="650B5B80" w14:textId="77777777" w:rsidR="008642D0" w:rsidRDefault="008642D0" w:rsidP="00B92428">
            <w:pPr>
              <w:pStyle w:val="ExhibitText"/>
              <w:jc w:val="right"/>
            </w:pPr>
            <w:r>
              <w:t>101.1</w:t>
            </w:r>
          </w:p>
        </w:tc>
        <w:tc>
          <w:tcPr>
            <w:tcW w:w="878" w:type="dxa"/>
            <w:tcBorders>
              <w:bottom w:val="single" w:sz="4" w:space="0" w:color="auto"/>
            </w:tcBorders>
            <w:vAlign w:val="center"/>
          </w:tcPr>
          <w:p w14:paraId="7FC229C5" w14:textId="77777777" w:rsidR="008642D0" w:rsidRDefault="008642D0" w:rsidP="00B92428">
            <w:pPr>
              <w:pStyle w:val="ExhibitText"/>
              <w:jc w:val="right"/>
            </w:pPr>
            <w:r>
              <w:t>106.7</w:t>
            </w:r>
          </w:p>
        </w:tc>
        <w:tc>
          <w:tcPr>
            <w:tcW w:w="879" w:type="dxa"/>
            <w:tcBorders>
              <w:bottom w:val="single" w:sz="4" w:space="0" w:color="auto"/>
            </w:tcBorders>
            <w:vAlign w:val="center"/>
          </w:tcPr>
          <w:p w14:paraId="56C95676" w14:textId="77777777" w:rsidR="008642D0" w:rsidRDefault="008642D0" w:rsidP="00B92428">
            <w:pPr>
              <w:pStyle w:val="ExhibitText"/>
              <w:jc w:val="right"/>
            </w:pPr>
            <w:r>
              <w:t>107.3</w:t>
            </w:r>
          </w:p>
        </w:tc>
      </w:tr>
      <w:tr w:rsidR="008642D0" w14:paraId="2746EB8E" w14:textId="77777777" w:rsidTr="00B92428">
        <w:trPr>
          <w:trHeight w:val="288"/>
          <w:jc w:val="center"/>
        </w:trPr>
        <w:tc>
          <w:tcPr>
            <w:tcW w:w="1457" w:type="dxa"/>
            <w:tcBorders>
              <w:top w:val="single" w:sz="4" w:space="0" w:color="auto"/>
              <w:bottom w:val="single" w:sz="4" w:space="0" w:color="auto"/>
            </w:tcBorders>
            <w:vAlign w:val="center"/>
          </w:tcPr>
          <w:p w14:paraId="733DBA2D" w14:textId="77777777" w:rsidR="008642D0" w:rsidRDefault="008642D0" w:rsidP="00B92428">
            <w:pPr>
              <w:pStyle w:val="ExhibitText"/>
              <w:jc w:val="left"/>
            </w:pPr>
            <w:r>
              <w:t>Total</w:t>
            </w:r>
          </w:p>
        </w:tc>
        <w:tc>
          <w:tcPr>
            <w:tcW w:w="878" w:type="dxa"/>
            <w:tcBorders>
              <w:top w:val="single" w:sz="4" w:space="0" w:color="auto"/>
              <w:bottom w:val="single" w:sz="4" w:space="0" w:color="auto"/>
            </w:tcBorders>
            <w:vAlign w:val="center"/>
          </w:tcPr>
          <w:p w14:paraId="221C5280" w14:textId="77777777" w:rsidR="008642D0" w:rsidRDefault="008642D0" w:rsidP="00B92428">
            <w:pPr>
              <w:pStyle w:val="ExhibitText"/>
              <w:jc w:val="right"/>
            </w:pPr>
            <w:r>
              <w:t>542.8</w:t>
            </w:r>
          </w:p>
        </w:tc>
        <w:tc>
          <w:tcPr>
            <w:tcW w:w="878" w:type="dxa"/>
            <w:tcBorders>
              <w:top w:val="single" w:sz="4" w:space="0" w:color="auto"/>
              <w:bottom w:val="single" w:sz="4" w:space="0" w:color="auto"/>
            </w:tcBorders>
            <w:vAlign w:val="center"/>
          </w:tcPr>
          <w:p w14:paraId="3395BF9C" w14:textId="77777777" w:rsidR="008642D0" w:rsidRDefault="008642D0" w:rsidP="00B92428">
            <w:pPr>
              <w:pStyle w:val="ExhibitText"/>
              <w:jc w:val="right"/>
            </w:pPr>
            <w:r>
              <w:t>379.9</w:t>
            </w:r>
          </w:p>
        </w:tc>
        <w:tc>
          <w:tcPr>
            <w:tcW w:w="878" w:type="dxa"/>
            <w:tcBorders>
              <w:top w:val="single" w:sz="4" w:space="0" w:color="auto"/>
              <w:bottom w:val="single" w:sz="4" w:space="0" w:color="auto"/>
            </w:tcBorders>
            <w:vAlign w:val="center"/>
          </w:tcPr>
          <w:p w14:paraId="12E4859D" w14:textId="77777777" w:rsidR="008642D0" w:rsidRDefault="008642D0" w:rsidP="00B92428">
            <w:pPr>
              <w:pStyle w:val="ExhibitText"/>
              <w:jc w:val="right"/>
            </w:pPr>
            <w:r>
              <w:t>458.7</w:t>
            </w:r>
          </w:p>
        </w:tc>
        <w:tc>
          <w:tcPr>
            <w:tcW w:w="878" w:type="dxa"/>
            <w:tcBorders>
              <w:top w:val="single" w:sz="4" w:space="0" w:color="auto"/>
              <w:bottom w:val="single" w:sz="4" w:space="0" w:color="auto"/>
            </w:tcBorders>
            <w:vAlign w:val="center"/>
          </w:tcPr>
          <w:p w14:paraId="63E68584" w14:textId="77777777" w:rsidR="008642D0" w:rsidRDefault="008642D0" w:rsidP="00B92428">
            <w:pPr>
              <w:pStyle w:val="ExhibitText"/>
              <w:jc w:val="right"/>
            </w:pPr>
            <w:r>
              <w:t>457.7</w:t>
            </w:r>
          </w:p>
        </w:tc>
        <w:tc>
          <w:tcPr>
            <w:tcW w:w="878" w:type="dxa"/>
            <w:tcBorders>
              <w:top w:val="single" w:sz="4" w:space="0" w:color="auto"/>
              <w:bottom w:val="single" w:sz="4" w:space="0" w:color="auto"/>
            </w:tcBorders>
            <w:vAlign w:val="center"/>
          </w:tcPr>
          <w:p w14:paraId="1D9CFC9C" w14:textId="77777777" w:rsidR="008642D0" w:rsidRDefault="008642D0" w:rsidP="00B92428">
            <w:pPr>
              <w:pStyle w:val="ExhibitText"/>
              <w:jc w:val="right"/>
            </w:pPr>
            <w:r>
              <w:t>471.2</w:t>
            </w:r>
          </w:p>
        </w:tc>
        <w:tc>
          <w:tcPr>
            <w:tcW w:w="878" w:type="dxa"/>
            <w:tcBorders>
              <w:top w:val="single" w:sz="4" w:space="0" w:color="auto"/>
              <w:bottom w:val="single" w:sz="4" w:space="0" w:color="auto"/>
            </w:tcBorders>
            <w:vAlign w:val="center"/>
          </w:tcPr>
          <w:p w14:paraId="2A93B67A" w14:textId="77777777" w:rsidR="008642D0" w:rsidRDefault="008642D0" w:rsidP="00B92428">
            <w:pPr>
              <w:pStyle w:val="ExhibitText"/>
              <w:jc w:val="right"/>
            </w:pPr>
            <w:r>
              <w:t>590.2</w:t>
            </w:r>
          </w:p>
        </w:tc>
        <w:tc>
          <w:tcPr>
            <w:tcW w:w="878" w:type="dxa"/>
            <w:tcBorders>
              <w:top w:val="single" w:sz="4" w:space="0" w:color="auto"/>
              <w:bottom w:val="single" w:sz="4" w:space="0" w:color="auto"/>
            </w:tcBorders>
            <w:vAlign w:val="center"/>
          </w:tcPr>
          <w:p w14:paraId="7FCC3CEF" w14:textId="77777777" w:rsidR="008642D0" w:rsidRDefault="008642D0" w:rsidP="00B92428">
            <w:pPr>
              <w:pStyle w:val="ExhibitText"/>
              <w:jc w:val="right"/>
            </w:pPr>
            <w:r>
              <w:t>617.8</w:t>
            </w:r>
          </w:p>
        </w:tc>
        <w:tc>
          <w:tcPr>
            <w:tcW w:w="878" w:type="dxa"/>
            <w:tcBorders>
              <w:top w:val="single" w:sz="4" w:space="0" w:color="auto"/>
              <w:bottom w:val="single" w:sz="4" w:space="0" w:color="auto"/>
            </w:tcBorders>
            <w:vAlign w:val="center"/>
          </w:tcPr>
          <w:p w14:paraId="594A9C20" w14:textId="77777777" w:rsidR="008642D0" w:rsidRDefault="008642D0" w:rsidP="00B92428">
            <w:pPr>
              <w:pStyle w:val="ExhibitText"/>
              <w:jc w:val="right"/>
            </w:pPr>
            <w:r>
              <w:t>656.3</w:t>
            </w:r>
          </w:p>
        </w:tc>
        <w:tc>
          <w:tcPr>
            <w:tcW w:w="879" w:type="dxa"/>
            <w:tcBorders>
              <w:top w:val="single" w:sz="4" w:space="0" w:color="auto"/>
              <w:bottom w:val="single" w:sz="4" w:space="0" w:color="auto"/>
            </w:tcBorders>
            <w:vAlign w:val="center"/>
          </w:tcPr>
          <w:p w14:paraId="1E5468D8" w14:textId="77777777" w:rsidR="008642D0" w:rsidRDefault="008642D0" w:rsidP="00B92428">
            <w:pPr>
              <w:pStyle w:val="ExhibitText"/>
              <w:jc w:val="right"/>
            </w:pPr>
            <w:r>
              <w:t>695.0</w:t>
            </w:r>
          </w:p>
        </w:tc>
      </w:tr>
    </w:tbl>
    <w:p w14:paraId="66C76C31" w14:textId="77777777" w:rsidR="008642D0" w:rsidRDefault="008642D0" w:rsidP="00D64AE1">
      <w:pPr>
        <w:pStyle w:val="ExhibitText"/>
      </w:pPr>
    </w:p>
    <w:p w14:paraId="592E9A47" w14:textId="77777777" w:rsidR="00B92428" w:rsidRDefault="00B92428" w:rsidP="008642D0">
      <w:pPr>
        <w:pStyle w:val="Footnote"/>
      </w:pPr>
      <w:r>
        <w:t>Note: CHF = Swiss francs.</w:t>
      </w:r>
    </w:p>
    <w:p w14:paraId="0B8E8A31" w14:textId="104F44B1" w:rsidR="008642D0" w:rsidRPr="008642D0" w:rsidRDefault="008642D0" w:rsidP="008642D0">
      <w:pPr>
        <w:pStyle w:val="Footnote"/>
      </w:pPr>
      <w:r w:rsidRPr="008642D0">
        <w:t xml:space="preserve">Sources: </w:t>
      </w:r>
      <w:r w:rsidR="004A4D18">
        <w:t>Company documents.</w:t>
      </w:r>
    </w:p>
    <w:p w14:paraId="76582CF9" w14:textId="577EDC1A" w:rsidR="008642D0" w:rsidRDefault="008642D0" w:rsidP="00D64AE1">
      <w:pPr>
        <w:pStyle w:val="ExhibitHeading"/>
      </w:pPr>
      <w:r>
        <w:br w:type="page"/>
      </w:r>
      <w:r>
        <w:lastRenderedPageBreak/>
        <w:t>Exhibit 3: Customer Experiences</w:t>
      </w:r>
      <w:r w:rsidR="007812D6">
        <w:t>—</w:t>
      </w:r>
      <w:r>
        <w:t>Stadler Rail</w:t>
      </w:r>
    </w:p>
    <w:p w14:paraId="2FC24EFC" w14:textId="77777777" w:rsidR="008642D0" w:rsidRDefault="008642D0" w:rsidP="00D64AE1">
      <w:pPr>
        <w:pStyle w:val="ExhibitText"/>
      </w:pPr>
    </w:p>
    <w:p w14:paraId="4C5CDD35" w14:textId="6D5DAE41" w:rsidR="008642D0" w:rsidRDefault="008642D0" w:rsidP="008642D0">
      <w:pPr>
        <w:pStyle w:val="ExhibitText"/>
      </w:pPr>
      <w:proofErr w:type="spellStart"/>
      <w:r w:rsidRPr="005875B5">
        <w:t>Stadler</w:t>
      </w:r>
      <w:proofErr w:type="spellEnd"/>
      <w:r w:rsidRPr="005875B5">
        <w:t xml:space="preserve"> Rail was a manufacturer of regional and urban trains and tram sets. It was operating in</w:t>
      </w:r>
      <w:r>
        <w:t xml:space="preserve"> 19 locations in 10 countries in Europe and had recently established a plant in the </w:t>
      </w:r>
      <w:r w:rsidR="007812D6">
        <w:t>United States</w:t>
      </w:r>
      <w:r>
        <w:t xml:space="preserve">. </w:t>
      </w:r>
      <w:r w:rsidRPr="00CD2B03">
        <w:t>The manufacture of train sets involve</w:t>
      </w:r>
      <w:r w:rsidR="007812D6">
        <w:t>d</w:t>
      </w:r>
      <w:r w:rsidRPr="00CD2B03">
        <w:t xml:space="preserve"> many types of production processes, including high volume production of standardized parts</w:t>
      </w:r>
      <w:r w:rsidR="007812D6">
        <w:t>;</w:t>
      </w:r>
      <w:r w:rsidRPr="00CD2B03">
        <w:t xml:space="preserve"> small volume, labo</w:t>
      </w:r>
      <w:r w:rsidR="007812D6">
        <w:t>u</w:t>
      </w:r>
      <w:r w:rsidRPr="00CD2B03">
        <w:t>r intensive assembly of trains and carriages</w:t>
      </w:r>
      <w:r w:rsidR="007812D6">
        <w:t>;</w:t>
      </w:r>
      <w:r w:rsidRPr="00CD2B03">
        <w:t xml:space="preserve"> </w:t>
      </w:r>
      <w:r w:rsidR="007812D6">
        <w:t>and</w:t>
      </w:r>
      <w:r w:rsidRPr="00CD2B03">
        <w:t xml:space="preserve"> repair</w:t>
      </w:r>
      <w:r w:rsidR="007812D6">
        <w:t>s</w:t>
      </w:r>
      <w:r w:rsidRPr="00CD2B03">
        <w:t xml:space="preserve"> </w:t>
      </w:r>
      <w:r w:rsidR="007812D6">
        <w:t>requiring that</w:t>
      </w:r>
      <w:r>
        <w:t xml:space="preserve"> every task was customized</w:t>
      </w:r>
      <w:r w:rsidRPr="00CD2B03">
        <w:t xml:space="preserve">. </w:t>
      </w:r>
      <w:proofErr w:type="spellStart"/>
      <w:r>
        <w:t>Stadler’s</w:t>
      </w:r>
      <w:proofErr w:type="spellEnd"/>
      <w:r>
        <w:t xml:space="preserve"> challenge was to optimize its C-parts order management across </w:t>
      </w:r>
      <w:r w:rsidR="007812D6">
        <w:t xml:space="preserve">this </w:t>
      </w:r>
      <w:r>
        <w:t xml:space="preserve">variety of operations. </w:t>
      </w:r>
    </w:p>
    <w:p w14:paraId="219F14EB" w14:textId="77777777" w:rsidR="008642D0" w:rsidRDefault="008642D0" w:rsidP="008642D0">
      <w:pPr>
        <w:pStyle w:val="ExhibitText"/>
      </w:pPr>
    </w:p>
    <w:p w14:paraId="6EF24CF7" w14:textId="342A0B32" w:rsidR="008642D0" w:rsidRDefault="008642D0" w:rsidP="008642D0">
      <w:pPr>
        <w:pStyle w:val="ExhibitText"/>
      </w:pPr>
      <w:r>
        <w:t xml:space="preserve">In </w:t>
      </w:r>
      <w:r w:rsidR="00CC0472">
        <w:t>i</w:t>
      </w:r>
      <w:r>
        <w:t>t</w:t>
      </w:r>
      <w:r w:rsidR="00CC0472">
        <w:t>s</w:t>
      </w:r>
      <w:r>
        <w:t xml:space="preserve"> central plant in </w:t>
      </w:r>
      <w:proofErr w:type="spellStart"/>
      <w:r>
        <w:t>Bussnang</w:t>
      </w:r>
      <w:proofErr w:type="spellEnd"/>
      <w:r>
        <w:t xml:space="preserve">, Switzerland, </w:t>
      </w:r>
      <w:proofErr w:type="spellStart"/>
      <w:r>
        <w:t>Stadler</w:t>
      </w:r>
      <w:proofErr w:type="spellEnd"/>
      <w:r>
        <w:t xml:space="preserve"> ha</w:t>
      </w:r>
      <w:r w:rsidR="007812D6">
        <w:t>d</w:t>
      </w:r>
      <w:r>
        <w:t xml:space="preserve"> a central warehouse </w:t>
      </w:r>
      <w:r w:rsidR="007812D6">
        <w:t>where</w:t>
      </w:r>
      <w:r>
        <w:t xml:space="preserve"> suppliers delivered their parts, and from </w:t>
      </w:r>
      <w:r w:rsidR="007812D6">
        <w:t xml:space="preserve">where </w:t>
      </w:r>
      <w:r>
        <w:t xml:space="preserve">workers ordered and collected C-parts they needed on the production line or to fill their </w:t>
      </w:r>
      <w:r w:rsidR="007812D6">
        <w:t xml:space="preserve">trolleys of </w:t>
      </w:r>
      <w:r>
        <w:t>parts</w:t>
      </w:r>
      <w:r w:rsidR="007812D6">
        <w:t xml:space="preserve"> </w:t>
      </w:r>
      <w:r>
        <w:t>and</w:t>
      </w:r>
      <w:r w:rsidR="007812D6">
        <w:t xml:space="preserve"> </w:t>
      </w:r>
      <w:r>
        <w:t xml:space="preserve">tools. </w:t>
      </w:r>
      <w:proofErr w:type="spellStart"/>
      <w:r>
        <w:t>Stadler’s</w:t>
      </w:r>
      <w:proofErr w:type="spellEnd"/>
      <w:r>
        <w:t xml:space="preserve"> purchasing unit manage</w:t>
      </w:r>
      <w:r w:rsidR="007812D6">
        <w:t>d</w:t>
      </w:r>
      <w:r>
        <w:t xml:space="preserve"> 2</w:t>
      </w:r>
      <w:r w:rsidR="007812D6">
        <w:t>,</w:t>
      </w:r>
      <w:r>
        <w:t>400 parts, handle</w:t>
      </w:r>
      <w:r w:rsidR="007812D6">
        <w:t>d</w:t>
      </w:r>
      <w:r>
        <w:t xml:space="preserve"> 1</w:t>
      </w:r>
      <w:r w:rsidR="007812D6">
        <w:t>,</w:t>
      </w:r>
      <w:r>
        <w:t>600 orders with 7</w:t>
      </w:r>
      <w:r w:rsidR="007812D6">
        <w:t>,</w:t>
      </w:r>
      <w:r>
        <w:t>300 order positions per year, and pa</w:t>
      </w:r>
      <w:r w:rsidR="007812D6">
        <w:t>id</w:t>
      </w:r>
      <w:r>
        <w:t xml:space="preserve"> 1</w:t>
      </w:r>
      <w:r w:rsidR="007812D6">
        <w:t>,</w:t>
      </w:r>
      <w:r>
        <w:t xml:space="preserve">600 invoices from 23 suppliers. </w:t>
      </w:r>
      <w:proofErr w:type="spellStart"/>
      <w:r>
        <w:t>Bossard</w:t>
      </w:r>
      <w:proofErr w:type="spellEnd"/>
      <w:r>
        <w:t xml:space="preserve"> implemented a full service smart factory system with a combination of </w:t>
      </w:r>
      <w:proofErr w:type="spellStart"/>
      <w:r>
        <w:t>SmartBins</w:t>
      </w:r>
      <w:proofErr w:type="spellEnd"/>
      <w:r>
        <w:t xml:space="preserve"> and </w:t>
      </w:r>
      <w:proofErr w:type="spellStart"/>
      <w:r>
        <w:t>SmartLabels</w:t>
      </w:r>
      <w:proofErr w:type="spellEnd"/>
      <w:r>
        <w:t xml:space="preserve">, providing workers on the production line with full information about their C-parts supplies. With the </w:t>
      </w:r>
      <w:proofErr w:type="spellStart"/>
      <w:r>
        <w:t>Bossard</w:t>
      </w:r>
      <w:proofErr w:type="spellEnd"/>
      <w:r>
        <w:t xml:space="preserve"> system, </w:t>
      </w:r>
      <w:proofErr w:type="spellStart"/>
      <w:r>
        <w:t>Stadler</w:t>
      </w:r>
      <w:proofErr w:type="spellEnd"/>
      <w:r>
        <w:t xml:space="preserve"> </w:t>
      </w:r>
      <w:r w:rsidR="00CF0C2A">
        <w:t xml:space="preserve">no longer </w:t>
      </w:r>
      <w:r>
        <w:t xml:space="preserve">had to manage </w:t>
      </w:r>
      <w:r w:rsidR="00CF0C2A">
        <w:t xml:space="preserve">any </w:t>
      </w:r>
      <w:r>
        <w:t xml:space="preserve">parts, </w:t>
      </w:r>
      <w:r w:rsidR="00CF0C2A">
        <w:t xml:space="preserve">or </w:t>
      </w:r>
      <w:r>
        <w:t xml:space="preserve">handle </w:t>
      </w:r>
      <w:r w:rsidR="00CF0C2A">
        <w:t xml:space="preserve">any </w:t>
      </w:r>
      <w:r>
        <w:t>orders, and pa</w:t>
      </w:r>
      <w:r w:rsidR="00CF0C2A">
        <w:t>id</w:t>
      </w:r>
      <w:r>
        <w:t xml:space="preserve"> only 12 monthly invoices from a single supplier</w:t>
      </w:r>
      <w:r w:rsidR="00CF0C2A">
        <w:t>—</w:t>
      </w:r>
      <w:r>
        <w:t xml:space="preserve"> </w:t>
      </w:r>
      <w:proofErr w:type="spellStart"/>
      <w:r>
        <w:t>Bossard</w:t>
      </w:r>
      <w:proofErr w:type="spellEnd"/>
      <w:r>
        <w:t>.</w:t>
      </w:r>
    </w:p>
    <w:p w14:paraId="607F9883" w14:textId="77777777" w:rsidR="008642D0" w:rsidRDefault="008642D0" w:rsidP="008642D0">
      <w:pPr>
        <w:pStyle w:val="ExhibitText"/>
      </w:pPr>
    </w:p>
    <w:p w14:paraId="1A0AD24D" w14:textId="4A17B25A" w:rsidR="008642D0" w:rsidRDefault="00CF0C2A" w:rsidP="008642D0">
      <w:pPr>
        <w:pStyle w:val="ExhibitText"/>
      </w:pPr>
      <w:r>
        <w:t>T</w:t>
      </w:r>
      <w:r w:rsidRPr="00CD2B03">
        <w:t xml:space="preserve">he blue </w:t>
      </w:r>
      <w:proofErr w:type="spellStart"/>
      <w:r w:rsidRPr="00CD2B03">
        <w:t>Bossard</w:t>
      </w:r>
      <w:proofErr w:type="spellEnd"/>
      <w:r w:rsidRPr="00CD2B03">
        <w:t xml:space="preserve"> boxes </w:t>
      </w:r>
      <w:r>
        <w:t>were visible i</w:t>
      </w:r>
      <w:r w:rsidR="008642D0" w:rsidRPr="00CD2B03">
        <w:t xml:space="preserve">n </w:t>
      </w:r>
      <w:r>
        <w:t>every</w:t>
      </w:r>
      <w:r w:rsidRPr="00CD2B03">
        <w:t xml:space="preserve"> </w:t>
      </w:r>
      <w:r w:rsidR="008642D0" w:rsidRPr="00CD2B03">
        <w:t xml:space="preserve">part of </w:t>
      </w:r>
      <w:proofErr w:type="spellStart"/>
      <w:r w:rsidR="008642D0" w:rsidRPr="00CD2B03">
        <w:t>Stadler’s</w:t>
      </w:r>
      <w:proofErr w:type="spellEnd"/>
      <w:r w:rsidR="008642D0" w:rsidRPr="00CD2B03">
        <w:t xml:space="preserve"> operations</w:t>
      </w:r>
      <w:r w:rsidR="008642D0">
        <w:t xml:space="preserve">. The logistics varied with the nature of the production processes: undercarriages, also known as boogies, were built on highly standardized assembly lines where shelves with </w:t>
      </w:r>
      <w:proofErr w:type="spellStart"/>
      <w:r w:rsidR="008642D0">
        <w:t>SmartBins</w:t>
      </w:r>
      <w:proofErr w:type="spellEnd"/>
      <w:r w:rsidR="008642D0">
        <w:t xml:space="preserve"> at the point of use were the ideal solution. The final assembly required more flexible arrangements; each worker had their own mobile trolley stacked with </w:t>
      </w:r>
      <w:proofErr w:type="spellStart"/>
      <w:r w:rsidR="008642D0">
        <w:t>SmartBins</w:t>
      </w:r>
      <w:proofErr w:type="spellEnd"/>
      <w:r w:rsidR="008642D0">
        <w:t xml:space="preserve"> containing the relevant parts they needed on the day, which could vary </w:t>
      </w:r>
      <w:r w:rsidR="0088538B">
        <w:t>depending on what type of train the work</w:t>
      </w:r>
      <w:r w:rsidR="00183331">
        <w:t>er</w:t>
      </w:r>
      <w:r w:rsidR="0088538B">
        <w:t xml:space="preserve"> was assembling</w:t>
      </w:r>
      <w:r w:rsidR="008642D0">
        <w:t xml:space="preserve">. With </w:t>
      </w:r>
      <w:proofErr w:type="spellStart"/>
      <w:r w:rsidR="008642D0">
        <w:t>Bossard’s</w:t>
      </w:r>
      <w:proofErr w:type="spellEnd"/>
      <w:r w:rsidR="008642D0">
        <w:t xml:space="preserve"> logistics systems, </w:t>
      </w:r>
      <w:proofErr w:type="spellStart"/>
      <w:r w:rsidR="008642D0">
        <w:t>Stadler</w:t>
      </w:r>
      <w:proofErr w:type="spellEnd"/>
      <w:r w:rsidR="008642D0">
        <w:t xml:space="preserve"> was able to make </w:t>
      </w:r>
      <w:r w:rsidR="0088538B">
        <w:t xml:space="preserve">quicker </w:t>
      </w:r>
      <w:r w:rsidR="008642D0">
        <w:t>decis</w:t>
      </w:r>
      <w:r w:rsidR="0088538B">
        <w:t>i</w:t>
      </w:r>
      <w:r w:rsidR="008642D0">
        <w:t xml:space="preserve">ons, reduce </w:t>
      </w:r>
      <w:r w:rsidR="0088538B">
        <w:t>total cost of ownership (</w:t>
      </w:r>
      <w:r w:rsidR="008642D0">
        <w:t>TCO</w:t>
      </w:r>
      <w:r w:rsidR="0088538B">
        <w:t>)</w:t>
      </w:r>
      <w:r w:rsidR="008642D0">
        <w:t xml:space="preserve">, and increase delivery performance. Its order management cost </w:t>
      </w:r>
      <w:r w:rsidR="00183331">
        <w:t xml:space="preserve">was </w:t>
      </w:r>
      <w:r w:rsidR="008642D0">
        <w:t xml:space="preserve">reduced by </w:t>
      </w:r>
      <w:r w:rsidR="0088538B">
        <w:t xml:space="preserve">an estimated </w:t>
      </w:r>
      <w:r w:rsidR="008642D0">
        <w:t>40 per</w:t>
      </w:r>
      <w:r w:rsidR="0088538B">
        <w:t xml:space="preserve"> </w:t>
      </w:r>
      <w:r w:rsidR="008642D0">
        <w:t xml:space="preserve">cent. </w:t>
      </w:r>
    </w:p>
    <w:p w14:paraId="2C329F5A" w14:textId="77777777" w:rsidR="008642D0" w:rsidRDefault="008642D0" w:rsidP="008642D0">
      <w:pPr>
        <w:pStyle w:val="ExhibitText"/>
      </w:pPr>
    </w:p>
    <w:p w14:paraId="2D180F32" w14:textId="7ED8EA76" w:rsidR="008642D0" w:rsidRPr="008642D0" w:rsidRDefault="008642D0" w:rsidP="008642D0">
      <w:pPr>
        <w:pStyle w:val="Footnote"/>
      </w:pPr>
      <w:r w:rsidRPr="008642D0">
        <w:t xml:space="preserve">Source: </w:t>
      </w:r>
      <w:r w:rsidR="00DC4779">
        <w:t xml:space="preserve">Company documents. </w:t>
      </w:r>
      <w:r w:rsidRPr="008642D0">
        <w:t xml:space="preserve"> </w:t>
      </w:r>
    </w:p>
    <w:p w14:paraId="0F0BC04B" w14:textId="77777777" w:rsidR="008642D0" w:rsidRDefault="008642D0" w:rsidP="00D64AE1">
      <w:pPr>
        <w:pStyle w:val="ExhibitText"/>
      </w:pPr>
      <w:r>
        <w:br w:type="page"/>
      </w:r>
    </w:p>
    <w:p w14:paraId="3C60874B" w14:textId="0A220855" w:rsidR="008642D0" w:rsidRDefault="008642D0" w:rsidP="00D64AE1">
      <w:pPr>
        <w:pStyle w:val="ExhibitHeading"/>
        <w:outlineLvl w:val="0"/>
      </w:pPr>
      <w:r>
        <w:lastRenderedPageBreak/>
        <w:t>Exhibit 4: Customer Testimonials</w:t>
      </w:r>
    </w:p>
    <w:p w14:paraId="28241D33" w14:textId="77777777" w:rsidR="0088538B" w:rsidRDefault="0088538B" w:rsidP="0088538B">
      <w:pPr>
        <w:pStyle w:val="ExhibitText"/>
      </w:pPr>
    </w:p>
    <w:p w14:paraId="5E332D9F" w14:textId="3D2F75D7" w:rsidR="008642D0" w:rsidRDefault="008642D0" w:rsidP="0088538B">
      <w:pPr>
        <w:pStyle w:val="ExhibitText"/>
      </w:pPr>
      <w:r w:rsidRPr="00055664">
        <w:t>The traction converter is at the heart of every</w:t>
      </w:r>
      <w:r>
        <w:t xml:space="preserve"> </w:t>
      </w:r>
      <w:r w:rsidRPr="00055664">
        <w:t>train. We produce such converters in the ABB plant</w:t>
      </w:r>
      <w:r>
        <w:t xml:space="preserve"> </w:t>
      </w:r>
      <w:r w:rsidRPr="00055664">
        <w:t xml:space="preserve">in </w:t>
      </w:r>
      <w:proofErr w:type="spellStart"/>
      <w:r w:rsidRPr="00055664">
        <w:t>Turgi</w:t>
      </w:r>
      <w:proofErr w:type="spellEnd"/>
      <w:r>
        <w:t xml:space="preserve"> </w:t>
      </w:r>
      <w:r w:rsidRPr="00055664">
        <w:t>[Switzerland]. Our customers</w:t>
      </w:r>
      <w:r w:rsidR="0088538B">
        <w:t>—</w:t>
      </w:r>
      <w:r w:rsidRPr="00055664">
        <w:t>train manufacturers</w:t>
      </w:r>
      <w:r w:rsidR="0088538B">
        <w:t>—</w:t>
      </w:r>
      <w:r w:rsidRPr="00055664">
        <w:t xml:space="preserve">have high expectations of us. To cope </w:t>
      </w:r>
      <w:r w:rsidR="0088538B">
        <w:t xml:space="preserve">. . . </w:t>
      </w:r>
      <w:r w:rsidRPr="00055664">
        <w:t>, we need</w:t>
      </w:r>
      <w:r>
        <w:t xml:space="preserve"> </w:t>
      </w:r>
      <w:r w:rsidRPr="00055664">
        <w:t>lean workflows, flexible processes and, of course,</w:t>
      </w:r>
      <w:r>
        <w:t xml:space="preserve"> </w:t>
      </w:r>
      <w:r w:rsidRPr="00055664">
        <w:t>maximum productivity.</w:t>
      </w:r>
    </w:p>
    <w:p w14:paraId="0F90E79B" w14:textId="77777777" w:rsidR="0088538B" w:rsidRPr="00055664" w:rsidRDefault="0088538B" w:rsidP="0088538B">
      <w:pPr>
        <w:pStyle w:val="ExhibitText"/>
      </w:pPr>
    </w:p>
    <w:p w14:paraId="6C6A23BF" w14:textId="5690A16B" w:rsidR="008642D0" w:rsidRDefault="008642D0" w:rsidP="0088538B">
      <w:pPr>
        <w:pStyle w:val="ExhibitText"/>
      </w:pPr>
      <w:r w:rsidRPr="00055664">
        <w:t xml:space="preserve">Since the implementation of </w:t>
      </w:r>
      <w:proofErr w:type="spellStart"/>
      <w:r w:rsidRPr="00055664">
        <w:t>SmartBin</w:t>
      </w:r>
      <w:proofErr w:type="spellEnd"/>
      <w:r w:rsidRPr="00055664">
        <w:t>, I haven't</w:t>
      </w:r>
      <w:r>
        <w:t xml:space="preserve"> </w:t>
      </w:r>
      <w:r w:rsidRPr="00055664">
        <w:t>come across any missing C-parts. This ensures</w:t>
      </w:r>
      <w:r>
        <w:t xml:space="preserve"> </w:t>
      </w:r>
      <w:r w:rsidRPr="00055664">
        <w:t>reliability and lies at the heart of process stability and</w:t>
      </w:r>
      <w:r>
        <w:t xml:space="preserve"> </w:t>
      </w:r>
      <w:r w:rsidRPr="00055664">
        <w:t>timely handling and delivery of our products. I firmly</w:t>
      </w:r>
      <w:r>
        <w:t xml:space="preserve"> </w:t>
      </w:r>
      <w:r w:rsidRPr="00055664">
        <w:t xml:space="preserve">believe that the close partnership between </w:t>
      </w:r>
      <w:proofErr w:type="spellStart"/>
      <w:r w:rsidRPr="00055664">
        <w:t>Bossard</w:t>
      </w:r>
      <w:proofErr w:type="spellEnd"/>
      <w:r>
        <w:t xml:space="preserve"> </w:t>
      </w:r>
      <w:r w:rsidRPr="00055664">
        <w:t>and ABB was a crucial factor in the project’s success</w:t>
      </w:r>
      <w:r w:rsidR="0088538B">
        <w:t>—</w:t>
      </w:r>
      <w:r w:rsidRPr="00055664">
        <w:t>a quantifiable success that is evident each and every</w:t>
      </w:r>
      <w:r>
        <w:t xml:space="preserve"> </w:t>
      </w:r>
      <w:r w:rsidRPr="00055664">
        <w:t>month. That’s what I call Proven Productivity.</w:t>
      </w:r>
    </w:p>
    <w:p w14:paraId="4511E06D" w14:textId="77777777" w:rsidR="0088538B" w:rsidRPr="00055664" w:rsidRDefault="0088538B" w:rsidP="0088538B">
      <w:pPr>
        <w:pStyle w:val="ExhibitText"/>
      </w:pPr>
    </w:p>
    <w:p w14:paraId="3EEA414F" w14:textId="058D6569" w:rsidR="008642D0" w:rsidRPr="00055664" w:rsidRDefault="008642D0" w:rsidP="00D85B28">
      <w:pPr>
        <w:pStyle w:val="ExhibitText"/>
        <w:pBdr>
          <w:bottom w:val="single" w:sz="4" w:space="4" w:color="auto"/>
        </w:pBdr>
        <w:jc w:val="right"/>
      </w:pPr>
      <w:r w:rsidRPr="00055664">
        <w:t xml:space="preserve">Thomas </w:t>
      </w:r>
      <w:proofErr w:type="spellStart"/>
      <w:r w:rsidRPr="00055664">
        <w:t>Siegenthaler</w:t>
      </w:r>
      <w:proofErr w:type="spellEnd"/>
      <w:r w:rsidR="0088538B">
        <w:t xml:space="preserve">, </w:t>
      </w:r>
      <w:r w:rsidRPr="00055664">
        <w:t>Head of Production Traction Converters, ABB Switzerland Ltd.</w:t>
      </w:r>
    </w:p>
    <w:p w14:paraId="3BD85555" w14:textId="77777777" w:rsidR="008642D0" w:rsidRPr="0088538B" w:rsidRDefault="008642D0" w:rsidP="0088538B">
      <w:pPr>
        <w:pStyle w:val="ExhibitText"/>
      </w:pPr>
    </w:p>
    <w:p w14:paraId="754E6B5A" w14:textId="1C7810F6" w:rsidR="008642D0" w:rsidRPr="0088538B" w:rsidRDefault="008642D0" w:rsidP="0088538B">
      <w:pPr>
        <w:pStyle w:val="ExhibitText"/>
      </w:pPr>
      <w:proofErr w:type="spellStart"/>
      <w:r w:rsidRPr="0088538B">
        <w:t>Bühler</w:t>
      </w:r>
      <w:proofErr w:type="spellEnd"/>
      <w:r w:rsidRPr="0088538B">
        <w:t xml:space="preserve"> is a world-leading producer of food processing machinery. There are many successful cases of our cooperation with </w:t>
      </w:r>
      <w:proofErr w:type="spellStart"/>
      <w:r w:rsidRPr="0088538B">
        <w:t>Bossard</w:t>
      </w:r>
      <w:proofErr w:type="spellEnd"/>
      <w:r w:rsidRPr="0088538B">
        <w:t xml:space="preserve"> in joint project teams.</w:t>
      </w:r>
    </w:p>
    <w:p w14:paraId="0338C98A" w14:textId="77777777" w:rsidR="0088538B" w:rsidRPr="0088538B" w:rsidRDefault="0088538B" w:rsidP="0088538B">
      <w:pPr>
        <w:pStyle w:val="ExhibitText"/>
      </w:pPr>
    </w:p>
    <w:p w14:paraId="5C7954DA" w14:textId="452F8076" w:rsidR="008642D0" w:rsidRPr="0088538B" w:rsidRDefault="008642D0" w:rsidP="0088538B">
      <w:pPr>
        <w:pStyle w:val="ExhibitText"/>
      </w:pPr>
      <w:r w:rsidRPr="0088538B">
        <w:t xml:space="preserve">We are working together on our global supply chain. This includes products as well as efficient processes. </w:t>
      </w:r>
      <w:proofErr w:type="spellStart"/>
      <w:r w:rsidRPr="0088538B">
        <w:t>Bossard</w:t>
      </w:r>
      <w:proofErr w:type="spellEnd"/>
      <w:r w:rsidRPr="0088538B">
        <w:t xml:space="preserve"> shows us product solutions and logistic concepts, like </w:t>
      </w:r>
      <w:proofErr w:type="spellStart"/>
      <w:r w:rsidRPr="0088538B">
        <w:t>SmartBin</w:t>
      </w:r>
      <w:proofErr w:type="spellEnd"/>
      <w:r w:rsidRPr="0088538B">
        <w:t xml:space="preserve">, that help us to reduce costs and to improve productivity. I think this is the biggest value </w:t>
      </w:r>
      <w:proofErr w:type="spellStart"/>
      <w:r w:rsidRPr="0088538B">
        <w:t>Bossard</w:t>
      </w:r>
      <w:proofErr w:type="spellEnd"/>
      <w:r w:rsidRPr="0088538B">
        <w:t xml:space="preserve"> brings to us.</w:t>
      </w:r>
    </w:p>
    <w:p w14:paraId="34986AA8" w14:textId="77777777" w:rsidR="0088538B" w:rsidRPr="0088538B" w:rsidRDefault="0088538B" w:rsidP="0088538B">
      <w:pPr>
        <w:pStyle w:val="ExhibitText"/>
      </w:pPr>
    </w:p>
    <w:p w14:paraId="35B92476" w14:textId="4A601991" w:rsidR="008642D0" w:rsidRPr="0088538B" w:rsidRDefault="008642D0" w:rsidP="00D85B28">
      <w:pPr>
        <w:pStyle w:val="ExhibitText"/>
        <w:pBdr>
          <w:bottom w:val="single" w:sz="4" w:space="4" w:color="auto"/>
        </w:pBdr>
        <w:jc w:val="right"/>
      </w:pPr>
      <w:r w:rsidRPr="0088538B">
        <w:t xml:space="preserve">YD </w:t>
      </w:r>
      <w:proofErr w:type="spellStart"/>
      <w:r w:rsidRPr="0088538B">
        <w:t>Meng</w:t>
      </w:r>
      <w:proofErr w:type="spellEnd"/>
      <w:r w:rsidR="0088538B">
        <w:t xml:space="preserve">, </w:t>
      </w:r>
      <w:r w:rsidRPr="0088538B">
        <w:t xml:space="preserve">General Manager, </w:t>
      </w:r>
      <w:proofErr w:type="spellStart"/>
      <w:r w:rsidRPr="0088538B">
        <w:t>Bühler</w:t>
      </w:r>
      <w:proofErr w:type="spellEnd"/>
      <w:r w:rsidRPr="0088538B">
        <w:t xml:space="preserve"> (China) Machinery Manufacturing Co., Ltd.</w:t>
      </w:r>
    </w:p>
    <w:p w14:paraId="1AB8809C" w14:textId="77777777" w:rsidR="008642D0" w:rsidRPr="0088538B" w:rsidRDefault="008642D0" w:rsidP="0088538B">
      <w:pPr>
        <w:pStyle w:val="ExhibitText"/>
      </w:pPr>
    </w:p>
    <w:p w14:paraId="332AADED" w14:textId="63C19C53" w:rsidR="008642D0" w:rsidRPr="0088538B" w:rsidRDefault="008642D0" w:rsidP="0088538B">
      <w:pPr>
        <w:pStyle w:val="ExhibitText"/>
      </w:pPr>
      <w:r w:rsidRPr="0088538B">
        <w:t>At SDLG’s headquarters in Linyi [China], we produce 20,000 excavators and 50,000 wheel loaders every year. For us, safety is our top priority.</w:t>
      </w:r>
    </w:p>
    <w:p w14:paraId="05707FE6" w14:textId="77777777" w:rsidR="0088538B" w:rsidRPr="0088538B" w:rsidRDefault="0088538B" w:rsidP="0088538B">
      <w:pPr>
        <w:pStyle w:val="ExhibitText"/>
      </w:pPr>
    </w:p>
    <w:p w14:paraId="075F1AFE" w14:textId="601C4CC2" w:rsidR="008642D0" w:rsidRPr="0088538B" w:rsidRDefault="008642D0" w:rsidP="0088538B">
      <w:pPr>
        <w:pStyle w:val="ExhibitText"/>
      </w:pPr>
      <w:r w:rsidRPr="0088538B">
        <w:t xml:space="preserve">Initially, screws from other suppliers were breaking during the assembly. Now, the fastener solutions from </w:t>
      </w:r>
      <w:proofErr w:type="spellStart"/>
      <w:r w:rsidRPr="0088538B">
        <w:t>Bossard</w:t>
      </w:r>
      <w:proofErr w:type="spellEnd"/>
      <w:r w:rsidRPr="0088538B">
        <w:t xml:space="preserve"> guarantee the safety of our machines, which helped us to lower process costs and to increase productivity. In addition, by introducing SDLG to </w:t>
      </w:r>
      <w:proofErr w:type="spellStart"/>
      <w:r w:rsidRPr="0088538B">
        <w:t>SmartBin</w:t>
      </w:r>
      <w:proofErr w:type="spellEnd"/>
      <w:r w:rsidRPr="0088538B">
        <w:t xml:space="preserve">, we were able to reduce our stock level by 75% without compromising availability. We will for sure strengthen our cooperation with </w:t>
      </w:r>
      <w:proofErr w:type="spellStart"/>
      <w:r w:rsidRPr="0088538B">
        <w:t>Bossard</w:t>
      </w:r>
      <w:proofErr w:type="spellEnd"/>
      <w:r w:rsidRPr="0088538B">
        <w:t xml:space="preserve"> for improved product solutions and logistics.</w:t>
      </w:r>
    </w:p>
    <w:p w14:paraId="2DD4B864" w14:textId="77777777" w:rsidR="0088538B" w:rsidRPr="0088538B" w:rsidRDefault="0088538B" w:rsidP="0088538B">
      <w:pPr>
        <w:pStyle w:val="ExhibitText"/>
      </w:pPr>
    </w:p>
    <w:p w14:paraId="669B3719" w14:textId="38B9877E" w:rsidR="008642D0" w:rsidRDefault="008642D0" w:rsidP="00D85B28">
      <w:pPr>
        <w:pStyle w:val="ExhibitText"/>
        <w:pBdr>
          <w:bottom w:val="single" w:sz="4" w:space="4" w:color="auto"/>
        </w:pBdr>
        <w:jc w:val="right"/>
      </w:pPr>
      <w:r>
        <w:t xml:space="preserve">Shi </w:t>
      </w:r>
      <w:proofErr w:type="spellStart"/>
      <w:r>
        <w:t>Yanyu</w:t>
      </w:r>
      <w:proofErr w:type="spellEnd"/>
      <w:r w:rsidR="0088538B">
        <w:t xml:space="preserve">, </w:t>
      </w:r>
      <w:r>
        <w:t>General Manager Excavator Division, SDLG Construction Machinery Co., Ltd.</w:t>
      </w:r>
    </w:p>
    <w:p w14:paraId="6B9D9617" w14:textId="77777777" w:rsidR="008642D0" w:rsidRDefault="008642D0" w:rsidP="0088538B">
      <w:pPr>
        <w:pStyle w:val="ExhibitText"/>
        <w:rPr>
          <w:i/>
        </w:rPr>
      </w:pPr>
    </w:p>
    <w:p w14:paraId="1793F2A9" w14:textId="2A6405A5" w:rsidR="008642D0" w:rsidRPr="008642D0" w:rsidRDefault="008642D0" w:rsidP="002E6591">
      <w:pPr>
        <w:pStyle w:val="Footnote"/>
        <w:outlineLvl w:val="0"/>
      </w:pPr>
      <w:r w:rsidRPr="008642D0">
        <w:t xml:space="preserve">Source: </w:t>
      </w:r>
      <w:r w:rsidR="004A4D18">
        <w:t xml:space="preserve">Company documents. </w:t>
      </w:r>
      <w:bookmarkStart w:id="0" w:name="_GoBack"/>
      <w:bookmarkEnd w:id="0"/>
    </w:p>
    <w:p w14:paraId="247CD5F7" w14:textId="77777777" w:rsidR="008642D0" w:rsidRDefault="008642D0" w:rsidP="00D64AE1">
      <w:pPr>
        <w:pStyle w:val="ExhibitText"/>
      </w:pPr>
      <w:r>
        <w:br w:type="page"/>
      </w:r>
    </w:p>
    <w:p w14:paraId="64291AFA" w14:textId="77777777" w:rsidR="008642D0" w:rsidRDefault="008642D0" w:rsidP="00D64AE1">
      <w:pPr>
        <w:pStyle w:val="ExhibitHeading"/>
      </w:pPr>
      <w:r>
        <w:lastRenderedPageBreak/>
        <w:t>Exhibit 5: Intra-Factory Logistics Using Bossard Systems</w:t>
      </w:r>
    </w:p>
    <w:p w14:paraId="6F5C6633" w14:textId="77777777" w:rsidR="00D85B28" w:rsidRDefault="00D85B28" w:rsidP="00D64AE1">
      <w:pPr>
        <w:pStyle w:val="ExhibitText"/>
      </w:pPr>
    </w:p>
    <w:p w14:paraId="17FCD625" w14:textId="77777777" w:rsidR="008642D0" w:rsidRDefault="008642D0" w:rsidP="00D64AE1">
      <w:pPr>
        <w:pStyle w:val="ExhibitText"/>
      </w:pPr>
      <w:r>
        <w:rPr>
          <w:noProof/>
          <w:lang w:eastAsia="en-GB"/>
        </w:rPr>
        <w:drawing>
          <wp:inline distT="0" distB="0" distL="0" distR="0" wp14:anchorId="32E9F9DD" wp14:editId="66A67780">
            <wp:extent cx="5943600" cy="38610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grayscl/>
                    </a:blip>
                    <a:srcRect l="13545" t="16700" r="15489" b="5750"/>
                    <a:stretch/>
                  </pic:blipFill>
                  <pic:spPr bwMode="auto">
                    <a:xfrm>
                      <a:off x="0" y="0"/>
                      <a:ext cx="5943600" cy="3861060"/>
                    </a:xfrm>
                    <a:prstGeom prst="rect">
                      <a:avLst/>
                    </a:prstGeom>
                    <a:ln>
                      <a:noFill/>
                    </a:ln>
                    <a:extLst>
                      <a:ext uri="{53640926-AAD7-44D8-BBD7-CCE9431645EC}">
                        <a14:shadowObscured xmlns:a14="http://schemas.microsoft.com/office/drawing/2010/main"/>
                      </a:ext>
                    </a:extLst>
                  </pic:spPr>
                </pic:pic>
              </a:graphicData>
            </a:graphic>
          </wp:inline>
        </w:drawing>
      </w:r>
    </w:p>
    <w:p w14:paraId="59AFFD71" w14:textId="77777777" w:rsidR="008642D0" w:rsidRPr="008642D0" w:rsidRDefault="008642D0" w:rsidP="00D64AE1">
      <w:pPr>
        <w:pStyle w:val="ExhibitText"/>
      </w:pPr>
    </w:p>
    <w:p w14:paraId="4F9AB423" w14:textId="12EF73E9" w:rsidR="008642D0" w:rsidRPr="008642D0" w:rsidRDefault="008642D0" w:rsidP="002E6591">
      <w:pPr>
        <w:pStyle w:val="Footnote"/>
        <w:outlineLvl w:val="0"/>
      </w:pPr>
      <w:r w:rsidRPr="008642D0">
        <w:t xml:space="preserve">Source: </w:t>
      </w:r>
      <w:r w:rsidR="00DC4779">
        <w:t xml:space="preserve">Company documents. </w:t>
      </w:r>
    </w:p>
    <w:p w14:paraId="7CFD859E" w14:textId="77777777" w:rsidR="008642D0" w:rsidRDefault="008642D0" w:rsidP="00D64AE1">
      <w:pPr>
        <w:pStyle w:val="ExhibitText"/>
      </w:pPr>
    </w:p>
    <w:p w14:paraId="24FBF59D" w14:textId="77777777" w:rsidR="008642D0" w:rsidRDefault="008642D0" w:rsidP="00D64AE1">
      <w:pPr>
        <w:pStyle w:val="ExhibitText"/>
      </w:pPr>
    </w:p>
    <w:p w14:paraId="710A3B35" w14:textId="77777777" w:rsidR="008642D0" w:rsidRDefault="008642D0" w:rsidP="002E6591">
      <w:pPr>
        <w:pStyle w:val="ExhibitHeading"/>
        <w:outlineLvl w:val="0"/>
      </w:pPr>
      <w:r>
        <w:t>Exhibit 6: Customized Service Solutions</w:t>
      </w:r>
    </w:p>
    <w:p w14:paraId="308E62C8" w14:textId="77777777" w:rsidR="008642D0" w:rsidRDefault="008642D0" w:rsidP="00D64AE1">
      <w:pPr>
        <w:pStyle w:val="ExhibitText"/>
      </w:pPr>
    </w:p>
    <w:tbl>
      <w:tblPr>
        <w:tblStyle w:val="TableGrid"/>
        <w:tblW w:w="5000" w:type="pct"/>
        <w:jc w:val="center"/>
        <w:tblLook w:val="04A0" w:firstRow="1" w:lastRow="0" w:firstColumn="1" w:lastColumn="0" w:noHBand="0" w:noVBand="1"/>
      </w:tblPr>
      <w:tblGrid>
        <w:gridCol w:w="2198"/>
        <w:gridCol w:w="1416"/>
        <w:gridCol w:w="1426"/>
        <w:gridCol w:w="1440"/>
        <w:gridCol w:w="1440"/>
        <w:gridCol w:w="1440"/>
      </w:tblGrid>
      <w:tr w:rsidR="00D85B28" w:rsidRPr="00D85B28" w14:paraId="438A0FF4" w14:textId="77777777" w:rsidTr="00D85B28">
        <w:trPr>
          <w:trHeight w:val="288"/>
          <w:jc w:val="center"/>
        </w:trPr>
        <w:tc>
          <w:tcPr>
            <w:tcW w:w="2198" w:type="dxa"/>
            <w:vMerge w:val="restart"/>
            <w:tcBorders>
              <w:left w:val="nil"/>
              <w:right w:val="nil"/>
            </w:tcBorders>
            <w:vAlign w:val="center"/>
          </w:tcPr>
          <w:p w14:paraId="61705651" w14:textId="77777777" w:rsidR="00D85B28" w:rsidRPr="00D85B28" w:rsidRDefault="00D85B28" w:rsidP="00D85B28">
            <w:pPr>
              <w:pStyle w:val="ExhibitText"/>
              <w:jc w:val="left"/>
              <w:rPr>
                <w:b/>
              </w:rPr>
            </w:pPr>
            <w:r w:rsidRPr="00D85B28">
              <w:rPr>
                <w:b/>
              </w:rPr>
              <w:t>Functions</w:t>
            </w:r>
          </w:p>
        </w:tc>
        <w:tc>
          <w:tcPr>
            <w:tcW w:w="7162" w:type="dxa"/>
            <w:gridSpan w:val="5"/>
            <w:tcBorders>
              <w:left w:val="nil"/>
              <w:bottom w:val="nil"/>
              <w:right w:val="nil"/>
            </w:tcBorders>
            <w:vAlign w:val="center"/>
          </w:tcPr>
          <w:p w14:paraId="2DAC3C17" w14:textId="77777777" w:rsidR="00D85B28" w:rsidRPr="00D85B28" w:rsidRDefault="00D85B28" w:rsidP="00D85B28">
            <w:pPr>
              <w:pStyle w:val="ExhibitText"/>
              <w:jc w:val="center"/>
              <w:rPr>
                <w:b/>
              </w:rPr>
            </w:pPr>
            <w:r w:rsidRPr="00D85B28">
              <w:rPr>
                <w:b/>
              </w:rPr>
              <w:t>Solutions</w:t>
            </w:r>
          </w:p>
        </w:tc>
      </w:tr>
      <w:tr w:rsidR="00D85B28" w:rsidRPr="00D85B28" w14:paraId="6297EA5F" w14:textId="77777777" w:rsidTr="00D85B28">
        <w:trPr>
          <w:trHeight w:val="288"/>
          <w:jc w:val="center"/>
        </w:trPr>
        <w:tc>
          <w:tcPr>
            <w:tcW w:w="2198" w:type="dxa"/>
            <w:vMerge/>
            <w:tcBorders>
              <w:left w:val="nil"/>
              <w:bottom w:val="single" w:sz="4" w:space="0" w:color="auto"/>
              <w:right w:val="nil"/>
            </w:tcBorders>
            <w:vAlign w:val="center"/>
          </w:tcPr>
          <w:p w14:paraId="2292D610" w14:textId="77777777" w:rsidR="00D85B28" w:rsidRPr="00D85B28" w:rsidRDefault="00D85B28" w:rsidP="00D85B28">
            <w:pPr>
              <w:pStyle w:val="ExhibitText"/>
              <w:jc w:val="left"/>
              <w:rPr>
                <w:b/>
              </w:rPr>
            </w:pPr>
          </w:p>
        </w:tc>
        <w:tc>
          <w:tcPr>
            <w:tcW w:w="1416" w:type="dxa"/>
            <w:tcBorders>
              <w:top w:val="nil"/>
              <w:left w:val="nil"/>
              <w:bottom w:val="single" w:sz="4" w:space="0" w:color="auto"/>
              <w:right w:val="nil"/>
            </w:tcBorders>
            <w:vAlign w:val="center"/>
          </w:tcPr>
          <w:p w14:paraId="762AF628" w14:textId="77777777" w:rsidR="00D85B28" w:rsidRPr="00D85B28" w:rsidRDefault="00D85B28" w:rsidP="00D85B28">
            <w:pPr>
              <w:pStyle w:val="ExhibitText"/>
              <w:jc w:val="center"/>
              <w:rPr>
                <w:b/>
              </w:rPr>
            </w:pPr>
            <w:r w:rsidRPr="00D85B28">
              <w:rPr>
                <w:b/>
              </w:rPr>
              <w:t>2Bin</w:t>
            </w:r>
          </w:p>
        </w:tc>
        <w:tc>
          <w:tcPr>
            <w:tcW w:w="1426" w:type="dxa"/>
            <w:tcBorders>
              <w:top w:val="nil"/>
              <w:left w:val="nil"/>
              <w:bottom w:val="single" w:sz="4" w:space="0" w:color="auto"/>
              <w:right w:val="nil"/>
            </w:tcBorders>
            <w:vAlign w:val="center"/>
          </w:tcPr>
          <w:p w14:paraId="69324E45" w14:textId="77777777" w:rsidR="00D85B28" w:rsidRPr="00D85B28" w:rsidRDefault="00D85B28" w:rsidP="00D85B28">
            <w:pPr>
              <w:pStyle w:val="ExhibitText"/>
              <w:jc w:val="center"/>
              <w:rPr>
                <w:b/>
              </w:rPr>
            </w:pPr>
            <w:r w:rsidRPr="00D85B28">
              <w:rPr>
                <w:b/>
              </w:rPr>
              <w:t>Code</w:t>
            </w:r>
          </w:p>
        </w:tc>
        <w:tc>
          <w:tcPr>
            <w:tcW w:w="1440" w:type="dxa"/>
            <w:tcBorders>
              <w:top w:val="nil"/>
              <w:left w:val="nil"/>
              <w:bottom w:val="single" w:sz="4" w:space="0" w:color="auto"/>
              <w:right w:val="nil"/>
            </w:tcBorders>
            <w:vAlign w:val="center"/>
          </w:tcPr>
          <w:p w14:paraId="49F1A314" w14:textId="175BEEC5" w:rsidR="00D85B28" w:rsidRPr="00D85B28" w:rsidRDefault="00D85B28" w:rsidP="00D85B28">
            <w:pPr>
              <w:pStyle w:val="ExhibitText"/>
              <w:jc w:val="center"/>
              <w:rPr>
                <w:b/>
              </w:rPr>
            </w:pPr>
            <w:proofErr w:type="spellStart"/>
            <w:r w:rsidRPr="00D85B28">
              <w:rPr>
                <w:b/>
              </w:rPr>
              <w:t>SmartCard</w:t>
            </w:r>
            <w:proofErr w:type="spellEnd"/>
          </w:p>
        </w:tc>
        <w:tc>
          <w:tcPr>
            <w:tcW w:w="1440" w:type="dxa"/>
            <w:tcBorders>
              <w:top w:val="nil"/>
              <w:left w:val="nil"/>
              <w:bottom w:val="single" w:sz="4" w:space="0" w:color="auto"/>
              <w:right w:val="nil"/>
            </w:tcBorders>
            <w:vAlign w:val="center"/>
          </w:tcPr>
          <w:p w14:paraId="560A1353" w14:textId="3CE3C406" w:rsidR="00D85B28" w:rsidRPr="00D85B28" w:rsidRDefault="00D85B28" w:rsidP="00D85B28">
            <w:pPr>
              <w:pStyle w:val="ExhibitText"/>
              <w:jc w:val="center"/>
              <w:rPr>
                <w:b/>
              </w:rPr>
            </w:pPr>
            <w:proofErr w:type="spellStart"/>
            <w:r w:rsidRPr="00D85B28">
              <w:rPr>
                <w:b/>
              </w:rPr>
              <w:t>SmartLabel</w:t>
            </w:r>
            <w:proofErr w:type="spellEnd"/>
          </w:p>
        </w:tc>
        <w:tc>
          <w:tcPr>
            <w:tcW w:w="1440" w:type="dxa"/>
            <w:tcBorders>
              <w:top w:val="nil"/>
              <w:left w:val="nil"/>
              <w:bottom w:val="single" w:sz="4" w:space="0" w:color="auto"/>
              <w:right w:val="nil"/>
            </w:tcBorders>
            <w:vAlign w:val="center"/>
          </w:tcPr>
          <w:p w14:paraId="5B9447EB" w14:textId="08E3E676" w:rsidR="00D85B28" w:rsidRPr="00D85B28" w:rsidRDefault="00D85B28" w:rsidP="00D85B28">
            <w:pPr>
              <w:pStyle w:val="ExhibitText"/>
              <w:jc w:val="center"/>
              <w:rPr>
                <w:b/>
              </w:rPr>
            </w:pPr>
            <w:proofErr w:type="spellStart"/>
            <w:r w:rsidRPr="00D85B28">
              <w:rPr>
                <w:b/>
              </w:rPr>
              <w:t>SmartBin</w:t>
            </w:r>
            <w:proofErr w:type="spellEnd"/>
          </w:p>
        </w:tc>
      </w:tr>
      <w:tr w:rsidR="008642D0" w:rsidRPr="008642D0" w14:paraId="062E410B" w14:textId="77777777" w:rsidTr="00D85B28">
        <w:trPr>
          <w:trHeight w:val="288"/>
          <w:jc w:val="center"/>
        </w:trPr>
        <w:tc>
          <w:tcPr>
            <w:tcW w:w="2198" w:type="dxa"/>
            <w:tcBorders>
              <w:left w:val="nil"/>
              <w:right w:val="nil"/>
            </w:tcBorders>
            <w:vAlign w:val="center"/>
          </w:tcPr>
          <w:p w14:paraId="79071CD8" w14:textId="77777777" w:rsidR="008642D0" w:rsidRPr="008642D0" w:rsidRDefault="008642D0" w:rsidP="00D85B28">
            <w:pPr>
              <w:pStyle w:val="ExhibitText"/>
              <w:jc w:val="left"/>
            </w:pPr>
            <w:r w:rsidRPr="008642D0">
              <w:t>Order release</w:t>
            </w:r>
          </w:p>
        </w:tc>
        <w:tc>
          <w:tcPr>
            <w:tcW w:w="1416" w:type="dxa"/>
            <w:tcBorders>
              <w:left w:val="nil"/>
              <w:right w:val="nil"/>
            </w:tcBorders>
            <w:vAlign w:val="center"/>
          </w:tcPr>
          <w:p w14:paraId="20EA7E9C" w14:textId="77777777" w:rsidR="008642D0" w:rsidRPr="008642D0" w:rsidRDefault="008642D0" w:rsidP="00D85B28">
            <w:pPr>
              <w:pStyle w:val="ExhibitText"/>
              <w:jc w:val="center"/>
            </w:pPr>
            <w:r w:rsidRPr="008642D0">
              <w:t>manual</w:t>
            </w:r>
          </w:p>
        </w:tc>
        <w:tc>
          <w:tcPr>
            <w:tcW w:w="1426" w:type="dxa"/>
            <w:tcBorders>
              <w:left w:val="nil"/>
              <w:right w:val="nil"/>
            </w:tcBorders>
            <w:vAlign w:val="center"/>
          </w:tcPr>
          <w:p w14:paraId="5F07EF20" w14:textId="77777777" w:rsidR="008642D0" w:rsidRPr="008642D0" w:rsidRDefault="008642D0" w:rsidP="00D85B28">
            <w:pPr>
              <w:pStyle w:val="ExhibitText"/>
              <w:jc w:val="center"/>
            </w:pPr>
            <w:r w:rsidRPr="008642D0">
              <w:t>manual</w:t>
            </w:r>
          </w:p>
        </w:tc>
        <w:tc>
          <w:tcPr>
            <w:tcW w:w="1440" w:type="dxa"/>
            <w:tcBorders>
              <w:left w:val="nil"/>
              <w:right w:val="nil"/>
            </w:tcBorders>
            <w:vAlign w:val="center"/>
          </w:tcPr>
          <w:p w14:paraId="4E6D9144" w14:textId="77777777" w:rsidR="008642D0" w:rsidRPr="008642D0" w:rsidRDefault="008642D0" w:rsidP="00D85B28">
            <w:pPr>
              <w:pStyle w:val="ExhibitText"/>
              <w:jc w:val="center"/>
            </w:pPr>
            <w:r w:rsidRPr="008642D0">
              <w:t>semi-automatic</w:t>
            </w:r>
          </w:p>
        </w:tc>
        <w:tc>
          <w:tcPr>
            <w:tcW w:w="1440" w:type="dxa"/>
            <w:tcBorders>
              <w:left w:val="nil"/>
              <w:right w:val="nil"/>
            </w:tcBorders>
            <w:vAlign w:val="center"/>
          </w:tcPr>
          <w:p w14:paraId="5C6AB418" w14:textId="77777777" w:rsidR="008642D0" w:rsidRPr="008642D0" w:rsidRDefault="008642D0" w:rsidP="00D85B28">
            <w:pPr>
              <w:pStyle w:val="ExhibitText"/>
              <w:jc w:val="center"/>
            </w:pPr>
            <w:r w:rsidRPr="008642D0">
              <w:t>semi-automatic</w:t>
            </w:r>
          </w:p>
        </w:tc>
        <w:tc>
          <w:tcPr>
            <w:tcW w:w="1440" w:type="dxa"/>
            <w:tcBorders>
              <w:left w:val="nil"/>
              <w:right w:val="nil"/>
            </w:tcBorders>
            <w:vAlign w:val="center"/>
          </w:tcPr>
          <w:p w14:paraId="048BE71F" w14:textId="77777777" w:rsidR="008642D0" w:rsidRPr="008642D0" w:rsidRDefault="008642D0" w:rsidP="00D85B28">
            <w:pPr>
              <w:pStyle w:val="ExhibitText"/>
              <w:jc w:val="center"/>
            </w:pPr>
            <w:r w:rsidRPr="008642D0">
              <w:t>automatic</w:t>
            </w:r>
          </w:p>
        </w:tc>
      </w:tr>
      <w:tr w:rsidR="008642D0" w:rsidRPr="008642D0" w14:paraId="37EEBDAE" w14:textId="77777777" w:rsidTr="00D85B28">
        <w:trPr>
          <w:trHeight w:val="288"/>
          <w:jc w:val="center"/>
        </w:trPr>
        <w:tc>
          <w:tcPr>
            <w:tcW w:w="2198" w:type="dxa"/>
            <w:tcBorders>
              <w:left w:val="nil"/>
              <w:right w:val="nil"/>
            </w:tcBorders>
            <w:vAlign w:val="center"/>
          </w:tcPr>
          <w:p w14:paraId="3781FFFD" w14:textId="77777777" w:rsidR="008642D0" w:rsidRPr="008642D0" w:rsidRDefault="008642D0" w:rsidP="00D85B28">
            <w:pPr>
              <w:pStyle w:val="ExhibitText"/>
              <w:jc w:val="left"/>
            </w:pPr>
            <w:r w:rsidRPr="008642D0">
              <w:t>Real time order and delivery information</w:t>
            </w:r>
          </w:p>
        </w:tc>
        <w:tc>
          <w:tcPr>
            <w:tcW w:w="1416" w:type="dxa"/>
            <w:tcBorders>
              <w:left w:val="nil"/>
              <w:right w:val="nil"/>
            </w:tcBorders>
            <w:vAlign w:val="center"/>
          </w:tcPr>
          <w:p w14:paraId="11466135" w14:textId="77777777" w:rsidR="008642D0" w:rsidRPr="008642D0" w:rsidRDefault="008642D0" w:rsidP="00D85B28">
            <w:pPr>
              <w:pStyle w:val="ExhibitText"/>
              <w:jc w:val="center"/>
            </w:pPr>
            <w:r w:rsidRPr="008642D0">
              <w:t>web-based</w:t>
            </w:r>
          </w:p>
        </w:tc>
        <w:tc>
          <w:tcPr>
            <w:tcW w:w="1426" w:type="dxa"/>
            <w:tcBorders>
              <w:left w:val="nil"/>
              <w:right w:val="nil"/>
            </w:tcBorders>
            <w:vAlign w:val="center"/>
          </w:tcPr>
          <w:p w14:paraId="540BEEFE" w14:textId="77777777" w:rsidR="008642D0" w:rsidRPr="008642D0" w:rsidRDefault="008642D0" w:rsidP="00D85B28">
            <w:pPr>
              <w:pStyle w:val="ExhibitText"/>
              <w:jc w:val="center"/>
            </w:pPr>
            <w:r w:rsidRPr="008642D0">
              <w:t>web-based</w:t>
            </w:r>
          </w:p>
        </w:tc>
        <w:tc>
          <w:tcPr>
            <w:tcW w:w="1440" w:type="dxa"/>
            <w:tcBorders>
              <w:left w:val="nil"/>
              <w:right w:val="nil"/>
            </w:tcBorders>
            <w:vAlign w:val="center"/>
          </w:tcPr>
          <w:p w14:paraId="68DC5DB6" w14:textId="77777777" w:rsidR="008642D0" w:rsidRPr="008642D0" w:rsidRDefault="008642D0" w:rsidP="00D85B28">
            <w:pPr>
              <w:pStyle w:val="ExhibitText"/>
              <w:jc w:val="center"/>
            </w:pPr>
            <w:r w:rsidRPr="008642D0">
              <w:t>web-based</w:t>
            </w:r>
          </w:p>
        </w:tc>
        <w:tc>
          <w:tcPr>
            <w:tcW w:w="1440" w:type="dxa"/>
            <w:tcBorders>
              <w:left w:val="nil"/>
              <w:right w:val="nil"/>
            </w:tcBorders>
            <w:vAlign w:val="center"/>
          </w:tcPr>
          <w:p w14:paraId="69040E58" w14:textId="77777777" w:rsidR="008642D0" w:rsidRPr="008642D0" w:rsidRDefault="008642D0" w:rsidP="00D85B28">
            <w:pPr>
              <w:pStyle w:val="ExhibitText"/>
              <w:jc w:val="center"/>
            </w:pPr>
            <w:r w:rsidRPr="008642D0">
              <w:t>local</w:t>
            </w:r>
          </w:p>
        </w:tc>
        <w:tc>
          <w:tcPr>
            <w:tcW w:w="1440" w:type="dxa"/>
            <w:tcBorders>
              <w:left w:val="nil"/>
              <w:right w:val="nil"/>
            </w:tcBorders>
            <w:vAlign w:val="center"/>
          </w:tcPr>
          <w:p w14:paraId="5BA73024" w14:textId="77777777" w:rsidR="008642D0" w:rsidRPr="008642D0" w:rsidRDefault="008642D0" w:rsidP="00D85B28">
            <w:pPr>
              <w:pStyle w:val="ExhibitText"/>
              <w:jc w:val="center"/>
            </w:pPr>
            <w:r w:rsidRPr="008642D0">
              <w:t>web-based</w:t>
            </w:r>
          </w:p>
        </w:tc>
      </w:tr>
      <w:tr w:rsidR="008642D0" w:rsidRPr="008642D0" w14:paraId="775B6DBC" w14:textId="77777777" w:rsidTr="00D85B28">
        <w:trPr>
          <w:trHeight w:val="288"/>
          <w:jc w:val="center"/>
        </w:trPr>
        <w:tc>
          <w:tcPr>
            <w:tcW w:w="2198" w:type="dxa"/>
            <w:tcBorders>
              <w:left w:val="nil"/>
              <w:right w:val="nil"/>
            </w:tcBorders>
            <w:vAlign w:val="center"/>
          </w:tcPr>
          <w:p w14:paraId="5CEF8590" w14:textId="77777777" w:rsidR="008642D0" w:rsidRPr="008642D0" w:rsidRDefault="008642D0" w:rsidP="00D85B28">
            <w:pPr>
              <w:pStyle w:val="ExhibitText"/>
              <w:jc w:val="left"/>
            </w:pPr>
            <w:r w:rsidRPr="008642D0">
              <w:t>Refill recognition</w:t>
            </w:r>
          </w:p>
        </w:tc>
        <w:tc>
          <w:tcPr>
            <w:tcW w:w="1416" w:type="dxa"/>
            <w:tcBorders>
              <w:left w:val="nil"/>
              <w:right w:val="nil"/>
            </w:tcBorders>
            <w:vAlign w:val="center"/>
          </w:tcPr>
          <w:p w14:paraId="6BE3DED8" w14:textId="77777777" w:rsidR="008642D0" w:rsidRPr="008642D0" w:rsidRDefault="008642D0" w:rsidP="00D85B28">
            <w:pPr>
              <w:pStyle w:val="ExhibitText"/>
              <w:jc w:val="center"/>
            </w:pPr>
            <w:r w:rsidRPr="008642D0">
              <w:t>---</w:t>
            </w:r>
          </w:p>
        </w:tc>
        <w:tc>
          <w:tcPr>
            <w:tcW w:w="1426" w:type="dxa"/>
            <w:tcBorders>
              <w:left w:val="nil"/>
              <w:right w:val="nil"/>
            </w:tcBorders>
            <w:vAlign w:val="center"/>
          </w:tcPr>
          <w:p w14:paraId="1FE8F623" w14:textId="77777777" w:rsidR="008642D0" w:rsidRPr="008642D0" w:rsidRDefault="008642D0" w:rsidP="00D85B28">
            <w:pPr>
              <w:pStyle w:val="ExhibitText"/>
              <w:jc w:val="center"/>
            </w:pPr>
            <w:r w:rsidRPr="008642D0">
              <w:t>---</w:t>
            </w:r>
          </w:p>
        </w:tc>
        <w:tc>
          <w:tcPr>
            <w:tcW w:w="1440" w:type="dxa"/>
            <w:tcBorders>
              <w:left w:val="nil"/>
              <w:right w:val="nil"/>
            </w:tcBorders>
            <w:vAlign w:val="center"/>
          </w:tcPr>
          <w:p w14:paraId="47376552" w14:textId="77777777" w:rsidR="008642D0" w:rsidRPr="008642D0" w:rsidRDefault="008642D0" w:rsidP="00D85B28">
            <w:pPr>
              <w:pStyle w:val="ExhibitText"/>
              <w:jc w:val="center"/>
            </w:pPr>
            <w:r w:rsidRPr="008642D0">
              <w:t>---</w:t>
            </w:r>
          </w:p>
        </w:tc>
        <w:tc>
          <w:tcPr>
            <w:tcW w:w="1440" w:type="dxa"/>
            <w:tcBorders>
              <w:left w:val="nil"/>
              <w:right w:val="nil"/>
            </w:tcBorders>
            <w:vAlign w:val="center"/>
          </w:tcPr>
          <w:p w14:paraId="3336D501"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59965583" w14:textId="77777777" w:rsidR="008642D0" w:rsidRPr="008642D0" w:rsidRDefault="008642D0" w:rsidP="00D85B28">
            <w:pPr>
              <w:pStyle w:val="ExhibitText"/>
              <w:jc w:val="center"/>
            </w:pPr>
            <w:r w:rsidRPr="008642D0">
              <w:t>automatic</w:t>
            </w:r>
          </w:p>
        </w:tc>
      </w:tr>
      <w:tr w:rsidR="008642D0" w:rsidRPr="008642D0" w14:paraId="2E800093" w14:textId="77777777" w:rsidTr="00D85B28">
        <w:trPr>
          <w:trHeight w:val="288"/>
          <w:jc w:val="center"/>
        </w:trPr>
        <w:tc>
          <w:tcPr>
            <w:tcW w:w="2198" w:type="dxa"/>
            <w:tcBorders>
              <w:left w:val="nil"/>
              <w:right w:val="nil"/>
            </w:tcBorders>
            <w:vAlign w:val="center"/>
          </w:tcPr>
          <w:p w14:paraId="098DBBC3" w14:textId="77777777" w:rsidR="008642D0" w:rsidRPr="008642D0" w:rsidRDefault="008642D0" w:rsidP="00D85B28">
            <w:pPr>
              <w:pStyle w:val="ExhibitText"/>
              <w:jc w:val="left"/>
            </w:pPr>
            <w:r w:rsidRPr="008642D0">
              <w:t>Automated error recognition</w:t>
            </w:r>
          </w:p>
        </w:tc>
        <w:tc>
          <w:tcPr>
            <w:tcW w:w="1416" w:type="dxa"/>
            <w:tcBorders>
              <w:left w:val="nil"/>
              <w:right w:val="nil"/>
            </w:tcBorders>
            <w:vAlign w:val="center"/>
          </w:tcPr>
          <w:p w14:paraId="1D68E210" w14:textId="77777777" w:rsidR="008642D0" w:rsidRPr="008642D0" w:rsidRDefault="008642D0" w:rsidP="00D85B28">
            <w:pPr>
              <w:pStyle w:val="ExhibitText"/>
              <w:jc w:val="center"/>
            </w:pPr>
            <w:r w:rsidRPr="008642D0">
              <w:t>---</w:t>
            </w:r>
          </w:p>
        </w:tc>
        <w:tc>
          <w:tcPr>
            <w:tcW w:w="1426" w:type="dxa"/>
            <w:tcBorders>
              <w:left w:val="nil"/>
              <w:right w:val="nil"/>
            </w:tcBorders>
            <w:vAlign w:val="center"/>
          </w:tcPr>
          <w:p w14:paraId="5BB53875" w14:textId="77777777" w:rsidR="008642D0" w:rsidRPr="008642D0" w:rsidRDefault="008642D0" w:rsidP="00D85B28">
            <w:pPr>
              <w:pStyle w:val="ExhibitText"/>
              <w:jc w:val="center"/>
            </w:pPr>
            <w:r w:rsidRPr="008642D0">
              <w:t>---</w:t>
            </w:r>
          </w:p>
        </w:tc>
        <w:tc>
          <w:tcPr>
            <w:tcW w:w="1440" w:type="dxa"/>
            <w:tcBorders>
              <w:left w:val="nil"/>
              <w:right w:val="nil"/>
            </w:tcBorders>
            <w:vAlign w:val="center"/>
          </w:tcPr>
          <w:p w14:paraId="5243C6A1" w14:textId="77777777" w:rsidR="008642D0" w:rsidRPr="008642D0" w:rsidRDefault="008642D0" w:rsidP="00D85B28">
            <w:pPr>
              <w:pStyle w:val="ExhibitText"/>
              <w:jc w:val="center"/>
            </w:pPr>
            <w:r w:rsidRPr="008642D0">
              <w:t>partial</w:t>
            </w:r>
          </w:p>
        </w:tc>
        <w:tc>
          <w:tcPr>
            <w:tcW w:w="1440" w:type="dxa"/>
            <w:tcBorders>
              <w:left w:val="nil"/>
              <w:right w:val="nil"/>
            </w:tcBorders>
            <w:vAlign w:val="center"/>
          </w:tcPr>
          <w:p w14:paraId="0D27FE6F"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5258AA09" w14:textId="77777777" w:rsidR="008642D0" w:rsidRPr="008642D0" w:rsidRDefault="008642D0" w:rsidP="00D85B28">
            <w:pPr>
              <w:pStyle w:val="ExhibitText"/>
              <w:jc w:val="center"/>
            </w:pPr>
            <w:r w:rsidRPr="008642D0">
              <w:t>yes</w:t>
            </w:r>
          </w:p>
        </w:tc>
      </w:tr>
      <w:tr w:rsidR="008642D0" w:rsidRPr="008642D0" w14:paraId="1AB2F4AE" w14:textId="77777777" w:rsidTr="00D85B28">
        <w:trPr>
          <w:trHeight w:val="288"/>
          <w:jc w:val="center"/>
        </w:trPr>
        <w:tc>
          <w:tcPr>
            <w:tcW w:w="2198" w:type="dxa"/>
            <w:tcBorders>
              <w:left w:val="nil"/>
              <w:right w:val="nil"/>
            </w:tcBorders>
            <w:vAlign w:val="center"/>
          </w:tcPr>
          <w:p w14:paraId="7FA2D10E" w14:textId="77777777" w:rsidR="008642D0" w:rsidRPr="008642D0" w:rsidRDefault="008642D0" w:rsidP="00D85B28">
            <w:pPr>
              <w:pStyle w:val="ExhibitText"/>
              <w:jc w:val="left"/>
            </w:pPr>
            <w:r w:rsidRPr="008642D0">
              <w:t>Flexible placement</w:t>
            </w:r>
          </w:p>
        </w:tc>
        <w:tc>
          <w:tcPr>
            <w:tcW w:w="1416" w:type="dxa"/>
            <w:tcBorders>
              <w:left w:val="nil"/>
              <w:right w:val="nil"/>
            </w:tcBorders>
            <w:vAlign w:val="center"/>
          </w:tcPr>
          <w:p w14:paraId="243AF522" w14:textId="2A0CECE6" w:rsidR="008642D0" w:rsidRPr="008642D0" w:rsidRDefault="00D85B28" w:rsidP="00D85B28">
            <w:pPr>
              <w:pStyle w:val="ExhibitText"/>
              <w:jc w:val="center"/>
            </w:pPr>
            <w:r>
              <w:t>p</w:t>
            </w:r>
            <w:r w:rsidR="008642D0" w:rsidRPr="008642D0">
              <w:t>artial</w:t>
            </w:r>
          </w:p>
        </w:tc>
        <w:tc>
          <w:tcPr>
            <w:tcW w:w="1426" w:type="dxa"/>
            <w:tcBorders>
              <w:left w:val="nil"/>
              <w:right w:val="nil"/>
            </w:tcBorders>
            <w:vAlign w:val="center"/>
          </w:tcPr>
          <w:p w14:paraId="04DAD453"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5A1025C1"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38854065"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6B043004" w14:textId="4CE8F797" w:rsidR="008642D0" w:rsidRPr="008642D0" w:rsidRDefault="00D85B28" w:rsidP="00D85B28">
            <w:pPr>
              <w:pStyle w:val="ExhibitText"/>
              <w:jc w:val="center"/>
            </w:pPr>
            <w:r>
              <w:t>y</w:t>
            </w:r>
            <w:r w:rsidR="008642D0" w:rsidRPr="008642D0">
              <w:t>es</w:t>
            </w:r>
          </w:p>
        </w:tc>
      </w:tr>
      <w:tr w:rsidR="008642D0" w:rsidRPr="008642D0" w14:paraId="688A84E0" w14:textId="77777777" w:rsidTr="00D85B28">
        <w:trPr>
          <w:trHeight w:val="288"/>
          <w:jc w:val="center"/>
        </w:trPr>
        <w:tc>
          <w:tcPr>
            <w:tcW w:w="2198" w:type="dxa"/>
            <w:tcBorders>
              <w:left w:val="nil"/>
              <w:right w:val="nil"/>
            </w:tcBorders>
            <w:vAlign w:val="center"/>
          </w:tcPr>
          <w:p w14:paraId="5E6167FD" w14:textId="77777777" w:rsidR="008642D0" w:rsidRPr="008642D0" w:rsidRDefault="008642D0" w:rsidP="00D85B28">
            <w:pPr>
              <w:pStyle w:val="ExhibitText"/>
              <w:jc w:val="left"/>
            </w:pPr>
            <w:r w:rsidRPr="008642D0">
              <w:t>Point of use</w:t>
            </w:r>
          </w:p>
        </w:tc>
        <w:tc>
          <w:tcPr>
            <w:tcW w:w="1416" w:type="dxa"/>
            <w:tcBorders>
              <w:left w:val="nil"/>
              <w:right w:val="nil"/>
            </w:tcBorders>
            <w:vAlign w:val="center"/>
          </w:tcPr>
          <w:p w14:paraId="59DF3844" w14:textId="77777777" w:rsidR="008642D0" w:rsidRPr="008642D0" w:rsidRDefault="008642D0" w:rsidP="00D85B28">
            <w:pPr>
              <w:pStyle w:val="ExhibitText"/>
              <w:jc w:val="center"/>
            </w:pPr>
            <w:r w:rsidRPr="008642D0">
              <w:t>--</w:t>
            </w:r>
          </w:p>
        </w:tc>
        <w:tc>
          <w:tcPr>
            <w:tcW w:w="1426" w:type="dxa"/>
            <w:tcBorders>
              <w:left w:val="nil"/>
              <w:right w:val="nil"/>
            </w:tcBorders>
            <w:vAlign w:val="center"/>
          </w:tcPr>
          <w:p w14:paraId="637E5CFF" w14:textId="77777777" w:rsidR="008642D0" w:rsidRPr="008642D0" w:rsidRDefault="008642D0" w:rsidP="00D85B28">
            <w:pPr>
              <w:pStyle w:val="ExhibitText"/>
              <w:jc w:val="center"/>
            </w:pPr>
            <w:r w:rsidRPr="008642D0">
              <w:t>partial</w:t>
            </w:r>
          </w:p>
        </w:tc>
        <w:tc>
          <w:tcPr>
            <w:tcW w:w="1440" w:type="dxa"/>
            <w:tcBorders>
              <w:left w:val="nil"/>
              <w:right w:val="nil"/>
            </w:tcBorders>
            <w:vAlign w:val="center"/>
          </w:tcPr>
          <w:p w14:paraId="01C289BE"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1F2AEF1B"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4D239150" w14:textId="77777777" w:rsidR="008642D0" w:rsidRPr="008642D0" w:rsidRDefault="008642D0" w:rsidP="00D85B28">
            <w:pPr>
              <w:pStyle w:val="ExhibitText"/>
              <w:jc w:val="center"/>
            </w:pPr>
            <w:r w:rsidRPr="008642D0">
              <w:t>yes</w:t>
            </w:r>
          </w:p>
        </w:tc>
      </w:tr>
      <w:tr w:rsidR="008642D0" w:rsidRPr="008642D0" w14:paraId="6E4D105A" w14:textId="77777777" w:rsidTr="00D85B28">
        <w:trPr>
          <w:trHeight w:val="288"/>
          <w:jc w:val="center"/>
        </w:trPr>
        <w:tc>
          <w:tcPr>
            <w:tcW w:w="2198" w:type="dxa"/>
            <w:tcBorders>
              <w:left w:val="nil"/>
              <w:right w:val="nil"/>
            </w:tcBorders>
            <w:vAlign w:val="center"/>
          </w:tcPr>
          <w:p w14:paraId="251864E9" w14:textId="77777777" w:rsidR="008642D0" w:rsidRPr="008642D0" w:rsidRDefault="008642D0" w:rsidP="00D85B28">
            <w:pPr>
              <w:pStyle w:val="ExhibitText"/>
              <w:jc w:val="left"/>
            </w:pPr>
            <w:r w:rsidRPr="008642D0">
              <w:t xml:space="preserve">Connected to ARIMS online platform </w:t>
            </w:r>
          </w:p>
        </w:tc>
        <w:tc>
          <w:tcPr>
            <w:tcW w:w="1416" w:type="dxa"/>
            <w:tcBorders>
              <w:left w:val="nil"/>
              <w:right w:val="nil"/>
            </w:tcBorders>
            <w:vAlign w:val="center"/>
          </w:tcPr>
          <w:p w14:paraId="33E408D3" w14:textId="77777777" w:rsidR="008642D0" w:rsidRPr="008642D0" w:rsidRDefault="008642D0" w:rsidP="00D85B28">
            <w:pPr>
              <w:pStyle w:val="ExhibitText"/>
              <w:jc w:val="center"/>
            </w:pPr>
            <w:r w:rsidRPr="008642D0">
              <w:t>yes</w:t>
            </w:r>
          </w:p>
        </w:tc>
        <w:tc>
          <w:tcPr>
            <w:tcW w:w="1426" w:type="dxa"/>
            <w:tcBorders>
              <w:left w:val="nil"/>
              <w:right w:val="nil"/>
            </w:tcBorders>
            <w:vAlign w:val="center"/>
          </w:tcPr>
          <w:p w14:paraId="4E3359BF"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2306DF16"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59A91BA5" w14:textId="77777777" w:rsidR="008642D0" w:rsidRPr="008642D0" w:rsidRDefault="008642D0" w:rsidP="00D85B28">
            <w:pPr>
              <w:pStyle w:val="ExhibitText"/>
              <w:jc w:val="center"/>
            </w:pPr>
            <w:r w:rsidRPr="008642D0">
              <w:t>yes</w:t>
            </w:r>
          </w:p>
        </w:tc>
        <w:tc>
          <w:tcPr>
            <w:tcW w:w="1440" w:type="dxa"/>
            <w:tcBorders>
              <w:left w:val="nil"/>
              <w:right w:val="nil"/>
            </w:tcBorders>
            <w:vAlign w:val="center"/>
          </w:tcPr>
          <w:p w14:paraId="47965BD0" w14:textId="77777777" w:rsidR="008642D0" w:rsidRPr="008642D0" w:rsidRDefault="008642D0" w:rsidP="00D85B28">
            <w:pPr>
              <w:pStyle w:val="ExhibitText"/>
              <w:jc w:val="center"/>
            </w:pPr>
            <w:r w:rsidRPr="008642D0">
              <w:t>yes</w:t>
            </w:r>
          </w:p>
        </w:tc>
      </w:tr>
    </w:tbl>
    <w:p w14:paraId="1D794C13" w14:textId="77777777" w:rsidR="008642D0" w:rsidRDefault="008642D0" w:rsidP="00D64AE1">
      <w:pPr>
        <w:pStyle w:val="ExhibitText"/>
      </w:pPr>
    </w:p>
    <w:p w14:paraId="516846A6" w14:textId="626928F7" w:rsidR="008642D0" w:rsidRDefault="008642D0" w:rsidP="008642D0">
      <w:pPr>
        <w:pStyle w:val="Footnote"/>
        <w:rPr>
          <w:b/>
        </w:rPr>
      </w:pPr>
      <w:r w:rsidRPr="00EB21AE">
        <w:rPr>
          <w:i/>
        </w:rPr>
        <w:t>Source</w:t>
      </w:r>
      <w:r>
        <w:t xml:space="preserve">: </w:t>
      </w:r>
      <w:r w:rsidR="00DC4779">
        <w:t xml:space="preserve">Company documents. </w:t>
      </w:r>
      <w:r>
        <w:t xml:space="preserve"> </w:t>
      </w:r>
    </w:p>
    <w:p w14:paraId="286B2EAA" w14:textId="77777777" w:rsidR="009C004B" w:rsidRDefault="009C004B" w:rsidP="00D64AE1">
      <w:pPr>
        <w:pStyle w:val="ExhibitText"/>
      </w:pPr>
    </w:p>
    <w:sectPr w:rsidR="009C004B"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8E72D" w16cid:durableId="1D68C57F"/>
  <w16cid:commentId w16cid:paraId="0FF0C363" w16cid:durableId="1D662CC4"/>
  <w16cid:commentId w16cid:paraId="74B4052E" w16cid:durableId="1D662CFE"/>
  <w16cid:commentId w16cid:paraId="1F76A9E6" w16cid:durableId="1D67DB49"/>
  <w16cid:commentId w16cid:paraId="138FE507" w16cid:durableId="1D66408B"/>
  <w16cid:commentId w16cid:paraId="7DF009F4" w16cid:durableId="1D663203"/>
  <w16cid:commentId w16cid:paraId="1931F329" w16cid:durableId="1D663F46"/>
  <w16cid:commentId w16cid:paraId="7B1EEED9" w16cid:durableId="1D67DB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81D99" w14:textId="77777777" w:rsidR="00A33007" w:rsidRDefault="00A33007" w:rsidP="00D75295">
      <w:r>
        <w:separator/>
      </w:r>
    </w:p>
  </w:endnote>
  <w:endnote w:type="continuationSeparator" w:id="0">
    <w:p w14:paraId="0F4C44C1" w14:textId="77777777" w:rsidR="00A33007" w:rsidRDefault="00A3300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AEC4" w14:textId="77777777" w:rsidR="00A33007" w:rsidRDefault="00A33007" w:rsidP="00D75295">
      <w:r>
        <w:separator/>
      </w:r>
    </w:p>
  </w:footnote>
  <w:footnote w:type="continuationSeparator" w:id="0">
    <w:p w14:paraId="4E388B71" w14:textId="77777777" w:rsidR="00A33007" w:rsidRDefault="00A33007" w:rsidP="00D75295">
      <w:r>
        <w:continuationSeparator/>
      </w:r>
    </w:p>
  </w:footnote>
  <w:footnote w:id="1">
    <w:p w14:paraId="7B3F8984" w14:textId="1259FA3D" w:rsidR="00E96AD6" w:rsidRDefault="00E96AD6" w:rsidP="009C004B">
      <w:pPr>
        <w:pStyle w:val="Footnote"/>
      </w:pPr>
      <w:r>
        <w:rPr>
          <w:rStyle w:val="FootnoteReference"/>
        </w:rPr>
        <w:footnoteRef/>
      </w:r>
      <w:r>
        <w:t xml:space="preserve"> CHF = Swiss franc; CHF 1 = USD 1.01 and EUR 0.92 at the end of 2015 (see Exhibit 1). EBITDA = earnings before interest, tax, depreciation, and amortization.</w:t>
      </w:r>
    </w:p>
  </w:footnote>
  <w:footnote w:id="2">
    <w:p w14:paraId="3E6277D2" w14:textId="727BC0EE" w:rsidR="00E96AD6" w:rsidRDefault="00E96AD6" w:rsidP="00D64AE1">
      <w:pPr>
        <w:pStyle w:val="Footnote"/>
      </w:pPr>
      <w:r>
        <w:rPr>
          <w:rStyle w:val="FootnoteReference"/>
        </w:rPr>
        <w:footnoteRef/>
      </w:r>
      <w:r>
        <w:t xml:space="preserve"> € = </w:t>
      </w:r>
      <w:r w:rsidR="00FA6F04">
        <w:t xml:space="preserve">European </w:t>
      </w:r>
      <w:r>
        <w:t>euro</w:t>
      </w:r>
      <w:r w:rsidR="00FA6F04">
        <w:t xml:space="preserve">; </w:t>
      </w:r>
      <w:r w:rsidR="007D7115">
        <w:t xml:space="preserve">US$1 </w:t>
      </w:r>
      <w:r w:rsidR="00FA6F04">
        <w:t>= €0.</w:t>
      </w:r>
      <w:r w:rsidR="007D7115">
        <w:t>83</w:t>
      </w:r>
      <w:r w:rsidR="00FA6F04">
        <w:t xml:space="preserve"> on December 31, 2014</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9522C" w14:textId="3EAF42D0" w:rsidR="00E96AD6" w:rsidRDefault="00E96AD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A4D18">
      <w:rPr>
        <w:rFonts w:ascii="Arial" w:hAnsi="Arial"/>
        <w:b/>
        <w:noProof/>
      </w:rPr>
      <w:t>12</w:t>
    </w:r>
    <w:r>
      <w:rPr>
        <w:rFonts w:ascii="Arial" w:hAnsi="Arial"/>
        <w:b/>
      </w:rPr>
      <w:fldChar w:fldCharType="end"/>
    </w:r>
    <w:r>
      <w:rPr>
        <w:rFonts w:ascii="Arial" w:hAnsi="Arial"/>
        <w:b/>
      </w:rPr>
      <w:tab/>
    </w:r>
    <w:r w:rsidR="00DC4779">
      <w:rPr>
        <w:rFonts w:ascii="Arial" w:hAnsi="Arial"/>
        <w:b/>
      </w:rPr>
      <w:t>9B17M</w:t>
    </w:r>
    <w:r w:rsidR="00E16CBE">
      <w:rPr>
        <w:rFonts w:ascii="Arial" w:hAnsi="Arial"/>
        <w:b/>
      </w:rPr>
      <w:t>149</w:t>
    </w:r>
  </w:p>
  <w:p w14:paraId="7C5236BA" w14:textId="77777777" w:rsidR="00E96AD6" w:rsidRPr="00C92CC4" w:rsidRDefault="00E96AD6">
    <w:pPr>
      <w:pStyle w:val="Header"/>
      <w:rPr>
        <w:sz w:val="18"/>
        <w:szCs w:val="18"/>
      </w:rPr>
    </w:pPr>
  </w:p>
  <w:p w14:paraId="790A681D" w14:textId="77777777" w:rsidR="00E96AD6" w:rsidRPr="00C92CC4" w:rsidRDefault="00E96AD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49A5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47CE7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E52D7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6C6DD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90A58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340F0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C0A9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5C06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8C8D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E4237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DEABA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0CC7364"/>
    <w:multiLevelType w:val="hybridMultilevel"/>
    <w:tmpl w:val="9980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7"/>
  </w:num>
  <w:num w:numId="18">
    <w:abstractNumId w:val="24"/>
  </w:num>
  <w:num w:numId="19">
    <w:abstractNumId w:val="12"/>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GB" w:vendorID="64" w:dllVersion="409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en-CA" w:vendorID="64" w:dllVersion="0" w:nlCheck="1" w:checkStyle="0"/>
  <w:activeWritingStyle w:appName="MSWord" w:lang="en-GB" w:vendorID="64" w:dllVersion="131078" w:nlCheck="1" w:checkStyle="1"/>
  <w:activeWritingStyle w:appName="MSWord" w:lang="en-CA" w:vendorID="64" w:dllVersion="131078" w:nlCheck="1" w:checkStyle="1"/>
  <w:activeWritingStyle w:appName="MSWord" w:lang="en-GB" w:vendorID="2" w:dllVersion="6"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2D5"/>
    <w:rsid w:val="0000085A"/>
    <w:rsid w:val="00013360"/>
    <w:rsid w:val="00016294"/>
    <w:rsid w:val="00020A5A"/>
    <w:rsid w:val="000216CE"/>
    <w:rsid w:val="00025DC7"/>
    <w:rsid w:val="00026486"/>
    <w:rsid w:val="00032D2E"/>
    <w:rsid w:val="00044ECC"/>
    <w:rsid w:val="00052186"/>
    <w:rsid w:val="000531D3"/>
    <w:rsid w:val="0005646B"/>
    <w:rsid w:val="00061A87"/>
    <w:rsid w:val="0008102D"/>
    <w:rsid w:val="00086129"/>
    <w:rsid w:val="00094C0E"/>
    <w:rsid w:val="000E41E7"/>
    <w:rsid w:val="000F0C22"/>
    <w:rsid w:val="000F6B09"/>
    <w:rsid w:val="000F6FDC"/>
    <w:rsid w:val="00104567"/>
    <w:rsid w:val="0012732D"/>
    <w:rsid w:val="00152AE1"/>
    <w:rsid w:val="00154FC9"/>
    <w:rsid w:val="00157411"/>
    <w:rsid w:val="00170CF1"/>
    <w:rsid w:val="00183331"/>
    <w:rsid w:val="001854F9"/>
    <w:rsid w:val="0019241A"/>
    <w:rsid w:val="001A04F0"/>
    <w:rsid w:val="001A5335"/>
    <w:rsid w:val="001A752D"/>
    <w:rsid w:val="001F33A1"/>
    <w:rsid w:val="00203AA1"/>
    <w:rsid w:val="00203BC2"/>
    <w:rsid w:val="00212ADD"/>
    <w:rsid w:val="00213E98"/>
    <w:rsid w:val="00221117"/>
    <w:rsid w:val="00230F44"/>
    <w:rsid w:val="00260666"/>
    <w:rsid w:val="00271A66"/>
    <w:rsid w:val="00282327"/>
    <w:rsid w:val="002E32F0"/>
    <w:rsid w:val="002E33DD"/>
    <w:rsid w:val="002E6591"/>
    <w:rsid w:val="002F460C"/>
    <w:rsid w:val="002F48D6"/>
    <w:rsid w:val="00310CE1"/>
    <w:rsid w:val="003273FE"/>
    <w:rsid w:val="00345D1F"/>
    <w:rsid w:val="00353AE2"/>
    <w:rsid w:val="00354899"/>
    <w:rsid w:val="00355FD6"/>
    <w:rsid w:val="00361C8E"/>
    <w:rsid w:val="00364A5C"/>
    <w:rsid w:val="00373FB1"/>
    <w:rsid w:val="00384D2D"/>
    <w:rsid w:val="003A75E1"/>
    <w:rsid w:val="003B30D8"/>
    <w:rsid w:val="003B3D71"/>
    <w:rsid w:val="003B44B9"/>
    <w:rsid w:val="003B7EF2"/>
    <w:rsid w:val="003C3FA4"/>
    <w:rsid w:val="003C78EC"/>
    <w:rsid w:val="003F2B0C"/>
    <w:rsid w:val="00405FCD"/>
    <w:rsid w:val="004130D8"/>
    <w:rsid w:val="004221E4"/>
    <w:rsid w:val="00431765"/>
    <w:rsid w:val="0044351E"/>
    <w:rsid w:val="004615CD"/>
    <w:rsid w:val="004622BA"/>
    <w:rsid w:val="00471088"/>
    <w:rsid w:val="00483AF9"/>
    <w:rsid w:val="004A4B80"/>
    <w:rsid w:val="004A4D18"/>
    <w:rsid w:val="004B1CCB"/>
    <w:rsid w:val="004B4116"/>
    <w:rsid w:val="004C1DD0"/>
    <w:rsid w:val="004D73A5"/>
    <w:rsid w:val="005007A5"/>
    <w:rsid w:val="00532CF5"/>
    <w:rsid w:val="005528CB"/>
    <w:rsid w:val="00564C43"/>
    <w:rsid w:val="00566771"/>
    <w:rsid w:val="00573EC9"/>
    <w:rsid w:val="00573ED9"/>
    <w:rsid w:val="0058093A"/>
    <w:rsid w:val="00581E2E"/>
    <w:rsid w:val="00584F15"/>
    <w:rsid w:val="005C09E1"/>
    <w:rsid w:val="005D04A7"/>
    <w:rsid w:val="005D453F"/>
    <w:rsid w:val="005D59AF"/>
    <w:rsid w:val="006163F7"/>
    <w:rsid w:val="00652606"/>
    <w:rsid w:val="00657380"/>
    <w:rsid w:val="00682754"/>
    <w:rsid w:val="006842C9"/>
    <w:rsid w:val="006A34E4"/>
    <w:rsid w:val="006A58A9"/>
    <w:rsid w:val="006A606D"/>
    <w:rsid w:val="006A7D6E"/>
    <w:rsid w:val="006A7E9C"/>
    <w:rsid w:val="006B7F7A"/>
    <w:rsid w:val="006C0371"/>
    <w:rsid w:val="006C08B6"/>
    <w:rsid w:val="006C0B1A"/>
    <w:rsid w:val="006C4384"/>
    <w:rsid w:val="006C6065"/>
    <w:rsid w:val="006C7A1A"/>
    <w:rsid w:val="006C7F9F"/>
    <w:rsid w:val="006D419E"/>
    <w:rsid w:val="006E2F6D"/>
    <w:rsid w:val="006E58F6"/>
    <w:rsid w:val="006E77E1"/>
    <w:rsid w:val="006F131D"/>
    <w:rsid w:val="006F1D9E"/>
    <w:rsid w:val="006F6F2E"/>
    <w:rsid w:val="00752BCD"/>
    <w:rsid w:val="00755C00"/>
    <w:rsid w:val="00766DA1"/>
    <w:rsid w:val="007812D6"/>
    <w:rsid w:val="007866A6"/>
    <w:rsid w:val="007A130D"/>
    <w:rsid w:val="007A431E"/>
    <w:rsid w:val="007B6297"/>
    <w:rsid w:val="007C5033"/>
    <w:rsid w:val="007D4102"/>
    <w:rsid w:val="007D7115"/>
    <w:rsid w:val="007E4D3A"/>
    <w:rsid w:val="007E5921"/>
    <w:rsid w:val="007F572B"/>
    <w:rsid w:val="00815B08"/>
    <w:rsid w:val="00821FFC"/>
    <w:rsid w:val="008271CA"/>
    <w:rsid w:val="00843498"/>
    <w:rsid w:val="00844621"/>
    <w:rsid w:val="008467D5"/>
    <w:rsid w:val="00856D9F"/>
    <w:rsid w:val="008642D0"/>
    <w:rsid w:val="00866F6D"/>
    <w:rsid w:val="0088538B"/>
    <w:rsid w:val="008A4DC4"/>
    <w:rsid w:val="008E28FD"/>
    <w:rsid w:val="008E7098"/>
    <w:rsid w:val="008E75B7"/>
    <w:rsid w:val="009067A4"/>
    <w:rsid w:val="0090722E"/>
    <w:rsid w:val="0091743E"/>
    <w:rsid w:val="00933165"/>
    <w:rsid w:val="009340DB"/>
    <w:rsid w:val="00945F9E"/>
    <w:rsid w:val="00951686"/>
    <w:rsid w:val="00972498"/>
    <w:rsid w:val="00974CC6"/>
    <w:rsid w:val="00976AD4"/>
    <w:rsid w:val="009A312F"/>
    <w:rsid w:val="009A5348"/>
    <w:rsid w:val="009A67BB"/>
    <w:rsid w:val="009C004B"/>
    <w:rsid w:val="009C76D5"/>
    <w:rsid w:val="009E02FD"/>
    <w:rsid w:val="009E46DB"/>
    <w:rsid w:val="009E65D5"/>
    <w:rsid w:val="009F7AA4"/>
    <w:rsid w:val="00A33007"/>
    <w:rsid w:val="00A370E8"/>
    <w:rsid w:val="00A4109F"/>
    <w:rsid w:val="00A45280"/>
    <w:rsid w:val="00A559DB"/>
    <w:rsid w:val="00AA2099"/>
    <w:rsid w:val="00AB03B7"/>
    <w:rsid w:val="00AB08E1"/>
    <w:rsid w:val="00AE5F69"/>
    <w:rsid w:val="00AF2F4B"/>
    <w:rsid w:val="00AF35FC"/>
    <w:rsid w:val="00B02313"/>
    <w:rsid w:val="00B03639"/>
    <w:rsid w:val="00B04914"/>
    <w:rsid w:val="00B0652A"/>
    <w:rsid w:val="00B3757D"/>
    <w:rsid w:val="00B40937"/>
    <w:rsid w:val="00B423EF"/>
    <w:rsid w:val="00B453DE"/>
    <w:rsid w:val="00B4742F"/>
    <w:rsid w:val="00B670BE"/>
    <w:rsid w:val="00B87C74"/>
    <w:rsid w:val="00B901F9"/>
    <w:rsid w:val="00B91ED3"/>
    <w:rsid w:val="00B92428"/>
    <w:rsid w:val="00B954D5"/>
    <w:rsid w:val="00BC2F0D"/>
    <w:rsid w:val="00BC4D30"/>
    <w:rsid w:val="00BD6EFB"/>
    <w:rsid w:val="00BF2736"/>
    <w:rsid w:val="00BF7B0D"/>
    <w:rsid w:val="00C15BE2"/>
    <w:rsid w:val="00C22219"/>
    <w:rsid w:val="00C3447F"/>
    <w:rsid w:val="00C36B32"/>
    <w:rsid w:val="00C50466"/>
    <w:rsid w:val="00C625D3"/>
    <w:rsid w:val="00C81491"/>
    <w:rsid w:val="00C81676"/>
    <w:rsid w:val="00C92CC4"/>
    <w:rsid w:val="00C978E8"/>
    <w:rsid w:val="00CA0AFB"/>
    <w:rsid w:val="00CA2CE1"/>
    <w:rsid w:val="00CA3976"/>
    <w:rsid w:val="00CA757B"/>
    <w:rsid w:val="00CB6B09"/>
    <w:rsid w:val="00CC0472"/>
    <w:rsid w:val="00CC1787"/>
    <w:rsid w:val="00CC182C"/>
    <w:rsid w:val="00CC4115"/>
    <w:rsid w:val="00CD0824"/>
    <w:rsid w:val="00CD2908"/>
    <w:rsid w:val="00CD5F9D"/>
    <w:rsid w:val="00CE1BC6"/>
    <w:rsid w:val="00CF0C2A"/>
    <w:rsid w:val="00D03A82"/>
    <w:rsid w:val="00D06D79"/>
    <w:rsid w:val="00D07D73"/>
    <w:rsid w:val="00D15344"/>
    <w:rsid w:val="00D157FC"/>
    <w:rsid w:val="00D15920"/>
    <w:rsid w:val="00D26F6C"/>
    <w:rsid w:val="00D319B5"/>
    <w:rsid w:val="00D31BEC"/>
    <w:rsid w:val="00D33A41"/>
    <w:rsid w:val="00D40A91"/>
    <w:rsid w:val="00D6208E"/>
    <w:rsid w:val="00D63150"/>
    <w:rsid w:val="00D64A32"/>
    <w:rsid w:val="00D64AE1"/>
    <w:rsid w:val="00D64EFC"/>
    <w:rsid w:val="00D75295"/>
    <w:rsid w:val="00D76CE9"/>
    <w:rsid w:val="00D84E68"/>
    <w:rsid w:val="00D85B28"/>
    <w:rsid w:val="00D97F12"/>
    <w:rsid w:val="00DB2D84"/>
    <w:rsid w:val="00DB42E7"/>
    <w:rsid w:val="00DC4779"/>
    <w:rsid w:val="00DC69CE"/>
    <w:rsid w:val="00DD0116"/>
    <w:rsid w:val="00DF32C2"/>
    <w:rsid w:val="00E16CBE"/>
    <w:rsid w:val="00E20AF4"/>
    <w:rsid w:val="00E471A7"/>
    <w:rsid w:val="00E635CF"/>
    <w:rsid w:val="00E660FF"/>
    <w:rsid w:val="00E672E1"/>
    <w:rsid w:val="00E67EDA"/>
    <w:rsid w:val="00E76DE4"/>
    <w:rsid w:val="00E77902"/>
    <w:rsid w:val="00E9183E"/>
    <w:rsid w:val="00E96AD6"/>
    <w:rsid w:val="00EB5410"/>
    <w:rsid w:val="00EC2064"/>
    <w:rsid w:val="00EC6E0A"/>
    <w:rsid w:val="00ED35B6"/>
    <w:rsid w:val="00ED4E18"/>
    <w:rsid w:val="00ED6050"/>
    <w:rsid w:val="00EE1F37"/>
    <w:rsid w:val="00F0159C"/>
    <w:rsid w:val="00F02F41"/>
    <w:rsid w:val="00F105B7"/>
    <w:rsid w:val="00F17A21"/>
    <w:rsid w:val="00F24DF9"/>
    <w:rsid w:val="00F27F26"/>
    <w:rsid w:val="00F50E91"/>
    <w:rsid w:val="00F57D29"/>
    <w:rsid w:val="00F74BDC"/>
    <w:rsid w:val="00F82EFD"/>
    <w:rsid w:val="00F92A99"/>
    <w:rsid w:val="00F96201"/>
    <w:rsid w:val="00FA6F04"/>
    <w:rsid w:val="00FB3FAC"/>
    <w:rsid w:val="00FC2B23"/>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EB80FF"/>
  <w15:docId w15:val="{0E187CC2-129B-467E-8848-4653DB40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659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8642D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24237">
      <w:bodyDiv w:val="1"/>
      <w:marLeft w:val="0"/>
      <w:marRight w:val="0"/>
      <w:marTop w:val="0"/>
      <w:marBottom w:val="0"/>
      <w:divBdr>
        <w:top w:val="none" w:sz="0" w:space="0" w:color="auto"/>
        <w:left w:val="none" w:sz="0" w:space="0" w:color="auto"/>
        <w:bottom w:val="none" w:sz="0" w:space="0" w:color="auto"/>
        <w:right w:val="none" w:sz="0" w:space="0" w:color="auto"/>
      </w:divBdr>
    </w:div>
    <w:div w:id="15509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2B1AF-2025-4834-8A64-4428DF19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5201</Words>
  <Characters>29652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2017-08-29T13:07:00Z</cp:lastPrinted>
  <dcterms:created xsi:type="dcterms:W3CDTF">2017-09-26T23:48:00Z</dcterms:created>
  <dcterms:modified xsi:type="dcterms:W3CDTF">2017-09-29T20:13:00Z</dcterms:modified>
</cp:coreProperties>
</file>